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34230C">
      <w:pPr>
        <w:pStyle w:val="Title"/>
        <w:tabs>
          <w:tab w:val="clear" w:pos="360"/>
          <w:tab w:val="left" w:pos="0"/>
        </w:tabs>
      </w:pPr>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397C76" w:rsidRPr="00A03D6F" w:rsidRDefault="00A91055" w:rsidP="00397C76">
      <w:pPr>
        <w:tabs>
          <w:tab w:val="left" w:pos="0"/>
        </w:tabs>
        <w:spacing w:line="233" w:lineRule="auto"/>
        <w:jc w:val="both"/>
        <w:rPr>
          <w:b/>
          <w:sz w:val="24"/>
        </w:rPr>
      </w:pPr>
      <w:r>
        <w:rPr>
          <w:sz w:val="24"/>
        </w:rPr>
        <w:t>Daniel Roberts</w:t>
      </w:r>
      <w:r w:rsidR="00397C76" w:rsidRPr="00A03D6F">
        <w:rPr>
          <w:sz w:val="24"/>
        </w:rPr>
        <w:tab/>
      </w:r>
      <w:r w:rsidR="00397C76" w:rsidRPr="00A03D6F">
        <w:rPr>
          <w:sz w:val="24"/>
        </w:rPr>
        <w:tab/>
      </w:r>
      <w:r w:rsidR="00397C76" w:rsidRPr="00A03D6F">
        <w:rPr>
          <w:sz w:val="24"/>
        </w:rPr>
        <w:tab/>
      </w:r>
      <w:r w:rsidR="00397C76" w:rsidRPr="00A03D6F">
        <w:rPr>
          <w:sz w:val="24"/>
        </w:rPr>
        <w:tab/>
      </w:r>
      <w:r w:rsidR="00397C76" w:rsidRPr="00A03D6F">
        <w:rPr>
          <w:sz w:val="24"/>
        </w:rPr>
        <w:tab/>
      </w:r>
      <w:r w:rsidR="00397C76" w:rsidRPr="00A03D6F">
        <w:rPr>
          <w:b/>
          <w:sz w:val="24"/>
        </w:rPr>
        <w:t>:</w:t>
      </w:r>
    </w:p>
    <w:p w:rsidR="00397C76" w:rsidRPr="00A03D6F" w:rsidRDefault="00397C76" w:rsidP="00397C76">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397C76" w:rsidRPr="00A03D6F" w:rsidRDefault="00397C76" w:rsidP="00397C76">
      <w:pPr>
        <w:tabs>
          <w:tab w:val="left" w:pos="0"/>
        </w:tabs>
        <w:spacing w:line="233" w:lineRule="auto"/>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sidR="00A91055">
        <w:rPr>
          <w:sz w:val="24"/>
        </w:rPr>
        <w:t>C-</w:t>
      </w:r>
      <w:r w:rsidR="000E52D3">
        <w:rPr>
          <w:sz w:val="24"/>
        </w:rPr>
        <w:t>2013-2375</w:t>
      </w:r>
      <w:r w:rsidR="00A91055">
        <w:rPr>
          <w:sz w:val="24"/>
        </w:rPr>
        <w:t>402</w:t>
      </w:r>
    </w:p>
    <w:p w:rsidR="00397C76" w:rsidRPr="00A03D6F" w:rsidRDefault="00397C76" w:rsidP="00397C76">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397C76" w:rsidRPr="00A03D6F" w:rsidRDefault="00A91055" w:rsidP="00397C76">
      <w:pPr>
        <w:tabs>
          <w:tab w:val="left" w:pos="0"/>
        </w:tabs>
        <w:spacing w:line="233" w:lineRule="auto"/>
        <w:jc w:val="both"/>
        <w:rPr>
          <w:b/>
          <w:sz w:val="24"/>
        </w:rPr>
      </w:pPr>
      <w:r>
        <w:rPr>
          <w:sz w:val="24"/>
        </w:rPr>
        <w:t>Pennsylvania Power</w:t>
      </w:r>
      <w:r w:rsidR="000E52D3">
        <w:rPr>
          <w:sz w:val="24"/>
        </w:rPr>
        <w:t xml:space="preserve"> Company</w:t>
      </w:r>
      <w:r w:rsidR="00397C76" w:rsidRPr="00A03D6F">
        <w:rPr>
          <w:sz w:val="24"/>
        </w:rPr>
        <w:tab/>
      </w:r>
      <w:r w:rsidR="00397C76" w:rsidRPr="00A03D6F">
        <w:rPr>
          <w:sz w:val="24"/>
        </w:rPr>
        <w:tab/>
      </w:r>
      <w:r w:rsidR="00397C76" w:rsidRPr="00A03D6F">
        <w:rPr>
          <w:sz w:val="24"/>
        </w:rPr>
        <w:tab/>
      </w:r>
      <w:r w:rsidR="00397C76" w:rsidRPr="00A03D6F">
        <w:rPr>
          <w:b/>
          <w:sz w:val="24"/>
        </w:rPr>
        <w:t>:</w:t>
      </w:r>
    </w:p>
    <w:p w:rsidR="00397C76" w:rsidRPr="00A03D6F" w:rsidRDefault="00397C76" w:rsidP="00397C76">
      <w:pPr>
        <w:tabs>
          <w:tab w:val="left" w:pos="0"/>
        </w:tabs>
        <w:spacing w:line="233" w:lineRule="auto"/>
        <w:jc w:val="both"/>
        <w:rPr>
          <w:b/>
          <w:sz w:val="24"/>
        </w:rPr>
      </w:pPr>
    </w:p>
    <w:p w:rsidR="00D52F64" w:rsidRPr="00A03D6F" w:rsidRDefault="00D52F64" w:rsidP="003D1D5E">
      <w:pPr>
        <w:tabs>
          <w:tab w:val="left" w:pos="0"/>
        </w:tabs>
        <w:spacing w:line="233" w:lineRule="auto"/>
        <w:jc w:val="both"/>
        <w:rPr>
          <w:b/>
          <w:sz w:val="24"/>
        </w:rPr>
      </w:pPr>
    </w:p>
    <w:p w:rsidR="00D52F64" w:rsidRPr="00A03D6F" w:rsidRDefault="00D52F64" w:rsidP="003D1D5E">
      <w:pPr>
        <w:tabs>
          <w:tab w:val="left" w:pos="0"/>
        </w:tabs>
        <w:spacing w:line="233" w:lineRule="auto"/>
        <w:jc w:val="both"/>
        <w:rPr>
          <w:b/>
          <w:sz w:val="24"/>
        </w:rPr>
      </w:pPr>
    </w:p>
    <w:p w:rsidR="00D52F64" w:rsidRPr="00A03D6F" w:rsidRDefault="00E85D7F" w:rsidP="003D1D5E">
      <w:pPr>
        <w:tabs>
          <w:tab w:val="left" w:pos="0"/>
        </w:tabs>
        <w:spacing w:line="233" w:lineRule="auto"/>
        <w:jc w:val="center"/>
        <w:rPr>
          <w:b/>
          <w:sz w:val="24"/>
          <w:u w:val="single"/>
        </w:rPr>
      </w:pPr>
      <w:r>
        <w:rPr>
          <w:b/>
          <w:sz w:val="24"/>
          <w:u w:val="single"/>
        </w:rPr>
        <w:t>INITIAL DECISION</w:t>
      </w:r>
    </w:p>
    <w:p w:rsidR="00D52F64" w:rsidRPr="00A03D6F" w:rsidRDefault="00D52F64" w:rsidP="003D1D5E">
      <w:pPr>
        <w:tabs>
          <w:tab w:val="left" w:pos="0"/>
        </w:tabs>
        <w:spacing w:line="233" w:lineRule="auto"/>
        <w:jc w:val="both"/>
        <w:rPr>
          <w:sz w:val="24"/>
        </w:rPr>
      </w:pPr>
    </w:p>
    <w:p w:rsidR="00E85D7F" w:rsidRDefault="00E85D7F" w:rsidP="00E85D7F">
      <w:pPr>
        <w:tabs>
          <w:tab w:val="left" w:pos="0"/>
        </w:tabs>
        <w:spacing w:line="233" w:lineRule="auto"/>
        <w:jc w:val="center"/>
        <w:rPr>
          <w:sz w:val="24"/>
        </w:rPr>
      </w:pPr>
    </w:p>
    <w:p w:rsidR="00D52F64" w:rsidRDefault="00E85D7F" w:rsidP="00E85D7F">
      <w:pPr>
        <w:tabs>
          <w:tab w:val="left" w:pos="0"/>
        </w:tabs>
        <w:spacing w:line="233" w:lineRule="auto"/>
        <w:jc w:val="center"/>
        <w:rPr>
          <w:sz w:val="24"/>
        </w:rPr>
      </w:pPr>
      <w:r>
        <w:rPr>
          <w:sz w:val="24"/>
        </w:rPr>
        <w:t>Before</w:t>
      </w:r>
    </w:p>
    <w:p w:rsidR="00E85D7F" w:rsidRDefault="00E85D7F" w:rsidP="00E85D7F">
      <w:pPr>
        <w:tabs>
          <w:tab w:val="left" w:pos="0"/>
        </w:tabs>
        <w:spacing w:line="233" w:lineRule="auto"/>
        <w:jc w:val="center"/>
        <w:rPr>
          <w:sz w:val="24"/>
        </w:rPr>
      </w:pPr>
      <w:r>
        <w:rPr>
          <w:sz w:val="24"/>
        </w:rPr>
        <w:t>Mary D. Long</w:t>
      </w:r>
    </w:p>
    <w:p w:rsidR="00E85D7F" w:rsidRDefault="00E85D7F" w:rsidP="00E85D7F">
      <w:pPr>
        <w:tabs>
          <w:tab w:val="left" w:pos="0"/>
        </w:tabs>
        <w:spacing w:line="233" w:lineRule="auto"/>
        <w:jc w:val="center"/>
        <w:rPr>
          <w:sz w:val="24"/>
        </w:rPr>
      </w:pPr>
      <w:r>
        <w:rPr>
          <w:sz w:val="24"/>
        </w:rPr>
        <w:t>Administrative Law Judge</w:t>
      </w:r>
    </w:p>
    <w:p w:rsidR="00E85D7F" w:rsidRDefault="00E85D7F" w:rsidP="003D1D5E">
      <w:pPr>
        <w:tabs>
          <w:tab w:val="left" w:pos="0"/>
        </w:tabs>
        <w:spacing w:line="233" w:lineRule="auto"/>
        <w:jc w:val="both"/>
        <w:rPr>
          <w:sz w:val="24"/>
        </w:rPr>
      </w:pPr>
    </w:p>
    <w:p w:rsidR="00E85D7F" w:rsidRDefault="00E85D7F" w:rsidP="003D1D5E">
      <w:pPr>
        <w:tabs>
          <w:tab w:val="left" w:pos="0"/>
        </w:tabs>
        <w:spacing w:line="233" w:lineRule="auto"/>
        <w:jc w:val="both"/>
        <w:rPr>
          <w:sz w:val="24"/>
        </w:rPr>
      </w:pPr>
    </w:p>
    <w:p w:rsidR="00161C95" w:rsidRDefault="00A40B81" w:rsidP="00161C95">
      <w:pPr>
        <w:spacing w:line="360" w:lineRule="auto"/>
        <w:ind w:firstLine="1440"/>
        <w:rPr>
          <w:sz w:val="24"/>
          <w:szCs w:val="24"/>
        </w:rPr>
      </w:pPr>
      <w:r>
        <w:rPr>
          <w:sz w:val="24"/>
          <w:szCs w:val="24"/>
        </w:rPr>
        <w:t>The</w:t>
      </w:r>
      <w:r w:rsidR="00161C95" w:rsidRPr="00161C95">
        <w:rPr>
          <w:sz w:val="24"/>
          <w:szCs w:val="24"/>
        </w:rPr>
        <w:t xml:space="preserve"> complaint is dismissed because the </w:t>
      </w:r>
      <w:r w:rsidR="00161C95">
        <w:rPr>
          <w:sz w:val="24"/>
          <w:szCs w:val="24"/>
        </w:rPr>
        <w:t>C</w:t>
      </w:r>
      <w:r w:rsidR="00161C95" w:rsidRPr="00161C95">
        <w:rPr>
          <w:sz w:val="24"/>
          <w:szCs w:val="24"/>
        </w:rPr>
        <w:t>omplainant failed to appear at the scheduled hearing.</w:t>
      </w:r>
    </w:p>
    <w:p w:rsidR="00161C95" w:rsidRPr="00161C95" w:rsidRDefault="00161C95" w:rsidP="00161C95">
      <w:pPr>
        <w:spacing w:line="360" w:lineRule="auto"/>
        <w:ind w:firstLine="1440"/>
        <w:rPr>
          <w:sz w:val="24"/>
          <w:szCs w:val="24"/>
        </w:rPr>
      </w:pPr>
    </w:p>
    <w:p w:rsidR="00161C95" w:rsidRDefault="00161C95" w:rsidP="00161C95">
      <w:pPr>
        <w:spacing w:line="360" w:lineRule="auto"/>
        <w:jc w:val="center"/>
        <w:rPr>
          <w:sz w:val="24"/>
          <w:szCs w:val="24"/>
          <w:u w:val="single"/>
        </w:rPr>
      </w:pPr>
      <w:r w:rsidRPr="00161C95">
        <w:rPr>
          <w:sz w:val="24"/>
          <w:szCs w:val="24"/>
          <w:u w:val="single"/>
        </w:rPr>
        <w:t>PROCEDURAL HISTORY</w:t>
      </w:r>
    </w:p>
    <w:p w:rsidR="00161C95" w:rsidRPr="00161C95" w:rsidRDefault="00161C95" w:rsidP="00161C95">
      <w:pPr>
        <w:spacing w:line="360" w:lineRule="auto"/>
        <w:ind w:firstLine="1440"/>
        <w:jc w:val="center"/>
        <w:rPr>
          <w:sz w:val="24"/>
          <w:szCs w:val="24"/>
          <w:u w:val="single"/>
        </w:rPr>
      </w:pPr>
    </w:p>
    <w:p w:rsidR="00161C95" w:rsidRDefault="00161C95" w:rsidP="00161C95">
      <w:pPr>
        <w:spacing w:line="360" w:lineRule="auto"/>
        <w:ind w:firstLine="1440"/>
        <w:rPr>
          <w:sz w:val="24"/>
          <w:szCs w:val="24"/>
        </w:rPr>
      </w:pPr>
      <w:r w:rsidRPr="00161C95">
        <w:rPr>
          <w:sz w:val="24"/>
          <w:szCs w:val="24"/>
        </w:rPr>
        <w:t xml:space="preserve">Daniel J. Roberts (Complainant) filed a formal complaint on July 12, 2013, against Pennsylvania Power Company (Penn Power) alleging that he wants to pay his account balance in cash, but neither the Penn Power automated payment system nor payment centers will recognize his account.  Penn Power filed an answer and new matter on August 13, 2013.  Penn Power alleges that the Complainant has been given detailed instructions explaining the procedure for making payments at payment centers and that he can pay his bill using a money order or cashier’s check if he does not have a checking account or a debit card.  Penn Power further avers that the Complainant has accrued a substantial past due balance in excess of $8,000 and has not made a payment on his account since 2011.  In the new matter Penn Power alleges that this complaint is the latest in a series of complaints that have been filed by the Complainant in an effort to avoid paying his bill.  Penn Power provided a timeline of the complaints and observes that the complaint process coincides with the Commission’s Winter Moratorium Period.  Accordingly, in Penn Power’s view, the Complainant is abusing the Commission’s complaint </w:t>
      </w:r>
      <w:r w:rsidRPr="00161C95">
        <w:rPr>
          <w:sz w:val="24"/>
          <w:szCs w:val="24"/>
        </w:rPr>
        <w:lastRenderedPageBreak/>
        <w:t>procedures to avoid paying his bill and avoid termination of electric distribution services.  Penn Power requested expedited resolution of this formal complaint and also permission to terminate the Complainant’s electric distribution service pursuant to 52 Pa.Code § 56.100.</w:t>
      </w:r>
    </w:p>
    <w:p w:rsidR="00161C95" w:rsidRPr="00161C95" w:rsidRDefault="00161C95" w:rsidP="00161C95">
      <w:pPr>
        <w:spacing w:line="360" w:lineRule="auto"/>
        <w:ind w:firstLine="1440"/>
        <w:rPr>
          <w:sz w:val="24"/>
          <w:szCs w:val="24"/>
        </w:rPr>
      </w:pPr>
    </w:p>
    <w:p w:rsidR="00161C95" w:rsidRDefault="00161C95" w:rsidP="00161C95">
      <w:pPr>
        <w:spacing w:line="360" w:lineRule="auto"/>
        <w:ind w:firstLine="1440"/>
        <w:rPr>
          <w:sz w:val="24"/>
          <w:szCs w:val="24"/>
        </w:rPr>
      </w:pPr>
      <w:r w:rsidRPr="00161C95">
        <w:rPr>
          <w:sz w:val="24"/>
          <w:szCs w:val="24"/>
        </w:rPr>
        <w:t>By hearing notice dated August 26, 2013, this matter was scheduled for a hearing by telephone on October 4, 2013 and assigned to me for disposition.  The hearing notice also warned that “You may lose the case if you do not take part in this hearing and present facts on the issues raised.”  On August 26, 2013, I issued a prehearing order which detailed the procedures for the conduct of the scheduled hearing.  The prehearing order provided instructions for requesting a continuance and contact information for both the Pittsburgh and Harrisburg Offices of Administrative Law Judge.  The prehearing order also warned the Complainant that a failure to appear would result in the dismissal of his complaint.  Neither the hearing notice nor the prehearing order was returned by the U.S. Postal Service.</w:t>
      </w:r>
    </w:p>
    <w:p w:rsidR="00161C95" w:rsidRPr="00161C95" w:rsidRDefault="00161C95" w:rsidP="00161C95">
      <w:pPr>
        <w:spacing w:line="360" w:lineRule="auto"/>
        <w:ind w:firstLine="1440"/>
        <w:rPr>
          <w:sz w:val="24"/>
          <w:szCs w:val="24"/>
        </w:rPr>
      </w:pPr>
    </w:p>
    <w:p w:rsidR="00161C95" w:rsidRDefault="00161C95" w:rsidP="00161C95">
      <w:pPr>
        <w:spacing w:line="360" w:lineRule="auto"/>
        <w:ind w:firstLine="1440"/>
        <w:rPr>
          <w:sz w:val="24"/>
          <w:szCs w:val="24"/>
        </w:rPr>
      </w:pPr>
      <w:r w:rsidRPr="00161C95">
        <w:rPr>
          <w:sz w:val="24"/>
          <w:szCs w:val="24"/>
        </w:rPr>
        <w:t xml:space="preserve">The day before the hearing, on October 3, 2013, the Complainant telephoned my office to request a continuance </w:t>
      </w:r>
      <w:r w:rsidR="00930D17">
        <w:rPr>
          <w:sz w:val="24"/>
          <w:szCs w:val="24"/>
        </w:rPr>
        <w:t>due to</w:t>
      </w:r>
      <w:r w:rsidRPr="00161C95">
        <w:rPr>
          <w:sz w:val="24"/>
          <w:szCs w:val="24"/>
        </w:rPr>
        <w:t xml:space="preserve"> an unspecified “family tragedy.”  The Complain</w:t>
      </w:r>
      <w:r>
        <w:rPr>
          <w:sz w:val="24"/>
          <w:szCs w:val="24"/>
        </w:rPr>
        <w:t>an</w:t>
      </w:r>
      <w:r w:rsidRPr="00161C95">
        <w:rPr>
          <w:sz w:val="24"/>
          <w:szCs w:val="24"/>
        </w:rPr>
        <w:t>t was instructed that the request had to be in writing and had to provide details of the nature of the family tragedy.  The Complainant was also instructed to contact the utility’s counsel to seek consent for the continuance.  No written request for a continuance was received.</w:t>
      </w:r>
    </w:p>
    <w:p w:rsidR="00161C95" w:rsidRPr="00161C95" w:rsidRDefault="00161C95" w:rsidP="00161C95">
      <w:pPr>
        <w:spacing w:line="360" w:lineRule="auto"/>
        <w:ind w:firstLine="1440"/>
        <w:rPr>
          <w:sz w:val="24"/>
          <w:szCs w:val="24"/>
        </w:rPr>
      </w:pPr>
    </w:p>
    <w:p w:rsidR="00161C95" w:rsidRPr="00161C95" w:rsidRDefault="00161C95" w:rsidP="00161C95">
      <w:pPr>
        <w:spacing w:line="360" w:lineRule="auto"/>
        <w:ind w:firstLine="1440"/>
        <w:rPr>
          <w:sz w:val="24"/>
          <w:szCs w:val="24"/>
        </w:rPr>
      </w:pPr>
      <w:r w:rsidRPr="00161C95">
        <w:rPr>
          <w:sz w:val="24"/>
          <w:szCs w:val="24"/>
        </w:rPr>
        <w:t>The hearing convened as scheduled the following day.  Margaret A. Morris, Esquire appeared on behalf of Penn Power along with two witnesses.  The Complainant failed to appear at 10:00 a.m.  The hearing was recessed until 10:20 a.m.  During the recess my legal assistant called the Complainant at the telephone number listed on his complaint.  She received a recording that the voicemail box had not been set up and was unable to leave a message.  Following the recess Ms. Morris represented that she had contacted the Complainant numerous times and had spoken to him at the telephone number on the complaint form.  Ms. Morris made a motion to dismiss the complaint for failure to prosecute.</w:t>
      </w:r>
      <w:r w:rsidR="007322F7">
        <w:rPr>
          <w:sz w:val="24"/>
          <w:szCs w:val="24"/>
        </w:rPr>
        <w:t xml:space="preserve"> </w:t>
      </w:r>
      <w:r w:rsidRPr="00161C95">
        <w:rPr>
          <w:sz w:val="24"/>
          <w:szCs w:val="24"/>
        </w:rPr>
        <w:t xml:space="preserve"> She also made a motion to present evidence on the abuse of process claim made in the new matter and to pursue the request to terminate service during the Winter Moratorium.  </w:t>
      </w:r>
    </w:p>
    <w:p w:rsidR="00161C95" w:rsidRDefault="00161C95" w:rsidP="007322F7">
      <w:pPr>
        <w:spacing w:line="360" w:lineRule="auto"/>
        <w:ind w:firstLine="1440"/>
        <w:rPr>
          <w:sz w:val="24"/>
          <w:szCs w:val="24"/>
        </w:rPr>
      </w:pPr>
      <w:r w:rsidRPr="00161C95">
        <w:rPr>
          <w:sz w:val="24"/>
          <w:szCs w:val="24"/>
        </w:rPr>
        <w:lastRenderedPageBreak/>
        <w:t>The motion to dismiss the complaint was granted, but the motions to present evidence on the new matter and the request to terminate were denied.  Th</w:t>
      </w:r>
      <w:r w:rsidR="00B46CCF">
        <w:rPr>
          <w:sz w:val="24"/>
          <w:szCs w:val="24"/>
        </w:rPr>
        <w:t xml:space="preserve">e record </w:t>
      </w:r>
      <w:bookmarkStart w:id="0" w:name="_GoBack"/>
      <w:bookmarkEnd w:id="0"/>
      <w:r w:rsidR="00B46CCF">
        <w:rPr>
          <w:sz w:val="24"/>
          <w:szCs w:val="24"/>
        </w:rPr>
        <w:t>closed at the conclusion of the hearing.  Th</w:t>
      </w:r>
      <w:r w:rsidRPr="00161C95">
        <w:rPr>
          <w:sz w:val="24"/>
          <w:szCs w:val="24"/>
        </w:rPr>
        <w:t>is decision memorializes the dismissal of the complaint due to the failure of the Complainant to appear and prosecute his complaint.</w:t>
      </w:r>
    </w:p>
    <w:p w:rsidR="00161C95" w:rsidRPr="00161C95" w:rsidRDefault="00161C95" w:rsidP="00161C95">
      <w:pPr>
        <w:spacing w:line="360" w:lineRule="auto"/>
        <w:rPr>
          <w:sz w:val="24"/>
          <w:szCs w:val="24"/>
        </w:rPr>
      </w:pPr>
    </w:p>
    <w:p w:rsidR="00161C95" w:rsidRDefault="00161C95" w:rsidP="00161C95">
      <w:pPr>
        <w:spacing w:line="360" w:lineRule="auto"/>
        <w:jc w:val="center"/>
        <w:rPr>
          <w:sz w:val="24"/>
          <w:szCs w:val="24"/>
          <w:u w:val="single"/>
        </w:rPr>
      </w:pPr>
      <w:r w:rsidRPr="00161C95">
        <w:rPr>
          <w:sz w:val="24"/>
          <w:szCs w:val="24"/>
          <w:u w:val="single"/>
        </w:rPr>
        <w:t>DISCUSSION</w:t>
      </w:r>
    </w:p>
    <w:p w:rsidR="00161C95" w:rsidRPr="00161C95" w:rsidRDefault="00161C95" w:rsidP="00161C95">
      <w:pPr>
        <w:spacing w:line="360" w:lineRule="auto"/>
        <w:jc w:val="center"/>
        <w:rPr>
          <w:sz w:val="24"/>
          <w:szCs w:val="24"/>
          <w:u w:val="single"/>
        </w:rPr>
      </w:pPr>
    </w:p>
    <w:p w:rsidR="00161C95" w:rsidRPr="00161C95" w:rsidRDefault="00161C95" w:rsidP="00161C95">
      <w:pPr>
        <w:spacing w:line="360" w:lineRule="auto"/>
        <w:ind w:firstLine="1440"/>
        <w:rPr>
          <w:sz w:val="24"/>
          <w:szCs w:val="24"/>
        </w:rPr>
      </w:pPr>
      <w:r w:rsidRPr="00161C95">
        <w:rPr>
          <w:sz w:val="24"/>
          <w:szCs w:val="24"/>
        </w:rPr>
        <w:t>Administrative agencies, such as the Commission, are required to provide due process to the parties appearing before them.</w:t>
      </w:r>
      <w:r w:rsidRPr="00161C95">
        <w:rPr>
          <w:sz w:val="24"/>
          <w:szCs w:val="24"/>
          <w:vertAlign w:val="superscript"/>
        </w:rPr>
        <w:footnoteReference w:id="1"/>
      </w:r>
      <w:r w:rsidRPr="00161C95">
        <w:rPr>
          <w:sz w:val="24"/>
          <w:szCs w:val="24"/>
        </w:rPr>
        <w:t xml:space="preserve">  However, this due process requirement is satisfied when the parties are provided notice and the opportunity to appear and be heard. </w:t>
      </w:r>
      <w:r w:rsidRPr="00161C95">
        <w:rPr>
          <w:sz w:val="24"/>
          <w:szCs w:val="24"/>
          <w:vertAlign w:val="superscript"/>
        </w:rPr>
        <w:footnoteReference w:id="2"/>
      </w:r>
    </w:p>
    <w:p w:rsidR="00161C95" w:rsidRDefault="00161C95" w:rsidP="00E85D7F">
      <w:pPr>
        <w:spacing w:line="360" w:lineRule="auto"/>
        <w:ind w:firstLine="1440"/>
        <w:rPr>
          <w:sz w:val="24"/>
          <w:szCs w:val="24"/>
        </w:rPr>
      </w:pPr>
    </w:p>
    <w:p w:rsidR="00E85D7F" w:rsidRDefault="00E85D7F" w:rsidP="00E85D7F">
      <w:pPr>
        <w:spacing w:line="360" w:lineRule="auto"/>
        <w:ind w:firstLine="1440"/>
        <w:rPr>
          <w:sz w:val="24"/>
          <w:szCs w:val="24"/>
        </w:rPr>
      </w:pPr>
      <w:r w:rsidRPr="00E85D7F">
        <w:rPr>
          <w:sz w:val="24"/>
          <w:szCs w:val="24"/>
        </w:rPr>
        <w:t xml:space="preserve">Notice of the hearing was sent to the Complainant by regular first-class mail to the address stated on the complaint.  None of this mail was returned to the Commission by the U.S. Postal Service.  </w:t>
      </w:r>
    </w:p>
    <w:p w:rsidR="00E85D7F" w:rsidRPr="00E85D7F" w:rsidRDefault="00E85D7F" w:rsidP="00E85D7F">
      <w:pPr>
        <w:spacing w:line="360" w:lineRule="auto"/>
        <w:ind w:firstLine="1440"/>
        <w:rPr>
          <w:sz w:val="24"/>
          <w:szCs w:val="24"/>
        </w:rPr>
      </w:pPr>
    </w:p>
    <w:p w:rsidR="00E85D7F" w:rsidRDefault="00E85D7F" w:rsidP="00E85D7F">
      <w:pPr>
        <w:spacing w:line="360" w:lineRule="auto"/>
        <w:ind w:firstLine="1440"/>
        <w:rPr>
          <w:sz w:val="24"/>
          <w:szCs w:val="24"/>
        </w:rPr>
      </w:pPr>
      <w:r w:rsidRPr="00E85D7F">
        <w:rPr>
          <w:sz w:val="24"/>
          <w:szCs w:val="24"/>
        </w:rPr>
        <w:t>I issued a Prehearing Order on August 26, 2013, which, among other things,  reminded the parties of the hearing location, date and time as well as</w:t>
      </w:r>
      <w:r>
        <w:rPr>
          <w:sz w:val="24"/>
          <w:szCs w:val="24"/>
        </w:rPr>
        <w:t xml:space="preserve"> how to obtain a continuance.  </w:t>
      </w:r>
      <w:r w:rsidRPr="00E85D7F">
        <w:rPr>
          <w:sz w:val="24"/>
          <w:szCs w:val="24"/>
        </w:rPr>
        <w:t xml:space="preserve">That order also notified the parties of the consequence of failing to appear.  This order, which was also mailed to the Complainant at the address stated on the complaint, was never returned.  </w:t>
      </w:r>
      <w:r w:rsidR="0098526D">
        <w:rPr>
          <w:sz w:val="24"/>
          <w:szCs w:val="24"/>
        </w:rPr>
        <w:t>N</w:t>
      </w:r>
      <w:r w:rsidRPr="00E85D7F">
        <w:rPr>
          <w:sz w:val="24"/>
          <w:szCs w:val="24"/>
        </w:rPr>
        <w:t>otice mailed to a party’s last known address and not returned by the post office is presumed to have been received.</w:t>
      </w:r>
      <w:r w:rsidRPr="00E85D7F">
        <w:rPr>
          <w:sz w:val="24"/>
          <w:szCs w:val="24"/>
          <w:vertAlign w:val="superscript"/>
        </w:rPr>
        <w:footnoteReference w:id="3"/>
      </w:r>
      <w:r w:rsidRPr="00E85D7F">
        <w:rPr>
          <w:sz w:val="24"/>
          <w:szCs w:val="24"/>
        </w:rPr>
        <w:t xml:space="preserve">  Therefore, the Complainant is deemed to have received these documents and had sufficient notice of the Commission’s procedures and notice of the location, date and time of the scheduled hearing.</w:t>
      </w:r>
    </w:p>
    <w:p w:rsidR="00E85D7F" w:rsidRPr="00E85D7F" w:rsidRDefault="00E85D7F" w:rsidP="00E85D7F">
      <w:pPr>
        <w:spacing w:line="360" w:lineRule="auto"/>
        <w:ind w:firstLine="1440"/>
        <w:rPr>
          <w:sz w:val="24"/>
          <w:szCs w:val="24"/>
        </w:rPr>
      </w:pPr>
    </w:p>
    <w:p w:rsidR="00E85D7F" w:rsidRDefault="00E85D7F" w:rsidP="00E85D7F">
      <w:pPr>
        <w:spacing w:line="360" w:lineRule="auto"/>
        <w:ind w:firstLine="1440"/>
        <w:rPr>
          <w:sz w:val="24"/>
          <w:szCs w:val="24"/>
        </w:rPr>
      </w:pPr>
      <w:r w:rsidRPr="00E85D7F">
        <w:rPr>
          <w:sz w:val="24"/>
          <w:szCs w:val="24"/>
        </w:rPr>
        <w:t xml:space="preserve">Section 332(a) of the Public Utility Code places the burden of proof upon the proponent of a rule or order.  As the proponent of a rule or order, the Complainant has the burden </w:t>
      </w:r>
      <w:r w:rsidRPr="00E85D7F">
        <w:rPr>
          <w:sz w:val="24"/>
          <w:szCs w:val="24"/>
        </w:rPr>
        <w:lastRenderedPageBreak/>
        <w:t>of demonstrati</w:t>
      </w:r>
      <w:r w:rsidR="004B2B98">
        <w:rPr>
          <w:sz w:val="24"/>
          <w:szCs w:val="24"/>
        </w:rPr>
        <w:t xml:space="preserve">ng that the facts alleged in his complaint are true and that </w:t>
      </w:r>
      <w:r w:rsidRPr="00E85D7F">
        <w:rPr>
          <w:sz w:val="24"/>
          <w:szCs w:val="24"/>
        </w:rPr>
        <w:t xml:space="preserve">he </w:t>
      </w:r>
      <w:r w:rsidR="004B2B98">
        <w:rPr>
          <w:sz w:val="24"/>
          <w:szCs w:val="24"/>
        </w:rPr>
        <w:t xml:space="preserve">is entitled to the relief that </w:t>
      </w:r>
      <w:r w:rsidRPr="00E85D7F">
        <w:rPr>
          <w:sz w:val="24"/>
          <w:szCs w:val="24"/>
        </w:rPr>
        <w:t>he has requested.</w:t>
      </w:r>
    </w:p>
    <w:p w:rsidR="00E85D7F" w:rsidRPr="00E85D7F" w:rsidRDefault="00E85D7F" w:rsidP="00E85D7F">
      <w:pPr>
        <w:spacing w:line="360" w:lineRule="auto"/>
        <w:ind w:firstLine="1440"/>
        <w:rPr>
          <w:sz w:val="24"/>
          <w:szCs w:val="24"/>
        </w:rPr>
      </w:pPr>
    </w:p>
    <w:p w:rsidR="00E85D7F" w:rsidRPr="00E85D7F" w:rsidRDefault="00E85D7F" w:rsidP="00E85D7F">
      <w:pPr>
        <w:spacing w:line="360" w:lineRule="auto"/>
        <w:ind w:firstLine="1440"/>
        <w:rPr>
          <w:sz w:val="24"/>
          <w:szCs w:val="24"/>
        </w:rPr>
      </w:pPr>
      <w:r w:rsidRPr="00E85D7F">
        <w:rPr>
          <w:sz w:val="24"/>
          <w:szCs w:val="24"/>
        </w:rPr>
        <w:t>By not appearing for the scheduled hearing to present evidence, the Complainant failed to meet h</w:t>
      </w:r>
      <w:r w:rsidR="004B2B98">
        <w:rPr>
          <w:sz w:val="24"/>
          <w:szCs w:val="24"/>
        </w:rPr>
        <w:t>is</w:t>
      </w:r>
      <w:r w:rsidRPr="00E85D7F">
        <w:rPr>
          <w:sz w:val="24"/>
          <w:szCs w:val="24"/>
        </w:rPr>
        <w:t xml:space="preserve"> burden of proof.  Consequently, the complaint must be dismissed.  The </w:t>
      </w:r>
    </w:p>
    <w:p w:rsidR="00E85D7F" w:rsidRDefault="00E85D7F" w:rsidP="00E85D7F">
      <w:pPr>
        <w:spacing w:line="360" w:lineRule="auto"/>
        <w:rPr>
          <w:sz w:val="24"/>
          <w:szCs w:val="24"/>
        </w:rPr>
      </w:pPr>
      <w:r w:rsidRPr="00E85D7F">
        <w:rPr>
          <w:sz w:val="24"/>
          <w:szCs w:val="24"/>
        </w:rPr>
        <w:t xml:space="preserve">Complainant was notified of the scheduled hearing location, date and time, as well as how to contact the Office of Administrative Law Judge.  When the Complainant did contact the office, he was provided with specific instructions for requesting a continuance. </w:t>
      </w:r>
      <w:r>
        <w:rPr>
          <w:sz w:val="24"/>
          <w:szCs w:val="24"/>
        </w:rPr>
        <w:t xml:space="preserve"> </w:t>
      </w:r>
      <w:r w:rsidRPr="00E85D7F">
        <w:rPr>
          <w:sz w:val="24"/>
          <w:szCs w:val="24"/>
        </w:rPr>
        <w:t>He failed to follow the instructions provided and did not submit a written request which included a detailed reason why he could not appear.</w:t>
      </w:r>
      <w:r w:rsidRPr="00E85D7F">
        <w:rPr>
          <w:rStyle w:val="FootnoteReference"/>
          <w:sz w:val="24"/>
          <w:szCs w:val="24"/>
        </w:rPr>
        <w:footnoteReference w:id="4"/>
      </w:r>
      <w:r w:rsidRPr="00E85D7F">
        <w:rPr>
          <w:sz w:val="24"/>
          <w:szCs w:val="24"/>
        </w:rPr>
        <w:t xml:space="preserve">  Under these circumstances, the Complainant had ample opportunity to appear and be heard in this proceeding, but voluntarily chose not to do so.  Therefore, the due process rights of the Complaina</w:t>
      </w:r>
      <w:r>
        <w:rPr>
          <w:sz w:val="24"/>
          <w:szCs w:val="24"/>
        </w:rPr>
        <w:t xml:space="preserve">nt have been fully protected.  </w:t>
      </w:r>
      <w:r w:rsidRPr="00E85D7F">
        <w:rPr>
          <w:sz w:val="24"/>
          <w:szCs w:val="24"/>
        </w:rPr>
        <w:t>The motion to dismiss of Penn Power is granted and the complaint is dismissed with prejudice.</w:t>
      </w:r>
    </w:p>
    <w:p w:rsidR="00E85D7F" w:rsidRPr="00E85D7F" w:rsidRDefault="00E85D7F" w:rsidP="00E85D7F">
      <w:pPr>
        <w:spacing w:line="360" w:lineRule="auto"/>
        <w:rPr>
          <w:sz w:val="24"/>
          <w:szCs w:val="24"/>
        </w:rPr>
      </w:pPr>
    </w:p>
    <w:p w:rsidR="00E85D7F" w:rsidRDefault="00E85D7F" w:rsidP="00E85D7F">
      <w:pPr>
        <w:spacing w:line="360" w:lineRule="auto"/>
        <w:jc w:val="center"/>
        <w:rPr>
          <w:sz w:val="24"/>
          <w:szCs w:val="24"/>
          <w:u w:val="single"/>
        </w:rPr>
      </w:pPr>
      <w:r w:rsidRPr="00E85D7F">
        <w:rPr>
          <w:sz w:val="24"/>
          <w:szCs w:val="24"/>
          <w:u w:val="single"/>
        </w:rPr>
        <w:t>CONCLUSIONS OF LAW</w:t>
      </w:r>
    </w:p>
    <w:p w:rsidR="00E85D7F" w:rsidRPr="00E85D7F" w:rsidRDefault="00E85D7F" w:rsidP="00E85D7F">
      <w:pPr>
        <w:spacing w:line="360" w:lineRule="auto"/>
        <w:jc w:val="center"/>
        <w:rPr>
          <w:sz w:val="24"/>
          <w:szCs w:val="24"/>
          <w:u w:val="single"/>
        </w:rPr>
      </w:pPr>
    </w:p>
    <w:p w:rsidR="00E85D7F" w:rsidRPr="00E85D7F" w:rsidRDefault="00E85D7F" w:rsidP="00E85D7F">
      <w:pPr>
        <w:spacing w:line="360" w:lineRule="auto"/>
        <w:ind w:firstLine="1440"/>
        <w:rPr>
          <w:sz w:val="24"/>
          <w:szCs w:val="24"/>
        </w:rPr>
      </w:pPr>
      <w:r w:rsidRPr="00E85D7F">
        <w:rPr>
          <w:sz w:val="24"/>
          <w:szCs w:val="24"/>
        </w:rPr>
        <w:t>1.</w:t>
      </w:r>
      <w:r w:rsidRPr="00E85D7F">
        <w:rPr>
          <w:sz w:val="24"/>
          <w:szCs w:val="24"/>
        </w:rPr>
        <w:tab/>
        <w:t>The due process rights of the Complainant have been fully protected</w:t>
      </w:r>
      <w:r w:rsidR="00EA3257">
        <w:rPr>
          <w:sz w:val="24"/>
          <w:szCs w:val="24"/>
        </w:rPr>
        <w:t xml:space="preserve">.  </w:t>
      </w:r>
      <w:proofErr w:type="gramStart"/>
      <w:r w:rsidRPr="00E85D7F">
        <w:rPr>
          <w:i/>
          <w:sz w:val="24"/>
          <w:szCs w:val="24"/>
        </w:rPr>
        <w:t>Schneider v. Pennsylvania Pub.</w:t>
      </w:r>
      <w:proofErr w:type="gramEnd"/>
      <w:r w:rsidRPr="00E85D7F">
        <w:rPr>
          <w:i/>
          <w:sz w:val="24"/>
          <w:szCs w:val="24"/>
        </w:rPr>
        <w:t xml:space="preserve"> Util. Comm’n.,</w:t>
      </w:r>
      <w:r w:rsidRPr="00E85D7F">
        <w:rPr>
          <w:sz w:val="24"/>
          <w:szCs w:val="24"/>
        </w:rPr>
        <w:t xml:space="preserve"> 479 A.2d 10 (Pa. Cmwlth. 1984).</w:t>
      </w:r>
    </w:p>
    <w:p w:rsidR="00E85D7F" w:rsidRDefault="00E85D7F" w:rsidP="00E85D7F">
      <w:pPr>
        <w:spacing w:line="360" w:lineRule="auto"/>
        <w:ind w:firstLine="1440"/>
        <w:rPr>
          <w:sz w:val="24"/>
          <w:szCs w:val="24"/>
        </w:rPr>
      </w:pPr>
    </w:p>
    <w:p w:rsidR="00E85D7F" w:rsidRPr="00E85D7F" w:rsidRDefault="00E85D7F" w:rsidP="00E85D7F">
      <w:pPr>
        <w:spacing w:line="360" w:lineRule="auto"/>
        <w:ind w:firstLine="1440"/>
        <w:rPr>
          <w:sz w:val="24"/>
          <w:szCs w:val="24"/>
        </w:rPr>
      </w:pPr>
      <w:r w:rsidRPr="00E85D7F">
        <w:rPr>
          <w:sz w:val="24"/>
          <w:szCs w:val="24"/>
        </w:rPr>
        <w:t>2.</w:t>
      </w:r>
      <w:r w:rsidRPr="00E85D7F">
        <w:rPr>
          <w:sz w:val="24"/>
          <w:szCs w:val="24"/>
        </w:rPr>
        <w:tab/>
        <w:t>By failing to appear at h</w:t>
      </w:r>
      <w:r w:rsidR="004B2B98">
        <w:rPr>
          <w:sz w:val="24"/>
          <w:szCs w:val="24"/>
        </w:rPr>
        <w:t>is</w:t>
      </w:r>
      <w:r w:rsidRPr="00E85D7F">
        <w:rPr>
          <w:sz w:val="24"/>
          <w:szCs w:val="24"/>
        </w:rPr>
        <w:t xml:space="preserve"> scheduled hearing the Complainant has waived h</w:t>
      </w:r>
      <w:r w:rsidR="004B2B98">
        <w:rPr>
          <w:sz w:val="24"/>
          <w:szCs w:val="24"/>
        </w:rPr>
        <w:t>is</w:t>
      </w:r>
      <w:r w:rsidRPr="00E85D7F">
        <w:rPr>
          <w:sz w:val="24"/>
          <w:szCs w:val="24"/>
        </w:rPr>
        <w:t xml:space="preserve"> claims and has failed to sustain h</w:t>
      </w:r>
      <w:r w:rsidR="004B2B98">
        <w:rPr>
          <w:sz w:val="24"/>
          <w:szCs w:val="24"/>
        </w:rPr>
        <w:t>is</w:t>
      </w:r>
      <w:r w:rsidRPr="00E85D7F">
        <w:rPr>
          <w:sz w:val="24"/>
          <w:szCs w:val="24"/>
        </w:rPr>
        <w:t xml:space="preserve"> burden of proof.  66 Pa.C.S. § 332(f).</w:t>
      </w:r>
    </w:p>
    <w:p w:rsidR="00E85D7F" w:rsidRDefault="00E85D7F" w:rsidP="00E85D7F">
      <w:pPr>
        <w:spacing w:line="360" w:lineRule="auto"/>
        <w:jc w:val="center"/>
        <w:rPr>
          <w:spacing w:val="-3"/>
          <w:sz w:val="24"/>
          <w:szCs w:val="24"/>
          <w:u w:val="single"/>
        </w:rPr>
      </w:pPr>
    </w:p>
    <w:p w:rsidR="00E85D7F" w:rsidRDefault="00E85D7F" w:rsidP="00E85D7F">
      <w:pPr>
        <w:spacing w:line="360" w:lineRule="auto"/>
        <w:jc w:val="center"/>
        <w:rPr>
          <w:spacing w:val="-3"/>
          <w:sz w:val="24"/>
          <w:szCs w:val="24"/>
          <w:u w:val="single"/>
        </w:rPr>
      </w:pPr>
    </w:p>
    <w:p w:rsidR="00E85D7F" w:rsidRDefault="00E85D7F">
      <w:pPr>
        <w:rPr>
          <w:spacing w:val="-3"/>
          <w:sz w:val="24"/>
          <w:szCs w:val="24"/>
          <w:u w:val="single"/>
        </w:rPr>
      </w:pPr>
      <w:r>
        <w:rPr>
          <w:spacing w:val="-3"/>
          <w:sz w:val="24"/>
          <w:szCs w:val="24"/>
          <w:u w:val="single"/>
        </w:rPr>
        <w:br w:type="page"/>
      </w:r>
    </w:p>
    <w:p w:rsidR="00E85D7F" w:rsidRPr="00E85D7F" w:rsidRDefault="00E85D7F" w:rsidP="00E85D7F">
      <w:pPr>
        <w:spacing w:line="360" w:lineRule="auto"/>
        <w:jc w:val="center"/>
        <w:rPr>
          <w:sz w:val="24"/>
          <w:szCs w:val="24"/>
        </w:rPr>
      </w:pPr>
      <w:r w:rsidRPr="00E85D7F">
        <w:rPr>
          <w:spacing w:val="-3"/>
          <w:sz w:val="24"/>
          <w:szCs w:val="24"/>
          <w:u w:val="single"/>
        </w:rPr>
        <w:lastRenderedPageBreak/>
        <w:t>ORDER</w:t>
      </w:r>
    </w:p>
    <w:p w:rsidR="00E85D7F" w:rsidRPr="00E85D7F" w:rsidRDefault="00E85D7F" w:rsidP="00E85D7F">
      <w:pPr>
        <w:tabs>
          <w:tab w:val="left" w:pos="-1440"/>
          <w:tab w:val="left" w:pos="-720"/>
        </w:tabs>
        <w:suppressAutoHyphens/>
        <w:spacing w:line="360" w:lineRule="auto"/>
        <w:rPr>
          <w:spacing w:val="-3"/>
          <w:sz w:val="24"/>
          <w:szCs w:val="24"/>
        </w:rPr>
      </w:pPr>
    </w:p>
    <w:p w:rsidR="00E85D7F" w:rsidRDefault="00E85D7F" w:rsidP="00E85D7F">
      <w:pPr>
        <w:tabs>
          <w:tab w:val="left" w:pos="-1440"/>
          <w:tab w:val="left" w:pos="-720"/>
        </w:tabs>
        <w:suppressAutoHyphens/>
        <w:spacing w:line="360" w:lineRule="auto"/>
        <w:rPr>
          <w:spacing w:val="-3"/>
          <w:sz w:val="24"/>
          <w:szCs w:val="24"/>
        </w:rPr>
      </w:pPr>
    </w:p>
    <w:p w:rsidR="00E85D7F" w:rsidRPr="00E85D7F" w:rsidRDefault="00E85D7F" w:rsidP="00E85D7F">
      <w:pPr>
        <w:tabs>
          <w:tab w:val="left" w:pos="-1440"/>
          <w:tab w:val="left" w:pos="-720"/>
        </w:tabs>
        <w:suppressAutoHyphens/>
        <w:spacing w:line="360" w:lineRule="auto"/>
        <w:ind w:firstLine="1440"/>
        <w:rPr>
          <w:spacing w:val="-3"/>
          <w:sz w:val="24"/>
          <w:szCs w:val="24"/>
        </w:rPr>
      </w:pPr>
      <w:r w:rsidRPr="00E85D7F">
        <w:rPr>
          <w:spacing w:val="-3"/>
          <w:sz w:val="24"/>
          <w:szCs w:val="24"/>
        </w:rPr>
        <w:t>THEREFORE,</w:t>
      </w:r>
    </w:p>
    <w:p w:rsidR="00E85D7F" w:rsidRPr="00E85D7F" w:rsidRDefault="00E85D7F" w:rsidP="00E85D7F">
      <w:pPr>
        <w:tabs>
          <w:tab w:val="left" w:pos="-1440"/>
          <w:tab w:val="left" w:pos="-720"/>
        </w:tabs>
        <w:suppressAutoHyphens/>
        <w:spacing w:line="360" w:lineRule="auto"/>
        <w:ind w:firstLine="1440"/>
        <w:rPr>
          <w:spacing w:val="-3"/>
          <w:sz w:val="24"/>
          <w:szCs w:val="24"/>
        </w:rPr>
      </w:pPr>
    </w:p>
    <w:p w:rsidR="00E85D7F" w:rsidRPr="00E85D7F" w:rsidRDefault="00E85D7F" w:rsidP="00E85D7F">
      <w:pPr>
        <w:tabs>
          <w:tab w:val="left" w:pos="-1440"/>
          <w:tab w:val="left" w:pos="-720"/>
        </w:tabs>
        <w:suppressAutoHyphens/>
        <w:spacing w:line="360" w:lineRule="auto"/>
        <w:ind w:firstLine="1440"/>
        <w:rPr>
          <w:spacing w:val="-3"/>
          <w:sz w:val="24"/>
          <w:szCs w:val="24"/>
        </w:rPr>
      </w:pPr>
      <w:r w:rsidRPr="00E85D7F">
        <w:rPr>
          <w:spacing w:val="-3"/>
          <w:sz w:val="24"/>
          <w:szCs w:val="24"/>
        </w:rPr>
        <w:t>IT IS ORDERED:</w:t>
      </w:r>
    </w:p>
    <w:p w:rsidR="00E85D7F" w:rsidRPr="00E85D7F" w:rsidRDefault="00E85D7F" w:rsidP="00E85D7F">
      <w:pPr>
        <w:tabs>
          <w:tab w:val="left" w:pos="-1440"/>
          <w:tab w:val="left" w:pos="-720"/>
        </w:tabs>
        <w:suppressAutoHyphens/>
        <w:spacing w:line="360" w:lineRule="auto"/>
        <w:rPr>
          <w:spacing w:val="-3"/>
          <w:sz w:val="24"/>
          <w:szCs w:val="24"/>
        </w:rPr>
      </w:pPr>
    </w:p>
    <w:p w:rsidR="00E85D7F" w:rsidRPr="00E85D7F" w:rsidRDefault="00E85D7F" w:rsidP="00E85D7F">
      <w:pPr>
        <w:tabs>
          <w:tab w:val="left" w:pos="-1440"/>
          <w:tab w:val="left" w:pos="-720"/>
        </w:tabs>
        <w:suppressAutoHyphens/>
        <w:spacing w:line="360" w:lineRule="auto"/>
        <w:ind w:firstLine="1440"/>
        <w:rPr>
          <w:spacing w:val="-3"/>
          <w:sz w:val="24"/>
          <w:szCs w:val="24"/>
        </w:rPr>
      </w:pPr>
      <w:r w:rsidRPr="00E85D7F">
        <w:rPr>
          <w:spacing w:val="-3"/>
          <w:sz w:val="24"/>
          <w:szCs w:val="24"/>
        </w:rPr>
        <w:t>1.</w:t>
      </w:r>
      <w:r w:rsidRPr="00E85D7F">
        <w:rPr>
          <w:spacing w:val="-3"/>
          <w:sz w:val="24"/>
          <w:szCs w:val="24"/>
        </w:rPr>
        <w:tab/>
        <w:t>Th</w:t>
      </w:r>
      <w:r w:rsidR="00930D17">
        <w:rPr>
          <w:spacing w:val="-3"/>
          <w:sz w:val="24"/>
          <w:szCs w:val="24"/>
        </w:rPr>
        <w:t>at th</w:t>
      </w:r>
      <w:r w:rsidRPr="00E85D7F">
        <w:rPr>
          <w:spacing w:val="-3"/>
          <w:sz w:val="24"/>
          <w:szCs w:val="24"/>
        </w:rPr>
        <w:t>e motion to dismiss the complaint of Daniel Roberts at PUC Docket No. C-2013-2375402 by Pennsylvania Power Company is granted.</w:t>
      </w:r>
    </w:p>
    <w:p w:rsidR="00E85D7F" w:rsidRDefault="00E85D7F" w:rsidP="00E85D7F">
      <w:pPr>
        <w:tabs>
          <w:tab w:val="left" w:pos="-1440"/>
          <w:tab w:val="left" w:pos="-720"/>
        </w:tabs>
        <w:suppressAutoHyphens/>
        <w:spacing w:line="360" w:lineRule="auto"/>
        <w:ind w:firstLine="1440"/>
        <w:rPr>
          <w:spacing w:val="-3"/>
          <w:sz w:val="24"/>
          <w:szCs w:val="24"/>
        </w:rPr>
      </w:pPr>
    </w:p>
    <w:p w:rsidR="00E85D7F" w:rsidRDefault="00E85D7F" w:rsidP="00E85D7F">
      <w:pPr>
        <w:tabs>
          <w:tab w:val="left" w:pos="-1440"/>
          <w:tab w:val="left" w:pos="-720"/>
        </w:tabs>
        <w:suppressAutoHyphens/>
        <w:spacing w:line="360" w:lineRule="auto"/>
        <w:ind w:firstLine="1440"/>
        <w:rPr>
          <w:spacing w:val="-3"/>
          <w:sz w:val="24"/>
          <w:szCs w:val="24"/>
        </w:rPr>
      </w:pPr>
      <w:r w:rsidRPr="00E85D7F">
        <w:rPr>
          <w:spacing w:val="-3"/>
          <w:sz w:val="24"/>
          <w:szCs w:val="24"/>
        </w:rPr>
        <w:t>2.</w:t>
      </w:r>
      <w:r w:rsidRPr="00E85D7F">
        <w:rPr>
          <w:spacing w:val="-3"/>
          <w:sz w:val="24"/>
          <w:szCs w:val="24"/>
        </w:rPr>
        <w:tab/>
        <w:t>That the complaint of Daniel Roberts against Pennsylvania Power Company at PUC Docket No. C-2013-2375402 is dismissed with prejudice.</w:t>
      </w:r>
    </w:p>
    <w:p w:rsidR="00EA3257" w:rsidRDefault="00EA3257" w:rsidP="00E85D7F">
      <w:pPr>
        <w:tabs>
          <w:tab w:val="left" w:pos="-1440"/>
          <w:tab w:val="left" w:pos="-720"/>
        </w:tabs>
        <w:suppressAutoHyphens/>
        <w:spacing w:line="360" w:lineRule="auto"/>
        <w:ind w:firstLine="1440"/>
        <w:rPr>
          <w:spacing w:val="-3"/>
          <w:sz w:val="24"/>
          <w:szCs w:val="24"/>
        </w:rPr>
      </w:pPr>
    </w:p>
    <w:p w:rsidR="00EA3257" w:rsidRPr="00E85D7F" w:rsidRDefault="00EA3257" w:rsidP="00E85D7F">
      <w:pPr>
        <w:tabs>
          <w:tab w:val="left" w:pos="-1440"/>
          <w:tab w:val="left" w:pos="-720"/>
        </w:tabs>
        <w:suppressAutoHyphens/>
        <w:spacing w:line="360" w:lineRule="auto"/>
        <w:ind w:firstLine="1440"/>
        <w:rPr>
          <w:spacing w:val="-3"/>
          <w:sz w:val="24"/>
          <w:szCs w:val="24"/>
        </w:rPr>
      </w:pPr>
      <w:r>
        <w:rPr>
          <w:spacing w:val="-3"/>
          <w:sz w:val="24"/>
          <w:szCs w:val="24"/>
        </w:rPr>
        <w:t>3.</w:t>
      </w:r>
      <w:r>
        <w:rPr>
          <w:spacing w:val="-3"/>
          <w:sz w:val="24"/>
          <w:szCs w:val="24"/>
        </w:rPr>
        <w:tab/>
        <w:t xml:space="preserve">That the Secretary </w:t>
      </w:r>
      <w:proofErr w:type="gramStart"/>
      <w:r>
        <w:rPr>
          <w:spacing w:val="-3"/>
          <w:sz w:val="24"/>
          <w:szCs w:val="24"/>
        </w:rPr>
        <w:t>mark</w:t>
      </w:r>
      <w:proofErr w:type="gramEnd"/>
      <w:r>
        <w:rPr>
          <w:spacing w:val="-3"/>
          <w:sz w:val="24"/>
          <w:szCs w:val="24"/>
        </w:rPr>
        <w:t xml:space="preserve"> the docket at C-2013-2375402 closed and discontinued.</w:t>
      </w:r>
    </w:p>
    <w:p w:rsidR="00F06152" w:rsidRPr="00A03D6F" w:rsidRDefault="00F06152" w:rsidP="00A56C8F">
      <w:pPr>
        <w:tabs>
          <w:tab w:val="left" w:pos="0"/>
        </w:tabs>
        <w:spacing w:line="360" w:lineRule="auto"/>
        <w:jc w:val="both"/>
        <w:rPr>
          <w:sz w:val="24"/>
        </w:rPr>
      </w:pPr>
    </w:p>
    <w:p w:rsidR="00D52F64" w:rsidRPr="00A03D6F" w:rsidRDefault="00D52F64" w:rsidP="00A56C8F">
      <w:pPr>
        <w:tabs>
          <w:tab w:val="left" w:pos="0"/>
        </w:tabs>
        <w:spacing w:line="360" w:lineRule="auto"/>
        <w:jc w:val="both"/>
        <w:rPr>
          <w:sz w:val="24"/>
        </w:rPr>
      </w:pPr>
    </w:p>
    <w:p w:rsidR="00D910DF" w:rsidRDefault="00D910DF" w:rsidP="00D910DF">
      <w:pPr>
        <w:tabs>
          <w:tab w:val="left" w:pos="0"/>
        </w:tabs>
        <w:jc w:val="both"/>
        <w:rPr>
          <w:sz w:val="24"/>
          <w:szCs w:val="24"/>
          <w:u w:val="single"/>
        </w:rPr>
      </w:pPr>
      <w:r>
        <w:rPr>
          <w:sz w:val="24"/>
          <w:szCs w:val="24"/>
        </w:rPr>
        <w:t xml:space="preserve">Date:  </w:t>
      </w:r>
      <w:r>
        <w:rPr>
          <w:sz w:val="24"/>
          <w:szCs w:val="24"/>
          <w:u w:val="single"/>
        </w:rPr>
        <w:t>October 4, 2013</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rsidR="00D910DF" w:rsidRDefault="00D910DF" w:rsidP="00D910DF">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Mary D. Long</w:t>
      </w:r>
    </w:p>
    <w:p w:rsidR="00D910DF" w:rsidRDefault="00D910DF" w:rsidP="00D910DF">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85D7F" w:rsidRDefault="00E85D7F" w:rsidP="00397C76">
      <w:pPr>
        <w:tabs>
          <w:tab w:val="left" w:pos="0"/>
        </w:tabs>
        <w:jc w:val="both"/>
        <w:rPr>
          <w:sz w:val="24"/>
        </w:rPr>
      </w:pPr>
    </w:p>
    <w:sectPr w:rsidR="00E85D7F" w:rsidSect="00E85D7F">
      <w:footerReference w:type="even" r:id="rId9"/>
      <w:footerReference w:type="default" r:id="rId10"/>
      <w:pgSz w:w="12240" w:h="15840" w:code="1"/>
      <w:pgMar w:top="1440" w:right="1440" w:bottom="1440" w:left="1440" w:header="144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E0" w:rsidRDefault="000E5AE0">
      <w:r>
        <w:separator/>
      </w:r>
    </w:p>
  </w:endnote>
  <w:endnote w:type="continuationSeparator" w:id="0">
    <w:p w:rsidR="000E5AE0" w:rsidRDefault="000E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B46CCF">
      <w:rPr>
        <w:rStyle w:val="PageNumber"/>
        <w:noProof/>
      </w:rPr>
      <w:t>5</w:t>
    </w:r>
    <w:r>
      <w:rPr>
        <w:rStyle w:val="PageNumber"/>
      </w:rPr>
      <w:fldChar w:fldCharType="end"/>
    </w:r>
  </w:p>
  <w:p w:rsidR="00654273" w:rsidRDefault="0065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E0" w:rsidRDefault="000E5AE0">
      <w:r>
        <w:separator/>
      </w:r>
    </w:p>
  </w:footnote>
  <w:footnote w:type="continuationSeparator" w:id="0">
    <w:p w:rsidR="000E5AE0" w:rsidRDefault="000E5AE0">
      <w:r>
        <w:continuationSeparator/>
      </w:r>
    </w:p>
  </w:footnote>
  <w:footnote w:id="1">
    <w:p w:rsidR="00161C95" w:rsidRPr="00793C9C" w:rsidRDefault="00161C95" w:rsidP="00161C95">
      <w:pPr>
        <w:pStyle w:val="FootnoteText"/>
        <w:spacing w:after="0"/>
        <w:ind w:firstLine="720"/>
      </w:pPr>
      <w:r w:rsidRPr="00793C9C">
        <w:rPr>
          <w:rStyle w:val="FootnoteReference"/>
        </w:rPr>
        <w:footnoteRef/>
      </w:r>
      <w:r w:rsidRPr="00793C9C">
        <w:t xml:space="preserve"> </w:t>
      </w:r>
      <w:r w:rsidRPr="00793C9C">
        <w:tab/>
      </w:r>
      <w:r w:rsidRPr="00781ADA">
        <w:rPr>
          <w:i/>
        </w:rPr>
        <w:t>Schneider v. Pennsylvania Pub. Util. Comm’n</w:t>
      </w:r>
      <w:r w:rsidRPr="00793C9C">
        <w:t>., 479 A.2d 10 (Pa. Cmwlth. 1984).</w:t>
      </w:r>
    </w:p>
    <w:p w:rsidR="00161C95" w:rsidRPr="00793C9C" w:rsidRDefault="00161C95" w:rsidP="00161C95">
      <w:pPr>
        <w:pStyle w:val="FootnoteText"/>
        <w:spacing w:after="0"/>
      </w:pPr>
    </w:p>
  </w:footnote>
  <w:footnote w:id="2">
    <w:p w:rsidR="00161C95" w:rsidRPr="00793C9C" w:rsidRDefault="00161C95" w:rsidP="00161C95">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161C95" w:rsidRPr="00793C9C" w:rsidRDefault="00161C95" w:rsidP="00161C95">
      <w:pPr>
        <w:pStyle w:val="FootnoteText"/>
        <w:spacing w:after="0"/>
      </w:pPr>
    </w:p>
  </w:footnote>
  <w:footnote w:id="3">
    <w:p w:rsidR="00E85D7F" w:rsidRDefault="00E85D7F" w:rsidP="00E85D7F">
      <w:pPr>
        <w:pStyle w:val="FootnoteText"/>
        <w:ind w:firstLine="720"/>
      </w:pPr>
      <w:r>
        <w:rPr>
          <w:rStyle w:val="FootnoteReference"/>
        </w:rPr>
        <w:footnoteRef/>
      </w:r>
      <w:r>
        <w:t xml:space="preserve"> </w:t>
      </w:r>
      <w:r>
        <w:tab/>
      </w:r>
      <w:r>
        <w:rPr>
          <w:i/>
        </w:rPr>
        <w:t>Berkowitz v. Mayflower Securities, Inc</w:t>
      </w:r>
      <w:r>
        <w:t xml:space="preserve">., 455 Pa. 531, 317 A.2d 584 (1974); </w:t>
      </w:r>
      <w:r>
        <w:rPr>
          <w:i/>
        </w:rPr>
        <w:t>Chartiers Industrial and Commercial Dev. Auth. v. Allegheny County Bd. of Property Assessment Appeals and Rev</w:t>
      </w:r>
      <w:r>
        <w:t xml:space="preserve">., 645 A.2d 944 (Pa. Cmwlth. 1994); </w:t>
      </w:r>
      <w:r w:rsidR="004B2B98">
        <w:t xml:space="preserve">and </w:t>
      </w:r>
      <w:r>
        <w:rPr>
          <w:i/>
        </w:rPr>
        <w:t>Geary v. Verizon Pennsylvania Inc</w:t>
      </w:r>
      <w:r>
        <w:t xml:space="preserve">., Docket No. C-2009-2118625 (Commission Opinion and Order entered Sept. 16, 2010).  </w:t>
      </w:r>
    </w:p>
  </w:footnote>
  <w:footnote w:id="4">
    <w:p w:rsidR="00E85D7F" w:rsidRDefault="00E85D7F" w:rsidP="00E85D7F">
      <w:pPr>
        <w:pStyle w:val="FootnoteText"/>
        <w:ind w:firstLine="720"/>
      </w:pPr>
      <w:r>
        <w:rPr>
          <w:rStyle w:val="FootnoteReference"/>
        </w:rPr>
        <w:footnoteRef/>
      </w:r>
      <w:r>
        <w:t xml:space="preserve"> </w:t>
      </w:r>
      <w:r>
        <w:tab/>
        <w:t>52 Pa.Code § 1.15(b), provides that a request for a continuance should be made in writing five days in advance of the hearing and will only be considered upon good cause shown.  This instruction is also provided in Prehearing Order at ¶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lvl>
  </w:abstractNum>
  <w:abstractNum w:abstractNumId="3">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C43"/>
    <w:rsid w:val="00014C4F"/>
    <w:rsid w:val="00024DCC"/>
    <w:rsid w:val="00037BE6"/>
    <w:rsid w:val="00056EE7"/>
    <w:rsid w:val="000900E3"/>
    <w:rsid w:val="00095A72"/>
    <w:rsid w:val="000A22F9"/>
    <w:rsid w:val="000D50F2"/>
    <w:rsid w:val="000E52D3"/>
    <w:rsid w:val="000E5AE0"/>
    <w:rsid w:val="00103E8A"/>
    <w:rsid w:val="0012273D"/>
    <w:rsid w:val="001506D7"/>
    <w:rsid w:val="00150A2F"/>
    <w:rsid w:val="00161C95"/>
    <w:rsid w:val="00184F2A"/>
    <w:rsid w:val="001902E3"/>
    <w:rsid w:val="0019400A"/>
    <w:rsid w:val="001B1797"/>
    <w:rsid w:val="001B61F5"/>
    <w:rsid w:val="001D0C89"/>
    <w:rsid w:val="001D1F7D"/>
    <w:rsid w:val="001D418F"/>
    <w:rsid w:val="001D43E4"/>
    <w:rsid w:val="001D7F5A"/>
    <w:rsid w:val="001F11F8"/>
    <w:rsid w:val="001F27D0"/>
    <w:rsid w:val="001F65D7"/>
    <w:rsid w:val="00214B31"/>
    <w:rsid w:val="00215D02"/>
    <w:rsid w:val="0021685B"/>
    <w:rsid w:val="00221AD0"/>
    <w:rsid w:val="00243EA3"/>
    <w:rsid w:val="00293C4D"/>
    <w:rsid w:val="00295C93"/>
    <w:rsid w:val="002A6CBD"/>
    <w:rsid w:val="002A6DE7"/>
    <w:rsid w:val="002C5F54"/>
    <w:rsid w:val="002E06DD"/>
    <w:rsid w:val="002E35C7"/>
    <w:rsid w:val="002F7AC4"/>
    <w:rsid w:val="0034230C"/>
    <w:rsid w:val="00361600"/>
    <w:rsid w:val="00397C76"/>
    <w:rsid w:val="003B3FBC"/>
    <w:rsid w:val="003B4302"/>
    <w:rsid w:val="003D1D5E"/>
    <w:rsid w:val="003E4E24"/>
    <w:rsid w:val="003F0312"/>
    <w:rsid w:val="00402DE5"/>
    <w:rsid w:val="00412780"/>
    <w:rsid w:val="004400F0"/>
    <w:rsid w:val="00477560"/>
    <w:rsid w:val="0049223C"/>
    <w:rsid w:val="004B020A"/>
    <w:rsid w:val="004B0B15"/>
    <w:rsid w:val="004B2B98"/>
    <w:rsid w:val="004B6464"/>
    <w:rsid w:val="004C2128"/>
    <w:rsid w:val="004C3DB4"/>
    <w:rsid w:val="004C623B"/>
    <w:rsid w:val="004C70BF"/>
    <w:rsid w:val="004F3C7A"/>
    <w:rsid w:val="004F5506"/>
    <w:rsid w:val="004F587C"/>
    <w:rsid w:val="00520F7B"/>
    <w:rsid w:val="005353C8"/>
    <w:rsid w:val="00536E2B"/>
    <w:rsid w:val="005404D0"/>
    <w:rsid w:val="0056074E"/>
    <w:rsid w:val="00576552"/>
    <w:rsid w:val="00586FAE"/>
    <w:rsid w:val="00592F56"/>
    <w:rsid w:val="005F4513"/>
    <w:rsid w:val="005F723F"/>
    <w:rsid w:val="00600ECE"/>
    <w:rsid w:val="00632227"/>
    <w:rsid w:val="006335CB"/>
    <w:rsid w:val="00642B41"/>
    <w:rsid w:val="00654273"/>
    <w:rsid w:val="006816AE"/>
    <w:rsid w:val="006936E0"/>
    <w:rsid w:val="006954AE"/>
    <w:rsid w:val="0069655D"/>
    <w:rsid w:val="006B6992"/>
    <w:rsid w:val="006F100D"/>
    <w:rsid w:val="00713AAF"/>
    <w:rsid w:val="00724559"/>
    <w:rsid w:val="00724E27"/>
    <w:rsid w:val="0072627C"/>
    <w:rsid w:val="007322F7"/>
    <w:rsid w:val="00733C17"/>
    <w:rsid w:val="0073521D"/>
    <w:rsid w:val="0077153E"/>
    <w:rsid w:val="0078531F"/>
    <w:rsid w:val="007A0BF6"/>
    <w:rsid w:val="007A0CC7"/>
    <w:rsid w:val="007B28B5"/>
    <w:rsid w:val="007F42E6"/>
    <w:rsid w:val="00803743"/>
    <w:rsid w:val="00837034"/>
    <w:rsid w:val="00850CFA"/>
    <w:rsid w:val="00864BFD"/>
    <w:rsid w:val="008659A1"/>
    <w:rsid w:val="008702A2"/>
    <w:rsid w:val="00890F4F"/>
    <w:rsid w:val="008A3B75"/>
    <w:rsid w:val="008A4CCD"/>
    <w:rsid w:val="008B132B"/>
    <w:rsid w:val="008B7F1D"/>
    <w:rsid w:val="008F41C8"/>
    <w:rsid w:val="0092156D"/>
    <w:rsid w:val="00930D17"/>
    <w:rsid w:val="0093323E"/>
    <w:rsid w:val="00954BD4"/>
    <w:rsid w:val="00957EBC"/>
    <w:rsid w:val="00965663"/>
    <w:rsid w:val="00975953"/>
    <w:rsid w:val="0098526D"/>
    <w:rsid w:val="00997F90"/>
    <w:rsid w:val="009D0C65"/>
    <w:rsid w:val="009D0E11"/>
    <w:rsid w:val="009D6EC6"/>
    <w:rsid w:val="00A0342E"/>
    <w:rsid w:val="00A03D6F"/>
    <w:rsid w:val="00A1622D"/>
    <w:rsid w:val="00A22ECD"/>
    <w:rsid w:val="00A30925"/>
    <w:rsid w:val="00A40B81"/>
    <w:rsid w:val="00A53495"/>
    <w:rsid w:val="00A56C8F"/>
    <w:rsid w:val="00A7056A"/>
    <w:rsid w:val="00A750F3"/>
    <w:rsid w:val="00A806E3"/>
    <w:rsid w:val="00A845EE"/>
    <w:rsid w:val="00A91055"/>
    <w:rsid w:val="00A93BCB"/>
    <w:rsid w:val="00AA28C9"/>
    <w:rsid w:val="00AB4152"/>
    <w:rsid w:val="00AC4E85"/>
    <w:rsid w:val="00B02B8A"/>
    <w:rsid w:val="00B46CCF"/>
    <w:rsid w:val="00B741DB"/>
    <w:rsid w:val="00B75065"/>
    <w:rsid w:val="00B82BE8"/>
    <w:rsid w:val="00BA623E"/>
    <w:rsid w:val="00BF574B"/>
    <w:rsid w:val="00C0610A"/>
    <w:rsid w:val="00C36F93"/>
    <w:rsid w:val="00C529B6"/>
    <w:rsid w:val="00C81119"/>
    <w:rsid w:val="00C8269E"/>
    <w:rsid w:val="00CB1BE1"/>
    <w:rsid w:val="00CB52DC"/>
    <w:rsid w:val="00CB7FC5"/>
    <w:rsid w:val="00CD479C"/>
    <w:rsid w:val="00CE05C6"/>
    <w:rsid w:val="00D11CEF"/>
    <w:rsid w:val="00D31E41"/>
    <w:rsid w:val="00D33A87"/>
    <w:rsid w:val="00D52F64"/>
    <w:rsid w:val="00D60E67"/>
    <w:rsid w:val="00D76BBD"/>
    <w:rsid w:val="00D83B9E"/>
    <w:rsid w:val="00D858BF"/>
    <w:rsid w:val="00D910DF"/>
    <w:rsid w:val="00D91969"/>
    <w:rsid w:val="00D9501D"/>
    <w:rsid w:val="00D9746A"/>
    <w:rsid w:val="00DC0B72"/>
    <w:rsid w:val="00DC2602"/>
    <w:rsid w:val="00E06681"/>
    <w:rsid w:val="00E736D2"/>
    <w:rsid w:val="00E85D7F"/>
    <w:rsid w:val="00E94178"/>
    <w:rsid w:val="00EA3257"/>
    <w:rsid w:val="00EB78AF"/>
    <w:rsid w:val="00EF1E71"/>
    <w:rsid w:val="00F06152"/>
    <w:rsid w:val="00F55E18"/>
    <w:rsid w:val="00F800D0"/>
    <w:rsid w:val="00F84B20"/>
    <w:rsid w:val="00FA4AA7"/>
    <w:rsid w:val="00FB2B57"/>
    <w:rsid w:val="00FB3EBA"/>
    <w:rsid w:val="00FB61D2"/>
    <w:rsid w:val="00FD7B3C"/>
    <w:rsid w:val="00FE10E5"/>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customStyle="1" w:styleId="FootnoteTextChar">
    <w:name w:val="Footnote Text Char"/>
    <w:aliases w:val="Car Char"/>
    <w:basedOn w:val="DefaultParagraphFont"/>
    <w:link w:val="FootnoteText"/>
    <w:locked/>
    <w:rsid w:val="00E85D7F"/>
  </w:style>
  <w:style w:type="paragraph" w:styleId="FootnoteText">
    <w:name w:val="footnote text"/>
    <w:aliases w:val="Car"/>
    <w:link w:val="FootnoteTextChar"/>
    <w:unhideWhenUsed/>
    <w:qFormat/>
    <w:rsid w:val="00E85D7F"/>
    <w:pPr>
      <w:spacing w:after="120"/>
    </w:pPr>
  </w:style>
  <w:style w:type="character" w:customStyle="1" w:styleId="FootnoteTextChar1">
    <w:name w:val="Footnote Text Char1"/>
    <w:basedOn w:val="DefaultParagraphFont"/>
    <w:rsid w:val="00E85D7F"/>
  </w:style>
  <w:style w:type="character" w:styleId="FootnoteReference">
    <w:name w:val="footnote reference"/>
    <w:basedOn w:val="DefaultParagraphFont"/>
    <w:uiPriority w:val="99"/>
    <w:unhideWhenUsed/>
    <w:rsid w:val="00E85D7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customStyle="1" w:styleId="FootnoteTextChar">
    <w:name w:val="Footnote Text Char"/>
    <w:aliases w:val="Car Char"/>
    <w:basedOn w:val="DefaultParagraphFont"/>
    <w:link w:val="FootnoteText"/>
    <w:locked/>
    <w:rsid w:val="00E85D7F"/>
  </w:style>
  <w:style w:type="paragraph" w:styleId="FootnoteText">
    <w:name w:val="footnote text"/>
    <w:aliases w:val="Car"/>
    <w:link w:val="FootnoteTextChar"/>
    <w:unhideWhenUsed/>
    <w:qFormat/>
    <w:rsid w:val="00E85D7F"/>
    <w:pPr>
      <w:spacing w:after="120"/>
    </w:pPr>
  </w:style>
  <w:style w:type="character" w:customStyle="1" w:styleId="FootnoteTextChar1">
    <w:name w:val="Footnote Text Char1"/>
    <w:basedOn w:val="DefaultParagraphFont"/>
    <w:rsid w:val="00E85D7F"/>
  </w:style>
  <w:style w:type="character" w:styleId="FootnoteReference">
    <w:name w:val="footnote reference"/>
    <w:basedOn w:val="DefaultParagraphFont"/>
    <w:uiPriority w:val="99"/>
    <w:unhideWhenUsed/>
    <w:rsid w:val="00E85D7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568224695">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19012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11AE5-3D42-4778-9148-68FE9954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15</cp:revision>
  <cp:lastPrinted>2013-10-09T17:54:00Z</cp:lastPrinted>
  <dcterms:created xsi:type="dcterms:W3CDTF">2013-10-04T16:00:00Z</dcterms:created>
  <dcterms:modified xsi:type="dcterms:W3CDTF">2013-10-09T17:54:00Z</dcterms:modified>
</cp:coreProperties>
</file>