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CB0" w:rsidRPr="00884801" w:rsidRDefault="00FC7CB0" w:rsidP="00FC7CB0">
      <w:pPr>
        <w:jc w:val="center"/>
      </w:pPr>
      <w:r w:rsidRPr="00884801">
        <w:t>BEFORE THE</w:t>
      </w:r>
    </w:p>
    <w:p w:rsidR="00FC7CB0" w:rsidRPr="00884801" w:rsidRDefault="00FC7CB0" w:rsidP="00FC7CB0">
      <w:pPr>
        <w:jc w:val="center"/>
      </w:pPr>
      <w:r w:rsidRPr="00884801">
        <w:t>PENNSYLVANIA PUBLIC UTILITY COMMISSION</w:t>
      </w:r>
    </w:p>
    <w:p w:rsidR="00FC7CB0" w:rsidRPr="00884801" w:rsidRDefault="00FC7CB0" w:rsidP="00FC7CB0">
      <w:pPr>
        <w:jc w:val="center"/>
      </w:pPr>
    </w:p>
    <w:p w:rsidR="00FC7CB0" w:rsidRPr="00884801" w:rsidRDefault="00FC7CB0" w:rsidP="00FC7CB0">
      <w:pPr>
        <w:jc w:val="center"/>
      </w:pPr>
    </w:p>
    <w:p w:rsidR="00FC7CB0" w:rsidRPr="00884801" w:rsidRDefault="00FC7CB0" w:rsidP="00FC7CB0">
      <w:pPr>
        <w:spacing w:line="360" w:lineRule="auto"/>
      </w:pPr>
      <w:r w:rsidRPr="00884801">
        <w:t>MARK MAZZA</w:t>
      </w:r>
      <w:r w:rsidRPr="00884801">
        <w:tab/>
      </w:r>
      <w:r w:rsidRPr="00884801">
        <w:tab/>
      </w:r>
      <w:r w:rsidRPr="00884801">
        <w:tab/>
      </w:r>
      <w:r w:rsidRPr="00884801">
        <w:tab/>
        <w:t>:</w:t>
      </w:r>
    </w:p>
    <w:p w:rsidR="00FC7CB0" w:rsidRPr="00884801" w:rsidRDefault="00FC7CB0" w:rsidP="00FC7CB0">
      <w:pPr>
        <w:spacing w:line="360" w:lineRule="auto"/>
      </w:pPr>
      <w:r w:rsidRPr="00884801">
        <w:tab/>
      </w:r>
      <w:r w:rsidRPr="00884801">
        <w:tab/>
      </w:r>
      <w:r w:rsidRPr="00884801">
        <w:tab/>
      </w:r>
      <w:r w:rsidRPr="00884801">
        <w:tab/>
      </w:r>
      <w:r w:rsidRPr="00884801">
        <w:tab/>
      </w:r>
      <w:r w:rsidRPr="00884801">
        <w:tab/>
        <w:t>:</w:t>
      </w:r>
    </w:p>
    <w:p w:rsidR="00FC7CB0" w:rsidRPr="00884801" w:rsidRDefault="00FC7CB0" w:rsidP="00FC7CB0">
      <w:pPr>
        <w:spacing w:line="360" w:lineRule="auto"/>
      </w:pPr>
      <w:r w:rsidRPr="00884801">
        <w:tab/>
      </w:r>
      <w:r w:rsidRPr="00884801">
        <w:tab/>
        <w:t>v.</w:t>
      </w:r>
      <w:r w:rsidRPr="00884801">
        <w:tab/>
      </w:r>
      <w:r w:rsidRPr="00884801">
        <w:tab/>
      </w:r>
      <w:r w:rsidRPr="00884801">
        <w:tab/>
      </w:r>
      <w:r w:rsidRPr="00884801">
        <w:tab/>
        <w:t>:</w:t>
      </w:r>
      <w:r w:rsidRPr="00884801">
        <w:tab/>
        <w:t>C-2012-2318472</w:t>
      </w:r>
    </w:p>
    <w:p w:rsidR="00FC7CB0" w:rsidRPr="00884801" w:rsidRDefault="00FC7CB0" w:rsidP="00FC7CB0">
      <w:pPr>
        <w:spacing w:line="360" w:lineRule="auto"/>
      </w:pPr>
      <w:r w:rsidRPr="00884801">
        <w:tab/>
      </w:r>
      <w:r w:rsidRPr="00884801">
        <w:tab/>
      </w:r>
      <w:r w:rsidRPr="00884801">
        <w:tab/>
      </w:r>
      <w:r w:rsidRPr="00884801">
        <w:tab/>
      </w:r>
      <w:r w:rsidRPr="00884801">
        <w:tab/>
      </w:r>
      <w:r w:rsidRPr="00884801">
        <w:tab/>
        <w:t>:</w:t>
      </w:r>
    </w:p>
    <w:p w:rsidR="00FC7CB0" w:rsidRPr="00884801" w:rsidRDefault="00FC7CB0" w:rsidP="00FC7CB0">
      <w:pPr>
        <w:spacing w:line="360" w:lineRule="auto"/>
      </w:pPr>
      <w:r w:rsidRPr="00884801">
        <w:t>PECO ENERGY COMPANY</w:t>
      </w:r>
      <w:r w:rsidRPr="00884801">
        <w:tab/>
      </w:r>
      <w:r w:rsidRPr="00884801">
        <w:tab/>
        <w:t>:</w:t>
      </w:r>
      <w:r w:rsidRPr="00884801">
        <w:tab/>
      </w:r>
    </w:p>
    <w:p w:rsidR="00FC7CB0" w:rsidRPr="00884801" w:rsidRDefault="00FC7CB0" w:rsidP="00FC7CB0">
      <w:pPr>
        <w:spacing w:line="360" w:lineRule="auto"/>
      </w:pPr>
    </w:p>
    <w:p w:rsidR="00FC7CB0" w:rsidRPr="00884801" w:rsidRDefault="00C9477A" w:rsidP="00FC7CB0">
      <w:pPr>
        <w:jc w:val="center"/>
        <w:rPr>
          <w:b/>
          <w:u w:val="single"/>
        </w:rPr>
      </w:pPr>
      <w:r w:rsidRPr="00884801">
        <w:rPr>
          <w:b/>
        </w:rPr>
        <w:t>ORDER DENYING PECO ENERGY</w:t>
      </w:r>
      <w:r w:rsidR="00884801">
        <w:rPr>
          <w:b/>
        </w:rPr>
        <w:t xml:space="preserve"> COMPANY</w:t>
      </w:r>
      <w:r w:rsidRPr="00884801">
        <w:rPr>
          <w:b/>
        </w:rPr>
        <w:t>’S MOTION FOR SANCTIONS</w:t>
      </w:r>
    </w:p>
    <w:p w:rsidR="00FC7CB0" w:rsidRPr="00884801" w:rsidRDefault="00FC7CB0" w:rsidP="00FC7CB0"/>
    <w:p w:rsidR="00FC7CB0" w:rsidRPr="00884801" w:rsidRDefault="00FC7CB0" w:rsidP="00FC7CB0"/>
    <w:p w:rsidR="00C9477A" w:rsidRPr="00884801" w:rsidRDefault="00FC7CB0" w:rsidP="00FC7CB0">
      <w:pPr>
        <w:spacing w:line="360" w:lineRule="auto"/>
        <w:ind w:firstLine="1440"/>
      </w:pPr>
      <w:r w:rsidRPr="00884801">
        <w:t>PECO Energy Company (PECO or Respondent), file</w:t>
      </w:r>
      <w:r w:rsidR="00C9477A" w:rsidRPr="00884801">
        <w:t>d a</w:t>
      </w:r>
      <w:r w:rsidRPr="00884801">
        <w:t xml:space="preserve"> Motion for Sanctions requesting dismissal with prejudice of the Formal Complaint filed by Mark Mazza (Mr. Mazza or Complainant) for failure to respond to PECO’s discovery requests in violation of </w:t>
      </w:r>
      <w:r w:rsidR="00C9477A" w:rsidRPr="00884801">
        <w:t xml:space="preserve">a Procedural Order dated </w:t>
      </w:r>
      <w:r w:rsidRPr="00884801">
        <w:t>August 28, 2013</w:t>
      </w:r>
      <w:r w:rsidR="00C9477A" w:rsidRPr="00884801">
        <w:t xml:space="preserve">, which had </w:t>
      </w:r>
      <w:r w:rsidRPr="00884801">
        <w:t xml:space="preserve">granted PECO’s Motion to Compel and directed that Mr. Mazza supply the answers and documents to PECO on or before September 9, 2013.  </w:t>
      </w:r>
      <w:r w:rsidR="00884801">
        <w:t>Pursuant to 52 Pa. Code §5.371(c), said motion is denied for the following reasons.</w:t>
      </w:r>
    </w:p>
    <w:p w:rsidR="00C9477A" w:rsidRPr="00884801" w:rsidRDefault="00C9477A" w:rsidP="00FC7CB0">
      <w:pPr>
        <w:spacing w:line="360" w:lineRule="auto"/>
        <w:ind w:firstLine="1440"/>
      </w:pPr>
    </w:p>
    <w:p w:rsidR="00FC7CB0" w:rsidRPr="00884801" w:rsidRDefault="00FC7CB0" w:rsidP="00FC7CB0">
      <w:pPr>
        <w:spacing w:line="360" w:lineRule="auto"/>
      </w:pPr>
      <w:r w:rsidRPr="00884801">
        <w:tab/>
      </w:r>
      <w:r w:rsidRPr="00884801">
        <w:tab/>
        <w:t>On June 7, 2013, pursuant to 52 Pa. Code § 5.341, PECO served upon Complainant Discovery Requests, consisting of three brief interrogatories and two requests for documents.</w:t>
      </w:r>
      <w:r w:rsidR="00C9477A" w:rsidRPr="00884801">
        <w:t xml:space="preserve">  </w:t>
      </w:r>
      <w:r w:rsidRPr="00884801">
        <w:t>On June 17, 2013, Complainant filed with the Commission “Objections to PECO Energy Company’s Interrogatories and Request for Documents” (Objections); he failed to provide a copy to PECO as required by 52 Pa. Code § 5.342(e).</w:t>
      </w:r>
      <w:r w:rsidR="00C9477A" w:rsidRPr="00884801">
        <w:t xml:space="preserve">  </w:t>
      </w:r>
      <w:r w:rsidRPr="00884801">
        <w:t xml:space="preserve">On July 2, 2013, PECO filed and served a Motion to Compel, in which it addressed both the merits of the discovery issue as well as Mr. Mazza’s continuing pattern of </w:t>
      </w:r>
      <w:proofErr w:type="gramStart"/>
      <w:r w:rsidRPr="00884801">
        <w:t>misbehavior</w:t>
      </w:r>
      <w:proofErr w:type="gramEnd"/>
      <w:r w:rsidRPr="00884801">
        <w:t xml:space="preserve"> and abuse of the Commission’s complaint process.</w:t>
      </w:r>
    </w:p>
    <w:p w:rsidR="00FC7CB0" w:rsidRPr="00884801" w:rsidRDefault="00FC7CB0" w:rsidP="00FC7CB0">
      <w:pPr>
        <w:spacing w:line="360" w:lineRule="auto"/>
      </w:pPr>
    </w:p>
    <w:p w:rsidR="00FC7CB0" w:rsidRPr="00884801" w:rsidRDefault="00FC7CB0" w:rsidP="00FC7CB0">
      <w:pPr>
        <w:spacing w:line="360" w:lineRule="auto"/>
      </w:pPr>
      <w:r w:rsidRPr="00884801">
        <w:tab/>
      </w:r>
      <w:r w:rsidRPr="00884801">
        <w:tab/>
        <w:t>After consideration of oral argument presented by both parties at a telephonic prehearing conference held on August 15, 2013</w:t>
      </w:r>
      <w:r w:rsidR="00C9477A" w:rsidRPr="00884801">
        <w:t>, the presiding officer issued a Procedural Order</w:t>
      </w:r>
      <w:r w:rsidRPr="00884801">
        <w:t xml:space="preserve"> dated August 28, 2013, that: (1) lifted</w:t>
      </w:r>
      <w:r w:rsidR="00C9477A" w:rsidRPr="00884801">
        <w:t xml:space="preserve"> a </w:t>
      </w:r>
      <w:r w:rsidRPr="00884801">
        <w:t xml:space="preserve">stay that had </w:t>
      </w:r>
      <w:r w:rsidR="00C9477A" w:rsidRPr="00884801">
        <w:t xml:space="preserve">been </w:t>
      </w:r>
      <w:r w:rsidRPr="00884801">
        <w:t xml:space="preserve">imposed by </w:t>
      </w:r>
      <w:r w:rsidRPr="00884801">
        <w:lastRenderedPageBreak/>
        <w:t>Order, dated July 30, 2013, (2) granted PECO’s Motion to Compel; (3) directed Complainant to “ . . . deliver through regular mail answers to PECO Energy Company’s Interrogatories Nos. 1 – 3 and the documents requested at 4 and 5 within ten (10) days from the date of entry of this Order,” accompanied by a signed verification statement; and (5) scheduled a further telephonic hearing to be held on October 24, 2013.</w:t>
      </w:r>
    </w:p>
    <w:p w:rsidR="00FC7CB0" w:rsidRPr="00884801" w:rsidRDefault="00FC7CB0" w:rsidP="00FC7CB0">
      <w:pPr>
        <w:spacing w:line="360" w:lineRule="auto"/>
      </w:pPr>
    </w:p>
    <w:p w:rsidR="00E3372F" w:rsidRPr="00884801" w:rsidRDefault="00FC7CB0" w:rsidP="00FC7CB0">
      <w:pPr>
        <w:spacing w:line="360" w:lineRule="auto"/>
      </w:pPr>
      <w:r w:rsidRPr="00884801">
        <w:tab/>
      </w:r>
      <w:r w:rsidRPr="00884801">
        <w:tab/>
      </w:r>
      <w:r w:rsidR="002C1446" w:rsidRPr="00884801">
        <w:t>P</w:t>
      </w:r>
      <w:r w:rsidRPr="00884801">
        <w:t>ursuant to the August 28, 2013 Procedural Order, Mr. Mazza’s response should have been “delivered” to PECO on or before September 9, 2013.</w:t>
      </w:r>
      <w:r w:rsidR="00C9477A" w:rsidRPr="00884801">
        <w:t xml:space="preserve">  On October 2, 2013, </w:t>
      </w:r>
      <w:r w:rsidRPr="00884801">
        <w:t xml:space="preserve">PECO </w:t>
      </w:r>
      <w:r w:rsidR="00C9477A" w:rsidRPr="00884801">
        <w:t>filed a Motion for Sanctions</w:t>
      </w:r>
      <w:r w:rsidRPr="00884801">
        <w:t>.</w:t>
      </w:r>
      <w:r w:rsidR="00C9477A" w:rsidRPr="00884801">
        <w:t xml:space="preserve">  Mr. Mazza subsequently gave responses to the discovery requests on or about October 18, 2013.  </w:t>
      </w:r>
    </w:p>
    <w:p w:rsidR="00E3372F" w:rsidRPr="00884801" w:rsidRDefault="00E3372F" w:rsidP="00FC7CB0">
      <w:pPr>
        <w:spacing w:line="360" w:lineRule="auto"/>
      </w:pPr>
    </w:p>
    <w:p w:rsidR="00E3372F" w:rsidRPr="00884801" w:rsidRDefault="00E3372F" w:rsidP="00E3372F">
      <w:pPr>
        <w:tabs>
          <w:tab w:val="left" w:pos="0"/>
        </w:tabs>
        <w:spacing w:line="360" w:lineRule="auto"/>
      </w:pPr>
      <w:r w:rsidRPr="00884801">
        <w:tab/>
      </w:r>
      <w:r w:rsidR="00FB5DE9">
        <w:tab/>
      </w:r>
      <w:r w:rsidRPr="00884801">
        <w:t xml:space="preserve">The Commission’s procedural regulations provide for the imposition of sanctions when a party fails or refuses to answer interrogatories.  See, 52 Pa. Code §§5.371, 5.372.  The listed sanctions include the entry of orders that designated facts shall be taken as established, that refuse to allow the disobedient party to support or oppose designated claims or defenses, that prohibit the disobedient party from introducing into evidence designated documents or testimony, that strike out pleadings or that enter a judgment against the disobedient party as well as the entry of an order “. . . . </w:t>
      </w:r>
      <w:proofErr w:type="gramStart"/>
      <w:r w:rsidRPr="00884801">
        <w:t>as</w:t>
      </w:r>
      <w:proofErr w:type="gramEnd"/>
      <w:r w:rsidRPr="00884801">
        <w:t xml:space="preserve"> is just.”</w:t>
      </w:r>
    </w:p>
    <w:p w:rsidR="00E3372F" w:rsidRPr="00884801" w:rsidRDefault="00E3372F" w:rsidP="00E3372F">
      <w:pPr>
        <w:tabs>
          <w:tab w:val="left" w:pos="0"/>
        </w:tabs>
        <w:spacing w:line="360" w:lineRule="auto"/>
      </w:pPr>
    </w:p>
    <w:p w:rsidR="00E3372F" w:rsidRPr="00884801" w:rsidRDefault="00E3372F" w:rsidP="00FB5DE9">
      <w:pPr>
        <w:tabs>
          <w:tab w:val="left" w:pos="0"/>
        </w:tabs>
        <w:spacing w:line="360" w:lineRule="auto"/>
      </w:pPr>
      <w:r w:rsidRPr="00884801">
        <w:tab/>
      </w:r>
      <w:r w:rsidRPr="00884801">
        <w:tab/>
        <w:t xml:space="preserve">The Courts have interpreted the “catch-all” provision in Pa. R.C.P. 4019(c)(5), which is essentially identical to 52 Pa. Code §5.372(a)(4), as including the dismissal of a complaint with prejudice.  See, </w:t>
      </w:r>
      <w:r w:rsidRPr="00884801">
        <w:rPr>
          <w:i/>
        </w:rPr>
        <w:t>Pride Contracting, Inc. v. Biehm Construction, Inc.</w:t>
      </w:r>
      <w:r w:rsidRPr="00884801">
        <w:t xml:space="preserve">, </w:t>
      </w:r>
      <w:proofErr w:type="gramStart"/>
      <w:r w:rsidRPr="00884801">
        <w:t>381</w:t>
      </w:r>
      <w:proofErr w:type="gramEnd"/>
      <w:r w:rsidRPr="00884801">
        <w:t xml:space="preserve"> Pa. Super. 155, 553 A.2d 82 (1989), </w:t>
      </w:r>
      <w:r w:rsidRPr="00884801">
        <w:rPr>
          <w:i/>
        </w:rPr>
        <w:t xml:space="preserve">app. </w:t>
      </w:r>
      <w:proofErr w:type="gramStart"/>
      <w:r w:rsidRPr="00884801">
        <w:rPr>
          <w:i/>
        </w:rPr>
        <w:t>den</w:t>
      </w:r>
      <w:proofErr w:type="gramEnd"/>
      <w:r w:rsidRPr="00884801">
        <w:rPr>
          <w:i/>
        </w:rPr>
        <w:t>.,</w:t>
      </w:r>
      <w:r w:rsidRPr="00884801">
        <w:t xml:space="preserve"> 523 Pa. 643, 565 A.2d 1167 (1989).</w:t>
      </w:r>
      <w:r w:rsidR="00FB5DE9">
        <w:t xml:space="preserve">  </w:t>
      </w:r>
      <w:r w:rsidRPr="00884801">
        <w:t xml:space="preserve">In addition, Section 332(f) of the Public Utility Code, 66 Pa. C.S. §332(f), provides in pertinent part, relating to actions by parties and counsel, that, “ . . . if the actions of a party or counsel in a proceeding shall be determined by the commission, after due notice and opportunity for hearing, to be obstructive to the orderly conduct of the proceeding, the commission may reject or dismiss any rule or order in any manner proposed by the offending party or counsel, and, with respect to counsel, may bar further participation by him in any proceedings before the commission.”  See also, 52 Pa. Code </w:t>
      </w:r>
      <w:r w:rsidRPr="00884801">
        <w:lastRenderedPageBreak/>
        <w:t>§5.245(f): “[i]f the Commission or the presiding officer finds, after notice and opportunity for hearing, that the actions of a party, including an intervenor, in a proceeding obstruct the orderly conduct of the proceeding, the Commission or the presiding officer may take appropriate action, including dismissal of the complaint, application, or petition, if the action is that of complainant, applicant, or petitioner.”</w:t>
      </w:r>
    </w:p>
    <w:p w:rsidR="00E3372F" w:rsidRPr="00884801" w:rsidRDefault="00E3372F" w:rsidP="00E3372F">
      <w:pPr>
        <w:spacing w:line="360" w:lineRule="auto"/>
      </w:pPr>
    </w:p>
    <w:p w:rsidR="00FC7CB0" w:rsidRPr="00884801" w:rsidRDefault="00E3372F" w:rsidP="00FC7CB0">
      <w:pPr>
        <w:spacing w:line="360" w:lineRule="auto"/>
      </w:pPr>
      <w:r w:rsidRPr="00884801">
        <w:tab/>
      </w:r>
      <w:r w:rsidRPr="00884801">
        <w:tab/>
      </w:r>
      <w:r w:rsidR="00FB5DE9">
        <w:t xml:space="preserve">In the instant case, </w:t>
      </w:r>
      <w:r w:rsidR="002D781F" w:rsidRPr="00884801">
        <w:t xml:space="preserve">PECO submitted an interrogatory to Complainant that questioned, “What 2 PUC cases do you contend were not final when the present complaint was filed on August 1, 2012?  Why?” </w:t>
      </w:r>
      <w:r w:rsidR="00C9477A" w:rsidRPr="00884801">
        <w:t xml:space="preserve">Mr. Mazza </w:t>
      </w:r>
      <w:r w:rsidR="002D781F" w:rsidRPr="00884801">
        <w:t xml:space="preserve">replied, “Do not recall due to the various filings with the PUC and appeals courts that are pending.”  Mr. Mazza </w:t>
      </w:r>
      <w:r w:rsidR="00C9477A" w:rsidRPr="00884801">
        <w:t>is not sure which two prior cases of his against PECO are still on appeal; however, he contends and I agree that PECO ought</w:t>
      </w:r>
      <w:r w:rsidR="005C55EE" w:rsidRPr="00884801">
        <w:t xml:space="preserve"> to know</w:t>
      </w:r>
      <w:r w:rsidR="002C1446" w:rsidRPr="00884801">
        <w:t xml:space="preserve"> and is capable of researching </w:t>
      </w:r>
      <w:r w:rsidR="005C55EE" w:rsidRPr="00884801">
        <w:t>which cases of Complainants are still actively being litigated before the Commission</w:t>
      </w:r>
      <w:r w:rsidR="002C1446" w:rsidRPr="00884801">
        <w:t xml:space="preserve">, </w:t>
      </w:r>
      <w:r w:rsidR="005C55EE" w:rsidRPr="00884801">
        <w:t>the Commonwealth Court</w:t>
      </w:r>
      <w:r w:rsidR="002C1446" w:rsidRPr="00884801">
        <w:t>,</w:t>
      </w:r>
      <w:r w:rsidR="005C55EE" w:rsidRPr="00884801">
        <w:t xml:space="preserve"> or State Supreme Court.  A recent decision was issued in the Commonwealth Court</w:t>
      </w:r>
      <w:r w:rsidR="002C1446" w:rsidRPr="00884801">
        <w:t xml:space="preserve"> on May 3, 2013, </w:t>
      </w:r>
      <w:r w:rsidR="002C1446" w:rsidRPr="00884801">
        <w:rPr>
          <w:i/>
        </w:rPr>
        <w:t xml:space="preserve">Mark Mazza v. Public Utility Commission, </w:t>
      </w:r>
      <w:proofErr w:type="gramStart"/>
      <w:r w:rsidR="002C1446" w:rsidRPr="00884801">
        <w:t>No</w:t>
      </w:r>
      <w:proofErr w:type="gramEnd"/>
      <w:r w:rsidR="002C1446" w:rsidRPr="00884801">
        <w:t xml:space="preserve">. 1418 C.D. 2012 Memorandum Opinion per Curium, which affirmed the Commission’s Final Order dated June 1, 2012 at Docket No. </w:t>
      </w:r>
      <w:proofErr w:type="gramStart"/>
      <w:r w:rsidR="002C1446" w:rsidRPr="00884801">
        <w:t>C-2010-2171324.</w:t>
      </w:r>
      <w:proofErr w:type="gramEnd"/>
      <w:r w:rsidR="002C1446" w:rsidRPr="00884801">
        <w:t xml:space="preserve">   </w:t>
      </w:r>
      <w:r w:rsidRPr="00884801">
        <w:t xml:space="preserve">Complainant may have been referring to this docket in his Complaint filed on August 9, 2012 at Docket No. </w:t>
      </w:r>
      <w:proofErr w:type="gramStart"/>
      <w:r w:rsidRPr="00884801">
        <w:t>C-2012-2318472.</w:t>
      </w:r>
      <w:proofErr w:type="gramEnd"/>
      <w:r w:rsidR="00FB5DE9">
        <w:t xml:space="preserve"> </w:t>
      </w:r>
    </w:p>
    <w:p w:rsidR="00FC7CB0" w:rsidRPr="00884801" w:rsidRDefault="00FC7CB0" w:rsidP="00E3372F">
      <w:pPr>
        <w:tabs>
          <w:tab w:val="left" w:pos="0"/>
        </w:tabs>
        <w:spacing w:line="360" w:lineRule="auto"/>
      </w:pPr>
      <w:r w:rsidRPr="00884801">
        <w:tab/>
      </w:r>
    </w:p>
    <w:p w:rsidR="00FC7CB0" w:rsidRDefault="00FC7CB0" w:rsidP="00E3372F">
      <w:pPr>
        <w:spacing w:line="360" w:lineRule="auto"/>
      </w:pPr>
      <w:r w:rsidRPr="00884801">
        <w:tab/>
      </w:r>
      <w:r w:rsidRPr="00884801">
        <w:tab/>
      </w:r>
      <w:r w:rsidR="00E3372F" w:rsidRPr="00884801">
        <w:t>Regarding PECO’s discovery request for</w:t>
      </w:r>
      <w:r w:rsidR="002D781F" w:rsidRPr="00884801">
        <w:t xml:space="preserve"> 2011 and</w:t>
      </w:r>
      <w:r w:rsidR="00E3372F" w:rsidRPr="00884801">
        <w:t xml:space="preserve"> 2012 federal and state tax returns for Mr. and Mrs. Mazza, Mr. Mazza claims that he provided what he had, which was an unsigned copy</w:t>
      </w:r>
      <w:r w:rsidR="002D781F" w:rsidRPr="00884801">
        <w:t xml:space="preserve"> of his 2011 tax return and an electronic version of his 2011 tax return</w:t>
      </w:r>
      <w:r w:rsidR="00E3372F" w:rsidRPr="00884801">
        <w:t>.</w:t>
      </w:r>
      <w:r w:rsidR="002D781F" w:rsidRPr="00884801">
        <w:t xml:space="preserve">  He claims that he mailed the original signed copy to the government.</w:t>
      </w:r>
      <w:r w:rsidR="00E3372F" w:rsidRPr="00884801">
        <w:t xml:space="preserve">  Therefore, it is not possible for him to provide signed copies.  </w:t>
      </w:r>
      <w:r w:rsidR="002D781F" w:rsidRPr="00884801">
        <w:t xml:space="preserve">In response to PECO’s request for current pay stubs for every adult in the household, </w:t>
      </w:r>
      <w:r w:rsidR="00E3372F" w:rsidRPr="00884801">
        <w:t xml:space="preserve">Mr. Mazza further contends that he provided evidence of household income by providing a pay stub for pay period October 4, 2013 for his wife, Mrs. Mazza, who also resides at the service residence. </w:t>
      </w:r>
      <w:r w:rsidR="002D781F" w:rsidRPr="00884801">
        <w:t xml:space="preserve"> I am persuaded to find that </w:t>
      </w:r>
      <w:r w:rsidR="00884801">
        <w:t>this response is sufficient</w:t>
      </w:r>
      <w:r w:rsidR="00FB5DE9">
        <w:t xml:space="preserve"> within the meaning of 52 Pa. Code §5.371(a</w:t>
      </w:r>
      <w:proofErr w:type="gramStart"/>
      <w:r w:rsidR="00FB5DE9">
        <w:t>)(</w:t>
      </w:r>
      <w:proofErr w:type="gramEnd"/>
      <w:r w:rsidR="00FB5DE9">
        <w:t>1),</w:t>
      </w:r>
      <w:r w:rsidR="00884801">
        <w:t xml:space="preserve"> </w:t>
      </w:r>
      <w:r w:rsidR="00FB5DE9">
        <w:t>and pertains to relevant information</w:t>
      </w:r>
      <w:r w:rsidR="00884801">
        <w:t xml:space="preserve"> regarding household income.</w:t>
      </w:r>
      <w:r w:rsidR="002D781F" w:rsidRPr="00884801">
        <w:t xml:space="preserve"> Mr. Mazza’s request for a payment arrangement may go forward to the hearing.  He is a </w:t>
      </w:r>
      <w:r w:rsidR="002D781F" w:rsidRPr="00884801">
        <w:rPr>
          <w:i/>
        </w:rPr>
        <w:lastRenderedPageBreak/>
        <w:t>pro se</w:t>
      </w:r>
      <w:r w:rsidR="002D781F" w:rsidRPr="00884801">
        <w:t xml:space="preserve"> Complainant with the burden of proving he is entitled to a payment arrangement in this case, </w:t>
      </w:r>
      <w:r w:rsidR="00884801">
        <w:t xml:space="preserve">and </w:t>
      </w:r>
      <w:r w:rsidR="002D781F" w:rsidRPr="00884801">
        <w:t>the production of these documents although not entirely what was requested, is at least a sufficient response to the discovery requests to place PECO on notice of Complainant’s household income level.</w:t>
      </w:r>
    </w:p>
    <w:p w:rsidR="00FB5DE9" w:rsidRDefault="00FB5DE9" w:rsidP="00E3372F">
      <w:pPr>
        <w:spacing w:line="360" w:lineRule="auto"/>
      </w:pPr>
    </w:p>
    <w:p w:rsidR="00FB5DE9" w:rsidRPr="00884801" w:rsidRDefault="00FB5DE9" w:rsidP="00E3372F">
      <w:pPr>
        <w:spacing w:line="360" w:lineRule="auto"/>
      </w:pPr>
      <w:r>
        <w:tab/>
      </w:r>
      <w:r>
        <w:tab/>
        <w:t>Further, there is no dis</w:t>
      </w:r>
      <w:r w:rsidR="001E1877">
        <w:t>pute</w:t>
      </w:r>
      <w:r>
        <w:t xml:space="preserve"> that Complainant responded to other interrogatories regarding his occupation, dollar amount in dispute and most recent pay stub</w:t>
      </w:r>
      <w:r w:rsidR="001E1877">
        <w:t xml:space="preserve"> for his employed wife</w:t>
      </w:r>
      <w:r>
        <w:t>.</w:t>
      </w:r>
    </w:p>
    <w:p w:rsidR="00C733B6" w:rsidRPr="00884801" w:rsidRDefault="00C733B6"/>
    <w:p w:rsidR="00884801" w:rsidRPr="00884801" w:rsidRDefault="00884801">
      <w:r w:rsidRPr="00884801">
        <w:t>THEREFORE,</w:t>
      </w:r>
    </w:p>
    <w:p w:rsidR="00884801" w:rsidRPr="00884801" w:rsidRDefault="00884801"/>
    <w:p w:rsidR="00884801" w:rsidRPr="00884801" w:rsidRDefault="00884801">
      <w:r w:rsidRPr="00884801">
        <w:t>IT IS ORDERED:</w:t>
      </w:r>
    </w:p>
    <w:p w:rsidR="00884801" w:rsidRPr="00884801" w:rsidRDefault="00884801"/>
    <w:p w:rsidR="00884801" w:rsidRPr="00884801" w:rsidRDefault="00884801">
      <w:r w:rsidRPr="00884801">
        <w:tab/>
      </w:r>
      <w:r w:rsidRPr="00884801">
        <w:tab/>
        <w:t>1.</w:t>
      </w:r>
      <w:r w:rsidRPr="00884801">
        <w:tab/>
        <w:t>That PECO Energy Company’s Motion for Sanctions is denied.</w:t>
      </w:r>
    </w:p>
    <w:p w:rsidR="00884801" w:rsidRPr="00884801" w:rsidRDefault="00884801"/>
    <w:p w:rsidR="00884801" w:rsidRPr="00884801" w:rsidRDefault="00884801" w:rsidP="0026035D">
      <w:pPr>
        <w:pStyle w:val="ParaTab1"/>
        <w:tabs>
          <w:tab w:val="left" w:pos="2070"/>
        </w:tabs>
        <w:spacing w:line="360" w:lineRule="auto"/>
        <w:ind w:left="90" w:firstLine="1350"/>
      </w:pPr>
      <w:r w:rsidRPr="00884801">
        <w:t>2.</w:t>
      </w:r>
      <w:r w:rsidRPr="00884801">
        <w:tab/>
      </w:r>
      <w:r w:rsidR="0026035D">
        <w:t xml:space="preserve">That one copy of </w:t>
      </w:r>
      <w:r w:rsidRPr="00884801">
        <w:t xml:space="preserve">pre-marked exhibits shall be delivered to the </w:t>
      </w:r>
      <w:r w:rsidR="0026035D">
        <w:t>opposing party</w:t>
      </w:r>
      <w:r w:rsidRPr="00884801">
        <w:t xml:space="preserve"> and </w:t>
      </w:r>
      <w:r w:rsidR="0026035D">
        <w:t xml:space="preserve">three copies shall be delivered to </w:t>
      </w:r>
      <w:r w:rsidRPr="00884801">
        <w:t xml:space="preserve">the presiding officer on or before </w:t>
      </w:r>
      <w:r w:rsidR="0026035D">
        <w:rPr>
          <w:b/>
        </w:rPr>
        <w:t>Wednesday</w:t>
      </w:r>
      <w:r w:rsidRPr="0026035D">
        <w:rPr>
          <w:b/>
        </w:rPr>
        <w:t>, October 22, 2013</w:t>
      </w:r>
      <w:r w:rsidRPr="00884801">
        <w:t>.</w:t>
      </w:r>
    </w:p>
    <w:p w:rsidR="00884801" w:rsidRPr="00884801" w:rsidRDefault="00884801"/>
    <w:p w:rsidR="00884801" w:rsidRPr="00884801" w:rsidRDefault="00884801">
      <w:r w:rsidRPr="00884801">
        <w:tab/>
      </w:r>
      <w:r w:rsidRPr="00884801">
        <w:tab/>
        <w:t>3.</w:t>
      </w:r>
      <w:r w:rsidRPr="00884801">
        <w:tab/>
        <w:t>That the telephonic hearing scheduled for Thursday, October 24, 2013, shall commence as scheduled at 10:00 a.m.</w:t>
      </w:r>
    </w:p>
    <w:p w:rsidR="00884801" w:rsidRPr="00884801" w:rsidRDefault="00884801"/>
    <w:p w:rsidR="00884801" w:rsidRPr="00884801" w:rsidRDefault="00884801"/>
    <w:p w:rsidR="00884801" w:rsidRPr="00884801" w:rsidRDefault="00884801">
      <w:r w:rsidRPr="00884801">
        <w:t xml:space="preserve">Dated:   </w:t>
      </w:r>
      <w:r w:rsidRPr="00884801">
        <w:rPr>
          <w:u w:val="single"/>
        </w:rPr>
        <w:t>October 18, 2013</w:t>
      </w:r>
      <w:r w:rsidRPr="00884801">
        <w:tab/>
      </w:r>
      <w:r w:rsidRPr="00884801">
        <w:tab/>
      </w:r>
      <w:r w:rsidRPr="00884801">
        <w:tab/>
      </w:r>
      <w:r w:rsidRPr="00884801">
        <w:tab/>
        <w:t>______________________________</w:t>
      </w:r>
    </w:p>
    <w:p w:rsidR="00884801" w:rsidRPr="00884801" w:rsidRDefault="00884801">
      <w:r w:rsidRPr="00884801">
        <w:tab/>
      </w:r>
      <w:r w:rsidRPr="00884801">
        <w:tab/>
      </w:r>
      <w:r w:rsidRPr="00884801">
        <w:tab/>
      </w:r>
      <w:r w:rsidRPr="00884801">
        <w:tab/>
      </w:r>
      <w:r w:rsidRPr="00884801">
        <w:tab/>
      </w:r>
      <w:r w:rsidRPr="00884801">
        <w:tab/>
      </w:r>
      <w:r w:rsidRPr="00884801">
        <w:tab/>
        <w:t>Elizabeth H. Barnes</w:t>
      </w:r>
    </w:p>
    <w:p w:rsidR="00E76FFF" w:rsidRDefault="00884801">
      <w:pPr>
        <w:sectPr w:rsidR="00E76FFF" w:rsidSect="00D353EC">
          <w:footerReference w:type="even" r:id="rId6"/>
          <w:footerReference w:type="default" r:id="rId7"/>
          <w:pgSz w:w="12240" w:h="15840" w:code="1"/>
          <w:pgMar w:top="1440" w:right="1800" w:bottom="1440" w:left="1800" w:header="720" w:footer="720" w:gutter="0"/>
          <w:cols w:space="720"/>
          <w:titlePg/>
          <w:docGrid w:linePitch="360"/>
        </w:sectPr>
      </w:pPr>
      <w:r w:rsidRPr="00884801">
        <w:tab/>
      </w:r>
      <w:r w:rsidRPr="00884801">
        <w:tab/>
      </w:r>
      <w:r w:rsidRPr="00884801">
        <w:tab/>
      </w:r>
      <w:r w:rsidRPr="00884801">
        <w:tab/>
      </w:r>
      <w:r w:rsidRPr="00884801">
        <w:tab/>
      </w:r>
      <w:r w:rsidRPr="00884801">
        <w:tab/>
      </w:r>
      <w:r w:rsidRPr="00884801">
        <w:tab/>
        <w:t>Administrative Law Judge</w:t>
      </w:r>
    </w:p>
    <w:p w:rsidR="00E76FFF" w:rsidRPr="00E76FFF" w:rsidRDefault="00E76FFF" w:rsidP="00E76FFF">
      <w:pPr>
        <w:suppressAutoHyphens w:val="0"/>
        <w:rPr>
          <w:rFonts w:ascii="Microsoft Sans Serif" w:hAnsi="Calibri"/>
          <w:szCs w:val="22"/>
          <w:lang w:eastAsia="en-US"/>
        </w:rPr>
      </w:pPr>
      <w:r w:rsidRPr="00E76FFF">
        <w:rPr>
          <w:rFonts w:ascii="Microsoft Sans Serif" w:hAnsi="Calibri"/>
          <w:b/>
          <w:szCs w:val="22"/>
          <w:u w:val="single"/>
          <w:lang w:eastAsia="en-US"/>
        </w:rPr>
        <w:lastRenderedPageBreak/>
        <w:t xml:space="preserve">C-2012-2318472 - MARK MAZZA v. PECO ENERGY COMPANY (Revised </w:t>
      </w:r>
      <w:r w:rsidRPr="00E76FFF">
        <w:rPr>
          <w:rFonts w:ascii="Microsoft Sans Serif" w:hAnsi="Calibri"/>
          <w:b/>
          <w:i/>
          <w:szCs w:val="22"/>
          <w:u w:val="single"/>
          <w:lang w:eastAsia="en-US"/>
        </w:rPr>
        <w:t>7/31/13</w:t>
      </w:r>
      <w:r w:rsidRPr="00E76FFF">
        <w:rPr>
          <w:rFonts w:ascii="Microsoft Sans Serif" w:hAnsi="Calibri"/>
          <w:b/>
          <w:szCs w:val="22"/>
          <w:u w:val="single"/>
          <w:lang w:eastAsia="en-US"/>
        </w:rPr>
        <w:t>)</w:t>
      </w:r>
      <w:r w:rsidRPr="00E76FFF">
        <w:rPr>
          <w:rFonts w:ascii="Microsoft Sans Serif" w:hAnsi="Calibri"/>
          <w:b/>
          <w:szCs w:val="22"/>
          <w:u w:val="single"/>
          <w:lang w:eastAsia="en-US"/>
        </w:rPr>
        <w:cr/>
      </w:r>
      <w:r w:rsidRPr="00E76FFF">
        <w:rPr>
          <w:rFonts w:ascii="Microsoft Sans Serif" w:hAnsi="Calibri"/>
          <w:szCs w:val="22"/>
          <w:lang w:eastAsia="en-US"/>
        </w:rPr>
        <w:t xml:space="preserve"> </w:t>
      </w:r>
      <w:r w:rsidRPr="00E76FFF">
        <w:rPr>
          <w:rFonts w:ascii="Microsoft Sans Serif" w:hAnsi="Calibri"/>
          <w:szCs w:val="22"/>
          <w:lang w:eastAsia="en-US"/>
        </w:rPr>
        <w:cr/>
      </w:r>
      <w:r w:rsidRPr="00E76FFF">
        <w:rPr>
          <w:rFonts w:ascii="Microsoft Sans Serif" w:hAnsi="Calibri"/>
          <w:szCs w:val="22"/>
          <w:lang w:eastAsia="en-US"/>
        </w:rPr>
        <w:cr/>
        <w:t>MARGARET A MORRIS ESQUIRE</w:t>
      </w:r>
      <w:r w:rsidRPr="00E76FFF">
        <w:rPr>
          <w:rFonts w:ascii="Microsoft Sans Serif" w:hAnsi="Calibri"/>
          <w:szCs w:val="22"/>
          <w:lang w:eastAsia="en-US"/>
        </w:rPr>
        <w:cr/>
        <w:t>REGER RIZZO &amp; DARNALL LLP</w:t>
      </w:r>
      <w:r w:rsidRPr="00E76FFF">
        <w:rPr>
          <w:rFonts w:ascii="Microsoft Sans Serif" w:hAnsi="Calibri"/>
          <w:szCs w:val="22"/>
          <w:lang w:eastAsia="en-US"/>
        </w:rPr>
        <w:cr/>
        <w:t>2929 ARCH STREET</w:t>
      </w:r>
    </w:p>
    <w:p w:rsidR="00E76FFF" w:rsidRPr="00E76FFF" w:rsidRDefault="00E76FFF" w:rsidP="00E76FFF">
      <w:pPr>
        <w:suppressAutoHyphens w:val="0"/>
        <w:rPr>
          <w:rFonts w:ascii="Microsoft Sans Serif" w:hAnsi="Calibri"/>
          <w:szCs w:val="22"/>
          <w:lang w:eastAsia="en-US"/>
        </w:rPr>
      </w:pPr>
      <w:r w:rsidRPr="00E76FFF">
        <w:rPr>
          <w:rFonts w:ascii="Microsoft Sans Serif" w:hAnsi="Calibri"/>
          <w:szCs w:val="22"/>
          <w:lang w:eastAsia="en-US"/>
        </w:rPr>
        <w:t>PHILADELPHIA PA  19104</w:t>
      </w:r>
      <w:r w:rsidRPr="00E76FFF">
        <w:rPr>
          <w:rFonts w:ascii="Microsoft Sans Serif" w:hAnsi="Calibri"/>
          <w:szCs w:val="22"/>
          <w:lang w:eastAsia="en-US"/>
        </w:rPr>
        <w:cr/>
        <w:t>215-495-6524</w:t>
      </w:r>
    </w:p>
    <w:p w:rsidR="00E76FFF" w:rsidRPr="00E76FFF" w:rsidRDefault="00E76FFF" w:rsidP="00E76FFF">
      <w:pPr>
        <w:suppressAutoHyphens w:val="0"/>
        <w:rPr>
          <w:rFonts w:ascii="Microsoft Sans Serif" w:hAnsi="Calibri"/>
          <w:szCs w:val="22"/>
          <w:lang w:eastAsia="en-US"/>
        </w:rPr>
      </w:pPr>
      <w:r w:rsidRPr="00E76FFF">
        <w:rPr>
          <w:rFonts w:ascii="Microsoft Sans Serif" w:hAnsi="Calibri"/>
          <w:szCs w:val="22"/>
          <w:u w:val="single"/>
          <w:lang w:eastAsia="en-US"/>
        </w:rPr>
        <w:t>E-served</w:t>
      </w:r>
      <w:r w:rsidRPr="00E76FFF">
        <w:rPr>
          <w:rFonts w:ascii="Microsoft Sans Serif" w:hAnsi="Calibri"/>
          <w:szCs w:val="22"/>
          <w:lang w:eastAsia="en-US"/>
        </w:rPr>
        <w:cr/>
      </w:r>
      <w:r w:rsidRPr="00E76FFF">
        <w:rPr>
          <w:rFonts w:ascii="Microsoft Sans Serif" w:hAnsi="Calibri"/>
          <w:szCs w:val="22"/>
          <w:lang w:eastAsia="en-US"/>
        </w:rPr>
        <w:cr/>
      </w:r>
      <w:bookmarkStart w:id="0" w:name="_GoBack"/>
      <w:bookmarkEnd w:id="0"/>
      <w:r w:rsidRPr="00E76FFF">
        <w:rPr>
          <w:rFonts w:ascii="Microsoft Sans Serif" w:hAnsi="Calibri"/>
          <w:szCs w:val="22"/>
          <w:lang w:eastAsia="en-US"/>
        </w:rPr>
        <w:t>MARK D MAZZA</w:t>
      </w:r>
      <w:r w:rsidRPr="00E76FFF">
        <w:rPr>
          <w:rFonts w:ascii="Microsoft Sans Serif" w:hAnsi="Calibri"/>
          <w:szCs w:val="22"/>
          <w:lang w:eastAsia="en-US"/>
        </w:rPr>
        <w:cr/>
        <w:t>1271 FARM RD</w:t>
      </w:r>
      <w:r w:rsidRPr="00E76FFF">
        <w:rPr>
          <w:rFonts w:ascii="Microsoft Sans Serif" w:hAnsi="Calibri"/>
          <w:szCs w:val="22"/>
          <w:lang w:eastAsia="en-US"/>
        </w:rPr>
        <w:cr/>
        <w:t>BERWYN PA  19312</w:t>
      </w:r>
      <w:r w:rsidRPr="00E76FFF">
        <w:rPr>
          <w:rFonts w:ascii="Microsoft Sans Serif" w:hAnsi="Calibri"/>
          <w:szCs w:val="22"/>
          <w:lang w:eastAsia="en-US"/>
        </w:rPr>
        <w:cr/>
        <w:t>484-318-6570</w:t>
      </w:r>
    </w:p>
    <w:p w:rsidR="00E76FFF" w:rsidRPr="00E76FFF" w:rsidRDefault="00E76FFF" w:rsidP="00E76FFF">
      <w:pPr>
        <w:suppressAutoHyphens w:val="0"/>
        <w:rPr>
          <w:rFonts w:ascii="Microsoft Sans Serif" w:hAnsi="Calibri"/>
          <w:szCs w:val="22"/>
          <w:u w:val="single"/>
          <w:lang w:eastAsia="en-US"/>
        </w:rPr>
      </w:pPr>
      <w:r w:rsidRPr="00E76FFF">
        <w:rPr>
          <w:rFonts w:ascii="Microsoft Sans Serif" w:hAnsi="Calibri"/>
          <w:szCs w:val="22"/>
          <w:u w:val="single"/>
          <w:lang w:eastAsia="en-US"/>
        </w:rPr>
        <w:t>E-served</w:t>
      </w:r>
      <w:r w:rsidRPr="00E76FFF">
        <w:rPr>
          <w:rFonts w:ascii="Microsoft Sans Serif" w:hAnsi="Calibri"/>
          <w:szCs w:val="22"/>
          <w:u w:val="single"/>
          <w:lang w:eastAsia="en-US"/>
        </w:rPr>
        <w:cr/>
      </w:r>
    </w:p>
    <w:p w:rsidR="00E76FFF" w:rsidRPr="00E76FFF" w:rsidRDefault="00E76FFF" w:rsidP="00E76FFF">
      <w:pPr>
        <w:suppressAutoHyphens w:val="0"/>
        <w:spacing w:after="200" w:line="276" w:lineRule="auto"/>
        <w:rPr>
          <w:rFonts w:ascii="Calibri" w:hAnsi="Calibri"/>
          <w:sz w:val="22"/>
          <w:szCs w:val="22"/>
          <w:lang w:eastAsia="en-US"/>
        </w:rPr>
      </w:pPr>
    </w:p>
    <w:p w:rsidR="00884801" w:rsidRPr="00884801" w:rsidRDefault="00884801"/>
    <w:sectPr w:rsidR="00884801" w:rsidRPr="0088480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15C6" w:rsidRDefault="001D15C6">
      <w:r>
        <w:separator/>
      </w:r>
    </w:p>
  </w:endnote>
  <w:endnote w:type="continuationSeparator" w:id="0">
    <w:p w:rsidR="001D15C6" w:rsidRDefault="001D1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3EC" w:rsidRDefault="00D353EC" w:rsidP="00D353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353EC" w:rsidRDefault="00D353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3EC" w:rsidRDefault="00D353EC" w:rsidP="00D353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76FFF">
      <w:rPr>
        <w:rStyle w:val="PageNumber"/>
        <w:noProof/>
      </w:rPr>
      <w:t>4</w:t>
    </w:r>
    <w:r>
      <w:rPr>
        <w:rStyle w:val="PageNumber"/>
      </w:rPr>
      <w:fldChar w:fldCharType="end"/>
    </w:r>
  </w:p>
  <w:p w:rsidR="00D353EC" w:rsidRDefault="00D353E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FFF" w:rsidRDefault="00E76F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15C6" w:rsidRDefault="001D15C6">
      <w:r>
        <w:separator/>
      </w:r>
    </w:p>
  </w:footnote>
  <w:footnote w:type="continuationSeparator" w:id="0">
    <w:p w:rsidR="001D15C6" w:rsidRDefault="001D15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33B6"/>
    <w:rsid w:val="00134ADD"/>
    <w:rsid w:val="001D15C6"/>
    <w:rsid w:val="001E1877"/>
    <w:rsid w:val="0026035D"/>
    <w:rsid w:val="002C1446"/>
    <w:rsid w:val="002D781F"/>
    <w:rsid w:val="005C55EE"/>
    <w:rsid w:val="006667BD"/>
    <w:rsid w:val="00884801"/>
    <w:rsid w:val="00A91F39"/>
    <w:rsid w:val="00C733B6"/>
    <w:rsid w:val="00C9477A"/>
    <w:rsid w:val="00D353EC"/>
    <w:rsid w:val="00E3372F"/>
    <w:rsid w:val="00E63FAD"/>
    <w:rsid w:val="00E76FFF"/>
    <w:rsid w:val="00FB5DE9"/>
    <w:rsid w:val="00FC7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C7CB0"/>
    <w:pPr>
      <w:suppressAutoHyphens/>
    </w:pPr>
    <w:rPr>
      <w:sz w:val="24"/>
      <w:szCs w:val="24"/>
      <w:lang w:eastAsia="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FC7CB0"/>
    <w:pPr>
      <w:tabs>
        <w:tab w:val="center" w:pos="4320"/>
        <w:tab w:val="right" w:pos="8640"/>
      </w:tabs>
    </w:pPr>
  </w:style>
  <w:style w:type="paragraph" w:styleId="Footer">
    <w:name w:val="footer"/>
    <w:basedOn w:val="Normal"/>
    <w:rsid w:val="00FC7CB0"/>
    <w:pPr>
      <w:tabs>
        <w:tab w:val="center" w:pos="4320"/>
        <w:tab w:val="right" w:pos="8640"/>
      </w:tabs>
    </w:pPr>
  </w:style>
  <w:style w:type="character" w:styleId="PageNumber">
    <w:name w:val="page number"/>
    <w:basedOn w:val="DefaultParagraphFont"/>
    <w:rsid w:val="00FC7CB0"/>
  </w:style>
  <w:style w:type="character" w:styleId="Hyperlink">
    <w:name w:val="Hyperlink"/>
    <w:rsid w:val="00FC7CB0"/>
    <w:rPr>
      <w:color w:val="0000FF"/>
      <w:u w:val="single"/>
    </w:rPr>
  </w:style>
  <w:style w:type="paragraph" w:styleId="BodyTextIndent">
    <w:name w:val="Body Text Indent"/>
    <w:basedOn w:val="Normal"/>
    <w:rsid w:val="00FC7CB0"/>
    <w:pPr>
      <w:spacing w:line="480" w:lineRule="auto"/>
      <w:ind w:firstLine="720"/>
    </w:pPr>
  </w:style>
  <w:style w:type="paragraph" w:styleId="FootnoteText">
    <w:name w:val="footnote text"/>
    <w:basedOn w:val="Normal"/>
    <w:link w:val="FootnoteTextChar"/>
    <w:rsid w:val="00FC7CB0"/>
    <w:rPr>
      <w:sz w:val="20"/>
      <w:szCs w:val="20"/>
    </w:rPr>
  </w:style>
  <w:style w:type="character" w:customStyle="1" w:styleId="FootnoteTextChar">
    <w:name w:val="Footnote Text Char"/>
    <w:link w:val="FootnoteText"/>
    <w:rsid w:val="00FC7CB0"/>
    <w:rPr>
      <w:lang w:val="en-US" w:eastAsia="ar-SA" w:bidi="ar-SA"/>
    </w:rPr>
  </w:style>
  <w:style w:type="character" w:styleId="FootnoteReference">
    <w:name w:val="footnote reference"/>
    <w:rsid w:val="00FC7CB0"/>
    <w:rPr>
      <w:vertAlign w:val="superscript"/>
    </w:rPr>
  </w:style>
  <w:style w:type="paragraph" w:customStyle="1" w:styleId="ParaTab1">
    <w:name w:val="ParaTab 1"/>
    <w:rsid w:val="0026035D"/>
    <w:pPr>
      <w:tabs>
        <w:tab w:val="left" w:pos="-720"/>
      </w:tabs>
      <w:suppressAutoHyphens/>
      <w:autoSpaceDE w:val="0"/>
      <w:autoSpaceDN w:val="0"/>
      <w:ind w:firstLine="1440"/>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1115</Words>
  <Characters>6362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Office2k3</Company>
  <LinksUpToDate>false</LinksUpToDate>
  <CharactersWithSpaces>7463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Barnes, Elizabeth</dc:creator>
  <cp:lastModifiedBy>Leonard, Allyson</cp:lastModifiedBy>
  <cp:revision>3</cp:revision>
  <cp:lastPrinted>2013-10-18T19:41:00Z</cp:lastPrinted>
  <dcterms:created xsi:type="dcterms:W3CDTF">2013-10-18T19:38:00Z</dcterms:created>
  <dcterms:modified xsi:type="dcterms:W3CDTF">2013-10-18T19:45:00Z</dcterms:modified>
</cp:coreProperties>
</file>