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1758F8" w:rsidRPr="001758F8" w:rsidRDefault="001758F8" w:rsidP="001758F8">
      <w:pPr>
        <w:tabs>
          <w:tab w:val="left" w:pos="0"/>
        </w:tabs>
        <w:spacing w:line="233" w:lineRule="auto"/>
        <w:jc w:val="both"/>
        <w:rPr>
          <w:rFonts w:eastAsia="SimSun"/>
          <w:sz w:val="24"/>
          <w:szCs w:val="24"/>
        </w:rPr>
      </w:pPr>
      <w:r w:rsidRPr="001758F8">
        <w:rPr>
          <w:rFonts w:eastAsia="SimSun"/>
          <w:sz w:val="24"/>
          <w:szCs w:val="24"/>
        </w:rPr>
        <w:t xml:space="preserve">Pennsylvania Public Utility Commission, </w:t>
      </w:r>
      <w:r w:rsidRPr="001758F8">
        <w:rPr>
          <w:rFonts w:eastAsia="SimSun"/>
          <w:sz w:val="24"/>
          <w:szCs w:val="24"/>
        </w:rPr>
        <w:tab/>
      </w:r>
      <w:r w:rsidRPr="001758F8">
        <w:rPr>
          <w:rFonts w:eastAsia="SimSun"/>
          <w:sz w:val="24"/>
          <w:szCs w:val="24"/>
        </w:rPr>
        <w:tab/>
        <w:t>:</w:t>
      </w:r>
    </w:p>
    <w:p w:rsidR="001758F8" w:rsidRPr="001758F8" w:rsidRDefault="001758F8" w:rsidP="001758F8">
      <w:pPr>
        <w:tabs>
          <w:tab w:val="left" w:pos="0"/>
        </w:tabs>
        <w:spacing w:line="233" w:lineRule="auto"/>
        <w:jc w:val="both"/>
        <w:rPr>
          <w:rFonts w:eastAsia="SimSun"/>
          <w:b/>
          <w:sz w:val="24"/>
          <w:szCs w:val="24"/>
        </w:rPr>
      </w:pPr>
      <w:r w:rsidRPr="001758F8">
        <w:rPr>
          <w:rFonts w:eastAsia="SimSun"/>
          <w:sz w:val="24"/>
          <w:szCs w:val="24"/>
        </w:rPr>
        <w:t>Bureau of Investigation &amp; Enforcement</w:t>
      </w:r>
      <w:r w:rsidRPr="001758F8">
        <w:rPr>
          <w:rFonts w:eastAsia="SimSun"/>
          <w:sz w:val="24"/>
          <w:szCs w:val="24"/>
        </w:rPr>
        <w:tab/>
      </w:r>
      <w:r w:rsidRPr="001758F8">
        <w:rPr>
          <w:rFonts w:eastAsia="SimSun"/>
          <w:sz w:val="24"/>
          <w:szCs w:val="24"/>
        </w:rPr>
        <w:tab/>
        <w:t>:</w:t>
      </w:r>
    </w:p>
    <w:p w:rsidR="001758F8" w:rsidRPr="001758F8" w:rsidRDefault="001758F8" w:rsidP="001758F8">
      <w:pPr>
        <w:tabs>
          <w:tab w:val="left" w:pos="0"/>
        </w:tabs>
        <w:spacing w:line="233" w:lineRule="auto"/>
        <w:jc w:val="both"/>
        <w:rPr>
          <w:rFonts w:eastAsia="SimSun"/>
          <w:sz w:val="24"/>
          <w:szCs w:val="24"/>
        </w:rPr>
      </w:pPr>
      <w:r w:rsidRPr="001758F8">
        <w:rPr>
          <w:rFonts w:eastAsia="SimSun"/>
          <w:b/>
          <w:sz w:val="24"/>
          <w:szCs w:val="24"/>
        </w:rPr>
        <w:tab/>
      </w:r>
      <w:r w:rsidRPr="001758F8">
        <w:rPr>
          <w:rFonts w:eastAsia="SimSun"/>
          <w:b/>
          <w:sz w:val="24"/>
          <w:szCs w:val="24"/>
        </w:rPr>
        <w:tab/>
      </w:r>
      <w:r w:rsidRPr="001758F8">
        <w:rPr>
          <w:rFonts w:eastAsia="SimSun"/>
          <w:b/>
          <w:sz w:val="24"/>
          <w:szCs w:val="24"/>
        </w:rPr>
        <w:tab/>
      </w:r>
      <w:r w:rsidRPr="001758F8">
        <w:rPr>
          <w:rFonts w:eastAsia="SimSun"/>
          <w:b/>
          <w:sz w:val="24"/>
          <w:szCs w:val="24"/>
        </w:rPr>
        <w:tab/>
      </w:r>
      <w:r w:rsidRPr="001758F8">
        <w:rPr>
          <w:rFonts w:eastAsia="SimSun"/>
          <w:b/>
          <w:sz w:val="24"/>
          <w:szCs w:val="24"/>
        </w:rPr>
        <w:tab/>
      </w:r>
      <w:r w:rsidRPr="001758F8">
        <w:rPr>
          <w:rFonts w:eastAsia="SimSun"/>
          <w:b/>
          <w:sz w:val="24"/>
          <w:szCs w:val="24"/>
        </w:rPr>
        <w:tab/>
      </w:r>
      <w:r w:rsidRPr="001758F8">
        <w:rPr>
          <w:rFonts w:eastAsia="SimSun"/>
          <w:b/>
          <w:sz w:val="24"/>
          <w:szCs w:val="24"/>
        </w:rPr>
        <w:tab/>
      </w:r>
      <w:r w:rsidRPr="001758F8">
        <w:rPr>
          <w:rFonts w:eastAsia="SimSun"/>
          <w:sz w:val="24"/>
          <w:szCs w:val="24"/>
        </w:rPr>
        <w:t>:</w:t>
      </w:r>
    </w:p>
    <w:p w:rsidR="001758F8" w:rsidRPr="001758F8" w:rsidRDefault="001758F8" w:rsidP="001758F8">
      <w:pPr>
        <w:tabs>
          <w:tab w:val="left" w:pos="0"/>
        </w:tabs>
        <w:spacing w:line="233" w:lineRule="auto"/>
        <w:jc w:val="both"/>
        <w:rPr>
          <w:rFonts w:eastAsia="SimSun"/>
          <w:sz w:val="24"/>
          <w:szCs w:val="24"/>
        </w:rPr>
      </w:pPr>
      <w:r w:rsidRPr="001758F8">
        <w:rPr>
          <w:rFonts w:eastAsia="SimSun"/>
          <w:sz w:val="24"/>
          <w:szCs w:val="24"/>
        </w:rPr>
        <w:tab/>
        <w:t>v.</w:t>
      </w:r>
      <w:r w:rsidRPr="001758F8">
        <w:rPr>
          <w:rFonts w:eastAsia="SimSun"/>
          <w:sz w:val="24"/>
          <w:szCs w:val="24"/>
        </w:rPr>
        <w:tab/>
      </w:r>
      <w:r w:rsidRPr="001758F8">
        <w:rPr>
          <w:rFonts w:eastAsia="SimSun"/>
          <w:sz w:val="24"/>
          <w:szCs w:val="24"/>
        </w:rPr>
        <w:tab/>
      </w:r>
      <w:r w:rsidRPr="001758F8">
        <w:rPr>
          <w:rFonts w:eastAsia="SimSun"/>
          <w:sz w:val="24"/>
          <w:szCs w:val="24"/>
        </w:rPr>
        <w:tab/>
      </w:r>
      <w:r w:rsidRPr="001758F8">
        <w:rPr>
          <w:rFonts w:eastAsia="SimSun"/>
          <w:sz w:val="24"/>
          <w:szCs w:val="24"/>
        </w:rPr>
        <w:tab/>
      </w:r>
      <w:r w:rsidRPr="001758F8">
        <w:rPr>
          <w:rFonts w:eastAsia="SimSun"/>
          <w:sz w:val="24"/>
          <w:szCs w:val="24"/>
        </w:rPr>
        <w:tab/>
      </w:r>
      <w:r w:rsidRPr="001758F8">
        <w:rPr>
          <w:rFonts w:eastAsia="SimSun"/>
          <w:sz w:val="24"/>
          <w:szCs w:val="24"/>
        </w:rPr>
        <w:tab/>
        <w:t>:</w:t>
      </w:r>
      <w:r w:rsidRPr="001758F8">
        <w:rPr>
          <w:rFonts w:eastAsia="SimSun"/>
          <w:b/>
          <w:sz w:val="24"/>
          <w:szCs w:val="24"/>
        </w:rPr>
        <w:tab/>
      </w:r>
      <w:r w:rsidRPr="001758F8">
        <w:rPr>
          <w:rFonts w:eastAsia="SimSun"/>
          <w:b/>
          <w:sz w:val="24"/>
          <w:szCs w:val="24"/>
        </w:rPr>
        <w:tab/>
      </w:r>
      <w:r w:rsidR="001E78A4">
        <w:rPr>
          <w:rFonts w:eastAsia="SimSun"/>
          <w:b/>
          <w:sz w:val="24"/>
          <w:szCs w:val="24"/>
        </w:rPr>
        <w:tab/>
      </w:r>
      <w:r w:rsidR="001E78A4">
        <w:rPr>
          <w:rFonts w:eastAsia="SimSun"/>
          <w:sz w:val="24"/>
          <w:szCs w:val="24"/>
        </w:rPr>
        <w:t>C-2012-2249031</w:t>
      </w:r>
      <w:r w:rsidR="001E78A4">
        <w:rPr>
          <w:rFonts w:eastAsia="SimSun"/>
          <w:sz w:val="24"/>
          <w:szCs w:val="24"/>
        </w:rPr>
        <w:tab/>
      </w:r>
      <w:r w:rsidR="001E78A4">
        <w:rPr>
          <w:rFonts w:eastAsia="SimSun"/>
          <w:sz w:val="24"/>
          <w:szCs w:val="24"/>
        </w:rPr>
        <w:tab/>
      </w:r>
      <w:r w:rsidR="001E78A4">
        <w:rPr>
          <w:rFonts w:eastAsia="SimSun"/>
          <w:sz w:val="24"/>
          <w:szCs w:val="24"/>
        </w:rPr>
        <w:tab/>
      </w:r>
      <w:r w:rsidR="001E78A4">
        <w:rPr>
          <w:rFonts w:eastAsia="SimSun"/>
          <w:sz w:val="24"/>
          <w:szCs w:val="24"/>
        </w:rPr>
        <w:tab/>
      </w:r>
      <w:r w:rsidR="001E78A4">
        <w:rPr>
          <w:rFonts w:eastAsia="SimSun"/>
          <w:sz w:val="24"/>
          <w:szCs w:val="24"/>
        </w:rPr>
        <w:tab/>
      </w:r>
      <w:r w:rsidR="001E78A4">
        <w:rPr>
          <w:rFonts w:eastAsia="SimSun"/>
          <w:sz w:val="24"/>
          <w:szCs w:val="24"/>
        </w:rPr>
        <w:tab/>
      </w:r>
      <w:r w:rsidR="001E78A4">
        <w:rPr>
          <w:rFonts w:eastAsia="SimSun"/>
          <w:sz w:val="24"/>
          <w:szCs w:val="24"/>
        </w:rPr>
        <w:tab/>
      </w:r>
      <w:r w:rsidR="001E78A4">
        <w:rPr>
          <w:rFonts w:eastAsia="SimSun"/>
          <w:sz w:val="24"/>
          <w:szCs w:val="24"/>
        </w:rPr>
        <w:tab/>
        <w:t>:</w:t>
      </w:r>
    </w:p>
    <w:p w:rsidR="001758F8" w:rsidRPr="001758F8" w:rsidRDefault="001758F8" w:rsidP="001758F8">
      <w:pPr>
        <w:tabs>
          <w:tab w:val="left" w:pos="0"/>
        </w:tabs>
        <w:spacing w:line="233" w:lineRule="auto"/>
        <w:jc w:val="both"/>
        <w:rPr>
          <w:rFonts w:eastAsia="SimSun"/>
          <w:sz w:val="24"/>
          <w:szCs w:val="24"/>
        </w:rPr>
      </w:pPr>
      <w:r w:rsidRPr="001758F8">
        <w:rPr>
          <w:rFonts w:eastAsia="SimSun"/>
          <w:sz w:val="24"/>
          <w:szCs w:val="24"/>
        </w:rPr>
        <w:t>Yellow Cab Co. of Pittsburgh</w:t>
      </w:r>
      <w:r w:rsidRPr="001758F8">
        <w:rPr>
          <w:rFonts w:eastAsia="SimSun"/>
          <w:sz w:val="24"/>
          <w:szCs w:val="24"/>
        </w:rPr>
        <w:tab/>
      </w:r>
      <w:r w:rsidRPr="001758F8">
        <w:rPr>
          <w:rFonts w:eastAsia="SimSun"/>
          <w:sz w:val="24"/>
          <w:szCs w:val="24"/>
        </w:rPr>
        <w:tab/>
      </w:r>
      <w:r w:rsidRPr="001758F8">
        <w:rPr>
          <w:rFonts w:eastAsia="SimSun"/>
          <w:sz w:val="24"/>
          <w:szCs w:val="24"/>
        </w:rPr>
        <w:tab/>
      </w:r>
      <w:r w:rsidRPr="001758F8">
        <w:rPr>
          <w:rFonts w:eastAsia="SimSun"/>
          <w:sz w:val="24"/>
          <w:szCs w:val="24"/>
        </w:rPr>
        <w:tab/>
        <w:t>:</w:t>
      </w:r>
    </w:p>
    <w:p w:rsidR="001758F8" w:rsidRPr="001758F8" w:rsidRDefault="001758F8" w:rsidP="001758F8">
      <w:pPr>
        <w:tabs>
          <w:tab w:val="left" w:pos="0"/>
        </w:tabs>
        <w:spacing w:line="233" w:lineRule="auto"/>
        <w:jc w:val="both"/>
        <w:rPr>
          <w:rFonts w:eastAsia="SimSun"/>
          <w:sz w:val="24"/>
          <w:szCs w:val="24"/>
        </w:rPr>
      </w:pPr>
    </w:p>
    <w:p w:rsidR="001758F8" w:rsidRPr="001758F8" w:rsidRDefault="001758F8" w:rsidP="001758F8">
      <w:pPr>
        <w:tabs>
          <w:tab w:val="left" w:pos="0"/>
        </w:tabs>
        <w:spacing w:line="233" w:lineRule="auto"/>
        <w:jc w:val="both"/>
        <w:rPr>
          <w:rFonts w:eastAsia="SimSun"/>
          <w:b/>
          <w:sz w:val="24"/>
          <w:szCs w:val="24"/>
        </w:rPr>
      </w:pPr>
    </w:p>
    <w:p w:rsidR="001758F8" w:rsidRPr="001758F8" w:rsidRDefault="001758F8" w:rsidP="001758F8">
      <w:pPr>
        <w:jc w:val="center"/>
        <w:rPr>
          <w:sz w:val="24"/>
          <w:szCs w:val="24"/>
        </w:rPr>
      </w:pPr>
    </w:p>
    <w:p w:rsidR="001758F8" w:rsidRPr="001758F8" w:rsidRDefault="001758F8" w:rsidP="001758F8">
      <w:pPr>
        <w:jc w:val="center"/>
        <w:rPr>
          <w:sz w:val="24"/>
          <w:szCs w:val="24"/>
          <w:u w:val="single"/>
        </w:rPr>
      </w:pPr>
      <w:r w:rsidRPr="001758F8">
        <w:rPr>
          <w:sz w:val="24"/>
          <w:szCs w:val="24"/>
          <w:u w:val="single"/>
        </w:rPr>
        <w:t>INITIAL DECISION</w:t>
      </w:r>
    </w:p>
    <w:p w:rsidR="001758F8" w:rsidRPr="001758F8" w:rsidRDefault="001758F8" w:rsidP="001758F8">
      <w:pPr>
        <w:jc w:val="center"/>
        <w:rPr>
          <w:sz w:val="24"/>
          <w:szCs w:val="24"/>
        </w:rPr>
      </w:pPr>
    </w:p>
    <w:p w:rsidR="001758F8" w:rsidRPr="001758F8" w:rsidRDefault="001758F8" w:rsidP="001758F8">
      <w:pPr>
        <w:jc w:val="center"/>
        <w:rPr>
          <w:sz w:val="24"/>
          <w:szCs w:val="24"/>
        </w:rPr>
      </w:pPr>
    </w:p>
    <w:p w:rsidR="001758F8" w:rsidRPr="001758F8" w:rsidRDefault="001758F8" w:rsidP="001758F8">
      <w:pPr>
        <w:jc w:val="center"/>
        <w:rPr>
          <w:sz w:val="24"/>
          <w:szCs w:val="24"/>
        </w:rPr>
      </w:pPr>
      <w:r w:rsidRPr="001758F8">
        <w:rPr>
          <w:sz w:val="24"/>
          <w:szCs w:val="24"/>
        </w:rPr>
        <w:t>Before</w:t>
      </w:r>
    </w:p>
    <w:p w:rsidR="001758F8" w:rsidRPr="001758F8" w:rsidRDefault="001758F8" w:rsidP="001758F8">
      <w:pPr>
        <w:jc w:val="center"/>
        <w:rPr>
          <w:sz w:val="24"/>
          <w:szCs w:val="24"/>
        </w:rPr>
      </w:pPr>
      <w:r w:rsidRPr="001758F8">
        <w:rPr>
          <w:sz w:val="24"/>
          <w:szCs w:val="24"/>
        </w:rPr>
        <w:t>Mary D. Long</w:t>
      </w:r>
      <w:r w:rsidRPr="001758F8">
        <w:rPr>
          <w:sz w:val="24"/>
          <w:szCs w:val="24"/>
        </w:rPr>
        <w:br/>
        <w:t>Administrative Law Judge</w:t>
      </w:r>
    </w:p>
    <w:p w:rsidR="001758F8" w:rsidRPr="001758F8" w:rsidRDefault="001758F8" w:rsidP="001758F8">
      <w:pPr>
        <w:jc w:val="center"/>
        <w:rPr>
          <w:sz w:val="24"/>
          <w:szCs w:val="24"/>
        </w:rPr>
      </w:pPr>
    </w:p>
    <w:p w:rsidR="001758F8" w:rsidRPr="001758F8" w:rsidRDefault="001758F8" w:rsidP="001758F8">
      <w:pPr>
        <w:jc w:val="center"/>
        <w:rPr>
          <w:sz w:val="24"/>
          <w:szCs w:val="24"/>
        </w:rPr>
      </w:pPr>
    </w:p>
    <w:p w:rsidR="001758F8" w:rsidRPr="001758F8" w:rsidRDefault="001758F8" w:rsidP="001758F8">
      <w:pPr>
        <w:spacing w:line="360" w:lineRule="auto"/>
        <w:ind w:firstLine="1440"/>
        <w:rPr>
          <w:sz w:val="24"/>
          <w:szCs w:val="24"/>
        </w:rPr>
      </w:pPr>
      <w:r w:rsidRPr="001758F8">
        <w:rPr>
          <w:sz w:val="24"/>
          <w:szCs w:val="24"/>
        </w:rPr>
        <w:t>A complaint by the Bureau of Investigation and Enforcement alleging that a taxicab driver violated Commission regulations for failing to furnish trip service is dismissed.</w:t>
      </w:r>
    </w:p>
    <w:p w:rsidR="001758F8" w:rsidRPr="001758F8" w:rsidRDefault="001758F8" w:rsidP="001758F8">
      <w:pPr>
        <w:spacing w:line="360" w:lineRule="auto"/>
        <w:rPr>
          <w:sz w:val="24"/>
          <w:szCs w:val="24"/>
        </w:rPr>
      </w:pPr>
    </w:p>
    <w:p w:rsidR="001758F8" w:rsidRPr="001758F8" w:rsidRDefault="001758F8" w:rsidP="001758F8">
      <w:pPr>
        <w:spacing w:line="360" w:lineRule="auto"/>
        <w:jc w:val="center"/>
        <w:rPr>
          <w:sz w:val="24"/>
          <w:szCs w:val="24"/>
          <w:u w:val="single"/>
        </w:rPr>
      </w:pPr>
      <w:r w:rsidRPr="001758F8">
        <w:rPr>
          <w:sz w:val="24"/>
          <w:szCs w:val="24"/>
          <w:u w:val="single"/>
        </w:rPr>
        <w:t>HISTORY OF PROCEEDINGS</w:t>
      </w:r>
    </w:p>
    <w:p w:rsidR="001758F8" w:rsidRPr="001758F8" w:rsidRDefault="001758F8" w:rsidP="001758F8">
      <w:pPr>
        <w:spacing w:line="360" w:lineRule="auto"/>
        <w:jc w:val="center"/>
        <w:rPr>
          <w:sz w:val="24"/>
          <w:szCs w:val="24"/>
          <w:u w:val="single"/>
        </w:rPr>
      </w:pPr>
    </w:p>
    <w:p w:rsidR="001758F8" w:rsidRPr="001758F8" w:rsidRDefault="001758F8" w:rsidP="001758F8">
      <w:pPr>
        <w:spacing w:line="360" w:lineRule="auto"/>
        <w:ind w:firstLine="1440"/>
        <w:rPr>
          <w:sz w:val="24"/>
          <w:szCs w:val="24"/>
        </w:rPr>
      </w:pPr>
      <w:r w:rsidRPr="001758F8">
        <w:rPr>
          <w:sz w:val="24"/>
          <w:szCs w:val="24"/>
        </w:rPr>
        <w:t>On July 26, 2012, the Bureau of Investigation and Enforcement (BIE) served a complaint against the Yellow Cab Co. of Pittsburgh (Yellow Cab) alleging that a driver had failed to accept a fare in violation of 52 Pa.</w:t>
      </w:r>
      <w:r>
        <w:rPr>
          <w:sz w:val="24"/>
          <w:szCs w:val="24"/>
        </w:rPr>
        <w:t>Code § 29.313(a), and 66 Pa.</w:t>
      </w:r>
      <w:r w:rsidR="001E78A4">
        <w:rPr>
          <w:sz w:val="24"/>
          <w:szCs w:val="24"/>
        </w:rPr>
        <w:t>C.S.</w:t>
      </w:r>
      <w:r w:rsidRPr="001758F8">
        <w:rPr>
          <w:sz w:val="24"/>
          <w:szCs w:val="24"/>
        </w:rPr>
        <w:t xml:space="preserve"> § 1501.  BIE served an amended complaint on August 6, 2012.  On August 30, 2012, Yellow Cab served an answer and new matter denying the material allegations of BIE’s amended complaint and alleging that the driver had refused service because he was already committed to another fare.  BIE filed an answer to the new matter on September 13, 2012.</w:t>
      </w:r>
    </w:p>
    <w:p w:rsidR="001758F8" w:rsidRPr="001758F8" w:rsidRDefault="001758F8" w:rsidP="001758F8">
      <w:pPr>
        <w:spacing w:line="360" w:lineRule="auto"/>
        <w:rPr>
          <w:sz w:val="24"/>
          <w:szCs w:val="24"/>
        </w:rPr>
      </w:pPr>
    </w:p>
    <w:p w:rsidR="001758F8" w:rsidRPr="001758F8" w:rsidRDefault="001758F8" w:rsidP="001758F8">
      <w:pPr>
        <w:spacing w:line="360" w:lineRule="auto"/>
        <w:ind w:firstLine="1440"/>
        <w:rPr>
          <w:sz w:val="24"/>
          <w:szCs w:val="24"/>
        </w:rPr>
      </w:pPr>
      <w:r w:rsidRPr="001758F8">
        <w:rPr>
          <w:sz w:val="24"/>
          <w:szCs w:val="24"/>
        </w:rPr>
        <w:t xml:space="preserve">By hearing notice dated June 11, 2013, this matter was assigned to me and scheduled for hearing on September 5, 2013.  The hearing proceeded as scheduled.  Heidi Wushinske, Esquire appeared on behalf of BIE and presented the testimony of the complainant, Dr. John Hooker and Commission Enforcement Officer Christopher Urey.  Three exhibits were </w:t>
      </w:r>
      <w:r w:rsidRPr="001758F8">
        <w:rPr>
          <w:sz w:val="24"/>
          <w:szCs w:val="24"/>
        </w:rPr>
        <w:lastRenderedPageBreak/>
        <w:t>admitted into the record.  Ray F. Middleman, Esquire appeared on behalf of Yellow Cab and presented the testimony of Charles Jones.  The hearing resulted in a transcript of 53 pages.  By order dated September 30, 2013 the record was closed.</w:t>
      </w:r>
    </w:p>
    <w:p w:rsidR="001758F8" w:rsidRPr="001758F8" w:rsidRDefault="001758F8" w:rsidP="001758F8">
      <w:pPr>
        <w:spacing w:line="360" w:lineRule="auto"/>
        <w:rPr>
          <w:sz w:val="24"/>
          <w:szCs w:val="24"/>
        </w:rPr>
      </w:pPr>
    </w:p>
    <w:p w:rsidR="001758F8" w:rsidRPr="001758F8" w:rsidRDefault="001758F8" w:rsidP="001758F8">
      <w:pPr>
        <w:spacing w:line="360" w:lineRule="auto"/>
        <w:ind w:firstLine="1440"/>
        <w:rPr>
          <w:sz w:val="24"/>
          <w:szCs w:val="24"/>
        </w:rPr>
      </w:pPr>
      <w:r w:rsidRPr="001758F8">
        <w:rPr>
          <w:sz w:val="24"/>
          <w:szCs w:val="24"/>
        </w:rPr>
        <w:t>After a full consideration of the record presented, I make the following:</w:t>
      </w:r>
    </w:p>
    <w:p w:rsidR="001758F8" w:rsidRPr="001758F8" w:rsidRDefault="001758F8" w:rsidP="001758F8">
      <w:pPr>
        <w:spacing w:line="360" w:lineRule="auto"/>
        <w:rPr>
          <w:sz w:val="24"/>
          <w:szCs w:val="24"/>
        </w:rPr>
      </w:pPr>
    </w:p>
    <w:p w:rsidR="001758F8" w:rsidRPr="001758F8" w:rsidRDefault="001758F8" w:rsidP="001758F8">
      <w:pPr>
        <w:spacing w:line="360" w:lineRule="auto"/>
        <w:jc w:val="center"/>
        <w:rPr>
          <w:sz w:val="24"/>
          <w:szCs w:val="24"/>
          <w:u w:val="single"/>
        </w:rPr>
      </w:pPr>
      <w:r w:rsidRPr="001758F8">
        <w:rPr>
          <w:sz w:val="24"/>
          <w:szCs w:val="24"/>
          <w:u w:val="single"/>
        </w:rPr>
        <w:t>FINDINGS OF FACT</w:t>
      </w:r>
    </w:p>
    <w:p w:rsidR="001758F8" w:rsidRPr="001758F8" w:rsidRDefault="001758F8" w:rsidP="001758F8">
      <w:pPr>
        <w:spacing w:line="360" w:lineRule="auto"/>
        <w:jc w:val="center"/>
        <w:rPr>
          <w:sz w:val="24"/>
          <w:szCs w:val="24"/>
          <w:u w:val="single"/>
        </w:rPr>
      </w:pPr>
    </w:p>
    <w:p w:rsidR="001758F8" w:rsidRPr="001758F8" w:rsidRDefault="001758F8" w:rsidP="001758F8">
      <w:pPr>
        <w:pStyle w:val="ListParagraph"/>
        <w:numPr>
          <w:ilvl w:val="0"/>
          <w:numId w:val="5"/>
        </w:numPr>
        <w:spacing w:line="360" w:lineRule="auto"/>
        <w:ind w:left="0" w:firstLine="1440"/>
        <w:contextualSpacing w:val="0"/>
        <w:rPr>
          <w:sz w:val="24"/>
          <w:szCs w:val="24"/>
        </w:rPr>
      </w:pPr>
      <w:r w:rsidRPr="001758F8">
        <w:rPr>
          <w:sz w:val="24"/>
          <w:szCs w:val="24"/>
        </w:rPr>
        <w:t>In the early morning of June 22, 2011, Dr. John Hooker called Yellow Cab for taxi service from the Amtrak station in Pittsburgh to his home in the Regent Park neighborhood of Pittsburgh.</w:t>
      </w:r>
      <w:r w:rsidR="004C524D">
        <w:rPr>
          <w:sz w:val="24"/>
          <w:szCs w:val="24"/>
        </w:rPr>
        <w:t xml:space="preserve"> </w:t>
      </w:r>
      <w:r w:rsidRPr="001758F8">
        <w:rPr>
          <w:sz w:val="24"/>
          <w:szCs w:val="24"/>
        </w:rPr>
        <w:t xml:space="preserve"> (N.T. 6)</w:t>
      </w:r>
    </w:p>
    <w:p w:rsidR="001758F8" w:rsidRPr="001758F8" w:rsidRDefault="001758F8" w:rsidP="001758F8">
      <w:pPr>
        <w:spacing w:line="360" w:lineRule="auto"/>
        <w:ind w:left="1440"/>
        <w:rPr>
          <w:sz w:val="24"/>
          <w:szCs w:val="24"/>
        </w:rPr>
      </w:pPr>
    </w:p>
    <w:p w:rsidR="001758F8" w:rsidRPr="001758F8" w:rsidRDefault="001758F8" w:rsidP="001758F8">
      <w:pPr>
        <w:pStyle w:val="ListParagraph"/>
        <w:numPr>
          <w:ilvl w:val="0"/>
          <w:numId w:val="5"/>
        </w:numPr>
        <w:spacing w:line="360" w:lineRule="auto"/>
        <w:ind w:left="0" w:firstLine="1440"/>
        <w:contextualSpacing w:val="0"/>
        <w:rPr>
          <w:sz w:val="24"/>
          <w:szCs w:val="24"/>
        </w:rPr>
      </w:pPr>
      <w:r w:rsidRPr="001758F8">
        <w:rPr>
          <w:sz w:val="24"/>
          <w:szCs w:val="24"/>
        </w:rPr>
        <w:t>He called Yellow Cab four times in the space of an hour and complained that he was still waiting for taxi service.</w:t>
      </w:r>
      <w:r w:rsidR="004C524D">
        <w:rPr>
          <w:sz w:val="24"/>
          <w:szCs w:val="24"/>
        </w:rPr>
        <w:t xml:space="preserve"> </w:t>
      </w:r>
      <w:r w:rsidRPr="001758F8">
        <w:rPr>
          <w:sz w:val="24"/>
          <w:szCs w:val="24"/>
        </w:rPr>
        <w:t xml:space="preserve"> (N.T. 6)</w:t>
      </w:r>
    </w:p>
    <w:p w:rsidR="001758F8" w:rsidRPr="001758F8" w:rsidRDefault="001758F8" w:rsidP="001758F8">
      <w:pPr>
        <w:spacing w:line="360" w:lineRule="auto"/>
        <w:ind w:left="1440"/>
        <w:rPr>
          <w:sz w:val="24"/>
          <w:szCs w:val="24"/>
        </w:rPr>
      </w:pPr>
    </w:p>
    <w:p w:rsidR="001758F8" w:rsidRPr="001758F8" w:rsidRDefault="001758F8" w:rsidP="001758F8">
      <w:pPr>
        <w:pStyle w:val="ListParagraph"/>
        <w:numPr>
          <w:ilvl w:val="0"/>
          <w:numId w:val="5"/>
        </w:numPr>
        <w:spacing w:line="360" w:lineRule="auto"/>
        <w:ind w:left="0" w:firstLine="1440"/>
        <w:contextualSpacing w:val="0"/>
        <w:rPr>
          <w:sz w:val="24"/>
          <w:szCs w:val="24"/>
        </w:rPr>
      </w:pPr>
      <w:r w:rsidRPr="001758F8">
        <w:rPr>
          <w:sz w:val="24"/>
          <w:szCs w:val="24"/>
        </w:rPr>
        <w:t xml:space="preserve">A taxi driven by Charles Jones arrived at the Amtrak station to discharge a passenger.  Dr. Hooker approached the taxi to ask for service. </w:t>
      </w:r>
      <w:r w:rsidR="004C524D">
        <w:rPr>
          <w:sz w:val="24"/>
          <w:szCs w:val="24"/>
        </w:rPr>
        <w:t xml:space="preserve"> </w:t>
      </w:r>
      <w:r w:rsidRPr="001758F8">
        <w:rPr>
          <w:sz w:val="24"/>
          <w:szCs w:val="24"/>
        </w:rPr>
        <w:t>(N.T. 6, 41)</w:t>
      </w:r>
    </w:p>
    <w:p w:rsidR="001758F8" w:rsidRPr="001758F8" w:rsidRDefault="001758F8" w:rsidP="001758F8">
      <w:pPr>
        <w:spacing w:line="360" w:lineRule="auto"/>
        <w:ind w:left="1440"/>
        <w:rPr>
          <w:sz w:val="24"/>
          <w:szCs w:val="24"/>
        </w:rPr>
      </w:pPr>
    </w:p>
    <w:p w:rsidR="001758F8" w:rsidRPr="001758F8" w:rsidRDefault="001758F8" w:rsidP="001758F8">
      <w:pPr>
        <w:pStyle w:val="ListParagraph"/>
        <w:numPr>
          <w:ilvl w:val="0"/>
          <w:numId w:val="5"/>
        </w:numPr>
        <w:spacing w:line="360" w:lineRule="auto"/>
        <w:ind w:left="0" w:firstLine="1440"/>
        <w:contextualSpacing w:val="0"/>
        <w:rPr>
          <w:sz w:val="24"/>
          <w:szCs w:val="24"/>
        </w:rPr>
      </w:pPr>
      <w:r w:rsidRPr="001758F8">
        <w:rPr>
          <w:sz w:val="24"/>
          <w:szCs w:val="24"/>
        </w:rPr>
        <w:t>Before arriving at the Amtrak station Mr. Jones had accepted a fare from the Yellow Cab dispatcher to pick up a passenger at the Renaissance Hotel on 6</w:t>
      </w:r>
      <w:r w:rsidRPr="001758F8">
        <w:rPr>
          <w:sz w:val="24"/>
          <w:szCs w:val="24"/>
          <w:vertAlign w:val="superscript"/>
        </w:rPr>
        <w:t>th</w:t>
      </w:r>
      <w:r w:rsidRPr="001758F8">
        <w:rPr>
          <w:sz w:val="24"/>
          <w:szCs w:val="24"/>
        </w:rPr>
        <w:t xml:space="preserve"> Avenue in downtown Pittsburgh for transport to the airport.</w:t>
      </w:r>
      <w:r w:rsidR="004C524D">
        <w:rPr>
          <w:sz w:val="24"/>
          <w:szCs w:val="24"/>
        </w:rPr>
        <w:t xml:space="preserve"> </w:t>
      </w:r>
      <w:r w:rsidRPr="001758F8">
        <w:rPr>
          <w:sz w:val="24"/>
          <w:szCs w:val="24"/>
        </w:rPr>
        <w:t xml:space="preserve"> (N.T. 41)</w:t>
      </w:r>
    </w:p>
    <w:p w:rsidR="001758F8" w:rsidRPr="001758F8" w:rsidRDefault="001758F8" w:rsidP="001758F8">
      <w:pPr>
        <w:spacing w:line="360" w:lineRule="auto"/>
        <w:ind w:left="1440"/>
        <w:rPr>
          <w:sz w:val="24"/>
          <w:szCs w:val="24"/>
        </w:rPr>
      </w:pPr>
    </w:p>
    <w:p w:rsidR="001758F8" w:rsidRPr="001758F8" w:rsidRDefault="001758F8" w:rsidP="001758F8">
      <w:pPr>
        <w:pStyle w:val="ListParagraph"/>
        <w:numPr>
          <w:ilvl w:val="0"/>
          <w:numId w:val="5"/>
        </w:numPr>
        <w:spacing w:line="360" w:lineRule="auto"/>
        <w:ind w:left="0" w:firstLine="1440"/>
        <w:contextualSpacing w:val="0"/>
        <w:rPr>
          <w:sz w:val="24"/>
          <w:szCs w:val="24"/>
        </w:rPr>
      </w:pPr>
      <w:r w:rsidRPr="001758F8">
        <w:rPr>
          <w:sz w:val="24"/>
          <w:szCs w:val="24"/>
        </w:rPr>
        <w:t>When Mr. Jones learned that Dr. Hooker wanted to go to Regent Square, which was about 25 minutes from downtown Pittsburgh in the morning rush hour traffic, he told him that he could not offer service.</w:t>
      </w:r>
      <w:r w:rsidR="004C524D">
        <w:rPr>
          <w:sz w:val="24"/>
          <w:szCs w:val="24"/>
        </w:rPr>
        <w:t xml:space="preserve"> </w:t>
      </w:r>
      <w:r w:rsidRPr="001758F8">
        <w:rPr>
          <w:sz w:val="24"/>
          <w:szCs w:val="24"/>
        </w:rPr>
        <w:t xml:space="preserve"> (N.T. 12)</w:t>
      </w:r>
    </w:p>
    <w:p w:rsidR="001758F8" w:rsidRPr="001758F8" w:rsidRDefault="001758F8" w:rsidP="001758F8">
      <w:pPr>
        <w:spacing w:line="360" w:lineRule="auto"/>
        <w:ind w:left="1440"/>
        <w:rPr>
          <w:sz w:val="24"/>
          <w:szCs w:val="24"/>
        </w:rPr>
      </w:pPr>
    </w:p>
    <w:p w:rsidR="001758F8" w:rsidRPr="001758F8" w:rsidRDefault="001758F8" w:rsidP="001758F8">
      <w:pPr>
        <w:pStyle w:val="ListParagraph"/>
        <w:numPr>
          <w:ilvl w:val="0"/>
          <w:numId w:val="5"/>
        </w:numPr>
        <w:spacing w:line="360" w:lineRule="auto"/>
        <w:ind w:left="0" w:firstLine="1440"/>
        <w:contextualSpacing w:val="0"/>
        <w:rPr>
          <w:sz w:val="24"/>
          <w:szCs w:val="24"/>
        </w:rPr>
      </w:pPr>
      <w:r w:rsidRPr="001758F8">
        <w:rPr>
          <w:sz w:val="24"/>
          <w:szCs w:val="24"/>
        </w:rPr>
        <w:t>If Mr. Jones had taken Dr. Hooker to Regent Square he would have been almost an hour late in picking up his passenger at the Renaissance Hotel.</w:t>
      </w:r>
      <w:r w:rsidR="004C524D">
        <w:rPr>
          <w:sz w:val="24"/>
          <w:szCs w:val="24"/>
        </w:rPr>
        <w:t xml:space="preserve"> </w:t>
      </w:r>
      <w:r w:rsidRPr="001758F8">
        <w:rPr>
          <w:sz w:val="24"/>
          <w:szCs w:val="24"/>
        </w:rPr>
        <w:t xml:space="preserve"> (N.T. 43, 46)</w:t>
      </w:r>
    </w:p>
    <w:p w:rsidR="001758F8" w:rsidRPr="001758F8" w:rsidRDefault="001758F8" w:rsidP="001758F8">
      <w:pPr>
        <w:spacing w:line="360" w:lineRule="auto"/>
        <w:ind w:left="1440"/>
        <w:rPr>
          <w:sz w:val="24"/>
          <w:szCs w:val="24"/>
        </w:rPr>
      </w:pPr>
    </w:p>
    <w:p w:rsidR="001758F8" w:rsidRPr="001758F8" w:rsidRDefault="001758F8" w:rsidP="001758F8">
      <w:pPr>
        <w:pStyle w:val="ListParagraph"/>
        <w:numPr>
          <w:ilvl w:val="0"/>
          <w:numId w:val="5"/>
        </w:numPr>
        <w:spacing w:line="360" w:lineRule="auto"/>
        <w:ind w:left="0" w:firstLine="1440"/>
        <w:contextualSpacing w:val="0"/>
        <w:rPr>
          <w:sz w:val="24"/>
          <w:szCs w:val="24"/>
        </w:rPr>
      </w:pPr>
      <w:r w:rsidRPr="001758F8">
        <w:rPr>
          <w:sz w:val="24"/>
          <w:szCs w:val="24"/>
        </w:rPr>
        <w:t>Enforcement Officer Christopher Urey investigated Dr. Hooker’s complaint by interviewing Dr. Hooker, Mr. Jones and asking for documents from Yellow Cab.  He completed a report which included the substance of his interviews and record review and forwarded the document to his supervisors.</w:t>
      </w:r>
      <w:r w:rsidR="004C524D">
        <w:rPr>
          <w:sz w:val="24"/>
          <w:szCs w:val="24"/>
        </w:rPr>
        <w:t xml:space="preserve"> </w:t>
      </w:r>
      <w:r w:rsidRPr="001758F8">
        <w:rPr>
          <w:sz w:val="24"/>
          <w:szCs w:val="24"/>
        </w:rPr>
        <w:t xml:space="preserve"> (N.T. 17-35)</w:t>
      </w:r>
    </w:p>
    <w:p w:rsidR="001758F8" w:rsidRPr="001758F8" w:rsidRDefault="001758F8" w:rsidP="001758F8">
      <w:pPr>
        <w:spacing w:line="360" w:lineRule="auto"/>
        <w:jc w:val="center"/>
        <w:rPr>
          <w:sz w:val="24"/>
          <w:szCs w:val="24"/>
          <w:u w:val="single"/>
        </w:rPr>
      </w:pPr>
    </w:p>
    <w:p w:rsidR="001758F8" w:rsidRPr="001758F8" w:rsidRDefault="001758F8" w:rsidP="001758F8">
      <w:pPr>
        <w:spacing w:line="360" w:lineRule="auto"/>
        <w:jc w:val="center"/>
        <w:rPr>
          <w:sz w:val="24"/>
          <w:szCs w:val="24"/>
          <w:u w:val="single"/>
        </w:rPr>
      </w:pPr>
      <w:r w:rsidRPr="001758F8">
        <w:rPr>
          <w:sz w:val="24"/>
          <w:szCs w:val="24"/>
          <w:u w:val="single"/>
        </w:rPr>
        <w:t>DISCUSSION</w:t>
      </w:r>
    </w:p>
    <w:p w:rsidR="001758F8" w:rsidRPr="001758F8" w:rsidRDefault="001758F8" w:rsidP="001758F8">
      <w:pPr>
        <w:spacing w:line="360" w:lineRule="auto"/>
        <w:rPr>
          <w:sz w:val="24"/>
          <w:szCs w:val="24"/>
        </w:rPr>
      </w:pPr>
    </w:p>
    <w:p w:rsidR="001758F8" w:rsidRPr="001758F8" w:rsidRDefault="001758F8" w:rsidP="001758F8">
      <w:pPr>
        <w:spacing w:line="360" w:lineRule="auto"/>
        <w:ind w:firstLine="1440"/>
        <w:rPr>
          <w:sz w:val="24"/>
          <w:szCs w:val="24"/>
        </w:rPr>
      </w:pPr>
      <w:r w:rsidRPr="001758F8">
        <w:rPr>
          <w:sz w:val="24"/>
          <w:szCs w:val="24"/>
        </w:rPr>
        <w:t>The burden of proof in this matter lies with the Bureau of Investigation and Enforcement (BIE).</w:t>
      </w:r>
      <w:r w:rsidRPr="001758F8">
        <w:rPr>
          <w:rStyle w:val="FootnoteReference"/>
          <w:sz w:val="24"/>
          <w:szCs w:val="24"/>
        </w:rPr>
        <w:footnoteReference w:id="1"/>
      </w:r>
      <w:r w:rsidRPr="001758F8">
        <w:rPr>
          <w:sz w:val="24"/>
          <w:szCs w:val="24"/>
        </w:rPr>
        <w:t xml:space="preserve">  Accordingly, BIE must establish the facts alleged in its complaint by a preponderance of the evidence.</w:t>
      </w:r>
      <w:r w:rsidRPr="001758F8">
        <w:rPr>
          <w:rStyle w:val="FootnoteReference"/>
          <w:sz w:val="24"/>
          <w:szCs w:val="24"/>
        </w:rPr>
        <w:footnoteReference w:id="2"/>
      </w:r>
      <w:r w:rsidRPr="001758F8">
        <w:rPr>
          <w:sz w:val="24"/>
          <w:szCs w:val="24"/>
        </w:rPr>
        <w:t xml:space="preserve">  Although the Pennsylvania Rules of Evidence are relaxed in an administrative proceeding, crucial findings of fact may not be established solely by hearsay evidence.</w:t>
      </w:r>
      <w:r w:rsidRPr="001758F8">
        <w:rPr>
          <w:rStyle w:val="FootnoteReference"/>
          <w:sz w:val="24"/>
          <w:szCs w:val="24"/>
        </w:rPr>
        <w:footnoteReference w:id="3"/>
      </w:r>
    </w:p>
    <w:p w:rsidR="001758F8" w:rsidRPr="001758F8" w:rsidRDefault="001758F8" w:rsidP="001758F8">
      <w:pPr>
        <w:spacing w:line="360" w:lineRule="auto"/>
        <w:rPr>
          <w:sz w:val="24"/>
          <w:szCs w:val="24"/>
        </w:rPr>
      </w:pPr>
    </w:p>
    <w:p w:rsidR="001758F8" w:rsidRPr="001758F8" w:rsidRDefault="001758F8" w:rsidP="001758F8">
      <w:pPr>
        <w:spacing w:line="360" w:lineRule="auto"/>
        <w:ind w:firstLine="1440"/>
        <w:rPr>
          <w:sz w:val="24"/>
          <w:szCs w:val="24"/>
        </w:rPr>
      </w:pPr>
      <w:r w:rsidRPr="001758F8">
        <w:rPr>
          <w:sz w:val="24"/>
          <w:szCs w:val="24"/>
        </w:rPr>
        <w:t>In this case the facts are these:  On the morning of June 22, 2011, Dr. John Hooker needed a taxi to take him and his wife from the Amtrak train station to Regent Square in Pittsburgh.  Dr. Hooker called Yellow Cab four times in the space of an hour requesting taxi service.  Eventually, a Yellow Cab taxi driven by Charles Jones arrived at the Amtrak station to discharge a passenger.  Dr. Hooker asked Mr. Jones to take him to Regent Square.  Shortly before arriving at the Amtrak station, Mr. Jones had accepted a fare from the Yellow Cab dispatcher to pick up a passenger at the Renaissance Hotel on 6</w:t>
      </w:r>
      <w:r w:rsidRPr="001758F8">
        <w:rPr>
          <w:sz w:val="24"/>
          <w:szCs w:val="24"/>
          <w:vertAlign w:val="superscript"/>
        </w:rPr>
        <w:t>th</w:t>
      </w:r>
      <w:r w:rsidRPr="001758F8">
        <w:rPr>
          <w:sz w:val="24"/>
          <w:szCs w:val="24"/>
        </w:rPr>
        <w:t xml:space="preserve"> Avenue in downtown Pittsburgh.  Mr. Jones knew he could not take Dr. Hooker to Regent Square and also pick up the Renaissance Hotel passenger in a timely manner.  Therefore, he refused service to Dr. Hooker.</w:t>
      </w:r>
    </w:p>
    <w:p w:rsidR="001758F8" w:rsidRPr="001758F8" w:rsidRDefault="001758F8" w:rsidP="001758F8">
      <w:pPr>
        <w:spacing w:line="360" w:lineRule="auto"/>
        <w:rPr>
          <w:sz w:val="24"/>
          <w:szCs w:val="24"/>
        </w:rPr>
      </w:pPr>
    </w:p>
    <w:p w:rsidR="001758F8" w:rsidRPr="001758F8" w:rsidRDefault="001758F8" w:rsidP="001758F8">
      <w:pPr>
        <w:spacing w:line="360" w:lineRule="auto"/>
        <w:ind w:firstLine="1440"/>
        <w:rPr>
          <w:sz w:val="24"/>
          <w:szCs w:val="24"/>
        </w:rPr>
      </w:pPr>
      <w:r w:rsidRPr="001758F8">
        <w:rPr>
          <w:sz w:val="24"/>
          <w:szCs w:val="24"/>
        </w:rPr>
        <w:t xml:space="preserve">BIE’s complaint is based solely on the refusal of service as a violation of Section 29.313(a) of the Commission’s regulations. </w:t>
      </w:r>
      <w:r w:rsidR="00177C1C">
        <w:rPr>
          <w:sz w:val="24"/>
          <w:szCs w:val="24"/>
        </w:rPr>
        <w:t xml:space="preserve"> </w:t>
      </w:r>
      <w:r w:rsidRPr="001758F8">
        <w:rPr>
          <w:sz w:val="24"/>
          <w:szCs w:val="24"/>
        </w:rPr>
        <w:t>Section 29</w:t>
      </w:r>
      <w:r w:rsidR="00177C1C">
        <w:rPr>
          <w:sz w:val="24"/>
          <w:szCs w:val="24"/>
        </w:rPr>
        <w:t>.313(a)</w:t>
      </w:r>
      <w:r w:rsidRPr="001758F8">
        <w:rPr>
          <w:sz w:val="24"/>
          <w:szCs w:val="24"/>
        </w:rPr>
        <w:t xml:space="preserve"> requires taxi drivers to furnish trip service when they are available to do so:</w:t>
      </w:r>
    </w:p>
    <w:p w:rsidR="001758F8" w:rsidRPr="001758F8" w:rsidRDefault="001758F8" w:rsidP="001758F8">
      <w:pPr>
        <w:tabs>
          <w:tab w:val="left" w:pos="7830"/>
        </w:tabs>
        <w:spacing w:line="360" w:lineRule="auto"/>
        <w:ind w:left="1260" w:right="1440"/>
        <w:rPr>
          <w:sz w:val="24"/>
          <w:szCs w:val="24"/>
        </w:rPr>
      </w:pPr>
    </w:p>
    <w:p w:rsidR="001758F8" w:rsidRPr="001758F8" w:rsidRDefault="001758F8" w:rsidP="001758F8">
      <w:pPr>
        <w:pStyle w:val="ListParagraph"/>
        <w:numPr>
          <w:ilvl w:val="0"/>
          <w:numId w:val="4"/>
        </w:numPr>
        <w:ind w:left="2160" w:right="1440" w:hanging="720"/>
        <w:contextualSpacing w:val="0"/>
        <w:rPr>
          <w:sz w:val="24"/>
          <w:szCs w:val="24"/>
        </w:rPr>
      </w:pPr>
      <w:r w:rsidRPr="001758F8">
        <w:rPr>
          <w:i/>
          <w:iCs/>
          <w:sz w:val="24"/>
          <w:szCs w:val="24"/>
        </w:rPr>
        <w:t xml:space="preserve">Required to provide service. </w:t>
      </w:r>
      <w:r w:rsidRPr="001758F8">
        <w:rPr>
          <w:sz w:val="24"/>
          <w:szCs w:val="24"/>
        </w:rPr>
        <w:t>A driver of a call or demand vehicle shall, at all times when on duty and not engaged, furnish trip service on demand to an orderly person for lawful purposes.</w:t>
      </w:r>
      <w:r w:rsidRPr="001758F8">
        <w:rPr>
          <w:rStyle w:val="FootnoteReference"/>
          <w:sz w:val="24"/>
          <w:szCs w:val="24"/>
        </w:rPr>
        <w:footnoteReference w:id="4"/>
      </w:r>
    </w:p>
    <w:p w:rsidR="001758F8" w:rsidRPr="001758F8" w:rsidRDefault="001758F8" w:rsidP="001758F8">
      <w:pPr>
        <w:ind w:left="1650"/>
        <w:rPr>
          <w:sz w:val="24"/>
          <w:szCs w:val="24"/>
        </w:rPr>
      </w:pPr>
    </w:p>
    <w:p w:rsidR="001758F8" w:rsidRPr="001758F8" w:rsidRDefault="001758F8" w:rsidP="001758F8">
      <w:pPr>
        <w:tabs>
          <w:tab w:val="left" w:pos="7830"/>
        </w:tabs>
        <w:ind w:left="1260" w:right="1440"/>
        <w:rPr>
          <w:sz w:val="24"/>
          <w:szCs w:val="24"/>
        </w:rPr>
      </w:pPr>
    </w:p>
    <w:p w:rsidR="001758F8" w:rsidRPr="001758F8" w:rsidRDefault="001758F8" w:rsidP="001758F8">
      <w:pPr>
        <w:spacing w:line="360" w:lineRule="auto"/>
        <w:ind w:firstLine="1440"/>
        <w:rPr>
          <w:iCs/>
          <w:sz w:val="24"/>
          <w:szCs w:val="24"/>
        </w:rPr>
      </w:pPr>
      <w:r w:rsidRPr="001758F8">
        <w:rPr>
          <w:iCs/>
          <w:sz w:val="24"/>
          <w:szCs w:val="24"/>
        </w:rPr>
        <w:t>In this case the testimony of Mr. Jones is that he was already engaged by a customer at the Renaissance Hotel.  BIE did not impeach his testimony or offer any other evidence to refute his testimony.  Dr. Hooker even testified that Mr. Jones told him that he could not take him because he had already been booked by another customer.  Accordingly, there is no evidence of any violation of Section 29.313(a), which would constitute unreasonable service.</w:t>
      </w:r>
      <w:r w:rsidRPr="001758F8">
        <w:rPr>
          <w:rStyle w:val="FootnoteReference"/>
          <w:iCs/>
          <w:sz w:val="24"/>
          <w:szCs w:val="24"/>
        </w:rPr>
        <w:footnoteReference w:id="5"/>
      </w:r>
    </w:p>
    <w:p w:rsidR="001758F8" w:rsidRPr="001758F8" w:rsidRDefault="001758F8" w:rsidP="001758F8">
      <w:pPr>
        <w:spacing w:line="360" w:lineRule="auto"/>
        <w:jc w:val="center"/>
        <w:rPr>
          <w:iCs/>
          <w:sz w:val="24"/>
          <w:szCs w:val="24"/>
          <w:u w:val="single"/>
        </w:rPr>
      </w:pPr>
    </w:p>
    <w:p w:rsidR="001758F8" w:rsidRPr="001758F8" w:rsidRDefault="001758F8" w:rsidP="001758F8">
      <w:pPr>
        <w:spacing w:line="360" w:lineRule="auto"/>
        <w:jc w:val="center"/>
        <w:rPr>
          <w:iCs/>
          <w:sz w:val="24"/>
          <w:szCs w:val="24"/>
          <w:u w:val="single"/>
        </w:rPr>
      </w:pPr>
      <w:r w:rsidRPr="001758F8">
        <w:rPr>
          <w:iCs/>
          <w:sz w:val="24"/>
          <w:szCs w:val="24"/>
          <w:u w:val="single"/>
        </w:rPr>
        <w:t>CONCLUSIONS OF LAW</w:t>
      </w:r>
    </w:p>
    <w:p w:rsidR="001758F8" w:rsidRPr="001758F8" w:rsidRDefault="001758F8" w:rsidP="001758F8">
      <w:pPr>
        <w:spacing w:line="360" w:lineRule="auto"/>
        <w:jc w:val="center"/>
        <w:rPr>
          <w:iCs/>
          <w:sz w:val="24"/>
          <w:szCs w:val="24"/>
          <w:u w:val="single"/>
        </w:rPr>
      </w:pPr>
    </w:p>
    <w:p w:rsidR="001758F8" w:rsidRPr="001758F8" w:rsidRDefault="001758F8" w:rsidP="001758F8">
      <w:pPr>
        <w:pStyle w:val="ListParagraph"/>
        <w:numPr>
          <w:ilvl w:val="0"/>
          <w:numId w:val="6"/>
        </w:numPr>
        <w:spacing w:line="360" w:lineRule="auto"/>
        <w:ind w:left="0" w:firstLine="1440"/>
        <w:contextualSpacing w:val="0"/>
        <w:rPr>
          <w:sz w:val="24"/>
          <w:szCs w:val="24"/>
        </w:rPr>
      </w:pPr>
      <w:r w:rsidRPr="001758F8">
        <w:rPr>
          <w:sz w:val="24"/>
          <w:szCs w:val="24"/>
        </w:rPr>
        <w:t>The Commission has jurisdicti</w:t>
      </w:r>
      <w:r w:rsidR="004C524D">
        <w:rPr>
          <w:sz w:val="24"/>
          <w:szCs w:val="24"/>
        </w:rPr>
        <w:t xml:space="preserve">on over the parties and subject </w:t>
      </w:r>
      <w:r w:rsidRPr="001758F8">
        <w:rPr>
          <w:sz w:val="24"/>
          <w:szCs w:val="24"/>
        </w:rPr>
        <w:t>matter of this dispute.</w:t>
      </w:r>
    </w:p>
    <w:p w:rsidR="001758F8" w:rsidRPr="001758F8" w:rsidRDefault="001758F8" w:rsidP="001758F8">
      <w:pPr>
        <w:spacing w:line="360" w:lineRule="auto"/>
        <w:ind w:firstLine="1440"/>
        <w:rPr>
          <w:sz w:val="24"/>
          <w:szCs w:val="24"/>
        </w:rPr>
      </w:pPr>
    </w:p>
    <w:p w:rsidR="001758F8" w:rsidRPr="001758F8" w:rsidRDefault="001758F8" w:rsidP="001758F8">
      <w:pPr>
        <w:spacing w:line="360" w:lineRule="auto"/>
        <w:ind w:firstLine="1440"/>
        <w:rPr>
          <w:iCs/>
          <w:sz w:val="24"/>
          <w:szCs w:val="24"/>
        </w:rPr>
      </w:pPr>
      <w:r w:rsidRPr="001758F8">
        <w:rPr>
          <w:iCs/>
          <w:sz w:val="24"/>
          <w:szCs w:val="24"/>
        </w:rPr>
        <w:t>2.</w:t>
      </w:r>
      <w:r w:rsidRPr="001758F8">
        <w:rPr>
          <w:iCs/>
          <w:sz w:val="24"/>
          <w:szCs w:val="24"/>
        </w:rPr>
        <w:tab/>
        <w:t>There is no evidence that a driver of Yellow Cab improperly refused to provide taxi service.  52 Pa.Code § 29.313(a); 66 Pa.C.S. § 1501.</w:t>
      </w:r>
    </w:p>
    <w:p w:rsidR="001758F8" w:rsidRPr="001758F8" w:rsidRDefault="001758F8" w:rsidP="001758F8">
      <w:pPr>
        <w:spacing w:line="360" w:lineRule="auto"/>
        <w:jc w:val="center"/>
        <w:rPr>
          <w:iCs/>
          <w:sz w:val="24"/>
          <w:szCs w:val="24"/>
          <w:u w:val="single"/>
        </w:rPr>
      </w:pPr>
    </w:p>
    <w:p w:rsidR="001758F8" w:rsidRPr="001758F8" w:rsidRDefault="001758F8" w:rsidP="001758F8">
      <w:pPr>
        <w:spacing w:line="360" w:lineRule="auto"/>
        <w:jc w:val="center"/>
        <w:rPr>
          <w:iCs/>
          <w:sz w:val="24"/>
          <w:szCs w:val="24"/>
          <w:u w:val="single"/>
        </w:rPr>
      </w:pPr>
    </w:p>
    <w:p w:rsidR="001758F8" w:rsidRPr="001758F8" w:rsidRDefault="001758F8" w:rsidP="001758F8">
      <w:pPr>
        <w:spacing w:line="360" w:lineRule="auto"/>
        <w:jc w:val="center"/>
        <w:rPr>
          <w:iCs/>
          <w:sz w:val="24"/>
          <w:szCs w:val="24"/>
          <w:u w:val="single"/>
        </w:rPr>
      </w:pPr>
      <w:r w:rsidRPr="001758F8">
        <w:rPr>
          <w:iCs/>
          <w:sz w:val="24"/>
          <w:szCs w:val="24"/>
          <w:u w:val="single"/>
        </w:rPr>
        <w:t>ORDER</w:t>
      </w:r>
    </w:p>
    <w:p w:rsidR="001758F8" w:rsidRPr="001758F8" w:rsidRDefault="001758F8" w:rsidP="001E78A4">
      <w:pPr>
        <w:spacing w:line="480" w:lineRule="auto"/>
        <w:rPr>
          <w:iCs/>
          <w:sz w:val="24"/>
          <w:szCs w:val="24"/>
        </w:rPr>
      </w:pPr>
    </w:p>
    <w:p w:rsidR="001758F8" w:rsidRPr="001758F8" w:rsidRDefault="001758F8" w:rsidP="001758F8">
      <w:pPr>
        <w:spacing w:line="360" w:lineRule="auto"/>
        <w:ind w:firstLine="1440"/>
        <w:rPr>
          <w:iCs/>
          <w:sz w:val="24"/>
          <w:szCs w:val="24"/>
        </w:rPr>
      </w:pPr>
      <w:r w:rsidRPr="001758F8">
        <w:rPr>
          <w:iCs/>
          <w:sz w:val="24"/>
          <w:szCs w:val="24"/>
        </w:rPr>
        <w:t>THEREFORE,</w:t>
      </w:r>
    </w:p>
    <w:p w:rsidR="001758F8" w:rsidRPr="001758F8" w:rsidRDefault="001758F8" w:rsidP="001758F8">
      <w:pPr>
        <w:spacing w:line="360" w:lineRule="auto"/>
        <w:ind w:firstLine="1440"/>
        <w:rPr>
          <w:iCs/>
          <w:sz w:val="24"/>
          <w:szCs w:val="24"/>
        </w:rPr>
      </w:pPr>
    </w:p>
    <w:p w:rsidR="001758F8" w:rsidRPr="001758F8" w:rsidRDefault="001758F8" w:rsidP="001758F8">
      <w:pPr>
        <w:spacing w:line="360" w:lineRule="auto"/>
        <w:ind w:firstLine="1440"/>
        <w:rPr>
          <w:iCs/>
          <w:sz w:val="24"/>
          <w:szCs w:val="24"/>
        </w:rPr>
      </w:pPr>
      <w:r w:rsidRPr="001758F8">
        <w:rPr>
          <w:iCs/>
          <w:sz w:val="24"/>
          <w:szCs w:val="24"/>
        </w:rPr>
        <w:t>IT IS ORDERED:</w:t>
      </w:r>
      <w:bookmarkStart w:id="0" w:name="_GoBack"/>
      <w:bookmarkEnd w:id="0"/>
    </w:p>
    <w:p w:rsidR="001758F8" w:rsidRPr="001758F8" w:rsidRDefault="001758F8" w:rsidP="001758F8">
      <w:pPr>
        <w:spacing w:line="360" w:lineRule="auto"/>
        <w:rPr>
          <w:iCs/>
          <w:sz w:val="24"/>
          <w:szCs w:val="24"/>
        </w:rPr>
      </w:pPr>
      <w:r w:rsidRPr="001758F8">
        <w:rPr>
          <w:iCs/>
          <w:sz w:val="24"/>
          <w:szCs w:val="24"/>
        </w:rPr>
        <w:tab/>
      </w:r>
    </w:p>
    <w:p w:rsidR="001758F8" w:rsidRDefault="001758F8" w:rsidP="001758F8">
      <w:pPr>
        <w:spacing w:line="360" w:lineRule="auto"/>
        <w:ind w:firstLine="1440"/>
        <w:rPr>
          <w:iCs/>
          <w:sz w:val="24"/>
          <w:szCs w:val="24"/>
        </w:rPr>
      </w:pPr>
      <w:r w:rsidRPr="001758F8">
        <w:rPr>
          <w:iCs/>
          <w:sz w:val="24"/>
          <w:szCs w:val="24"/>
        </w:rPr>
        <w:t>1.</w:t>
      </w:r>
      <w:r w:rsidRPr="001758F8">
        <w:rPr>
          <w:iCs/>
          <w:sz w:val="24"/>
          <w:szCs w:val="24"/>
        </w:rPr>
        <w:tab/>
        <w:t>That the complaint of the Bureau of Investigation and Enforcement at PUC Docket No. C-2012-2249031 is dismissed.</w:t>
      </w:r>
    </w:p>
    <w:p w:rsidR="001E78A4" w:rsidRPr="001758F8" w:rsidRDefault="001E78A4" w:rsidP="001758F8">
      <w:pPr>
        <w:spacing w:line="360" w:lineRule="auto"/>
        <w:ind w:firstLine="1440"/>
        <w:rPr>
          <w:iCs/>
          <w:sz w:val="24"/>
          <w:szCs w:val="24"/>
        </w:rPr>
      </w:pPr>
    </w:p>
    <w:p w:rsidR="001758F8" w:rsidRPr="001758F8" w:rsidRDefault="001758F8" w:rsidP="001758F8">
      <w:pPr>
        <w:spacing w:line="360" w:lineRule="auto"/>
        <w:ind w:firstLine="1440"/>
        <w:rPr>
          <w:sz w:val="24"/>
          <w:szCs w:val="24"/>
        </w:rPr>
      </w:pPr>
      <w:r w:rsidRPr="001758F8">
        <w:rPr>
          <w:iCs/>
          <w:sz w:val="24"/>
          <w:szCs w:val="24"/>
        </w:rPr>
        <w:t>2.</w:t>
      </w:r>
      <w:r w:rsidRPr="001758F8">
        <w:rPr>
          <w:iCs/>
          <w:sz w:val="24"/>
          <w:szCs w:val="24"/>
        </w:rPr>
        <w:tab/>
        <w:t>That the Secretary mark this docket closed and discontinued.</w:t>
      </w:r>
    </w:p>
    <w:p w:rsidR="00671FD6" w:rsidRPr="00E93582" w:rsidRDefault="00671FD6" w:rsidP="001758F8">
      <w:pPr>
        <w:tabs>
          <w:tab w:val="left" w:pos="0"/>
        </w:tabs>
        <w:spacing w:line="360" w:lineRule="auto"/>
        <w:jc w:val="both"/>
        <w:rPr>
          <w:sz w:val="24"/>
          <w:szCs w:val="24"/>
        </w:rPr>
      </w:pPr>
    </w:p>
    <w:p w:rsidR="00671FD6" w:rsidRPr="00E93582" w:rsidRDefault="00671FD6" w:rsidP="00671FD6">
      <w:pPr>
        <w:tabs>
          <w:tab w:val="left" w:pos="0"/>
        </w:tabs>
        <w:spacing w:line="360" w:lineRule="auto"/>
        <w:jc w:val="both"/>
        <w:rPr>
          <w:sz w:val="24"/>
          <w:szCs w:val="24"/>
        </w:rPr>
      </w:pPr>
    </w:p>
    <w:p w:rsidR="001758F8" w:rsidRPr="009E6175" w:rsidRDefault="001758F8" w:rsidP="001758F8">
      <w:pPr>
        <w:tabs>
          <w:tab w:val="left" w:pos="0"/>
        </w:tabs>
        <w:jc w:val="both"/>
        <w:rPr>
          <w:sz w:val="24"/>
          <w:szCs w:val="24"/>
          <w:u w:val="single"/>
        </w:rPr>
      </w:pPr>
      <w:r w:rsidRPr="009E6175">
        <w:rPr>
          <w:sz w:val="24"/>
          <w:szCs w:val="24"/>
        </w:rPr>
        <w:t xml:space="preserve">Date:  </w:t>
      </w:r>
      <w:r>
        <w:rPr>
          <w:sz w:val="24"/>
          <w:szCs w:val="24"/>
          <w:u w:val="single"/>
        </w:rPr>
        <w:t>October 8,</w:t>
      </w:r>
      <w:r w:rsidRPr="009E6175">
        <w:rPr>
          <w:sz w:val="24"/>
          <w:szCs w:val="24"/>
          <w:u w:val="single"/>
        </w:rPr>
        <w:t xml:space="preserve"> 2013</w:t>
      </w:r>
      <w:r w:rsidRPr="009E6175">
        <w:rPr>
          <w:sz w:val="24"/>
          <w:szCs w:val="24"/>
        </w:rPr>
        <w:tab/>
      </w:r>
      <w:r w:rsidRPr="009E6175">
        <w:rPr>
          <w:sz w:val="24"/>
          <w:szCs w:val="24"/>
        </w:rPr>
        <w:tab/>
      </w:r>
      <w:r>
        <w:rPr>
          <w:sz w:val="24"/>
          <w:szCs w:val="24"/>
        </w:rPr>
        <w:tab/>
      </w:r>
      <w:r>
        <w:rPr>
          <w:sz w:val="24"/>
          <w:szCs w:val="24"/>
        </w:rPr>
        <w:tab/>
      </w:r>
      <w:r w:rsidRPr="009E6175">
        <w:rPr>
          <w:sz w:val="24"/>
          <w:szCs w:val="24"/>
          <w:u w:val="single"/>
        </w:rPr>
        <w:tab/>
      </w:r>
      <w:r w:rsidRPr="009E6175">
        <w:rPr>
          <w:sz w:val="24"/>
          <w:szCs w:val="24"/>
          <w:u w:val="single"/>
        </w:rPr>
        <w:tab/>
        <w:t>/s/</w:t>
      </w:r>
      <w:r w:rsidRPr="009E6175">
        <w:rPr>
          <w:sz w:val="24"/>
          <w:szCs w:val="24"/>
          <w:u w:val="single"/>
        </w:rPr>
        <w:tab/>
      </w:r>
      <w:r w:rsidRPr="009E6175">
        <w:rPr>
          <w:sz w:val="24"/>
          <w:szCs w:val="24"/>
          <w:u w:val="single"/>
        </w:rPr>
        <w:tab/>
      </w:r>
      <w:r w:rsidRPr="009E6175">
        <w:rPr>
          <w:sz w:val="24"/>
          <w:szCs w:val="24"/>
          <w:u w:val="single"/>
        </w:rPr>
        <w:tab/>
      </w:r>
    </w:p>
    <w:p w:rsidR="001758F8" w:rsidRPr="009E6175" w:rsidRDefault="001758F8" w:rsidP="001758F8">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t>Mary D. Long</w:t>
      </w:r>
    </w:p>
    <w:p w:rsidR="001758F8" w:rsidRDefault="001758F8" w:rsidP="001758F8">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t>Administrative Law Judge</w:t>
      </w:r>
    </w:p>
    <w:sectPr w:rsidR="001758F8"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1D5" w:rsidRDefault="003A51D5">
      <w:r>
        <w:separator/>
      </w:r>
    </w:p>
  </w:endnote>
  <w:endnote w:type="continuationSeparator" w:id="0">
    <w:p w:rsidR="003A51D5" w:rsidRDefault="003A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9A091E">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88974"/>
      <w:docPartObj>
        <w:docPartGallery w:val="Page Numbers (Bottom of Page)"/>
        <w:docPartUnique/>
      </w:docPartObj>
    </w:sdtPr>
    <w:sdtEndPr/>
    <w:sdtContent>
      <w:p w:rsidR="00671FD6" w:rsidRDefault="00504601">
        <w:pPr>
          <w:pStyle w:val="Footer"/>
          <w:jc w:val="center"/>
        </w:pPr>
        <w:r>
          <w:fldChar w:fldCharType="begin"/>
        </w:r>
        <w:r>
          <w:instrText xml:space="preserve"> PAGE   \* MERGEFORMAT </w:instrText>
        </w:r>
        <w:r>
          <w:fldChar w:fldCharType="separate"/>
        </w:r>
        <w:r w:rsidR="001D0AF0">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1D5" w:rsidRDefault="003A51D5">
      <w:r>
        <w:separator/>
      </w:r>
    </w:p>
  </w:footnote>
  <w:footnote w:type="continuationSeparator" w:id="0">
    <w:p w:rsidR="003A51D5" w:rsidRDefault="003A51D5">
      <w:r>
        <w:continuationSeparator/>
      </w:r>
    </w:p>
  </w:footnote>
  <w:footnote w:id="1">
    <w:p w:rsidR="001758F8" w:rsidRDefault="001758F8" w:rsidP="001758F8">
      <w:pPr>
        <w:pStyle w:val="FootnoteText"/>
      </w:pPr>
      <w:r>
        <w:rPr>
          <w:rStyle w:val="FootnoteReference"/>
        </w:rPr>
        <w:footnoteRef/>
      </w:r>
      <w:r>
        <w:t xml:space="preserve"> </w:t>
      </w:r>
      <w:r>
        <w:tab/>
        <w:t xml:space="preserve"> </w:t>
      </w:r>
      <w:r w:rsidRPr="0046250B">
        <w:rPr>
          <w:i/>
        </w:rPr>
        <w:t>Public Utility Commission v. Donald A. Fix, Jr., t/d/b/a Hindman Moving and Storage</w:t>
      </w:r>
      <w:r>
        <w:t xml:space="preserve">, </w:t>
      </w:r>
      <w:r w:rsidRPr="005C6E1C">
        <w:t>PUC Docket No</w:t>
      </w:r>
      <w:r>
        <w:t xml:space="preserve">. A-00112441C9902 (Commission Order entered March 2, 2000); </w:t>
      </w:r>
      <w:r w:rsidRPr="0046250B">
        <w:rPr>
          <w:i/>
        </w:rPr>
        <w:t>Publ</w:t>
      </w:r>
      <w:r w:rsidR="001E78A4">
        <w:rPr>
          <w:i/>
        </w:rPr>
        <w:t>ic Utility Commission v. Donald </w:t>
      </w:r>
      <w:r w:rsidRPr="0046250B">
        <w:rPr>
          <w:i/>
        </w:rPr>
        <w:t>A. Fix, Jr., t/d/b/a Hindman Moving and Storage</w:t>
      </w:r>
      <w:r>
        <w:t>, PUC Docket No. A-00112441C9701 (Commission Order entered April 10, 1998).</w:t>
      </w:r>
    </w:p>
    <w:p w:rsidR="001758F8" w:rsidRPr="00AB3452" w:rsidRDefault="001758F8" w:rsidP="001758F8">
      <w:pPr>
        <w:pStyle w:val="FootnoteText"/>
      </w:pPr>
    </w:p>
  </w:footnote>
  <w:footnote w:id="2">
    <w:p w:rsidR="001758F8" w:rsidRDefault="001758F8" w:rsidP="001758F8">
      <w:pPr>
        <w:pStyle w:val="FootnoteText"/>
      </w:pPr>
      <w:r w:rsidRPr="00C81B96">
        <w:rPr>
          <w:rStyle w:val="FootnoteReference"/>
        </w:rPr>
        <w:footnoteRef/>
      </w:r>
      <w:r w:rsidRPr="00C81B96">
        <w:t xml:space="preserve"> </w:t>
      </w:r>
      <w:r>
        <w:tab/>
      </w:r>
      <w:r w:rsidRPr="00144E27">
        <w:rPr>
          <w:i/>
        </w:rPr>
        <w:t>Se-Ling Hosiery, Inc. v. Margulies</w:t>
      </w:r>
      <w:r w:rsidRPr="00C81B96">
        <w:t xml:space="preserve">, 364 Pa. 45, 70 A.2d 854 (1950); </w:t>
      </w:r>
      <w:r w:rsidRPr="00144E27">
        <w:rPr>
          <w:i/>
        </w:rPr>
        <w:t>Feinstein v. Philadelphia Suburban Water Company</w:t>
      </w:r>
      <w:r w:rsidRPr="00C81B96">
        <w:t>, 50 P</w:t>
      </w:r>
      <w:r w:rsidR="001E78A4">
        <w:t>a.</w:t>
      </w:r>
      <w:r w:rsidRPr="00C81B96">
        <w:t xml:space="preserve"> PUC 300 (1976).</w:t>
      </w:r>
    </w:p>
    <w:p w:rsidR="001758F8" w:rsidRPr="00C81B96" w:rsidRDefault="001758F8" w:rsidP="001758F8">
      <w:pPr>
        <w:pStyle w:val="FootnoteText"/>
      </w:pPr>
    </w:p>
  </w:footnote>
  <w:footnote w:id="3">
    <w:p w:rsidR="001758F8" w:rsidRDefault="001758F8" w:rsidP="001758F8">
      <w:pPr>
        <w:pStyle w:val="FootnoteText"/>
      </w:pPr>
      <w:r>
        <w:rPr>
          <w:rStyle w:val="FootnoteReference"/>
        </w:rPr>
        <w:footnoteRef/>
      </w:r>
      <w:r>
        <w:t xml:space="preserve"> </w:t>
      </w:r>
      <w:r>
        <w:tab/>
      </w:r>
      <w:r w:rsidRPr="008A2634">
        <w:rPr>
          <w:i/>
        </w:rPr>
        <w:t>Walker v. Unemployment Comp. Board of Review</w:t>
      </w:r>
      <w:r>
        <w:t>, 367 A.2d 366 (Pa.</w:t>
      </w:r>
      <w:r w:rsidRPr="008A2634">
        <w:t xml:space="preserve">Cmwlth. 1967); </w:t>
      </w:r>
      <w:r w:rsidRPr="008A2634">
        <w:rPr>
          <w:i/>
        </w:rPr>
        <w:t>Anderson v. Dept. of Public Welfare,</w:t>
      </w:r>
      <w:r w:rsidRPr="008A2634">
        <w:t xml:space="preserve"> 46</w:t>
      </w:r>
      <w:r>
        <w:t>8 A.2d 1167 (Pa.Cmwlth. 1983).</w:t>
      </w:r>
    </w:p>
  </w:footnote>
  <w:footnote w:id="4">
    <w:p w:rsidR="001758F8" w:rsidRDefault="001758F8" w:rsidP="001758F8">
      <w:pPr>
        <w:pStyle w:val="FootnoteText"/>
      </w:pPr>
      <w:r>
        <w:rPr>
          <w:rStyle w:val="FootnoteReference"/>
        </w:rPr>
        <w:footnoteRef/>
      </w:r>
      <w:r>
        <w:t xml:space="preserve"> </w:t>
      </w:r>
      <w:r>
        <w:tab/>
        <w:t>52 Pa.Code § 29.313(a).</w:t>
      </w:r>
    </w:p>
    <w:p w:rsidR="001758F8" w:rsidRDefault="001758F8" w:rsidP="001758F8">
      <w:pPr>
        <w:pStyle w:val="FootnoteText"/>
      </w:pPr>
    </w:p>
  </w:footnote>
  <w:footnote w:id="5">
    <w:p w:rsidR="001758F8" w:rsidRDefault="001758F8" w:rsidP="001758F8">
      <w:pPr>
        <w:pStyle w:val="FootnoteText"/>
      </w:pPr>
      <w:r>
        <w:rPr>
          <w:rStyle w:val="FootnoteReference"/>
        </w:rPr>
        <w:footnoteRef/>
      </w:r>
      <w:r>
        <w:t xml:space="preserve">  </w:t>
      </w:r>
      <w:r>
        <w:tab/>
        <w:t>Although the complaint mentions Mr. Jones’ failure to log a trip, a violation of the Commission’s regulations was not charged on this basis.  Nor did BIE allege a failure by Yellow Cab to provide taxi service in a timely manner to Dr. Hooker.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1AF9"/>
    <w:multiLevelType w:val="hybridMultilevel"/>
    <w:tmpl w:val="977CFD04"/>
    <w:lvl w:ilvl="0" w:tplc="3AF05350">
      <w:start w:val="1"/>
      <w:numFmt w:val="low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6DB161D7"/>
    <w:multiLevelType w:val="hybridMultilevel"/>
    <w:tmpl w:val="E8DA9F12"/>
    <w:lvl w:ilvl="0" w:tplc="DDFCD0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
    <w:lvlOverride w:ilvl="0">
      <w:startOverride w:val="1"/>
    </w:lvlOverride>
  </w:num>
  <w:num w:numId="4">
    <w:abstractNumId w:val="0"/>
  </w:num>
  <w:num w:numId="5">
    <w:abstractNumId w:val="3"/>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3D16"/>
    <w:rsid w:val="0001497D"/>
    <w:rsid w:val="00037EA8"/>
    <w:rsid w:val="00076AB6"/>
    <w:rsid w:val="0008404B"/>
    <w:rsid w:val="000A46E8"/>
    <w:rsid w:val="000F718A"/>
    <w:rsid w:val="00143187"/>
    <w:rsid w:val="00143935"/>
    <w:rsid w:val="001601CE"/>
    <w:rsid w:val="0017554E"/>
    <w:rsid w:val="001758F8"/>
    <w:rsid w:val="00177C1C"/>
    <w:rsid w:val="001932F7"/>
    <w:rsid w:val="001A00E0"/>
    <w:rsid w:val="001D0AF0"/>
    <w:rsid w:val="001D7D3E"/>
    <w:rsid w:val="001E59B9"/>
    <w:rsid w:val="001E78A4"/>
    <w:rsid w:val="001F4423"/>
    <w:rsid w:val="001F59DC"/>
    <w:rsid w:val="00227AFE"/>
    <w:rsid w:val="00234236"/>
    <w:rsid w:val="002414B5"/>
    <w:rsid w:val="00247900"/>
    <w:rsid w:val="00256B89"/>
    <w:rsid w:val="0026268C"/>
    <w:rsid w:val="00273ABB"/>
    <w:rsid w:val="00275A24"/>
    <w:rsid w:val="00295472"/>
    <w:rsid w:val="00295C39"/>
    <w:rsid w:val="002C634C"/>
    <w:rsid w:val="002D5E29"/>
    <w:rsid w:val="003232B1"/>
    <w:rsid w:val="00332CA0"/>
    <w:rsid w:val="003612E1"/>
    <w:rsid w:val="00376B71"/>
    <w:rsid w:val="00385D0E"/>
    <w:rsid w:val="003A51D5"/>
    <w:rsid w:val="003C150F"/>
    <w:rsid w:val="003C5118"/>
    <w:rsid w:val="003D6CD2"/>
    <w:rsid w:val="003E24DA"/>
    <w:rsid w:val="004024E6"/>
    <w:rsid w:val="00412B85"/>
    <w:rsid w:val="0044702F"/>
    <w:rsid w:val="0047386A"/>
    <w:rsid w:val="0049263C"/>
    <w:rsid w:val="004C524D"/>
    <w:rsid w:val="004D22DE"/>
    <w:rsid w:val="004E15BC"/>
    <w:rsid w:val="004E477C"/>
    <w:rsid w:val="00504601"/>
    <w:rsid w:val="0051419B"/>
    <w:rsid w:val="00560DC5"/>
    <w:rsid w:val="005A7B6C"/>
    <w:rsid w:val="005B23DD"/>
    <w:rsid w:val="005B6F45"/>
    <w:rsid w:val="005D41E2"/>
    <w:rsid w:val="005E60C9"/>
    <w:rsid w:val="005F60D5"/>
    <w:rsid w:val="00616436"/>
    <w:rsid w:val="006226F3"/>
    <w:rsid w:val="00627A84"/>
    <w:rsid w:val="00627E74"/>
    <w:rsid w:val="00631A6B"/>
    <w:rsid w:val="00644991"/>
    <w:rsid w:val="00652CA9"/>
    <w:rsid w:val="006610FB"/>
    <w:rsid w:val="006675F1"/>
    <w:rsid w:val="00671FD6"/>
    <w:rsid w:val="0067466A"/>
    <w:rsid w:val="006754D0"/>
    <w:rsid w:val="00687145"/>
    <w:rsid w:val="006E2126"/>
    <w:rsid w:val="00706B87"/>
    <w:rsid w:val="00740950"/>
    <w:rsid w:val="007539C9"/>
    <w:rsid w:val="007932DC"/>
    <w:rsid w:val="007C0A7A"/>
    <w:rsid w:val="007D3F4A"/>
    <w:rsid w:val="007E2C68"/>
    <w:rsid w:val="00803B70"/>
    <w:rsid w:val="0080557F"/>
    <w:rsid w:val="0081430B"/>
    <w:rsid w:val="0082264A"/>
    <w:rsid w:val="00834241"/>
    <w:rsid w:val="00844F99"/>
    <w:rsid w:val="00845FB1"/>
    <w:rsid w:val="00862A4A"/>
    <w:rsid w:val="00890D5D"/>
    <w:rsid w:val="008C3295"/>
    <w:rsid w:val="008D4576"/>
    <w:rsid w:val="008D47D2"/>
    <w:rsid w:val="008D6D8C"/>
    <w:rsid w:val="008F2E41"/>
    <w:rsid w:val="00950F37"/>
    <w:rsid w:val="0098034A"/>
    <w:rsid w:val="009A091E"/>
    <w:rsid w:val="009A7B6A"/>
    <w:rsid w:val="009B2DA0"/>
    <w:rsid w:val="009D1A7F"/>
    <w:rsid w:val="00A07880"/>
    <w:rsid w:val="00A13B55"/>
    <w:rsid w:val="00A35024"/>
    <w:rsid w:val="00A37016"/>
    <w:rsid w:val="00A56AE4"/>
    <w:rsid w:val="00A602D7"/>
    <w:rsid w:val="00A70419"/>
    <w:rsid w:val="00A73D2F"/>
    <w:rsid w:val="00AB460E"/>
    <w:rsid w:val="00AC540C"/>
    <w:rsid w:val="00AD0EFA"/>
    <w:rsid w:val="00AE74A6"/>
    <w:rsid w:val="00AF6897"/>
    <w:rsid w:val="00B05F72"/>
    <w:rsid w:val="00B27AAA"/>
    <w:rsid w:val="00B5127B"/>
    <w:rsid w:val="00B51BB3"/>
    <w:rsid w:val="00B56A3E"/>
    <w:rsid w:val="00B64556"/>
    <w:rsid w:val="00B66296"/>
    <w:rsid w:val="00B969A6"/>
    <w:rsid w:val="00BD0DF4"/>
    <w:rsid w:val="00BD12B4"/>
    <w:rsid w:val="00BD42BA"/>
    <w:rsid w:val="00BF4B6C"/>
    <w:rsid w:val="00C01328"/>
    <w:rsid w:val="00C07EAD"/>
    <w:rsid w:val="00C1344F"/>
    <w:rsid w:val="00C262F7"/>
    <w:rsid w:val="00C35505"/>
    <w:rsid w:val="00C43D5E"/>
    <w:rsid w:val="00C57E07"/>
    <w:rsid w:val="00C606BF"/>
    <w:rsid w:val="00C666FF"/>
    <w:rsid w:val="00C828D6"/>
    <w:rsid w:val="00C837A6"/>
    <w:rsid w:val="00C84E88"/>
    <w:rsid w:val="00C86EBF"/>
    <w:rsid w:val="00CA17C0"/>
    <w:rsid w:val="00CB077E"/>
    <w:rsid w:val="00CD44B0"/>
    <w:rsid w:val="00D21FF1"/>
    <w:rsid w:val="00D418BF"/>
    <w:rsid w:val="00D64EDE"/>
    <w:rsid w:val="00D64EFD"/>
    <w:rsid w:val="00D709D1"/>
    <w:rsid w:val="00D93E5C"/>
    <w:rsid w:val="00DA0FE3"/>
    <w:rsid w:val="00DC3080"/>
    <w:rsid w:val="00DE7C21"/>
    <w:rsid w:val="00E42AC8"/>
    <w:rsid w:val="00E622C4"/>
    <w:rsid w:val="00E653F8"/>
    <w:rsid w:val="00E9168E"/>
    <w:rsid w:val="00E93582"/>
    <w:rsid w:val="00EF1478"/>
    <w:rsid w:val="00EF3C29"/>
    <w:rsid w:val="00F10391"/>
    <w:rsid w:val="00F10D22"/>
    <w:rsid w:val="00F4404F"/>
    <w:rsid w:val="00F45549"/>
    <w:rsid w:val="00F46B96"/>
    <w:rsid w:val="00F66E07"/>
    <w:rsid w:val="00F70414"/>
    <w:rsid w:val="00FA52E1"/>
    <w:rsid w:val="00FA7354"/>
    <w:rsid w:val="00FC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locked/>
    <w:rsid w:val="00295C39"/>
  </w:style>
  <w:style w:type="paragraph" w:styleId="FootnoteText">
    <w:name w:val="footnote text"/>
    <w:aliases w:val="Car"/>
    <w:basedOn w:val="Normal"/>
    <w:link w:val="FootnoteTextChar"/>
    <w:autoRedefine/>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iPriority w:val="99"/>
    <w:unhideWhenUsed/>
    <w:rsid w:val="00EF3C29"/>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locked/>
    <w:rsid w:val="00295C39"/>
  </w:style>
  <w:style w:type="paragraph" w:styleId="FootnoteText">
    <w:name w:val="footnote text"/>
    <w:aliases w:val="Car"/>
    <w:basedOn w:val="Normal"/>
    <w:link w:val="FootnoteTextChar"/>
    <w:autoRedefine/>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iPriority w:val="99"/>
    <w:unhideWhenUsed/>
    <w:rsid w:val="00EF3C29"/>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7370">
      <w:bodyDiv w:val="1"/>
      <w:marLeft w:val="0"/>
      <w:marRight w:val="0"/>
      <w:marTop w:val="0"/>
      <w:marBottom w:val="0"/>
      <w:divBdr>
        <w:top w:val="none" w:sz="0" w:space="0" w:color="auto"/>
        <w:left w:val="none" w:sz="0" w:space="0" w:color="auto"/>
        <w:bottom w:val="none" w:sz="0" w:space="0" w:color="auto"/>
        <w:right w:val="none" w:sz="0" w:space="0" w:color="auto"/>
      </w:divBdr>
    </w:div>
    <w:div w:id="38241073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239A4-5443-4387-868E-BD411CAE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shoffner</cp:lastModifiedBy>
  <cp:revision>9</cp:revision>
  <cp:lastPrinted>2013-10-08T13:28:00Z</cp:lastPrinted>
  <dcterms:created xsi:type="dcterms:W3CDTF">2013-10-08T12:44:00Z</dcterms:created>
  <dcterms:modified xsi:type="dcterms:W3CDTF">2013-10-18T13:54:00Z</dcterms:modified>
</cp:coreProperties>
</file>