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642" w:rsidRPr="007659E6" w:rsidRDefault="001577F5">
      <w:pPr>
        <w:spacing w:line="240" w:lineRule="auto"/>
        <w:jc w:val="center"/>
        <w:rPr>
          <w:b/>
          <w:sz w:val="24"/>
          <w:szCs w:val="24"/>
        </w:rPr>
      </w:pPr>
      <w:r>
        <w:rPr>
          <w:b/>
          <w:sz w:val="24"/>
          <w:szCs w:val="24"/>
        </w:rPr>
        <w:t xml:space="preserve">                                                                                                                                                                      </w:t>
      </w:r>
      <w:r w:rsidR="00E55642" w:rsidRPr="007659E6">
        <w:rPr>
          <w:b/>
          <w:sz w:val="24"/>
          <w:szCs w:val="24"/>
        </w:rPr>
        <w:t xml:space="preserve">BEFORE THE </w:t>
      </w:r>
    </w:p>
    <w:p w:rsidR="00E55642" w:rsidRPr="007659E6" w:rsidRDefault="00E55642">
      <w:pPr>
        <w:spacing w:line="240" w:lineRule="auto"/>
        <w:jc w:val="center"/>
        <w:rPr>
          <w:sz w:val="24"/>
          <w:szCs w:val="24"/>
        </w:rPr>
      </w:pPr>
      <w:r w:rsidRPr="007659E6">
        <w:rPr>
          <w:b/>
          <w:sz w:val="24"/>
          <w:szCs w:val="24"/>
        </w:rPr>
        <w:t>PENNSYLVANIA PUBLIC UTILITY COMMISSION</w:t>
      </w:r>
    </w:p>
    <w:p w:rsidR="00E55642" w:rsidRPr="007659E6" w:rsidRDefault="00E55642">
      <w:pPr>
        <w:spacing w:line="240" w:lineRule="auto"/>
        <w:jc w:val="center"/>
        <w:rPr>
          <w:sz w:val="24"/>
          <w:szCs w:val="24"/>
        </w:rPr>
      </w:pPr>
    </w:p>
    <w:p w:rsidR="00E55642" w:rsidRPr="007659E6" w:rsidRDefault="00E55642">
      <w:pPr>
        <w:spacing w:line="240" w:lineRule="auto"/>
        <w:rPr>
          <w:sz w:val="24"/>
          <w:szCs w:val="24"/>
        </w:rPr>
      </w:pPr>
    </w:p>
    <w:p w:rsidR="00E55642" w:rsidRDefault="00343F5B" w:rsidP="002E14C5">
      <w:pPr>
        <w:spacing w:line="240" w:lineRule="auto"/>
        <w:rPr>
          <w:sz w:val="24"/>
          <w:szCs w:val="24"/>
        </w:rPr>
      </w:pPr>
      <w:r>
        <w:rPr>
          <w:sz w:val="24"/>
          <w:szCs w:val="24"/>
        </w:rPr>
        <w:t>Tyrone Gibbs, FS-7093</w:t>
      </w:r>
      <w:r w:rsidR="00314D20">
        <w:rPr>
          <w:sz w:val="24"/>
          <w:szCs w:val="24"/>
        </w:rPr>
        <w:tab/>
      </w:r>
      <w:r w:rsidR="00314D20">
        <w:rPr>
          <w:sz w:val="24"/>
          <w:szCs w:val="24"/>
        </w:rPr>
        <w:tab/>
      </w:r>
      <w:r w:rsidR="00314D20">
        <w:rPr>
          <w:sz w:val="24"/>
          <w:szCs w:val="24"/>
        </w:rPr>
        <w:tab/>
      </w:r>
      <w:proofErr w:type="gramStart"/>
      <w:r w:rsidR="00314D20">
        <w:rPr>
          <w:sz w:val="24"/>
          <w:szCs w:val="24"/>
        </w:rPr>
        <w:tab/>
      </w:r>
      <w:r w:rsidR="002E14C5">
        <w:rPr>
          <w:sz w:val="24"/>
          <w:szCs w:val="24"/>
        </w:rPr>
        <w:t>:</w:t>
      </w:r>
      <w:r w:rsidR="0057676A">
        <w:rPr>
          <w:sz w:val="24"/>
          <w:szCs w:val="24"/>
        </w:rPr>
        <w:tab/>
      </w:r>
      <w:r w:rsidR="0057676A">
        <w:rPr>
          <w:sz w:val="24"/>
          <w:szCs w:val="24"/>
        </w:rPr>
        <w:tab/>
      </w:r>
      <w:r w:rsidR="0057676A">
        <w:rPr>
          <w:sz w:val="24"/>
          <w:szCs w:val="24"/>
        </w:rPr>
        <w:tab/>
      </w:r>
      <w:r w:rsidR="0057676A">
        <w:rPr>
          <w:sz w:val="24"/>
          <w:szCs w:val="24"/>
        </w:rPr>
        <w:tab/>
      </w:r>
      <w:r w:rsidR="0057676A">
        <w:rPr>
          <w:sz w:val="24"/>
          <w:szCs w:val="24"/>
        </w:rPr>
        <w:tab/>
      </w:r>
      <w:r w:rsidR="0057676A">
        <w:rPr>
          <w:sz w:val="24"/>
          <w:szCs w:val="24"/>
        </w:rPr>
        <w:tab/>
      </w:r>
      <w:r w:rsidR="0057676A">
        <w:rPr>
          <w:sz w:val="24"/>
          <w:szCs w:val="24"/>
        </w:rPr>
        <w:tab/>
      </w:r>
      <w:r w:rsidR="00A84107">
        <w:rPr>
          <w:sz w:val="24"/>
          <w:szCs w:val="24"/>
        </w:rPr>
        <w:tab/>
      </w:r>
      <w:r w:rsidR="00D4110F">
        <w:rPr>
          <w:sz w:val="24"/>
          <w:szCs w:val="24"/>
        </w:rPr>
        <w:tab/>
      </w:r>
      <w:r w:rsidR="002E14C5">
        <w:rPr>
          <w:sz w:val="24"/>
          <w:szCs w:val="24"/>
        </w:rPr>
        <w:tab/>
      </w:r>
      <w:r w:rsidR="002E14C5">
        <w:rPr>
          <w:sz w:val="24"/>
          <w:szCs w:val="24"/>
        </w:rPr>
        <w:tab/>
      </w:r>
      <w:r w:rsidR="002E14C5">
        <w:rPr>
          <w:sz w:val="24"/>
          <w:szCs w:val="24"/>
        </w:rPr>
        <w:tab/>
      </w:r>
      <w:proofErr w:type="gramEnd"/>
      <w:r w:rsidR="002E14C5">
        <w:rPr>
          <w:sz w:val="24"/>
          <w:szCs w:val="24"/>
        </w:rPr>
        <w:tab/>
        <w:t>:</w:t>
      </w:r>
      <w:r w:rsidR="00D4110F">
        <w:rPr>
          <w:sz w:val="24"/>
          <w:szCs w:val="24"/>
        </w:rPr>
        <w:tab/>
      </w:r>
      <w:r w:rsidR="00E4714E">
        <w:rPr>
          <w:sz w:val="24"/>
          <w:szCs w:val="24"/>
        </w:rPr>
        <w:tab/>
      </w:r>
    </w:p>
    <w:p w:rsidR="00E55642" w:rsidRDefault="00314D20">
      <w:pPr>
        <w:spacing w:line="240" w:lineRule="auto"/>
        <w:rPr>
          <w:sz w:val="24"/>
          <w:szCs w:val="24"/>
        </w:rPr>
      </w:pPr>
      <w:r>
        <w:rPr>
          <w:sz w:val="24"/>
          <w:szCs w:val="24"/>
        </w:rPr>
        <w:tab/>
      </w:r>
      <w:r w:rsidR="002E14C5">
        <w:rPr>
          <w:sz w:val="24"/>
          <w:szCs w:val="24"/>
        </w:rPr>
        <w:t>v.</w:t>
      </w:r>
      <w:r w:rsidR="002E14C5">
        <w:rPr>
          <w:sz w:val="24"/>
          <w:szCs w:val="24"/>
        </w:rPr>
        <w:tab/>
      </w:r>
      <w:r w:rsidR="002E14C5">
        <w:rPr>
          <w:sz w:val="24"/>
          <w:szCs w:val="24"/>
        </w:rPr>
        <w:tab/>
      </w:r>
      <w:r w:rsidR="002E14C5">
        <w:rPr>
          <w:sz w:val="24"/>
          <w:szCs w:val="24"/>
        </w:rPr>
        <w:tab/>
      </w:r>
      <w:r w:rsidR="002E14C5">
        <w:rPr>
          <w:sz w:val="24"/>
          <w:szCs w:val="24"/>
        </w:rPr>
        <w:tab/>
      </w:r>
      <w:r w:rsidR="002E14C5">
        <w:rPr>
          <w:sz w:val="24"/>
          <w:szCs w:val="24"/>
        </w:rPr>
        <w:tab/>
      </w:r>
      <w:r>
        <w:rPr>
          <w:sz w:val="24"/>
          <w:szCs w:val="24"/>
        </w:rPr>
        <w:tab/>
      </w:r>
      <w:r w:rsidR="002E14C5">
        <w:rPr>
          <w:sz w:val="24"/>
          <w:szCs w:val="24"/>
        </w:rPr>
        <w:t>:</w:t>
      </w:r>
      <w:r w:rsidR="002E14C5">
        <w:rPr>
          <w:sz w:val="24"/>
          <w:szCs w:val="24"/>
        </w:rPr>
        <w:tab/>
      </w:r>
      <w:r w:rsidR="002E14C5">
        <w:rPr>
          <w:sz w:val="24"/>
          <w:szCs w:val="24"/>
        </w:rPr>
        <w:tab/>
        <w:t>C-20</w:t>
      </w:r>
      <w:r>
        <w:rPr>
          <w:sz w:val="24"/>
          <w:szCs w:val="24"/>
        </w:rPr>
        <w:t>1</w:t>
      </w:r>
      <w:r w:rsidR="00343F5B">
        <w:rPr>
          <w:sz w:val="24"/>
          <w:szCs w:val="24"/>
        </w:rPr>
        <w:t>3-2358084</w:t>
      </w:r>
    </w:p>
    <w:p w:rsidR="002E14C5" w:rsidRDefault="002E14C5">
      <w:pPr>
        <w:spacing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2E14C5" w:rsidRDefault="00343F5B">
      <w:pPr>
        <w:spacing w:line="240" w:lineRule="auto"/>
        <w:rPr>
          <w:sz w:val="24"/>
          <w:szCs w:val="24"/>
        </w:rPr>
      </w:pPr>
      <w:r>
        <w:rPr>
          <w:sz w:val="24"/>
          <w:szCs w:val="24"/>
        </w:rPr>
        <w:t>Global Tel*Link</w:t>
      </w:r>
      <w:r w:rsidR="00DA0DEE">
        <w:rPr>
          <w:sz w:val="24"/>
          <w:szCs w:val="24"/>
        </w:rPr>
        <w:t xml:space="preserve"> Corporation</w:t>
      </w:r>
      <w:r w:rsidR="002E14C5">
        <w:rPr>
          <w:sz w:val="24"/>
          <w:szCs w:val="24"/>
        </w:rPr>
        <w:tab/>
      </w:r>
      <w:r w:rsidR="002E14C5">
        <w:rPr>
          <w:sz w:val="24"/>
          <w:szCs w:val="24"/>
        </w:rPr>
        <w:tab/>
      </w:r>
      <w:r w:rsidR="002E14C5">
        <w:rPr>
          <w:sz w:val="24"/>
          <w:szCs w:val="24"/>
        </w:rPr>
        <w:tab/>
      </w:r>
      <w:r w:rsidR="00DA0DEE">
        <w:rPr>
          <w:sz w:val="24"/>
          <w:szCs w:val="24"/>
        </w:rPr>
        <w:tab/>
      </w:r>
      <w:r w:rsidR="002E14C5">
        <w:rPr>
          <w:sz w:val="24"/>
          <w:szCs w:val="24"/>
        </w:rPr>
        <w:t>:</w:t>
      </w:r>
    </w:p>
    <w:p w:rsidR="002E14C5" w:rsidRDefault="002E14C5">
      <w:pPr>
        <w:spacing w:line="240" w:lineRule="auto"/>
        <w:rPr>
          <w:sz w:val="24"/>
          <w:szCs w:val="24"/>
        </w:rPr>
      </w:pPr>
    </w:p>
    <w:p w:rsidR="002E14C5" w:rsidRPr="007659E6" w:rsidRDefault="002E14C5">
      <w:pPr>
        <w:spacing w:line="240" w:lineRule="auto"/>
        <w:rPr>
          <w:sz w:val="24"/>
          <w:szCs w:val="24"/>
        </w:rPr>
      </w:pPr>
    </w:p>
    <w:p w:rsidR="00E55642" w:rsidRPr="007659E6" w:rsidRDefault="00E55642">
      <w:pPr>
        <w:spacing w:line="240" w:lineRule="auto"/>
        <w:rPr>
          <w:sz w:val="24"/>
          <w:szCs w:val="24"/>
        </w:rPr>
      </w:pPr>
    </w:p>
    <w:p w:rsidR="002D0E9E" w:rsidRDefault="00954BC6" w:rsidP="00954BC6">
      <w:pPr>
        <w:spacing w:line="240" w:lineRule="auto"/>
        <w:jc w:val="center"/>
        <w:rPr>
          <w:b/>
          <w:sz w:val="24"/>
          <w:szCs w:val="24"/>
          <w:u w:val="single"/>
        </w:rPr>
      </w:pPr>
      <w:r w:rsidRPr="00904FF5">
        <w:rPr>
          <w:b/>
          <w:sz w:val="24"/>
          <w:szCs w:val="24"/>
          <w:u w:val="single"/>
        </w:rPr>
        <w:t xml:space="preserve">ORDER </w:t>
      </w:r>
      <w:r w:rsidR="00C7446A">
        <w:rPr>
          <w:b/>
          <w:sz w:val="24"/>
          <w:szCs w:val="24"/>
          <w:u w:val="single"/>
        </w:rPr>
        <w:t xml:space="preserve">DENYING </w:t>
      </w:r>
      <w:r w:rsidR="002D0E9E">
        <w:rPr>
          <w:b/>
          <w:sz w:val="24"/>
          <w:szCs w:val="24"/>
          <w:u w:val="single"/>
        </w:rPr>
        <w:t xml:space="preserve">COMPLAINANT’S </w:t>
      </w:r>
    </w:p>
    <w:p w:rsidR="00724265" w:rsidRDefault="00FD704A" w:rsidP="002D0E9E">
      <w:pPr>
        <w:spacing w:line="240" w:lineRule="auto"/>
        <w:jc w:val="center"/>
        <w:rPr>
          <w:b/>
          <w:sz w:val="24"/>
          <w:szCs w:val="24"/>
          <w:u w:val="single"/>
        </w:rPr>
      </w:pPr>
      <w:r>
        <w:rPr>
          <w:b/>
          <w:sz w:val="24"/>
          <w:szCs w:val="24"/>
          <w:u w:val="single"/>
        </w:rPr>
        <w:t>APPLICATION FOR SUBPOENA</w:t>
      </w:r>
      <w:r w:rsidR="00A60179">
        <w:rPr>
          <w:b/>
          <w:sz w:val="24"/>
          <w:szCs w:val="24"/>
          <w:u w:val="single"/>
        </w:rPr>
        <w:t>S</w:t>
      </w:r>
      <w:r>
        <w:rPr>
          <w:b/>
          <w:sz w:val="24"/>
          <w:szCs w:val="24"/>
          <w:u w:val="single"/>
        </w:rPr>
        <w:t xml:space="preserve"> </w:t>
      </w:r>
    </w:p>
    <w:p w:rsidR="00D273E8" w:rsidRDefault="00D273E8" w:rsidP="002D0E9E">
      <w:pPr>
        <w:spacing w:line="240" w:lineRule="auto"/>
        <w:jc w:val="center"/>
        <w:rPr>
          <w:b/>
          <w:sz w:val="24"/>
          <w:szCs w:val="24"/>
          <w:u w:val="single"/>
        </w:rPr>
      </w:pPr>
    </w:p>
    <w:p w:rsidR="00D273E8" w:rsidRDefault="00D273E8" w:rsidP="002D0E9E">
      <w:pPr>
        <w:spacing w:line="240" w:lineRule="auto"/>
        <w:jc w:val="center"/>
        <w:rPr>
          <w:b/>
          <w:sz w:val="24"/>
          <w:szCs w:val="24"/>
          <w:u w:val="single"/>
        </w:rPr>
      </w:pPr>
    </w:p>
    <w:p w:rsidR="00D273E8" w:rsidRPr="00D273E8" w:rsidRDefault="00D273E8" w:rsidP="002D0E9E">
      <w:pPr>
        <w:spacing w:line="240" w:lineRule="auto"/>
        <w:jc w:val="center"/>
        <w:rPr>
          <w:sz w:val="24"/>
          <w:szCs w:val="24"/>
        </w:rPr>
      </w:pPr>
      <w:r>
        <w:rPr>
          <w:sz w:val="24"/>
          <w:szCs w:val="24"/>
        </w:rPr>
        <w:t>I.</w:t>
      </w:r>
      <w:r>
        <w:rPr>
          <w:sz w:val="24"/>
          <w:szCs w:val="24"/>
        </w:rPr>
        <w:tab/>
      </w:r>
      <w:r w:rsidRPr="00D273E8">
        <w:rPr>
          <w:sz w:val="24"/>
          <w:szCs w:val="24"/>
          <w:u w:val="single"/>
        </w:rPr>
        <w:t>BACKGROUND</w:t>
      </w:r>
    </w:p>
    <w:p w:rsidR="00B94B35" w:rsidRPr="00904FF5" w:rsidRDefault="00B94B35" w:rsidP="00954BC6">
      <w:pPr>
        <w:spacing w:line="240" w:lineRule="auto"/>
        <w:jc w:val="center"/>
        <w:rPr>
          <w:b/>
          <w:sz w:val="24"/>
          <w:szCs w:val="24"/>
          <w:u w:val="single"/>
        </w:rPr>
      </w:pPr>
    </w:p>
    <w:p w:rsidR="004D413E" w:rsidRDefault="004D413E" w:rsidP="007815F7">
      <w:pPr>
        <w:spacing w:line="240" w:lineRule="auto"/>
        <w:rPr>
          <w:sz w:val="24"/>
          <w:szCs w:val="24"/>
        </w:rPr>
      </w:pPr>
    </w:p>
    <w:p w:rsidR="00DA0DEE" w:rsidRDefault="00A60179" w:rsidP="00F2151F">
      <w:pPr>
        <w:tabs>
          <w:tab w:val="left" w:pos="0"/>
        </w:tabs>
        <w:rPr>
          <w:sz w:val="24"/>
          <w:szCs w:val="24"/>
        </w:rPr>
      </w:pPr>
      <w:r>
        <w:rPr>
          <w:sz w:val="24"/>
          <w:szCs w:val="24"/>
        </w:rPr>
        <w:tab/>
      </w:r>
      <w:r>
        <w:rPr>
          <w:sz w:val="24"/>
          <w:szCs w:val="24"/>
        </w:rPr>
        <w:tab/>
      </w:r>
      <w:r w:rsidR="006362B5">
        <w:rPr>
          <w:sz w:val="24"/>
          <w:szCs w:val="24"/>
        </w:rPr>
        <w:t>On October 15, 2013</w:t>
      </w:r>
      <w:r w:rsidR="00F2151F">
        <w:rPr>
          <w:sz w:val="24"/>
          <w:szCs w:val="24"/>
        </w:rPr>
        <w:t xml:space="preserve">, I received a copy of </w:t>
      </w:r>
      <w:r w:rsidR="006362B5">
        <w:rPr>
          <w:sz w:val="24"/>
          <w:szCs w:val="24"/>
        </w:rPr>
        <w:t>a pleading entitled “Complainants Mot</w:t>
      </w:r>
      <w:r w:rsidR="00BA2A20">
        <w:rPr>
          <w:sz w:val="24"/>
          <w:szCs w:val="24"/>
        </w:rPr>
        <w:t>ion for Leave to File Subpoenas</w:t>
      </w:r>
      <w:r w:rsidR="006362B5">
        <w:rPr>
          <w:sz w:val="24"/>
          <w:szCs w:val="24"/>
        </w:rPr>
        <w:t>”</w:t>
      </w:r>
      <w:r w:rsidR="00BA2A20">
        <w:rPr>
          <w:sz w:val="24"/>
          <w:szCs w:val="24"/>
        </w:rPr>
        <w:t xml:space="preserve"> from the Complainant,</w:t>
      </w:r>
      <w:r w:rsidR="006362B5">
        <w:rPr>
          <w:sz w:val="24"/>
          <w:szCs w:val="24"/>
        </w:rPr>
        <w:t xml:space="preserve"> filed pursuant to 52 Pa. Code §5.421.</w:t>
      </w:r>
      <w:r w:rsidR="00577D5E">
        <w:rPr>
          <w:sz w:val="24"/>
          <w:szCs w:val="24"/>
        </w:rPr>
        <w:t xml:space="preserve">  </w:t>
      </w:r>
      <w:r w:rsidR="00BA2A20">
        <w:rPr>
          <w:sz w:val="24"/>
          <w:szCs w:val="24"/>
        </w:rPr>
        <w:t>In accordance with</w:t>
      </w:r>
      <w:r w:rsidR="00577D5E">
        <w:rPr>
          <w:sz w:val="24"/>
          <w:szCs w:val="24"/>
        </w:rPr>
        <w:t xml:space="preserve"> 52 Pa. Code §5.421, Complainant’s Motion will be treated as an Application for Subpoenas</w:t>
      </w:r>
      <w:r w:rsidR="00D273E8">
        <w:rPr>
          <w:sz w:val="24"/>
          <w:szCs w:val="24"/>
        </w:rPr>
        <w:t xml:space="preserve"> (Application)</w:t>
      </w:r>
      <w:r w:rsidR="00577D5E">
        <w:rPr>
          <w:sz w:val="24"/>
          <w:szCs w:val="24"/>
        </w:rPr>
        <w:t xml:space="preserve">. </w:t>
      </w:r>
    </w:p>
    <w:p w:rsidR="00DA0DEE" w:rsidRDefault="00DA0DEE" w:rsidP="00F2151F">
      <w:pPr>
        <w:tabs>
          <w:tab w:val="left" w:pos="0"/>
        </w:tabs>
        <w:rPr>
          <w:sz w:val="24"/>
          <w:szCs w:val="24"/>
        </w:rPr>
      </w:pPr>
    </w:p>
    <w:p w:rsidR="006362B5" w:rsidRDefault="00DA0DEE" w:rsidP="00F2151F">
      <w:pPr>
        <w:tabs>
          <w:tab w:val="left" w:pos="0"/>
        </w:tabs>
        <w:rPr>
          <w:sz w:val="24"/>
          <w:szCs w:val="24"/>
        </w:rPr>
      </w:pPr>
      <w:r>
        <w:rPr>
          <w:sz w:val="24"/>
          <w:szCs w:val="24"/>
        </w:rPr>
        <w:tab/>
      </w:r>
      <w:r>
        <w:rPr>
          <w:sz w:val="24"/>
          <w:szCs w:val="24"/>
        </w:rPr>
        <w:tab/>
        <w:t>On October 18, 2013, Global Tel*Link Corporation (GTL</w:t>
      </w:r>
      <w:r w:rsidR="00C86F25">
        <w:rPr>
          <w:sz w:val="24"/>
          <w:szCs w:val="24"/>
        </w:rPr>
        <w:t xml:space="preserve"> or the Company</w:t>
      </w:r>
      <w:r>
        <w:rPr>
          <w:sz w:val="24"/>
          <w:szCs w:val="24"/>
        </w:rPr>
        <w:t>) filed timely Objections to Complainant’s Application for Subpoenas</w:t>
      </w:r>
      <w:r w:rsidR="00273004">
        <w:rPr>
          <w:sz w:val="24"/>
          <w:szCs w:val="24"/>
        </w:rPr>
        <w:t xml:space="preserve"> (Objections)</w:t>
      </w:r>
      <w:r>
        <w:rPr>
          <w:sz w:val="24"/>
          <w:szCs w:val="24"/>
        </w:rPr>
        <w:t xml:space="preserve">.   </w:t>
      </w:r>
      <w:r w:rsidR="00577D5E">
        <w:rPr>
          <w:sz w:val="24"/>
          <w:szCs w:val="24"/>
        </w:rPr>
        <w:t xml:space="preserve"> </w:t>
      </w:r>
      <w:r w:rsidR="006362B5">
        <w:rPr>
          <w:sz w:val="24"/>
          <w:szCs w:val="24"/>
        </w:rPr>
        <w:t xml:space="preserve">  </w:t>
      </w:r>
    </w:p>
    <w:p w:rsidR="00D273E8" w:rsidRDefault="00D273E8" w:rsidP="00F2151F">
      <w:pPr>
        <w:tabs>
          <w:tab w:val="left" w:pos="0"/>
        </w:tabs>
        <w:rPr>
          <w:sz w:val="24"/>
          <w:szCs w:val="24"/>
        </w:rPr>
      </w:pPr>
    </w:p>
    <w:p w:rsidR="00D273E8" w:rsidRDefault="00D273E8" w:rsidP="00F2151F">
      <w:pPr>
        <w:tabs>
          <w:tab w:val="left" w:pos="0"/>
        </w:tabs>
        <w:rPr>
          <w:sz w:val="24"/>
          <w:szCs w:val="24"/>
        </w:rPr>
      </w:pPr>
      <w:r>
        <w:rPr>
          <w:sz w:val="24"/>
          <w:szCs w:val="24"/>
        </w:rPr>
        <w:tab/>
      </w:r>
      <w:r>
        <w:rPr>
          <w:sz w:val="24"/>
          <w:szCs w:val="24"/>
        </w:rPr>
        <w:tab/>
        <w:t>This matter is now ready for a ruling on whether Complainant’s Application should be granted.</w:t>
      </w:r>
    </w:p>
    <w:p w:rsidR="00D273E8" w:rsidRDefault="00D273E8" w:rsidP="00F2151F">
      <w:pPr>
        <w:tabs>
          <w:tab w:val="left" w:pos="0"/>
        </w:tabs>
        <w:rPr>
          <w:sz w:val="24"/>
          <w:szCs w:val="24"/>
        </w:rPr>
      </w:pPr>
    </w:p>
    <w:p w:rsidR="00D273E8" w:rsidRDefault="00D273E8" w:rsidP="00D273E8">
      <w:pPr>
        <w:tabs>
          <w:tab w:val="left" w:pos="0"/>
        </w:tabs>
        <w:jc w:val="center"/>
        <w:rPr>
          <w:sz w:val="24"/>
          <w:szCs w:val="24"/>
          <w:u w:val="single"/>
        </w:rPr>
      </w:pPr>
      <w:r>
        <w:rPr>
          <w:sz w:val="24"/>
          <w:szCs w:val="24"/>
        </w:rPr>
        <w:t>II.</w:t>
      </w:r>
      <w:r>
        <w:rPr>
          <w:sz w:val="24"/>
          <w:szCs w:val="24"/>
        </w:rPr>
        <w:tab/>
      </w:r>
      <w:r w:rsidRPr="00D273E8">
        <w:rPr>
          <w:sz w:val="24"/>
          <w:szCs w:val="24"/>
          <w:u w:val="single"/>
        </w:rPr>
        <w:t>DISCUSSION</w:t>
      </w:r>
    </w:p>
    <w:p w:rsidR="00D273E8" w:rsidRDefault="00D273E8" w:rsidP="00D273E8">
      <w:pPr>
        <w:tabs>
          <w:tab w:val="left" w:pos="0"/>
        </w:tabs>
        <w:jc w:val="center"/>
        <w:rPr>
          <w:sz w:val="24"/>
          <w:szCs w:val="24"/>
          <w:u w:val="single"/>
        </w:rPr>
      </w:pPr>
    </w:p>
    <w:p w:rsidR="00273004" w:rsidRDefault="00D273E8" w:rsidP="00D273E8">
      <w:pPr>
        <w:tabs>
          <w:tab w:val="left" w:pos="0"/>
        </w:tabs>
        <w:rPr>
          <w:sz w:val="24"/>
          <w:szCs w:val="24"/>
        </w:rPr>
      </w:pPr>
      <w:r>
        <w:rPr>
          <w:sz w:val="24"/>
          <w:szCs w:val="24"/>
        </w:rPr>
        <w:tab/>
      </w:r>
      <w:r>
        <w:rPr>
          <w:sz w:val="24"/>
          <w:szCs w:val="24"/>
        </w:rPr>
        <w:tab/>
        <w:t xml:space="preserve">In his Application, Complainant requested that I revisit </w:t>
      </w:r>
      <w:r w:rsidR="00115B82">
        <w:rPr>
          <w:sz w:val="24"/>
          <w:szCs w:val="24"/>
        </w:rPr>
        <w:t>his subpoena request</w:t>
      </w:r>
      <w:r>
        <w:rPr>
          <w:sz w:val="24"/>
          <w:szCs w:val="24"/>
        </w:rPr>
        <w:t xml:space="preserve"> and allow him to seek subpoenas so that he can complete his case.  As support for his Application, Complainant indicated he thought he had previously requested subpoenas for certain GTL witnesses via letter but that his request was not deemed to be an application for subpoenas by the presiding officer.  He also indicated surprise concerning a witness called by GTL, and further </w:t>
      </w:r>
      <w:r>
        <w:rPr>
          <w:sz w:val="24"/>
          <w:szCs w:val="24"/>
        </w:rPr>
        <w:lastRenderedPageBreak/>
        <w:t xml:space="preserve">asserted that </w:t>
      </w:r>
      <w:r w:rsidR="00BA2A20">
        <w:rPr>
          <w:sz w:val="24"/>
          <w:szCs w:val="24"/>
        </w:rPr>
        <w:t xml:space="preserve">GTL had </w:t>
      </w:r>
      <w:r>
        <w:rPr>
          <w:sz w:val="24"/>
          <w:szCs w:val="24"/>
        </w:rPr>
        <w:t>not placed the presiding officer</w:t>
      </w:r>
      <w:r w:rsidR="00BA2A20">
        <w:rPr>
          <w:sz w:val="24"/>
          <w:szCs w:val="24"/>
        </w:rPr>
        <w:t xml:space="preserve"> </w:t>
      </w:r>
      <w:r>
        <w:rPr>
          <w:sz w:val="24"/>
          <w:szCs w:val="24"/>
        </w:rPr>
        <w:t>on notice as to its</w:t>
      </w:r>
      <w:r w:rsidR="00BA2A20">
        <w:rPr>
          <w:sz w:val="24"/>
          <w:szCs w:val="24"/>
        </w:rPr>
        <w:t xml:space="preserve"> witness.  Accordingly, Complainant requested that he be permitted to complete the record through subpoenas issued to Dawn Allen, phone coordinator at </w:t>
      </w:r>
      <w:proofErr w:type="spellStart"/>
      <w:r w:rsidR="00BA2A20">
        <w:rPr>
          <w:sz w:val="24"/>
          <w:szCs w:val="24"/>
        </w:rPr>
        <w:t>Graterford</w:t>
      </w:r>
      <w:proofErr w:type="spellEnd"/>
      <w:r w:rsidR="00BA2A20">
        <w:rPr>
          <w:sz w:val="24"/>
          <w:szCs w:val="24"/>
        </w:rPr>
        <w:t>, where Complain</w:t>
      </w:r>
      <w:r w:rsidR="00115B82">
        <w:rPr>
          <w:sz w:val="24"/>
          <w:szCs w:val="24"/>
        </w:rPr>
        <w:t xml:space="preserve">ant is an inmate, and an unspecified GTL field service representative.  In addition, Complainant listed various documents that the witnesses were to bring with them. </w:t>
      </w:r>
    </w:p>
    <w:p w:rsidR="00273004" w:rsidRDefault="00273004" w:rsidP="00D273E8">
      <w:pPr>
        <w:tabs>
          <w:tab w:val="left" w:pos="0"/>
        </w:tabs>
        <w:rPr>
          <w:sz w:val="24"/>
          <w:szCs w:val="24"/>
        </w:rPr>
      </w:pPr>
    </w:p>
    <w:p w:rsidR="00C86F25" w:rsidRDefault="00273004" w:rsidP="00D273E8">
      <w:pPr>
        <w:tabs>
          <w:tab w:val="left" w:pos="0"/>
        </w:tabs>
        <w:rPr>
          <w:sz w:val="24"/>
          <w:szCs w:val="24"/>
        </w:rPr>
      </w:pPr>
      <w:r>
        <w:rPr>
          <w:sz w:val="24"/>
          <w:szCs w:val="24"/>
        </w:rPr>
        <w:tab/>
      </w:r>
      <w:r>
        <w:rPr>
          <w:sz w:val="24"/>
          <w:szCs w:val="24"/>
        </w:rPr>
        <w:tab/>
        <w:t xml:space="preserve">In its Objections, GTL asserted that the presiding officer had already ruled against the presentation of additional witnesses and documents when the Complainant had </w:t>
      </w:r>
      <w:r w:rsidR="00192DB9">
        <w:rPr>
          <w:sz w:val="24"/>
          <w:szCs w:val="24"/>
        </w:rPr>
        <w:t xml:space="preserve">made this same request at </w:t>
      </w:r>
      <w:r>
        <w:rPr>
          <w:sz w:val="24"/>
          <w:szCs w:val="24"/>
        </w:rPr>
        <w:t>the October 3, 2013, hearing.</w:t>
      </w:r>
      <w:r w:rsidR="00790178">
        <w:rPr>
          <w:sz w:val="24"/>
          <w:szCs w:val="24"/>
        </w:rPr>
        <w:t xml:space="preserve">  The Company</w:t>
      </w:r>
      <w:r>
        <w:rPr>
          <w:sz w:val="24"/>
          <w:szCs w:val="24"/>
        </w:rPr>
        <w:t xml:space="preserve"> further ind</w:t>
      </w:r>
      <w:r w:rsidR="00192DB9">
        <w:rPr>
          <w:sz w:val="24"/>
          <w:szCs w:val="24"/>
        </w:rPr>
        <w:t xml:space="preserve">icated that the Complainant </w:t>
      </w:r>
      <w:r>
        <w:rPr>
          <w:sz w:val="24"/>
          <w:szCs w:val="24"/>
        </w:rPr>
        <w:t>had sufficient opportunity, since the April 1, 2013 filing of his Complaint, to conduct discovery and request the records needed to support his claims.   The Company detailed the records that had already been provided</w:t>
      </w:r>
      <w:r w:rsidR="00C86F25">
        <w:rPr>
          <w:sz w:val="24"/>
          <w:szCs w:val="24"/>
        </w:rPr>
        <w:t xml:space="preserve"> to the Complainant, and </w:t>
      </w:r>
      <w:r w:rsidR="00192DB9">
        <w:rPr>
          <w:sz w:val="24"/>
          <w:szCs w:val="24"/>
        </w:rPr>
        <w:t xml:space="preserve">argued </w:t>
      </w:r>
      <w:r w:rsidR="00C86F25">
        <w:rPr>
          <w:sz w:val="24"/>
          <w:szCs w:val="24"/>
        </w:rPr>
        <w:t>that allowing further document production would be unreasonable and burdensome.</w:t>
      </w:r>
      <w:r w:rsidR="00790178">
        <w:rPr>
          <w:sz w:val="24"/>
          <w:szCs w:val="24"/>
        </w:rPr>
        <w:t xml:space="preserve">  </w:t>
      </w:r>
    </w:p>
    <w:p w:rsidR="00C86F25" w:rsidRDefault="00C86F25" w:rsidP="00D273E8">
      <w:pPr>
        <w:tabs>
          <w:tab w:val="left" w:pos="0"/>
        </w:tabs>
        <w:rPr>
          <w:sz w:val="24"/>
          <w:szCs w:val="24"/>
        </w:rPr>
      </w:pPr>
    </w:p>
    <w:p w:rsidR="00790178" w:rsidRDefault="00C86F25" w:rsidP="00D273E8">
      <w:pPr>
        <w:tabs>
          <w:tab w:val="left" w:pos="0"/>
        </w:tabs>
        <w:rPr>
          <w:sz w:val="24"/>
          <w:szCs w:val="24"/>
        </w:rPr>
      </w:pPr>
      <w:r>
        <w:rPr>
          <w:sz w:val="24"/>
          <w:szCs w:val="24"/>
        </w:rPr>
        <w:tab/>
      </w:r>
      <w:r>
        <w:rPr>
          <w:sz w:val="24"/>
          <w:szCs w:val="24"/>
        </w:rPr>
        <w:tab/>
      </w:r>
      <w:r w:rsidR="00790178">
        <w:rPr>
          <w:sz w:val="24"/>
          <w:szCs w:val="24"/>
        </w:rPr>
        <w:t>Furthermore</w:t>
      </w:r>
      <w:r>
        <w:rPr>
          <w:sz w:val="24"/>
          <w:szCs w:val="24"/>
        </w:rPr>
        <w:t>, GTL argued that the Application was procedurally defective as it did no</w:t>
      </w:r>
      <w:r w:rsidR="00192DB9">
        <w:rPr>
          <w:sz w:val="24"/>
          <w:szCs w:val="24"/>
        </w:rPr>
        <w:t xml:space="preserve">t comply with 52 Pa. Code §5.421.  Specifically, the Company contended that the Application failed to set forth the relevance, materiality, and scope of the documents sought, how they would be used, or why they were necessary. </w:t>
      </w:r>
      <w:r>
        <w:rPr>
          <w:sz w:val="24"/>
          <w:szCs w:val="24"/>
        </w:rPr>
        <w:t xml:space="preserve"> GTL also noted that the Application failed to include a Notice to Plead and a proper Certificate of Service.  </w:t>
      </w:r>
    </w:p>
    <w:p w:rsidR="00790178" w:rsidRDefault="00790178" w:rsidP="00D273E8">
      <w:pPr>
        <w:tabs>
          <w:tab w:val="left" w:pos="0"/>
        </w:tabs>
        <w:rPr>
          <w:sz w:val="24"/>
          <w:szCs w:val="24"/>
        </w:rPr>
      </w:pPr>
    </w:p>
    <w:p w:rsidR="00790178" w:rsidRDefault="00790178" w:rsidP="00D273E8">
      <w:pPr>
        <w:tabs>
          <w:tab w:val="left" w:pos="0"/>
        </w:tabs>
        <w:rPr>
          <w:sz w:val="24"/>
          <w:szCs w:val="24"/>
        </w:rPr>
      </w:pPr>
      <w:r>
        <w:rPr>
          <w:sz w:val="24"/>
          <w:szCs w:val="24"/>
        </w:rPr>
        <w:tab/>
      </w:r>
      <w:r>
        <w:rPr>
          <w:sz w:val="24"/>
          <w:szCs w:val="24"/>
        </w:rPr>
        <w:tab/>
        <w:t xml:space="preserve">GTL also indicated that, contrary to Complainant’s assertions, the witness it presented on October 3, 2013, was not a surprise to Complainant and that every effort was made at that hearing to have GTL witnesses available with knowledge of Complainant’s claims and the phone system at </w:t>
      </w:r>
      <w:proofErr w:type="spellStart"/>
      <w:r>
        <w:rPr>
          <w:sz w:val="24"/>
          <w:szCs w:val="24"/>
        </w:rPr>
        <w:t>Graterford</w:t>
      </w:r>
      <w:proofErr w:type="spellEnd"/>
      <w:r>
        <w:rPr>
          <w:sz w:val="24"/>
          <w:szCs w:val="24"/>
        </w:rPr>
        <w:t>.</w:t>
      </w:r>
    </w:p>
    <w:p w:rsidR="00790178" w:rsidRDefault="00790178" w:rsidP="00D273E8">
      <w:pPr>
        <w:tabs>
          <w:tab w:val="left" w:pos="0"/>
        </w:tabs>
        <w:rPr>
          <w:sz w:val="24"/>
          <w:szCs w:val="24"/>
        </w:rPr>
      </w:pPr>
    </w:p>
    <w:p w:rsidR="00944A5E" w:rsidRDefault="00790178" w:rsidP="00D273E8">
      <w:pPr>
        <w:tabs>
          <w:tab w:val="left" w:pos="0"/>
        </w:tabs>
        <w:rPr>
          <w:sz w:val="24"/>
          <w:szCs w:val="24"/>
        </w:rPr>
      </w:pPr>
      <w:r>
        <w:rPr>
          <w:sz w:val="24"/>
          <w:szCs w:val="24"/>
        </w:rPr>
        <w:tab/>
      </w:r>
      <w:r>
        <w:rPr>
          <w:sz w:val="24"/>
          <w:szCs w:val="24"/>
        </w:rPr>
        <w:tab/>
      </w:r>
      <w:r w:rsidR="00C86F25">
        <w:rPr>
          <w:sz w:val="24"/>
          <w:szCs w:val="24"/>
        </w:rPr>
        <w:t xml:space="preserve"> </w:t>
      </w:r>
      <w:r>
        <w:rPr>
          <w:sz w:val="24"/>
          <w:szCs w:val="24"/>
        </w:rPr>
        <w:t>I have considered the parties’ positions and have determined that the Complainant’s Application for Subpoenas should be denied.</w:t>
      </w:r>
      <w:r w:rsidR="009F285F">
        <w:rPr>
          <w:sz w:val="24"/>
          <w:szCs w:val="24"/>
        </w:rPr>
        <w:t xml:space="preserve">  </w:t>
      </w:r>
    </w:p>
    <w:p w:rsidR="00944A5E" w:rsidRDefault="00944A5E" w:rsidP="00D273E8">
      <w:pPr>
        <w:tabs>
          <w:tab w:val="left" w:pos="0"/>
        </w:tabs>
        <w:rPr>
          <w:sz w:val="24"/>
          <w:szCs w:val="24"/>
        </w:rPr>
      </w:pPr>
    </w:p>
    <w:p w:rsidR="002D2D34" w:rsidRDefault="00944A5E" w:rsidP="00D273E8">
      <w:pPr>
        <w:tabs>
          <w:tab w:val="left" w:pos="0"/>
        </w:tabs>
        <w:rPr>
          <w:sz w:val="24"/>
          <w:szCs w:val="24"/>
        </w:rPr>
      </w:pPr>
      <w:r>
        <w:rPr>
          <w:sz w:val="24"/>
          <w:szCs w:val="24"/>
        </w:rPr>
        <w:tab/>
      </w:r>
      <w:r>
        <w:rPr>
          <w:sz w:val="24"/>
          <w:szCs w:val="24"/>
        </w:rPr>
        <w:tab/>
      </w:r>
      <w:r w:rsidR="009F285F">
        <w:rPr>
          <w:sz w:val="24"/>
          <w:szCs w:val="24"/>
        </w:rPr>
        <w:t xml:space="preserve">By Order dated June 13, 2013, I issued a Prehearing Order in this case at the time when the hearing was scheduled for August 8, 2013.  In that Prehearing Order, the parties were directed to submit any applications for subpoenas in sufficient time so that other parties would </w:t>
      </w:r>
      <w:r w:rsidR="009F285F">
        <w:rPr>
          <w:sz w:val="24"/>
          <w:szCs w:val="24"/>
        </w:rPr>
        <w:lastRenderedPageBreak/>
        <w:t>have sufficient time (at least 10 days) to file objections and so that the requesting party would have enough time to receive and serve the subpoena.  Since the hearing was then scheduled for August 8, 2013, all applications for subpoenas would have clearly been due no later than July 29, 2013 (10 days prior to the hearing)</w:t>
      </w:r>
      <w:r w:rsidR="00192DB9">
        <w:rPr>
          <w:sz w:val="24"/>
          <w:szCs w:val="24"/>
        </w:rPr>
        <w:t>, and realistically earlier than that to allow for issuance and service of any subpoenas by the presiding officer</w:t>
      </w:r>
      <w:r w:rsidR="009F285F">
        <w:rPr>
          <w:sz w:val="24"/>
          <w:szCs w:val="24"/>
        </w:rPr>
        <w:t xml:space="preserve">.  </w:t>
      </w:r>
    </w:p>
    <w:p w:rsidR="002D2D34" w:rsidRDefault="002D2D34" w:rsidP="00D273E8">
      <w:pPr>
        <w:tabs>
          <w:tab w:val="left" w:pos="0"/>
        </w:tabs>
        <w:rPr>
          <w:sz w:val="24"/>
          <w:szCs w:val="24"/>
        </w:rPr>
      </w:pPr>
      <w:r>
        <w:rPr>
          <w:sz w:val="24"/>
          <w:szCs w:val="24"/>
        </w:rPr>
        <w:tab/>
      </w:r>
      <w:r>
        <w:rPr>
          <w:sz w:val="24"/>
          <w:szCs w:val="24"/>
        </w:rPr>
        <w:tab/>
      </w:r>
    </w:p>
    <w:p w:rsidR="002D2D34" w:rsidRDefault="002D2D34" w:rsidP="00D273E8">
      <w:pPr>
        <w:tabs>
          <w:tab w:val="left" w:pos="0"/>
        </w:tabs>
        <w:rPr>
          <w:sz w:val="24"/>
          <w:szCs w:val="24"/>
        </w:rPr>
      </w:pPr>
      <w:r>
        <w:rPr>
          <w:sz w:val="24"/>
          <w:szCs w:val="24"/>
        </w:rPr>
        <w:tab/>
      </w:r>
      <w:r>
        <w:rPr>
          <w:sz w:val="24"/>
          <w:szCs w:val="24"/>
        </w:rPr>
        <w:tab/>
      </w:r>
      <w:r w:rsidR="009F285F">
        <w:rPr>
          <w:sz w:val="24"/>
          <w:szCs w:val="24"/>
        </w:rPr>
        <w:t xml:space="preserve">I received no applications for a subpoena by </w:t>
      </w:r>
      <w:r>
        <w:rPr>
          <w:sz w:val="24"/>
          <w:szCs w:val="24"/>
        </w:rPr>
        <w:t>July 29, 2013</w:t>
      </w:r>
      <w:r w:rsidR="009F285F">
        <w:rPr>
          <w:sz w:val="24"/>
          <w:szCs w:val="24"/>
        </w:rPr>
        <w:t xml:space="preserve">.  Instead, what I received from the Complainant on August 2, 2013, was a </w:t>
      </w:r>
      <w:r w:rsidR="00192DB9">
        <w:rPr>
          <w:sz w:val="24"/>
          <w:szCs w:val="24"/>
        </w:rPr>
        <w:t>letter requesting a continuance</w:t>
      </w:r>
      <w:r>
        <w:rPr>
          <w:sz w:val="24"/>
          <w:szCs w:val="24"/>
        </w:rPr>
        <w:t xml:space="preserve">.  The last sentence of that letter informed me that Complainant would be calling a Technical Support Team and a Billing Support Team member from GTL, along with the Phone Coordinator from </w:t>
      </w:r>
      <w:proofErr w:type="spellStart"/>
      <w:r>
        <w:rPr>
          <w:sz w:val="24"/>
          <w:szCs w:val="24"/>
        </w:rPr>
        <w:t>Graterford</w:t>
      </w:r>
      <w:proofErr w:type="spellEnd"/>
      <w:r>
        <w:rPr>
          <w:sz w:val="24"/>
          <w:szCs w:val="24"/>
        </w:rPr>
        <w:t xml:space="preserve">.  This last sentence was interpreted by me to be a statement as to those witnesses to be made available by GTL </w:t>
      </w:r>
      <w:r w:rsidR="00192DB9">
        <w:rPr>
          <w:sz w:val="24"/>
          <w:szCs w:val="24"/>
        </w:rPr>
        <w:t xml:space="preserve">to Complainant </w:t>
      </w:r>
      <w:r>
        <w:rPr>
          <w:sz w:val="24"/>
          <w:szCs w:val="24"/>
        </w:rPr>
        <w:t xml:space="preserve">through an agreement.  Otherwise, the sentence would have stated that subpoenas were needed for these individuals, and not that the witnesses would be </w:t>
      </w:r>
      <w:r w:rsidR="00944A5E">
        <w:rPr>
          <w:sz w:val="24"/>
          <w:szCs w:val="24"/>
        </w:rPr>
        <w:t>called,</w:t>
      </w:r>
      <w:r w:rsidR="009D6072">
        <w:rPr>
          <w:sz w:val="24"/>
          <w:szCs w:val="24"/>
        </w:rPr>
        <w:t xml:space="preserve"> </w:t>
      </w:r>
      <w:r w:rsidR="00944A5E">
        <w:rPr>
          <w:sz w:val="24"/>
          <w:szCs w:val="24"/>
        </w:rPr>
        <w:t>which connotes a voluntary attendance.</w:t>
      </w:r>
    </w:p>
    <w:p w:rsidR="002D2D34" w:rsidRDefault="002D2D34" w:rsidP="00D273E8">
      <w:pPr>
        <w:tabs>
          <w:tab w:val="left" w:pos="0"/>
        </w:tabs>
        <w:rPr>
          <w:sz w:val="24"/>
          <w:szCs w:val="24"/>
        </w:rPr>
      </w:pPr>
    </w:p>
    <w:p w:rsidR="002D2D34" w:rsidRDefault="002D2D34" w:rsidP="00D273E8">
      <w:pPr>
        <w:tabs>
          <w:tab w:val="left" w:pos="0"/>
        </w:tabs>
        <w:rPr>
          <w:sz w:val="24"/>
          <w:szCs w:val="24"/>
        </w:rPr>
      </w:pPr>
      <w:r>
        <w:rPr>
          <w:sz w:val="24"/>
          <w:szCs w:val="24"/>
        </w:rPr>
        <w:tab/>
      </w:r>
      <w:r>
        <w:rPr>
          <w:sz w:val="24"/>
          <w:szCs w:val="24"/>
        </w:rPr>
        <w:tab/>
        <w:t>A continuance of the August 8, 2013, hearing was granted to allow for Complainant to further prepare his case as he had requested.  The hearing was then rescheduled for October 3, 2013.</w:t>
      </w:r>
    </w:p>
    <w:p w:rsidR="002D2D34" w:rsidRDefault="002D2D34" w:rsidP="00D273E8">
      <w:pPr>
        <w:tabs>
          <w:tab w:val="left" w:pos="0"/>
        </w:tabs>
        <w:rPr>
          <w:sz w:val="24"/>
          <w:szCs w:val="24"/>
        </w:rPr>
      </w:pPr>
    </w:p>
    <w:p w:rsidR="00944A5E" w:rsidRDefault="002D2D34" w:rsidP="00D273E8">
      <w:pPr>
        <w:tabs>
          <w:tab w:val="left" w:pos="0"/>
        </w:tabs>
        <w:rPr>
          <w:sz w:val="24"/>
          <w:szCs w:val="24"/>
        </w:rPr>
      </w:pPr>
      <w:r>
        <w:rPr>
          <w:sz w:val="24"/>
          <w:szCs w:val="24"/>
        </w:rPr>
        <w:tab/>
      </w:r>
      <w:r>
        <w:rPr>
          <w:sz w:val="24"/>
          <w:szCs w:val="24"/>
        </w:rPr>
        <w:tab/>
        <w:t>The October 3, 2013, hearing was held as scheduled.  No additional witnesses were called by the Complainant and no documents were submitted by him.  Due to logistical difficulties with holding a tele</w:t>
      </w:r>
      <w:r w:rsidR="00944A5E">
        <w:rPr>
          <w:sz w:val="24"/>
          <w:szCs w:val="24"/>
        </w:rPr>
        <w:t>phonic hearing, a second day of hearing needed to be scheduled, and that will occur on November 15, 2013.  Complainant asked whether he could submit additional witnesses/documentation, but that request was denied as untimely.</w:t>
      </w:r>
    </w:p>
    <w:p w:rsidR="00944A5E" w:rsidRDefault="00944A5E" w:rsidP="00D273E8">
      <w:pPr>
        <w:tabs>
          <w:tab w:val="left" w:pos="0"/>
        </w:tabs>
        <w:rPr>
          <w:sz w:val="24"/>
          <w:szCs w:val="24"/>
        </w:rPr>
      </w:pPr>
    </w:p>
    <w:p w:rsidR="00E361FF" w:rsidRDefault="00944A5E" w:rsidP="00D273E8">
      <w:pPr>
        <w:tabs>
          <w:tab w:val="left" w:pos="0"/>
        </w:tabs>
        <w:rPr>
          <w:sz w:val="24"/>
          <w:szCs w:val="24"/>
        </w:rPr>
      </w:pPr>
      <w:r>
        <w:rPr>
          <w:sz w:val="24"/>
          <w:szCs w:val="24"/>
        </w:rPr>
        <w:tab/>
      </w:r>
      <w:r>
        <w:rPr>
          <w:sz w:val="24"/>
          <w:szCs w:val="24"/>
        </w:rPr>
        <w:tab/>
        <w:t>Based on the foregoing, Complainant sh</w:t>
      </w:r>
      <w:r w:rsidR="00DB636F">
        <w:rPr>
          <w:sz w:val="24"/>
          <w:szCs w:val="24"/>
        </w:rPr>
        <w:t>ould have submitted his application</w:t>
      </w:r>
      <w:r>
        <w:rPr>
          <w:sz w:val="24"/>
          <w:szCs w:val="24"/>
        </w:rPr>
        <w:t xml:space="preserve"> for subpoenas no later than July 29, 2013</w:t>
      </w:r>
      <w:r w:rsidR="00C152FE">
        <w:rPr>
          <w:sz w:val="24"/>
          <w:szCs w:val="24"/>
        </w:rPr>
        <w:t xml:space="preserve"> (no later than September 23</w:t>
      </w:r>
      <w:r>
        <w:rPr>
          <w:sz w:val="24"/>
          <w:szCs w:val="24"/>
        </w:rPr>
        <w:t>,</w:t>
      </w:r>
      <w:r w:rsidR="00C152FE">
        <w:rPr>
          <w:sz w:val="24"/>
          <w:szCs w:val="24"/>
        </w:rPr>
        <w:t xml:space="preserve"> 2013, for the October 3 hearing)</w:t>
      </w:r>
      <w:r>
        <w:rPr>
          <w:sz w:val="24"/>
          <w:szCs w:val="24"/>
        </w:rPr>
        <w:t xml:space="preserve"> and a request at this </w:t>
      </w:r>
      <w:r w:rsidR="00C152FE">
        <w:rPr>
          <w:sz w:val="24"/>
          <w:szCs w:val="24"/>
        </w:rPr>
        <w:t>late date is</w:t>
      </w:r>
      <w:r>
        <w:rPr>
          <w:sz w:val="24"/>
          <w:szCs w:val="24"/>
        </w:rPr>
        <w:t xml:space="preserve"> untimely and prejudicial to the Company.  I follow the Commission’s regulations at 52 Pa. Code §1.2, which permit liberal construction of procedural regulations, and I am cognizant that Complainant is a lay person, not an attorney.  However, a statement </w:t>
      </w:r>
      <w:r w:rsidR="00DB636F">
        <w:rPr>
          <w:sz w:val="24"/>
          <w:szCs w:val="24"/>
        </w:rPr>
        <w:t xml:space="preserve">by Complainant </w:t>
      </w:r>
      <w:r>
        <w:rPr>
          <w:sz w:val="24"/>
          <w:szCs w:val="24"/>
        </w:rPr>
        <w:t>that witnesses will be called</w:t>
      </w:r>
      <w:r w:rsidR="00DB636F">
        <w:rPr>
          <w:sz w:val="24"/>
          <w:szCs w:val="24"/>
        </w:rPr>
        <w:t xml:space="preserve"> </w:t>
      </w:r>
      <w:r>
        <w:rPr>
          <w:sz w:val="24"/>
          <w:szCs w:val="24"/>
        </w:rPr>
        <w:t>does not signify</w:t>
      </w:r>
      <w:r w:rsidR="009D6072">
        <w:rPr>
          <w:sz w:val="24"/>
          <w:szCs w:val="24"/>
        </w:rPr>
        <w:t xml:space="preserve"> that subpoenas are being </w:t>
      </w:r>
      <w:r w:rsidR="009D6072">
        <w:rPr>
          <w:sz w:val="24"/>
          <w:szCs w:val="24"/>
        </w:rPr>
        <w:lastRenderedPageBreak/>
        <w:t>requested</w:t>
      </w:r>
      <w:r>
        <w:rPr>
          <w:sz w:val="24"/>
          <w:szCs w:val="24"/>
        </w:rPr>
        <w:t xml:space="preserve">, even if </w:t>
      </w:r>
      <w:r w:rsidR="009D6072">
        <w:rPr>
          <w:sz w:val="24"/>
          <w:szCs w:val="24"/>
        </w:rPr>
        <w:t xml:space="preserve">the statement is </w:t>
      </w:r>
      <w:r>
        <w:rPr>
          <w:sz w:val="24"/>
          <w:szCs w:val="24"/>
        </w:rPr>
        <w:t>liberally con</w:t>
      </w:r>
      <w:r w:rsidR="009D6072">
        <w:rPr>
          <w:sz w:val="24"/>
          <w:szCs w:val="24"/>
        </w:rPr>
        <w:t xml:space="preserve">strued.  </w:t>
      </w:r>
      <w:r>
        <w:rPr>
          <w:sz w:val="24"/>
          <w:szCs w:val="24"/>
        </w:rPr>
        <w:t>Instead, such a statement designates those witnesses that will be presented</w:t>
      </w:r>
      <w:r w:rsidR="009D6072">
        <w:rPr>
          <w:sz w:val="24"/>
          <w:szCs w:val="24"/>
        </w:rPr>
        <w:t>.</w:t>
      </w:r>
      <w:r w:rsidR="00CF173B">
        <w:rPr>
          <w:rStyle w:val="FootnoteReference"/>
          <w:sz w:val="24"/>
          <w:szCs w:val="24"/>
        </w:rPr>
        <w:footnoteReference w:id="1"/>
      </w:r>
      <w:r w:rsidR="00CF173B">
        <w:rPr>
          <w:sz w:val="24"/>
          <w:szCs w:val="24"/>
        </w:rPr>
        <w:t xml:space="preserve">  </w:t>
      </w:r>
    </w:p>
    <w:p w:rsidR="00E361FF" w:rsidRDefault="00E361FF" w:rsidP="00D273E8">
      <w:pPr>
        <w:tabs>
          <w:tab w:val="left" w:pos="0"/>
        </w:tabs>
        <w:rPr>
          <w:sz w:val="24"/>
          <w:szCs w:val="24"/>
        </w:rPr>
      </w:pPr>
    </w:p>
    <w:p w:rsidR="00CF173B" w:rsidRDefault="00E361FF" w:rsidP="00D273E8">
      <w:pPr>
        <w:tabs>
          <w:tab w:val="left" w:pos="0"/>
        </w:tabs>
        <w:rPr>
          <w:sz w:val="24"/>
          <w:szCs w:val="24"/>
        </w:rPr>
      </w:pPr>
      <w:r>
        <w:rPr>
          <w:sz w:val="24"/>
          <w:szCs w:val="24"/>
        </w:rPr>
        <w:tab/>
      </w:r>
      <w:r>
        <w:rPr>
          <w:sz w:val="24"/>
          <w:szCs w:val="24"/>
        </w:rPr>
        <w:tab/>
        <w:t xml:space="preserve">I agree also that I have previously ruled against the allowance by Complainant of additional witnesses/exhibits, and I have not been convinced to change that ruling.  </w:t>
      </w:r>
      <w:proofErr w:type="gramStart"/>
      <w:r>
        <w:rPr>
          <w:sz w:val="24"/>
          <w:szCs w:val="24"/>
        </w:rPr>
        <w:t>The October 3, 2013, hearing was to have concluded on that day, and the parties needed to abide by that schedule.</w:t>
      </w:r>
      <w:proofErr w:type="gramEnd"/>
      <w:r>
        <w:rPr>
          <w:sz w:val="24"/>
          <w:szCs w:val="24"/>
        </w:rPr>
        <w:t xml:space="preserve">  While another day was required, that day was not previously scheduled an</w:t>
      </w:r>
      <w:r w:rsidR="00CF173B">
        <w:rPr>
          <w:sz w:val="24"/>
          <w:szCs w:val="24"/>
        </w:rPr>
        <w:t>d was necessitated</w:t>
      </w:r>
      <w:r>
        <w:rPr>
          <w:sz w:val="24"/>
          <w:szCs w:val="24"/>
        </w:rPr>
        <w:t xml:space="preserve"> due to unforeseen logistical difficulties with securing an available phone line at the prison.  Such logistical issues cannot form the basis of allowance of additional </w:t>
      </w:r>
      <w:r w:rsidR="006C6C8E">
        <w:rPr>
          <w:sz w:val="24"/>
          <w:szCs w:val="24"/>
        </w:rPr>
        <w:t xml:space="preserve">witnesses and </w:t>
      </w:r>
      <w:r>
        <w:rPr>
          <w:sz w:val="24"/>
          <w:szCs w:val="24"/>
        </w:rPr>
        <w:t xml:space="preserve">documents, absent some compelling reason why the original deadlines for </w:t>
      </w:r>
      <w:r w:rsidR="006C6C8E">
        <w:rPr>
          <w:sz w:val="24"/>
          <w:szCs w:val="24"/>
        </w:rPr>
        <w:t xml:space="preserve">filing an </w:t>
      </w:r>
      <w:r>
        <w:rPr>
          <w:sz w:val="24"/>
          <w:szCs w:val="24"/>
        </w:rPr>
        <w:t xml:space="preserve">application </w:t>
      </w:r>
      <w:r w:rsidR="006C6C8E">
        <w:rPr>
          <w:sz w:val="24"/>
          <w:szCs w:val="24"/>
        </w:rPr>
        <w:t xml:space="preserve">for </w:t>
      </w:r>
      <w:r>
        <w:rPr>
          <w:sz w:val="24"/>
          <w:szCs w:val="24"/>
        </w:rPr>
        <w:t>subpoenas w</w:t>
      </w:r>
      <w:r w:rsidR="006C6C8E">
        <w:rPr>
          <w:sz w:val="24"/>
          <w:szCs w:val="24"/>
        </w:rPr>
        <w:t>ere</w:t>
      </w:r>
      <w:r w:rsidR="00CF173B">
        <w:rPr>
          <w:sz w:val="24"/>
          <w:szCs w:val="24"/>
        </w:rPr>
        <w:t xml:space="preserve"> not met.</w:t>
      </w:r>
    </w:p>
    <w:p w:rsidR="00192DB9" w:rsidRDefault="00192DB9" w:rsidP="00D273E8">
      <w:pPr>
        <w:tabs>
          <w:tab w:val="left" w:pos="0"/>
        </w:tabs>
        <w:rPr>
          <w:sz w:val="24"/>
          <w:szCs w:val="24"/>
        </w:rPr>
      </w:pPr>
    </w:p>
    <w:p w:rsidR="00192DB9" w:rsidRDefault="00192DB9" w:rsidP="00D273E8">
      <w:pPr>
        <w:tabs>
          <w:tab w:val="left" w:pos="0"/>
        </w:tabs>
        <w:rPr>
          <w:sz w:val="24"/>
          <w:szCs w:val="24"/>
        </w:rPr>
      </w:pPr>
      <w:r>
        <w:rPr>
          <w:sz w:val="24"/>
          <w:szCs w:val="24"/>
        </w:rPr>
        <w:tab/>
      </w:r>
      <w:r>
        <w:rPr>
          <w:sz w:val="24"/>
          <w:szCs w:val="24"/>
        </w:rPr>
        <w:tab/>
        <w:t xml:space="preserve">I also agree that the Application failed to set forth the relevance, materiality, and scope of the documents (or the witnesses) </w:t>
      </w:r>
      <w:proofErr w:type="gramStart"/>
      <w:r>
        <w:rPr>
          <w:sz w:val="24"/>
          <w:szCs w:val="24"/>
        </w:rPr>
        <w:t>sought,</w:t>
      </w:r>
      <w:proofErr w:type="gramEnd"/>
      <w:r>
        <w:rPr>
          <w:sz w:val="24"/>
          <w:szCs w:val="24"/>
        </w:rPr>
        <w:t xml:space="preserve"> how they would be used, or why they were necessary.</w:t>
      </w:r>
    </w:p>
    <w:p w:rsidR="00CF173B" w:rsidRDefault="00CF173B" w:rsidP="00D273E8">
      <w:pPr>
        <w:tabs>
          <w:tab w:val="left" w:pos="0"/>
        </w:tabs>
        <w:rPr>
          <w:sz w:val="24"/>
          <w:szCs w:val="24"/>
        </w:rPr>
      </w:pPr>
    </w:p>
    <w:p w:rsidR="00CF173B" w:rsidRDefault="00CF173B" w:rsidP="00D273E8">
      <w:pPr>
        <w:tabs>
          <w:tab w:val="left" w:pos="0"/>
        </w:tabs>
        <w:rPr>
          <w:sz w:val="24"/>
          <w:szCs w:val="24"/>
        </w:rPr>
      </w:pPr>
      <w:r>
        <w:rPr>
          <w:sz w:val="24"/>
          <w:szCs w:val="24"/>
        </w:rPr>
        <w:tab/>
      </w:r>
      <w:r>
        <w:rPr>
          <w:sz w:val="24"/>
          <w:szCs w:val="24"/>
        </w:rPr>
        <w:tab/>
      </w:r>
      <w:r w:rsidR="00C152FE">
        <w:rPr>
          <w:sz w:val="24"/>
          <w:szCs w:val="24"/>
        </w:rPr>
        <w:t>In short</w:t>
      </w:r>
      <w:r>
        <w:rPr>
          <w:sz w:val="24"/>
          <w:szCs w:val="24"/>
        </w:rPr>
        <w:t>, this case must have an end.  Complainant has been provided sufficient time, through the discovery process and otherwise, to request the witnesses and documents he now seeks.  No further time for this process has been justified.</w:t>
      </w:r>
    </w:p>
    <w:p w:rsidR="00CF173B" w:rsidRDefault="00CF173B" w:rsidP="00D273E8">
      <w:pPr>
        <w:tabs>
          <w:tab w:val="left" w:pos="0"/>
        </w:tabs>
        <w:rPr>
          <w:sz w:val="24"/>
          <w:szCs w:val="24"/>
        </w:rPr>
      </w:pPr>
    </w:p>
    <w:p w:rsidR="006C6C8E" w:rsidRDefault="00CF173B" w:rsidP="00CF173B">
      <w:pPr>
        <w:tabs>
          <w:tab w:val="left" w:pos="0"/>
        </w:tabs>
        <w:jc w:val="center"/>
        <w:rPr>
          <w:sz w:val="24"/>
          <w:szCs w:val="24"/>
        </w:rPr>
      </w:pPr>
      <w:r>
        <w:rPr>
          <w:sz w:val="24"/>
          <w:szCs w:val="24"/>
        </w:rPr>
        <w:t>III.</w:t>
      </w:r>
      <w:r>
        <w:rPr>
          <w:sz w:val="24"/>
          <w:szCs w:val="24"/>
        </w:rPr>
        <w:tab/>
      </w:r>
      <w:r w:rsidRPr="00CF173B">
        <w:rPr>
          <w:sz w:val="24"/>
          <w:szCs w:val="24"/>
          <w:u w:val="single"/>
        </w:rPr>
        <w:t>ORDERING PARAGRAPHS</w:t>
      </w:r>
    </w:p>
    <w:p w:rsidR="006C6C8E" w:rsidRDefault="006C6C8E" w:rsidP="00D273E8">
      <w:pPr>
        <w:tabs>
          <w:tab w:val="left" w:pos="0"/>
        </w:tabs>
        <w:rPr>
          <w:sz w:val="24"/>
          <w:szCs w:val="24"/>
        </w:rPr>
      </w:pPr>
    </w:p>
    <w:p w:rsidR="00331DE4" w:rsidRDefault="009F285F" w:rsidP="00CF173B">
      <w:pPr>
        <w:tabs>
          <w:tab w:val="left" w:pos="0"/>
        </w:tabs>
        <w:rPr>
          <w:sz w:val="24"/>
          <w:szCs w:val="24"/>
        </w:rPr>
      </w:pPr>
      <w:r>
        <w:rPr>
          <w:sz w:val="24"/>
          <w:szCs w:val="24"/>
        </w:rPr>
        <w:t xml:space="preserve">  </w:t>
      </w:r>
      <w:r w:rsidR="00790178">
        <w:rPr>
          <w:sz w:val="24"/>
          <w:szCs w:val="24"/>
        </w:rPr>
        <w:t xml:space="preserve">  </w:t>
      </w:r>
      <w:r w:rsidR="00C86F25">
        <w:rPr>
          <w:sz w:val="24"/>
          <w:szCs w:val="24"/>
        </w:rPr>
        <w:t xml:space="preserve">  </w:t>
      </w:r>
      <w:r w:rsidR="00273004">
        <w:rPr>
          <w:sz w:val="24"/>
          <w:szCs w:val="24"/>
        </w:rPr>
        <w:t xml:space="preserve">      </w:t>
      </w:r>
      <w:r w:rsidR="00115B82">
        <w:rPr>
          <w:sz w:val="24"/>
          <w:szCs w:val="24"/>
        </w:rPr>
        <w:t xml:space="preserve">  </w:t>
      </w:r>
      <w:r w:rsidR="00BA2A20">
        <w:rPr>
          <w:sz w:val="24"/>
          <w:szCs w:val="24"/>
        </w:rPr>
        <w:t xml:space="preserve"> </w:t>
      </w:r>
      <w:r w:rsidR="00D273E8">
        <w:rPr>
          <w:sz w:val="24"/>
          <w:szCs w:val="24"/>
        </w:rPr>
        <w:t xml:space="preserve">    </w:t>
      </w:r>
      <w:r w:rsidR="00CF173B">
        <w:rPr>
          <w:sz w:val="24"/>
          <w:szCs w:val="24"/>
        </w:rPr>
        <w:tab/>
      </w:r>
      <w:r w:rsidR="00E55642" w:rsidRPr="007659E6">
        <w:rPr>
          <w:sz w:val="24"/>
          <w:szCs w:val="24"/>
        </w:rPr>
        <w:t>THEREFORE,</w:t>
      </w:r>
    </w:p>
    <w:p w:rsidR="00CF2911" w:rsidRDefault="00CF2911">
      <w:pPr>
        <w:ind w:left="720"/>
        <w:rPr>
          <w:sz w:val="24"/>
          <w:szCs w:val="24"/>
        </w:rPr>
      </w:pPr>
    </w:p>
    <w:p w:rsidR="00E55642" w:rsidRDefault="00331DE4" w:rsidP="007C46F3">
      <w:pPr>
        <w:ind w:left="720" w:firstLine="720"/>
        <w:rPr>
          <w:sz w:val="24"/>
          <w:szCs w:val="24"/>
        </w:rPr>
      </w:pPr>
      <w:r>
        <w:rPr>
          <w:sz w:val="24"/>
          <w:szCs w:val="24"/>
        </w:rPr>
        <w:t>IT IS ORDERED</w:t>
      </w:r>
      <w:r w:rsidR="00E55642" w:rsidRPr="007659E6">
        <w:rPr>
          <w:sz w:val="24"/>
          <w:szCs w:val="24"/>
        </w:rPr>
        <w:t>:</w:t>
      </w:r>
    </w:p>
    <w:p w:rsidR="00DB43FC" w:rsidRDefault="00DB43FC" w:rsidP="007C46F3">
      <w:pPr>
        <w:ind w:left="720" w:firstLine="720"/>
        <w:rPr>
          <w:sz w:val="24"/>
          <w:szCs w:val="24"/>
        </w:rPr>
      </w:pPr>
    </w:p>
    <w:p w:rsidR="00244D1A" w:rsidRDefault="00DB43FC" w:rsidP="00F2151F">
      <w:pPr>
        <w:rPr>
          <w:sz w:val="24"/>
          <w:szCs w:val="24"/>
        </w:rPr>
      </w:pPr>
      <w:r>
        <w:rPr>
          <w:sz w:val="24"/>
          <w:szCs w:val="24"/>
        </w:rPr>
        <w:tab/>
      </w:r>
      <w:r>
        <w:rPr>
          <w:sz w:val="24"/>
          <w:szCs w:val="24"/>
        </w:rPr>
        <w:tab/>
      </w:r>
      <w:r w:rsidR="00CF173B">
        <w:rPr>
          <w:sz w:val="24"/>
          <w:szCs w:val="24"/>
        </w:rPr>
        <w:t>1.</w:t>
      </w:r>
      <w:r w:rsidR="00CF173B">
        <w:rPr>
          <w:sz w:val="24"/>
          <w:szCs w:val="24"/>
        </w:rPr>
        <w:tab/>
        <w:t xml:space="preserve">That Complainant’s </w:t>
      </w:r>
      <w:r w:rsidR="00F2151F">
        <w:rPr>
          <w:sz w:val="24"/>
          <w:szCs w:val="24"/>
        </w:rPr>
        <w:t>Application for Subpoena</w:t>
      </w:r>
      <w:r w:rsidR="00CF173B">
        <w:rPr>
          <w:sz w:val="24"/>
          <w:szCs w:val="24"/>
        </w:rPr>
        <w:t>s</w:t>
      </w:r>
      <w:r w:rsidR="00F2151F">
        <w:rPr>
          <w:sz w:val="24"/>
          <w:szCs w:val="24"/>
        </w:rPr>
        <w:t xml:space="preserve"> to compel the attendance</w:t>
      </w:r>
      <w:r w:rsidR="00CF173B">
        <w:rPr>
          <w:sz w:val="24"/>
          <w:szCs w:val="24"/>
        </w:rPr>
        <w:t xml:space="preserve"> </w:t>
      </w:r>
      <w:r w:rsidR="00F2151F">
        <w:rPr>
          <w:sz w:val="24"/>
          <w:szCs w:val="24"/>
        </w:rPr>
        <w:t xml:space="preserve">of </w:t>
      </w:r>
      <w:r w:rsidR="00CF173B">
        <w:rPr>
          <w:sz w:val="24"/>
          <w:szCs w:val="24"/>
        </w:rPr>
        <w:t xml:space="preserve">Dawn Allen, Phone Coordinator at </w:t>
      </w:r>
      <w:proofErr w:type="spellStart"/>
      <w:r w:rsidR="00CF173B">
        <w:rPr>
          <w:sz w:val="24"/>
          <w:szCs w:val="24"/>
        </w:rPr>
        <w:t>Graterford</w:t>
      </w:r>
      <w:proofErr w:type="spellEnd"/>
      <w:r w:rsidR="00CF173B">
        <w:rPr>
          <w:sz w:val="24"/>
          <w:szCs w:val="24"/>
        </w:rPr>
        <w:t xml:space="preserve">, and an unspecified GTL Field Representative </w:t>
      </w:r>
      <w:r w:rsidR="00CF173B">
        <w:rPr>
          <w:sz w:val="24"/>
          <w:szCs w:val="24"/>
        </w:rPr>
        <w:lastRenderedPageBreak/>
        <w:t xml:space="preserve">at </w:t>
      </w:r>
      <w:proofErr w:type="spellStart"/>
      <w:r w:rsidR="00CF173B">
        <w:rPr>
          <w:sz w:val="24"/>
          <w:szCs w:val="24"/>
        </w:rPr>
        <w:t>Graterford</w:t>
      </w:r>
      <w:proofErr w:type="spellEnd"/>
      <w:r w:rsidR="00CF173B">
        <w:rPr>
          <w:sz w:val="24"/>
          <w:szCs w:val="24"/>
        </w:rPr>
        <w:t xml:space="preserve">, and various documents, at the telephonic hearing now scheduled for November 15, 2013, </w:t>
      </w:r>
      <w:r w:rsidR="00F2151F">
        <w:rPr>
          <w:sz w:val="24"/>
          <w:szCs w:val="24"/>
        </w:rPr>
        <w:t xml:space="preserve">is denied as </w:t>
      </w:r>
      <w:r w:rsidR="00CF173B">
        <w:rPr>
          <w:sz w:val="24"/>
          <w:szCs w:val="24"/>
        </w:rPr>
        <w:t>untimely and not sufficiently supported.</w:t>
      </w:r>
      <w:r w:rsidR="00F2151F">
        <w:rPr>
          <w:sz w:val="24"/>
          <w:szCs w:val="24"/>
        </w:rPr>
        <w:t xml:space="preserve"> </w:t>
      </w:r>
    </w:p>
    <w:p w:rsidR="00192DB9" w:rsidRDefault="00192DB9" w:rsidP="00F2151F">
      <w:pPr>
        <w:rPr>
          <w:sz w:val="24"/>
          <w:szCs w:val="24"/>
        </w:rPr>
      </w:pPr>
    </w:p>
    <w:p w:rsidR="00192DB9" w:rsidRDefault="00192DB9" w:rsidP="00F2151F">
      <w:pPr>
        <w:rPr>
          <w:sz w:val="24"/>
          <w:szCs w:val="24"/>
        </w:rPr>
      </w:pPr>
      <w:r>
        <w:rPr>
          <w:sz w:val="24"/>
          <w:szCs w:val="24"/>
        </w:rPr>
        <w:tab/>
      </w:r>
      <w:r>
        <w:rPr>
          <w:sz w:val="24"/>
          <w:szCs w:val="24"/>
        </w:rPr>
        <w:tab/>
        <w:t>2.</w:t>
      </w:r>
      <w:r>
        <w:rPr>
          <w:sz w:val="24"/>
          <w:szCs w:val="24"/>
        </w:rPr>
        <w:tab/>
        <w:t>That all parties be prepared to conclude their cases on November 15, 2013.</w:t>
      </w:r>
    </w:p>
    <w:p w:rsidR="00192DB9" w:rsidRDefault="00192DB9" w:rsidP="00F2151F">
      <w:pPr>
        <w:rPr>
          <w:sz w:val="24"/>
          <w:szCs w:val="24"/>
        </w:rPr>
      </w:pPr>
    </w:p>
    <w:p w:rsidR="00D806D9" w:rsidRPr="00244D1A" w:rsidRDefault="00B223F1" w:rsidP="00244D1A">
      <w:pPr>
        <w:rPr>
          <w:sz w:val="24"/>
          <w:szCs w:val="24"/>
        </w:rPr>
      </w:pPr>
      <w:r w:rsidRPr="00244D1A">
        <w:rPr>
          <w:sz w:val="24"/>
          <w:szCs w:val="24"/>
        </w:rPr>
        <w:tab/>
      </w:r>
      <w:r w:rsidRPr="00244D1A">
        <w:rPr>
          <w:sz w:val="24"/>
          <w:szCs w:val="24"/>
        </w:rPr>
        <w:tab/>
      </w:r>
    </w:p>
    <w:p w:rsidR="00E55642" w:rsidRPr="00244D1A" w:rsidRDefault="00E55642" w:rsidP="006F4001">
      <w:pPr>
        <w:pStyle w:val="BodyText"/>
        <w:spacing w:line="240" w:lineRule="auto"/>
        <w:jc w:val="left"/>
        <w:rPr>
          <w:sz w:val="24"/>
          <w:szCs w:val="24"/>
        </w:rPr>
      </w:pPr>
      <w:r w:rsidRPr="00244D1A">
        <w:rPr>
          <w:sz w:val="24"/>
          <w:szCs w:val="24"/>
        </w:rPr>
        <w:t xml:space="preserve">Dated:  </w:t>
      </w:r>
      <w:r w:rsidR="00192DB9" w:rsidRPr="00192DB9">
        <w:rPr>
          <w:sz w:val="24"/>
          <w:szCs w:val="24"/>
          <w:u w:val="single"/>
        </w:rPr>
        <w:t>October 28</w:t>
      </w:r>
      <w:r w:rsidR="003E336E" w:rsidRPr="00192DB9">
        <w:rPr>
          <w:sz w:val="24"/>
          <w:szCs w:val="24"/>
          <w:u w:val="single"/>
        </w:rPr>
        <w:t>, 201</w:t>
      </w:r>
      <w:r w:rsidR="00192DB9" w:rsidRPr="00192DB9">
        <w:rPr>
          <w:sz w:val="24"/>
          <w:szCs w:val="24"/>
          <w:u w:val="single"/>
        </w:rPr>
        <w:t>3</w:t>
      </w:r>
      <w:r w:rsidR="002F5CA0" w:rsidRPr="00244D1A">
        <w:rPr>
          <w:sz w:val="24"/>
          <w:szCs w:val="24"/>
        </w:rPr>
        <w:t xml:space="preserve"> </w:t>
      </w:r>
      <w:r w:rsidR="006F4001">
        <w:rPr>
          <w:sz w:val="24"/>
          <w:szCs w:val="24"/>
        </w:rPr>
        <w:tab/>
      </w:r>
      <w:r w:rsidR="002F5CA0" w:rsidRPr="00244D1A">
        <w:rPr>
          <w:sz w:val="24"/>
          <w:szCs w:val="24"/>
        </w:rPr>
        <w:t xml:space="preserve">  </w:t>
      </w:r>
      <w:r w:rsidR="002F5CA0" w:rsidRPr="00244D1A">
        <w:rPr>
          <w:sz w:val="24"/>
          <w:szCs w:val="24"/>
        </w:rPr>
        <w:tab/>
      </w:r>
      <w:r w:rsidR="002F5CA0" w:rsidRPr="00244D1A">
        <w:rPr>
          <w:sz w:val="24"/>
          <w:szCs w:val="24"/>
        </w:rPr>
        <w:tab/>
      </w:r>
      <w:r w:rsidR="00515AE5" w:rsidRPr="00244D1A">
        <w:rPr>
          <w:sz w:val="24"/>
          <w:szCs w:val="24"/>
        </w:rPr>
        <w:tab/>
      </w:r>
      <w:r w:rsidR="002F5CA0" w:rsidRPr="00244D1A">
        <w:rPr>
          <w:sz w:val="24"/>
          <w:szCs w:val="24"/>
          <w:u w:val="single"/>
        </w:rPr>
        <w:tab/>
      </w:r>
      <w:r w:rsidRPr="00244D1A">
        <w:rPr>
          <w:sz w:val="24"/>
          <w:szCs w:val="24"/>
          <w:u w:val="single"/>
        </w:rPr>
        <w:t xml:space="preserve">                                             </w:t>
      </w:r>
      <w:r w:rsidRPr="00244D1A">
        <w:rPr>
          <w:sz w:val="24"/>
          <w:szCs w:val="24"/>
        </w:rPr>
        <w:tab/>
      </w:r>
      <w:r w:rsidRPr="00244D1A">
        <w:rPr>
          <w:sz w:val="24"/>
          <w:szCs w:val="24"/>
        </w:rPr>
        <w:tab/>
      </w:r>
      <w:r w:rsidRPr="00244D1A">
        <w:rPr>
          <w:sz w:val="24"/>
          <w:szCs w:val="24"/>
        </w:rPr>
        <w:tab/>
      </w:r>
      <w:r w:rsidRPr="00244D1A">
        <w:rPr>
          <w:sz w:val="24"/>
          <w:szCs w:val="24"/>
        </w:rPr>
        <w:tab/>
      </w:r>
      <w:r w:rsidRPr="00244D1A">
        <w:rPr>
          <w:sz w:val="24"/>
          <w:szCs w:val="24"/>
        </w:rPr>
        <w:tab/>
      </w:r>
      <w:r w:rsidRPr="00244D1A">
        <w:rPr>
          <w:sz w:val="24"/>
          <w:szCs w:val="24"/>
        </w:rPr>
        <w:tab/>
      </w:r>
      <w:r w:rsidRPr="00244D1A">
        <w:rPr>
          <w:sz w:val="24"/>
          <w:szCs w:val="24"/>
        </w:rPr>
        <w:tab/>
      </w:r>
      <w:r w:rsidRPr="00244D1A">
        <w:rPr>
          <w:sz w:val="24"/>
          <w:szCs w:val="24"/>
        </w:rPr>
        <w:tab/>
      </w:r>
      <w:r w:rsidRPr="00244D1A">
        <w:rPr>
          <w:sz w:val="24"/>
          <w:szCs w:val="24"/>
        </w:rPr>
        <w:tab/>
      </w:r>
      <w:r w:rsidR="00206AD6" w:rsidRPr="00244D1A">
        <w:rPr>
          <w:sz w:val="24"/>
          <w:szCs w:val="24"/>
        </w:rPr>
        <w:t>Kandace F. Melillo</w:t>
      </w:r>
    </w:p>
    <w:p w:rsidR="00016819" w:rsidRDefault="00E55642" w:rsidP="002F5CA0">
      <w:pPr>
        <w:spacing w:line="240" w:lineRule="auto"/>
        <w:rPr>
          <w:sz w:val="24"/>
          <w:szCs w:val="24"/>
        </w:rPr>
        <w:sectPr w:rsidR="00016819" w:rsidSect="008039CD">
          <w:footerReference w:type="even" r:id="rId9"/>
          <w:footerReference w:type="default" r:id="rId10"/>
          <w:pgSz w:w="12240" w:h="15840"/>
          <w:pgMar w:top="1440" w:right="1440" w:bottom="1440" w:left="1440" w:header="720" w:footer="720" w:gutter="0"/>
          <w:cols w:space="720"/>
          <w:titlePg/>
          <w:docGrid w:linePitch="354"/>
        </w:sectPr>
      </w:pPr>
      <w:r w:rsidRPr="00244D1A">
        <w:rPr>
          <w:sz w:val="24"/>
          <w:szCs w:val="24"/>
        </w:rPr>
        <w:tab/>
      </w:r>
      <w:r w:rsidRPr="00244D1A">
        <w:rPr>
          <w:sz w:val="24"/>
          <w:szCs w:val="24"/>
        </w:rPr>
        <w:tab/>
      </w:r>
      <w:r w:rsidRPr="00244D1A">
        <w:rPr>
          <w:sz w:val="24"/>
          <w:szCs w:val="24"/>
        </w:rPr>
        <w:tab/>
      </w:r>
      <w:r w:rsidR="006F4001">
        <w:rPr>
          <w:sz w:val="24"/>
          <w:szCs w:val="24"/>
        </w:rPr>
        <w:tab/>
      </w:r>
      <w:r w:rsidRPr="00244D1A">
        <w:rPr>
          <w:sz w:val="24"/>
          <w:szCs w:val="24"/>
        </w:rPr>
        <w:tab/>
      </w:r>
      <w:r w:rsidRPr="00244D1A">
        <w:rPr>
          <w:sz w:val="24"/>
          <w:szCs w:val="24"/>
        </w:rPr>
        <w:tab/>
      </w:r>
      <w:r w:rsidRPr="00244D1A">
        <w:rPr>
          <w:sz w:val="24"/>
          <w:szCs w:val="24"/>
        </w:rPr>
        <w:tab/>
        <w:t>Administrative Law Judge</w:t>
      </w:r>
    </w:p>
    <w:p w:rsidR="00016819" w:rsidRPr="00016819" w:rsidRDefault="00016819" w:rsidP="00016819">
      <w:pPr>
        <w:spacing w:line="240" w:lineRule="auto"/>
        <w:contextualSpacing/>
        <w:rPr>
          <w:rFonts w:ascii="Microsoft Sans Serif" w:hAnsi="Calibri"/>
          <w:b/>
          <w:sz w:val="24"/>
          <w:szCs w:val="22"/>
          <w:u w:val="single"/>
        </w:rPr>
      </w:pPr>
      <w:r w:rsidRPr="00016819">
        <w:rPr>
          <w:rFonts w:ascii="Microsoft Sans Serif" w:hAnsi="Calibri"/>
          <w:b/>
          <w:sz w:val="24"/>
          <w:szCs w:val="22"/>
          <w:u w:val="single"/>
        </w:rPr>
        <w:lastRenderedPageBreak/>
        <w:t>C-2013-2358084 - TYRONE GIBBS v. GLOBAL TEL LINK CORPORATION</w:t>
      </w:r>
      <w:r w:rsidRPr="00016819">
        <w:rPr>
          <w:rFonts w:ascii="Microsoft Sans Serif" w:hAnsi="Calibri"/>
          <w:b/>
          <w:sz w:val="24"/>
          <w:szCs w:val="22"/>
          <w:u w:val="single"/>
        </w:rPr>
        <w:cr/>
        <w:t>Revised (</w:t>
      </w:r>
      <w:r w:rsidRPr="00016819">
        <w:rPr>
          <w:rFonts w:ascii="Microsoft Sans Serif" w:hAnsi="Calibri"/>
          <w:b/>
          <w:i/>
          <w:sz w:val="24"/>
          <w:szCs w:val="22"/>
          <w:u w:val="single"/>
        </w:rPr>
        <w:t>10/17/13</w:t>
      </w:r>
      <w:r w:rsidRPr="00016819">
        <w:rPr>
          <w:rFonts w:ascii="Microsoft Sans Serif" w:hAnsi="Calibri"/>
          <w:b/>
          <w:sz w:val="24"/>
          <w:szCs w:val="22"/>
          <w:u w:val="single"/>
        </w:rPr>
        <w:t>)</w:t>
      </w:r>
    </w:p>
    <w:p w:rsidR="00016819" w:rsidRPr="00016819" w:rsidRDefault="00016819" w:rsidP="00016819">
      <w:pPr>
        <w:spacing w:line="240" w:lineRule="auto"/>
        <w:contextualSpacing/>
        <w:rPr>
          <w:rFonts w:ascii="Microsoft Sans Serif" w:hAnsi="Calibri"/>
          <w:b/>
          <w:sz w:val="24"/>
          <w:szCs w:val="22"/>
          <w:u w:val="single"/>
        </w:rPr>
      </w:pPr>
    </w:p>
    <w:p w:rsidR="00016819" w:rsidRPr="00016819" w:rsidRDefault="00016819" w:rsidP="00016819">
      <w:pPr>
        <w:spacing w:line="240" w:lineRule="auto"/>
        <w:contextualSpacing/>
        <w:rPr>
          <w:rFonts w:ascii="Microsoft Sans Serif" w:hAnsi="Calibri"/>
          <w:sz w:val="24"/>
          <w:szCs w:val="22"/>
        </w:rPr>
      </w:pPr>
      <w:r w:rsidRPr="00016819">
        <w:rPr>
          <w:rFonts w:ascii="Microsoft Sans Serif" w:hAnsi="Calibri"/>
          <w:sz w:val="24"/>
          <w:szCs w:val="22"/>
        </w:rPr>
        <w:t xml:space="preserve">TYRONE GIBBS FS7093  </w:t>
      </w:r>
    </w:p>
    <w:p w:rsidR="00016819" w:rsidRPr="00016819" w:rsidRDefault="00016819" w:rsidP="00016819">
      <w:pPr>
        <w:spacing w:line="240" w:lineRule="auto"/>
        <w:contextualSpacing/>
        <w:rPr>
          <w:rFonts w:ascii="Microsoft Sans Serif" w:hAnsi="Calibri"/>
          <w:sz w:val="24"/>
          <w:szCs w:val="22"/>
        </w:rPr>
      </w:pPr>
      <w:r w:rsidRPr="00016819">
        <w:rPr>
          <w:rFonts w:ascii="Microsoft Sans Serif" w:hAnsi="Calibri"/>
          <w:sz w:val="24"/>
          <w:szCs w:val="22"/>
        </w:rPr>
        <w:t>PO BOX 244</w:t>
      </w:r>
      <w:r w:rsidRPr="00016819">
        <w:rPr>
          <w:rFonts w:ascii="Microsoft Sans Serif" w:hAnsi="Calibri"/>
          <w:sz w:val="24"/>
          <w:szCs w:val="22"/>
        </w:rPr>
        <w:cr/>
        <w:t>GRATERFORD PA  19426</w:t>
      </w:r>
      <w:r w:rsidRPr="00016819">
        <w:rPr>
          <w:rFonts w:ascii="Microsoft Sans Serif" w:hAnsi="Calibri"/>
          <w:sz w:val="24"/>
          <w:szCs w:val="22"/>
        </w:rPr>
        <w:cr/>
        <w:t>610.489.4141 EXT. 2791 (MS. CONNOR-COUNSEL, COUNSELOR)</w:t>
      </w:r>
    </w:p>
    <w:p w:rsidR="00016819" w:rsidRPr="00016819" w:rsidRDefault="00016819" w:rsidP="00016819">
      <w:pPr>
        <w:spacing w:line="240" w:lineRule="auto"/>
        <w:contextualSpacing/>
        <w:rPr>
          <w:rFonts w:ascii="Microsoft Sans Serif" w:hAnsi="Calibri"/>
          <w:sz w:val="24"/>
          <w:szCs w:val="22"/>
        </w:rPr>
      </w:pPr>
      <w:r w:rsidRPr="00016819">
        <w:rPr>
          <w:rFonts w:ascii="Microsoft Sans Serif" w:hAnsi="Calibri"/>
          <w:sz w:val="24"/>
          <w:szCs w:val="22"/>
        </w:rPr>
        <w:t>484.961.7907 GRATERFORD FAX</w:t>
      </w:r>
    </w:p>
    <w:p w:rsidR="00016819" w:rsidRPr="00016819" w:rsidRDefault="00016819" w:rsidP="00016819">
      <w:pPr>
        <w:spacing w:line="240" w:lineRule="auto"/>
        <w:contextualSpacing/>
        <w:rPr>
          <w:rFonts w:ascii="Microsoft Sans Serif" w:hAnsi="Calibri"/>
          <w:sz w:val="24"/>
          <w:szCs w:val="22"/>
        </w:rPr>
      </w:pPr>
    </w:p>
    <w:p w:rsidR="00016819" w:rsidRPr="00016819" w:rsidRDefault="00016819" w:rsidP="00016819">
      <w:pPr>
        <w:spacing w:line="240" w:lineRule="auto"/>
        <w:contextualSpacing/>
        <w:rPr>
          <w:rFonts w:ascii="Microsoft Sans Serif" w:hAnsi="Calibri"/>
          <w:sz w:val="24"/>
          <w:szCs w:val="22"/>
        </w:rPr>
      </w:pPr>
      <w:r w:rsidRPr="00016819">
        <w:rPr>
          <w:rFonts w:ascii="Microsoft Sans Serif" w:hAnsi="Calibri"/>
          <w:sz w:val="24"/>
          <w:szCs w:val="22"/>
        </w:rPr>
        <w:t>EDWARD G. LANZA ESQUIRE</w:t>
      </w:r>
      <w:r w:rsidRPr="00016819">
        <w:rPr>
          <w:rFonts w:ascii="Microsoft Sans Serif" w:hAnsi="Calibri"/>
          <w:sz w:val="24"/>
          <w:szCs w:val="22"/>
        </w:rPr>
        <w:cr/>
        <w:t>ECKERT SEAMANS CHERIN &amp; MELLOT LLC</w:t>
      </w:r>
      <w:r w:rsidRPr="00016819">
        <w:rPr>
          <w:rFonts w:ascii="Microsoft Sans Serif" w:hAnsi="Calibri"/>
          <w:sz w:val="24"/>
          <w:szCs w:val="22"/>
        </w:rPr>
        <w:cr/>
        <w:t xml:space="preserve">213 MARKET STREET 8TH </w:t>
      </w:r>
      <w:proofErr w:type="gramStart"/>
      <w:r w:rsidRPr="00016819">
        <w:rPr>
          <w:rFonts w:ascii="Microsoft Sans Serif" w:hAnsi="Calibri"/>
          <w:sz w:val="24"/>
          <w:szCs w:val="22"/>
        </w:rPr>
        <w:t>FLOOR</w:t>
      </w:r>
      <w:proofErr w:type="gramEnd"/>
      <w:r w:rsidRPr="00016819">
        <w:rPr>
          <w:rFonts w:ascii="Microsoft Sans Serif" w:hAnsi="Calibri"/>
          <w:sz w:val="24"/>
          <w:szCs w:val="22"/>
        </w:rPr>
        <w:cr/>
        <w:t>HARRISBURG PA  17101-1248</w:t>
      </w:r>
      <w:r w:rsidRPr="00016819">
        <w:rPr>
          <w:rFonts w:ascii="Microsoft Sans Serif" w:hAnsi="Calibri"/>
          <w:sz w:val="24"/>
          <w:szCs w:val="22"/>
        </w:rPr>
        <w:cr/>
        <w:t>717.237.7162</w:t>
      </w:r>
    </w:p>
    <w:p w:rsidR="00016819" w:rsidRPr="00016819" w:rsidRDefault="00016819" w:rsidP="00016819">
      <w:pPr>
        <w:spacing w:line="240" w:lineRule="auto"/>
        <w:contextualSpacing/>
        <w:rPr>
          <w:rFonts w:ascii="Microsoft Sans Serif" w:hAnsi="Calibri"/>
          <w:b/>
          <w:i/>
          <w:sz w:val="24"/>
          <w:szCs w:val="22"/>
          <w:u w:val="single"/>
        </w:rPr>
      </w:pPr>
      <w:r w:rsidRPr="00016819">
        <w:rPr>
          <w:rFonts w:ascii="Microsoft Sans Serif" w:hAnsi="Calibri"/>
          <w:b/>
          <w:i/>
          <w:sz w:val="24"/>
          <w:szCs w:val="22"/>
          <w:u w:val="single"/>
        </w:rPr>
        <w:t>E-Serve</w:t>
      </w:r>
    </w:p>
    <w:p w:rsidR="00016819" w:rsidRPr="00016819" w:rsidRDefault="00016819" w:rsidP="00016819">
      <w:pPr>
        <w:spacing w:line="240" w:lineRule="auto"/>
        <w:contextualSpacing/>
        <w:rPr>
          <w:rFonts w:ascii="Microsoft Sans Serif" w:hAnsi="Calibri"/>
          <w:sz w:val="24"/>
          <w:szCs w:val="22"/>
        </w:rPr>
      </w:pPr>
    </w:p>
    <w:p w:rsidR="00016819" w:rsidRPr="00016819" w:rsidRDefault="00016819" w:rsidP="00016819">
      <w:pPr>
        <w:spacing w:line="240" w:lineRule="auto"/>
        <w:contextualSpacing/>
        <w:rPr>
          <w:rFonts w:ascii="Microsoft Sans Serif" w:hAnsi="Calibri"/>
          <w:sz w:val="24"/>
          <w:szCs w:val="22"/>
        </w:rPr>
      </w:pPr>
      <w:bookmarkStart w:id="0" w:name="_GoBack"/>
      <w:r w:rsidRPr="00016819">
        <w:rPr>
          <w:rFonts w:ascii="Microsoft Sans Serif" w:hAnsi="Calibri"/>
          <w:sz w:val="24"/>
          <w:szCs w:val="22"/>
        </w:rPr>
        <w:t>KEVIN B. LEFTON ESQUIRE</w:t>
      </w:r>
    </w:p>
    <w:p w:rsidR="00016819" w:rsidRPr="00016819" w:rsidRDefault="00016819" w:rsidP="00016819">
      <w:pPr>
        <w:spacing w:line="240" w:lineRule="auto"/>
        <w:contextualSpacing/>
        <w:rPr>
          <w:rFonts w:ascii="Microsoft Sans Serif" w:hAnsi="Calibri"/>
          <w:sz w:val="24"/>
          <w:szCs w:val="22"/>
        </w:rPr>
      </w:pPr>
      <w:r w:rsidRPr="00016819">
        <w:rPr>
          <w:rFonts w:ascii="Microsoft Sans Serif" w:hAnsi="Calibri"/>
          <w:sz w:val="24"/>
          <w:szCs w:val="22"/>
        </w:rPr>
        <w:t>SENIOR COUNSEL</w:t>
      </w:r>
    </w:p>
    <w:p w:rsidR="00016819" w:rsidRPr="00016819" w:rsidRDefault="00016819" w:rsidP="00016819">
      <w:pPr>
        <w:spacing w:line="240" w:lineRule="auto"/>
        <w:contextualSpacing/>
        <w:rPr>
          <w:rFonts w:ascii="Microsoft Sans Serif" w:hAnsi="Calibri"/>
          <w:sz w:val="24"/>
          <w:szCs w:val="22"/>
        </w:rPr>
      </w:pPr>
      <w:r w:rsidRPr="00016819">
        <w:rPr>
          <w:rFonts w:ascii="Microsoft Sans Serif" w:hAnsi="Calibri"/>
          <w:sz w:val="24"/>
          <w:szCs w:val="22"/>
        </w:rPr>
        <w:t>GLOBAL TEL*LINK CORPORATION</w:t>
      </w:r>
    </w:p>
    <w:p w:rsidR="00016819" w:rsidRPr="00016819" w:rsidRDefault="00016819" w:rsidP="00016819">
      <w:pPr>
        <w:spacing w:line="240" w:lineRule="auto"/>
        <w:contextualSpacing/>
        <w:rPr>
          <w:rFonts w:ascii="Microsoft Sans Serif" w:hAnsi="Calibri"/>
          <w:sz w:val="24"/>
          <w:szCs w:val="22"/>
        </w:rPr>
      </w:pPr>
      <w:r w:rsidRPr="00016819">
        <w:rPr>
          <w:rFonts w:ascii="Microsoft Sans Serif" w:hAnsi="Calibri"/>
          <w:sz w:val="24"/>
          <w:szCs w:val="22"/>
        </w:rPr>
        <w:t>12021 SUNSET HILLS ROAD</w:t>
      </w:r>
    </w:p>
    <w:p w:rsidR="00016819" w:rsidRPr="00016819" w:rsidRDefault="00016819" w:rsidP="00016819">
      <w:pPr>
        <w:spacing w:line="240" w:lineRule="auto"/>
        <w:contextualSpacing/>
        <w:rPr>
          <w:rFonts w:ascii="Microsoft Sans Serif" w:hAnsi="Calibri"/>
          <w:sz w:val="24"/>
          <w:szCs w:val="22"/>
        </w:rPr>
      </w:pPr>
      <w:r w:rsidRPr="00016819">
        <w:rPr>
          <w:rFonts w:ascii="Microsoft Sans Serif" w:hAnsi="Calibri"/>
          <w:sz w:val="24"/>
          <w:szCs w:val="22"/>
        </w:rPr>
        <w:t>SUITE 100</w:t>
      </w:r>
    </w:p>
    <w:p w:rsidR="00016819" w:rsidRPr="00016819" w:rsidRDefault="00016819" w:rsidP="00016819">
      <w:pPr>
        <w:spacing w:line="240" w:lineRule="auto"/>
        <w:contextualSpacing/>
        <w:rPr>
          <w:rFonts w:ascii="Microsoft Sans Serif" w:hAnsi="Calibri"/>
          <w:sz w:val="24"/>
          <w:szCs w:val="22"/>
        </w:rPr>
      </w:pPr>
      <w:r w:rsidRPr="00016819">
        <w:rPr>
          <w:rFonts w:ascii="Microsoft Sans Serif" w:hAnsi="Calibri"/>
          <w:sz w:val="24"/>
          <w:szCs w:val="22"/>
        </w:rPr>
        <w:t>RESTON VA  20190</w:t>
      </w:r>
      <w:bookmarkEnd w:id="0"/>
      <w:r w:rsidRPr="00016819">
        <w:rPr>
          <w:rFonts w:ascii="Microsoft Sans Serif" w:hAnsi="Calibri"/>
          <w:sz w:val="24"/>
          <w:szCs w:val="22"/>
        </w:rPr>
        <w:cr/>
      </w:r>
      <w:r w:rsidRPr="00016819">
        <w:rPr>
          <w:rFonts w:ascii="Microsoft Sans Serif" w:hAnsi="Calibri"/>
          <w:sz w:val="24"/>
          <w:szCs w:val="22"/>
        </w:rPr>
        <w:cr/>
        <w:t xml:space="preserve"> </w:t>
      </w:r>
    </w:p>
    <w:p w:rsidR="00016819" w:rsidRPr="00016819" w:rsidRDefault="00016819" w:rsidP="00016819">
      <w:pPr>
        <w:spacing w:line="240" w:lineRule="auto"/>
        <w:contextualSpacing/>
        <w:rPr>
          <w:rFonts w:ascii="Calibri" w:hAnsi="Calibri"/>
          <w:sz w:val="22"/>
          <w:szCs w:val="22"/>
        </w:rPr>
      </w:pPr>
      <w:r w:rsidRPr="00016819">
        <w:rPr>
          <w:rFonts w:ascii="Microsoft Sans Serif" w:hAnsi="Calibri"/>
          <w:sz w:val="24"/>
          <w:szCs w:val="22"/>
        </w:rPr>
        <w:cr/>
      </w:r>
    </w:p>
    <w:p w:rsidR="00016819" w:rsidRPr="00016819" w:rsidRDefault="00016819" w:rsidP="00016819">
      <w:pPr>
        <w:spacing w:line="240" w:lineRule="auto"/>
        <w:contextualSpacing/>
        <w:rPr>
          <w:rFonts w:ascii="Calibri" w:hAnsi="Calibri"/>
          <w:sz w:val="22"/>
          <w:szCs w:val="22"/>
        </w:rPr>
      </w:pPr>
    </w:p>
    <w:p w:rsidR="006C3DB3" w:rsidRPr="00244D1A" w:rsidRDefault="006C3DB3" w:rsidP="002F5CA0">
      <w:pPr>
        <w:spacing w:line="240" w:lineRule="auto"/>
        <w:contextualSpacing/>
        <w:rPr>
          <w:sz w:val="24"/>
          <w:szCs w:val="24"/>
        </w:rPr>
      </w:pPr>
    </w:p>
    <w:sectPr w:rsidR="006C3DB3" w:rsidRPr="00244D1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76B" w:rsidRDefault="00FC176B">
      <w:r>
        <w:separator/>
      </w:r>
    </w:p>
  </w:endnote>
  <w:endnote w:type="continuationSeparator" w:id="0">
    <w:p w:rsidR="00FC176B" w:rsidRDefault="00FC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8AA" w:rsidRDefault="005E78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E78AA" w:rsidRDefault="005E78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8AA" w:rsidRPr="007C46F3" w:rsidRDefault="005E78AA">
    <w:pPr>
      <w:pStyle w:val="Footer"/>
      <w:framePr w:wrap="around" w:vAnchor="text" w:hAnchor="margin" w:xAlign="center" w:y="1"/>
      <w:rPr>
        <w:rStyle w:val="PageNumber"/>
        <w:sz w:val="24"/>
        <w:szCs w:val="24"/>
      </w:rPr>
    </w:pPr>
    <w:r w:rsidRPr="007C46F3">
      <w:rPr>
        <w:rStyle w:val="PageNumber"/>
        <w:sz w:val="24"/>
        <w:szCs w:val="24"/>
      </w:rPr>
      <w:fldChar w:fldCharType="begin"/>
    </w:r>
    <w:r w:rsidRPr="007C46F3">
      <w:rPr>
        <w:rStyle w:val="PageNumber"/>
        <w:sz w:val="24"/>
        <w:szCs w:val="24"/>
      </w:rPr>
      <w:instrText xml:space="preserve">PAGE  </w:instrText>
    </w:r>
    <w:r w:rsidRPr="007C46F3">
      <w:rPr>
        <w:rStyle w:val="PageNumber"/>
        <w:sz w:val="24"/>
        <w:szCs w:val="24"/>
      </w:rPr>
      <w:fldChar w:fldCharType="separate"/>
    </w:r>
    <w:r w:rsidR="007A2B39">
      <w:rPr>
        <w:rStyle w:val="PageNumber"/>
        <w:noProof/>
        <w:sz w:val="24"/>
        <w:szCs w:val="24"/>
      </w:rPr>
      <w:t>5</w:t>
    </w:r>
    <w:r w:rsidRPr="007C46F3">
      <w:rPr>
        <w:rStyle w:val="PageNumber"/>
        <w:sz w:val="24"/>
        <w:szCs w:val="24"/>
      </w:rPr>
      <w:fldChar w:fldCharType="end"/>
    </w:r>
  </w:p>
  <w:p w:rsidR="005E78AA" w:rsidRDefault="005E78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819" w:rsidRDefault="000168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76B" w:rsidRDefault="00FC176B">
      <w:r>
        <w:separator/>
      </w:r>
    </w:p>
  </w:footnote>
  <w:footnote w:type="continuationSeparator" w:id="0">
    <w:p w:rsidR="00FC176B" w:rsidRDefault="00FC176B">
      <w:r>
        <w:continuationSeparator/>
      </w:r>
    </w:p>
  </w:footnote>
  <w:footnote w:id="1">
    <w:p w:rsidR="00CF173B" w:rsidRDefault="00CF173B" w:rsidP="009D6072">
      <w:pPr>
        <w:pStyle w:val="FootnoteText"/>
        <w:spacing w:line="240" w:lineRule="auto"/>
      </w:pPr>
      <w:r>
        <w:tab/>
      </w:r>
      <w:r>
        <w:rPr>
          <w:rStyle w:val="FootnoteReference"/>
        </w:rPr>
        <w:footnoteRef/>
      </w:r>
      <w:r>
        <w:t xml:space="preserve"> </w:t>
      </w:r>
      <w:r>
        <w:tab/>
      </w:r>
      <w:r w:rsidR="009D6072">
        <w:t xml:space="preserve">There is not, to my knowledge, a requirement in all cases that parties notify the presiding officer in advance of the witnesses they intend to present.  </w:t>
      </w:r>
      <w:r>
        <w:t>Parties can</w:t>
      </w:r>
      <w:r w:rsidR="009D6072">
        <w:t>, however,</w:t>
      </w:r>
      <w:r>
        <w:t xml:space="preserve"> request witness lists from each other in discovery.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09C"/>
    <w:multiLevelType w:val="hybridMultilevel"/>
    <w:tmpl w:val="C37A9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6">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7">
    <w:nsid w:val="779E4175"/>
    <w:multiLevelType w:val="singleLevel"/>
    <w:tmpl w:val="E6CCE61E"/>
    <w:lvl w:ilvl="0">
      <w:start w:val="2"/>
      <w:numFmt w:val="lowerLetter"/>
      <w:lvlText w:val="(%1)"/>
      <w:lvlJc w:val="left"/>
      <w:pPr>
        <w:tabs>
          <w:tab w:val="num" w:pos="360"/>
        </w:tabs>
        <w:ind w:left="360" w:hanging="360"/>
      </w:pPr>
      <w:rPr>
        <w:rFonts w:hint="default"/>
      </w:rPr>
    </w:lvl>
  </w:abstractNum>
  <w:num w:numId="1">
    <w:abstractNumId w:val="5"/>
  </w:num>
  <w:num w:numId="2">
    <w:abstractNumId w:val="6"/>
  </w:num>
  <w:num w:numId="3">
    <w:abstractNumId w:val="2"/>
  </w:num>
  <w:num w:numId="4">
    <w:abstractNumId w:val="3"/>
  </w:num>
  <w:num w:numId="5">
    <w:abstractNumId w:val="7"/>
  </w:num>
  <w:num w:numId="6">
    <w:abstractNumId w:val="6"/>
    <w:lvlOverride w:ilvl="0">
      <w:startOverride w:val="1"/>
    </w:lvlOverride>
  </w:num>
  <w:num w:numId="7">
    <w:abstractNumId w:val="2"/>
    <w:lvlOverride w:ilvl="0">
      <w:startOverride w:val="1"/>
    </w:lvlOverride>
  </w:num>
  <w:num w:numId="8">
    <w:abstractNumId w:val="7"/>
    <w:lvlOverride w:ilvl="0">
      <w:startOverride w:val="2"/>
    </w:lvlOverride>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56E"/>
    <w:rsid w:val="00001FDA"/>
    <w:rsid w:val="0000468C"/>
    <w:rsid w:val="000065FD"/>
    <w:rsid w:val="0001101C"/>
    <w:rsid w:val="0001151E"/>
    <w:rsid w:val="000133A6"/>
    <w:rsid w:val="000136EB"/>
    <w:rsid w:val="00016348"/>
    <w:rsid w:val="00016819"/>
    <w:rsid w:val="00026993"/>
    <w:rsid w:val="00031CBD"/>
    <w:rsid w:val="000343D7"/>
    <w:rsid w:val="00034DCC"/>
    <w:rsid w:val="00037F98"/>
    <w:rsid w:val="00041636"/>
    <w:rsid w:val="00054B61"/>
    <w:rsid w:val="00056857"/>
    <w:rsid w:val="00060238"/>
    <w:rsid w:val="00060C1A"/>
    <w:rsid w:val="00063C77"/>
    <w:rsid w:val="00070478"/>
    <w:rsid w:val="00074875"/>
    <w:rsid w:val="000762AD"/>
    <w:rsid w:val="00077CFF"/>
    <w:rsid w:val="00080EC1"/>
    <w:rsid w:val="00082342"/>
    <w:rsid w:val="00084709"/>
    <w:rsid w:val="0009392F"/>
    <w:rsid w:val="000967B7"/>
    <w:rsid w:val="0009685C"/>
    <w:rsid w:val="000A00A5"/>
    <w:rsid w:val="000A3CD6"/>
    <w:rsid w:val="000B2953"/>
    <w:rsid w:val="000B2C52"/>
    <w:rsid w:val="000B35CF"/>
    <w:rsid w:val="000B3D47"/>
    <w:rsid w:val="000B6E09"/>
    <w:rsid w:val="000C1CCD"/>
    <w:rsid w:val="000C35C0"/>
    <w:rsid w:val="000C3FF3"/>
    <w:rsid w:val="000C4A7C"/>
    <w:rsid w:val="000C4F25"/>
    <w:rsid w:val="000C5B13"/>
    <w:rsid w:val="000D0F65"/>
    <w:rsid w:val="000E047B"/>
    <w:rsid w:val="000E300E"/>
    <w:rsid w:val="000E3529"/>
    <w:rsid w:val="000E3D18"/>
    <w:rsid w:val="000E4465"/>
    <w:rsid w:val="000F517C"/>
    <w:rsid w:val="00104538"/>
    <w:rsid w:val="001045AC"/>
    <w:rsid w:val="00106BE4"/>
    <w:rsid w:val="0010789A"/>
    <w:rsid w:val="0011088E"/>
    <w:rsid w:val="0011135D"/>
    <w:rsid w:val="00115AF8"/>
    <w:rsid w:val="00115B82"/>
    <w:rsid w:val="00115C56"/>
    <w:rsid w:val="00121D44"/>
    <w:rsid w:val="0012450E"/>
    <w:rsid w:val="001246C1"/>
    <w:rsid w:val="00126187"/>
    <w:rsid w:val="00126232"/>
    <w:rsid w:val="00130C70"/>
    <w:rsid w:val="001413CE"/>
    <w:rsid w:val="00141EBF"/>
    <w:rsid w:val="001447A1"/>
    <w:rsid w:val="00147B0C"/>
    <w:rsid w:val="00152576"/>
    <w:rsid w:val="00154444"/>
    <w:rsid w:val="001577F5"/>
    <w:rsid w:val="00157E5C"/>
    <w:rsid w:val="00160EE9"/>
    <w:rsid w:val="0016557F"/>
    <w:rsid w:val="00172CFA"/>
    <w:rsid w:val="001811B7"/>
    <w:rsid w:val="00184393"/>
    <w:rsid w:val="001845CE"/>
    <w:rsid w:val="00184D53"/>
    <w:rsid w:val="00184D7C"/>
    <w:rsid w:val="00185B20"/>
    <w:rsid w:val="00192DB9"/>
    <w:rsid w:val="001A2A2C"/>
    <w:rsid w:val="001A343E"/>
    <w:rsid w:val="001A6089"/>
    <w:rsid w:val="001A63C3"/>
    <w:rsid w:val="001B0E38"/>
    <w:rsid w:val="001B2B53"/>
    <w:rsid w:val="001B2EF5"/>
    <w:rsid w:val="001C19A2"/>
    <w:rsid w:val="001C232F"/>
    <w:rsid w:val="001C50EA"/>
    <w:rsid w:val="001D02E3"/>
    <w:rsid w:val="001D69DD"/>
    <w:rsid w:val="001D6C2E"/>
    <w:rsid w:val="001E3800"/>
    <w:rsid w:val="001E4109"/>
    <w:rsid w:val="001F1142"/>
    <w:rsid w:val="001F373C"/>
    <w:rsid w:val="0020392A"/>
    <w:rsid w:val="00203C7F"/>
    <w:rsid w:val="002067F5"/>
    <w:rsid w:val="00206AD6"/>
    <w:rsid w:val="002118EC"/>
    <w:rsid w:val="00226DD3"/>
    <w:rsid w:val="00230A1B"/>
    <w:rsid w:val="00230D8C"/>
    <w:rsid w:val="00234AA4"/>
    <w:rsid w:val="00235289"/>
    <w:rsid w:val="0024256D"/>
    <w:rsid w:val="00242DBD"/>
    <w:rsid w:val="00244D1A"/>
    <w:rsid w:val="00245A00"/>
    <w:rsid w:val="0026088A"/>
    <w:rsid w:val="002708E0"/>
    <w:rsid w:val="00273004"/>
    <w:rsid w:val="00276E26"/>
    <w:rsid w:val="0028085B"/>
    <w:rsid w:val="00283DC1"/>
    <w:rsid w:val="00295AFD"/>
    <w:rsid w:val="002A7D7E"/>
    <w:rsid w:val="002B31F4"/>
    <w:rsid w:val="002B44B6"/>
    <w:rsid w:val="002B45F5"/>
    <w:rsid w:val="002B5FF6"/>
    <w:rsid w:val="002B7128"/>
    <w:rsid w:val="002C660B"/>
    <w:rsid w:val="002D0E9E"/>
    <w:rsid w:val="002D2D34"/>
    <w:rsid w:val="002D41A2"/>
    <w:rsid w:val="002D71DD"/>
    <w:rsid w:val="002E0CB0"/>
    <w:rsid w:val="002E14C5"/>
    <w:rsid w:val="002E1949"/>
    <w:rsid w:val="002E2004"/>
    <w:rsid w:val="002E3E69"/>
    <w:rsid w:val="002E4335"/>
    <w:rsid w:val="002E635E"/>
    <w:rsid w:val="002F0159"/>
    <w:rsid w:val="002F2C79"/>
    <w:rsid w:val="002F5CA0"/>
    <w:rsid w:val="002F69EC"/>
    <w:rsid w:val="002F7369"/>
    <w:rsid w:val="0030126C"/>
    <w:rsid w:val="00301F7B"/>
    <w:rsid w:val="0030427E"/>
    <w:rsid w:val="003105AC"/>
    <w:rsid w:val="00313FA9"/>
    <w:rsid w:val="003145E6"/>
    <w:rsid w:val="00314D20"/>
    <w:rsid w:val="00323081"/>
    <w:rsid w:val="00324F48"/>
    <w:rsid w:val="0032654F"/>
    <w:rsid w:val="00327ADC"/>
    <w:rsid w:val="003306B5"/>
    <w:rsid w:val="00331DE4"/>
    <w:rsid w:val="003411B7"/>
    <w:rsid w:val="00343F5B"/>
    <w:rsid w:val="0034681A"/>
    <w:rsid w:val="0034743A"/>
    <w:rsid w:val="003530F5"/>
    <w:rsid w:val="003537D6"/>
    <w:rsid w:val="00357DD4"/>
    <w:rsid w:val="00361A35"/>
    <w:rsid w:val="003621B6"/>
    <w:rsid w:val="00363816"/>
    <w:rsid w:val="00366D6F"/>
    <w:rsid w:val="00371119"/>
    <w:rsid w:val="00371232"/>
    <w:rsid w:val="00377053"/>
    <w:rsid w:val="0038283E"/>
    <w:rsid w:val="003831E6"/>
    <w:rsid w:val="003939BF"/>
    <w:rsid w:val="003A100B"/>
    <w:rsid w:val="003A35A8"/>
    <w:rsid w:val="003B1157"/>
    <w:rsid w:val="003B22DA"/>
    <w:rsid w:val="003B2FA3"/>
    <w:rsid w:val="003B68EE"/>
    <w:rsid w:val="003D62F7"/>
    <w:rsid w:val="003E336E"/>
    <w:rsid w:val="003F2091"/>
    <w:rsid w:val="003F685F"/>
    <w:rsid w:val="004025E4"/>
    <w:rsid w:val="004059A1"/>
    <w:rsid w:val="00413C6E"/>
    <w:rsid w:val="004209E6"/>
    <w:rsid w:val="00422BA7"/>
    <w:rsid w:val="00423556"/>
    <w:rsid w:val="0042381A"/>
    <w:rsid w:val="0043056E"/>
    <w:rsid w:val="00431265"/>
    <w:rsid w:val="004312CB"/>
    <w:rsid w:val="004316BC"/>
    <w:rsid w:val="004324C7"/>
    <w:rsid w:val="00433445"/>
    <w:rsid w:val="00442CE5"/>
    <w:rsid w:val="00445BDD"/>
    <w:rsid w:val="00452465"/>
    <w:rsid w:val="00452E8C"/>
    <w:rsid w:val="00453F74"/>
    <w:rsid w:val="00455102"/>
    <w:rsid w:val="00455EBE"/>
    <w:rsid w:val="00466106"/>
    <w:rsid w:val="00470559"/>
    <w:rsid w:val="004713DB"/>
    <w:rsid w:val="00471BAC"/>
    <w:rsid w:val="0047204C"/>
    <w:rsid w:val="00473CCB"/>
    <w:rsid w:val="00475D8A"/>
    <w:rsid w:val="0049156A"/>
    <w:rsid w:val="0049191B"/>
    <w:rsid w:val="00492F42"/>
    <w:rsid w:val="00496620"/>
    <w:rsid w:val="004A4F24"/>
    <w:rsid w:val="004A621B"/>
    <w:rsid w:val="004B6E38"/>
    <w:rsid w:val="004B6FCF"/>
    <w:rsid w:val="004C34D5"/>
    <w:rsid w:val="004C4FB5"/>
    <w:rsid w:val="004D2B2F"/>
    <w:rsid w:val="004D3558"/>
    <w:rsid w:val="004D413E"/>
    <w:rsid w:val="004D5461"/>
    <w:rsid w:val="004D689E"/>
    <w:rsid w:val="004D7343"/>
    <w:rsid w:val="004E1A60"/>
    <w:rsid w:val="004E5395"/>
    <w:rsid w:val="004E7586"/>
    <w:rsid w:val="004E7D1A"/>
    <w:rsid w:val="004F22DA"/>
    <w:rsid w:val="004F3926"/>
    <w:rsid w:val="004F3DAB"/>
    <w:rsid w:val="004F70C1"/>
    <w:rsid w:val="00503606"/>
    <w:rsid w:val="005048F7"/>
    <w:rsid w:val="00506AB8"/>
    <w:rsid w:val="0050797D"/>
    <w:rsid w:val="00512AA2"/>
    <w:rsid w:val="00512C89"/>
    <w:rsid w:val="005152DC"/>
    <w:rsid w:val="00515AE5"/>
    <w:rsid w:val="00515B87"/>
    <w:rsid w:val="00515FF9"/>
    <w:rsid w:val="00517A83"/>
    <w:rsid w:val="005216EE"/>
    <w:rsid w:val="00521C50"/>
    <w:rsid w:val="00522FFC"/>
    <w:rsid w:val="00532801"/>
    <w:rsid w:val="00537148"/>
    <w:rsid w:val="00540CCC"/>
    <w:rsid w:val="005436D9"/>
    <w:rsid w:val="005449AC"/>
    <w:rsid w:val="00547574"/>
    <w:rsid w:val="00551B9B"/>
    <w:rsid w:val="00555C71"/>
    <w:rsid w:val="00563AC3"/>
    <w:rsid w:val="005668CE"/>
    <w:rsid w:val="00572E36"/>
    <w:rsid w:val="00572E9B"/>
    <w:rsid w:val="00573D06"/>
    <w:rsid w:val="00575C4A"/>
    <w:rsid w:val="00576481"/>
    <w:rsid w:val="0057676A"/>
    <w:rsid w:val="0057709C"/>
    <w:rsid w:val="00577C33"/>
    <w:rsid w:val="00577D5E"/>
    <w:rsid w:val="0058087D"/>
    <w:rsid w:val="00580EBE"/>
    <w:rsid w:val="0058149D"/>
    <w:rsid w:val="00581BB9"/>
    <w:rsid w:val="00583E27"/>
    <w:rsid w:val="00592746"/>
    <w:rsid w:val="00594404"/>
    <w:rsid w:val="005A03E3"/>
    <w:rsid w:val="005A1D4E"/>
    <w:rsid w:val="005A48B6"/>
    <w:rsid w:val="005A6138"/>
    <w:rsid w:val="005A7A21"/>
    <w:rsid w:val="005B0ADE"/>
    <w:rsid w:val="005B614C"/>
    <w:rsid w:val="005B73DB"/>
    <w:rsid w:val="005C4A69"/>
    <w:rsid w:val="005C7F8D"/>
    <w:rsid w:val="005D5768"/>
    <w:rsid w:val="005D7E24"/>
    <w:rsid w:val="005E507B"/>
    <w:rsid w:val="005E78AA"/>
    <w:rsid w:val="005F05CA"/>
    <w:rsid w:val="005F2013"/>
    <w:rsid w:val="005F7569"/>
    <w:rsid w:val="006005CA"/>
    <w:rsid w:val="006017F7"/>
    <w:rsid w:val="006033E9"/>
    <w:rsid w:val="006036BD"/>
    <w:rsid w:val="00604CE1"/>
    <w:rsid w:val="006057CC"/>
    <w:rsid w:val="00605A3E"/>
    <w:rsid w:val="00607007"/>
    <w:rsid w:val="00611B97"/>
    <w:rsid w:val="00615349"/>
    <w:rsid w:val="00616836"/>
    <w:rsid w:val="0061792B"/>
    <w:rsid w:val="00621E09"/>
    <w:rsid w:val="0062454C"/>
    <w:rsid w:val="0062644A"/>
    <w:rsid w:val="0062748F"/>
    <w:rsid w:val="006306BA"/>
    <w:rsid w:val="006336DE"/>
    <w:rsid w:val="006362B5"/>
    <w:rsid w:val="006372E3"/>
    <w:rsid w:val="0064024A"/>
    <w:rsid w:val="00640B2D"/>
    <w:rsid w:val="006410BF"/>
    <w:rsid w:val="006426C0"/>
    <w:rsid w:val="00650D16"/>
    <w:rsid w:val="00662BF4"/>
    <w:rsid w:val="00670A02"/>
    <w:rsid w:val="00675D0E"/>
    <w:rsid w:val="00680363"/>
    <w:rsid w:val="006820C3"/>
    <w:rsid w:val="00682DCB"/>
    <w:rsid w:val="00683680"/>
    <w:rsid w:val="00686E80"/>
    <w:rsid w:val="00687034"/>
    <w:rsid w:val="00692ECB"/>
    <w:rsid w:val="006963AD"/>
    <w:rsid w:val="006A1636"/>
    <w:rsid w:val="006A1C20"/>
    <w:rsid w:val="006C0C45"/>
    <w:rsid w:val="006C3B03"/>
    <w:rsid w:val="006C3B85"/>
    <w:rsid w:val="006C3DB3"/>
    <w:rsid w:val="006C4639"/>
    <w:rsid w:val="006C6C8E"/>
    <w:rsid w:val="006D3E19"/>
    <w:rsid w:val="006D68F1"/>
    <w:rsid w:val="006E12A3"/>
    <w:rsid w:val="006E6A16"/>
    <w:rsid w:val="006E735C"/>
    <w:rsid w:val="006F4001"/>
    <w:rsid w:val="00706A4E"/>
    <w:rsid w:val="00721572"/>
    <w:rsid w:val="00723BC6"/>
    <w:rsid w:val="00724265"/>
    <w:rsid w:val="007253AA"/>
    <w:rsid w:val="00726EB4"/>
    <w:rsid w:val="00731409"/>
    <w:rsid w:val="00736B6C"/>
    <w:rsid w:val="00740D85"/>
    <w:rsid w:val="0074384B"/>
    <w:rsid w:val="007456CC"/>
    <w:rsid w:val="007501D5"/>
    <w:rsid w:val="00763628"/>
    <w:rsid w:val="0076511D"/>
    <w:rsid w:val="007659E6"/>
    <w:rsid w:val="00770C13"/>
    <w:rsid w:val="00775297"/>
    <w:rsid w:val="00776DBD"/>
    <w:rsid w:val="007815F7"/>
    <w:rsid w:val="00783A46"/>
    <w:rsid w:val="00784AA5"/>
    <w:rsid w:val="0078787D"/>
    <w:rsid w:val="00790178"/>
    <w:rsid w:val="00793BC4"/>
    <w:rsid w:val="00795710"/>
    <w:rsid w:val="00795AE7"/>
    <w:rsid w:val="007A2B39"/>
    <w:rsid w:val="007A6F6E"/>
    <w:rsid w:val="007B0861"/>
    <w:rsid w:val="007B16EF"/>
    <w:rsid w:val="007B3C77"/>
    <w:rsid w:val="007B5325"/>
    <w:rsid w:val="007B538E"/>
    <w:rsid w:val="007B5ED9"/>
    <w:rsid w:val="007C0E85"/>
    <w:rsid w:val="007C1637"/>
    <w:rsid w:val="007C17E7"/>
    <w:rsid w:val="007C3A60"/>
    <w:rsid w:val="007C46F3"/>
    <w:rsid w:val="007D07FC"/>
    <w:rsid w:val="007D2622"/>
    <w:rsid w:val="007D2BB6"/>
    <w:rsid w:val="007D3C0C"/>
    <w:rsid w:val="007D50CB"/>
    <w:rsid w:val="007D5D21"/>
    <w:rsid w:val="007D6299"/>
    <w:rsid w:val="007E187E"/>
    <w:rsid w:val="007F0F0E"/>
    <w:rsid w:val="007F491A"/>
    <w:rsid w:val="007F68A6"/>
    <w:rsid w:val="00800B9A"/>
    <w:rsid w:val="00801084"/>
    <w:rsid w:val="00803260"/>
    <w:rsid w:val="008039CD"/>
    <w:rsid w:val="00806ABA"/>
    <w:rsid w:val="0081446E"/>
    <w:rsid w:val="00814768"/>
    <w:rsid w:val="008167C2"/>
    <w:rsid w:val="00817172"/>
    <w:rsid w:val="008252DA"/>
    <w:rsid w:val="00825F7E"/>
    <w:rsid w:val="00831B3D"/>
    <w:rsid w:val="00834AE7"/>
    <w:rsid w:val="008430AB"/>
    <w:rsid w:val="00845BA2"/>
    <w:rsid w:val="00847129"/>
    <w:rsid w:val="00853A3A"/>
    <w:rsid w:val="008555A9"/>
    <w:rsid w:val="00856B6B"/>
    <w:rsid w:val="00860543"/>
    <w:rsid w:val="008658E4"/>
    <w:rsid w:val="00870DF0"/>
    <w:rsid w:val="0087363A"/>
    <w:rsid w:val="00880768"/>
    <w:rsid w:val="00884E34"/>
    <w:rsid w:val="008855E3"/>
    <w:rsid w:val="00885C0F"/>
    <w:rsid w:val="00890245"/>
    <w:rsid w:val="008A1017"/>
    <w:rsid w:val="008A4B38"/>
    <w:rsid w:val="008A748E"/>
    <w:rsid w:val="008A799C"/>
    <w:rsid w:val="008B0A8F"/>
    <w:rsid w:val="008B14A1"/>
    <w:rsid w:val="008B18D7"/>
    <w:rsid w:val="008B4AE0"/>
    <w:rsid w:val="008C296D"/>
    <w:rsid w:val="008E04ED"/>
    <w:rsid w:val="008E0893"/>
    <w:rsid w:val="008E0CFF"/>
    <w:rsid w:val="008E304A"/>
    <w:rsid w:val="008E3207"/>
    <w:rsid w:val="008E3342"/>
    <w:rsid w:val="008E4E7B"/>
    <w:rsid w:val="008E64EB"/>
    <w:rsid w:val="008E6DAF"/>
    <w:rsid w:val="008F15F5"/>
    <w:rsid w:val="008F2CE3"/>
    <w:rsid w:val="008F31C4"/>
    <w:rsid w:val="008F5B7F"/>
    <w:rsid w:val="008F755B"/>
    <w:rsid w:val="00903CB0"/>
    <w:rsid w:val="00903EB7"/>
    <w:rsid w:val="00904FF5"/>
    <w:rsid w:val="00916D23"/>
    <w:rsid w:val="009230B4"/>
    <w:rsid w:val="0092325E"/>
    <w:rsid w:val="0092369F"/>
    <w:rsid w:val="00926E0C"/>
    <w:rsid w:val="0093224A"/>
    <w:rsid w:val="009324A1"/>
    <w:rsid w:val="009351FA"/>
    <w:rsid w:val="0093677B"/>
    <w:rsid w:val="00941B7F"/>
    <w:rsid w:val="0094399E"/>
    <w:rsid w:val="00944A5E"/>
    <w:rsid w:val="009450AE"/>
    <w:rsid w:val="009514B9"/>
    <w:rsid w:val="00954BC6"/>
    <w:rsid w:val="00955A4C"/>
    <w:rsid w:val="00956852"/>
    <w:rsid w:val="00960272"/>
    <w:rsid w:val="00961320"/>
    <w:rsid w:val="009628FF"/>
    <w:rsid w:val="00965015"/>
    <w:rsid w:val="00967078"/>
    <w:rsid w:val="0096779F"/>
    <w:rsid w:val="00970E26"/>
    <w:rsid w:val="00971569"/>
    <w:rsid w:val="00972F3D"/>
    <w:rsid w:val="009746FB"/>
    <w:rsid w:val="00985006"/>
    <w:rsid w:val="0098514D"/>
    <w:rsid w:val="00986C24"/>
    <w:rsid w:val="009900F2"/>
    <w:rsid w:val="00994ADF"/>
    <w:rsid w:val="00994EB6"/>
    <w:rsid w:val="00995A91"/>
    <w:rsid w:val="009A0E89"/>
    <w:rsid w:val="009A1595"/>
    <w:rsid w:val="009A6452"/>
    <w:rsid w:val="009C0906"/>
    <w:rsid w:val="009C40DA"/>
    <w:rsid w:val="009C5167"/>
    <w:rsid w:val="009D04DE"/>
    <w:rsid w:val="009D0F72"/>
    <w:rsid w:val="009D2B52"/>
    <w:rsid w:val="009D3644"/>
    <w:rsid w:val="009D42A3"/>
    <w:rsid w:val="009D5B21"/>
    <w:rsid w:val="009D6072"/>
    <w:rsid w:val="009D624C"/>
    <w:rsid w:val="009E0679"/>
    <w:rsid w:val="009E51F2"/>
    <w:rsid w:val="009E6389"/>
    <w:rsid w:val="009F125B"/>
    <w:rsid w:val="009F285F"/>
    <w:rsid w:val="009F3736"/>
    <w:rsid w:val="009F567B"/>
    <w:rsid w:val="009F5897"/>
    <w:rsid w:val="00A04BC9"/>
    <w:rsid w:val="00A05CD1"/>
    <w:rsid w:val="00A0722D"/>
    <w:rsid w:val="00A07ABA"/>
    <w:rsid w:val="00A11D90"/>
    <w:rsid w:val="00A16714"/>
    <w:rsid w:val="00A22DD9"/>
    <w:rsid w:val="00A23182"/>
    <w:rsid w:val="00A31D9A"/>
    <w:rsid w:val="00A363AC"/>
    <w:rsid w:val="00A411BE"/>
    <w:rsid w:val="00A46368"/>
    <w:rsid w:val="00A5194C"/>
    <w:rsid w:val="00A53CD9"/>
    <w:rsid w:val="00A53F7F"/>
    <w:rsid w:val="00A55E9F"/>
    <w:rsid w:val="00A5614D"/>
    <w:rsid w:val="00A60179"/>
    <w:rsid w:val="00A6083A"/>
    <w:rsid w:val="00A613FB"/>
    <w:rsid w:val="00A66C8F"/>
    <w:rsid w:val="00A71273"/>
    <w:rsid w:val="00A72D30"/>
    <w:rsid w:val="00A747E6"/>
    <w:rsid w:val="00A74930"/>
    <w:rsid w:val="00A76860"/>
    <w:rsid w:val="00A83337"/>
    <w:rsid w:val="00A84107"/>
    <w:rsid w:val="00AA1032"/>
    <w:rsid w:val="00AA20FF"/>
    <w:rsid w:val="00AA7665"/>
    <w:rsid w:val="00AB0CB8"/>
    <w:rsid w:val="00AB17E9"/>
    <w:rsid w:val="00AB1F76"/>
    <w:rsid w:val="00AB64EA"/>
    <w:rsid w:val="00AB66F6"/>
    <w:rsid w:val="00AC2BC0"/>
    <w:rsid w:val="00AC4134"/>
    <w:rsid w:val="00AC7B8E"/>
    <w:rsid w:val="00AD012B"/>
    <w:rsid w:val="00AD1775"/>
    <w:rsid w:val="00AD21CE"/>
    <w:rsid w:val="00AD44E8"/>
    <w:rsid w:val="00AE0C7D"/>
    <w:rsid w:val="00AE2F10"/>
    <w:rsid w:val="00AE5C66"/>
    <w:rsid w:val="00AE7BD8"/>
    <w:rsid w:val="00AF6216"/>
    <w:rsid w:val="00AF7C24"/>
    <w:rsid w:val="00B1068B"/>
    <w:rsid w:val="00B1195C"/>
    <w:rsid w:val="00B12D2B"/>
    <w:rsid w:val="00B14AAC"/>
    <w:rsid w:val="00B223F1"/>
    <w:rsid w:val="00B2339C"/>
    <w:rsid w:val="00B24701"/>
    <w:rsid w:val="00B26029"/>
    <w:rsid w:val="00B26E2B"/>
    <w:rsid w:val="00B41FCA"/>
    <w:rsid w:val="00B53A05"/>
    <w:rsid w:val="00B549E3"/>
    <w:rsid w:val="00B55664"/>
    <w:rsid w:val="00B55921"/>
    <w:rsid w:val="00B62D3A"/>
    <w:rsid w:val="00B64718"/>
    <w:rsid w:val="00B67370"/>
    <w:rsid w:val="00B67DD4"/>
    <w:rsid w:val="00B70669"/>
    <w:rsid w:val="00B7331D"/>
    <w:rsid w:val="00B741DE"/>
    <w:rsid w:val="00B82A3B"/>
    <w:rsid w:val="00B86101"/>
    <w:rsid w:val="00B86765"/>
    <w:rsid w:val="00B91183"/>
    <w:rsid w:val="00B91669"/>
    <w:rsid w:val="00B94B35"/>
    <w:rsid w:val="00BA1223"/>
    <w:rsid w:val="00BA1497"/>
    <w:rsid w:val="00BA2A20"/>
    <w:rsid w:val="00BA4AE9"/>
    <w:rsid w:val="00BB0588"/>
    <w:rsid w:val="00BB2C0E"/>
    <w:rsid w:val="00BB3975"/>
    <w:rsid w:val="00BB3E88"/>
    <w:rsid w:val="00BB4C74"/>
    <w:rsid w:val="00BB7FFC"/>
    <w:rsid w:val="00BC676E"/>
    <w:rsid w:val="00BC7C00"/>
    <w:rsid w:val="00BD1574"/>
    <w:rsid w:val="00BD24CC"/>
    <w:rsid w:val="00BD42DE"/>
    <w:rsid w:val="00BD4EFA"/>
    <w:rsid w:val="00BD57D5"/>
    <w:rsid w:val="00BE21F9"/>
    <w:rsid w:val="00BE2F8E"/>
    <w:rsid w:val="00BE39D1"/>
    <w:rsid w:val="00BF7F43"/>
    <w:rsid w:val="00C002CE"/>
    <w:rsid w:val="00C01373"/>
    <w:rsid w:val="00C02C3E"/>
    <w:rsid w:val="00C0342A"/>
    <w:rsid w:val="00C050E2"/>
    <w:rsid w:val="00C11341"/>
    <w:rsid w:val="00C149A6"/>
    <w:rsid w:val="00C152FE"/>
    <w:rsid w:val="00C20A94"/>
    <w:rsid w:val="00C24EA0"/>
    <w:rsid w:val="00C3045D"/>
    <w:rsid w:val="00C314E5"/>
    <w:rsid w:val="00C319B2"/>
    <w:rsid w:val="00C34266"/>
    <w:rsid w:val="00C378E0"/>
    <w:rsid w:val="00C407F4"/>
    <w:rsid w:val="00C41914"/>
    <w:rsid w:val="00C46638"/>
    <w:rsid w:val="00C477B8"/>
    <w:rsid w:val="00C47CA7"/>
    <w:rsid w:val="00C51223"/>
    <w:rsid w:val="00C52AEA"/>
    <w:rsid w:val="00C5350C"/>
    <w:rsid w:val="00C545A9"/>
    <w:rsid w:val="00C559D1"/>
    <w:rsid w:val="00C61246"/>
    <w:rsid w:val="00C628AA"/>
    <w:rsid w:val="00C63E87"/>
    <w:rsid w:val="00C64812"/>
    <w:rsid w:val="00C65A97"/>
    <w:rsid w:val="00C72053"/>
    <w:rsid w:val="00C7446A"/>
    <w:rsid w:val="00C747CC"/>
    <w:rsid w:val="00C7710A"/>
    <w:rsid w:val="00C8090A"/>
    <w:rsid w:val="00C81AF6"/>
    <w:rsid w:val="00C851A8"/>
    <w:rsid w:val="00C86F25"/>
    <w:rsid w:val="00C913B3"/>
    <w:rsid w:val="00C92B76"/>
    <w:rsid w:val="00C92CE4"/>
    <w:rsid w:val="00CA13A2"/>
    <w:rsid w:val="00CA491A"/>
    <w:rsid w:val="00CB2675"/>
    <w:rsid w:val="00CB3C2E"/>
    <w:rsid w:val="00CC1ADA"/>
    <w:rsid w:val="00CC2AA8"/>
    <w:rsid w:val="00CC2CEA"/>
    <w:rsid w:val="00CC3845"/>
    <w:rsid w:val="00CC4D4A"/>
    <w:rsid w:val="00CC51E1"/>
    <w:rsid w:val="00CC6116"/>
    <w:rsid w:val="00CD1E9E"/>
    <w:rsid w:val="00CD482C"/>
    <w:rsid w:val="00CD7338"/>
    <w:rsid w:val="00CE0926"/>
    <w:rsid w:val="00CE2CAF"/>
    <w:rsid w:val="00CE3477"/>
    <w:rsid w:val="00CE43D2"/>
    <w:rsid w:val="00CE52FC"/>
    <w:rsid w:val="00CF173B"/>
    <w:rsid w:val="00CF2911"/>
    <w:rsid w:val="00D01B4A"/>
    <w:rsid w:val="00D01DAC"/>
    <w:rsid w:val="00D05B1F"/>
    <w:rsid w:val="00D10A36"/>
    <w:rsid w:val="00D1242D"/>
    <w:rsid w:val="00D133E1"/>
    <w:rsid w:val="00D213CA"/>
    <w:rsid w:val="00D238C6"/>
    <w:rsid w:val="00D248DB"/>
    <w:rsid w:val="00D2497E"/>
    <w:rsid w:val="00D273E8"/>
    <w:rsid w:val="00D364A3"/>
    <w:rsid w:val="00D40331"/>
    <w:rsid w:val="00D4110F"/>
    <w:rsid w:val="00D44E15"/>
    <w:rsid w:val="00D472F1"/>
    <w:rsid w:val="00D47740"/>
    <w:rsid w:val="00D502C6"/>
    <w:rsid w:val="00D510DD"/>
    <w:rsid w:val="00D60060"/>
    <w:rsid w:val="00D61048"/>
    <w:rsid w:val="00D6360E"/>
    <w:rsid w:val="00D67582"/>
    <w:rsid w:val="00D702AC"/>
    <w:rsid w:val="00D70AD9"/>
    <w:rsid w:val="00D71997"/>
    <w:rsid w:val="00D71CE1"/>
    <w:rsid w:val="00D72F75"/>
    <w:rsid w:val="00D74A80"/>
    <w:rsid w:val="00D806D9"/>
    <w:rsid w:val="00D915C7"/>
    <w:rsid w:val="00D9527D"/>
    <w:rsid w:val="00D95678"/>
    <w:rsid w:val="00D968E3"/>
    <w:rsid w:val="00DA0DEE"/>
    <w:rsid w:val="00DA1D59"/>
    <w:rsid w:val="00DA439C"/>
    <w:rsid w:val="00DA5EE7"/>
    <w:rsid w:val="00DA7286"/>
    <w:rsid w:val="00DB43FC"/>
    <w:rsid w:val="00DB56A3"/>
    <w:rsid w:val="00DB636F"/>
    <w:rsid w:val="00DC0B0E"/>
    <w:rsid w:val="00DC3A6F"/>
    <w:rsid w:val="00DC4D39"/>
    <w:rsid w:val="00DC4D7B"/>
    <w:rsid w:val="00DD1394"/>
    <w:rsid w:val="00DD163D"/>
    <w:rsid w:val="00DD1763"/>
    <w:rsid w:val="00DD2E1B"/>
    <w:rsid w:val="00DD616B"/>
    <w:rsid w:val="00DD716A"/>
    <w:rsid w:val="00DE0B4F"/>
    <w:rsid w:val="00DE2DC5"/>
    <w:rsid w:val="00DE532B"/>
    <w:rsid w:val="00DF2A0B"/>
    <w:rsid w:val="00DF4415"/>
    <w:rsid w:val="00DF44C3"/>
    <w:rsid w:val="00DF7979"/>
    <w:rsid w:val="00E0017B"/>
    <w:rsid w:val="00E05AE1"/>
    <w:rsid w:val="00E05C73"/>
    <w:rsid w:val="00E07EE7"/>
    <w:rsid w:val="00E114E5"/>
    <w:rsid w:val="00E13E5E"/>
    <w:rsid w:val="00E15130"/>
    <w:rsid w:val="00E251B4"/>
    <w:rsid w:val="00E253BE"/>
    <w:rsid w:val="00E25AC5"/>
    <w:rsid w:val="00E27A89"/>
    <w:rsid w:val="00E308DE"/>
    <w:rsid w:val="00E345B4"/>
    <w:rsid w:val="00E35821"/>
    <w:rsid w:val="00E361FF"/>
    <w:rsid w:val="00E4121C"/>
    <w:rsid w:val="00E443F8"/>
    <w:rsid w:val="00E4714E"/>
    <w:rsid w:val="00E51885"/>
    <w:rsid w:val="00E5223A"/>
    <w:rsid w:val="00E55642"/>
    <w:rsid w:val="00E578AF"/>
    <w:rsid w:val="00E57F0B"/>
    <w:rsid w:val="00E6120F"/>
    <w:rsid w:val="00E64EF2"/>
    <w:rsid w:val="00E72ACA"/>
    <w:rsid w:val="00E73A6A"/>
    <w:rsid w:val="00E7745D"/>
    <w:rsid w:val="00E805A0"/>
    <w:rsid w:val="00E80774"/>
    <w:rsid w:val="00E83FFD"/>
    <w:rsid w:val="00E850DD"/>
    <w:rsid w:val="00E91305"/>
    <w:rsid w:val="00E91D3F"/>
    <w:rsid w:val="00E92429"/>
    <w:rsid w:val="00E93B4B"/>
    <w:rsid w:val="00E94C4C"/>
    <w:rsid w:val="00E96E16"/>
    <w:rsid w:val="00EA1F51"/>
    <w:rsid w:val="00EA5E84"/>
    <w:rsid w:val="00EB72F7"/>
    <w:rsid w:val="00EC57B0"/>
    <w:rsid w:val="00ED0B31"/>
    <w:rsid w:val="00ED2989"/>
    <w:rsid w:val="00EE4496"/>
    <w:rsid w:val="00EE55F4"/>
    <w:rsid w:val="00EE70E4"/>
    <w:rsid w:val="00EE7BEF"/>
    <w:rsid w:val="00EF32E8"/>
    <w:rsid w:val="00EF634C"/>
    <w:rsid w:val="00F01645"/>
    <w:rsid w:val="00F026BA"/>
    <w:rsid w:val="00F0375E"/>
    <w:rsid w:val="00F07321"/>
    <w:rsid w:val="00F10D70"/>
    <w:rsid w:val="00F118F3"/>
    <w:rsid w:val="00F15EC2"/>
    <w:rsid w:val="00F2151F"/>
    <w:rsid w:val="00F308F5"/>
    <w:rsid w:val="00F3103E"/>
    <w:rsid w:val="00F35BD2"/>
    <w:rsid w:val="00F360F5"/>
    <w:rsid w:val="00F46A49"/>
    <w:rsid w:val="00F472B0"/>
    <w:rsid w:val="00F5014B"/>
    <w:rsid w:val="00F532C9"/>
    <w:rsid w:val="00F53BAB"/>
    <w:rsid w:val="00F5563B"/>
    <w:rsid w:val="00F56963"/>
    <w:rsid w:val="00F60E56"/>
    <w:rsid w:val="00F63FA6"/>
    <w:rsid w:val="00F718D1"/>
    <w:rsid w:val="00F71AA3"/>
    <w:rsid w:val="00F723C7"/>
    <w:rsid w:val="00F728FA"/>
    <w:rsid w:val="00F7442A"/>
    <w:rsid w:val="00F81FA9"/>
    <w:rsid w:val="00F85D45"/>
    <w:rsid w:val="00F85D8D"/>
    <w:rsid w:val="00F905A9"/>
    <w:rsid w:val="00F93A24"/>
    <w:rsid w:val="00F9419A"/>
    <w:rsid w:val="00FA1E41"/>
    <w:rsid w:val="00FA233E"/>
    <w:rsid w:val="00FA641E"/>
    <w:rsid w:val="00FB0864"/>
    <w:rsid w:val="00FB646A"/>
    <w:rsid w:val="00FC1348"/>
    <w:rsid w:val="00FC176B"/>
    <w:rsid w:val="00FC2CC3"/>
    <w:rsid w:val="00FC2D80"/>
    <w:rsid w:val="00FC680B"/>
    <w:rsid w:val="00FD253E"/>
    <w:rsid w:val="00FD2B26"/>
    <w:rsid w:val="00FD704A"/>
    <w:rsid w:val="00FE25D8"/>
    <w:rsid w:val="00FE5124"/>
    <w:rsid w:val="00FE566A"/>
    <w:rsid w:val="00FF1C1F"/>
    <w:rsid w:val="00FF2DDF"/>
    <w:rsid w:val="00FF4375"/>
    <w:rsid w:val="00FF6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semiHidden/>
    <w:rsid w:val="00E850DD"/>
    <w:rPr>
      <w:vertAlign w:val="superscript"/>
    </w:rPr>
  </w:style>
  <w:style w:type="paragraph" w:styleId="BalloonText">
    <w:name w:val="Balloon Text"/>
    <w:basedOn w:val="Normal"/>
    <w:link w:val="BalloonTextChar"/>
    <w:rsid w:val="00D510DD"/>
    <w:pPr>
      <w:spacing w:line="240" w:lineRule="auto"/>
    </w:pPr>
    <w:rPr>
      <w:rFonts w:ascii="Tahoma" w:hAnsi="Tahoma" w:cs="Tahoma"/>
      <w:sz w:val="16"/>
      <w:szCs w:val="16"/>
    </w:rPr>
  </w:style>
  <w:style w:type="character" w:customStyle="1" w:styleId="BalloonTextChar">
    <w:name w:val="Balloon Text Char"/>
    <w:link w:val="BalloonText"/>
    <w:rsid w:val="00D510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5CCB0-DC90-49D0-A2A2-C522AF048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NEMEC</dc:creator>
  <cp:lastModifiedBy>Leonard, Allyson</cp:lastModifiedBy>
  <cp:revision>3</cp:revision>
  <cp:lastPrinted>2013-10-28T12:35:00Z</cp:lastPrinted>
  <dcterms:created xsi:type="dcterms:W3CDTF">2013-10-28T12:32:00Z</dcterms:created>
  <dcterms:modified xsi:type="dcterms:W3CDTF">2013-10-28T12:50:00Z</dcterms:modified>
</cp:coreProperties>
</file>