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442DCD" w:rsidP="00442DCD">
      <w:pPr>
        <w:spacing w:line="240" w:lineRule="auto"/>
        <w:rPr>
          <w:b/>
        </w:rPr>
      </w:pPr>
      <w:r>
        <w:rPr>
          <w:b/>
        </w:rPr>
        <w:t>BEFORE THE</w:t>
      </w:r>
    </w:p>
    <w:p w:rsidR="00442DCD" w:rsidRDefault="00442DCD" w:rsidP="00442DCD">
      <w:pPr>
        <w:spacing w:line="240" w:lineRule="auto"/>
        <w:rPr>
          <w:b/>
        </w:rPr>
      </w:pPr>
      <w:r>
        <w:rPr>
          <w:b/>
        </w:rPr>
        <w:t>PENNSYLVANIA PUBLIC UTILITY COMMISSION</w:t>
      </w:r>
    </w:p>
    <w:p w:rsidR="00442DCD" w:rsidRDefault="00442DCD" w:rsidP="00442DCD">
      <w:pPr>
        <w:spacing w:line="240" w:lineRule="auto"/>
        <w:rPr>
          <w:b/>
        </w:rPr>
      </w:pPr>
    </w:p>
    <w:p w:rsidR="00442DCD" w:rsidRDefault="00442DCD" w:rsidP="00442DCD">
      <w:pPr>
        <w:spacing w:line="240" w:lineRule="auto"/>
        <w:jc w:val="left"/>
      </w:pPr>
    </w:p>
    <w:p w:rsidR="00442DCD" w:rsidRDefault="00442DCD" w:rsidP="00442DCD">
      <w:pPr>
        <w:spacing w:line="240" w:lineRule="auto"/>
        <w:jc w:val="left"/>
      </w:pPr>
      <w:r>
        <w:t>Thomas Altman</w:t>
      </w:r>
      <w:r>
        <w:tab/>
      </w:r>
      <w:r>
        <w:tab/>
      </w:r>
      <w:r>
        <w:tab/>
      </w:r>
      <w:r>
        <w:tab/>
      </w:r>
      <w:r>
        <w:tab/>
        <w:t>:</w:t>
      </w:r>
    </w:p>
    <w:p w:rsidR="00442DCD" w:rsidRDefault="00442DCD" w:rsidP="00442DCD">
      <w:pPr>
        <w:spacing w:line="240" w:lineRule="auto"/>
        <w:jc w:val="left"/>
      </w:pPr>
      <w:r>
        <w:tab/>
      </w:r>
      <w:r>
        <w:tab/>
      </w:r>
      <w:r>
        <w:tab/>
      </w:r>
      <w:r>
        <w:tab/>
      </w:r>
      <w:r>
        <w:tab/>
      </w:r>
      <w:r>
        <w:tab/>
      </w:r>
      <w:r>
        <w:tab/>
        <w:t>:</w:t>
      </w:r>
    </w:p>
    <w:p w:rsidR="00442DCD" w:rsidRDefault="00442DCD" w:rsidP="00442DCD">
      <w:pPr>
        <w:spacing w:line="240" w:lineRule="auto"/>
        <w:jc w:val="left"/>
      </w:pPr>
      <w:r>
        <w:tab/>
        <w:t>v.</w:t>
      </w:r>
      <w:r>
        <w:tab/>
      </w:r>
      <w:r>
        <w:tab/>
      </w:r>
      <w:r>
        <w:tab/>
      </w:r>
      <w:r>
        <w:tab/>
      </w:r>
      <w:r>
        <w:tab/>
      </w:r>
      <w:r>
        <w:tab/>
        <w:t>:</w:t>
      </w:r>
      <w:r>
        <w:tab/>
      </w:r>
      <w:r>
        <w:tab/>
      </w:r>
      <w:r>
        <w:tab/>
        <w:t>C-2013-2383058</w:t>
      </w:r>
    </w:p>
    <w:p w:rsidR="00442DCD" w:rsidRDefault="00442DCD" w:rsidP="00442DCD">
      <w:pPr>
        <w:spacing w:line="240" w:lineRule="auto"/>
        <w:jc w:val="left"/>
      </w:pPr>
      <w:r>
        <w:tab/>
      </w:r>
      <w:r>
        <w:tab/>
      </w:r>
      <w:r>
        <w:tab/>
      </w:r>
      <w:r>
        <w:tab/>
      </w:r>
      <w:r>
        <w:tab/>
      </w:r>
      <w:r>
        <w:tab/>
      </w:r>
      <w:r>
        <w:tab/>
        <w:t>:</w:t>
      </w:r>
    </w:p>
    <w:p w:rsidR="00442DCD" w:rsidRDefault="00442DCD" w:rsidP="00442DCD">
      <w:pPr>
        <w:spacing w:line="240" w:lineRule="auto"/>
        <w:jc w:val="left"/>
      </w:pPr>
      <w:r>
        <w:t>West Penn Power Company</w:t>
      </w:r>
      <w:r>
        <w:tab/>
      </w:r>
      <w:r>
        <w:tab/>
      </w:r>
      <w:r>
        <w:tab/>
      </w:r>
      <w:r>
        <w:tab/>
        <w:t>:</w:t>
      </w:r>
    </w:p>
    <w:p w:rsidR="00442DCD" w:rsidRDefault="00442DCD" w:rsidP="00442DCD">
      <w:pPr>
        <w:spacing w:line="240" w:lineRule="auto"/>
        <w:jc w:val="left"/>
      </w:pPr>
    </w:p>
    <w:p w:rsidR="00442DCD" w:rsidRDefault="00442DCD" w:rsidP="00442DCD">
      <w:pPr>
        <w:spacing w:line="240" w:lineRule="auto"/>
        <w:jc w:val="left"/>
      </w:pPr>
    </w:p>
    <w:p w:rsidR="00442DCD" w:rsidRPr="00442DCD" w:rsidRDefault="00442DCD" w:rsidP="00442DCD">
      <w:pPr>
        <w:spacing w:line="240" w:lineRule="auto"/>
        <w:rPr>
          <w:b/>
        </w:rPr>
      </w:pPr>
      <w:r w:rsidRPr="00442DCD">
        <w:rPr>
          <w:b/>
        </w:rPr>
        <w:t xml:space="preserve">ORDER DENYING PRELIMINARY OBJECTIONS AND </w:t>
      </w:r>
    </w:p>
    <w:p w:rsidR="00442DCD" w:rsidRPr="00442DCD" w:rsidRDefault="00442DCD" w:rsidP="00442DCD">
      <w:pPr>
        <w:spacing w:line="240" w:lineRule="auto"/>
        <w:rPr>
          <w:b/>
        </w:rPr>
      </w:pPr>
      <w:r w:rsidRPr="00442DCD">
        <w:rPr>
          <w:b/>
        </w:rPr>
        <w:t>REFERRING CASE TO MEDIATION</w:t>
      </w:r>
    </w:p>
    <w:p w:rsidR="00442DCD" w:rsidRPr="00442DCD" w:rsidRDefault="00442DCD" w:rsidP="00442DCD">
      <w:pPr>
        <w:spacing w:line="240" w:lineRule="auto"/>
        <w:rPr>
          <w:b/>
        </w:rPr>
      </w:pPr>
    </w:p>
    <w:p w:rsidR="00442DCD" w:rsidRDefault="00442DCD" w:rsidP="00442DCD">
      <w:pPr>
        <w:spacing w:line="240" w:lineRule="auto"/>
      </w:pPr>
    </w:p>
    <w:p w:rsidR="00442DCD" w:rsidRDefault="00442DCD" w:rsidP="00442DCD">
      <w:pPr>
        <w:spacing w:line="240" w:lineRule="auto"/>
        <w:rPr>
          <w:u w:val="single"/>
        </w:rPr>
      </w:pPr>
      <w:r>
        <w:rPr>
          <w:u w:val="single"/>
        </w:rPr>
        <w:t>HISTORY OF THE PROCEEDING</w:t>
      </w:r>
    </w:p>
    <w:p w:rsidR="00442DCD" w:rsidRDefault="00442DCD" w:rsidP="00442DCD">
      <w:pPr>
        <w:jc w:val="left"/>
      </w:pPr>
    </w:p>
    <w:p w:rsidR="00442DCD" w:rsidRDefault="00442DCD" w:rsidP="00442DCD">
      <w:pPr>
        <w:jc w:val="left"/>
      </w:pPr>
      <w:r>
        <w:tab/>
      </w:r>
      <w:r>
        <w:tab/>
        <w:t xml:space="preserve">On September 6, 2013, Thomas Altman (Complainant) filed a formal Complaint against "FirstEnergy," which was docketed against West Penn Power Company (West Penn or Respondent) by the Commission's Secretary's Bureau.  The Complaint alleges that:  (1) FirstEnergy targets old people; (2) FirstEnergy threatened Complainant with a $150 charge when he attempted to change providers; (3) when Complainant applied for a new account in another building, FirstEnergy switched his call to a salesman who offered discounts to discourage him from choosing another provider and did not inform him of his right to choose any provider that he wanted.  In the Requested Relief section, he states that the Respondent should offer a fair price to begin with so that consumers are not confronted with </w:t>
      </w:r>
      <w:proofErr w:type="spellStart"/>
      <w:r>
        <w:t>flim</w:t>
      </w:r>
      <w:proofErr w:type="spellEnd"/>
      <w:r>
        <w:t>-flam sales just to get electric; that none of the practices listed conform with the purpose of deregulation; and that if FirstEnergy is going to offer to switch a caller to a sale</w:t>
      </w:r>
      <w:r w:rsidR="009B6EEB">
        <w:t>s</w:t>
      </w:r>
      <w:r>
        <w:t>man, it should be to any electric provider, not just a misleading attempt to confuse consumers.</w:t>
      </w:r>
    </w:p>
    <w:p w:rsidR="00442DCD" w:rsidRDefault="00442DCD" w:rsidP="00442DCD">
      <w:pPr>
        <w:jc w:val="left"/>
      </w:pPr>
    </w:p>
    <w:p w:rsidR="00442DCD" w:rsidRDefault="009B6EEB" w:rsidP="00442DCD">
      <w:pPr>
        <w:jc w:val="left"/>
      </w:pPr>
      <w:r>
        <w:tab/>
      </w:r>
      <w:r>
        <w:tab/>
        <w:t xml:space="preserve">The Complaint was served by the Commission's Secretary on September 13, 2013.  </w:t>
      </w:r>
    </w:p>
    <w:p w:rsidR="009B6EEB" w:rsidRDefault="009B6EEB" w:rsidP="00442DCD">
      <w:pPr>
        <w:jc w:val="left"/>
      </w:pPr>
    </w:p>
    <w:p w:rsidR="009B6EEB" w:rsidRDefault="009B6EEB" w:rsidP="00442DCD">
      <w:pPr>
        <w:jc w:val="left"/>
      </w:pPr>
      <w:r>
        <w:tab/>
      </w:r>
      <w:r>
        <w:tab/>
        <w:t xml:space="preserve">On October 3, 2013, West Penn filed its Answer and Preliminary Objections (POs).  The Answer states that the Complainant engaged an electric generation supplier (EGS) in May of 2013, and that the dispute appears to be with the EGS, not West Penn. </w:t>
      </w:r>
    </w:p>
    <w:p w:rsidR="009B6EEB" w:rsidRDefault="009B6EEB" w:rsidP="00442DCD">
      <w:pPr>
        <w:jc w:val="left"/>
      </w:pPr>
    </w:p>
    <w:p w:rsidR="009B6EEB" w:rsidRDefault="009B6EEB" w:rsidP="00442DCD">
      <w:pPr>
        <w:jc w:val="left"/>
      </w:pPr>
      <w:r>
        <w:tab/>
      </w:r>
      <w:r>
        <w:tab/>
        <w:t xml:space="preserve">The POs seek dismissal of the Complaint as legally insufficient because the Commission lacks jurisdiction over the dispute.  </w:t>
      </w:r>
    </w:p>
    <w:p w:rsidR="009B6EEB" w:rsidRDefault="009B6EEB" w:rsidP="00442DCD">
      <w:pPr>
        <w:jc w:val="left"/>
      </w:pPr>
    </w:p>
    <w:p w:rsidR="009B6EEB" w:rsidRDefault="009B6EEB" w:rsidP="00442DCD">
      <w:pPr>
        <w:jc w:val="left"/>
      </w:pPr>
      <w:r>
        <w:tab/>
      </w:r>
      <w:r>
        <w:tab/>
        <w:t>The time for filing a response has run, and no response has been filed.  On October 15, 2013, the matter was assigned to me as a motion judge.  The matter is now ripe for disposition.</w:t>
      </w:r>
    </w:p>
    <w:p w:rsidR="009B6EEB" w:rsidRDefault="009B6EEB" w:rsidP="00442DCD">
      <w:pPr>
        <w:jc w:val="left"/>
      </w:pPr>
    </w:p>
    <w:p w:rsidR="009B6EEB" w:rsidRDefault="005F1B33" w:rsidP="009B6EEB">
      <w:pPr>
        <w:rPr>
          <w:u w:val="single"/>
        </w:rPr>
      </w:pPr>
      <w:r>
        <w:rPr>
          <w:u w:val="single"/>
        </w:rPr>
        <w:t>DISCUSSION</w:t>
      </w:r>
    </w:p>
    <w:p w:rsidR="005F1B33" w:rsidRDefault="005F1B33" w:rsidP="009B6EEB">
      <w:pPr>
        <w:rPr>
          <w:u w:val="single"/>
        </w:rPr>
      </w:pPr>
    </w:p>
    <w:p w:rsidR="005F1B33" w:rsidRPr="007A7EE7" w:rsidRDefault="005F1B33" w:rsidP="005F1B33">
      <w:pPr>
        <w:jc w:val="left"/>
      </w:pPr>
      <w:r>
        <w:tab/>
      </w:r>
      <w:r>
        <w:tab/>
      </w:r>
      <w:r w:rsidRPr="007A7EE7">
        <w:t xml:space="preserve">Commission preliminary objection practice is similar to Pennsylvania civil practice.  </w:t>
      </w:r>
      <w:r w:rsidRPr="007A7EE7">
        <w:rPr>
          <w:i/>
        </w:rPr>
        <w:t xml:space="preserve">Equitable Small Transportation Interveners v. Equitable Gas Company, </w:t>
      </w:r>
      <w:r w:rsidRPr="007A7EE7">
        <w:t xml:space="preserve">1994 Pa. PUC LEXIS 69, PUC Docket No. </w:t>
      </w:r>
      <w:proofErr w:type="gramStart"/>
      <w:r w:rsidRPr="007A7EE7">
        <w:t>C-000935435 (July 18, 1994).</w:t>
      </w:r>
      <w:proofErr w:type="gramEnd"/>
      <w:r w:rsidRPr="007A7EE7">
        <w:t xml:space="preserve"> </w:t>
      </w:r>
      <w:r w:rsidRPr="007A7EE7">
        <w:tab/>
        <w:t xml:space="preserve"> When considering the preliminary objection, the Commission must determine “whether the law say</w:t>
      </w:r>
      <w:r>
        <w:t xml:space="preserve">s with certainty, based on well </w:t>
      </w:r>
      <w:r w:rsidRPr="007A7EE7">
        <w:t xml:space="preserve">pleaded factual averments . . . that no recovery or relief is possible.  </w:t>
      </w:r>
      <w:proofErr w:type="gramStart"/>
      <w:r w:rsidRPr="007A7EE7">
        <w:rPr>
          <w:i/>
        </w:rPr>
        <w:t xml:space="preserve">P. J. S. v. Pa. State Ethics Commission, </w:t>
      </w:r>
      <w:r w:rsidRPr="007A7EE7">
        <w:t>669 A.2d 1105 (Pa. Cmwlth. 1996).</w:t>
      </w:r>
      <w:proofErr w:type="gramEnd"/>
      <w:r w:rsidRPr="007A7EE7">
        <w:t xml:space="preserve">  Any doubt must be resolved in favor of the non-moving party by refusing to sustain the preliminary objections.  </w:t>
      </w:r>
      <w:proofErr w:type="gramStart"/>
      <w:r w:rsidRPr="007A7EE7">
        <w:rPr>
          <w:i/>
        </w:rPr>
        <w:t xml:space="preserve">Boyd v. Ward, </w:t>
      </w:r>
      <w:r w:rsidRPr="007A7EE7">
        <w:t>802 A.2d 705 (Pa. Cmwlth. 2002).”</w:t>
      </w:r>
      <w:proofErr w:type="gramEnd"/>
      <w:r w:rsidRPr="007A7EE7">
        <w:t xml:space="preserve">  </w:t>
      </w:r>
      <w:proofErr w:type="gramStart"/>
      <w:r w:rsidRPr="007A7EE7">
        <w:rPr>
          <w:i/>
        </w:rPr>
        <w:t xml:space="preserve">Dept. of Auditor General, et al. v. State Employees’ Retirement System, et al., </w:t>
      </w:r>
      <w:r w:rsidRPr="007A7EE7">
        <w:t>836 A.2d 1053, 1064 (Pa. Cmwlth. 2003).</w:t>
      </w:r>
      <w:proofErr w:type="gramEnd"/>
      <w:r w:rsidRPr="007A7EE7">
        <w:t xml:space="preserve">  </w:t>
      </w:r>
    </w:p>
    <w:p w:rsidR="005F1B33" w:rsidRPr="007A7EE7" w:rsidRDefault="005F1B33" w:rsidP="005F1B33">
      <w:pPr>
        <w:jc w:val="both"/>
      </w:pPr>
    </w:p>
    <w:p w:rsidR="005F1B33" w:rsidRPr="007A7EE7" w:rsidRDefault="005F1B33" w:rsidP="005F1B33">
      <w:pPr>
        <w:jc w:val="left"/>
      </w:pPr>
      <w:r w:rsidRPr="007A7EE7">
        <w:tab/>
      </w:r>
      <w:r w:rsidRPr="007A7EE7">
        <w:tab/>
        <w:t>The rules regard</w:t>
      </w:r>
      <w:r>
        <w:t>ing</w:t>
      </w:r>
      <w:r w:rsidRPr="007A7EE7">
        <w:t xml:space="preserve"> preliminary objections are </w:t>
      </w:r>
      <w:r>
        <w:t>as follows</w:t>
      </w:r>
      <w:r w:rsidRPr="007A7EE7">
        <w:t>:</w:t>
      </w:r>
    </w:p>
    <w:p w:rsidR="005F1B33" w:rsidRPr="007A7EE7" w:rsidRDefault="005F1B33" w:rsidP="005F1B33">
      <w:pPr>
        <w:jc w:val="left"/>
      </w:pPr>
    </w:p>
    <w:p w:rsidR="005F1B33" w:rsidRPr="007A7EE7" w:rsidRDefault="005F1B33" w:rsidP="005F1B33">
      <w:pPr>
        <w:spacing w:line="240" w:lineRule="auto"/>
        <w:ind w:left="1440" w:right="1440"/>
        <w:contextualSpacing/>
        <w:jc w:val="left"/>
        <w:rPr>
          <w:b/>
        </w:rPr>
      </w:pPr>
      <w:r w:rsidRPr="007A7EE7">
        <w:rPr>
          <w:b/>
        </w:rPr>
        <w:t xml:space="preserve">§ 5.101.  </w:t>
      </w:r>
      <w:proofErr w:type="gramStart"/>
      <w:r w:rsidRPr="007A7EE7">
        <w:rPr>
          <w:b/>
        </w:rPr>
        <w:t>Preliminary objections.</w:t>
      </w:r>
      <w:proofErr w:type="gramEnd"/>
    </w:p>
    <w:p w:rsidR="005F1B33" w:rsidRPr="007A7EE7" w:rsidRDefault="005F1B33" w:rsidP="005F1B33">
      <w:pPr>
        <w:spacing w:line="240" w:lineRule="auto"/>
        <w:ind w:left="1440" w:right="1440"/>
        <w:contextualSpacing/>
        <w:jc w:val="left"/>
        <w:rPr>
          <w:b/>
        </w:rPr>
      </w:pPr>
    </w:p>
    <w:p w:rsidR="005F1B33" w:rsidRPr="007A7EE7" w:rsidRDefault="005F1B33" w:rsidP="005F1B33">
      <w:pPr>
        <w:tabs>
          <w:tab w:val="left" w:pos="2160"/>
        </w:tabs>
        <w:spacing w:line="240" w:lineRule="auto"/>
        <w:ind w:left="1440" w:right="1440"/>
        <w:contextualSpacing/>
        <w:jc w:val="left"/>
      </w:pPr>
      <w:r w:rsidRPr="007A7EE7">
        <w:t>(a)</w:t>
      </w:r>
      <w:r w:rsidRPr="007A7EE7">
        <w:tab/>
      </w:r>
      <w:r w:rsidRPr="007A7EE7">
        <w:rPr>
          <w:i/>
        </w:rPr>
        <w:t>Grounds.</w:t>
      </w:r>
      <w:r w:rsidRPr="007A7EE7">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5F1B33" w:rsidRPr="007A7EE7" w:rsidRDefault="005F1B33" w:rsidP="005F1B33">
      <w:pPr>
        <w:spacing w:line="240" w:lineRule="auto"/>
        <w:ind w:left="1440" w:right="1440"/>
        <w:contextualSpacing/>
        <w:jc w:val="left"/>
        <w:rPr>
          <w:i/>
        </w:rPr>
      </w:pPr>
    </w:p>
    <w:p w:rsidR="005F1B33" w:rsidRPr="007A7EE7" w:rsidRDefault="005F1B33" w:rsidP="005F1B33">
      <w:pPr>
        <w:numPr>
          <w:ilvl w:val="0"/>
          <w:numId w:val="1"/>
        </w:numPr>
        <w:spacing w:line="240" w:lineRule="auto"/>
        <w:ind w:left="1440" w:right="1440" w:firstLine="720"/>
        <w:contextualSpacing/>
        <w:jc w:val="left"/>
      </w:pPr>
      <w:r w:rsidRPr="007A7EE7">
        <w:t>Lack of Commission jurisdiction or improper service of the pleading initiating the proceeding.</w:t>
      </w:r>
    </w:p>
    <w:p w:rsidR="005F1B33" w:rsidRPr="007A7EE7" w:rsidRDefault="005F1B33" w:rsidP="005F1B33">
      <w:pPr>
        <w:spacing w:line="240" w:lineRule="auto"/>
        <w:ind w:left="1440" w:right="1440"/>
        <w:contextualSpacing/>
        <w:jc w:val="left"/>
      </w:pPr>
    </w:p>
    <w:p w:rsidR="005F1B33" w:rsidRPr="007A7EE7" w:rsidRDefault="005F1B33" w:rsidP="005F1B33">
      <w:pPr>
        <w:numPr>
          <w:ilvl w:val="0"/>
          <w:numId w:val="1"/>
        </w:numPr>
        <w:spacing w:line="240" w:lineRule="auto"/>
        <w:ind w:left="1440" w:right="1440" w:firstLine="720"/>
        <w:contextualSpacing/>
        <w:jc w:val="left"/>
      </w:pPr>
      <w:r w:rsidRPr="007A7EE7">
        <w:t>Failure of a pleading to conform to this chapter or the inclusion of scandalous or impertinent matter.</w:t>
      </w:r>
    </w:p>
    <w:p w:rsidR="005F1B33" w:rsidRPr="007A7EE7" w:rsidRDefault="005F1B33" w:rsidP="005F1B33">
      <w:pPr>
        <w:spacing w:line="240" w:lineRule="auto"/>
        <w:ind w:left="1440" w:right="1440"/>
        <w:contextualSpacing/>
        <w:jc w:val="left"/>
      </w:pPr>
    </w:p>
    <w:p w:rsidR="005F1B33" w:rsidRPr="007A7EE7" w:rsidRDefault="005F1B33" w:rsidP="005F1B33">
      <w:pPr>
        <w:numPr>
          <w:ilvl w:val="0"/>
          <w:numId w:val="1"/>
        </w:numPr>
        <w:spacing w:line="240" w:lineRule="auto"/>
        <w:ind w:left="1440" w:right="1440" w:firstLine="720"/>
        <w:contextualSpacing/>
        <w:jc w:val="left"/>
      </w:pPr>
      <w:r w:rsidRPr="007A7EE7">
        <w:t>Insufficient specificity of a pleading.</w:t>
      </w:r>
    </w:p>
    <w:p w:rsidR="005F1B33" w:rsidRPr="007A7EE7" w:rsidRDefault="005F1B33" w:rsidP="005F1B33">
      <w:pPr>
        <w:spacing w:line="240" w:lineRule="auto"/>
        <w:ind w:left="1440" w:right="1440"/>
        <w:contextualSpacing/>
        <w:jc w:val="left"/>
      </w:pPr>
    </w:p>
    <w:p w:rsidR="005F1B33" w:rsidRPr="007A7EE7" w:rsidRDefault="005F1B33" w:rsidP="005F1B33">
      <w:pPr>
        <w:numPr>
          <w:ilvl w:val="0"/>
          <w:numId w:val="1"/>
        </w:numPr>
        <w:spacing w:line="240" w:lineRule="auto"/>
        <w:ind w:left="1440" w:right="1440" w:firstLine="720"/>
        <w:contextualSpacing/>
        <w:jc w:val="left"/>
      </w:pPr>
      <w:r w:rsidRPr="007A7EE7">
        <w:t>Legal insufficiency of a pleading.</w:t>
      </w:r>
    </w:p>
    <w:p w:rsidR="005F1B33" w:rsidRPr="007A7EE7" w:rsidRDefault="005F1B33" w:rsidP="005F1B33">
      <w:pPr>
        <w:spacing w:line="240" w:lineRule="auto"/>
        <w:ind w:left="1440" w:right="1440"/>
        <w:contextualSpacing/>
        <w:jc w:val="left"/>
      </w:pPr>
    </w:p>
    <w:p w:rsidR="005F1B33" w:rsidRPr="007A7EE7" w:rsidRDefault="005F1B33" w:rsidP="005F1B33">
      <w:pPr>
        <w:numPr>
          <w:ilvl w:val="0"/>
          <w:numId w:val="1"/>
        </w:numPr>
        <w:spacing w:line="240" w:lineRule="auto"/>
        <w:ind w:left="1440" w:right="1440" w:firstLine="720"/>
        <w:contextualSpacing/>
        <w:jc w:val="left"/>
      </w:pPr>
      <w:r w:rsidRPr="007A7EE7">
        <w:t>Lack of capacity to sue, nonjoinder of a necessary party or misjoinder of a cause of action.</w:t>
      </w:r>
    </w:p>
    <w:p w:rsidR="005F1B33" w:rsidRPr="007A7EE7" w:rsidRDefault="005F1B33" w:rsidP="005F1B33">
      <w:pPr>
        <w:spacing w:line="240" w:lineRule="auto"/>
        <w:ind w:left="1440" w:right="1440"/>
        <w:contextualSpacing/>
        <w:jc w:val="left"/>
      </w:pPr>
    </w:p>
    <w:p w:rsidR="005F1B33" w:rsidRPr="007A7EE7" w:rsidRDefault="005F1B33" w:rsidP="005F1B33">
      <w:pPr>
        <w:numPr>
          <w:ilvl w:val="0"/>
          <w:numId w:val="1"/>
        </w:numPr>
        <w:spacing w:line="240" w:lineRule="auto"/>
        <w:ind w:left="1440" w:right="1440" w:firstLine="720"/>
        <w:contextualSpacing/>
        <w:jc w:val="left"/>
      </w:pPr>
      <w:r w:rsidRPr="007A7EE7">
        <w:t>Pendency of a prior proceeding or agreement for alternative dispute resolution.</w:t>
      </w:r>
    </w:p>
    <w:p w:rsidR="005F1B33" w:rsidRPr="007A7EE7" w:rsidRDefault="005F1B33" w:rsidP="005F1B33">
      <w:pPr>
        <w:spacing w:line="240" w:lineRule="auto"/>
        <w:ind w:left="1440" w:right="1440"/>
        <w:contextualSpacing/>
        <w:jc w:val="left"/>
      </w:pPr>
    </w:p>
    <w:p w:rsidR="005F1B33" w:rsidRPr="007A7EE7" w:rsidRDefault="005F1B33" w:rsidP="005F1B33">
      <w:pPr>
        <w:spacing w:line="240" w:lineRule="auto"/>
        <w:ind w:left="1440" w:right="1440"/>
        <w:contextualSpacing/>
      </w:pPr>
      <w:r w:rsidRPr="007A7EE7">
        <w:t>* * *</w:t>
      </w:r>
    </w:p>
    <w:p w:rsidR="005F1B33" w:rsidRPr="007A7EE7" w:rsidRDefault="005F1B33" w:rsidP="005F1B33">
      <w:pPr>
        <w:spacing w:line="240" w:lineRule="auto"/>
        <w:ind w:left="1440" w:right="1440"/>
        <w:contextualSpacing/>
      </w:pPr>
    </w:p>
    <w:p w:rsidR="005F1B33" w:rsidRPr="007A7EE7" w:rsidRDefault="005F1B33" w:rsidP="005F1B33">
      <w:pPr>
        <w:spacing w:line="240" w:lineRule="auto"/>
        <w:ind w:left="1440" w:right="1440"/>
        <w:contextualSpacing/>
        <w:jc w:val="left"/>
      </w:pPr>
      <w:proofErr w:type="gramStart"/>
      <w:r w:rsidRPr="007A7EE7">
        <w:t>52 Pa. Code § 5.101(a).</w:t>
      </w:r>
      <w:proofErr w:type="gramEnd"/>
      <w:r w:rsidRPr="007A7EE7">
        <w:t xml:space="preserve">  </w:t>
      </w:r>
    </w:p>
    <w:p w:rsidR="005F1B33" w:rsidRPr="007A7EE7" w:rsidRDefault="005F1B33" w:rsidP="005F1B33">
      <w:pPr>
        <w:jc w:val="left"/>
      </w:pPr>
    </w:p>
    <w:p w:rsidR="005F1B33" w:rsidRPr="007A7EE7" w:rsidRDefault="005F1B33" w:rsidP="005F1B33">
      <w:pPr>
        <w:jc w:val="left"/>
      </w:pPr>
      <w:r w:rsidRPr="007A7EE7">
        <w:tab/>
      </w:r>
      <w:r w:rsidRPr="007A7EE7">
        <w:tab/>
        <w:t xml:space="preserve">In deciding the preliminary objections, the Commission must determine whether, based on well-pleaded factual averments of the Complainant, recovery or relief is possible.  </w:t>
      </w:r>
      <w:proofErr w:type="gramStart"/>
      <w:r w:rsidRPr="007A7EE7">
        <w:rPr>
          <w:i/>
        </w:rPr>
        <w:t>Dept. of Auditor General, et al v. SERS, et al.</w:t>
      </w:r>
      <w:r w:rsidRPr="007A7EE7">
        <w:t>, 836 A.2d 1053, 1064 (Pa. Cmwlth. 2003), 2003 Pa. Commw.</w:t>
      </w:r>
      <w:proofErr w:type="gramEnd"/>
      <w:r w:rsidRPr="007A7EE7">
        <w:t xml:space="preserve"> </w:t>
      </w:r>
      <w:proofErr w:type="gramStart"/>
      <w:r w:rsidRPr="007A7EE7">
        <w:t xml:space="preserve">LEXIS 849; </w:t>
      </w:r>
      <w:r w:rsidRPr="007A7EE7">
        <w:rPr>
          <w:i/>
        </w:rPr>
        <w:t>P.J.S. v. Pa. State Ethics Comm’n,</w:t>
      </w:r>
      <w:r w:rsidRPr="007A7EE7">
        <w:t xml:space="preserve"> 669 A.2d 1105 (Pa. Cmwlth. 1996), 1996 Pa. Commw.</w:t>
      </w:r>
      <w:proofErr w:type="gramEnd"/>
      <w:r w:rsidRPr="007A7EE7">
        <w:t xml:space="preserve"> </w:t>
      </w:r>
      <w:proofErr w:type="gramStart"/>
      <w:r w:rsidRPr="007A7EE7">
        <w:t>LEXIS 11.</w:t>
      </w:r>
      <w:proofErr w:type="gramEnd"/>
      <w:r w:rsidRPr="007A7EE7">
        <w:t xml:space="preserve">  Any doubt must be resolved in favor of the non-moving party by refusing to sustain the preliminary objections.  </w:t>
      </w:r>
      <w:proofErr w:type="gramStart"/>
      <w:r w:rsidRPr="007A7EE7">
        <w:rPr>
          <w:i/>
        </w:rPr>
        <w:t xml:space="preserve">Boyd v. Ward, </w:t>
      </w:r>
      <w:r w:rsidRPr="007A7EE7">
        <w:t>802 A.2d 705 (Pa.Cmwlth. 2002), 2002 Pa. Commw.</w:t>
      </w:r>
      <w:proofErr w:type="gramEnd"/>
      <w:r w:rsidRPr="007A7EE7">
        <w:t xml:space="preserve"> </w:t>
      </w:r>
      <w:proofErr w:type="gramStart"/>
      <w:r w:rsidRPr="007A7EE7">
        <w:t>LEXIS 580.</w:t>
      </w:r>
      <w:proofErr w:type="gramEnd"/>
      <w:r w:rsidRPr="007A7EE7">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7A7EE7">
        <w:rPr>
          <w:i/>
        </w:rPr>
        <w:t>Ridge v. State Employees’ Retirement Board</w:t>
      </w:r>
      <w:r w:rsidRPr="007A7EE7">
        <w:t>, 690 A.2d 1312 (Pa. Cmwlth. 1997) 1997 Pa. Commw.</w:t>
      </w:r>
      <w:proofErr w:type="gramEnd"/>
      <w:r w:rsidRPr="007A7EE7">
        <w:t xml:space="preserve"> </w:t>
      </w:r>
      <w:proofErr w:type="gramStart"/>
      <w:r w:rsidRPr="007A7EE7">
        <w:t>LEXIS 148.</w:t>
      </w:r>
      <w:proofErr w:type="gramEnd"/>
      <w:r w:rsidRPr="007A7EE7">
        <w:t xml:space="preserve">  </w:t>
      </w:r>
    </w:p>
    <w:p w:rsidR="005F1B33" w:rsidRPr="007A7EE7" w:rsidRDefault="005F1B33" w:rsidP="005F1B33">
      <w:pPr>
        <w:contextualSpacing/>
        <w:jc w:val="left"/>
      </w:pPr>
    </w:p>
    <w:p w:rsidR="005F1B33" w:rsidRDefault="005F1B33" w:rsidP="005F1B33">
      <w:pPr>
        <w:contextualSpacing/>
        <w:jc w:val="left"/>
      </w:pPr>
      <w:r w:rsidRPr="007A7EE7">
        <w:tab/>
      </w:r>
      <w:r w:rsidRPr="007A7EE7">
        <w:tab/>
        <w:t>Therefore, only the facts in the Complaint can be presumed to be true in order to determine whether recovery is possible.</w:t>
      </w:r>
    </w:p>
    <w:p w:rsidR="005F1B33" w:rsidRDefault="005F1B33" w:rsidP="005F1B33">
      <w:pPr>
        <w:contextualSpacing/>
        <w:jc w:val="left"/>
      </w:pPr>
    </w:p>
    <w:p w:rsidR="005F1B33" w:rsidRDefault="005F1B33" w:rsidP="005F1B33">
      <w:pPr>
        <w:contextualSpacing/>
        <w:jc w:val="left"/>
      </w:pPr>
      <w:r>
        <w:tab/>
      </w:r>
      <w:r>
        <w:tab/>
        <w:t>The POs state:</w:t>
      </w:r>
    </w:p>
    <w:p w:rsidR="005F1B33" w:rsidRDefault="005F1B33" w:rsidP="005F1B33">
      <w:pPr>
        <w:spacing w:line="240" w:lineRule="auto"/>
        <w:ind w:left="1440" w:right="1440"/>
        <w:contextualSpacing/>
        <w:jc w:val="left"/>
      </w:pPr>
      <w:r>
        <w:tab/>
        <w:t>4.</w:t>
      </w:r>
      <w:r>
        <w:tab/>
        <w:t xml:space="preserve">In his Complaint the Complainant admits that in May of 2013 the Complainant engaged Stream Power to provide his electric generation service.  The averments of Complainant's complaint substantively and wholly concern the provision of electric generation service after his engagement of Stream Power to provide electric generation service.  Complainant does not state any facts that would implicate West Penn in any manner in the </w:t>
      </w:r>
      <w:r>
        <w:lastRenderedPageBreak/>
        <w:t xml:space="preserve">Complainant's concerns about his electric generation service."  </w:t>
      </w:r>
      <w:proofErr w:type="gramStart"/>
      <w:r>
        <w:t>POs at p. 2, ¶ 4.</w:t>
      </w:r>
      <w:proofErr w:type="gramEnd"/>
    </w:p>
    <w:p w:rsidR="005F1B33" w:rsidRDefault="005F1B33" w:rsidP="005F1B33">
      <w:pPr>
        <w:spacing w:line="240" w:lineRule="auto"/>
        <w:ind w:left="1440" w:right="1440"/>
        <w:contextualSpacing/>
        <w:jc w:val="left"/>
      </w:pPr>
    </w:p>
    <w:p w:rsidR="00971B52" w:rsidRDefault="005F1B33" w:rsidP="005F1B33">
      <w:pPr>
        <w:contextualSpacing/>
        <w:jc w:val="left"/>
      </w:pPr>
      <w:r>
        <w:tab/>
      </w:r>
      <w:r>
        <w:tab/>
        <w:t xml:space="preserve">The POs are based on the assumption that the Complainant's EGS is the real party in interest here, not West Penn.  </w:t>
      </w:r>
      <w:r w:rsidR="00F72EBE">
        <w:t xml:space="preserve">To grant the POs, this must be supported by the Complaint itself.  A review of the Complaint does not support the </w:t>
      </w:r>
      <w:r w:rsidR="00971B52">
        <w:t>statement made by West Penn.  The Complainant does not mention an EGS at all, and it certainly does not name "Stream Power."  Rather,</w:t>
      </w:r>
      <w:r w:rsidR="00E10E87">
        <w:t xml:space="preserve"> the Complaint</w:t>
      </w:r>
      <w:r w:rsidR="00971B52">
        <w:t xml:space="preserve"> on</w:t>
      </w:r>
      <w:r w:rsidR="00E10E87">
        <w:t xml:space="preserve">ly names FirstEnergy and West Penn.  The name "Stream Power" only appears in the Respondent's pleadings.  </w:t>
      </w:r>
    </w:p>
    <w:p w:rsidR="00971B52" w:rsidRDefault="00971B52" w:rsidP="005F1B33">
      <w:pPr>
        <w:contextualSpacing/>
        <w:jc w:val="left"/>
      </w:pPr>
    </w:p>
    <w:p w:rsidR="005F1B33" w:rsidRDefault="00971B52" w:rsidP="005F1B33">
      <w:pPr>
        <w:contextualSpacing/>
        <w:jc w:val="left"/>
      </w:pPr>
      <w:r>
        <w:tab/>
      </w:r>
      <w:r>
        <w:tab/>
      </w:r>
      <w:r w:rsidR="009A7769">
        <w:t xml:space="preserve">The Complaint, on its face, states a cause of action against FirstEnergy, which is the parent company of West Penn, and "FirstEnergy, aka West Penn." </w:t>
      </w:r>
      <w:r w:rsidR="00F72EBE">
        <w:rPr>
          <w:i/>
        </w:rPr>
        <w:t xml:space="preserve">See </w:t>
      </w:r>
      <w:r w:rsidR="00F72EBE">
        <w:t xml:space="preserve">Complaint, ¶5. </w:t>
      </w:r>
      <w:r w:rsidR="009A7769">
        <w:t xml:space="preserve"> The Complaint never states that Complainant was speaking to his EGS, or that he is a customer of an EGS.  </w:t>
      </w:r>
    </w:p>
    <w:p w:rsidR="005F1B33" w:rsidRDefault="005F1B33" w:rsidP="005F1B33">
      <w:pPr>
        <w:contextualSpacing/>
        <w:jc w:val="left"/>
      </w:pPr>
    </w:p>
    <w:p w:rsidR="009A7769" w:rsidRDefault="005F1B33" w:rsidP="005F1B33">
      <w:pPr>
        <w:contextualSpacing/>
        <w:jc w:val="left"/>
      </w:pPr>
      <w:r>
        <w:tab/>
      </w:r>
      <w:r>
        <w:tab/>
      </w:r>
      <w:r w:rsidR="009A7769">
        <w:t xml:space="preserve">As the grant of POs is limited to situations where the pleadings of the party against whom the POs are filed do not state a cause of action, the POs cannot be granted here.  Therefore, the POs will be dismissed and the case referred to the Commission's mediation unit to determine the </w:t>
      </w:r>
      <w:r w:rsidR="00971B52">
        <w:t xml:space="preserve">case's eligibility for mediation.  </w:t>
      </w:r>
    </w:p>
    <w:p w:rsidR="00971B52" w:rsidRDefault="00971B52" w:rsidP="005F1B33">
      <w:pPr>
        <w:contextualSpacing/>
        <w:jc w:val="left"/>
      </w:pPr>
    </w:p>
    <w:p w:rsidR="00971B52" w:rsidRDefault="00971B52" w:rsidP="005F1B33">
      <w:pPr>
        <w:contextualSpacing/>
        <w:jc w:val="left"/>
      </w:pPr>
      <w:r>
        <w:tab/>
      </w:r>
      <w:r>
        <w:tab/>
        <w:t xml:space="preserve">Complainant is warned that, should his Complaint be against his EGS, as averred by the Respondent here, </w:t>
      </w:r>
      <w:r w:rsidR="00F72EBE">
        <w:t>that EGS must be</w:t>
      </w:r>
      <w:r>
        <w:t xml:space="preserve"> join</w:t>
      </w:r>
      <w:r w:rsidR="00F72EBE">
        <w:t>ed as</w:t>
      </w:r>
      <w:r>
        <w:t xml:space="preserve"> an indispensable party before the case can be litigated.  </w:t>
      </w:r>
      <w:r w:rsidR="00F72EBE">
        <w:t>In addition, the behavior complained of must fall within the jurisdiction of the Commission.</w:t>
      </w:r>
    </w:p>
    <w:p w:rsidR="00971B52" w:rsidRDefault="00971B52" w:rsidP="005F1B33">
      <w:pPr>
        <w:contextualSpacing/>
        <w:jc w:val="left"/>
      </w:pPr>
    </w:p>
    <w:p w:rsidR="00971B52" w:rsidRDefault="00971B52" w:rsidP="005F1B33">
      <w:pPr>
        <w:contextualSpacing/>
        <w:jc w:val="left"/>
      </w:pPr>
      <w:r>
        <w:tab/>
      </w:r>
      <w:r>
        <w:tab/>
        <w:t>THEREFORE,</w:t>
      </w:r>
    </w:p>
    <w:p w:rsidR="00971B52" w:rsidRDefault="00971B52" w:rsidP="005F1B33">
      <w:pPr>
        <w:contextualSpacing/>
        <w:jc w:val="left"/>
      </w:pPr>
    </w:p>
    <w:p w:rsidR="00971B52" w:rsidRDefault="00971B52" w:rsidP="005F1B33">
      <w:pPr>
        <w:contextualSpacing/>
        <w:jc w:val="left"/>
      </w:pPr>
      <w:r>
        <w:tab/>
      </w:r>
      <w:r>
        <w:tab/>
        <w:t>IT IS ORDERED:</w:t>
      </w:r>
    </w:p>
    <w:p w:rsidR="00971B52" w:rsidRDefault="00971B52" w:rsidP="005F1B33">
      <w:pPr>
        <w:contextualSpacing/>
        <w:jc w:val="left"/>
      </w:pPr>
    </w:p>
    <w:p w:rsidR="00971B52" w:rsidRDefault="00971B52" w:rsidP="005F1B33">
      <w:pPr>
        <w:contextualSpacing/>
        <w:jc w:val="left"/>
      </w:pPr>
      <w:r>
        <w:tab/>
      </w:r>
      <w:r>
        <w:tab/>
        <w:t>1.</w:t>
      </w:r>
      <w:r>
        <w:tab/>
        <w:t xml:space="preserve">That the Preliminary Objections of West Penn Power Company filed in the case captioned </w:t>
      </w:r>
      <w:r>
        <w:rPr>
          <w:i/>
        </w:rPr>
        <w:t>Thomas Altman v. West Penn Power Company</w:t>
      </w:r>
      <w:r>
        <w:t>, Docket No. C-2013-2383058, are denied.</w:t>
      </w:r>
    </w:p>
    <w:p w:rsidR="00971B52" w:rsidRDefault="00971B52" w:rsidP="005F1B33">
      <w:pPr>
        <w:contextualSpacing/>
        <w:jc w:val="left"/>
      </w:pPr>
    </w:p>
    <w:p w:rsidR="00971B52" w:rsidRDefault="00971B52" w:rsidP="00971B52">
      <w:pPr>
        <w:contextualSpacing/>
        <w:jc w:val="left"/>
      </w:pPr>
      <w:r>
        <w:tab/>
      </w:r>
      <w:r>
        <w:tab/>
        <w:t>2.</w:t>
      </w:r>
      <w:r>
        <w:tab/>
        <w:t xml:space="preserve">That the case captioned </w:t>
      </w:r>
      <w:r>
        <w:rPr>
          <w:i/>
        </w:rPr>
        <w:t>Thomas Altman v. West Penn Power Company</w:t>
      </w:r>
      <w:r>
        <w:t>, Docket No. C-2013-</w:t>
      </w:r>
      <w:proofErr w:type="gramStart"/>
      <w:r>
        <w:t>2383058,</w:t>
      </w:r>
      <w:proofErr w:type="gramEnd"/>
      <w:r>
        <w:t xml:space="preserve"> is referred to the Commission's mediation unit for consideration.</w:t>
      </w:r>
    </w:p>
    <w:p w:rsidR="00971B52" w:rsidRDefault="00971B52" w:rsidP="00971B52">
      <w:pPr>
        <w:contextualSpacing/>
        <w:jc w:val="left"/>
      </w:pPr>
    </w:p>
    <w:p w:rsidR="00971B52" w:rsidRDefault="00971B52" w:rsidP="00971B52">
      <w:pPr>
        <w:spacing w:line="240" w:lineRule="auto"/>
        <w:contextualSpacing/>
        <w:jc w:val="left"/>
      </w:pPr>
      <w:r>
        <w:t>Dated:</w:t>
      </w:r>
      <w:r>
        <w:tab/>
      </w:r>
      <w:r>
        <w:rPr>
          <w:u w:val="single"/>
        </w:rPr>
        <w:t>October 28, 2013</w:t>
      </w:r>
      <w:r>
        <w:tab/>
      </w:r>
      <w:r>
        <w:tab/>
      </w:r>
      <w:r>
        <w:tab/>
      </w:r>
      <w:r>
        <w:tab/>
      </w:r>
      <w:r>
        <w:tab/>
        <w:t>______________________________</w:t>
      </w:r>
    </w:p>
    <w:p w:rsidR="00971B52" w:rsidRDefault="00971B52" w:rsidP="00971B52">
      <w:pPr>
        <w:spacing w:line="240" w:lineRule="auto"/>
        <w:contextualSpacing/>
        <w:jc w:val="left"/>
      </w:pPr>
      <w:r>
        <w:tab/>
      </w:r>
      <w:r>
        <w:tab/>
      </w:r>
      <w:r>
        <w:tab/>
      </w:r>
      <w:r>
        <w:tab/>
      </w:r>
      <w:r>
        <w:tab/>
      </w:r>
      <w:r>
        <w:tab/>
      </w:r>
      <w:r>
        <w:tab/>
      </w:r>
      <w:r>
        <w:tab/>
        <w:t>Susan D. Colwell</w:t>
      </w:r>
    </w:p>
    <w:p w:rsidR="00971B52" w:rsidRPr="00971B52" w:rsidRDefault="00971B52" w:rsidP="00971B52">
      <w:pPr>
        <w:spacing w:line="240" w:lineRule="auto"/>
        <w:contextualSpacing/>
        <w:jc w:val="left"/>
      </w:pPr>
      <w:r>
        <w:tab/>
      </w:r>
      <w:r>
        <w:tab/>
      </w:r>
      <w:r>
        <w:tab/>
      </w:r>
      <w:r>
        <w:tab/>
      </w:r>
      <w:r>
        <w:tab/>
      </w:r>
      <w:r>
        <w:tab/>
      </w:r>
      <w:r>
        <w:tab/>
      </w:r>
      <w:r>
        <w:tab/>
        <w:t>Administrative Law Judge</w:t>
      </w:r>
    </w:p>
    <w:p w:rsidR="00971B52" w:rsidRPr="00971B52" w:rsidRDefault="00971B52" w:rsidP="005F1B33">
      <w:pPr>
        <w:contextualSpacing/>
        <w:jc w:val="left"/>
      </w:pPr>
    </w:p>
    <w:p w:rsidR="009A7769" w:rsidRDefault="009A7769" w:rsidP="005F1B33">
      <w:pPr>
        <w:contextualSpacing/>
        <w:jc w:val="left"/>
      </w:pPr>
    </w:p>
    <w:p w:rsidR="005F1B33" w:rsidRPr="007A7EE7" w:rsidRDefault="009A7769" w:rsidP="005F1B33">
      <w:pPr>
        <w:contextualSpacing/>
        <w:jc w:val="left"/>
      </w:pPr>
      <w:r>
        <w:tab/>
      </w:r>
      <w:r>
        <w:tab/>
      </w:r>
      <w:r w:rsidR="005F1B33" w:rsidRPr="007A7EE7">
        <w:t xml:space="preserve"> </w:t>
      </w:r>
    </w:p>
    <w:p w:rsidR="005F1B33" w:rsidRPr="007A7EE7" w:rsidRDefault="005F1B33" w:rsidP="005F1B33">
      <w:pPr>
        <w:contextualSpacing/>
        <w:jc w:val="left"/>
      </w:pPr>
    </w:p>
    <w:p w:rsidR="00A41059" w:rsidRDefault="00A41059" w:rsidP="005F1B33">
      <w:pPr>
        <w:jc w:val="left"/>
        <w:sectPr w:rsidR="00A41059" w:rsidSect="00971B52">
          <w:footerReference w:type="default" r:id="rId8"/>
          <w:pgSz w:w="12240" w:h="15840"/>
          <w:pgMar w:top="1440" w:right="1440" w:bottom="1440" w:left="1440" w:header="720" w:footer="720" w:gutter="0"/>
          <w:cols w:space="720"/>
          <w:titlePg/>
          <w:docGrid w:linePitch="360"/>
        </w:sectPr>
      </w:pPr>
    </w:p>
    <w:p w:rsidR="00A41059" w:rsidRDefault="00A41059" w:rsidP="00A41059">
      <w:pPr>
        <w:spacing w:line="240" w:lineRule="auto"/>
        <w:contextualSpacing/>
        <w:jc w:val="left"/>
      </w:pPr>
      <w:r>
        <w:rPr>
          <w:rFonts w:ascii="Microsoft Sans Serif"/>
          <w:b/>
          <w:u w:val="single"/>
        </w:rPr>
        <w:lastRenderedPageBreak/>
        <w:t>C-2013-2383058 - THOMAS ALTMAN v. WEST PENN POWER COMPANY</w:t>
      </w:r>
      <w:r>
        <w:rPr>
          <w:rFonts w:ascii="Microsoft Sans Serif"/>
          <w:b/>
          <w:u w:val="single"/>
        </w:rPr>
        <w:cr/>
      </w:r>
      <w:r>
        <w:rPr>
          <w:rFonts w:ascii="Microsoft Sans Serif"/>
          <w:b/>
          <w:u w:val="single"/>
        </w:rPr>
        <w:cr/>
      </w:r>
      <w:r>
        <w:rPr>
          <w:rFonts w:ascii="Microsoft Sans Serif"/>
        </w:rPr>
        <w:t>THOMAS ALTMAN</w:t>
      </w:r>
      <w:r>
        <w:rPr>
          <w:rFonts w:ascii="Microsoft Sans Serif"/>
        </w:rPr>
        <w:cr/>
        <w:t>309 CULBERTSON AVENUE</w:t>
      </w:r>
      <w:r>
        <w:rPr>
          <w:rFonts w:ascii="Microsoft Sans Serif"/>
        </w:rPr>
        <w:cr/>
        <w:t>GREENSBURG PA  15601</w:t>
      </w:r>
      <w:r>
        <w:rPr>
          <w:rFonts w:ascii="Microsoft Sans Serif"/>
        </w:rPr>
        <w:cr/>
        <w:t>724-217-4008</w:t>
      </w:r>
      <w:r>
        <w:rPr>
          <w:rFonts w:ascii="Microsoft Sans Serif"/>
        </w:rPr>
        <w:cr/>
      </w:r>
      <w:r>
        <w:rPr>
          <w:rFonts w:ascii="Microsoft Sans Serif"/>
        </w:rPr>
        <w:cr/>
      </w:r>
      <w:bookmarkStart w:id="0" w:name="_GoBack"/>
      <w:r>
        <w:rPr>
          <w:rFonts w:ascii="Microsoft Sans Serif"/>
        </w:rPr>
        <w:t>JOHN L MUNSCH ESQUIRE</w:t>
      </w:r>
      <w:r>
        <w:rPr>
          <w:rFonts w:ascii="Microsoft Sans Serif"/>
        </w:rPr>
        <w:cr/>
        <w:t>FIRST ENERGY CORP</w:t>
      </w:r>
      <w:r>
        <w:rPr>
          <w:rFonts w:ascii="Microsoft Sans Serif"/>
        </w:rPr>
        <w:cr/>
        <w:t>800 CABIN HILL DRIVE</w:t>
      </w:r>
      <w:r>
        <w:rPr>
          <w:rFonts w:ascii="Microsoft Sans Serif"/>
        </w:rPr>
        <w:cr/>
        <w:t>GREENSBURG PA  15601</w:t>
      </w:r>
      <w:bookmarkEnd w:id="0"/>
      <w:r>
        <w:rPr>
          <w:rFonts w:ascii="Microsoft Sans Serif"/>
        </w:rPr>
        <w:cr/>
        <w:t>724-838-6210</w:t>
      </w:r>
      <w:r>
        <w:rPr>
          <w:rFonts w:ascii="Microsoft Sans Serif"/>
        </w:rPr>
        <w:cr/>
      </w:r>
      <w:r>
        <w:rPr>
          <w:rFonts w:ascii="Microsoft Sans Serif"/>
        </w:rPr>
        <w:cr/>
      </w:r>
    </w:p>
    <w:p w:rsidR="00A41059" w:rsidRDefault="00A41059" w:rsidP="00A41059">
      <w:pPr>
        <w:spacing w:line="240" w:lineRule="auto"/>
        <w:contextualSpacing/>
      </w:pPr>
    </w:p>
    <w:p w:rsidR="005F1B33" w:rsidRPr="005F1B33" w:rsidRDefault="005F1B33" w:rsidP="005F1B33">
      <w:pPr>
        <w:jc w:val="left"/>
      </w:pPr>
    </w:p>
    <w:sectPr w:rsidR="005F1B33" w:rsidRPr="005F1B3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47E" w:rsidRDefault="0074347E" w:rsidP="00971B52">
      <w:pPr>
        <w:spacing w:line="240" w:lineRule="auto"/>
      </w:pPr>
      <w:r>
        <w:separator/>
      </w:r>
    </w:p>
  </w:endnote>
  <w:endnote w:type="continuationSeparator" w:id="0">
    <w:p w:rsidR="0074347E" w:rsidRDefault="0074347E" w:rsidP="00971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653643"/>
      <w:docPartObj>
        <w:docPartGallery w:val="Page Numbers (Bottom of Page)"/>
        <w:docPartUnique/>
      </w:docPartObj>
    </w:sdtPr>
    <w:sdtEndPr>
      <w:rPr>
        <w:noProof/>
      </w:rPr>
    </w:sdtEndPr>
    <w:sdtContent>
      <w:p w:rsidR="00971B52" w:rsidRDefault="00971B52">
        <w:pPr>
          <w:pStyle w:val="Footer"/>
        </w:pPr>
        <w:r>
          <w:fldChar w:fldCharType="begin"/>
        </w:r>
        <w:r>
          <w:instrText xml:space="preserve"> PAGE   \* MERGEFORMAT </w:instrText>
        </w:r>
        <w:r>
          <w:fldChar w:fldCharType="separate"/>
        </w:r>
        <w:r w:rsidR="00A41059">
          <w:rPr>
            <w:noProof/>
          </w:rPr>
          <w:t>5</w:t>
        </w:r>
        <w:r>
          <w:rPr>
            <w:noProof/>
          </w:rPr>
          <w:fldChar w:fldCharType="end"/>
        </w:r>
      </w:p>
    </w:sdtContent>
  </w:sdt>
  <w:p w:rsidR="00971B52" w:rsidRDefault="00971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59" w:rsidRDefault="00A41059">
    <w:pPr>
      <w:pStyle w:val="Footer"/>
    </w:pPr>
  </w:p>
  <w:p w:rsidR="00A41059" w:rsidRDefault="00A41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47E" w:rsidRDefault="0074347E" w:rsidP="00971B52">
      <w:pPr>
        <w:spacing w:line="240" w:lineRule="auto"/>
      </w:pPr>
      <w:r>
        <w:separator/>
      </w:r>
    </w:p>
  </w:footnote>
  <w:footnote w:type="continuationSeparator" w:id="0">
    <w:p w:rsidR="0074347E" w:rsidRDefault="0074347E" w:rsidP="00971B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71C56"/>
    <w:multiLevelType w:val="hybridMultilevel"/>
    <w:tmpl w:val="685288CA"/>
    <w:lvl w:ilvl="0" w:tplc="5B5C6A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DC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5C10"/>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2DCD"/>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1B33"/>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47E"/>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1B52"/>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A7769"/>
    <w:rsid w:val="009B0164"/>
    <w:rsid w:val="009B2B90"/>
    <w:rsid w:val="009B4A92"/>
    <w:rsid w:val="009B4B7B"/>
    <w:rsid w:val="009B4CB6"/>
    <w:rsid w:val="009B66C0"/>
    <w:rsid w:val="009B6EEB"/>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B72"/>
    <w:rsid w:val="00A07D8F"/>
    <w:rsid w:val="00A12531"/>
    <w:rsid w:val="00A13C95"/>
    <w:rsid w:val="00A15615"/>
    <w:rsid w:val="00A1707A"/>
    <w:rsid w:val="00A215E2"/>
    <w:rsid w:val="00A2164F"/>
    <w:rsid w:val="00A23803"/>
    <w:rsid w:val="00A249F6"/>
    <w:rsid w:val="00A2509D"/>
    <w:rsid w:val="00A250AD"/>
    <w:rsid w:val="00A260AD"/>
    <w:rsid w:val="00A26704"/>
    <w:rsid w:val="00A27248"/>
    <w:rsid w:val="00A27289"/>
    <w:rsid w:val="00A321F9"/>
    <w:rsid w:val="00A34AEC"/>
    <w:rsid w:val="00A35AFD"/>
    <w:rsid w:val="00A3659B"/>
    <w:rsid w:val="00A40295"/>
    <w:rsid w:val="00A40731"/>
    <w:rsid w:val="00A40A39"/>
    <w:rsid w:val="00A4105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0E87"/>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2EBE"/>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B52"/>
    <w:pPr>
      <w:tabs>
        <w:tab w:val="center" w:pos="4680"/>
        <w:tab w:val="right" w:pos="9360"/>
      </w:tabs>
      <w:spacing w:line="240" w:lineRule="auto"/>
    </w:pPr>
  </w:style>
  <w:style w:type="character" w:customStyle="1" w:styleId="HeaderChar">
    <w:name w:val="Header Char"/>
    <w:basedOn w:val="DefaultParagraphFont"/>
    <w:link w:val="Header"/>
    <w:uiPriority w:val="99"/>
    <w:rsid w:val="00971B52"/>
  </w:style>
  <w:style w:type="paragraph" w:styleId="Footer">
    <w:name w:val="footer"/>
    <w:basedOn w:val="Normal"/>
    <w:link w:val="FooterChar"/>
    <w:uiPriority w:val="99"/>
    <w:unhideWhenUsed/>
    <w:rsid w:val="00971B52"/>
    <w:pPr>
      <w:tabs>
        <w:tab w:val="center" w:pos="4680"/>
        <w:tab w:val="right" w:pos="9360"/>
      </w:tabs>
      <w:spacing w:line="240" w:lineRule="auto"/>
    </w:pPr>
  </w:style>
  <w:style w:type="character" w:customStyle="1" w:styleId="FooterChar">
    <w:name w:val="Footer Char"/>
    <w:basedOn w:val="DefaultParagraphFont"/>
    <w:link w:val="Footer"/>
    <w:uiPriority w:val="99"/>
    <w:rsid w:val="00971B52"/>
  </w:style>
  <w:style w:type="paragraph" w:styleId="BalloonText">
    <w:name w:val="Balloon Text"/>
    <w:basedOn w:val="Normal"/>
    <w:link w:val="BalloonTextChar"/>
    <w:uiPriority w:val="99"/>
    <w:semiHidden/>
    <w:unhideWhenUsed/>
    <w:rsid w:val="00105C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B52"/>
    <w:pPr>
      <w:tabs>
        <w:tab w:val="center" w:pos="4680"/>
        <w:tab w:val="right" w:pos="9360"/>
      </w:tabs>
      <w:spacing w:line="240" w:lineRule="auto"/>
    </w:pPr>
  </w:style>
  <w:style w:type="character" w:customStyle="1" w:styleId="HeaderChar">
    <w:name w:val="Header Char"/>
    <w:basedOn w:val="DefaultParagraphFont"/>
    <w:link w:val="Header"/>
    <w:uiPriority w:val="99"/>
    <w:rsid w:val="00971B52"/>
  </w:style>
  <w:style w:type="paragraph" w:styleId="Footer">
    <w:name w:val="footer"/>
    <w:basedOn w:val="Normal"/>
    <w:link w:val="FooterChar"/>
    <w:uiPriority w:val="99"/>
    <w:unhideWhenUsed/>
    <w:rsid w:val="00971B52"/>
    <w:pPr>
      <w:tabs>
        <w:tab w:val="center" w:pos="4680"/>
        <w:tab w:val="right" w:pos="9360"/>
      </w:tabs>
      <w:spacing w:line="240" w:lineRule="auto"/>
    </w:pPr>
  </w:style>
  <w:style w:type="character" w:customStyle="1" w:styleId="FooterChar">
    <w:name w:val="Footer Char"/>
    <w:basedOn w:val="DefaultParagraphFont"/>
    <w:link w:val="Footer"/>
    <w:uiPriority w:val="99"/>
    <w:rsid w:val="00971B52"/>
  </w:style>
  <w:style w:type="paragraph" w:styleId="BalloonText">
    <w:name w:val="Balloon Text"/>
    <w:basedOn w:val="Normal"/>
    <w:link w:val="BalloonTextChar"/>
    <w:uiPriority w:val="99"/>
    <w:semiHidden/>
    <w:unhideWhenUsed/>
    <w:rsid w:val="00105C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2013-10-28T18:27:00Z</cp:lastPrinted>
  <dcterms:created xsi:type="dcterms:W3CDTF">2013-10-28T18:25:00Z</dcterms:created>
  <dcterms:modified xsi:type="dcterms:W3CDTF">2013-10-28T18:30:00Z</dcterms:modified>
</cp:coreProperties>
</file>