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495B88" w:rsidRDefault="00D04C40" w:rsidP="002533AA">
      <w:pPr>
        <w:tabs>
          <w:tab w:val="left" w:pos="-720"/>
        </w:tabs>
        <w:suppressAutoHyphens/>
      </w:pPr>
      <w:r w:rsidRPr="00D04C40">
        <w:rPr>
          <w:sz w:val="24"/>
          <w:szCs w:val="24"/>
        </w:rPr>
        <w:t xml:space="preserve">Francis </w:t>
      </w:r>
      <w:r w:rsidR="00696EB8">
        <w:rPr>
          <w:sz w:val="24"/>
          <w:szCs w:val="24"/>
        </w:rPr>
        <w:t>L</w:t>
      </w:r>
      <w:r w:rsidRPr="00D04C40">
        <w:rPr>
          <w:sz w:val="24"/>
          <w:szCs w:val="24"/>
        </w:rPr>
        <w:t xml:space="preserve">. </w:t>
      </w:r>
      <w:proofErr w:type="spellStart"/>
      <w:r w:rsidRPr="00D04C40">
        <w:rPr>
          <w:sz w:val="24"/>
          <w:szCs w:val="24"/>
        </w:rPr>
        <w:t>Naputano</w:t>
      </w:r>
      <w:proofErr w:type="spellEnd"/>
      <w:r w:rsidR="00526B2A">
        <w:tab/>
      </w:r>
      <w:r w:rsidR="00526B2A">
        <w:tab/>
      </w:r>
      <w:r w:rsidR="009A475D">
        <w:tab/>
      </w:r>
      <w:r w:rsidR="009A475D">
        <w:tab/>
      </w:r>
      <w:r w:rsidR="002533AA">
        <w:tab/>
      </w:r>
      <w:r w:rsidR="002E0985" w:rsidRPr="002E0985">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D04C40">
        <w:rPr>
          <w:spacing w:val="-3"/>
          <w:sz w:val="24"/>
          <w:szCs w:val="20"/>
        </w:rPr>
        <w:tab/>
      </w:r>
      <w:r w:rsidR="002533AA">
        <w:rPr>
          <w:spacing w:val="-3"/>
          <w:sz w:val="24"/>
          <w:szCs w:val="20"/>
        </w:rPr>
        <w:tab/>
      </w:r>
      <w:r w:rsidR="00D04C40">
        <w:rPr>
          <w:spacing w:val="-3"/>
          <w:sz w:val="24"/>
          <w:szCs w:val="20"/>
        </w:rPr>
        <w:t>:</w:t>
      </w:r>
      <w:r>
        <w:rPr>
          <w:spacing w:val="-3"/>
          <w:sz w:val="24"/>
          <w:szCs w:val="20"/>
        </w:rPr>
        <w:tab/>
      </w:r>
    </w:p>
    <w:p w:rsidR="002E0985" w:rsidRDefault="002533AA" w:rsidP="002E0985">
      <w:pPr>
        <w:tabs>
          <w:tab w:val="left" w:pos="-720"/>
        </w:tabs>
        <w:suppressAutoHyphens/>
        <w:rPr>
          <w:spacing w:val="-3"/>
          <w:sz w:val="24"/>
          <w:szCs w:val="20"/>
        </w:rPr>
      </w:pPr>
      <w:r>
        <w:rPr>
          <w:spacing w:val="-3"/>
          <w:sz w:val="24"/>
          <w:szCs w:val="20"/>
        </w:rPr>
        <w:tab/>
      </w:r>
      <w:r w:rsidR="002E0985" w:rsidRPr="002E0985">
        <w:rPr>
          <w:spacing w:val="-3"/>
          <w:sz w:val="24"/>
          <w:szCs w:val="20"/>
        </w:rPr>
        <w:t>v.</w:t>
      </w:r>
      <w:r w:rsidR="002E0985" w:rsidRPr="002E0985">
        <w:rPr>
          <w:spacing w:val="-3"/>
          <w:sz w:val="24"/>
          <w:szCs w:val="20"/>
        </w:rPr>
        <w:tab/>
      </w:r>
      <w:r w:rsidR="002E0985" w:rsidRPr="002E0985">
        <w:rPr>
          <w:spacing w:val="-3"/>
          <w:sz w:val="24"/>
          <w:szCs w:val="20"/>
        </w:rPr>
        <w:tab/>
      </w:r>
      <w:r w:rsidR="002E0985" w:rsidRPr="002E0985">
        <w:rPr>
          <w:spacing w:val="-3"/>
          <w:sz w:val="24"/>
          <w:szCs w:val="20"/>
        </w:rPr>
        <w:tab/>
      </w:r>
      <w:r>
        <w:rPr>
          <w:spacing w:val="-3"/>
          <w:sz w:val="24"/>
          <w:szCs w:val="20"/>
        </w:rPr>
        <w:tab/>
      </w:r>
      <w:r>
        <w:rPr>
          <w:spacing w:val="-3"/>
          <w:sz w:val="24"/>
          <w:szCs w:val="20"/>
        </w:rPr>
        <w:tab/>
      </w:r>
      <w:r>
        <w:rPr>
          <w:spacing w:val="-3"/>
          <w:sz w:val="24"/>
          <w:szCs w:val="20"/>
        </w:rPr>
        <w:tab/>
      </w:r>
      <w:r w:rsidR="002E0985" w:rsidRPr="002E0985">
        <w:rPr>
          <w:spacing w:val="-3"/>
          <w:sz w:val="24"/>
          <w:szCs w:val="20"/>
        </w:rPr>
        <w:t>:</w:t>
      </w:r>
      <w:r>
        <w:rPr>
          <w:spacing w:val="-3"/>
          <w:sz w:val="24"/>
          <w:szCs w:val="20"/>
        </w:rPr>
        <w:tab/>
      </w:r>
      <w:r>
        <w:rPr>
          <w:spacing w:val="-3"/>
          <w:sz w:val="24"/>
          <w:szCs w:val="20"/>
        </w:rPr>
        <w:tab/>
        <w:t>C-2013-2381755</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2533AA">
        <w:rPr>
          <w:spacing w:val="-3"/>
          <w:sz w:val="24"/>
          <w:szCs w:val="20"/>
        </w:rPr>
        <w:tab/>
      </w:r>
      <w:r>
        <w:rPr>
          <w:spacing w:val="-3"/>
          <w:sz w:val="24"/>
          <w:szCs w:val="20"/>
        </w:rPr>
        <w:t>:</w:t>
      </w:r>
    </w:p>
    <w:p w:rsidR="002533AA" w:rsidRDefault="00D04C40" w:rsidP="00CE43B4">
      <w:pPr>
        <w:tabs>
          <w:tab w:val="left" w:pos="-720"/>
        </w:tabs>
        <w:suppressAutoHyphens/>
        <w:rPr>
          <w:spacing w:val="-3"/>
          <w:sz w:val="24"/>
          <w:szCs w:val="20"/>
        </w:rPr>
      </w:pPr>
      <w:r>
        <w:rPr>
          <w:spacing w:val="-3"/>
          <w:sz w:val="24"/>
          <w:szCs w:val="20"/>
        </w:rPr>
        <w:t>West Penn Power Company</w:t>
      </w:r>
      <w:r w:rsidR="00526B2A">
        <w:rPr>
          <w:spacing w:val="-3"/>
          <w:sz w:val="24"/>
          <w:szCs w:val="20"/>
        </w:rPr>
        <w:tab/>
      </w:r>
      <w:r w:rsidR="002E0985" w:rsidRPr="002E0985">
        <w:rPr>
          <w:spacing w:val="-3"/>
          <w:sz w:val="24"/>
          <w:szCs w:val="20"/>
        </w:rPr>
        <w:tab/>
      </w:r>
      <w:r w:rsidR="002E0985" w:rsidRPr="002E0985">
        <w:rPr>
          <w:spacing w:val="-3"/>
          <w:sz w:val="24"/>
          <w:szCs w:val="20"/>
        </w:rPr>
        <w:tab/>
      </w:r>
      <w:r w:rsidR="002533AA">
        <w:rPr>
          <w:spacing w:val="-3"/>
          <w:sz w:val="24"/>
          <w:szCs w:val="20"/>
        </w:rPr>
        <w:tab/>
      </w:r>
      <w:r w:rsidR="002E0985" w:rsidRPr="002E0985">
        <w:rPr>
          <w:spacing w:val="-3"/>
          <w:sz w:val="24"/>
          <w:szCs w:val="20"/>
        </w:rPr>
        <w:t>:</w:t>
      </w:r>
    </w:p>
    <w:p w:rsidR="005E3007" w:rsidRDefault="005E3007" w:rsidP="00CE43B4">
      <w:pPr>
        <w:tabs>
          <w:tab w:val="left" w:pos="-720"/>
        </w:tabs>
        <w:suppressAutoHyphens/>
        <w:rPr>
          <w:spacing w:val="-3"/>
          <w:sz w:val="24"/>
          <w:szCs w:val="24"/>
        </w:rPr>
      </w:pPr>
      <w:r>
        <w:rPr>
          <w:spacing w:val="-3"/>
          <w:sz w:val="24"/>
          <w:szCs w:val="24"/>
        </w:rPr>
        <w:tab/>
      </w:r>
      <w:r>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Pr="00CE43B4" w:rsidRDefault="005E3007" w:rsidP="00CE43B4">
      <w:pPr>
        <w:tabs>
          <w:tab w:val="left" w:pos="-720"/>
        </w:tabs>
        <w:suppressAutoHyphens/>
        <w:rPr>
          <w:spacing w:val="-3"/>
          <w:sz w:val="24"/>
          <w:szCs w:val="24"/>
        </w:rPr>
      </w:pPr>
    </w:p>
    <w:p w:rsidR="000F1894" w:rsidRDefault="00526B2A" w:rsidP="000F1894">
      <w:pPr>
        <w:jc w:val="center"/>
        <w:rPr>
          <w:b/>
          <w:caps/>
          <w:sz w:val="24"/>
          <w:szCs w:val="24"/>
          <w:u w:val="single"/>
        </w:rPr>
      </w:pPr>
      <w:r>
        <w:rPr>
          <w:b/>
          <w:caps/>
          <w:sz w:val="24"/>
          <w:szCs w:val="24"/>
          <w:u w:val="single"/>
        </w:rPr>
        <w:t>initial decision</w:t>
      </w:r>
    </w:p>
    <w:p w:rsidR="002533AA" w:rsidRPr="00E514FA" w:rsidRDefault="002533AA"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D04C40" w:rsidRDefault="00DB1328" w:rsidP="007965B0">
      <w:pPr>
        <w:tabs>
          <w:tab w:val="left" w:pos="-1440"/>
          <w:tab w:val="left" w:pos="-720"/>
        </w:tabs>
        <w:suppressAutoHyphens/>
        <w:spacing w:line="360" w:lineRule="auto"/>
        <w:ind w:firstLine="1440"/>
        <w:rPr>
          <w:sz w:val="24"/>
          <w:szCs w:val="24"/>
          <w:u w:val="single"/>
        </w:rPr>
      </w:pPr>
      <w:r>
        <w:rPr>
          <w:sz w:val="24"/>
          <w:szCs w:val="24"/>
        </w:rPr>
        <w:t>On</w:t>
      </w:r>
      <w:r w:rsidR="00312E1C">
        <w:rPr>
          <w:sz w:val="24"/>
          <w:szCs w:val="24"/>
        </w:rPr>
        <w:t xml:space="preserve"> </w:t>
      </w:r>
      <w:r w:rsidR="00D04C40">
        <w:rPr>
          <w:sz w:val="24"/>
          <w:szCs w:val="24"/>
        </w:rPr>
        <w:t>August 19, 2013</w:t>
      </w:r>
      <w:r w:rsidR="007965B0" w:rsidRPr="007965B0">
        <w:rPr>
          <w:sz w:val="24"/>
          <w:szCs w:val="24"/>
        </w:rPr>
        <w:t xml:space="preserve">, </w:t>
      </w:r>
      <w:r w:rsidR="00D04C40">
        <w:rPr>
          <w:sz w:val="24"/>
          <w:szCs w:val="24"/>
        </w:rPr>
        <w:t>Franc</w:t>
      </w:r>
      <w:r w:rsidR="00AE36E5">
        <w:rPr>
          <w:sz w:val="24"/>
          <w:szCs w:val="24"/>
        </w:rPr>
        <w:t>i</w:t>
      </w:r>
      <w:r w:rsidR="00D04C40">
        <w:rPr>
          <w:sz w:val="24"/>
          <w:szCs w:val="24"/>
        </w:rPr>
        <w:t xml:space="preserve">s L. </w:t>
      </w:r>
      <w:proofErr w:type="spellStart"/>
      <w:r w:rsidR="00D04C40">
        <w:rPr>
          <w:sz w:val="24"/>
          <w:szCs w:val="24"/>
        </w:rPr>
        <w:t>Naputano</w:t>
      </w:r>
      <w:proofErr w:type="spellEnd"/>
      <w:r w:rsidR="007965B0" w:rsidRPr="007965B0">
        <w:rPr>
          <w:sz w:val="24"/>
          <w:szCs w:val="24"/>
        </w:rPr>
        <w:t xml:space="preserve"> (Complainant) filed a Formal Complaint with the Pennsylvania Public Utility Commission against </w:t>
      </w:r>
      <w:r w:rsidR="00D04C40">
        <w:rPr>
          <w:sz w:val="24"/>
          <w:szCs w:val="24"/>
        </w:rPr>
        <w:t>West Penn Power Company</w:t>
      </w:r>
      <w:r w:rsidR="00495B88">
        <w:rPr>
          <w:sz w:val="24"/>
          <w:szCs w:val="24"/>
        </w:rPr>
        <w:t xml:space="preserve"> (</w:t>
      </w:r>
      <w:r w:rsidR="007965B0" w:rsidRPr="007965B0">
        <w:rPr>
          <w:sz w:val="24"/>
          <w:szCs w:val="24"/>
        </w:rPr>
        <w:t xml:space="preserve">Respondent) alleging </w:t>
      </w:r>
      <w:r w:rsidR="00D04C40">
        <w:rPr>
          <w:sz w:val="24"/>
          <w:szCs w:val="24"/>
        </w:rPr>
        <w:t>that he was being charged for a smart meter that he does not have</w:t>
      </w:r>
      <w:r w:rsidR="00495B88">
        <w:rPr>
          <w:sz w:val="24"/>
          <w:szCs w:val="24"/>
        </w:rPr>
        <w:t>.</w:t>
      </w:r>
      <w:r w:rsidR="007965B0" w:rsidRPr="007965B0">
        <w:rPr>
          <w:sz w:val="24"/>
          <w:szCs w:val="24"/>
        </w:rPr>
        <w:t xml:space="preserve">  </w:t>
      </w:r>
      <w:r w:rsidR="0042193A">
        <w:rPr>
          <w:sz w:val="24"/>
          <w:szCs w:val="24"/>
        </w:rPr>
        <w:t xml:space="preserve">On </w:t>
      </w:r>
      <w:r w:rsidR="00D04C40">
        <w:rPr>
          <w:sz w:val="24"/>
          <w:szCs w:val="24"/>
        </w:rPr>
        <w:t>September 23, 2013</w:t>
      </w:r>
      <w:r w:rsidR="0042193A">
        <w:rPr>
          <w:sz w:val="24"/>
          <w:szCs w:val="24"/>
        </w:rPr>
        <w:t xml:space="preserve">, the </w:t>
      </w:r>
      <w:r w:rsidR="007965B0" w:rsidRPr="007965B0">
        <w:rPr>
          <w:sz w:val="24"/>
          <w:szCs w:val="24"/>
        </w:rPr>
        <w:t xml:space="preserve">Respondent filed an </w:t>
      </w:r>
      <w:r w:rsidR="007965B0" w:rsidRPr="007965B0">
        <w:rPr>
          <w:spacing w:val="-3"/>
          <w:sz w:val="24"/>
          <w:szCs w:val="24"/>
        </w:rPr>
        <w:t>Answer</w:t>
      </w:r>
      <w:r w:rsidR="00D04C40">
        <w:rPr>
          <w:spacing w:val="-3"/>
          <w:sz w:val="24"/>
          <w:szCs w:val="24"/>
        </w:rPr>
        <w:t>, New Matter, and Preliminary Objections</w:t>
      </w:r>
      <w:r w:rsidR="0042193A">
        <w:rPr>
          <w:spacing w:val="-3"/>
          <w:sz w:val="24"/>
          <w:szCs w:val="24"/>
        </w:rPr>
        <w:t>.</w:t>
      </w:r>
      <w:r w:rsidR="00D04C40">
        <w:rPr>
          <w:spacing w:val="-3"/>
          <w:sz w:val="24"/>
          <w:szCs w:val="24"/>
        </w:rPr>
        <w:t xml:space="preserve">  No responses to the New Matter or the Preliminary Objections were filed.  The time period for a response to the New Matter and the Preliminary Objections has passed and the Preliminary Objections are ready for decision.</w:t>
      </w:r>
    </w:p>
    <w:p w:rsidR="00D04C40" w:rsidRDefault="00D04C40" w:rsidP="00D04C40">
      <w:pPr>
        <w:tabs>
          <w:tab w:val="left" w:pos="2160"/>
        </w:tabs>
        <w:spacing w:line="360" w:lineRule="auto"/>
        <w:jc w:val="center"/>
        <w:rPr>
          <w:sz w:val="24"/>
          <w:szCs w:val="24"/>
          <w:u w:val="single"/>
        </w:rPr>
      </w:pPr>
    </w:p>
    <w:p w:rsidR="007965B0" w:rsidRDefault="00D04C40" w:rsidP="00D04C40">
      <w:pPr>
        <w:tabs>
          <w:tab w:val="left" w:pos="2160"/>
        </w:tabs>
        <w:spacing w:line="360" w:lineRule="auto"/>
        <w:jc w:val="center"/>
        <w:rPr>
          <w:sz w:val="24"/>
          <w:szCs w:val="24"/>
          <w:u w:val="single"/>
        </w:rPr>
      </w:pPr>
      <w:r w:rsidRPr="00D04C40">
        <w:rPr>
          <w:sz w:val="24"/>
          <w:szCs w:val="24"/>
          <w:u w:val="single"/>
        </w:rPr>
        <w:t>FINDINGS OF FACT</w:t>
      </w:r>
    </w:p>
    <w:p w:rsidR="00D04C40" w:rsidRPr="00D04C40" w:rsidRDefault="00D04C40" w:rsidP="00D04C40">
      <w:pPr>
        <w:tabs>
          <w:tab w:val="left" w:pos="2160"/>
        </w:tabs>
        <w:spacing w:line="360" w:lineRule="auto"/>
        <w:jc w:val="center"/>
        <w:rPr>
          <w:sz w:val="24"/>
          <w:szCs w:val="24"/>
        </w:rPr>
      </w:pPr>
    </w:p>
    <w:p w:rsidR="00D04C40" w:rsidRDefault="00D04C40" w:rsidP="00D04C40">
      <w:pPr>
        <w:pStyle w:val="ListParagraph"/>
        <w:numPr>
          <w:ilvl w:val="0"/>
          <w:numId w:val="21"/>
        </w:numPr>
        <w:spacing w:line="360" w:lineRule="auto"/>
        <w:ind w:left="0" w:firstLine="1440"/>
        <w:rPr>
          <w:sz w:val="24"/>
          <w:szCs w:val="24"/>
        </w:rPr>
      </w:pPr>
      <w:r w:rsidRPr="00D04C40">
        <w:rPr>
          <w:sz w:val="24"/>
          <w:szCs w:val="24"/>
        </w:rPr>
        <w:t>The Complainant is Franc</w:t>
      </w:r>
      <w:r w:rsidR="00AE36E5">
        <w:rPr>
          <w:sz w:val="24"/>
          <w:szCs w:val="24"/>
        </w:rPr>
        <w:t>i</w:t>
      </w:r>
      <w:r w:rsidRPr="00D04C40">
        <w:rPr>
          <w:sz w:val="24"/>
          <w:szCs w:val="24"/>
        </w:rPr>
        <w:t xml:space="preserve">s L. </w:t>
      </w:r>
      <w:proofErr w:type="spellStart"/>
      <w:r w:rsidRPr="00D04C40">
        <w:rPr>
          <w:sz w:val="24"/>
          <w:szCs w:val="24"/>
        </w:rPr>
        <w:t>Naputano</w:t>
      </w:r>
      <w:proofErr w:type="spellEnd"/>
      <w:r w:rsidRPr="00D04C40">
        <w:rPr>
          <w:sz w:val="24"/>
          <w:szCs w:val="24"/>
        </w:rPr>
        <w:t>.</w:t>
      </w:r>
    </w:p>
    <w:p w:rsidR="00D04C40" w:rsidRDefault="00D04C40" w:rsidP="00D04C40">
      <w:pPr>
        <w:pStyle w:val="ListParagraph"/>
        <w:spacing w:line="360" w:lineRule="auto"/>
        <w:ind w:left="1440"/>
        <w:rPr>
          <w:sz w:val="24"/>
          <w:szCs w:val="24"/>
        </w:rPr>
      </w:pPr>
    </w:p>
    <w:p w:rsidR="00D04C40" w:rsidRDefault="00D04C40" w:rsidP="00D04C40">
      <w:pPr>
        <w:pStyle w:val="ListParagraph"/>
        <w:numPr>
          <w:ilvl w:val="0"/>
          <w:numId w:val="21"/>
        </w:numPr>
        <w:spacing w:line="360" w:lineRule="auto"/>
        <w:ind w:left="0" w:firstLine="1440"/>
        <w:rPr>
          <w:sz w:val="24"/>
          <w:szCs w:val="24"/>
        </w:rPr>
      </w:pPr>
      <w:r>
        <w:rPr>
          <w:sz w:val="24"/>
          <w:szCs w:val="24"/>
        </w:rPr>
        <w:t>The Respondent is West Penn Power Company a jurisdictional public utility in Pennsylvania.</w:t>
      </w:r>
    </w:p>
    <w:p w:rsidR="00D04C40" w:rsidRPr="00D04C40" w:rsidRDefault="00D04C40" w:rsidP="00D04C40">
      <w:pPr>
        <w:pStyle w:val="ListParagraph"/>
        <w:rPr>
          <w:sz w:val="24"/>
          <w:szCs w:val="24"/>
        </w:rPr>
      </w:pPr>
    </w:p>
    <w:p w:rsidR="00D04C40" w:rsidRDefault="00D04C40" w:rsidP="00D04C40">
      <w:pPr>
        <w:pStyle w:val="ListParagraph"/>
        <w:numPr>
          <w:ilvl w:val="0"/>
          <w:numId w:val="21"/>
        </w:numPr>
        <w:spacing w:line="360" w:lineRule="auto"/>
        <w:ind w:left="0" w:firstLine="1440"/>
        <w:rPr>
          <w:sz w:val="24"/>
          <w:szCs w:val="24"/>
        </w:rPr>
      </w:pPr>
      <w:r>
        <w:rPr>
          <w:sz w:val="24"/>
          <w:szCs w:val="24"/>
        </w:rPr>
        <w:lastRenderedPageBreak/>
        <w:t>On</w:t>
      </w:r>
      <w:r w:rsidR="00F73493">
        <w:rPr>
          <w:sz w:val="24"/>
          <w:szCs w:val="24"/>
        </w:rPr>
        <w:t xml:space="preserve"> August 19, 2013, Complainant filed his Formal Complaint with the Commission against the Respondent.</w:t>
      </w:r>
    </w:p>
    <w:p w:rsidR="00F73493" w:rsidRPr="00F73493" w:rsidRDefault="00F73493" w:rsidP="00F73493">
      <w:pPr>
        <w:pStyle w:val="ListParagraph"/>
        <w:rPr>
          <w:sz w:val="24"/>
          <w:szCs w:val="24"/>
        </w:rPr>
      </w:pPr>
    </w:p>
    <w:p w:rsidR="00F73493" w:rsidRDefault="00F73493" w:rsidP="00D04C40">
      <w:pPr>
        <w:pStyle w:val="ListParagraph"/>
        <w:numPr>
          <w:ilvl w:val="0"/>
          <w:numId w:val="21"/>
        </w:numPr>
        <w:spacing w:line="360" w:lineRule="auto"/>
        <w:ind w:left="0" w:firstLine="1440"/>
        <w:rPr>
          <w:sz w:val="24"/>
          <w:szCs w:val="24"/>
        </w:rPr>
      </w:pPr>
      <w:r>
        <w:rPr>
          <w:sz w:val="24"/>
          <w:szCs w:val="24"/>
        </w:rPr>
        <w:t>On September 23, 2013, the Respondent filed its Answer, New Matter and Preliminary Objections.</w:t>
      </w:r>
    </w:p>
    <w:p w:rsidR="00F73493" w:rsidRPr="00F73493" w:rsidRDefault="00F73493" w:rsidP="00F73493">
      <w:pPr>
        <w:pStyle w:val="ListParagraph"/>
        <w:rPr>
          <w:sz w:val="24"/>
          <w:szCs w:val="24"/>
        </w:rPr>
      </w:pPr>
    </w:p>
    <w:p w:rsidR="00F73493" w:rsidRDefault="00F73493" w:rsidP="00D04C40">
      <w:pPr>
        <w:pStyle w:val="ListParagraph"/>
        <w:numPr>
          <w:ilvl w:val="0"/>
          <w:numId w:val="21"/>
        </w:numPr>
        <w:spacing w:line="360" w:lineRule="auto"/>
        <w:ind w:left="0" w:firstLine="1440"/>
        <w:rPr>
          <w:sz w:val="24"/>
          <w:szCs w:val="24"/>
        </w:rPr>
      </w:pPr>
      <w:r>
        <w:rPr>
          <w:sz w:val="24"/>
          <w:szCs w:val="24"/>
        </w:rPr>
        <w:t>No respons</w:t>
      </w:r>
      <w:r w:rsidR="00696EB8">
        <w:rPr>
          <w:sz w:val="24"/>
          <w:szCs w:val="24"/>
        </w:rPr>
        <w:t>e was filed to the New Matter or</w:t>
      </w:r>
      <w:r>
        <w:rPr>
          <w:sz w:val="24"/>
          <w:szCs w:val="24"/>
        </w:rPr>
        <w:t xml:space="preserve"> the Preliminary Objections.</w:t>
      </w:r>
    </w:p>
    <w:p w:rsidR="00D04C40" w:rsidRPr="00D04C40" w:rsidRDefault="00D04C40" w:rsidP="00D04C40">
      <w:pPr>
        <w:pStyle w:val="ListParagraph"/>
        <w:spacing w:line="360" w:lineRule="auto"/>
        <w:ind w:left="1440"/>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D04C40" w:rsidRDefault="00D04C40" w:rsidP="00DE2348">
      <w:pPr>
        <w:spacing w:line="360" w:lineRule="auto"/>
        <w:jc w:val="center"/>
        <w:rPr>
          <w:sz w:val="24"/>
          <w:szCs w:val="24"/>
          <w:u w:val="single"/>
        </w:rPr>
      </w:pPr>
    </w:p>
    <w:p w:rsidR="00D04C40" w:rsidRDefault="00D04C40" w:rsidP="00D04C40">
      <w:pPr>
        <w:spacing w:line="360" w:lineRule="auto"/>
        <w:ind w:firstLine="1440"/>
        <w:rPr>
          <w:sz w:val="24"/>
          <w:szCs w:val="24"/>
        </w:rPr>
      </w:pPr>
      <w:r>
        <w:rPr>
          <w:sz w:val="24"/>
          <w:szCs w:val="24"/>
        </w:rPr>
        <w:t>The Commission’s regulations make preliminary objections available to parties and allow for those objections to be filed in response to any pleading except a motion or prior preliminary objections.  A party filing preliminary objections must include a notice to plead, must state specifically the legal and factual grounds relied upon and limit the objections to the following:</w:t>
      </w:r>
    </w:p>
    <w:p w:rsidR="00D04C40" w:rsidRDefault="00D04C40" w:rsidP="005D7C0B">
      <w:pPr>
        <w:numPr>
          <w:ilvl w:val="0"/>
          <w:numId w:val="22"/>
        </w:numPr>
        <w:ind w:left="2160"/>
        <w:rPr>
          <w:sz w:val="24"/>
          <w:szCs w:val="24"/>
        </w:rPr>
      </w:pPr>
      <w:r>
        <w:rPr>
          <w:sz w:val="24"/>
          <w:szCs w:val="24"/>
        </w:rPr>
        <w:t>Lack of Commission jurisdiction or improper service of the pleading initiating the proceeding.</w:t>
      </w:r>
    </w:p>
    <w:p w:rsidR="005D7C0B" w:rsidRDefault="005D7C0B" w:rsidP="005D7C0B">
      <w:pPr>
        <w:ind w:left="2160"/>
        <w:rPr>
          <w:sz w:val="24"/>
          <w:szCs w:val="24"/>
        </w:rPr>
      </w:pPr>
    </w:p>
    <w:p w:rsidR="00D04C40" w:rsidRDefault="00D04C40" w:rsidP="005D7C0B">
      <w:pPr>
        <w:numPr>
          <w:ilvl w:val="0"/>
          <w:numId w:val="22"/>
        </w:numPr>
        <w:tabs>
          <w:tab w:val="clear" w:pos="1440"/>
          <w:tab w:val="num" w:pos="2160"/>
        </w:tabs>
        <w:ind w:firstLine="0"/>
        <w:rPr>
          <w:sz w:val="24"/>
          <w:szCs w:val="24"/>
        </w:rPr>
      </w:pPr>
      <w:r>
        <w:rPr>
          <w:sz w:val="24"/>
          <w:szCs w:val="24"/>
        </w:rPr>
        <w:t xml:space="preserve">Failure of a pleading to conform to Chapter 5, Title 52 of the Pennsylvania </w:t>
      </w:r>
      <w:r w:rsidR="005D7C0B">
        <w:rPr>
          <w:sz w:val="24"/>
          <w:szCs w:val="24"/>
        </w:rPr>
        <w:tab/>
      </w:r>
      <w:r>
        <w:rPr>
          <w:sz w:val="24"/>
          <w:szCs w:val="24"/>
        </w:rPr>
        <w:t xml:space="preserve">Code, or </w:t>
      </w:r>
      <w:r w:rsidR="00E32490">
        <w:rPr>
          <w:sz w:val="24"/>
          <w:szCs w:val="24"/>
        </w:rPr>
        <w:t xml:space="preserve">the inclusion of </w:t>
      </w:r>
      <w:r>
        <w:rPr>
          <w:sz w:val="24"/>
          <w:szCs w:val="24"/>
        </w:rPr>
        <w:t>scandalous or impertinent matter.</w:t>
      </w:r>
    </w:p>
    <w:p w:rsidR="005D7C0B" w:rsidRDefault="005D7C0B" w:rsidP="005D7C0B">
      <w:pPr>
        <w:ind w:left="1440"/>
        <w:rPr>
          <w:sz w:val="24"/>
          <w:szCs w:val="24"/>
        </w:rPr>
      </w:pPr>
    </w:p>
    <w:p w:rsidR="005D7C0B" w:rsidRDefault="00D04C40" w:rsidP="005D7C0B">
      <w:pPr>
        <w:numPr>
          <w:ilvl w:val="0"/>
          <w:numId w:val="22"/>
        </w:numPr>
        <w:ind w:firstLine="0"/>
        <w:rPr>
          <w:sz w:val="24"/>
          <w:szCs w:val="24"/>
        </w:rPr>
      </w:pPr>
      <w:r>
        <w:rPr>
          <w:sz w:val="24"/>
          <w:szCs w:val="24"/>
        </w:rPr>
        <w:t>Insufficient specificity of a pleading.</w:t>
      </w:r>
    </w:p>
    <w:p w:rsidR="005D7C0B" w:rsidRPr="005D7C0B" w:rsidRDefault="005D7C0B" w:rsidP="005D7C0B">
      <w:pPr>
        <w:ind w:left="1440"/>
        <w:rPr>
          <w:sz w:val="24"/>
          <w:szCs w:val="24"/>
        </w:rPr>
      </w:pPr>
    </w:p>
    <w:p w:rsidR="00D04C40" w:rsidRDefault="00D04C40" w:rsidP="005D7C0B">
      <w:pPr>
        <w:numPr>
          <w:ilvl w:val="0"/>
          <w:numId w:val="22"/>
        </w:numPr>
        <w:ind w:firstLine="0"/>
        <w:rPr>
          <w:sz w:val="24"/>
          <w:szCs w:val="24"/>
        </w:rPr>
      </w:pPr>
      <w:r>
        <w:rPr>
          <w:sz w:val="24"/>
          <w:szCs w:val="24"/>
        </w:rPr>
        <w:t>Legal insufficiency of a pleading.</w:t>
      </w:r>
    </w:p>
    <w:p w:rsidR="005D7C0B" w:rsidRDefault="005D7C0B" w:rsidP="005D7C0B">
      <w:pPr>
        <w:ind w:left="1440"/>
        <w:rPr>
          <w:sz w:val="24"/>
          <w:szCs w:val="24"/>
        </w:rPr>
      </w:pPr>
    </w:p>
    <w:p w:rsidR="00D04C40" w:rsidRDefault="00D04C40" w:rsidP="005D7C0B">
      <w:pPr>
        <w:numPr>
          <w:ilvl w:val="0"/>
          <w:numId w:val="22"/>
        </w:numPr>
        <w:tabs>
          <w:tab w:val="clear" w:pos="1440"/>
          <w:tab w:val="num" w:pos="2160"/>
        </w:tabs>
        <w:ind w:left="2160"/>
        <w:rPr>
          <w:sz w:val="24"/>
          <w:szCs w:val="24"/>
        </w:rPr>
      </w:pPr>
      <w:r>
        <w:rPr>
          <w:sz w:val="24"/>
          <w:szCs w:val="24"/>
        </w:rPr>
        <w:t xml:space="preserve">Lack of capacity to sue, </w:t>
      </w:r>
      <w:proofErr w:type="spellStart"/>
      <w:r>
        <w:rPr>
          <w:sz w:val="24"/>
          <w:szCs w:val="24"/>
        </w:rPr>
        <w:t>nonjoinder</w:t>
      </w:r>
      <w:proofErr w:type="spellEnd"/>
      <w:r>
        <w:rPr>
          <w:sz w:val="24"/>
          <w:szCs w:val="24"/>
        </w:rPr>
        <w:t xml:space="preserve"> of a necessary party or misjoinder of a cause of action.  </w:t>
      </w:r>
    </w:p>
    <w:p w:rsidR="005D7C0B" w:rsidRDefault="005D7C0B" w:rsidP="005D7C0B">
      <w:pPr>
        <w:ind w:left="2160"/>
        <w:rPr>
          <w:sz w:val="24"/>
          <w:szCs w:val="24"/>
        </w:rPr>
      </w:pPr>
    </w:p>
    <w:p w:rsidR="00D04C40" w:rsidRDefault="00D04C40" w:rsidP="00C11864">
      <w:pPr>
        <w:numPr>
          <w:ilvl w:val="0"/>
          <w:numId w:val="22"/>
        </w:numPr>
        <w:tabs>
          <w:tab w:val="clear" w:pos="1440"/>
        </w:tabs>
        <w:ind w:left="2160"/>
        <w:rPr>
          <w:sz w:val="24"/>
          <w:szCs w:val="24"/>
        </w:rPr>
      </w:pPr>
      <w:r>
        <w:rPr>
          <w:sz w:val="24"/>
          <w:szCs w:val="24"/>
        </w:rPr>
        <w:t>Pendency of a prior proceeding or agreement for alternative dispute resolution.</w:t>
      </w:r>
    </w:p>
    <w:p w:rsidR="005D7C0B" w:rsidRDefault="005D7C0B" w:rsidP="005D7C0B">
      <w:pPr>
        <w:ind w:left="1440"/>
        <w:rPr>
          <w:sz w:val="24"/>
          <w:szCs w:val="24"/>
        </w:rPr>
      </w:pPr>
    </w:p>
    <w:p w:rsidR="00D04C40" w:rsidRDefault="00D04C40" w:rsidP="00D04C40">
      <w:pPr>
        <w:spacing w:line="360" w:lineRule="auto"/>
        <w:rPr>
          <w:sz w:val="24"/>
          <w:szCs w:val="24"/>
        </w:rPr>
      </w:pPr>
      <w:proofErr w:type="gramStart"/>
      <w:r>
        <w:rPr>
          <w:sz w:val="24"/>
          <w:szCs w:val="24"/>
        </w:rPr>
        <w:t xml:space="preserve">52 </w:t>
      </w:r>
      <w:proofErr w:type="spellStart"/>
      <w:r>
        <w:rPr>
          <w:sz w:val="24"/>
          <w:szCs w:val="24"/>
        </w:rPr>
        <w:t>Pa.Code</w:t>
      </w:r>
      <w:proofErr w:type="spellEnd"/>
      <w:r>
        <w:rPr>
          <w:sz w:val="24"/>
          <w:szCs w:val="24"/>
        </w:rPr>
        <w:t xml:space="preserve"> §</w:t>
      </w:r>
      <w:r w:rsidR="00696EB8">
        <w:rPr>
          <w:sz w:val="24"/>
          <w:szCs w:val="24"/>
        </w:rPr>
        <w:t xml:space="preserve"> </w:t>
      </w:r>
      <w:r>
        <w:rPr>
          <w:sz w:val="24"/>
          <w:szCs w:val="24"/>
        </w:rPr>
        <w:t>5.101(a).</w:t>
      </w:r>
      <w:proofErr w:type="gramEnd"/>
    </w:p>
    <w:p w:rsidR="00D04C40" w:rsidRDefault="00D04C40" w:rsidP="00D04C40">
      <w:pPr>
        <w:spacing w:line="360" w:lineRule="auto"/>
        <w:rPr>
          <w:sz w:val="24"/>
          <w:szCs w:val="24"/>
        </w:rPr>
      </w:pPr>
    </w:p>
    <w:p w:rsidR="00D04C40" w:rsidRDefault="00D04C40" w:rsidP="00D04C40">
      <w:pPr>
        <w:spacing w:line="360" w:lineRule="auto"/>
        <w:rPr>
          <w:sz w:val="24"/>
          <w:szCs w:val="24"/>
        </w:rPr>
      </w:pPr>
      <w:r>
        <w:rPr>
          <w:sz w:val="24"/>
          <w:szCs w:val="24"/>
        </w:rPr>
        <w:tab/>
      </w:r>
      <w:r>
        <w:rPr>
          <w:sz w:val="24"/>
          <w:szCs w:val="24"/>
        </w:rPr>
        <w:tab/>
        <w:t>The party against whom preliminary objections are filed may file an answer to the preliminary objections but the answer must be filed within ten</w:t>
      </w:r>
      <w:r w:rsidR="00B65401">
        <w:rPr>
          <w:sz w:val="24"/>
          <w:szCs w:val="24"/>
        </w:rPr>
        <w:t xml:space="preserve"> </w:t>
      </w:r>
      <w:r>
        <w:rPr>
          <w:sz w:val="24"/>
          <w:szCs w:val="24"/>
        </w:rPr>
        <w:t xml:space="preserve">days of the date of service (of the preliminary objections).  52 </w:t>
      </w:r>
      <w:proofErr w:type="spellStart"/>
      <w:r>
        <w:rPr>
          <w:sz w:val="24"/>
          <w:szCs w:val="24"/>
        </w:rPr>
        <w:t>Pa.Code</w:t>
      </w:r>
      <w:proofErr w:type="spellEnd"/>
      <w:r>
        <w:rPr>
          <w:sz w:val="24"/>
          <w:szCs w:val="24"/>
        </w:rPr>
        <w:t xml:space="preserve"> §</w:t>
      </w:r>
      <w:r w:rsidR="00696EB8">
        <w:rPr>
          <w:sz w:val="24"/>
          <w:szCs w:val="24"/>
        </w:rPr>
        <w:t xml:space="preserve"> </w:t>
      </w:r>
      <w:r>
        <w:rPr>
          <w:sz w:val="24"/>
          <w:szCs w:val="24"/>
        </w:rPr>
        <w:t>5.101(f</w:t>
      </w:r>
      <w:proofErr w:type="gramStart"/>
      <w:r>
        <w:rPr>
          <w:sz w:val="24"/>
          <w:szCs w:val="24"/>
        </w:rPr>
        <w:t>)(</w:t>
      </w:r>
      <w:proofErr w:type="gramEnd"/>
      <w:r>
        <w:rPr>
          <w:sz w:val="24"/>
          <w:szCs w:val="24"/>
        </w:rPr>
        <w:t>1).</w:t>
      </w:r>
    </w:p>
    <w:p w:rsidR="00D04C40" w:rsidRDefault="00D04C40" w:rsidP="00D04C40">
      <w:pPr>
        <w:spacing w:line="360" w:lineRule="auto"/>
        <w:rPr>
          <w:sz w:val="24"/>
          <w:szCs w:val="24"/>
        </w:rPr>
      </w:pPr>
    </w:p>
    <w:p w:rsidR="00D04C40" w:rsidRDefault="00D04C40" w:rsidP="00D04C40">
      <w:pPr>
        <w:spacing w:line="360" w:lineRule="auto"/>
        <w:rPr>
          <w:sz w:val="24"/>
          <w:szCs w:val="24"/>
        </w:rPr>
      </w:pPr>
      <w:r>
        <w:rPr>
          <w:sz w:val="24"/>
          <w:szCs w:val="24"/>
        </w:rPr>
        <w:lastRenderedPageBreak/>
        <w:tab/>
      </w:r>
      <w:r>
        <w:rPr>
          <w:sz w:val="24"/>
          <w:szCs w:val="24"/>
        </w:rPr>
        <w:tab/>
        <w:t xml:space="preserve">The presiding officer will decide the preliminary objections within thirty days of the date the preliminary objection is assigned to the presiding officer.  </w:t>
      </w:r>
      <w:proofErr w:type="gramStart"/>
      <w:r>
        <w:rPr>
          <w:sz w:val="24"/>
          <w:szCs w:val="24"/>
        </w:rPr>
        <w:t xml:space="preserve">52 </w:t>
      </w:r>
      <w:proofErr w:type="spellStart"/>
      <w:r>
        <w:rPr>
          <w:sz w:val="24"/>
          <w:szCs w:val="24"/>
        </w:rPr>
        <w:t>Pa.Code</w:t>
      </w:r>
      <w:proofErr w:type="spellEnd"/>
      <w:r>
        <w:rPr>
          <w:sz w:val="24"/>
          <w:szCs w:val="24"/>
        </w:rPr>
        <w:t xml:space="preserve"> §</w:t>
      </w:r>
      <w:r w:rsidR="00696EB8">
        <w:rPr>
          <w:sz w:val="24"/>
          <w:szCs w:val="24"/>
        </w:rPr>
        <w:t xml:space="preserve"> </w:t>
      </w:r>
      <w:r>
        <w:rPr>
          <w:sz w:val="24"/>
          <w:szCs w:val="24"/>
        </w:rPr>
        <w:t>5.101(g).</w:t>
      </w:r>
      <w:proofErr w:type="gramEnd"/>
    </w:p>
    <w:p w:rsidR="00D04C40" w:rsidRDefault="00D04C40" w:rsidP="00D04C40">
      <w:pPr>
        <w:spacing w:line="360" w:lineRule="auto"/>
        <w:rPr>
          <w:sz w:val="24"/>
          <w:szCs w:val="24"/>
        </w:rPr>
      </w:pPr>
    </w:p>
    <w:p w:rsidR="00D04C40" w:rsidRDefault="00D04C40" w:rsidP="00D04C40">
      <w:pPr>
        <w:spacing w:line="360" w:lineRule="auto"/>
        <w:rPr>
          <w:sz w:val="24"/>
          <w:szCs w:val="24"/>
        </w:rPr>
      </w:pPr>
      <w:r>
        <w:rPr>
          <w:sz w:val="24"/>
          <w:szCs w:val="24"/>
        </w:rPr>
        <w:tab/>
      </w:r>
      <w:r>
        <w:rPr>
          <w:sz w:val="24"/>
          <w:szCs w:val="24"/>
        </w:rPr>
        <w:tab/>
      </w:r>
      <w:r w:rsidRPr="00097155">
        <w:rPr>
          <w:sz w:val="24"/>
          <w:szCs w:val="24"/>
        </w:rPr>
        <w:t xml:space="preserve">The Commission has the discretion to “dismiss any complaint without hearing if, in its opinion, a hearing is not necessary in the </w:t>
      </w:r>
      <w:r w:rsidR="00696EB8">
        <w:rPr>
          <w:sz w:val="24"/>
          <w:szCs w:val="24"/>
        </w:rPr>
        <w:t xml:space="preserve">public interest.”  </w:t>
      </w:r>
      <w:proofErr w:type="gramStart"/>
      <w:r w:rsidR="00696EB8">
        <w:rPr>
          <w:sz w:val="24"/>
          <w:szCs w:val="24"/>
        </w:rPr>
        <w:t xml:space="preserve">66 </w:t>
      </w:r>
      <w:proofErr w:type="spellStart"/>
      <w:r w:rsidR="00696EB8">
        <w:rPr>
          <w:sz w:val="24"/>
          <w:szCs w:val="24"/>
        </w:rPr>
        <w:t>Pa.C.S</w:t>
      </w:r>
      <w:proofErr w:type="spellEnd"/>
      <w:r w:rsidR="00696EB8">
        <w:rPr>
          <w:sz w:val="24"/>
          <w:szCs w:val="24"/>
        </w:rPr>
        <w:t>.</w:t>
      </w:r>
      <w:proofErr w:type="gramEnd"/>
      <w:r w:rsidRPr="00097155">
        <w:rPr>
          <w:sz w:val="24"/>
          <w:szCs w:val="24"/>
        </w:rPr>
        <w:t xml:space="preserve"> §</w:t>
      </w:r>
      <w:r w:rsidR="00696EB8">
        <w:rPr>
          <w:sz w:val="24"/>
          <w:szCs w:val="24"/>
        </w:rPr>
        <w:t xml:space="preserve"> </w:t>
      </w:r>
      <w:r w:rsidRPr="00097155">
        <w:rPr>
          <w:sz w:val="24"/>
          <w:szCs w:val="24"/>
        </w:rPr>
        <w:t xml:space="preserve">703(b).  A hearing is necessary only to resolve disputed questions of fact, and when the question presented is solely one of law, the Commission need not hold a hearing. </w:t>
      </w:r>
      <w:r w:rsidR="007520A3">
        <w:rPr>
          <w:sz w:val="24"/>
          <w:szCs w:val="24"/>
        </w:rPr>
        <w:t xml:space="preserve"> </w:t>
      </w:r>
      <w:proofErr w:type="gramStart"/>
      <w:r w:rsidRPr="00E32490">
        <w:rPr>
          <w:i/>
          <w:sz w:val="24"/>
          <w:szCs w:val="24"/>
        </w:rPr>
        <w:t>Lehigh Valley Power Committee v. P</w:t>
      </w:r>
      <w:r w:rsidR="00876A2B">
        <w:rPr>
          <w:i/>
          <w:sz w:val="24"/>
          <w:szCs w:val="24"/>
        </w:rPr>
        <w:t>a</w:t>
      </w:r>
      <w:r w:rsidR="002E6A66">
        <w:rPr>
          <w:i/>
          <w:sz w:val="24"/>
          <w:szCs w:val="24"/>
        </w:rPr>
        <w:t>.</w:t>
      </w:r>
      <w:r w:rsidRPr="00E32490">
        <w:rPr>
          <w:i/>
          <w:sz w:val="24"/>
          <w:szCs w:val="24"/>
        </w:rPr>
        <w:t xml:space="preserve"> P</w:t>
      </w:r>
      <w:r w:rsidR="00AF5BFF">
        <w:rPr>
          <w:i/>
          <w:sz w:val="24"/>
          <w:szCs w:val="24"/>
        </w:rPr>
        <w:t>ub.</w:t>
      </w:r>
      <w:proofErr w:type="gramEnd"/>
      <w:r w:rsidR="00AF5BFF">
        <w:rPr>
          <w:i/>
          <w:sz w:val="24"/>
          <w:szCs w:val="24"/>
        </w:rPr>
        <w:t xml:space="preserve"> Util. </w:t>
      </w:r>
      <w:proofErr w:type="spellStart"/>
      <w:r w:rsidR="00AF5BFF">
        <w:rPr>
          <w:i/>
          <w:sz w:val="24"/>
          <w:szCs w:val="24"/>
        </w:rPr>
        <w:t>Comm’n</w:t>
      </w:r>
      <w:proofErr w:type="spellEnd"/>
      <w:r w:rsidRPr="00097155">
        <w:rPr>
          <w:sz w:val="24"/>
          <w:szCs w:val="24"/>
        </w:rPr>
        <w:t xml:space="preserve">, 128 Pa. </w:t>
      </w:r>
      <w:proofErr w:type="spellStart"/>
      <w:r w:rsidRPr="00097155">
        <w:rPr>
          <w:sz w:val="24"/>
          <w:szCs w:val="24"/>
        </w:rPr>
        <w:t>Commw</w:t>
      </w:r>
      <w:proofErr w:type="spellEnd"/>
      <w:r w:rsidRPr="00097155">
        <w:rPr>
          <w:sz w:val="24"/>
          <w:szCs w:val="24"/>
        </w:rPr>
        <w:t xml:space="preserve">. </w:t>
      </w:r>
      <w:proofErr w:type="gramStart"/>
      <w:r w:rsidRPr="00097155">
        <w:rPr>
          <w:sz w:val="24"/>
          <w:szCs w:val="24"/>
        </w:rPr>
        <w:t>259, 563 A.2d 548 (1989).</w:t>
      </w:r>
      <w:proofErr w:type="gramEnd"/>
      <w:r w:rsidRPr="00097155">
        <w:rPr>
          <w:sz w:val="24"/>
          <w:szCs w:val="24"/>
        </w:rPr>
        <w:t xml:space="preserve">  </w:t>
      </w:r>
      <w:proofErr w:type="gramStart"/>
      <w:r w:rsidRPr="00097155">
        <w:rPr>
          <w:sz w:val="24"/>
          <w:szCs w:val="24"/>
        </w:rPr>
        <w:t xml:space="preserve">Also </w:t>
      </w:r>
      <w:proofErr w:type="spellStart"/>
      <w:r w:rsidRPr="00E32490">
        <w:rPr>
          <w:i/>
          <w:sz w:val="24"/>
          <w:szCs w:val="24"/>
        </w:rPr>
        <w:t>Edan</w:t>
      </w:r>
      <w:proofErr w:type="spellEnd"/>
      <w:r w:rsidRPr="00E32490">
        <w:rPr>
          <w:i/>
          <w:sz w:val="24"/>
          <w:szCs w:val="24"/>
        </w:rPr>
        <w:t xml:space="preserve"> Transportation Corp. v. P</w:t>
      </w:r>
      <w:r w:rsidR="00876A2B">
        <w:rPr>
          <w:i/>
          <w:sz w:val="24"/>
          <w:szCs w:val="24"/>
        </w:rPr>
        <w:t>a.</w:t>
      </w:r>
      <w:r w:rsidRPr="00E32490">
        <w:rPr>
          <w:i/>
          <w:sz w:val="24"/>
          <w:szCs w:val="24"/>
        </w:rPr>
        <w:t xml:space="preserve"> P</w:t>
      </w:r>
      <w:r w:rsidR="00AF5BFF">
        <w:rPr>
          <w:i/>
          <w:sz w:val="24"/>
          <w:szCs w:val="24"/>
        </w:rPr>
        <w:t>ub.</w:t>
      </w:r>
      <w:proofErr w:type="gramEnd"/>
      <w:r w:rsidR="00AF5BFF">
        <w:rPr>
          <w:i/>
          <w:sz w:val="24"/>
          <w:szCs w:val="24"/>
        </w:rPr>
        <w:t xml:space="preserve"> Util. </w:t>
      </w:r>
      <w:proofErr w:type="spellStart"/>
      <w:r w:rsidR="00AF5BFF">
        <w:rPr>
          <w:i/>
          <w:sz w:val="24"/>
          <w:szCs w:val="24"/>
        </w:rPr>
        <w:t>Comm’n</w:t>
      </w:r>
      <w:proofErr w:type="spellEnd"/>
      <w:r w:rsidRPr="00097155">
        <w:rPr>
          <w:sz w:val="24"/>
          <w:szCs w:val="24"/>
        </w:rPr>
        <w:t xml:space="preserve">, 154 Pa. </w:t>
      </w:r>
      <w:proofErr w:type="spellStart"/>
      <w:r w:rsidRPr="00097155">
        <w:rPr>
          <w:sz w:val="24"/>
          <w:szCs w:val="24"/>
        </w:rPr>
        <w:t>Commw</w:t>
      </w:r>
      <w:proofErr w:type="spellEnd"/>
      <w:r w:rsidRPr="00097155">
        <w:rPr>
          <w:sz w:val="24"/>
          <w:szCs w:val="24"/>
        </w:rPr>
        <w:t xml:space="preserve">. </w:t>
      </w:r>
      <w:proofErr w:type="gramStart"/>
      <w:r w:rsidRPr="00097155">
        <w:rPr>
          <w:sz w:val="24"/>
          <w:szCs w:val="24"/>
        </w:rPr>
        <w:t>21, 623 A.2d 6 (1993).</w:t>
      </w:r>
      <w:proofErr w:type="gramEnd"/>
    </w:p>
    <w:p w:rsidR="00F73493" w:rsidRDefault="00F73493" w:rsidP="00D04C40">
      <w:pPr>
        <w:spacing w:line="360" w:lineRule="auto"/>
        <w:rPr>
          <w:sz w:val="24"/>
          <w:szCs w:val="24"/>
        </w:rPr>
      </w:pPr>
    </w:p>
    <w:p w:rsidR="00F73493" w:rsidRDefault="00374071" w:rsidP="00F73493">
      <w:pPr>
        <w:spacing w:line="360" w:lineRule="auto"/>
        <w:ind w:firstLine="1440"/>
        <w:rPr>
          <w:sz w:val="24"/>
          <w:szCs w:val="24"/>
        </w:rPr>
      </w:pPr>
      <w:r>
        <w:rPr>
          <w:sz w:val="24"/>
          <w:szCs w:val="24"/>
        </w:rPr>
        <w:t>Therefore, it</w:t>
      </w:r>
      <w:r w:rsidR="00F73493">
        <w:rPr>
          <w:sz w:val="24"/>
          <w:szCs w:val="24"/>
        </w:rPr>
        <w:t xml:space="preserve"> is only the facts in the Formal Complaint which can be presented to be true in order to determine whether recovery is possible.</w:t>
      </w:r>
    </w:p>
    <w:p w:rsidR="00F73493" w:rsidRDefault="00F73493" w:rsidP="00F73493">
      <w:pPr>
        <w:spacing w:line="360" w:lineRule="auto"/>
        <w:ind w:firstLine="1440"/>
        <w:rPr>
          <w:sz w:val="24"/>
          <w:szCs w:val="24"/>
        </w:rPr>
      </w:pPr>
    </w:p>
    <w:p w:rsidR="00F73493" w:rsidRDefault="00F73493" w:rsidP="00F73493">
      <w:pPr>
        <w:spacing w:line="360" w:lineRule="auto"/>
        <w:ind w:firstLine="1440"/>
        <w:rPr>
          <w:sz w:val="24"/>
          <w:szCs w:val="24"/>
        </w:rPr>
      </w:pPr>
      <w:r>
        <w:rPr>
          <w:sz w:val="24"/>
          <w:szCs w:val="24"/>
        </w:rPr>
        <w:t>The facts here are straightforward.  The Complainant alleges that he is being charged for a smart meter that he does not have.  The Respondent agrees that the Complainant does not have a smart meter, but asserts that the charge is not for the meter, but rather a Commission approved tariff requirement for a surcharge for smart meter technology.</w:t>
      </w:r>
    </w:p>
    <w:p w:rsidR="00F73493" w:rsidRDefault="00F73493" w:rsidP="00F73493">
      <w:pPr>
        <w:spacing w:line="360" w:lineRule="auto"/>
        <w:ind w:firstLine="1440"/>
        <w:rPr>
          <w:sz w:val="24"/>
          <w:szCs w:val="24"/>
        </w:rPr>
      </w:pPr>
    </w:p>
    <w:p w:rsidR="00F73493" w:rsidRDefault="00F73493" w:rsidP="00374071">
      <w:pPr>
        <w:spacing w:line="360" w:lineRule="auto"/>
        <w:ind w:firstLine="1440"/>
        <w:rPr>
          <w:sz w:val="24"/>
          <w:szCs w:val="24"/>
        </w:rPr>
      </w:pPr>
      <w:r>
        <w:rPr>
          <w:sz w:val="24"/>
          <w:szCs w:val="24"/>
        </w:rPr>
        <w:t>On October 15, 2008, then Governor Edward G. Rendell signed Act 129 of 2008 (Act 129) into law; the Act took effect thirty days thereafter on November 12, 2008.</w:t>
      </w:r>
      <w:r w:rsidR="00374071">
        <w:rPr>
          <w:sz w:val="24"/>
          <w:szCs w:val="24"/>
        </w:rPr>
        <w:t xml:space="preserve">  Act 129 directed that electric distribution companies with at least 100,000 c</w:t>
      </w:r>
      <w:r w:rsidR="00696EB8">
        <w:rPr>
          <w:sz w:val="24"/>
          <w:szCs w:val="24"/>
        </w:rPr>
        <w:t>ustomers file</w:t>
      </w:r>
      <w:r w:rsidR="00374071">
        <w:rPr>
          <w:sz w:val="24"/>
          <w:szCs w:val="24"/>
        </w:rPr>
        <w:t xml:space="preserve"> a smart meter technologies procurement and installation plan with the Commission for approval.  </w:t>
      </w:r>
      <w:proofErr w:type="gramStart"/>
      <w:r w:rsidR="00374071">
        <w:rPr>
          <w:sz w:val="24"/>
          <w:szCs w:val="24"/>
        </w:rPr>
        <w:t xml:space="preserve">66 </w:t>
      </w:r>
      <w:proofErr w:type="spellStart"/>
      <w:r w:rsidR="00374071">
        <w:rPr>
          <w:sz w:val="24"/>
          <w:szCs w:val="24"/>
        </w:rPr>
        <w:t>Pa.C.S</w:t>
      </w:r>
      <w:proofErr w:type="spellEnd"/>
      <w:r w:rsidR="00374071">
        <w:rPr>
          <w:sz w:val="24"/>
          <w:szCs w:val="24"/>
        </w:rPr>
        <w:t>.</w:t>
      </w:r>
      <w:proofErr w:type="gramEnd"/>
      <w:r w:rsidR="00374071">
        <w:rPr>
          <w:sz w:val="24"/>
          <w:szCs w:val="24"/>
        </w:rPr>
        <w:t xml:space="preserve"> §§</w:t>
      </w:r>
      <w:r w:rsidR="00062F8E">
        <w:rPr>
          <w:sz w:val="24"/>
          <w:szCs w:val="24"/>
        </w:rPr>
        <w:t> </w:t>
      </w:r>
      <w:r w:rsidR="00374071">
        <w:rPr>
          <w:sz w:val="24"/>
          <w:szCs w:val="24"/>
        </w:rPr>
        <w:t>2807 (f</w:t>
      </w:r>
      <w:proofErr w:type="gramStart"/>
      <w:r w:rsidR="00374071">
        <w:rPr>
          <w:sz w:val="24"/>
          <w:szCs w:val="24"/>
        </w:rPr>
        <w:t>)(</w:t>
      </w:r>
      <w:proofErr w:type="gramEnd"/>
      <w:r w:rsidR="00374071">
        <w:rPr>
          <w:sz w:val="24"/>
          <w:szCs w:val="24"/>
        </w:rPr>
        <w:t>1) and (2).  Act 129 also established cost recovery methods.  Each plan was required to describe the smart meter technologies proposed to be installed in new construction and in accordance with a depreciation schedule not to exceed 15 years.</w:t>
      </w:r>
    </w:p>
    <w:p w:rsidR="00374071" w:rsidRDefault="00374071" w:rsidP="00374071">
      <w:pPr>
        <w:spacing w:line="360" w:lineRule="auto"/>
        <w:ind w:firstLine="1440"/>
        <w:rPr>
          <w:sz w:val="24"/>
          <w:szCs w:val="24"/>
        </w:rPr>
      </w:pPr>
    </w:p>
    <w:p w:rsidR="00C07D29" w:rsidRDefault="00374071" w:rsidP="00374071">
      <w:pPr>
        <w:spacing w:line="360" w:lineRule="auto"/>
        <w:ind w:firstLine="1440"/>
        <w:rPr>
          <w:sz w:val="24"/>
          <w:szCs w:val="24"/>
        </w:rPr>
      </w:pPr>
      <w:r>
        <w:rPr>
          <w:sz w:val="24"/>
          <w:szCs w:val="24"/>
        </w:rPr>
        <w:t xml:space="preserve">On June 24, 2009, the Commission issued an Order that outlined the standards that each plan must meet.  </w:t>
      </w:r>
      <w:r w:rsidRPr="00374071">
        <w:rPr>
          <w:i/>
          <w:sz w:val="24"/>
          <w:szCs w:val="24"/>
        </w:rPr>
        <w:t>Smart Meter Procurement and Installation, Implementation Order</w:t>
      </w:r>
      <w:r>
        <w:rPr>
          <w:sz w:val="24"/>
          <w:szCs w:val="24"/>
        </w:rPr>
        <w:t>, Docket No. M-2009-2092655 (Order entered June 24, 2009) (Implementation Order).</w:t>
      </w:r>
      <w:r w:rsidR="0074667D">
        <w:rPr>
          <w:sz w:val="24"/>
          <w:szCs w:val="24"/>
        </w:rPr>
        <w:t xml:space="preserve">  On August 14, 2009, the Respondent filed with the Commission a petition for Approval of Smart Meter Technology Procurement and Installation Plan (Plan).  The Plan proposed that smart </w:t>
      </w:r>
      <w:r w:rsidR="0074667D">
        <w:rPr>
          <w:sz w:val="24"/>
          <w:szCs w:val="24"/>
        </w:rPr>
        <w:lastRenderedPageBreak/>
        <w:t xml:space="preserve">meters be installed and the cost associated with the Plan be recovered through a reconcilable adjustment clause called the SMT Surcharge. </w:t>
      </w:r>
      <w:r w:rsidR="00E96A16">
        <w:rPr>
          <w:sz w:val="24"/>
          <w:szCs w:val="24"/>
        </w:rPr>
        <w:t xml:space="preserve"> </w:t>
      </w:r>
      <w:r w:rsidR="0074667D">
        <w:rPr>
          <w:sz w:val="24"/>
          <w:szCs w:val="24"/>
        </w:rPr>
        <w:t xml:space="preserve">On March 9, 2011, the Respondent filed an Amended Joint Petition for Settlement of All Issues at Docket No. </w:t>
      </w:r>
      <w:proofErr w:type="gramStart"/>
      <w:r w:rsidR="0074667D">
        <w:rPr>
          <w:sz w:val="24"/>
          <w:szCs w:val="24"/>
        </w:rPr>
        <w:t>M-2009-2123951.</w:t>
      </w:r>
      <w:proofErr w:type="gramEnd"/>
      <w:r w:rsidR="0074667D">
        <w:rPr>
          <w:sz w:val="24"/>
          <w:szCs w:val="24"/>
        </w:rPr>
        <w:t xml:space="preserve">  The Commission approved the Amended Joint Petition for Settlement on June 30, 2011.  </w:t>
      </w:r>
    </w:p>
    <w:p w:rsidR="00C07D29" w:rsidRDefault="00C07D29" w:rsidP="00374071">
      <w:pPr>
        <w:spacing w:line="360" w:lineRule="auto"/>
        <w:ind w:firstLine="1440"/>
        <w:rPr>
          <w:sz w:val="24"/>
          <w:szCs w:val="24"/>
        </w:rPr>
      </w:pPr>
    </w:p>
    <w:p w:rsidR="00374071" w:rsidRDefault="0074667D" w:rsidP="00374071">
      <w:pPr>
        <w:spacing w:line="360" w:lineRule="auto"/>
        <w:ind w:firstLine="1440"/>
        <w:rPr>
          <w:sz w:val="24"/>
          <w:szCs w:val="24"/>
        </w:rPr>
      </w:pPr>
      <w:r>
        <w:rPr>
          <w:sz w:val="24"/>
          <w:szCs w:val="24"/>
        </w:rPr>
        <w:t>On August 22, 2011, the Respondent submitted its compliance filing for the SMT Surcharge tariff, with a surcharge effective date of September 1, 2011</w:t>
      </w:r>
      <w:r w:rsidR="00696EB8">
        <w:rPr>
          <w:sz w:val="24"/>
          <w:szCs w:val="24"/>
        </w:rPr>
        <w:t>,</w:t>
      </w:r>
      <w:r>
        <w:rPr>
          <w:sz w:val="24"/>
          <w:szCs w:val="24"/>
        </w:rPr>
        <w:t xml:space="preserve"> through December 31, 2011.  On December 21, 2011, the Respondent submitted its annual rate change to the SMT Surcharge for the period of January 1, 2012</w:t>
      </w:r>
      <w:r w:rsidR="00696EB8">
        <w:rPr>
          <w:sz w:val="24"/>
          <w:szCs w:val="24"/>
        </w:rPr>
        <w:t>,</w:t>
      </w:r>
      <w:r>
        <w:rPr>
          <w:sz w:val="24"/>
          <w:szCs w:val="24"/>
        </w:rPr>
        <w:t xml:space="preserve"> through December 31, 2012, Supplement No. 211 to Electric – PA. P.U.C. No. 39, in accordance with the surcharge rates specified in the Amended Joint Petition for Settlement.  On August 1, 2012, as amended on August 27, 2012, the Respondent</w:t>
      </w:r>
      <w:r w:rsidR="00E45DE1">
        <w:rPr>
          <w:sz w:val="24"/>
          <w:szCs w:val="24"/>
        </w:rPr>
        <w:t xml:space="preserve"> submitted its annual rate change to the SMT Surcharge for the period January 1, 2013</w:t>
      </w:r>
      <w:r w:rsidR="00696EB8">
        <w:rPr>
          <w:sz w:val="24"/>
          <w:szCs w:val="24"/>
        </w:rPr>
        <w:t>,</w:t>
      </w:r>
      <w:r w:rsidR="00E45DE1">
        <w:rPr>
          <w:sz w:val="24"/>
          <w:szCs w:val="24"/>
        </w:rPr>
        <w:t xml:space="preserve"> through December 31, 2013.  The Commission accepted the filing by Secretarial Letter dated December 14, 2012, and directed the Respondent to file a tariff compliance filing for SMT Surcharge rates effective January 1, 2013.</w:t>
      </w:r>
    </w:p>
    <w:p w:rsidR="00E45DE1" w:rsidRDefault="00E45DE1" w:rsidP="00374071">
      <w:pPr>
        <w:spacing w:line="360" w:lineRule="auto"/>
        <w:ind w:firstLine="1440"/>
        <w:rPr>
          <w:sz w:val="24"/>
          <w:szCs w:val="24"/>
        </w:rPr>
      </w:pPr>
    </w:p>
    <w:p w:rsidR="00E45DE1" w:rsidRDefault="00E45DE1" w:rsidP="00374071">
      <w:pPr>
        <w:spacing w:line="360" w:lineRule="auto"/>
        <w:ind w:firstLine="1440"/>
        <w:rPr>
          <w:sz w:val="24"/>
          <w:szCs w:val="24"/>
        </w:rPr>
      </w:pPr>
      <w:r>
        <w:rPr>
          <w:sz w:val="24"/>
          <w:szCs w:val="24"/>
        </w:rPr>
        <w:t>Based upon the above history, it is clear that the Respondent is required b</w:t>
      </w:r>
      <w:r w:rsidR="00696EB8">
        <w:rPr>
          <w:sz w:val="24"/>
          <w:szCs w:val="24"/>
        </w:rPr>
        <w:t>y statute, its approved tariff,</w:t>
      </w:r>
      <w:r w:rsidR="00C07D29">
        <w:rPr>
          <w:sz w:val="24"/>
          <w:szCs w:val="24"/>
        </w:rPr>
        <w:t xml:space="preserve"> </w:t>
      </w:r>
      <w:r>
        <w:rPr>
          <w:sz w:val="24"/>
          <w:szCs w:val="24"/>
        </w:rPr>
        <w:t>and Commission orders to implement i</w:t>
      </w:r>
      <w:r w:rsidR="00E96A16">
        <w:rPr>
          <w:sz w:val="24"/>
          <w:szCs w:val="24"/>
        </w:rPr>
        <w:t>t</w:t>
      </w:r>
      <w:r>
        <w:rPr>
          <w:sz w:val="24"/>
          <w:szCs w:val="24"/>
        </w:rPr>
        <w:t xml:space="preserve">s smart metering program and by the terms of the Commission approved Amended Joint </w:t>
      </w:r>
      <w:r w:rsidR="00C07D29">
        <w:rPr>
          <w:sz w:val="24"/>
          <w:szCs w:val="24"/>
        </w:rPr>
        <w:t>P</w:t>
      </w:r>
      <w:r>
        <w:rPr>
          <w:sz w:val="24"/>
          <w:szCs w:val="24"/>
        </w:rPr>
        <w:t xml:space="preserve">etition for Settlement to charge a SMT Surcharge to all of its metered customers.  There are no opt out provisions, all customers are subject to the SMT Surcharge.  </w:t>
      </w:r>
      <w:r w:rsidRPr="00C07D29">
        <w:rPr>
          <w:i/>
          <w:sz w:val="24"/>
          <w:szCs w:val="24"/>
        </w:rPr>
        <w:t xml:space="preserve">Richard </w:t>
      </w:r>
      <w:proofErr w:type="spellStart"/>
      <w:r w:rsidRPr="00C07D29">
        <w:rPr>
          <w:i/>
          <w:sz w:val="24"/>
          <w:szCs w:val="24"/>
        </w:rPr>
        <w:t>Negley</w:t>
      </w:r>
      <w:proofErr w:type="spellEnd"/>
      <w:r w:rsidRPr="00C07D29">
        <w:rPr>
          <w:i/>
          <w:sz w:val="24"/>
          <w:szCs w:val="24"/>
        </w:rPr>
        <w:t xml:space="preserve"> v. Metropolitan Edison Company</w:t>
      </w:r>
      <w:r>
        <w:rPr>
          <w:sz w:val="24"/>
          <w:szCs w:val="24"/>
        </w:rPr>
        <w:t>, Docket No. C-2010-2205305 (Order entered December 15, 2010)</w:t>
      </w:r>
      <w:r w:rsidR="00C07D29">
        <w:rPr>
          <w:sz w:val="24"/>
          <w:szCs w:val="24"/>
        </w:rPr>
        <w:t xml:space="preserve"> and </w:t>
      </w:r>
      <w:r w:rsidR="00C07D29" w:rsidRPr="00C07D29">
        <w:rPr>
          <w:i/>
          <w:sz w:val="24"/>
          <w:szCs w:val="24"/>
        </w:rPr>
        <w:t xml:space="preserve">Dennis </w:t>
      </w:r>
      <w:proofErr w:type="spellStart"/>
      <w:r w:rsidR="00C07D29" w:rsidRPr="00C07D29">
        <w:rPr>
          <w:i/>
          <w:sz w:val="24"/>
          <w:szCs w:val="24"/>
        </w:rPr>
        <w:t>Lutherschmidt</w:t>
      </w:r>
      <w:proofErr w:type="spellEnd"/>
      <w:r w:rsidR="00C07D29" w:rsidRPr="00C07D29">
        <w:rPr>
          <w:i/>
          <w:sz w:val="24"/>
          <w:szCs w:val="24"/>
        </w:rPr>
        <w:t xml:space="preserve"> v. Metropolitan Edison Company</w:t>
      </w:r>
      <w:r w:rsidR="00C07D29">
        <w:rPr>
          <w:sz w:val="24"/>
          <w:szCs w:val="24"/>
        </w:rPr>
        <w:t>, Docket No. C-2010-2200353 (Order entered January 19, 2011).</w:t>
      </w:r>
    </w:p>
    <w:p w:rsidR="00C07D29" w:rsidRDefault="00C07D29" w:rsidP="00374071">
      <w:pPr>
        <w:spacing w:line="360" w:lineRule="auto"/>
        <w:ind w:firstLine="1440"/>
        <w:rPr>
          <w:sz w:val="24"/>
          <w:szCs w:val="24"/>
        </w:rPr>
      </w:pPr>
    </w:p>
    <w:p w:rsidR="00C07D29" w:rsidRDefault="00C07D29" w:rsidP="00374071">
      <w:pPr>
        <w:spacing w:line="360" w:lineRule="auto"/>
        <w:ind w:firstLine="1440"/>
        <w:rPr>
          <w:sz w:val="24"/>
          <w:szCs w:val="24"/>
        </w:rPr>
      </w:pPr>
      <w:r>
        <w:rPr>
          <w:sz w:val="24"/>
          <w:szCs w:val="24"/>
        </w:rPr>
        <w:t>The Complainant asks why he should pay for something he does not have or does not use.  He is not alone, there are many electric customers s</w:t>
      </w:r>
      <w:r w:rsidR="00696EB8">
        <w:rPr>
          <w:sz w:val="24"/>
          <w:szCs w:val="24"/>
        </w:rPr>
        <w:t>t</w:t>
      </w:r>
      <w:r>
        <w:rPr>
          <w:sz w:val="24"/>
          <w:szCs w:val="24"/>
        </w:rPr>
        <w:t xml:space="preserve">ate wide </w:t>
      </w:r>
      <w:proofErr w:type="gramStart"/>
      <w:r>
        <w:rPr>
          <w:sz w:val="24"/>
          <w:szCs w:val="24"/>
        </w:rPr>
        <w:t>who</w:t>
      </w:r>
      <w:proofErr w:type="gramEnd"/>
      <w:r>
        <w:rPr>
          <w:sz w:val="24"/>
          <w:szCs w:val="24"/>
        </w:rPr>
        <w:t xml:space="preserve"> will not or cannot take advantage of smart meter technology.  However, underlying the legislation is the policy that the customer base itself is better served through the upgrade of the existing meters and all customers are charged for its development and implementation.</w:t>
      </w:r>
    </w:p>
    <w:p w:rsidR="00C07D29" w:rsidRDefault="00C07D29" w:rsidP="00374071">
      <w:pPr>
        <w:spacing w:line="360" w:lineRule="auto"/>
        <w:ind w:firstLine="1440"/>
        <w:rPr>
          <w:sz w:val="24"/>
          <w:szCs w:val="24"/>
        </w:rPr>
      </w:pPr>
    </w:p>
    <w:p w:rsidR="00C07D29" w:rsidRPr="00BF63CB" w:rsidRDefault="00C07D29" w:rsidP="00BF63CB">
      <w:pPr>
        <w:spacing w:line="360" w:lineRule="auto"/>
        <w:ind w:firstLine="1440"/>
        <w:rPr>
          <w:sz w:val="24"/>
          <w:szCs w:val="24"/>
        </w:rPr>
      </w:pPr>
      <w:r w:rsidRPr="00BF63CB">
        <w:rPr>
          <w:sz w:val="24"/>
          <w:szCs w:val="24"/>
        </w:rPr>
        <w:lastRenderedPageBreak/>
        <w:t>The result is that the Complainant has failed to state a claim upon which relief can be granted and therefore, the Preliminary Objections are granted.  The Formal Complaint will be dismissed in the Ordering paragraphs below.</w:t>
      </w:r>
    </w:p>
    <w:p w:rsidR="00D04C40" w:rsidRDefault="00D04C40" w:rsidP="00D04C40">
      <w:pPr>
        <w:spacing w:line="360" w:lineRule="auto"/>
        <w:ind w:firstLine="1350"/>
        <w:rPr>
          <w:sz w:val="24"/>
          <w:szCs w:val="24"/>
          <w:u w:val="single"/>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Complaint.  </w:t>
      </w:r>
      <w:proofErr w:type="gramStart"/>
      <w:r w:rsidRPr="007934E4">
        <w:rPr>
          <w:sz w:val="24"/>
          <w:szCs w:val="24"/>
        </w:rPr>
        <w:t xml:space="preserve">66 </w:t>
      </w:r>
      <w:proofErr w:type="spellStart"/>
      <w:r w:rsidRPr="007934E4">
        <w:rPr>
          <w:sz w:val="24"/>
          <w:szCs w:val="24"/>
        </w:rPr>
        <w:t>Pa.C.S</w:t>
      </w:r>
      <w:proofErr w:type="spellEnd"/>
      <w:r w:rsidRPr="007934E4">
        <w:rPr>
          <w:sz w:val="24"/>
          <w:szCs w:val="24"/>
        </w:rPr>
        <w:t>.</w:t>
      </w:r>
      <w:proofErr w:type="gramEnd"/>
      <w:r w:rsidRPr="007934E4">
        <w:rPr>
          <w:sz w:val="24"/>
          <w:szCs w:val="24"/>
        </w:rPr>
        <w:t xml:space="preserve">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F73493" w:rsidRDefault="00382B1A" w:rsidP="00F73493">
      <w:pPr>
        <w:tabs>
          <w:tab w:val="left" w:pos="2160"/>
        </w:tabs>
        <w:spacing w:line="360" w:lineRule="auto"/>
        <w:ind w:firstLine="1440"/>
        <w:rPr>
          <w:sz w:val="24"/>
          <w:szCs w:val="24"/>
        </w:rPr>
      </w:pPr>
      <w:r w:rsidRPr="007934E4">
        <w:rPr>
          <w:sz w:val="24"/>
          <w:szCs w:val="24"/>
        </w:rPr>
        <w:t>2.</w:t>
      </w:r>
      <w:r w:rsidRPr="007934E4">
        <w:rPr>
          <w:sz w:val="24"/>
          <w:szCs w:val="24"/>
        </w:rPr>
        <w:tab/>
      </w:r>
      <w:r w:rsidR="00E32490">
        <w:rPr>
          <w:sz w:val="24"/>
          <w:szCs w:val="24"/>
        </w:rPr>
        <w:t xml:space="preserve">Commission preliminary objection practice is similar to Pennsylvania civil practice.  </w:t>
      </w:r>
      <w:r w:rsidR="00E32490" w:rsidRPr="00E32490">
        <w:rPr>
          <w:i/>
          <w:sz w:val="24"/>
          <w:szCs w:val="24"/>
        </w:rPr>
        <w:t>Equitable Small Transportation Interveners v. Equitable Gas Company</w:t>
      </w:r>
      <w:r w:rsidR="00E32490">
        <w:rPr>
          <w:sz w:val="24"/>
          <w:szCs w:val="24"/>
        </w:rPr>
        <w:t>, 1993 Pa. PUC L</w:t>
      </w:r>
      <w:r w:rsidR="008E77DD">
        <w:rPr>
          <w:sz w:val="24"/>
          <w:szCs w:val="24"/>
        </w:rPr>
        <w:t>EXIS</w:t>
      </w:r>
      <w:r w:rsidR="00E32490">
        <w:rPr>
          <w:sz w:val="24"/>
          <w:szCs w:val="24"/>
        </w:rPr>
        <w:t xml:space="preserve"> 69, PUC Docket No. </w:t>
      </w:r>
      <w:proofErr w:type="gramStart"/>
      <w:r w:rsidR="00E32490">
        <w:rPr>
          <w:sz w:val="24"/>
          <w:szCs w:val="24"/>
        </w:rPr>
        <w:t>C-000935435 (July 18, 1991).</w:t>
      </w:r>
      <w:proofErr w:type="gramEnd"/>
    </w:p>
    <w:p w:rsidR="00E32490" w:rsidRDefault="00E32490" w:rsidP="00F73493">
      <w:pPr>
        <w:tabs>
          <w:tab w:val="left" w:pos="2160"/>
        </w:tabs>
        <w:spacing w:line="360" w:lineRule="auto"/>
        <w:ind w:firstLine="1440"/>
        <w:rPr>
          <w:sz w:val="24"/>
          <w:szCs w:val="24"/>
        </w:rPr>
      </w:pPr>
    </w:p>
    <w:p w:rsidR="00E32490" w:rsidRDefault="000779FD" w:rsidP="00E32490">
      <w:pPr>
        <w:pStyle w:val="ListParagraph"/>
        <w:numPr>
          <w:ilvl w:val="0"/>
          <w:numId w:val="27"/>
        </w:numPr>
        <w:spacing w:line="360" w:lineRule="auto"/>
        <w:ind w:left="0" w:firstLine="1440"/>
        <w:rPr>
          <w:sz w:val="24"/>
          <w:szCs w:val="24"/>
        </w:rPr>
      </w:pPr>
      <w:r>
        <w:rPr>
          <w:sz w:val="24"/>
          <w:szCs w:val="24"/>
        </w:rPr>
        <w:t xml:space="preserve">When considering the preliminary objection, the Commission must determine “whether the law says with certainty, based on well-pleaded factual averments…that no recovery or relief is possible.  </w:t>
      </w:r>
      <w:r w:rsidRPr="008E77DD">
        <w:rPr>
          <w:i/>
          <w:sz w:val="24"/>
          <w:szCs w:val="24"/>
        </w:rPr>
        <w:t>P.J.S. v. Pa. State Ethics Commission</w:t>
      </w:r>
      <w:r>
        <w:rPr>
          <w:sz w:val="24"/>
          <w:szCs w:val="24"/>
        </w:rPr>
        <w:t xml:space="preserve">, 669 A. 2d 1105 (Pa. </w:t>
      </w:r>
      <w:proofErr w:type="spellStart"/>
      <w:r>
        <w:rPr>
          <w:sz w:val="24"/>
          <w:szCs w:val="24"/>
        </w:rPr>
        <w:t>Cmwlth</w:t>
      </w:r>
      <w:proofErr w:type="spellEnd"/>
      <w:r>
        <w:rPr>
          <w:sz w:val="24"/>
          <w:szCs w:val="24"/>
        </w:rPr>
        <w:t xml:space="preserve"> 1996).</w:t>
      </w:r>
    </w:p>
    <w:p w:rsidR="008E77DD" w:rsidRDefault="008E77DD" w:rsidP="008E77DD">
      <w:pPr>
        <w:pStyle w:val="ListParagraph"/>
        <w:spacing w:line="360" w:lineRule="auto"/>
        <w:ind w:left="1440"/>
        <w:rPr>
          <w:sz w:val="24"/>
          <w:szCs w:val="24"/>
        </w:rPr>
      </w:pPr>
    </w:p>
    <w:p w:rsidR="008E77DD" w:rsidRDefault="008E77DD" w:rsidP="00E32490">
      <w:pPr>
        <w:pStyle w:val="ListParagraph"/>
        <w:numPr>
          <w:ilvl w:val="0"/>
          <w:numId w:val="27"/>
        </w:numPr>
        <w:spacing w:line="360" w:lineRule="auto"/>
        <w:ind w:left="0" w:firstLine="1440"/>
        <w:rPr>
          <w:sz w:val="24"/>
          <w:szCs w:val="24"/>
        </w:rPr>
      </w:pPr>
      <w:r>
        <w:rPr>
          <w:sz w:val="24"/>
          <w:szCs w:val="24"/>
        </w:rPr>
        <w:t xml:space="preserve">Legal insufficiency of a pleading is a proper basis for a preliminary </w:t>
      </w:r>
      <w:proofErr w:type="gramStart"/>
      <w:r>
        <w:rPr>
          <w:sz w:val="24"/>
          <w:szCs w:val="24"/>
        </w:rPr>
        <w:t>objection  52</w:t>
      </w:r>
      <w:proofErr w:type="gramEnd"/>
      <w:r>
        <w:rPr>
          <w:sz w:val="24"/>
          <w:szCs w:val="24"/>
        </w:rPr>
        <w:t xml:space="preserve"> </w:t>
      </w:r>
      <w:proofErr w:type="spellStart"/>
      <w:r>
        <w:rPr>
          <w:sz w:val="24"/>
          <w:szCs w:val="24"/>
        </w:rPr>
        <w:t>Pa.Code</w:t>
      </w:r>
      <w:proofErr w:type="spellEnd"/>
      <w:r>
        <w:rPr>
          <w:sz w:val="24"/>
          <w:szCs w:val="24"/>
        </w:rPr>
        <w:t xml:space="preserve"> § 5.101(a)(4).</w:t>
      </w:r>
    </w:p>
    <w:p w:rsidR="008E77DD" w:rsidRDefault="008E77DD" w:rsidP="008E77DD">
      <w:pPr>
        <w:pStyle w:val="ListParagraph"/>
        <w:spacing w:line="360" w:lineRule="auto"/>
        <w:ind w:left="1440"/>
        <w:rPr>
          <w:sz w:val="24"/>
          <w:szCs w:val="24"/>
        </w:rPr>
      </w:pPr>
      <w:r>
        <w:rPr>
          <w:sz w:val="24"/>
          <w:szCs w:val="24"/>
        </w:rPr>
        <w:t xml:space="preserve"> </w:t>
      </w:r>
    </w:p>
    <w:p w:rsidR="008E77DD" w:rsidRDefault="008E77DD" w:rsidP="00E32490">
      <w:pPr>
        <w:pStyle w:val="ListParagraph"/>
        <w:numPr>
          <w:ilvl w:val="0"/>
          <w:numId w:val="27"/>
        </w:numPr>
        <w:spacing w:line="360" w:lineRule="auto"/>
        <w:ind w:left="0" w:firstLine="1440"/>
        <w:rPr>
          <w:sz w:val="24"/>
          <w:szCs w:val="24"/>
        </w:rPr>
      </w:pPr>
      <w:r>
        <w:rPr>
          <w:sz w:val="24"/>
          <w:szCs w:val="24"/>
        </w:rPr>
        <w:t xml:space="preserve">Any doubt must be resolved in favor of the non-moving party by refusing to sustain the preliminary objections.  </w:t>
      </w:r>
      <w:r w:rsidRPr="008E77DD">
        <w:rPr>
          <w:i/>
          <w:sz w:val="24"/>
          <w:szCs w:val="24"/>
        </w:rPr>
        <w:t>Boyd v. Ward</w:t>
      </w:r>
      <w:r>
        <w:rPr>
          <w:sz w:val="24"/>
          <w:szCs w:val="24"/>
        </w:rPr>
        <w:t xml:space="preserve">, 802 A. 2d 705 (Pa. </w:t>
      </w:r>
      <w:proofErr w:type="spellStart"/>
      <w:r>
        <w:rPr>
          <w:sz w:val="24"/>
          <w:szCs w:val="24"/>
        </w:rPr>
        <w:t>Cmwlth</w:t>
      </w:r>
      <w:proofErr w:type="spellEnd"/>
      <w:r>
        <w:rPr>
          <w:sz w:val="24"/>
          <w:szCs w:val="24"/>
        </w:rPr>
        <w:t xml:space="preserve"> 2002), 2002 Pa. </w:t>
      </w:r>
      <w:proofErr w:type="spellStart"/>
      <w:r>
        <w:rPr>
          <w:sz w:val="24"/>
          <w:szCs w:val="24"/>
        </w:rPr>
        <w:t>Commw</w:t>
      </w:r>
      <w:proofErr w:type="spellEnd"/>
      <w:r>
        <w:rPr>
          <w:sz w:val="24"/>
          <w:szCs w:val="24"/>
        </w:rPr>
        <w:t>. LEXIS 580.</w:t>
      </w:r>
    </w:p>
    <w:p w:rsidR="008E77DD" w:rsidRPr="008E77DD" w:rsidRDefault="008E77DD" w:rsidP="008E77DD">
      <w:pPr>
        <w:pStyle w:val="ListParagraph"/>
        <w:rPr>
          <w:sz w:val="24"/>
          <w:szCs w:val="24"/>
        </w:rPr>
      </w:pPr>
    </w:p>
    <w:p w:rsidR="008E77DD" w:rsidRDefault="008E77DD" w:rsidP="00E32490">
      <w:pPr>
        <w:pStyle w:val="ListParagraph"/>
        <w:numPr>
          <w:ilvl w:val="0"/>
          <w:numId w:val="27"/>
        </w:numPr>
        <w:spacing w:line="360" w:lineRule="auto"/>
        <w:ind w:left="0" w:firstLine="1440"/>
        <w:rPr>
          <w:sz w:val="24"/>
          <w:szCs w:val="24"/>
        </w:rPr>
      </w:pPr>
      <w:r>
        <w:rPr>
          <w:sz w:val="24"/>
          <w:szCs w:val="24"/>
        </w:rPr>
        <w:t>All of the non-moving party’s averments in the Formal Complaint must be viewed as true for purposes of deciding the preliminary objections and only those facts specifically admitted may be considered against the non-moving party</w:t>
      </w:r>
      <w:r w:rsidR="00BF63CB">
        <w:rPr>
          <w:sz w:val="24"/>
          <w:szCs w:val="24"/>
        </w:rPr>
        <w:t>.</w:t>
      </w:r>
      <w:r>
        <w:rPr>
          <w:sz w:val="24"/>
          <w:szCs w:val="24"/>
        </w:rPr>
        <w:t xml:space="preserve">  </w:t>
      </w:r>
      <w:r w:rsidRPr="00BF63CB">
        <w:rPr>
          <w:i/>
          <w:sz w:val="24"/>
          <w:szCs w:val="24"/>
        </w:rPr>
        <w:t>Ridge v. S</w:t>
      </w:r>
      <w:r w:rsidR="00BF63CB" w:rsidRPr="00BF63CB">
        <w:rPr>
          <w:i/>
          <w:sz w:val="24"/>
          <w:szCs w:val="24"/>
        </w:rPr>
        <w:t>t</w:t>
      </w:r>
      <w:r w:rsidRPr="00BF63CB">
        <w:rPr>
          <w:i/>
          <w:sz w:val="24"/>
          <w:szCs w:val="24"/>
        </w:rPr>
        <w:t>ate Employees Retirement Board</w:t>
      </w:r>
      <w:r w:rsidR="009B5FE2">
        <w:rPr>
          <w:i/>
          <w:sz w:val="24"/>
          <w:szCs w:val="24"/>
        </w:rPr>
        <w:t>,</w:t>
      </w:r>
      <w:r>
        <w:rPr>
          <w:sz w:val="24"/>
          <w:szCs w:val="24"/>
        </w:rPr>
        <w:t xml:space="preserve"> 690 A. 2d 1312 (Pa. </w:t>
      </w:r>
      <w:proofErr w:type="spellStart"/>
      <w:r>
        <w:rPr>
          <w:sz w:val="24"/>
          <w:szCs w:val="24"/>
        </w:rPr>
        <w:t>Cmwlth</w:t>
      </w:r>
      <w:proofErr w:type="spellEnd"/>
      <w:r>
        <w:rPr>
          <w:sz w:val="24"/>
          <w:szCs w:val="24"/>
        </w:rPr>
        <w:t>. 1997)</w:t>
      </w:r>
      <w:r w:rsidR="00BF63CB">
        <w:rPr>
          <w:sz w:val="24"/>
          <w:szCs w:val="24"/>
        </w:rPr>
        <w:t xml:space="preserve"> 1997 Pa</w:t>
      </w:r>
      <w:r>
        <w:rPr>
          <w:sz w:val="24"/>
          <w:szCs w:val="24"/>
        </w:rPr>
        <w:t xml:space="preserve">. </w:t>
      </w:r>
      <w:proofErr w:type="spellStart"/>
      <w:r>
        <w:rPr>
          <w:sz w:val="24"/>
          <w:szCs w:val="24"/>
        </w:rPr>
        <w:t>Commw</w:t>
      </w:r>
      <w:proofErr w:type="spellEnd"/>
      <w:r>
        <w:rPr>
          <w:sz w:val="24"/>
          <w:szCs w:val="24"/>
        </w:rPr>
        <w:t>. LEXIS 148.</w:t>
      </w:r>
    </w:p>
    <w:p w:rsidR="008E77DD" w:rsidRPr="008E77DD" w:rsidRDefault="008E77DD" w:rsidP="008A09E8">
      <w:pPr>
        <w:pStyle w:val="ListParagraph"/>
        <w:spacing w:line="360" w:lineRule="auto"/>
        <w:rPr>
          <w:sz w:val="24"/>
          <w:szCs w:val="24"/>
        </w:rPr>
      </w:pPr>
    </w:p>
    <w:p w:rsidR="008E77DD" w:rsidRDefault="008E77DD" w:rsidP="00E32490">
      <w:pPr>
        <w:pStyle w:val="ListParagraph"/>
        <w:numPr>
          <w:ilvl w:val="0"/>
          <w:numId w:val="27"/>
        </w:numPr>
        <w:spacing w:line="360" w:lineRule="auto"/>
        <w:ind w:left="0" w:firstLine="1440"/>
        <w:rPr>
          <w:sz w:val="24"/>
          <w:szCs w:val="24"/>
        </w:rPr>
      </w:pPr>
      <w:r>
        <w:rPr>
          <w:sz w:val="24"/>
          <w:szCs w:val="24"/>
        </w:rPr>
        <w:lastRenderedPageBreak/>
        <w:t>On October 15, 2008, then Governor Edward G. Rendell signed Act 129 of 2008 (Act 129) into law; the Act took effect thirty days thereafter on November 12, 2008.  Act 129 directed that electric distribution companies with at least 100,000 c</w:t>
      </w:r>
      <w:r w:rsidR="00BF63CB">
        <w:rPr>
          <w:sz w:val="24"/>
          <w:szCs w:val="24"/>
        </w:rPr>
        <w:t>ustomers file</w:t>
      </w:r>
      <w:r>
        <w:rPr>
          <w:sz w:val="24"/>
          <w:szCs w:val="24"/>
        </w:rPr>
        <w:t xml:space="preserve"> a smart meter technologies procurement and installation plan with the Commission for approval.  </w:t>
      </w:r>
      <w:proofErr w:type="gramStart"/>
      <w:r>
        <w:rPr>
          <w:sz w:val="24"/>
          <w:szCs w:val="24"/>
        </w:rPr>
        <w:t>66</w:t>
      </w:r>
      <w:r w:rsidR="00062F8E">
        <w:rPr>
          <w:sz w:val="24"/>
          <w:szCs w:val="24"/>
        </w:rPr>
        <w:t> </w:t>
      </w:r>
      <w:proofErr w:type="spellStart"/>
      <w:r>
        <w:rPr>
          <w:sz w:val="24"/>
          <w:szCs w:val="24"/>
        </w:rPr>
        <w:t>Pa.C.S</w:t>
      </w:r>
      <w:proofErr w:type="spellEnd"/>
      <w:r>
        <w:rPr>
          <w:sz w:val="24"/>
          <w:szCs w:val="24"/>
        </w:rPr>
        <w:t>.</w:t>
      </w:r>
      <w:proofErr w:type="gramEnd"/>
      <w:r>
        <w:rPr>
          <w:sz w:val="24"/>
          <w:szCs w:val="24"/>
        </w:rPr>
        <w:t xml:space="preserve"> §§ 2807 (f</w:t>
      </w:r>
      <w:proofErr w:type="gramStart"/>
      <w:r>
        <w:rPr>
          <w:sz w:val="24"/>
          <w:szCs w:val="24"/>
        </w:rPr>
        <w:t>)(</w:t>
      </w:r>
      <w:proofErr w:type="gramEnd"/>
      <w:r>
        <w:rPr>
          <w:sz w:val="24"/>
          <w:szCs w:val="24"/>
        </w:rPr>
        <w:t>1) and (2).  Act 129 also established cost recovery methods.  Each plan was required to describe the smart meter technologies proposed to be installed in new construction and in accordance with a depreciation schedule not to exceed 15 years.</w:t>
      </w:r>
    </w:p>
    <w:p w:rsidR="008E77DD" w:rsidRPr="008E77DD" w:rsidRDefault="008E77DD" w:rsidP="008B72FE">
      <w:pPr>
        <w:pStyle w:val="ListParagraph"/>
        <w:spacing w:line="360" w:lineRule="auto"/>
        <w:rPr>
          <w:sz w:val="24"/>
          <w:szCs w:val="24"/>
        </w:rPr>
      </w:pPr>
    </w:p>
    <w:p w:rsidR="008E77DD" w:rsidRDefault="008E77DD" w:rsidP="00E32490">
      <w:pPr>
        <w:pStyle w:val="ListParagraph"/>
        <w:numPr>
          <w:ilvl w:val="0"/>
          <w:numId w:val="27"/>
        </w:numPr>
        <w:spacing w:line="360" w:lineRule="auto"/>
        <w:ind w:left="0" w:firstLine="1440"/>
        <w:rPr>
          <w:sz w:val="24"/>
          <w:szCs w:val="24"/>
        </w:rPr>
      </w:pPr>
      <w:r>
        <w:rPr>
          <w:sz w:val="24"/>
          <w:szCs w:val="24"/>
        </w:rPr>
        <w:t xml:space="preserve">On June 24, 2009, the Commission issued an Order that outlined the standards that each plan must meet.  </w:t>
      </w:r>
      <w:r w:rsidRPr="00374071">
        <w:rPr>
          <w:i/>
          <w:sz w:val="24"/>
          <w:szCs w:val="24"/>
        </w:rPr>
        <w:t>Smart Meter Procurement and Installation, Implementation Order</w:t>
      </w:r>
      <w:r>
        <w:rPr>
          <w:sz w:val="24"/>
          <w:szCs w:val="24"/>
        </w:rPr>
        <w:t>, Docket No. M-2009-2092655 (Order entered June 24, 2009) (Implementation Order).  On August 14, 2009, the Respondent filed with the Commission a petition for Approval of Smart Meter Technology Procurement and Installation Plan (Plan).  The Plan proposed that smart meters be installed and the cost associated with the Plan be recovered through a reconcilable adjustment clause called the SMT Surcharge.</w:t>
      </w:r>
    </w:p>
    <w:p w:rsidR="008E77DD" w:rsidRPr="008E77DD" w:rsidRDefault="008E77DD" w:rsidP="008B72FE">
      <w:pPr>
        <w:pStyle w:val="ListParagraph"/>
        <w:spacing w:line="360" w:lineRule="auto"/>
        <w:rPr>
          <w:sz w:val="24"/>
          <w:szCs w:val="24"/>
        </w:rPr>
      </w:pPr>
    </w:p>
    <w:p w:rsidR="008E77DD" w:rsidRDefault="008E77DD" w:rsidP="00E32490">
      <w:pPr>
        <w:pStyle w:val="ListParagraph"/>
        <w:numPr>
          <w:ilvl w:val="0"/>
          <w:numId w:val="27"/>
        </w:numPr>
        <w:spacing w:line="360" w:lineRule="auto"/>
        <w:ind w:left="0" w:firstLine="1440"/>
        <w:rPr>
          <w:sz w:val="24"/>
          <w:szCs w:val="24"/>
        </w:rPr>
      </w:pPr>
      <w:r>
        <w:rPr>
          <w:sz w:val="24"/>
          <w:szCs w:val="24"/>
        </w:rPr>
        <w:t xml:space="preserve">On March 9, 2011, the Respondent filed an Amended Joint Petition for Settlement of All Issues at Docket No. M-2009-2123951.  The Commission approved the Amended Joint Petition for Settlement on June 30, 2011.  </w:t>
      </w:r>
    </w:p>
    <w:p w:rsidR="008E77DD" w:rsidRPr="008E77DD" w:rsidRDefault="008E77DD" w:rsidP="008B72FE">
      <w:pPr>
        <w:pStyle w:val="ListParagraph"/>
        <w:spacing w:line="360" w:lineRule="auto"/>
        <w:rPr>
          <w:sz w:val="24"/>
          <w:szCs w:val="24"/>
        </w:rPr>
      </w:pPr>
    </w:p>
    <w:p w:rsidR="008E77DD" w:rsidRDefault="008E77DD" w:rsidP="008E77DD">
      <w:pPr>
        <w:pStyle w:val="ListParagraph"/>
        <w:numPr>
          <w:ilvl w:val="0"/>
          <w:numId w:val="27"/>
        </w:numPr>
        <w:tabs>
          <w:tab w:val="left" w:pos="2160"/>
        </w:tabs>
        <w:spacing w:line="360" w:lineRule="auto"/>
        <w:ind w:left="0" w:firstLine="1440"/>
        <w:rPr>
          <w:sz w:val="24"/>
          <w:szCs w:val="24"/>
        </w:rPr>
      </w:pPr>
      <w:r w:rsidRPr="008E77DD">
        <w:rPr>
          <w:sz w:val="24"/>
          <w:szCs w:val="24"/>
        </w:rPr>
        <w:t>On August 22, 2011, the Respondent submitted its compliance filing for the SMT Surcharge tariff, with a surcharge effective date of September 1, 2011</w:t>
      </w:r>
      <w:r w:rsidR="00BF63CB">
        <w:rPr>
          <w:sz w:val="24"/>
          <w:szCs w:val="24"/>
        </w:rPr>
        <w:t>,</w:t>
      </w:r>
      <w:r w:rsidRPr="008E77DD">
        <w:rPr>
          <w:sz w:val="24"/>
          <w:szCs w:val="24"/>
        </w:rPr>
        <w:t xml:space="preserve"> through December 31, 2011.  On December 21, 2011, the Respondent submitted its annual rate change to the SMT Surcharge for the period of January 1, 2012</w:t>
      </w:r>
      <w:r w:rsidR="00BF63CB">
        <w:rPr>
          <w:sz w:val="24"/>
          <w:szCs w:val="24"/>
        </w:rPr>
        <w:t>,</w:t>
      </w:r>
      <w:r w:rsidRPr="008E77DD">
        <w:rPr>
          <w:sz w:val="24"/>
          <w:szCs w:val="24"/>
        </w:rPr>
        <w:t xml:space="preserve"> through December 31, 2012, Supplement No. 211 to Electric – PA. P.U.C. No. 39, in accordance with the surcharge rates specified in the Amended Joint Petition for Settlement.  On August 1, 2012, as amended on August 27, 2012, the Respondent submitted its annual rate change to the SMT Surcharge for the period January 1, 2013</w:t>
      </w:r>
      <w:r w:rsidR="00BF63CB">
        <w:rPr>
          <w:sz w:val="24"/>
          <w:szCs w:val="24"/>
        </w:rPr>
        <w:t>,</w:t>
      </w:r>
      <w:r w:rsidRPr="008E77DD">
        <w:rPr>
          <w:sz w:val="24"/>
          <w:szCs w:val="24"/>
        </w:rPr>
        <w:t xml:space="preserve"> through December 31, 2013.  The Commission accepted the filing by Secretarial Letter dated December 14, 2012, and directed the Respondent to file a tariff compliance filing for SMT Surcharge rates effective January 1, 2013.</w:t>
      </w:r>
    </w:p>
    <w:p w:rsidR="008E77DD" w:rsidRPr="008E77DD" w:rsidRDefault="008E77DD" w:rsidP="008E77DD">
      <w:pPr>
        <w:pStyle w:val="ListParagraph"/>
        <w:rPr>
          <w:sz w:val="24"/>
          <w:szCs w:val="24"/>
        </w:rPr>
      </w:pPr>
    </w:p>
    <w:p w:rsidR="008E77DD" w:rsidRDefault="008E77DD" w:rsidP="008E77DD">
      <w:pPr>
        <w:pStyle w:val="ListParagraph"/>
        <w:numPr>
          <w:ilvl w:val="0"/>
          <w:numId w:val="27"/>
        </w:numPr>
        <w:tabs>
          <w:tab w:val="left" w:pos="2160"/>
        </w:tabs>
        <w:spacing w:line="360" w:lineRule="auto"/>
        <w:ind w:left="0" w:firstLine="1440"/>
        <w:rPr>
          <w:sz w:val="24"/>
          <w:szCs w:val="24"/>
        </w:rPr>
      </w:pPr>
      <w:r>
        <w:rPr>
          <w:sz w:val="24"/>
          <w:szCs w:val="24"/>
        </w:rPr>
        <w:lastRenderedPageBreak/>
        <w:t>The SMT Surcharge is a customer fee contained in the Respondent’s approved tariff</w:t>
      </w:r>
      <w:r w:rsidR="003572F2">
        <w:rPr>
          <w:sz w:val="24"/>
          <w:szCs w:val="24"/>
        </w:rPr>
        <w:t>.</w:t>
      </w:r>
    </w:p>
    <w:p w:rsidR="003572F2" w:rsidRPr="003572F2" w:rsidRDefault="003572F2" w:rsidP="008B72FE">
      <w:pPr>
        <w:pStyle w:val="ListParagraph"/>
        <w:spacing w:line="360" w:lineRule="auto"/>
        <w:rPr>
          <w:sz w:val="24"/>
          <w:szCs w:val="24"/>
        </w:rPr>
      </w:pPr>
    </w:p>
    <w:p w:rsidR="003572F2" w:rsidRDefault="003572F2" w:rsidP="008E77DD">
      <w:pPr>
        <w:pStyle w:val="ListParagraph"/>
        <w:numPr>
          <w:ilvl w:val="0"/>
          <w:numId w:val="27"/>
        </w:numPr>
        <w:tabs>
          <w:tab w:val="left" w:pos="2160"/>
        </w:tabs>
        <w:spacing w:line="360" w:lineRule="auto"/>
        <w:ind w:left="0" w:firstLine="1440"/>
        <w:rPr>
          <w:sz w:val="24"/>
          <w:szCs w:val="24"/>
        </w:rPr>
      </w:pPr>
      <w:r>
        <w:rPr>
          <w:sz w:val="24"/>
          <w:szCs w:val="24"/>
        </w:rPr>
        <w:t>A public utility is required to adhere to its tariff.  Such tariff has the force and effect of law in Pennsylvania and is legally binding upon the utility</w:t>
      </w:r>
      <w:r w:rsidR="00BF63CB">
        <w:rPr>
          <w:sz w:val="24"/>
          <w:szCs w:val="24"/>
        </w:rPr>
        <w:t>,</w:t>
      </w:r>
      <w:r>
        <w:rPr>
          <w:sz w:val="24"/>
          <w:szCs w:val="24"/>
        </w:rPr>
        <w:t xml:space="preserve"> its customers and the public.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1303; </w:t>
      </w:r>
      <w:proofErr w:type="spellStart"/>
      <w:r w:rsidRPr="003572F2">
        <w:rPr>
          <w:i/>
          <w:sz w:val="24"/>
          <w:szCs w:val="24"/>
        </w:rPr>
        <w:t>DiSanto</w:t>
      </w:r>
      <w:proofErr w:type="spellEnd"/>
      <w:r w:rsidRPr="003572F2">
        <w:rPr>
          <w:i/>
          <w:sz w:val="24"/>
          <w:szCs w:val="24"/>
        </w:rPr>
        <w:t xml:space="preserve"> v. Dauphin County Water Supply Company</w:t>
      </w:r>
      <w:r>
        <w:rPr>
          <w:sz w:val="24"/>
          <w:szCs w:val="24"/>
        </w:rPr>
        <w:t xml:space="preserve">, 436 A. 2d 197 Pa. Super 1981); </w:t>
      </w:r>
      <w:r w:rsidRPr="003572F2">
        <w:rPr>
          <w:i/>
          <w:sz w:val="24"/>
          <w:szCs w:val="24"/>
        </w:rPr>
        <w:t>Brockway Glass Co. v. P</w:t>
      </w:r>
      <w:r w:rsidR="00850490">
        <w:rPr>
          <w:i/>
          <w:sz w:val="24"/>
          <w:szCs w:val="24"/>
        </w:rPr>
        <w:t>a.</w:t>
      </w:r>
      <w:bookmarkStart w:id="0" w:name="_GoBack"/>
      <w:bookmarkEnd w:id="0"/>
      <w:r w:rsidRPr="003572F2">
        <w:rPr>
          <w:i/>
          <w:sz w:val="24"/>
          <w:szCs w:val="24"/>
        </w:rPr>
        <w:t xml:space="preserve"> Pub. Util. </w:t>
      </w:r>
      <w:proofErr w:type="spellStart"/>
      <w:r w:rsidRPr="003572F2">
        <w:rPr>
          <w:i/>
          <w:sz w:val="24"/>
          <w:szCs w:val="24"/>
        </w:rPr>
        <w:t>Comm’n</w:t>
      </w:r>
      <w:proofErr w:type="spellEnd"/>
      <w:r>
        <w:rPr>
          <w:sz w:val="24"/>
          <w:szCs w:val="24"/>
        </w:rPr>
        <w:t xml:space="preserve">, 437 A. 2d 1067 (Pa. </w:t>
      </w:r>
      <w:proofErr w:type="spellStart"/>
      <w:r>
        <w:rPr>
          <w:sz w:val="24"/>
          <w:szCs w:val="24"/>
        </w:rPr>
        <w:t>Cmwlth</w:t>
      </w:r>
      <w:proofErr w:type="spellEnd"/>
      <w:r>
        <w:rPr>
          <w:sz w:val="24"/>
          <w:szCs w:val="24"/>
        </w:rPr>
        <w:t xml:space="preserve"> 1981).</w:t>
      </w:r>
    </w:p>
    <w:p w:rsidR="003572F2" w:rsidRPr="003572F2" w:rsidRDefault="003572F2" w:rsidP="008B72FE">
      <w:pPr>
        <w:pStyle w:val="ListParagraph"/>
        <w:spacing w:line="360" w:lineRule="auto"/>
        <w:rPr>
          <w:sz w:val="24"/>
          <w:szCs w:val="24"/>
        </w:rPr>
      </w:pPr>
    </w:p>
    <w:p w:rsidR="003572F2" w:rsidRPr="008E77DD" w:rsidRDefault="003572F2" w:rsidP="008E77DD">
      <w:pPr>
        <w:pStyle w:val="ListParagraph"/>
        <w:numPr>
          <w:ilvl w:val="0"/>
          <w:numId w:val="27"/>
        </w:numPr>
        <w:tabs>
          <w:tab w:val="left" w:pos="2160"/>
        </w:tabs>
        <w:spacing w:line="360" w:lineRule="auto"/>
        <w:ind w:left="0" w:firstLine="1440"/>
        <w:rPr>
          <w:sz w:val="24"/>
          <w:szCs w:val="24"/>
        </w:rPr>
      </w:pPr>
      <w:r>
        <w:rPr>
          <w:sz w:val="24"/>
          <w:szCs w:val="24"/>
        </w:rPr>
        <w:t>The Complainant has failed to state a claim upon which relief can be granted.</w:t>
      </w:r>
    </w:p>
    <w:p w:rsidR="005B3C00" w:rsidRDefault="005B3C00"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3572F2" w:rsidRDefault="003572F2" w:rsidP="0081696C">
      <w:pPr>
        <w:spacing w:line="360" w:lineRule="auto"/>
        <w:ind w:firstLine="1440"/>
        <w:outlineLvl w:val="0"/>
        <w:rPr>
          <w:sz w:val="24"/>
          <w:szCs w:val="24"/>
        </w:rPr>
      </w:pPr>
    </w:p>
    <w:p w:rsidR="003572F2" w:rsidRDefault="003572F2" w:rsidP="003572F2">
      <w:pPr>
        <w:pStyle w:val="ListParagraph"/>
        <w:numPr>
          <w:ilvl w:val="0"/>
          <w:numId w:val="29"/>
        </w:numPr>
        <w:spacing w:line="360" w:lineRule="auto"/>
        <w:ind w:left="0" w:firstLine="1440"/>
        <w:outlineLvl w:val="0"/>
        <w:rPr>
          <w:sz w:val="24"/>
          <w:szCs w:val="24"/>
        </w:rPr>
      </w:pPr>
      <w:r>
        <w:rPr>
          <w:sz w:val="24"/>
          <w:szCs w:val="24"/>
        </w:rPr>
        <w:t xml:space="preserve">That the Preliminary Objections filed by West Penn Power Company in Docket No. C-2013-2381755 </w:t>
      </w:r>
      <w:proofErr w:type="gramStart"/>
      <w:r>
        <w:rPr>
          <w:sz w:val="24"/>
          <w:szCs w:val="24"/>
        </w:rPr>
        <w:t>are</w:t>
      </w:r>
      <w:proofErr w:type="gramEnd"/>
      <w:r>
        <w:rPr>
          <w:sz w:val="24"/>
          <w:szCs w:val="24"/>
        </w:rPr>
        <w:t xml:space="preserve"> sustained.</w:t>
      </w:r>
    </w:p>
    <w:p w:rsidR="003572F2" w:rsidRDefault="003572F2" w:rsidP="003572F2">
      <w:pPr>
        <w:pStyle w:val="ListParagraph"/>
        <w:spacing w:line="360" w:lineRule="auto"/>
        <w:ind w:left="1440"/>
        <w:outlineLvl w:val="0"/>
        <w:rPr>
          <w:sz w:val="24"/>
          <w:szCs w:val="24"/>
        </w:rPr>
      </w:pPr>
      <w:r>
        <w:rPr>
          <w:sz w:val="24"/>
          <w:szCs w:val="24"/>
        </w:rPr>
        <w:t xml:space="preserve"> </w:t>
      </w:r>
    </w:p>
    <w:p w:rsidR="003572F2" w:rsidRDefault="003572F2" w:rsidP="003572F2">
      <w:pPr>
        <w:pStyle w:val="ListParagraph"/>
        <w:numPr>
          <w:ilvl w:val="0"/>
          <w:numId w:val="29"/>
        </w:numPr>
        <w:spacing w:line="360" w:lineRule="auto"/>
        <w:ind w:left="0" w:firstLine="1440"/>
        <w:outlineLvl w:val="0"/>
        <w:rPr>
          <w:sz w:val="24"/>
          <w:szCs w:val="24"/>
        </w:rPr>
      </w:pPr>
      <w:r>
        <w:rPr>
          <w:sz w:val="24"/>
          <w:szCs w:val="24"/>
        </w:rPr>
        <w:t>That the Formal Complaint filed in Docket No. C-2013-2381755 is dismissed.</w:t>
      </w:r>
    </w:p>
    <w:p w:rsidR="003572F2" w:rsidRPr="003572F2" w:rsidRDefault="003572F2" w:rsidP="003572F2">
      <w:pPr>
        <w:pStyle w:val="ListParagraph"/>
        <w:rPr>
          <w:sz w:val="24"/>
          <w:szCs w:val="24"/>
        </w:rPr>
      </w:pPr>
    </w:p>
    <w:p w:rsidR="003572F2" w:rsidRDefault="003572F2" w:rsidP="003572F2">
      <w:pPr>
        <w:pStyle w:val="ListParagraph"/>
        <w:numPr>
          <w:ilvl w:val="0"/>
          <w:numId w:val="29"/>
        </w:numPr>
        <w:spacing w:line="360" w:lineRule="auto"/>
        <w:ind w:left="0" w:firstLine="1440"/>
        <w:outlineLvl w:val="0"/>
        <w:rPr>
          <w:sz w:val="24"/>
          <w:szCs w:val="24"/>
        </w:rPr>
      </w:pPr>
      <w:r>
        <w:rPr>
          <w:sz w:val="24"/>
          <w:szCs w:val="24"/>
        </w:rPr>
        <w:t xml:space="preserve">That the Secretary </w:t>
      </w:r>
      <w:proofErr w:type="gramStart"/>
      <w:r>
        <w:rPr>
          <w:sz w:val="24"/>
          <w:szCs w:val="24"/>
        </w:rPr>
        <w:t>mark</w:t>
      </w:r>
      <w:proofErr w:type="gramEnd"/>
      <w:r>
        <w:rPr>
          <w:sz w:val="24"/>
          <w:szCs w:val="24"/>
        </w:rPr>
        <w:t xml:space="preserve"> this docket closed.</w:t>
      </w:r>
    </w:p>
    <w:p w:rsidR="003572F2" w:rsidRPr="003572F2" w:rsidRDefault="003572F2" w:rsidP="003572F2">
      <w:pPr>
        <w:spacing w:line="360" w:lineRule="auto"/>
        <w:outlineLvl w:val="0"/>
        <w:rPr>
          <w:sz w:val="24"/>
          <w:szCs w:val="24"/>
        </w:rPr>
      </w:pPr>
    </w:p>
    <w:p w:rsidR="00BB3104" w:rsidRDefault="00BB3104" w:rsidP="00CE68C6">
      <w:pPr>
        <w:spacing w:line="360" w:lineRule="auto"/>
        <w:rPr>
          <w:sz w:val="24"/>
          <w:szCs w:val="24"/>
        </w:rPr>
      </w:pPr>
    </w:p>
    <w:p w:rsidR="00D6243D" w:rsidRPr="00E74CFE" w:rsidRDefault="00DE562E" w:rsidP="00E74CFE">
      <w:pPr>
        <w:rPr>
          <w:sz w:val="24"/>
          <w:szCs w:val="24"/>
        </w:rPr>
      </w:pPr>
      <w:r w:rsidRPr="00DE562E">
        <w:rPr>
          <w:sz w:val="24"/>
          <w:szCs w:val="24"/>
        </w:rPr>
        <w:t>Date:</w:t>
      </w:r>
      <w:r w:rsidR="000638E9">
        <w:rPr>
          <w:sz w:val="24"/>
          <w:szCs w:val="24"/>
        </w:rPr>
        <w:t xml:space="preserve">  </w:t>
      </w:r>
      <w:r w:rsidR="003572F2">
        <w:rPr>
          <w:sz w:val="24"/>
          <w:szCs w:val="24"/>
          <w:u w:val="single"/>
        </w:rPr>
        <w:t>October 1</w:t>
      </w:r>
      <w:r w:rsidR="008B72FE">
        <w:rPr>
          <w:sz w:val="24"/>
          <w:szCs w:val="24"/>
          <w:u w:val="single"/>
        </w:rPr>
        <w:t>8</w:t>
      </w:r>
      <w:r w:rsidR="003572F2">
        <w:rPr>
          <w:sz w:val="24"/>
          <w:szCs w:val="24"/>
          <w:u w:val="single"/>
        </w:rPr>
        <w:t>, 2013</w:t>
      </w:r>
      <w:r w:rsidR="001F7F73">
        <w:rPr>
          <w:sz w:val="24"/>
          <w:szCs w:val="24"/>
        </w:rPr>
        <w:tab/>
      </w:r>
      <w:r w:rsidR="001F7F73">
        <w:rPr>
          <w:sz w:val="24"/>
          <w:szCs w:val="24"/>
        </w:rPr>
        <w:tab/>
      </w:r>
      <w:r w:rsidR="001F7F73">
        <w:rPr>
          <w:sz w:val="24"/>
          <w:szCs w:val="24"/>
        </w:rPr>
        <w:tab/>
      </w:r>
      <w:r w:rsidR="001F7F73">
        <w:rPr>
          <w:sz w:val="24"/>
          <w:szCs w:val="24"/>
        </w:rPr>
        <w:tab/>
      </w:r>
      <w:r w:rsidR="00E74CFE">
        <w:rPr>
          <w:sz w:val="24"/>
          <w:szCs w:val="24"/>
        </w:rPr>
        <w:tab/>
      </w:r>
      <w:r w:rsidR="00D6243D" w:rsidRPr="00E74CFE">
        <w:rPr>
          <w:sz w:val="24"/>
          <w:szCs w:val="24"/>
          <w:u w:val="single"/>
        </w:rPr>
        <w:tab/>
      </w:r>
      <w:r w:rsidR="00D6243D" w:rsidRPr="00E74CFE">
        <w:rPr>
          <w:sz w:val="24"/>
          <w:szCs w:val="24"/>
          <w:u w:val="single"/>
        </w:rPr>
        <w:tab/>
        <w:t>/s/</w:t>
      </w:r>
      <w:r w:rsidR="00D6243D" w:rsidRPr="00E74CFE">
        <w:rPr>
          <w:sz w:val="24"/>
          <w:szCs w:val="24"/>
          <w:u w:val="single"/>
        </w:rPr>
        <w:tab/>
      </w:r>
      <w:r w:rsidR="00D6243D" w:rsidRPr="00E74CFE">
        <w:rPr>
          <w:sz w:val="24"/>
          <w:szCs w:val="24"/>
          <w:u w:val="single"/>
        </w:rPr>
        <w:tab/>
      </w:r>
      <w:r w:rsidR="00D6243D" w:rsidRPr="00E74CFE">
        <w:rPr>
          <w:sz w:val="24"/>
          <w:szCs w:val="24"/>
          <w:u w:val="single"/>
        </w:rPr>
        <w:tab/>
      </w:r>
    </w:p>
    <w:p w:rsidR="00D6243D" w:rsidRPr="00E74CFE" w:rsidRDefault="00D6243D" w:rsidP="00D6243D">
      <w:pPr>
        <w:rPr>
          <w:sz w:val="24"/>
          <w:szCs w:val="24"/>
        </w:rPr>
      </w:pPr>
      <w:r w:rsidRPr="00E74CFE">
        <w:rPr>
          <w:sz w:val="24"/>
          <w:szCs w:val="24"/>
        </w:rPr>
        <w:tab/>
      </w:r>
      <w:r w:rsidRPr="00E74CFE">
        <w:rPr>
          <w:sz w:val="24"/>
          <w:szCs w:val="24"/>
        </w:rPr>
        <w:tab/>
      </w:r>
      <w:r w:rsidRPr="00E74CFE">
        <w:rPr>
          <w:sz w:val="24"/>
          <w:szCs w:val="24"/>
        </w:rPr>
        <w:tab/>
      </w:r>
      <w:r w:rsidRPr="00E74CFE">
        <w:rPr>
          <w:sz w:val="24"/>
          <w:szCs w:val="24"/>
        </w:rPr>
        <w:tab/>
      </w:r>
      <w:r w:rsidRPr="00E74CFE">
        <w:rPr>
          <w:sz w:val="24"/>
          <w:szCs w:val="24"/>
        </w:rPr>
        <w:tab/>
      </w:r>
      <w:r w:rsidRPr="00E74CFE">
        <w:rPr>
          <w:sz w:val="24"/>
          <w:szCs w:val="24"/>
        </w:rPr>
        <w:tab/>
      </w:r>
      <w:r w:rsidRPr="00E74CFE">
        <w:rPr>
          <w:sz w:val="24"/>
          <w:szCs w:val="24"/>
        </w:rPr>
        <w:tab/>
      </w:r>
      <w:r w:rsidRPr="00E74CFE">
        <w:rPr>
          <w:sz w:val="24"/>
          <w:szCs w:val="24"/>
        </w:rPr>
        <w:tab/>
      </w:r>
      <w:r w:rsidR="00E74CFE">
        <w:rPr>
          <w:sz w:val="24"/>
          <w:szCs w:val="24"/>
        </w:rPr>
        <w:t>Ember S. Jandebeur</w:t>
      </w:r>
    </w:p>
    <w:p w:rsidR="00D6243D" w:rsidRPr="00E74CFE" w:rsidRDefault="00D6243D" w:rsidP="00D6243D">
      <w:pPr>
        <w:rPr>
          <w:sz w:val="24"/>
          <w:szCs w:val="24"/>
        </w:rPr>
      </w:pPr>
      <w:r w:rsidRPr="00E74CFE">
        <w:rPr>
          <w:sz w:val="24"/>
          <w:szCs w:val="24"/>
        </w:rPr>
        <w:tab/>
      </w:r>
      <w:r w:rsidRPr="00E74CFE">
        <w:rPr>
          <w:sz w:val="24"/>
          <w:szCs w:val="24"/>
        </w:rPr>
        <w:tab/>
      </w:r>
      <w:r w:rsidRPr="00E74CFE">
        <w:rPr>
          <w:sz w:val="24"/>
          <w:szCs w:val="24"/>
        </w:rPr>
        <w:tab/>
      </w:r>
      <w:r w:rsidRPr="00E74CFE">
        <w:rPr>
          <w:sz w:val="24"/>
          <w:szCs w:val="24"/>
        </w:rPr>
        <w:tab/>
      </w:r>
      <w:r w:rsidRPr="00E74CFE">
        <w:rPr>
          <w:sz w:val="24"/>
          <w:szCs w:val="24"/>
        </w:rPr>
        <w:tab/>
      </w:r>
      <w:r w:rsidRPr="00E74CFE">
        <w:rPr>
          <w:sz w:val="24"/>
          <w:szCs w:val="24"/>
        </w:rPr>
        <w:tab/>
      </w:r>
      <w:r w:rsidRPr="00E74CFE">
        <w:rPr>
          <w:sz w:val="24"/>
          <w:szCs w:val="24"/>
        </w:rPr>
        <w:tab/>
      </w:r>
      <w:r w:rsidRPr="00E74CFE">
        <w:rPr>
          <w:sz w:val="24"/>
          <w:szCs w:val="24"/>
        </w:rPr>
        <w:tab/>
        <w:t>Administrative Law Judge</w:t>
      </w:r>
    </w:p>
    <w:p w:rsidR="00D671F6" w:rsidRDefault="00D671F6" w:rsidP="00CD13E1">
      <w:pPr>
        <w:jc w:val="both"/>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E4D" w:rsidRDefault="001F0E4D">
      <w:r>
        <w:separator/>
      </w:r>
    </w:p>
  </w:endnote>
  <w:endnote w:type="continuationSeparator" w:id="0">
    <w:p w:rsidR="001F0E4D" w:rsidRDefault="001F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850490">
      <w:rPr>
        <w:rStyle w:val="PageNumber"/>
        <w:noProof/>
        <w:sz w:val="20"/>
        <w:szCs w:val="20"/>
      </w:rPr>
      <w:t>7</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E4D" w:rsidRDefault="001F0E4D">
      <w:r>
        <w:separator/>
      </w:r>
    </w:p>
  </w:footnote>
  <w:footnote w:type="continuationSeparator" w:id="0">
    <w:p w:rsidR="001F0E4D" w:rsidRDefault="001F0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90510E"/>
    <w:multiLevelType w:val="hybridMultilevel"/>
    <w:tmpl w:val="E2AA16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5B581A"/>
    <w:multiLevelType w:val="hybridMultilevel"/>
    <w:tmpl w:val="428A24E2"/>
    <w:lvl w:ilvl="0" w:tplc="E868A4AE">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A62A2F"/>
    <w:multiLevelType w:val="hybridMultilevel"/>
    <w:tmpl w:val="1FE4B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74BEA"/>
    <w:multiLevelType w:val="hybridMultilevel"/>
    <w:tmpl w:val="5B74001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9DE6C51"/>
    <w:multiLevelType w:val="hybridMultilevel"/>
    <w:tmpl w:val="D452F192"/>
    <w:lvl w:ilvl="0" w:tplc="F2ECD4A2">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38C3991"/>
    <w:multiLevelType w:val="hybridMultilevel"/>
    <w:tmpl w:val="64D825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772F02"/>
    <w:multiLevelType w:val="hybridMultilevel"/>
    <w:tmpl w:val="1BA289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719C34AE"/>
    <w:multiLevelType w:val="hybridMultilevel"/>
    <w:tmpl w:val="443ACCFC"/>
    <w:lvl w:ilvl="0" w:tplc="ED1AC6A2">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6B1207"/>
    <w:multiLevelType w:val="hybridMultilevel"/>
    <w:tmpl w:val="EE5867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4"/>
  </w:num>
  <w:num w:numId="2">
    <w:abstractNumId w:val="24"/>
  </w:num>
  <w:num w:numId="3">
    <w:abstractNumId w:val="19"/>
  </w:num>
  <w:num w:numId="4">
    <w:abstractNumId w:val="3"/>
  </w:num>
  <w:num w:numId="5">
    <w:abstractNumId w:val="16"/>
  </w:num>
  <w:num w:numId="6">
    <w:abstractNumId w:val="12"/>
  </w:num>
  <w:num w:numId="7">
    <w:abstractNumId w:val="7"/>
  </w:num>
  <w:num w:numId="8">
    <w:abstractNumId w:val="0"/>
  </w:num>
  <w:num w:numId="9">
    <w:abstractNumId w:val="17"/>
  </w:num>
  <w:num w:numId="10">
    <w:abstractNumId w:val="20"/>
  </w:num>
  <w:num w:numId="11">
    <w:abstractNumId w:val="18"/>
  </w:num>
  <w:num w:numId="12">
    <w:abstractNumId w:val="28"/>
  </w:num>
  <w:num w:numId="13">
    <w:abstractNumId w:val="1"/>
  </w:num>
  <w:num w:numId="14">
    <w:abstractNumId w:val="8"/>
  </w:num>
  <w:num w:numId="15">
    <w:abstractNumId w:val="25"/>
  </w:num>
  <w:num w:numId="16">
    <w:abstractNumId w:val="27"/>
  </w:num>
  <w:num w:numId="17">
    <w:abstractNumId w:val="13"/>
  </w:num>
  <w:num w:numId="18">
    <w:abstractNumId w:val="5"/>
  </w:num>
  <w:num w:numId="19">
    <w:abstractNumId w:val="22"/>
  </w:num>
  <w:num w:numId="20">
    <w:abstractNumId w:val="4"/>
  </w:num>
  <w:num w:numId="21">
    <w:abstractNumId w:val="2"/>
  </w:num>
  <w:num w:numId="22">
    <w:abstractNumId w:val="21"/>
  </w:num>
  <w:num w:numId="23">
    <w:abstractNumId w:val="29"/>
  </w:num>
  <w:num w:numId="24">
    <w:abstractNumId w:val="23"/>
  </w:num>
  <w:num w:numId="25">
    <w:abstractNumId w:val="26"/>
  </w:num>
  <w:num w:numId="26">
    <w:abstractNumId w:val="10"/>
  </w:num>
  <w:num w:numId="27">
    <w:abstractNumId w:val="6"/>
  </w:num>
  <w:num w:numId="28">
    <w:abstractNumId w:val="15"/>
  </w:num>
  <w:num w:numId="29">
    <w:abstractNumId w:val="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46A"/>
    <w:rsid w:val="00022997"/>
    <w:rsid w:val="00022D67"/>
    <w:rsid w:val="0002512E"/>
    <w:rsid w:val="00034A86"/>
    <w:rsid w:val="00035C05"/>
    <w:rsid w:val="00035E78"/>
    <w:rsid w:val="000376EF"/>
    <w:rsid w:val="00042626"/>
    <w:rsid w:val="00055A89"/>
    <w:rsid w:val="00062F8E"/>
    <w:rsid w:val="000638E9"/>
    <w:rsid w:val="00064F92"/>
    <w:rsid w:val="0006610A"/>
    <w:rsid w:val="0006622C"/>
    <w:rsid w:val="00070E25"/>
    <w:rsid w:val="0007126E"/>
    <w:rsid w:val="000728A4"/>
    <w:rsid w:val="00075A22"/>
    <w:rsid w:val="000779FD"/>
    <w:rsid w:val="00082976"/>
    <w:rsid w:val="00091672"/>
    <w:rsid w:val="00091CE2"/>
    <w:rsid w:val="00093DB9"/>
    <w:rsid w:val="000967DB"/>
    <w:rsid w:val="000A001F"/>
    <w:rsid w:val="000A0E29"/>
    <w:rsid w:val="000A1CB9"/>
    <w:rsid w:val="000A20A3"/>
    <w:rsid w:val="000B5F6A"/>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2FF9"/>
    <w:rsid w:val="00134E8D"/>
    <w:rsid w:val="001404C5"/>
    <w:rsid w:val="00141DF5"/>
    <w:rsid w:val="00143C49"/>
    <w:rsid w:val="00144488"/>
    <w:rsid w:val="00147DEE"/>
    <w:rsid w:val="00152C6B"/>
    <w:rsid w:val="0015646C"/>
    <w:rsid w:val="001620CA"/>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0E4D"/>
    <w:rsid w:val="001F2116"/>
    <w:rsid w:val="001F6FC1"/>
    <w:rsid w:val="001F7F73"/>
    <w:rsid w:val="0020095D"/>
    <w:rsid w:val="00215221"/>
    <w:rsid w:val="00220C5E"/>
    <w:rsid w:val="00223E7E"/>
    <w:rsid w:val="00234619"/>
    <w:rsid w:val="0023520D"/>
    <w:rsid w:val="00235C44"/>
    <w:rsid w:val="00236FF7"/>
    <w:rsid w:val="002416AB"/>
    <w:rsid w:val="0024496F"/>
    <w:rsid w:val="00244D86"/>
    <w:rsid w:val="002533AA"/>
    <w:rsid w:val="0025370D"/>
    <w:rsid w:val="00260D19"/>
    <w:rsid w:val="002732DC"/>
    <w:rsid w:val="0028114B"/>
    <w:rsid w:val="0028185A"/>
    <w:rsid w:val="00290918"/>
    <w:rsid w:val="002919C6"/>
    <w:rsid w:val="00292B53"/>
    <w:rsid w:val="00293557"/>
    <w:rsid w:val="002959E3"/>
    <w:rsid w:val="002A7C1C"/>
    <w:rsid w:val="002B19D4"/>
    <w:rsid w:val="002B3489"/>
    <w:rsid w:val="002B4EAE"/>
    <w:rsid w:val="002C3FDE"/>
    <w:rsid w:val="002D13C5"/>
    <w:rsid w:val="002D554B"/>
    <w:rsid w:val="002E0985"/>
    <w:rsid w:val="002E6A66"/>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2F2"/>
    <w:rsid w:val="0035737A"/>
    <w:rsid w:val="003657A8"/>
    <w:rsid w:val="00374071"/>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69BF"/>
    <w:rsid w:val="00402359"/>
    <w:rsid w:val="004064A8"/>
    <w:rsid w:val="00417087"/>
    <w:rsid w:val="0042160A"/>
    <w:rsid w:val="0042193A"/>
    <w:rsid w:val="00422E29"/>
    <w:rsid w:val="00424A76"/>
    <w:rsid w:val="00427E73"/>
    <w:rsid w:val="004312BE"/>
    <w:rsid w:val="00431BEF"/>
    <w:rsid w:val="00442854"/>
    <w:rsid w:val="0046339D"/>
    <w:rsid w:val="00476C8A"/>
    <w:rsid w:val="00486535"/>
    <w:rsid w:val="00490174"/>
    <w:rsid w:val="004917C1"/>
    <w:rsid w:val="00491C99"/>
    <w:rsid w:val="00495450"/>
    <w:rsid w:val="00495B88"/>
    <w:rsid w:val="004A1805"/>
    <w:rsid w:val="004A5AD6"/>
    <w:rsid w:val="004C3EFA"/>
    <w:rsid w:val="004D1B54"/>
    <w:rsid w:val="004D3108"/>
    <w:rsid w:val="004D46FD"/>
    <w:rsid w:val="004E20CB"/>
    <w:rsid w:val="004E2912"/>
    <w:rsid w:val="004E533F"/>
    <w:rsid w:val="004F2D3D"/>
    <w:rsid w:val="005032B5"/>
    <w:rsid w:val="00515937"/>
    <w:rsid w:val="00517AD1"/>
    <w:rsid w:val="00523780"/>
    <w:rsid w:val="00526B2A"/>
    <w:rsid w:val="00530D1B"/>
    <w:rsid w:val="00531226"/>
    <w:rsid w:val="00531409"/>
    <w:rsid w:val="00535DF7"/>
    <w:rsid w:val="00542107"/>
    <w:rsid w:val="00553EEB"/>
    <w:rsid w:val="00564C41"/>
    <w:rsid w:val="0056706A"/>
    <w:rsid w:val="00582896"/>
    <w:rsid w:val="00584798"/>
    <w:rsid w:val="0059070D"/>
    <w:rsid w:val="00592C86"/>
    <w:rsid w:val="005A33D0"/>
    <w:rsid w:val="005A53AD"/>
    <w:rsid w:val="005B13B6"/>
    <w:rsid w:val="005B250B"/>
    <w:rsid w:val="005B3C00"/>
    <w:rsid w:val="005B6749"/>
    <w:rsid w:val="005B7834"/>
    <w:rsid w:val="005C28EC"/>
    <w:rsid w:val="005D19C4"/>
    <w:rsid w:val="005D2DEE"/>
    <w:rsid w:val="005D4D0C"/>
    <w:rsid w:val="005D7C0B"/>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96EB8"/>
    <w:rsid w:val="006A21C2"/>
    <w:rsid w:val="006A3B47"/>
    <w:rsid w:val="006A7A0A"/>
    <w:rsid w:val="006C1047"/>
    <w:rsid w:val="006C3226"/>
    <w:rsid w:val="006D4BB7"/>
    <w:rsid w:val="006D75BD"/>
    <w:rsid w:val="006E4407"/>
    <w:rsid w:val="006F35A9"/>
    <w:rsid w:val="006F44F9"/>
    <w:rsid w:val="007015FC"/>
    <w:rsid w:val="007114E7"/>
    <w:rsid w:val="0071588F"/>
    <w:rsid w:val="00730E0B"/>
    <w:rsid w:val="0073239A"/>
    <w:rsid w:val="0073727C"/>
    <w:rsid w:val="00744AF3"/>
    <w:rsid w:val="0074667D"/>
    <w:rsid w:val="00747E56"/>
    <w:rsid w:val="00751672"/>
    <w:rsid w:val="007520A3"/>
    <w:rsid w:val="0075510C"/>
    <w:rsid w:val="00766C8E"/>
    <w:rsid w:val="00775593"/>
    <w:rsid w:val="00782A08"/>
    <w:rsid w:val="00786153"/>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3141"/>
    <w:rsid w:val="008103BE"/>
    <w:rsid w:val="0081070B"/>
    <w:rsid w:val="008142EB"/>
    <w:rsid w:val="0081669B"/>
    <w:rsid w:val="0081696C"/>
    <w:rsid w:val="008228F3"/>
    <w:rsid w:val="00823F91"/>
    <w:rsid w:val="008241E1"/>
    <w:rsid w:val="00824683"/>
    <w:rsid w:val="008354C5"/>
    <w:rsid w:val="0083691D"/>
    <w:rsid w:val="00840FD3"/>
    <w:rsid w:val="00841779"/>
    <w:rsid w:val="00850490"/>
    <w:rsid w:val="008506A0"/>
    <w:rsid w:val="00851A4F"/>
    <w:rsid w:val="00865C4E"/>
    <w:rsid w:val="00866264"/>
    <w:rsid w:val="008663C0"/>
    <w:rsid w:val="008746E1"/>
    <w:rsid w:val="0087572C"/>
    <w:rsid w:val="00876A2B"/>
    <w:rsid w:val="008803F7"/>
    <w:rsid w:val="00881C76"/>
    <w:rsid w:val="0088763C"/>
    <w:rsid w:val="00893B0E"/>
    <w:rsid w:val="00893F0B"/>
    <w:rsid w:val="00894839"/>
    <w:rsid w:val="0089761B"/>
    <w:rsid w:val="008A09E8"/>
    <w:rsid w:val="008A60E2"/>
    <w:rsid w:val="008B1A8B"/>
    <w:rsid w:val="008B282A"/>
    <w:rsid w:val="008B2B8B"/>
    <w:rsid w:val="008B72FE"/>
    <w:rsid w:val="008D6D09"/>
    <w:rsid w:val="008D761F"/>
    <w:rsid w:val="008E3BE1"/>
    <w:rsid w:val="008E5A53"/>
    <w:rsid w:val="008E77DD"/>
    <w:rsid w:val="008F013A"/>
    <w:rsid w:val="008F22F9"/>
    <w:rsid w:val="008F554F"/>
    <w:rsid w:val="008F6AC3"/>
    <w:rsid w:val="009077E3"/>
    <w:rsid w:val="00910EF2"/>
    <w:rsid w:val="00913B17"/>
    <w:rsid w:val="009166DD"/>
    <w:rsid w:val="0091672D"/>
    <w:rsid w:val="00922FE6"/>
    <w:rsid w:val="009342E4"/>
    <w:rsid w:val="00942917"/>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B5FE2"/>
    <w:rsid w:val="009C22D0"/>
    <w:rsid w:val="009D5A08"/>
    <w:rsid w:val="009E69A1"/>
    <w:rsid w:val="009F24FB"/>
    <w:rsid w:val="009F4939"/>
    <w:rsid w:val="009F7BD8"/>
    <w:rsid w:val="00A022C7"/>
    <w:rsid w:val="00A02D20"/>
    <w:rsid w:val="00A0627A"/>
    <w:rsid w:val="00A21A8A"/>
    <w:rsid w:val="00A22653"/>
    <w:rsid w:val="00A23BC5"/>
    <w:rsid w:val="00A24F45"/>
    <w:rsid w:val="00A345AE"/>
    <w:rsid w:val="00A409B8"/>
    <w:rsid w:val="00A4383B"/>
    <w:rsid w:val="00A475EE"/>
    <w:rsid w:val="00A523A9"/>
    <w:rsid w:val="00A52E9C"/>
    <w:rsid w:val="00A67786"/>
    <w:rsid w:val="00A67C1E"/>
    <w:rsid w:val="00A761ED"/>
    <w:rsid w:val="00A76B1D"/>
    <w:rsid w:val="00A86505"/>
    <w:rsid w:val="00A94DF8"/>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6E5"/>
    <w:rsid w:val="00AE3E93"/>
    <w:rsid w:val="00AE6D1F"/>
    <w:rsid w:val="00AF2068"/>
    <w:rsid w:val="00AF5BFF"/>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5401"/>
    <w:rsid w:val="00B665D7"/>
    <w:rsid w:val="00B70860"/>
    <w:rsid w:val="00B71D02"/>
    <w:rsid w:val="00B87994"/>
    <w:rsid w:val="00B922CF"/>
    <w:rsid w:val="00B94E3D"/>
    <w:rsid w:val="00BA47D2"/>
    <w:rsid w:val="00BA61F7"/>
    <w:rsid w:val="00BB3104"/>
    <w:rsid w:val="00BB352A"/>
    <w:rsid w:val="00BC2D8F"/>
    <w:rsid w:val="00BC2DE6"/>
    <w:rsid w:val="00BC7240"/>
    <w:rsid w:val="00BD42F1"/>
    <w:rsid w:val="00BE1D82"/>
    <w:rsid w:val="00BE6352"/>
    <w:rsid w:val="00BF5F04"/>
    <w:rsid w:val="00BF63CB"/>
    <w:rsid w:val="00C052E4"/>
    <w:rsid w:val="00C07D29"/>
    <w:rsid w:val="00C1140C"/>
    <w:rsid w:val="00C11864"/>
    <w:rsid w:val="00C1195C"/>
    <w:rsid w:val="00C136F0"/>
    <w:rsid w:val="00C150A5"/>
    <w:rsid w:val="00C21F78"/>
    <w:rsid w:val="00C224B0"/>
    <w:rsid w:val="00C25C02"/>
    <w:rsid w:val="00C27A38"/>
    <w:rsid w:val="00C302A8"/>
    <w:rsid w:val="00C322C5"/>
    <w:rsid w:val="00C34D87"/>
    <w:rsid w:val="00C35D90"/>
    <w:rsid w:val="00C37F96"/>
    <w:rsid w:val="00C419F9"/>
    <w:rsid w:val="00C426F5"/>
    <w:rsid w:val="00C45D4C"/>
    <w:rsid w:val="00C477B5"/>
    <w:rsid w:val="00C546D2"/>
    <w:rsid w:val="00C61510"/>
    <w:rsid w:val="00C61561"/>
    <w:rsid w:val="00C6634A"/>
    <w:rsid w:val="00C6662D"/>
    <w:rsid w:val="00C7068E"/>
    <w:rsid w:val="00C769EE"/>
    <w:rsid w:val="00C86201"/>
    <w:rsid w:val="00C908AD"/>
    <w:rsid w:val="00C920E5"/>
    <w:rsid w:val="00C94BB9"/>
    <w:rsid w:val="00CA1E0E"/>
    <w:rsid w:val="00CA5BA3"/>
    <w:rsid w:val="00CB0D2B"/>
    <w:rsid w:val="00CB4F5E"/>
    <w:rsid w:val="00CB6A72"/>
    <w:rsid w:val="00CC49DA"/>
    <w:rsid w:val="00CC5E96"/>
    <w:rsid w:val="00CD13E1"/>
    <w:rsid w:val="00CD4A78"/>
    <w:rsid w:val="00CD6B6A"/>
    <w:rsid w:val="00CE43B4"/>
    <w:rsid w:val="00CE68C6"/>
    <w:rsid w:val="00CF3BB0"/>
    <w:rsid w:val="00CF7138"/>
    <w:rsid w:val="00D02084"/>
    <w:rsid w:val="00D04C40"/>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43D"/>
    <w:rsid w:val="00D6261D"/>
    <w:rsid w:val="00D6598A"/>
    <w:rsid w:val="00D65F4B"/>
    <w:rsid w:val="00D671F6"/>
    <w:rsid w:val="00D71653"/>
    <w:rsid w:val="00D72436"/>
    <w:rsid w:val="00D8063C"/>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DF5A06"/>
    <w:rsid w:val="00E00EAF"/>
    <w:rsid w:val="00E0236A"/>
    <w:rsid w:val="00E11739"/>
    <w:rsid w:val="00E12F72"/>
    <w:rsid w:val="00E15A2D"/>
    <w:rsid w:val="00E15B2B"/>
    <w:rsid w:val="00E267A5"/>
    <w:rsid w:val="00E32490"/>
    <w:rsid w:val="00E32DA2"/>
    <w:rsid w:val="00E35AC9"/>
    <w:rsid w:val="00E413A9"/>
    <w:rsid w:val="00E45DE1"/>
    <w:rsid w:val="00E5003A"/>
    <w:rsid w:val="00E514FA"/>
    <w:rsid w:val="00E51D1F"/>
    <w:rsid w:val="00E56529"/>
    <w:rsid w:val="00E6135C"/>
    <w:rsid w:val="00E659AC"/>
    <w:rsid w:val="00E66725"/>
    <w:rsid w:val="00E67591"/>
    <w:rsid w:val="00E67A2A"/>
    <w:rsid w:val="00E728B0"/>
    <w:rsid w:val="00E74CFE"/>
    <w:rsid w:val="00E75758"/>
    <w:rsid w:val="00E75BC0"/>
    <w:rsid w:val="00E83A32"/>
    <w:rsid w:val="00E85ECC"/>
    <w:rsid w:val="00E9292D"/>
    <w:rsid w:val="00E96A16"/>
    <w:rsid w:val="00EA2B0E"/>
    <w:rsid w:val="00EA319E"/>
    <w:rsid w:val="00EA56F6"/>
    <w:rsid w:val="00EA77CE"/>
    <w:rsid w:val="00EB1DAB"/>
    <w:rsid w:val="00EB1EEE"/>
    <w:rsid w:val="00EC15BD"/>
    <w:rsid w:val="00EC38D5"/>
    <w:rsid w:val="00EC41CE"/>
    <w:rsid w:val="00EC477B"/>
    <w:rsid w:val="00ED0F47"/>
    <w:rsid w:val="00EE34BE"/>
    <w:rsid w:val="00EF6C7F"/>
    <w:rsid w:val="00F2180F"/>
    <w:rsid w:val="00F31732"/>
    <w:rsid w:val="00F31F04"/>
    <w:rsid w:val="00F327E2"/>
    <w:rsid w:val="00F34A38"/>
    <w:rsid w:val="00F375FF"/>
    <w:rsid w:val="00F50C2B"/>
    <w:rsid w:val="00F566E6"/>
    <w:rsid w:val="00F702DD"/>
    <w:rsid w:val="00F721A2"/>
    <w:rsid w:val="00F72B51"/>
    <w:rsid w:val="00F73493"/>
    <w:rsid w:val="00F734B6"/>
    <w:rsid w:val="00F76C50"/>
    <w:rsid w:val="00F84427"/>
    <w:rsid w:val="00F85050"/>
    <w:rsid w:val="00F86303"/>
    <w:rsid w:val="00F9248B"/>
    <w:rsid w:val="00F95BD7"/>
    <w:rsid w:val="00FA1741"/>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453D-8A1E-458F-AAF3-9E6750F5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19</cp:revision>
  <cp:lastPrinted>2013-10-18T16:17:00Z</cp:lastPrinted>
  <dcterms:created xsi:type="dcterms:W3CDTF">2013-10-18T15:52:00Z</dcterms:created>
  <dcterms:modified xsi:type="dcterms:W3CDTF">2013-10-18T16:29:00Z</dcterms:modified>
</cp:coreProperties>
</file>