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70A59" w:rsidRDefault="00F514FB" w:rsidP="00D82363">
      <w:pPr>
        <w:tabs>
          <w:tab w:val="center" w:pos="4680"/>
        </w:tabs>
        <w:suppressAutoHyphens/>
        <w:contextualSpacing/>
        <w:jc w:val="center"/>
        <w:rPr>
          <w:b/>
          <w:sz w:val="26"/>
          <w:szCs w:val="26"/>
        </w:rPr>
      </w:pPr>
      <w:r w:rsidRPr="00F70A59">
        <w:rPr>
          <w:b/>
          <w:sz w:val="26"/>
          <w:szCs w:val="26"/>
        </w:rPr>
        <w:t>PENNSYLVANIA</w:t>
      </w:r>
    </w:p>
    <w:p w:rsidR="00F514FB" w:rsidRPr="00F70A59" w:rsidRDefault="00F514FB" w:rsidP="00D82363">
      <w:pPr>
        <w:tabs>
          <w:tab w:val="center" w:pos="4680"/>
        </w:tabs>
        <w:suppressAutoHyphens/>
        <w:contextualSpacing/>
        <w:jc w:val="center"/>
        <w:rPr>
          <w:b/>
          <w:sz w:val="26"/>
          <w:szCs w:val="26"/>
        </w:rPr>
      </w:pPr>
      <w:r w:rsidRPr="00F70A59">
        <w:rPr>
          <w:b/>
          <w:sz w:val="26"/>
          <w:szCs w:val="26"/>
        </w:rPr>
        <w:t>PUBLIC UTILITY COMMISSION</w:t>
      </w:r>
    </w:p>
    <w:p w:rsidR="00F514FB" w:rsidRPr="00F70A59" w:rsidRDefault="00F514FB" w:rsidP="00D82363">
      <w:pPr>
        <w:tabs>
          <w:tab w:val="center" w:pos="4680"/>
        </w:tabs>
        <w:suppressAutoHyphens/>
        <w:contextualSpacing/>
        <w:jc w:val="center"/>
        <w:rPr>
          <w:b/>
          <w:sz w:val="26"/>
          <w:szCs w:val="26"/>
        </w:rPr>
      </w:pPr>
      <w:r w:rsidRPr="00F70A59">
        <w:rPr>
          <w:b/>
          <w:sz w:val="26"/>
          <w:szCs w:val="26"/>
        </w:rPr>
        <w:t>Harrisburg, PA 17105-3265</w:t>
      </w:r>
    </w:p>
    <w:p w:rsidR="00F514FB" w:rsidRPr="008516FF" w:rsidRDefault="00F514FB" w:rsidP="00D82363">
      <w:pPr>
        <w:tabs>
          <w:tab w:val="left" w:pos="-720"/>
        </w:tabs>
        <w:suppressAutoHyphens/>
        <w:contextualSpacing/>
        <w:rPr>
          <w:sz w:val="26"/>
          <w:szCs w:val="26"/>
        </w:rPr>
      </w:pPr>
    </w:p>
    <w:p w:rsidR="00F514FB" w:rsidRPr="008516FF" w:rsidRDefault="00F514FB" w:rsidP="00D82363">
      <w:pPr>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8516FF" w:rsidRPr="008516FF" w:rsidTr="00DE25AC">
        <w:tc>
          <w:tcPr>
            <w:tcW w:w="5058" w:type="dxa"/>
          </w:tcPr>
          <w:p w:rsidR="00F514FB" w:rsidRPr="008516FF" w:rsidRDefault="00F514FB" w:rsidP="00D82363">
            <w:pPr>
              <w:contextualSpacing/>
              <w:rPr>
                <w:sz w:val="26"/>
                <w:szCs w:val="26"/>
              </w:rPr>
            </w:pPr>
          </w:p>
        </w:tc>
        <w:tc>
          <w:tcPr>
            <w:tcW w:w="4428" w:type="dxa"/>
          </w:tcPr>
          <w:p w:rsidR="00F514FB" w:rsidRPr="008516FF" w:rsidRDefault="009E335A" w:rsidP="00D82363">
            <w:pPr>
              <w:contextualSpacing/>
              <w:jc w:val="right"/>
              <w:rPr>
                <w:sz w:val="26"/>
                <w:szCs w:val="26"/>
              </w:rPr>
            </w:pPr>
            <w:r>
              <w:rPr>
                <w:sz w:val="26"/>
                <w:szCs w:val="26"/>
              </w:rPr>
              <w:t>Public Meeting held October 31, 2013</w:t>
            </w:r>
          </w:p>
          <w:p w:rsidR="00F514FB" w:rsidRPr="008516FF" w:rsidRDefault="00F514FB" w:rsidP="00D82363">
            <w:pPr>
              <w:contextualSpacing/>
              <w:jc w:val="right"/>
              <w:rPr>
                <w:sz w:val="26"/>
                <w:szCs w:val="26"/>
              </w:rPr>
            </w:pPr>
          </w:p>
          <w:p w:rsidR="00F514FB" w:rsidRPr="008516FF" w:rsidRDefault="00F514FB" w:rsidP="00D82363">
            <w:pPr>
              <w:contextualSpacing/>
              <w:jc w:val="right"/>
              <w:rPr>
                <w:sz w:val="26"/>
                <w:szCs w:val="26"/>
              </w:rPr>
            </w:pPr>
          </w:p>
        </w:tc>
      </w:tr>
      <w:tr w:rsidR="008516FF" w:rsidRPr="008516FF" w:rsidTr="001B2F2D">
        <w:tc>
          <w:tcPr>
            <w:tcW w:w="5058" w:type="dxa"/>
          </w:tcPr>
          <w:p w:rsidR="00F514FB" w:rsidRPr="008516FF" w:rsidRDefault="00F514FB" w:rsidP="00D82363">
            <w:pPr>
              <w:contextualSpacing/>
              <w:rPr>
                <w:sz w:val="26"/>
                <w:szCs w:val="26"/>
              </w:rPr>
            </w:pPr>
            <w:r w:rsidRPr="008516FF">
              <w:rPr>
                <w:sz w:val="26"/>
                <w:szCs w:val="26"/>
              </w:rPr>
              <w:t>Commissioners Present:</w:t>
            </w:r>
          </w:p>
          <w:p w:rsidR="00F514FB" w:rsidRPr="008516FF" w:rsidRDefault="00F514FB" w:rsidP="00D82363">
            <w:pPr>
              <w:contextualSpacing/>
              <w:rPr>
                <w:sz w:val="26"/>
                <w:szCs w:val="26"/>
              </w:rPr>
            </w:pPr>
          </w:p>
          <w:p w:rsidR="00F514FB" w:rsidRPr="008516FF" w:rsidRDefault="00F514FB" w:rsidP="00D82363">
            <w:pPr>
              <w:tabs>
                <w:tab w:val="left" w:pos="705"/>
              </w:tabs>
              <w:ind w:firstLine="720"/>
              <w:contextualSpacing/>
              <w:rPr>
                <w:sz w:val="26"/>
                <w:szCs w:val="26"/>
              </w:rPr>
            </w:pPr>
            <w:r w:rsidRPr="008516FF">
              <w:rPr>
                <w:sz w:val="26"/>
                <w:szCs w:val="26"/>
              </w:rPr>
              <w:t>Robert F. Powelson, Chairman</w:t>
            </w:r>
          </w:p>
          <w:p w:rsidR="00F514FB" w:rsidRPr="008516FF" w:rsidRDefault="00F514FB" w:rsidP="00D82363">
            <w:pPr>
              <w:tabs>
                <w:tab w:val="left" w:pos="705"/>
              </w:tabs>
              <w:ind w:firstLine="720"/>
              <w:contextualSpacing/>
              <w:rPr>
                <w:sz w:val="26"/>
                <w:szCs w:val="26"/>
              </w:rPr>
            </w:pPr>
            <w:r w:rsidRPr="008516FF">
              <w:rPr>
                <w:sz w:val="26"/>
                <w:szCs w:val="26"/>
              </w:rPr>
              <w:t>John F. Coleman, Jr., Vice Chairman</w:t>
            </w:r>
          </w:p>
          <w:p w:rsidR="00F514FB" w:rsidRPr="008516FF" w:rsidRDefault="00F514FB" w:rsidP="00D82363">
            <w:pPr>
              <w:tabs>
                <w:tab w:val="left" w:pos="705"/>
              </w:tabs>
              <w:ind w:firstLine="720"/>
              <w:contextualSpacing/>
              <w:rPr>
                <w:sz w:val="26"/>
                <w:szCs w:val="26"/>
              </w:rPr>
            </w:pPr>
            <w:r w:rsidRPr="008516FF">
              <w:rPr>
                <w:sz w:val="26"/>
                <w:szCs w:val="26"/>
              </w:rPr>
              <w:t>James H. Cawley</w:t>
            </w:r>
          </w:p>
          <w:p w:rsidR="00F514FB" w:rsidRDefault="00F514FB" w:rsidP="00D82363">
            <w:pPr>
              <w:tabs>
                <w:tab w:val="left" w:pos="705"/>
              </w:tabs>
              <w:ind w:firstLine="720"/>
              <w:contextualSpacing/>
              <w:rPr>
                <w:sz w:val="26"/>
                <w:szCs w:val="26"/>
              </w:rPr>
            </w:pPr>
            <w:r w:rsidRPr="008516FF">
              <w:rPr>
                <w:sz w:val="26"/>
                <w:szCs w:val="26"/>
              </w:rPr>
              <w:t>Pamela A. Witmer</w:t>
            </w:r>
          </w:p>
          <w:p w:rsidR="00526FB5" w:rsidRPr="008516FF" w:rsidRDefault="00526FB5" w:rsidP="00D82363">
            <w:pPr>
              <w:tabs>
                <w:tab w:val="left" w:pos="705"/>
              </w:tabs>
              <w:ind w:firstLine="720"/>
              <w:contextualSpacing/>
              <w:rPr>
                <w:sz w:val="26"/>
                <w:szCs w:val="26"/>
              </w:rPr>
            </w:pPr>
            <w:r>
              <w:rPr>
                <w:sz w:val="26"/>
                <w:szCs w:val="26"/>
              </w:rPr>
              <w:t>Gladys M. Brown</w:t>
            </w:r>
          </w:p>
          <w:p w:rsidR="00F514FB" w:rsidRPr="008516FF" w:rsidRDefault="00F514FB" w:rsidP="00D82363">
            <w:pPr>
              <w:contextualSpacing/>
              <w:rPr>
                <w:sz w:val="26"/>
                <w:szCs w:val="26"/>
              </w:rPr>
            </w:pPr>
          </w:p>
        </w:tc>
        <w:tc>
          <w:tcPr>
            <w:tcW w:w="4428" w:type="dxa"/>
          </w:tcPr>
          <w:p w:rsidR="00F514FB" w:rsidRPr="008516FF" w:rsidRDefault="00F514FB" w:rsidP="00D82363">
            <w:pPr>
              <w:contextualSpacing/>
              <w:jc w:val="right"/>
              <w:rPr>
                <w:sz w:val="26"/>
                <w:szCs w:val="26"/>
              </w:rPr>
            </w:pPr>
          </w:p>
          <w:p w:rsidR="00F514FB" w:rsidRPr="008516FF" w:rsidRDefault="00F514FB" w:rsidP="00D82363">
            <w:pPr>
              <w:contextualSpacing/>
              <w:jc w:val="right"/>
              <w:rPr>
                <w:sz w:val="26"/>
                <w:szCs w:val="26"/>
              </w:rPr>
            </w:pPr>
          </w:p>
        </w:tc>
      </w:tr>
      <w:tr w:rsidR="008516FF" w:rsidRPr="008516FF" w:rsidTr="00DE25AC">
        <w:tc>
          <w:tcPr>
            <w:tcW w:w="5058" w:type="dxa"/>
          </w:tcPr>
          <w:p w:rsidR="00F514FB" w:rsidRPr="008516FF" w:rsidRDefault="005677F7" w:rsidP="00D82363">
            <w:pPr>
              <w:contextualSpacing/>
              <w:rPr>
                <w:sz w:val="26"/>
                <w:szCs w:val="26"/>
              </w:rPr>
            </w:pPr>
            <w:r>
              <w:rPr>
                <w:sz w:val="26"/>
                <w:szCs w:val="26"/>
              </w:rPr>
              <w:t>Caroline Chang</w:t>
            </w:r>
          </w:p>
          <w:p w:rsidR="00F514FB" w:rsidRPr="008516FF" w:rsidRDefault="00F514FB" w:rsidP="00D82363">
            <w:pPr>
              <w:contextualSpacing/>
              <w:rPr>
                <w:sz w:val="26"/>
                <w:szCs w:val="26"/>
              </w:rPr>
            </w:pPr>
          </w:p>
        </w:tc>
        <w:tc>
          <w:tcPr>
            <w:tcW w:w="4428" w:type="dxa"/>
          </w:tcPr>
          <w:p w:rsidR="00F514FB" w:rsidRPr="008516FF" w:rsidRDefault="005677F7" w:rsidP="00D82363">
            <w:pPr>
              <w:contextualSpacing/>
              <w:jc w:val="right"/>
              <w:rPr>
                <w:sz w:val="26"/>
                <w:szCs w:val="26"/>
              </w:rPr>
            </w:pPr>
            <w:r>
              <w:rPr>
                <w:sz w:val="26"/>
                <w:szCs w:val="26"/>
              </w:rPr>
              <w:t>C-2012-2337849</w:t>
            </w:r>
          </w:p>
        </w:tc>
      </w:tr>
      <w:tr w:rsidR="008516FF" w:rsidRPr="008516FF" w:rsidTr="00DE25AC">
        <w:tc>
          <w:tcPr>
            <w:tcW w:w="5058" w:type="dxa"/>
          </w:tcPr>
          <w:p w:rsidR="00F514FB" w:rsidRPr="008516FF" w:rsidRDefault="00F514FB" w:rsidP="00D82363">
            <w:pPr>
              <w:ind w:firstLine="1440"/>
              <w:contextualSpacing/>
              <w:rPr>
                <w:sz w:val="26"/>
                <w:szCs w:val="26"/>
              </w:rPr>
            </w:pPr>
            <w:r w:rsidRPr="008516FF">
              <w:rPr>
                <w:sz w:val="26"/>
                <w:szCs w:val="26"/>
              </w:rPr>
              <w:t>v.</w:t>
            </w:r>
          </w:p>
          <w:p w:rsidR="00F514FB" w:rsidRPr="008516FF" w:rsidRDefault="00F514FB" w:rsidP="00D82363">
            <w:pPr>
              <w:ind w:firstLine="1440"/>
              <w:contextualSpacing/>
              <w:rPr>
                <w:sz w:val="26"/>
                <w:szCs w:val="26"/>
              </w:rPr>
            </w:pPr>
          </w:p>
        </w:tc>
        <w:tc>
          <w:tcPr>
            <w:tcW w:w="4428" w:type="dxa"/>
          </w:tcPr>
          <w:p w:rsidR="00F514FB" w:rsidRPr="008516FF" w:rsidRDefault="00F514FB" w:rsidP="00D82363">
            <w:pPr>
              <w:contextualSpacing/>
              <w:rPr>
                <w:sz w:val="26"/>
                <w:szCs w:val="26"/>
              </w:rPr>
            </w:pPr>
          </w:p>
        </w:tc>
      </w:tr>
      <w:tr w:rsidR="00F514FB" w:rsidRPr="008516FF" w:rsidTr="001B2F2D">
        <w:tc>
          <w:tcPr>
            <w:tcW w:w="5058" w:type="dxa"/>
          </w:tcPr>
          <w:p w:rsidR="00F514FB" w:rsidRPr="008516FF" w:rsidRDefault="005677F7" w:rsidP="00D82363">
            <w:pPr>
              <w:contextualSpacing/>
              <w:rPr>
                <w:sz w:val="26"/>
                <w:szCs w:val="26"/>
              </w:rPr>
            </w:pPr>
            <w:r>
              <w:rPr>
                <w:sz w:val="26"/>
                <w:szCs w:val="26"/>
              </w:rPr>
              <w:t>Pennsylvania</w:t>
            </w:r>
            <w:r w:rsidR="0018550A">
              <w:rPr>
                <w:sz w:val="26"/>
                <w:szCs w:val="26"/>
              </w:rPr>
              <w:t>-</w:t>
            </w:r>
            <w:r>
              <w:rPr>
                <w:sz w:val="26"/>
                <w:szCs w:val="26"/>
              </w:rPr>
              <w:t>American Water Company</w:t>
            </w:r>
          </w:p>
        </w:tc>
        <w:tc>
          <w:tcPr>
            <w:tcW w:w="4428" w:type="dxa"/>
          </w:tcPr>
          <w:p w:rsidR="00F514FB" w:rsidRPr="008516FF" w:rsidRDefault="00F514FB" w:rsidP="00D82363">
            <w:pPr>
              <w:contextualSpacing/>
              <w:rPr>
                <w:sz w:val="26"/>
                <w:szCs w:val="26"/>
              </w:rPr>
            </w:pPr>
          </w:p>
        </w:tc>
      </w:tr>
    </w:tbl>
    <w:p w:rsidR="00F514FB" w:rsidRPr="008516FF" w:rsidRDefault="00F514FB" w:rsidP="00D82363">
      <w:pPr>
        <w:contextualSpacing/>
        <w:rPr>
          <w:sz w:val="26"/>
          <w:szCs w:val="26"/>
        </w:rPr>
      </w:pPr>
    </w:p>
    <w:p w:rsidR="00F514FB" w:rsidRPr="008516FF" w:rsidRDefault="00F514FB" w:rsidP="00D82363">
      <w:pPr>
        <w:contextualSpacing/>
        <w:rPr>
          <w:sz w:val="26"/>
          <w:szCs w:val="26"/>
        </w:rPr>
      </w:pPr>
    </w:p>
    <w:p w:rsidR="00F514FB" w:rsidRPr="008910EB" w:rsidRDefault="00F514FB" w:rsidP="00D82363">
      <w:pPr>
        <w:contextualSpacing/>
        <w:jc w:val="center"/>
        <w:rPr>
          <w:b/>
          <w:sz w:val="26"/>
          <w:szCs w:val="26"/>
        </w:rPr>
      </w:pPr>
      <w:r w:rsidRPr="008910EB">
        <w:rPr>
          <w:b/>
          <w:sz w:val="26"/>
          <w:szCs w:val="26"/>
        </w:rPr>
        <w:t xml:space="preserve">OPINION </w:t>
      </w:r>
      <w:smartTag w:uri="urn:schemas-microsoft-com:office:smarttags" w:element="stockticker">
        <w:r w:rsidRPr="008910EB">
          <w:rPr>
            <w:b/>
            <w:sz w:val="26"/>
            <w:szCs w:val="26"/>
          </w:rPr>
          <w:t>AND</w:t>
        </w:r>
      </w:smartTag>
      <w:r w:rsidRPr="008910EB">
        <w:rPr>
          <w:b/>
          <w:sz w:val="26"/>
          <w:szCs w:val="26"/>
        </w:rPr>
        <w:t xml:space="preserve"> ORDER</w:t>
      </w:r>
    </w:p>
    <w:p w:rsidR="00F514FB" w:rsidRPr="008910EB" w:rsidRDefault="00F514FB" w:rsidP="00D82363">
      <w:pPr>
        <w:contextualSpacing/>
        <w:jc w:val="center"/>
        <w:rPr>
          <w:b/>
          <w:sz w:val="26"/>
          <w:szCs w:val="26"/>
        </w:rPr>
      </w:pPr>
    </w:p>
    <w:p w:rsidR="00F514FB" w:rsidRPr="008910EB" w:rsidRDefault="00F514FB" w:rsidP="00D82363">
      <w:pPr>
        <w:contextualSpacing/>
        <w:jc w:val="center"/>
        <w:rPr>
          <w:b/>
          <w:sz w:val="26"/>
          <w:szCs w:val="26"/>
        </w:rPr>
      </w:pPr>
    </w:p>
    <w:p w:rsidR="00F514FB" w:rsidRPr="008910EB" w:rsidRDefault="00F514FB" w:rsidP="00D82363">
      <w:pPr>
        <w:contextualSpacing/>
        <w:rPr>
          <w:b/>
          <w:sz w:val="26"/>
          <w:szCs w:val="26"/>
        </w:rPr>
      </w:pPr>
      <w:r w:rsidRPr="008910EB">
        <w:rPr>
          <w:b/>
          <w:sz w:val="26"/>
          <w:szCs w:val="26"/>
        </w:rPr>
        <w:t>BY THE COMMISSION:</w:t>
      </w:r>
    </w:p>
    <w:p w:rsidR="00F514FB" w:rsidRPr="008516FF" w:rsidRDefault="00F514FB" w:rsidP="00D82363">
      <w:pPr>
        <w:spacing w:line="360" w:lineRule="auto"/>
        <w:contextualSpacing/>
        <w:rPr>
          <w:sz w:val="26"/>
          <w:szCs w:val="26"/>
        </w:rPr>
      </w:pPr>
    </w:p>
    <w:p w:rsidR="00CA43A5" w:rsidRPr="008516FF" w:rsidRDefault="00CA43A5" w:rsidP="00D82363">
      <w:pPr>
        <w:spacing w:line="360" w:lineRule="auto"/>
        <w:ind w:firstLine="1440"/>
        <w:contextualSpacing/>
        <w:rPr>
          <w:sz w:val="26"/>
          <w:szCs w:val="26"/>
        </w:rPr>
      </w:pPr>
      <w:r w:rsidRPr="008516FF">
        <w:rPr>
          <w:sz w:val="26"/>
          <w:szCs w:val="26"/>
        </w:rPr>
        <w:t xml:space="preserve">Before the Pennsylvania Public Utility Commission (Commission) for consideration and disposition </w:t>
      </w:r>
      <w:r w:rsidR="00671E4C" w:rsidRPr="008516FF">
        <w:rPr>
          <w:sz w:val="26"/>
        </w:rPr>
        <w:t>are the Exceptions</w:t>
      </w:r>
      <w:r w:rsidR="006C0289">
        <w:rPr>
          <w:sz w:val="26"/>
        </w:rPr>
        <w:t xml:space="preserve"> of Caroline </w:t>
      </w:r>
      <w:r w:rsidR="00F50473">
        <w:rPr>
          <w:sz w:val="26"/>
        </w:rPr>
        <w:t>Chang (</w:t>
      </w:r>
      <w:r w:rsidR="006C0289">
        <w:rPr>
          <w:sz w:val="26"/>
        </w:rPr>
        <w:t>Complainant</w:t>
      </w:r>
      <w:r w:rsidR="00946DF8">
        <w:rPr>
          <w:sz w:val="26"/>
        </w:rPr>
        <w:t>) filed on August 12, 2013</w:t>
      </w:r>
      <w:r w:rsidR="00671E4C" w:rsidRPr="008516FF">
        <w:rPr>
          <w:sz w:val="26"/>
        </w:rPr>
        <w:t xml:space="preserve">, to the Initial Decision (I.D.) of Administrative </w:t>
      </w:r>
      <w:r w:rsidR="00946DF8">
        <w:rPr>
          <w:sz w:val="26"/>
        </w:rPr>
        <w:t>Law Judge (ALJ) Ember S. Jandebeur</w:t>
      </w:r>
      <w:r w:rsidR="00671E4C" w:rsidRPr="008516FF">
        <w:rPr>
          <w:sz w:val="26"/>
        </w:rPr>
        <w:t>, w</w:t>
      </w:r>
      <w:r w:rsidR="00D2748A">
        <w:rPr>
          <w:sz w:val="26"/>
        </w:rPr>
        <w:t>hich was issued on June 24</w:t>
      </w:r>
      <w:r w:rsidR="00946DF8">
        <w:rPr>
          <w:sz w:val="26"/>
        </w:rPr>
        <w:t>, 2013</w:t>
      </w:r>
      <w:r w:rsidR="00671E4C" w:rsidRPr="008516FF">
        <w:rPr>
          <w:sz w:val="26"/>
        </w:rPr>
        <w:t>, in</w:t>
      </w:r>
      <w:r w:rsidR="00C07264">
        <w:rPr>
          <w:sz w:val="26"/>
        </w:rPr>
        <w:t xml:space="preserve"> the above-captioned proceeding</w:t>
      </w:r>
      <w:r w:rsidR="00671E4C" w:rsidRPr="008516FF">
        <w:rPr>
          <w:sz w:val="26"/>
        </w:rPr>
        <w:t xml:space="preserve">.  Replies to Exceptions </w:t>
      </w:r>
      <w:r w:rsidR="00946DF8">
        <w:rPr>
          <w:sz w:val="26"/>
        </w:rPr>
        <w:t>were filed by Pennsylvania</w:t>
      </w:r>
      <w:r w:rsidR="0018550A">
        <w:rPr>
          <w:sz w:val="26"/>
        </w:rPr>
        <w:t>-</w:t>
      </w:r>
      <w:r w:rsidR="00946DF8">
        <w:rPr>
          <w:sz w:val="26"/>
        </w:rPr>
        <w:t xml:space="preserve">American Water Company </w:t>
      </w:r>
      <w:r w:rsidR="00946DF8" w:rsidRPr="00EE6D67">
        <w:rPr>
          <w:sz w:val="26"/>
        </w:rPr>
        <w:t>(PAWC or Respondent)</w:t>
      </w:r>
      <w:r w:rsidR="00946DF8">
        <w:rPr>
          <w:sz w:val="26"/>
        </w:rPr>
        <w:t xml:space="preserve"> on August 23, 2013</w:t>
      </w:r>
      <w:r w:rsidR="00671E4C" w:rsidRPr="008516FF">
        <w:rPr>
          <w:sz w:val="26"/>
        </w:rPr>
        <w:t xml:space="preserve">.  </w:t>
      </w:r>
      <w:r w:rsidRPr="008516FF">
        <w:rPr>
          <w:sz w:val="26"/>
          <w:szCs w:val="26"/>
        </w:rPr>
        <w:t>For the reason</w:t>
      </w:r>
      <w:r w:rsidR="00946DF8">
        <w:rPr>
          <w:sz w:val="26"/>
          <w:szCs w:val="26"/>
        </w:rPr>
        <w:t xml:space="preserve">s stated below, we </w:t>
      </w:r>
      <w:r w:rsidR="00A7415B">
        <w:rPr>
          <w:sz w:val="26"/>
          <w:szCs w:val="26"/>
        </w:rPr>
        <w:t>shall deny</w:t>
      </w:r>
      <w:r w:rsidR="00946DF8">
        <w:rPr>
          <w:sz w:val="26"/>
          <w:szCs w:val="26"/>
        </w:rPr>
        <w:t xml:space="preserve"> </w:t>
      </w:r>
      <w:r w:rsidR="00946DF8" w:rsidRPr="001744BC">
        <w:rPr>
          <w:sz w:val="26"/>
          <w:szCs w:val="26"/>
        </w:rPr>
        <w:t xml:space="preserve">the Exceptions </w:t>
      </w:r>
      <w:r w:rsidR="00946DF8">
        <w:rPr>
          <w:sz w:val="26"/>
          <w:szCs w:val="26"/>
        </w:rPr>
        <w:t>of the Complainant</w:t>
      </w:r>
      <w:r w:rsidRPr="008516FF">
        <w:rPr>
          <w:sz w:val="26"/>
          <w:szCs w:val="26"/>
        </w:rPr>
        <w:t>.</w:t>
      </w:r>
      <w:r w:rsidR="009E335A">
        <w:rPr>
          <w:rStyle w:val="FootnoteReference"/>
          <w:sz w:val="26"/>
          <w:szCs w:val="26"/>
        </w:rPr>
        <w:footnoteReference w:id="1"/>
      </w:r>
    </w:p>
    <w:p w:rsidR="00CA43A5" w:rsidRPr="008516FF" w:rsidRDefault="00CA43A5" w:rsidP="00D82363">
      <w:pPr>
        <w:spacing w:line="360" w:lineRule="auto"/>
        <w:contextualSpacing/>
        <w:rPr>
          <w:sz w:val="26"/>
          <w:szCs w:val="26"/>
        </w:rPr>
      </w:pPr>
    </w:p>
    <w:p w:rsidR="00CA43A5" w:rsidRDefault="00CA43A5" w:rsidP="00D82363">
      <w:pPr>
        <w:spacing w:line="360" w:lineRule="auto"/>
        <w:contextualSpacing/>
        <w:jc w:val="center"/>
        <w:rPr>
          <w:b/>
          <w:sz w:val="26"/>
          <w:szCs w:val="26"/>
        </w:rPr>
      </w:pPr>
      <w:bookmarkStart w:id="0" w:name="OLE_LINK1"/>
      <w:bookmarkStart w:id="1" w:name="OLE_LINK2"/>
      <w:r w:rsidRPr="00F70A59">
        <w:rPr>
          <w:b/>
          <w:sz w:val="26"/>
          <w:szCs w:val="26"/>
        </w:rPr>
        <w:lastRenderedPageBreak/>
        <w:t>History of the Proceeding</w:t>
      </w:r>
    </w:p>
    <w:p w:rsidR="00F70A59" w:rsidRPr="00F70A59" w:rsidRDefault="00F70A59" w:rsidP="00D82363">
      <w:pPr>
        <w:spacing w:line="360" w:lineRule="auto"/>
        <w:contextualSpacing/>
        <w:jc w:val="center"/>
        <w:rPr>
          <w:b/>
          <w:sz w:val="26"/>
          <w:szCs w:val="26"/>
        </w:rPr>
      </w:pPr>
    </w:p>
    <w:bookmarkEnd w:id="0"/>
    <w:bookmarkEnd w:id="1"/>
    <w:p w:rsidR="001B2F2D" w:rsidRDefault="00F6622D" w:rsidP="00D82363">
      <w:pPr>
        <w:widowControl/>
        <w:tabs>
          <w:tab w:val="left" w:pos="-1440"/>
          <w:tab w:val="left" w:pos="-720"/>
        </w:tabs>
        <w:suppressAutoHyphens/>
        <w:spacing w:line="360" w:lineRule="auto"/>
        <w:ind w:firstLine="1440"/>
        <w:contextualSpacing/>
        <w:rPr>
          <w:sz w:val="26"/>
          <w:szCs w:val="24"/>
        </w:rPr>
      </w:pPr>
      <w:r w:rsidRPr="008516FF">
        <w:rPr>
          <w:sz w:val="26"/>
          <w:szCs w:val="24"/>
        </w:rPr>
        <w:t>On De</w:t>
      </w:r>
      <w:r w:rsidR="00F70A59">
        <w:rPr>
          <w:sz w:val="26"/>
          <w:szCs w:val="24"/>
        </w:rPr>
        <w:t>cember 3, 2012, the Complainant</w:t>
      </w:r>
      <w:r w:rsidRPr="008516FF">
        <w:rPr>
          <w:sz w:val="26"/>
          <w:szCs w:val="24"/>
        </w:rPr>
        <w:t xml:space="preserve"> filed a Formal Complaint</w:t>
      </w:r>
      <w:r w:rsidR="00627697">
        <w:rPr>
          <w:rStyle w:val="FootnoteReference"/>
          <w:sz w:val="26"/>
          <w:szCs w:val="24"/>
        </w:rPr>
        <w:footnoteReference w:id="2"/>
      </w:r>
      <w:r w:rsidRPr="008516FF">
        <w:rPr>
          <w:sz w:val="26"/>
          <w:szCs w:val="24"/>
        </w:rPr>
        <w:t xml:space="preserve"> with the </w:t>
      </w:r>
      <w:r w:rsidR="00F70A59">
        <w:rPr>
          <w:sz w:val="26"/>
          <w:szCs w:val="24"/>
        </w:rPr>
        <w:t>Commission against PAWC</w:t>
      </w:r>
      <w:r w:rsidR="00C07264">
        <w:rPr>
          <w:sz w:val="26"/>
          <w:szCs w:val="24"/>
        </w:rPr>
        <w:t xml:space="preserve"> in which she alleged</w:t>
      </w:r>
      <w:r w:rsidRPr="008516FF">
        <w:rPr>
          <w:sz w:val="26"/>
          <w:szCs w:val="24"/>
        </w:rPr>
        <w:t xml:space="preserve"> that PAWC </w:t>
      </w:r>
      <w:r w:rsidR="00526FB5">
        <w:rPr>
          <w:sz w:val="26"/>
          <w:szCs w:val="24"/>
        </w:rPr>
        <w:t xml:space="preserve">dug up her front lawn </w:t>
      </w:r>
      <w:r w:rsidR="001D5A64" w:rsidRPr="008516FF">
        <w:rPr>
          <w:sz w:val="26"/>
          <w:szCs w:val="24"/>
        </w:rPr>
        <w:t>without permission or</w:t>
      </w:r>
      <w:r w:rsidR="00834724" w:rsidRPr="008516FF">
        <w:rPr>
          <w:sz w:val="26"/>
          <w:szCs w:val="24"/>
        </w:rPr>
        <w:t xml:space="preserve"> </w:t>
      </w:r>
      <w:r w:rsidR="00EE6D67" w:rsidRPr="008516FF">
        <w:rPr>
          <w:sz w:val="26"/>
          <w:szCs w:val="24"/>
        </w:rPr>
        <w:t>notice, caused</w:t>
      </w:r>
      <w:r w:rsidRPr="008516FF">
        <w:rPr>
          <w:sz w:val="26"/>
          <w:szCs w:val="24"/>
        </w:rPr>
        <w:t xml:space="preserve"> damage</w:t>
      </w:r>
      <w:r w:rsidR="00EE6D67">
        <w:rPr>
          <w:sz w:val="26"/>
          <w:szCs w:val="24"/>
        </w:rPr>
        <w:t xml:space="preserve"> to her property</w:t>
      </w:r>
      <w:r w:rsidRPr="008516FF">
        <w:rPr>
          <w:sz w:val="26"/>
          <w:szCs w:val="24"/>
        </w:rPr>
        <w:t>, put in a meter pit</w:t>
      </w:r>
      <w:r w:rsidR="00C07264">
        <w:rPr>
          <w:sz w:val="26"/>
          <w:szCs w:val="24"/>
        </w:rPr>
        <w:t xml:space="preserve"> in the center of her front yard</w:t>
      </w:r>
      <w:r w:rsidRPr="008516FF">
        <w:rPr>
          <w:sz w:val="26"/>
          <w:szCs w:val="24"/>
        </w:rPr>
        <w:t xml:space="preserve"> which caused a leak</w:t>
      </w:r>
      <w:r w:rsidR="00F70A59">
        <w:rPr>
          <w:sz w:val="26"/>
          <w:szCs w:val="24"/>
        </w:rPr>
        <w:t xml:space="preserve"> in her service line</w:t>
      </w:r>
      <w:r w:rsidRPr="008516FF">
        <w:rPr>
          <w:sz w:val="26"/>
          <w:szCs w:val="24"/>
        </w:rPr>
        <w:t>, moved her meter</w:t>
      </w:r>
      <w:r w:rsidR="00F70A59">
        <w:rPr>
          <w:sz w:val="26"/>
          <w:szCs w:val="24"/>
        </w:rPr>
        <w:t xml:space="preserve"> to the meter pit</w:t>
      </w:r>
      <w:r w:rsidRPr="008516FF">
        <w:rPr>
          <w:sz w:val="26"/>
          <w:szCs w:val="24"/>
        </w:rPr>
        <w:t xml:space="preserve"> </w:t>
      </w:r>
      <w:r w:rsidR="00F70A59">
        <w:rPr>
          <w:sz w:val="26"/>
          <w:szCs w:val="24"/>
        </w:rPr>
        <w:t>without notice</w:t>
      </w:r>
      <w:r w:rsidR="00526FB5">
        <w:rPr>
          <w:sz w:val="26"/>
          <w:szCs w:val="24"/>
        </w:rPr>
        <w:t xml:space="preserve">, and </w:t>
      </w:r>
      <w:r w:rsidR="00EE6D67">
        <w:rPr>
          <w:sz w:val="26"/>
          <w:szCs w:val="24"/>
        </w:rPr>
        <w:t xml:space="preserve">did not replace her grass. </w:t>
      </w:r>
    </w:p>
    <w:p w:rsidR="00D82363" w:rsidRPr="008516FF" w:rsidRDefault="00D82363" w:rsidP="00D82363">
      <w:pPr>
        <w:widowControl/>
        <w:tabs>
          <w:tab w:val="left" w:pos="-1440"/>
          <w:tab w:val="left" w:pos="-720"/>
        </w:tabs>
        <w:suppressAutoHyphens/>
        <w:spacing w:line="360" w:lineRule="auto"/>
        <w:ind w:firstLine="1440"/>
        <w:contextualSpacing/>
        <w:rPr>
          <w:sz w:val="26"/>
          <w:szCs w:val="24"/>
        </w:rPr>
      </w:pPr>
    </w:p>
    <w:p w:rsidR="00D82363" w:rsidRDefault="00F6622D" w:rsidP="00D82363">
      <w:pPr>
        <w:widowControl/>
        <w:tabs>
          <w:tab w:val="left" w:pos="-1440"/>
          <w:tab w:val="left" w:pos="-720"/>
        </w:tabs>
        <w:suppressAutoHyphens/>
        <w:spacing w:line="360" w:lineRule="auto"/>
        <w:ind w:firstLine="1440"/>
        <w:contextualSpacing/>
        <w:rPr>
          <w:spacing w:val="-3"/>
          <w:sz w:val="26"/>
          <w:szCs w:val="24"/>
        </w:rPr>
      </w:pPr>
      <w:r w:rsidRPr="008516FF">
        <w:rPr>
          <w:sz w:val="26"/>
          <w:szCs w:val="24"/>
        </w:rPr>
        <w:t xml:space="preserve">On December 27, 2012, the Respondent filed an </w:t>
      </w:r>
      <w:r w:rsidR="008516FF" w:rsidRPr="008516FF">
        <w:rPr>
          <w:spacing w:val="-3"/>
          <w:sz w:val="26"/>
          <w:szCs w:val="24"/>
        </w:rPr>
        <w:t>Answer denying that</w:t>
      </w:r>
      <w:r w:rsidRPr="008516FF">
        <w:rPr>
          <w:spacing w:val="-3"/>
          <w:sz w:val="26"/>
          <w:szCs w:val="24"/>
        </w:rPr>
        <w:t xml:space="preserve"> </w:t>
      </w:r>
      <w:r w:rsidR="004C03FD">
        <w:rPr>
          <w:spacing w:val="-3"/>
          <w:sz w:val="26"/>
          <w:szCs w:val="24"/>
        </w:rPr>
        <w:t>it was</w:t>
      </w:r>
      <w:r w:rsidR="001B2F2D" w:rsidRPr="008516FF">
        <w:rPr>
          <w:spacing w:val="-3"/>
          <w:sz w:val="26"/>
          <w:szCs w:val="24"/>
        </w:rPr>
        <w:t xml:space="preserve"> </w:t>
      </w:r>
      <w:r w:rsidRPr="008516FF">
        <w:rPr>
          <w:spacing w:val="-3"/>
          <w:sz w:val="26"/>
          <w:szCs w:val="24"/>
        </w:rPr>
        <w:t xml:space="preserve">responsible for the leak, and denying damages.  Also on December 27, 2012, the Respondent filed New Matter with the appropriate Notice to Plead.  No responsive pleading was filed.  </w:t>
      </w:r>
    </w:p>
    <w:p w:rsidR="00D82363" w:rsidRPr="00D82363" w:rsidRDefault="00D82363" w:rsidP="00D82363">
      <w:pPr>
        <w:widowControl/>
        <w:tabs>
          <w:tab w:val="left" w:pos="-1440"/>
          <w:tab w:val="left" w:pos="-720"/>
        </w:tabs>
        <w:suppressAutoHyphens/>
        <w:spacing w:line="360" w:lineRule="auto"/>
        <w:ind w:firstLine="1440"/>
        <w:contextualSpacing/>
        <w:rPr>
          <w:spacing w:val="-3"/>
          <w:sz w:val="26"/>
          <w:szCs w:val="24"/>
        </w:rPr>
      </w:pPr>
    </w:p>
    <w:p w:rsidR="006F666A" w:rsidRDefault="00F6622D" w:rsidP="00D82363">
      <w:pPr>
        <w:widowControl/>
        <w:spacing w:line="360" w:lineRule="auto"/>
        <w:ind w:firstLine="1440"/>
        <w:contextualSpacing/>
        <w:rPr>
          <w:sz w:val="26"/>
          <w:szCs w:val="24"/>
        </w:rPr>
      </w:pPr>
      <w:r w:rsidRPr="008516FF">
        <w:rPr>
          <w:sz w:val="26"/>
          <w:szCs w:val="24"/>
        </w:rPr>
        <w:t xml:space="preserve">The </w:t>
      </w:r>
      <w:r w:rsidR="00A056CB">
        <w:rPr>
          <w:sz w:val="26"/>
          <w:szCs w:val="24"/>
        </w:rPr>
        <w:t>ALJ convened the Initial H</w:t>
      </w:r>
      <w:r w:rsidRPr="008516FF">
        <w:rPr>
          <w:sz w:val="26"/>
          <w:szCs w:val="24"/>
        </w:rPr>
        <w:t xml:space="preserve">earing </w:t>
      </w:r>
      <w:r w:rsidR="00A056CB">
        <w:rPr>
          <w:sz w:val="26"/>
          <w:szCs w:val="24"/>
        </w:rPr>
        <w:t>on March 20, 2013</w:t>
      </w:r>
      <w:r w:rsidR="006F666A">
        <w:rPr>
          <w:sz w:val="26"/>
          <w:szCs w:val="24"/>
        </w:rPr>
        <w:t xml:space="preserve">. </w:t>
      </w:r>
      <w:r w:rsidR="004C6189">
        <w:rPr>
          <w:sz w:val="26"/>
          <w:szCs w:val="24"/>
        </w:rPr>
        <w:t xml:space="preserve"> </w:t>
      </w:r>
      <w:r w:rsidR="000D48B8">
        <w:rPr>
          <w:sz w:val="26"/>
          <w:szCs w:val="24"/>
        </w:rPr>
        <w:t xml:space="preserve">Thereafter, on </w:t>
      </w:r>
      <w:r w:rsidR="009926A3">
        <w:rPr>
          <w:sz w:val="26"/>
          <w:szCs w:val="24"/>
        </w:rPr>
        <w:t xml:space="preserve">May 7, 2013, </w:t>
      </w:r>
      <w:r w:rsidR="000D48B8">
        <w:rPr>
          <w:sz w:val="26"/>
          <w:szCs w:val="24"/>
        </w:rPr>
        <w:t xml:space="preserve">the hearing was reconvened </w:t>
      </w:r>
      <w:r w:rsidRPr="008516FF">
        <w:rPr>
          <w:sz w:val="26"/>
          <w:szCs w:val="24"/>
        </w:rPr>
        <w:t xml:space="preserve">to allow the </w:t>
      </w:r>
      <w:r w:rsidR="009926A3">
        <w:rPr>
          <w:sz w:val="26"/>
          <w:szCs w:val="24"/>
        </w:rPr>
        <w:t xml:space="preserve">testimony of the </w:t>
      </w:r>
      <w:r w:rsidRPr="008516FF">
        <w:rPr>
          <w:sz w:val="26"/>
          <w:szCs w:val="24"/>
        </w:rPr>
        <w:t>Complainant</w:t>
      </w:r>
      <w:r w:rsidR="009926A3">
        <w:rPr>
          <w:sz w:val="26"/>
          <w:szCs w:val="24"/>
        </w:rPr>
        <w:t>’s</w:t>
      </w:r>
      <w:r w:rsidRPr="008516FF">
        <w:rPr>
          <w:sz w:val="26"/>
          <w:szCs w:val="24"/>
        </w:rPr>
        <w:t xml:space="preserve"> plumber</w:t>
      </w:r>
      <w:r w:rsidR="00A7415B">
        <w:rPr>
          <w:sz w:val="26"/>
          <w:szCs w:val="24"/>
        </w:rPr>
        <w:t>.</w:t>
      </w:r>
      <w:r w:rsidR="00C07264">
        <w:rPr>
          <w:sz w:val="26"/>
          <w:szCs w:val="24"/>
        </w:rPr>
        <w:t xml:space="preserve">  </w:t>
      </w:r>
      <w:r w:rsidR="006F666A">
        <w:rPr>
          <w:sz w:val="26"/>
          <w:szCs w:val="24"/>
        </w:rPr>
        <w:t>During the two hearings, the</w:t>
      </w:r>
      <w:r w:rsidR="006F666A" w:rsidRPr="008516FF">
        <w:rPr>
          <w:sz w:val="26"/>
          <w:szCs w:val="24"/>
        </w:rPr>
        <w:t xml:space="preserve"> </w:t>
      </w:r>
      <w:r w:rsidRPr="008516FF">
        <w:rPr>
          <w:sz w:val="26"/>
          <w:szCs w:val="24"/>
        </w:rPr>
        <w:t>Complainant</w:t>
      </w:r>
      <w:r w:rsidR="004C03FD">
        <w:rPr>
          <w:sz w:val="26"/>
          <w:szCs w:val="24"/>
        </w:rPr>
        <w:t xml:space="preserve"> </w:t>
      </w:r>
      <w:r w:rsidRPr="008516FF">
        <w:rPr>
          <w:sz w:val="26"/>
          <w:szCs w:val="24"/>
        </w:rPr>
        <w:t>appeared</w:t>
      </w:r>
      <w:r w:rsidR="0072668C">
        <w:rPr>
          <w:sz w:val="26"/>
          <w:szCs w:val="24"/>
        </w:rPr>
        <w:t>,</w:t>
      </w:r>
      <w:r w:rsidRPr="008516FF">
        <w:rPr>
          <w:sz w:val="26"/>
          <w:szCs w:val="24"/>
        </w:rPr>
        <w:t xml:space="preserve"> </w:t>
      </w:r>
      <w:r w:rsidRPr="00984136">
        <w:rPr>
          <w:i/>
          <w:sz w:val="26"/>
          <w:szCs w:val="24"/>
        </w:rPr>
        <w:t>pro se</w:t>
      </w:r>
      <w:r w:rsidR="006F666A">
        <w:rPr>
          <w:sz w:val="26"/>
          <w:szCs w:val="24"/>
        </w:rPr>
        <w:t xml:space="preserve">, </w:t>
      </w:r>
      <w:r w:rsidR="000D48B8">
        <w:rPr>
          <w:sz w:val="26"/>
          <w:szCs w:val="24"/>
        </w:rPr>
        <w:t xml:space="preserve">and </w:t>
      </w:r>
      <w:r w:rsidR="006F666A">
        <w:rPr>
          <w:sz w:val="26"/>
          <w:szCs w:val="24"/>
        </w:rPr>
        <w:t xml:space="preserve">presented testimony, one </w:t>
      </w:r>
      <w:r w:rsidR="00DC7589">
        <w:rPr>
          <w:sz w:val="26"/>
          <w:szCs w:val="24"/>
        </w:rPr>
        <w:t>witness</w:t>
      </w:r>
      <w:r w:rsidR="006F666A">
        <w:rPr>
          <w:sz w:val="26"/>
          <w:szCs w:val="24"/>
        </w:rPr>
        <w:t>, and</w:t>
      </w:r>
      <w:r w:rsidR="005676BD">
        <w:rPr>
          <w:sz w:val="26"/>
          <w:szCs w:val="24"/>
        </w:rPr>
        <w:t xml:space="preserve"> </w:t>
      </w:r>
      <w:r w:rsidRPr="008516FF">
        <w:rPr>
          <w:sz w:val="26"/>
          <w:szCs w:val="24"/>
        </w:rPr>
        <w:t>twenty-three exhibits</w:t>
      </w:r>
      <w:r w:rsidR="006F666A">
        <w:rPr>
          <w:sz w:val="26"/>
          <w:szCs w:val="24"/>
        </w:rPr>
        <w:t xml:space="preserve">, which </w:t>
      </w:r>
      <w:r w:rsidR="001D5A64" w:rsidRPr="008516FF">
        <w:rPr>
          <w:sz w:val="26"/>
          <w:szCs w:val="24"/>
        </w:rPr>
        <w:t>were admitted to the record</w:t>
      </w:r>
      <w:r w:rsidR="006F666A">
        <w:rPr>
          <w:sz w:val="26"/>
          <w:szCs w:val="24"/>
        </w:rPr>
        <w:t>.  The Respondent was represented by counsel and prese</w:t>
      </w:r>
      <w:r w:rsidR="00984136">
        <w:rPr>
          <w:sz w:val="26"/>
          <w:szCs w:val="24"/>
        </w:rPr>
        <w:t>nted three</w:t>
      </w:r>
      <w:r w:rsidR="000D48B8">
        <w:rPr>
          <w:sz w:val="26"/>
          <w:szCs w:val="24"/>
        </w:rPr>
        <w:t xml:space="preserve"> witnesses and</w:t>
      </w:r>
      <w:r w:rsidR="006F666A">
        <w:rPr>
          <w:sz w:val="26"/>
          <w:szCs w:val="24"/>
        </w:rPr>
        <w:t xml:space="preserve"> </w:t>
      </w:r>
      <w:r w:rsidR="008516FF" w:rsidRPr="008516FF">
        <w:rPr>
          <w:sz w:val="26"/>
          <w:szCs w:val="24"/>
        </w:rPr>
        <w:t>twelve</w:t>
      </w:r>
      <w:r w:rsidRPr="008516FF">
        <w:rPr>
          <w:sz w:val="26"/>
          <w:szCs w:val="24"/>
        </w:rPr>
        <w:t xml:space="preserve"> exhibits</w:t>
      </w:r>
      <w:r w:rsidR="006F666A">
        <w:rPr>
          <w:sz w:val="26"/>
          <w:szCs w:val="24"/>
        </w:rPr>
        <w:t>, which</w:t>
      </w:r>
      <w:r w:rsidRPr="008516FF">
        <w:rPr>
          <w:sz w:val="26"/>
          <w:szCs w:val="24"/>
        </w:rPr>
        <w:t xml:space="preserve"> were entered into the record.  The record closed on May 20, 2013</w:t>
      </w:r>
      <w:r w:rsidR="0072668C">
        <w:rPr>
          <w:sz w:val="26"/>
          <w:szCs w:val="24"/>
        </w:rPr>
        <w:t>,</w:t>
      </w:r>
      <w:r w:rsidRPr="008516FF">
        <w:rPr>
          <w:sz w:val="26"/>
          <w:szCs w:val="24"/>
        </w:rPr>
        <w:t xml:space="preserve"> with receipt of the trans</w:t>
      </w:r>
      <w:r w:rsidR="00A7415B">
        <w:rPr>
          <w:sz w:val="26"/>
          <w:szCs w:val="24"/>
        </w:rPr>
        <w:t>cript from the second hearing.</w:t>
      </w:r>
    </w:p>
    <w:p w:rsidR="00D82363" w:rsidRDefault="00D82363" w:rsidP="00D82363">
      <w:pPr>
        <w:widowControl/>
        <w:spacing w:line="360" w:lineRule="auto"/>
        <w:ind w:firstLine="1440"/>
        <w:contextualSpacing/>
        <w:rPr>
          <w:sz w:val="26"/>
          <w:szCs w:val="24"/>
        </w:rPr>
      </w:pPr>
    </w:p>
    <w:p w:rsidR="00A03B93" w:rsidRDefault="006F666A" w:rsidP="00D82363">
      <w:pPr>
        <w:widowControl/>
        <w:spacing w:line="360" w:lineRule="auto"/>
        <w:ind w:firstLine="1440"/>
        <w:contextualSpacing/>
        <w:rPr>
          <w:sz w:val="26"/>
          <w:szCs w:val="24"/>
        </w:rPr>
      </w:pPr>
      <w:r>
        <w:rPr>
          <w:sz w:val="26"/>
          <w:szCs w:val="24"/>
        </w:rPr>
        <w:t>In the Ini</w:t>
      </w:r>
      <w:r w:rsidR="00B913EF">
        <w:rPr>
          <w:sz w:val="26"/>
          <w:szCs w:val="24"/>
        </w:rPr>
        <w:t>tial Decision, issued on June 24</w:t>
      </w:r>
      <w:r>
        <w:rPr>
          <w:sz w:val="26"/>
          <w:szCs w:val="24"/>
        </w:rPr>
        <w:t xml:space="preserve">, </w:t>
      </w:r>
      <w:r w:rsidR="000D48B8">
        <w:rPr>
          <w:sz w:val="26"/>
          <w:szCs w:val="24"/>
        </w:rPr>
        <w:t xml:space="preserve">2013, ALJ Jandebeur found that the Complainant failed to satisfy her burden of proof and dismissed the Complaint.  As </w:t>
      </w:r>
    </w:p>
    <w:p w:rsidR="00A03B93" w:rsidRDefault="00A03B93">
      <w:pPr>
        <w:widowControl/>
        <w:spacing w:after="200" w:line="276" w:lineRule="auto"/>
        <w:rPr>
          <w:sz w:val="26"/>
          <w:szCs w:val="24"/>
        </w:rPr>
      </w:pPr>
      <w:r>
        <w:rPr>
          <w:sz w:val="26"/>
          <w:szCs w:val="24"/>
        </w:rPr>
        <w:br w:type="page"/>
      </w:r>
    </w:p>
    <w:p w:rsidR="006F666A" w:rsidRDefault="000D48B8" w:rsidP="00A03B93">
      <w:pPr>
        <w:widowControl/>
        <w:spacing w:line="360" w:lineRule="auto"/>
        <w:contextualSpacing/>
        <w:rPr>
          <w:sz w:val="26"/>
          <w:szCs w:val="24"/>
        </w:rPr>
      </w:pPr>
      <w:r>
        <w:rPr>
          <w:sz w:val="26"/>
          <w:szCs w:val="24"/>
        </w:rPr>
        <w:lastRenderedPageBreak/>
        <w:t>previously indicated, the Complainant filed Exceptions on August 12, 2013</w:t>
      </w:r>
      <w:r w:rsidR="0060495E">
        <w:rPr>
          <w:sz w:val="26"/>
          <w:szCs w:val="24"/>
        </w:rPr>
        <w:t>.</w:t>
      </w:r>
      <w:r w:rsidR="00984136">
        <w:rPr>
          <w:rStyle w:val="FootnoteReference"/>
          <w:sz w:val="26"/>
          <w:szCs w:val="24"/>
        </w:rPr>
        <w:footnoteReference w:id="3"/>
      </w:r>
      <w:r>
        <w:rPr>
          <w:sz w:val="26"/>
          <w:szCs w:val="24"/>
        </w:rPr>
        <w:t xml:space="preserve">  PAWC filed Replies to Exceptions on August 23, 2013.</w:t>
      </w:r>
    </w:p>
    <w:p w:rsidR="006F666A" w:rsidRPr="00A7415B" w:rsidRDefault="006F666A" w:rsidP="00D82363">
      <w:pPr>
        <w:widowControl/>
        <w:spacing w:line="360" w:lineRule="auto"/>
        <w:ind w:firstLine="1440"/>
        <w:contextualSpacing/>
        <w:rPr>
          <w:sz w:val="26"/>
          <w:szCs w:val="24"/>
        </w:rPr>
      </w:pPr>
    </w:p>
    <w:p w:rsidR="00CA43A5" w:rsidRPr="00D36748" w:rsidRDefault="00CA43A5" w:rsidP="00D82363">
      <w:pPr>
        <w:spacing w:line="360" w:lineRule="auto"/>
        <w:contextualSpacing/>
        <w:jc w:val="center"/>
        <w:rPr>
          <w:b/>
          <w:sz w:val="26"/>
          <w:szCs w:val="26"/>
        </w:rPr>
      </w:pPr>
      <w:r w:rsidRPr="00D36748">
        <w:rPr>
          <w:b/>
          <w:sz w:val="26"/>
          <w:szCs w:val="26"/>
        </w:rPr>
        <w:t>Discussion</w:t>
      </w:r>
    </w:p>
    <w:p w:rsidR="00A03B93" w:rsidRDefault="00A03B93" w:rsidP="00D82363">
      <w:pPr>
        <w:spacing w:line="360" w:lineRule="auto"/>
        <w:contextualSpacing/>
        <w:rPr>
          <w:b/>
          <w:sz w:val="26"/>
          <w:szCs w:val="26"/>
        </w:rPr>
      </w:pPr>
    </w:p>
    <w:p w:rsidR="0043592C" w:rsidRPr="00D36748" w:rsidRDefault="001D5A64" w:rsidP="00D82363">
      <w:pPr>
        <w:spacing w:line="360" w:lineRule="auto"/>
        <w:contextualSpacing/>
        <w:rPr>
          <w:b/>
          <w:sz w:val="26"/>
          <w:szCs w:val="26"/>
        </w:rPr>
      </w:pPr>
      <w:r w:rsidRPr="00D36748">
        <w:rPr>
          <w:b/>
          <w:sz w:val="26"/>
          <w:szCs w:val="26"/>
        </w:rPr>
        <w:t>Legal Standards</w:t>
      </w:r>
    </w:p>
    <w:p w:rsidR="001D5A64" w:rsidRPr="008516FF" w:rsidRDefault="001D5A64" w:rsidP="00D82363">
      <w:pPr>
        <w:spacing w:line="360" w:lineRule="auto"/>
        <w:contextualSpacing/>
        <w:rPr>
          <w:sz w:val="26"/>
          <w:szCs w:val="26"/>
        </w:rPr>
      </w:pPr>
    </w:p>
    <w:p w:rsidR="00CA43A5" w:rsidRDefault="0043592C" w:rsidP="00D82363">
      <w:pPr>
        <w:spacing w:line="360" w:lineRule="auto"/>
        <w:ind w:firstLine="1440"/>
        <w:contextualSpacing/>
        <w:rPr>
          <w:sz w:val="26"/>
          <w:szCs w:val="26"/>
        </w:rPr>
      </w:pPr>
      <w:r w:rsidRPr="008516FF">
        <w:rPr>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w:t>
      </w:r>
      <w:r w:rsidR="00D55191" w:rsidRPr="008516FF">
        <w:rPr>
          <w:sz w:val="26"/>
          <w:szCs w:val="26"/>
        </w:rPr>
        <w:t>Respondent</w:t>
      </w:r>
      <w:r w:rsidRPr="008516FF">
        <w:rPr>
          <w:sz w:val="26"/>
          <w:szCs w:val="26"/>
        </w:rPr>
        <w:t xml:space="preserve"> is responsible or accountable for the problem described in the Complaint.  </w:t>
      </w:r>
      <w:r w:rsidRPr="00D36748">
        <w:rPr>
          <w:i/>
          <w:sz w:val="26"/>
          <w:szCs w:val="26"/>
        </w:rPr>
        <w:t xml:space="preserve">Patterson v. </w:t>
      </w:r>
      <w:r w:rsidR="00D55191" w:rsidRPr="00D36748">
        <w:rPr>
          <w:i/>
          <w:sz w:val="26"/>
          <w:szCs w:val="26"/>
        </w:rPr>
        <w:t xml:space="preserve">The </w:t>
      </w:r>
      <w:r w:rsidRPr="00D36748">
        <w:rPr>
          <w:i/>
          <w:sz w:val="26"/>
          <w:szCs w:val="26"/>
        </w:rPr>
        <w:t>Bell Telephone Company of Pennsylvania,</w:t>
      </w:r>
      <w:r w:rsidRPr="008516FF">
        <w:rPr>
          <w:sz w:val="26"/>
          <w:szCs w:val="26"/>
        </w:rPr>
        <w:t xml:space="preserve"> 72 Pa. P.U.C. 196 (1990).  Such a showing must be by a preponderance of the evidence.  </w:t>
      </w:r>
      <w:r w:rsidRPr="00D36748">
        <w:rPr>
          <w:i/>
          <w:iCs/>
          <w:sz w:val="26"/>
          <w:szCs w:val="26"/>
        </w:rPr>
        <w:t>Samuel J. Lansberry, Inc. v. Pa. PUC</w:t>
      </w:r>
      <w:r w:rsidRPr="00D36748">
        <w:rPr>
          <w:i/>
          <w:sz w:val="26"/>
          <w:szCs w:val="26"/>
        </w:rPr>
        <w:t>,</w:t>
      </w:r>
      <w:r w:rsidRPr="008516FF">
        <w:rPr>
          <w:sz w:val="26"/>
          <w:szCs w:val="26"/>
        </w:rPr>
        <w:t xml:space="preserve"> 578 A.2d 600 (Pa. Cmwlth. 1990), alloc. denied, 529 Pa. 654, 602 A.2d 863 (1992).  That is, the Complainant’s evidence must be more convincing, by even the smallest amount, th</w:t>
      </w:r>
      <w:r w:rsidR="00D55191" w:rsidRPr="008516FF">
        <w:rPr>
          <w:sz w:val="26"/>
          <w:szCs w:val="26"/>
        </w:rPr>
        <w:t>an that presented by the Respondent</w:t>
      </w:r>
      <w:r w:rsidRPr="008516FF">
        <w:rPr>
          <w:sz w:val="26"/>
          <w:szCs w:val="26"/>
        </w:rPr>
        <w:t xml:space="preserve">.  </w:t>
      </w:r>
      <w:r w:rsidRPr="00D36748">
        <w:rPr>
          <w:i/>
          <w:sz w:val="26"/>
          <w:szCs w:val="26"/>
        </w:rPr>
        <w:t>Se-Ling Hosiery</w:t>
      </w:r>
      <w:r w:rsidR="00D55191" w:rsidRPr="00D36748">
        <w:rPr>
          <w:i/>
          <w:sz w:val="26"/>
          <w:szCs w:val="26"/>
        </w:rPr>
        <w:t>, Inc.</w:t>
      </w:r>
      <w:r w:rsidRPr="00D36748">
        <w:rPr>
          <w:i/>
          <w:sz w:val="26"/>
          <w:szCs w:val="26"/>
        </w:rPr>
        <w:t xml:space="preserve"> v. Margulies, </w:t>
      </w:r>
      <w:r w:rsidRPr="008516FF">
        <w:rPr>
          <w:sz w:val="26"/>
          <w:szCs w:val="26"/>
        </w:rPr>
        <w:t xml:space="preserve">364 Pa. 45, 70 A.2d 854 (1950).  Additionally, this Commission’s decision must be supported by substantial evidence in the record.  More is required than a mere trace of evidence or a suspicion of the existence of a fact sought to be established.  </w:t>
      </w:r>
      <w:r w:rsidRPr="00D36748">
        <w:rPr>
          <w:i/>
          <w:sz w:val="26"/>
          <w:szCs w:val="26"/>
        </w:rPr>
        <w:t>Norfolk &amp; Western Ry. Co. v. Pa. PUC,</w:t>
      </w:r>
      <w:r w:rsidRPr="008516FF">
        <w:rPr>
          <w:sz w:val="26"/>
          <w:szCs w:val="26"/>
        </w:rPr>
        <w:t xml:space="preserve"> 489 Pa. 109, 413 A.2d 1037 (1980).</w:t>
      </w:r>
    </w:p>
    <w:p w:rsidR="00C07264" w:rsidRPr="008516FF" w:rsidRDefault="00C07264" w:rsidP="00D82363">
      <w:pPr>
        <w:spacing w:line="360" w:lineRule="auto"/>
        <w:ind w:firstLine="1440"/>
        <w:contextualSpacing/>
        <w:rPr>
          <w:sz w:val="26"/>
          <w:szCs w:val="26"/>
        </w:rPr>
      </w:pPr>
    </w:p>
    <w:p w:rsidR="00195F2E" w:rsidRPr="008516FF" w:rsidRDefault="00670BFD" w:rsidP="00D82363">
      <w:pPr>
        <w:spacing w:line="360" w:lineRule="auto"/>
        <w:ind w:firstLine="1440"/>
        <w:contextualSpacing/>
        <w:rPr>
          <w:sz w:val="26"/>
        </w:rPr>
      </w:pPr>
      <w:r w:rsidRPr="008516FF">
        <w:rPr>
          <w:sz w:val="26"/>
        </w:rPr>
        <w:lastRenderedPageBreak/>
        <w:t>Upon the presentation by a complainant of evidence sufficient to initially satisfy the burden of proof, the burden of g</w:t>
      </w:r>
      <w:r w:rsidR="00957BC0" w:rsidRPr="008516FF">
        <w:rPr>
          <w:sz w:val="26"/>
        </w:rPr>
        <w:t xml:space="preserve">oing forward with the evidence </w:t>
      </w:r>
      <w:r w:rsidRPr="008516FF">
        <w:rPr>
          <w:sz w:val="26"/>
        </w:rPr>
        <w:t>to re</w:t>
      </w:r>
      <w:r w:rsidR="00A7415B">
        <w:rPr>
          <w:sz w:val="26"/>
        </w:rPr>
        <w:t>but the evidence of the complainant</w:t>
      </w:r>
      <w:r w:rsidRPr="008516FF">
        <w:rPr>
          <w:sz w:val="26"/>
        </w:rPr>
        <w:t xml:space="preserve"> shifts to the respondent. </w:t>
      </w:r>
      <w:r w:rsidR="001D2D12">
        <w:rPr>
          <w:sz w:val="26"/>
        </w:rPr>
        <w:t xml:space="preserve"> </w:t>
      </w:r>
      <w:r w:rsidRPr="008516FF">
        <w:rPr>
          <w:sz w:val="26"/>
        </w:rPr>
        <w:t xml:space="preserve">If the evidence presented by the respondent is of co-equal value or “weight,” the burden of proof has not been satisfied. The complainant now has to provide some additional evidence to rebut that of the respondent. </w:t>
      </w:r>
      <w:r w:rsidRPr="008516FF">
        <w:rPr>
          <w:iCs/>
          <w:sz w:val="26"/>
        </w:rPr>
        <w:t xml:space="preserve"> </w:t>
      </w:r>
      <w:hyperlink r:id="rId9" w:history="1">
        <w:r w:rsidR="00195F2E" w:rsidRPr="00135B4F">
          <w:rPr>
            <w:rStyle w:val="Hyperlink"/>
            <w:i/>
            <w:iCs/>
            <w:color w:val="auto"/>
            <w:sz w:val="26"/>
            <w:u w:val="none"/>
          </w:rPr>
          <w:t>Burleson v. Pa. PUC,</w:t>
        </w:r>
        <w:r w:rsidR="00195F2E" w:rsidRPr="008516FF">
          <w:rPr>
            <w:rStyle w:val="Hyperlink"/>
            <w:iCs/>
            <w:color w:val="auto"/>
            <w:sz w:val="26"/>
            <w:u w:val="none"/>
          </w:rPr>
          <w:t xml:space="preserve"> 443 A.2d 1373 (Pa. Cmwlth. 1982), aff’d, 501 Pa. 433, 461 A.2d 1234 (1983).</w:t>
        </w:r>
      </w:hyperlink>
    </w:p>
    <w:p w:rsidR="00670BFD" w:rsidRPr="008516FF" w:rsidRDefault="00670BFD" w:rsidP="00D82363">
      <w:pPr>
        <w:spacing w:line="360" w:lineRule="auto"/>
        <w:ind w:firstLine="1440"/>
        <w:contextualSpacing/>
        <w:rPr>
          <w:sz w:val="26"/>
        </w:rPr>
      </w:pPr>
    </w:p>
    <w:p w:rsidR="00154CB6" w:rsidRPr="008516FF" w:rsidRDefault="00670BFD" w:rsidP="00D82363">
      <w:pPr>
        <w:spacing w:line="360" w:lineRule="auto"/>
        <w:ind w:firstLine="1440"/>
        <w:contextualSpacing/>
        <w:rPr>
          <w:sz w:val="26"/>
        </w:rPr>
      </w:pPr>
      <w:r w:rsidRPr="008516FF">
        <w:rPr>
          <w:sz w:val="26"/>
        </w:rPr>
        <w:t xml:space="preserve">While the burden of </w:t>
      </w:r>
      <w:r w:rsidR="00957BC0" w:rsidRPr="008516FF">
        <w:rPr>
          <w:sz w:val="26"/>
        </w:rPr>
        <w:t>going forward with the evidence</w:t>
      </w:r>
      <w:r w:rsidRPr="008516FF">
        <w:rPr>
          <w:sz w:val="26"/>
        </w:rPr>
        <w:t xml:space="preserve"> may </w:t>
      </w:r>
      <w:r w:rsidRPr="008516FF">
        <w:rPr>
          <w:rStyle w:val="term1"/>
          <w:b w:val="0"/>
          <w:bCs w:val="0"/>
          <w:sz w:val="26"/>
        </w:rPr>
        <w:t>shift</w:t>
      </w:r>
      <w:r w:rsidRPr="008516FF">
        <w:rPr>
          <w:sz w:val="26"/>
        </w:rPr>
        <w:t xml:space="preserve"> back and forth during a proceeding, the </w:t>
      </w:r>
      <w:r w:rsidRPr="008516FF">
        <w:rPr>
          <w:rStyle w:val="term1"/>
          <w:b w:val="0"/>
          <w:bCs w:val="0"/>
          <w:sz w:val="26"/>
        </w:rPr>
        <w:t>burden of proof</w:t>
      </w:r>
      <w:r w:rsidRPr="008516FF">
        <w:rPr>
          <w:sz w:val="26"/>
        </w:rPr>
        <w:t xml:space="preserve"> never </w:t>
      </w:r>
      <w:r w:rsidRPr="008516FF">
        <w:rPr>
          <w:rStyle w:val="term1"/>
          <w:b w:val="0"/>
          <w:bCs w:val="0"/>
          <w:sz w:val="26"/>
        </w:rPr>
        <w:t>shifts. The burden of proof</w:t>
      </w:r>
      <w:r w:rsidRPr="008516FF">
        <w:rPr>
          <w:sz w:val="26"/>
        </w:rPr>
        <w:t xml:space="preserve"> always remains on the party seeking affirmative relief from the Commission.</w:t>
      </w:r>
      <w:r w:rsidR="00885263" w:rsidRPr="008516FF">
        <w:rPr>
          <w:sz w:val="26"/>
        </w:rPr>
        <w:t xml:space="preserve"> </w:t>
      </w:r>
      <w:r w:rsidRPr="008516FF">
        <w:rPr>
          <w:sz w:val="26"/>
        </w:rPr>
        <w:t xml:space="preserve"> </w:t>
      </w:r>
      <w:r w:rsidR="00154CB6" w:rsidRPr="00135B4F">
        <w:rPr>
          <w:i/>
          <w:sz w:val="26"/>
        </w:rPr>
        <w:t>Milkie v. Pa. PUC,</w:t>
      </w:r>
      <w:r w:rsidR="00154CB6" w:rsidRPr="008516FF">
        <w:rPr>
          <w:sz w:val="26"/>
        </w:rPr>
        <w:t xml:space="preserve"> 768 A.2d 1217 (Pa. Cmwlth. 2001).</w:t>
      </w:r>
    </w:p>
    <w:p w:rsidR="00CA43A5" w:rsidRPr="008516FF" w:rsidRDefault="00CA43A5" w:rsidP="00D82363">
      <w:pPr>
        <w:spacing w:line="360" w:lineRule="auto"/>
        <w:contextualSpacing/>
        <w:rPr>
          <w:sz w:val="26"/>
          <w:szCs w:val="26"/>
        </w:rPr>
      </w:pPr>
    </w:p>
    <w:p w:rsidR="00214B3E" w:rsidRPr="008516FF" w:rsidRDefault="00006F35" w:rsidP="00D82363">
      <w:pPr>
        <w:widowControl/>
        <w:spacing w:line="360" w:lineRule="auto"/>
        <w:ind w:firstLine="1440"/>
        <w:contextualSpacing/>
        <w:rPr>
          <w:sz w:val="26"/>
          <w:szCs w:val="26"/>
        </w:rPr>
      </w:pPr>
      <w:r w:rsidRPr="008516FF">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8516FF">
        <w:rPr>
          <w:sz w:val="26"/>
          <w:szCs w:val="26"/>
        </w:rPr>
        <w:t xml:space="preserve">.  </w:t>
      </w:r>
      <w:hyperlink r:id="rId10" w:history="1">
        <w:r w:rsidR="002A6750" w:rsidRPr="0023008A">
          <w:rPr>
            <w:rStyle w:val="Emphasis"/>
            <w:sz w:val="26"/>
            <w:szCs w:val="26"/>
          </w:rPr>
          <w:t>Consolidated Rail Corp. v. Pa. PUC,</w:t>
        </w:r>
        <w:r w:rsidR="002A6750" w:rsidRPr="008516FF">
          <w:rPr>
            <w:rStyle w:val="Emphasis"/>
            <w:i w:val="0"/>
            <w:sz w:val="26"/>
            <w:szCs w:val="26"/>
          </w:rPr>
          <w:t xml:space="preserve"> </w:t>
        </w:r>
        <w:r w:rsidR="002A6750" w:rsidRPr="008516FF">
          <w:rPr>
            <w:rStyle w:val="Hyperlink"/>
            <w:color w:val="auto"/>
            <w:sz w:val="26"/>
            <w:szCs w:val="26"/>
            <w:u w:val="none"/>
          </w:rPr>
          <w:t>625 A.2d 741 (Pa. Cmwlth. 1993);</w:t>
        </w:r>
      </w:hyperlink>
      <w:r w:rsidR="002A6750" w:rsidRPr="008516FF">
        <w:rPr>
          <w:sz w:val="26"/>
          <w:szCs w:val="26"/>
        </w:rPr>
        <w:t xml:space="preserve"> also </w:t>
      </w:r>
      <w:r w:rsidR="002A6750" w:rsidRPr="008516FF">
        <w:rPr>
          <w:rStyle w:val="Emphasis"/>
          <w:i w:val="0"/>
          <w:sz w:val="26"/>
          <w:szCs w:val="26"/>
        </w:rPr>
        <w:t xml:space="preserve">see, generally, </w:t>
      </w:r>
      <w:hyperlink r:id="rId11" w:history="1">
        <w:r w:rsidR="002A6750" w:rsidRPr="0023008A">
          <w:rPr>
            <w:rStyle w:val="Emphasis"/>
            <w:sz w:val="26"/>
            <w:szCs w:val="26"/>
          </w:rPr>
          <w:t>University of Pennsylvania v. Pa. PUC</w:t>
        </w:r>
        <w:r w:rsidR="002A6750" w:rsidRPr="0023008A">
          <w:rPr>
            <w:rStyle w:val="Hyperlink"/>
            <w:color w:val="auto"/>
            <w:sz w:val="26"/>
            <w:szCs w:val="26"/>
            <w:u w:val="none"/>
          </w:rPr>
          <w:t>,</w:t>
        </w:r>
        <w:r w:rsidR="002A6750" w:rsidRPr="008516FF">
          <w:rPr>
            <w:rStyle w:val="Hyperlink"/>
            <w:color w:val="auto"/>
            <w:sz w:val="26"/>
            <w:szCs w:val="26"/>
            <w:u w:val="none"/>
          </w:rPr>
          <w:t xml:space="preserve"> 485 A.2d 1217 (Pa. Cmwlth. 1984).</w:t>
        </w:r>
      </w:hyperlink>
      <w:r w:rsidR="00214B3E" w:rsidRPr="008516FF">
        <w:rPr>
          <w:sz w:val="26"/>
          <w:szCs w:val="26"/>
        </w:rPr>
        <w:t xml:space="preserve"> </w:t>
      </w:r>
    </w:p>
    <w:p w:rsidR="007C112C" w:rsidRPr="008516FF" w:rsidRDefault="007C112C" w:rsidP="00D82363">
      <w:pPr>
        <w:spacing w:line="360" w:lineRule="auto"/>
        <w:contextualSpacing/>
        <w:rPr>
          <w:sz w:val="26"/>
          <w:szCs w:val="26"/>
        </w:rPr>
      </w:pPr>
    </w:p>
    <w:p w:rsidR="00006F35" w:rsidRPr="00605B49" w:rsidRDefault="007C112C" w:rsidP="00D82363">
      <w:pPr>
        <w:spacing w:line="360" w:lineRule="auto"/>
        <w:contextualSpacing/>
        <w:rPr>
          <w:b/>
          <w:sz w:val="26"/>
          <w:szCs w:val="26"/>
        </w:rPr>
      </w:pPr>
      <w:r w:rsidRPr="00605B49">
        <w:rPr>
          <w:b/>
          <w:sz w:val="26"/>
          <w:szCs w:val="26"/>
        </w:rPr>
        <w:t>ALJ’s Initial Decision</w:t>
      </w:r>
    </w:p>
    <w:p w:rsidR="007C112C" w:rsidRPr="008516FF" w:rsidRDefault="007C112C" w:rsidP="00D82363">
      <w:pPr>
        <w:spacing w:line="360" w:lineRule="auto"/>
        <w:ind w:firstLine="1440"/>
        <w:contextualSpacing/>
        <w:rPr>
          <w:sz w:val="26"/>
          <w:szCs w:val="26"/>
        </w:rPr>
      </w:pPr>
    </w:p>
    <w:p w:rsidR="007C112C" w:rsidRPr="008516FF" w:rsidRDefault="00BD3905" w:rsidP="00D82363">
      <w:pPr>
        <w:spacing w:line="360" w:lineRule="auto"/>
        <w:ind w:firstLine="1440"/>
        <w:contextualSpacing/>
        <w:rPr>
          <w:sz w:val="26"/>
          <w:szCs w:val="26"/>
        </w:rPr>
      </w:pPr>
      <w:r>
        <w:rPr>
          <w:sz w:val="26"/>
          <w:szCs w:val="26"/>
        </w:rPr>
        <w:t>ALJ Jandeb</w:t>
      </w:r>
      <w:r w:rsidR="00DC7589">
        <w:rPr>
          <w:sz w:val="26"/>
          <w:szCs w:val="26"/>
        </w:rPr>
        <w:t>e</w:t>
      </w:r>
      <w:r>
        <w:rPr>
          <w:sz w:val="26"/>
          <w:szCs w:val="26"/>
        </w:rPr>
        <w:t xml:space="preserve">ur </w:t>
      </w:r>
      <w:r w:rsidRPr="008516FF">
        <w:rPr>
          <w:sz w:val="26"/>
          <w:szCs w:val="26"/>
        </w:rPr>
        <w:t>made</w:t>
      </w:r>
      <w:r>
        <w:rPr>
          <w:sz w:val="26"/>
          <w:szCs w:val="26"/>
        </w:rPr>
        <w:t xml:space="preserve"> thirty</w:t>
      </w:r>
      <w:r w:rsidR="009A0DB5">
        <w:rPr>
          <w:sz w:val="26"/>
          <w:szCs w:val="26"/>
        </w:rPr>
        <w:t>-</w:t>
      </w:r>
      <w:r>
        <w:rPr>
          <w:sz w:val="26"/>
          <w:szCs w:val="26"/>
        </w:rPr>
        <w:t>nine</w:t>
      </w:r>
      <w:r w:rsidR="007C112C" w:rsidRPr="008516FF">
        <w:rPr>
          <w:sz w:val="26"/>
          <w:szCs w:val="26"/>
        </w:rPr>
        <w:t xml:space="preserve"> Find</w:t>
      </w:r>
      <w:r>
        <w:rPr>
          <w:sz w:val="26"/>
          <w:szCs w:val="26"/>
        </w:rPr>
        <w:t>ings of Fact and reached four</w:t>
      </w:r>
      <w:r w:rsidR="007C112C" w:rsidRPr="008516FF">
        <w:rPr>
          <w:sz w:val="26"/>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7C112C" w:rsidRPr="008516FF" w:rsidRDefault="007C112C" w:rsidP="00D82363">
      <w:pPr>
        <w:spacing w:line="360" w:lineRule="auto"/>
        <w:contextualSpacing/>
        <w:rPr>
          <w:sz w:val="26"/>
          <w:szCs w:val="26"/>
        </w:rPr>
      </w:pPr>
    </w:p>
    <w:p w:rsidR="007C112C" w:rsidRPr="008516FF" w:rsidRDefault="001D5A64" w:rsidP="00D82363">
      <w:pPr>
        <w:spacing w:line="360" w:lineRule="auto"/>
        <w:contextualSpacing/>
        <w:rPr>
          <w:sz w:val="26"/>
          <w:szCs w:val="24"/>
        </w:rPr>
      </w:pPr>
      <w:r w:rsidRPr="008516FF">
        <w:rPr>
          <w:sz w:val="26"/>
          <w:szCs w:val="26"/>
        </w:rPr>
        <w:tab/>
      </w:r>
      <w:r w:rsidRPr="008516FF">
        <w:rPr>
          <w:sz w:val="26"/>
          <w:szCs w:val="26"/>
        </w:rPr>
        <w:tab/>
        <w:t xml:space="preserve">In her Initial Decision, the ALJ identified and disposed of four issues.  First, she discussed the Complainant’s allegation that PAWC installed a meter pit outside </w:t>
      </w:r>
      <w:r w:rsidRPr="008516FF">
        <w:rPr>
          <w:sz w:val="26"/>
          <w:szCs w:val="26"/>
        </w:rPr>
        <w:lastRenderedPageBreak/>
        <w:t xml:space="preserve">of the </w:t>
      </w:r>
      <w:r w:rsidR="00C24852">
        <w:rPr>
          <w:sz w:val="26"/>
          <w:szCs w:val="26"/>
        </w:rPr>
        <w:t xml:space="preserve">utility </w:t>
      </w:r>
      <w:r w:rsidRPr="008516FF">
        <w:rPr>
          <w:sz w:val="26"/>
          <w:szCs w:val="26"/>
        </w:rPr>
        <w:t>easement</w:t>
      </w:r>
      <w:r w:rsidR="005201D8" w:rsidRPr="008516FF">
        <w:rPr>
          <w:sz w:val="26"/>
          <w:szCs w:val="26"/>
        </w:rPr>
        <w:t xml:space="preserve"> and in the middle of her yard.  She found that the Commission does not have jurisdiction over substantive property disputes and dismissed that portion of the </w:t>
      </w:r>
      <w:r w:rsidR="006F3E08">
        <w:rPr>
          <w:sz w:val="26"/>
          <w:szCs w:val="26"/>
        </w:rPr>
        <w:t>C</w:t>
      </w:r>
      <w:r w:rsidR="005201D8" w:rsidRPr="008516FF">
        <w:rPr>
          <w:sz w:val="26"/>
          <w:szCs w:val="26"/>
        </w:rPr>
        <w:t>omplaint</w:t>
      </w:r>
      <w:r w:rsidR="00CD6433">
        <w:rPr>
          <w:sz w:val="26"/>
          <w:szCs w:val="26"/>
        </w:rPr>
        <w:t xml:space="preserve">.  </w:t>
      </w:r>
      <w:r w:rsidR="00826A88">
        <w:rPr>
          <w:sz w:val="26"/>
          <w:szCs w:val="26"/>
        </w:rPr>
        <w:t>I.D. at 8, citing</w:t>
      </w:r>
      <w:r w:rsidR="005201D8" w:rsidRPr="008516FF">
        <w:rPr>
          <w:sz w:val="26"/>
          <w:szCs w:val="26"/>
        </w:rPr>
        <w:t xml:space="preserve"> </w:t>
      </w:r>
      <w:r w:rsidR="005201D8" w:rsidRPr="00BD3905">
        <w:rPr>
          <w:i/>
          <w:sz w:val="26"/>
          <w:szCs w:val="24"/>
        </w:rPr>
        <w:t>Fiorello v. PECO Energy Co.,</w:t>
      </w:r>
      <w:r w:rsidR="005201D8" w:rsidRPr="008516FF">
        <w:rPr>
          <w:sz w:val="26"/>
          <w:szCs w:val="24"/>
        </w:rPr>
        <w:t xml:space="preserve"> Docket No. </w:t>
      </w:r>
      <w:r w:rsidR="00826A88">
        <w:rPr>
          <w:sz w:val="26"/>
          <w:szCs w:val="24"/>
        </w:rPr>
        <w:br/>
      </w:r>
      <w:r w:rsidR="005201D8" w:rsidRPr="008516FF">
        <w:rPr>
          <w:sz w:val="26"/>
          <w:szCs w:val="24"/>
        </w:rPr>
        <w:t>C-00971088, (Order entered September 14, 1999)</w:t>
      </w:r>
      <w:r w:rsidR="006F3E08">
        <w:rPr>
          <w:sz w:val="26"/>
          <w:szCs w:val="24"/>
        </w:rPr>
        <w:t xml:space="preserve"> and</w:t>
      </w:r>
      <w:r w:rsidR="00CD6433">
        <w:rPr>
          <w:sz w:val="26"/>
          <w:szCs w:val="24"/>
        </w:rPr>
        <w:t xml:space="preserve"> </w:t>
      </w:r>
      <w:r w:rsidR="005201D8" w:rsidRPr="00BD3905">
        <w:rPr>
          <w:i/>
          <w:sz w:val="26"/>
          <w:szCs w:val="24"/>
        </w:rPr>
        <w:t>Stefanoski v. PA American Water Co</w:t>
      </w:r>
      <w:r w:rsidR="005201D8" w:rsidRPr="008516FF">
        <w:rPr>
          <w:sz w:val="26"/>
          <w:szCs w:val="24"/>
        </w:rPr>
        <w:t xml:space="preserve">., Docket No. C-20078219 (Order entered September 22, 2008). </w:t>
      </w:r>
      <w:r w:rsidR="00BD3905">
        <w:rPr>
          <w:sz w:val="26"/>
          <w:szCs w:val="24"/>
        </w:rPr>
        <w:t xml:space="preserve"> </w:t>
      </w:r>
    </w:p>
    <w:p w:rsidR="005201D8" w:rsidRPr="008516FF" w:rsidRDefault="005201D8" w:rsidP="00D82363">
      <w:pPr>
        <w:spacing w:line="360" w:lineRule="auto"/>
        <w:contextualSpacing/>
        <w:rPr>
          <w:sz w:val="26"/>
          <w:szCs w:val="24"/>
        </w:rPr>
      </w:pPr>
    </w:p>
    <w:p w:rsidR="0018275E" w:rsidRDefault="00BD3905" w:rsidP="00D82363">
      <w:pPr>
        <w:spacing w:line="360" w:lineRule="auto"/>
        <w:ind w:firstLine="1440"/>
        <w:contextualSpacing/>
        <w:rPr>
          <w:sz w:val="26"/>
          <w:szCs w:val="24"/>
        </w:rPr>
      </w:pPr>
      <w:r>
        <w:rPr>
          <w:sz w:val="26"/>
          <w:szCs w:val="24"/>
        </w:rPr>
        <w:t>Second, the ALJ</w:t>
      </w:r>
      <w:r w:rsidR="005201D8" w:rsidRPr="008516FF">
        <w:rPr>
          <w:sz w:val="26"/>
          <w:szCs w:val="24"/>
        </w:rPr>
        <w:t xml:space="preserve"> addressed the Complainant’s allegation</w:t>
      </w:r>
      <w:r w:rsidR="00EE3D96" w:rsidRPr="008516FF">
        <w:rPr>
          <w:sz w:val="26"/>
          <w:szCs w:val="24"/>
        </w:rPr>
        <w:t xml:space="preserve"> that she did not re</w:t>
      </w:r>
      <w:r>
        <w:rPr>
          <w:sz w:val="26"/>
          <w:szCs w:val="24"/>
        </w:rPr>
        <w:t xml:space="preserve">ceive notice from </w:t>
      </w:r>
      <w:r w:rsidR="00EE3D96" w:rsidRPr="008516FF">
        <w:rPr>
          <w:sz w:val="26"/>
          <w:szCs w:val="24"/>
        </w:rPr>
        <w:t xml:space="preserve">PAWC </w:t>
      </w:r>
      <w:r>
        <w:rPr>
          <w:sz w:val="26"/>
          <w:szCs w:val="24"/>
        </w:rPr>
        <w:t xml:space="preserve">that it </w:t>
      </w:r>
      <w:r w:rsidR="00EE3D96" w:rsidRPr="008516FF">
        <w:rPr>
          <w:sz w:val="26"/>
          <w:szCs w:val="24"/>
        </w:rPr>
        <w:t>was moving her meter from her laundry room to her basement.  The ALJ found that</w:t>
      </w:r>
      <w:r w:rsidR="006F3E08">
        <w:rPr>
          <w:sz w:val="26"/>
          <w:szCs w:val="24"/>
        </w:rPr>
        <w:t>,</w:t>
      </w:r>
      <w:r w:rsidR="00EE3D96" w:rsidRPr="008516FF">
        <w:rPr>
          <w:sz w:val="26"/>
          <w:szCs w:val="24"/>
        </w:rPr>
        <w:t xml:space="preserve"> on June 26, 2012, Jason Smith, a field service representative for PAWC</w:t>
      </w:r>
      <w:r w:rsidR="009058E4">
        <w:rPr>
          <w:sz w:val="26"/>
          <w:szCs w:val="24"/>
        </w:rPr>
        <w:t>,</w:t>
      </w:r>
      <w:r w:rsidR="00EE3D96" w:rsidRPr="008516FF">
        <w:rPr>
          <w:sz w:val="26"/>
          <w:szCs w:val="24"/>
        </w:rPr>
        <w:t xml:space="preserve"> went to the Complainant’s home and explained that he was verifying a leak on the customer side of the service line.  The Complainant </w:t>
      </w:r>
      <w:r w:rsidR="00C24852">
        <w:rPr>
          <w:sz w:val="26"/>
          <w:szCs w:val="24"/>
        </w:rPr>
        <w:t xml:space="preserve">led him to the meter in her laundry room, </w:t>
      </w:r>
      <w:r w:rsidR="00EE3D96" w:rsidRPr="008516FF">
        <w:rPr>
          <w:sz w:val="26"/>
          <w:szCs w:val="24"/>
        </w:rPr>
        <w:t xml:space="preserve">told him to </w:t>
      </w:r>
      <w:r w:rsidR="00C24852">
        <w:rPr>
          <w:sz w:val="26"/>
          <w:szCs w:val="24"/>
        </w:rPr>
        <w:t xml:space="preserve">do what he needed to do, and </w:t>
      </w:r>
      <w:r w:rsidR="00EE3D96" w:rsidRPr="008516FF">
        <w:rPr>
          <w:sz w:val="26"/>
          <w:szCs w:val="24"/>
        </w:rPr>
        <w:t xml:space="preserve">left him and went upstairs.  He did not tell the Complainant that he was moving her meter, but he did move the meter from her laundry room to the meter pit in the front yard. </w:t>
      </w:r>
      <w:r w:rsidR="0018275E">
        <w:rPr>
          <w:sz w:val="26"/>
          <w:szCs w:val="24"/>
        </w:rPr>
        <w:t xml:space="preserve"> I.D. at 8.</w:t>
      </w:r>
      <w:r w:rsidR="00EE3D96" w:rsidRPr="008516FF">
        <w:rPr>
          <w:sz w:val="26"/>
          <w:szCs w:val="24"/>
        </w:rPr>
        <w:t xml:space="preserve"> </w:t>
      </w:r>
    </w:p>
    <w:p w:rsidR="0018275E" w:rsidRDefault="0018275E" w:rsidP="00D82363">
      <w:pPr>
        <w:spacing w:line="360" w:lineRule="auto"/>
        <w:ind w:firstLine="1440"/>
        <w:contextualSpacing/>
        <w:rPr>
          <w:sz w:val="26"/>
          <w:szCs w:val="24"/>
        </w:rPr>
      </w:pPr>
    </w:p>
    <w:p w:rsidR="00EE3D96" w:rsidRPr="008516FF" w:rsidRDefault="00EE3D96" w:rsidP="00D82363">
      <w:pPr>
        <w:spacing w:line="360" w:lineRule="auto"/>
        <w:ind w:firstLine="1440"/>
        <w:contextualSpacing/>
        <w:rPr>
          <w:sz w:val="26"/>
          <w:szCs w:val="24"/>
        </w:rPr>
      </w:pPr>
      <w:r w:rsidRPr="008516FF">
        <w:rPr>
          <w:sz w:val="26"/>
          <w:szCs w:val="24"/>
        </w:rPr>
        <w:t>Despite finding that the field service representative did not inform the Complainant that he was moving the meter to the meter pit, the ALJ found that PAWC does not need to provide notice to a customer that it is</w:t>
      </w:r>
      <w:r w:rsidR="00BE3A8E" w:rsidRPr="008516FF">
        <w:rPr>
          <w:sz w:val="26"/>
          <w:szCs w:val="24"/>
        </w:rPr>
        <w:t xml:space="preserve"> moving its own equipment</w:t>
      </w:r>
      <w:r w:rsidRPr="008516FF">
        <w:rPr>
          <w:sz w:val="26"/>
          <w:szCs w:val="24"/>
        </w:rPr>
        <w:t xml:space="preserve">.  </w:t>
      </w:r>
      <w:r w:rsidR="00BE3A8E" w:rsidRPr="008516FF">
        <w:rPr>
          <w:sz w:val="26"/>
          <w:szCs w:val="24"/>
        </w:rPr>
        <w:t>The ALJ reasoned that t</w:t>
      </w:r>
      <w:r w:rsidRPr="008516FF">
        <w:rPr>
          <w:sz w:val="26"/>
          <w:szCs w:val="24"/>
        </w:rPr>
        <w:t>he meter belongs in the meter pit and</w:t>
      </w:r>
      <w:r w:rsidR="006F3E08">
        <w:rPr>
          <w:sz w:val="26"/>
          <w:szCs w:val="24"/>
        </w:rPr>
        <w:t>,</w:t>
      </w:r>
      <w:r w:rsidRPr="008516FF">
        <w:rPr>
          <w:sz w:val="26"/>
          <w:szCs w:val="24"/>
        </w:rPr>
        <w:t xml:space="preserve"> but for PAWC having no access </w:t>
      </w:r>
      <w:r w:rsidR="00BE3A8E" w:rsidRPr="008516FF">
        <w:rPr>
          <w:sz w:val="26"/>
          <w:szCs w:val="24"/>
        </w:rPr>
        <w:t>to the h</w:t>
      </w:r>
      <w:r w:rsidR="009058E4">
        <w:rPr>
          <w:sz w:val="26"/>
          <w:szCs w:val="24"/>
        </w:rPr>
        <w:t>ome to move it when it constructed</w:t>
      </w:r>
      <w:r w:rsidR="00BE3A8E" w:rsidRPr="008516FF">
        <w:rPr>
          <w:sz w:val="26"/>
          <w:szCs w:val="24"/>
        </w:rPr>
        <w:t xml:space="preserve"> the meter pit, PAWC would have done it in</w:t>
      </w:r>
      <w:r w:rsidRPr="008516FF">
        <w:rPr>
          <w:sz w:val="26"/>
          <w:szCs w:val="24"/>
        </w:rPr>
        <w:t xml:space="preserve"> 2010.  Jason Smit</w:t>
      </w:r>
      <w:r w:rsidR="00BE3A8E" w:rsidRPr="008516FF">
        <w:rPr>
          <w:sz w:val="26"/>
          <w:szCs w:val="24"/>
        </w:rPr>
        <w:t>h was guided by the Complainant</w:t>
      </w:r>
      <w:r w:rsidRPr="008516FF">
        <w:rPr>
          <w:sz w:val="26"/>
          <w:szCs w:val="24"/>
        </w:rPr>
        <w:t xml:space="preserve"> to the Complainant’s laundry room and told to do what he needed to do.  It was the Complainant’s choice to return to her own activities and leave</w:t>
      </w:r>
      <w:r w:rsidR="00BE3A8E" w:rsidRPr="008516FF">
        <w:rPr>
          <w:sz w:val="26"/>
          <w:szCs w:val="24"/>
        </w:rPr>
        <w:t xml:space="preserve"> Jason Smith to do his</w:t>
      </w:r>
      <w:r w:rsidR="00A7415B">
        <w:rPr>
          <w:sz w:val="26"/>
          <w:szCs w:val="24"/>
        </w:rPr>
        <w:t xml:space="preserve"> work</w:t>
      </w:r>
      <w:r w:rsidR="00BE3A8E" w:rsidRPr="008516FF">
        <w:rPr>
          <w:sz w:val="26"/>
          <w:szCs w:val="24"/>
        </w:rPr>
        <w:t>.  It did</w:t>
      </w:r>
      <w:r w:rsidRPr="008516FF">
        <w:rPr>
          <w:sz w:val="26"/>
          <w:szCs w:val="24"/>
        </w:rPr>
        <w:t xml:space="preserve"> not amount to any wrongdoing o</w:t>
      </w:r>
      <w:r w:rsidR="0018275E">
        <w:rPr>
          <w:sz w:val="26"/>
          <w:szCs w:val="24"/>
        </w:rPr>
        <w:t xml:space="preserve">n the part of PAWC.  </w:t>
      </w:r>
      <w:r w:rsidR="0018275E" w:rsidRPr="0018275E">
        <w:rPr>
          <w:i/>
          <w:sz w:val="26"/>
          <w:szCs w:val="24"/>
        </w:rPr>
        <w:t>Id</w:t>
      </w:r>
      <w:r w:rsidR="0018275E">
        <w:rPr>
          <w:sz w:val="26"/>
          <w:szCs w:val="24"/>
        </w:rPr>
        <w:t>.</w:t>
      </w:r>
    </w:p>
    <w:p w:rsidR="00BE3A8E" w:rsidRPr="008516FF" w:rsidRDefault="00BE3A8E" w:rsidP="00D82363">
      <w:pPr>
        <w:widowControl/>
        <w:spacing w:line="360" w:lineRule="auto"/>
        <w:ind w:firstLine="1440"/>
        <w:contextualSpacing/>
        <w:rPr>
          <w:sz w:val="26"/>
          <w:szCs w:val="24"/>
        </w:rPr>
      </w:pPr>
    </w:p>
    <w:p w:rsidR="00BE3A8E" w:rsidRPr="008516FF" w:rsidRDefault="00BE3A8E" w:rsidP="00D82363">
      <w:pPr>
        <w:spacing w:line="360" w:lineRule="auto"/>
        <w:ind w:firstLine="1440"/>
        <w:contextualSpacing/>
        <w:rPr>
          <w:sz w:val="26"/>
          <w:szCs w:val="24"/>
        </w:rPr>
      </w:pPr>
      <w:r w:rsidRPr="008516FF">
        <w:rPr>
          <w:sz w:val="26"/>
          <w:szCs w:val="24"/>
        </w:rPr>
        <w:t>Next,</w:t>
      </w:r>
      <w:r w:rsidR="0054089B" w:rsidRPr="008516FF">
        <w:rPr>
          <w:sz w:val="26"/>
          <w:szCs w:val="24"/>
        </w:rPr>
        <w:t xml:space="preserve"> the ALJ discussed</w:t>
      </w:r>
      <w:r w:rsidRPr="008516FF">
        <w:rPr>
          <w:sz w:val="26"/>
          <w:szCs w:val="24"/>
        </w:rPr>
        <w:t xml:space="preserve"> the Complainant’s allegation that PAWC failed to reseed her lawn when it installed t</w:t>
      </w:r>
      <w:r w:rsidR="00FE0426">
        <w:rPr>
          <w:sz w:val="26"/>
          <w:szCs w:val="24"/>
        </w:rPr>
        <w:t>he meter pit in 2010.  She noted</w:t>
      </w:r>
      <w:r w:rsidRPr="008516FF">
        <w:rPr>
          <w:sz w:val="26"/>
          <w:szCs w:val="24"/>
        </w:rPr>
        <w:t xml:space="preserve"> that</w:t>
      </w:r>
      <w:r w:rsidR="006F3E08">
        <w:rPr>
          <w:sz w:val="26"/>
          <w:szCs w:val="24"/>
        </w:rPr>
        <w:t>,</w:t>
      </w:r>
      <w:r w:rsidRPr="008516FF">
        <w:rPr>
          <w:sz w:val="26"/>
          <w:szCs w:val="24"/>
        </w:rPr>
        <w:t xml:space="preserve"> upon cross examination, the Complainant admitted t</w:t>
      </w:r>
      <w:r w:rsidR="00FE0426">
        <w:rPr>
          <w:sz w:val="26"/>
          <w:szCs w:val="24"/>
        </w:rPr>
        <w:t xml:space="preserve">hat the </w:t>
      </w:r>
      <w:r w:rsidR="006F3E08">
        <w:rPr>
          <w:sz w:val="26"/>
          <w:szCs w:val="24"/>
        </w:rPr>
        <w:t>R</w:t>
      </w:r>
      <w:r w:rsidR="00FE0426">
        <w:rPr>
          <w:sz w:val="26"/>
          <w:szCs w:val="24"/>
        </w:rPr>
        <w:t>espondent did reseed</w:t>
      </w:r>
      <w:r w:rsidR="00C24852">
        <w:rPr>
          <w:sz w:val="26"/>
          <w:szCs w:val="24"/>
        </w:rPr>
        <w:t xml:space="preserve">.  The ALJ </w:t>
      </w:r>
      <w:r w:rsidRPr="008516FF">
        <w:rPr>
          <w:sz w:val="26"/>
          <w:szCs w:val="24"/>
        </w:rPr>
        <w:t>dismissed this portion of the complaint</w:t>
      </w:r>
      <w:r w:rsidR="00FE0426">
        <w:rPr>
          <w:sz w:val="26"/>
          <w:szCs w:val="24"/>
        </w:rPr>
        <w:t>. I.D. at 9.</w:t>
      </w:r>
      <w:r w:rsidRPr="008516FF">
        <w:rPr>
          <w:sz w:val="26"/>
          <w:szCs w:val="24"/>
        </w:rPr>
        <w:t xml:space="preserve">  </w:t>
      </w:r>
    </w:p>
    <w:p w:rsidR="0054089B" w:rsidRPr="008516FF" w:rsidRDefault="00BE3A8E" w:rsidP="00D82363">
      <w:pPr>
        <w:spacing w:line="360" w:lineRule="auto"/>
        <w:ind w:firstLine="1440"/>
        <w:contextualSpacing/>
        <w:rPr>
          <w:sz w:val="26"/>
          <w:szCs w:val="24"/>
        </w:rPr>
      </w:pPr>
      <w:r w:rsidRPr="008516FF">
        <w:rPr>
          <w:sz w:val="26"/>
          <w:szCs w:val="24"/>
        </w:rPr>
        <w:lastRenderedPageBreak/>
        <w:t xml:space="preserve">Finally, the ALJ </w:t>
      </w:r>
      <w:r w:rsidR="0054089B" w:rsidRPr="008516FF">
        <w:rPr>
          <w:sz w:val="26"/>
          <w:szCs w:val="24"/>
        </w:rPr>
        <w:t xml:space="preserve">turned her attention to the Complainant’s allegation that the Respondent caused a water leak in her service line when it installed the meter pit on July 27, 2010.   The ALJ found that the water leak was discovered </w:t>
      </w:r>
      <w:r w:rsidR="00C24852">
        <w:rPr>
          <w:sz w:val="26"/>
          <w:szCs w:val="24"/>
        </w:rPr>
        <w:t xml:space="preserve">on </w:t>
      </w:r>
      <w:r w:rsidR="0054089B" w:rsidRPr="008516FF">
        <w:rPr>
          <w:sz w:val="26"/>
          <w:szCs w:val="24"/>
        </w:rPr>
        <w:t>June 22, 2012 on the customer’s side of the service line.  The Complainant admitted that the leak was on her side of the service line</w:t>
      </w:r>
      <w:r w:rsidR="006F3E08">
        <w:rPr>
          <w:sz w:val="26"/>
          <w:szCs w:val="24"/>
        </w:rPr>
        <w:t>;</w:t>
      </w:r>
      <w:r w:rsidR="0054089B" w:rsidRPr="008516FF">
        <w:rPr>
          <w:sz w:val="26"/>
          <w:szCs w:val="24"/>
        </w:rPr>
        <w:t xml:space="preserve"> she simply insisted that the leak was caused by PAWC putting in the meter pit.</w:t>
      </w:r>
      <w:r w:rsidR="004E4E9F">
        <w:rPr>
          <w:sz w:val="26"/>
          <w:szCs w:val="24"/>
        </w:rPr>
        <w:t xml:space="preserve">  I.D. at 9. </w:t>
      </w:r>
    </w:p>
    <w:p w:rsidR="0054089B" w:rsidRPr="008516FF" w:rsidRDefault="0054089B" w:rsidP="00D82363">
      <w:pPr>
        <w:widowControl/>
        <w:spacing w:line="360" w:lineRule="auto"/>
        <w:ind w:firstLine="1440"/>
        <w:contextualSpacing/>
        <w:rPr>
          <w:sz w:val="26"/>
          <w:szCs w:val="24"/>
        </w:rPr>
      </w:pPr>
    </w:p>
    <w:p w:rsidR="00D97983" w:rsidRPr="00AF44DA" w:rsidRDefault="0054089B" w:rsidP="00D82363">
      <w:pPr>
        <w:widowControl/>
        <w:spacing w:line="360" w:lineRule="auto"/>
        <w:ind w:firstLine="1440"/>
        <w:contextualSpacing/>
        <w:rPr>
          <w:sz w:val="26"/>
          <w:szCs w:val="24"/>
        </w:rPr>
      </w:pPr>
      <w:r w:rsidRPr="00AF44DA">
        <w:rPr>
          <w:sz w:val="26"/>
          <w:szCs w:val="24"/>
        </w:rPr>
        <w:t>In support of her allegation the Complainant presented the testimony of Vincent Pietracatella, a plumber</w:t>
      </w:r>
      <w:r w:rsidRPr="00920B2B">
        <w:rPr>
          <w:sz w:val="26"/>
          <w:szCs w:val="24"/>
        </w:rPr>
        <w:t xml:space="preserve">.  Mr. Pietracatella indicated that he believed the company’s installation of the meter pit </w:t>
      </w:r>
      <w:r w:rsidR="008110C8" w:rsidRPr="00920B2B">
        <w:rPr>
          <w:sz w:val="26"/>
          <w:szCs w:val="24"/>
        </w:rPr>
        <w:t>caused the leak</w:t>
      </w:r>
      <w:r w:rsidR="00AF44DA" w:rsidRPr="00AF44DA">
        <w:rPr>
          <w:sz w:val="26"/>
          <w:szCs w:val="24"/>
        </w:rPr>
        <w:t xml:space="preserve"> but</w:t>
      </w:r>
      <w:r w:rsidRPr="00AF44DA">
        <w:rPr>
          <w:sz w:val="26"/>
          <w:szCs w:val="24"/>
        </w:rPr>
        <w:t xml:space="preserve"> he could not be sure without excavation.</w:t>
      </w:r>
      <w:r w:rsidR="00A7415B" w:rsidRPr="00AF44DA">
        <w:rPr>
          <w:sz w:val="26"/>
          <w:szCs w:val="24"/>
        </w:rPr>
        <w:t xml:space="preserve">  I.D. at 9. </w:t>
      </w:r>
      <w:r w:rsidR="000E3CA8">
        <w:rPr>
          <w:sz w:val="26"/>
          <w:szCs w:val="24"/>
        </w:rPr>
        <w:t xml:space="preserve"> </w:t>
      </w:r>
      <w:r w:rsidRPr="00AF44DA">
        <w:rPr>
          <w:sz w:val="26"/>
          <w:szCs w:val="24"/>
        </w:rPr>
        <w:t>PAWC presented the testimony of David Altmiller.  Mr. Altmiller testified that</w:t>
      </w:r>
      <w:r w:rsidR="006F3E08">
        <w:rPr>
          <w:sz w:val="26"/>
          <w:szCs w:val="24"/>
        </w:rPr>
        <w:t>,</w:t>
      </w:r>
      <w:r w:rsidRPr="00AF44DA">
        <w:rPr>
          <w:sz w:val="26"/>
          <w:szCs w:val="24"/>
        </w:rPr>
        <w:t xml:space="preserve"> on July 27, 2010, PAWC replaced the company ow</w:t>
      </w:r>
      <w:r w:rsidR="00AF44DA" w:rsidRPr="00AF44DA">
        <w:rPr>
          <w:sz w:val="26"/>
          <w:szCs w:val="24"/>
        </w:rPr>
        <w:t xml:space="preserve">ned side of the service line and installed a meter pit </w:t>
      </w:r>
      <w:r w:rsidRPr="00AF44DA">
        <w:rPr>
          <w:sz w:val="26"/>
          <w:szCs w:val="24"/>
        </w:rPr>
        <w:t>at the location of the existing curb stop.  The only change was that instead of a curb stop, the Complainant now had a meter pit.  Becaus</w:t>
      </w:r>
      <w:r w:rsidR="00C24852">
        <w:rPr>
          <w:sz w:val="26"/>
          <w:szCs w:val="24"/>
        </w:rPr>
        <w:t>e PAWC could not access the meter</w:t>
      </w:r>
      <w:r w:rsidRPr="00AF44DA">
        <w:rPr>
          <w:sz w:val="26"/>
          <w:szCs w:val="24"/>
        </w:rPr>
        <w:t xml:space="preserve"> at the time of the installation of the m</w:t>
      </w:r>
      <w:r w:rsidR="00A7415B" w:rsidRPr="00920B2B">
        <w:rPr>
          <w:sz w:val="26"/>
          <w:szCs w:val="24"/>
        </w:rPr>
        <w:t>eter pit, the meter</w:t>
      </w:r>
      <w:r w:rsidRPr="00920B2B">
        <w:rPr>
          <w:sz w:val="26"/>
          <w:szCs w:val="24"/>
        </w:rPr>
        <w:t xml:space="preserve"> rem</w:t>
      </w:r>
      <w:r w:rsidR="00AF44DA" w:rsidRPr="00AF44DA">
        <w:rPr>
          <w:sz w:val="26"/>
          <w:szCs w:val="24"/>
        </w:rPr>
        <w:t>ained in the house</w:t>
      </w:r>
      <w:r w:rsidRPr="00AF44DA">
        <w:rPr>
          <w:sz w:val="26"/>
          <w:szCs w:val="24"/>
        </w:rPr>
        <w:t xml:space="preserve">.  </w:t>
      </w:r>
      <w:r w:rsidR="00A7415B" w:rsidRPr="00AF44DA">
        <w:rPr>
          <w:sz w:val="26"/>
          <w:szCs w:val="24"/>
        </w:rPr>
        <w:t xml:space="preserve">I.D. at 9-10. </w:t>
      </w:r>
    </w:p>
    <w:p w:rsidR="00D97983" w:rsidRPr="00920B2B" w:rsidRDefault="00D97983" w:rsidP="00D82363">
      <w:pPr>
        <w:widowControl/>
        <w:spacing w:line="360" w:lineRule="auto"/>
        <w:ind w:firstLine="1440"/>
        <w:contextualSpacing/>
        <w:rPr>
          <w:sz w:val="26"/>
          <w:szCs w:val="24"/>
        </w:rPr>
      </w:pPr>
    </w:p>
    <w:p w:rsidR="0054089B" w:rsidRPr="008516FF" w:rsidRDefault="0054089B" w:rsidP="00D82363">
      <w:pPr>
        <w:widowControl/>
        <w:spacing w:line="360" w:lineRule="auto"/>
        <w:ind w:firstLine="1440"/>
        <w:contextualSpacing/>
        <w:rPr>
          <w:sz w:val="26"/>
          <w:szCs w:val="24"/>
        </w:rPr>
      </w:pPr>
      <w:r w:rsidRPr="00920B2B">
        <w:rPr>
          <w:sz w:val="26"/>
          <w:szCs w:val="24"/>
        </w:rPr>
        <w:t>Mr. Altmi</w:t>
      </w:r>
      <w:r w:rsidR="00CE5A34" w:rsidRPr="00920B2B">
        <w:rPr>
          <w:sz w:val="26"/>
          <w:szCs w:val="24"/>
        </w:rPr>
        <w:t>ller did not believe that the Respondent</w:t>
      </w:r>
      <w:r w:rsidRPr="00920B2B">
        <w:rPr>
          <w:sz w:val="26"/>
          <w:szCs w:val="24"/>
        </w:rPr>
        <w:t xml:space="preserve"> caused the leak</w:t>
      </w:r>
      <w:r w:rsidR="000E3CA8">
        <w:rPr>
          <w:sz w:val="26"/>
          <w:szCs w:val="24"/>
        </w:rPr>
        <w:t xml:space="preserve">. </w:t>
      </w:r>
      <w:r w:rsidR="00CE5A34" w:rsidRPr="00920B2B">
        <w:rPr>
          <w:sz w:val="26"/>
          <w:szCs w:val="24"/>
        </w:rPr>
        <w:t xml:space="preserve"> He explained that</w:t>
      </w:r>
      <w:r w:rsidR="006F3E08">
        <w:rPr>
          <w:sz w:val="26"/>
          <w:szCs w:val="24"/>
        </w:rPr>
        <w:t>,</w:t>
      </w:r>
      <w:r w:rsidRPr="00920B2B">
        <w:rPr>
          <w:sz w:val="26"/>
          <w:szCs w:val="24"/>
        </w:rPr>
        <w:t xml:space="preserve"> after the in</w:t>
      </w:r>
      <w:r w:rsidR="00503D98" w:rsidRPr="00920B2B">
        <w:rPr>
          <w:sz w:val="26"/>
          <w:szCs w:val="24"/>
        </w:rPr>
        <w:t>stallation of the meter pit</w:t>
      </w:r>
      <w:r w:rsidR="00D97983" w:rsidRPr="00920B2B">
        <w:rPr>
          <w:sz w:val="26"/>
          <w:szCs w:val="24"/>
        </w:rPr>
        <w:t>,</w:t>
      </w:r>
      <w:r w:rsidR="00C24852">
        <w:rPr>
          <w:sz w:val="26"/>
          <w:szCs w:val="24"/>
        </w:rPr>
        <w:t xml:space="preserve"> PAWC</w:t>
      </w:r>
      <w:r w:rsidRPr="00920B2B">
        <w:rPr>
          <w:sz w:val="26"/>
          <w:szCs w:val="24"/>
        </w:rPr>
        <w:t xml:space="preserve"> tested </w:t>
      </w:r>
      <w:r w:rsidR="00CE5A34" w:rsidRPr="00920B2B">
        <w:rPr>
          <w:sz w:val="26"/>
          <w:szCs w:val="24"/>
        </w:rPr>
        <w:t>for leaks and found none</w:t>
      </w:r>
      <w:r w:rsidR="00503D98" w:rsidRPr="00920B2B">
        <w:rPr>
          <w:sz w:val="26"/>
          <w:szCs w:val="24"/>
        </w:rPr>
        <w:t xml:space="preserve">.  </w:t>
      </w:r>
      <w:r w:rsidR="00AF44DA" w:rsidRPr="00AF44DA">
        <w:rPr>
          <w:sz w:val="26"/>
          <w:szCs w:val="24"/>
        </w:rPr>
        <w:t>Additionally, he</w:t>
      </w:r>
      <w:r w:rsidR="00D97983" w:rsidRPr="00AF44DA">
        <w:rPr>
          <w:sz w:val="26"/>
          <w:szCs w:val="24"/>
        </w:rPr>
        <w:t xml:space="preserve"> testified that the company conducted periodic </w:t>
      </w:r>
      <w:r w:rsidRPr="00AF44DA">
        <w:rPr>
          <w:sz w:val="26"/>
          <w:szCs w:val="24"/>
        </w:rPr>
        <w:t>leak detection</w:t>
      </w:r>
      <w:r w:rsidR="006F3E08">
        <w:rPr>
          <w:sz w:val="26"/>
          <w:szCs w:val="24"/>
        </w:rPr>
        <w:t>.</w:t>
      </w:r>
      <w:r w:rsidRPr="00AF44DA">
        <w:rPr>
          <w:sz w:val="26"/>
          <w:szCs w:val="24"/>
        </w:rPr>
        <w:t xml:space="preserve"> </w:t>
      </w:r>
      <w:r w:rsidR="006F3E08">
        <w:rPr>
          <w:sz w:val="26"/>
          <w:szCs w:val="24"/>
        </w:rPr>
        <w:t>T</w:t>
      </w:r>
      <w:r w:rsidRPr="00AF44DA">
        <w:rPr>
          <w:sz w:val="26"/>
          <w:szCs w:val="24"/>
        </w:rPr>
        <w:t>herefore, if th</w:t>
      </w:r>
      <w:r w:rsidRPr="00920B2B">
        <w:rPr>
          <w:sz w:val="26"/>
          <w:szCs w:val="24"/>
        </w:rPr>
        <w:t xml:space="preserve">e leak occurred before 2012, the </w:t>
      </w:r>
      <w:r w:rsidR="006F3E08">
        <w:rPr>
          <w:sz w:val="26"/>
          <w:szCs w:val="24"/>
        </w:rPr>
        <w:t>C</w:t>
      </w:r>
      <w:r w:rsidRPr="00920B2B">
        <w:rPr>
          <w:sz w:val="26"/>
          <w:szCs w:val="24"/>
        </w:rPr>
        <w:t>ompany would have discovered it</w:t>
      </w:r>
      <w:r w:rsidR="000E3CA8">
        <w:rPr>
          <w:sz w:val="26"/>
          <w:szCs w:val="24"/>
        </w:rPr>
        <w:t>.  Mr. </w:t>
      </w:r>
      <w:r w:rsidR="00BB1B19" w:rsidRPr="00920B2B">
        <w:rPr>
          <w:sz w:val="26"/>
          <w:szCs w:val="24"/>
        </w:rPr>
        <w:t>Altmiller did not think the leak was</w:t>
      </w:r>
      <w:r w:rsidRPr="00920B2B">
        <w:rPr>
          <w:sz w:val="26"/>
          <w:szCs w:val="24"/>
        </w:rPr>
        <w:t xml:space="preserve"> close to the meter pit based upon years of leak detection</w:t>
      </w:r>
      <w:r w:rsidR="00AF44DA" w:rsidRPr="00AF44DA">
        <w:rPr>
          <w:sz w:val="26"/>
          <w:szCs w:val="24"/>
        </w:rPr>
        <w:t xml:space="preserve"> experience</w:t>
      </w:r>
      <w:r w:rsidR="00185900" w:rsidRPr="00AF44DA">
        <w:rPr>
          <w:sz w:val="26"/>
          <w:szCs w:val="24"/>
        </w:rPr>
        <w:t xml:space="preserve">.  </w:t>
      </w:r>
      <w:r w:rsidR="00AF44DA" w:rsidRPr="00AF44DA">
        <w:rPr>
          <w:sz w:val="26"/>
          <w:szCs w:val="24"/>
        </w:rPr>
        <w:t>He believed</w:t>
      </w:r>
      <w:r w:rsidRPr="00AF44DA">
        <w:rPr>
          <w:sz w:val="26"/>
          <w:szCs w:val="24"/>
        </w:rPr>
        <w:t xml:space="preserve"> the leak occurred due to the aging of t</w:t>
      </w:r>
      <w:r w:rsidR="00AF44DA" w:rsidRPr="00AF44DA">
        <w:rPr>
          <w:sz w:val="26"/>
          <w:szCs w:val="24"/>
        </w:rPr>
        <w:t>he service line</w:t>
      </w:r>
      <w:r w:rsidR="00A7415B" w:rsidRPr="00AF44DA">
        <w:rPr>
          <w:sz w:val="26"/>
          <w:szCs w:val="24"/>
        </w:rPr>
        <w:t>.  I.D. at 10.</w:t>
      </w:r>
      <w:r w:rsidR="00A7415B">
        <w:rPr>
          <w:sz w:val="26"/>
          <w:szCs w:val="24"/>
        </w:rPr>
        <w:t xml:space="preserve"> </w:t>
      </w:r>
    </w:p>
    <w:p w:rsidR="0054089B" w:rsidRPr="008516FF" w:rsidRDefault="0054089B" w:rsidP="00D82363">
      <w:pPr>
        <w:widowControl/>
        <w:spacing w:line="360" w:lineRule="auto"/>
        <w:ind w:firstLine="1440"/>
        <w:contextualSpacing/>
        <w:rPr>
          <w:sz w:val="26"/>
          <w:szCs w:val="24"/>
        </w:rPr>
      </w:pPr>
      <w:r w:rsidRPr="008516FF">
        <w:rPr>
          <w:sz w:val="26"/>
          <w:szCs w:val="24"/>
        </w:rPr>
        <w:t xml:space="preserve"> </w:t>
      </w:r>
    </w:p>
    <w:p w:rsidR="0054089B" w:rsidRPr="008516FF" w:rsidRDefault="00BB1B19" w:rsidP="00D82363">
      <w:pPr>
        <w:widowControl/>
        <w:spacing w:line="360" w:lineRule="auto"/>
        <w:ind w:firstLine="1440"/>
        <w:contextualSpacing/>
        <w:rPr>
          <w:sz w:val="26"/>
          <w:szCs w:val="24"/>
        </w:rPr>
      </w:pPr>
      <w:r w:rsidRPr="008516FF">
        <w:rPr>
          <w:sz w:val="26"/>
          <w:szCs w:val="24"/>
        </w:rPr>
        <w:t>The ALJ found</w:t>
      </w:r>
      <w:r w:rsidR="0054089B" w:rsidRPr="008516FF">
        <w:rPr>
          <w:sz w:val="26"/>
          <w:szCs w:val="24"/>
        </w:rPr>
        <w:t xml:space="preserve"> no substantial ev</w:t>
      </w:r>
      <w:r w:rsidRPr="008516FF">
        <w:rPr>
          <w:sz w:val="26"/>
          <w:szCs w:val="24"/>
        </w:rPr>
        <w:t>idence in the record to prove</w:t>
      </w:r>
      <w:r w:rsidR="0054089B" w:rsidRPr="008516FF">
        <w:rPr>
          <w:sz w:val="26"/>
          <w:szCs w:val="24"/>
        </w:rPr>
        <w:t xml:space="preserve"> that PAWC’s installation of the meter pit caused a leak on the </w:t>
      </w:r>
      <w:r w:rsidR="00185900">
        <w:rPr>
          <w:sz w:val="26"/>
          <w:szCs w:val="24"/>
        </w:rPr>
        <w:t>customer’s service line.  I</w:t>
      </w:r>
      <w:r w:rsidRPr="008516FF">
        <w:rPr>
          <w:sz w:val="26"/>
          <w:szCs w:val="24"/>
        </w:rPr>
        <w:t>nstead</w:t>
      </w:r>
      <w:r w:rsidR="00185900">
        <w:rPr>
          <w:sz w:val="26"/>
          <w:szCs w:val="24"/>
        </w:rPr>
        <w:t>,</w:t>
      </w:r>
      <w:r w:rsidRPr="008516FF">
        <w:rPr>
          <w:sz w:val="26"/>
          <w:szCs w:val="24"/>
        </w:rPr>
        <w:t xml:space="preserve"> </w:t>
      </w:r>
      <w:r w:rsidR="00185900">
        <w:rPr>
          <w:sz w:val="26"/>
          <w:szCs w:val="24"/>
        </w:rPr>
        <w:t xml:space="preserve">she </w:t>
      </w:r>
      <w:r w:rsidRPr="008516FF">
        <w:rPr>
          <w:sz w:val="26"/>
          <w:szCs w:val="24"/>
        </w:rPr>
        <w:t>reasoned that the passage of time indicated</w:t>
      </w:r>
      <w:r w:rsidR="0054089B" w:rsidRPr="008516FF">
        <w:rPr>
          <w:sz w:val="26"/>
          <w:szCs w:val="24"/>
        </w:rPr>
        <w:t xml:space="preserve"> that the leak was not caused by the installation of the meter pit.  </w:t>
      </w:r>
      <w:r w:rsidRPr="008516FF">
        <w:rPr>
          <w:sz w:val="26"/>
          <w:szCs w:val="24"/>
        </w:rPr>
        <w:t>She dismissed this portion of the Complaint finding that</w:t>
      </w:r>
      <w:r w:rsidR="006F3E08">
        <w:rPr>
          <w:sz w:val="26"/>
          <w:szCs w:val="24"/>
        </w:rPr>
        <w:t>,</w:t>
      </w:r>
      <w:r w:rsidRPr="008516FF">
        <w:rPr>
          <w:sz w:val="26"/>
          <w:szCs w:val="24"/>
        </w:rPr>
        <w:t xml:space="preserve"> per</w:t>
      </w:r>
      <w:r w:rsidR="0054089B" w:rsidRPr="008516FF">
        <w:rPr>
          <w:sz w:val="26"/>
          <w:szCs w:val="24"/>
        </w:rPr>
        <w:t xml:space="preserve"> </w:t>
      </w:r>
      <w:r w:rsidR="0054089B" w:rsidRPr="008516FF">
        <w:rPr>
          <w:sz w:val="26"/>
          <w:szCs w:val="24"/>
        </w:rPr>
        <w:lastRenderedPageBreak/>
        <w:t>PAWC’s tariff, the responsibility to repair the leak falls upon the Complainant.</w:t>
      </w:r>
      <w:r w:rsidR="000E3CA8">
        <w:rPr>
          <w:sz w:val="26"/>
          <w:szCs w:val="24"/>
        </w:rPr>
        <w:t xml:space="preserve">  I.D. at </w:t>
      </w:r>
      <w:r w:rsidR="00D00574">
        <w:rPr>
          <w:sz w:val="26"/>
          <w:szCs w:val="24"/>
        </w:rPr>
        <w:t xml:space="preserve">10. </w:t>
      </w:r>
    </w:p>
    <w:p w:rsidR="00BE3A8E" w:rsidRPr="008516FF" w:rsidRDefault="00BE3A8E" w:rsidP="00D82363">
      <w:pPr>
        <w:widowControl/>
        <w:spacing w:line="360" w:lineRule="auto"/>
        <w:contextualSpacing/>
        <w:rPr>
          <w:sz w:val="26"/>
          <w:szCs w:val="24"/>
        </w:rPr>
      </w:pPr>
    </w:p>
    <w:p w:rsidR="00BB1B19" w:rsidRPr="00605B49" w:rsidRDefault="000B65C2" w:rsidP="0043752F">
      <w:pPr>
        <w:widowControl/>
        <w:spacing w:line="360" w:lineRule="auto"/>
        <w:contextualSpacing/>
        <w:rPr>
          <w:b/>
          <w:sz w:val="26"/>
          <w:szCs w:val="26"/>
        </w:rPr>
      </w:pPr>
      <w:r>
        <w:rPr>
          <w:b/>
          <w:sz w:val="26"/>
          <w:szCs w:val="26"/>
        </w:rPr>
        <w:t xml:space="preserve">Exceptions, Replies and </w:t>
      </w:r>
      <w:r w:rsidR="001D2D12">
        <w:rPr>
          <w:b/>
          <w:sz w:val="26"/>
          <w:szCs w:val="26"/>
        </w:rPr>
        <w:t>Disposition</w:t>
      </w:r>
    </w:p>
    <w:p w:rsidR="00006F35" w:rsidRPr="008516FF" w:rsidRDefault="00006F35" w:rsidP="00D82363">
      <w:pPr>
        <w:spacing w:line="360" w:lineRule="auto"/>
        <w:contextualSpacing/>
        <w:rPr>
          <w:sz w:val="26"/>
          <w:szCs w:val="26"/>
        </w:rPr>
      </w:pPr>
    </w:p>
    <w:p w:rsidR="008A7731" w:rsidRDefault="00BB1B19" w:rsidP="00D82363">
      <w:pPr>
        <w:spacing w:line="360" w:lineRule="auto"/>
        <w:contextualSpacing/>
        <w:rPr>
          <w:sz w:val="26"/>
          <w:szCs w:val="26"/>
        </w:rPr>
      </w:pPr>
      <w:r w:rsidRPr="008516FF">
        <w:rPr>
          <w:sz w:val="26"/>
          <w:szCs w:val="26"/>
        </w:rPr>
        <w:tab/>
      </w:r>
      <w:r w:rsidRPr="008516FF">
        <w:rPr>
          <w:sz w:val="26"/>
          <w:szCs w:val="26"/>
        </w:rPr>
        <w:tab/>
      </w:r>
      <w:r w:rsidR="00185900">
        <w:rPr>
          <w:sz w:val="26"/>
          <w:szCs w:val="26"/>
        </w:rPr>
        <w:t>The Complainant filed</w:t>
      </w:r>
      <w:r w:rsidR="00DF1ACF" w:rsidRPr="008516FF">
        <w:rPr>
          <w:sz w:val="26"/>
          <w:szCs w:val="26"/>
        </w:rPr>
        <w:t xml:space="preserve"> Exceptions</w:t>
      </w:r>
      <w:r w:rsidR="00E26AE1">
        <w:rPr>
          <w:sz w:val="26"/>
          <w:szCs w:val="26"/>
        </w:rPr>
        <w:t xml:space="preserve"> disagreein</w:t>
      </w:r>
      <w:r w:rsidR="00185900">
        <w:rPr>
          <w:sz w:val="26"/>
          <w:szCs w:val="26"/>
        </w:rPr>
        <w:t>g with all parts of the ALJ’s Initial Decision</w:t>
      </w:r>
      <w:r w:rsidR="00E26AE1">
        <w:rPr>
          <w:sz w:val="26"/>
          <w:szCs w:val="26"/>
        </w:rPr>
        <w:t>.  T</w:t>
      </w:r>
      <w:r w:rsidR="00C46747" w:rsidRPr="008516FF">
        <w:rPr>
          <w:sz w:val="26"/>
          <w:szCs w:val="26"/>
        </w:rPr>
        <w:t>he Resp</w:t>
      </w:r>
      <w:r w:rsidR="00185900">
        <w:rPr>
          <w:sz w:val="26"/>
          <w:szCs w:val="26"/>
        </w:rPr>
        <w:t xml:space="preserve">ondent filed Reply Exceptions. </w:t>
      </w:r>
      <w:r w:rsidR="00DF1ACF" w:rsidRPr="008516FF">
        <w:rPr>
          <w:sz w:val="26"/>
          <w:szCs w:val="26"/>
        </w:rPr>
        <w:t xml:space="preserve">  </w:t>
      </w:r>
    </w:p>
    <w:p w:rsidR="008A7731" w:rsidRDefault="008A7731" w:rsidP="00D82363">
      <w:pPr>
        <w:spacing w:line="360" w:lineRule="auto"/>
        <w:contextualSpacing/>
        <w:rPr>
          <w:sz w:val="26"/>
          <w:szCs w:val="26"/>
        </w:rPr>
      </w:pPr>
    </w:p>
    <w:p w:rsidR="00867B1E" w:rsidRDefault="00DF1ACF" w:rsidP="00A03B93">
      <w:pPr>
        <w:spacing w:line="360" w:lineRule="auto"/>
        <w:ind w:firstLine="1440"/>
        <w:contextualSpacing/>
        <w:rPr>
          <w:rFonts w:eastAsia="MS Mincho"/>
          <w:sz w:val="26"/>
          <w:szCs w:val="26"/>
        </w:rPr>
      </w:pPr>
      <w:r w:rsidRPr="008516FF">
        <w:rPr>
          <w:sz w:val="26"/>
          <w:szCs w:val="26"/>
        </w:rPr>
        <w:t>In h</w:t>
      </w:r>
      <w:r w:rsidR="00185900">
        <w:rPr>
          <w:sz w:val="26"/>
          <w:szCs w:val="26"/>
        </w:rPr>
        <w:t>er first Exception, the Complainant</w:t>
      </w:r>
      <w:r w:rsidR="00A34240" w:rsidRPr="008516FF">
        <w:rPr>
          <w:sz w:val="26"/>
          <w:szCs w:val="26"/>
        </w:rPr>
        <w:t xml:space="preserve"> asserts</w:t>
      </w:r>
      <w:r w:rsidRPr="008516FF">
        <w:rPr>
          <w:sz w:val="26"/>
          <w:szCs w:val="26"/>
        </w:rPr>
        <w:t xml:space="preserve"> that the water company never cont</w:t>
      </w:r>
      <w:r w:rsidR="00185900">
        <w:rPr>
          <w:sz w:val="26"/>
          <w:szCs w:val="26"/>
        </w:rPr>
        <w:t>acted her when it purchased her</w:t>
      </w:r>
      <w:r w:rsidR="002377F8" w:rsidRPr="008516FF">
        <w:rPr>
          <w:sz w:val="26"/>
          <w:szCs w:val="26"/>
        </w:rPr>
        <w:t xml:space="preserve"> </w:t>
      </w:r>
      <w:r w:rsidRPr="008516FF">
        <w:rPr>
          <w:sz w:val="26"/>
          <w:szCs w:val="26"/>
        </w:rPr>
        <w:t xml:space="preserve">predecessor water company </w:t>
      </w:r>
      <w:r w:rsidR="00185900">
        <w:rPr>
          <w:sz w:val="26"/>
          <w:szCs w:val="26"/>
        </w:rPr>
        <w:t xml:space="preserve">in 2006 </w:t>
      </w:r>
      <w:r w:rsidRPr="008516FF">
        <w:rPr>
          <w:sz w:val="26"/>
          <w:szCs w:val="26"/>
        </w:rPr>
        <w:t xml:space="preserve">and took over billing to verify that the bills should have been in her name and not her mother’s name.  </w:t>
      </w:r>
      <w:r w:rsidR="00A34240" w:rsidRPr="008516FF">
        <w:rPr>
          <w:sz w:val="26"/>
          <w:szCs w:val="26"/>
        </w:rPr>
        <w:t>She asserts</w:t>
      </w:r>
      <w:r w:rsidR="00E75128" w:rsidRPr="008516FF">
        <w:rPr>
          <w:sz w:val="26"/>
          <w:szCs w:val="26"/>
        </w:rPr>
        <w:t xml:space="preserve"> </w:t>
      </w:r>
      <w:r w:rsidR="002437C4" w:rsidRPr="008516FF">
        <w:rPr>
          <w:sz w:val="26"/>
          <w:szCs w:val="26"/>
        </w:rPr>
        <w:t>that she called the company over a year after her mother passed away to have the correct name placed on the bill</w:t>
      </w:r>
      <w:r w:rsidR="002437C4" w:rsidRPr="00AF44DA">
        <w:rPr>
          <w:sz w:val="26"/>
          <w:szCs w:val="26"/>
        </w:rPr>
        <w:t>.</w:t>
      </w:r>
      <w:r w:rsidR="00C46747" w:rsidRPr="00AF44DA">
        <w:rPr>
          <w:sz w:val="26"/>
          <w:szCs w:val="26"/>
        </w:rPr>
        <w:t xml:space="preserve">  Exc. at 1</w:t>
      </w:r>
      <w:r w:rsidR="00C46747" w:rsidRPr="008516FF">
        <w:rPr>
          <w:sz w:val="26"/>
          <w:szCs w:val="26"/>
        </w:rPr>
        <w:t xml:space="preserve">.  </w:t>
      </w:r>
      <w:r w:rsidR="00A34240" w:rsidRPr="008516FF">
        <w:rPr>
          <w:sz w:val="26"/>
          <w:szCs w:val="26"/>
        </w:rPr>
        <w:t>In its Re</w:t>
      </w:r>
      <w:r w:rsidR="00185900">
        <w:rPr>
          <w:sz w:val="26"/>
          <w:szCs w:val="26"/>
        </w:rPr>
        <w:t>ply, PAWC submits that the Complainant</w:t>
      </w:r>
      <w:r w:rsidR="00A34240" w:rsidRPr="008516FF">
        <w:rPr>
          <w:sz w:val="26"/>
          <w:szCs w:val="26"/>
        </w:rPr>
        <w:t xml:space="preserve"> did not contact the company to have the name on the account changed until May 2012 and when she did, the company changed the name as requested.  </w:t>
      </w:r>
      <w:r w:rsidR="00A34240" w:rsidRPr="008516FF">
        <w:rPr>
          <w:rFonts w:eastAsia="MS Mincho"/>
          <w:sz w:val="26"/>
          <w:szCs w:val="26"/>
        </w:rPr>
        <w:t>R.Exc. at 4.</w:t>
      </w:r>
    </w:p>
    <w:p w:rsidR="00A03B93" w:rsidRPr="00B71AC2" w:rsidRDefault="00A03B93" w:rsidP="00A03B93">
      <w:pPr>
        <w:spacing w:line="360" w:lineRule="auto"/>
        <w:ind w:firstLine="1440"/>
        <w:contextualSpacing/>
        <w:rPr>
          <w:rFonts w:eastAsia="MS Mincho"/>
          <w:sz w:val="26"/>
          <w:szCs w:val="26"/>
        </w:rPr>
      </w:pPr>
    </w:p>
    <w:p w:rsidR="00A34240" w:rsidRPr="00B71AC2" w:rsidRDefault="00185900" w:rsidP="008A7731">
      <w:pPr>
        <w:spacing w:line="360" w:lineRule="auto"/>
        <w:ind w:firstLine="1440"/>
        <w:contextualSpacing/>
        <w:rPr>
          <w:rFonts w:eastAsia="MS Mincho"/>
          <w:sz w:val="26"/>
          <w:szCs w:val="26"/>
        </w:rPr>
      </w:pPr>
      <w:r w:rsidRPr="00B71AC2">
        <w:rPr>
          <w:rFonts w:eastAsia="MS Mincho"/>
          <w:sz w:val="26"/>
          <w:szCs w:val="26"/>
        </w:rPr>
        <w:t>We conclude that PAWC was not required to ask</w:t>
      </w:r>
      <w:r w:rsidR="006D5E8B" w:rsidRPr="00B71AC2">
        <w:rPr>
          <w:rFonts w:eastAsia="MS Mincho"/>
          <w:sz w:val="26"/>
          <w:szCs w:val="26"/>
        </w:rPr>
        <w:t xml:space="preserve"> customers to verify billing information when the </w:t>
      </w:r>
      <w:r w:rsidR="00B71AC2" w:rsidRPr="00B71AC2">
        <w:rPr>
          <w:rFonts w:eastAsia="MS Mincho"/>
          <w:sz w:val="26"/>
          <w:szCs w:val="26"/>
        </w:rPr>
        <w:t>C</w:t>
      </w:r>
      <w:r w:rsidR="006D5E8B" w:rsidRPr="00B71AC2">
        <w:rPr>
          <w:rFonts w:eastAsia="MS Mincho"/>
          <w:sz w:val="26"/>
          <w:szCs w:val="26"/>
        </w:rPr>
        <w:t xml:space="preserve">ompany first purchased the </w:t>
      </w:r>
      <w:r w:rsidR="00FB7E0E" w:rsidRPr="00B71AC2">
        <w:rPr>
          <w:rFonts w:eastAsia="MS Mincho"/>
          <w:sz w:val="26"/>
          <w:szCs w:val="26"/>
        </w:rPr>
        <w:t xml:space="preserve">water system.  </w:t>
      </w:r>
      <w:r w:rsidR="0043752F" w:rsidRPr="00B71AC2">
        <w:rPr>
          <w:rFonts w:eastAsia="MS Mincho"/>
          <w:sz w:val="26"/>
          <w:szCs w:val="26"/>
        </w:rPr>
        <w:t xml:space="preserve">Although </w:t>
      </w:r>
      <w:r w:rsidR="008A7731">
        <w:rPr>
          <w:rFonts w:eastAsia="MS Mincho"/>
          <w:sz w:val="26"/>
          <w:szCs w:val="26"/>
        </w:rPr>
        <w:t xml:space="preserve">this issue was </w:t>
      </w:r>
      <w:r w:rsidR="0043752F" w:rsidRPr="00B71AC2">
        <w:rPr>
          <w:rFonts w:eastAsia="MS Mincho"/>
          <w:sz w:val="26"/>
          <w:szCs w:val="26"/>
        </w:rPr>
        <w:t xml:space="preserve">not included in her Complaint, </w:t>
      </w:r>
      <w:r w:rsidR="00B71AC2" w:rsidRPr="00B71AC2">
        <w:rPr>
          <w:rFonts w:eastAsia="MS Mincho"/>
          <w:sz w:val="26"/>
          <w:szCs w:val="26"/>
        </w:rPr>
        <w:t>a</w:t>
      </w:r>
      <w:r w:rsidR="00FB7E0E" w:rsidRPr="00B71AC2">
        <w:rPr>
          <w:rFonts w:eastAsia="MS Mincho"/>
          <w:sz w:val="26"/>
          <w:szCs w:val="26"/>
        </w:rPr>
        <w:t>t the hearing, the Complainant</w:t>
      </w:r>
      <w:r w:rsidR="006D5E8B" w:rsidRPr="00B71AC2">
        <w:rPr>
          <w:rFonts w:eastAsia="MS Mincho"/>
          <w:sz w:val="26"/>
          <w:szCs w:val="26"/>
        </w:rPr>
        <w:t xml:space="preserve"> questioned the Respondent’s witness regarding the name on the b</w:t>
      </w:r>
      <w:r w:rsidR="00FB7E0E" w:rsidRPr="00B71AC2">
        <w:rPr>
          <w:rFonts w:eastAsia="MS Mincho"/>
          <w:sz w:val="26"/>
          <w:szCs w:val="26"/>
        </w:rPr>
        <w:t>ill and asked if the Respondent</w:t>
      </w:r>
      <w:r w:rsidR="003860AC" w:rsidRPr="00B71AC2">
        <w:rPr>
          <w:rFonts w:eastAsia="MS Mincho"/>
          <w:sz w:val="26"/>
          <w:szCs w:val="26"/>
        </w:rPr>
        <w:t xml:space="preserve"> sent letters to customers </w:t>
      </w:r>
      <w:r w:rsidR="00FB7E0E" w:rsidRPr="00B71AC2">
        <w:rPr>
          <w:rFonts w:eastAsia="MS Mincho"/>
          <w:sz w:val="26"/>
          <w:szCs w:val="26"/>
        </w:rPr>
        <w:t>asking</w:t>
      </w:r>
      <w:r w:rsidR="003860AC" w:rsidRPr="00B71AC2">
        <w:rPr>
          <w:rFonts w:eastAsia="MS Mincho"/>
          <w:sz w:val="26"/>
          <w:szCs w:val="26"/>
        </w:rPr>
        <w:t xml:space="preserve"> if the</w:t>
      </w:r>
      <w:r w:rsidR="00FB7E0E" w:rsidRPr="00B71AC2">
        <w:rPr>
          <w:rFonts w:eastAsia="MS Mincho"/>
          <w:sz w:val="26"/>
          <w:szCs w:val="26"/>
        </w:rPr>
        <w:t>ir</w:t>
      </w:r>
      <w:r w:rsidR="003860AC" w:rsidRPr="00B71AC2">
        <w:rPr>
          <w:rFonts w:eastAsia="MS Mincho"/>
          <w:sz w:val="26"/>
          <w:szCs w:val="26"/>
        </w:rPr>
        <w:t xml:space="preserve"> account information was correct</w:t>
      </w:r>
      <w:r w:rsidR="006D5E8B" w:rsidRPr="00B71AC2">
        <w:rPr>
          <w:rFonts w:eastAsia="MS Mincho"/>
          <w:sz w:val="26"/>
          <w:szCs w:val="26"/>
        </w:rPr>
        <w:t xml:space="preserve">.  </w:t>
      </w:r>
      <w:r w:rsidR="006D5E8B" w:rsidRPr="00B71AC2">
        <w:rPr>
          <w:sz w:val="26"/>
          <w:szCs w:val="26"/>
        </w:rPr>
        <w:t xml:space="preserve">Tr. at 89. </w:t>
      </w:r>
      <w:r w:rsidR="000E3CA8">
        <w:rPr>
          <w:rFonts w:eastAsia="MS Mincho"/>
          <w:sz w:val="26"/>
          <w:szCs w:val="26"/>
        </w:rPr>
        <w:t xml:space="preserve"> </w:t>
      </w:r>
      <w:r w:rsidR="006D5E8B" w:rsidRPr="00B71AC2">
        <w:rPr>
          <w:rFonts w:eastAsia="MS Mincho"/>
          <w:sz w:val="26"/>
          <w:szCs w:val="26"/>
        </w:rPr>
        <w:t>The witness explained that</w:t>
      </w:r>
      <w:r w:rsidR="00B71AC2" w:rsidRPr="00B71AC2">
        <w:rPr>
          <w:rFonts w:eastAsia="MS Mincho"/>
          <w:sz w:val="26"/>
          <w:szCs w:val="26"/>
        </w:rPr>
        <w:t>,</w:t>
      </w:r>
      <w:r w:rsidR="006D5E8B" w:rsidRPr="00B71AC2">
        <w:rPr>
          <w:rFonts w:eastAsia="MS Mincho"/>
          <w:sz w:val="26"/>
          <w:szCs w:val="26"/>
        </w:rPr>
        <w:t xml:space="preserve"> when PAWC purchases a water system, the billing records from the prior company are provided to PAWC; customers must call the company to have any account information changed.  Tr. at </w:t>
      </w:r>
      <w:r w:rsidR="003860AC" w:rsidRPr="00B71AC2">
        <w:rPr>
          <w:rFonts w:eastAsia="MS Mincho"/>
          <w:sz w:val="26"/>
          <w:szCs w:val="26"/>
        </w:rPr>
        <w:t>89.</w:t>
      </w:r>
    </w:p>
    <w:p w:rsidR="00605B49" w:rsidRPr="00B71AC2" w:rsidRDefault="00605B49" w:rsidP="00D82363">
      <w:pPr>
        <w:spacing w:line="360" w:lineRule="auto"/>
        <w:contextualSpacing/>
        <w:rPr>
          <w:rFonts w:eastAsia="MS Mincho"/>
          <w:sz w:val="26"/>
          <w:szCs w:val="26"/>
        </w:rPr>
      </w:pPr>
    </w:p>
    <w:p w:rsidR="00A03B93" w:rsidRDefault="00A03B93">
      <w:pPr>
        <w:widowControl/>
        <w:spacing w:after="200" w:line="276" w:lineRule="auto"/>
        <w:rPr>
          <w:rFonts w:eastAsia="MS Mincho"/>
          <w:sz w:val="26"/>
          <w:szCs w:val="26"/>
        </w:rPr>
      </w:pPr>
      <w:r>
        <w:rPr>
          <w:rFonts w:eastAsia="MS Mincho"/>
          <w:sz w:val="26"/>
          <w:szCs w:val="26"/>
        </w:rPr>
        <w:br w:type="page"/>
      </w:r>
    </w:p>
    <w:p w:rsidR="002377F8" w:rsidRDefault="002377F8" w:rsidP="00D82363">
      <w:pPr>
        <w:spacing w:line="360" w:lineRule="auto"/>
        <w:contextualSpacing/>
        <w:rPr>
          <w:rFonts w:eastAsia="MS Mincho"/>
          <w:sz w:val="26"/>
          <w:szCs w:val="26"/>
        </w:rPr>
      </w:pPr>
      <w:r w:rsidRPr="00B71AC2">
        <w:rPr>
          <w:rFonts w:eastAsia="MS Mincho"/>
          <w:sz w:val="26"/>
          <w:szCs w:val="26"/>
        </w:rPr>
        <w:lastRenderedPageBreak/>
        <w:tab/>
      </w:r>
      <w:r w:rsidRPr="00B71AC2">
        <w:rPr>
          <w:rFonts w:eastAsia="MS Mincho"/>
          <w:sz w:val="26"/>
          <w:szCs w:val="26"/>
        </w:rPr>
        <w:tab/>
        <w:t>There is no law</w:t>
      </w:r>
      <w:r w:rsidR="00B71AC2" w:rsidRPr="00B71AC2">
        <w:rPr>
          <w:rFonts w:eastAsia="MS Mincho"/>
          <w:sz w:val="26"/>
          <w:szCs w:val="26"/>
        </w:rPr>
        <w:t>, regulation,</w:t>
      </w:r>
      <w:r w:rsidRPr="00B71AC2">
        <w:rPr>
          <w:rFonts w:eastAsia="MS Mincho"/>
          <w:sz w:val="26"/>
          <w:szCs w:val="26"/>
        </w:rPr>
        <w:t xml:space="preserve"> o</w:t>
      </w:r>
      <w:r w:rsidR="00CE61F2" w:rsidRPr="00B71AC2">
        <w:rPr>
          <w:rFonts w:eastAsia="MS Mincho"/>
          <w:sz w:val="26"/>
          <w:szCs w:val="26"/>
        </w:rPr>
        <w:t>r order which requires a utility</w:t>
      </w:r>
      <w:r w:rsidRPr="00B71AC2">
        <w:rPr>
          <w:rFonts w:eastAsia="MS Mincho"/>
          <w:sz w:val="26"/>
          <w:szCs w:val="26"/>
        </w:rPr>
        <w:t xml:space="preserve"> to verify the account information for all of its cus</w:t>
      </w:r>
      <w:r w:rsidR="00CE61F2" w:rsidRPr="00B71AC2">
        <w:rPr>
          <w:rFonts w:eastAsia="MS Mincho"/>
          <w:sz w:val="26"/>
          <w:szCs w:val="26"/>
        </w:rPr>
        <w:t>tomers when it purchases a water system.  As</w:t>
      </w:r>
      <w:r w:rsidRPr="00B71AC2">
        <w:rPr>
          <w:rFonts w:eastAsia="MS Mincho"/>
          <w:sz w:val="26"/>
          <w:szCs w:val="26"/>
        </w:rPr>
        <w:t xml:space="preserve"> PAWC was not required to do so, we </w:t>
      </w:r>
      <w:r w:rsidR="00FB7E0E" w:rsidRPr="00B71AC2">
        <w:rPr>
          <w:rFonts w:eastAsia="MS Mincho"/>
          <w:sz w:val="26"/>
          <w:szCs w:val="26"/>
        </w:rPr>
        <w:t xml:space="preserve">will </w:t>
      </w:r>
      <w:r w:rsidRPr="00B71AC2">
        <w:rPr>
          <w:rFonts w:eastAsia="MS Mincho"/>
          <w:sz w:val="26"/>
          <w:szCs w:val="26"/>
        </w:rPr>
        <w:t>deny this Exception.</w:t>
      </w:r>
    </w:p>
    <w:p w:rsidR="00605B49" w:rsidRPr="008516FF" w:rsidRDefault="00605B49" w:rsidP="00D82363">
      <w:pPr>
        <w:spacing w:line="360" w:lineRule="auto"/>
        <w:contextualSpacing/>
        <w:rPr>
          <w:rFonts w:eastAsia="MS Mincho"/>
          <w:sz w:val="26"/>
          <w:szCs w:val="26"/>
        </w:rPr>
      </w:pPr>
    </w:p>
    <w:p w:rsidR="00C95F40" w:rsidRDefault="002377F8" w:rsidP="00D82363">
      <w:pPr>
        <w:spacing w:line="360" w:lineRule="auto"/>
        <w:contextualSpacing/>
        <w:rPr>
          <w:rFonts w:eastAsia="MS Mincho"/>
          <w:sz w:val="26"/>
          <w:szCs w:val="26"/>
        </w:rPr>
      </w:pPr>
      <w:r w:rsidRPr="008516FF">
        <w:rPr>
          <w:rFonts w:eastAsia="MS Mincho"/>
          <w:sz w:val="26"/>
          <w:szCs w:val="26"/>
        </w:rPr>
        <w:tab/>
      </w:r>
      <w:r w:rsidR="00C95F40" w:rsidRPr="008516FF">
        <w:rPr>
          <w:rFonts w:eastAsia="MS Mincho"/>
          <w:sz w:val="26"/>
          <w:szCs w:val="26"/>
        </w:rPr>
        <w:tab/>
      </w:r>
      <w:r w:rsidRPr="008516FF">
        <w:rPr>
          <w:rFonts w:eastAsia="MS Mincho"/>
          <w:sz w:val="26"/>
          <w:szCs w:val="26"/>
        </w:rPr>
        <w:t xml:space="preserve">In </w:t>
      </w:r>
      <w:r w:rsidR="00B11787">
        <w:rPr>
          <w:rFonts w:eastAsia="MS Mincho"/>
          <w:sz w:val="26"/>
          <w:szCs w:val="26"/>
        </w:rPr>
        <w:t>her second Exception, the Complainant</w:t>
      </w:r>
      <w:r w:rsidRPr="008516FF">
        <w:rPr>
          <w:rFonts w:eastAsia="MS Mincho"/>
          <w:sz w:val="26"/>
          <w:szCs w:val="26"/>
        </w:rPr>
        <w:t xml:space="preserve"> excepts to the ALJ’s finding that she acknowledged that the leak is on her side of the service line.  She states that she has no idea where the leak is. </w:t>
      </w:r>
      <w:r w:rsidR="00B11787">
        <w:rPr>
          <w:rFonts w:eastAsia="MS Mincho"/>
          <w:sz w:val="26"/>
          <w:szCs w:val="26"/>
        </w:rPr>
        <w:t xml:space="preserve"> Exc. at 1.  </w:t>
      </w:r>
      <w:r w:rsidRPr="008516FF">
        <w:rPr>
          <w:rFonts w:eastAsia="MS Mincho"/>
          <w:sz w:val="26"/>
          <w:szCs w:val="26"/>
        </w:rPr>
        <w:t xml:space="preserve">In its Reply, PAWC </w:t>
      </w:r>
      <w:r w:rsidR="00FD24F5" w:rsidRPr="008516FF">
        <w:rPr>
          <w:rFonts w:eastAsia="MS Mincho"/>
          <w:sz w:val="26"/>
          <w:szCs w:val="26"/>
        </w:rPr>
        <w:t>asser</w:t>
      </w:r>
      <w:r w:rsidR="00922E37">
        <w:rPr>
          <w:rFonts w:eastAsia="MS Mincho"/>
          <w:sz w:val="26"/>
          <w:szCs w:val="26"/>
        </w:rPr>
        <w:t>ts that the Complainant</w:t>
      </w:r>
      <w:r w:rsidR="00FD24F5" w:rsidRPr="008516FF">
        <w:rPr>
          <w:rFonts w:eastAsia="MS Mincho"/>
          <w:sz w:val="26"/>
          <w:szCs w:val="26"/>
        </w:rPr>
        <w:t>’s witn</w:t>
      </w:r>
      <w:r w:rsidR="003D4D4A" w:rsidRPr="008516FF">
        <w:rPr>
          <w:rFonts w:eastAsia="MS Mincho"/>
          <w:sz w:val="26"/>
          <w:szCs w:val="26"/>
        </w:rPr>
        <w:t>ess clearly stated that the leak</w:t>
      </w:r>
      <w:r w:rsidR="00FD24F5" w:rsidRPr="008516FF">
        <w:rPr>
          <w:rFonts w:eastAsia="MS Mincho"/>
          <w:sz w:val="26"/>
          <w:szCs w:val="26"/>
        </w:rPr>
        <w:t xml:space="preserve"> was on her portion of the service line, between the meter pit and her house.  We will deny this Exception </w:t>
      </w:r>
      <w:r w:rsidR="001D2D12">
        <w:rPr>
          <w:rFonts w:eastAsia="MS Mincho"/>
          <w:sz w:val="26"/>
          <w:szCs w:val="26"/>
        </w:rPr>
        <w:t>as well</w:t>
      </w:r>
      <w:r w:rsidR="00867B1E">
        <w:rPr>
          <w:rFonts w:eastAsia="MS Mincho"/>
          <w:sz w:val="26"/>
          <w:szCs w:val="26"/>
        </w:rPr>
        <w:t>, because the ALJ’s decision is supported by the evidence</w:t>
      </w:r>
      <w:r w:rsidR="00FD24F5" w:rsidRPr="008516FF">
        <w:rPr>
          <w:rFonts w:eastAsia="MS Mincho"/>
          <w:sz w:val="26"/>
          <w:szCs w:val="26"/>
        </w:rPr>
        <w:t xml:space="preserve">. </w:t>
      </w:r>
      <w:r w:rsidR="00922E37">
        <w:rPr>
          <w:rFonts w:eastAsia="MS Mincho"/>
          <w:sz w:val="26"/>
          <w:szCs w:val="26"/>
        </w:rPr>
        <w:t xml:space="preserve"> The Complainant</w:t>
      </w:r>
      <w:r w:rsidR="00C95F40" w:rsidRPr="008516FF">
        <w:rPr>
          <w:rFonts w:eastAsia="MS Mincho"/>
          <w:sz w:val="26"/>
          <w:szCs w:val="26"/>
        </w:rPr>
        <w:t xml:space="preserve"> stated</w:t>
      </w:r>
      <w:r w:rsidR="00922E37">
        <w:rPr>
          <w:rFonts w:eastAsia="MS Mincho"/>
          <w:sz w:val="26"/>
          <w:szCs w:val="26"/>
        </w:rPr>
        <w:t xml:space="preserve"> in her testimony</w:t>
      </w:r>
      <w:r w:rsidR="00C95F40" w:rsidRPr="008516FF">
        <w:rPr>
          <w:rFonts w:eastAsia="MS Mincho"/>
          <w:sz w:val="26"/>
          <w:szCs w:val="26"/>
        </w:rPr>
        <w:t xml:space="preserve"> </w:t>
      </w:r>
      <w:r w:rsidR="00FD24F5" w:rsidRPr="008516FF">
        <w:rPr>
          <w:rFonts w:eastAsia="MS Mincho"/>
          <w:sz w:val="26"/>
          <w:szCs w:val="26"/>
        </w:rPr>
        <w:t>that the leak was on her side of the meter</w:t>
      </w:r>
      <w:r w:rsidR="00C95F40" w:rsidRPr="008516FF">
        <w:rPr>
          <w:rFonts w:eastAsia="MS Mincho"/>
          <w:sz w:val="26"/>
          <w:szCs w:val="26"/>
        </w:rPr>
        <w:t xml:space="preserve">, between the </w:t>
      </w:r>
      <w:r w:rsidR="000020DE">
        <w:rPr>
          <w:rFonts w:eastAsia="MS Mincho"/>
          <w:sz w:val="26"/>
          <w:szCs w:val="26"/>
        </w:rPr>
        <w:t xml:space="preserve">meter </w:t>
      </w:r>
      <w:r w:rsidR="00C95F40" w:rsidRPr="008516FF">
        <w:rPr>
          <w:rFonts w:eastAsia="MS Mincho"/>
          <w:sz w:val="26"/>
          <w:szCs w:val="26"/>
        </w:rPr>
        <w:t>pit and her house</w:t>
      </w:r>
      <w:r w:rsidR="00FD24F5" w:rsidRPr="008516FF">
        <w:rPr>
          <w:rFonts w:eastAsia="MS Mincho"/>
          <w:sz w:val="26"/>
          <w:szCs w:val="26"/>
        </w:rPr>
        <w:t xml:space="preserve">. </w:t>
      </w:r>
      <w:r w:rsidR="003D4D4A" w:rsidRPr="008516FF">
        <w:rPr>
          <w:rFonts w:eastAsia="MS Mincho"/>
          <w:sz w:val="26"/>
          <w:szCs w:val="26"/>
        </w:rPr>
        <w:t xml:space="preserve"> </w:t>
      </w:r>
      <w:r w:rsidR="00C95F40" w:rsidRPr="008516FF">
        <w:rPr>
          <w:rFonts w:eastAsia="MS Mincho"/>
          <w:sz w:val="26"/>
          <w:szCs w:val="26"/>
        </w:rPr>
        <w:t xml:space="preserve">Tr. At 38.  </w:t>
      </w:r>
    </w:p>
    <w:p w:rsidR="00605B49" w:rsidRPr="008516FF" w:rsidRDefault="00605B49" w:rsidP="00D82363">
      <w:pPr>
        <w:spacing w:line="360" w:lineRule="auto"/>
        <w:contextualSpacing/>
        <w:rPr>
          <w:rFonts w:eastAsia="MS Mincho"/>
          <w:sz w:val="26"/>
          <w:szCs w:val="26"/>
        </w:rPr>
      </w:pPr>
    </w:p>
    <w:p w:rsidR="00840FCB" w:rsidRDefault="00922E37" w:rsidP="00D82363">
      <w:pPr>
        <w:spacing w:line="360" w:lineRule="auto"/>
        <w:ind w:firstLine="1440"/>
        <w:contextualSpacing/>
        <w:rPr>
          <w:rFonts w:eastAsia="MS Mincho"/>
          <w:sz w:val="26"/>
          <w:szCs w:val="26"/>
        </w:rPr>
      </w:pPr>
      <w:r>
        <w:rPr>
          <w:rFonts w:eastAsia="MS Mincho"/>
          <w:sz w:val="26"/>
          <w:szCs w:val="26"/>
        </w:rPr>
        <w:t>The Complainant</w:t>
      </w:r>
      <w:r w:rsidR="00FD24F5" w:rsidRPr="008516FF">
        <w:rPr>
          <w:rFonts w:eastAsia="MS Mincho"/>
          <w:sz w:val="26"/>
          <w:szCs w:val="26"/>
        </w:rPr>
        <w:t xml:space="preserve"> asserts in her third Exception that PAWC went onto her property without permission and placed a meter pit in the middle of her front lawn in July 2010. </w:t>
      </w:r>
      <w:r w:rsidR="0057542D" w:rsidRPr="008516FF">
        <w:rPr>
          <w:rFonts w:eastAsia="MS Mincho"/>
          <w:sz w:val="26"/>
          <w:szCs w:val="26"/>
        </w:rPr>
        <w:t xml:space="preserve"> </w:t>
      </w:r>
      <w:r>
        <w:rPr>
          <w:rFonts w:eastAsia="MS Mincho"/>
          <w:sz w:val="26"/>
          <w:szCs w:val="26"/>
        </w:rPr>
        <w:t xml:space="preserve">Exc. at 1.  </w:t>
      </w:r>
      <w:r w:rsidR="003D4D4A" w:rsidRPr="008516FF">
        <w:rPr>
          <w:rFonts w:eastAsia="MS Mincho"/>
          <w:sz w:val="26"/>
          <w:szCs w:val="26"/>
        </w:rPr>
        <w:t>In its r</w:t>
      </w:r>
      <w:r w:rsidR="00C24852">
        <w:rPr>
          <w:rFonts w:eastAsia="MS Mincho"/>
          <w:sz w:val="26"/>
          <w:szCs w:val="26"/>
        </w:rPr>
        <w:t>eply, PAWC responds</w:t>
      </w:r>
      <w:r>
        <w:rPr>
          <w:rFonts w:eastAsia="MS Mincho"/>
          <w:sz w:val="26"/>
          <w:szCs w:val="26"/>
        </w:rPr>
        <w:t xml:space="preserve"> that it constructed</w:t>
      </w:r>
      <w:r w:rsidR="003D4D4A" w:rsidRPr="008516FF">
        <w:rPr>
          <w:rFonts w:eastAsia="MS Mincho"/>
          <w:sz w:val="26"/>
          <w:szCs w:val="26"/>
        </w:rPr>
        <w:t xml:space="preserve"> the meter pit in the exact location of the previously existing curb stop</w:t>
      </w:r>
      <w:r w:rsidR="00E770A5" w:rsidRPr="008516FF">
        <w:rPr>
          <w:rFonts w:eastAsia="MS Mincho"/>
          <w:sz w:val="26"/>
          <w:szCs w:val="26"/>
        </w:rPr>
        <w:t xml:space="preserve"> and</w:t>
      </w:r>
      <w:r w:rsidR="003D4D4A" w:rsidRPr="008516FF">
        <w:rPr>
          <w:rFonts w:eastAsia="MS Mincho"/>
          <w:sz w:val="26"/>
          <w:szCs w:val="26"/>
        </w:rPr>
        <w:t xml:space="preserve"> that its tari</w:t>
      </w:r>
      <w:r w:rsidR="00E770A5" w:rsidRPr="008516FF">
        <w:rPr>
          <w:rFonts w:eastAsia="MS Mincho"/>
          <w:sz w:val="26"/>
          <w:szCs w:val="26"/>
        </w:rPr>
        <w:t xml:space="preserve">ff authorizes it to place </w:t>
      </w:r>
      <w:r w:rsidR="003D4D4A" w:rsidRPr="008516FF">
        <w:rPr>
          <w:rFonts w:eastAsia="MS Mincho"/>
          <w:sz w:val="26"/>
          <w:szCs w:val="26"/>
        </w:rPr>
        <w:t xml:space="preserve">a meter in a </w:t>
      </w:r>
      <w:r w:rsidR="000020DE">
        <w:rPr>
          <w:rFonts w:eastAsia="MS Mincho"/>
          <w:sz w:val="26"/>
          <w:szCs w:val="26"/>
        </w:rPr>
        <w:t>meter vault</w:t>
      </w:r>
      <w:r w:rsidR="003D4D4A" w:rsidRPr="008516FF">
        <w:rPr>
          <w:rFonts w:eastAsia="MS Mincho"/>
          <w:sz w:val="26"/>
          <w:szCs w:val="26"/>
        </w:rPr>
        <w:t xml:space="preserve"> a</w:t>
      </w:r>
      <w:r w:rsidR="00E770A5" w:rsidRPr="008516FF">
        <w:rPr>
          <w:rFonts w:eastAsia="MS Mincho"/>
          <w:sz w:val="26"/>
          <w:szCs w:val="26"/>
        </w:rPr>
        <w:t>t its discretion at a place jus</w:t>
      </w:r>
      <w:r w:rsidR="003D4D4A" w:rsidRPr="008516FF">
        <w:rPr>
          <w:rFonts w:eastAsia="MS Mincho"/>
          <w:sz w:val="26"/>
          <w:szCs w:val="26"/>
        </w:rPr>
        <w:t>t</w:t>
      </w:r>
      <w:r w:rsidR="00E770A5" w:rsidRPr="008516FF">
        <w:rPr>
          <w:rFonts w:eastAsia="MS Mincho"/>
          <w:sz w:val="26"/>
          <w:szCs w:val="26"/>
        </w:rPr>
        <w:t xml:space="preserve"> </w:t>
      </w:r>
      <w:r w:rsidR="003D4D4A" w:rsidRPr="008516FF">
        <w:rPr>
          <w:rFonts w:eastAsia="MS Mincho"/>
          <w:sz w:val="26"/>
          <w:szCs w:val="26"/>
        </w:rPr>
        <w:t xml:space="preserve">inside the customer’s property line or at </w:t>
      </w:r>
      <w:r w:rsidR="00E770A5" w:rsidRPr="008516FF">
        <w:rPr>
          <w:rFonts w:eastAsia="MS Mincho"/>
          <w:sz w:val="26"/>
          <w:szCs w:val="26"/>
        </w:rPr>
        <w:t>another location.  PAWC argue</w:t>
      </w:r>
      <w:r w:rsidR="009A0DB5">
        <w:rPr>
          <w:rFonts w:eastAsia="MS Mincho"/>
          <w:sz w:val="26"/>
          <w:szCs w:val="26"/>
        </w:rPr>
        <w:t>s</w:t>
      </w:r>
      <w:r w:rsidR="00E770A5" w:rsidRPr="008516FF">
        <w:rPr>
          <w:rFonts w:eastAsia="MS Mincho"/>
          <w:sz w:val="26"/>
          <w:szCs w:val="26"/>
        </w:rPr>
        <w:t xml:space="preserve"> that the placement of the meter was perfectly reasonable because it was placed in the location of the preexisting curb stop which m</w:t>
      </w:r>
      <w:r>
        <w:rPr>
          <w:rFonts w:eastAsia="MS Mincho"/>
          <w:sz w:val="26"/>
          <w:szCs w:val="26"/>
        </w:rPr>
        <w:t xml:space="preserve">arked the beginning of the </w:t>
      </w:r>
      <w:r w:rsidR="00C24852">
        <w:rPr>
          <w:rFonts w:eastAsia="MS Mincho"/>
          <w:sz w:val="26"/>
          <w:szCs w:val="26"/>
        </w:rPr>
        <w:t>Complainant’</w:t>
      </w:r>
      <w:r w:rsidR="00C24852" w:rsidRPr="008516FF">
        <w:rPr>
          <w:rFonts w:eastAsia="MS Mincho"/>
          <w:sz w:val="26"/>
          <w:szCs w:val="26"/>
        </w:rPr>
        <w:t>s</w:t>
      </w:r>
      <w:r>
        <w:rPr>
          <w:rFonts w:eastAsia="MS Mincho"/>
          <w:sz w:val="26"/>
          <w:szCs w:val="26"/>
        </w:rPr>
        <w:t xml:space="preserve"> portion of</w:t>
      </w:r>
      <w:r w:rsidR="00E770A5" w:rsidRPr="008516FF">
        <w:rPr>
          <w:rFonts w:eastAsia="MS Mincho"/>
          <w:sz w:val="26"/>
          <w:szCs w:val="26"/>
        </w:rPr>
        <w:t xml:space="preserve"> service line.  The Respondent further argues that the Commission is without jurisdiction to determine if the meter pit was placed outside of the company’s easement.  </w:t>
      </w:r>
      <w:r>
        <w:rPr>
          <w:rFonts w:eastAsia="MS Mincho"/>
          <w:sz w:val="26"/>
          <w:szCs w:val="26"/>
        </w:rPr>
        <w:t xml:space="preserve">R.Exc. at 4-5. </w:t>
      </w:r>
    </w:p>
    <w:p w:rsidR="00605B49" w:rsidRDefault="00605B49" w:rsidP="00D82363">
      <w:pPr>
        <w:autoSpaceDE w:val="0"/>
        <w:autoSpaceDN w:val="0"/>
        <w:adjustRightInd w:val="0"/>
        <w:spacing w:line="360" w:lineRule="auto"/>
        <w:contextualSpacing/>
        <w:rPr>
          <w:rFonts w:eastAsia="MS Mincho"/>
          <w:sz w:val="26"/>
          <w:szCs w:val="26"/>
        </w:rPr>
      </w:pPr>
    </w:p>
    <w:p w:rsidR="004C0647" w:rsidRDefault="004C0647" w:rsidP="00D82363">
      <w:pPr>
        <w:spacing w:line="360" w:lineRule="auto"/>
        <w:ind w:firstLine="1440"/>
        <w:contextualSpacing/>
        <w:rPr>
          <w:sz w:val="26"/>
          <w:szCs w:val="24"/>
        </w:rPr>
      </w:pPr>
      <w:r w:rsidRPr="008516FF">
        <w:rPr>
          <w:sz w:val="26"/>
        </w:rPr>
        <w:t>Under Section 1501 of the Code, public utiliti</w:t>
      </w:r>
      <w:r>
        <w:rPr>
          <w:sz w:val="26"/>
        </w:rPr>
        <w:t>es are required to “furnish and maintain adequate, efficient, safe, and reasonable service and facilities</w:t>
      </w:r>
      <w:r w:rsidRPr="008516FF">
        <w:rPr>
          <w:sz w:val="26"/>
        </w:rPr>
        <w:t>.</w:t>
      </w:r>
      <w:r>
        <w:rPr>
          <w:sz w:val="26"/>
        </w:rPr>
        <w:t>”</w:t>
      </w:r>
      <w:r w:rsidRPr="008516FF">
        <w:rPr>
          <w:sz w:val="26"/>
        </w:rPr>
        <w:t xml:space="preserve">  </w:t>
      </w:r>
      <w:hyperlink r:id="rId12" w:history="1">
        <w:r w:rsidRPr="00054118">
          <w:rPr>
            <w:sz w:val="26"/>
          </w:rPr>
          <w:t xml:space="preserve">66 Pa. C.S.A. § </w:t>
        </w:r>
        <w:r w:rsidRPr="00054118">
          <w:rPr>
            <w:bCs/>
            <w:sz w:val="26"/>
          </w:rPr>
          <w:t>1501</w:t>
        </w:r>
      </w:hyperlink>
      <w:r w:rsidRPr="008516FF">
        <w:rPr>
          <w:sz w:val="26"/>
        </w:rPr>
        <w:t xml:space="preserve">. </w:t>
      </w:r>
      <w:r w:rsidR="00477D0B">
        <w:rPr>
          <w:sz w:val="26"/>
        </w:rPr>
        <w:t xml:space="preserve"> </w:t>
      </w:r>
      <w:r w:rsidRPr="008516FF">
        <w:rPr>
          <w:sz w:val="26"/>
        </w:rPr>
        <w:t xml:space="preserve">The Commission has exclusive jurisdiction to determine the reasonableness of a public utility's service. </w:t>
      </w:r>
      <w:hyperlink r:id="rId13" w:history="1">
        <w:r w:rsidRPr="005E31F8">
          <w:rPr>
            <w:i/>
            <w:sz w:val="26"/>
          </w:rPr>
          <w:t>Elkin v. Bell of Pa.</w:t>
        </w:r>
        <w:r w:rsidRPr="008516FF">
          <w:rPr>
            <w:sz w:val="26"/>
          </w:rPr>
          <w:t>, 491 Pa. 123, 420 A.2d 371 (1980).</w:t>
        </w:r>
      </w:hyperlink>
      <w:r w:rsidRPr="008516FF">
        <w:rPr>
          <w:sz w:val="26"/>
        </w:rPr>
        <w:t xml:space="preserve"> </w:t>
      </w:r>
      <w:r w:rsidR="00631414">
        <w:rPr>
          <w:sz w:val="26"/>
        </w:rPr>
        <w:t xml:space="preserve"> </w:t>
      </w:r>
      <w:r w:rsidRPr="008516FF">
        <w:rPr>
          <w:sz w:val="26"/>
        </w:rPr>
        <w:t xml:space="preserve">The term "service" is "used in its broadest and most inclusive sense, includ[ing] any and all acts done, rendered, or performed, and any and all things </w:t>
      </w:r>
      <w:r w:rsidRPr="008516FF">
        <w:rPr>
          <w:sz w:val="26"/>
        </w:rPr>
        <w:lastRenderedPageBreak/>
        <w:t xml:space="preserve">furnished or supplied...by public utilities...in the performance of their duties under [the Code]...." </w:t>
      </w:r>
      <w:hyperlink r:id="rId14" w:history="1">
        <w:r w:rsidRPr="008516FF">
          <w:rPr>
            <w:sz w:val="26"/>
          </w:rPr>
          <w:t>66 Pa. C.S. § 102</w:t>
        </w:r>
      </w:hyperlink>
      <w:r>
        <w:rPr>
          <w:sz w:val="26"/>
        </w:rPr>
        <w:t xml:space="preserve">. </w:t>
      </w:r>
      <w:r w:rsidR="000020DE">
        <w:rPr>
          <w:sz w:val="26"/>
        </w:rPr>
        <w:t xml:space="preserve"> To ensure that utilities can</w:t>
      </w:r>
      <w:r>
        <w:rPr>
          <w:sz w:val="26"/>
        </w:rPr>
        <w:t xml:space="preserve"> maintain their facilities, customers </w:t>
      </w:r>
      <w:r w:rsidRPr="008516FF">
        <w:rPr>
          <w:sz w:val="26"/>
        </w:rPr>
        <w:t>have the duty to allow access to the utility at reasonable times to the utility’s facilities which are located on the customers’ property</w:t>
      </w:r>
      <w:r w:rsidRPr="004C0647">
        <w:rPr>
          <w:sz w:val="26"/>
        </w:rPr>
        <w:t xml:space="preserve">.  </w:t>
      </w:r>
      <w:hyperlink r:id="rId15" w:history="1">
        <w:r w:rsidRPr="004C0647">
          <w:rPr>
            <w:rStyle w:val="Hyperlink"/>
            <w:color w:val="auto"/>
            <w:sz w:val="26"/>
            <w:u w:val="none"/>
          </w:rPr>
          <w:t>52 Pa. Code § 65.7(c)</w:t>
        </w:r>
      </w:hyperlink>
      <w:r w:rsidRPr="004C0647">
        <w:rPr>
          <w:rStyle w:val="Hyperlink"/>
          <w:color w:val="auto"/>
          <w:sz w:val="26"/>
          <w:u w:val="none"/>
        </w:rPr>
        <w:t>.</w:t>
      </w:r>
      <w:r>
        <w:rPr>
          <w:rStyle w:val="Hyperlink"/>
          <w:color w:val="auto"/>
          <w:sz w:val="26"/>
          <w:u w:val="none"/>
        </w:rPr>
        <w:t xml:space="preserve">  </w:t>
      </w:r>
      <w:r w:rsidRPr="00E33DF2">
        <w:rPr>
          <w:rStyle w:val="Hyperlink"/>
          <w:color w:val="auto"/>
          <w:sz w:val="26"/>
          <w:u w:val="none"/>
        </w:rPr>
        <w:t>PAWC’s tariff provides that</w:t>
      </w:r>
      <w:r w:rsidR="00867B1E">
        <w:rPr>
          <w:rStyle w:val="Hyperlink"/>
          <w:color w:val="auto"/>
          <w:sz w:val="26"/>
          <w:u w:val="none"/>
        </w:rPr>
        <w:t>,</w:t>
      </w:r>
      <w:r>
        <w:rPr>
          <w:rStyle w:val="Hyperlink"/>
          <w:color w:val="auto"/>
          <w:sz w:val="26"/>
          <w:u w:val="none"/>
        </w:rPr>
        <w:t xml:space="preserve"> </w:t>
      </w:r>
      <w:r w:rsidRPr="008516FF">
        <w:rPr>
          <w:sz w:val="26"/>
          <w:szCs w:val="24"/>
        </w:rPr>
        <w:t>at the Company's discretion, a meter shall be placed by the C</w:t>
      </w:r>
      <w:r>
        <w:rPr>
          <w:sz w:val="26"/>
          <w:szCs w:val="24"/>
        </w:rPr>
        <w:t>ustomer in a meter tile or vault which can</w:t>
      </w:r>
      <w:r w:rsidRPr="008516FF">
        <w:rPr>
          <w:sz w:val="26"/>
          <w:szCs w:val="24"/>
        </w:rPr>
        <w:t xml:space="preserve"> be placed immediately inside the Customer's property line or at such other location as</w:t>
      </w:r>
      <w:r>
        <w:rPr>
          <w:sz w:val="26"/>
          <w:szCs w:val="24"/>
        </w:rPr>
        <w:t xml:space="preserve"> may be ordered by the Company.</w:t>
      </w:r>
      <w:r w:rsidRPr="008516FF">
        <w:rPr>
          <w:sz w:val="26"/>
          <w:szCs w:val="24"/>
        </w:rPr>
        <w:t xml:space="preserve">  </w:t>
      </w:r>
      <w:r w:rsidR="00C24852">
        <w:rPr>
          <w:sz w:val="26"/>
          <w:szCs w:val="24"/>
        </w:rPr>
        <w:t xml:space="preserve">PAWC </w:t>
      </w:r>
      <w:r w:rsidRPr="00920B2B">
        <w:rPr>
          <w:sz w:val="26"/>
          <w:szCs w:val="24"/>
        </w:rPr>
        <w:t>Tariff 5.4.</w:t>
      </w:r>
    </w:p>
    <w:p w:rsidR="000020DE" w:rsidRPr="004C0647" w:rsidRDefault="000020DE" w:rsidP="00D82363">
      <w:pPr>
        <w:spacing w:line="360" w:lineRule="auto"/>
        <w:ind w:firstLine="1440"/>
        <w:contextualSpacing/>
        <w:rPr>
          <w:sz w:val="26"/>
          <w:u w:val="single"/>
        </w:rPr>
      </w:pPr>
    </w:p>
    <w:p w:rsidR="00E90D4C" w:rsidRDefault="00E90D4C" w:rsidP="00D82363">
      <w:pPr>
        <w:autoSpaceDE w:val="0"/>
        <w:autoSpaceDN w:val="0"/>
        <w:adjustRightInd w:val="0"/>
        <w:spacing w:line="360" w:lineRule="auto"/>
        <w:ind w:firstLine="1440"/>
        <w:contextualSpacing/>
        <w:rPr>
          <w:sz w:val="26"/>
          <w:szCs w:val="24"/>
        </w:rPr>
      </w:pPr>
      <w:r w:rsidRPr="008516FF">
        <w:rPr>
          <w:sz w:val="26"/>
          <w:szCs w:val="24"/>
        </w:rPr>
        <w:t xml:space="preserve">  </w:t>
      </w:r>
      <w:r w:rsidR="004C0647">
        <w:rPr>
          <w:sz w:val="26"/>
          <w:szCs w:val="24"/>
        </w:rPr>
        <w:t xml:space="preserve">PAWC must furnish and maintain its facilities and customers must allow access in order for it to do so.  In this instance, the </w:t>
      </w:r>
      <w:r w:rsidR="00867B1E">
        <w:rPr>
          <w:sz w:val="26"/>
          <w:szCs w:val="24"/>
        </w:rPr>
        <w:t>C</w:t>
      </w:r>
      <w:r w:rsidR="004C0647">
        <w:rPr>
          <w:sz w:val="26"/>
          <w:szCs w:val="24"/>
        </w:rPr>
        <w:t xml:space="preserve">ompany </w:t>
      </w:r>
      <w:r w:rsidR="004C0647" w:rsidRPr="008A7731">
        <w:rPr>
          <w:sz w:val="26"/>
          <w:szCs w:val="24"/>
        </w:rPr>
        <w:t xml:space="preserve">replaced </w:t>
      </w:r>
      <w:r w:rsidR="00C7359C" w:rsidRPr="008A7731">
        <w:rPr>
          <w:sz w:val="26"/>
          <w:szCs w:val="24"/>
        </w:rPr>
        <w:t xml:space="preserve">its portion of the </w:t>
      </w:r>
      <w:r w:rsidR="004C0647" w:rsidRPr="008A7731">
        <w:rPr>
          <w:sz w:val="26"/>
          <w:szCs w:val="24"/>
        </w:rPr>
        <w:t>service line</w:t>
      </w:r>
      <w:r w:rsidR="00781711">
        <w:rPr>
          <w:sz w:val="26"/>
          <w:szCs w:val="24"/>
        </w:rPr>
        <w:t xml:space="preserve"> </w:t>
      </w:r>
      <w:r w:rsidR="004C0647">
        <w:rPr>
          <w:sz w:val="26"/>
          <w:szCs w:val="24"/>
        </w:rPr>
        <w:t>and installed a meter p</w:t>
      </w:r>
      <w:r w:rsidR="006C3A41">
        <w:rPr>
          <w:sz w:val="26"/>
          <w:szCs w:val="24"/>
        </w:rPr>
        <w:t>it; it did</w:t>
      </w:r>
      <w:r w:rsidR="004C0647">
        <w:rPr>
          <w:sz w:val="26"/>
          <w:szCs w:val="24"/>
        </w:rPr>
        <w:t xml:space="preserve"> not need permission</w:t>
      </w:r>
      <w:r w:rsidR="006C3A41">
        <w:rPr>
          <w:sz w:val="26"/>
          <w:szCs w:val="24"/>
        </w:rPr>
        <w:t xml:space="preserve"> to maintain its own facilities.  </w:t>
      </w:r>
      <w:r w:rsidR="00F46033" w:rsidRPr="008516FF">
        <w:rPr>
          <w:sz w:val="26"/>
          <w:szCs w:val="24"/>
        </w:rPr>
        <w:t xml:space="preserve">PAWC explained that it located the meter pit behind the existing curb stop because that is where its facilities </w:t>
      </w:r>
      <w:r w:rsidR="008F3301">
        <w:rPr>
          <w:sz w:val="26"/>
          <w:szCs w:val="24"/>
        </w:rPr>
        <w:t>were al</w:t>
      </w:r>
      <w:r w:rsidR="00C24852">
        <w:rPr>
          <w:sz w:val="26"/>
          <w:szCs w:val="24"/>
        </w:rPr>
        <w:t xml:space="preserve">ready located and to allow the </w:t>
      </w:r>
      <w:r w:rsidR="008F3301">
        <w:rPr>
          <w:sz w:val="26"/>
          <w:szCs w:val="24"/>
        </w:rPr>
        <w:t>water to</w:t>
      </w:r>
      <w:r w:rsidR="00F46033" w:rsidRPr="008516FF">
        <w:rPr>
          <w:sz w:val="26"/>
          <w:szCs w:val="24"/>
        </w:rPr>
        <w:t xml:space="preserve"> be turned off</w:t>
      </w:r>
      <w:r w:rsidR="008F3301">
        <w:rPr>
          <w:sz w:val="26"/>
          <w:szCs w:val="24"/>
        </w:rPr>
        <w:t xml:space="preserve"> while</w:t>
      </w:r>
      <w:r w:rsidR="00AE0374">
        <w:rPr>
          <w:sz w:val="26"/>
          <w:szCs w:val="24"/>
        </w:rPr>
        <w:t xml:space="preserve"> the meter pit was</w:t>
      </w:r>
      <w:r w:rsidR="008F3301">
        <w:rPr>
          <w:sz w:val="26"/>
          <w:szCs w:val="24"/>
        </w:rPr>
        <w:t xml:space="preserve"> </w:t>
      </w:r>
      <w:r w:rsidR="00C97B31">
        <w:rPr>
          <w:sz w:val="26"/>
          <w:szCs w:val="24"/>
        </w:rPr>
        <w:t xml:space="preserve">being </w:t>
      </w:r>
      <w:r w:rsidR="008F3301">
        <w:rPr>
          <w:sz w:val="26"/>
          <w:szCs w:val="24"/>
        </w:rPr>
        <w:t>constructed</w:t>
      </w:r>
      <w:r w:rsidR="0006208E" w:rsidRPr="008516FF">
        <w:rPr>
          <w:sz w:val="26"/>
          <w:szCs w:val="24"/>
        </w:rPr>
        <w:t xml:space="preserve">. </w:t>
      </w:r>
      <w:r w:rsidR="007D00FC" w:rsidRPr="008516FF">
        <w:rPr>
          <w:sz w:val="26"/>
          <w:szCs w:val="24"/>
        </w:rPr>
        <w:t xml:space="preserve"> </w:t>
      </w:r>
      <w:r w:rsidR="00781711">
        <w:rPr>
          <w:sz w:val="26"/>
          <w:szCs w:val="24"/>
        </w:rPr>
        <w:t>W</w:t>
      </w:r>
      <w:r w:rsidR="007D00FC" w:rsidRPr="008516FF">
        <w:rPr>
          <w:sz w:val="26"/>
          <w:szCs w:val="24"/>
        </w:rPr>
        <w:t xml:space="preserve">e find PAWC’s reason for locating the meter pit behind the curb stop reasonable. </w:t>
      </w:r>
      <w:r w:rsidR="00631414">
        <w:rPr>
          <w:sz w:val="26"/>
          <w:szCs w:val="24"/>
        </w:rPr>
        <w:t xml:space="preserve"> </w:t>
      </w:r>
      <w:r w:rsidR="001D2D12">
        <w:rPr>
          <w:sz w:val="26"/>
          <w:szCs w:val="24"/>
        </w:rPr>
        <w:t>Thus, w</w:t>
      </w:r>
      <w:r w:rsidR="004C0647">
        <w:rPr>
          <w:sz w:val="26"/>
          <w:szCs w:val="24"/>
        </w:rPr>
        <w:t xml:space="preserve">e will deny this Exception. </w:t>
      </w:r>
    </w:p>
    <w:p w:rsidR="001D1C56" w:rsidRDefault="001D1C56" w:rsidP="00D82363">
      <w:pPr>
        <w:autoSpaceDE w:val="0"/>
        <w:autoSpaceDN w:val="0"/>
        <w:adjustRightInd w:val="0"/>
        <w:spacing w:line="360" w:lineRule="auto"/>
        <w:ind w:firstLine="1440"/>
        <w:contextualSpacing/>
        <w:rPr>
          <w:sz w:val="26"/>
          <w:szCs w:val="24"/>
        </w:rPr>
      </w:pPr>
    </w:p>
    <w:p w:rsidR="00C97B31" w:rsidRDefault="00AE0374" w:rsidP="00D82363">
      <w:pPr>
        <w:autoSpaceDE w:val="0"/>
        <w:autoSpaceDN w:val="0"/>
        <w:adjustRightInd w:val="0"/>
        <w:spacing w:line="360" w:lineRule="auto"/>
        <w:ind w:firstLine="1440"/>
        <w:contextualSpacing/>
        <w:rPr>
          <w:sz w:val="26"/>
          <w:szCs w:val="24"/>
        </w:rPr>
      </w:pPr>
      <w:r>
        <w:rPr>
          <w:sz w:val="26"/>
          <w:szCs w:val="24"/>
        </w:rPr>
        <w:t>In her fourth Exception, the Complainant argues that PAWC never tried to gain access to her property to move the meter on July 27, 2010</w:t>
      </w:r>
      <w:r w:rsidR="001D2D12">
        <w:rPr>
          <w:sz w:val="26"/>
          <w:szCs w:val="24"/>
        </w:rPr>
        <w:t>,</w:t>
      </w:r>
      <w:r>
        <w:rPr>
          <w:sz w:val="26"/>
          <w:szCs w:val="24"/>
        </w:rPr>
        <w:t xml:space="preserve"> and that she never received any notice that the company wanted to move the meter.  </w:t>
      </w:r>
      <w:r w:rsidR="00C97B31">
        <w:rPr>
          <w:rFonts w:eastAsia="MS Mincho"/>
          <w:sz w:val="26"/>
          <w:szCs w:val="26"/>
        </w:rPr>
        <w:t xml:space="preserve">Exc. at 1.  </w:t>
      </w:r>
      <w:r>
        <w:rPr>
          <w:sz w:val="26"/>
          <w:szCs w:val="24"/>
        </w:rPr>
        <w:t>In its Reply, the</w:t>
      </w:r>
      <w:r w:rsidR="000020DE">
        <w:rPr>
          <w:sz w:val="26"/>
          <w:szCs w:val="24"/>
        </w:rPr>
        <w:t xml:space="preserve"> Respondent avers that the C</w:t>
      </w:r>
      <w:r w:rsidR="00C97B31">
        <w:rPr>
          <w:sz w:val="26"/>
          <w:szCs w:val="24"/>
        </w:rPr>
        <w:t>omplainant</w:t>
      </w:r>
      <w:r>
        <w:rPr>
          <w:sz w:val="26"/>
          <w:szCs w:val="24"/>
        </w:rPr>
        <w:t xml:space="preserve"> knew a company service representative was working on the meter, that the company was authorized to move the meter, and that it was not obligated to inform her of the relocation.  </w:t>
      </w:r>
      <w:r w:rsidR="00C97B31">
        <w:rPr>
          <w:sz w:val="26"/>
          <w:szCs w:val="24"/>
        </w:rPr>
        <w:t xml:space="preserve">R.Exc. at 5.  </w:t>
      </w:r>
    </w:p>
    <w:p w:rsidR="00C97B31" w:rsidRDefault="00C97B31" w:rsidP="00D82363">
      <w:pPr>
        <w:autoSpaceDE w:val="0"/>
        <w:autoSpaceDN w:val="0"/>
        <w:adjustRightInd w:val="0"/>
        <w:spacing w:line="360" w:lineRule="auto"/>
        <w:ind w:firstLine="1440"/>
        <w:contextualSpacing/>
        <w:rPr>
          <w:sz w:val="26"/>
          <w:szCs w:val="24"/>
        </w:rPr>
      </w:pPr>
    </w:p>
    <w:p w:rsidR="001D1C56" w:rsidRDefault="00EB208B" w:rsidP="00D82363">
      <w:pPr>
        <w:autoSpaceDE w:val="0"/>
        <w:autoSpaceDN w:val="0"/>
        <w:adjustRightInd w:val="0"/>
        <w:spacing w:line="360" w:lineRule="auto"/>
        <w:ind w:firstLine="1440"/>
        <w:contextualSpacing/>
        <w:rPr>
          <w:sz w:val="26"/>
          <w:szCs w:val="24"/>
        </w:rPr>
      </w:pPr>
      <w:r>
        <w:rPr>
          <w:sz w:val="26"/>
          <w:szCs w:val="24"/>
        </w:rPr>
        <w:t xml:space="preserve">We find that PAWC was not given access to the Complaint’s meter in 2010 so that it could be moved to the meter pit at that time.  </w:t>
      </w:r>
      <w:r w:rsidR="00E24B07">
        <w:rPr>
          <w:sz w:val="26"/>
          <w:szCs w:val="24"/>
        </w:rPr>
        <w:t xml:space="preserve">Tr. at 58.  </w:t>
      </w:r>
      <w:r w:rsidR="006614CA">
        <w:rPr>
          <w:sz w:val="26"/>
          <w:szCs w:val="24"/>
        </w:rPr>
        <w:t>In addition, w</w:t>
      </w:r>
      <w:r w:rsidR="003F0748">
        <w:rPr>
          <w:sz w:val="26"/>
          <w:szCs w:val="24"/>
        </w:rPr>
        <w:t>e conclude that PAWC provided reasonable service when it moved the meter</w:t>
      </w:r>
      <w:r w:rsidR="00C97B31">
        <w:rPr>
          <w:sz w:val="26"/>
          <w:szCs w:val="24"/>
        </w:rPr>
        <w:t xml:space="preserve"> from the Complainant’s laundry room to the meter pit</w:t>
      </w:r>
      <w:r w:rsidR="006614CA">
        <w:rPr>
          <w:sz w:val="26"/>
          <w:szCs w:val="24"/>
        </w:rPr>
        <w:t xml:space="preserve"> in June 2012</w:t>
      </w:r>
      <w:r w:rsidR="003F0748">
        <w:rPr>
          <w:sz w:val="26"/>
          <w:szCs w:val="24"/>
        </w:rPr>
        <w:t xml:space="preserve">.  </w:t>
      </w:r>
      <w:r w:rsidR="002D253A">
        <w:rPr>
          <w:sz w:val="26"/>
          <w:szCs w:val="24"/>
        </w:rPr>
        <w:t xml:space="preserve">As a </w:t>
      </w:r>
      <w:r w:rsidR="001D2D12">
        <w:rPr>
          <w:sz w:val="26"/>
          <w:szCs w:val="24"/>
        </w:rPr>
        <w:t>p</w:t>
      </w:r>
      <w:r w:rsidR="002D253A">
        <w:rPr>
          <w:sz w:val="26"/>
          <w:szCs w:val="24"/>
        </w:rPr>
        <w:t xml:space="preserve">ublic </w:t>
      </w:r>
      <w:r w:rsidR="001D2D12">
        <w:rPr>
          <w:sz w:val="26"/>
          <w:szCs w:val="24"/>
        </w:rPr>
        <w:t>u</w:t>
      </w:r>
      <w:r w:rsidR="002D253A">
        <w:rPr>
          <w:sz w:val="26"/>
          <w:szCs w:val="24"/>
        </w:rPr>
        <w:t xml:space="preserve">tility, PAWC has the obligation to furnish and maintain its facilities for the convenience and safety of </w:t>
      </w:r>
      <w:r w:rsidR="002D253A">
        <w:rPr>
          <w:sz w:val="26"/>
          <w:szCs w:val="24"/>
        </w:rPr>
        <w:lastRenderedPageBreak/>
        <w:t xml:space="preserve">its customers.  In this instance, </w:t>
      </w:r>
      <w:r w:rsidR="00C97B31">
        <w:rPr>
          <w:sz w:val="26"/>
          <w:szCs w:val="24"/>
        </w:rPr>
        <w:t>a PAWC employee was at the premises with the Complainant’s</w:t>
      </w:r>
      <w:r w:rsidR="002D253A">
        <w:rPr>
          <w:sz w:val="26"/>
          <w:szCs w:val="24"/>
        </w:rPr>
        <w:t xml:space="preserve"> knowledge and consent to investigate a leak.  The employ</w:t>
      </w:r>
      <w:r w:rsidR="00C97B31">
        <w:rPr>
          <w:sz w:val="26"/>
          <w:szCs w:val="24"/>
        </w:rPr>
        <w:t>ee moved the water meter</w:t>
      </w:r>
      <w:r w:rsidR="000020DE">
        <w:rPr>
          <w:sz w:val="26"/>
          <w:szCs w:val="24"/>
        </w:rPr>
        <w:t xml:space="preserve"> </w:t>
      </w:r>
      <w:r w:rsidR="000020DE" w:rsidRPr="005F12B1">
        <w:rPr>
          <w:sz w:val="26"/>
          <w:szCs w:val="24"/>
        </w:rPr>
        <w:t>so he could</w:t>
      </w:r>
      <w:r w:rsidR="00C97B31" w:rsidRPr="005F12B1">
        <w:rPr>
          <w:sz w:val="26"/>
          <w:szCs w:val="24"/>
        </w:rPr>
        <w:t xml:space="preserve"> </w:t>
      </w:r>
      <w:r w:rsidR="005F12B1" w:rsidRPr="005F12B1">
        <w:rPr>
          <w:sz w:val="26"/>
          <w:szCs w:val="24"/>
        </w:rPr>
        <w:t xml:space="preserve">verify </w:t>
      </w:r>
      <w:r w:rsidR="002D253A" w:rsidRPr="005F12B1">
        <w:rPr>
          <w:sz w:val="26"/>
          <w:szCs w:val="24"/>
        </w:rPr>
        <w:t xml:space="preserve">the </w:t>
      </w:r>
      <w:r w:rsidR="00C97B31" w:rsidRPr="005F12B1">
        <w:rPr>
          <w:sz w:val="26"/>
          <w:szCs w:val="24"/>
        </w:rPr>
        <w:t>location of the leak</w:t>
      </w:r>
      <w:r w:rsidR="005F12B1">
        <w:rPr>
          <w:sz w:val="26"/>
          <w:szCs w:val="24"/>
        </w:rPr>
        <w:t>.</w:t>
      </w:r>
      <w:r w:rsidR="006614CA">
        <w:rPr>
          <w:sz w:val="26"/>
          <w:szCs w:val="24"/>
        </w:rPr>
        <w:t xml:space="preserve">  </w:t>
      </w:r>
      <w:r w:rsidR="005F12B1">
        <w:rPr>
          <w:sz w:val="26"/>
          <w:szCs w:val="24"/>
        </w:rPr>
        <w:t xml:space="preserve">Tr. at 38.  </w:t>
      </w:r>
      <w:r w:rsidR="002D253A">
        <w:rPr>
          <w:sz w:val="26"/>
          <w:szCs w:val="24"/>
        </w:rPr>
        <w:t xml:space="preserve">It is PAWC’s practice to place meters in meter pits </w:t>
      </w:r>
      <w:r w:rsidR="009A0DB5">
        <w:rPr>
          <w:sz w:val="26"/>
          <w:szCs w:val="24"/>
        </w:rPr>
        <w:t>to allow</w:t>
      </w:r>
      <w:r w:rsidR="002D253A">
        <w:rPr>
          <w:sz w:val="26"/>
          <w:szCs w:val="24"/>
        </w:rPr>
        <w:t xml:space="preserve"> convenient access to the meter and to aid in finding leaks</w:t>
      </w:r>
      <w:r w:rsidR="00616EDA">
        <w:rPr>
          <w:sz w:val="26"/>
          <w:szCs w:val="24"/>
        </w:rPr>
        <w:t>.  The Complainant</w:t>
      </w:r>
      <w:r w:rsidR="002D253A">
        <w:rPr>
          <w:sz w:val="26"/>
          <w:szCs w:val="24"/>
        </w:rPr>
        <w:t xml:space="preserve"> was aware that </w:t>
      </w:r>
      <w:r w:rsidR="00616EDA">
        <w:rPr>
          <w:sz w:val="26"/>
          <w:szCs w:val="24"/>
        </w:rPr>
        <w:t xml:space="preserve">the </w:t>
      </w:r>
      <w:r w:rsidR="002D253A">
        <w:rPr>
          <w:sz w:val="26"/>
          <w:szCs w:val="24"/>
        </w:rPr>
        <w:t>c</w:t>
      </w:r>
      <w:r w:rsidR="0052617C">
        <w:rPr>
          <w:sz w:val="26"/>
          <w:szCs w:val="24"/>
        </w:rPr>
        <w:t>ompany was checking for a leak and let the representative into her house so that he could access the meter.  We agree with the ALJ that the Respondent did not need permission to move the</w:t>
      </w:r>
      <w:r w:rsidR="00616EDA">
        <w:rPr>
          <w:sz w:val="26"/>
          <w:szCs w:val="24"/>
        </w:rPr>
        <w:t xml:space="preserve"> meter.  Placing meters in</w:t>
      </w:r>
      <w:r w:rsidR="0052617C">
        <w:rPr>
          <w:sz w:val="26"/>
          <w:szCs w:val="24"/>
        </w:rPr>
        <w:t xml:space="preserve"> meter pit</w:t>
      </w:r>
      <w:r w:rsidR="00616EDA">
        <w:rPr>
          <w:sz w:val="26"/>
          <w:szCs w:val="24"/>
        </w:rPr>
        <w:t>s</w:t>
      </w:r>
      <w:r w:rsidR="0052617C">
        <w:rPr>
          <w:sz w:val="26"/>
          <w:szCs w:val="24"/>
        </w:rPr>
        <w:t xml:space="preserve"> ensures that the company has conveni</w:t>
      </w:r>
      <w:r w:rsidR="00616EDA">
        <w:rPr>
          <w:sz w:val="26"/>
          <w:szCs w:val="24"/>
        </w:rPr>
        <w:t>ent access to meters and</w:t>
      </w:r>
      <w:r w:rsidR="0052617C">
        <w:rPr>
          <w:sz w:val="26"/>
          <w:szCs w:val="24"/>
        </w:rPr>
        <w:t xml:space="preserve"> aid</w:t>
      </w:r>
      <w:r w:rsidR="00616EDA">
        <w:rPr>
          <w:sz w:val="26"/>
          <w:szCs w:val="24"/>
        </w:rPr>
        <w:t>s</w:t>
      </w:r>
      <w:r w:rsidR="0052617C">
        <w:rPr>
          <w:sz w:val="26"/>
          <w:szCs w:val="24"/>
        </w:rPr>
        <w:t xml:space="preserve"> in leak detection in keeping with Section 1501’s requirement</w:t>
      </w:r>
      <w:r w:rsidR="00616EDA">
        <w:rPr>
          <w:sz w:val="26"/>
          <w:szCs w:val="24"/>
        </w:rPr>
        <w:t xml:space="preserve"> for the utility</w:t>
      </w:r>
      <w:r w:rsidR="0052617C">
        <w:rPr>
          <w:sz w:val="26"/>
          <w:szCs w:val="24"/>
        </w:rPr>
        <w:t xml:space="preserve"> to maintain its facilities.</w:t>
      </w:r>
      <w:r w:rsidR="00616EDA">
        <w:rPr>
          <w:sz w:val="26"/>
          <w:szCs w:val="24"/>
        </w:rPr>
        <w:t xml:space="preserve">  We find that PAWC’s actions in removing the meter from the laundry room and placing it in the meter pit to be reasonable</w:t>
      </w:r>
      <w:r w:rsidR="00477D0B">
        <w:rPr>
          <w:sz w:val="26"/>
          <w:szCs w:val="24"/>
        </w:rPr>
        <w:t>.  Accordingly, we</w:t>
      </w:r>
      <w:r w:rsidR="00616EDA">
        <w:rPr>
          <w:sz w:val="26"/>
          <w:szCs w:val="24"/>
        </w:rPr>
        <w:t xml:space="preserve"> will deny this Exception. </w:t>
      </w:r>
    </w:p>
    <w:p w:rsidR="00E26AE1" w:rsidRDefault="00E26AE1" w:rsidP="00D82363">
      <w:pPr>
        <w:autoSpaceDE w:val="0"/>
        <w:autoSpaceDN w:val="0"/>
        <w:adjustRightInd w:val="0"/>
        <w:spacing w:line="360" w:lineRule="auto"/>
        <w:ind w:firstLine="1440"/>
        <w:contextualSpacing/>
        <w:rPr>
          <w:sz w:val="26"/>
          <w:szCs w:val="24"/>
        </w:rPr>
      </w:pPr>
    </w:p>
    <w:p w:rsidR="0089244E" w:rsidRPr="00E76FC7" w:rsidRDefault="00E26AE1" w:rsidP="00D82363">
      <w:pPr>
        <w:autoSpaceDE w:val="0"/>
        <w:autoSpaceDN w:val="0"/>
        <w:adjustRightInd w:val="0"/>
        <w:spacing w:line="360" w:lineRule="auto"/>
        <w:ind w:firstLine="1440"/>
        <w:contextualSpacing/>
        <w:rPr>
          <w:rFonts w:eastAsia="MS Mincho"/>
          <w:bCs/>
          <w:sz w:val="26"/>
        </w:rPr>
      </w:pPr>
      <w:r>
        <w:rPr>
          <w:sz w:val="26"/>
          <w:szCs w:val="24"/>
        </w:rPr>
        <w:t>I</w:t>
      </w:r>
      <w:r w:rsidR="00CE3736">
        <w:rPr>
          <w:sz w:val="26"/>
          <w:szCs w:val="24"/>
        </w:rPr>
        <w:t xml:space="preserve">n her fifth Exception, </w:t>
      </w:r>
      <w:r w:rsidR="009A0DB5">
        <w:rPr>
          <w:sz w:val="26"/>
          <w:szCs w:val="24"/>
        </w:rPr>
        <w:t>t</w:t>
      </w:r>
      <w:r w:rsidR="00CE3736">
        <w:rPr>
          <w:sz w:val="26"/>
          <w:szCs w:val="24"/>
        </w:rPr>
        <w:t>he Complainant</w:t>
      </w:r>
      <w:r>
        <w:rPr>
          <w:sz w:val="26"/>
          <w:szCs w:val="24"/>
        </w:rPr>
        <w:t xml:space="preserve"> </w:t>
      </w:r>
      <w:r w:rsidR="00E76FC7">
        <w:rPr>
          <w:sz w:val="26"/>
          <w:szCs w:val="24"/>
        </w:rPr>
        <w:t>avers</w:t>
      </w:r>
      <w:r w:rsidR="00783086">
        <w:rPr>
          <w:sz w:val="26"/>
          <w:szCs w:val="24"/>
        </w:rPr>
        <w:t xml:space="preserve"> that PAWC caused a leak in her service line.  </w:t>
      </w:r>
      <w:r w:rsidR="00CE3736">
        <w:rPr>
          <w:sz w:val="26"/>
          <w:szCs w:val="24"/>
        </w:rPr>
        <w:t xml:space="preserve">Exc. at 1.  </w:t>
      </w:r>
      <w:r w:rsidR="00783086">
        <w:rPr>
          <w:sz w:val="26"/>
          <w:szCs w:val="24"/>
        </w:rPr>
        <w:t>In its Reply, the Respondent argues that this allegation is unsupported by any e</w:t>
      </w:r>
      <w:r w:rsidR="00CE3736">
        <w:rPr>
          <w:sz w:val="26"/>
          <w:szCs w:val="24"/>
        </w:rPr>
        <w:t>vidence and that its witness</w:t>
      </w:r>
      <w:r w:rsidR="00783086">
        <w:rPr>
          <w:sz w:val="26"/>
          <w:szCs w:val="24"/>
        </w:rPr>
        <w:t xml:space="preserve"> testified that, based </w:t>
      </w:r>
      <w:r w:rsidR="00E76FC7">
        <w:rPr>
          <w:sz w:val="26"/>
          <w:szCs w:val="24"/>
        </w:rPr>
        <w:t>up</w:t>
      </w:r>
      <w:r w:rsidR="00783086">
        <w:rPr>
          <w:sz w:val="26"/>
          <w:szCs w:val="24"/>
        </w:rPr>
        <w:t xml:space="preserve">on his extensive experience, the location of the leak was on the portion of the </w:t>
      </w:r>
      <w:r w:rsidR="00CE3736">
        <w:rPr>
          <w:sz w:val="26"/>
          <w:szCs w:val="24"/>
        </w:rPr>
        <w:t>service line owned by the Complainant</w:t>
      </w:r>
      <w:r w:rsidR="00783086">
        <w:rPr>
          <w:sz w:val="26"/>
          <w:szCs w:val="24"/>
        </w:rPr>
        <w:t>.</w:t>
      </w:r>
      <w:r w:rsidR="003F0748">
        <w:rPr>
          <w:sz w:val="26"/>
          <w:szCs w:val="24"/>
        </w:rPr>
        <w:t xml:space="preserve"> </w:t>
      </w:r>
      <w:r w:rsidR="00E76FC7">
        <w:rPr>
          <w:sz w:val="26"/>
          <w:szCs w:val="24"/>
        </w:rPr>
        <w:t xml:space="preserve"> </w:t>
      </w:r>
      <w:r w:rsidR="00CE3736">
        <w:rPr>
          <w:sz w:val="26"/>
          <w:szCs w:val="24"/>
        </w:rPr>
        <w:t xml:space="preserve">R.Exc. at 6.  </w:t>
      </w:r>
      <w:r w:rsidR="00E76FC7">
        <w:rPr>
          <w:rFonts w:eastAsia="MS Mincho"/>
          <w:sz w:val="26"/>
        </w:rPr>
        <w:t xml:space="preserve">Upon our review and consideration of the record and the Complainant’s Exceptions, </w:t>
      </w:r>
      <w:r w:rsidR="00E76FC7" w:rsidRPr="001744BC">
        <w:rPr>
          <w:rFonts w:eastAsia="MS Mincho"/>
          <w:bCs/>
          <w:sz w:val="26"/>
        </w:rPr>
        <w:t xml:space="preserve">we </w:t>
      </w:r>
      <w:r w:rsidR="00E76FC7">
        <w:rPr>
          <w:rFonts w:eastAsia="MS Mincho"/>
          <w:bCs/>
          <w:sz w:val="26"/>
        </w:rPr>
        <w:t>are of the opinion that t</w:t>
      </w:r>
      <w:r w:rsidR="00E76FC7" w:rsidRPr="001744BC">
        <w:rPr>
          <w:rFonts w:eastAsia="MS Mincho"/>
          <w:bCs/>
          <w:sz w:val="26"/>
        </w:rPr>
        <w:t xml:space="preserve">he Complainant </w:t>
      </w:r>
      <w:r w:rsidR="00E76FC7">
        <w:rPr>
          <w:rFonts w:eastAsia="MS Mincho"/>
          <w:bCs/>
          <w:sz w:val="26"/>
        </w:rPr>
        <w:t xml:space="preserve">has </w:t>
      </w:r>
      <w:r w:rsidR="00E76FC7" w:rsidRPr="001744BC">
        <w:rPr>
          <w:rFonts w:eastAsia="MS Mincho"/>
          <w:bCs/>
          <w:sz w:val="26"/>
        </w:rPr>
        <w:t xml:space="preserve">failed to meet </w:t>
      </w:r>
      <w:r w:rsidR="00E76FC7">
        <w:rPr>
          <w:rFonts w:eastAsia="MS Mincho"/>
          <w:bCs/>
          <w:sz w:val="26"/>
        </w:rPr>
        <w:t>her</w:t>
      </w:r>
      <w:r w:rsidR="00E76FC7" w:rsidRPr="001744BC">
        <w:rPr>
          <w:rFonts w:eastAsia="MS Mincho"/>
          <w:bCs/>
          <w:sz w:val="26"/>
        </w:rPr>
        <w:t xml:space="preserve"> burden of proving</w:t>
      </w:r>
      <w:r w:rsidR="00E76FC7">
        <w:rPr>
          <w:rFonts w:eastAsia="MS Mincho"/>
          <w:bCs/>
          <w:sz w:val="26"/>
        </w:rPr>
        <w:t xml:space="preserve"> that PAWC caused a leak </w:t>
      </w:r>
      <w:r w:rsidR="00CE3736">
        <w:rPr>
          <w:rFonts w:eastAsia="MS Mincho"/>
          <w:bCs/>
          <w:sz w:val="26"/>
        </w:rPr>
        <w:t>in her service line.  Although her</w:t>
      </w:r>
      <w:r w:rsidR="00E76FC7">
        <w:rPr>
          <w:rFonts w:eastAsia="MS Mincho"/>
          <w:bCs/>
          <w:sz w:val="26"/>
        </w:rPr>
        <w:t xml:space="preserve"> witness testified that he believed that the leak was caused by the construction of the meter pit, he could not be sure unless he excavated.  We find persuasive the testimony of PAWC’s witness that the </w:t>
      </w:r>
      <w:r w:rsidR="00CE3736">
        <w:rPr>
          <w:rFonts w:eastAsia="MS Mincho"/>
          <w:bCs/>
          <w:sz w:val="26"/>
        </w:rPr>
        <w:t>company tested for</w:t>
      </w:r>
      <w:r w:rsidR="000020DE">
        <w:rPr>
          <w:rFonts w:eastAsia="MS Mincho"/>
          <w:bCs/>
          <w:sz w:val="26"/>
        </w:rPr>
        <w:t xml:space="preserve"> leaks and conducted</w:t>
      </w:r>
      <w:r w:rsidR="00CE3736">
        <w:rPr>
          <w:rFonts w:eastAsia="MS Mincho"/>
          <w:bCs/>
          <w:sz w:val="26"/>
        </w:rPr>
        <w:t xml:space="preserve"> periodic checks</w:t>
      </w:r>
      <w:r w:rsidR="00E76FC7">
        <w:rPr>
          <w:rFonts w:eastAsia="MS Mincho"/>
          <w:bCs/>
          <w:sz w:val="26"/>
        </w:rPr>
        <w:t xml:space="preserve"> for leaks after the construction of the meter pit.  Significantly, the leak did not occur until two years after the construction of the pit.  Th</w:t>
      </w:r>
      <w:r w:rsidR="00282029">
        <w:rPr>
          <w:rFonts w:eastAsia="MS Mincho"/>
          <w:bCs/>
          <w:sz w:val="26"/>
        </w:rPr>
        <w:t>erefore, th</w:t>
      </w:r>
      <w:r w:rsidR="00E76FC7">
        <w:rPr>
          <w:rFonts w:eastAsia="MS Mincho"/>
          <w:bCs/>
          <w:sz w:val="26"/>
        </w:rPr>
        <w:t>is Exception is denied.</w:t>
      </w:r>
    </w:p>
    <w:p w:rsidR="00006F35" w:rsidRPr="008516FF" w:rsidRDefault="00006F35" w:rsidP="00D82363">
      <w:pPr>
        <w:spacing w:line="360" w:lineRule="auto"/>
        <w:contextualSpacing/>
        <w:rPr>
          <w:sz w:val="26"/>
          <w:szCs w:val="26"/>
        </w:rPr>
      </w:pPr>
    </w:p>
    <w:p w:rsidR="00A03B93" w:rsidRDefault="00A03B93">
      <w:pPr>
        <w:widowControl/>
        <w:spacing w:after="200" w:line="276" w:lineRule="auto"/>
        <w:rPr>
          <w:b/>
          <w:sz w:val="26"/>
          <w:szCs w:val="26"/>
        </w:rPr>
      </w:pPr>
      <w:r>
        <w:rPr>
          <w:b/>
          <w:sz w:val="26"/>
          <w:szCs w:val="26"/>
        </w:rPr>
        <w:br w:type="page"/>
      </w:r>
    </w:p>
    <w:p w:rsidR="00CA43A5" w:rsidRPr="00254BCD" w:rsidRDefault="00CA43A5" w:rsidP="00D82363">
      <w:pPr>
        <w:spacing w:line="360" w:lineRule="auto"/>
        <w:contextualSpacing/>
        <w:jc w:val="center"/>
        <w:rPr>
          <w:b/>
          <w:sz w:val="26"/>
          <w:szCs w:val="26"/>
        </w:rPr>
      </w:pPr>
      <w:r w:rsidRPr="00254BCD">
        <w:rPr>
          <w:b/>
          <w:sz w:val="26"/>
          <w:szCs w:val="26"/>
        </w:rPr>
        <w:lastRenderedPageBreak/>
        <w:t>Conclusion</w:t>
      </w:r>
    </w:p>
    <w:p w:rsidR="00CA43A5" w:rsidRPr="008516FF" w:rsidRDefault="00CA43A5" w:rsidP="00D82363">
      <w:pPr>
        <w:spacing w:line="360" w:lineRule="auto"/>
        <w:ind w:firstLine="1440"/>
        <w:contextualSpacing/>
        <w:rPr>
          <w:sz w:val="26"/>
          <w:szCs w:val="26"/>
        </w:rPr>
      </w:pPr>
    </w:p>
    <w:p w:rsidR="00CA43A5" w:rsidRPr="005F12B1" w:rsidRDefault="00CA43A5" w:rsidP="00D82363">
      <w:pPr>
        <w:spacing w:line="360" w:lineRule="auto"/>
        <w:ind w:firstLine="1440"/>
        <w:contextualSpacing/>
        <w:rPr>
          <w:b/>
          <w:sz w:val="26"/>
          <w:szCs w:val="26"/>
        </w:rPr>
      </w:pPr>
      <w:r w:rsidRPr="008516FF">
        <w:rPr>
          <w:sz w:val="26"/>
          <w:szCs w:val="26"/>
        </w:rPr>
        <w:t>Based upon the foregoing dis</w:t>
      </w:r>
      <w:r w:rsidR="00644435">
        <w:rPr>
          <w:sz w:val="26"/>
          <w:szCs w:val="26"/>
        </w:rPr>
        <w:t>cussion, we shall deny the Complainant’s Exceptions</w:t>
      </w:r>
      <w:r w:rsidR="00644435" w:rsidRPr="00644435">
        <w:rPr>
          <w:sz w:val="26"/>
          <w:szCs w:val="26"/>
        </w:rPr>
        <w:t xml:space="preserve"> </w:t>
      </w:r>
      <w:r w:rsidR="00644435">
        <w:rPr>
          <w:sz w:val="26"/>
          <w:szCs w:val="26"/>
        </w:rPr>
        <w:t xml:space="preserve">and </w:t>
      </w:r>
      <w:r w:rsidR="00282029">
        <w:rPr>
          <w:sz w:val="26"/>
          <w:szCs w:val="26"/>
        </w:rPr>
        <w:t>adopt</w:t>
      </w:r>
      <w:r w:rsidR="00282029" w:rsidRPr="000F6D8B">
        <w:rPr>
          <w:sz w:val="26"/>
          <w:szCs w:val="26"/>
        </w:rPr>
        <w:t xml:space="preserve"> </w:t>
      </w:r>
      <w:r w:rsidR="00644435" w:rsidRPr="000F6D8B">
        <w:rPr>
          <w:sz w:val="26"/>
          <w:szCs w:val="26"/>
        </w:rPr>
        <w:t xml:space="preserve">the </w:t>
      </w:r>
      <w:r w:rsidR="00644435">
        <w:rPr>
          <w:sz w:val="26"/>
          <w:szCs w:val="26"/>
        </w:rPr>
        <w:t>ALJ</w:t>
      </w:r>
      <w:r w:rsidR="00644435" w:rsidRPr="000F6D8B">
        <w:rPr>
          <w:sz w:val="26"/>
          <w:szCs w:val="26"/>
        </w:rPr>
        <w:t xml:space="preserve">’s Initial Decision </w:t>
      </w:r>
      <w:r w:rsidR="00644435">
        <w:rPr>
          <w:sz w:val="26"/>
          <w:szCs w:val="26"/>
        </w:rPr>
        <w:t xml:space="preserve">that dismisses the Complaint, </w:t>
      </w:r>
      <w:r w:rsidR="00644435" w:rsidRPr="000F6D8B">
        <w:rPr>
          <w:sz w:val="26"/>
          <w:szCs w:val="26"/>
        </w:rPr>
        <w:t xml:space="preserve">consistent with this Opinion and </w:t>
      </w:r>
      <w:r w:rsidR="00920B2B" w:rsidRPr="000F6D8B">
        <w:rPr>
          <w:sz w:val="26"/>
          <w:szCs w:val="26"/>
        </w:rPr>
        <w:t>Order</w:t>
      </w:r>
      <w:r w:rsidR="00920B2B">
        <w:rPr>
          <w:sz w:val="26"/>
          <w:szCs w:val="26"/>
        </w:rPr>
        <w:t>;</w:t>
      </w:r>
      <w:r w:rsidRPr="008516FF">
        <w:rPr>
          <w:sz w:val="26"/>
          <w:szCs w:val="26"/>
        </w:rPr>
        <w:t xml:space="preserve"> </w:t>
      </w:r>
      <w:r w:rsidRPr="005F12B1">
        <w:rPr>
          <w:b/>
          <w:sz w:val="26"/>
          <w:szCs w:val="26"/>
        </w:rPr>
        <w:t xml:space="preserve">THEREFORE, </w:t>
      </w:r>
    </w:p>
    <w:p w:rsidR="00CA43A5" w:rsidRPr="005F12B1" w:rsidRDefault="00CA43A5" w:rsidP="00D82363">
      <w:pPr>
        <w:spacing w:line="360" w:lineRule="auto"/>
        <w:contextualSpacing/>
        <w:rPr>
          <w:b/>
          <w:sz w:val="26"/>
          <w:szCs w:val="26"/>
        </w:rPr>
      </w:pPr>
    </w:p>
    <w:p w:rsidR="00CA43A5" w:rsidRPr="005F12B1" w:rsidRDefault="00CA43A5" w:rsidP="00D82363">
      <w:pPr>
        <w:spacing w:line="360" w:lineRule="auto"/>
        <w:ind w:firstLine="1440"/>
        <w:contextualSpacing/>
        <w:rPr>
          <w:b/>
          <w:sz w:val="26"/>
          <w:szCs w:val="26"/>
        </w:rPr>
      </w:pPr>
      <w:r w:rsidRPr="005F12B1">
        <w:rPr>
          <w:b/>
          <w:sz w:val="26"/>
          <w:szCs w:val="26"/>
        </w:rPr>
        <w:t>IT IS ORDERED:</w:t>
      </w:r>
    </w:p>
    <w:p w:rsidR="00CA43A5" w:rsidRPr="008516FF" w:rsidRDefault="00CA43A5" w:rsidP="00D82363">
      <w:pPr>
        <w:spacing w:line="360" w:lineRule="auto"/>
        <w:contextualSpacing/>
        <w:rPr>
          <w:sz w:val="26"/>
          <w:szCs w:val="26"/>
        </w:rPr>
      </w:pPr>
    </w:p>
    <w:p w:rsidR="009155F7" w:rsidRPr="008516FF" w:rsidRDefault="00254BCD" w:rsidP="00D82363">
      <w:pPr>
        <w:numPr>
          <w:ilvl w:val="0"/>
          <w:numId w:val="1"/>
        </w:numPr>
        <w:tabs>
          <w:tab w:val="clear" w:pos="2160"/>
          <w:tab w:val="num" w:pos="0"/>
        </w:tabs>
        <w:spacing w:line="360" w:lineRule="auto"/>
        <w:ind w:left="0" w:firstLine="1440"/>
        <w:contextualSpacing/>
        <w:rPr>
          <w:sz w:val="26"/>
          <w:szCs w:val="26"/>
        </w:rPr>
      </w:pPr>
      <w:r>
        <w:rPr>
          <w:sz w:val="26"/>
          <w:szCs w:val="26"/>
        </w:rPr>
        <w:t>That the Exceptions of Caroline Chang, filed on August 12, 2013, are denied</w:t>
      </w:r>
      <w:r w:rsidR="003F51F4" w:rsidRPr="008516FF">
        <w:rPr>
          <w:sz w:val="26"/>
          <w:szCs w:val="26"/>
        </w:rPr>
        <w:t xml:space="preserve">, consistent with this Opinion </w:t>
      </w:r>
      <w:r w:rsidR="00B80C43" w:rsidRPr="008516FF">
        <w:rPr>
          <w:sz w:val="26"/>
          <w:szCs w:val="26"/>
        </w:rPr>
        <w:t>and Order</w:t>
      </w:r>
      <w:r w:rsidR="009155F7" w:rsidRPr="008516FF">
        <w:rPr>
          <w:sz w:val="26"/>
          <w:szCs w:val="26"/>
        </w:rPr>
        <w:t>.</w:t>
      </w:r>
    </w:p>
    <w:p w:rsidR="003F51F4" w:rsidRPr="008516FF" w:rsidRDefault="003F51F4" w:rsidP="00D82363">
      <w:pPr>
        <w:spacing w:line="360" w:lineRule="auto"/>
        <w:ind w:left="1440"/>
        <w:contextualSpacing/>
        <w:rPr>
          <w:sz w:val="26"/>
          <w:szCs w:val="26"/>
        </w:rPr>
      </w:pPr>
    </w:p>
    <w:p w:rsidR="001173BC" w:rsidRDefault="00CA43A5" w:rsidP="00D82363">
      <w:pPr>
        <w:numPr>
          <w:ilvl w:val="0"/>
          <w:numId w:val="1"/>
        </w:numPr>
        <w:tabs>
          <w:tab w:val="clear" w:pos="2160"/>
          <w:tab w:val="num" w:pos="0"/>
        </w:tabs>
        <w:spacing w:line="360" w:lineRule="auto"/>
        <w:ind w:left="0" w:firstLine="1440"/>
        <w:contextualSpacing/>
        <w:rPr>
          <w:sz w:val="26"/>
          <w:szCs w:val="26"/>
        </w:rPr>
      </w:pPr>
      <w:r w:rsidRPr="008516FF">
        <w:rPr>
          <w:sz w:val="26"/>
          <w:szCs w:val="26"/>
        </w:rPr>
        <w:t>That the Initial Decision of Admi</w:t>
      </w:r>
      <w:r w:rsidR="00254BCD">
        <w:rPr>
          <w:sz w:val="26"/>
          <w:szCs w:val="26"/>
        </w:rPr>
        <w:t xml:space="preserve">nistrative Law Judge </w:t>
      </w:r>
      <w:r w:rsidR="00254BCD">
        <w:rPr>
          <w:sz w:val="26"/>
        </w:rPr>
        <w:t>Ember S. Jandebeur</w:t>
      </w:r>
      <w:r w:rsidR="00B913EF">
        <w:rPr>
          <w:sz w:val="26"/>
          <w:szCs w:val="26"/>
        </w:rPr>
        <w:t>, issued on June 24</w:t>
      </w:r>
      <w:r w:rsidR="0014600D">
        <w:rPr>
          <w:sz w:val="26"/>
          <w:szCs w:val="26"/>
        </w:rPr>
        <w:t xml:space="preserve">, 2013, </w:t>
      </w:r>
      <w:r w:rsidR="00254BCD">
        <w:rPr>
          <w:sz w:val="26"/>
          <w:szCs w:val="26"/>
        </w:rPr>
        <w:t xml:space="preserve">is </w:t>
      </w:r>
      <w:r w:rsidR="00477D0B">
        <w:rPr>
          <w:sz w:val="26"/>
          <w:szCs w:val="26"/>
        </w:rPr>
        <w:t>adopted,</w:t>
      </w:r>
      <w:r w:rsidRPr="008516FF">
        <w:rPr>
          <w:sz w:val="26"/>
          <w:szCs w:val="26"/>
        </w:rPr>
        <w:t xml:space="preserve"> consistent with this Opinion and Order.</w:t>
      </w:r>
      <w:r w:rsidR="001173BC">
        <w:rPr>
          <w:sz w:val="26"/>
          <w:szCs w:val="26"/>
        </w:rPr>
        <w:t xml:space="preserve"> </w:t>
      </w:r>
    </w:p>
    <w:p w:rsidR="006C47DE" w:rsidRDefault="006C47DE" w:rsidP="00D82363">
      <w:pPr>
        <w:pStyle w:val="ListParagraph"/>
        <w:rPr>
          <w:sz w:val="26"/>
          <w:szCs w:val="26"/>
        </w:rPr>
      </w:pPr>
    </w:p>
    <w:p w:rsidR="006C47DE" w:rsidRPr="006C47DE" w:rsidRDefault="006C47DE" w:rsidP="00D82363">
      <w:pPr>
        <w:pStyle w:val="ListParagraph"/>
        <w:widowControl/>
        <w:numPr>
          <w:ilvl w:val="0"/>
          <w:numId w:val="1"/>
        </w:numPr>
        <w:tabs>
          <w:tab w:val="clear" w:pos="2160"/>
          <w:tab w:val="num" w:pos="0"/>
        </w:tabs>
        <w:spacing w:line="360" w:lineRule="auto"/>
        <w:ind w:left="0" w:firstLine="1440"/>
        <w:rPr>
          <w:sz w:val="26"/>
          <w:szCs w:val="26"/>
        </w:rPr>
      </w:pPr>
      <w:r w:rsidRPr="006C47DE">
        <w:rPr>
          <w:sz w:val="26"/>
          <w:szCs w:val="26"/>
        </w:rPr>
        <w:t xml:space="preserve">That the Formal Complaint filed by </w:t>
      </w:r>
      <w:r>
        <w:rPr>
          <w:sz w:val="26"/>
          <w:szCs w:val="26"/>
        </w:rPr>
        <w:t>Caroline Chang against Pennsylvania</w:t>
      </w:r>
      <w:r w:rsidR="0018550A">
        <w:rPr>
          <w:sz w:val="26"/>
          <w:szCs w:val="26"/>
        </w:rPr>
        <w:t>-</w:t>
      </w:r>
      <w:r>
        <w:rPr>
          <w:sz w:val="26"/>
          <w:szCs w:val="26"/>
        </w:rPr>
        <w:t xml:space="preserve">American Water Company </w:t>
      </w:r>
      <w:r w:rsidRPr="006C47DE">
        <w:rPr>
          <w:sz w:val="26"/>
          <w:szCs w:val="26"/>
        </w:rPr>
        <w:t>is dismissed, consistent with this Opinion and Order.</w:t>
      </w:r>
    </w:p>
    <w:p w:rsidR="001173BC" w:rsidRDefault="001173BC" w:rsidP="00D82363">
      <w:pPr>
        <w:pStyle w:val="ListParagraph"/>
        <w:rPr>
          <w:sz w:val="26"/>
          <w:szCs w:val="26"/>
        </w:rPr>
      </w:pPr>
    </w:p>
    <w:p w:rsidR="00C84E09" w:rsidRPr="008516FF" w:rsidRDefault="00C84E09" w:rsidP="00D82363">
      <w:pPr>
        <w:numPr>
          <w:ilvl w:val="0"/>
          <w:numId w:val="1"/>
        </w:numPr>
        <w:tabs>
          <w:tab w:val="clear" w:pos="2160"/>
          <w:tab w:val="num" w:pos="0"/>
        </w:tabs>
        <w:spacing w:line="360" w:lineRule="auto"/>
        <w:ind w:left="0" w:firstLine="1440"/>
        <w:contextualSpacing/>
        <w:rPr>
          <w:sz w:val="26"/>
          <w:szCs w:val="26"/>
        </w:rPr>
      </w:pPr>
      <w:r>
        <w:rPr>
          <w:sz w:val="26"/>
          <w:szCs w:val="26"/>
        </w:rPr>
        <w:t>That the proceeding docketed at C-2012-2337849</w:t>
      </w:r>
      <w:r w:rsidRPr="000F6D8B">
        <w:rPr>
          <w:sz w:val="26"/>
          <w:szCs w:val="26"/>
        </w:rPr>
        <w:t xml:space="preserve"> </w:t>
      </w:r>
      <w:r>
        <w:rPr>
          <w:sz w:val="26"/>
          <w:szCs w:val="26"/>
        </w:rPr>
        <w:t>be marked closed.</w:t>
      </w:r>
    </w:p>
    <w:p w:rsidR="00CA43A5" w:rsidRPr="008516FF" w:rsidRDefault="00CA43A5" w:rsidP="00D82363">
      <w:pPr>
        <w:spacing w:line="360" w:lineRule="auto"/>
        <w:contextualSpacing/>
        <w:rPr>
          <w:sz w:val="26"/>
          <w:szCs w:val="26"/>
        </w:rPr>
      </w:pPr>
    </w:p>
    <w:p w:rsidR="00CA43A5" w:rsidRPr="005D40F1" w:rsidRDefault="00274AC3" w:rsidP="00D82363">
      <w:pPr>
        <w:tabs>
          <w:tab w:val="left" w:pos="-720"/>
        </w:tabs>
        <w:spacing w:line="360" w:lineRule="auto"/>
        <w:ind w:firstLine="5040"/>
        <w:contextualSpacing/>
        <w:rPr>
          <w:b/>
          <w:sz w:val="26"/>
          <w:szCs w:val="26"/>
        </w:rPr>
      </w:pPr>
      <w:bookmarkStart w:id="2" w:name="_GoBack"/>
      <w:r>
        <w:rPr>
          <w:noProof/>
        </w:rPr>
        <w:drawing>
          <wp:anchor distT="0" distB="0" distL="114300" distR="114300" simplePos="0" relativeHeight="251659264" behindDoc="1" locked="0" layoutInCell="1" allowOverlap="1" wp14:anchorId="104D85A6" wp14:editId="090CF532">
            <wp:simplePos x="0" y="0"/>
            <wp:positionH relativeFrom="column">
              <wp:posOffset>2979420</wp:posOffset>
            </wp:positionH>
            <wp:positionV relativeFrom="paragraph">
              <wp:posOffset>71120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CA43A5" w:rsidRPr="005D40F1">
        <w:rPr>
          <w:b/>
          <w:sz w:val="26"/>
          <w:szCs w:val="26"/>
        </w:rPr>
        <w:t>BY THE COMMISSION,</w:t>
      </w:r>
    </w:p>
    <w:p w:rsidR="00CA43A5" w:rsidRPr="008516FF" w:rsidRDefault="00CA43A5" w:rsidP="00D82363">
      <w:pPr>
        <w:tabs>
          <w:tab w:val="left" w:pos="-720"/>
        </w:tabs>
        <w:spacing w:line="360" w:lineRule="auto"/>
        <w:contextualSpacing/>
        <w:rPr>
          <w:sz w:val="26"/>
          <w:szCs w:val="26"/>
        </w:rPr>
      </w:pPr>
    </w:p>
    <w:p w:rsidR="00CA43A5" w:rsidRPr="008516FF" w:rsidRDefault="00CA43A5" w:rsidP="00D82363">
      <w:pPr>
        <w:tabs>
          <w:tab w:val="left" w:pos="-720"/>
        </w:tabs>
        <w:spacing w:line="360" w:lineRule="auto"/>
        <w:contextualSpacing/>
        <w:rPr>
          <w:sz w:val="26"/>
          <w:szCs w:val="26"/>
        </w:rPr>
      </w:pPr>
    </w:p>
    <w:p w:rsidR="00CA43A5" w:rsidRPr="008516FF" w:rsidRDefault="00564565" w:rsidP="002F687E">
      <w:pPr>
        <w:tabs>
          <w:tab w:val="left" w:pos="-720"/>
        </w:tabs>
        <w:ind w:firstLine="5040"/>
        <w:contextualSpacing/>
        <w:rPr>
          <w:sz w:val="26"/>
          <w:szCs w:val="26"/>
        </w:rPr>
      </w:pPr>
      <w:r w:rsidRPr="008516FF">
        <w:rPr>
          <w:sz w:val="26"/>
          <w:szCs w:val="26"/>
        </w:rPr>
        <w:t>Rosemary Chiavetta</w:t>
      </w:r>
    </w:p>
    <w:p w:rsidR="00CA43A5" w:rsidRPr="008516FF" w:rsidRDefault="00CA43A5" w:rsidP="00D82363">
      <w:pPr>
        <w:tabs>
          <w:tab w:val="left" w:pos="-720"/>
        </w:tabs>
        <w:spacing w:line="360" w:lineRule="auto"/>
        <w:ind w:firstLine="5040"/>
        <w:contextualSpacing/>
        <w:rPr>
          <w:sz w:val="26"/>
          <w:szCs w:val="26"/>
        </w:rPr>
      </w:pPr>
      <w:r w:rsidRPr="008516FF">
        <w:rPr>
          <w:sz w:val="26"/>
          <w:szCs w:val="26"/>
        </w:rPr>
        <w:t>Secretary</w:t>
      </w:r>
    </w:p>
    <w:p w:rsidR="00CA43A5" w:rsidRPr="008516FF" w:rsidRDefault="00CA43A5" w:rsidP="00D82363">
      <w:pPr>
        <w:tabs>
          <w:tab w:val="left" w:pos="-720"/>
        </w:tabs>
        <w:spacing w:line="360" w:lineRule="auto"/>
        <w:contextualSpacing/>
        <w:rPr>
          <w:sz w:val="26"/>
          <w:szCs w:val="26"/>
        </w:rPr>
      </w:pPr>
    </w:p>
    <w:p w:rsidR="00CA43A5" w:rsidRPr="008516FF" w:rsidRDefault="00CA43A5" w:rsidP="00D82363">
      <w:pPr>
        <w:tabs>
          <w:tab w:val="left" w:pos="-720"/>
        </w:tabs>
        <w:spacing w:line="360" w:lineRule="auto"/>
        <w:contextualSpacing/>
        <w:rPr>
          <w:sz w:val="26"/>
          <w:szCs w:val="26"/>
        </w:rPr>
      </w:pPr>
      <w:r w:rsidRPr="008516FF">
        <w:rPr>
          <w:sz w:val="26"/>
          <w:szCs w:val="26"/>
        </w:rPr>
        <w:t>(SEAL)</w:t>
      </w:r>
    </w:p>
    <w:p w:rsidR="00CA43A5" w:rsidRPr="008516FF" w:rsidRDefault="00CA43A5" w:rsidP="00D82363">
      <w:pPr>
        <w:tabs>
          <w:tab w:val="left" w:pos="-720"/>
        </w:tabs>
        <w:spacing w:line="360" w:lineRule="auto"/>
        <w:contextualSpacing/>
        <w:rPr>
          <w:sz w:val="26"/>
          <w:szCs w:val="26"/>
        </w:rPr>
      </w:pPr>
    </w:p>
    <w:p w:rsidR="00CA43A5" w:rsidRPr="008516FF" w:rsidRDefault="00CA43A5" w:rsidP="00D82363">
      <w:pPr>
        <w:tabs>
          <w:tab w:val="left" w:pos="-720"/>
        </w:tabs>
        <w:spacing w:line="360" w:lineRule="auto"/>
        <w:contextualSpacing/>
        <w:rPr>
          <w:sz w:val="26"/>
          <w:szCs w:val="26"/>
        </w:rPr>
      </w:pPr>
      <w:r w:rsidRPr="008516FF">
        <w:rPr>
          <w:sz w:val="26"/>
          <w:szCs w:val="26"/>
        </w:rPr>
        <w:t xml:space="preserve">ORDER ADOPTED: </w:t>
      </w:r>
      <w:r w:rsidR="00631414">
        <w:rPr>
          <w:sz w:val="26"/>
          <w:szCs w:val="26"/>
        </w:rPr>
        <w:t>October 31, 2013</w:t>
      </w:r>
    </w:p>
    <w:p w:rsidR="00344804" w:rsidRPr="008516FF" w:rsidRDefault="00CA43A5" w:rsidP="00A03B93">
      <w:pPr>
        <w:tabs>
          <w:tab w:val="left" w:pos="-720"/>
        </w:tabs>
        <w:spacing w:line="360" w:lineRule="auto"/>
        <w:contextualSpacing/>
        <w:rPr>
          <w:sz w:val="26"/>
          <w:szCs w:val="26"/>
        </w:rPr>
      </w:pPr>
      <w:r w:rsidRPr="008516FF">
        <w:rPr>
          <w:sz w:val="26"/>
          <w:szCs w:val="26"/>
        </w:rPr>
        <w:t xml:space="preserve">ORDER ENTERED:  </w:t>
      </w:r>
      <w:r w:rsidR="00274AC3">
        <w:rPr>
          <w:sz w:val="26"/>
          <w:szCs w:val="26"/>
        </w:rPr>
        <w:t>October 31, 2013</w:t>
      </w:r>
    </w:p>
    <w:sectPr w:rsidR="00344804" w:rsidRPr="008516FF" w:rsidSect="006D2245">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92F" w:rsidRDefault="0001192F" w:rsidP="00031C1B">
      <w:r>
        <w:separator/>
      </w:r>
    </w:p>
  </w:endnote>
  <w:endnote w:type="continuationSeparator" w:id="0">
    <w:p w:rsidR="0001192F" w:rsidRDefault="0001192F" w:rsidP="0003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115849"/>
      <w:docPartObj>
        <w:docPartGallery w:val="Page Numbers (Bottom of Page)"/>
        <w:docPartUnique/>
      </w:docPartObj>
    </w:sdtPr>
    <w:sdtEndPr>
      <w:rPr>
        <w:noProof/>
        <w:sz w:val="26"/>
        <w:szCs w:val="26"/>
      </w:rPr>
    </w:sdtEndPr>
    <w:sdtContent>
      <w:p w:rsidR="004E4E9F" w:rsidRPr="004C6189" w:rsidRDefault="004E4E9F" w:rsidP="004C6189">
        <w:pPr>
          <w:pStyle w:val="Footer"/>
          <w:jc w:val="center"/>
          <w:rPr>
            <w:sz w:val="26"/>
            <w:szCs w:val="26"/>
          </w:rPr>
        </w:pPr>
        <w:r w:rsidRPr="004C6189">
          <w:rPr>
            <w:sz w:val="26"/>
            <w:szCs w:val="26"/>
          </w:rPr>
          <w:fldChar w:fldCharType="begin"/>
        </w:r>
        <w:r w:rsidRPr="004C6189">
          <w:rPr>
            <w:sz w:val="26"/>
            <w:szCs w:val="26"/>
          </w:rPr>
          <w:instrText xml:space="preserve"> PAGE   \* MERGEFORMAT </w:instrText>
        </w:r>
        <w:r w:rsidRPr="004C6189">
          <w:rPr>
            <w:sz w:val="26"/>
            <w:szCs w:val="26"/>
          </w:rPr>
          <w:fldChar w:fldCharType="separate"/>
        </w:r>
        <w:r w:rsidR="00274AC3">
          <w:rPr>
            <w:noProof/>
            <w:sz w:val="26"/>
            <w:szCs w:val="26"/>
          </w:rPr>
          <w:t>11</w:t>
        </w:r>
        <w:r w:rsidRPr="004C6189">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92F" w:rsidRDefault="0001192F" w:rsidP="00031C1B">
      <w:r>
        <w:separator/>
      </w:r>
    </w:p>
  </w:footnote>
  <w:footnote w:type="continuationSeparator" w:id="0">
    <w:p w:rsidR="0001192F" w:rsidRDefault="0001192F" w:rsidP="00031C1B">
      <w:r>
        <w:continuationSeparator/>
      </w:r>
    </w:p>
  </w:footnote>
  <w:footnote w:id="1">
    <w:p w:rsidR="009E335A" w:rsidRPr="00735C68" w:rsidRDefault="0018550A">
      <w:pPr>
        <w:pStyle w:val="FootnoteText"/>
        <w:rPr>
          <w:sz w:val="26"/>
        </w:rPr>
      </w:pPr>
      <w:r>
        <w:tab/>
      </w:r>
      <w:r w:rsidR="009E335A" w:rsidRPr="004C6189">
        <w:rPr>
          <w:rStyle w:val="FootnoteReference"/>
          <w:sz w:val="26"/>
          <w:szCs w:val="26"/>
        </w:rPr>
        <w:footnoteRef/>
      </w:r>
      <w:r w:rsidR="009E335A" w:rsidRPr="004C6189">
        <w:rPr>
          <w:sz w:val="26"/>
          <w:szCs w:val="26"/>
        </w:rPr>
        <w:t xml:space="preserve"> </w:t>
      </w:r>
      <w:r>
        <w:tab/>
      </w:r>
      <w:r w:rsidR="009E335A" w:rsidRPr="00735C68">
        <w:rPr>
          <w:sz w:val="26"/>
        </w:rPr>
        <w:t xml:space="preserve">The Complainant also filed a Reply to the Respondent’s Reply Exceptions.  As our regulations do not provide for this type of filing, it will not be considered. </w:t>
      </w:r>
    </w:p>
  </w:footnote>
  <w:footnote w:id="2">
    <w:p w:rsidR="00627697" w:rsidRPr="0043752F" w:rsidRDefault="00627697">
      <w:pPr>
        <w:pStyle w:val="FootnoteText"/>
        <w:rPr>
          <w:sz w:val="26"/>
          <w:szCs w:val="26"/>
        </w:rPr>
      </w:pPr>
      <w:r w:rsidRPr="0043752F">
        <w:rPr>
          <w:sz w:val="26"/>
          <w:szCs w:val="26"/>
        </w:rPr>
        <w:tab/>
      </w:r>
      <w:r w:rsidRPr="0043752F">
        <w:rPr>
          <w:rStyle w:val="FootnoteReference"/>
          <w:sz w:val="26"/>
          <w:szCs w:val="26"/>
        </w:rPr>
        <w:footnoteRef/>
      </w:r>
      <w:r w:rsidRPr="0043752F">
        <w:rPr>
          <w:sz w:val="26"/>
          <w:szCs w:val="26"/>
        </w:rPr>
        <w:t xml:space="preserve"> </w:t>
      </w:r>
      <w:r w:rsidRPr="0043752F">
        <w:rPr>
          <w:sz w:val="26"/>
          <w:szCs w:val="26"/>
        </w:rPr>
        <w:tab/>
        <w:t>This was an appeal of an informal complaint</w:t>
      </w:r>
      <w:r>
        <w:rPr>
          <w:sz w:val="26"/>
          <w:szCs w:val="26"/>
        </w:rPr>
        <w:t>, which had been</w:t>
      </w:r>
      <w:r w:rsidRPr="0043752F">
        <w:rPr>
          <w:sz w:val="26"/>
          <w:szCs w:val="26"/>
        </w:rPr>
        <w:t xml:space="preserve"> filed with the Commission’s Bureau of Consumer Services.</w:t>
      </w:r>
    </w:p>
  </w:footnote>
  <w:footnote w:id="3">
    <w:p w:rsidR="00920B2B" w:rsidRPr="00735C68" w:rsidRDefault="0018550A" w:rsidP="00920B2B">
      <w:pPr>
        <w:pStyle w:val="FootnoteText"/>
        <w:rPr>
          <w:sz w:val="26"/>
        </w:rPr>
      </w:pPr>
      <w:r>
        <w:rPr>
          <w:sz w:val="26"/>
        </w:rPr>
        <w:tab/>
      </w:r>
      <w:r w:rsidR="00984136" w:rsidRPr="00735C68">
        <w:rPr>
          <w:rStyle w:val="FootnoteReference"/>
          <w:sz w:val="26"/>
        </w:rPr>
        <w:footnoteRef/>
      </w:r>
      <w:r w:rsidR="00984136" w:rsidRPr="00735C68">
        <w:rPr>
          <w:sz w:val="26"/>
        </w:rPr>
        <w:t xml:space="preserve"> </w:t>
      </w:r>
      <w:r>
        <w:rPr>
          <w:sz w:val="26"/>
        </w:rPr>
        <w:tab/>
      </w:r>
      <w:r w:rsidR="00984136" w:rsidRPr="00735C68">
        <w:rPr>
          <w:sz w:val="26"/>
        </w:rPr>
        <w:t xml:space="preserve">Exceptions to the Initial Decision were due on July 15, 2013.  </w:t>
      </w:r>
      <w:r w:rsidR="00470058" w:rsidRPr="00735C68">
        <w:rPr>
          <w:sz w:val="26"/>
        </w:rPr>
        <w:t>On July 12, 2013, the Complainant emailed her Exceptions to the Commission’s Office of Special Assistants.  On July 29, 2013, a Secretarial Letter w</w:t>
      </w:r>
      <w:r w:rsidR="00C07264" w:rsidRPr="00735C68">
        <w:rPr>
          <w:sz w:val="26"/>
        </w:rPr>
        <w:t xml:space="preserve">as sent to the </w:t>
      </w:r>
      <w:r w:rsidR="0060495E">
        <w:rPr>
          <w:sz w:val="26"/>
        </w:rPr>
        <w:t>P</w:t>
      </w:r>
      <w:r w:rsidR="00C07264" w:rsidRPr="00735C68">
        <w:rPr>
          <w:sz w:val="26"/>
        </w:rPr>
        <w:t>arties instructing</w:t>
      </w:r>
      <w:r w:rsidR="00470058" w:rsidRPr="00735C68">
        <w:rPr>
          <w:sz w:val="26"/>
        </w:rPr>
        <w:t xml:space="preserve"> the Complainant to file a copy of her Exceptions with the Secretary’s Bureau and provide a</w:t>
      </w:r>
      <w:r w:rsidR="00470058">
        <w:t xml:space="preserve"> </w:t>
      </w:r>
      <w:r w:rsidR="00470058" w:rsidRPr="00735C68">
        <w:rPr>
          <w:sz w:val="26"/>
        </w:rPr>
        <w:t xml:space="preserve">Certificate of Service showing service to the parties of record within ten days.  Although the Complainant filed her Exceptions several days past the ten day deadline, </w:t>
      </w:r>
      <w:r w:rsidR="00920B2B" w:rsidRPr="00735C68">
        <w:rPr>
          <w:sz w:val="26"/>
        </w:rPr>
        <w:t xml:space="preserve">particularly because the Complainant is appearing </w:t>
      </w:r>
      <w:r w:rsidR="00920B2B" w:rsidRPr="00735C68">
        <w:rPr>
          <w:i/>
          <w:iCs/>
          <w:sz w:val="26"/>
        </w:rPr>
        <w:t>pro se</w:t>
      </w:r>
      <w:r w:rsidR="00920B2B" w:rsidRPr="00735C68">
        <w:rPr>
          <w:sz w:val="26"/>
        </w:rPr>
        <w:t>, we will accept the Exceptions as filed pursuant to Section 1.2(a) of our Regulations, 52 Pa. Code § 1.2(a), in order to secure a just, speedy, and inexpensive determination in this proceeding.</w:t>
      </w:r>
    </w:p>
    <w:p w:rsidR="00984136" w:rsidRDefault="0098413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20DE"/>
    <w:rsid w:val="00006685"/>
    <w:rsid w:val="00006F35"/>
    <w:rsid w:val="0001192F"/>
    <w:rsid w:val="00016D57"/>
    <w:rsid w:val="00017852"/>
    <w:rsid w:val="00021E46"/>
    <w:rsid w:val="00022B74"/>
    <w:rsid w:val="0002524C"/>
    <w:rsid w:val="00025F3F"/>
    <w:rsid w:val="00026CD2"/>
    <w:rsid w:val="00031C1B"/>
    <w:rsid w:val="00040A8E"/>
    <w:rsid w:val="00040AEA"/>
    <w:rsid w:val="00047874"/>
    <w:rsid w:val="0004798C"/>
    <w:rsid w:val="00047F4A"/>
    <w:rsid w:val="000523D1"/>
    <w:rsid w:val="00052B8F"/>
    <w:rsid w:val="00054612"/>
    <w:rsid w:val="0005572E"/>
    <w:rsid w:val="00056286"/>
    <w:rsid w:val="000612FD"/>
    <w:rsid w:val="0006208E"/>
    <w:rsid w:val="000642AA"/>
    <w:rsid w:val="000649EC"/>
    <w:rsid w:val="00066EE5"/>
    <w:rsid w:val="00067260"/>
    <w:rsid w:val="00072808"/>
    <w:rsid w:val="00074EB7"/>
    <w:rsid w:val="00076F35"/>
    <w:rsid w:val="000827CF"/>
    <w:rsid w:val="00084573"/>
    <w:rsid w:val="00084AF9"/>
    <w:rsid w:val="000918D4"/>
    <w:rsid w:val="00093164"/>
    <w:rsid w:val="0009612D"/>
    <w:rsid w:val="00097504"/>
    <w:rsid w:val="000A1665"/>
    <w:rsid w:val="000A365D"/>
    <w:rsid w:val="000B216D"/>
    <w:rsid w:val="000B2755"/>
    <w:rsid w:val="000B4EAE"/>
    <w:rsid w:val="000B5238"/>
    <w:rsid w:val="000B607A"/>
    <w:rsid w:val="000B65C2"/>
    <w:rsid w:val="000B6B15"/>
    <w:rsid w:val="000C2AE3"/>
    <w:rsid w:val="000C709A"/>
    <w:rsid w:val="000D48B8"/>
    <w:rsid w:val="000E3CA8"/>
    <w:rsid w:val="000F179E"/>
    <w:rsid w:val="000F4307"/>
    <w:rsid w:val="0010158F"/>
    <w:rsid w:val="00101F51"/>
    <w:rsid w:val="001026CA"/>
    <w:rsid w:val="00104D9B"/>
    <w:rsid w:val="001173BC"/>
    <w:rsid w:val="00117CB2"/>
    <w:rsid w:val="00120B39"/>
    <w:rsid w:val="001238E5"/>
    <w:rsid w:val="00123A2E"/>
    <w:rsid w:val="00124071"/>
    <w:rsid w:val="001267D4"/>
    <w:rsid w:val="00135972"/>
    <w:rsid w:val="00135B4F"/>
    <w:rsid w:val="001360FC"/>
    <w:rsid w:val="001447A0"/>
    <w:rsid w:val="0014497F"/>
    <w:rsid w:val="0014600D"/>
    <w:rsid w:val="00146DDD"/>
    <w:rsid w:val="00146E58"/>
    <w:rsid w:val="00147145"/>
    <w:rsid w:val="00150096"/>
    <w:rsid w:val="001508E4"/>
    <w:rsid w:val="0015380A"/>
    <w:rsid w:val="00154CB6"/>
    <w:rsid w:val="00156E45"/>
    <w:rsid w:val="00164DA4"/>
    <w:rsid w:val="00166298"/>
    <w:rsid w:val="001663C8"/>
    <w:rsid w:val="001742A9"/>
    <w:rsid w:val="00174D3D"/>
    <w:rsid w:val="00182478"/>
    <w:rsid w:val="0018275E"/>
    <w:rsid w:val="0018550A"/>
    <w:rsid w:val="00185900"/>
    <w:rsid w:val="00186A97"/>
    <w:rsid w:val="0019530E"/>
    <w:rsid w:val="00195F2E"/>
    <w:rsid w:val="001B1DB4"/>
    <w:rsid w:val="001B2F2D"/>
    <w:rsid w:val="001C4978"/>
    <w:rsid w:val="001D0ED2"/>
    <w:rsid w:val="001D1C56"/>
    <w:rsid w:val="001D2D12"/>
    <w:rsid w:val="001D5A64"/>
    <w:rsid w:val="001E0B61"/>
    <w:rsid w:val="001E1276"/>
    <w:rsid w:val="001F285E"/>
    <w:rsid w:val="00202524"/>
    <w:rsid w:val="00210736"/>
    <w:rsid w:val="00210F81"/>
    <w:rsid w:val="00211622"/>
    <w:rsid w:val="00214B3E"/>
    <w:rsid w:val="0022698E"/>
    <w:rsid w:val="00227912"/>
    <w:rsid w:val="0023008A"/>
    <w:rsid w:val="002311EE"/>
    <w:rsid w:val="00234C48"/>
    <w:rsid w:val="002370F5"/>
    <w:rsid w:val="002377F8"/>
    <w:rsid w:val="00240ACA"/>
    <w:rsid w:val="00240D7B"/>
    <w:rsid w:val="00241299"/>
    <w:rsid w:val="002437C4"/>
    <w:rsid w:val="00254BCD"/>
    <w:rsid w:val="00255462"/>
    <w:rsid w:val="00260957"/>
    <w:rsid w:val="00264646"/>
    <w:rsid w:val="002670C0"/>
    <w:rsid w:val="0027232D"/>
    <w:rsid w:val="00274AC3"/>
    <w:rsid w:val="00274D0F"/>
    <w:rsid w:val="00277500"/>
    <w:rsid w:val="00281A5F"/>
    <w:rsid w:val="00282029"/>
    <w:rsid w:val="00291F68"/>
    <w:rsid w:val="002A060A"/>
    <w:rsid w:val="002A4450"/>
    <w:rsid w:val="002A6750"/>
    <w:rsid w:val="002B2296"/>
    <w:rsid w:val="002B4407"/>
    <w:rsid w:val="002B67B7"/>
    <w:rsid w:val="002C0429"/>
    <w:rsid w:val="002C0606"/>
    <w:rsid w:val="002C19E4"/>
    <w:rsid w:val="002C416E"/>
    <w:rsid w:val="002C6CC4"/>
    <w:rsid w:val="002D13C4"/>
    <w:rsid w:val="002D253A"/>
    <w:rsid w:val="002D275E"/>
    <w:rsid w:val="002D6357"/>
    <w:rsid w:val="002D7584"/>
    <w:rsid w:val="002E3026"/>
    <w:rsid w:val="002E3F06"/>
    <w:rsid w:val="002E6FFA"/>
    <w:rsid w:val="002E7F8F"/>
    <w:rsid w:val="002F3F04"/>
    <w:rsid w:val="002F41BA"/>
    <w:rsid w:val="002F687E"/>
    <w:rsid w:val="003018AA"/>
    <w:rsid w:val="00303B99"/>
    <w:rsid w:val="0030714F"/>
    <w:rsid w:val="003073E2"/>
    <w:rsid w:val="00307DDF"/>
    <w:rsid w:val="00314A43"/>
    <w:rsid w:val="00322040"/>
    <w:rsid w:val="003240B8"/>
    <w:rsid w:val="00325422"/>
    <w:rsid w:val="00333FDA"/>
    <w:rsid w:val="003340DE"/>
    <w:rsid w:val="00340D19"/>
    <w:rsid w:val="00344804"/>
    <w:rsid w:val="003518C8"/>
    <w:rsid w:val="003533B5"/>
    <w:rsid w:val="003622CA"/>
    <w:rsid w:val="00363030"/>
    <w:rsid w:val="0036462C"/>
    <w:rsid w:val="00364A42"/>
    <w:rsid w:val="003755FB"/>
    <w:rsid w:val="0037577C"/>
    <w:rsid w:val="00375B5C"/>
    <w:rsid w:val="00385502"/>
    <w:rsid w:val="003860AC"/>
    <w:rsid w:val="00391A43"/>
    <w:rsid w:val="003B0611"/>
    <w:rsid w:val="003B42D9"/>
    <w:rsid w:val="003C3140"/>
    <w:rsid w:val="003C3E02"/>
    <w:rsid w:val="003C3FE8"/>
    <w:rsid w:val="003C73F9"/>
    <w:rsid w:val="003D4D4A"/>
    <w:rsid w:val="003D5F07"/>
    <w:rsid w:val="003D6AB5"/>
    <w:rsid w:val="003D7306"/>
    <w:rsid w:val="003E3FF5"/>
    <w:rsid w:val="003E5354"/>
    <w:rsid w:val="003F0748"/>
    <w:rsid w:val="003F51F4"/>
    <w:rsid w:val="003F52C6"/>
    <w:rsid w:val="003F558E"/>
    <w:rsid w:val="00403D6E"/>
    <w:rsid w:val="00407AC0"/>
    <w:rsid w:val="00412E30"/>
    <w:rsid w:val="004170AF"/>
    <w:rsid w:val="00420C42"/>
    <w:rsid w:val="00432BB7"/>
    <w:rsid w:val="004331E9"/>
    <w:rsid w:val="00433E8D"/>
    <w:rsid w:val="0043592C"/>
    <w:rsid w:val="0043752F"/>
    <w:rsid w:val="004411B9"/>
    <w:rsid w:val="00441207"/>
    <w:rsid w:val="004422CA"/>
    <w:rsid w:val="00443807"/>
    <w:rsid w:val="004462F7"/>
    <w:rsid w:val="0046019D"/>
    <w:rsid w:val="00464536"/>
    <w:rsid w:val="0046514E"/>
    <w:rsid w:val="0046623C"/>
    <w:rsid w:val="00467739"/>
    <w:rsid w:val="00470058"/>
    <w:rsid w:val="00470D0C"/>
    <w:rsid w:val="00474E22"/>
    <w:rsid w:val="0047608F"/>
    <w:rsid w:val="00476554"/>
    <w:rsid w:val="00477D0B"/>
    <w:rsid w:val="004813D4"/>
    <w:rsid w:val="004917A7"/>
    <w:rsid w:val="00491D91"/>
    <w:rsid w:val="0049580C"/>
    <w:rsid w:val="0049768F"/>
    <w:rsid w:val="004A04E5"/>
    <w:rsid w:val="004A1495"/>
    <w:rsid w:val="004A2165"/>
    <w:rsid w:val="004A5F74"/>
    <w:rsid w:val="004B1052"/>
    <w:rsid w:val="004B6B14"/>
    <w:rsid w:val="004C03FD"/>
    <w:rsid w:val="004C0647"/>
    <w:rsid w:val="004C6189"/>
    <w:rsid w:val="004E47EC"/>
    <w:rsid w:val="004E4E9F"/>
    <w:rsid w:val="004E514F"/>
    <w:rsid w:val="004E737F"/>
    <w:rsid w:val="004F03DE"/>
    <w:rsid w:val="004F22DA"/>
    <w:rsid w:val="00502165"/>
    <w:rsid w:val="00503D98"/>
    <w:rsid w:val="00504834"/>
    <w:rsid w:val="00504C7A"/>
    <w:rsid w:val="00505AEE"/>
    <w:rsid w:val="0050632E"/>
    <w:rsid w:val="0050752D"/>
    <w:rsid w:val="00511EF3"/>
    <w:rsid w:val="00514507"/>
    <w:rsid w:val="00517414"/>
    <w:rsid w:val="005201D8"/>
    <w:rsid w:val="00521350"/>
    <w:rsid w:val="0052617C"/>
    <w:rsid w:val="00526FB5"/>
    <w:rsid w:val="005329DE"/>
    <w:rsid w:val="005351B9"/>
    <w:rsid w:val="00536011"/>
    <w:rsid w:val="0054089B"/>
    <w:rsid w:val="00550B79"/>
    <w:rsid w:val="0055150B"/>
    <w:rsid w:val="005532F9"/>
    <w:rsid w:val="0055440B"/>
    <w:rsid w:val="0055708D"/>
    <w:rsid w:val="00561CA6"/>
    <w:rsid w:val="00564565"/>
    <w:rsid w:val="005647BE"/>
    <w:rsid w:val="00566299"/>
    <w:rsid w:val="005676BD"/>
    <w:rsid w:val="005677F7"/>
    <w:rsid w:val="005725F6"/>
    <w:rsid w:val="00572E76"/>
    <w:rsid w:val="0057542D"/>
    <w:rsid w:val="00586817"/>
    <w:rsid w:val="00586D92"/>
    <w:rsid w:val="00587507"/>
    <w:rsid w:val="00596A0B"/>
    <w:rsid w:val="00596E05"/>
    <w:rsid w:val="00596F85"/>
    <w:rsid w:val="005970FA"/>
    <w:rsid w:val="005A0176"/>
    <w:rsid w:val="005A088E"/>
    <w:rsid w:val="005A2298"/>
    <w:rsid w:val="005A28C1"/>
    <w:rsid w:val="005A4AE6"/>
    <w:rsid w:val="005A536B"/>
    <w:rsid w:val="005A72FC"/>
    <w:rsid w:val="005B0388"/>
    <w:rsid w:val="005B109A"/>
    <w:rsid w:val="005C2FD5"/>
    <w:rsid w:val="005C5378"/>
    <w:rsid w:val="005D2AB9"/>
    <w:rsid w:val="005D34E2"/>
    <w:rsid w:val="005D40F1"/>
    <w:rsid w:val="005D496E"/>
    <w:rsid w:val="005D7C20"/>
    <w:rsid w:val="005E31F8"/>
    <w:rsid w:val="005E6960"/>
    <w:rsid w:val="005E7EB8"/>
    <w:rsid w:val="005F12B1"/>
    <w:rsid w:val="005F18D6"/>
    <w:rsid w:val="00603024"/>
    <w:rsid w:val="0060495E"/>
    <w:rsid w:val="00605B49"/>
    <w:rsid w:val="006116E3"/>
    <w:rsid w:val="00616EDA"/>
    <w:rsid w:val="00624400"/>
    <w:rsid w:val="00624E51"/>
    <w:rsid w:val="00626162"/>
    <w:rsid w:val="00627697"/>
    <w:rsid w:val="0063063E"/>
    <w:rsid w:val="00631414"/>
    <w:rsid w:val="00634719"/>
    <w:rsid w:val="00644435"/>
    <w:rsid w:val="006503E8"/>
    <w:rsid w:val="00654A4A"/>
    <w:rsid w:val="0065545A"/>
    <w:rsid w:val="006614CA"/>
    <w:rsid w:val="006661CF"/>
    <w:rsid w:val="00670BFD"/>
    <w:rsid w:val="00671E4C"/>
    <w:rsid w:val="00674295"/>
    <w:rsid w:val="006818A8"/>
    <w:rsid w:val="00681A51"/>
    <w:rsid w:val="00682469"/>
    <w:rsid w:val="00683D97"/>
    <w:rsid w:val="00684FCA"/>
    <w:rsid w:val="00686B5C"/>
    <w:rsid w:val="00694C1D"/>
    <w:rsid w:val="00696997"/>
    <w:rsid w:val="006A758C"/>
    <w:rsid w:val="006C0289"/>
    <w:rsid w:val="006C1EEC"/>
    <w:rsid w:val="006C3A41"/>
    <w:rsid w:val="006C3FEA"/>
    <w:rsid w:val="006C47DE"/>
    <w:rsid w:val="006C69E7"/>
    <w:rsid w:val="006D10AE"/>
    <w:rsid w:val="006D2245"/>
    <w:rsid w:val="006D29F2"/>
    <w:rsid w:val="006D5E8B"/>
    <w:rsid w:val="006D7CA2"/>
    <w:rsid w:val="006E065B"/>
    <w:rsid w:val="006E09D3"/>
    <w:rsid w:val="006E1E6C"/>
    <w:rsid w:val="006E5505"/>
    <w:rsid w:val="006F240A"/>
    <w:rsid w:val="006F2FB3"/>
    <w:rsid w:val="006F3E08"/>
    <w:rsid w:val="006F531B"/>
    <w:rsid w:val="006F62BC"/>
    <w:rsid w:val="006F666A"/>
    <w:rsid w:val="00702493"/>
    <w:rsid w:val="00714F3B"/>
    <w:rsid w:val="007166F7"/>
    <w:rsid w:val="00716AEF"/>
    <w:rsid w:val="00717076"/>
    <w:rsid w:val="00717296"/>
    <w:rsid w:val="0072668C"/>
    <w:rsid w:val="00727370"/>
    <w:rsid w:val="00735C68"/>
    <w:rsid w:val="00735D9E"/>
    <w:rsid w:val="0074109C"/>
    <w:rsid w:val="00742335"/>
    <w:rsid w:val="00742842"/>
    <w:rsid w:val="00753376"/>
    <w:rsid w:val="007543B0"/>
    <w:rsid w:val="007568A9"/>
    <w:rsid w:val="00761514"/>
    <w:rsid w:val="00763CE7"/>
    <w:rsid w:val="00772177"/>
    <w:rsid w:val="00775C65"/>
    <w:rsid w:val="0077639A"/>
    <w:rsid w:val="0078100C"/>
    <w:rsid w:val="0078157F"/>
    <w:rsid w:val="00781711"/>
    <w:rsid w:val="00783086"/>
    <w:rsid w:val="00786F48"/>
    <w:rsid w:val="0078772C"/>
    <w:rsid w:val="007878E4"/>
    <w:rsid w:val="007963BD"/>
    <w:rsid w:val="007A4783"/>
    <w:rsid w:val="007A5191"/>
    <w:rsid w:val="007B0500"/>
    <w:rsid w:val="007B111B"/>
    <w:rsid w:val="007B3AE8"/>
    <w:rsid w:val="007B4418"/>
    <w:rsid w:val="007B5F62"/>
    <w:rsid w:val="007B66B3"/>
    <w:rsid w:val="007B7077"/>
    <w:rsid w:val="007C112C"/>
    <w:rsid w:val="007C3003"/>
    <w:rsid w:val="007C6B60"/>
    <w:rsid w:val="007C6F85"/>
    <w:rsid w:val="007D00FC"/>
    <w:rsid w:val="007D3AA0"/>
    <w:rsid w:val="007D3FE2"/>
    <w:rsid w:val="007D5690"/>
    <w:rsid w:val="007D69FA"/>
    <w:rsid w:val="007E1600"/>
    <w:rsid w:val="00810603"/>
    <w:rsid w:val="008110C8"/>
    <w:rsid w:val="00812C1C"/>
    <w:rsid w:val="00814283"/>
    <w:rsid w:val="00820209"/>
    <w:rsid w:val="00820F35"/>
    <w:rsid w:val="00820FEC"/>
    <w:rsid w:val="0082393D"/>
    <w:rsid w:val="00826350"/>
    <w:rsid w:val="00826A88"/>
    <w:rsid w:val="0083324D"/>
    <w:rsid w:val="00834724"/>
    <w:rsid w:val="00840FCB"/>
    <w:rsid w:val="00841733"/>
    <w:rsid w:val="00844D38"/>
    <w:rsid w:val="00844D85"/>
    <w:rsid w:val="008516FF"/>
    <w:rsid w:val="008524BE"/>
    <w:rsid w:val="00853BC2"/>
    <w:rsid w:val="00854278"/>
    <w:rsid w:val="00856063"/>
    <w:rsid w:val="00857172"/>
    <w:rsid w:val="0086236A"/>
    <w:rsid w:val="00867B1E"/>
    <w:rsid w:val="0087035A"/>
    <w:rsid w:val="0087347D"/>
    <w:rsid w:val="00882DAD"/>
    <w:rsid w:val="00885263"/>
    <w:rsid w:val="008910EB"/>
    <w:rsid w:val="0089244E"/>
    <w:rsid w:val="00892DA5"/>
    <w:rsid w:val="008949B1"/>
    <w:rsid w:val="0089713E"/>
    <w:rsid w:val="008A10F3"/>
    <w:rsid w:val="008A5C0F"/>
    <w:rsid w:val="008A7731"/>
    <w:rsid w:val="008B1596"/>
    <w:rsid w:val="008C09C4"/>
    <w:rsid w:val="008C1F44"/>
    <w:rsid w:val="008C5FA4"/>
    <w:rsid w:val="008C646F"/>
    <w:rsid w:val="008E3E4B"/>
    <w:rsid w:val="008E4EF9"/>
    <w:rsid w:val="008E6DFC"/>
    <w:rsid w:val="008E7710"/>
    <w:rsid w:val="008F3301"/>
    <w:rsid w:val="00900D4D"/>
    <w:rsid w:val="00903F34"/>
    <w:rsid w:val="009058E4"/>
    <w:rsid w:val="00905C0A"/>
    <w:rsid w:val="00906E57"/>
    <w:rsid w:val="009122F8"/>
    <w:rsid w:val="00912AD9"/>
    <w:rsid w:val="00915520"/>
    <w:rsid w:val="009155F7"/>
    <w:rsid w:val="00920B2B"/>
    <w:rsid w:val="00921131"/>
    <w:rsid w:val="00922E37"/>
    <w:rsid w:val="009247F5"/>
    <w:rsid w:val="00926AB2"/>
    <w:rsid w:val="009407FE"/>
    <w:rsid w:val="00941CC6"/>
    <w:rsid w:val="00942436"/>
    <w:rsid w:val="00946DF8"/>
    <w:rsid w:val="00957603"/>
    <w:rsid w:val="00957A1D"/>
    <w:rsid w:val="00957BC0"/>
    <w:rsid w:val="0096487B"/>
    <w:rsid w:val="00965AE1"/>
    <w:rsid w:val="009757D1"/>
    <w:rsid w:val="00980361"/>
    <w:rsid w:val="00980754"/>
    <w:rsid w:val="00981535"/>
    <w:rsid w:val="009825C8"/>
    <w:rsid w:val="0098409F"/>
    <w:rsid w:val="00984136"/>
    <w:rsid w:val="00985537"/>
    <w:rsid w:val="00991698"/>
    <w:rsid w:val="00991C17"/>
    <w:rsid w:val="009926A3"/>
    <w:rsid w:val="00992D1E"/>
    <w:rsid w:val="00996F8E"/>
    <w:rsid w:val="00997EB2"/>
    <w:rsid w:val="009A06F5"/>
    <w:rsid w:val="009A0788"/>
    <w:rsid w:val="009A0DB5"/>
    <w:rsid w:val="009A0E92"/>
    <w:rsid w:val="009A17EC"/>
    <w:rsid w:val="009B03DF"/>
    <w:rsid w:val="009B6AF0"/>
    <w:rsid w:val="009C292D"/>
    <w:rsid w:val="009C5F0C"/>
    <w:rsid w:val="009C67C0"/>
    <w:rsid w:val="009D1035"/>
    <w:rsid w:val="009D13D0"/>
    <w:rsid w:val="009D2068"/>
    <w:rsid w:val="009D7D33"/>
    <w:rsid w:val="009E335A"/>
    <w:rsid w:val="009E4DD4"/>
    <w:rsid w:val="009E4E3F"/>
    <w:rsid w:val="009E698B"/>
    <w:rsid w:val="009F1547"/>
    <w:rsid w:val="009F4ABA"/>
    <w:rsid w:val="00A03005"/>
    <w:rsid w:val="00A03B93"/>
    <w:rsid w:val="00A056CB"/>
    <w:rsid w:val="00A066AE"/>
    <w:rsid w:val="00A10DD9"/>
    <w:rsid w:val="00A12C6B"/>
    <w:rsid w:val="00A14117"/>
    <w:rsid w:val="00A149FA"/>
    <w:rsid w:val="00A17DF0"/>
    <w:rsid w:val="00A20F78"/>
    <w:rsid w:val="00A218F1"/>
    <w:rsid w:val="00A27DEE"/>
    <w:rsid w:val="00A31B93"/>
    <w:rsid w:val="00A34240"/>
    <w:rsid w:val="00A375EF"/>
    <w:rsid w:val="00A528C2"/>
    <w:rsid w:val="00A54AFD"/>
    <w:rsid w:val="00A54E69"/>
    <w:rsid w:val="00A61B06"/>
    <w:rsid w:val="00A62113"/>
    <w:rsid w:val="00A6759C"/>
    <w:rsid w:val="00A67923"/>
    <w:rsid w:val="00A713ED"/>
    <w:rsid w:val="00A714B8"/>
    <w:rsid w:val="00A7415B"/>
    <w:rsid w:val="00A74901"/>
    <w:rsid w:val="00A75733"/>
    <w:rsid w:val="00A76308"/>
    <w:rsid w:val="00A77C08"/>
    <w:rsid w:val="00A81527"/>
    <w:rsid w:val="00A82058"/>
    <w:rsid w:val="00A84AE7"/>
    <w:rsid w:val="00A869B0"/>
    <w:rsid w:val="00A91D38"/>
    <w:rsid w:val="00A9289F"/>
    <w:rsid w:val="00A92C1D"/>
    <w:rsid w:val="00AA0C77"/>
    <w:rsid w:val="00AA1D27"/>
    <w:rsid w:val="00AA204C"/>
    <w:rsid w:val="00AA2D57"/>
    <w:rsid w:val="00AA3941"/>
    <w:rsid w:val="00AA56D0"/>
    <w:rsid w:val="00AB0C9F"/>
    <w:rsid w:val="00AB143A"/>
    <w:rsid w:val="00AC003C"/>
    <w:rsid w:val="00AC0103"/>
    <w:rsid w:val="00AC1404"/>
    <w:rsid w:val="00AD039F"/>
    <w:rsid w:val="00AD3902"/>
    <w:rsid w:val="00AD6010"/>
    <w:rsid w:val="00AE0374"/>
    <w:rsid w:val="00AE33FF"/>
    <w:rsid w:val="00AF06D5"/>
    <w:rsid w:val="00AF09DD"/>
    <w:rsid w:val="00AF44DA"/>
    <w:rsid w:val="00B02655"/>
    <w:rsid w:val="00B05102"/>
    <w:rsid w:val="00B11787"/>
    <w:rsid w:val="00B16A34"/>
    <w:rsid w:val="00B25453"/>
    <w:rsid w:val="00B31B9C"/>
    <w:rsid w:val="00B34D6C"/>
    <w:rsid w:val="00B4130B"/>
    <w:rsid w:val="00B5544F"/>
    <w:rsid w:val="00B55E5D"/>
    <w:rsid w:val="00B60A36"/>
    <w:rsid w:val="00B66867"/>
    <w:rsid w:val="00B66994"/>
    <w:rsid w:val="00B71AC2"/>
    <w:rsid w:val="00B71AFB"/>
    <w:rsid w:val="00B71F3A"/>
    <w:rsid w:val="00B73C97"/>
    <w:rsid w:val="00B76340"/>
    <w:rsid w:val="00B80C43"/>
    <w:rsid w:val="00B913EF"/>
    <w:rsid w:val="00B94786"/>
    <w:rsid w:val="00BA78B6"/>
    <w:rsid w:val="00BB1B19"/>
    <w:rsid w:val="00BB26AD"/>
    <w:rsid w:val="00BB79BD"/>
    <w:rsid w:val="00BC7208"/>
    <w:rsid w:val="00BD0B48"/>
    <w:rsid w:val="00BD2A0A"/>
    <w:rsid w:val="00BD3905"/>
    <w:rsid w:val="00BD5D0F"/>
    <w:rsid w:val="00BD7C68"/>
    <w:rsid w:val="00BE1CBC"/>
    <w:rsid w:val="00BE29DC"/>
    <w:rsid w:val="00BE3A8E"/>
    <w:rsid w:val="00BF697A"/>
    <w:rsid w:val="00BF6ADB"/>
    <w:rsid w:val="00C03776"/>
    <w:rsid w:val="00C07264"/>
    <w:rsid w:val="00C13821"/>
    <w:rsid w:val="00C14051"/>
    <w:rsid w:val="00C15F73"/>
    <w:rsid w:val="00C2037B"/>
    <w:rsid w:val="00C22FF7"/>
    <w:rsid w:val="00C24852"/>
    <w:rsid w:val="00C27F76"/>
    <w:rsid w:val="00C30DA4"/>
    <w:rsid w:val="00C44719"/>
    <w:rsid w:val="00C46747"/>
    <w:rsid w:val="00C50108"/>
    <w:rsid w:val="00C535BF"/>
    <w:rsid w:val="00C6572C"/>
    <w:rsid w:val="00C70CFF"/>
    <w:rsid w:val="00C7359C"/>
    <w:rsid w:val="00C75655"/>
    <w:rsid w:val="00C7707B"/>
    <w:rsid w:val="00C837C3"/>
    <w:rsid w:val="00C84497"/>
    <w:rsid w:val="00C84E09"/>
    <w:rsid w:val="00C868F6"/>
    <w:rsid w:val="00C9137C"/>
    <w:rsid w:val="00C91644"/>
    <w:rsid w:val="00C95F40"/>
    <w:rsid w:val="00C9663B"/>
    <w:rsid w:val="00C97B31"/>
    <w:rsid w:val="00CA27C7"/>
    <w:rsid w:val="00CA43A5"/>
    <w:rsid w:val="00CA7C0B"/>
    <w:rsid w:val="00CB6E2B"/>
    <w:rsid w:val="00CB6FF7"/>
    <w:rsid w:val="00CB7302"/>
    <w:rsid w:val="00CC1E9F"/>
    <w:rsid w:val="00CC56ED"/>
    <w:rsid w:val="00CC5896"/>
    <w:rsid w:val="00CC643C"/>
    <w:rsid w:val="00CD266F"/>
    <w:rsid w:val="00CD6433"/>
    <w:rsid w:val="00CE0C35"/>
    <w:rsid w:val="00CE3736"/>
    <w:rsid w:val="00CE3810"/>
    <w:rsid w:val="00CE52B4"/>
    <w:rsid w:val="00CE5A34"/>
    <w:rsid w:val="00CE5DCD"/>
    <w:rsid w:val="00CE61F2"/>
    <w:rsid w:val="00CE6ECD"/>
    <w:rsid w:val="00CE701C"/>
    <w:rsid w:val="00CE7599"/>
    <w:rsid w:val="00CF414A"/>
    <w:rsid w:val="00CF4FF0"/>
    <w:rsid w:val="00CF5B47"/>
    <w:rsid w:val="00D00574"/>
    <w:rsid w:val="00D104F9"/>
    <w:rsid w:val="00D14323"/>
    <w:rsid w:val="00D16008"/>
    <w:rsid w:val="00D1642E"/>
    <w:rsid w:val="00D166D4"/>
    <w:rsid w:val="00D26947"/>
    <w:rsid w:val="00D2748A"/>
    <w:rsid w:val="00D30254"/>
    <w:rsid w:val="00D33768"/>
    <w:rsid w:val="00D33D87"/>
    <w:rsid w:val="00D35077"/>
    <w:rsid w:val="00D35A6E"/>
    <w:rsid w:val="00D35EC9"/>
    <w:rsid w:val="00D36748"/>
    <w:rsid w:val="00D408A8"/>
    <w:rsid w:val="00D46DAE"/>
    <w:rsid w:val="00D51C8F"/>
    <w:rsid w:val="00D5204B"/>
    <w:rsid w:val="00D54C10"/>
    <w:rsid w:val="00D55191"/>
    <w:rsid w:val="00D55CD0"/>
    <w:rsid w:val="00D57544"/>
    <w:rsid w:val="00D57973"/>
    <w:rsid w:val="00D60CE2"/>
    <w:rsid w:val="00D612EC"/>
    <w:rsid w:val="00D6153E"/>
    <w:rsid w:val="00D623C4"/>
    <w:rsid w:val="00D722DF"/>
    <w:rsid w:val="00D82363"/>
    <w:rsid w:val="00D84675"/>
    <w:rsid w:val="00D8526A"/>
    <w:rsid w:val="00D86252"/>
    <w:rsid w:val="00D86C42"/>
    <w:rsid w:val="00D917F3"/>
    <w:rsid w:val="00D96135"/>
    <w:rsid w:val="00D97983"/>
    <w:rsid w:val="00D97BAA"/>
    <w:rsid w:val="00DA3AF3"/>
    <w:rsid w:val="00DA5455"/>
    <w:rsid w:val="00DA5C2B"/>
    <w:rsid w:val="00DB5EFB"/>
    <w:rsid w:val="00DB6EF1"/>
    <w:rsid w:val="00DC19BB"/>
    <w:rsid w:val="00DC42F1"/>
    <w:rsid w:val="00DC6404"/>
    <w:rsid w:val="00DC714C"/>
    <w:rsid w:val="00DC7589"/>
    <w:rsid w:val="00DD10BB"/>
    <w:rsid w:val="00DD7FDF"/>
    <w:rsid w:val="00DE1703"/>
    <w:rsid w:val="00DE25AC"/>
    <w:rsid w:val="00DF1ACF"/>
    <w:rsid w:val="00DF230D"/>
    <w:rsid w:val="00DF568D"/>
    <w:rsid w:val="00E00CCB"/>
    <w:rsid w:val="00E042C7"/>
    <w:rsid w:val="00E0781A"/>
    <w:rsid w:val="00E11475"/>
    <w:rsid w:val="00E175A7"/>
    <w:rsid w:val="00E20168"/>
    <w:rsid w:val="00E20740"/>
    <w:rsid w:val="00E20E92"/>
    <w:rsid w:val="00E245DA"/>
    <w:rsid w:val="00E24645"/>
    <w:rsid w:val="00E24B07"/>
    <w:rsid w:val="00E26AE1"/>
    <w:rsid w:val="00E31BCB"/>
    <w:rsid w:val="00E32963"/>
    <w:rsid w:val="00E337BC"/>
    <w:rsid w:val="00E350CD"/>
    <w:rsid w:val="00E372A9"/>
    <w:rsid w:val="00E4001B"/>
    <w:rsid w:val="00E51FDE"/>
    <w:rsid w:val="00E534B2"/>
    <w:rsid w:val="00E56B66"/>
    <w:rsid w:val="00E579AF"/>
    <w:rsid w:val="00E705B7"/>
    <w:rsid w:val="00E7086E"/>
    <w:rsid w:val="00E70ECC"/>
    <w:rsid w:val="00E71A89"/>
    <w:rsid w:val="00E75128"/>
    <w:rsid w:val="00E76FC7"/>
    <w:rsid w:val="00E770A5"/>
    <w:rsid w:val="00E77197"/>
    <w:rsid w:val="00E81923"/>
    <w:rsid w:val="00E81B1A"/>
    <w:rsid w:val="00E84FB3"/>
    <w:rsid w:val="00E87037"/>
    <w:rsid w:val="00E90D4C"/>
    <w:rsid w:val="00EA0F03"/>
    <w:rsid w:val="00EA1EF9"/>
    <w:rsid w:val="00EA2CA0"/>
    <w:rsid w:val="00EA7237"/>
    <w:rsid w:val="00EB055B"/>
    <w:rsid w:val="00EB112A"/>
    <w:rsid w:val="00EB208B"/>
    <w:rsid w:val="00EC1212"/>
    <w:rsid w:val="00EC1D3D"/>
    <w:rsid w:val="00EC3331"/>
    <w:rsid w:val="00EC677E"/>
    <w:rsid w:val="00EC7E67"/>
    <w:rsid w:val="00ED5B5C"/>
    <w:rsid w:val="00ED70BD"/>
    <w:rsid w:val="00EE0B3E"/>
    <w:rsid w:val="00EE37BB"/>
    <w:rsid w:val="00EE3D96"/>
    <w:rsid w:val="00EE6D67"/>
    <w:rsid w:val="00EF4099"/>
    <w:rsid w:val="00EF6BDC"/>
    <w:rsid w:val="00F01C4C"/>
    <w:rsid w:val="00F02786"/>
    <w:rsid w:val="00F0434F"/>
    <w:rsid w:val="00F0670F"/>
    <w:rsid w:val="00F07FA6"/>
    <w:rsid w:val="00F105E9"/>
    <w:rsid w:val="00F11BB3"/>
    <w:rsid w:val="00F13036"/>
    <w:rsid w:val="00F21D1A"/>
    <w:rsid w:val="00F22865"/>
    <w:rsid w:val="00F24D75"/>
    <w:rsid w:val="00F261E3"/>
    <w:rsid w:val="00F34B2F"/>
    <w:rsid w:val="00F34F33"/>
    <w:rsid w:val="00F36D1F"/>
    <w:rsid w:val="00F3769E"/>
    <w:rsid w:val="00F40F06"/>
    <w:rsid w:val="00F42669"/>
    <w:rsid w:val="00F46033"/>
    <w:rsid w:val="00F4749B"/>
    <w:rsid w:val="00F50473"/>
    <w:rsid w:val="00F514FB"/>
    <w:rsid w:val="00F56CE9"/>
    <w:rsid w:val="00F61151"/>
    <w:rsid w:val="00F64ECE"/>
    <w:rsid w:val="00F6622D"/>
    <w:rsid w:val="00F67B6E"/>
    <w:rsid w:val="00F70A59"/>
    <w:rsid w:val="00F77765"/>
    <w:rsid w:val="00F77EC3"/>
    <w:rsid w:val="00F85E98"/>
    <w:rsid w:val="00FA3AAA"/>
    <w:rsid w:val="00FA7C8B"/>
    <w:rsid w:val="00FB0249"/>
    <w:rsid w:val="00FB793A"/>
    <w:rsid w:val="00FB7E0E"/>
    <w:rsid w:val="00FC5915"/>
    <w:rsid w:val="00FC5D6D"/>
    <w:rsid w:val="00FD24F5"/>
    <w:rsid w:val="00FD6657"/>
    <w:rsid w:val="00FE0426"/>
    <w:rsid w:val="00FE5D5B"/>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31C1B"/>
  </w:style>
  <w:style w:type="character" w:customStyle="1" w:styleId="FootnoteTextChar">
    <w:name w:val="Footnote Text Char"/>
    <w:basedOn w:val="DefaultParagraphFont"/>
    <w:link w:val="FootnoteText"/>
    <w:uiPriority w:val="99"/>
    <w:semiHidden/>
    <w:rsid w:val="00031C1B"/>
    <w:rPr>
      <w:rFonts w:ascii="Times New Roman" w:eastAsia="Times New Roman" w:hAnsi="Times New Roman" w:cs="Times New Roman"/>
      <w:sz w:val="20"/>
      <w:szCs w:val="20"/>
    </w:rPr>
  </w:style>
  <w:style w:type="character" w:customStyle="1" w:styleId="pmterms11">
    <w:name w:val="pmterms11"/>
    <w:basedOn w:val="DefaultParagraphFont"/>
    <w:rsid w:val="00E90D4C"/>
    <w:rPr>
      <w:b/>
      <w:bCs/>
      <w:i w:val="0"/>
      <w:iCs w:val="0"/>
      <w:color w:val="000000"/>
    </w:rPr>
  </w:style>
  <w:style w:type="paragraph" w:styleId="ListParagraph">
    <w:name w:val="List Paragraph"/>
    <w:basedOn w:val="Normal"/>
    <w:uiPriority w:val="34"/>
    <w:qFormat/>
    <w:rsid w:val="00C84E09"/>
    <w:pPr>
      <w:ind w:left="720"/>
      <w:contextualSpacing/>
    </w:pPr>
  </w:style>
  <w:style w:type="paragraph" w:styleId="Header">
    <w:name w:val="header"/>
    <w:basedOn w:val="Normal"/>
    <w:link w:val="HeaderChar"/>
    <w:uiPriority w:val="99"/>
    <w:unhideWhenUsed/>
    <w:rsid w:val="004E4E9F"/>
    <w:pPr>
      <w:tabs>
        <w:tab w:val="center" w:pos="4680"/>
        <w:tab w:val="right" w:pos="9360"/>
      </w:tabs>
    </w:pPr>
  </w:style>
  <w:style w:type="character" w:customStyle="1" w:styleId="HeaderChar">
    <w:name w:val="Header Char"/>
    <w:basedOn w:val="DefaultParagraphFont"/>
    <w:link w:val="Header"/>
    <w:uiPriority w:val="99"/>
    <w:rsid w:val="004E4E9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4E9F"/>
    <w:pPr>
      <w:tabs>
        <w:tab w:val="center" w:pos="4680"/>
        <w:tab w:val="right" w:pos="9360"/>
      </w:tabs>
    </w:pPr>
  </w:style>
  <w:style w:type="character" w:customStyle="1" w:styleId="FooterChar">
    <w:name w:val="Footer Char"/>
    <w:basedOn w:val="DefaultParagraphFont"/>
    <w:link w:val="Footer"/>
    <w:uiPriority w:val="99"/>
    <w:rsid w:val="004E4E9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26FB5"/>
    <w:rPr>
      <w:sz w:val="16"/>
      <w:szCs w:val="16"/>
    </w:rPr>
  </w:style>
  <w:style w:type="paragraph" w:styleId="CommentText">
    <w:name w:val="annotation text"/>
    <w:basedOn w:val="Normal"/>
    <w:link w:val="CommentTextChar"/>
    <w:uiPriority w:val="99"/>
    <w:semiHidden/>
    <w:unhideWhenUsed/>
    <w:rsid w:val="00526FB5"/>
  </w:style>
  <w:style w:type="character" w:customStyle="1" w:styleId="CommentTextChar">
    <w:name w:val="Comment Text Char"/>
    <w:basedOn w:val="DefaultParagraphFont"/>
    <w:link w:val="CommentText"/>
    <w:uiPriority w:val="99"/>
    <w:semiHidden/>
    <w:rsid w:val="00526F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6FB5"/>
    <w:rPr>
      <w:b/>
      <w:bCs/>
    </w:rPr>
  </w:style>
  <w:style w:type="character" w:customStyle="1" w:styleId="CommentSubjectChar">
    <w:name w:val="Comment Subject Char"/>
    <w:basedOn w:val="CommentTextChar"/>
    <w:link w:val="CommentSubject"/>
    <w:uiPriority w:val="99"/>
    <w:semiHidden/>
    <w:rsid w:val="00526FB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31C1B"/>
  </w:style>
  <w:style w:type="character" w:customStyle="1" w:styleId="FootnoteTextChar">
    <w:name w:val="Footnote Text Char"/>
    <w:basedOn w:val="DefaultParagraphFont"/>
    <w:link w:val="FootnoteText"/>
    <w:uiPriority w:val="99"/>
    <w:semiHidden/>
    <w:rsid w:val="00031C1B"/>
    <w:rPr>
      <w:rFonts w:ascii="Times New Roman" w:eastAsia="Times New Roman" w:hAnsi="Times New Roman" w:cs="Times New Roman"/>
      <w:sz w:val="20"/>
      <w:szCs w:val="20"/>
    </w:rPr>
  </w:style>
  <w:style w:type="character" w:customStyle="1" w:styleId="pmterms11">
    <w:name w:val="pmterms11"/>
    <w:basedOn w:val="DefaultParagraphFont"/>
    <w:rsid w:val="00E90D4C"/>
    <w:rPr>
      <w:b/>
      <w:bCs/>
      <w:i w:val="0"/>
      <w:iCs w:val="0"/>
      <w:color w:val="000000"/>
    </w:rPr>
  </w:style>
  <w:style w:type="paragraph" w:styleId="ListParagraph">
    <w:name w:val="List Paragraph"/>
    <w:basedOn w:val="Normal"/>
    <w:uiPriority w:val="34"/>
    <w:qFormat/>
    <w:rsid w:val="00C84E09"/>
    <w:pPr>
      <w:ind w:left="720"/>
      <w:contextualSpacing/>
    </w:pPr>
  </w:style>
  <w:style w:type="paragraph" w:styleId="Header">
    <w:name w:val="header"/>
    <w:basedOn w:val="Normal"/>
    <w:link w:val="HeaderChar"/>
    <w:uiPriority w:val="99"/>
    <w:unhideWhenUsed/>
    <w:rsid w:val="004E4E9F"/>
    <w:pPr>
      <w:tabs>
        <w:tab w:val="center" w:pos="4680"/>
        <w:tab w:val="right" w:pos="9360"/>
      </w:tabs>
    </w:pPr>
  </w:style>
  <w:style w:type="character" w:customStyle="1" w:styleId="HeaderChar">
    <w:name w:val="Header Char"/>
    <w:basedOn w:val="DefaultParagraphFont"/>
    <w:link w:val="Header"/>
    <w:uiPriority w:val="99"/>
    <w:rsid w:val="004E4E9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4E9F"/>
    <w:pPr>
      <w:tabs>
        <w:tab w:val="center" w:pos="4680"/>
        <w:tab w:val="right" w:pos="9360"/>
      </w:tabs>
    </w:pPr>
  </w:style>
  <w:style w:type="character" w:customStyle="1" w:styleId="FooterChar">
    <w:name w:val="Footer Char"/>
    <w:basedOn w:val="DefaultParagraphFont"/>
    <w:link w:val="Footer"/>
    <w:uiPriority w:val="99"/>
    <w:rsid w:val="004E4E9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26FB5"/>
    <w:rPr>
      <w:sz w:val="16"/>
      <w:szCs w:val="16"/>
    </w:rPr>
  </w:style>
  <w:style w:type="paragraph" w:styleId="CommentText">
    <w:name w:val="annotation text"/>
    <w:basedOn w:val="Normal"/>
    <w:link w:val="CommentTextChar"/>
    <w:uiPriority w:val="99"/>
    <w:semiHidden/>
    <w:unhideWhenUsed/>
    <w:rsid w:val="00526FB5"/>
  </w:style>
  <w:style w:type="character" w:customStyle="1" w:styleId="CommentTextChar">
    <w:name w:val="Comment Text Char"/>
    <w:basedOn w:val="DefaultParagraphFont"/>
    <w:link w:val="CommentText"/>
    <w:uiPriority w:val="99"/>
    <w:semiHidden/>
    <w:rsid w:val="00526F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6FB5"/>
    <w:rPr>
      <w:b/>
      <w:bCs/>
    </w:rPr>
  </w:style>
  <w:style w:type="character" w:customStyle="1" w:styleId="CommentSubjectChar">
    <w:name w:val="Comment Subject Char"/>
    <w:basedOn w:val="CommentTextChar"/>
    <w:link w:val="CommentSubject"/>
    <w:uiPriority w:val="99"/>
    <w:semiHidden/>
    <w:rsid w:val="00526FB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863856">
      <w:bodyDiv w:val="1"/>
      <w:marLeft w:val="0"/>
      <w:marRight w:val="0"/>
      <w:marTop w:val="0"/>
      <w:marBottom w:val="0"/>
      <w:divBdr>
        <w:top w:val="none" w:sz="0" w:space="0" w:color="auto"/>
        <w:left w:val="none" w:sz="0" w:space="0" w:color="auto"/>
        <w:bottom w:val="none" w:sz="0" w:space="0" w:color="auto"/>
        <w:right w:val="none" w:sz="0" w:space="0" w:color="auto"/>
      </w:divBdr>
      <w:divsChild>
        <w:div w:id="685522299">
          <w:marLeft w:val="0"/>
          <w:marRight w:val="0"/>
          <w:marTop w:val="0"/>
          <w:marBottom w:val="0"/>
          <w:divBdr>
            <w:top w:val="none" w:sz="0" w:space="0" w:color="auto"/>
            <w:left w:val="none" w:sz="0" w:space="0" w:color="auto"/>
            <w:bottom w:val="none" w:sz="0" w:space="0" w:color="auto"/>
            <w:right w:val="none" w:sz="0" w:space="0" w:color="auto"/>
          </w:divBdr>
          <w:divsChild>
            <w:div w:id="1709184763">
              <w:marLeft w:val="0"/>
              <w:marRight w:val="0"/>
              <w:marTop w:val="0"/>
              <w:marBottom w:val="0"/>
              <w:divBdr>
                <w:top w:val="none" w:sz="0" w:space="0" w:color="auto"/>
                <w:left w:val="none" w:sz="0" w:space="0" w:color="auto"/>
                <w:bottom w:val="none" w:sz="0" w:space="0" w:color="auto"/>
                <w:right w:val="none" w:sz="0" w:space="0" w:color="auto"/>
              </w:divBdr>
              <w:divsChild>
                <w:div w:id="744104595">
                  <w:marLeft w:val="0"/>
                  <w:marRight w:val="0"/>
                  <w:marTop w:val="0"/>
                  <w:marBottom w:val="0"/>
                  <w:divBdr>
                    <w:top w:val="none" w:sz="0" w:space="0" w:color="auto"/>
                    <w:left w:val="none" w:sz="0" w:space="0" w:color="auto"/>
                    <w:bottom w:val="none" w:sz="0" w:space="0" w:color="auto"/>
                    <w:right w:val="none" w:sz="0" w:space="0" w:color="auto"/>
                  </w:divBdr>
                  <w:divsChild>
                    <w:div w:id="53589088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45426">
      <w:bodyDiv w:val="1"/>
      <w:marLeft w:val="0"/>
      <w:marRight w:val="0"/>
      <w:marTop w:val="0"/>
      <w:marBottom w:val="0"/>
      <w:divBdr>
        <w:top w:val="none" w:sz="0" w:space="0" w:color="auto"/>
        <w:left w:val="none" w:sz="0" w:space="0" w:color="auto"/>
        <w:bottom w:val="none" w:sz="0" w:space="0" w:color="auto"/>
        <w:right w:val="none" w:sz="0" w:space="0" w:color="auto"/>
      </w:divBdr>
    </w:div>
    <w:div w:id="13820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com/research/buttonTFLink?_m=e0cf3a287bab23fc1fdab03e6a351077&amp;_xfercite=%3ccite%20cc%3d%22USA%22%3e%3c%21%5bCDATA%5b2013%20Pa.%20PUC%20LEXIS%20481%5d%5d%3e%3c%2fcite%3e&amp;_butType=3&amp;_butStat=2&amp;_butNum=9&amp;_butInline=1&amp;_butinfo=%3ccite%20cc%3d%22USA%22%3e%3c%21%5bCDATA%5b491%20Pa.%20123%5d%5d%3e%3c%2fcite%3e&amp;_fmtstr=FULL&amp;docnum=5&amp;_startdoc=1&amp;wchp=dGLbVzB-zSkAW&amp;_md5=356bff365cea9bb51a63322073eaaee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e0cf3a287bab23fc1fdab03e6a351077&amp;_xfercite=%3ccite%20cc%3d%22USA%22%3e%3c%21%5bCDATA%5b2013%20Pa.%20PUC%20LEXIS%20481%5d%5d%3e%3c%2fcite%3e&amp;_butType=4&amp;_butStat=0&amp;_butNum=8&amp;_butInline=1&amp;_butinfo=66%20PACS%201501&amp;_fmtstr=FULL&amp;docnum=5&amp;_startdoc=1&amp;wchp=dGLbVzB-zSkAW&amp;_md5=f228fd6edc319a1c5fb9dec35284da1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hyperlink" Target="https://www.lexis.com/research/buttonTFLink?_m=79be1b20931e169c1f3ddffae1d3b35a&amp;_xfercite=%3ccite%20cc%3d%22USA%22%3e%3c%21%5bCDATA%5b2011%20Pa.%20PUC%20LEXIS%202089%5d%5d%3e%3c%2fcite%3e&amp;_butType=4&amp;_butStat=0&amp;_butNum=4&amp;_butInline=1&amp;_butinfo=52%20PA%20CODE%2065.7&amp;_fmtstr=FULL&amp;docnum=5&amp;_startdoc=1&amp;wchp=dGLbVzB-zSkAW&amp;_md5=9b49890353532e1ddb7028ad94118e03" TargetMode="Externa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hyperlink" Target="https://www.lexis.com/research/buttonTFLink?_m=e0cf3a287bab23fc1fdab03e6a351077&amp;_xfercite=%3ccite%20cc%3d%22USA%22%3e%3c%21%5bCDATA%5b2013%20Pa.%20PUC%20LEXIS%20481%5d%5d%3e%3c%2fcite%3e&amp;_butType=4&amp;_butStat=0&amp;_butNum=10&amp;_butInline=1&amp;_butinfo=66%20PACS%20102&amp;_fmtstr=FULL&amp;docnum=5&amp;_startdoc=1&amp;wchp=dGLbVzB-zSkAW&amp;_md5=73833b981f547fec61efce1043ee58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60404-461E-4552-8FFC-678544FE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3112</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15</cp:revision>
  <cp:lastPrinted>2013-10-31T12:00:00Z</cp:lastPrinted>
  <dcterms:created xsi:type="dcterms:W3CDTF">2013-10-18T15:17:00Z</dcterms:created>
  <dcterms:modified xsi:type="dcterms:W3CDTF">2013-10-31T12:01:00Z</dcterms:modified>
</cp:coreProperties>
</file>