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7F15ED" w:rsidP="007F15ED">
      <w:pPr>
        <w:spacing w:line="240" w:lineRule="auto"/>
        <w:rPr>
          <w:b/>
        </w:rPr>
      </w:pPr>
      <w:r>
        <w:rPr>
          <w:b/>
        </w:rPr>
        <w:t>BEFORE THE</w:t>
      </w:r>
    </w:p>
    <w:p w:rsidR="007F15ED" w:rsidRDefault="007F15ED" w:rsidP="007F15ED">
      <w:pPr>
        <w:spacing w:line="240" w:lineRule="auto"/>
        <w:rPr>
          <w:b/>
        </w:rPr>
      </w:pPr>
      <w:r>
        <w:rPr>
          <w:b/>
        </w:rPr>
        <w:t>PENNSYLVANIA PUBLIC UTILITY COMMISSION</w:t>
      </w:r>
    </w:p>
    <w:p w:rsidR="007F15ED" w:rsidRDefault="007F15ED" w:rsidP="007F15ED">
      <w:pPr>
        <w:spacing w:line="240" w:lineRule="auto"/>
        <w:rPr>
          <w:b/>
        </w:rPr>
      </w:pPr>
    </w:p>
    <w:p w:rsidR="007F15ED" w:rsidRDefault="007F15ED" w:rsidP="007F15ED">
      <w:pPr>
        <w:spacing w:line="240" w:lineRule="auto"/>
        <w:rPr>
          <w:b/>
        </w:rPr>
      </w:pPr>
    </w:p>
    <w:p w:rsidR="007F15ED" w:rsidRDefault="007F15ED" w:rsidP="007F15ED">
      <w:pPr>
        <w:spacing w:line="240" w:lineRule="auto"/>
        <w:jc w:val="left"/>
      </w:pPr>
      <w:r>
        <w:t xml:space="preserve">Mike </w:t>
      </w:r>
      <w:proofErr w:type="spellStart"/>
      <w:r>
        <w:t>Kusturiss</w:t>
      </w:r>
      <w:proofErr w:type="spellEnd"/>
      <w:r>
        <w:t>, Jr.</w:t>
      </w:r>
      <w:r>
        <w:tab/>
      </w:r>
      <w:r>
        <w:tab/>
      </w:r>
      <w:r>
        <w:tab/>
      </w:r>
      <w:r>
        <w:tab/>
        <w:t>:</w:t>
      </w:r>
    </w:p>
    <w:p w:rsidR="007F15ED" w:rsidRDefault="007F15ED" w:rsidP="007F15ED">
      <w:pPr>
        <w:spacing w:line="240" w:lineRule="auto"/>
        <w:jc w:val="left"/>
      </w:pPr>
      <w:r>
        <w:tab/>
      </w:r>
      <w:r>
        <w:tab/>
      </w:r>
      <w:r>
        <w:tab/>
      </w:r>
      <w:r>
        <w:tab/>
      </w:r>
      <w:r>
        <w:tab/>
      </w:r>
      <w:r>
        <w:tab/>
        <w:t>:</w:t>
      </w:r>
    </w:p>
    <w:p w:rsidR="007F15ED" w:rsidRDefault="007F15ED" w:rsidP="007F15ED">
      <w:pPr>
        <w:spacing w:line="240" w:lineRule="auto"/>
        <w:jc w:val="left"/>
      </w:pPr>
      <w:r>
        <w:tab/>
        <w:t>v.</w:t>
      </w:r>
      <w:r>
        <w:tab/>
      </w:r>
      <w:r>
        <w:tab/>
      </w:r>
      <w:r>
        <w:tab/>
      </w:r>
      <w:r>
        <w:tab/>
      </w:r>
      <w:r>
        <w:tab/>
        <w:t>:</w:t>
      </w:r>
      <w:r>
        <w:tab/>
      </w:r>
      <w:r>
        <w:tab/>
      </w:r>
      <w:r>
        <w:tab/>
      </w:r>
      <w:r>
        <w:tab/>
        <w:t>C-2013-2385910</w:t>
      </w:r>
    </w:p>
    <w:p w:rsidR="007F15ED" w:rsidRDefault="007F15ED" w:rsidP="007F15ED">
      <w:pPr>
        <w:spacing w:line="240" w:lineRule="auto"/>
        <w:jc w:val="left"/>
      </w:pPr>
      <w:r>
        <w:tab/>
      </w:r>
      <w:r>
        <w:tab/>
      </w:r>
      <w:r>
        <w:tab/>
      </w:r>
      <w:r>
        <w:tab/>
      </w:r>
      <w:r>
        <w:tab/>
      </w:r>
      <w:r>
        <w:tab/>
        <w:t>:</w:t>
      </w:r>
    </w:p>
    <w:p w:rsidR="007F15ED" w:rsidRDefault="007F15ED" w:rsidP="007F15ED">
      <w:pPr>
        <w:spacing w:line="240" w:lineRule="auto"/>
        <w:jc w:val="left"/>
      </w:pPr>
      <w:proofErr w:type="gramStart"/>
      <w:r>
        <w:t>Columbia Gas of Pennsylvania, Inc.</w:t>
      </w:r>
      <w:proofErr w:type="gramEnd"/>
      <w:r>
        <w:tab/>
      </w:r>
      <w:r>
        <w:tab/>
        <w:t>:</w:t>
      </w:r>
    </w:p>
    <w:p w:rsidR="007F15ED" w:rsidRDefault="007F15ED" w:rsidP="007F15ED">
      <w:pPr>
        <w:spacing w:line="240" w:lineRule="auto"/>
        <w:jc w:val="left"/>
      </w:pPr>
    </w:p>
    <w:p w:rsidR="007F15ED" w:rsidRDefault="007F15ED" w:rsidP="007F15ED">
      <w:pPr>
        <w:spacing w:line="240" w:lineRule="auto"/>
        <w:jc w:val="left"/>
      </w:pPr>
    </w:p>
    <w:p w:rsidR="00B62D4E" w:rsidRDefault="007F15ED" w:rsidP="007F15ED">
      <w:pPr>
        <w:spacing w:line="240" w:lineRule="auto"/>
        <w:rPr>
          <w:b/>
          <w:u w:val="single"/>
        </w:rPr>
      </w:pPr>
      <w:r w:rsidRPr="00B62D4E">
        <w:rPr>
          <w:b/>
          <w:u w:val="single"/>
        </w:rPr>
        <w:t>ORDER</w:t>
      </w:r>
      <w:r w:rsidR="00B62D4E">
        <w:rPr>
          <w:b/>
          <w:u w:val="single"/>
        </w:rPr>
        <w:t xml:space="preserve"> DENYING PRELIMINARY </w:t>
      </w:r>
      <w:proofErr w:type="gramStart"/>
      <w:r w:rsidR="00B62D4E">
        <w:rPr>
          <w:b/>
          <w:u w:val="single"/>
        </w:rPr>
        <w:t>OBJECTIONS  AND</w:t>
      </w:r>
      <w:proofErr w:type="gramEnd"/>
      <w:r w:rsidR="00B62D4E">
        <w:rPr>
          <w:b/>
          <w:u w:val="single"/>
        </w:rPr>
        <w:t xml:space="preserve"> DIRECTING</w:t>
      </w:r>
    </w:p>
    <w:p w:rsidR="007F15ED" w:rsidRPr="00B62D4E" w:rsidRDefault="00B62D4E" w:rsidP="007F15ED">
      <w:pPr>
        <w:spacing w:line="240" w:lineRule="auto"/>
        <w:rPr>
          <w:b/>
          <w:u w:val="single"/>
        </w:rPr>
      </w:pPr>
      <w:r>
        <w:rPr>
          <w:b/>
          <w:u w:val="single"/>
        </w:rPr>
        <w:t xml:space="preserve"> THAT THE MATTER BE SET FOR HEARING</w:t>
      </w:r>
    </w:p>
    <w:p w:rsidR="007F15ED" w:rsidRDefault="007F15ED" w:rsidP="007F15ED">
      <w:pPr>
        <w:spacing w:line="240" w:lineRule="auto"/>
      </w:pPr>
    </w:p>
    <w:p w:rsidR="007F15ED" w:rsidRDefault="007F15ED" w:rsidP="007F15ED">
      <w:pPr>
        <w:spacing w:line="240" w:lineRule="auto"/>
      </w:pPr>
    </w:p>
    <w:p w:rsidR="007F15ED" w:rsidRDefault="007F15ED" w:rsidP="007F15ED">
      <w:pPr>
        <w:jc w:val="left"/>
      </w:pPr>
      <w:r>
        <w:tab/>
      </w:r>
      <w:r>
        <w:tab/>
        <w:t xml:space="preserve">On September 30, 2013, Mike </w:t>
      </w:r>
      <w:proofErr w:type="spellStart"/>
      <w:r>
        <w:t>Kusturiss</w:t>
      </w:r>
      <w:proofErr w:type="spellEnd"/>
      <w:r>
        <w:t xml:space="preserve">, Jr. (Complainant) filed a formal Complaint against Columbia Gas of Pennsylvania, Inc. (Respondent or Columbia or Company) alleging that Columbia had sent him a letter which indicated that his current situation where he received some of his gas from Columbia and some from a private well would not be permitted to continue.  Rather, Complainant must choose whether to receive all of his gas from Columbia or all from the private well.  Complainant seeks to continue his present situation, whereby he receives free gas from the well on his property and uses gas from Columbia to supplement the times where the well gas in insufficient for his household needs.  </w:t>
      </w:r>
    </w:p>
    <w:p w:rsidR="007F15ED" w:rsidRDefault="007F15ED" w:rsidP="007F15ED">
      <w:pPr>
        <w:jc w:val="left"/>
      </w:pPr>
    </w:p>
    <w:p w:rsidR="007F15ED" w:rsidRDefault="007F15ED" w:rsidP="007F15ED">
      <w:pPr>
        <w:jc w:val="left"/>
      </w:pPr>
      <w:r>
        <w:tab/>
      </w:r>
      <w:r>
        <w:tab/>
        <w:t xml:space="preserve">On October 2, 2013, Columbia filed its Answer </w:t>
      </w:r>
      <w:r w:rsidR="008D09F7">
        <w:t>and New Matter, and Preliminary Objections (POs).  The Answer</w:t>
      </w:r>
      <w:r>
        <w:t xml:space="preserve"> admits the allegations of the Complaint and avers further that the dual feed situation was established without the knowledge of Respondent and is contrary to the terms of the Columbia tariff.  </w:t>
      </w:r>
      <w:r w:rsidR="008D09F7">
        <w:t xml:space="preserve">The New Matter states that Complainant is free to keep his </w:t>
      </w:r>
      <w:r w:rsidR="003C287B">
        <w:t xml:space="preserve">well and to supplement it with another means of energy, but that he </w:t>
      </w:r>
      <w:r w:rsidR="0073647D">
        <w:t xml:space="preserve">may not do that and continue to receive service from Columbia.  He </w:t>
      </w:r>
      <w:r w:rsidR="003C287B">
        <w:t xml:space="preserve">is not eligible for the Rate RSS </w:t>
      </w:r>
      <w:r w:rsidR="0073647D">
        <w:t xml:space="preserve">under present circumstances, </w:t>
      </w:r>
      <w:r w:rsidR="003C287B">
        <w:t xml:space="preserve">as it is only available "for the total requirements of any residential customer."  In addition, the situation is in violation of the Company's Distribution Integrity Management Program (DIMP), which states that dual feed situations are </w:t>
      </w:r>
      <w:proofErr w:type="gramStart"/>
      <w:r w:rsidR="003C287B">
        <w:t>a safety hazard which are</w:t>
      </w:r>
      <w:proofErr w:type="gramEnd"/>
      <w:r w:rsidR="003C287B">
        <w:t xml:space="preserve"> not permitted.  </w:t>
      </w:r>
    </w:p>
    <w:p w:rsidR="003C287B" w:rsidRDefault="003C287B" w:rsidP="007F15ED">
      <w:pPr>
        <w:jc w:val="left"/>
      </w:pPr>
    </w:p>
    <w:p w:rsidR="008D09F7" w:rsidRDefault="003C287B" w:rsidP="007F15ED">
      <w:pPr>
        <w:jc w:val="left"/>
      </w:pPr>
      <w:r>
        <w:tab/>
      </w:r>
      <w:r>
        <w:tab/>
        <w:t xml:space="preserve">The </w:t>
      </w:r>
      <w:r w:rsidR="008D09F7">
        <w:t xml:space="preserve">POs allege legal insufficiency of a pleading, as </w:t>
      </w:r>
      <w:r>
        <w:t xml:space="preserve">the Complaint does not allege a violation of a statute, regulation, or order of the Commission, and there are no facts in dispute.  </w:t>
      </w:r>
    </w:p>
    <w:p w:rsidR="003C287B" w:rsidRDefault="003C287B" w:rsidP="007F15ED">
      <w:pPr>
        <w:jc w:val="left"/>
      </w:pPr>
    </w:p>
    <w:p w:rsidR="003C287B" w:rsidRDefault="003C287B" w:rsidP="007F15ED">
      <w:pPr>
        <w:jc w:val="left"/>
      </w:pPr>
      <w:r>
        <w:tab/>
      </w:r>
      <w:r>
        <w:tab/>
        <w:t xml:space="preserve">Despite the Complaint having been signed by an attorney, no response to the New Matter or the POs were filed.  </w:t>
      </w:r>
      <w:r w:rsidR="009C5E4D">
        <w:t xml:space="preserve"> The time for filing a responsive pleading has run.  The POs are ripe for disposition.</w:t>
      </w:r>
    </w:p>
    <w:p w:rsidR="009C5E4D" w:rsidRDefault="009C5E4D" w:rsidP="007F15ED">
      <w:pPr>
        <w:jc w:val="left"/>
      </w:pPr>
    </w:p>
    <w:p w:rsidR="00D13C35" w:rsidRDefault="00D13C35" w:rsidP="00D13C35">
      <w:pPr>
        <w:rPr>
          <w:u w:val="single"/>
        </w:rPr>
      </w:pPr>
      <w:r>
        <w:rPr>
          <w:u w:val="single"/>
        </w:rPr>
        <w:t>DISCUSSION</w:t>
      </w:r>
    </w:p>
    <w:p w:rsidR="009C5E4D" w:rsidRDefault="009C5E4D" w:rsidP="00D13C35"/>
    <w:p w:rsidR="009C5E4D" w:rsidRPr="008C5A1F" w:rsidRDefault="009C5E4D" w:rsidP="009C5E4D">
      <w:pPr>
        <w:jc w:val="left"/>
      </w:pPr>
      <w:r>
        <w:tab/>
      </w:r>
      <w:r>
        <w:tab/>
      </w:r>
      <w:r w:rsidRPr="008C5A1F">
        <w:t xml:space="preserve">Commission preliminary objection practice is similar to Pennsylvania civil practice.  </w:t>
      </w:r>
      <w:r w:rsidRPr="008C5A1F">
        <w:rPr>
          <w:i/>
        </w:rPr>
        <w:t xml:space="preserve">Equitable Small Transportation Interveners v. Equitable Gas Company, </w:t>
      </w:r>
      <w:r w:rsidRPr="008C5A1F">
        <w:t xml:space="preserve">1994 Pa. PUC LEXIS 69, PUC Docket No. </w:t>
      </w:r>
      <w:proofErr w:type="gramStart"/>
      <w:r w:rsidRPr="008C5A1F">
        <w:t>C-000935435 (July 18, 1994).</w:t>
      </w:r>
      <w:proofErr w:type="gramEnd"/>
      <w:r w:rsidR="00782860">
        <w:t xml:space="preserve">  The Commission regulation reads:</w:t>
      </w:r>
    </w:p>
    <w:p w:rsidR="009C5E4D" w:rsidRPr="008C5A1F" w:rsidRDefault="009C5E4D" w:rsidP="009C5E4D">
      <w:pPr>
        <w:jc w:val="left"/>
      </w:pPr>
      <w:r w:rsidRPr="008C5A1F">
        <w:tab/>
      </w:r>
      <w:r w:rsidRPr="008C5A1F">
        <w:tab/>
      </w:r>
    </w:p>
    <w:p w:rsidR="009C5E4D" w:rsidRPr="008C5A1F" w:rsidRDefault="009C5E4D" w:rsidP="009C5E4D">
      <w:pPr>
        <w:spacing w:line="240" w:lineRule="auto"/>
        <w:ind w:left="1440" w:right="1440"/>
        <w:contextualSpacing/>
        <w:jc w:val="left"/>
        <w:rPr>
          <w:b/>
        </w:rPr>
      </w:pPr>
      <w:r w:rsidRPr="008C5A1F">
        <w:rPr>
          <w:b/>
        </w:rPr>
        <w:t>§ 5.10</w:t>
      </w:r>
      <w:r>
        <w:rPr>
          <w:b/>
        </w:rPr>
        <w:t xml:space="preserve">1. </w:t>
      </w:r>
      <w:proofErr w:type="gramStart"/>
      <w:r w:rsidRPr="008C5A1F">
        <w:rPr>
          <w:b/>
        </w:rPr>
        <w:t>Preliminary objections.</w:t>
      </w:r>
      <w:proofErr w:type="gramEnd"/>
    </w:p>
    <w:p w:rsidR="009C5E4D" w:rsidRPr="008C5A1F" w:rsidRDefault="009C5E4D" w:rsidP="009C5E4D">
      <w:pPr>
        <w:spacing w:line="240" w:lineRule="auto"/>
        <w:ind w:left="1440" w:right="1440"/>
        <w:contextualSpacing/>
        <w:jc w:val="left"/>
        <w:rPr>
          <w:b/>
        </w:rPr>
      </w:pPr>
    </w:p>
    <w:p w:rsidR="009C5E4D" w:rsidRPr="008C5A1F" w:rsidRDefault="009C5E4D" w:rsidP="009C5E4D">
      <w:pPr>
        <w:tabs>
          <w:tab w:val="left" w:pos="2160"/>
        </w:tabs>
        <w:spacing w:line="240" w:lineRule="auto"/>
        <w:ind w:left="2160" w:right="1440" w:hanging="720"/>
        <w:contextualSpacing/>
        <w:jc w:val="left"/>
      </w:pPr>
      <w:r w:rsidRPr="008C5A1F">
        <w:t>(a)</w:t>
      </w:r>
      <w:r w:rsidRPr="008C5A1F">
        <w:tab/>
      </w:r>
      <w:r w:rsidRPr="008C5A1F">
        <w:rPr>
          <w:i/>
        </w:rPr>
        <w:t>Grounds.</w:t>
      </w:r>
      <w:r w:rsidRPr="008C5A1F">
        <w:t xml:space="preserve"> </w:t>
      </w:r>
      <w:r>
        <w:t xml:space="preserve"> </w:t>
      </w:r>
      <w:r w:rsidRPr="008C5A1F">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C5E4D" w:rsidRPr="008C5A1F" w:rsidRDefault="009C5E4D" w:rsidP="009C5E4D">
      <w:pPr>
        <w:spacing w:line="240" w:lineRule="auto"/>
        <w:ind w:left="1440" w:right="1440"/>
        <w:contextualSpacing/>
        <w:jc w:val="left"/>
        <w:rPr>
          <w:i/>
        </w:rPr>
      </w:pPr>
    </w:p>
    <w:p w:rsidR="009C5E4D" w:rsidRPr="008C5A1F" w:rsidRDefault="009C5E4D" w:rsidP="009C5E4D">
      <w:pPr>
        <w:numPr>
          <w:ilvl w:val="0"/>
          <w:numId w:val="1"/>
        </w:numPr>
        <w:spacing w:line="240" w:lineRule="auto"/>
        <w:ind w:left="2880" w:right="1440" w:hanging="720"/>
        <w:contextualSpacing/>
        <w:jc w:val="left"/>
      </w:pPr>
      <w:r w:rsidRPr="008C5A1F">
        <w:t>Lack of Commission jurisdiction or improper service of the pleading initiating the proceeding.</w:t>
      </w:r>
    </w:p>
    <w:p w:rsidR="009C5E4D" w:rsidRPr="008C5A1F" w:rsidRDefault="009C5E4D" w:rsidP="009C5E4D">
      <w:pPr>
        <w:spacing w:line="240" w:lineRule="auto"/>
        <w:ind w:left="1440" w:right="1440"/>
        <w:contextualSpacing/>
        <w:jc w:val="left"/>
      </w:pPr>
    </w:p>
    <w:p w:rsidR="009C5E4D" w:rsidRPr="008C5A1F" w:rsidRDefault="009C5E4D" w:rsidP="009C5E4D">
      <w:pPr>
        <w:numPr>
          <w:ilvl w:val="0"/>
          <w:numId w:val="1"/>
        </w:numPr>
        <w:spacing w:line="240" w:lineRule="auto"/>
        <w:ind w:left="2880" w:right="1440" w:hanging="720"/>
        <w:contextualSpacing/>
        <w:jc w:val="left"/>
      </w:pPr>
      <w:r w:rsidRPr="008C5A1F">
        <w:t>Failure of a pleading to conform to this chapter or the inclusion of scandalous or impertinent matter.</w:t>
      </w:r>
    </w:p>
    <w:p w:rsidR="009C5E4D" w:rsidRPr="008C5A1F" w:rsidRDefault="009C5E4D" w:rsidP="009C5E4D">
      <w:pPr>
        <w:spacing w:line="240" w:lineRule="auto"/>
        <w:ind w:left="1440" w:right="1440"/>
        <w:contextualSpacing/>
        <w:jc w:val="left"/>
      </w:pPr>
    </w:p>
    <w:p w:rsidR="009C5E4D" w:rsidRPr="008C5A1F" w:rsidRDefault="009C5E4D" w:rsidP="009C5E4D">
      <w:pPr>
        <w:numPr>
          <w:ilvl w:val="0"/>
          <w:numId w:val="1"/>
        </w:numPr>
        <w:spacing w:line="240" w:lineRule="auto"/>
        <w:ind w:left="2880" w:right="1440" w:hanging="720"/>
        <w:contextualSpacing/>
        <w:jc w:val="left"/>
      </w:pPr>
      <w:r w:rsidRPr="008C5A1F">
        <w:t>Insufficient specificity of a pleading.</w:t>
      </w:r>
    </w:p>
    <w:p w:rsidR="009C5E4D" w:rsidRPr="008C5A1F" w:rsidRDefault="009C5E4D" w:rsidP="009C5E4D">
      <w:pPr>
        <w:spacing w:line="240" w:lineRule="auto"/>
        <w:ind w:left="1440" w:right="1440"/>
        <w:contextualSpacing/>
        <w:jc w:val="left"/>
      </w:pPr>
    </w:p>
    <w:p w:rsidR="009C5E4D" w:rsidRPr="008C5A1F" w:rsidRDefault="009C5E4D" w:rsidP="009C5E4D">
      <w:pPr>
        <w:numPr>
          <w:ilvl w:val="0"/>
          <w:numId w:val="1"/>
        </w:numPr>
        <w:spacing w:line="240" w:lineRule="auto"/>
        <w:ind w:left="2880" w:right="1440" w:hanging="720"/>
        <w:contextualSpacing/>
        <w:jc w:val="left"/>
      </w:pPr>
      <w:r w:rsidRPr="008C5A1F">
        <w:t>Legal insufficiency of a pleading.</w:t>
      </w:r>
    </w:p>
    <w:p w:rsidR="009C5E4D" w:rsidRPr="008C5A1F" w:rsidRDefault="009C5E4D" w:rsidP="009C5E4D">
      <w:pPr>
        <w:spacing w:line="240" w:lineRule="auto"/>
        <w:ind w:left="1440" w:right="1440"/>
        <w:contextualSpacing/>
        <w:jc w:val="left"/>
      </w:pPr>
    </w:p>
    <w:p w:rsidR="009C5E4D" w:rsidRPr="008C5A1F" w:rsidRDefault="009C5E4D" w:rsidP="009C5E4D">
      <w:pPr>
        <w:numPr>
          <w:ilvl w:val="0"/>
          <w:numId w:val="1"/>
        </w:numPr>
        <w:spacing w:line="240" w:lineRule="auto"/>
        <w:ind w:left="2880" w:right="1440" w:hanging="720"/>
        <w:contextualSpacing/>
        <w:jc w:val="left"/>
      </w:pPr>
      <w:r w:rsidRPr="008C5A1F">
        <w:t>Lack of capacity to sue, nonjoinder of a necessary party or misjoinder of a cause of action.</w:t>
      </w:r>
    </w:p>
    <w:p w:rsidR="009C5E4D" w:rsidRPr="008C5A1F" w:rsidRDefault="009C5E4D" w:rsidP="009C5E4D">
      <w:pPr>
        <w:spacing w:line="240" w:lineRule="auto"/>
        <w:ind w:left="1440" w:right="1440"/>
        <w:contextualSpacing/>
        <w:jc w:val="left"/>
      </w:pPr>
    </w:p>
    <w:p w:rsidR="009C5E4D" w:rsidRPr="008C5A1F" w:rsidRDefault="009C5E4D" w:rsidP="009C5E4D">
      <w:pPr>
        <w:numPr>
          <w:ilvl w:val="0"/>
          <w:numId w:val="1"/>
        </w:numPr>
        <w:spacing w:line="240" w:lineRule="auto"/>
        <w:ind w:left="2880" w:right="1440" w:hanging="720"/>
        <w:contextualSpacing/>
        <w:jc w:val="left"/>
      </w:pPr>
      <w:r w:rsidRPr="008C5A1F">
        <w:t>Pendency of a prior proceeding or agreement for alternative dispute resolution.</w:t>
      </w:r>
    </w:p>
    <w:p w:rsidR="009C5E4D" w:rsidRPr="008C5A1F" w:rsidRDefault="009C5E4D" w:rsidP="009C5E4D">
      <w:pPr>
        <w:spacing w:line="240" w:lineRule="auto"/>
        <w:ind w:right="1440"/>
        <w:contextualSpacing/>
        <w:jc w:val="left"/>
      </w:pPr>
    </w:p>
    <w:p w:rsidR="009C5E4D" w:rsidRPr="008C5A1F" w:rsidRDefault="009C5E4D" w:rsidP="009C5E4D">
      <w:pPr>
        <w:spacing w:line="240" w:lineRule="auto"/>
        <w:ind w:left="1440" w:right="1440"/>
        <w:contextualSpacing/>
      </w:pPr>
      <w:r w:rsidRPr="008C5A1F">
        <w:t>* * *</w:t>
      </w:r>
    </w:p>
    <w:p w:rsidR="009C5E4D" w:rsidRPr="008C5A1F" w:rsidRDefault="009C5E4D" w:rsidP="009C5E4D">
      <w:pPr>
        <w:spacing w:line="240" w:lineRule="auto"/>
        <w:ind w:left="1440" w:right="1440"/>
        <w:contextualSpacing/>
      </w:pPr>
    </w:p>
    <w:p w:rsidR="009C5E4D" w:rsidRPr="008C5A1F" w:rsidRDefault="009C5E4D" w:rsidP="009C5E4D">
      <w:pPr>
        <w:spacing w:line="240" w:lineRule="auto"/>
        <w:ind w:left="1440" w:right="1440"/>
        <w:contextualSpacing/>
        <w:jc w:val="left"/>
      </w:pPr>
      <w:proofErr w:type="gramStart"/>
      <w:r w:rsidRPr="008C5A1F">
        <w:t>52 Pa. Code § 5.101(a).</w:t>
      </w:r>
      <w:proofErr w:type="gramEnd"/>
    </w:p>
    <w:p w:rsidR="009C5E4D" w:rsidRPr="008C5A1F" w:rsidRDefault="009C5E4D" w:rsidP="009C5E4D">
      <w:pPr>
        <w:ind w:right="1440"/>
        <w:jc w:val="left"/>
      </w:pPr>
    </w:p>
    <w:p w:rsidR="009C5E4D" w:rsidRPr="008C5A1F" w:rsidRDefault="009C5E4D" w:rsidP="009C5E4D">
      <w:pPr>
        <w:jc w:val="left"/>
      </w:pPr>
      <w:r w:rsidRPr="008C5A1F">
        <w:lastRenderedPageBreak/>
        <w:tab/>
      </w:r>
      <w:r w:rsidRPr="008C5A1F">
        <w:tab/>
        <w:t xml:space="preserve">In deciding preliminary objections, the Commission must determine whether, based on well-pleaded factual averments of the Petitioners, recovery or relief is possible.  </w:t>
      </w:r>
      <w:proofErr w:type="gramStart"/>
      <w:r w:rsidRPr="008C5A1F">
        <w:rPr>
          <w:i/>
        </w:rPr>
        <w:t>Dept. of Auditor General, et al v. SERS, et al.</w:t>
      </w:r>
      <w:r w:rsidRPr="008C5A1F">
        <w:t>, 836 A.2d 1053, 1064 (Pa.Cmwlth. 2003), 2003 Pa. Commw.</w:t>
      </w:r>
      <w:proofErr w:type="gramEnd"/>
      <w:r w:rsidRPr="008C5A1F">
        <w:t xml:space="preserve"> </w:t>
      </w:r>
      <w:proofErr w:type="gramStart"/>
      <w:r w:rsidRPr="008C5A1F">
        <w:t xml:space="preserve">LEXIS 849; </w:t>
      </w:r>
      <w:r w:rsidRPr="008C5A1F">
        <w:rPr>
          <w:i/>
        </w:rPr>
        <w:t>P.J.S. v. Pa. State Ethics Comm’n,</w:t>
      </w:r>
      <w:r w:rsidRPr="008C5A1F">
        <w:t xml:space="preserve"> 669 A.2d 1105 (Pa.Cmwlth. 1996), 1996 Pa. Commw.</w:t>
      </w:r>
      <w:proofErr w:type="gramEnd"/>
      <w:r w:rsidRPr="008C5A1F">
        <w:t xml:space="preserve"> </w:t>
      </w:r>
      <w:proofErr w:type="gramStart"/>
      <w:r w:rsidRPr="008C5A1F">
        <w:t>LEXIS 11.</w:t>
      </w:r>
      <w:proofErr w:type="gramEnd"/>
      <w:r w:rsidRPr="008C5A1F">
        <w:t xml:space="preserve">  Any doubt must be resolved in favor of the non-moving party by refusing to sustain the preliminary objections.  </w:t>
      </w:r>
      <w:proofErr w:type="gramStart"/>
      <w:r w:rsidRPr="008C5A1F">
        <w:rPr>
          <w:i/>
        </w:rPr>
        <w:t xml:space="preserve">Boyd v. Ward, </w:t>
      </w:r>
      <w:r w:rsidRPr="008C5A1F">
        <w:t>802 A.2d 705 (Pa.Cmwlth. 2002), 2002 Pa. Commw.</w:t>
      </w:r>
      <w:proofErr w:type="gramEnd"/>
      <w:r w:rsidRPr="008C5A1F">
        <w:t xml:space="preserve"> </w:t>
      </w:r>
      <w:proofErr w:type="gramStart"/>
      <w:r w:rsidRPr="008C5A1F">
        <w:t>LEXIS 580.</w:t>
      </w:r>
      <w:proofErr w:type="gramEnd"/>
      <w:r w:rsidRPr="008C5A1F">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8C5A1F">
        <w:rPr>
          <w:i/>
        </w:rPr>
        <w:t>Ridge v. State Employees’ Retirement Board</w:t>
      </w:r>
      <w:r w:rsidRPr="008C5A1F">
        <w:t>, 690 A.2d 1312 (Pa.Cmwlth. 1997) 1997 Pa. Commw.</w:t>
      </w:r>
      <w:proofErr w:type="gramEnd"/>
      <w:r w:rsidRPr="008C5A1F">
        <w:t xml:space="preserve"> </w:t>
      </w:r>
      <w:proofErr w:type="gramStart"/>
      <w:r w:rsidRPr="008C5A1F">
        <w:t>LEXIS 148.</w:t>
      </w:r>
      <w:proofErr w:type="gramEnd"/>
    </w:p>
    <w:p w:rsidR="009C5E4D" w:rsidRPr="008C5A1F" w:rsidRDefault="009C5E4D" w:rsidP="009C5E4D">
      <w:pPr>
        <w:contextualSpacing/>
        <w:jc w:val="left"/>
      </w:pPr>
    </w:p>
    <w:p w:rsidR="009C5E4D" w:rsidRDefault="009C5E4D" w:rsidP="009C5E4D">
      <w:pPr>
        <w:contextualSpacing/>
        <w:jc w:val="left"/>
      </w:pPr>
      <w:r w:rsidRPr="008C5A1F">
        <w:tab/>
      </w:r>
      <w:r w:rsidRPr="008C5A1F">
        <w:tab/>
        <w:t xml:space="preserve">Therefore, it is only the facts in the Complaint </w:t>
      </w:r>
      <w:r w:rsidR="004E2162">
        <w:t xml:space="preserve">and its attachments </w:t>
      </w:r>
      <w:r w:rsidRPr="008C5A1F">
        <w:t>which can be presumed to be true in order to determine whether recovery is possible.</w:t>
      </w:r>
    </w:p>
    <w:p w:rsidR="004E2162" w:rsidRDefault="004E2162" w:rsidP="009C5E4D">
      <w:pPr>
        <w:contextualSpacing/>
        <w:jc w:val="left"/>
      </w:pPr>
    </w:p>
    <w:p w:rsidR="00D13C35" w:rsidRDefault="004E2162" w:rsidP="00D13C35">
      <w:pPr>
        <w:jc w:val="left"/>
      </w:pPr>
      <w:r>
        <w:tab/>
      </w:r>
      <w:r>
        <w:tab/>
      </w:r>
      <w:r w:rsidR="007A35C1">
        <w:t xml:space="preserve">There are no </w:t>
      </w:r>
      <w:r w:rsidR="009119E0">
        <w:t xml:space="preserve">background </w:t>
      </w:r>
      <w:r w:rsidR="007A35C1">
        <w:t xml:space="preserve">facts in dispute.  Both sides agree that Complaint receives residential service from Columbia which serves as a supplement to the gas that he receives for free from a well located on his own property.  </w:t>
      </w:r>
    </w:p>
    <w:p w:rsidR="00D13C35" w:rsidRDefault="00D13C35" w:rsidP="00D13C35">
      <w:pPr>
        <w:jc w:val="left"/>
      </w:pPr>
    </w:p>
    <w:p w:rsidR="00D13C35" w:rsidRDefault="00D13C35" w:rsidP="00D13C35">
      <w:pPr>
        <w:jc w:val="left"/>
      </w:pPr>
      <w:r>
        <w:tab/>
      </w:r>
      <w:r>
        <w:tab/>
        <w:t xml:space="preserve">On August 29, 2013, counsel to NiSource sent Complainant a letter that indicated that the "dual feed service" is a non-standard gas installation that presents safety and operational concerns which are inconsistent with the Company's rules for furnishing gas service, as approved by the Commission.  </w:t>
      </w:r>
      <w:proofErr w:type="spellStart"/>
      <w:r>
        <w:t>Cplt</w:t>
      </w:r>
      <w:proofErr w:type="spellEnd"/>
      <w:r>
        <w:t>. Exhibit A.</w:t>
      </w:r>
    </w:p>
    <w:p w:rsidR="00D13C35" w:rsidRDefault="00D13C35" w:rsidP="00D13C35">
      <w:pPr>
        <w:jc w:val="left"/>
      </w:pPr>
    </w:p>
    <w:p w:rsidR="00D13C35" w:rsidRDefault="00D13C35" w:rsidP="00D13C35">
      <w:pPr>
        <w:jc w:val="left"/>
      </w:pPr>
      <w:r>
        <w:tab/>
      </w:r>
      <w:r>
        <w:tab/>
        <w:t xml:space="preserve">The August 29, 2013, letter informs Complainant that he must choose to either keep service from his own well or service from the Company, and asks Complainant to indicate his choice by return mail.  </w:t>
      </w:r>
      <w:proofErr w:type="spellStart"/>
      <w:r>
        <w:t>Cplt</w:t>
      </w:r>
      <w:proofErr w:type="spellEnd"/>
      <w:r>
        <w:t>. Exhibit A.</w:t>
      </w:r>
    </w:p>
    <w:p w:rsidR="00D13C35" w:rsidRDefault="00D13C35" w:rsidP="00D13C35">
      <w:pPr>
        <w:jc w:val="left"/>
      </w:pPr>
    </w:p>
    <w:p w:rsidR="007A35C1" w:rsidRDefault="00D13C35" w:rsidP="009C5E4D">
      <w:pPr>
        <w:contextualSpacing/>
        <w:jc w:val="left"/>
      </w:pPr>
      <w:r>
        <w:tab/>
      </w:r>
      <w:r>
        <w:tab/>
      </w:r>
      <w:r w:rsidR="007A35C1">
        <w:t xml:space="preserve">The analysis turns to whether Complainant can prevail upon those undisputed facts.  </w:t>
      </w:r>
    </w:p>
    <w:p w:rsidR="007A35C1" w:rsidRDefault="007A35C1" w:rsidP="009C5E4D">
      <w:pPr>
        <w:contextualSpacing/>
        <w:jc w:val="left"/>
      </w:pPr>
    </w:p>
    <w:p w:rsidR="009C5E4D" w:rsidRDefault="007A35C1" w:rsidP="009C5E4D">
      <w:pPr>
        <w:contextualSpacing/>
        <w:jc w:val="left"/>
      </w:pPr>
      <w:r>
        <w:lastRenderedPageBreak/>
        <w:tab/>
      </w:r>
      <w:r>
        <w:tab/>
        <w:t xml:space="preserve">Columbia </w:t>
      </w:r>
      <w:r w:rsidR="002C51F9">
        <w:t xml:space="preserve">points to its tariff for support for its position.  The Columbia </w:t>
      </w:r>
      <w:r w:rsidR="00362EFE">
        <w:t>T</w:t>
      </w:r>
      <w:r w:rsidR="002C51F9">
        <w:t xml:space="preserve">ariff Rate RSS is available for the "total requirements of any residential customer," </w:t>
      </w:r>
      <w:r w:rsidR="002C51F9">
        <w:rPr>
          <w:i/>
        </w:rPr>
        <w:t>see</w:t>
      </w:r>
      <w:r w:rsidR="002C51F9">
        <w:t xml:space="preserve"> Supp. No. 200 to Tariff Gas – Pa. P.U.C. No. 9 Forty-Third Revised page No. 76, attached to Complaint.   </w:t>
      </w:r>
    </w:p>
    <w:p w:rsidR="00A44371" w:rsidRDefault="00A44371" w:rsidP="009C5E4D">
      <w:pPr>
        <w:jc w:val="left"/>
      </w:pPr>
    </w:p>
    <w:p w:rsidR="00362EFE" w:rsidRDefault="00362EFE" w:rsidP="00A44371">
      <w:pPr>
        <w:contextualSpacing/>
        <w:jc w:val="left"/>
      </w:pPr>
      <w:r>
        <w:tab/>
      </w:r>
      <w:r>
        <w:tab/>
      </w:r>
      <w:r w:rsidR="00A44371" w:rsidRPr="008C5A1F">
        <w:t xml:space="preserve">A public utility is required to adhere to its duly filed and Commission-approved tariff.  Such tariff has the force and effect of law in Pennsylvania, and is legally binding upon the utility, its customers and the public.  </w:t>
      </w:r>
      <w:proofErr w:type="gramStart"/>
      <w:r w:rsidR="00A44371" w:rsidRPr="008C5A1F">
        <w:t xml:space="preserve">66 Pa. C.S. § 1303; </w:t>
      </w:r>
      <w:proofErr w:type="spellStart"/>
      <w:r w:rsidR="00A44371" w:rsidRPr="008C5A1F">
        <w:rPr>
          <w:i/>
        </w:rPr>
        <w:t>DiSanto</w:t>
      </w:r>
      <w:proofErr w:type="spellEnd"/>
      <w:r w:rsidR="00A44371" w:rsidRPr="008C5A1F">
        <w:rPr>
          <w:i/>
        </w:rPr>
        <w:t xml:space="preserve"> v. Dauphin County Water Supply Company,</w:t>
      </w:r>
      <w:r w:rsidR="00A44371" w:rsidRPr="008C5A1F">
        <w:t xml:space="preserve"> 436 A.2d 197 (Pa. Super. 1981); </w:t>
      </w:r>
      <w:r w:rsidR="00A44371" w:rsidRPr="008C5A1F">
        <w:rPr>
          <w:i/>
        </w:rPr>
        <w:t xml:space="preserve">Brockway Glass Co. v. Pennsylvania Public Utility Commission, </w:t>
      </w:r>
      <w:r w:rsidR="00A44371" w:rsidRPr="008C5A1F">
        <w:t>437 A.2d 1067 (Pa. Cmwlth. 1981).</w:t>
      </w:r>
      <w:proofErr w:type="gramEnd"/>
      <w:r w:rsidR="00A44371" w:rsidRPr="008C5A1F">
        <w:t xml:space="preserve">  </w:t>
      </w:r>
    </w:p>
    <w:p w:rsidR="00362EFE" w:rsidRDefault="00362EFE" w:rsidP="00A44371">
      <w:pPr>
        <w:contextualSpacing/>
        <w:jc w:val="left"/>
      </w:pPr>
    </w:p>
    <w:p w:rsidR="00362EFE" w:rsidRDefault="00362EFE" w:rsidP="00A44371">
      <w:pPr>
        <w:contextualSpacing/>
        <w:jc w:val="left"/>
      </w:pPr>
      <w:r>
        <w:tab/>
      </w:r>
      <w:r>
        <w:tab/>
      </w:r>
      <w:r w:rsidR="00782860">
        <w:t xml:space="preserve">The </w:t>
      </w:r>
      <w:r w:rsidR="00B62D4E">
        <w:t xml:space="preserve">standards established by </w:t>
      </w:r>
      <w:r w:rsidR="00782860">
        <w:t xml:space="preserve">the Columbia </w:t>
      </w:r>
      <w:r w:rsidR="00B62D4E">
        <w:t xml:space="preserve">tariff </w:t>
      </w:r>
      <w:r w:rsidR="009119E0">
        <w:t>support</w:t>
      </w:r>
      <w:r w:rsidR="00D13C35">
        <w:t xml:space="preserve"> the actions of the Company and </w:t>
      </w:r>
      <w:r w:rsidR="00B62D4E">
        <w:t>do not permit the Commission to grant the requested remedy to the Complainant</w:t>
      </w:r>
      <w:r w:rsidR="00D13C35">
        <w:t xml:space="preserve"> without a finding that the tariff is unreasonable or discriminatory</w:t>
      </w:r>
      <w:r w:rsidR="00B62D4E">
        <w:t>.</w:t>
      </w:r>
      <w:r w:rsidR="00D13C35">
        <w:t xml:space="preserve">  </w:t>
      </w:r>
      <w:r w:rsidR="009119E0">
        <w:t xml:space="preserve">However, a </w:t>
      </w:r>
      <w:r w:rsidR="00B62D4E">
        <w:t xml:space="preserve">tariff is subject to challenge and can be proven to be unjust or unreasonable or discriminatory by the challenger.  See </w:t>
      </w:r>
      <w:proofErr w:type="gramStart"/>
      <w:r w:rsidR="00B62D4E">
        <w:t>66 Pa.C.S</w:t>
      </w:r>
      <w:proofErr w:type="gramEnd"/>
      <w:r w:rsidR="00B62D4E">
        <w:t xml:space="preserve">. </w:t>
      </w:r>
      <w:proofErr w:type="gramStart"/>
      <w:r w:rsidR="00B62D4E">
        <w:t>§§ 1301; 1304</w:t>
      </w:r>
      <w:r w:rsidR="007B611E">
        <w:t>; 1501.</w:t>
      </w:r>
      <w:proofErr w:type="gramEnd"/>
      <w:r w:rsidR="007B611E">
        <w:t xml:space="preserve">  </w:t>
      </w:r>
      <w:r w:rsidR="009119E0">
        <w:t xml:space="preserve">Complainant may challenge the tariff and is cautioned that the burden of proof that he bears is a heavy one.  </w:t>
      </w:r>
      <w:r w:rsidR="007B611E">
        <w:t>The burden of proving that an established tariff ruling is to be born</w:t>
      </w:r>
      <w:r w:rsidR="009119E0">
        <w:t>e</w:t>
      </w:r>
      <w:r w:rsidR="007B611E">
        <w:t xml:space="preserve"> by the challenger, as there is a presumption of reasonableness in an approved tariff.  </w:t>
      </w:r>
    </w:p>
    <w:p w:rsidR="009119E0" w:rsidRDefault="009119E0" w:rsidP="00A44371">
      <w:pPr>
        <w:contextualSpacing/>
        <w:jc w:val="left"/>
      </w:pPr>
    </w:p>
    <w:p w:rsidR="009119E0" w:rsidRDefault="009119E0" w:rsidP="00A44371">
      <w:pPr>
        <w:contextualSpacing/>
        <w:jc w:val="left"/>
      </w:pPr>
      <w:r>
        <w:tab/>
      </w:r>
      <w:r>
        <w:tab/>
        <w:t>The POs are denied, and the matter will be set for hearing.</w:t>
      </w:r>
    </w:p>
    <w:p w:rsidR="009119E0" w:rsidRDefault="009119E0" w:rsidP="00A44371">
      <w:pPr>
        <w:contextualSpacing/>
        <w:jc w:val="left"/>
      </w:pPr>
    </w:p>
    <w:p w:rsidR="009119E0" w:rsidRDefault="009119E0" w:rsidP="009119E0">
      <w:pPr>
        <w:contextualSpacing/>
        <w:rPr>
          <w:b/>
          <w:u w:val="single"/>
        </w:rPr>
      </w:pPr>
      <w:r>
        <w:rPr>
          <w:b/>
          <w:u w:val="single"/>
        </w:rPr>
        <w:t>ORDER</w:t>
      </w:r>
    </w:p>
    <w:p w:rsidR="009119E0" w:rsidRDefault="009119E0" w:rsidP="009119E0">
      <w:pPr>
        <w:contextualSpacing/>
        <w:rPr>
          <w:b/>
          <w:u w:val="single"/>
        </w:rPr>
      </w:pPr>
    </w:p>
    <w:p w:rsidR="009119E0" w:rsidRDefault="009119E0" w:rsidP="009119E0">
      <w:pPr>
        <w:contextualSpacing/>
        <w:jc w:val="left"/>
      </w:pPr>
      <w:r>
        <w:tab/>
      </w:r>
      <w:r>
        <w:tab/>
        <w:t>THEREFORE,</w:t>
      </w:r>
    </w:p>
    <w:p w:rsidR="009119E0" w:rsidRDefault="009119E0" w:rsidP="009119E0">
      <w:pPr>
        <w:contextualSpacing/>
        <w:jc w:val="left"/>
      </w:pPr>
    </w:p>
    <w:p w:rsidR="009119E0" w:rsidRDefault="009119E0" w:rsidP="009119E0">
      <w:pPr>
        <w:contextualSpacing/>
        <w:jc w:val="left"/>
      </w:pPr>
      <w:r>
        <w:tab/>
      </w:r>
      <w:r>
        <w:tab/>
        <w:t>IT IS ORDERED:</w:t>
      </w:r>
    </w:p>
    <w:p w:rsidR="009119E0" w:rsidRDefault="009119E0" w:rsidP="009119E0">
      <w:pPr>
        <w:contextualSpacing/>
        <w:jc w:val="left"/>
      </w:pPr>
    </w:p>
    <w:p w:rsidR="009119E0" w:rsidRDefault="009119E0" w:rsidP="009119E0">
      <w:pPr>
        <w:contextualSpacing/>
        <w:jc w:val="left"/>
      </w:pPr>
      <w:r>
        <w:tab/>
      </w:r>
      <w:r>
        <w:tab/>
        <w:t>1.</w:t>
      </w:r>
      <w:r>
        <w:tab/>
        <w:t xml:space="preserve">That the Preliminary Objections filed by Columbia Gas of Pennsylvania, Inc., against Mike </w:t>
      </w:r>
      <w:proofErr w:type="spellStart"/>
      <w:r>
        <w:t>Kusturiss</w:t>
      </w:r>
      <w:proofErr w:type="spellEnd"/>
      <w:r>
        <w:t>, Jr., at docket no. C-2013-2385910, are denied.</w:t>
      </w:r>
    </w:p>
    <w:p w:rsidR="00782860" w:rsidRDefault="00782860">
      <w:r>
        <w:br w:type="page"/>
      </w:r>
    </w:p>
    <w:p w:rsidR="009119E0" w:rsidRDefault="009119E0" w:rsidP="009119E0">
      <w:pPr>
        <w:contextualSpacing/>
        <w:jc w:val="left"/>
      </w:pPr>
    </w:p>
    <w:p w:rsidR="009119E0" w:rsidRDefault="009119E0" w:rsidP="009119E0">
      <w:pPr>
        <w:contextualSpacing/>
        <w:jc w:val="left"/>
      </w:pPr>
      <w:r>
        <w:tab/>
      </w:r>
      <w:r>
        <w:tab/>
        <w:t>2.</w:t>
      </w:r>
      <w:r>
        <w:tab/>
        <w:t xml:space="preserve">That the </w:t>
      </w:r>
      <w:r w:rsidR="00782860">
        <w:t xml:space="preserve">case captioned </w:t>
      </w:r>
      <w:r w:rsidR="00782860">
        <w:rPr>
          <w:i/>
        </w:rPr>
        <w:t xml:space="preserve">Mike </w:t>
      </w:r>
      <w:proofErr w:type="spellStart"/>
      <w:r w:rsidR="00782860">
        <w:rPr>
          <w:i/>
        </w:rPr>
        <w:t>Kusturiss</w:t>
      </w:r>
      <w:proofErr w:type="spellEnd"/>
      <w:r w:rsidR="00782860">
        <w:rPr>
          <w:i/>
        </w:rPr>
        <w:t xml:space="preserve">, Jr. v. Columbia Gas of Pennsylvania, Inc., </w:t>
      </w:r>
      <w:r w:rsidR="00782860">
        <w:t xml:space="preserve">at docket no. C-2013-2385910 </w:t>
      </w:r>
      <w:proofErr w:type="gramStart"/>
      <w:r>
        <w:t>be</w:t>
      </w:r>
      <w:proofErr w:type="gramEnd"/>
      <w:r>
        <w:t xml:space="preserve"> set for hearing.</w:t>
      </w:r>
    </w:p>
    <w:p w:rsidR="009119E0" w:rsidRDefault="009119E0" w:rsidP="009119E0">
      <w:pPr>
        <w:contextualSpacing/>
        <w:jc w:val="left"/>
      </w:pPr>
    </w:p>
    <w:p w:rsidR="009119E0" w:rsidRDefault="009119E0" w:rsidP="009119E0">
      <w:pPr>
        <w:contextualSpacing/>
        <w:jc w:val="left"/>
      </w:pPr>
    </w:p>
    <w:p w:rsidR="009119E0" w:rsidRDefault="009119E0" w:rsidP="0073647D">
      <w:pPr>
        <w:spacing w:line="240" w:lineRule="auto"/>
        <w:contextualSpacing/>
        <w:jc w:val="left"/>
      </w:pPr>
      <w:r>
        <w:t>Dated:</w:t>
      </w:r>
      <w:r>
        <w:tab/>
      </w:r>
      <w:r w:rsidR="0073647D">
        <w:rPr>
          <w:u w:val="single"/>
        </w:rPr>
        <w:t>November 5, 2013</w:t>
      </w:r>
      <w:r w:rsidR="0073647D">
        <w:tab/>
      </w:r>
      <w:r w:rsidR="0073647D">
        <w:tab/>
      </w:r>
      <w:r w:rsidR="0073647D">
        <w:tab/>
      </w:r>
      <w:r w:rsidR="0073647D">
        <w:tab/>
      </w:r>
      <w:r w:rsidR="0073647D">
        <w:tab/>
        <w:t>______________________________</w:t>
      </w:r>
    </w:p>
    <w:p w:rsidR="0073647D" w:rsidRDefault="0073647D" w:rsidP="0073647D">
      <w:pPr>
        <w:spacing w:line="240" w:lineRule="auto"/>
        <w:contextualSpacing/>
        <w:jc w:val="left"/>
      </w:pPr>
      <w:r>
        <w:tab/>
      </w:r>
      <w:r>
        <w:tab/>
      </w:r>
      <w:r>
        <w:tab/>
      </w:r>
      <w:r>
        <w:tab/>
      </w:r>
      <w:r>
        <w:tab/>
      </w:r>
      <w:r>
        <w:tab/>
      </w:r>
      <w:r>
        <w:tab/>
      </w:r>
      <w:r>
        <w:tab/>
        <w:t>Susan D. Colwell</w:t>
      </w:r>
    </w:p>
    <w:p w:rsidR="0073647D" w:rsidRPr="0073647D" w:rsidRDefault="0073647D" w:rsidP="0073647D">
      <w:pPr>
        <w:spacing w:line="240" w:lineRule="auto"/>
        <w:contextualSpacing/>
        <w:jc w:val="left"/>
      </w:pPr>
      <w:r>
        <w:tab/>
      </w:r>
      <w:r>
        <w:tab/>
      </w:r>
      <w:r>
        <w:tab/>
      </w:r>
      <w:r>
        <w:tab/>
      </w:r>
      <w:r>
        <w:tab/>
      </w:r>
      <w:r>
        <w:tab/>
      </w:r>
      <w:r>
        <w:tab/>
      </w:r>
      <w:r>
        <w:tab/>
        <w:t>Administrative Law Judge</w:t>
      </w:r>
    </w:p>
    <w:p w:rsidR="00362EFE" w:rsidRDefault="00362EFE" w:rsidP="00A44371">
      <w:pPr>
        <w:contextualSpacing/>
        <w:jc w:val="left"/>
      </w:pPr>
    </w:p>
    <w:p w:rsidR="00362EFE" w:rsidRDefault="009119E0" w:rsidP="00A44371">
      <w:pPr>
        <w:contextualSpacing/>
        <w:jc w:val="left"/>
      </w:pPr>
      <w:r>
        <w:tab/>
      </w:r>
      <w:r>
        <w:tab/>
      </w:r>
    </w:p>
    <w:p w:rsidR="00362EFE" w:rsidRDefault="00362EFE" w:rsidP="00A44371">
      <w:pPr>
        <w:contextualSpacing/>
        <w:jc w:val="left"/>
      </w:pPr>
    </w:p>
    <w:p w:rsidR="00A44371" w:rsidRDefault="00A44371" w:rsidP="009C5E4D">
      <w:pPr>
        <w:jc w:val="left"/>
      </w:pPr>
    </w:p>
    <w:p w:rsidR="00A44371" w:rsidRDefault="00A44371" w:rsidP="009C5E4D">
      <w:pPr>
        <w:jc w:val="left"/>
      </w:pPr>
    </w:p>
    <w:p w:rsidR="00A44371" w:rsidRDefault="00A44371" w:rsidP="009C5E4D">
      <w:pPr>
        <w:jc w:val="left"/>
      </w:pPr>
    </w:p>
    <w:p w:rsidR="00A44371" w:rsidRDefault="00A44371" w:rsidP="009C5E4D">
      <w:pPr>
        <w:jc w:val="left"/>
      </w:pPr>
    </w:p>
    <w:p w:rsidR="00A44371" w:rsidRDefault="00A44371" w:rsidP="009C5E4D">
      <w:pPr>
        <w:jc w:val="left"/>
      </w:pPr>
    </w:p>
    <w:p w:rsidR="00A44371" w:rsidRDefault="00A44371" w:rsidP="009C5E4D">
      <w:pPr>
        <w:jc w:val="left"/>
      </w:pPr>
    </w:p>
    <w:p w:rsidR="00A44371" w:rsidRDefault="00A44371" w:rsidP="009C5E4D">
      <w:pPr>
        <w:jc w:val="left"/>
      </w:pPr>
    </w:p>
    <w:p w:rsidR="00A44371" w:rsidRDefault="00A44371" w:rsidP="009C5E4D">
      <w:pPr>
        <w:jc w:val="left"/>
      </w:pPr>
    </w:p>
    <w:p w:rsidR="00A44371" w:rsidRPr="008C5A1F" w:rsidRDefault="00A44371" w:rsidP="00A44371">
      <w:pPr>
        <w:contextualSpacing/>
        <w:rPr>
          <w:u w:val="single"/>
        </w:rPr>
      </w:pPr>
    </w:p>
    <w:p w:rsidR="00016758" w:rsidRDefault="00A44371" w:rsidP="00782860">
      <w:pPr>
        <w:contextualSpacing/>
        <w:jc w:val="left"/>
        <w:sectPr w:rsidR="00016758" w:rsidSect="00782860">
          <w:footerReference w:type="default" r:id="rId8"/>
          <w:pgSz w:w="12240" w:h="15840"/>
          <w:pgMar w:top="1440" w:right="1440" w:bottom="1440" w:left="1440" w:header="720" w:footer="720" w:gutter="0"/>
          <w:cols w:space="720"/>
          <w:titlePg/>
          <w:docGrid w:linePitch="360"/>
        </w:sectPr>
      </w:pPr>
      <w:r w:rsidRPr="008C5A1F">
        <w:tab/>
      </w:r>
    </w:p>
    <w:p w:rsidR="00016758" w:rsidRPr="00D2697C" w:rsidRDefault="00016758" w:rsidP="00016758">
      <w:pPr>
        <w:spacing w:line="240" w:lineRule="auto"/>
        <w:ind w:right="-180"/>
        <w:jc w:val="left"/>
        <w:rPr>
          <w:rFonts w:ascii="Microsoft Sans Serif"/>
          <w:i/>
        </w:rPr>
      </w:pPr>
      <w:r>
        <w:rPr>
          <w:rFonts w:ascii="Microsoft Sans Serif"/>
          <w:b/>
          <w:u w:val="single"/>
        </w:rPr>
        <w:lastRenderedPageBreak/>
        <w:t>C-2013-2385910 - MIKE KUSTURISS JR v. COLUMBIA GAS OF PENNSYLVANIA INC.</w:t>
      </w:r>
      <w:r>
        <w:rPr>
          <w:rFonts w:ascii="Microsoft Sans Serif"/>
          <w:b/>
          <w:u w:val="single"/>
        </w:rPr>
        <w:cr/>
      </w:r>
      <w:r>
        <w:rPr>
          <w:rFonts w:ascii="Microsoft Sans Serif"/>
          <w:b/>
          <w:u w:val="single"/>
        </w:rPr>
        <w:cr/>
      </w:r>
      <w:r>
        <w:rPr>
          <w:rFonts w:ascii="Microsoft Sans Serif"/>
        </w:rPr>
        <w:t>MIKE KUSTURISS JR</w:t>
      </w:r>
      <w:r>
        <w:rPr>
          <w:rFonts w:ascii="Microsoft Sans Serif"/>
        </w:rPr>
        <w:cr/>
        <w:t>219 MOSIER ROAD</w:t>
      </w:r>
      <w:r>
        <w:rPr>
          <w:rFonts w:ascii="Microsoft Sans Serif"/>
        </w:rPr>
        <w:cr/>
        <w:t>EIGHTY FOUR PA  15330</w:t>
      </w:r>
      <w:r>
        <w:rPr>
          <w:rFonts w:ascii="Microsoft Sans Serif"/>
        </w:rPr>
        <w:cr/>
        <w:t>724-228-5217</w:t>
      </w:r>
      <w:r>
        <w:rPr>
          <w:rFonts w:ascii="Microsoft Sans Serif"/>
        </w:rPr>
        <w:cr/>
      </w:r>
      <w:r>
        <w:rPr>
          <w:rFonts w:ascii="Microsoft Sans Serif"/>
        </w:rPr>
        <w:cr/>
      </w:r>
      <w:bookmarkStart w:id="0" w:name="_GoBack"/>
      <w:r>
        <w:rPr>
          <w:rFonts w:ascii="Microsoft Sans Serif"/>
        </w:rPr>
        <w:t>DAVID BAYARD WOLF ESQUIRE</w:t>
      </w:r>
      <w:r>
        <w:rPr>
          <w:rFonts w:ascii="Microsoft Sans Serif"/>
        </w:rPr>
        <w:cr/>
        <w:t>12 NORTH JEFFERSON AVENUE</w:t>
      </w:r>
      <w:r>
        <w:rPr>
          <w:rFonts w:ascii="Microsoft Sans Serif"/>
        </w:rPr>
        <w:cr/>
        <w:t>CANONSBURG PA  15317</w:t>
      </w:r>
      <w:bookmarkEnd w:id="0"/>
      <w:r>
        <w:rPr>
          <w:rFonts w:ascii="Microsoft Sans Serif"/>
        </w:rPr>
        <w:cr/>
        <w:t>724-746-2800</w:t>
      </w:r>
      <w:r>
        <w:rPr>
          <w:rFonts w:ascii="Microsoft Sans Serif"/>
        </w:rPr>
        <w:cr/>
      </w:r>
      <w:proofErr w:type="gramStart"/>
      <w:r w:rsidRPr="00D2697C">
        <w:rPr>
          <w:rFonts w:ascii="Microsoft Sans Serif"/>
          <w:i/>
        </w:rPr>
        <w:t xml:space="preserve">Representing Mike </w:t>
      </w:r>
      <w:proofErr w:type="spellStart"/>
      <w:r w:rsidRPr="00D2697C">
        <w:rPr>
          <w:rFonts w:ascii="Microsoft Sans Serif"/>
          <w:i/>
        </w:rPr>
        <w:t>Kusturiss</w:t>
      </w:r>
      <w:proofErr w:type="spellEnd"/>
      <w:r w:rsidRPr="00D2697C">
        <w:rPr>
          <w:rFonts w:ascii="Microsoft Sans Serif"/>
          <w:i/>
        </w:rPr>
        <w:t xml:space="preserve"> Jr.</w:t>
      </w:r>
      <w:proofErr w:type="gramEnd"/>
    </w:p>
    <w:p w:rsidR="00016758" w:rsidRDefault="00016758" w:rsidP="00016758">
      <w:pPr>
        <w:spacing w:line="240" w:lineRule="auto"/>
        <w:ind w:right="-180"/>
        <w:jc w:val="left"/>
      </w:pPr>
      <w:r>
        <w:rPr>
          <w:rFonts w:ascii="Microsoft Sans Serif"/>
        </w:rPr>
        <w:cr/>
        <w:t>LARRY R CRAYNE ESQUIRE</w:t>
      </w:r>
      <w:r>
        <w:rPr>
          <w:rFonts w:ascii="Microsoft Sans Serif"/>
        </w:rPr>
        <w:cr/>
        <w:t>238 JOHNSTON ROAD</w:t>
      </w:r>
      <w:r>
        <w:rPr>
          <w:rFonts w:ascii="Microsoft Sans Serif"/>
        </w:rPr>
        <w:cr/>
        <w:t>PITTSBURGH PA  15241-2556</w:t>
      </w:r>
      <w:r>
        <w:rPr>
          <w:rFonts w:ascii="Microsoft Sans Serif"/>
        </w:rPr>
        <w:cr/>
        <w:t>412-831-5462</w:t>
      </w:r>
      <w:r>
        <w:rPr>
          <w:rFonts w:ascii="Microsoft Sans Serif"/>
        </w:rPr>
        <w:cr/>
        <w:t>E-Served</w:t>
      </w:r>
    </w:p>
    <w:p w:rsidR="00016758" w:rsidRDefault="00016758" w:rsidP="00016758">
      <w:pPr>
        <w:spacing w:line="240" w:lineRule="auto"/>
        <w:jc w:val="left"/>
      </w:pPr>
    </w:p>
    <w:p w:rsidR="007F15ED" w:rsidRPr="007F15ED" w:rsidRDefault="007F15ED" w:rsidP="00782860">
      <w:pPr>
        <w:contextualSpacing/>
        <w:jc w:val="left"/>
      </w:pPr>
    </w:p>
    <w:sectPr w:rsidR="007F15ED" w:rsidRPr="007F15E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CF" w:rsidRDefault="001563CF" w:rsidP="00782860">
      <w:pPr>
        <w:spacing w:line="240" w:lineRule="auto"/>
      </w:pPr>
      <w:r>
        <w:separator/>
      </w:r>
    </w:p>
  </w:endnote>
  <w:endnote w:type="continuationSeparator" w:id="0">
    <w:p w:rsidR="001563CF" w:rsidRDefault="001563CF" w:rsidP="00782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481185"/>
      <w:docPartObj>
        <w:docPartGallery w:val="Page Numbers (Bottom of Page)"/>
        <w:docPartUnique/>
      </w:docPartObj>
    </w:sdtPr>
    <w:sdtEndPr>
      <w:rPr>
        <w:noProof/>
      </w:rPr>
    </w:sdtEndPr>
    <w:sdtContent>
      <w:p w:rsidR="00782860" w:rsidRDefault="00782860">
        <w:pPr>
          <w:pStyle w:val="Footer"/>
        </w:pPr>
        <w:r>
          <w:fldChar w:fldCharType="begin"/>
        </w:r>
        <w:r>
          <w:instrText xml:space="preserve"> PAGE   \* MERGEFORMAT </w:instrText>
        </w:r>
        <w:r>
          <w:fldChar w:fldCharType="separate"/>
        </w:r>
        <w:r w:rsidR="00016758">
          <w:rPr>
            <w:noProof/>
          </w:rPr>
          <w:t>5</w:t>
        </w:r>
        <w:r>
          <w:rPr>
            <w:noProof/>
          </w:rPr>
          <w:fldChar w:fldCharType="end"/>
        </w:r>
      </w:p>
    </w:sdtContent>
  </w:sdt>
  <w:p w:rsidR="00782860" w:rsidRDefault="00782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58" w:rsidRDefault="00016758">
    <w:pPr>
      <w:pStyle w:val="Footer"/>
    </w:pPr>
  </w:p>
  <w:p w:rsidR="00016758" w:rsidRDefault="00016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CF" w:rsidRDefault="001563CF" w:rsidP="00782860">
      <w:pPr>
        <w:spacing w:line="240" w:lineRule="auto"/>
      </w:pPr>
      <w:r>
        <w:separator/>
      </w:r>
    </w:p>
  </w:footnote>
  <w:footnote w:type="continuationSeparator" w:id="0">
    <w:p w:rsidR="001563CF" w:rsidRDefault="001563CF" w:rsidP="007828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71C56"/>
    <w:multiLevelType w:val="hybridMultilevel"/>
    <w:tmpl w:val="685288CA"/>
    <w:lvl w:ilvl="0" w:tplc="5B5C6A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ED"/>
    <w:rsid w:val="00001E3A"/>
    <w:rsid w:val="00001EF6"/>
    <w:rsid w:val="000028EA"/>
    <w:rsid w:val="00003D11"/>
    <w:rsid w:val="00004AA3"/>
    <w:rsid w:val="00005558"/>
    <w:rsid w:val="000079FE"/>
    <w:rsid w:val="00012104"/>
    <w:rsid w:val="00012655"/>
    <w:rsid w:val="0001305A"/>
    <w:rsid w:val="00016758"/>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3CF"/>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1F7F31"/>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51F9"/>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2EFE"/>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87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162"/>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22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47D"/>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2860"/>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A35C1"/>
    <w:rsid w:val="007B1039"/>
    <w:rsid w:val="007B1644"/>
    <w:rsid w:val="007B33F8"/>
    <w:rsid w:val="007B3B6F"/>
    <w:rsid w:val="007B3F3D"/>
    <w:rsid w:val="007B413B"/>
    <w:rsid w:val="007B4FD7"/>
    <w:rsid w:val="007B5461"/>
    <w:rsid w:val="007B611E"/>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15ED"/>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09F7"/>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19E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5E4D"/>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371"/>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2D4E"/>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C35"/>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60"/>
    <w:pPr>
      <w:tabs>
        <w:tab w:val="center" w:pos="4680"/>
        <w:tab w:val="right" w:pos="9360"/>
      </w:tabs>
      <w:spacing w:line="240" w:lineRule="auto"/>
    </w:pPr>
  </w:style>
  <w:style w:type="character" w:customStyle="1" w:styleId="HeaderChar">
    <w:name w:val="Header Char"/>
    <w:basedOn w:val="DefaultParagraphFont"/>
    <w:link w:val="Header"/>
    <w:uiPriority w:val="99"/>
    <w:rsid w:val="00782860"/>
  </w:style>
  <w:style w:type="paragraph" w:styleId="Footer">
    <w:name w:val="footer"/>
    <w:basedOn w:val="Normal"/>
    <w:link w:val="FooterChar"/>
    <w:uiPriority w:val="99"/>
    <w:unhideWhenUsed/>
    <w:rsid w:val="00782860"/>
    <w:pPr>
      <w:tabs>
        <w:tab w:val="center" w:pos="4680"/>
        <w:tab w:val="right" w:pos="9360"/>
      </w:tabs>
      <w:spacing w:line="240" w:lineRule="auto"/>
    </w:pPr>
  </w:style>
  <w:style w:type="character" w:customStyle="1" w:styleId="FooterChar">
    <w:name w:val="Footer Char"/>
    <w:basedOn w:val="DefaultParagraphFont"/>
    <w:link w:val="Footer"/>
    <w:uiPriority w:val="99"/>
    <w:rsid w:val="00782860"/>
  </w:style>
  <w:style w:type="paragraph" w:styleId="BalloonText">
    <w:name w:val="Balloon Text"/>
    <w:basedOn w:val="Normal"/>
    <w:link w:val="BalloonTextChar"/>
    <w:uiPriority w:val="99"/>
    <w:semiHidden/>
    <w:unhideWhenUsed/>
    <w:rsid w:val="007828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60"/>
    <w:pPr>
      <w:tabs>
        <w:tab w:val="center" w:pos="4680"/>
        <w:tab w:val="right" w:pos="9360"/>
      </w:tabs>
      <w:spacing w:line="240" w:lineRule="auto"/>
    </w:pPr>
  </w:style>
  <w:style w:type="character" w:customStyle="1" w:styleId="HeaderChar">
    <w:name w:val="Header Char"/>
    <w:basedOn w:val="DefaultParagraphFont"/>
    <w:link w:val="Header"/>
    <w:uiPriority w:val="99"/>
    <w:rsid w:val="00782860"/>
  </w:style>
  <w:style w:type="paragraph" w:styleId="Footer">
    <w:name w:val="footer"/>
    <w:basedOn w:val="Normal"/>
    <w:link w:val="FooterChar"/>
    <w:uiPriority w:val="99"/>
    <w:unhideWhenUsed/>
    <w:rsid w:val="00782860"/>
    <w:pPr>
      <w:tabs>
        <w:tab w:val="center" w:pos="4680"/>
        <w:tab w:val="right" w:pos="9360"/>
      </w:tabs>
      <w:spacing w:line="240" w:lineRule="auto"/>
    </w:pPr>
  </w:style>
  <w:style w:type="character" w:customStyle="1" w:styleId="FooterChar">
    <w:name w:val="Footer Char"/>
    <w:basedOn w:val="DefaultParagraphFont"/>
    <w:link w:val="Footer"/>
    <w:uiPriority w:val="99"/>
    <w:rsid w:val="00782860"/>
  </w:style>
  <w:style w:type="paragraph" w:styleId="BalloonText">
    <w:name w:val="Balloon Text"/>
    <w:basedOn w:val="Normal"/>
    <w:link w:val="BalloonTextChar"/>
    <w:uiPriority w:val="99"/>
    <w:semiHidden/>
    <w:unhideWhenUsed/>
    <w:rsid w:val="007828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2013-11-06T16:26:00Z</cp:lastPrinted>
  <dcterms:created xsi:type="dcterms:W3CDTF">2013-11-06T16:24:00Z</dcterms:created>
  <dcterms:modified xsi:type="dcterms:W3CDTF">2013-11-06T16:30:00Z</dcterms:modified>
</cp:coreProperties>
</file>