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224A30" w:rsidRDefault="00351574" w:rsidP="00351574">
      <w:pPr>
        <w:spacing w:line="240" w:lineRule="auto"/>
        <w:rPr>
          <w:b/>
        </w:rPr>
      </w:pPr>
      <w:bookmarkStart w:id="0" w:name="_GoBack"/>
      <w:bookmarkEnd w:id="0"/>
      <w:r w:rsidRPr="00224A30">
        <w:rPr>
          <w:b/>
        </w:rPr>
        <w:t>BEFORE THE</w:t>
      </w:r>
    </w:p>
    <w:p w:rsidR="00351574" w:rsidRPr="00224A30" w:rsidRDefault="00351574" w:rsidP="00351574">
      <w:pPr>
        <w:spacing w:line="240" w:lineRule="auto"/>
        <w:rPr>
          <w:b/>
        </w:rPr>
      </w:pPr>
      <w:r w:rsidRPr="00224A30">
        <w:rPr>
          <w:b/>
        </w:rPr>
        <w:t>PENNSYLVANIA PUBLIC UTILITY COMMISSION</w:t>
      </w:r>
    </w:p>
    <w:p w:rsidR="00351574" w:rsidRDefault="00351574" w:rsidP="00351574">
      <w:pPr>
        <w:spacing w:line="240" w:lineRule="auto"/>
        <w:rPr>
          <w:b/>
        </w:rPr>
      </w:pPr>
    </w:p>
    <w:p w:rsidR="00224A30" w:rsidRPr="00224A30" w:rsidRDefault="00224A30" w:rsidP="00351574">
      <w:pPr>
        <w:spacing w:line="240" w:lineRule="auto"/>
        <w:rPr>
          <w:b/>
        </w:rPr>
      </w:pPr>
    </w:p>
    <w:p w:rsidR="00351574" w:rsidRPr="00224A30" w:rsidRDefault="00351574" w:rsidP="00351574">
      <w:pPr>
        <w:spacing w:line="240" w:lineRule="auto"/>
        <w:rPr>
          <w:b/>
        </w:rPr>
      </w:pPr>
    </w:p>
    <w:p w:rsidR="00351574" w:rsidRPr="00224A30" w:rsidRDefault="00351574" w:rsidP="00351574">
      <w:pPr>
        <w:spacing w:line="240" w:lineRule="auto"/>
        <w:jc w:val="left"/>
      </w:pPr>
      <w:r w:rsidRPr="00224A30">
        <w:t>Rainy M. Gibson</w:t>
      </w:r>
      <w:r w:rsidRPr="00224A30">
        <w:tab/>
      </w:r>
      <w:r w:rsidRPr="00224A30">
        <w:tab/>
      </w:r>
      <w:r w:rsidRPr="00224A30">
        <w:tab/>
      </w:r>
      <w:r w:rsidRPr="00224A30">
        <w:tab/>
      </w:r>
      <w:r w:rsidR="00224A30">
        <w:tab/>
      </w:r>
      <w:r w:rsidRPr="00224A30">
        <w:t>:</w:t>
      </w:r>
    </w:p>
    <w:p w:rsidR="00351574" w:rsidRPr="00224A30" w:rsidRDefault="00351574" w:rsidP="00351574">
      <w:pPr>
        <w:spacing w:line="240" w:lineRule="auto"/>
        <w:jc w:val="left"/>
      </w:pPr>
      <w:r w:rsidRPr="00224A30">
        <w:tab/>
      </w:r>
      <w:r w:rsidRPr="00224A30">
        <w:tab/>
      </w:r>
      <w:r w:rsidRPr="00224A30">
        <w:tab/>
      </w:r>
      <w:r w:rsidRPr="00224A30">
        <w:tab/>
      </w:r>
      <w:r w:rsidRPr="00224A30">
        <w:tab/>
      </w:r>
      <w:r w:rsidRPr="00224A30">
        <w:tab/>
      </w:r>
      <w:r w:rsidR="00224A30">
        <w:tab/>
      </w:r>
      <w:r w:rsidRPr="00224A30">
        <w:t>:</w:t>
      </w:r>
    </w:p>
    <w:p w:rsidR="00351574" w:rsidRPr="00224A30" w:rsidRDefault="00351574" w:rsidP="00351574">
      <w:pPr>
        <w:spacing w:line="240" w:lineRule="auto"/>
        <w:jc w:val="left"/>
      </w:pPr>
      <w:r w:rsidRPr="00224A30">
        <w:tab/>
        <w:t>v.</w:t>
      </w:r>
      <w:r w:rsidRPr="00224A30">
        <w:tab/>
      </w:r>
      <w:r w:rsidRPr="00224A30">
        <w:tab/>
      </w:r>
      <w:r w:rsidRPr="00224A30">
        <w:tab/>
      </w:r>
      <w:r w:rsidRPr="00224A30">
        <w:tab/>
      </w:r>
      <w:r w:rsidRPr="00224A30">
        <w:tab/>
      </w:r>
      <w:r w:rsidR="00224A30">
        <w:tab/>
      </w:r>
      <w:r w:rsidRPr="00224A30">
        <w:t>:</w:t>
      </w:r>
      <w:r w:rsidRPr="00224A30">
        <w:tab/>
      </w:r>
      <w:r w:rsidRPr="00224A30">
        <w:tab/>
        <w:t>F-2013-2375379</w:t>
      </w:r>
    </w:p>
    <w:p w:rsidR="00351574" w:rsidRPr="00224A30" w:rsidRDefault="00351574" w:rsidP="00351574">
      <w:pPr>
        <w:spacing w:line="240" w:lineRule="auto"/>
        <w:jc w:val="left"/>
      </w:pPr>
      <w:r w:rsidRPr="00224A30">
        <w:tab/>
      </w:r>
      <w:r w:rsidRPr="00224A30">
        <w:tab/>
      </w:r>
      <w:r w:rsidRPr="00224A30">
        <w:tab/>
      </w:r>
      <w:r w:rsidRPr="00224A30">
        <w:tab/>
      </w:r>
      <w:r w:rsidRPr="00224A30">
        <w:tab/>
      </w:r>
      <w:r w:rsidRPr="00224A30">
        <w:tab/>
      </w:r>
      <w:r w:rsidR="00224A30">
        <w:tab/>
      </w:r>
      <w:r w:rsidRPr="00224A30">
        <w:t>:</w:t>
      </w:r>
    </w:p>
    <w:p w:rsidR="00351574" w:rsidRPr="00224A30" w:rsidRDefault="00351574" w:rsidP="00351574">
      <w:pPr>
        <w:spacing w:line="240" w:lineRule="auto"/>
        <w:jc w:val="left"/>
      </w:pPr>
      <w:r w:rsidRPr="00224A30">
        <w:t>PPL Electric Utilities Corporation</w:t>
      </w:r>
      <w:r w:rsidRPr="00224A30">
        <w:tab/>
      </w:r>
      <w:r w:rsidRPr="00224A30">
        <w:tab/>
      </w:r>
      <w:r w:rsidR="00224A30">
        <w:tab/>
      </w:r>
      <w:r w:rsidRPr="00224A30">
        <w:t>:</w:t>
      </w:r>
    </w:p>
    <w:p w:rsidR="00351574" w:rsidRDefault="00351574" w:rsidP="00351574">
      <w:pPr>
        <w:spacing w:line="240" w:lineRule="auto"/>
        <w:jc w:val="left"/>
      </w:pPr>
    </w:p>
    <w:p w:rsidR="00FD546C" w:rsidRPr="00224A30" w:rsidRDefault="00FD546C" w:rsidP="00351574">
      <w:pPr>
        <w:spacing w:line="240" w:lineRule="auto"/>
        <w:jc w:val="left"/>
      </w:pPr>
    </w:p>
    <w:p w:rsidR="00351574" w:rsidRPr="00224A30" w:rsidRDefault="00351574" w:rsidP="00351574">
      <w:pPr>
        <w:spacing w:line="240" w:lineRule="auto"/>
        <w:jc w:val="left"/>
      </w:pPr>
    </w:p>
    <w:p w:rsidR="00351574" w:rsidRPr="00224A30" w:rsidRDefault="00351574" w:rsidP="00351574">
      <w:pPr>
        <w:spacing w:line="240" w:lineRule="auto"/>
        <w:rPr>
          <w:b/>
          <w:u w:val="single"/>
        </w:rPr>
      </w:pPr>
      <w:r w:rsidRPr="00224A30">
        <w:rPr>
          <w:b/>
          <w:u w:val="single"/>
        </w:rPr>
        <w:t>INITIAL DECISION</w:t>
      </w:r>
    </w:p>
    <w:p w:rsidR="00351574" w:rsidRDefault="00351574" w:rsidP="00351574">
      <w:pPr>
        <w:spacing w:line="240" w:lineRule="auto"/>
        <w:rPr>
          <w:b/>
          <w:u w:val="single"/>
        </w:rPr>
      </w:pPr>
    </w:p>
    <w:p w:rsidR="00FD546C" w:rsidRPr="00224A30" w:rsidRDefault="00FD546C" w:rsidP="00351574">
      <w:pPr>
        <w:spacing w:line="240" w:lineRule="auto"/>
        <w:rPr>
          <w:b/>
          <w:u w:val="single"/>
        </w:rPr>
      </w:pPr>
    </w:p>
    <w:p w:rsidR="00351574" w:rsidRPr="00224A30" w:rsidRDefault="00351574" w:rsidP="00351574">
      <w:pPr>
        <w:spacing w:line="240" w:lineRule="auto"/>
      </w:pPr>
      <w:r w:rsidRPr="00224A30">
        <w:t>Before</w:t>
      </w:r>
    </w:p>
    <w:p w:rsidR="00351574" w:rsidRPr="00224A30" w:rsidRDefault="00351574" w:rsidP="00351574">
      <w:pPr>
        <w:spacing w:line="240" w:lineRule="auto"/>
      </w:pPr>
      <w:r w:rsidRPr="00224A30">
        <w:t>Susan D. Colwell</w:t>
      </w:r>
    </w:p>
    <w:p w:rsidR="00351574" w:rsidRPr="00224A30" w:rsidRDefault="00351574" w:rsidP="00351574">
      <w:pPr>
        <w:spacing w:line="240" w:lineRule="auto"/>
      </w:pPr>
      <w:r w:rsidRPr="00224A30">
        <w:t>Administrative Law Judge</w:t>
      </w:r>
    </w:p>
    <w:p w:rsidR="00351574" w:rsidRPr="00224A30" w:rsidRDefault="00351574" w:rsidP="00351574">
      <w:pPr>
        <w:spacing w:line="240" w:lineRule="auto"/>
      </w:pPr>
    </w:p>
    <w:p w:rsidR="00351574" w:rsidRPr="00224A30" w:rsidRDefault="00351574" w:rsidP="00351574">
      <w:pPr>
        <w:spacing w:line="240" w:lineRule="auto"/>
      </w:pPr>
    </w:p>
    <w:p w:rsidR="00351574" w:rsidRPr="00224A30" w:rsidRDefault="00351574" w:rsidP="00351574">
      <w:pPr>
        <w:spacing w:line="240" w:lineRule="auto"/>
        <w:rPr>
          <w:u w:val="single"/>
        </w:rPr>
      </w:pPr>
      <w:r w:rsidRPr="00224A30">
        <w:rPr>
          <w:u w:val="single"/>
        </w:rPr>
        <w:t>HISTORY OF THE PROCEEDING</w:t>
      </w:r>
    </w:p>
    <w:p w:rsidR="00351574" w:rsidRPr="00224A30" w:rsidRDefault="00351574" w:rsidP="00351574">
      <w:pPr>
        <w:spacing w:line="240" w:lineRule="auto"/>
        <w:rPr>
          <w:u w:val="single"/>
        </w:rPr>
      </w:pPr>
    </w:p>
    <w:p w:rsidR="00351574" w:rsidRPr="00224A30" w:rsidRDefault="00351574" w:rsidP="00351574">
      <w:pPr>
        <w:spacing w:line="240" w:lineRule="auto"/>
        <w:rPr>
          <w:u w:val="single"/>
        </w:rPr>
      </w:pPr>
    </w:p>
    <w:p w:rsidR="00351574" w:rsidRPr="00224A30" w:rsidRDefault="00351574" w:rsidP="00351574">
      <w:pPr>
        <w:jc w:val="left"/>
      </w:pPr>
      <w:r w:rsidRPr="00224A30">
        <w:tab/>
      </w:r>
      <w:r w:rsidRPr="00224A30">
        <w:tab/>
        <w:t>This Initial Decision</w:t>
      </w:r>
      <w:r w:rsidR="006A3A96" w:rsidRPr="00224A30">
        <w:t xml:space="preserve"> grants a motion to</w:t>
      </w:r>
      <w:r w:rsidRPr="00224A30">
        <w:t xml:space="preserve"> dismiss a formal complaint as the named </w:t>
      </w:r>
      <w:r w:rsidR="00025480">
        <w:t>C</w:t>
      </w:r>
      <w:r w:rsidRPr="00224A30">
        <w:t>omplainant presented neither a claim nor any evidence to support a claim.</w:t>
      </w:r>
    </w:p>
    <w:p w:rsidR="00351574" w:rsidRPr="00224A30" w:rsidRDefault="00351574" w:rsidP="00351574">
      <w:pPr>
        <w:jc w:val="left"/>
      </w:pPr>
    </w:p>
    <w:p w:rsidR="00351574" w:rsidRPr="00224A30" w:rsidRDefault="00351574" w:rsidP="00351574">
      <w:pPr>
        <w:jc w:val="left"/>
      </w:pPr>
      <w:r w:rsidRPr="00224A30">
        <w:tab/>
      </w:r>
      <w:r w:rsidRPr="00224A30">
        <w:tab/>
        <w:t xml:space="preserve">On July 10, 2013, Rainy M. Gibson (Complainant) filed a formal Complaint against PPL Electric Utilities Corporation (PPL or Company or Respondent).  The Complaint has a check mark in the box which represents </w:t>
      </w:r>
      <w:r w:rsidR="006A3A96" w:rsidRPr="00224A30">
        <w:t xml:space="preserve">a claim of </w:t>
      </w:r>
      <w:r w:rsidRPr="00224A30">
        <w:t>incorrect charges on the bill.  A handwritten message states, "Disputing whole claim please see proof of claim form attached."  Next to "other," a second message is written, stating, "want P</w:t>
      </w:r>
      <w:r w:rsidR="009E5278" w:rsidRPr="00224A30">
        <w:t xml:space="preserve">PL to prove there </w:t>
      </w:r>
      <w:r w:rsidR="00710C55" w:rsidRPr="00224A30">
        <w:t>[sic]</w:t>
      </w:r>
      <w:r w:rsidR="00710C55">
        <w:t xml:space="preserve"> </w:t>
      </w:r>
      <w:r w:rsidR="009E5278" w:rsidRPr="00224A30">
        <w:t>claim</w:t>
      </w:r>
      <w:r w:rsidR="00710C55">
        <w:t>,</w:t>
      </w:r>
      <w:r w:rsidRPr="00224A30">
        <w:t xml:space="preserve">"  Under "Requested relief," is printed, "Please see attached form and Respondent is to provide proper documentation to prove there </w:t>
      </w:r>
      <w:r w:rsidR="00710C55" w:rsidRPr="00224A30">
        <w:t>[sic]</w:t>
      </w:r>
      <w:r w:rsidR="00710C55">
        <w:t xml:space="preserve"> </w:t>
      </w:r>
      <w:r w:rsidRPr="00224A30">
        <w:t>claim</w:t>
      </w:r>
      <w:r w:rsidR="00710C55">
        <w:t>.</w:t>
      </w:r>
      <w:r w:rsidRPr="00224A30">
        <w:t>"</w:t>
      </w:r>
    </w:p>
    <w:p w:rsidR="00351574" w:rsidRPr="00224A30" w:rsidRDefault="00351574" w:rsidP="00351574">
      <w:pPr>
        <w:jc w:val="left"/>
      </w:pPr>
    </w:p>
    <w:p w:rsidR="00351574" w:rsidRPr="00224A30" w:rsidRDefault="00351574" w:rsidP="00351574">
      <w:pPr>
        <w:jc w:val="left"/>
      </w:pPr>
      <w:r w:rsidRPr="00224A30">
        <w:tab/>
      </w:r>
      <w:r w:rsidRPr="00224A30">
        <w:tab/>
        <w:t xml:space="preserve">Complaint paragraph 7 asks if this is an appeal from a decision of the PUC's Bureau of Consumer Services (BCS), and Complainant answered no, and wrote, "Except that </w:t>
      </w:r>
      <w:r w:rsidRPr="00224A30">
        <w:lastRenderedPageBreak/>
        <w:t>Meike Wijaya</w:t>
      </w:r>
      <w:r w:rsidR="004C5DC4" w:rsidRPr="00224A30">
        <w:rPr>
          <w:rStyle w:val="FootnoteReference"/>
        </w:rPr>
        <w:footnoteReference w:id="1"/>
      </w:r>
      <w:r w:rsidRPr="00224A30">
        <w:t xml:space="preserve"> is nonexistent and the order is an accumulation of hearsay."</w:t>
      </w:r>
      <w:r w:rsidR="00BD0675">
        <w:t xml:space="preserve">  The form is signed, "By:</w:t>
      </w:r>
      <w:r w:rsidR="004C5DC4" w:rsidRPr="00224A30">
        <w:t xml:space="preserve"> RM Gibson/agent/all rights reserved UCC/13.08-1.207."</w:t>
      </w:r>
    </w:p>
    <w:p w:rsidR="004C5DC4" w:rsidRPr="00224A30" w:rsidRDefault="004C5DC4" w:rsidP="00351574">
      <w:pPr>
        <w:jc w:val="left"/>
      </w:pPr>
    </w:p>
    <w:p w:rsidR="004C5DC4" w:rsidRDefault="004C5DC4" w:rsidP="00351574">
      <w:pPr>
        <w:jc w:val="left"/>
      </w:pPr>
      <w:r w:rsidRPr="00224A30">
        <w:tab/>
      </w:r>
      <w:r w:rsidRPr="00224A30">
        <w:tab/>
        <w:t>The attachment to the Complaint is a neatly typed document entitled, "Proof of Claim, Notice to Agent is Notice to Principal and Notice to Principal is Notice to Agent," and demands that Respondent "provide proof to me that you are in fact the rightful holder of due cours</w:t>
      </w:r>
      <w:r w:rsidR="00BD0675">
        <w:t>e and a real party in interest.</w:t>
      </w:r>
    </w:p>
    <w:p w:rsidR="00BD0675" w:rsidRPr="00224A30" w:rsidRDefault="00BD0675" w:rsidP="00351574">
      <w:pPr>
        <w:jc w:val="left"/>
      </w:pPr>
    </w:p>
    <w:p w:rsidR="004C5DC4" w:rsidRPr="00224A30" w:rsidRDefault="004C5DC4" w:rsidP="00CE0E39">
      <w:pPr>
        <w:spacing w:line="240" w:lineRule="auto"/>
        <w:ind w:left="864"/>
        <w:jc w:val="left"/>
      </w:pPr>
      <w:r w:rsidRPr="00224A30">
        <w:t>1.  ANY and all original unaltered wet ink signature promissory note made available for viewing in Bethlehem, PA or in proximity pursuant of UCC 3-501(b)(2)(1).</w:t>
      </w:r>
    </w:p>
    <w:p w:rsidR="004C5DC4" w:rsidRPr="00224A30" w:rsidRDefault="004C5DC4" w:rsidP="00CE0E39">
      <w:pPr>
        <w:spacing w:line="240" w:lineRule="auto"/>
        <w:ind w:left="864"/>
        <w:jc w:val="left"/>
      </w:pPr>
      <w:r w:rsidRPr="00224A30">
        <w:t>2.  Produce the account and general ledger statement showing the full accounting of the alleged obligation and the Trust that you are now attempting to collect.  Such as;</w:t>
      </w:r>
    </w:p>
    <w:p w:rsidR="004C5DC4" w:rsidRPr="00224A30" w:rsidRDefault="004C5DC4" w:rsidP="00CE0E39">
      <w:pPr>
        <w:spacing w:line="240" w:lineRule="auto"/>
        <w:ind w:left="864"/>
        <w:jc w:val="left"/>
      </w:pPr>
      <w:r w:rsidRPr="00224A30">
        <w:tab/>
      </w:r>
    </w:p>
    <w:p w:rsidR="004C5DC4" w:rsidRPr="00224A30" w:rsidRDefault="004C5DC4" w:rsidP="00CE0E39">
      <w:pPr>
        <w:spacing w:line="240" w:lineRule="auto"/>
        <w:ind w:left="864"/>
        <w:jc w:val="left"/>
      </w:pPr>
      <w:r w:rsidRPr="00224A30">
        <w:tab/>
        <w:t>a)</w:t>
      </w:r>
      <w:r w:rsidRPr="00224A30">
        <w:tab/>
        <w:t>FR 2046 balance sheet (OMB#s 2046, 2059, 2099)</w:t>
      </w:r>
    </w:p>
    <w:p w:rsidR="004C5DC4" w:rsidRPr="00224A30" w:rsidRDefault="004C5DC4" w:rsidP="00CE0E39">
      <w:pPr>
        <w:spacing w:line="240" w:lineRule="auto"/>
        <w:ind w:left="864"/>
        <w:jc w:val="left"/>
      </w:pPr>
      <w:r w:rsidRPr="00224A30">
        <w:tab/>
        <w:t>b)</w:t>
      </w:r>
      <w:r w:rsidRPr="00224A30">
        <w:tab/>
        <w:t>1099 OID report</w:t>
      </w:r>
    </w:p>
    <w:p w:rsidR="004C5DC4" w:rsidRPr="00224A30" w:rsidRDefault="004C5DC4" w:rsidP="00CE0E39">
      <w:pPr>
        <w:spacing w:line="240" w:lineRule="auto"/>
        <w:ind w:left="864"/>
        <w:jc w:val="left"/>
      </w:pPr>
      <w:r w:rsidRPr="00224A30">
        <w:tab/>
        <w:t>c)</w:t>
      </w:r>
      <w:r w:rsidRPr="00224A30">
        <w:tab/>
        <w:t xml:space="preserve">S-3/A </w:t>
      </w:r>
      <w:r w:rsidR="00025480" w:rsidRPr="00224A30">
        <w:t>registration</w:t>
      </w:r>
      <w:r w:rsidRPr="00224A30">
        <w:t xml:space="preserve"> [sic] statement</w:t>
      </w:r>
    </w:p>
    <w:p w:rsidR="004C5DC4" w:rsidRPr="00224A30" w:rsidRDefault="004C5DC4" w:rsidP="00CE0E39">
      <w:pPr>
        <w:spacing w:line="240" w:lineRule="auto"/>
        <w:ind w:left="864"/>
        <w:jc w:val="left"/>
      </w:pPr>
      <w:r w:rsidRPr="00224A30">
        <w:tab/>
        <w:t>d)</w:t>
      </w:r>
      <w:r w:rsidRPr="00224A30">
        <w:tab/>
        <w:t>424-B5 prospectus</w:t>
      </w:r>
    </w:p>
    <w:p w:rsidR="004C5DC4" w:rsidRPr="00224A30" w:rsidRDefault="004C5DC4" w:rsidP="00CE0E39">
      <w:pPr>
        <w:spacing w:line="240" w:lineRule="auto"/>
        <w:ind w:left="864"/>
        <w:jc w:val="left"/>
      </w:pPr>
      <w:r w:rsidRPr="00224A30">
        <w:tab/>
        <w:t>e)</w:t>
      </w:r>
      <w:r w:rsidRPr="00224A30">
        <w:tab/>
        <w:t>RC-S &amp; RC-B call schedules</w:t>
      </w:r>
    </w:p>
    <w:p w:rsidR="004C5DC4" w:rsidRPr="00224A30" w:rsidRDefault="004C5DC4" w:rsidP="00CE0E39">
      <w:pPr>
        <w:spacing w:line="240" w:lineRule="auto"/>
        <w:ind w:left="864"/>
        <w:jc w:val="left"/>
      </w:pPr>
      <w:r w:rsidRPr="00224A30">
        <w:tab/>
        <w:t>f)</w:t>
      </w:r>
      <w:r w:rsidRPr="00224A30">
        <w:tab/>
        <w:t>tax returns of the REMIC trust</w:t>
      </w:r>
    </w:p>
    <w:p w:rsidR="004C5DC4" w:rsidRPr="00224A30" w:rsidRDefault="004C5DC4" w:rsidP="00CE0E39">
      <w:pPr>
        <w:spacing w:line="240" w:lineRule="auto"/>
        <w:ind w:left="864"/>
        <w:jc w:val="left"/>
      </w:pPr>
      <w:r w:rsidRPr="00224A30">
        <w:t>3.  Stipulate via affidavit that you are the creditor following Generally Accepted Accounting Principles (GAAP) whereby true double entry book accounting was performed in issuing my alleged debt showing a debit against the bank's assets as a result of this alleged bill.</w:t>
      </w:r>
    </w:p>
    <w:p w:rsidR="004C5DC4" w:rsidRPr="00224A30" w:rsidRDefault="004C5DC4" w:rsidP="00CE0E39">
      <w:pPr>
        <w:spacing w:line="240" w:lineRule="auto"/>
        <w:ind w:left="864"/>
        <w:jc w:val="left"/>
      </w:pPr>
      <w:r w:rsidRPr="00224A30">
        <w:t>4.</w:t>
      </w:r>
      <w:r w:rsidR="001F45DD" w:rsidRPr="00224A30">
        <w:t xml:space="preserve"> </w:t>
      </w:r>
      <w:r w:rsidR="009075B8">
        <w:t xml:space="preserve"> </w:t>
      </w:r>
      <w:r w:rsidRPr="00224A30">
        <w:t>Verified specifically, name(s) of person(s) assigned as Trustee to handle corporations affairs and to be held accountable for the actions of the corporation.  Such as CFO and subordinates responsible for debt collections.</w:t>
      </w:r>
    </w:p>
    <w:p w:rsidR="004C5DC4" w:rsidRPr="00224A30" w:rsidRDefault="004C5DC4" w:rsidP="00CE0E39">
      <w:pPr>
        <w:spacing w:line="240" w:lineRule="auto"/>
        <w:ind w:left="864"/>
        <w:jc w:val="left"/>
      </w:pPr>
      <w:r w:rsidRPr="00224A30">
        <w:t xml:space="preserve">5. </w:t>
      </w:r>
      <w:r w:rsidR="00D50C59">
        <w:t xml:space="preserve"> </w:t>
      </w:r>
      <w:r w:rsidR="001F45DD" w:rsidRPr="00224A30">
        <w:t>Provide verification from the stated creditor that MEIKE WIJAYA are authorized to act for PPL and make legal determinations.</w:t>
      </w:r>
    </w:p>
    <w:p w:rsidR="001F45DD" w:rsidRPr="00224A30" w:rsidRDefault="001F45DD" w:rsidP="00CE0E39">
      <w:pPr>
        <w:spacing w:line="240" w:lineRule="auto"/>
        <w:ind w:left="864"/>
        <w:jc w:val="left"/>
      </w:pPr>
    </w:p>
    <w:p w:rsidR="001F45DD" w:rsidRPr="00224A30" w:rsidRDefault="00454F87" w:rsidP="00CE0E39">
      <w:pPr>
        <w:spacing w:line="240" w:lineRule="auto"/>
        <w:ind w:left="864"/>
        <w:jc w:val="left"/>
      </w:pPr>
      <w:r>
        <w:t xml:space="preserve">By: </w:t>
      </w:r>
      <w:r w:rsidR="001F45DD" w:rsidRPr="00224A30">
        <w:t>RAINY M. GIBSON/PRO PER SUI JURIS</w:t>
      </w:r>
    </w:p>
    <w:p w:rsidR="001F45DD" w:rsidRPr="00224A30" w:rsidRDefault="001F45DD" w:rsidP="00CE0E39">
      <w:pPr>
        <w:spacing w:line="240" w:lineRule="auto"/>
        <w:ind w:left="864"/>
        <w:jc w:val="left"/>
      </w:pPr>
      <w:r w:rsidRPr="00224A30">
        <w:t>COMPLAINANT /REAL PARTY OF INTEREST ALL RIGHTS RESERVED</w:t>
      </w:r>
      <w:r w:rsidR="00710C55">
        <w:t>"</w:t>
      </w:r>
    </w:p>
    <w:p w:rsidR="001F45DD" w:rsidRPr="00224A30" w:rsidRDefault="001F45DD" w:rsidP="00351574">
      <w:pPr>
        <w:jc w:val="left"/>
      </w:pPr>
    </w:p>
    <w:p w:rsidR="001F45DD" w:rsidRPr="00224A30" w:rsidRDefault="001F45DD" w:rsidP="00351574">
      <w:pPr>
        <w:jc w:val="left"/>
      </w:pPr>
      <w:r w:rsidRPr="00224A30">
        <w:tab/>
      </w:r>
      <w:r w:rsidRPr="00224A30">
        <w:tab/>
        <w:t xml:space="preserve">The Complaint was served on Respondent on July 24, 2013, and PPL filed its Answer on August 13, 2013.  The Company denies that there are incorrect charges on Complainant's bill and acknowledges that it had provided notice of intent to terminate Complainant's service for an unpaid balance.  On April 17, 2013, PPL requested a payment of $567.00 by April 18, 2013, to stop a scheduled termination on April 19, 2013, required to catch </w:t>
      </w:r>
      <w:r w:rsidRPr="00224A30">
        <w:lastRenderedPageBreak/>
        <w:t>up on a defaulted agreement.  Subsequently, PPL requested that Complainant begin paying her monthly bill plus $64 monthly towards arrearages until paid in full.</w:t>
      </w:r>
    </w:p>
    <w:p w:rsidR="001F45DD" w:rsidRPr="00224A30" w:rsidRDefault="001F45DD" w:rsidP="00351574">
      <w:pPr>
        <w:jc w:val="left"/>
      </w:pPr>
    </w:p>
    <w:p w:rsidR="001F45DD" w:rsidRPr="00224A30" w:rsidRDefault="001F45DD" w:rsidP="00351574">
      <w:pPr>
        <w:jc w:val="left"/>
      </w:pPr>
      <w:r w:rsidRPr="00224A30">
        <w:tab/>
      </w:r>
      <w:r w:rsidRPr="00224A30">
        <w:tab/>
        <w:t>On September 10, 2013, a Telephone Hearing Notice scheduled the evidentiary hearing for Thursday, October 17, 2013, and assigned the case to me.  I issued a prehearing order on September 11, 2013, which set forth some of the requirements of a formal proceeding, including that the Complainant is responsible for proving her claims.</w:t>
      </w:r>
    </w:p>
    <w:p w:rsidR="001F45DD" w:rsidRPr="00224A30" w:rsidRDefault="001F45DD" w:rsidP="00351574">
      <w:pPr>
        <w:jc w:val="left"/>
      </w:pPr>
    </w:p>
    <w:p w:rsidR="001F45DD" w:rsidRPr="00224A30" w:rsidRDefault="001F45DD" w:rsidP="00351574">
      <w:pPr>
        <w:jc w:val="left"/>
      </w:pPr>
      <w:r w:rsidRPr="00224A30">
        <w:tab/>
      </w:r>
      <w:r w:rsidRPr="00224A30">
        <w:tab/>
        <w:t>On October 9, 2013, the Company submitted its proposed hearing exhibits.</w:t>
      </w:r>
    </w:p>
    <w:p w:rsidR="001F45DD" w:rsidRPr="00224A30" w:rsidRDefault="001F45DD" w:rsidP="00351574">
      <w:pPr>
        <w:jc w:val="left"/>
      </w:pPr>
    </w:p>
    <w:p w:rsidR="001F45DD" w:rsidRPr="00224A30" w:rsidRDefault="001F45DD" w:rsidP="00351574">
      <w:pPr>
        <w:jc w:val="left"/>
      </w:pPr>
      <w:r w:rsidRPr="00224A30">
        <w:tab/>
      </w:r>
      <w:r w:rsidRPr="00224A30">
        <w:tab/>
        <w:t xml:space="preserve">On October 15, 2013, Complainant submitted a packet of pages with a cover letter stating that it was a "Notice of Appearance."  </w:t>
      </w:r>
      <w:r w:rsidR="00491566" w:rsidRPr="00224A30">
        <w:t>The second page is also entitled "Notice of Appearance," but the third page is entitled, "Notice of Civil Rights Violation," wherein Complainant denies giving up her right to a trial by jury and challenges the jurisdiction of the forum, among other things.</w:t>
      </w:r>
    </w:p>
    <w:p w:rsidR="00491566" w:rsidRPr="00224A30" w:rsidRDefault="00491566" w:rsidP="00351574">
      <w:pPr>
        <w:jc w:val="left"/>
      </w:pPr>
    </w:p>
    <w:p w:rsidR="00491566" w:rsidRPr="00224A30" w:rsidRDefault="00491566" w:rsidP="00351574">
      <w:pPr>
        <w:jc w:val="left"/>
      </w:pPr>
      <w:r w:rsidRPr="00224A30">
        <w:tab/>
      </w:r>
      <w:r w:rsidRPr="00224A30">
        <w:tab/>
        <w:t>On October 17, 2013, I convened the hearing as scheduled.  PPL was represented by Graig M. Schultz, Esq., and the Complainant appeared on her own behalf.  A transcript of 11 pages was generated, and the record closed upon its receipt on October 18, 2013.</w:t>
      </w:r>
    </w:p>
    <w:p w:rsidR="00491566" w:rsidRPr="00224A30" w:rsidRDefault="00491566" w:rsidP="00351574">
      <w:pPr>
        <w:jc w:val="left"/>
      </w:pPr>
    </w:p>
    <w:p w:rsidR="00491566" w:rsidRPr="00224A30" w:rsidRDefault="00491566" w:rsidP="00351574">
      <w:pPr>
        <w:jc w:val="left"/>
      </w:pPr>
      <w:r w:rsidRPr="00224A30">
        <w:tab/>
      </w:r>
      <w:r w:rsidRPr="00224A30">
        <w:tab/>
        <w:t>The matter is ripe for disposition.</w:t>
      </w:r>
    </w:p>
    <w:p w:rsidR="00491566" w:rsidRPr="00224A30" w:rsidRDefault="00491566" w:rsidP="00351574">
      <w:pPr>
        <w:jc w:val="left"/>
      </w:pPr>
    </w:p>
    <w:p w:rsidR="00491566" w:rsidRPr="00224A30" w:rsidRDefault="00491566" w:rsidP="00491566">
      <w:pPr>
        <w:rPr>
          <w:u w:val="single"/>
        </w:rPr>
      </w:pPr>
      <w:r w:rsidRPr="00224A30">
        <w:rPr>
          <w:u w:val="single"/>
        </w:rPr>
        <w:t>FINDINGS OF FACT</w:t>
      </w:r>
    </w:p>
    <w:p w:rsidR="00491566" w:rsidRPr="00224A30" w:rsidRDefault="00491566" w:rsidP="00491566"/>
    <w:p w:rsidR="00491566" w:rsidRPr="00224A30" w:rsidRDefault="00491566" w:rsidP="00491566">
      <w:pPr>
        <w:jc w:val="left"/>
      </w:pPr>
      <w:r w:rsidRPr="00224A30">
        <w:tab/>
      </w:r>
      <w:r w:rsidRPr="00224A30">
        <w:tab/>
        <w:t>1.</w:t>
      </w:r>
      <w:r w:rsidRPr="00224A30">
        <w:tab/>
        <w:t>A formal Complaint was filed by Rainy M. Gibson, 402 E. Goepp Stree</w:t>
      </w:r>
      <w:r w:rsidR="002F7E0D" w:rsidRPr="00224A30">
        <w:t>t</w:t>
      </w:r>
      <w:r w:rsidRPr="00224A30">
        <w:t>, Bethlehem, PA 18018 on July 10, 2013.</w:t>
      </w:r>
    </w:p>
    <w:p w:rsidR="00491566" w:rsidRPr="00224A30" w:rsidRDefault="00491566" w:rsidP="00491566">
      <w:pPr>
        <w:jc w:val="left"/>
      </w:pPr>
    </w:p>
    <w:p w:rsidR="002F7E0D" w:rsidRPr="00224A30" w:rsidRDefault="00491566" w:rsidP="00491566">
      <w:pPr>
        <w:jc w:val="left"/>
      </w:pPr>
      <w:r w:rsidRPr="00224A30">
        <w:tab/>
      </w:r>
      <w:r w:rsidRPr="00224A30">
        <w:tab/>
        <w:t>2.</w:t>
      </w:r>
      <w:r w:rsidRPr="00224A30">
        <w:tab/>
      </w:r>
      <w:r w:rsidR="002F7E0D" w:rsidRPr="00224A30">
        <w:t>Respondent is PPL Electric Utilities Corporation, a jurisdictional public utility providing residential electric service in the Commonwealth of Pennsylvania.</w:t>
      </w:r>
    </w:p>
    <w:p w:rsidR="002F7E0D" w:rsidRPr="00224A30" w:rsidRDefault="002F7E0D" w:rsidP="00491566">
      <w:pPr>
        <w:jc w:val="left"/>
      </w:pPr>
    </w:p>
    <w:p w:rsidR="002F7E0D" w:rsidRPr="00224A30" w:rsidRDefault="002F7E0D" w:rsidP="00491566">
      <w:pPr>
        <w:jc w:val="left"/>
      </w:pPr>
      <w:r w:rsidRPr="00224A30">
        <w:tab/>
      </w:r>
      <w:r w:rsidRPr="00224A30">
        <w:tab/>
        <w:t>3.</w:t>
      </w:r>
      <w:r w:rsidRPr="00224A30">
        <w:tab/>
        <w:t>The formal Complaint contains no factual allegations against Respondent.</w:t>
      </w:r>
    </w:p>
    <w:p w:rsidR="002F7E0D" w:rsidRPr="00224A30" w:rsidRDefault="002F7E0D" w:rsidP="00491566">
      <w:pPr>
        <w:jc w:val="left"/>
      </w:pPr>
    </w:p>
    <w:p w:rsidR="002F7E0D" w:rsidRPr="00224A30" w:rsidRDefault="002F7E0D" w:rsidP="00491566">
      <w:pPr>
        <w:jc w:val="left"/>
      </w:pPr>
      <w:r w:rsidRPr="00224A30">
        <w:tab/>
      </w:r>
      <w:r w:rsidRPr="00224A30">
        <w:tab/>
        <w:t>4.</w:t>
      </w:r>
      <w:r w:rsidRPr="00224A30">
        <w:tab/>
        <w:t>The formal evidentiary hearing convened as scheduled on Thursday, October 17, 2013.</w:t>
      </w:r>
    </w:p>
    <w:p w:rsidR="002F7E0D" w:rsidRPr="00224A30" w:rsidRDefault="002F7E0D" w:rsidP="00491566">
      <w:pPr>
        <w:jc w:val="left"/>
      </w:pPr>
    </w:p>
    <w:p w:rsidR="002F7E0D" w:rsidRPr="00224A30" w:rsidRDefault="002F7E0D" w:rsidP="00491566">
      <w:pPr>
        <w:jc w:val="left"/>
      </w:pPr>
      <w:r w:rsidRPr="00224A30">
        <w:tab/>
      </w:r>
      <w:r w:rsidRPr="00224A30">
        <w:tab/>
        <w:t>5.</w:t>
      </w:r>
      <w:r w:rsidRPr="00224A30">
        <w:tab/>
        <w:t>Complainant was present by telephone at the formal hearing.</w:t>
      </w:r>
    </w:p>
    <w:p w:rsidR="002F7E0D" w:rsidRPr="00224A30" w:rsidRDefault="002F7E0D" w:rsidP="00491566">
      <w:pPr>
        <w:jc w:val="left"/>
      </w:pPr>
    </w:p>
    <w:p w:rsidR="00491566" w:rsidRPr="00224A30" w:rsidRDefault="002F7E0D" w:rsidP="00491566">
      <w:pPr>
        <w:jc w:val="left"/>
      </w:pPr>
      <w:r w:rsidRPr="00224A30">
        <w:tab/>
      </w:r>
      <w:r w:rsidRPr="00224A30">
        <w:tab/>
        <w:t>6.</w:t>
      </w:r>
      <w:r w:rsidRPr="00224A30">
        <w:tab/>
        <w:t>Complainant refused to testify and failed to submit any evidence.</w:t>
      </w:r>
    </w:p>
    <w:p w:rsidR="002F7E0D" w:rsidRPr="00224A30" w:rsidRDefault="002F7E0D" w:rsidP="00491566">
      <w:pPr>
        <w:jc w:val="left"/>
      </w:pPr>
    </w:p>
    <w:p w:rsidR="002F7E0D" w:rsidRPr="00224A30" w:rsidRDefault="002F7E0D" w:rsidP="00491566">
      <w:pPr>
        <w:jc w:val="left"/>
      </w:pPr>
      <w:r w:rsidRPr="00224A30">
        <w:tab/>
      </w:r>
      <w:r w:rsidRPr="00224A30">
        <w:tab/>
        <w:t>7.</w:t>
      </w:r>
      <w:r w:rsidRPr="00224A30">
        <w:tab/>
        <w:t>There are neither allegations of a violation nor any facts at all in the formal record for this case.</w:t>
      </w:r>
    </w:p>
    <w:p w:rsidR="002F7E0D" w:rsidRPr="00224A30" w:rsidRDefault="002F7E0D" w:rsidP="00491566">
      <w:pPr>
        <w:jc w:val="left"/>
      </w:pPr>
    </w:p>
    <w:p w:rsidR="002F7E0D" w:rsidRPr="00224A30" w:rsidRDefault="002F7E0D" w:rsidP="002F7E0D">
      <w:pPr>
        <w:rPr>
          <w:u w:val="single"/>
        </w:rPr>
      </w:pPr>
      <w:r w:rsidRPr="00224A30">
        <w:rPr>
          <w:u w:val="single"/>
        </w:rPr>
        <w:t>DISCUSSION</w:t>
      </w:r>
    </w:p>
    <w:p w:rsidR="002F7E0D" w:rsidRPr="00224A30" w:rsidRDefault="002F7E0D" w:rsidP="002F7E0D">
      <w:pPr>
        <w:rPr>
          <w:u w:val="single"/>
        </w:rPr>
      </w:pPr>
    </w:p>
    <w:p w:rsidR="006A3A96" w:rsidRPr="00224A30" w:rsidRDefault="00CE0E39" w:rsidP="002F7E0D">
      <w:pPr>
        <w:jc w:val="left"/>
      </w:pPr>
      <w:r w:rsidRPr="00224A30">
        <w:tab/>
      </w:r>
      <w:r w:rsidRPr="00224A30">
        <w:tab/>
        <w:t>The formal Complaint does not allege any facts, and it was only in</w:t>
      </w:r>
      <w:r w:rsidR="006A3A96" w:rsidRPr="00224A30">
        <w:t xml:space="preserve"> the Complaint's</w:t>
      </w:r>
      <w:r w:rsidRPr="00224A30">
        <w:t xml:space="preserve"> deni</w:t>
      </w:r>
      <w:r w:rsidR="006A3A96" w:rsidRPr="00224A30">
        <w:t xml:space="preserve">al of </w:t>
      </w:r>
      <w:r w:rsidRPr="00224A30">
        <w:t>the existence of a BCS investigator</w:t>
      </w:r>
      <w:r w:rsidR="00BC55EE" w:rsidRPr="00224A30">
        <w:t>, establishing that there was a prior BCS informal decision,</w:t>
      </w:r>
      <w:r w:rsidRPr="00224A30">
        <w:t xml:space="preserve"> that Respondent could </w:t>
      </w:r>
      <w:r w:rsidR="00BC55EE" w:rsidRPr="00224A30">
        <w:t xml:space="preserve">find a reason to </w:t>
      </w:r>
      <w:r w:rsidRPr="00224A30">
        <w:t>respond in its Answer.  The BCS informal proceeding at BCS 3085310 resulted in a payment arrangement whereby Complainant was directed to pay $254 budget billing plus $118 monthly towards arrears until the arrearage is paid off.  Rather</w:t>
      </w:r>
      <w:r w:rsidR="009E5278" w:rsidRPr="00224A30">
        <w:t xml:space="preserve"> than allege facts which constitute any wrongdoing actionable before the Commission</w:t>
      </w:r>
      <w:r w:rsidRPr="00224A30">
        <w:t>, the Complaint demands proof that PPL is a legitimate creditor, entitled to collect its debt from Complainant.</w:t>
      </w:r>
    </w:p>
    <w:p w:rsidR="002F7E0D" w:rsidRPr="00224A30" w:rsidRDefault="002F7E0D" w:rsidP="002F7E0D">
      <w:pPr>
        <w:jc w:val="left"/>
      </w:pPr>
      <w:r w:rsidRPr="00224A30">
        <w:tab/>
      </w:r>
    </w:p>
    <w:p w:rsidR="00CE0E39" w:rsidRPr="00224A30" w:rsidRDefault="00CE0E39" w:rsidP="00CE0E39">
      <w:pPr>
        <w:jc w:val="left"/>
      </w:pPr>
      <w:r w:rsidRPr="00224A30">
        <w:tab/>
      </w:r>
      <w:r w:rsidRPr="00224A30">
        <w:tab/>
      </w:r>
      <w:r w:rsidR="009E5278" w:rsidRPr="00224A30">
        <w:t>Contrary to the demands in the Complaint,</w:t>
      </w:r>
      <w:r w:rsidRPr="00224A30">
        <w:t xml:space="preserve"> it is the Complainant who must prove that the utility has done something wrong.  The party seeking affirmative relief from the Commission bea</w:t>
      </w:r>
      <w:r w:rsidR="003926E4">
        <w:t>rs the burden of proof.  66 Pa.</w:t>
      </w:r>
      <w:r w:rsidRPr="00224A30">
        <w:t xml:space="preserve">C.S. § 332(a).  As a matter of law, a complainant must show that the named utility is responsible or accountable for the problem described in the Complaint in order to prevail.  </w:t>
      </w:r>
      <w:r w:rsidRPr="00224A30">
        <w:rPr>
          <w:i/>
        </w:rPr>
        <w:t>Patterson v. Bell Tel. Co. of PA</w:t>
      </w:r>
      <w:r w:rsidRPr="00224A30">
        <w:t>, 72 Pa</w:t>
      </w:r>
      <w:r w:rsidR="00710C55">
        <w:t>.</w:t>
      </w:r>
      <w:r w:rsidRPr="00224A30">
        <w:t xml:space="preserve"> PUC 196 (1990); </w:t>
      </w:r>
      <w:r w:rsidRPr="00224A30">
        <w:rPr>
          <w:i/>
        </w:rPr>
        <w:t>Feinstein v. Phila. Suburban Water Co.</w:t>
      </w:r>
      <w:r w:rsidRPr="00224A30">
        <w:t xml:space="preserve">, 50 Pa. PUC 300 (1976).  This must be shown by a preponderance of the evidence.  </w:t>
      </w:r>
      <w:r w:rsidRPr="00224A30">
        <w:rPr>
          <w:i/>
        </w:rPr>
        <w:t>Samuel J. Lansberry, Inc. v. Pa. Pub. Util. Comm’n,</w:t>
      </w:r>
      <w:r w:rsidRPr="00224A30">
        <w:t xml:space="preserve"> 578 A.2d 600 (1990), </w:t>
      </w:r>
      <w:r w:rsidRPr="00224A30">
        <w:rPr>
          <w:i/>
        </w:rPr>
        <w:t>alloc. denied</w:t>
      </w:r>
      <w:r w:rsidRPr="00224A30">
        <w:t xml:space="preserve">, 602 A.2d 863 (1992).  A preponderance of evidence is that which is </w:t>
      </w:r>
      <w:r w:rsidRPr="00224A30">
        <w:lastRenderedPageBreak/>
        <w:t xml:space="preserve">more convincing, by even the smallest amount, than that presented by the other party.  </w:t>
      </w:r>
      <w:r w:rsidRPr="00224A30">
        <w:rPr>
          <w:i/>
        </w:rPr>
        <w:t>Se-Ling Hosiery v. Mar</w:t>
      </w:r>
      <w:r w:rsidR="00710C55">
        <w:rPr>
          <w:i/>
        </w:rPr>
        <w:t>g</w:t>
      </w:r>
      <w:r w:rsidRPr="00224A30">
        <w:rPr>
          <w:i/>
        </w:rPr>
        <w:t>ulies</w:t>
      </w:r>
      <w:r w:rsidRPr="00224A30">
        <w:t>, 70 A.2d 854 (1950).</w:t>
      </w:r>
    </w:p>
    <w:p w:rsidR="00CE0E39" w:rsidRPr="00224A30" w:rsidRDefault="00CE0E39" w:rsidP="00CE0E39">
      <w:pPr>
        <w:jc w:val="left"/>
      </w:pPr>
    </w:p>
    <w:p w:rsidR="00CE0E39" w:rsidRPr="00224A30" w:rsidRDefault="00CE0E39" w:rsidP="00CE0E39">
      <w:pPr>
        <w:ind w:firstLine="1440"/>
        <w:jc w:val="left"/>
        <w:rPr>
          <w:spacing w:val="-3"/>
        </w:rPr>
      </w:pPr>
      <w:r w:rsidRPr="00224A30">
        <w:rPr>
          <w:spacing w:val="-3"/>
        </w:rPr>
        <w:t xml:space="preserve">Additionally, any finding of fact necessary to support the Commission’s adjudication must be based upon substantial evidence.  </w:t>
      </w:r>
      <w:r w:rsidR="009E5278" w:rsidRPr="00224A30">
        <w:rPr>
          <w:i/>
          <w:spacing w:val="-3"/>
        </w:rPr>
        <w:t>Mill v. Comm’w</w:t>
      </w:r>
      <w:r w:rsidRPr="00224A30">
        <w:rPr>
          <w:i/>
          <w:spacing w:val="-3"/>
        </w:rPr>
        <w:t>, P</w:t>
      </w:r>
      <w:r w:rsidR="009E5278" w:rsidRPr="00224A30">
        <w:rPr>
          <w:i/>
          <w:spacing w:val="-3"/>
        </w:rPr>
        <w:t>a.</w:t>
      </w:r>
      <w:r w:rsidRPr="00224A30">
        <w:rPr>
          <w:i/>
          <w:spacing w:val="-3"/>
        </w:rPr>
        <w:t xml:space="preserve"> Pub</w:t>
      </w:r>
      <w:r w:rsidR="009E5278" w:rsidRPr="00224A30">
        <w:rPr>
          <w:i/>
          <w:spacing w:val="-3"/>
        </w:rPr>
        <w:t>. Util.</w:t>
      </w:r>
      <w:r w:rsidRPr="00224A30">
        <w:rPr>
          <w:i/>
          <w:spacing w:val="-3"/>
        </w:rPr>
        <w:t xml:space="preserve"> Comm’n</w:t>
      </w:r>
      <w:r w:rsidR="00AC32F1">
        <w:rPr>
          <w:spacing w:val="-3"/>
        </w:rPr>
        <w:t>, </w:t>
      </w:r>
      <w:r w:rsidRPr="00224A30">
        <w:rPr>
          <w:spacing w:val="-3"/>
        </w:rPr>
        <w:t xml:space="preserve">447 A.2d 1100 (Pa.Cmwlth.1982); </w:t>
      </w:r>
      <w:r w:rsidRPr="00224A30">
        <w:rPr>
          <w:i/>
          <w:spacing w:val="-3"/>
        </w:rPr>
        <w:t>Edan Transportation Corp. v. P</w:t>
      </w:r>
      <w:r w:rsidR="009E5278" w:rsidRPr="00224A30">
        <w:rPr>
          <w:i/>
          <w:spacing w:val="-3"/>
        </w:rPr>
        <w:t xml:space="preserve">a. </w:t>
      </w:r>
      <w:r w:rsidRPr="00224A30">
        <w:rPr>
          <w:i/>
          <w:spacing w:val="-3"/>
        </w:rPr>
        <w:t>Pub</w:t>
      </w:r>
      <w:r w:rsidR="009E5278" w:rsidRPr="00224A30">
        <w:rPr>
          <w:i/>
          <w:spacing w:val="-3"/>
        </w:rPr>
        <w:t>.</w:t>
      </w:r>
      <w:r w:rsidRPr="00224A30">
        <w:rPr>
          <w:i/>
          <w:spacing w:val="-3"/>
        </w:rPr>
        <w:t xml:space="preserve"> Util</w:t>
      </w:r>
      <w:r w:rsidR="009E5278" w:rsidRPr="00224A30">
        <w:rPr>
          <w:i/>
          <w:spacing w:val="-3"/>
        </w:rPr>
        <w:t>.</w:t>
      </w:r>
      <w:r w:rsidRPr="00224A30">
        <w:rPr>
          <w:i/>
          <w:spacing w:val="-3"/>
        </w:rPr>
        <w:t xml:space="preserve"> Comm’n,</w:t>
      </w:r>
      <w:r w:rsidR="00AC32F1">
        <w:rPr>
          <w:spacing w:val="-3"/>
        </w:rPr>
        <w:t> </w:t>
      </w:r>
      <w:r w:rsidRPr="00224A30">
        <w:rPr>
          <w:spacing w:val="-3"/>
        </w:rPr>
        <w:t xml:space="preserve">623 A.2d 6 (Pa.Cmwlth.1993), 2 Pa.C.S. § 704.  More is required than a mere trace of evidence or a suspicion of the existence of a fact sought to be established.  </w:t>
      </w:r>
      <w:r w:rsidRPr="00224A30">
        <w:rPr>
          <w:i/>
          <w:spacing w:val="-3"/>
        </w:rPr>
        <w:t>Norfolk and Western Ry. v. P</w:t>
      </w:r>
      <w:r w:rsidR="009E5278" w:rsidRPr="00224A30">
        <w:rPr>
          <w:i/>
          <w:spacing w:val="-3"/>
        </w:rPr>
        <w:t xml:space="preserve">a. </w:t>
      </w:r>
      <w:r w:rsidRPr="00224A30">
        <w:rPr>
          <w:i/>
          <w:spacing w:val="-3"/>
        </w:rPr>
        <w:t>Pub</w:t>
      </w:r>
      <w:r w:rsidR="009E5278" w:rsidRPr="00224A30">
        <w:rPr>
          <w:i/>
          <w:spacing w:val="-3"/>
        </w:rPr>
        <w:t>.</w:t>
      </w:r>
      <w:r w:rsidRPr="00224A30">
        <w:rPr>
          <w:i/>
          <w:spacing w:val="-3"/>
        </w:rPr>
        <w:t xml:space="preserve"> Util</w:t>
      </w:r>
      <w:r w:rsidR="009E5278" w:rsidRPr="00224A30">
        <w:rPr>
          <w:i/>
          <w:spacing w:val="-3"/>
        </w:rPr>
        <w:t>.</w:t>
      </w:r>
      <w:r w:rsidRPr="00224A30">
        <w:rPr>
          <w:i/>
          <w:spacing w:val="-3"/>
        </w:rPr>
        <w:t xml:space="preserve"> Comm’n</w:t>
      </w:r>
      <w:r w:rsidRPr="00224A30">
        <w:rPr>
          <w:spacing w:val="-3"/>
        </w:rPr>
        <w:t xml:space="preserve">, 489 Pa. 109, 413 A.2d 1037 (1980); </w:t>
      </w:r>
      <w:r w:rsidRPr="00224A30">
        <w:rPr>
          <w:i/>
          <w:spacing w:val="-3"/>
        </w:rPr>
        <w:t>Erie Resistor Corp. v. Unemployment Compensation Bd. of Review</w:t>
      </w:r>
      <w:r w:rsidRPr="00224A30">
        <w:rPr>
          <w:spacing w:val="-3"/>
        </w:rPr>
        <w:t xml:space="preserve">, 166 A.2d 96 (Pa.Super.1960); </w:t>
      </w:r>
      <w:r w:rsidRPr="00224A30">
        <w:rPr>
          <w:i/>
          <w:spacing w:val="-3"/>
        </w:rPr>
        <w:t>Murphy v. Commonwealth, Dep’t. of Public Welfare, White Haven Center</w:t>
      </w:r>
      <w:r w:rsidRPr="00224A30">
        <w:rPr>
          <w:spacing w:val="-3"/>
        </w:rPr>
        <w:t>, 480 A.2d 382 (Pa.Cmwlth.1984).</w:t>
      </w:r>
    </w:p>
    <w:p w:rsidR="00CE0E39" w:rsidRPr="00224A30" w:rsidRDefault="00CE0E39" w:rsidP="00CE0E39">
      <w:pPr>
        <w:ind w:firstLine="1440"/>
        <w:jc w:val="left"/>
        <w:rPr>
          <w:spacing w:val="-3"/>
        </w:rPr>
      </w:pPr>
    </w:p>
    <w:p w:rsidR="00CE0E39" w:rsidRPr="00224A30" w:rsidRDefault="00CE0E39" w:rsidP="00CE0E39">
      <w:pPr>
        <w:jc w:val="left"/>
      </w:pPr>
      <w:r w:rsidRPr="00224A30">
        <w:tab/>
      </w:r>
      <w:r w:rsidRPr="00224A30">
        <w:tab/>
        <w:t>The offense must be a violation of the Public Utility Code, the Commission’s regulations, or an outstanding o</w:t>
      </w:r>
      <w:r w:rsidR="0015126F">
        <w:t>rder of the Commission.  66 Pa.</w:t>
      </w:r>
      <w:r w:rsidRPr="00224A30">
        <w:t>C.S. § 701.</w:t>
      </w:r>
    </w:p>
    <w:p w:rsidR="00CE0E39" w:rsidRPr="00224A30" w:rsidRDefault="00CE0E39" w:rsidP="00CE0E39"/>
    <w:p w:rsidR="00CE0E39" w:rsidRPr="00224A30" w:rsidRDefault="005403A0" w:rsidP="00351574">
      <w:pPr>
        <w:jc w:val="left"/>
      </w:pPr>
      <w:r w:rsidRPr="00224A30">
        <w:tab/>
      </w:r>
      <w:r w:rsidRPr="00224A30">
        <w:tab/>
        <w:t xml:space="preserve">For the Complainant to be successful, the first requirement is that the Complaint state a claim.  Here, there is no allegation of any violation of the Public Utility Code, the Commission's regulations, or an outstanding order of the Commission.  </w:t>
      </w:r>
      <w:r w:rsidR="006164B2" w:rsidRPr="00224A30">
        <w:t>T</w:t>
      </w:r>
      <w:r w:rsidRPr="00224A30">
        <w:t xml:space="preserve">here was a BCS informal decision which set a payment agreement, and this Complaint was filed within the time period for a timely appeal.  </w:t>
      </w:r>
      <w:r w:rsidR="006164B2" w:rsidRPr="00224A30">
        <w:t>Normally, the Commission might view this fact as enough to state a claim</w:t>
      </w:r>
      <w:r w:rsidR="00BC55EE" w:rsidRPr="00224A30">
        <w:t xml:space="preserve"> and assume that the subject matter is the same, but here</w:t>
      </w:r>
      <w:r w:rsidRPr="00224A30">
        <w:t xml:space="preserve">, the Complaint </w:t>
      </w:r>
      <w:r w:rsidR="006164B2" w:rsidRPr="00224A30">
        <w:t xml:space="preserve">specifically </w:t>
      </w:r>
      <w:r w:rsidRPr="00224A30">
        <w:t>denies that this is</w:t>
      </w:r>
      <w:r w:rsidR="009E5278" w:rsidRPr="00224A30">
        <w:t xml:space="preserve"> </w:t>
      </w:r>
      <w:r w:rsidRPr="00224A30">
        <w:t>an appeal</w:t>
      </w:r>
      <w:r w:rsidR="00BC55EE" w:rsidRPr="00224A30">
        <w:t xml:space="preserve"> from a BCS determination</w:t>
      </w:r>
      <w:r w:rsidRPr="00224A30">
        <w:t xml:space="preserve">.  </w:t>
      </w:r>
      <w:r w:rsidRPr="00224A30">
        <w:rPr>
          <w:i/>
        </w:rPr>
        <w:t xml:space="preserve">See </w:t>
      </w:r>
      <w:r w:rsidRPr="00224A30">
        <w:t xml:space="preserve">Complaint at ¶ </w:t>
      </w:r>
      <w:r w:rsidR="00383530" w:rsidRPr="00224A30">
        <w:t>7.</w:t>
      </w:r>
    </w:p>
    <w:p w:rsidR="00383530" w:rsidRPr="00224A30" w:rsidRDefault="00383530" w:rsidP="00351574">
      <w:pPr>
        <w:jc w:val="left"/>
      </w:pPr>
    </w:p>
    <w:p w:rsidR="00383530" w:rsidRPr="00224A30" w:rsidRDefault="00383530" w:rsidP="00351574">
      <w:pPr>
        <w:jc w:val="left"/>
      </w:pPr>
      <w:r w:rsidRPr="00224A30">
        <w:tab/>
      </w:r>
      <w:r w:rsidRPr="00224A30">
        <w:tab/>
        <w:t xml:space="preserve">The Complaint does state that it disputes PPL's </w:t>
      </w:r>
      <w:r w:rsidR="00BC55EE" w:rsidRPr="00224A30">
        <w:t>"</w:t>
      </w:r>
      <w:r w:rsidRPr="00224A30">
        <w:t>whole claim,</w:t>
      </w:r>
      <w:r w:rsidR="00BC55EE" w:rsidRPr="00224A30">
        <w:t>"</w:t>
      </w:r>
      <w:r w:rsidRPr="00224A30">
        <w:t xml:space="preserve"> but </w:t>
      </w:r>
      <w:r w:rsidR="00BC55EE" w:rsidRPr="00224A30">
        <w:t xml:space="preserve">it </w:t>
      </w:r>
      <w:r w:rsidRPr="00224A30">
        <w:t>does not identify what that claim is.  In response to PPL's submission of proposed exhibits, Complainant submitted a document purporting to be a notice of appearance</w:t>
      </w:r>
      <w:r w:rsidR="006A3A96" w:rsidRPr="00224A30">
        <w:t>, which is not necessary as Complainant had signed the Complaint, which initiated the proceeding,</w:t>
      </w:r>
      <w:r w:rsidRPr="00224A30">
        <w:t xml:space="preserve"> and notice of civil rights violations.  </w:t>
      </w:r>
      <w:r w:rsidR="006A3A96" w:rsidRPr="00224A30">
        <w:t xml:space="preserve">It does not fall within the list of accepted pleadings, 52 Pa.Code § 1.8.  </w:t>
      </w:r>
      <w:r w:rsidRPr="00224A30">
        <w:t xml:space="preserve">The entire document is </w:t>
      </w:r>
      <w:r w:rsidR="00BC55EE" w:rsidRPr="00224A30">
        <w:t>written in English</w:t>
      </w:r>
      <w:r w:rsidRPr="00224A30">
        <w:t xml:space="preserve"> but</w:t>
      </w:r>
      <w:r w:rsidR="00BC55EE" w:rsidRPr="00224A30">
        <w:t xml:space="preserve"> when read is incoherent</w:t>
      </w:r>
      <w:r w:rsidRPr="00224A30">
        <w:t xml:space="preserve">, and is in no way appropriate for use </w:t>
      </w:r>
      <w:r w:rsidRPr="00224A30">
        <w:lastRenderedPageBreak/>
        <w:t>as an exhibit</w:t>
      </w:r>
      <w:r w:rsidR="00BC55EE" w:rsidRPr="00224A30">
        <w:t xml:space="preserve">, as it fails to </w:t>
      </w:r>
      <w:r w:rsidR="0051694C" w:rsidRPr="00224A30">
        <w:t xml:space="preserve">introduce or </w:t>
      </w:r>
      <w:r w:rsidR="00BC55EE" w:rsidRPr="00224A30">
        <w:t>establish facts in support of anything</w:t>
      </w:r>
      <w:r w:rsidRPr="00224A30">
        <w:t>.</w:t>
      </w:r>
      <w:r w:rsidRPr="00224A30">
        <w:rPr>
          <w:rStyle w:val="FootnoteReference"/>
        </w:rPr>
        <w:footnoteReference w:id="2"/>
      </w:r>
      <w:r w:rsidRPr="00224A30">
        <w:t xml:space="preserve">  </w:t>
      </w:r>
      <w:r w:rsidR="00BC55EE" w:rsidRPr="00224A30">
        <w:t xml:space="preserve">It was not offered into evidence, </w:t>
      </w:r>
      <w:r w:rsidRPr="00224A30">
        <w:t>and it is not admitted.</w:t>
      </w:r>
    </w:p>
    <w:p w:rsidR="006A3A96" w:rsidRPr="00224A30" w:rsidRDefault="006A3A96" w:rsidP="00351574">
      <w:pPr>
        <w:jc w:val="left"/>
      </w:pPr>
    </w:p>
    <w:p w:rsidR="00523B02" w:rsidRPr="00224A30" w:rsidRDefault="006A3A96" w:rsidP="00351574">
      <w:pPr>
        <w:jc w:val="left"/>
      </w:pPr>
      <w:r w:rsidRPr="00224A30">
        <w:tab/>
      </w:r>
      <w:r w:rsidRPr="00224A30">
        <w:tab/>
      </w:r>
      <w:r w:rsidR="00383530" w:rsidRPr="00224A30">
        <w:t>The last paragraph of the document purports to "fire" PPL counsel and me "as beneficiary and trustee of this invalid claim</w:t>
      </w:r>
      <w:r w:rsidR="006164B2" w:rsidRPr="00224A30">
        <w:rPr>
          <w:rStyle w:val="FootnoteReference"/>
        </w:rPr>
        <w:footnoteReference w:id="3"/>
      </w:r>
      <w:r w:rsidR="00383530" w:rsidRPr="00224A30">
        <w:t xml:space="preserve"> and is disallowed for making any decisions regarding this claim for lack of jurisdiction, violation of civil rights, and wiretapping state laws."  However, I held the hearing as scheduled and gave the Complainant an opportunity to state and support her case.  She declined to state her case, and </w:t>
      </w:r>
      <w:r w:rsidR="001B4AA6" w:rsidRPr="00224A30">
        <w:t xml:space="preserve">she was warned that the Complaint would be dismissed if she did not provide a claim and supporting evidence.  </w:t>
      </w:r>
      <w:r w:rsidR="00523B02" w:rsidRPr="00224A30">
        <w:t>She did not present a case.</w:t>
      </w:r>
    </w:p>
    <w:p w:rsidR="00523B02" w:rsidRPr="00224A30" w:rsidRDefault="00523B02" w:rsidP="00351574">
      <w:pPr>
        <w:jc w:val="left"/>
      </w:pPr>
    </w:p>
    <w:p w:rsidR="001B4AA6" w:rsidRPr="00224A30" w:rsidRDefault="00523B02" w:rsidP="00351574">
      <w:pPr>
        <w:jc w:val="left"/>
      </w:pPr>
      <w:r w:rsidRPr="00224A30">
        <w:tab/>
      </w:r>
      <w:r w:rsidRPr="00224A30">
        <w:tab/>
      </w:r>
      <w:r w:rsidR="001B4AA6" w:rsidRPr="00224A30">
        <w:t>She chose the venue and she failed to comply with its rules, even after they were explained to her in writing</w:t>
      </w:r>
      <w:r w:rsidR="00BC76D1" w:rsidRPr="00224A30">
        <w:t xml:space="preserve"> through the Prehearing Order, </w:t>
      </w:r>
      <w:r w:rsidR="001B4AA6" w:rsidRPr="00224A30">
        <w:t>and</w:t>
      </w:r>
      <w:r w:rsidR="00BC76D1" w:rsidRPr="00224A30">
        <w:t xml:space="preserve"> during</w:t>
      </w:r>
      <w:r w:rsidR="001B4AA6" w:rsidRPr="00224A30">
        <w:t xml:space="preserve"> the hearing.</w:t>
      </w:r>
    </w:p>
    <w:p w:rsidR="005403A0" w:rsidRPr="00224A30" w:rsidRDefault="001B4AA6" w:rsidP="00351574">
      <w:pPr>
        <w:jc w:val="left"/>
      </w:pPr>
      <w:r w:rsidRPr="00224A30">
        <w:tab/>
      </w:r>
      <w:r w:rsidRPr="00224A30">
        <w:tab/>
      </w:r>
    </w:p>
    <w:p w:rsidR="001B4AA6" w:rsidRPr="00224A30" w:rsidRDefault="006164B2" w:rsidP="001B4AA6">
      <w:pPr>
        <w:jc w:val="left"/>
      </w:pPr>
      <w:r w:rsidRPr="00224A30">
        <w:tab/>
      </w:r>
      <w:r w:rsidRPr="00224A30">
        <w:tab/>
      </w:r>
      <w:r w:rsidR="00BC76D1" w:rsidRPr="00224A30">
        <w:t>T</w:t>
      </w:r>
      <w:r w:rsidRPr="00224A30">
        <w:t xml:space="preserve">he Commission is required to </w:t>
      </w:r>
      <w:r w:rsidR="00BC76D1" w:rsidRPr="00224A30">
        <w:t>provide</w:t>
      </w:r>
      <w:r w:rsidRPr="00224A30">
        <w:t xml:space="preserve"> an opportunity to be heard to any complainant, </w:t>
      </w:r>
      <w:r w:rsidR="00BC76D1" w:rsidRPr="00224A30">
        <w:t>and this was done here.  A complaint proceeding is meant to right a wrong or to identify a short-coming on the part of a jurisdictional utility which should be addressed for the benefit of one or more ratepayers.  Here, no attempt was made to do anything but expend the time and resources of utility and Commission staff</w:t>
      </w:r>
      <w:r w:rsidR="00523B02" w:rsidRPr="00224A30">
        <w:t xml:space="preserve"> for no useful purpose</w:t>
      </w:r>
      <w:r w:rsidR="00BC76D1" w:rsidRPr="00224A30">
        <w:t>.</w:t>
      </w:r>
    </w:p>
    <w:p w:rsidR="006164B2" w:rsidRPr="00224A30" w:rsidRDefault="006164B2" w:rsidP="00351574">
      <w:pPr>
        <w:jc w:val="left"/>
      </w:pPr>
    </w:p>
    <w:p w:rsidR="006164B2" w:rsidRPr="00224A30" w:rsidRDefault="006164B2" w:rsidP="00351574">
      <w:pPr>
        <w:jc w:val="left"/>
      </w:pPr>
      <w:r w:rsidRPr="00224A30">
        <w:tab/>
      </w:r>
      <w:r w:rsidRPr="00224A30">
        <w:tab/>
        <w:t xml:space="preserve">The Third Circuit Court of Appeals imparted the following wisdom to a sovereign citizen, and it seems appropriate to </w:t>
      </w:r>
      <w:r w:rsidR="00BC76D1" w:rsidRPr="00224A30">
        <w:t>repeat</w:t>
      </w:r>
      <w:r w:rsidRPr="00224A30">
        <w:t xml:space="preserve"> it here:</w:t>
      </w:r>
    </w:p>
    <w:p w:rsidR="006164B2" w:rsidRPr="00224A30" w:rsidRDefault="006164B2" w:rsidP="00351574">
      <w:pPr>
        <w:jc w:val="left"/>
      </w:pPr>
    </w:p>
    <w:p w:rsidR="005403A0" w:rsidRDefault="005403A0" w:rsidP="006164B2">
      <w:pPr>
        <w:spacing w:line="240" w:lineRule="auto"/>
        <w:ind w:left="1440" w:right="1440"/>
        <w:jc w:val="left"/>
      </w:pPr>
      <w:r w:rsidRPr="00224A30">
        <w:t>In closing, we note that Coppedge's sovereign-citizen-based averments, which frequently rely on attacks on the judiciary and invocations of alchemistic, archaic, and irrelevant formalism, are unlikely to bring him relief in any court of law, and he would be wise to direct his energies in a more productive direction.</w:t>
      </w:r>
    </w:p>
    <w:p w:rsidR="003A4C1E" w:rsidRPr="00224A30" w:rsidRDefault="003A4C1E" w:rsidP="006164B2">
      <w:pPr>
        <w:spacing w:line="240" w:lineRule="auto"/>
        <w:ind w:left="1440" w:right="1440"/>
        <w:jc w:val="left"/>
      </w:pPr>
    </w:p>
    <w:p w:rsidR="005403A0" w:rsidRPr="00224A30" w:rsidRDefault="005403A0" w:rsidP="006164B2">
      <w:pPr>
        <w:jc w:val="left"/>
      </w:pPr>
      <w:r w:rsidRPr="00224A30">
        <w:lastRenderedPageBreak/>
        <w:t>J</w:t>
      </w:r>
      <w:r w:rsidR="006164B2" w:rsidRPr="00224A30">
        <w:t>ames</w:t>
      </w:r>
      <w:r w:rsidRPr="00224A30">
        <w:t xml:space="preserve"> C</w:t>
      </w:r>
      <w:r w:rsidR="006164B2" w:rsidRPr="00224A30">
        <w:t>oppedge</w:t>
      </w:r>
      <w:r w:rsidRPr="00224A30">
        <w:t xml:space="preserve"> v. D</w:t>
      </w:r>
      <w:r w:rsidR="006164B2" w:rsidRPr="00224A30">
        <w:t xml:space="preserve">eutsche </w:t>
      </w:r>
      <w:r w:rsidRPr="00224A30">
        <w:t>B</w:t>
      </w:r>
      <w:r w:rsidR="006164B2" w:rsidRPr="00224A30">
        <w:t>and</w:t>
      </w:r>
      <w:r w:rsidRPr="00224A30">
        <w:t xml:space="preserve"> N</w:t>
      </w:r>
      <w:r w:rsidR="006164B2" w:rsidRPr="00224A30">
        <w:t>ational</w:t>
      </w:r>
      <w:r w:rsidRPr="00224A30">
        <w:t xml:space="preserve"> T</w:t>
      </w:r>
      <w:r w:rsidR="006164B2" w:rsidRPr="00224A30">
        <w:t>rust, et al</w:t>
      </w:r>
      <w:r w:rsidRPr="00224A30">
        <w:t>.</w:t>
      </w:r>
      <w:r w:rsidR="006164B2" w:rsidRPr="00224A30">
        <w:t>, 511 Fed. Appx. 130; 2013 U.S. App. LEXIS 1417 (2013).</w:t>
      </w:r>
    </w:p>
    <w:p w:rsidR="00BC55EE" w:rsidRPr="00224A30" w:rsidRDefault="00BC55EE" w:rsidP="006164B2">
      <w:pPr>
        <w:jc w:val="left"/>
      </w:pPr>
    </w:p>
    <w:p w:rsidR="00BC55EE" w:rsidRPr="00224A30" w:rsidRDefault="00BC55EE" w:rsidP="006164B2">
      <w:pPr>
        <w:jc w:val="left"/>
      </w:pPr>
      <w:r w:rsidRPr="00224A30">
        <w:tab/>
      </w:r>
      <w:r w:rsidRPr="00224A30">
        <w:tab/>
      </w:r>
      <w:r w:rsidR="00BC76D1" w:rsidRPr="00224A30">
        <w:t xml:space="preserve">PPL counsel moved for dismissal due to lack of prosecution.  This motion is granted.  </w:t>
      </w:r>
      <w:r w:rsidRPr="00224A30">
        <w:t>The Complaint is dismissed.</w:t>
      </w:r>
    </w:p>
    <w:p w:rsidR="00BC55EE" w:rsidRPr="00224A30" w:rsidRDefault="00BC55EE" w:rsidP="006164B2">
      <w:pPr>
        <w:jc w:val="left"/>
      </w:pPr>
    </w:p>
    <w:p w:rsidR="00BC55EE" w:rsidRPr="00224A30" w:rsidRDefault="00BC55EE" w:rsidP="00BC55EE">
      <w:pPr>
        <w:rPr>
          <w:u w:val="single"/>
        </w:rPr>
      </w:pPr>
      <w:r w:rsidRPr="00224A30">
        <w:rPr>
          <w:u w:val="single"/>
        </w:rPr>
        <w:t>CONCLUSIONS OF LAW</w:t>
      </w:r>
    </w:p>
    <w:p w:rsidR="00BC55EE" w:rsidRPr="00224A30" w:rsidRDefault="00BC55EE" w:rsidP="00BC55EE">
      <w:pPr>
        <w:rPr>
          <w:u w:val="single"/>
        </w:rPr>
      </w:pPr>
    </w:p>
    <w:p w:rsidR="005403A0" w:rsidRPr="00224A30" w:rsidRDefault="00BC55EE" w:rsidP="00BC55EE">
      <w:pPr>
        <w:jc w:val="left"/>
      </w:pPr>
      <w:r w:rsidRPr="00224A30">
        <w:tab/>
      </w:r>
      <w:r w:rsidRPr="00224A30">
        <w:tab/>
        <w:t>1.</w:t>
      </w:r>
      <w:r w:rsidRPr="00224A30">
        <w:tab/>
      </w:r>
      <w:r w:rsidR="0051694C" w:rsidRPr="00224A30">
        <w:t>The Commission has jurisdiction over a complaint filed against a public utility.  66 Pa.C.S. § 701.</w:t>
      </w:r>
    </w:p>
    <w:p w:rsidR="0051694C" w:rsidRPr="00224A30" w:rsidRDefault="0051694C" w:rsidP="00BC55EE">
      <w:pPr>
        <w:jc w:val="left"/>
      </w:pPr>
    </w:p>
    <w:p w:rsidR="0051694C" w:rsidRPr="00224A30" w:rsidRDefault="0051694C" w:rsidP="0051694C">
      <w:pPr>
        <w:jc w:val="left"/>
      </w:pPr>
      <w:r w:rsidRPr="00224A30">
        <w:tab/>
      </w:r>
      <w:r w:rsidRPr="00224A30">
        <w:tab/>
        <w:t>2.</w:t>
      </w:r>
      <w:r w:rsidRPr="00224A30">
        <w:tab/>
        <w:t>The party seeking affirmative relief from the Commission bears the burden of proof.  66 Pa.C.S. § 332(a).</w:t>
      </w:r>
    </w:p>
    <w:p w:rsidR="0051694C" w:rsidRPr="00224A30" w:rsidRDefault="0051694C" w:rsidP="0051694C">
      <w:pPr>
        <w:jc w:val="left"/>
      </w:pPr>
    </w:p>
    <w:p w:rsidR="0051694C" w:rsidRPr="00224A30" w:rsidRDefault="0051694C" w:rsidP="0051694C">
      <w:pPr>
        <w:jc w:val="left"/>
      </w:pPr>
      <w:r w:rsidRPr="00224A30">
        <w:tab/>
      </w:r>
      <w:r w:rsidRPr="00224A30">
        <w:tab/>
        <w:t>3.</w:t>
      </w:r>
      <w:r w:rsidRPr="00224A30">
        <w:tab/>
        <w:t xml:space="preserve">As a matter of law, a complainant must show that the named utility is responsible or accountable for the problem described in the Complaint in order to prevail.  </w:t>
      </w:r>
      <w:r w:rsidRPr="00224A30">
        <w:rPr>
          <w:i/>
        </w:rPr>
        <w:t>Patterson v. Bell Tel. Co. of PA</w:t>
      </w:r>
      <w:r w:rsidRPr="00224A30">
        <w:t>, 72 Pa</w:t>
      </w:r>
      <w:r w:rsidR="00710C55">
        <w:t>.</w:t>
      </w:r>
      <w:r w:rsidRPr="00224A30">
        <w:t xml:space="preserve">PUC 196 (1990); </w:t>
      </w:r>
      <w:r w:rsidRPr="00224A30">
        <w:rPr>
          <w:i/>
        </w:rPr>
        <w:t>Feinstein v. Phila. Suburban Water Co.</w:t>
      </w:r>
      <w:r w:rsidR="00AC1EA2">
        <w:t>, </w:t>
      </w:r>
      <w:r w:rsidRPr="00224A30">
        <w:t>50 Pa. PUC 300 (1976).</w:t>
      </w:r>
    </w:p>
    <w:p w:rsidR="0051694C" w:rsidRPr="00224A30" w:rsidRDefault="0051694C" w:rsidP="0051694C">
      <w:pPr>
        <w:jc w:val="left"/>
      </w:pPr>
    </w:p>
    <w:p w:rsidR="0051694C" w:rsidRPr="00224A30" w:rsidRDefault="0051694C" w:rsidP="0051694C">
      <w:pPr>
        <w:jc w:val="left"/>
      </w:pPr>
      <w:r w:rsidRPr="00224A30">
        <w:tab/>
      </w:r>
      <w:r w:rsidRPr="00224A30">
        <w:tab/>
        <w:t>4.</w:t>
      </w:r>
      <w:r w:rsidRPr="00224A30">
        <w:tab/>
        <w:t xml:space="preserve">This must be shown by a preponderance of the evidence.  </w:t>
      </w:r>
      <w:r w:rsidRPr="00224A30">
        <w:rPr>
          <w:i/>
        </w:rPr>
        <w:t>Samuel J. Lansberry, Inc. v. Pa. Pub. Util. Comm’n,</w:t>
      </w:r>
      <w:r w:rsidRPr="00224A30">
        <w:t xml:space="preserve"> 578 A.2d 600 (1990), </w:t>
      </w:r>
      <w:r w:rsidRPr="00224A30">
        <w:rPr>
          <w:i/>
        </w:rPr>
        <w:t>alloc. denied</w:t>
      </w:r>
      <w:r w:rsidRPr="00224A30">
        <w:t>, 602 A.2d 863 (1992).</w:t>
      </w:r>
    </w:p>
    <w:p w:rsidR="0051694C" w:rsidRPr="00224A30" w:rsidRDefault="0051694C" w:rsidP="0051694C">
      <w:pPr>
        <w:jc w:val="left"/>
      </w:pPr>
    </w:p>
    <w:p w:rsidR="0051694C" w:rsidRPr="00224A30" w:rsidRDefault="0051694C" w:rsidP="0051694C">
      <w:pPr>
        <w:jc w:val="left"/>
      </w:pPr>
      <w:r w:rsidRPr="00224A30">
        <w:tab/>
      </w:r>
      <w:r w:rsidRPr="00224A30">
        <w:tab/>
        <w:t>5.</w:t>
      </w:r>
      <w:r w:rsidRPr="00224A30">
        <w:tab/>
        <w:t xml:space="preserve">A preponderance of evidence is that which is more convincing, by even the smallest amount, than that presented by the other party.  </w:t>
      </w:r>
      <w:r w:rsidRPr="00224A30">
        <w:rPr>
          <w:i/>
        </w:rPr>
        <w:t>Se-Ling Hosiery v. Mar</w:t>
      </w:r>
      <w:r w:rsidR="00710C55">
        <w:rPr>
          <w:i/>
        </w:rPr>
        <w:t>g</w:t>
      </w:r>
      <w:r w:rsidRPr="00224A30">
        <w:rPr>
          <w:i/>
        </w:rPr>
        <w:t>ulies</w:t>
      </w:r>
      <w:r w:rsidRPr="00224A30">
        <w:t>, 70 A.2d 854 (1950).</w:t>
      </w:r>
    </w:p>
    <w:p w:rsidR="0051694C" w:rsidRPr="00224A30" w:rsidRDefault="0051694C" w:rsidP="0051694C">
      <w:pPr>
        <w:jc w:val="left"/>
      </w:pPr>
    </w:p>
    <w:p w:rsidR="0051694C" w:rsidRPr="00224A30" w:rsidRDefault="0051694C" w:rsidP="0051694C">
      <w:pPr>
        <w:ind w:firstLine="1440"/>
        <w:jc w:val="left"/>
        <w:rPr>
          <w:spacing w:val="-3"/>
        </w:rPr>
      </w:pPr>
      <w:r w:rsidRPr="00224A30">
        <w:rPr>
          <w:spacing w:val="-3"/>
        </w:rPr>
        <w:t>6.</w:t>
      </w:r>
      <w:r w:rsidRPr="00224A30">
        <w:rPr>
          <w:spacing w:val="-3"/>
        </w:rPr>
        <w:tab/>
        <w:t xml:space="preserve">Any finding of fact necessary to support the Commission’s adjudication must be based upon substantial evidence.  </w:t>
      </w:r>
      <w:r w:rsidRPr="00224A30">
        <w:rPr>
          <w:i/>
          <w:spacing w:val="-3"/>
        </w:rPr>
        <w:t>Mill v. Comm’w, Pa. Pub. Util. Comm’n</w:t>
      </w:r>
      <w:r w:rsidRPr="00224A30">
        <w:rPr>
          <w:spacing w:val="-3"/>
        </w:rPr>
        <w:t xml:space="preserve">, 447 A.2d 1100 (Pa.Cmwlth.1982); </w:t>
      </w:r>
      <w:r w:rsidRPr="00224A30">
        <w:rPr>
          <w:i/>
          <w:spacing w:val="-3"/>
        </w:rPr>
        <w:t>Edan Transportation Corp. v. Pa. Pub. Util. Comm’n,</w:t>
      </w:r>
      <w:r w:rsidRPr="00224A30">
        <w:rPr>
          <w:spacing w:val="-3"/>
        </w:rPr>
        <w:t xml:space="preserve"> 623 A.2d 6 (Pa.Cmwlth.1993), 2 Pa.C.S. § 704.  More is required than a mere trace of evidence or a suspicion </w:t>
      </w:r>
      <w:r w:rsidRPr="00224A30">
        <w:rPr>
          <w:spacing w:val="-3"/>
        </w:rPr>
        <w:lastRenderedPageBreak/>
        <w:t xml:space="preserve">of the existence of a fact sought to be established.  </w:t>
      </w:r>
      <w:r w:rsidRPr="00224A30">
        <w:rPr>
          <w:i/>
          <w:spacing w:val="-3"/>
        </w:rPr>
        <w:t>Norfolk and Western Ry. v. Pa. Pub. Util. Comm’n</w:t>
      </w:r>
      <w:r w:rsidRPr="00224A30">
        <w:rPr>
          <w:spacing w:val="-3"/>
        </w:rPr>
        <w:t xml:space="preserve">, 489 Pa. 109, 413 A.2d 1037 (1980); </w:t>
      </w:r>
      <w:r w:rsidRPr="00224A30">
        <w:rPr>
          <w:i/>
          <w:spacing w:val="-3"/>
        </w:rPr>
        <w:t>Erie Resistor Corp. v. Unemployment Compensation Bd. of Review</w:t>
      </w:r>
      <w:r w:rsidRPr="00224A30">
        <w:rPr>
          <w:spacing w:val="-3"/>
        </w:rPr>
        <w:t xml:space="preserve">, 166 A.2d 96 (Pa.Super.1960); </w:t>
      </w:r>
      <w:r w:rsidRPr="00224A30">
        <w:rPr>
          <w:i/>
          <w:spacing w:val="-3"/>
        </w:rPr>
        <w:t>Murphy v. Commonwealth, Dep’t. of Public Welfare, White Haven Center</w:t>
      </w:r>
      <w:r w:rsidRPr="00224A30">
        <w:rPr>
          <w:spacing w:val="-3"/>
        </w:rPr>
        <w:t>, 480 A.2d 382 (Pa.Cmwlth.1984).</w:t>
      </w:r>
    </w:p>
    <w:p w:rsidR="0051694C" w:rsidRPr="00224A30" w:rsidRDefault="0051694C" w:rsidP="0051694C">
      <w:pPr>
        <w:ind w:firstLine="1440"/>
        <w:jc w:val="left"/>
        <w:rPr>
          <w:spacing w:val="-3"/>
        </w:rPr>
      </w:pPr>
    </w:p>
    <w:p w:rsidR="0051694C" w:rsidRPr="00224A30" w:rsidRDefault="0051694C" w:rsidP="0051694C">
      <w:pPr>
        <w:jc w:val="left"/>
      </w:pPr>
      <w:r w:rsidRPr="00224A30">
        <w:tab/>
      </w:r>
      <w:r w:rsidRPr="00224A30">
        <w:tab/>
        <w:t>7.</w:t>
      </w:r>
      <w:r w:rsidRPr="00224A30">
        <w:tab/>
        <w:t>The offense must be a violation of the Public Utility Code, the Commission’s regulations, or an outstanding o</w:t>
      </w:r>
      <w:r w:rsidR="003D44A8">
        <w:t>rder of the Commission.  66 Pa.</w:t>
      </w:r>
      <w:r w:rsidRPr="00224A30">
        <w:t>C.S. § 701.</w:t>
      </w:r>
    </w:p>
    <w:p w:rsidR="0051694C" w:rsidRPr="00224A30" w:rsidRDefault="0051694C" w:rsidP="0051694C">
      <w:pPr>
        <w:jc w:val="left"/>
      </w:pPr>
    </w:p>
    <w:p w:rsidR="0051694C" w:rsidRPr="00224A30" w:rsidRDefault="0051694C" w:rsidP="0051694C">
      <w:pPr>
        <w:jc w:val="left"/>
      </w:pPr>
      <w:r w:rsidRPr="00224A30">
        <w:tab/>
      </w:r>
      <w:r w:rsidRPr="00224A30">
        <w:tab/>
        <w:t>8.</w:t>
      </w:r>
      <w:r w:rsidRPr="00224A30">
        <w:tab/>
        <w:t>Complainant failed to provide any evidence in this case.</w:t>
      </w:r>
    </w:p>
    <w:p w:rsidR="0051694C" w:rsidRPr="00224A30" w:rsidRDefault="0051694C" w:rsidP="0051694C">
      <w:pPr>
        <w:jc w:val="left"/>
      </w:pPr>
    </w:p>
    <w:p w:rsidR="0051694C" w:rsidRPr="00224A30" w:rsidRDefault="0051694C" w:rsidP="0051694C">
      <w:pPr>
        <w:rPr>
          <w:b/>
          <w:u w:val="single"/>
        </w:rPr>
      </w:pPr>
      <w:r w:rsidRPr="00224A30">
        <w:rPr>
          <w:b/>
          <w:u w:val="single"/>
        </w:rPr>
        <w:t>ORDER</w:t>
      </w:r>
    </w:p>
    <w:p w:rsidR="0051694C" w:rsidRDefault="0051694C" w:rsidP="0051694C">
      <w:pPr>
        <w:rPr>
          <w:b/>
          <w:u w:val="single"/>
        </w:rPr>
      </w:pPr>
    </w:p>
    <w:p w:rsidR="003D44A8" w:rsidRPr="00224A30" w:rsidRDefault="003D44A8" w:rsidP="0051694C">
      <w:pPr>
        <w:rPr>
          <w:b/>
          <w:u w:val="single"/>
        </w:rPr>
      </w:pPr>
    </w:p>
    <w:p w:rsidR="0051694C" w:rsidRPr="00224A30" w:rsidRDefault="0051694C" w:rsidP="0051694C">
      <w:pPr>
        <w:jc w:val="left"/>
      </w:pPr>
      <w:r w:rsidRPr="00224A30">
        <w:tab/>
      </w:r>
      <w:r w:rsidRPr="00224A30">
        <w:tab/>
        <w:t>THEREFORE,</w:t>
      </w:r>
    </w:p>
    <w:p w:rsidR="0051694C" w:rsidRPr="00224A30" w:rsidRDefault="0051694C" w:rsidP="0051694C">
      <w:pPr>
        <w:jc w:val="left"/>
      </w:pPr>
    </w:p>
    <w:p w:rsidR="0051694C" w:rsidRPr="00224A30" w:rsidRDefault="0051694C" w:rsidP="0051694C">
      <w:pPr>
        <w:jc w:val="left"/>
      </w:pPr>
      <w:r w:rsidRPr="00224A30">
        <w:tab/>
      </w:r>
      <w:r w:rsidRPr="00224A30">
        <w:tab/>
        <w:t>IT IS ORDERED:</w:t>
      </w:r>
    </w:p>
    <w:p w:rsidR="0051694C" w:rsidRPr="00224A30" w:rsidRDefault="0051694C" w:rsidP="0051694C">
      <w:pPr>
        <w:jc w:val="left"/>
      </w:pPr>
    </w:p>
    <w:p w:rsidR="0051694C" w:rsidRPr="00224A30" w:rsidRDefault="0051694C" w:rsidP="0051694C">
      <w:pPr>
        <w:jc w:val="left"/>
      </w:pPr>
      <w:r w:rsidRPr="00224A30">
        <w:tab/>
      </w:r>
      <w:r w:rsidRPr="00224A30">
        <w:tab/>
        <w:t>1.</w:t>
      </w:r>
      <w:r w:rsidRPr="00224A30">
        <w:tab/>
        <w:t>That the Complaint filed by Rainy M. Gibson against PPL Electric Utilities Corporation at docket no. F-2013-2375379 is dismissed</w:t>
      </w:r>
      <w:r w:rsidR="00710C55">
        <w:t xml:space="preserve"> with prejudice</w:t>
      </w:r>
      <w:r w:rsidRPr="00224A30">
        <w:t>.</w:t>
      </w:r>
    </w:p>
    <w:p w:rsidR="0051694C" w:rsidRPr="00224A30" w:rsidRDefault="0051694C" w:rsidP="0051694C">
      <w:pPr>
        <w:jc w:val="left"/>
      </w:pPr>
    </w:p>
    <w:p w:rsidR="0051694C" w:rsidRPr="00224A30" w:rsidRDefault="0051694C" w:rsidP="0051694C">
      <w:pPr>
        <w:jc w:val="left"/>
      </w:pPr>
      <w:r w:rsidRPr="00224A30">
        <w:tab/>
      </w:r>
      <w:r w:rsidRPr="00224A30">
        <w:tab/>
        <w:t>2.</w:t>
      </w:r>
      <w:r w:rsidRPr="00224A30">
        <w:tab/>
        <w:t>That the Secretary mark this docket closed.</w:t>
      </w:r>
    </w:p>
    <w:p w:rsidR="0051694C" w:rsidRPr="00224A30" w:rsidRDefault="0051694C" w:rsidP="0051694C">
      <w:pPr>
        <w:jc w:val="left"/>
      </w:pPr>
    </w:p>
    <w:p w:rsidR="0051694C" w:rsidRPr="00224A30" w:rsidRDefault="0051694C" w:rsidP="0051694C">
      <w:pPr>
        <w:spacing w:line="240" w:lineRule="auto"/>
        <w:jc w:val="left"/>
      </w:pPr>
      <w:r w:rsidRPr="00224A30">
        <w:t xml:space="preserve">Dated: </w:t>
      </w:r>
      <w:r w:rsidRPr="00224A30">
        <w:rPr>
          <w:u w:val="single"/>
        </w:rPr>
        <w:t>November 5, 2013</w:t>
      </w:r>
      <w:r w:rsidRPr="00224A30">
        <w:tab/>
      </w:r>
      <w:r w:rsidRPr="00224A30">
        <w:tab/>
      </w:r>
      <w:r w:rsidRPr="00224A30">
        <w:tab/>
      </w:r>
      <w:r w:rsidR="003D44A8">
        <w:tab/>
      </w:r>
      <w:r w:rsidRPr="00224A30">
        <w:t>___</w:t>
      </w:r>
      <w:r w:rsidR="00710C55">
        <w:rPr>
          <w:u w:val="single"/>
        </w:rPr>
        <w:t>/</w:t>
      </w:r>
      <w:r w:rsidR="00710C55">
        <w:rPr>
          <w:rFonts w:ascii="Berlin Sans FB" w:hAnsi="Berlin Sans FB"/>
          <w:u w:val="single"/>
        </w:rPr>
        <w:t>s</w:t>
      </w:r>
      <w:r w:rsidR="00710C55">
        <w:rPr>
          <w:u w:val="single"/>
        </w:rPr>
        <w:t>/</w:t>
      </w:r>
      <w:r w:rsidRPr="00224A30">
        <w:t>___________________________</w:t>
      </w:r>
    </w:p>
    <w:p w:rsidR="0051694C" w:rsidRPr="00224A30" w:rsidRDefault="0051694C" w:rsidP="0051694C">
      <w:pPr>
        <w:spacing w:line="240" w:lineRule="auto"/>
        <w:jc w:val="left"/>
      </w:pPr>
      <w:r w:rsidRPr="00224A30">
        <w:tab/>
      </w:r>
      <w:r w:rsidRPr="00224A30">
        <w:tab/>
      </w:r>
      <w:r w:rsidRPr="00224A30">
        <w:tab/>
      </w:r>
      <w:r w:rsidRPr="00224A30">
        <w:tab/>
      </w:r>
      <w:r w:rsidRPr="00224A30">
        <w:tab/>
      </w:r>
      <w:r w:rsidRPr="00224A30">
        <w:tab/>
      </w:r>
      <w:r w:rsidRPr="00224A30">
        <w:tab/>
        <w:t>Susan D. Colwell</w:t>
      </w:r>
    </w:p>
    <w:p w:rsidR="0051694C" w:rsidRPr="00224A30" w:rsidRDefault="0051694C" w:rsidP="0051694C">
      <w:pPr>
        <w:spacing w:line="240" w:lineRule="auto"/>
        <w:jc w:val="left"/>
      </w:pPr>
      <w:r w:rsidRPr="00224A30">
        <w:tab/>
      </w:r>
      <w:r w:rsidRPr="00224A30">
        <w:tab/>
      </w:r>
      <w:r w:rsidRPr="00224A30">
        <w:tab/>
      </w:r>
      <w:r w:rsidRPr="00224A30">
        <w:tab/>
      </w:r>
      <w:r w:rsidRPr="00224A30">
        <w:tab/>
      </w:r>
      <w:r w:rsidRPr="00224A30">
        <w:tab/>
      </w:r>
      <w:r w:rsidRPr="00224A30">
        <w:tab/>
        <w:t>Administrative Law Judge</w:t>
      </w:r>
    </w:p>
    <w:p w:rsidR="0051694C" w:rsidRPr="00224A30" w:rsidRDefault="0051694C" w:rsidP="0051694C"/>
    <w:p w:rsidR="0051694C" w:rsidRPr="00224A30" w:rsidRDefault="0051694C" w:rsidP="00BC55EE">
      <w:pPr>
        <w:jc w:val="left"/>
      </w:pPr>
    </w:p>
    <w:p w:rsidR="005403A0" w:rsidRPr="00224A30" w:rsidRDefault="005403A0" w:rsidP="00351574">
      <w:pPr>
        <w:jc w:val="left"/>
      </w:pPr>
    </w:p>
    <w:sectPr w:rsidR="005403A0" w:rsidRPr="00224A30" w:rsidSect="009E527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5F2" w:rsidRDefault="00E675F2" w:rsidP="004C5DC4">
      <w:pPr>
        <w:spacing w:line="240" w:lineRule="auto"/>
      </w:pPr>
      <w:r>
        <w:separator/>
      </w:r>
    </w:p>
  </w:endnote>
  <w:endnote w:type="continuationSeparator" w:id="0">
    <w:p w:rsidR="00E675F2" w:rsidRDefault="00E675F2" w:rsidP="004C5D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16954"/>
      <w:docPartObj>
        <w:docPartGallery w:val="Page Numbers (Bottom of Page)"/>
        <w:docPartUnique/>
      </w:docPartObj>
    </w:sdtPr>
    <w:sdtEndPr>
      <w:rPr>
        <w:noProof/>
        <w:sz w:val="20"/>
        <w:szCs w:val="20"/>
      </w:rPr>
    </w:sdtEndPr>
    <w:sdtContent>
      <w:p w:rsidR="009E5278" w:rsidRPr="00E52D8A" w:rsidRDefault="009E5278" w:rsidP="00E52D8A">
        <w:pPr>
          <w:pStyle w:val="Footer"/>
          <w:rPr>
            <w:sz w:val="20"/>
            <w:szCs w:val="20"/>
          </w:rPr>
        </w:pPr>
        <w:r w:rsidRPr="00E52D8A">
          <w:rPr>
            <w:sz w:val="20"/>
            <w:szCs w:val="20"/>
          </w:rPr>
          <w:fldChar w:fldCharType="begin"/>
        </w:r>
        <w:r w:rsidRPr="00E52D8A">
          <w:rPr>
            <w:sz w:val="20"/>
            <w:szCs w:val="20"/>
          </w:rPr>
          <w:instrText xml:space="preserve"> PAGE   \* MERGEFORMAT </w:instrText>
        </w:r>
        <w:r w:rsidRPr="00E52D8A">
          <w:rPr>
            <w:sz w:val="20"/>
            <w:szCs w:val="20"/>
          </w:rPr>
          <w:fldChar w:fldCharType="separate"/>
        </w:r>
        <w:r w:rsidR="00223241">
          <w:rPr>
            <w:noProof/>
            <w:sz w:val="20"/>
            <w:szCs w:val="20"/>
          </w:rPr>
          <w:t>8</w:t>
        </w:r>
        <w:r w:rsidRPr="00E52D8A">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5F2" w:rsidRDefault="00E675F2" w:rsidP="00E52D8A">
      <w:pPr>
        <w:spacing w:line="240" w:lineRule="auto"/>
        <w:jc w:val="left"/>
      </w:pPr>
      <w:r>
        <w:separator/>
      </w:r>
    </w:p>
  </w:footnote>
  <w:footnote w:type="continuationSeparator" w:id="0">
    <w:p w:rsidR="00E675F2" w:rsidRDefault="00E675F2" w:rsidP="004C5DC4">
      <w:pPr>
        <w:spacing w:line="240" w:lineRule="auto"/>
      </w:pPr>
      <w:r>
        <w:continuationSeparator/>
      </w:r>
    </w:p>
  </w:footnote>
  <w:footnote w:id="1">
    <w:p w:rsidR="004C5DC4" w:rsidRDefault="004C5DC4" w:rsidP="004C5DC4">
      <w:pPr>
        <w:pStyle w:val="FootnoteText"/>
        <w:jc w:val="left"/>
      </w:pPr>
      <w:r>
        <w:rPr>
          <w:rStyle w:val="FootnoteReference"/>
        </w:rPr>
        <w:footnoteRef/>
      </w:r>
      <w:r>
        <w:t xml:space="preserve"> Meike Wijaya is a BCS </w:t>
      </w:r>
      <w:r w:rsidR="00CE0E39">
        <w:t>investigator who handled Complainant's informal case at BCS 3085310</w:t>
      </w:r>
      <w:r>
        <w:t xml:space="preserve">.  </w:t>
      </w:r>
    </w:p>
  </w:footnote>
  <w:footnote w:id="2">
    <w:p w:rsidR="00383530" w:rsidRPr="00561DD0" w:rsidRDefault="00383530" w:rsidP="00383530">
      <w:pPr>
        <w:pStyle w:val="FootnoteText"/>
        <w:jc w:val="left"/>
      </w:pPr>
      <w:r>
        <w:rPr>
          <w:rStyle w:val="FootnoteReference"/>
        </w:rPr>
        <w:footnoteRef/>
      </w:r>
      <w:r>
        <w:t xml:space="preserve"> Complainant appears to be a member or supporter of the "sovereign citizen" movement, which believes that government has no legitimacy.  </w:t>
      </w:r>
      <w:r w:rsidR="00561DD0">
        <w:t xml:space="preserve">Courts are uniform and consistent in their holdings that the beliefs of this movement that they are somehow beyond the jurisdiction of the courts has no validity in American law.  </w:t>
      </w:r>
      <w:r w:rsidR="00561DD0">
        <w:rPr>
          <w:i/>
        </w:rPr>
        <w:t xml:space="preserve">Charlotte v. Karla J. Hansen, </w:t>
      </w:r>
      <w:r w:rsidR="00561DD0">
        <w:t xml:space="preserve">433 Fed. Appx. 660, 2011 U.S. App. LEXIS 16902.  </w:t>
      </w:r>
    </w:p>
  </w:footnote>
  <w:footnote w:id="3">
    <w:p w:rsidR="006164B2" w:rsidRDefault="006164B2" w:rsidP="006164B2">
      <w:pPr>
        <w:pStyle w:val="FootnoteText"/>
        <w:jc w:val="left"/>
      </w:pPr>
      <w:r>
        <w:rPr>
          <w:rStyle w:val="FootnoteReference"/>
        </w:rPr>
        <w:footnoteRef/>
      </w:r>
      <w:r>
        <w:t xml:space="preserve"> The "claim" might be PPL's electric bills, but that is pure conjecture, and it is well-established law that an EDC is entitled to payment for its services</w:t>
      </w:r>
      <w:r w:rsidR="00BC55EE">
        <w:t xml:space="preserve">.  </w:t>
      </w:r>
      <w:r>
        <w:t>PPL does not have to prove it</w:t>
      </w:r>
      <w:r w:rsidR="00BC55EE">
        <w:t xml:space="preserve"> may issue bills</w:t>
      </w:r>
      <w:r>
        <w:t>.  The burden of proof remains on the Complainant, who provided no evidence, not even testimony.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574"/>
    <w:rsid w:val="00001E3A"/>
    <w:rsid w:val="00001EF6"/>
    <w:rsid w:val="00001F60"/>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480"/>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5DCB"/>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26F"/>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CC3"/>
    <w:rsid w:val="00170FE6"/>
    <w:rsid w:val="00171416"/>
    <w:rsid w:val="00172857"/>
    <w:rsid w:val="00172B0B"/>
    <w:rsid w:val="00172E8C"/>
    <w:rsid w:val="00173570"/>
    <w:rsid w:val="00173C70"/>
    <w:rsid w:val="00174F7E"/>
    <w:rsid w:val="0017580D"/>
    <w:rsid w:val="00175F76"/>
    <w:rsid w:val="00176C44"/>
    <w:rsid w:val="00177DE8"/>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AA6"/>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5DD"/>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3241"/>
    <w:rsid w:val="002241D0"/>
    <w:rsid w:val="00224756"/>
    <w:rsid w:val="0022478F"/>
    <w:rsid w:val="00224A30"/>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3873"/>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2F7E0D"/>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1574"/>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3530"/>
    <w:rsid w:val="00385BF0"/>
    <w:rsid w:val="00385DAD"/>
    <w:rsid w:val="00386626"/>
    <w:rsid w:val="003908D7"/>
    <w:rsid w:val="00390929"/>
    <w:rsid w:val="00390DBB"/>
    <w:rsid w:val="00391CFF"/>
    <w:rsid w:val="003924CC"/>
    <w:rsid w:val="003926E4"/>
    <w:rsid w:val="00396333"/>
    <w:rsid w:val="00396ADD"/>
    <w:rsid w:val="0039716B"/>
    <w:rsid w:val="003A0B9C"/>
    <w:rsid w:val="003A0E5A"/>
    <w:rsid w:val="003A0F8D"/>
    <w:rsid w:val="003A4C1E"/>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DCA"/>
    <w:rsid w:val="003D1F46"/>
    <w:rsid w:val="003D41CF"/>
    <w:rsid w:val="003D44A8"/>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4F87"/>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566"/>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5DC4"/>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0D33"/>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1694C"/>
    <w:rsid w:val="00520C27"/>
    <w:rsid w:val="00521B57"/>
    <w:rsid w:val="00522DE9"/>
    <w:rsid w:val="00522EF8"/>
    <w:rsid w:val="0052399F"/>
    <w:rsid w:val="00523B02"/>
    <w:rsid w:val="00523F60"/>
    <w:rsid w:val="00523FBA"/>
    <w:rsid w:val="00524079"/>
    <w:rsid w:val="005255C0"/>
    <w:rsid w:val="005258BD"/>
    <w:rsid w:val="00526890"/>
    <w:rsid w:val="0052764F"/>
    <w:rsid w:val="00527AFE"/>
    <w:rsid w:val="005328F4"/>
    <w:rsid w:val="00535220"/>
    <w:rsid w:val="00536ABE"/>
    <w:rsid w:val="005403A0"/>
    <w:rsid w:val="00540B74"/>
    <w:rsid w:val="00540B8B"/>
    <w:rsid w:val="00540ED6"/>
    <w:rsid w:val="00541C1D"/>
    <w:rsid w:val="005449AC"/>
    <w:rsid w:val="00544A16"/>
    <w:rsid w:val="005472EC"/>
    <w:rsid w:val="00547C82"/>
    <w:rsid w:val="0055122B"/>
    <w:rsid w:val="00552915"/>
    <w:rsid w:val="005534BD"/>
    <w:rsid w:val="00556EA7"/>
    <w:rsid w:val="00561DD0"/>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87BC6"/>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164B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86293"/>
    <w:rsid w:val="00690E46"/>
    <w:rsid w:val="00693743"/>
    <w:rsid w:val="00693995"/>
    <w:rsid w:val="00693C61"/>
    <w:rsid w:val="00695397"/>
    <w:rsid w:val="0069562F"/>
    <w:rsid w:val="006A177A"/>
    <w:rsid w:val="006A1A5D"/>
    <w:rsid w:val="006A3267"/>
    <w:rsid w:val="006A3A96"/>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0C55"/>
    <w:rsid w:val="00713444"/>
    <w:rsid w:val="0071374E"/>
    <w:rsid w:val="00714B6A"/>
    <w:rsid w:val="0071683D"/>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A03"/>
    <w:rsid w:val="008F7E50"/>
    <w:rsid w:val="00900008"/>
    <w:rsid w:val="00900E6A"/>
    <w:rsid w:val="00902EB1"/>
    <w:rsid w:val="00904C01"/>
    <w:rsid w:val="009050BB"/>
    <w:rsid w:val="00905195"/>
    <w:rsid w:val="00905609"/>
    <w:rsid w:val="00905F7A"/>
    <w:rsid w:val="00906A31"/>
    <w:rsid w:val="00906B1B"/>
    <w:rsid w:val="009075B8"/>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278"/>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1054"/>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47169"/>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1EA2"/>
    <w:rsid w:val="00AC2C30"/>
    <w:rsid w:val="00AC32F1"/>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2FAE"/>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55EE"/>
    <w:rsid w:val="00BC60A6"/>
    <w:rsid w:val="00BC62E0"/>
    <w:rsid w:val="00BC6FBF"/>
    <w:rsid w:val="00BC76D1"/>
    <w:rsid w:val="00BD00D9"/>
    <w:rsid w:val="00BD0675"/>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31B6"/>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0E39"/>
    <w:rsid w:val="00CE1017"/>
    <w:rsid w:val="00CE358A"/>
    <w:rsid w:val="00CE373E"/>
    <w:rsid w:val="00CE3FCD"/>
    <w:rsid w:val="00CE43AF"/>
    <w:rsid w:val="00CE577D"/>
    <w:rsid w:val="00CE665D"/>
    <w:rsid w:val="00CE6758"/>
    <w:rsid w:val="00CE76B5"/>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A9D"/>
    <w:rsid w:val="00D40E5E"/>
    <w:rsid w:val="00D4138D"/>
    <w:rsid w:val="00D41493"/>
    <w:rsid w:val="00D4152F"/>
    <w:rsid w:val="00D438DC"/>
    <w:rsid w:val="00D43EF1"/>
    <w:rsid w:val="00D43F6F"/>
    <w:rsid w:val="00D44015"/>
    <w:rsid w:val="00D46755"/>
    <w:rsid w:val="00D46CFF"/>
    <w:rsid w:val="00D46FBF"/>
    <w:rsid w:val="00D47A7B"/>
    <w:rsid w:val="00D47BB6"/>
    <w:rsid w:val="00D50C59"/>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2D8A"/>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5F2"/>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1D09"/>
    <w:rsid w:val="00F5337B"/>
    <w:rsid w:val="00F5374F"/>
    <w:rsid w:val="00F545DD"/>
    <w:rsid w:val="00F55E69"/>
    <w:rsid w:val="00F579BE"/>
    <w:rsid w:val="00F606F4"/>
    <w:rsid w:val="00F60DF6"/>
    <w:rsid w:val="00F61E12"/>
    <w:rsid w:val="00F62306"/>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546C"/>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DC4"/>
    <w:pPr>
      <w:spacing w:line="240" w:lineRule="auto"/>
    </w:pPr>
    <w:rPr>
      <w:sz w:val="20"/>
      <w:szCs w:val="20"/>
    </w:rPr>
  </w:style>
  <w:style w:type="character" w:customStyle="1" w:styleId="FootnoteTextChar">
    <w:name w:val="Footnote Text Char"/>
    <w:basedOn w:val="DefaultParagraphFont"/>
    <w:link w:val="FootnoteText"/>
    <w:uiPriority w:val="99"/>
    <w:semiHidden/>
    <w:rsid w:val="004C5DC4"/>
    <w:rPr>
      <w:sz w:val="20"/>
      <w:szCs w:val="20"/>
    </w:rPr>
  </w:style>
  <w:style w:type="character" w:styleId="FootnoteReference">
    <w:name w:val="footnote reference"/>
    <w:basedOn w:val="DefaultParagraphFont"/>
    <w:uiPriority w:val="99"/>
    <w:semiHidden/>
    <w:unhideWhenUsed/>
    <w:rsid w:val="004C5DC4"/>
    <w:rPr>
      <w:vertAlign w:val="superscript"/>
    </w:rPr>
  </w:style>
  <w:style w:type="paragraph" w:styleId="Header">
    <w:name w:val="header"/>
    <w:basedOn w:val="Normal"/>
    <w:link w:val="HeaderChar"/>
    <w:uiPriority w:val="99"/>
    <w:unhideWhenUsed/>
    <w:rsid w:val="009E5278"/>
    <w:pPr>
      <w:tabs>
        <w:tab w:val="center" w:pos="4680"/>
        <w:tab w:val="right" w:pos="9360"/>
      </w:tabs>
      <w:spacing w:line="240" w:lineRule="auto"/>
    </w:pPr>
  </w:style>
  <w:style w:type="character" w:customStyle="1" w:styleId="HeaderChar">
    <w:name w:val="Header Char"/>
    <w:basedOn w:val="DefaultParagraphFont"/>
    <w:link w:val="Header"/>
    <w:uiPriority w:val="99"/>
    <w:rsid w:val="009E5278"/>
  </w:style>
  <w:style w:type="paragraph" w:styleId="Footer">
    <w:name w:val="footer"/>
    <w:basedOn w:val="Normal"/>
    <w:link w:val="FooterChar"/>
    <w:uiPriority w:val="99"/>
    <w:unhideWhenUsed/>
    <w:rsid w:val="009E5278"/>
    <w:pPr>
      <w:tabs>
        <w:tab w:val="center" w:pos="4680"/>
        <w:tab w:val="right" w:pos="9360"/>
      </w:tabs>
      <w:spacing w:line="240" w:lineRule="auto"/>
    </w:pPr>
  </w:style>
  <w:style w:type="character" w:customStyle="1" w:styleId="FooterChar">
    <w:name w:val="Footer Char"/>
    <w:basedOn w:val="DefaultParagraphFont"/>
    <w:link w:val="Footer"/>
    <w:uiPriority w:val="99"/>
    <w:rsid w:val="009E5278"/>
  </w:style>
  <w:style w:type="paragraph" w:styleId="BalloonText">
    <w:name w:val="Balloon Text"/>
    <w:basedOn w:val="Normal"/>
    <w:link w:val="BalloonTextChar"/>
    <w:uiPriority w:val="99"/>
    <w:semiHidden/>
    <w:unhideWhenUsed/>
    <w:rsid w:val="00710C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C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DC4"/>
    <w:pPr>
      <w:spacing w:line="240" w:lineRule="auto"/>
    </w:pPr>
    <w:rPr>
      <w:sz w:val="20"/>
      <w:szCs w:val="20"/>
    </w:rPr>
  </w:style>
  <w:style w:type="character" w:customStyle="1" w:styleId="FootnoteTextChar">
    <w:name w:val="Footnote Text Char"/>
    <w:basedOn w:val="DefaultParagraphFont"/>
    <w:link w:val="FootnoteText"/>
    <w:uiPriority w:val="99"/>
    <w:semiHidden/>
    <w:rsid w:val="004C5DC4"/>
    <w:rPr>
      <w:sz w:val="20"/>
      <w:szCs w:val="20"/>
    </w:rPr>
  </w:style>
  <w:style w:type="character" w:styleId="FootnoteReference">
    <w:name w:val="footnote reference"/>
    <w:basedOn w:val="DefaultParagraphFont"/>
    <w:uiPriority w:val="99"/>
    <w:semiHidden/>
    <w:unhideWhenUsed/>
    <w:rsid w:val="004C5DC4"/>
    <w:rPr>
      <w:vertAlign w:val="superscript"/>
    </w:rPr>
  </w:style>
  <w:style w:type="paragraph" w:styleId="Header">
    <w:name w:val="header"/>
    <w:basedOn w:val="Normal"/>
    <w:link w:val="HeaderChar"/>
    <w:uiPriority w:val="99"/>
    <w:unhideWhenUsed/>
    <w:rsid w:val="009E5278"/>
    <w:pPr>
      <w:tabs>
        <w:tab w:val="center" w:pos="4680"/>
        <w:tab w:val="right" w:pos="9360"/>
      </w:tabs>
      <w:spacing w:line="240" w:lineRule="auto"/>
    </w:pPr>
  </w:style>
  <w:style w:type="character" w:customStyle="1" w:styleId="HeaderChar">
    <w:name w:val="Header Char"/>
    <w:basedOn w:val="DefaultParagraphFont"/>
    <w:link w:val="Header"/>
    <w:uiPriority w:val="99"/>
    <w:rsid w:val="009E5278"/>
  </w:style>
  <w:style w:type="paragraph" w:styleId="Footer">
    <w:name w:val="footer"/>
    <w:basedOn w:val="Normal"/>
    <w:link w:val="FooterChar"/>
    <w:uiPriority w:val="99"/>
    <w:unhideWhenUsed/>
    <w:rsid w:val="009E5278"/>
    <w:pPr>
      <w:tabs>
        <w:tab w:val="center" w:pos="4680"/>
        <w:tab w:val="right" w:pos="9360"/>
      </w:tabs>
      <w:spacing w:line="240" w:lineRule="auto"/>
    </w:pPr>
  </w:style>
  <w:style w:type="character" w:customStyle="1" w:styleId="FooterChar">
    <w:name w:val="Footer Char"/>
    <w:basedOn w:val="DefaultParagraphFont"/>
    <w:link w:val="Footer"/>
    <w:uiPriority w:val="99"/>
    <w:rsid w:val="009E5278"/>
  </w:style>
  <w:style w:type="paragraph" w:styleId="BalloonText">
    <w:name w:val="Balloon Text"/>
    <w:basedOn w:val="Normal"/>
    <w:link w:val="BalloonTextChar"/>
    <w:uiPriority w:val="99"/>
    <w:semiHidden/>
    <w:unhideWhenUsed/>
    <w:rsid w:val="00710C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C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65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0662D-345F-4755-9E7B-F349B34E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2013-11-08T16:49:00Z</cp:lastPrinted>
  <dcterms:created xsi:type="dcterms:W3CDTF">2013-11-12T18:25:00Z</dcterms:created>
  <dcterms:modified xsi:type="dcterms:W3CDTF">2013-11-12T18:25:00Z</dcterms:modified>
</cp:coreProperties>
</file>