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04" w:rsidRPr="002B7FCF" w:rsidRDefault="003C6D04" w:rsidP="003C6D04">
      <w:pPr>
        <w:spacing w:line="240" w:lineRule="auto"/>
        <w:rPr>
          <w:b/>
        </w:rPr>
      </w:pPr>
      <w:r w:rsidRPr="002B7FCF">
        <w:rPr>
          <w:b/>
        </w:rPr>
        <w:t>BEFORE THE</w:t>
      </w:r>
    </w:p>
    <w:p w:rsidR="003C6D04" w:rsidRPr="002B7FCF" w:rsidRDefault="003C6D04" w:rsidP="003C6D04">
      <w:pPr>
        <w:spacing w:line="240" w:lineRule="auto"/>
        <w:rPr>
          <w:b/>
        </w:rPr>
      </w:pPr>
      <w:r w:rsidRPr="002B7FCF">
        <w:rPr>
          <w:b/>
        </w:rPr>
        <w:t>PENNSYLVANIA PUBLIC UTILITY COMMISSION</w:t>
      </w:r>
    </w:p>
    <w:p w:rsidR="003C6D04" w:rsidRDefault="003C6D04" w:rsidP="003C6D04">
      <w:pPr>
        <w:spacing w:line="240" w:lineRule="auto"/>
        <w:rPr>
          <w:b/>
        </w:rPr>
      </w:pPr>
    </w:p>
    <w:p w:rsidR="00040F2C" w:rsidRPr="002B7FCF" w:rsidRDefault="00040F2C" w:rsidP="003C6D04">
      <w:pPr>
        <w:spacing w:line="240" w:lineRule="auto"/>
        <w:rPr>
          <w:b/>
        </w:rPr>
      </w:pPr>
    </w:p>
    <w:p w:rsidR="003C6D04" w:rsidRPr="002B7FCF" w:rsidRDefault="003C6D04" w:rsidP="003C6D04">
      <w:pPr>
        <w:spacing w:line="240" w:lineRule="auto"/>
        <w:rPr>
          <w:b/>
        </w:rPr>
      </w:pPr>
    </w:p>
    <w:p w:rsidR="003C6D04" w:rsidRPr="002B7FCF" w:rsidRDefault="003C6D04" w:rsidP="003C6D04">
      <w:pPr>
        <w:spacing w:line="240" w:lineRule="auto"/>
        <w:jc w:val="left"/>
      </w:pPr>
      <w:r w:rsidRPr="002B7FCF">
        <w:t>Roman Maleszewski</w:t>
      </w:r>
      <w:r w:rsidRPr="002B7FCF">
        <w:tab/>
      </w:r>
      <w:r w:rsidRPr="002B7FCF">
        <w:tab/>
      </w:r>
      <w:r w:rsidRPr="002B7FCF">
        <w:tab/>
      </w:r>
      <w:r w:rsidRPr="002B7FCF">
        <w:tab/>
      </w:r>
      <w:r w:rsidRPr="002B7FCF">
        <w:tab/>
        <w:t>:</w:t>
      </w:r>
    </w:p>
    <w:p w:rsidR="003C6D04" w:rsidRPr="002B7FCF" w:rsidRDefault="003C6D04" w:rsidP="003C6D04">
      <w:pPr>
        <w:spacing w:line="240" w:lineRule="auto"/>
        <w:jc w:val="left"/>
      </w:pPr>
      <w:r w:rsidRPr="002B7FCF">
        <w:tab/>
      </w:r>
      <w:r w:rsidRPr="002B7FCF">
        <w:tab/>
      </w:r>
      <w:r w:rsidRPr="002B7FCF">
        <w:tab/>
      </w:r>
      <w:r w:rsidRPr="002B7FCF">
        <w:tab/>
      </w:r>
      <w:r w:rsidRPr="002B7FCF">
        <w:tab/>
      </w:r>
      <w:r w:rsidRPr="002B7FCF">
        <w:tab/>
      </w:r>
      <w:r w:rsidRPr="002B7FCF">
        <w:tab/>
        <w:t>:</w:t>
      </w:r>
    </w:p>
    <w:p w:rsidR="003C6D04" w:rsidRPr="002B7FCF" w:rsidRDefault="003C6D04" w:rsidP="003C6D04">
      <w:pPr>
        <w:spacing w:line="240" w:lineRule="auto"/>
        <w:jc w:val="left"/>
      </w:pPr>
      <w:r w:rsidRPr="002B7FCF">
        <w:tab/>
        <w:t>v.</w:t>
      </w:r>
      <w:r w:rsidRPr="002B7FCF">
        <w:tab/>
      </w:r>
      <w:r w:rsidRPr="002B7FCF">
        <w:tab/>
      </w:r>
      <w:r w:rsidRPr="002B7FCF">
        <w:tab/>
      </w:r>
      <w:r w:rsidRPr="002B7FCF">
        <w:tab/>
      </w:r>
      <w:r w:rsidRPr="002B7FCF">
        <w:tab/>
      </w:r>
      <w:r w:rsidRPr="002B7FCF">
        <w:tab/>
        <w:t>:</w:t>
      </w:r>
      <w:r w:rsidRPr="002B7FCF">
        <w:tab/>
      </w:r>
      <w:r w:rsidRPr="002B7FCF">
        <w:tab/>
      </w:r>
      <w:r w:rsidRPr="002B7FCF">
        <w:tab/>
        <w:t>C-2013-2360862</w:t>
      </w:r>
    </w:p>
    <w:p w:rsidR="003C6D04" w:rsidRPr="002B7FCF" w:rsidRDefault="003C6D04" w:rsidP="003C6D04">
      <w:pPr>
        <w:spacing w:line="240" w:lineRule="auto"/>
        <w:jc w:val="left"/>
      </w:pPr>
      <w:r w:rsidRPr="002B7FCF">
        <w:tab/>
      </w:r>
      <w:r w:rsidRPr="002B7FCF">
        <w:tab/>
      </w:r>
      <w:r w:rsidRPr="002B7FCF">
        <w:tab/>
      </w:r>
      <w:r w:rsidRPr="002B7FCF">
        <w:tab/>
      </w:r>
      <w:r w:rsidRPr="002B7FCF">
        <w:tab/>
      </w:r>
      <w:r w:rsidRPr="002B7FCF">
        <w:tab/>
      </w:r>
      <w:r w:rsidRPr="002B7FCF">
        <w:tab/>
        <w:t>:</w:t>
      </w:r>
    </w:p>
    <w:p w:rsidR="003C6D04" w:rsidRPr="002B7FCF" w:rsidRDefault="003C6D04" w:rsidP="003C6D04">
      <w:pPr>
        <w:spacing w:line="240" w:lineRule="auto"/>
        <w:jc w:val="left"/>
      </w:pPr>
      <w:r w:rsidRPr="002B7FCF">
        <w:t>Metropolitan Edison Company</w:t>
      </w:r>
      <w:r w:rsidRPr="002B7FCF">
        <w:tab/>
      </w:r>
      <w:r w:rsidRPr="002B7FCF">
        <w:tab/>
      </w:r>
      <w:r w:rsidRPr="002B7FCF">
        <w:tab/>
        <w:t>:</w:t>
      </w:r>
    </w:p>
    <w:p w:rsidR="003C6D04" w:rsidRDefault="003C6D04" w:rsidP="003C6D04">
      <w:pPr>
        <w:spacing w:line="240" w:lineRule="auto"/>
        <w:jc w:val="left"/>
      </w:pPr>
    </w:p>
    <w:p w:rsidR="00040F2C" w:rsidRPr="002B7FCF" w:rsidRDefault="00040F2C" w:rsidP="003C6D04">
      <w:pPr>
        <w:spacing w:line="240" w:lineRule="auto"/>
        <w:jc w:val="left"/>
      </w:pPr>
    </w:p>
    <w:p w:rsidR="003C6D04" w:rsidRPr="002B7FCF" w:rsidRDefault="003C6D04" w:rsidP="003C6D04">
      <w:pPr>
        <w:spacing w:line="240" w:lineRule="auto"/>
        <w:jc w:val="left"/>
      </w:pPr>
    </w:p>
    <w:p w:rsidR="003C6D04" w:rsidRPr="002B7FCF" w:rsidRDefault="003C6D04" w:rsidP="003C6D04">
      <w:pPr>
        <w:spacing w:line="240" w:lineRule="auto"/>
        <w:rPr>
          <w:b/>
          <w:u w:val="single"/>
        </w:rPr>
      </w:pPr>
      <w:r w:rsidRPr="002B7FCF">
        <w:rPr>
          <w:b/>
          <w:u w:val="single"/>
        </w:rPr>
        <w:t>INITIAL DECISION</w:t>
      </w:r>
    </w:p>
    <w:p w:rsidR="003C6D04" w:rsidRDefault="003C6D04" w:rsidP="003C6D04">
      <w:pPr>
        <w:spacing w:line="240" w:lineRule="auto"/>
        <w:rPr>
          <w:b/>
        </w:rPr>
      </w:pPr>
    </w:p>
    <w:p w:rsidR="00040F2C" w:rsidRPr="002B7FCF" w:rsidRDefault="00040F2C" w:rsidP="003C6D04">
      <w:pPr>
        <w:spacing w:line="240" w:lineRule="auto"/>
        <w:rPr>
          <w:b/>
        </w:rPr>
      </w:pPr>
    </w:p>
    <w:p w:rsidR="003C6D04" w:rsidRPr="002B7FCF" w:rsidRDefault="003C6D04" w:rsidP="003C6D04">
      <w:pPr>
        <w:spacing w:line="240" w:lineRule="auto"/>
      </w:pPr>
      <w:r w:rsidRPr="002B7FCF">
        <w:t>Before</w:t>
      </w:r>
    </w:p>
    <w:p w:rsidR="003C6D04" w:rsidRPr="002B7FCF" w:rsidRDefault="003C6D04" w:rsidP="003C6D04">
      <w:pPr>
        <w:spacing w:line="240" w:lineRule="auto"/>
      </w:pPr>
      <w:r w:rsidRPr="002B7FCF">
        <w:t>Susan D. Colwell</w:t>
      </w:r>
    </w:p>
    <w:p w:rsidR="003C6D04" w:rsidRPr="002B7FCF" w:rsidRDefault="003C6D04" w:rsidP="003C6D04">
      <w:pPr>
        <w:spacing w:line="240" w:lineRule="auto"/>
      </w:pPr>
      <w:r w:rsidRPr="002B7FCF">
        <w:t>Administrative Law Judge</w:t>
      </w:r>
    </w:p>
    <w:p w:rsidR="003C6D04" w:rsidRPr="002B7FCF" w:rsidRDefault="003C6D04" w:rsidP="003C6D04">
      <w:pPr>
        <w:spacing w:line="240" w:lineRule="auto"/>
        <w:rPr>
          <w:b/>
        </w:rPr>
      </w:pPr>
    </w:p>
    <w:p w:rsidR="003C6D04" w:rsidRPr="002B7FCF" w:rsidRDefault="003C6D04" w:rsidP="003C6D04">
      <w:pPr>
        <w:spacing w:line="240" w:lineRule="auto"/>
        <w:rPr>
          <w:b/>
        </w:rPr>
      </w:pPr>
    </w:p>
    <w:p w:rsidR="003C6D04" w:rsidRPr="002B7FCF" w:rsidRDefault="003C6D04" w:rsidP="003C6D04">
      <w:pPr>
        <w:spacing w:line="240" w:lineRule="auto"/>
        <w:rPr>
          <w:u w:val="single"/>
        </w:rPr>
      </w:pPr>
      <w:r w:rsidRPr="002B7FCF">
        <w:rPr>
          <w:u w:val="single"/>
        </w:rPr>
        <w:t>HISTORY OF THE PROCEEDING</w:t>
      </w:r>
    </w:p>
    <w:p w:rsidR="003C6D04" w:rsidRPr="002B7FCF" w:rsidRDefault="003C6D04" w:rsidP="003C6D04">
      <w:pPr>
        <w:spacing w:line="240" w:lineRule="auto"/>
        <w:rPr>
          <w:u w:val="single"/>
        </w:rPr>
      </w:pPr>
    </w:p>
    <w:p w:rsidR="003C6D04" w:rsidRPr="002B7FCF" w:rsidRDefault="003C6D04" w:rsidP="003C6D04">
      <w:pPr>
        <w:spacing w:line="240" w:lineRule="auto"/>
      </w:pPr>
    </w:p>
    <w:p w:rsidR="00B37D66" w:rsidRPr="002B7FCF" w:rsidRDefault="003C6D04" w:rsidP="003C6D04">
      <w:pPr>
        <w:jc w:val="left"/>
      </w:pPr>
      <w:r w:rsidRPr="002B7FCF">
        <w:tab/>
      </w:r>
      <w:r w:rsidRPr="002B7FCF">
        <w:tab/>
        <w:t xml:space="preserve">On April 18, 2013, Roman Maleszewski (Complainant) filed a formal Complaint against Metropolitan Edison Company (Met-Ed or Respondent or Company) alleging that there are incorrect charges on his bill.  Met-Ed had transferred the bills of his tenant to </w:t>
      </w:r>
      <w:r w:rsidR="0023497A" w:rsidRPr="002B7FCF">
        <w:t>Complainant's</w:t>
      </w:r>
      <w:r w:rsidRPr="002B7FCF">
        <w:t xml:space="preserve"> </w:t>
      </w:r>
      <w:r w:rsidR="0023497A" w:rsidRPr="002B7FCF">
        <w:t>bill following the tenant's</w:t>
      </w:r>
      <w:r w:rsidRPr="002B7FCF">
        <w:t xml:space="preserve"> high bill inquiry which </w:t>
      </w:r>
      <w:r w:rsidR="0023497A" w:rsidRPr="002B7FCF">
        <w:t>revealed</w:t>
      </w:r>
      <w:r w:rsidRPr="002B7FCF">
        <w:t xml:space="preserve"> that the light</w:t>
      </w:r>
      <w:r w:rsidR="00040F2C">
        <w:t xml:space="preserve"> in the hall outside the </w:t>
      </w:r>
      <w:r w:rsidR="00542BB5" w:rsidRPr="002B7FCF">
        <w:t>second floor apartment</w:t>
      </w:r>
      <w:r w:rsidRPr="002B7FCF">
        <w:t xml:space="preserve"> was attached to the tenant's electric meter</w:t>
      </w:r>
      <w:r w:rsidR="00542BB5" w:rsidRPr="002B7FCF">
        <w:t xml:space="preserve">.  </w:t>
      </w:r>
      <w:r w:rsidR="0023497A" w:rsidRPr="002B7FCF">
        <w:t xml:space="preserve">Complainant alleged </w:t>
      </w:r>
      <w:r w:rsidRPr="002B7FCF">
        <w:t xml:space="preserve">that this </w:t>
      </w:r>
      <w:r w:rsidR="0023497A" w:rsidRPr="002B7FCF">
        <w:t xml:space="preserve">transfer </w:t>
      </w:r>
      <w:r w:rsidRPr="002B7FCF">
        <w:t>was done wrongfully</w:t>
      </w:r>
      <w:r w:rsidR="0023497A" w:rsidRPr="002B7FCF">
        <w:t>,</w:t>
      </w:r>
      <w:r w:rsidRPr="002B7FCF">
        <w:t xml:space="preserve"> and</w:t>
      </w:r>
      <w:r w:rsidR="0023497A" w:rsidRPr="002B7FCF">
        <w:t xml:space="preserve"> the arrearage was</w:t>
      </w:r>
      <w:r w:rsidRPr="002B7FCF">
        <w:t xml:space="preserve"> not reassigned after he had the situation remedied.</w:t>
      </w:r>
    </w:p>
    <w:p w:rsidR="003C6D04" w:rsidRPr="002B7FCF" w:rsidRDefault="003C6D04" w:rsidP="003C6D04">
      <w:pPr>
        <w:jc w:val="left"/>
      </w:pPr>
    </w:p>
    <w:p w:rsidR="00B37D66" w:rsidRPr="002B7FCF" w:rsidRDefault="003C6D04" w:rsidP="003C6D04">
      <w:pPr>
        <w:jc w:val="left"/>
      </w:pPr>
      <w:r w:rsidRPr="002B7FCF">
        <w:tab/>
      </w:r>
      <w:r w:rsidRPr="002B7FCF">
        <w:tab/>
        <w:t xml:space="preserve">On May 21, 2013, Met-Ed filed its Answer </w:t>
      </w:r>
      <w:r w:rsidR="00B37D66" w:rsidRPr="002B7FCF">
        <w:t>admitting that it had switched the tenant's bills to the landlord's account after identifying foreign load, as required by statute.  The matter was remedied, and the tenant's bills going forward were reassigned to the tenant.  However, the arrearage remained with the landlord, as required by law.</w:t>
      </w:r>
    </w:p>
    <w:p w:rsidR="00B37D66" w:rsidRPr="002B7FCF" w:rsidRDefault="00B37D66" w:rsidP="003C6D04">
      <w:pPr>
        <w:jc w:val="left"/>
      </w:pPr>
    </w:p>
    <w:p w:rsidR="00B37D66" w:rsidRPr="002B7FCF" w:rsidRDefault="00B37D66" w:rsidP="003C6D04">
      <w:pPr>
        <w:jc w:val="left"/>
      </w:pPr>
      <w:r w:rsidRPr="002B7FCF">
        <w:tab/>
      </w:r>
      <w:r w:rsidRPr="002B7FCF">
        <w:tab/>
        <w:t>On June 4, 2013, a Hearing Notice was issued which set the evidentiary hearing for Tuesday, July 16, 2</w:t>
      </w:r>
      <w:r w:rsidR="005B56B2">
        <w:t>0</w:t>
      </w:r>
      <w:r w:rsidRPr="002B7FCF">
        <w:t>13, and assigned the matter to me.  I is</w:t>
      </w:r>
      <w:r w:rsidR="005B56B2">
        <w:t xml:space="preserve">sued a Prehearing Order on </w:t>
      </w:r>
      <w:r w:rsidR="005B56B2">
        <w:lastRenderedPageBreak/>
        <w:t>June 6, </w:t>
      </w:r>
      <w:r w:rsidRPr="002B7FCF">
        <w:t>2013, which set forth some of the requirements of a formal hearing before the Commission.</w:t>
      </w:r>
    </w:p>
    <w:p w:rsidR="00B37D66" w:rsidRPr="002B7FCF" w:rsidRDefault="00B37D66" w:rsidP="003C6D04">
      <w:pPr>
        <w:jc w:val="left"/>
      </w:pPr>
    </w:p>
    <w:p w:rsidR="00A20E96" w:rsidRPr="002B7FCF" w:rsidRDefault="00B37D66" w:rsidP="003C6D04">
      <w:pPr>
        <w:jc w:val="left"/>
      </w:pPr>
      <w:r w:rsidRPr="002B7FCF">
        <w:tab/>
      </w:r>
      <w:r w:rsidRPr="002B7FCF">
        <w:tab/>
        <w:t>On July 18, 2013, a Hearing Cancellation/Reschedule Notice rescheduled the hearing for Wednesday, August 14, 2013.  Pursuant to request from counsel based on a conflict with another forum, on July 26, 2013, a Hearing Cancellation/Reschedule Notice rescheduled the hearing for Wednesday, September 11, 2013.</w:t>
      </w:r>
    </w:p>
    <w:p w:rsidR="00A20E96" w:rsidRPr="002B7FCF" w:rsidRDefault="00A20E96" w:rsidP="003C6D04">
      <w:pPr>
        <w:jc w:val="left"/>
      </w:pPr>
    </w:p>
    <w:p w:rsidR="003C6D04" w:rsidRPr="002B7FCF" w:rsidRDefault="00A20E96" w:rsidP="003C6D04">
      <w:pPr>
        <w:jc w:val="left"/>
      </w:pPr>
      <w:r w:rsidRPr="002B7FCF">
        <w:tab/>
      </w:r>
      <w:r w:rsidRPr="002B7FCF">
        <w:tab/>
      </w:r>
      <w:r w:rsidR="003C6D04" w:rsidRPr="002B7FCF">
        <w:t>An evidentiary hearing was held in the abov</w:t>
      </w:r>
      <w:r w:rsidR="00C21D9D">
        <w:t xml:space="preserve">e-captioned matter on September 11, </w:t>
      </w:r>
      <w:r w:rsidR="003C6D04" w:rsidRPr="002B7FCF">
        <w:t>2013, in Hearing Room 5 of the Commonwealth Keystone Building in Harrisburg, Pennsylvania.  Roman Maleszewski (Complainant) appeared on his own behalf, and Metropolitan Edison Company (Respondent or Company or Met Ed) was represented by Brian C. Wauhop, Esq., who presented two witnesses and ten exhibits.  Following the presentation of the evidence, it was clear that Complainant wished to enter an exhibit into the record, specifically, a copy of the lease entered into by Complainant and his tenant, Shak</w:t>
      </w:r>
      <w:r w:rsidR="00630DEC" w:rsidRPr="002B7FCF">
        <w:t>ie</w:t>
      </w:r>
      <w:r w:rsidR="002126C5" w:rsidRPr="002B7FCF">
        <w:t>r</w:t>
      </w:r>
      <w:r w:rsidR="003C6D04" w:rsidRPr="002B7FCF">
        <w:t>a L. Johnson.  Complainant did not have any copies of the lease, and I offered to copy it from his Complaint and place it into the evidentiary record.</w:t>
      </w:r>
    </w:p>
    <w:p w:rsidR="003C6D04" w:rsidRPr="002B7FCF" w:rsidRDefault="003C6D04" w:rsidP="003C6D04">
      <w:pPr>
        <w:jc w:val="left"/>
      </w:pPr>
    </w:p>
    <w:p w:rsidR="007A3B06" w:rsidRPr="002B7FCF" w:rsidRDefault="003C6D04" w:rsidP="00A20E96">
      <w:pPr>
        <w:jc w:val="left"/>
      </w:pPr>
      <w:r w:rsidRPr="002B7FCF">
        <w:tab/>
      </w:r>
      <w:r w:rsidRPr="002B7FCF">
        <w:tab/>
        <w:t xml:space="preserve">Upon returning to my office, I discovered that Complainant had only included the second page of the lease with the Complaint.  In order to </w:t>
      </w:r>
      <w:r w:rsidR="00FE532A" w:rsidRPr="002B7FCF">
        <w:t>obtain a copy of the</w:t>
      </w:r>
      <w:r w:rsidRPr="002B7FCF">
        <w:t xml:space="preserve"> entire lease</w:t>
      </w:r>
      <w:r w:rsidR="00FE532A" w:rsidRPr="002B7FCF">
        <w:t>, I issued an</w:t>
      </w:r>
      <w:r w:rsidR="00A20E96" w:rsidRPr="002B7FCF">
        <w:t xml:space="preserve"> Order Directing Complainant to File an Exhibit</w:t>
      </w:r>
      <w:r w:rsidR="007A3B06" w:rsidRPr="002B7FCF">
        <w:t>, issued September 11, 2013</w:t>
      </w:r>
      <w:r w:rsidR="00FE532A" w:rsidRPr="002B7FCF">
        <w:t xml:space="preserve">.  </w:t>
      </w:r>
      <w:r w:rsidRPr="002B7FCF">
        <w:t>Complainant</w:t>
      </w:r>
      <w:r w:rsidR="00A20E96" w:rsidRPr="002B7FCF">
        <w:t xml:space="preserve"> wa</w:t>
      </w:r>
      <w:r w:rsidRPr="002B7FCF">
        <w:t>s directed to mail a photocopy of the lease, along with a verification stating that the lease is a full and accurate copy of the original lease, to the undersigned no later than thirty days from the date of this Order.</w:t>
      </w:r>
    </w:p>
    <w:p w:rsidR="007A3B06" w:rsidRPr="002B7FCF" w:rsidRDefault="007A3B06" w:rsidP="00A20E96">
      <w:pPr>
        <w:jc w:val="left"/>
      </w:pPr>
    </w:p>
    <w:p w:rsidR="00FE532A" w:rsidRPr="002B7FCF" w:rsidRDefault="007A3B06" w:rsidP="00A20E96">
      <w:pPr>
        <w:jc w:val="left"/>
      </w:pPr>
      <w:r w:rsidRPr="002B7FCF">
        <w:tab/>
      </w:r>
      <w:r w:rsidRPr="002B7FCF">
        <w:tab/>
        <w:t>The hearing transcript was filed on September 24, 2013, and consists of 54 pages.</w:t>
      </w:r>
    </w:p>
    <w:p w:rsidR="00FE532A" w:rsidRPr="002B7FCF" w:rsidRDefault="00FE532A" w:rsidP="00A20E96">
      <w:pPr>
        <w:jc w:val="left"/>
      </w:pPr>
    </w:p>
    <w:p w:rsidR="00A20E96" w:rsidRPr="002B7FCF" w:rsidRDefault="00FE532A" w:rsidP="00A20E96">
      <w:pPr>
        <w:jc w:val="left"/>
      </w:pPr>
      <w:r w:rsidRPr="002B7FCF">
        <w:tab/>
      </w:r>
      <w:r w:rsidRPr="002B7FCF">
        <w:tab/>
      </w:r>
      <w:r w:rsidR="00A20E96" w:rsidRPr="002B7FCF">
        <w:t xml:space="preserve">Complainant complied with the </w:t>
      </w:r>
      <w:r w:rsidR="007A3B06" w:rsidRPr="002B7FCF">
        <w:t xml:space="preserve">September 11, 2013, </w:t>
      </w:r>
      <w:r w:rsidR="00A20E96" w:rsidRPr="002B7FCF">
        <w:t xml:space="preserve">Order and sent me a copy of his lease </w:t>
      </w:r>
      <w:r w:rsidR="0023497A" w:rsidRPr="002B7FCF">
        <w:t xml:space="preserve">as well as </w:t>
      </w:r>
      <w:r w:rsidR="00A20E96" w:rsidRPr="002B7FCF">
        <w:t>a</w:t>
      </w:r>
      <w:r w:rsidR="0023497A" w:rsidRPr="002B7FCF">
        <w:t>n unsolicited</w:t>
      </w:r>
      <w:r w:rsidR="00A20E96" w:rsidRPr="002B7FCF">
        <w:t xml:space="preserve"> copy of a notarized statement of his tenant.</w:t>
      </w:r>
    </w:p>
    <w:p w:rsidR="00A20E96" w:rsidRPr="002B7FCF" w:rsidRDefault="00A20E96" w:rsidP="00A20E96">
      <w:pPr>
        <w:jc w:val="left"/>
      </w:pPr>
    </w:p>
    <w:p w:rsidR="007A3B06" w:rsidRPr="002B7FCF" w:rsidRDefault="007A3B06" w:rsidP="00C21D9D">
      <w:pPr>
        <w:jc w:val="left"/>
      </w:pPr>
      <w:r w:rsidRPr="002B7FCF">
        <w:tab/>
      </w:r>
      <w:r w:rsidRPr="002B7FCF">
        <w:tab/>
        <w:t>On October 15, 2013, Met-Ed filed its Objection to Complainant's Documents as defective and asked that they not be admitted.</w:t>
      </w:r>
      <w:r w:rsidR="00C77BB2" w:rsidRPr="002B7FCF">
        <w:t xml:space="preserve">  The record closed upon receipt of this Objection.  The matter is ripe for disposition.</w:t>
      </w:r>
    </w:p>
    <w:p w:rsidR="00C77BB2" w:rsidRPr="002B7FCF" w:rsidRDefault="00C77BB2" w:rsidP="00C21D9D">
      <w:pPr>
        <w:jc w:val="left"/>
      </w:pPr>
    </w:p>
    <w:p w:rsidR="00C77BB2" w:rsidRPr="002B7FCF" w:rsidRDefault="00C77BB2" w:rsidP="00C21D9D">
      <w:pPr>
        <w:rPr>
          <w:u w:val="single"/>
        </w:rPr>
      </w:pPr>
      <w:r w:rsidRPr="002B7FCF">
        <w:rPr>
          <w:u w:val="single"/>
        </w:rPr>
        <w:t>FINDINGS OF FACT</w:t>
      </w:r>
    </w:p>
    <w:p w:rsidR="00C77BB2" w:rsidRPr="002B7FCF" w:rsidRDefault="00C77BB2" w:rsidP="00C21D9D">
      <w:pPr>
        <w:rPr>
          <w:u w:val="single"/>
        </w:rPr>
      </w:pPr>
    </w:p>
    <w:p w:rsidR="00C77BB2" w:rsidRPr="002B7FCF" w:rsidRDefault="00C77BB2" w:rsidP="00C21D9D">
      <w:pPr>
        <w:jc w:val="left"/>
      </w:pPr>
      <w:r w:rsidRPr="002B7FCF">
        <w:tab/>
      </w:r>
      <w:r w:rsidRPr="002B7FCF">
        <w:tab/>
        <w:t>1.</w:t>
      </w:r>
      <w:r w:rsidRPr="002B7FCF">
        <w:tab/>
        <w:t>Complainan</w:t>
      </w:r>
      <w:bookmarkStart w:id="0" w:name="_GoBack"/>
      <w:bookmarkEnd w:id="0"/>
      <w:r w:rsidRPr="002B7FCF">
        <w:t>t is Roman Maleszewski, PO Box 68, Palmyra PA 17078.</w:t>
      </w:r>
    </w:p>
    <w:p w:rsidR="00C77BB2" w:rsidRPr="002B7FCF" w:rsidRDefault="00C77BB2" w:rsidP="00C21D9D">
      <w:pPr>
        <w:jc w:val="left"/>
      </w:pPr>
    </w:p>
    <w:p w:rsidR="00C77BB2" w:rsidRPr="002B7FCF" w:rsidRDefault="00C77BB2" w:rsidP="00C21D9D">
      <w:pPr>
        <w:jc w:val="left"/>
      </w:pPr>
      <w:r w:rsidRPr="002B7FCF">
        <w:tab/>
      </w:r>
      <w:r w:rsidRPr="002B7FCF">
        <w:tab/>
        <w:t>2.</w:t>
      </w:r>
      <w:r w:rsidRPr="002B7FCF">
        <w:tab/>
        <w:t>Respondent is Metropolitan Edison Company, a jurisdictional public utility providing residential electric service in the Commonwealth.</w:t>
      </w:r>
    </w:p>
    <w:p w:rsidR="0023497A" w:rsidRPr="002B7FCF" w:rsidRDefault="0023497A" w:rsidP="00C77BB2">
      <w:pPr>
        <w:jc w:val="left"/>
      </w:pPr>
    </w:p>
    <w:p w:rsidR="0023497A" w:rsidRPr="002B7FCF" w:rsidRDefault="0023497A" w:rsidP="00C77BB2">
      <w:pPr>
        <w:jc w:val="left"/>
      </w:pPr>
      <w:r w:rsidRPr="002B7FCF">
        <w:tab/>
      </w:r>
      <w:r w:rsidRPr="002B7FCF">
        <w:tab/>
        <w:t>3.</w:t>
      </w:r>
      <w:r w:rsidRPr="002B7FCF">
        <w:tab/>
      </w:r>
      <w:r w:rsidR="00D94CE4" w:rsidRPr="002B7FCF">
        <w:t>The dispute concerns a rental property (rental property) owned by Complainant, located at 532 Lehman Street, Lebanon.  Tr. 5.</w:t>
      </w:r>
    </w:p>
    <w:p w:rsidR="00D94CE4" w:rsidRPr="002B7FCF" w:rsidRDefault="00D94CE4" w:rsidP="00C77BB2">
      <w:pPr>
        <w:jc w:val="left"/>
      </w:pPr>
    </w:p>
    <w:p w:rsidR="00D94CE4" w:rsidRPr="002B7FCF" w:rsidRDefault="00D94CE4" w:rsidP="00C77BB2">
      <w:pPr>
        <w:jc w:val="left"/>
      </w:pPr>
      <w:r w:rsidRPr="002B7FCF">
        <w:tab/>
      </w:r>
      <w:r w:rsidRPr="002B7FCF">
        <w:tab/>
        <w:t>4.</w:t>
      </w:r>
      <w:r w:rsidRPr="002B7FCF">
        <w:tab/>
        <w:t>The rental property is a two-unit apartment.  A front entrance leads to the second floor</w:t>
      </w:r>
      <w:r w:rsidR="00542BB5" w:rsidRPr="002B7FCF">
        <w:t xml:space="preserve"> unit</w:t>
      </w:r>
      <w:r w:rsidRPr="002B7FCF">
        <w:t>, and the first floor apartment has a side entrance.  Tr. 5.</w:t>
      </w:r>
    </w:p>
    <w:p w:rsidR="00D94CE4" w:rsidRPr="002B7FCF" w:rsidRDefault="00D94CE4" w:rsidP="00C77BB2">
      <w:pPr>
        <w:jc w:val="left"/>
      </w:pPr>
    </w:p>
    <w:p w:rsidR="00D94CE4" w:rsidRPr="002B7FCF" w:rsidRDefault="00D94CE4" w:rsidP="00C77BB2">
      <w:pPr>
        <w:jc w:val="left"/>
      </w:pPr>
      <w:r w:rsidRPr="002B7FCF">
        <w:tab/>
      </w:r>
      <w:r w:rsidRPr="002B7FCF">
        <w:tab/>
        <w:t>5.</w:t>
      </w:r>
      <w:r w:rsidRPr="002B7FCF">
        <w:tab/>
        <w:t>The property was purchased by Complainant around 2008 and had already been converted from a single family home to a two-unit apartment.  Tr. 5.</w:t>
      </w:r>
    </w:p>
    <w:p w:rsidR="00D94CE4" w:rsidRPr="002B7FCF" w:rsidRDefault="00D94CE4" w:rsidP="00C77BB2">
      <w:pPr>
        <w:jc w:val="left"/>
      </w:pPr>
    </w:p>
    <w:p w:rsidR="00D94CE4" w:rsidRPr="002B7FCF" w:rsidRDefault="00D94CE4" w:rsidP="00C77BB2">
      <w:pPr>
        <w:jc w:val="left"/>
      </w:pPr>
      <w:r w:rsidRPr="002B7FCF">
        <w:tab/>
      </w:r>
      <w:r w:rsidRPr="002B7FCF">
        <w:tab/>
        <w:t>6.</w:t>
      </w:r>
      <w:r w:rsidRPr="002B7FCF">
        <w:tab/>
        <w:t>The second floor tenant, Shaki</w:t>
      </w:r>
      <w:r w:rsidR="002126C5" w:rsidRPr="002B7FCF">
        <w:t>e</w:t>
      </w:r>
      <w:r w:rsidRPr="002B7FCF">
        <w:t>ra Johnson, indicated on the lease that she agreed to pay for the light in the hallway.  Tr. 6, Complainant's Exhibit 1.</w:t>
      </w:r>
    </w:p>
    <w:p w:rsidR="00D94CE4" w:rsidRPr="002B7FCF" w:rsidRDefault="00D94CE4" w:rsidP="00C77BB2">
      <w:pPr>
        <w:jc w:val="left"/>
      </w:pPr>
    </w:p>
    <w:p w:rsidR="00D94CE4" w:rsidRPr="002B7FCF" w:rsidRDefault="00D94CE4" w:rsidP="00C77BB2">
      <w:pPr>
        <w:jc w:val="left"/>
      </w:pPr>
      <w:r w:rsidRPr="002B7FCF">
        <w:tab/>
      </w:r>
      <w:r w:rsidRPr="002B7FCF">
        <w:tab/>
        <w:t>7.</w:t>
      </w:r>
      <w:r w:rsidRPr="002B7FCF">
        <w:tab/>
      </w:r>
      <w:r w:rsidR="00BB05BB" w:rsidRPr="002B7FCF">
        <w:t>The Company investigated Ms. Johnson's high bill complaint and found that the hall light was connected to her meter.  Tr. 7.</w:t>
      </w:r>
    </w:p>
    <w:p w:rsidR="00BB05BB" w:rsidRPr="002B7FCF" w:rsidRDefault="00BB05BB" w:rsidP="00C77BB2">
      <w:pPr>
        <w:jc w:val="left"/>
      </w:pPr>
    </w:p>
    <w:p w:rsidR="00BB05BB" w:rsidRPr="002B7FCF" w:rsidRDefault="00BB05BB" w:rsidP="00C77BB2">
      <w:pPr>
        <w:jc w:val="left"/>
      </w:pPr>
      <w:r w:rsidRPr="002B7FCF">
        <w:tab/>
      </w:r>
      <w:r w:rsidRPr="002B7FCF">
        <w:tab/>
        <w:t>8.</w:t>
      </w:r>
      <w:r w:rsidRPr="002B7FCF">
        <w:tab/>
        <w:t>The Company switched Ms. Johnson's electric bill to Complainant's name.  Tr. 8</w:t>
      </w:r>
      <w:r w:rsidR="00724D93" w:rsidRPr="002B7FCF">
        <w:t>-9</w:t>
      </w:r>
      <w:r w:rsidRPr="002B7FCF">
        <w:t>.</w:t>
      </w:r>
    </w:p>
    <w:p w:rsidR="00BB05BB" w:rsidRPr="002B7FCF" w:rsidRDefault="00BB05BB" w:rsidP="00C77BB2">
      <w:pPr>
        <w:jc w:val="left"/>
      </w:pPr>
    </w:p>
    <w:p w:rsidR="00BB05BB" w:rsidRPr="002B7FCF" w:rsidRDefault="00BB05BB" w:rsidP="00C77BB2">
      <w:pPr>
        <w:jc w:val="left"/>
      </w:pPr>
      <w:r w:rsidRPr="002B7FCF">
        <w:tab/>
      </w:r>
      <w:r w:rsidRPr="002B7FCF">
        <w:tab/>
        <w:t>9.</w:t>
      </w:r>
      <w:r w:rsidRPr="002B7FCF">
        <w:tab/>
        <w:t xml:space="preserve">After the hall light was no longer connected to Ms. Johnson's meter, the Company did not switch the arrearage </w:t>
      </w:r>
      <w:r w:rsidR="00542BB5" w:rsidRPr="002B7FCF">
        <w:t xml:space="preserve">accrued by usage in her rental unit </w:t>
      </w:r>
      <w:r w:rsidR="00ED76C7">
        <w:t>back to her name.  Tr. </w:t>
      </w:r>
      <w:r w:rsidRPr="002B7FCF">
        <w:t>8.</w:t>
      </w:r>
    </w:p>
    <w:p w:rsidR="00724D93" w:rsidRPr="002B7FCF" w:rsidRDefault="00724D93" w:rsidP="00C77BB2">
      <w:pPr>
        <w:jc w:val="left"/>
      </w:pPr>
    </w:p>
    <w:p w:rsidR="00724D93" w:rsidRPr="002B7FCF" w:rsidRDefault="00724D93" w:rsidP="00C77BB2">
      <w:pPr>
        <w:jc w:val="left"/>
      </w:pPr>
      <w:r w:rsidRPr="002B7FCF">
        <w:tab/>
      </w:r>
      <w:r w:rsidRPr="002B7FCF">
        <w:tab/>
        <w:t>10.</w:t>
      </w:r>
      <w:r w:rsidRPr="002B7FCF">
        <w:tab/>
        <w:t>Richard Monk, meter service supervisor for Met-Ed, appeared and testified on behalf of Respondent.  Tr. 16.</w:t>
      </w:r>
    </w:p>
    <w:p w:rsidR="00724D93" w:rsidRPr="002B7FCF" w:rsidRDefault="00724D93" w:rsidP="00C77BB2">
      <w:pPr>
        <w:jc w:val="left"/>
      </w:pPr>
    </w:p>
    <w:p w:rsidR="00724D93" w:rsidRPr="002B7FCF" w:rsidRDefault="00724D93" w:rsidP="00C77BB2">
      <w:pPr>
        <w:jc w:val="left"/>
      </w:pPr>
      <w:r w:rsidRPr="002B7FCF">
        <w:tab/>
      </w:r>
      <w:r w:rsidRPr="002B7FCF">
        <w:tab/>
        <w:t>11.</w:t>
      </w:r>
      <w:r w:rsidRPr="002B7FCF">
        <w:tab/>
        <w:t xml:space="preserve">Met-Ed Exhibit 8 is a 3-page document entitled Meter Work Notification, which </w:t>
      </w:r>
      <w:r w:rsidR="002F1380" w:rsidRPr="002B7FCF">
        <w:t xml:space="preserve">provides information to the </w:t>
      </w:r>
      <w:r w:rsidR="000155CD" w:rsidRPr="002B7FCF">
        <w:t>field technician assigned to carry out the work.  Tr. 18.</w:t>
      </w:r>
    </w:p>
    <w:p w:rsidR="000155CD" w:rsidRPr="002B7FCF" w:rsidRDefault="000155CD" w:rsidP="00C77BB2">
      <w:pPr>
        <w:jc w:val="left"/>
      </w:pPr>
    </w:p>
    <w:p w:rsidR="000155CD" w:rsidRPr="002B7FCF" w:rsidRDefault="000155CD" w:rsidP="00C77BB2">
      <w:pPr>
        <w:jc w:val="left"/>
      </w:pPr>
      <w:r w:rsidRPr="002B7FCF">
        <w:tab/>
      </w:r>
      <w:r w:rsidRPr="002B7FCF">
        <w:tab/>
        <w:t>12.</w:t>
      </w:r>
      <w:r w:rsidRPr="002B7FCF">
        <w:tab/>
        <w:t>Met-Ed Exhibit 8 was generated based upon a report of shared metering.  Tr. 18-19.</w:t>
      </w:r>
    </w:p>
    <w:p w:rsidR="000155CD" w:rsidRPr="002B7FCF" w:rsidRDefault="000155CD" w:rsidP="00C77BB2">
      <w:pPr>
        <w:jc w:val="left"/>
      </w:pPr>
    </w:p>
    <w:p w:rsidR="000155CD" w:rsidRPr="002B7FCF" w:rsidRDefault="000155CD" w:rsidP="00C77BB2">
      <w:pPr>
        <w:jc w:val="left"/>
      </w:pPr>
      <w:r w:rsidRPr="002B7FCF">
        <w:tab/>
      </w:r>
      <w:r w:rsidRPr="002B7FCF">
        <w:tab/>
        <w:t>13.</w:t>
      </w:r>
      <w:r w:rsidRPr="002B7FCF">
        <w:tab/>
        <w:t>Met-Ed conducted a shared metering investigation on February 22, 2012.  Tr. 19; Met-Ed Exhibit 8.</w:t>
      </w:r>
    </w:p>
    <w:p w:rsidR="000155CD" w:rsidRPr="002B7FCF" w:rsidRDefault="000155CD" w:rsidP="00C77BB2">
      <w:pPr>
        <w:jc w:val="left"/>
      </w:pPr>
    </w:p>
    <w:p w:rsidR="000155CD" w:rsidRPr="002B7FCF" w:rsidRDefault="000155CD" w:rsidP="00C77BB2">
      <w:pPr>
        <w:jc w:val="left"/>
      </w:pPr>
      <w:r w:rsidRPr="002B7FCF">
        <w:tab/>
      </w:r>
      <w:r w:rsidRPr="002B7FCF">
        <w:tab/>
        <w:t>14.</w:t>
      </w:r>
      <w:r w:rsidRPr="002B7FCF">
        <w:tab/>
        <w:t>Regarding the hallway light, Met-Ed Exhibit 8 states that "Switch is in hallway and can be controlled by 1</w:t>
      </w:r>
      <w:r w:rsidRPr="002B7FCF">
        <w:rPr>
          <w:vertAlign w:val="superscript"/>
        </w:rPr>
        <w:t>st</w:t>
      </w:r>
      <w:r w:rsidRPr="002B7FCF">
        <w:t xml:space="preserve"> and 2</w:t>
      </w:r>
      <w:r w:rsidRPr="002B7FCF">
        <w:rPr>
          <w:vertAlign w:val="superscript"/>
        </w:rPr>
        <w:t>nd</w:t>
      </w:r>
      <w:r w:rsidRPr="002B7FCF">
        <w:t xml:space="preserve"> fl apts.  This is foreign load on 2</w:t>
      </w:r>
      <w:r w:rsidRPr="002B7FCF">
        <w:rPr>
          <w:vertAlign w:val="superscript"/>
        </w:rPr>
        <w:t>nd</w:t>
      </w:r>
      <w:r w:rsidRPr="002B7FCF">
        <w:t xml:space="preserve"> fl meter."  Tr. 19; Met-Ed Ex. 8.</w:t>
      </w:r>
    </w:p>
    <w:p w:rsidR="000155CD" w:rsidRPr="002B7FCF" w:rsidRDefault="000155CD" w:rsidP="00C77BB2">
      <w:pPr>
        <w:jc w:val="left"/>
      </w:pPr>
    </w:p>
    <w:p w:rsidR="000155CD" w:rsidRPr="002B7FCF" w:rsidRDefault="000155CD" w:rsidP="00C77BB2">
      <w:pPr>
        <w:jc w:val="left"/>
      </w:pPr>
      <w:r w:rsidRPr="002B7FCF">
        <w:tab/>
      </w:r>
      <w:r w:rsidRPr="002B7FCF">
        <w:tab/>
        <w:t>15.</w:t>
      </w:r>
      <w:r w:rsidRPr="002B7FCF">
        <w:tab/>
        <w:t>Met-Ed Exhibit 9 reflects a visit on August 24, 2012, reporting that the hallway lights, furnace, and basements lights are fed fr</w:t>
      </w:r>
      <w:r w:rsidR="002126C5" w:rsidRPr="002B7FCF">
        <w:t>o</w:t>
      </w:r>
      <w:r w:rsidRPr="002B7FCF">
        <w:t>m the owner's meter, and that the foreign load had been corrected.  Tr. 20-21; Met-Ed Ex. 9.</w:t>
      </w:r>
    </w:p>
    <w:p w:rsidR="000155CD" w:rsidRPr="002B7FCF" w:rsidRDefault="000155CD" w:rsidP="00C77BB2">
      <w:pPr>
        <w:jc w:val="left"/>
      </w:pPr>
    </w:p>
    <w:p w:rsidR="000155CD" w:rsidRPr="002B7FCF" w:rsidRDefault="000155CD" w:rsidP="00C77BB2">
      <w:pPr>
        <w:jc w:val="left"/>
      </w:pPr>
      <w:r w:rsidRPr="002B7FCF">
        <w:tab/>
      </w:r>
      <w:r w:rsidRPr="002B7FCF">
        <w:tab/>
        <w:t>16.</w:t>
      </w:r>
      <w:r w:rsidRPr="002B7FCF">
        <w:tab/>
        <w:t>Christine Evanna, employed by FirstEnergy in the compliance department, appeared and testified on behalf of the Respondent.  Tr. 23.</w:t>
      </w:r>
    </w:p>
    <w:p w:rsidR="000155CD" w:rsidRPr="002B7FCF" w:rsidRDefault="000155CD" w:rsidP="00C77BB2">
      <w:pPr>
        <w:jc w:val="left"/>
      </w:pPr>
    </w:p>
    <w:p w:rsidR="000155CD" w:rsidRPr="002B7FCF" w:rsidRDefault="000155CD" w:rsidP="00C77BB2">
      <w:pPr>
        <w:jc w:val="left"/>
      </w:pPr>
      <w:r w:rsidRPr="002B7FCF">
        <w:tab/>
      </w:r>
      <w:r w:rsidRPr="002B7FCF">
        <w:tab/>
        <w:t>17.</w:t>
      </w:r>
      <w:r w:rsidRPr="002B7FCF">
        <w:tab/>
        <w:t>Met-Ed Exhibit 10 is a print-out of the Company's record of customer contacts from October 27, 2011 to January 4, 2012.  Tr. 25; Met-Ed Exhibit 10.</w:t>
      </w:r>
    </w:p>
    <w:p w:rsidR="000155CD" w:rsidRPr="002B7FCF" w:rsidRDefault="000155CD" w:rsidP="00C77BB2">
      <w:pPr>
        <w:jc w:val="left"/>
      </w:pPr>
    </w:p>
    <w:p w:rsidR="000155CD" w:rsidRPr="002B7FCF" w:rsidRDefault="000155CD" w:rsidP="00C77BB2">
      <w:pPr>
        <w:jc w:val="left"/>
      </w:pPr>
      <w:r w:rsidRPr="002B7FCF">
        <w:tab/>
      </w:r>
      <w:r w:rsidRPr="002B7FCF">
        <w:tab/>
        <w:t>18.</w:t>
      </w:r>
      <w:r w:rsidRPr="002B7FCF">
        <w:tab/>
      </w:r>
      <w:r w:rsidR="00921376" w:rsidRPr="002B7FCF">
        <w:t>Met-Ed Exhibit 10 shows that Ms. J</w:t>
      </w:r>
      <w:r w:rsidR="00C21D9D">
        <w:t xml:space="preserve">ohnson called Met-Ed on January 4, </w:t>
      </w:r>
      <w:r w:rsidR="00921376" w:rsidRPr="002B7FCF">
        <w:t>2012, and advised the Company that there is a potential for shared metering at the subject premises.  Tr. 25; Met-Ed Ex. 10.</w:t>
      </w:r>
    </w:p>
    <w:p w:rsidR="00921376" w:rsidRPr="002B7FCF" w:rsidRDefault="00921376" w:rsidP="00C77BB2">
      <w:pPr>
        <w:jc w:val="left"/>
      </w:pPr>
    </w:p>
    <w:p w:rsidR="00921376" w:rsidRPr="002B7FCF" w:rsidRDefault="00921376" w:rsidP="00C77BB2">
      <w:pPr>
        <w:jc w:val="left"/>
      </w:pPr>
      <w:r w:rsidRPr="002B7FCF">
        <w:tab/>
      </w:r>
      <w:r w:rsidRPr="002B7FCF">
        <w:tab/>
        <w:t>19.</w:t>
      </w:r>
      <w:r w:rsidRPr="002B7FCF">
        <w:tab/>
        <w:t>Upon receiving Ms. Johnson's report of shared metering, Met-Ed opened its investigation.  Tr. 26.</w:t>
      </w:r>
    </w:p>
    <w:p w:rsidR="00921376" w:rsidRPr="002B7FCF" w:rsidRDefault="00921376" w:rsidP="00C77BB2">
      <w:pPr>
        <w:jc w:val="left"/>
      </w:pPr>
    </w:p>
    <w:p w:rsidR="00161215" w:rsidRPr="002B7FCF" w:rsidRDefault="00921376" w:rsidP="00161215">
      <w:pPr>
        <w:jc w:val="left"/>
      </w:pPr>
      <w:r w:rsidRPr="002B7FCF">
        <w:tab/>
      </w:r>
      <w:r w:rsidRPr="002B7FCF">
        <w:tab/>
        <w:t>20.</w:t>
      </w:r>
      <w:r w:rsidRPr="002B7FCF">
        <w:tab/>
      </w:r>
      <w:r w:rsidR="00161215" w:rsidRPr="002B7FCF">
        <w:t>Met-Ed Exhibit 1 is a three-page print-out of customer contacts reflecting discussions between Complainant and Met-Ed from April 13, 201</w:t>
      </w:r>
      <w:r w:rsidR="00161215">
        <w:t>2</w:t>
      </w:r>
      <w:r w:rsidR="00161215" w:rsidRPr="002B7FCF">
        <w:t>, to January 8, 201</w:t>
      </w:r>
      <w:r w:rsidR="00161215">
        <w:t>3</w:t>
      </w:r>
      <w:r w:rsidR="00161215" w:rsidRPr="002B7FCF">
        <w:t>.  Tr. 28; Met-Ed Ex. 1.</w:t>
      </w:r>
    </w:p>
    <w:p w:rsidR="00161215" w:rsidRDefault="00161215" w:rsidP="00C77BB2">
      <w:pPr>
        <w:jc w:val="left"/>
      </w:pPr>
    </w:p>
    <w:p w:rsidR="00F66599" w:rsidRPr="002B7FCF" w:rsidRDefault="00161215" w:rsidP="00C77BB2">
      <w:pPr>
        <w:jc w:val="left"/>
      </w:pPr>
      <w:r>
        <w:tab/>
      </w:r>
      <w:r>
        <w:tab/>
        <w:t>21.</w:t>
      </w:r>
      <w:r>
        <w:tab/>
      </w:r>
      <w:r w:rsidR="00921376" w:rsidRPr="002B7FCF">
        <w:t xml:space="preserve">Met-Ed Exhibit 2 is </w:t>
      </w:r>
      <w:r w:rsidR="00F66599" w:rsidRPr="002B7FCF">
        <w:t>a letter dated May 2, 2012, informing Complainant that the service for the second floor apartment of the subject premises had been placed in his name effective March 30, 2012, due to a shared metering situation, and that the balance as of the date of the letter was $1,219.95.  Tr. 27; Met-Ed Ex. 2.</w:t>
      </w:r>
    </w:p>
    <w:p w:rsidR="00F66599" w:rsidRPr="002B7FCF" w:rsidRDefault="00F66599" w:rsidP="00C77BB2">
      <w:pPr>
        <w:jc w:val="left"/>
      </w:pPr>
    </w:p>
    <w:p w:rsidR="00F66599" w:rsidRPr="002B7FCF" w:rsidRDefault="00161215" w:rsidP="00C77BB2">
      <w:pPr>
        <w:jc w:val="left"/>
      </w:pPr>
      <w:r>
        <w:tab/>
      </w:r>
      <w:r>
        <w:tab/>
      </w:r>
      <w:r w:rsidR="00F66599" w:rsidRPr="002B7FCF">
        <w:t>22.</w:t>
      </w:r>
      <w:r w:rsidR="00F66599" w:rsidRPr="002B7FCF">
        <w:tab/>
        <w:t xml:space="preserve"> Met-Ed Exhibit 3 is a letter dated August 25, 2012, issued to the Complainant advising him that the Company had verified that the shared metering situation had been corrected</w:t>
      </w:r>
      <w:r w:rsidR="0063109E" w:rsidRPr="002B7FCF">
        <w:t xml:space="preserve">, that his tenant could contact the Company to have service reinstated, </w:t>
      </w:r>
      <w:r w:rsidR="00F66599" w:rsidRPr="002B7FCF">
        <w:t>and informing him that his present account balance was $1,764.51.  Tr. 31; Met-Ed Ex. 3.</w:t>
      </w:r>
    </w:p>
    <w:p w:rsidR="00F66599" w:rsidRPr="002B7FCF" w:rsidRDefault="00F66599" w:rsidP="00C77BB2">
      <w:pPr>
        <w:jc w:val="left"/>
      </w:pPr>
    </w:p>
    <w:p w:rsidR="00921376" w:rsidRPr="002B7FCF" w:rsidRDefault="0063109E" w:rsidP="00C77BB2">
      <w:pPr>
        <w:jc w:val="left"/>
      </w:pPr>
      <w:r w:rsidRPr="002B7FCF">
        <w:tab/>
      </w:r>
      <w:r w:rsidRPr="002B7FCF">
        <w:tab/>
        <w:t>23.</w:t>
      </w:r>
      <w:r w:rsidRPr="002B7FCF">
        <w:tab/>
        <w:t>Met-Ed Exhibit 4 is a letter dated December 19, 2012, from Met-Ed to Complainant in response to his call of November 30, 2012, regarding his balance.  Tr. 34; Met-Ed Ex. 4.</w:t>
      </w:r>
    </w:p>
    <w:p w:rsidR="0063109E" w:rsidRPr="002B7FCF" w:rsidRDefault="0063109E" w:rsidP="00C77BB2">
      <w:pPr>
        <w:jc w:val="left"/>
      </w:pPr>
    </w:p>
    <w:p w:rsidR="0063109E" w:rsidRPr="002B7FCF" w:rsidRDefault="0063109E" w:rsidP="00C77BB2">
      <w:pPr>
        <w:jc w:val="left"/>
      </w:pPr>
      <w:r w:rsidRPr="002B7FCF">
        <w:tab/>
      </w:r>
      <w:r w:rsidRPr="002B7FCF">
        <w:tab/>
        <w:t>24.</w:t>
      </w:r>
      <w:r w:rsidRPr="002B7FCF">
        <w:tab/>
        <w:t>Complainant's telephone call of November 30, 2012, opened a dispute, and Met-Ed Exhibit 4 closed that dispute.  Tr. 34.</w:t>
      </w:r>
    </w:p>
    <w:p w:rsidR="0063109E" w:rsidRPr="002B7FCF" w:rsidRDefault="0063109E" w:rsidP="00C77BB2">
      <w:pPr>
        <w:jc w:val="left"/>
      </w:pPr>
    </w:p>
    <w:p w:rsidR="0063109E" w:rsidRPr="002B7FCF" w:rsidRDefault="0063109E" w:rsidP="00C77BB2">
      <w:pPr>
        <w:jc w:val="left"/>
      </w:pPr>
      <w:r w:rsidRPr="002B7FCF">
        <w:tab/>
      </w:r>
      <w:r w:rsidRPr="002B7FCF">
        <w:tab/>
        <w:t>25.</w:t>
      </w:r>
      <w:r w:rsidRPr="002B7FCF">
        <w:tab/>
        <w:t xml:space="preserve">Met-Ed Exhibit 5 is a one-page document entitled Detailed Statement of Account and reflects entries from </w:t>
      </w:r>
      <w:r w:rsidR="00161215">
        <w:t>May 1, 2012 to January 8, 2013</w:t>
      </w:r>
      <w:r w:rsidRPr="002B7FCF">
        <w:t>.  Tr. 35; Met-Ed Ex. 5.</w:t>
      </w:r>
    </w:p>
    <w:p w:rsidR="0063109E" w:rsidRPr="002B7FCF" w:rsidRDefault="0063109E" w:rsidP="00C77BB2">
      <w:pPr>
        <w:jc w:val="left"/>
      </w:pPr>
    </w:p>
    <w:p w:rsidR="00104F17" w:rsidRDefault="0063109E" w:rsidP="00104F17">
      <w:pPr>
        <w:jc w:val="left"/>
      </w:pPr>
      <w:r w:rsidRPr="002B7FCF">
        <w:tab/>
      </w:r>
      <w:r w:rsidRPr="002B7FCF">
        <w:tab/>
        <w:t>26.</w:t>
      </w:r>
      <w:r w:rsidRPr="002B7FCF">
        <w:tab/>
      </w:r>
      <w:r w:rsidR="00104F17" w:rsidRPr="002B7FCF">
        <w:t>Met-Ed Exhibit 6 is a Detailed Statement of Account for Complainant's home account, reflecting when the arrearage from the subject premises was transferred to his home account.  Tr. 39.</w:t>
      </w:r>
    </w:p>
    <w:p w:rsidR="00104F17" w:rsidRDefault="00104F17" w:rsidP="00104F17">
      <w:pPr>
        <w:jc w:val="left"/>
      </w:pPr>
    </w:p>
    <w:p w:rsidR="0063109E" w:rsidRPr="002B7FCF" w:rsidRDefault="00104F17" w:rsidP="00C77BB2">
      <w:pPr>
        <w:jc w:val="left"/>
      </w:pPr>
      <w:r>
        <w:tab/>
      </w:r>
      <w:r>
        <w:tab/>
        <w:t>27.</w:t>
      </w:r>
      <w:r>
        <w:tab/>
      </w:r>
      <w:r w:rsidR="0063109E" w:rsidRPr="002B7FCF">
        <w:t>Met-Ed Exhibit 7 is the Opening and Closing Report received electronically from the Commission's Bureau of Consumer Services (BCS) indicating a billing dispute.  Tr. 37; Met-Ed Ex. 7.</w:t>
      </w:r>
      <w:r w:rsidR="0063109E" w:rsidRPr="002B7FCF">
        <w:br/>
      </w:r>
    </w:p>
    <w:p w:rsidR="0063109E" w:rsidRPr="002B7FCF" w:rsidRDefault="0063109E" w:rsidP="00C21D9D">
      <w:pPr>
        <w:jc w:val="left"/>
      </w:pPr>
      <w:r w:rsidRPr="002B7FCF">
        <w:tab/>
      </w:r>
      <w:r w:rsidRPr="002B7FCF">
        <w:tab/>
        <w:t>2</w:t>
      </w:r>
      <w:r w:rsidR="00104F17">
        <w:t>8</w:t>
      </w:r>
      <w:r w:rsidRPr="002B7FCF">
        <w:t>.</w:t>
      </w:r>
      <w:r w:rsidRPr="002B7FCF">
        <w:tab/>
        <w:t>The BCS informal investigation was closed on February 26, 2013.  Tr. 38; Met-Ed Ex. 7.</w:t>
      </w:r>
    </w:p>
    <w:p w:rsidR="003A77E6" w:rsidRPr="002B7FCF" w:rsidRDefault="003A77E6" w:rsidP="00C21D9D">
      <w:pPr>
        <w:jc w:val="left"/>
      </w:pPr>
    </w:p>
    <w:p w:rsidR="003A77E6" w:rsidRPr="002B7FCF" w:rsidRDefault="00FE532A" w:rsidP="00C21D9D">
      <w:pPr>
        <w:rPr>
          <w:u w:val="single"/>
        </w:rPr>
      </w:pPr>
      <w:r w:rsidRPr="002B7FCF">
        <w:rPr>
          <w:u w:val="single"/>
        </w:rPr>
        <w:t>DISCUSSION</w:t>
      </w:r>
    </w:p>
    <w:p w:rsidR="00FE532A" w:rsidRPr="002B7FCF" w:rsidRDefault="00FE532A" w:rsidP="00C21D9D">
      <w:pPr>
        <w:rPr>
          <w:u w:val="single"/>
        </w:rPr>
      </w:pPr>
    </w:p>
    <w:p w:rsidR="00FE532A" w:rsidRPr="002B7FCF" w:rsidRDefault="00FE532A" w:rsidP="00C21D9D">
      <w:pPr>
        <w:jc w:val="left"/>
      </w:pPr>
      <w:r w:rsidRPr="002B7FCF">
        <w:tab/>
      </w:r>
      <w:r w:rsidRPr="002B7FCF">
        <w:tab/>
        <w:t xml:space="preserve">Complainant objects to his tenant's arrearage remaining on his bill after he </w:t>
      </w:r>
      <w:r w:rsidR="00542BB5" w:rsidRPr="002B7FCF">
        <w:t>moved the hallway light from his tenant's meter and placed it on the landlord's meter, and</w:t>
      </w:r>
      <w:r w:rsidR="00BB4891" w:rsidRPr="002B7FCF">
        <w:t xml:space="preserve"> he contests that the situation constituted shared metering.</w:t>
      </w:r>
    </w:p>
    <w:p w:rsidR="00BB4891" w:rsidRPr="002B7FCF" w:rsidRDefault="00BB4891" w:rsidP="00FE532A">
      <w:pPr>
        <w:jc w:val="left"/>
      </w:pPr>
    </w:p>
    <w:p w:rsidR="00BB4891" w:rsidRPr="002B7FCF" w:rsidRDefault="00BB4891" w:rsidP="00BB4891">
      <w:pPr>
        <w:jc w:val="left"/>
      </w:pPr>
      <w:r w:rsidRPr="002B7FCF">
        <w:tab/>
      </w:r>
      <w:r w:rsidRPr="002B7FCF">
        <w:tab/>
        <w:t xml:space="preserve">The party seeking affirmative relief from the Commission bears </w:t>
      </w:r>
      <w:r w:rsidR="00CF5F9E">
        <w:t>the burden of proof.  66 Pa.</w:t>
      </w:r>
      <w:r w:rsidRPr="002B7FCF">
        <w:t xml:space="preserve">C.S. § 332(a).  As a matter of law, a complainant must show that the named utility is responsible or accountable for the problem described in the Complaint in order to prevail.  </w:t>
      </w:r>
      <w:r w:rsidRPr="002B7FCF">
        <w:rPr>
          <w:i/>
        </w:rPr>
        <w:t>Patterson v. Bell Tel. Co. of PA</w:t>
      </w:r>
      <w:r w:rsidRPr="002B7FCF">
        <w:t>, 72 Pa</w:t>
      </w:r>
      <w:r w:rsidR="00CD037B">
        <w:t>.</w:t>
      </w:r>
      <w:r w:rsidRPr="002B7FCF">
        <w:t xml:space="preserve"> PUC 196 (1990); </w:t>
      </w:r>
      <w:r w:rsidRPr="002B7FCF">
        <w:rPr>
          <w:i/>
        </w:rPr>
        <w:t>Feinstein v. Phila. Suburban Water Co.</w:t>
      </w:r>
      <w:r w:rsidR="00C22BE6">
        <w:t>, </w:t>
      </w:r>
      <w:r w:rsidRPr="002B7FCF">
        <w:t xml:space="preserve">50 Pa. PUC 300 (1976).  This must be shown by a preponderance of the evidence.  </w:t>
      </w:r>
      <w:r w:rsidRPr="002B7FCF">
        <w:rPr>
          <w:i/>
        </w:rPr>
        <w:t>Samuel J. Lansberry, Inc. v. Pa. Pub. Util. Comm’n,</w:t>
      </w:r>
      <w:r w:rsidRPr="002B7FCF">
        <w:t xml:space="preserve"> 578 A.2d 600 (1990), </w:t>
      </w:r>
      <w:r w:rsidRPr="002B7FCF">
        <w:rPr>
          <w:i/>
        </w:rPr>
        <w:t>alloc. denied</w:t>
      </w:r>
      <w:r w:rsidRPr="002B7FCF">
        <w:t xml:space="preserve">, 602 A.2d 863 (1992).  A preponderance of evidence is that which is more convincing, by even the smallest amount, than that presented by the other party.  </w:t>
      </w:r>
      <w:r w:rsidRPr="002B7FCF">
        <w:rPr>
          <w:i/>
        </w:rPr>
        <w:t>Se-Ling Hosiery v. Mar</w:t>
      </w:r>
      <w:r w:rsidR="00CD037B">
        <w:rPr>
          <w:i/>
        </w:rPr>
        <w:t>g</w:t>
      </w:r>
      <w:r w:rsidRPr="002B7FCF">
        <w:rPr>
          <w:i/>
        </w:rPr>
        <w:t>ulies</w:t>
      </w:r>
      <w:r w:rsidRPr="002B7FCF">
        <w:t>, 70 A.2d 854 (1950).</w:t>
      </w:r>
    </w:p>
    <w:p w:rsidR="00BB4891" w:rsidRPr="002B7FCF" w:rsidRDefault="00BB4891" w:rsidP="00BB4891">
      <w:pPr>
        <w:jc w:val="left"/>
      </w:pPr>
    </w:p>
    <w:p w:rsidR="00BB4891" w:rsidRPr="002B7FCF" w:rsidRDefault="00BB4891" w:rsidP="00BB4891">
      <w:pPr>
        <w:ind w:firstLine="1440"/>
        <w:jc w:val="left"/>
        <w:rPr>
          <w:spacing w:val="-3"/>
        </w:rPr>
      </w:pPr>
      <w:r w:rsidRPr="002B7FCF">
        <w:rPr>
          <w:spacing w:val="-3"/>
        </w:rPr>
        <w:t xml:space="preserve">Additionally, any finding of fact necessary to support the Commission’s adjudication must be based upon substantial evidence.  </w:t>
      </w:r>
      <w:r w:rsidRPr="002B7FCF">
        <w:rPr>
          <w:i/>
          <w:spacing w:val="-3"/>
        </w:rPr>
        <w:t>Mill v. P</w:t>
      </w:r>
      <w:r w:rsidR="00CD037B">
        <w:rPr>
          <w:i/>
          <w:spacing w:val="-3"/>
        </w:rPr>
        <w:t>a.</w:t>
      </w:r>
      <w:r w:rsidRPr="002B7FCF">
        <w:rPr>
          <w:i/>
          <w:spacing w:val="-3"/>
        </w:rPr>
        <w:t xml:space="preserve"> Pub</w:t>
      </w:r>
      <w:r w:rsidR="00CD037B">
        <w:rPr>
          <w:i/>
          <w:spacing w:val="-3"/>
        </w:rPr>
        <w:t>.</w:t>
      </w:r>
      <w:r w:rsidRPr="002B7FCF">
        <w:rPr>
          <w:i/>
          <w:spacing w:val="-3"/>
        </w:rPr>
        <w:t xml:space="preserve"> Uti</w:t>
      </w:r>
      <w:r w:rsidR="00CD037B">
        <w:rPr>
          <w:i/>
          <w:spacing w:val="-3"/>
        </w:rPr>
        <w:t>l.</w:t>
      </w:r>
      <w:r w:rsidRPr="002B7FCF">
        <w:rPr>
          <w:i/>
          <w:spacing w:val="-3"/>
        </w:rPr>
        <w:t xml:space="preserve"> Comm’n</w:t>
      </w:r>
      <w:r w:rsidRPr="002B7FCF">
        <w:rPr>
          <w:spacing w:val="-3"/>
        </w:rPr>
        <w:t>, 447 A.2d 1100 (Pa. Cmwlth.</w:t>
      </w:r>
      <w:r w:rsidR="00CD037B">
        <w:rPr>
          <w:spacing w:val="-3"/>
        </w:rPr>
        <w:t xml:space="preserve"> </w:t>
      </w:r>
      <w:r w:rsidRPr="002B7FCF">
        <w:rPr>
          <w:spacing w:val="-3"/>
        </w:rPr>
        <w:t xml:space="preserve">1982); </w:t>
      </w:r>
      <w:r w:rsidRPr="002B7FCF">
        <w:rPr>
          <w:i/>
          <w:spacing w:val="-3"/>
        </w:rPr>
        <w:t>Edan Transportation Corp. v. P</w:t>
      </w:r>
      <w:r w:rsidR="00CD037B">
        <w:rPr>
          <w:i/>
          <w:spacing w:val="-3"/>
        </w:rPr>
        <w:t>a.</w:t>
      </w:r>
      <w:r w:rsidRPr="002B7FCF">
        <w:rPr>
          <w:i/>
          <w:spacing w:val="-3"/>
        </w:rPr>
        <w:t xml:space="preserve"> Pub</w:t>
      </w:r>
      <w:r w:rsidR="00CD037B">
        <w:rPr>
          <w:i/>
          <w:spacing w:val="-3"/>
        </w:rPr>
        <w:t>.</w:t>
      </w:r>
      <w:r w:rsidRPr="002B7FCF">
        <w:rPr>
          <w:i/>
          <w:spacing w:val="-3"/>
        </w:rPr>
        <w:t xml:space="preserve"> Uti</w:t>
      </w:r>
      <w:r w:rsidR="00CD037B">
        <w:rPr>
          <w:i/>
          <w:spacing w:val="-3"/>
        </w:rPr>
        <w:t>l.</w:t>
      </w:r>
      <w:r w:rsidRPr="002B7FCF">
        <w:rPr>
          <w:i/>
          <w:spacing w:val="-3"/>
        </w:rPr>
        <w:t xml:space="preserve"> Comm’n,</w:t>
      </w:r>
      <w:r w:rsidRPr="002B7FCF">
        <w:rPr>
          <w:spacing w:val="-3"/>
        </w:rPr>
        <w:t xml:space="preserve"> 623 A.2d 6 (Pa. Cmwlth.</w:t>
      </w:r>
      <w:r w:rsidR="00CD037B">
        <w:rPr>
          <w:spacing w:val="-3"/>
        </w:rPr>
        <w:t xml:space="preserve"> </w:t>
      </w:r>
      <w:r w:rsidRPr="002B7FCF">
        <w:rPr>
          <w:spacing w:val="-3"/>
        </w:rPr>
        <w:t>1993), 2 Pa.C.S. §</w:t>
      </w:r>
      <w:r w:rsidR="002126C5" w:rsidRPr="002B7FCF">
        <w:rPr>
          <w:spacing w:val="-3"/>
        </w:rPr>
        <w:t xml:space="preserve"> </w:t>
      </w:r>
      <w:r w:rsidRPr="002B7FCF">
        <w:rPr>
          <w:spacing w:val="-3"/>
        </w:rPr>
        <w:t xml:space="preserve">704.  More is required than a mere trace of evidence or a suspicion of the existence of a fact sought to be established.  </w:t>
      </w:r>
      <w:r w:rsidRPr="002B7FCF">
        <w:rPr>
          <w:i/>
          <w:spacing w:val="-3"/>
        </w:rPr>
        <w:t>Norfolk and Western Ry. v. P</w:t>
      </w:r>
      <w:r w:rsidR="00CD037B">
        <w:rPr>
          <w:i/>
          <w:spacing w:val="-3"/>
        </w:rPr>
        <w:t>a.</w:t>
      </w:r>
      <w:r w:rsidRPr="002B7FCF">
        <w:rPr>
          <w:i/>
          <w:spacing w:val="-3"/>
        </w:rPr>
        <w:t xml:space="preserve"> Pub</w:t>
      </w:r>
      <w:r w:rsidR="00CD037B">
        <w:rPr>
          <w:i/>
          <w:spacing w:val="-3"/>
        </w:rPr>
        <w:t>.</w:t>
      </w:r>
      <w:r w:rsidRPr="002B7FCF">
        <w:rPr>
          <w:i/>
          <w:spacing w:val="-3"/>
        </w:rPr>
        <w:t xml:space="preserve"> Util</w:t>
      </w:r>
      <w:r w:rsidR="00CD037B">
        <w:rPr>
          <w:i/>
          <w:spacing w:val="-3"/>
        </w:rPr>
        <w:t>.</w:t>
      </w:r>
      <w:r w:rsidRPr="002B7FCF">
        <w:rPr>
          <w:i/>
          <w:spacing w:val="-3"/>
        </w:rPr>
        <w:t xml:space="preserve"> Comm’n</w:t>
      </w:r>
      <w:r w:rsidRPr="002B7FCF">
        <w:rPr>
          <w:spacing w:val="-3"/>
        </w:rPr>
        <w:t xml:space="preserve">, 489 Pa. 109, 413 A.2d 1037 (1980); </w:t>
      </w:r>
      <w:r w:rsidRPr="002B7FCF">
        <w:rPr>
          <w:i/>
          <w:spacing w:val="-3"/>
        </w:rPr>
        <w:t>Erie Resistor Corp. v. Unemployment Compensation Bd. of Review</w:t>
      </w:r>
      <w:r w:rsidRPr="002B7FCF">
        <w:rPr>
          <w:spacing w:val="-3"/>
        </w:rPr>
        <w:t>, 166 A.2d 96 (Pa. Super.</w:t>
      </w:r>
      <w:r w:rsidR="00CD037B">
        <w:rPr>
          <w:spacing w:val="-3"/>
        </w:rPr>
        <w:t xml:space="preserve"> </w:t>
      </w:r>
      <w:r w:rsidRPr="002B7FCF">
        <w:rPr>
          <w:spacing w:val="-3"/>
        </w:rPr>
        <w:t xml:space="preserve">1960); </w:t>
      </w:r>
      <w:r w:rsidRPr="002B7FCF">
        <w:rPr>
          <w:i/>
          <w:spacing w:val="-3"/>
        </w:rPr>
        <w:t>Murphy v. Commonwealth, Dep’t. of Public Welfare, White Haven Center</w:t>
      </w:r>
      <w:r w:rsidRPr="002B7FCF">
        <w:rPr>
          <w:spacing w:val="-3"/>
        </w:rPr>
        <w:t>, 480 A.2d 382 (Pa. Cmwlth.</w:t>
      </w:r>
      <w:r w:rsidR="00CD037B">
        <w:rPr>
          <w:spacing w:val="-3"/>
        </w:rPr>
        <w:t xml:space="preserve"> </w:t>
      </w:r>
      <w:r w:rsidRPr="002B7FCF">
        <w:rPr>
          <w:spacing w:val="-3"/>
        </w:rPr>
        <w:t>1984).</w:t>
      </w:r>
    </w:p>
    <w:p w:rsidR="00BB4891" w:rsidRPr="002B7FCF" w:rsidRDefault="00BB4891" w:rsidP="00BB4891">
      <w:pPr>
        <w:ind w:firstLine="1440"/>
        <w:jc w:val="left"/>
        <w:rPr>
          <w:spacing w:val="-3"/>
        </w:rPr>
      </w:pPr>
    </w:p>
    <w:p w:rsidR="00BB4891" w:rsidRPr="002B7FCF" w:rsidRDefault="00BB4891" w:rsidP="00BB4891">
      <w:pPr>
        <w:jc w:val="left"/>
      </w:pPr>
      <w:r w:rsidRPr="002B7FCF">
        <w:tab/>
      </w:r>
      <w:r w:rsidRPr="002B7FCF">
        <w:tab/>
        <w:t>The offense must be a violation of the Public Utility Code, the Commission’s regulations, or an outstanding o</w:t>
      </w:r>
      <w:r w:rsidR="00CD037B">
        <w:t>rder of the Commission.  66 Pa.</w:t>
      </w:r>
      <w:r w:rsidRPr="002B7FCF">
        <w:t>C.S. § 701.</w:t>
      </w:r>
    </w:p>
    <w:p w:rsidR="00BB4891" w:rsidRPr="002B7FCF" w:rsidRDefault="00BB4891" w:rsidP="00BB4891"/>
    <w:p w:rsidR="00BB4891" w:rsidRPr="002B7FCF" w:rsidRDefault="00BB4891" w:rsidP="00BB4891">
      <w:pPr>
        <w:jc w:val="left"/>
        <w:rPr>
          <w:spacing w:val="-3"/>
        </w:rPr>
      </w:pPr>
      <w:r w:rsidRPr="002B7FCF">
        <w:rPr>
          <w:spacing w:val="-3"/>
        </w:rPr>
        <w:tab/>
      </w:r>
      <w:r w:rsidRPr="002B7FCF">
        <w:rPr>
          <w:spacing w:val="-3"/>
        </w:rPr>
        <w:tab/>
        <w:t xml:space="preserve">The “burden of proof” is composed of two distinct burdens: the burden of production and the burden of persuasion.  </w:t>
      </w:r>
      <w:r w:rsidRPr="002B7FCF">
        <w:rPr>
          <w:i/>
          <w:spacing w:val="-3"/>
        </w:rPr>
        <w:t>Hurley v. Hurley</w:t>
      </w:r>
      <w:r w:rsidRPr="002B7FCF">
        <w:rPr>
          <w:spacing w:val="-3"/>
        </w:rPr>
        <w:t>, 2000 Pa.</w:t>
      </w:r>
      <w:r w:rsidR="00CD037B">
        <w:rPr>
          <w:spacing w:val="-3"/>
        </w:rPr>
        <w:t xml:space="preserve"> </w:t>
      </w:r>
      <w:r w:rsidRPr="002B7FCF">
        <w:rPr>
          <w:spacing w:val="-3"/>
        </w:rPr>
        <w:t>Super. 178, 754 A.2d 1283 (2000).</w:t>
      </w:r>
    </w:p>
    <w:p w:rsidR="00BB4891" w:rsidRPr="002B7FCF" w:rsidRDefault="00BB4891" w:rsidP="00BB4891">
      <w:pPr>
        <w:jc w:val="left"/>
        <w:rPr>
          <w:spacing w:val="-3"/>
        </w:rPr>
      </w:pPr>
    </w:p>
    <w:p w:rsidR="00BB4891" w:rsidRPr="002B7FCF" w:rsidRDefault="00BB4891" w:rsidP="00BB4891">
      <w:pPr>
        <w:tabs>
          <w:tab w:val="left" w:pos="-1440"/>
          <w:tab w:val="left" w:pos="-720"/>
        </w:tabs>
        <w:suppressAutoHyphens/>
        <w:ind w:firstLine="1440"/>
        <w:jc w:val="left"/>
        <w:rPr>
          <w:spacing w:val="-3"/>
        </w:rPr>
      </w:pPr>
      <w:r w:rsidRPr="002B7FCF">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w:t>
      </w:r>
      <w:r w:rsidR="00104F17">
        <w:rPr>
          <w:spacing w:val="-3"/>
        </w:rPr>
        <w:t>,</w:t>
      </w:r>
      <w:r w:rsidRPr="002B7FCF">
        <w:rPr>
          <w:spacing w:val="-3"/>
        </w:rPr>
        <w:t xml:space="preserve"> the opposing party is entitled to receive a favorable ruling.  That is, the opposing party would be entitled to a compulsory nonsuit, a directed verdict, or a judgment notwithstanding the verdict.  Once the party with the initial burden of production introduces sufficient evidence to make out a </w:t>
      </w:r>
      <w:r w:rsidRPr="00117916">
        <w:rPr>
          <w:i/>
          <w:spacing w:val="-3"/>
        </w:rPr>
        <w:t>prima facie</w:t>
      </w:r>
      <w:r w:rsidRPr="002B7FCF">
        <w:rPr>
          <w:spacing w:val="-3"/>
        </w:rPr>
        <w:t xml:space="preserv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BB4891" w:rsidRPr="002B7FCF" w:rsidRDefault="00BB4891" w:rsidP="00FE532A">
      <w:pPr>
        <w:jc w:val="left"/>
      </w:pPr>
    </w:p>
    <w:p w:rsidR="004E74A4" w:rsidRPr="002B7FCF" w:rsidRDefault="004E74A4" w:rsidP="004E74A4">
      <w:pPr>
        <w:jc w:val="left"/>
      </w:pPr>
      <w:r w:rsidRPr="002B7FCF">
        <w:tab/>
      </w:r>
      <w:r w:rsidRPr="002B7FCF">
        <w:tab/>
        <w:t xml:space="preserve">Complainant claims that there was no foreign load in his two-unit apartment building because the light is located in a hallway that is accessible only to the second-floor tenant.  The first-floor apartment has a separate entrance on the side of the building.  There is a hand-written addition to the lease that reads, "Tenant agree </w:t>
      </w:r>
      <w:r w:rsidR="004903FD" w:rsidRPr="002B7FCF">
        <w:t xml:space="preserve">[sic] </w:t>
      </w:r>
      <w:r w:rsidRPr="002B7FCF">
        <w:t>to pay light bill in hallway," which is followed by the tenant's initials.</w:t>
      </w:r>
    </w:p>
    <w:p w:rsidR="004E74A4" w:rsidRPr="002B7FCF" w:rsidRDefault="004E74A4" w:rsidP="00FE532A">
      <w:pPr>
        <w:jc w:val="left"/>
      </w:pPr>
    </w:p>
    <w:p w:rsidR="004F2898" w:rsidRPr="002B7FCF" w:rsidRDefault="004F2898" w:rsidP="00FE532A">
      <w:pPr>
        <w:jc w:val="left"/>
      </w:pPr>
      <w:r w:rsidRPr="002B7FCF">
        <w:tab/>
      </w:r>
      <w:r w:rsidRPr="002B7FCF">
        <w:tab/>
        <w:t xml:space="preserve">I note that the Complainant complied with my order to file a complete copy of his lease, </w:t>
      </w:r>
      <w:r w:rsidR="00D90224" w:rsidRPr="002B7FCF">
        <w:t xml:space="preserve">and he included </w:t>
      </w:r>
      <w:r w:rsidR="004E74A4" w:rsidRPr="002B7FCF">
        <w:t>two additional pages:</w:t>
      </w:r>
      <w:r w:rsidRPr="002B7FCF">
        <w:t xml:space="preserve"> a </w:t>
      </w:r>
      <w:r w:rsidR="004E74A4" w:rsidRPr="002B7FCF">
        <w:t xml:space="preserve">copy of a </w:t>
      </w:r>
      <w:r w:rsidRPr="002B7FCF">
        <w:t>notarized statement signed by the tenant, Ms. Johnson, in which she requests that Met-Ed transfer the amount due for usage in her apartment back to her account</w:t>
      </w:r>
      <w:r w:rsidR="004E74A4" w:rsidRPr="002B7FCF">
        <w:t>, which had been</w:t>
      </w:r>
      <w:r w:rsidR="00D90224" w:rsidRPr="002B7FCF">
        <w:t xml:space="preserve"> offered and </w:t>
      </w:r>
      <w:r w:rsidR="004E74A4" w:rsidRPr="002B7FCF">
        <w:t>excluded at the hearing</w:t>
      </w:r>
      <w:r w:rsidRPr="002B7FCF">
        <w:t xml:space="preserve">, and a </w:t>
      </w:r>
      <w:r w:rsidR="00175A92" w:rsidRPr="002B7FCF">
        <w:t xml:space="preserve">cover </w:t>
      </w:r>
      <w:r w:rsidRPr="002B7FCF">
        <w:t>letter from Complainant.  Met-Ed filed an objection to the admission of all three documents as defective as they attempt to introduce information already ruled to be inadmissible.</w:t>
      </w:r>
    </w:p>
    <w:p w:rsidR="004F2898" w:rsidRPr="002B7FCF" w:rsidRDefault="004F2898" w:rsidP="00FE532A">
      <w:pPr>
        <w:jc w:val="left"/>
      </w:pPr>
    </w:p>
    <w:p w:rsidR="004F2898" w:rsidRPr="002B7FCF" w:rsidRDefault="004F2898" w:rsidP="00FE532A">
      <w:pPr>
        <w:jc w:val="left"/>
      </w:pPr>
      <w:r w:rsidRPr="002B7FCF">
        <w:tab/>
      </w:r>
      <w:r w:rsidRPr="002B7FCF">
        <w:tab/>
        <w:t>Met-Ed objects to the notarized statement that was s</w:t>
      </w:r>
      <w:r w:rsidR="00C21D9D">
        <w:t>pecifically not admitted at the </w:t>
      </w:r>
      <w:r w:rsidRPr="002B7FCF">
        <w:t>hearing as it is hearsay and does not fall into any of the objections t</w:t>
      </w:r>
      <w:r w:rsidR="00C21D9D">
        <w:t>o the hearsay rule.  Ms. </w:t>
      </w:r>
      <w:r w:rsidRPr="002B7FCF">
        <w:t>Johnson was not produced at the hearing to sponsor it</w:t>
      </w:r>
      <w:r w:rsidR="009E63F0" w:rsidRPr="002B7FCF">
        <w:t>, and that has not changed.  This objection is sustained, and the notarized statement is not admitted.</w:t>
      </w:r>
    </w:p>
    <w:p w:rsidR="009E63F0" w:rsidRPr="002B7FCF" w:rsidRDefault="009E63F0" w:rsidP="00FE532A">
      <w:pPr>
        <w:jc w:val="left"/>
      </w:pPr>
    </w:p>
    <w:p w:rsidR="009E63F0" w:rsidRPr="002B7FCF" w:rsidRDefault="00CD037B" w:rsidP="00FE532A">
      <w:pPr>
        <w:jc w:val="left"/>
      </w:pPr>
      <w:r>
        <w:tab/>
      </w:r>
      <w:r>
        <w:tab/>
      </w:r>
      <w:r w:rsidR="009E63F0" w:rsidRPr="002B7FCF">
        <w:t>Met-Ed objects to the admission of the lease as neither verified nor relevant.  As Met-Ed points out, the Order directed the submission of a copy of the lease along with a verification attesting to its authenticity.  A copy of the lease was submitted but no</w:t>
      </w:r>
      <w:r w:rsidR="00275BDB" w:rsidRPr="002B7FCF">
        <w:t xml:space="preserve"> document entitled "</w:t>
      </w:r>
      <w:r w:rsidR="009E63F0" w:rsidRPr="002B7FCF">
        <w:t>verification</w:t>
      </w:r>
      <w:r w:rsidR="00275BDB" w:rsidRPr="002B7FCF">
        <w:t>"</w:t>
      </w:r>
      <w:r w:rsidR="009E63F0" w:rsidRPr="002B7FCF">
        <w:t xml:space="preserve"> accompanied it.  </w:t>
      </w:r>
      <w:r w:rsidR="004E74A4" w:rsidRPr="002B7FCF">
        <w:t xml:space="preserve">In addition, the lease does not indicate that the hallway is part of the leased premises, even considering the hand-written addition on the bottom.  Therefore, Met-Ed argues, the lease is not relevant, and evidence that is not relevant is not admissible.  Pa. Rule of Evidence 402.  </w:t>
      </w:r>
      <w:r w:rsidR="00D90224" w:rsidRPr="002B7FCF">
        <w:t>Met-Ed states:</w:t>
      </w:r>
    </w:p>
    <w:p w:rsidR="004E74A4" w:rsidRPr="002B7FCF" w:rsidRDefault="004E74A4" w:rsidP="00FE532A">
      <w:pPr>
        <w:jc w:val="left"/>
      </w:pPr>
    </w:p>
    <w:p w:rsidR="004E74A4" w:rsidRDefault="004E74A4" w:rsidP="00153204">
      <w:pPr>
        <w:spacing w:line="240" w:lineRule="auto"/>
        <w:ind w:left="1440" w:right="1440"/>
        <w:jc w:val="left"/>
      </w:pPr>
      <w:r w:rsidRPr="002B7FCF">
        <w:t>The Lease provides that the "premises" consists of the residential unit located at 532 Lehman Street, 2</w:t>
      </w:r>
      <w:r w:rsidRPr="002B7FCF">
        <w:rPr>
          <w:vertAlign w:val="superscript"/>
        </w:rPr>
        <w:t>nd</w:t>
      </w:r>
      <w:r w:rsidRPr="002B7FCF">
        <w:t xml:space="preserve"> Floor, Lebanon, Pennsylvania.  Notably absent from the description of "premises" is th</w:t>
      </w:r>
      <w:r w:rsidR="00153204" w:rsidRPr="002B7FCF">
        <w:t>e</w:t>
      </w:r>
      <w:r w:rsidRPr="002B7FCF">
        <w:t xml:space="preserve"> second floor hallway.  As such, the lease does not have any tendency to make the Complainant's allegation that the hallway was part of the tenant's leased living space more probable, and therefore, the Lease is irrelevant in this matter.</w:t>
      </w:r>
    </w:p>
    <w:p w:rsidR="00C21D9D" w:rsidRPr="002B7FCF" w:rsidRDefault="00C21D9D" w:rsidP="00153204">
      <w:pPr>
        <w:spacing w:line="240" w:lineRule="auto"/>
        <w:ind w:left="1440" w:right="1440"/>
        <w:jc w:val="left"/>
      </w:pPr>
    </w:p>
    <w:p w:rsidR="004E74A4" w:rsidRPr="002B7FCF" w:rsidRDefault="004E74A4" w:rsidP="00FE532A">
      <w:pPr>
        <w:jc w:val="left"/>
      </w:pPr>
      <w:r w:rsidRPr="002B7FCF">
        <w:t>Met-Ed Objection at 5, ¶20.</w:t>
      </w:r>
    </w:p>
    <w:p w:rsidR="004E74A4" w:rsidRPr="002B7FCF" w:rsidRDefault="004E74A4" w:rsidP="00FE532A">
      <w:pPr>
        <w:jc w:val="left"/>
      </w:pPr>
    </w:p>
    <w:p w:rsidR="0036280B" w:rsidRPr="002B7FCF" w:rsidRDefault="004E74A4" w:rsidP="00FE532A">
      <w:pPr>
        <w:jc w:val="left"/>
      </w:pPr>
      <w:r w:rsidRPr="002B7FCF">
        <w:tab/>
      </w:r>
      <w:r w:rsidRPr="002B7FCF">
        <w:tab/>
        <w:t>However, the third document is a letter from Complainant</w:t>
      </w:r>
      <w:r w:rsidR="00E74371" w:rsidRPr="002B7FCF">
        <w:t>, addressed "</w:t>
      </w:r>
      <w:r w:rsidRPr="002B7FCF">
        <w:t>To whom it may concern,</w:t>
      </w:r>
      <w:r w:rsidR="00E74371" w:rsidRPr="002B7FCF">
        <w:t>"</w:t>
      </w:r>
      <w:r w:rsidRPr="002B7FCF">
        <w:t xml:space="preserve"> dated September 28, 2013, which </w:t>
      </w:r>
      <w:r w:rsidR="00E74371" w:rsidRPr="002B7FCF">
        <w:t>Met-Ed argues "is not a verification attesting that the copy of the Lease is a true and correct copy of the original lease, and because it contains additional argument and factual averments outside of the record evidence established at the hearing, its introduction into the record at this late stage is not only prejudicial to the Company but is completely inappropriate.</w:t>
      </w:r>
      <w:r w:rsidR="00C21D9D">
        <w:t>”</w:t>
      </w:r>
      <w:r w:rsidR="00E74371" w:rsidRPr="002B7FCF">
        <w:t xml:space="preserve"> </w:t>
      </w:r>
      <w:r w:rsidR="00CA4A8F">
        <w:t xml:space="preserve"> </w:t>
      </w:r>
      <w:r w:rsidR="00275BDB" w:rsidRPr="002B7FCF">
        <w:t>Met-Ed Objection at 3-4, ¶10.</w:t>
      </w:r>
    </w:p>
    <w:p w:rsidR="0036280B" w:rsidRPr="002B7FCF" w:rsidRDefault="0036280B" w:rsidP="00FE532A">
      <w:pPr>
        <w:jc w:val="left"/>
      </w:pPr>
    </w:p>
    <w:p w:rsidR="00D90224" w:rsidRPr="002B7FCF" w:rsidRDefault="0036280B" w:rsidP="00FE532A">
      <w:pPr>
        <w:jc w:val="left"/>
      </w:pPr>
      <w:r w:rsidRPr="002B7FCF">
        <w:tab/>
      </w:r>
      <w:r w:rsidRPr="002B7FCF">
        <w:tab/>
        <w:t xml:space="preserve">The third page </w:t>
      </w:r>
      <w:r w:rsidR="00D90224" w:rsidRPr="002B7FCF">
        <w:t>reads:</w:t>
      </w:r>
    </w:p>
    <w:p w:rsidR="00D90224" w:rsidRPr="002B7FCF" w:rsidRDefault="00D90224" w:rsidP="00FE532A">
      <w:pPr>
        <w:jc w:val="left"/>
      </w:pPr>
    </w:p>
    <w:p w:rsidR="00D90224" w:rsidRPr="002B7FCF" w:rsidRDefault="00D90224" w:rsidP="00D90224">
      <w:pPr>
        <w:spacing w:line="240" w:lineRule="auto"/>
        <w:ind w:left="1440" w:right="1440"/>
        <w:jc w:val="left"/>
      </w:pPr>
      <w:r w:rsidRPr="002B7FCF">
        <w:t>To whom it may concern!</w:t>
      </w:r>
    </w:p>
    <w:p w:rsidR="00D90224" w:rsidRPr="002B7FCF" w:rsidRDefault="00D90224" w:rsidP="00D90224">
      <w:pPr>
        <w:spacing w:line="240" w:lineRule="auto"/>
        <w:ind w:left="1440" w:right="1440"/>
        <w:jc w:val="left"/>
      </w:pPr>
      <w:r w:rsidRPr="002B7FCF">
        <w:t xml:space="preserve">Upon request of (ROMAN MALESZEWSKI) have provided a copy of the lease and a copy of the request from my tenant (SHAKIERA JOHNSON) to MET-ED electric Company.  Request was about releasing me from tenant's obligation to pay the entire bill by SHAKIERA JOHNSON.  </w:t>
      </w:r>
    </w:p>
    <w:p w:rsidR="00D90224" w:rsidRPr="002B7FCF" w:rsidRDefault="00D90224" w:rsidP="00D90224">
      <w:pPr>
        <w:spacing w:line="240" w:lineRule="auto"/>
        <w:ind w:left="1440" w:right="1440"/>
        <w:jc w:val="left"/>
      </w:pPr>
      <w:r w:rsidRPr="002B7FCF">
        <w:t>When the lease was made, my tenant agreed to cover electric usage by hallway light in hallway that she only used and nobody else.  (You can find on 2</w:t>
      </w:r>
      <w:r w:rsidRPr="002B7FCF">
        <w:rPr>
          <w:vertAlign w:val="superscript"/>
        </w:rPr>
        <w:t>nd</w:t>
      </w:r>
      <w:r w:rsidRPr="002B7FCF">
        <w:t xml:space="preserve"> page of the lease below the signatures.)</w:t>
      </w:r>
    </w:p>
    <w:p w:rsidR="00D90224" w:rsidRPr="002B7FCF" w:rsidRDefault="00D90224" w:rsidP="00D90224">
      <w:pPr>
        <w:spacing w:line="240" w:lineRule="auto"/>
        <w:ind w:left="1440" w:right="1440"/>
        <w:jc w:val="left"/>
      </w:pPr>
      <w:r w:rsidRPr="002B7FCF">
        <w:t>Please consider that the agreement was made between both parties (my tenant and I).  I still do not understand and agree why the MED-ED electric Company interrupting in agreement, lease agreement (between my tenant and I)</w:t>
      </w:r>
    </w:p>
    <w:p w:rsidR="00D90224" w:rsidRPr="002B7FCF" w:rsidRDefault="00D90224" w:rsidP="00D90224">
      <w:pPr>
        <w:spacing w:line="240" w:lineRule="auto"/>
        <w:ind w:left="1440" w:right="1440"/>
        <w:jc w:val="left"/>
      </w:pPr>
      <w:r w:rsidRPr="002B7FCF">
        <w:t>I look forward to seeing the case resolved on my behalf.</w:t>
      </w:r>
    </w:p>
    <w:p w:rsidR="00D90224" w:rsidRPr="002B7FCF" w:rsidRDefault="00D90224" w:rsidP="00D90224">
      <w:pPr>
        <w:spacing w:line="240" w:lineRule="auto"/>
        <w:ind w:left="1440" w:right="1440"/>
        <w:jc w:val="left"/>
      </w:pPr>
      <w:r w:rsidRPr="002B7FCF">
        <w:t>Sincerely,</w:t>
      </w:r>
    </w:p>
    <w:p w:rsidR="00D90224" w:rsidRPr="002B7FCF" w:rsidRDefault="00D90224" w:rsidP="00D90224">
      <w:pPr>
        <w:spacing w:line="240" w:lineRule="auto"/>
        <w:ind w:left="1440" w:right="1440"/>
        <w:jc w:val="left"/>
      </w:pPr>
      <w:r w:rsidRPr="002B7FCF">
        <w:t>Roman Maleszewski</w:t>
      </w:r>
    </w:p>
    <w:p w:rsidR="00D90224" w:rsidRPr="002B7FCF" w:rsidRDefault="00D90224" w:rsidP="003C2488">
      <w:pPr>
        <w:spacing w:line="480" w:lineRule="auto"/>
        <w:ind w:left="1440" w:right="1440"/>
        <w:jc w:val="left"/>
      </w:pPr>
    </w:p>
    <w:p w:rsidR="00275BDB" w:rsidRPr="002B7FCF" w:rsidRDefault="00275BDB" w:rsidP="00D90224">
      <w:pPr>
        <w:jc w:val="left"/>
      </w:pPr>
      <w:r w:rsidRPr="002B7FCF">
        <w:tab/>
      </w:r>
      <w:r w:rsidRPr="002B7FCF">
        <w:tab/>
      </w:r>
      <w:r w:rsidR="00D90224" w:rsidRPr="002B7FCF">
        <w:t xml:space="preserve">The lease was offered at the hearing, and counsel for Met-Ed had an opportunity to look at it and ask questions at that time.  </w:t>
      </w:r>
      <w:r w:rsidRPr="002B7FCF">
        <w:t>See Transcript at 50.  The letter is signed by Complainant</w:t>
      </w:r>
      <w:r w:rsidR="00DD587E" w:rsidRPr="002B7FCF">
        <w:t>.  A</w:t>
      </w:r>
      <w:r w:rsidR="00630DEC" w:rsidRPr="002B7FCF">
        <w:t xml:space="preserve">s </w:t>
      </w:r>
      <w:r w:rsidR="00DD587E" w:rsidRPr="002B7FCF">
        <w:t>the lease</w:t>
      </w:r>
      <w:r w:rsidR="00630DEC" w:rsidRPr="002B7FCF">
        <w:t xml:space="preserve"> had been produced at the hearing by Complainant while </w:t>
      </w:r>
      <w:r w:rsidR="004903FD" w:rsidRPr="002B7FCF">
        <w:t xml:space="preserve">he was </w:t>
      </w:r>
      <w:r w:rsidR="00630DEC" w:rsidRPr="002B7FCF">
        <w:t xml:space="preserve">under oath, </w:t>
      </w:r>
      <w:r w:rsidR="00DD587E" w:rsidRPr="002B7FCF">
        <w:t xml:space="preserve">the letter </w:t>
      </w:r>
      <w:r w:rsidR="00630DEC" w:rsidRPr="002B7FCF">
        <w:t>is sufficient to serve as a verification</w:t>
      </w:r>
      <w:r w:rsidR="00ED1AE6">
        <w:t xml:space="preserve"> within the meaning of 52 Pa.</w:t>
      </w:r>
      <w:r w:rsidR="00DD587E" w:rsidRPr="002B7FCF">
        <w:t>Code § 1.36</w:t>
      </w:r>
      <w:r w:rsidR="00630DEC" w:rsidRPr="002B7FCF">
        <w:t>.  Complainant, as a signatory</w:t>
      </w:r>
      <w:r w:rsidR="00DD587E" w:rsidRPr="002B7FCF">
        <w:t xml:space="preserve"> to the lease</w:t>
      </w:r>
      <w:r w:rsidR="00630DEC" w:rsidRPr="002B7FCF">
        <w:t xml:space="preserve">, is qualified to sponsor it.  </w:t>
      </w:r>
      <w:r w:rsidR="00EB5E05" w:rsidRPr="002B7FCF">
        <w:t xml:space="preserve">It does not contain information that is new, and is therefore, not prejudicial to the Company.  </w:t>
      </w:r>
      <w:r w:rsidR="00630DEC" w:rsidRPr="002B7FCF">
        <w:t>It is admitted for the purpose of showing that the parties intended to include responsibility for the lighting in the hallway in the lease itself.</w:t>
      </w:r>
    </w:p>
    <w:p w:rsidR="00630DEC" w:rsidRPr="002B7FCF" w:rsidRDefault="00630DEC" w:rsidP="00D90224">
      <w:pPr>
        <w:jc w:val="left"/>
      </w:pPr>
    </w:p>
    <w:p w:rsidR="00D90224" w:rsidRPr="002B7FCF" w:rsidRDefault="00630DEC" w:rsidP="00D90224">
      <w:pPr>
        <w:jc w:val="left"/>
      </w:pPr>
      <w:r w:rsidRPr="002B7FCF">
        <w:tab/>
      </w:r>
      <w:r w:rsidRPr="002B7FCF">
        <w:tab/>
      </w:r>
      <w:r w:rsidR="00275BDB" w:rsidRPr="002B7FCF">
        <w:t xml:space="preserve">Counsel was careful to point out that the </w:t>
      </w:r>
      <w:r w:rsidRPr="002B7FCF">
        <w:t>statute</w:t>
      </w:r>
      <w:r w:rsidR="00275BDB" w:rsidRPr="002B7FCF">
        <w:t xml:space="preserve"> does no</w:t>
      </w:r>
      <w:r w:rsidRPr="002B7FCF">
        <w:t>t permit parties</w:t>
      </w:r>
      <w:r w:rsidR="00104F17">
        <w:t xml:space="preserve"> to a lease</w:t>
      </w:r>
      <w:r w:rsidRPr="002B7FCF">
        <w:t xml:space="preserve"> to circumvent the law</w:t>
      </w:r>
      <w:r w:rsidR="00275BDB" w:rsidRPr="002B7FCF">
        <w:t xml:space="preserve"> by agreement, and that if the lease is being offered into evidence for that purpose, it is not relevant.  Counsel is correct.  Parties may not agree to foreign load.</w:t>
      </w:r>
      <w:r w:rsidR="00D651AF" w:rsidRPr="002B7FCF">
        <w:t xml:space="preserve">  </w:t>
      </w:r>
      <w:r w:rsidR="00C64E6A" w:rsidRPr="002B7FCF">
        <w:rPr>
          <w:i/>
        </w:rPr>
        <w:t>See Suong Tran v. PECO Energy Company,</w:t>
      </w:r>
      <w:r w:rsidR="00C64E6A" w:rsidRPr="002B7FCF">
        <w:t xml:space="preserve"> Docket No. C-2013-234</w:t>
      </w:r>
      <w:r w:rsidR="00436BF7">
        <w:t>0655 (Final Order entered April</w:t>
      </w:r>
      <w:r w:rsidR="00360185">
        <w:t xml:space="preserve"> </w:t>
      </w:r>
      <w:r w:rsidR="00436BF7">
        <w:t>29,</w:t>
      </w:r>
      <w:r w:rsidR="00360185">
        <w:t xml:space="preserve"> </w:t>
      </w:r>
      <w:r w:rsidR="00C64E6A" w:rsidRPr="002B7FCF">
        <w:t>2013).</w:t>
      </w:r>
    </w:p>
    <w:p w:rsidR="00275BDB" w:rsidRPr="002B7FCF" w:rsidRDefault="0085615D" w:rsidP="00D90224">
      <w:pPr>
        <w:jc w:val="left"/>
      </w:pPr>
      <w:r w:rsidRPr="002B7FCF">
        <w:tab/>
      </w:r>
      <w:r w:rsidRPr="002B7FCF">
        <w:tab/>
      </w:r>
      <w:r w:rsidR="00275BDB" w:rsidRPr="002B7FCF">
        <w:t xml:space="preserve">However, parties </w:t>
      </w:r>
      <w:r w:rsidRPr="002B7FCF">
        <w:t xml:space="preserve">to a lease </w:t>
      </w:r>
      <w:r w:rsidR="00275BDB" w:rsidRPr="002B7FCF">
        <w:t xml:space="preserve">may </w:t>
      </w:r>
      <w:r w:rsidRPr="002B7FCF">
        <w:t>agree</w:t>
      </w:r>
      <w:r w:rsidR="00275BDB" w:rsidRPr="002B7FCF">
        <w:t xml:space="preserve"> </w:t>
      </w:r>
      <w:r w:rsidR="00D651AF" w:rsidRPr="002B7FCF">
        <w:t xml:space="preserve">to what constitutes the leased premises.  </w:t>
      </w:r>
      <w:r w:rsidR="00DD587E" w:rsidRPr="002B7FCF">
        <w:t>This lease is not produced in order to show that this is an exception to foreign load, or that there is an agreement to the foreign load.  Rather, t</w:t>
      </w:r>
      <w:r w:rsidR="00F35D4B" w:rsidRPr="002B7FCF">
        <w:t>here is no foreign load if the leased premises include the hallway.</w:t>
      </w:r>
    </w:p>
    <w:p w:rsidR="00C64E6A" w:rsidRPr="002B7FCF" w:rsidRDefault="00C64E6A" w:rsidP="00D90224">
      <w:pPr>
        <w:jc w:val="left"/>
      </w:pPr>
    </w:p>
    <w:p w:rsidR="00C64E6A" w:rsidRPr="002B7FCF" w:rsidRDefault="00C64E6A" w:rsidP="00D90224">
      <w:pPr>
        <w:jc w:val="left"/>
      </w:pPr>
      <w:r w:rsidRPr="002B7FCF">
        <w:tab/>
      </w:r>
      <w:r w:rsidRPr="002B7FCF">
        <w:tab/>
        <w:t>The Commission has held:</w:t>
      </w:r>
    </w:p>
    <w:p w:rsidR="00C64E6A" w:rsidRPr="002B7FCF" w:rsidRDefault="00C64E6A" w:rsidP="00D90224">
      <w:pPr>
        <w:jc w:val="left"/>
      </w:pPr>
    </w:p>
    <w:p w:rsidR="00C64E6A" w:rsidRDefault="00C64E6A" w:rsidP="00C64E6A">
      <w:pPr>
        <w:spacing w:line="240" w:lineRule="auto"/>
        <w:ind w:left="1440" w:right="1440"/>
        <w:jc w:val="left"/>
      </w:pPr>
      <w:r w:rsidRPr="002B7FCF">
        <w:tab/>
        <w:t xml:space="preserve">The phrase "not individually metered" is defined as "the utility meter for the unit is registering a foreign load, or usage not exclusive to the dwelling unit or occupant.  </w:t>
      </w:r>
      <w:r w:rsidRPr="002B7FCF">
        <w:rPr>
          <w:i/>
        </w:rPr>
        <w:t xml:space="preserve">Del Vecchio v. PPL Elec. Util. Corp., </w:t>
      </w:r>
      <w:r w:rsidRPr="002B7FCF">
        <w:t xml:space="preserve">Docket No. Z-01464793 (Pa. PUC 2005); </w:t>
      </w:r>
      <w:r w:rsidRPr="002B7FCF">
        <w:rPr>
          <w:i/>
        </w:rPr>
        <w:t>see also Cosme v. PECO Energy Co.,</w:t>
      </w:r>
      <w:r w:rsidRPr="002B7FCF">
        <w:t xml:space="preserve"> Docket No. C-2010-2171497 (Pa. PUC 2012).</w:t>
      </w:r>
    </w:p>
    <w:p w:rsidR="00360185" w:rsidRPr="002B7FCF" w:rsidRDefault="00360185" w:rsidP="00C64E6A">
      <w:pPr>
        <w:spacing w:line="240" w:lineRule="auto"/>
        <w:ind w:left="1440" w:right="1440"/>
        <w:jc w:val="left"/>
      </w:pPr>
    </w:p>
    <w:p w:rsidR="004903FD" w:rsidRPr="002B7FCF" w:rsidRDefault="00C64E6A" w:rsidP="004903FD">
      <w:pPr>
        <w:jc w:val="left"/>
      </w:pPr>
      <w:r w:rsidRPr="002B7FCF">
        <w:rPr>
          <w:i/>
        </w:rPr>
        <w:t>A-1 Realty v. Pa. Pub. Util. Comm'n,</w:t>
      </w:r>
      <w:r w:rsidRPr="002B7FCF">
        <w:t xml:space="preserve"> Docket No. </w:t>
      </w:r>
      <w:r w:rsidR="004903FD" w:rsidRPr="002B7FCF">
        <w:t>63 A.3d 480, (Pa. Cmwlth. 2013), 2013 Pa. Commw. LEXIS 4, appeal denied 74 A.3d 1033 (Pa. 2013), 2013 Pa. LEXIS 1985.</w:t>
      </w:r>
    </w:p>
    <w:p w:rsidR="00C64E6A" w:rsidRPr="002B7FCF" w:rsidRDefault="00C64E6A" w:rsidP="00FE532A">
      <w:pPr>
        <w:jc w:val="left"/>
      </w:pPr>
    </w:p>
    <w:p w:rsidR="008043E8" w:rsidRPr="002B7FCF" w:rsidRDefault="00C64E6A" w:rsidP="00FE532A">
      <w:pPr>
        <w:jc w:val="left"/>
      </w:pPr>
      <w:r w:rsidRPr="002B7FCF">
        <w:tab/>
      </w:r>
      <w:r w:rsidRPr="002B7FCF">
        <w:tab/>
        <w:t xml:space="preserve">Undisputed evidence </w:t>
      </w:r>
      <w:r w:rsidR="004903FD" w:rsidRPr="002B7FCF">
        <w:t>shows</w:t>
      </w:r>
      <w:r w:rsidRPr="002B7FCF">
        <w:t xml:space="preserve"> that the door and hallway between the front door and the door into the living space</w:t>
      </w:r>
      <w:r w:rsidR="008043E8" w:rsidRPr="002B7FCF">
        <w:t xml:space="preserve"> of the second floor apartment are</w:t>
      </w:r>
      <w:r w:rsidRPr="002B7FCF">
        <w:t xml:space="preserve"> used exclusively by that unit.  The only other unit in the building is accessed by a </w:t>
      </w:r>
      <w:r w:rsidR="008043E8" w:rsidRPr="002B7FCF">
        <w:t xml:space="preserve">separate </w:t>
      </w:r>
      <w:r w:rsidRPr="002B7FCF">
        <w:t>side door directly into that unit.  The hallway</w:t>
      </w:r>
      <w:r w:rsidR="00EB5E05" w:rsidRPr="002B7FCF">
        <w:t xml:space="preserve"> is not a common area as no other tenant has access to it.  It</w:t>
      </w:r>
      <w:r w:rsidRPr="002B7FCF">
        <w:t xml:space="preserve"> is exclusive to the dwelling unit, and therefore, when the light in that hallway </w:t>
      </w:r>
      <w:r w:rsidR="008043E8" w:rsidRPr="002B7FCF">
        <w:t>was connected to the meter in that unit, there was no foreign load.  Accordingly, the Complaint is sustained.</w:t>
      </w:r>
    </w:p>
    <w:p w:rsidR="008043E8" w:rsidRPr="002B7FCF" w:rsidRDefault="008043E8" w:rsidP="00FE532A">
      <w:pPr>
        <w:jc w:val="left"/>
      </w:pPr>
    </w:p>
    <w:p w:rsidR="00BB4891" w:rsidRPr="002B7FCF" w:rsidRDefault="008043E8" w:rsidP="00FE532A">
      <w:pPr>
        <w:jc w:val="left"/>
      </w:pPr>
      <w:r w:rsidRPr="002B7FCF">
        <w:tab/>
      </w:r>
      <w:r w:rsidRPr="002B7FCF">
        <w:tab/>
      </w:r>
      <w:r w:rsidR="00DD587E" w:rsidRPr="002B7FCF">
        <w:t xml:space="preserve">Utilities are held to a strict standard of behavior when foreign load is identified, and are subject to civil penalties when they fail to respond accordingly.  When a hallway of an apartment building has a light that is on a tenant's meter, in most cases, there is foreign load.  Met-Ed's conclusion that there is foreign load here was </w:t>
      </w:r>
      <w:r w:rsidR="007700F4" w:rsidRPr="002B7FCF">
        <w:t xml:space="preserve">a </w:t>
      </w:r>
      <w:r w:rsidR="00DD587E" w:rsidRPr="002B7FCF">
        <w:t>reasonable</w:t>
      </w:r>
      <w:r w:rsidR="007700F4" w:rsidRPr="002B7FCF">
        <w:t xml:space="preserve"> one</w:t>
      </w:r>
      <w:r w:rsidR="00DD587E" w:rsidRPr="002B7FCF">
        <w:t>.</w:t>
      </w:r>
      <w:r w:rsidR="007700F4" w:rsidRPr="002B7FCF">
        <w:t xml:space="preserve">  The Company acted quickly and in accordance with the law applicable to a foreign load situation.</w:t>
      </w:r>
      <w:r w:rsidR="00DD587E" w:rsidRPr="002B7FCF">
        <w:t xml:space="preserve">  The error is not malicious nor is it negligent.  </w:t>
      </w:r>
      <w:r w:rsidRPr="002B7FCF">
        <w:t xml:space="preserve">Because Met-Ed acted in a reasonable manner </w:t>
      </w:r>
      <w:r w:rsidR="00DD587E" w:rsidRPr="002B7FCF">
        <w:t>in response to the facts of this case, no civil penalty is contemplated.</w:t>
      </w:r>
    </w:p>
    <w:p w:rsidR="00495161" w:rsidRDefault="00495161" w:rsidP="00BB4891">
      <w:pPr>
        <w:rPr>
          <w:u w:val="single"/>
        </w:rPr>
      </w:pPr>
    </w:p>
    <w:p w:rsidR="00360185" w:rsidRDefault="00360185" w:rsidP="00BB4891">
      <w:pPr>
        <w:rPr>
          <w:u w:val="single"/>
        </w:rPr>
      </w:pPr>
      <w:r>
        <w:rPr>
          <w:u w:val="single"/>
        </w:rPr>
        <w:br w:type="page"/>
      </w:r>
    </w:p>
    <w:p w:rsidR="00BB4891" w:rsidRPr="002B7FCF" w:rsidRDefault="00BB4891" w:rsidP="00BB4891">
      <w:pPr>
        <w:rPr>
          <w:u w:val="single"/>
        </w:rPr>
      </w:pPr>
      <w:r w:rsidRPr="002B7FCF">
        <w:rPr>
          <w:u w:val="single"/>
        </w:rPr>
        <w:t>CONCLUSIONS OF LAW</w:t>
      </w:r>
    </w:p>
    <w:p w:rsidR="00BB4891" w:rsidRPr="002B7FCF" w:rsidRDefault="00BB4891" w:rsidP="00BB4891">
      <w:pPr>
        <w:rPr>
          <w:u w:val="single"/>
        </w:rPr>
      </w:pPr>
    </w:p>
    <w:p w:rsidR="00BB4891" w:rsidRPr="002B7FCF" w:rsidRDefault="00BB4891" w:rsidP="00BB4891">
      <w:pPr>
        <w:ind w:firstLine="1440"/>
        <w:jc w:val="left"/>
        <w:rPr>
          <w:spacing w:val="-3"/>
        </w:rPr>
      </w:pPr>
      <w:r w:rsidRPr="002B7FCF">
        <w:t>1.</w:t>
      </w:r>
      <w:r w:rsidRPr="002B7FCF">
        <w:tab/>
        <w:t>The C</w:t>
      </w:r>
      <w:r w:rsidR="00104F17">
        <w:rPr>
          <w:spacing w:val="-3"/>
        </w:rPr>
        <w:t>omplainant</w:t>
      </w:r>
      <w:r w:rsidRPr="002B7FCF">
        <w:rPr>
          <w:spacing w:val="-3"/>
        </w:rPr>
        <w:t xml:space="preserve"> carr</w:t>
      </w:r>
      <w:r w:rsidR="00104F17">
        <w:rPr>
          <w:spacing w:val="-3"/>
        </w:rPr>
        <w:t>ies</w:t>
      </w:r>
      <w:r w:rsidRPr="002B7FCF">
        <w:rPr>
          <w:spacing w:val="-3"/>
        </w:rPr>
        <w:t xml:space="preserve"> the burden of showing that the utility is responsible or accountable for the problem described in the Complaint in order to prevail.  </w:t>
      </w:r>
      <w:r w:rsidRPr="002B7FCF">
        <w:rPr>
          <w:i/>
          <w:spacing w:val="-3"/>
        </w:rPr>
        <w:t>Patterson v. Bell Telephone Company of Pennsylvania</w:t>
      </w:r>
      <w:r w:rsidRPr="002B7FCF">
        <w:rPr>
          <w:spacing w:val="-3"/>
        </w:rPr>
        <w:t xml:space="preserve">, 72 Pa. PUC 196 (1990); </w:t>
      </w:r>
      <w:r w:rsidRPr="002B7FCF">
        <w:rPr>
          <w:i/>
          <w:spacing w:val="-3"/>
        </w:rPr>
        <w:t>Feinstein v. Philadelphia Suburban Water Company</w:t>
      </w:r>
      <w:r w:rsidRPr="002B7FCF">
        <w:rPr>
          <w:spacing w:val="-3"/>
        </w:rPr>
        <w:t>, 50 Pa. PUC 300 (1976).</w:t>
      </w:r>
    </w:p>
    <w:p w:rsidR="00BB4891" w:rsidRPr="002B7FCF" w:rsidRDefault="00BB4891" w:rsidP="00BB4891">
      <w:pPr>
        <w:ind w:firstLine="1440"/>
        <w:jc w:val="left"/>
        <w:rPr>
          <w:spacing w:val="-3"/>
        </w:rPr>
      </w:pPr>
    </w:p>
    <w:p w:rsidR="00BB4891" w:rsidRPr="002B7FCF" w:rsidRDefault="00BB4891" w:rsidP="00BB4891">
      <w:pPr>
        <w:ind w:firstLine="1440"/>
        <w:jc w:val="left"/>
        <w:rPr>
          <w:spacing w:val="-3"/>
        </w:rPr>
      </w:pPr>
      <w:r w:rsidRPr="002B7FCF">
        <w:rPr>
          <w:spacing w:val="-3"/>
        </w:rPr>
        <w:t>2.</w:t>
      </w:r>
      <w:r w:rsidRPr="002B7FCF">
        <w:rPr>
          <w:spacing w:val="-3"/>
        </w:rPr>
        <w:tab/>
        <w:t xml:space="preserve">The burden of proof must be carried by a preponderance of the evidence.  </w:t>
      </w:r>
      <w:r w:rsidRPr="002B7FCF">
        <w:rPr>
          <w:i/>
          <w:spacing w:val="-3"/>
        </w:rPr>
        <w:t>Samuel J. Lansberry, Inc. v. P</w:t>
      </w:r>
      <w:r w:rsidR="00693796">
        <w:rPr>
          <w:i/>
          <w:spacing w:val="-3"/>
        </w:rPr>
        <w:t>a.</w:t>
      </w:r>
      <w:r w:rsidRPr="002B7FCF">
        <w:rPr>
          <w:i/>
          <w:spacing w:val="-3"/>
        </w:rPr>
        <w:t xml:space="preserve"> Pub</w:t>
      </w:r>
      <w:r w:rsidR="00693796">
        <w:rPr>
          <w:i/>
          <w:spacing w:val="-3"/>
        </w:rPr>
        <w:t>.</w:t>
      </w:r>
      <w:r w:rsidRPr="002B7FCF">
        <w:rPr>
          <w:i/>
          <w:spacing w:val="-3"/>
        </w:rPr>
        <w:t xml:space="preserve"> Uti</w:t>
      </w:r>
      <w:r w:rsidR="00693796">
        <w:rPr>
          <w:i/>
          <w:spacing w:val="-3"/>
        </w:rPr>
        <w:t>l.</w:t>
      </w:r>
      <w:r w:rsidRPr="002B7FCF">
        <w:rPr>
          <w:i/>
          <w:spacing w:val="-3"/>
        </w:rPr>
        <w:t xml:space="preserve"> Comm’n</w:t>
      </w:r>
      <w:r w:rsidRPr="002B7FCF">
        <w:rPr>
          <w:spacing w:val="-3"/>
        </w:rPr>
        <w:t>, 578 A.2d 600 (Pa. Cmwlth.</w:t>
      </w:r>
      <w:r w:rsidR="00693796">
        <w:rPr>
          <w:spacing w:val="-3"/>
        </w:rPr>
        <w:t xml:space="preserve"> </w:t>
      </w:r>
      <w:r w:rsidRPr="002B7FCF">
        <w:rPr>
          <w:spacing w:val="-3"/>
        </w:rPr>
        <w:t xml:space="preserve">1990), </w:t>
      </w:r>
      <w:r w:rsidRPr="002B7FCF">
        <w:rPr>
          <w:i/>
          <w:spacing w:val="-3"/>
        </w:rPr>
        <w:t>alloc. den.</w:t>
      </w:r>
      <w:r w:rsidRPr="002B7FCF">
        <w:rPr>
          <w:spacing w:val="-3"/>
        </w:rPr>
        <w:t xml:space="preserve">, 529 A.2d 654, 602 A.2d 863 (1992).  That is, by presenting evidence more convincing, by even the smallest amount, than that presented by the other party.  </w:t>
      </w:r>
      <w:r w:rsidRPr="002B7FCF">
        <w:rPr>
          <w:i/>
          <w:spacing w:val="-3"/>
        </w:rPr>
        <w:t>Se-Ling Hosiery v. Margulies</w:t>
      </w:r>
      <w:r w:rsidRPr="002B7FCF">
        <w:rPr>
          <w:spacing w:val="-3"/>
        </w:rPr>
        <w:t>, 364 Pa. 45, 70 A.2d 854 (1950).</w:t>
      </w:r>
    </w:p>
    <w:p w:rsidR="00BB4891" w:rsidRPr="002B7FCF" w:rsidRDefault="00BB4891" w:rsidP="00BB4891">
      <w:pPr>
        <w:ind w:firstLine="1440"/>
        <w:jc w:val="left"/>
        <w:rPr>
          <w:spacing w:val="-3"/>
        </w:rPr>
      </w:pPr>
    </w:p>
    <w:p w:rsidR="00BB4891" w:rsidRPr="002B7FCF" w:rsidRDefault="00BB4891" w:rsidP="00BB4891">
      <w:pPr>
        <w:ind w:firstLine="1440"/>
        <w:jc w:val="left"/>
        <w:rPr>
          <w:spacing w:val="-3"/>
        </w:rPr>
      </w:pPr>
      <w:r w:rsidRPr="002B7FCF">
        <w:rPr>
          <w:spacing w:val="-3"/>
        </w:rPr>
        <w:t>3.</w:t>
      </w:r>
      <w:r w:rsidRPr="002B7FCF">
        <w:rPr>
          <w:spacing w:val="-3"/>
        </w:rPr>
        <w:tab/>
        <w:t xml:space="preserve">Any finding of fact necessary to support the Commission’s adjudication must be based upon substantial evidence.  </w:t>
      </w:r>
      <w:r w:rsidRPr="002B7FCF">
        <w:rPr>
          <w:i/>
          <w:spacing w:val="-3"/>
        </w:rPr>
        <w:t>Mill v. P</w:t>
      </w:r>
      <w:r w:rsidR="00693796">
        <w:rPr>
          <w:i/>
          <w:spacing w:val="-3"/>
        </w:rPr>
        <w:t>a.</w:t>
      </w:r>
      <w:r w:rsidRPr="002B7FCF">
        <w:rPr>
          <w:i/>
          <w:spacing w:val="-3"/>
        </w:rPr>
        <w:t xml:space="preserve"> Pub</w:t>
      </w:r>
      <w:r w:rsidR="00693796">
        <w:rPr>
          <w:i/>
          <w:spacing w:val="-3"/>
        </w:rPr>
        <w:t>.</w:t>
      </w:r>
      <w:r w:rsidRPr="002B7FCF">
        <w:rPr>
          <w:i/>
          <w:spacing w:val="-3"/>
        </w:rPr>
        <w:t xml:space="preserve"> Uti</w:t>
      </w:r>
      <w:r w:rsidR="00693796">
        <w:rPr>
          <w:i/>
          <w:spacing w:val="-3"/>
        </w:rPr>
        <w:t xml:space="preserve">l. </w:t>
      </w:r>
      <w:r w:rsidRPr="002B7FCF">
        <w:rPr>
          <w:i/>
          <w:spacing w:val="-3"/>
        </w:rPr>
        <w:t>Comm’n</w:t>
      </w:r>
      <w:r w:rsidRPr="002B7FCF">
        <w:rPr>
          <w:spacing w:val="-3"/>
        </w:rPr>
        <w:t>, 447 A.2d 1100 (Pa. Cmwlth.</w:t>
      </w:r>
      <w:r w:rsidR="002C48A7">
        <w:rPr>
          <w:spacing w:val="-3"/>
        </w:rPr>
        <w:t xml:space="preserve"> </w:t>
      </w:r>
      <w:r w:rsidRPr="002B7FCF">
        <w:rPr>
          <w:spacing w:val="-3"/>
        </w:rPr>
        <w:t xml:space="preserve">1982); </w:t>
      </w:r>
      <w:r w:rsidRPr="002B7FCF">
        <w:rPr>
          <w:i/>
          <w:spacing w:val="-3"/>
        </w:rPr>
        <w:t>Edan Transportation Corp. v. P</w:t>
      </w:r>
      <w:r w:rsidR="00693796">
        <w:rPr>
          <w:i/>
          <w:spacing w:val="-3"/>
        </w:rPr>
        <w:t>a</w:t>
      </w:r>
      <w:r w:rsidR="002C48A7">
        <w:rPr>
          <w:i/>
          <w:spacing w:val="-3"/>
        </w:rPr>
        <w:t>.</w:t>
      </w:r>
      <w:r w:rsidRPr="002B7FCF">
        <w:rPr>
          <w:i/>
          <w:spacing w:val="-3"/>
        </w:rPr>
        <w:t xml:space="preserve"> Pub</w:t>
      </w:r>
      <w:r w:rsidR="002C48A7">
        <w:rPr>
          <w:i/>
          <w:spacing w:val="-3"/>
        </w:rPr>
        <w:t>.</w:t>
      </w:r>
      <w:r w:rsidRPr="002B7FCF">
        <w:rPr>
          <w:i/>
          <w:spacing w:val="-3"/>
        </w:rPr>
        <w:t xml:space="preserve"> Util</w:t>
      </w:r>
      <w:r w:rsidR="002C48A7">
        <w:rPr>
          <w:i/>
          <w:spacing w:val="-3"/>
        </w:rPr>
        <w:t>.</w:t>
      </w:r>
      <w:r w:rsidRPr="002B7FCF">
        <w:rPr>
          <w:i/>
          <w:spacing w:val="-3"/>
        </w:rPr>
        <w:t xml:space="preserve"> Comm’n,</w:t>
      </w:r>
      <w:r w:rsidRPr="002B7FCF">
        <w:rPr>
          <w:spacing w:val="-3"/>
        </w:rPr>
        <w:t xml:space="preserve"> 623 A.2d 6 (Pa. Cmwlth.</w:t>
      </w:r>
      <w:r w:rsidR="002C48A7">
        <w:rPr>
          <w:spacing w:val="-3"/>
        </w:rPr>
        <w:t xml:space="preserve"> </w:t>
      </w:r>
      <w:r w:rsidRPr="002B7FCF">
        <w:rPr>
          <w:spacing w:val="-3"/>
        </w:rPr>
        <w:t xml:space="preserve">1993), 2 Pa.C.S. §704.  More is required than a mere trace of evidence or a suspicion of the existence of a fact sought to be established.  </w:t>
      </w:r>
      <w:r w:rsidRPr="002B7FCF">
        <w:rPr>
          <w:i/>
          <w:spacing w:val="-3"/>
        </w:rPr>
        <w:t>Norfolk and Western Ry. v. P</w:t>
      </w:r>
      <w:r w:rsidR="002C48A7">
        <w:rPr>
          <w:i/>
          <w:spacing w:val="-3"/>
        </w:rPr>
        <w:t>a. Pub.</w:t>
      </w:r>
      <w:r w:rsidRPr="002B7FCF">
        <w:rPr>
          <w:i/>
          <w:spacing w:val="-3"/>
        </w:rPr>
        <w:t xml:space="preserve"> Uti</w:t>
      </w:r>
      <w:r w:rsidR="002C48A7">
        <w:rPr>
          <w:i/>
          <w:spacing w:val="-3"/>
        </w:rPr>
        <w:t>l.</w:t>
      </w:r>
      <w:r w:rsidRPr="002B7FCF">
        <w:rPr>
          <w:i/>
          <w:spacing w:val="-3"/>
        </w:rPr>
        <w:t xml:space="preserve"> Comm’n</w:t>
      </w:r>
      <w:r w:rsidRPr="002B7FCF">
        <w:rPr>
          <w:spacing w:val="-3"/>
        </w:rPr>
        <w:t xml:space="preserve">, 489 Pa. 109, 413 A.2d 1037 (1980); </w:t>
      </w:r>
      <w:r w:rsidRPr="002B7FCF">
        <w:rPr>
          <w:i/>
          <w:spacing w:val="-3"/>
        </w:rPr>
        <w:t>Erie Resistor Corp. v. Unemployment Compensation Bd. of Review</w:t>
      </w:r>
      <w:r w:rsidRPr="002B7FCF">
        <w:rPr>
          <w:spacing w:val="-3"/>
        </w:rPr>
        <w:t>, 166 A.2d 96 (Pa. Super.</w:t>
      </w:r>
      <w:r w:rsidR="002C48A7">
        <w:rPr>
          <w:spacing w:val="-3"/>
        </w:rPr>
        <w:t xml:space="preserve"> </w:t>
      </w:r>
      <w:r w:rsidRPr="002B7FCF">
        <w:rPr>
          <w:spacing w:val="-3"/>
        </w:rPr>
        <w:t xml:space="preserve">1960); </w:t>
      </w:r>
      <w:r w:rsidRPr="002B7FCF">
        <w:rPr>
          <w:i/>
          <w:spacing w:val="-3"/>
        </w:rPr>
        <w:t>Murphy v. Commonwealth, Dep’t. of Public Welfare, White Haven Center</w:t>
      </w:r>
      <w:r w:rsidRPr="002B7FCF">
        <w:rPr>
          <w:spacing w:val="-3"/>
        </w:rPr>
        <w:t>, 480 A.2d 382 (Pa. Cmwlth.</w:t>
      </w:r>
      <w:r w:rsidR="002C48A7">
        <w:rPr>
          <w:spacing w:val="-3"/>
        </w:rPr>
        <w:t xml:space="preserve"> </w:t>
      </w:r>
      <w:r w:rsidRPr="002B7FCF">
        <w:rPr>
          <w:spacing w:val="-3"/>
        </w:rPr>
        <w:t>1984).</w:t>
      </w:r>
    </w:p>
    <w:p w:rsidR="00BB4891" w:rsidRPr="002B7FCF" w:rsidRDefault="00BB4891" w:rsidP="00BB4891">
      <w:pPr>
        <w:ind w:firstLine="1440"/>
        <w:jc w:val="left"/>
        <w:rPr>
          <w:spacing w:val="-3"/>
        </w:rPr>
      </w:pPr>
    </w:p>
    <w:p w:rsidR="00BB4891" w:rsidRPr="002B7FCF" w:rsidRDefault="00BB4891" w:rsidP="00BB4891">
      <w:pPr>
        <w:ind w:firstLine="1440"/>
        <w:jc w:val="left"/>
      </w:pPr>
      <w:r w:rsidRPr="002B7FCF">
        <w:rPr>
          <w:spacing w:val="-3"/>
        </w:rPr>
        <w:t>4.</w:t>
      </w:r>
      <w:r w:rsidRPr="002B7FCF">
        <w:rPr>
          <w:spacing w:val="-3"/>
        </w:rPr>
        <w:tab/>
      </w:r>
      <w:r w:rsidRPr="002B7FCF">
        <w:t>The offense must be a violation of the Public Utility Code, the Commission’s regulations, or an outstanding o</w:t>
      </w:r>
      <w:r w:rsidR="00A11370">
        <w:t>rder of the Commission.  66 Pa.</w:t>
      </w:r>
      <w:r w:rsidRPr="002B7FCF">
        <w:t>C.S. § 701.</w:t>
      </w:r>
    </w:p>
    <w:p w:rsidR="00BB4891" w:rsidRPr="002B7FCF" w:rsidRDefault="00BB4891" w:rsidP="00BB4891">
      <w:pPr>
        <w:jc w:val="left"/>
      </w:pPr>
    </w:p>
    <w:p w:rsidR="00BB4891" w:rsidRPr="002B7FCF" w:rsidRDefault="00BB4891" w:rsidP="00BB4891">
      <w:pPr>
        <w:jc w:val="left"/>
        <w:rPr>
          <w:spacing w:val="-3"/>
        </w:rPr>
      </w:pPr>
      <w:r w:rsidRPr="002B7FCF">
        <w:tab/>
      </w:r>
      <w:r w:rsidRPr="002B7FCF">
        <w:tab/>
        <w:t>5.</w:t>
      </w:r>
      <w:r w:rsidRPr="002B7FCF">
        <w:tab/>
      </w:r>
      <w:r w:rsidRPr="002B7FCF">
        <w:rPr>
          <w:spacing w:val="-3"/>
        </w:rPr>
        <w:t xml:space="preserve">The “burden of proof” is composed of two distinct burdens: the burden of production and the burden of persuasion.  </w:t>
      </w:r>
      <w:r w:rsidRPr="002B7FCF">
        <w:rPr>
          <w:i/>
          <w:spacing w:val="-3"/>
        </w:rPr>
        <w:t>Hurley v. Hurley</w:t>
      </w:r>
      <w:r w:rsidRPr="002B7FCF">
        <w:rPr>
          <w:spacing w:val="-3"/>
        </w:rPr>
        <w:t>, 2000 Pa.</w:t>
      </w:r>
      <w:r w:rsidR="002C48A7">
        <w:rPr>
          <w:spacing w:val="-3"/>
        </w:rPr>
        <w:t xml:space="preserve"> </w:t>
      </w:r>
      <w:r w:rsidRPr="002B7FCF">
        <w:rPr>
          <w:spacing w:val="-3"/>
        </w:rPr>
        <w:t>Super. 178, 754 A.2d 1283 (2000).</w:t>
      </w:r>
    </w:p>
    <w:p w:rsidR="00BB4891" w:rsidRPr="002B7FCF" w:rsidRDefault="00BB4891" w:rsidP="00BB4891">
      <w:pPr>
        <w:jc w:val="left"/>
        <w:rPr>
          <w:spacing w:val="-3"/>
        </w:rPr>
      </w:pPr>
    </w:p>
    <w:p w:rsidR="00BB4891" w:rsidRPr="002B7FCF" w:rsidRDefault="00BB4891" w:rsidP="00BB4891">
      <w:pPr>
        <w:jc w:val="left"/>
        <w:rPr>
          <w:spacing w:val="-3"/>
        </w:rPr>
      </w:pPr>
      <w:r w:rsidRPr="002B7FCF">
        <w:rPr>
          <w:spacing w:val="-3"/>
        </w:rPr>
        <w:tab/>
      </w:r>
      <w:r w:rsidRPr="002B7FCF">
        <w:rPr>
          <w:spacing w:val="-3"/>
        </w:rPr>
        <w:tab/>
        <w:t>6.</w:t>
      </w:r>
      <w:r w:rsidRPr="002B7FCF">
        <w:rPr>
          <w:spacing w:val="-3"/>
        </w:rPr>
        <w:tab/>
        <w:t xml:space="preserve">The burden of persuasion determines which party must produce sufficient evidence to meet the applicable standard of proof.  </w:t>
      </w:r>
      <w:r w:rsidRPr="002B7FCF">
        <w:rPr>
          <w:i/>
          <w:spacing w:val="-3"/>
        </w:rPr>
        <w:t>Hurley v. Hurley</w:t>
      </w:r>
      <w:r w:rsidRPr="002B7FCF">
        <w:rPr>
          <w:spacing w:val="-3"/>
        </w:rPr>
        <w:t>, 2000 Pa.Super. 178, 754 A.2d 1283 (2000).</w:t>
      </w:r>
    </w:p>
    <w:p w:rsidR="00BB4891" w:rsidRPr="002B7FCF" w:rsidRDefault="00BB4891" w:rsidP="00BB4891">
      <w:pPr>
        <w:jc w:val="left"/>
        <w:rPr>
          <w:spacing w:val="-3"/>
        </w:rPr>
      </w:pPr>
    </w:p>
    <w:p w:rsidR="00BB4891" w:rsidRPr="002B7FCF" w:rsidRDefault="00BB4891" w:rsidP="002C48A7">
      <w:pPr>
        <w:jc w:val="left"/>
        <w:rPr>
          <w:spacing w:val="-3"/>
        </w:rPr>
      </w:pPr>
      <w:r w:rsidRPr="002B7FCF">
        <w:rPr>
          <w:spacing w:val="-3"/>
        </w:rPr>
        <w:tab/>
      </w:r>
      <w:r w:rsidRPr="002B7FCF">
        <w:rPr>
          <w:spacing w:val="-3"/>
        </w:rPr>
        <w:tab/>
        <w:t>7.</w:t>
      </w:r>
      <w:r w:rsidRPr="002B7FCF">
        <w:rPr>
          <w:spacing w:val="-3"/>
        </w:rPr>
        <w:tab/>
        <w:t xml:space="preserve">The burden of persuasion never leaves the party on whom it is originally cast, but the burden of production may shift during the course of the proceedings.”  </w:t>
      </w:r>
      <w:r w:rsidRPr="002B7FCF">
        <w:rPr>
          <w:i/>
          <w:spacing w:val="-3"/>
        </w:rPr>
        <w:t>Riedel v. County of Allegheny</w:t>
      </w:r>
      <w:r w:rsidRPr="002B7FCF">
        <w:rPr>
          <w:spacing w:val="-3"/>
        </w:rPr>
        <w:t>, 159 Pa.Cmwlth. 583; 591, 633 A.2d 1325; 1328 n. 11 (1993).</w:t>
      </w:r>
    </w:p>
    <w:p w:rsidR="00BB4891" w:rsidRPr="002B7FCF" w:rsidRDefault="00BB4891" w:rsidP="00FE532A">
      <w:pPr>
        <w:jc w:val="left"/>
      </w:pPr>
    </w:p>
    <w:p w:rsidR="00921376" w:rsidRDefault="00DD587E" w:rsidP="00C77BB2">
      <w:pPr>
        <w:jc w:val="left"/>
      </w:pPr>
      <w:r w:rsidRPr="002B7FCF">
        <w:tab/>
      </w:r>
      <w:r w:rsidRPr="002B7FCF">
        <w:tab/>
      </w:r>
      <w:r w:rsidR="002C48A7">
        <w:t>8</w:t>
      </w:r>
      <w:r w:rsidRPr="002B7FCF">
        <w:t>.</w:t>
      </w:r>
      <w:r w:rsidRPr="002B7FCF">
        <w:tab/>
        <w:t>Evidence that is not relevant is not admissible.  Pa. Rule of Evidence 402.</w:t>
      </w:r>
    </w:p>
    <w:p w:rsidR="00360185" w:rsidRPr="002B7FCF" w:rsidRDefault="00360185" w:rsidP="00C77BB2">
      <w:pPr>
        <w:jc w:val="left"/>
      </w:pPr>
    </w:p>
    <w:p w:rsidR="000155CD" w:rsidRPr="002B7FCF" w:rsidRDefault="00DD587E" w:rsidP="00C77BB2">
      <w:pPr>
        <w:jc w:val="left"/>
      </w:pPr>
      <w:r w:rsidRPr="002B7FCF">
        <w:tab/>
      </w:r>
      <w:r w:rsidRPr="002B7FCF">
        <w:tab/>
      </w:r>
      <w:r w:rsidR="002C48A7">
        <w:t>9</w:t>
      </w:r>
      <w:r w:rsidRPr="002B7FCF">
        <w:t>.</w:t>
      </w:r>
      <w:r w:rsidRPr="002B7FCF">
        <w:tab/>
      </w:r>
      <w:r w:rsidR="007700F4" w:rsidRPr="002B7FCF">
        <w:t>As the lease had been produced at the hearing by Complainant while under oath, the letter is sufficient to serve as a verificati</w:t>
      </w:r>
      <w:r w:rsidR="00590988">
        <w:t>on within the meaning of 52 Pa.</w:t>
      </w:r>
      <w:r w:rsidR="007700F4" w:rsidRPr="002B7FCF">
        <w:t>Code § 1.36.</w:t>
      </w:r>
    </w:p>
    <w:p w:rsidR="007A3B06" w:rsidRPr="002B7FCF" w:rsidRDefault="007A3B06" w:rsidP="00A20E96">
      <w:pPr>
        <w:jc w:val="left"/>
      </w:pPr>
    </w:p>
    <w:p w:rsidR="007700F4" w:rsidRPr="002B7FCF" w:rsidRDefault="00360185" w:rsidP="007700F4">
      <w:pPr>
        <w:jc w:val="left"/>
      </w:pPr>
      <w:r>
        <w:tab/>
      </w:r>
      <w:r w:rsidR="007700F4" w:rsidRPr="002B7FCF">
        <w:tab/>
        <w:t>1</w:t>
      </w:r>
      <w:r w:rsidR="002C48A7">
        <w:t>0</w:t>
      </w:r>
      <w:r w:rsidR="007700F4" w:rsidRPr="002B7FCF">
        <w:t>.</w:t>
      </w:r>
      <w:r w:rsidR="007700F4" w:rsidRPr="002B7FCF">
        <w:tab/>
        <w:t xml:space="preserve">Parties </w:t>
      </w:r>
      <w:r w:rsidR="00104F17">
        <w:t xml:space="preserve">to a lease </w:t>
      </w:r>
      <w:r w:rsidR="007700F4" w:rsidRPr="002B7FCF">
        <w:t xml:space="preserve">may not agree to foreign load.  </w:t>
      </w:r>
      <w:r w:rsidR="007700F4" w:rsidRPr="002B7FCF">
        <w:rPr>
          <w:i/>
        </w:rPr>
        <w:t>See Suong Tran v. PECO Energy Company,</w:t>
      </w:r>
      <w:r w:rsidR="007700F4" w:rsidRPr="002B7FCF">
        <w:t xml:space="preserve"> Docket No. C-2013-2340655 (Final Order entered April 29, 2013).</w:t>
      </w:r>
    </w:p>
    <w:p w:rsidR="003C6D04" w:rsidRPr="002B7FCF" w:rsidRDefault="003C6D04" w:rsidP="00A20E96">
      <w:pPr>
        <w:jc w:val="left"/>
        <w:rPr>
          <w:b/>
        </w:rPr>
      </w:pPr>
    </w:p>
    <w:p w:rsidR="007700F4" w:rsidRPr="002B7FCF" w:rsidRDefault="007700F4" w:rsidP="007700F4">
      <w:pPr>
        <w:jc w:val="left"/>
      </w:pPr>
      <w:r w:rsidRPr="002B7FCF">
        <w:rPr>
          <w:b/>
        </w:rPr>
        <w:tab/>
      </w:r>
      <w:r w:rsidRPr="002B7FCF">
        <w:rPr>
          <w:b/>
        </w:rPr>
        <w:tab/>
      </w:r>
      <w:r w:rsidRPr="002B7FCF">
        <w:t>1</w:t>
      </w:r>
      <w:r w:rsidR="002C48A7">
        <w:t>1</w:t>
      </w:r>
      <w:r w:rsidRPr="002B7FCF">
        <w:t>.</w:t>
      </w:r>
      <w:r w:rsidRPr="002B7FCF">
        <w:tab/>
        <w:t xml:space="preserve">The phrase "not individually metered" is defined as "the utility meter for the unit is registering a foreign load, or usage not exclusive to the dwelling unit or occupant.  </w:t>
      </w:r>
      <w:r w:rsidRPr="002B7FCF">
        <w:rPr>
          <w:i/>
        </w:rPr>
        <w:t xml:space="preserve">Del Vecchio v. PPL Elec. Util. Corp., </w:t>
      </w:r>
      <w:r w:rsidRPr="002B7FCF">
        <w:t xml:space="preserve">Docket No. Z-01464793 (Pa. PUC 2005); </w:t>
      </w:r>
      <w:r w:rsidRPr="002B7FCF">
        <w:rPr>
          <w:i/>
        </w:rPr>
        <w:t>see also Cosme v. PECO Energy Co.,</w:t>
      </w:r>
      <w:r w:rsidRPr="002B7FCF">
        <w:t xml:space="preserve"> Docket No</w:t>
      </w:r>
      <w:r w:rsidR="004903FD" w:rsidRPr="002B7FCF">
        <w:t xml:space="preserve">. C-2010-2171497 (Pa. PUC 2012); </w:t>
      </w:r>
      <w:r w:rsidRPr="002B7FCF">
        <w:rPr>
          <w:i/>
        </w:rPr>
        <w:t>A-1 Realty v. Pa. Pub. Util. Comm'n,</w:t>
      </w:r>
      <w:r w:rsidRPr="002B7FCF">
        <w:t xml:space="preserve"> Docket No. </w:t>
      </w:r>
      <w:r w:rsidR="004903FD" w:rsidRPr="002B7FCF">
        <w:t xml:space="preserve">63 A.3d 480, (Pa. Cmwlth. </w:t>
      </w:r>
      <w:r w:rsidRPr="002B7FCF">
        <w:t>2013), 2013 Pa. Commw. LEXIS 4</w:t>
      </w:r>
      <w:r w:rsidR="004903FD" w:rsidRPr="002B7FCF">
        <w:t xml:space="preserve">, appeal denied 74 A.3d 1033 (Pa. 2013), 2013 Pa. LEXIS 1985. </w:t>
      </w:r>
    </w:p>
    <w:p w:rsidR="007700F4" w:rsidRPr="002B7FCF" w:rsidRDefault="007700F4" w:rsidP="00A20E96">
      <w:pPr>
        <w:jc w:val="left"/>
      </w:pPr>
    </w:p>
    <w:p w:rsidR="007700F4" w:rsidRPr="002B7FCF" w:rsidRDefault="007700F4" w:rsidP="00A20E96">
      <w:pPr>
        <w:jc w:val="left"/>
      </w:pPr>
      <w:r w:rsidRPr="002B7FCF">
        <w:tab/>
      </w:r>
      <w:r w:rsidRPr="002B7FCF">
        <w:tab/>
        <w:t>1</w:t>
      </w:r>
      <w:r w:rsidR="00360185">
        <w:t>2</w:t>
      </w:r>
      <w:r w:rsidRPr="002B7FCF">
        <w:t>.</w:t>
      </w:r>
      <w:r w:rsidRPr="002B7FCF">
        <w:tab/>
        <w:t>Where the hallway is exclusive to the leased apartment, responsibility for the light may be agreed to by the lessee.</w:t>
      </w:r>
    </w:p>
    <w:p w:rsidR="007700F4" w:rsidRPr="002B7FCF" w:rsidRDefault="007700F4" w:rsidP="00A20E96">
      <w:pPr>
        <w:jc w:val="left"/>
      </w:pPr>
    </w:p>
    <w:p w:rsidR="00360185" w:rsidRDefault="00360185" w:rsidP="007700F4">
      <w:pPr>
        <w:rPr>
          <w:u w:val="single"/>
        </w:rPr>
      </w:pPr>
      <w:r>
        <w:rPr>
          <w:u w:val="single"/>
        </w:rPr>
        <w:br w:type="page"/>
      </w:r>
    </w:p>
    <w:p w:rsidR="007700F4" w:rsidRPr="002C48A7" w:rsidRDefault="007700F4" w:rsidP="007700F4">
      <w:pPr>
        <w:rPr>
          <w:u w:val="single"/>
        </w:rPr>
      </w:pPr>
      <w:r w:rsidRPr="002C48A7">
        <w:rPr>
          <w:u w:val="single"/>
        </w:rPr>
        <w:t>ORDER</w:t>
      </w:r>
    </w:p>
    <w:p w:rsidR="007700F4" w:rsidRDefault="007700F4" w:rsidP="007700F4">
      <w:pPr>
        <w:rPr>
          <w:b/>
          <w:u w:val="single"/>
        </w:rPr>
      </w:pPr>
    </w:p>
    <w:p w:rsidR="00FE0D2A" w:rsidRPr="002B7FCF" w:rsidRDefault="00FE0D2A" w:rsidP="007700F4">
      <w:pPr>
        <w:rPr>
          <w:b/>
          <w:u w:val="single"/>
        </w:rPr>
      </w:pPr>
    </w:p>
    <w:p w:rsidR="007700F4" w:rsidRPr="002B7FCF" w:rsidRDefault="007700F4" w:rsidP="007700F4">
      <w:pPr>
        <w:jc w:val="left"/>
      </w:pPr>
      <w:r w:rsidRPr="002B7FCF">
        <w:rPr>
          <w:b/>
        </w:rPr>
        <w:tab/>
      </w:r>
      <w:r w:rsidRPr="002B7FCF">
        <w:rPr>
          <w:b/>
        </w:rPr>
        <w:tab/>
      </w:r>
      <w:r w:rsidRPr="002B7FCF">
        <w:t>THEREFORE,</w:t>
      </w:r>
    </w:p>
    <w:p w:rsidR="007700F4" w:rsidRPr="002B7FCF" w:rsidRDefault="007700F4" w:rsidP="007700F4">
      <w:pPr>
        <w:jc w:val="left"/>
      </w:pPr>
    </w:p>
    <w:p w:rsidR="007700F4" w:rsidRPr="002B7FCF" w:rsidRDefault="007700F4" w:rsidP="007700F4">
      <w:pPr>
        <w:jc w:val="left"/>
      </w:pPr>
      <w:r w:rsidRPr="002B7FCF">
        <w:tab/>
      </w:r>
      <w:r w:rsidRPr="002B7FCF">
        <w:tab/>
        <w:t>IT IS ORDERED:</w:t>
      </w:r>
    </w:p>
    <w:p w:rsidR="007700F4" w:rsidRPr="002B7FCF" w:rsidRDefault="007700F4" w:rsidP="007700F4">
      <w:pPr>
        <w:jc w:val="left"/>
      </w:pPr>
    </w:p>
    <w:p w:rsidR="003C6D04" w:rsidRPr="002B7FCF" w:rsidRDefault="007700F4" w:rsidP="003C6D04">
      <w:pPr>
        <w:jc w:val="left"/>
      </w:pPr>
      <w:r w:rsidRPr="002B7FCF">
        <w:rPr>
          <w:b/>
        </w:rPr>
        <w:tab/>
      </w:r>
      <w:r w:rsidRPr="002B7FCF">
        <w:rPr>
          <w:b/>
        </w:rPr>
        <w:tab/>
      </w:r>
      <w:r w:rsidR="00630DEC" w:rsidRPr="002B7FCF">
        <w:t>1.</w:t>
      </w:r>
      <w:r w:rsidR="00630DEC" w:rsidRPr="002B7FCF">
        <w:tab/>
        <w:t xml:space="preserve">That the copy of the lease provided by Complainant pursuant to the Order Directing Complainant to File an Exhibit, issued September 11, 2013, along with the accompanying letter dated September 28, </w:t>
      </w:r>
      <w:r w:rsidR="002C48A7">
        <w:t>2</w:t>
      </w:r>
      <w:r w:rsidR="00630DEC" w:rsidRPr="002B7FCF">
        <w:t>0</w:t>
      </w:r>
      <w:r w:rsidR="002C48A7">
        <w:t>1</w:t>
      </w:r>
      <w:r w:rsidR="00630DEC" w:rsidRPr="002B7FCF">
        <w:t>3, is admitted as Complainant's Exhibit 1.</w:t>
      </w:r>
    </w:p>
    <w:p w:rsidR="00630DEC" w:rsidRPr="002B7FCF" w:rsidRDefault="00630DEC" w:rsidP="003C6D04">
      <w:pPr>
        <w:jc w:val="left"/>
      </w:pPr>
    </w:p>
    <w:p w:rsidR="00630DEC" w:rsidRPr="002B7FCF" w:rsidRDefault="00630DEC" w:rsidP="003C6D04">
      <w:pPr>
        <w:jc w:val="left"/>
      </w:pPr>
      <w:r w:rsidRPr="002B7FCF">
        <w:tab/>
      </w:r>
      <w:r w:rsidRPr="002B7FCF">
        <w:tab/>
        <w:t>2.</w:t>
      </w:r>
      <w:r w:rsidRPr="002B7FCF">
        <w:tab/>
        <w:t>That the copy of the notarized statement signed by Shakiera Johnson dated August 28, 2013, is not admitted to the record.</w:t>
      </w:r>
    </w:p>
    <w:p w:rsidR="007700F4" w:rsidRPr="002B7FCF" w:rsidRDefault="007700F4" w:rsidP="003C6D04">
      <w:pPr>
        <w:jc w:val="left"/>
      </w:pPr>
    </w:p>
    <w:p w:rsidR="007700F4" w:rsidRPr="002B7FCF" w:rsidRDefault="007700F4" w:rsidP="003C6D04">
      <w:pPr>
        <w:jc w:val="left"/>
      </w:pPr>
      <w:r w:rsidRPr="002B7FCF">
        <w:tab/>
      </w:r>
      <w:r w:rsidRPr="002B7FCF">
        <w:tab/>
        <w:t>3.</w:t>
      </w:r>
      <w:r w:rsidRPr="002B7FCF">
        <w:tab/>
        <w:t>That the Complaint filed by Roman Maleszewski against Metropolitan Edison Company at Docket No. C-2013-2360862 is sustained.</w:t>
      </w:r>
    </w:p>
    <w:p w:rsidR="007700F4" w:rsidRPr="002B7FCF" w:rsidRDefault="007700F4" w:rsidP="003C6D04">
      <w:pPr>
        <w:jc w:val="left"/>
      </w:pPr>
    </w:p>
    <w:p w:rsidR="007700F4" w:rsidRPr="002B7FCF" w:rsidRDefault="007700F4" w:rsidP="003C6D04">
      <w:pPr>
        <w:jc w:val="left"/>
      </w:pPr>
      <w:r w:rsidRPr="002B7FCF">
        <w:tab/>
      </w:r>
      <w:r w:rsidRPr="002B7FCF">
        <w:tab/>
        <w:t>4.</w:t>
      </w:r>
      <w:r w:rsidRPr="002B7FCF">
        <w:tab/>
        <w:t>That Metropolitan Edison Company is directed to remove the amount of the usage from 532 Lehman Street, Second Floor, Lebanon Pennsylvania, from the bill of Roman Maleszewski.</w:t>
      </w:r>
    </w:p>
    <w:p w:rsidR="007700F4" w:rsidRPr="002B7FCF" w:rsidRDefault="007700F4" w:rsidP="003C6D04">
      <w:pPr>
        <w:jc w:val="left"/>
      </w:pPr>
    </w:p>
    <w:p w:rsidR="007700F4" w:rsidRPr="002B7FCF" w:rsidRDefault="007700F4" w:rsidP="003C6D04">
      <w:pPr>
        <w:jc w:val="left"/>
      </w:pPr>
      <w:r w:rsidRPr="002B7FCF">
        <w:tab/>
      </w:r>
      <w:r w:rsidRPr="002B7FCF">
        <w:tab/>
        <w:t>5.</w:t>
      </w:r>
      <w:r w:rsidRPr="002B7FCF">
        <w:tab/>
        <w:t>That the Secretary mark this docket closed.</w:t>
      </w:r>
    </w:p>
    <w:p w:rsidR="007700F4" w:rsidRPr="002B7FCF" w:rsidRDefault="007700F4" w:rsidP="003C6D04">
      <w:pPr>
        <w:jc w:val="left"/>
      </w:pPr>
    </w:p>
    <w:p w:rsidR="007700F4" w:rsidRPr="002B7FCF" w:rsidRDefault="007700F4" w:rsidP="003C6D04">
      <w:pPr>
        <w:jc w:val="left"/>
      </w:pPr>
    </w:p>
    <w:p w:rsidR="007700F4" w:rsidRPr="00360185" w:rsidRDefault="007700F4" w:rsidP="007700F4">
      <w:pPr>
        <w:spacing w:line="240" w:lineRule="auto"/>
        <w:jc w:val="left"/>
        <w:rPr>
          <w:u w:val="single"/>
        </w:rPr>
      </w:pPr>
      <w:r w:rsidRPr="002B7FCF">
        <w:t>Dated:</w:t>
      </w:r>
      <w:r w:rsidRPr="002B7FCF">
        <w:tab/>
      </w:r>
      <w:r w:rsidRPr="002B7FCF">
        <w:rPr>
          <w:u w:val="single"/>
        </w:rPr>
        <w:t>October 31, 2013</w:t>
      </w:r>
      <w:r w:rsidRPr="002B7FCF">
        <w:tab/>
      </w:r>
      <w:r w:rsidRPr="002B7FCF">
        <w:tab/>
      </w:r>
      <w:r w:rsidRPr="002B7FCF">
        <w:tab/>
      </w:r>
      <w:r w:rsidRPr="002B7FCF">
        <w:tab/>
      </w:r>
      <w:r w:rsidR="00360185">
        <w:rPr>
          <w:u w:val="single"/>
        </w:rPr>
        <w:tab/>
        <w:t>/s/</w:t>
      </w:r>
      <w:r w:rsidR="00360185">
        <w:rPr>
          <w:u w:val="single"/>
        </w:rPr>
        <w:tab/>
      </w:r>
      <w:r w:rsidR="00360185">
        <w:rPr>
          <w:u w:val="single"/>
        </w:rPr>
        <w:tab/>
      </w:r>
      <w:r w:rsidR="00360185">
        <w:rPr>
          <w:u w:val="single"/>
        </w:rPr>
        <w:tab/>
      </w:r>
      <w:r w:rsidR="00360185">
        <w:rPr>
          <w:u w:val="single"/>
        </w:rPr>
        <w:tab/>
      </w:r>
    </w:p>
    <w:p w:rsidR="007700F4" w:rsidRPr="002B7FCF" w:rsidRDefault="007700F4" w:rsidP="007700F4">
      <w:pPr>
        <w:spacing w:line="240" w:lineRule="auto"/>
        <w:jc w:val="left"/>
      </w:pPr>
      <w:r w:rsidRPr="002B7FCF">
        <w:tab/>
      </w:r>
      <w:r w:rsidRPr="002B7FCF">
        <w:tab/>
      </w:r>
      <w:r w:rsidRPr="002B7FCF">
        <w:tab/>
      </w:r>
      <w:r w:rsidRPr="002B7FCF">
        <w:tab/>
      </w:r>
      <w:r w:rsidRPr="002B7FCF">
        <w:tab/>
      </w:r>
      <w:r w:rsidRPr="002B7FCF">
        <w:tab/>
      </w:r>
      <w:r w:rsidRPr="002B7FCF">
        <w:tab/>
        <w:t>Susan D. Colwell</w:t>
      </w:r>
    </w:p>
    <w:p w:rsidR="007700F4" w:rsidRPr="002B7FCF" w:rsidRDefault="007700F4" w:rsidP="007700F4">
      <w:pPr>
        <w:spacing w:line="240" w:lineRule="auto"/>
        <w:jc w:val="left"/>
      </w:pPr>
      <w:r w:rsidRPr="002B7FCF">
        <w:tab/>
      </w:r>
      <w:r w:rsidRPr="002B7FCF">
        <w:tab/>
      </w:r>
      <w:r w:rsidRPr="002B7FCF">
        <w:tab/>
      </w:r>
      <w:r w:rsidRPr="002B7FCF">
        <w:tab/>
      </w:r>
      <w:r w:rsidRPr="002B7FCF">
        <w:tab/>
      </w:r>
      <w:r w:rsidRPr="002B7FCF">
        <w:tab/>
      </w:r>
      <w:r w:rsidRPr="002B7FCF">
        <w:tab/>
        <w:t>Administrative Law Judge</w:t>
      </w:r>
    </w:p>
    <w:p w:rsidR="00C04960" w:rsidRPr="002B7FCF" w:rsidRDefault="00C04960" w:rsidP="003C6D04">
      <w:pPr>
        <w:jc w:val="left"/>
      </w:pPr>
    </w:p>
    <w:sectPr w:rsidR="00C04960" w:rsidRPr="002B7FCF" w:rsidSect="007700F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176" w:rsidRDefault="00137176" w:rsidP="00630DEC">
      <w:pPr>
        <w:spacing w:line="240" w:lineRule="auto"/>
      </w:pPr>
      <w:r>
        <w:separator/>
      </w:r>
    </w:p>
  </w:endnote>
  <w:endnote w:type="continuationSeparator" w:id="0">
    <w:p w:rsidR="00137176" w:rsidRDefault="00137176" w:rsidP="00630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262309"/>
      <w:docPartObj>
        <w:docPartGallery w:val="Page Numbers (Bottom of Page)"/>
        <w:docPartUnique/>
      </w:docPartObj>
    </w:sdtPr>
    <w:sdtEndPr>
      <w:rPr>
        <w:noProof/>
        <w:sz w:val="20"/>
        <w:szCs w:val="20"/>
      </w:rPr>
    </w:sdtEndPr>
    <w:sdtContent>
      <w:p w:rsidR="007700F4" w:rsidRPr="00ED76C7" w:rsidRDefault="007700F4" w:rsidP="00ED76C7">
        <w:pPr>
          <w:pStyle w:val="Footer"/>
          <w:rPr>
            <w:sz w:val="20"/>
            <w:szCs w:val="20"/>
          </w:rPr>
        </w:pPr>
        <w:r w:rsidRPr="00ED76C7">
          <w:rPr>
            <w:sz w:val="20"/>
            <w:szCs w:val="20"/>
          </w:rPr>
          <w:fldChar w:fldCharType="begin"/>
        </w:r>
        <w:r w:rsidRPr="00ED76C7">
          <w:rPr>
            <w:sz w:val="20"/>
            <w:szCs w:val="20"/>
          </w:rPr>
          <w:instrText xml:space="preserve"> PAGE   \* MERGEFORMAT </w:instrText>
        </w:r>
        <w:r w:rsidRPr="00ED76C7">
          <w:rPr>
            <w:sz w:val="20"/>
            <w:szCs w:val="20"/>
          </w:rPr>
          <w:fldChar w:fldCharType="separate"/>
        </w:r>
        <w:r w:rsidR="00ED44DC">
          <w:rPr>
            <w:noProof/>
            <w:sz w:val="20"/>
            <w:szCs w:val="20"/>
          </w:rPr>
          <w:t>3</w:t>
        </w:r>
        <w:r w:rsidRPr="00ED76C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176" w:rsidRDefault="00137176" w:rsidP="00630DEC">
      <w:pPr>
        <w:spacing w:line="240" w:lineRule="auto"/>
      </w:pPr>
      <w:r>
        <w:separator/>
      </w:r>
    </w:p>
  </w:footnote>
  <w:footnote w:type="continuationSeparator" w:id="0">
    <w:p w:rsidR="00137176" w:rsidRDefault="00137176" w:rsidP="00630D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04"/>
    <w:rsid w:val="00001E3A"/>
    <w:rsid w:val="00001EF6"/>
    <w:rsid w:val="000028EA"/>
    <w:rsid w:val="00003D11"/>
    <w:rsid w:val="00004AA3"/>
    <w:rsid w:val="00005558"/>
    <w:rsid w:val="00005709"/>
    <w:rsid w:val="000079FE"/>
    <w:rsid w:val="00012104"/>
    <w:rsid w:val="00012655"/>
    <w:rsid w:val="0001305A"/>
    <w:rsid w:val="000155CD"/>
    <w:rsid w:val="00016E55"/>
    <w:rsid w:val="0002023D"/>
    <w:rsid w:val="00020760"/>
    <w:rsid w:val="0002105C"/>
    <w:rsid w:val="0002110E"/>
    <w:rsid w:val="00022B3F"/>
    <w:rsid w:val="00025D7A"/>
    <w:rsid w:val="000304BF"/>
    <w:rsid w:val="00032379"/>
    <w:rsid w:val="0003306B"/>
    <w:rsid w:val="00033303"/>
    <w:rsid w:val="000338CD"/>
    <w:rsid w:val="00035BB8"/>
    <w:rsid w:val="00036297"/>
    <w:rsid w:val="000372C5"/>
    <w:rsid w:val="00037484"/>
    <w:rsid w:val="000377F5"/>
    <w:rsid w:val="00037E0F"/>
    <w:rsid w:val="00040EB6"/>
    <w:rsid w:val="00040F2C"/>
    <w:rsid w:val="000438AD"/>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F17"/>
    <w:rsid w:val="00106EE8"/>
    <w:rsid w:val="001077F1"/>
    <w:rsid w:val="00113B1B"/>
    <w:rsid w:val="001155EF"/>
    <w:rsid w:val="00115AB9"/>
    <w:rsid w:val="00115BB6"/>
    <w:rsid w:val="00116578"/>
    <w:rsid w:val="001170B8"/>
    <w:rsid w:val="00117916"/>
    <w:rsid w:val="0012035F"/>
    <w:rsid w:val="00120D02"/>
    <w:rsid w:val="00120DE8"/>
    <w:rsid w:val="00121291"/>
    <w:rsid w:val="001219A5"/>
    <w:rsid w:val="0012343C"/>
    <w:rsid w:val="00124101"/>
    <w:rsid w:val="00124D49"/>
    <w:rsid w:val="00126739"/>
    <w:rsid w:val="0012770C"/>
    <w:rsid w:val="0013068D"/>
    <w:rsid w:val="00130A2C"/>
    <w:rsid w:val="00135526"/>
    <w:rsid w:val="00137176"/>
    <w:rsid w:val="00140273"/>
    <w:rsid w:val="0014105E"/>
    <w:rsid w:val="00143142"/>
    <w:rsid w:val="00143C25"/>
    <w:rsid w:val="00144D2D"/>
    <w:rsid w:val="00145327"/>
    <w:rsid w:val="00150084"/>
    <w:rsid w:val="00150BAA"/>
    <w:rsid w:val="00152794"/>
    <w:rsid w:val="00152FD8"/>
    <w:rsid w:val="00153204"/>
    <w:rsid w:val="001537E3"/>
    <w:rsid w:val="00153C39"/>
    <w:rsid w:val="00154F0C"/>
    <w:rsid w:val="0015569F"/>
    <w:rsid w:val="00155E87"/>
    <w:rsid w:val="0015737B"/>
    <w:rsid w:val="00157490"/>
    <w:rsid w:val="00157E46"/>
    <w:rsid w:val="00161215"/>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A92"/>
    <w:rsid w:val="00175F76"/>
    <w:rsid w:val="00176C44"/>
    <w:rsid w:val="00180909"/>
    <w:rsid w:val="00181AB1"/>
    <w:rsid w:val="001825A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279"/>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6C5"/>
    <w:rsid w:val="002131B7"/>
    <w:rsid w:val="00214371"/>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97A"/>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5BDB"/>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B7FCF"/>
    <w:rsid w:val="002C0694"/>
    <w:rsid w:val="002C1023"/>
    <w:rsid w:val="002C48A7"/>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380"/>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07B"/>
    <w:rsid w:val="003425CF"/>
    <w:rsid w:val="0034272B"/>
    <w:rsid w:val="00342BFE"/>
    <w:rsid w:val="00344C34"/>
    <w:rsid w:val="00345C65"/>
    <w:rsid w:val="00346679"/>
    <w:rsid w:val="003470E8"/>
    <w:rsid w:val="0035100D"/>
    <w:rsid w:val="003534EB"/>
    <w:rsid w:val="00354574"/>
    <w:rsid w:val="00354BD0"/>
    <w:rsid w:val="003550C3"/>
    <w:rsid w:val="00356988"/>
    <w:rsid w:val="00360185"/>
    <w:rsid w:val="003601E1"/>
    <w:rsid w:val="00360F5F"/>
    <w:rsid w:val="0036124A"/>
    <w:rsid w:val="0036153E"/>
    <w:rsid w:val="0036237C"/>
    <w:rsid w:val="003625F5"/>
    <w:rsid w:val="0036280B"/>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A77E6"/>
    <w:rsid w:val="003B2E77"/>
    <w:rsid w:val="003B3FDD"/>
    <w:rsid w:val="003B4D40"/>
    <w:rsid w:val="003B5D19"/>
    <w:rsid w:val="003B610B"/>
    <w:rsid w:val="003C2488"/>
    <w:rsid w:val="003C34F1"/>
    <w:rsid w:val="003C47E8"/>
    <w:rsid w:val="003C5102"/>
    <w:rsid w:val="003C5586"/>
    <w:rsid w:val="003C610C"/>
    <w:rsid w:val="003C6962"/>
    <w:rsid w:val="003C6D04"/>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6BF7"/>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3DAF"/>
    <w:rsid w:val="00484589"/>
    <w:rsid w:val="00484BCE"/>
    <w:rsid w:val="00487E8F"/>
    <w:rsid w:val="004903FD"/>
    <w:rsid w:val="00491F39"/>
    <w:rsid w:val="004938B5"/>
    <w:rsid w:val="00493AC3"/>
    <w:rsid w:val="0049422F"/>
    <w:rsid w:val="0049475D"/>
    <w:rsid w:val="00495161"/>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06"/>
    <w:rsid w:val="004E1B61"/>
    <w:rsid w:val="004E1FD5"/>
    <w:rsid w:val="004E23ED"/>
    <w:rsid w:val="004E429F"/>
    <w:rsid w:val="004E60E4"/>
    <w:rsid w:val="004E74A4"/>
    <w:rsid w:val="004F160A"/>
    <w:rsid w:val="004F2898"/>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BB5"/>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0988"/>
    <w:rsid w:val="00591696"/>
    <w:rsid w:val="00593FF1"/>
    <w:rsid w:val="00594648"/>
    <w:rsid w:val="00594E77"/>
    <w:rsid w:val="0059623B"/>
    <w:rsid w:val="00596D1D"/>
    <w:rsid w:val="005A1839"/>
    <w:rsid w:val="005A2923"/>
    <w:rsid w:val="005A3759"/>
    <w:rsid w:val="005A44D9"/>
    <w:rsid w:val="005A5826"/>
    <w:rsid w:val="005A6ADE"/>
    <w:rsid w:val="005B3D45"/>
    <w:rsid w:val="005B56B2"/>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0DEC"/>
    <w:rsid w:val="0063109E"/>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A28"/>
    <w:rsid w:val="00684EF6"/>
    <w:rsid w:val="006856E2"/>
    <w:rsid w:val="00690E46"/>
    <w:rsid w:val="00693743"/>
    <w:rsid w:val="00693796"/>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920"/>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4D93"/>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25AB"/>
    <w:rsid w:val="007631D1"/>
    <w:rsid w:val="007635AC"/>
    <w:rsid w:val="007700F4"/>
    <w:rsid w:val="00772458"/>
    <w:rsid w:val="00775812"/>
    <w:rsid w:val="00781AFB"/>
    <w:rsid w:val="00782461"/>
    <w:rsid w:val="0078261F"/>
    <w:rsid w:val="00783125"/>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3B06"/>
    <w:rsid w:val="007B1039"/>
    <w:rsid w:val="007B1644"/>
    <w:rsid w:val="007B33F8"/>
    <w:rsid w:val="007B3B6F"/>
    <w:rsid w:val="007B3F3D"/>
    <w:rsid w:val="007B413B"/>
    <w:rsid w:val="007B4FD7"/>
    <w:rsid w:val="007B52FC"/>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3E8"/>
    <w:rsid w:val="008047DD"/>
    <w:rsid w:val="0080611B"/>
    <w:rsid w:val="00806213"/>
    <w:rsid w:val="00811E75"/>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615D"/>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E5E"/>
    <w:rsid w:val="008A51AD"/>
    <w:rsid w:val="008B2982"/>
    <w:rsid w:val="008B2F05"/>
    <w:rsid w:val="008B3131"/>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1376"/>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4DCB"/>
    <w:rsid w:val="00997443"/>
    <w:rsid w:val="009A039F"/>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63F0"/>
    <w:rsid w:val="009F1AEE"/>
    <w:rsid w:val="009F1DB1"/>
    <w:rsid w:val="009F1EA5"/>
    <w:rsid w:val="009F439C"/>
    <w:rsid w:val="009F5E68"/>
    <w:rsid w:val="009F69E5"/>
    <w:rsid w:val="009F7476"/>
    <w:rsid w:val="009F768D"/>
    <w:rsid w:val="00A00F26"/>
    <w:rsid w:val="00A018F7"/>
    <w:rsid w:val="00A02ABC"/>
    <w:rsid w:val="00A039B4"/>
    <w:rsid w:val="00A0555A"/>
    <w:rsid w:val="00A063F2"/>
    <w:rsid w:val="00A0799C"/>
    <w:rsid w:val="00A07D8F"/>
    <w:rsid w:val="00A11370"/>
    <w:rsid w:val="00A12531"/>
    <w:rsid w:val="00A13C95"/>
    <w:rsid w:val="00A15615"/>
    <w:rsid w:val="00A1707A"/>
    <w:rsid w:val="00A20E96"/>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43B"/>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43D"/>
    <w:rsid w:val="00AF3F64"/>
    <w:rsid w:val="00AF40CA"/>
    <w:rsid w:val="00AF4C64"/>
    <w:rsid w:val="00AF70FF"/>
    <w:rsid w:val="00B01BE5"/>
    <w:rsid w:val="00B02385"/>
    <w:rsid w:val="00B03878"/>
    <w:rsid w:val="00B06DDF"/>
    <w:rsid w:val="00B07809"/>
    <w:rsid w:val="00B079A5"/>
    <w:rsid w:val="00B11C89"/>
    <w:rsid w:val="00B12930"/>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37D66"/>
    <w:rsid w:val="00B41FA0"/>
    <w:rsid w:val="00B42826"/>
    <w:rsid w:val="00B430FA"/>
    <w:rsid w:val="00B43982"/>
    <w:rsid w:val="00B459AF"/>
    <w:rsid w:val="00B475B6"/>
    <w:rsid w:val="00B55869"/>
    <w:rsid w:val="00B55DD1"/>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B1C"/>
    <w:rsid w:val="00B93D8F"/>
    <w:rsid w:val="00B96A32"/>
    <w:rsid w:val="00B9799D"/>
    <w:rsid w:val="00BA1322"/>
    <w:rsid w:val="00BA25FD"/>
    <w:rsid w:val="00BA2D85"/>
    <w:rsid w:val="00BA3AA7"/>
    <w:rsid w:val="00BA3C3F"/>
    <w:rsid w:val="00BA5CEA"/>
    <w:rsid w:val="00BA690D"/>
    <w:rsid w:val="00BA7612"/>
    <w:rsid w:val="00BB05BB"/>
    <w:rsid w:val="00BB1D36"/>
    <w:rsid w:val="00BB3631"/>
    <w:rsid w:val="00BB3FF6"/>
    <w:rsid w:val="00BB4891"/>
    <w:rsid w:val="00BB5630"/>
    <w:rsid w:val="00BB6BE1"/>
    <w:rsid w:val="00BC392E"/>
    <w:rsid w:val="00BC5B50"/>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1D9D"/>
    <w:rsid w:val="00C22BE6"/>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4E6A"/>
    <w:rsid w:val="00C65047"/>
    <w:rsid w:val="00C653CC"/>
    <w:rsid w:val="00C665D4"/>
    <w:rsid w:val="00C67E56"/>
    <w:rsid w:val="00C73CE1"/>
    <w:rsid w:val="00C74775"/>
    <w:rsid w:val="00C76F9B"/>
    <w:rsid w:val="00C77064"/>
    <w:rsid w:val="00C77BB2"/>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A8F"/>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37B"/>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5F9E"/>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1AF"/>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224"/>
    <w:rsid w:val="00D90E7B"/>
    <w:rsid w:val="00D91EDC"/>
    <w:rsid w:val="00D92D94"/>
    <w:rsid w:val="00D94CE4"/>
    <w:rsid w:val="00D95A30"/>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87E"/>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5474"/>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371"/>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5E05"/>
    <w:rsid w:val="00EB7A35"/>
    <w:rsid w:val="00EC027A"/>
    <w:rsid w:val="00EC05B4"/>
    <w:rsid w:val="00EC074E"/>
    <w:rsid w:val="00EC0B10"/>
    <w:rsid w:val="00EC33EA"/>
    <w:rsid w:val="00EC41C2"/>
    <w:rsid w:val="00EC4E71"/>
    <w:rsid w:val="00EC62F1"/>
    <w:rsid w:val="00EC6D41"/>
    <w:rsid w:val="00EC79CA"/>
    <w:rsid w:val="00ED03A3"/>
    <w:rsid w:val="00ED0AA7"/>
    <w:rsid w:val="00ED1AE6"/>
    <w:rsid w:val="00ED2F8A"/>
    <w:rsid w:val="00ED44DC"/>
    <w:rsid w:val="00ED58AF"/>
    <w:rsid w:val="00ED7658"/>
    <w:rsid w:val="00ED76C7"/>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5D4B"/>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6599"/>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61E3"/>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D2A"/>
    <w:rsid w:val="00FE263F"/>
    <w:rsid w:val="00FE486C"/>
    <w:rsid w:val="00FE4BFD"/>
    <w:rsid w:val="00FE532A"/>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0DEC"/>
    <w:pPr>
      <w:spacing w:line="240" w:lineRule="auto"/>
    </w:pPr>
    <w:rPr>
      <w:sz w:val="20"/>
      <w:szCs w:val="20"/>
    </w:rPr>
  </w:style>
  <w:style w:type="character" w:customStyle="1" w:styleId="FootnoteTextChar">
    <w:name w:val="Footnote Text Char"/>
    <w:basedOn w:val="DefaultParagraphFont"/>
    <w:link w:val="FootnoteText"/>
    <w:uiPriority w:val="99"/>
    <w:semiHidden/>
    <w:rsid w:val="00630DEC"/>
    <w:rPr>
      <w:sz w:val="20"/>
      <w:szCs w:val="20"/>
    </w:rPr>
  </w:style>
  <w:style w:type="character" w:styleId="FootnoteReference">
    <w:name w:val="footnote reference"/>
    <w:basedOn w:val="DefaultParagraphFont"/>
    <w:uiPriority w:val="99"/>
    <w:semiHidden/>
    <w:unhideWhenUsed/>
    <w:rsid w:val="00630DEC"/>
    <w:rPr>
      <w:vertAlign w:val="superscript"/>
    </w:rPr>
  </w:style>
  <w:style w:type="paragraph" w:styleId="Header">
    <w:name w:val="header"/>
    <w:basedOn w:val="Normal"/>
    <w:link w:val="HeaderChar"/>
    <w:uiPriority w:val="99"/>
    <w:unhideWhenUsed/>
    <w:rsid w:val="007700F4"/>
    <w:pPr>
      <w:tabs>
        <w:tab w:val="center" w:pos="4680"/>
        <w:tab w:val="right" w:pos="9360"/>
      </w:tabs>
      <w:spacing w:line="240" w:lineRule="auto"/>
    </w:pPr>
  </w:style>
  <w:style w:type="character" w:customStyle="1" w:styleId="HeaderChar">
    <w:name w:val="Header Char"/>
    <w:basedOn w:val="DefaultParagraphFont"/>
    <w:link w:val="Header"/>
    <w:uiPriority w:val="99"/>
    <w:rsid w:val="007700F4"/>
  </w:style>
  <w:style w:type="paragraph" w:styleId="Footer">
    <w:name w:val="footer"/>
    <w:basedOn w:val="Normal"/>
    <w:link w:val="FooterChar"/>
    <w:uiPriority w:val="99"/>
    <w:unhideWhenUsed/>
    <w:rsid w:val="007700F4"/>
    <w:pPr>
      <w:tabs>
        <w:tab w:val="center" w:pos="4680"/>
        <w:tab w:val="right" w:pos="9360"/>
      </w:tabs>
      <w:spacing w:line="240" w:lineRule="auto"/>
    </w:pPr>
  </w:style>
  <w:style w:type="character" w:customStyle="1" w:styleId="FooterChar">
    <w:name w:val="Footer Char"/>
    <w:basedOn w:val="DefaultParagraphFont"/>
    <w:link w:val="Footer"/>
    <w:uiPriority w:val="99"/>
    <w:rsid w:val="007700F4"/>
  </w:style>
  <w:style w:type="paragraph" w:styleId="BalloonText">
    <w:name w:val="Balloon Text"/>
    <w:basedOn w:val="Normal"/>
    <w:link w:val="BalloonTextChar"/>
    <w:uiPriority w:val="99"/>
    <w:semiHidden/>
    <w:unhideWhenUsed/>
    <w:rsid w:val="004903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0DEC"/>
    <w:pPr>
      <w:spacing w:line="240" w:lineRule="auto"/>
    </w:pPr>
    <w:rPr>
      <w:sz w:val="20"/>
      <w:szCs w:val="20"/>
    </w:rPr>
  </w:style>
  <w:style w:type="character" w:customStyle="1" w:styleId="FootnoteTextChar">
    <w:name w:val="Footnote Text Char"/>
    <w:basedOn w:val="DefaultParagraphFont"/>
    <w:link w:val="FootnoteText"/>
    <w:uiPriority w:val="99"/>
    <w:semiHidden/>
    <w:rsid w:val="00630DEC"/>
    <w:rPr>
      <w:sz w:val="20"/>
      <w:szCs w:val="20"/>
    </w:rPr>
  </w:style>
  <w:style w:type="character" w:styleId="FootnoteReference">
    <w:name w:val="footnote reference"/>
    <w:basedOn w:val="DefaultParagraphFont"/>
    <w:uiPriority w:val="99"/>
    <w:semiHidden/>
    <w:unhideWhenUsed/>
    <w:rsid w:val="00630DEC"/>
    <w:rPr>
      <w:vertAlign w:val="superscript"/>
    </w:rPr>
  </w:style>
  <w:style w:type="paragraph" w:styleId="Header">
    <w:name w:val="header"/>
    <w:basedOn w:val="Normal"/>
    <w:link w:val="HeaderChar"/>
    <w:uiPriority w:val="99"/>
    <w:unhideWhenUsed/>
    <w:rsid w:val="007700F4"/>
    <w:pPr>
      <w:tabs>
        <w:tab w:val="center" w:pos="4680"/>
        <w:tab w:val="right" w:pos="9360"/>
      </w:tabs>
      <w:spacing w:line="240" w:lineRule="auto"/>
    </w:pPr>
  </w:style>
  <w:style w:type="character" w:customStyle="1" w:styleId="HeaderChar">
    <w:name w:val="Header Char"/>
    <w:basedOn w:val="DefaultParagraphFont"/>
    <w:link w:val="Header"/>
    <w:uiPriority w:val="99"/>
    <w:rsid w:val="007700F4"/>
  </w:style>
  <w:style w:type="paragraph" w:styleId="Footer">
    <w:name w:val="footer"/>
    <w:basedOn w:val="Normal"/>
    <w:link w:val="FooterChar"/>
    <w:uiPriority w:val="99"/>
    <w:unhideWhenUsed/>
    <w:rsid w:val="007700F4"/>
    <w:pPr>
      <w:tabs>
        <w:tab w:val="center" w:pos="4680"/>
        <w:tab w:val="right" w:pos="9360"/>
      </w:tabs>
      <w:spacing w:line="240" w:lineRule="auto"/>
    </w:pPr>
  </w:style>
  <w:style w:type="character" w:customStyle="1" w:styleId="FooterChar">
    <w:name w:val="Footer Char"/>
    <w:basedOn w:val="DefaultParagraphFont"/>
    <w:link w:val="Footer"/>
    <w:uiPriority w:val="99"/>
    <w:rsid w:val="007700F4"/>
  </w:style>
  <w:style w:type="paragraph" w:styleId="BalloonText">
    <w:name w:val="Balloon Text"/>
    <w:basedOn w:val="Normal"/>
    <w:link w:val="BalloonTextChar"/>
    <w:uiPriority w:val="99"/>
    <w:semiHidden/>
    <w:unhideWhenUsed/>
    <w:rsid w:val="004903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F09D-2F13-421F-996D-520481C0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2013-11-01T14:30:00Z</cp:lastPrinted>
  <dcterms:created xsi:type="dcterms:W3CDTF">2013-11-06T16:40:00Z</dcterms:created>
  <dcterms:modified xsi:type="dcterms:W3CDTF">2013-11-06T18:41:00Z</dcterms:modified>
</cp:coreProperties>
</file>