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CF" w:rsidRDefault="004815A0" w:rsidP="009B0ACF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BEFORE THE</w:t>
      </w:r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</w:rPr>
        <w:fldChar w:fldCharType="end"/>
      </w:r>
    </w:p>
    <w:p w:rsidR="004815A0" w:rsidRPr="009B0ACF" w:rsidRDefault="004815A0" w:rsidP="009B0ACF">
      <w:pPr>
        <w:tabs>
          <w:tab w:val="center" w:pos="4680"/>
        </w:tabs>
        <w:suppressAutoHyphens/>
        <w:jc w:val="center"/>
        <w:rPr>
          <w:b/>
          <w:spacing w:val="-3"/>
        </w:rPr>
      </w:pPr>
      <w:r w:rsidRPr="00180E60">
        <w:rPr>
          <w:b/>
          <w:spacing w:val="-3"/>
          <w:szCs w:val="24"/>
        </w:rPr>
        <w:t>PENNSYLVANIA</w:t>
      </w:r>
      <w:r>
        <w:rPr>
          <w:b/>
          <w:spacing w:val="-3"/>
        </w:rPr>
        <w:t xml:space="preserve"> PUBLIC UTILITY COMMISSION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p w:rsidR="009B0ACF" w:rsidRDefault="009B0ACF">
      <w:pPr>
        <w:tabs>
          <w:tab w:val="left" w:pos="-720"/>
        </w:tabs>
        <w:suppressAutoHyphens/>
        <w:jc w:val="both"/>
        <w:rPr>
          <w:spacing w:val="-3"/>
        </w:rPr>
      </w:pPr>
    </w:p>
    <w:p w:rsidR="004815A0" w:rsidRDefault="009B0AC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Tyrone Gibbs, FS-7093</w:t>
      </w:r>
      <w:r w:rsidR="00D5786B">
        <w:rPr>
          <w:spacing w:val="-3"/>
        </w:rPr>
        <w:tab/>
      </w:r>
      <w:r w:rsidR="005D7EFC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4815A0">
        <w:rPr>
          <w:spacing w:val="-3"/>
        </w:rPr>
        <w:t>: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9B0ACF">
        <w:rPr>
          <w:spacing w:val="-3"/>
        </w:rPr>
        <w:tab/>
      </w:r>
      <w:r>
        <w:rPr>
          <w:spacing w:val="-3"/>
        </w:rPr>
        <w:t>: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v.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D5786B">
        <w:rPr>
          <w:spacing w:val="-3"/>
        </w:rPr>
        <w:tab/>
      </w:r>
      <w:r w:rsidR="009B0ACF">
        <w:rPr>
          <w:spacing w:val="-3"/>
        </w:rPr>
        <w:tab/>
        <w:t>:</w:t>
      </w:r>
      <w:r w:rsidR="009B0ACF">
        <w:rPr>
          <w:spacing w:val="-3"/>
        </w:rPr>
        <w:tab/>
        <w:t>Docket No. C-2013-2358084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9B0ACF">
        <w:rPr>
          <w:spacing w:val="-3"/>
        </w:rPr>
        <w:tab/>
      </w:r>
      <w:r>
        <w:rPr>
          <w:spacing w:val="-3"/>
        </w:rPr>
        <w:t>:</w:t>
      </w:r>
    </w:p>
    <w:p w:rsidR="001F3664" w:rsidRDefault="009B0ACF" w:rsidP="009B0AC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Global Tel Link Corporation</w:t>
      </w:r>
      <w:r w:rsidR="00D5786B">
        <w:rPr>
          <w:spacing w:val="-3"/>
        </w:rPr>
        <w:tab/>
      </w:r>
      <w:r w:rsidR="001F3664">
        <w:rPr>
          <w:spacing w:val="-3"/>
        </w:rPr>
        <w:tab/>
      </w:r>
      <w:r w:rsidR="004815A0">
        <w:rPr>
          <w:spacing w:val="-3"/>
        </w:rPr>
        <w:tab/>
      </w:r>
      <w:r>
        <w:rPr>
          <w:spacing w:val="-3"/>
        </w:rPr>
        <w:tab/>
      </w:r>
      <w:r w:rsidR="004815A0">
        <w:rPr>
          <w:spacing w:val="-3"/>
        </w:rPr>
        <w:t>:</w:t>
      </w: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:rsidR="009B0ACF" w:rsidRDefault="004815A0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972257" w:rsidRPr="00972257" w:rsidRDefault="00972257" w:rsidP="00972257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Cs w:val="24"/>
        </w:rPr>
      </w:pPr>
      <w:r w:rsidRPr="00972257">
        <w:rPr>
          <w:b/>
          <w:bCs/>
          <w:spacing w:val="-3"/>
          <w:szCs w:val="24"/>
          <w:u w:val="single"/>
        </w:rPr>
        <w:t xml:space="preserve">ORDER GRANTING A </w:t>
      </w:r>
      <w:r w:rsidR="007F2AD4">
        <w:rPr>
          <w:b/>
          <w:bCs/>
          <w:spacing w:val="-3"/>
          <w:szCs w:val="24"/>
          <w:u w:val="single"/>
        </w:rPr>
        <w:t xml:space="preserve">SECOND </w:t>
      </w:r>
      <w:r w:rsidRPr="00972257">
        <w:rPr>
          <w:b/>
          <w:bCs/>
          <w:spacing w:val="-3"/>
          <w:szCs w:val="24"/>
          <w:u w:val="single"/>
        </w:rPr>
        <w:t>CONTINUANCE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  <w:szCs w:val="24"/>
        </w:rPr>
      </w:pP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  <w:szCs w:val="24"/>
        </w:rPr>
      </w:pPr>
    </w:p>
    <w:p w:rsidR="00CC5E0D" w:rsidRDefault="00972257" w:rsidP="00972257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  <w:t xml:space="preserve">A </w:t>
      </w:r>
      <w:r w:rsidR="00F362D4">
        <w:rPr>
          <w:szCs w:val="24"/>
        </w:rPr>
        <w:t xml:space="preserve">Further </w:t>
      </w:r>
      <w:r w:rsidR="008A2077">
        <w:rPr>
          <w:szCs w:val="24"/>
        </w:rPr>
        <w:t>Telephonic</w:t>
      </w:r>
      <w:r w:rsidRPr="00972257">
        <w:rPr>
          <w:szCs w:val="24"/>
        </w:rPr>
        <w:t xml:space="preserve"> Hearing in </w:t>
      </w:r>
      <w:r w:rsidR="00F362D4">
        <w:rPr>
          <w:szCs w:val="24"/>
        </w:rPr>
        <w:t>this case is scheduled for Frid</w:t>
      </w:r>
      <w:r w:rsidRPr="00972257">
        <w:rPr>
          <w:szCs w:val="24"/>
        </w:rPr>
        <w:t xml:space="preserve">ay, </w:t>
      </w:r>
      <w:r w:rsidR="00F362D4">
        <w:rPr>
          <w:szCs w:val="24"/>
        </w:rPr>
        <w:t>November 15, 2013</w:t>
      </w:r>
      <w:r w:rsidRPr="00972257">
        <w:rPr>
          <w:szCs w:val="24"/>
        </w:rPr>
        <w:t xml:space="preserve">, at 10:00 a.m.  On </w:t>
      </w:r>
      <w:r w:rsidR="00F362D4">
        <w:rPr>
          <w:szCs w:val="24"/>
        </w:rPr>
        <w:t xml:space="preserve">Thursday, November 7, 2013, </w:t>
      </w:r>
      <w:r w:rsidRPr="00972257">
        <w:rPr>
          <w:szCs w:val="24"/>
        </w:rPr>
        <w:t xml:space="preserve">I received a </w:t>
      </w:r>
      <w:r w:rsidR="00F362D4">
        <w:rPr>
          <w:szCs w:val="24"/>
        </w:rPr>
        <w:t xml:space="preserve">request from Respondent’s counsel </w:t>
      </w:r>
      <w:r w:rsidR="00CC5E0D">
        <w:rPr>
          <w:szCs w:val="24"/>
        </w:rPr>
        <w:t xml:space="preserve">Edward Lanza, Esquire, </w:t>
      </w:r>
      <w:r w:rsidR="00F362D4">
        <w:rPr>
          <w:szCs w:val="24"/>
        </w:rPr>
        <w:t xml:space="preserve">for a continuance </w:t>
      </w:r>
      <w:r w:rsidR="008A2077">
        <w:rPr>
          <w:szCs w:val="24"/>
        </w:rPr>
        <w:t xml:space="preserve">of the </w:t>
      </w:r>
      <w:r w:rsidR="00F362D4">
        <w:rPr>
          <w:szCs w:val="24"/>
        </w:rPr>
        <w:t>November 15, 2013</w:t>
      </w:r>
      <w:r w:rsidR="008A2077">
        <w:rPr>
          <w:szCs w:val="24"/>
        </w:rPr>
        <w:t>, hearing.</w:t>
      </w:r>
      <w:r w:rsidR="00B36F42">
        <w:rPr>
          <w:szCs w:val="24"/>
        </w:rPr>
        <w:t xml:space="preserve">  </w:t>
      </w:r>
      <w:r w:rsidR="00F362D4">
        <w:rPr>
          <w:szCs w:val="24"/>
        </w:rPr>
        <w:t>Respondent’s</w:t>
      </w:r>
      <w:r w:rsidR="00B36F42" w:rsidRPr="00972257">
        <w:rPr>
          <w:szCs w:val="24"/>
        </w:rPr>
        <w:t xml:space="preserve"> </w:t>
      </w:r>
      <w:r w:rsidR="00F362D4">
        <w:rPr>
          <w:szCs w:val="24"/>
        </w:rPr>
        <w:t xml:space="preserve">counsel indicated that he would be out of the country on another matter and would be unable to call in to participate in the telephonic hearing.  </w:t>
      </w:r>
    </w:p>
    <w:p w:rsidR="00CC5E0D" w:rsidRDefault="00CC5E0D" w:rsidP="00972257">
      <w:pPr>
        <w:autoSpaceDE w:val="0"/>
        <w:autoSpaceDN w:val="0"/>
        <w:spacing w:line="360" w:lineRule="auto"/>
        <w:rPr>
          <w:szCs w:val="24"/>
        </w:rPr>
      </w:pPr>
    </w:p>
    <w:p w:rsidR="00AA1EDE" w:rsidRDefault="00CC5E0D" w:rsidP="00972257">
      <w:pPr>
        <w:autoSpaceDE w:val="0"/>
        <w:autoSpaceDN w:val="0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36F42">
        <w:rPr>
          <w:szCs w:val="24"/>
        </w:rPr>
        <w:t>Upon receipt of th</w:t>
      </w:r>
      <w:r>
        <w:rPr>
          <w:szCs w:val="24"/>
        </w:rPr>
        <w:t>e continuance request</w:t>
      </w:r>
      <w:r w:rsidR="00B36F42">
        <w:rPr>
          <w:szCs w:val="24"/>
        </w:rPr>
        <w:t xml:space="preserve">, I </w:t>
      </w:r>
      <w:r w:rsidR="00F362D4">
        <w:rPr>
          <w:szCs w:val="24"/>
        </w:rPr>
        <w:t>sent a letter to the Complainant requesting his position as to the continuance</w:t>
      </w:r>
      <w:r w:rsidR="00AD6958">
        <w:rPr>
          <w:szCs w:val="24"/>
        </w:rPr>
        <w:t xml:space="preserve">.  Given </w:t>
      </w:r>
      <w:r w:rsidR="00F362D4">
        <w:rPr>
          <w:szCs w:val="24"/>
        </w:rPr>
        <w:t>the time constraints involving first class mail</w:t>
      </w:r>
      <w:r>
        <w:rPr>
          <w:szCs w:val="24"/>
        </w:rPr>
        <w:t xml:space="preserve">, </w:t>
      </w:r>
      <w:r w:rsidR="00AD6958">
        <w:rPr>
          <w:szCs w:val="24"/>
        </w:rPr>
        <w:t xml:space="preserve">I </w:t>
      </w:r>
      <w:r>
        <w:rPr>
          <w:szCs w:val="24"/>
        </w:rPr>
        <w:t>had not received a response from</w:t>
      </w:r>
      <w:r w:rsidR="00F362D4">
        <w:rPr>
          <w:szCs w:val="24"/>
        </w:rPr>
        <w:t xml:space="preserve"> Complainant by the date of this Order.  </w:t>
      </w:r>
      <w:r w:rsidR="00AD6958">
        <w:rPr>
          <w:szCs w:val="24"/>
        </w:rPr>
        <w:t xml:space="preserve">However, </w:t>
      </w:r>
      <w:r w:rsidR="00F362D4">
        <w:rPr>
          <w:szCs w:val="24"/>
        </w:rPr>
        <w:t>I indicated</w:t>
      </w:r>
      <w:r>
        <w:rPr>
          <w:szCs w:val="24"/>
        </w:rPr>
        <w:t xml:space="preserve"> in the letter </w:t>
      </w:r>
      <w:r w:rsidR="00F362D4">
        <w:rPr>
          <w:szCs w:val="24"/>
        </w:rPr>
        <w:t xml:space="preserve">to Complainant that, unless he heard otherwise, he should assume that I would grant the Respondent </w:t>
      </w:r>
      <w:r>
        <w:rPr>
          <w:szCs w:val="24"/>
        </w:rPr>
        <w:t xml:space="preserve">its first requested continuance.  </w:t>
      </w:r>
    </w:p>
    <w:p w:rsidR="00AA1EDE" w:rsidRDefault="00AA1EDE" w:rsidP="00972257">
      <w:pPr>
        <w:autoSpaceDE w:val="0"/>
        <w:autoSpaceDN w:val="0"/>
        <w:spacing w:line="360" w:lineRule="auto"/>
        <w:rPr>
          <w:szCs w:val="24"/>
        </w:rPr>
      </w:pPr>
    </w:p>
    <w:p w:rsidR="00CC5E0D" w:rsidRDefault="00AA1EDE" w:rsidP="00972257">
      <w:pPr>
        <w:autoSpaceDE w:val="0"/>
        <w:autoSpaceDN w:val="0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F2669">
        <w:rPr>
          <w:szCs w:val="24"/>
        </w:rPr>
        <w:t xml:space="preserve">I also inquired of Mr. Lanza as to whether </w:t>
      </w:r>
      <w:r>
        <w:rPr>
          <w:szCs w:val="24"/>
        </w:rPr>
        <w:t>Respondent’s in-house counsel</w:t>
      </w:r>
      <w:r w:rsidR="00CC5E0D">
        <w:rPr>
          <w:szCs w:val="24"/>
        </w:rPr>
        <w:t xml:space="preserve">, Kevin Lefton, Esquire, who was admitted pro hac vice for purposes of this proceeding, could handle the hearing.  </w:t>
      </w:r>
      <w:r w:rsidR="001F2669">
        <w:rPr>
          <w:szCs w:val="24"/>
        </w:rPr>
        <w:t>Counsel</w:t>
      </w:r>
      <w:r w:rsidR="00CC5E0D">
        <w:rPr>
          <w:szCs w:val="24"/>
        </w:rPr>
        <w:t xml:space="preserve"> responded that Respondent wanted Mr. Lanza to handle the hearing due to his familiarity</w:t>
      </w:r>
      <w:r>
        <w:rPr>
          <w:szCs w:val="24"/>
        </w:rPr>
        <w:t xml:space="preserve"> </w:t>
      </w:r>
      <w:r w:rsidR="001F2669">
        <w:rPr>
          <w:szCs w:val="24"/>
        </w:rPr>
        <w:t xml:space="preserve">with </w:t>
      </w:r>
      <w:r>
        <w:rPr>
          <w:szCs w:val="24"/>
        </w:rPr>
        <w:t xml:space="preserve">the rules and regulations of the Public Utility Commission </w:t>
      </w:r>
      <w:r w:rsidR="001F2669">
        <w:rPr>
          <w:szCs w:val="24"/>
        </w:rPr>
        <w:t>(</w:t>
      </w:r>
      <w:r>
        <w:rPr>
          <w:szCs w:val="24"/>
        </w:rPr>
        <w:t>Commission) and the Pennsylvania Rules of Evidence.</w:t>
      </w:r>
    </w:p>
    <w:p w:rsidR="00972257" w:rsidRPr="00972257" w:rsidRDefault="008A2077" w:rsidP="00972257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zCs w:val="24"/>
        </w:rPr>
        <w:t xml:space="preserve"> </w:t>
      </w:r>
    </w:p>
    <w:p w:rsidR="00972257" w:rsidRDefault="00972257" w:rsidP="00B36F42">
      <w:pPr>
        <w:autoSpaceDE w:val="0"/>
        <w:autoSpaceDN w:val="0"/>
        <w:spacing w:line="360" w:lineRule="auto"/>
        <w:rPr>
          <w:spacing w:val="-3"/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pacing w:val="-3"/>
          <w:szCs w:val="24"/>
        </w:rPr>
        <w:t xml:space="preserve">The standard for granting a continuance, as set forth in 52 Pa. Code §1.15(b), is that good cause must be shown.  I conclude that good cause has been shown to grant the </w:t>
      </w:r>
      <w:r w:rsidR="00CC5E0D">
        <w:rPr>
          <w:spacing w:val="-3"/>
          <w:szCs w:val="24"/>
        </w:rPr>
        <w:t xml:space="preserve">Respondent </w:t>
      </w:r>
      <w:r w:rsidR="00B36F42">
        <w:rPr>
          <w:spacing w:val="-3"/>
          <w:szCs w:val="24"/>
        </w:rPr>
        <w:lastRenderedPageBreak/>
        <w:t xml:space="preserve">one </w:t>
      </w:r>
      <w:r w:rsidRPr="00972257">
        <w:rPr>
          <w:spacing w:val="-3"/>
          <w:szCs w:val="24"/>
        </w:rPr>
        <w:t xml:space="preserve">continuance </w:t>
      </w:r>
      <w:r w:rsidR="00CC5E0D">
        <w:rPr>
          <w:spacing w:val="-3"/>
          <w:szCs w:val="24"/>
        </w:rPr>
        <w:t xml:space="preserve">as its </w:t>
      </w:r>
      <w:r w:rsidR="00AA1EDE">
        <w:rPr>
          <w:spacing w:val="-3"/>
          <w:szCs w:val="24"/>
        </w:rPr>
        <w:t xml:space="preserve">counsel </w:t>
      </w:r>
      <w:r w:rsidR="001F2669">
        <w:rPr>
          <w:spacing w:val="-3"/>
          <w:szCs w:val="24"/>
        </w:rPr>
        <w:t xml:space="preserve">handling the hearing </w:t>
      </w:r>
      <w:r w:rsidR="00AA1EDE">
        <w:rPr>
          <w:spacing w:val="-3"/>
          <w:szCs w:val="24"/>
        </w:rPr>
        <w:t>will be unavailable for the scheduled hearing on November 15, 2013</w:t>
      </w:r>
      <w:r w:rsidR="00530CA7">
        <w:rPr>
          <w:spacing w:val="-3"/>
          <w:szCs w:val="24"/>
        </w:rPr>
        <w:t>.</w:t>
      </w:r>
      <w:r w:rsidRPr="00972257">
        <w:rPr>
          <w:spacing w:val="-3"/>
          <w:szCs w:val="24"/>
        </w:rPr>
        <w:t xml:space="preserve">  However, </w:t>
      </w:r>
      <w:r w:rsidR="00453BFB">
        <w:rPr>
          <w:spacing w:val="-3"/>
          <w:szCs w:val="24"/>
        </w:rPr>
        <w:t>additional</w:t>
      </w:r>
      <w:r w:rsidR="00AA1EDE">
        <w:rPr>
          <w:spacing w:val="-3"/>
          <w:szCs w:val="24"/>
        </w:rPr>
        <w:t xml:space="preserve"> continuances </w:t>
      </w:r>
      <w:r w:rsidR="00530CA7">
        <w:rPr>
          <w:spacing w:val="-3"/>
          <w:szCs w:val="24"/>
        </w:rPr>
        <w:t>may n</w:t>
      </w:r>
      <w:r w:rsidR="00AA1EDE">
        <w:rPr>
          <w:spacing w:val="-3"/>
          <w:szCs w:val="24"/>
        </w:rPr>
        <w:t>ot be granted</w:t>
      </w:r>
      <w:r w:rsidR="00530CA7">
        <w:rPr>
          <w:spacing w:val="-3"/>
          <w:szCs w:val="24"/>
        </w:rPr>
        <w:t>, and the parties must be ready to proceed at the next scheduled hearing.</w:t>
      </w:r>
      <w:r w:rsidR="00532D28">
        <w:rPr>
          <w:spacing w:val="-3"/>
          <w:szCs w:val="24"/>
        </w:rPr>
        <w:t xml:space="preserve">  Complainant provided information to me about scheduling the next hearing at a conference room </w:t>
      </w:r>
      <w:r w:rsidR="001F2669">
        <w:rPr>
          <w:spacing w:val="-3"/>
          <w:szCs w:val="24"/>
        </w:rPr>
        <w:t xml:space="preserve">telephone number </w:t>
      </w:r>
      <w:r w:rsidR="00532D28">
        <w:rPr>
          <w:spacing w:val="-3"/>
          <w:szCs w:val="24"/>
        </w:rPr>
        <w:t>set up for this purpose, and to do this through Christine Owens, administrative assistant at the prison, and I will relay that information to our scheduler.</w:t>
      </w:r>
    </w:p>
    <w:p w:rsidR="00AA1EDE" w:rsidRDefault="00AA1EDE" w:rsidP="00B36F42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833F7E" w:rsidRDefault="00AA1EDE" w:rsidP="00B36F42">
      <w:pPr>
        <w:autoSpaceDE w:val="0"/>
        <w:autoSpaceDN w:val="0"/>
        <w:spacing w:line="36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 xml:space="preserve">In addition, </w:t>
      </w:r>
      <w:r w:rsidR="00566DF3">
        <w:rPr>
          <w:spacing w:val="-3"/>
          <w:szCs w:val="24"/>
        </w:rPr>
        <w:t>I note that Complainant has submitted some proposed exhibits to me</w:t>
      </w:r>
      <w:r w:rsidR="00736729">
        <w:rPr>
          <w:spacing w:val="-3"/>
          <w:szCs w:val="24"/>
        </w:rPr>
        <w:t xml:space="preserve">, with copies to the </w:t>
      </w:r>
      <w:r w:rsidR="00566DF3">
        <w:rPr>
          <w:spacing w:val="-3"/>
          <w:szCs w:val="24"/>
        </w:rPr>
        <w:t>Respondent</w:t>
      </w:r>
      <w:r w:rsidR="00736729">
        <w:rPr>
          <w:spacing w:val="-3"/>
          <w:szCs w:val="24"/>
        </w:rPr>
        <w:t>,</w:t>
      </w:r>
      <w:r w:rsidR="00566DF3">
        <w:rPr>
          <w:spacing w:val="-3"/>
          <w:szCs w:val="24"/>
        </w:rPr>
        <w:t xml:space="preserve"> for the further telephonic hearing, even though I had previously ruled that additional exhibits were untimely and would not be accepted.  I inquired as to Respondent’s position, given i</w:t>
      </w:r>
      <w:r w:rsidR="00736729">
        <w:rPr>
          <w:spacing w:val="-3"/>
          <w:szCs w:val="24"/>
        </w:rPr>
        <w:t xml:space="preserve">ts requested continuance, regarding </w:t>
      </w:r>
      <w:r w:rsidR="00566DF3">
        <w:rPr>
          <w:spacing w:val="-3"/>
          <w:szCs w:val="24"/>
        </w:rPr>
        <w:t>whether it would oppose admission of these exhibits and Respondent replied that it would continue to oppose their admission.</w:t>
      </w:r>
      <w:r w:rsidR="00833F7E">
        <w:rPr>
          <w:spacing w:val="-3"/>
          <w:szCs w:val="24"/>
        </w:rPr>
        <w:t xml:space="preserve">  No motion for admission of these exhibits is before me so there is no ruling for me to make at this time</w:t>
      </w:r>
      <w:r w:rsidR="002175FE">
        <w:rPr>
          <w:spacing w:val="-3"/>
          <w:szCs w:val="24"/>
        </w:rPr>
        <w:t>.</w:t>
      </w:r>
      <w:r w:rsidR="009B0A96">
        <w:rPr>
          <w:spacing w:val="-3"/>
          <w:szCs w:val="24"/>
        </w:rPr>
        <w:t xml:space="preserve">  However, previous motions</w:t>
      </w:r>
      <w:r w:rsidR="001F2669">
        <w:rPr>
          <w:spacing w:val="-3"/>
          <w:szCs w:val="24"/>
        </w:rPr>
        <w:t xml:space="preserve"> of this nature have been denied and compelling reason must be given to convince me to change a prior ruling, including reasons why it would not have been possible to, with due diligence, have submitted the evidence during Complainant’s case-in-chief.  </w:t>
      </w:r>
      <w:r w:rsidR="001F2669" w:rsidRPr="001F2669">
        <w:rPr>
          <w:spacing w:val="-3"/>
          <w:szCs w:val="24"/>
          <w:u w:val="single"/>
        </w:rPr>
        <w:t>See</w:t>
      </w:r>
      <w:r w:rsidR="001F2669">
        <w:rPr>
          <w:spacing w:val="-3"/>
          <w:szCs w:val="24"/>
        </w:rPr>
        <w:t>, 52 Pa. Code §5.243(e).</w:t>
      </w:r>
      <w:r w:rsidR="002175FE">
        <w:rPr>
          <w:spacing w:val="-3"/>
          <w:szCs w:val="24"/>
        </w:rPr>
        <w:t xml:space="preserve">  </w:t>
      </w:r>
    </w:p>
    <w:p w:rsidR="002175FE" w:rsidRDefault="002175FE" w:rsidP="00B36F42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2175FE" w:rsidRDefault="002175FE" w:rsidP="00B36F42">
      <w:pPr>
        <w:autoSpaceDE w:val="0"/>
        <w:autoSpaceDN w:val="0"/>
        <w:spacing w:line="36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532D28">
        <w:rPr>
          <w:spacing w:val="-3"/>
          <w:szCs w:val="24"/>
        </w:rPr>
        <w:t xml:space="preserve">Finally, </w:t>
      </w:r>
      <w:r>
        <w:rPr>
          <w:spacing w:val="-3"/>
          <w:szCs w:val="24"/>
        </w:rPr>
        <w:t xml:space="preserve">Complainant has sent me a letter requesting a copy of the October 3, 2013, </w:t>
      </w:r>
      <w:r w:rsidR="00B82600">
        <w:rPr>
          <w:spacing w:val="-3"/>
          <w:szCs w:val="24"/>
        </w:rPr>
        <w:t xml:space="preserve">hearing </w:t>
      </w:r>
      <w:r>
        <w:rPr>
          <w:spacing w:val="-3"/>
          <w:szCs w:val="24"/>
        </w:rPr>
        <w:t xml:space="preserve">transcript.  However, copies </w:t>
      </w:r>
      <w:r w:rsidR="00B10EDB">
        <w:rPr>
          <w:spacing w:val="-3"/>
          <w:szCs w:val="24"/>
        </w:rPr>
        <w:t xml:space="preserve">of transcripts </w:t>
      </w:r>
      <w:r>
        <w:rPr>
          <w:spacing w:val="-3"/>
          <w:szCs w:val="24"/>
        </w:rPr>
        <w:t>are not provided by the Commission</w:t>
      </w:r>
      <w:r w:rsidR="00B10EDB">
        <w:rPr>
          <w:spacing w:val="-3"/>
          <w:szCs w:val="24"/>
        </w:rPr>
        <w:t xml:space="preserve">, except by contract with the court reporting service.  Parties may make arrangements </w:t>
      </w:r>
      <w:r>
        <w:rPr>
          <w:spacing w:val="-3"/>
          <w:szCs w:val="24"/>
        </w:rPr>
        <w:t xml:space="preserve">with Sargent’s Court Reporting Service, Inc. at (814) 536-8908 to purchase a copy of this transcript.  </w:t>
      </w:r>
    </w:p>
    <w:p w:rsidR="00833F7E" w:rsidRDefault="00833F7E" w:rsidP="00B36F42">
      <w:pPr>
        <w:autoSpaceDE w:val="0"/>
        <w:autoSpaceDN w:val="0"/>
        <w:spacing w:line="36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</w:p>
    <w:p w:rsidR="00B10EDB" w:rsidRDefault="00B10EDB" w:rsidP="00B10EDB">
      <w:pPr>
        <w:autoSpaceDE w:val="0"/>
        <w:autoSpaceDN w:val="0"/>
        <w:spacing w:line="36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</w:p>
    <w:p w:rsidR="00972257" w:rsidRPr="00972257" w:rsidRDefault="00B10EDB" w:rsidP="00B10EDB">
      <w:pPr>
        <w:autoSpaceDE w:val="0"/>
        <w:autoSpaceDN w:val="0"/>
        <w:spacing w:line="36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972257" w:rsidRPr="00972257">
        <w:rPr>
          <w:spacing w:val="-3"/>
          <w:szCs w:val="24"/>
        </w:rPr>
        <w:t>THEREFORE,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  <w:r w:rsidRPr="00972257">
        <w:rPr>
          <w:spacing w:val="-3"/>
          <w:szCs w:val="24"/>
        </w:rPr>
        <w:tab/>
      </w:r>
      <w:r w:rsidRPr="00972257">
        <w:rPr>
          <w:spacing w:val="-3"/>
          <w:szCs w:val="24"/>
        </w:rPr>
        <w:tab/>
        <w:t>IT IS ORDERED: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B10EDB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  <w:r w:rsidRPr="00972257">
        <w:rPr>
          <w:spacing w:val="-3"/>
          <w:szCs w:val="24"/>
        </w:rPr>
        <w:lastRenderedPageBreak/>
        <w:tab/>
      </w:r>
      <w:r w:rsidRPr="00972257">
        <w:rPr>
          <w:spacing w:val="-3"/>
          <w:szCs w:val="24"/>
        </w:rPr>
        <w:tab/>
        <w:t>1.</w:t>
      </w:r>
      <w:r w:rsidRPr="00972257">
        <w:rPr>
          <w:spacing w:val="-3"/>
          <w:szCs w:val="24"/>
        </w:rPr>
        <w:tab/>
        <w:t xml:space="preserve">That a continuance of the </w:t>
      </w:r>
      <w:r w:rsidR="00B10EDB">
        <w:rPr>
          <w:spacing w:val="-3"/>
          <w:szCs w:val="24"/>
        </w:rPr>
        <w:t>November 15, 2013</w:t>
      </w:r>
      <w:r w:rsidRPr="00972257">
        <w:rPr>
          <w:spacing w:val="-3"/>
          <w:szCs w:val="24"/>
        </w:rPr>
        <w:t>, hearing is granted and that the hearing scheduled on that date is cancelled.</w:t>
      </w:r>
    </w:p>
    <w:p w:rsidR="009B0A96" w:rsidRDefault="009B0A96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B0A96" w:rsidP="00972257">
      <w:pPr>
        <w:autoSpaceDE w:val="0"/>
        <w:autoSpaceDN w:val="0"/>
        <w:spacing w:line="36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972257" w:rsidRPr="00972257">
        <w:rPr>
          <w:spacing w:val="-3"/>
          <w:szCs w:val="24"/>
        </w:rPr>
        <w:t>2.</w:t>
      </w:r>
      <w:r w:rsidR="00972257" w:rsidRPr="00972257">
        <w:rPr>
          <w:spacing w:val="-3"/>
          <w:szCs w:val="24"/>
        </w:rPr>
        <w:tab/>
        <w:t>That the parties be provided notice of the new day, date, and time of the rescheduled hearing.</w:t>
      </w:r>
    </w:p>
    <w:p w:rsidR="00972257" w:rsidRPr="00972257" w:rsidRDefault="00972257" w:rsidP="00972257">
      <w:pPr>
        <w:autoSpaceDE w:val="0"/>
        <w:autoSpaceDN w:val="0"/>
        <w:spacing w:line="360" w:lineRule="auto"/>
        <w:rPr>
          <w:spacing w:val="-3"/>
          <w:szCs w:val="24"/>
        </w:rPr>
      </w:pPr>
    </w:p>
    <w:p w:rsidR="00972257" w:rsidRPr="00972257" w:rsidRDefault="00972257" w:rsidP="00972257">
      <w:pPr>
        <w:autoSpaceDE w:val="0"/>
        <w:autoSpaceDN w:val="0"/>
        <w:spacing w:line="360" w:lineRule="auto"/>
        <w:rPr>
          <w:szCs w:val="24"/>
        </w:rPr>
      </w:pPr>
      <w:r w:rsidRPr="00972257">
        <w:rPr>
          <w:spacing w:val="-3"/>
          <w:szCs w:val="24"/>
        </w:rPr>
        <w:tab/>
      </w:r>
      <w:r w:rsidRPr="00972257">
        <w:rPr>
          <w:spacing w:val="-3"/>
          <w:szCs w:val="24"/>
        </w:rPr>
        <w:tab/>
      </w:r>
    </w:p>
    <w:p w:rsidR="00972257" w:rsidRPr="00972257" w:rsidRDefault="00972257" w:rsidP="00972257">
      <w:pPr>
        <w:autoSpaceDE w:val="0"/>
        <w:autoSpaceDN w:val="0"/>
        <w:rPr>
          <w:szCs w:val="24"/>
        </w:rPr>
      </w:pPr>
      <w:r w:rsidRPr="00972257">
        <w:rPr>
          <w:szCs w:val="24"/>
        </w:rPr>
        <w:t>Date:</w:t>
      </w:r>
      <w:r w:rsidRPr="00972257">
        <w:rPr>
          <w:szCs w:val="24"/>
        </w:rPr>
        <w:tab/>
      </w:r>
      <w:r w:rsidR="00B10EDB" w:rsidRPr="00B10EDB">
        <w:rPr>
          <w:szCs w:val="24"/>
          <w:u w:val="single"/>
        </w:rPr>
        <w:t>November 12</w:t>
      </w:r>
      <w:r w:rsidRPr="00B10EDB">
        <w:rPr>
          <w:szCs w:val="24"/>
          <w:u w:val="single"/>
        </w:rPr>
        <w:t>, 2013</w:t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  <w:t>_____________________________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jc w:val="both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  <w:t>Kandace F. Melillo</w:t>
      </w:r>
    </w:p>
    <w:p w:rsidR="00972257" w:rsidRPr="00972257" w:rsidRDefault="00972257" w:rsidP="00972257">
      <w:pPr>
        <w:tabs>
          <w:tab w:val="left" w:pos="-720"/>
        </w:tabs>
        <w:suppressAutoHyphens/>
        <w:autoSpaceDE w:val="0"/>
        <w:autoSpaceDN w:val="0"/>
        <w:jc w:val="both"/>
        <w:rPr>
          <w:szCs w:val="24"/>
        </w:rPr>
      </w:pP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</w:r>
      <w:r w:rsidRPr="00972257">
        <w:rPr>
          <w:szCs w:val="24"/>
        </w:rPr>
        <w:tab/>
        <w:t>Administrative Law Judge</w:t>
      </w:r>
    </w:p>
    <w:p w:rsidR="00972257" w:rsidRPr="00972257" w:rsidRDefault="00972257" w:rsidP="009722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spacing w:val="-3"/>
          <w:szCs w:val="24"/>
        </w:rPr>
      </w:pPr>
    </w:p>
    <w:p w:rsidR="00A419FC" w:rsidRDefault="00A419FC" w:rsidP="009B0ACF">
      <w:pPr>
        <w:tabs>
          <w:tab w:val="center" w:pos="4680"/>
        </w:tabs>
        <w:suppressAutoHyphens/>
        <w:jc w:val="center"/>
        <w:rPr>
          <w:spacing w:val="-3"/>
        </w:rPr>
      </w:pPr>
    </w:p>
    <w:p w:rsidR="005D7A95" w:rsidRDefault="005D7A95">
      <w:pPr>
        <w:tabs>
          <w:tab w:val="left" w:pos="-720"/>
        </w:tabs>
        <w:suppressAutoHyphens/>
        <w:jc w:val="both"/>
        <w:rPr>
          <w:spacing w:val="-3"/>
        </w:rPr>
        <w:sectPr w:rsidR="005D7A95">
          <w:footerReference w:type="even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:rsidR="005D7A95" w:rsidRPr="005D7A95" w:rsidRDefault="005D7A95" w:rsidP="005D7A95">
      <w:pPr>
        <w:contextualSpacing/>
        <w:rPr>
          <w:rFonts w:ascii="Microsoft Sans Serif" w:hAnsi="Calibri"/>
          <w:b/>
          <w:szCs w:val="22"/>
          <w:u w:val="single"/>
        </w:rPr>
      </w:pPr>
      <w:r w:rsidRPr="005D7A95">
        <w:rPr>
          <w:rFonts w:ascii="Microsoft Sans Serif" w:hAnsi="Calibri"/>
          <w:b/>
          <w:szCs w:val="22"/>
          <w:u w:val="single"/>
        </w:rPr>
        <w:lastRenderedPageBreak/>
        <w:t>C-2013-2358084 - TYRONE GIBBS v. GLOBAL TEL LINK CORPORATION</w:t>
      </w:r>
      <w:r w:rsidRPr="005D7A95">
        <w:rPr>
          <w:rFonts w:ascii="Microsoft Sans Serif" w:hAnsi="Calibri"/>
          <w:b/>
          <w:szCs w:val="22"/>
          <w:u w:val="single"/>
        </w:rPr>
        <w:cr/>
        <w:t>Revised (</w:t>
      </w:r>
      <w:r w:rsidRPr="005D7A95">
        <w:rPr>
          <w:rFonts w:ascii="Microsoft Sans Serif" w:hAnsi="Calibri"/>
          <w:b/>
          <w:i/>
          <w:szCs w:val="22"/>
          <w:u w:val="single"/>
        </w:rPr>
        <w:t>10/17/13</w:t>
      </w:r>
      <w:r w:rsidRPr="005D7A95">
        <w:rPr>
          <w:rFonts w:ascii="Microsoft Sans Serif" w:hAnsi="Calibri"/>
          <w:b/>
          <w:szCs w:val="22"/>
          <w:u w:val="single"/>
        </w:rPr>
        <w:t>)</w:t>
      </w:r>
    </w:p>
    <w:p w:rsidR="005D7A95" w:rsidRPr="005D7A95" w:rsidRDefault="005D7A95" w:rsidP="005D7A95">
      <w:pPr>
        <w:contextualSpacing/>
        <w:rPr>
          <w:rFonts w:ascii="Microsoft Sans Serif" w:hAnsi="Calibri"/>
          <w:b/>
          <w:szCs w:val="22"/>
          <w:u w:val="single"/>
        </w:rPr>
      </w:pP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 xml:space="preserve">TYRONE GIBBS FS7093  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PO BOX 244</w:t>
      </w:r>
      <w:r w:rsidRPr="005D7A95">
        <w:rPr>
          <w:rFonts w:ascii="Microsoft Sans Serif" w:hAnsi="Calibri"/>
          <w:szCs w:val="22"/>
        </w:rPr>
        <w:cr/>
        <w:t>GRATERFORD PA  19426</w:t>
      </w:r>
      <w:r w:rsidRPr="005D7A95">
        <w:rPr>
          <w:rFonts w:ascii="Microsoft Sans Serif" w:hAnsi="Calibri"/>
          <w:szCs w:val="22"/>
        </w:rPr>
        <w:cr/>
        <w:t>610.489.4141 EXT. 2791 (MS. CONNOR-COUNSEL, COUNSELOR)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484.961.7907 GRATERFORD FAX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EDWARD G. LANZA ESQUIRE</w:t>
      </w:r>
      <w:r w:rsidRPr="005D7A95">
        <w:rPr>
          <w:rFonts w:ascii="Microsoft Sans Serif" w:hAnsi="Calibri"/>
          <w:szCs w:val="22"/>
        </w:rPr>
        <w:cr/>
        <w:t>ECKERT SEAMANS CHERIN &amp; MELLOT LLC</w:t>
      </w:r>
      <w:r w:rsidRPr="005D7A95">
        <w:rPr>
          <w:rFonts w:ascii="Microsoft Sans Serif" w:hAnsi="Calibri"/>
          <w:szCs w:val="22"/>
        </w:rPr>
        <w:cr/>
        <w:t xml:space="preserve">213 MARKET STREET 8TH </w:t>
      </w:r>
      <w:proofErr w:type="gramStart"/>
      <w:r w:rsidRPr="005D7A95">
        <w:rPr>
          <w:rFonts w:ascii="Microsoft Sans Serif" w:hAnsi="Calibri"/>
          <w:szCs w:val="22"/>
        </w:rPr>
        <w:t>FLOOR</w:t>
      </w:r>
      <w:proofErr w:type="gramEnd"/>
      <w:r w:rsidRPr="005D7A95">
        <w:rPr>
          <w:rFonts w:ascii="Microsoft Sans Serif" w:hAnsi="Calibri"/>
          <w:szCs w:val="22"/>
        </w:rPr>
        <w:cr/>
        <w:t>HARRISBURG PA  17101-1248</w:t>
      </w:r>
      <w:r w:rsidRPr="005D7A95">
        <w:rPr>
          <w:rFonts w:ascii="Microsoft Sans Serif" w:hAnsi="Calibri"/>
          <w:szCs w:val="22"/>
        </w:rPr>
        <w:cr/>
        <w:t>717.237.7162</w:t>
      </w:r>
    </w:p>
    <w:p w:rsidR="005D7A95" w:rsidRPr="005D7A95" w:rsidRDefault="005D7A95" w:rsidP="005D7A95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5D7A95">
        <w:rPr>
          <w:rFonts w:ascii="Microsoft Sans Serif" w:hAnsi="Calibri"/>
          <w:b/>
          <w:i/>
          <w:szCs w:val="22"/>
          <w:u w:val="single"/>
        </w:rPr>
        <w:t>E-Serve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bookmarkStart w:id="0" w:name="_GoBack"/>
      <w:r w:rsidRPr="005D7A95">
        <w:rPr>
          <w:rFonts w:ascii="Microsoft Sans Serif" w:hAnsi="Calibri"/>
          <w:szCs w:val="22"/>
        </w:rPr>
        <w:t>KEVIN B. LEFTON ESQUIRE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SENIOR COUNSEL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GLOBAL TEL*LINK CORPORATION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12021 SUNSET HILLS ROAD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SUITE 100</w:t>
      </w:r>
    </w:p>
    <w:p w:rsidR="005D7A95" w:rsidRPr="005D7A95" w:rsidRDefault="005D7A95" w:rsidP="005D7A95">
      <w:pPr>
        <w:contextualSpacing/>
        <w:rPr>
          <w:rFonts w:ascii="Microsoft Sans Serif" w:hAnsi="Calibri"/>
          <w:szCs w:val="22"/>
        </w:rPr>
      </w:pPr>
      <w:r w:rsidRPr="005D7A95">
        <w:rPr>
          <w:rFonts w:ascii="Microsoft Sans Serif" w:hAnsi="Calibri"/>
          <w:szCs w:val="22"/>
        </w:rPr>
        <w:t>RESTON VA  20190</w:t>
      </w:r>
      <w:bookmarkEnd w:id="0"/>
      <w:r w:rsidRPr="005D7A95">
        <w:rPr>
          <w:rFonts w:ascii="Microsoft Sans Serif" w:hAnsi="Calibri"/>
          <w:szCs w:val="22"/>
        </w:rPr>
        <w:cr/>
      </w:r>
      <w:r w:rsidRPr="005D7A95">
        <w:rPr>
          <w:rFonts w:ascii="Microsoft Sans Serif" w:hAnsi="Calibri"/>
          <w:szCs w:val="22"/>
        </w:rPr>
        <w:cr/>
        <w:t xml:space="preserve"> </w:t>
      </w:r>
    </w:p>
    <w:p w:rsidR="005D7A95" w:rsidRPr="005D7A95" w:rsidRDefault="005D7A95" w:rsidP="005D7A95">
      <w:pPr>
        <w:contextualSpacing/>
        <w:rPr>
          <w:rFonts w:ascii="Calibri" w:hAnsi="Calibri"/>
          <w:sz w:val="22"/>
          <w:szCs w:val="22"/>
        </w:rPr>
      </w:pPr>
      <w:r w:rsidRPr="005D7A95">
        <w:rPr>
          <w:rFonts w:ascii="Microsoft Sans Serif" w:hAnsi="Calibri"/>
          <w:szCs w:val="22"/>
        </w:rPr>
        <w:cr/>
      </w:r>
    </w:p>
    <w:p w:rsidR="005D7A95" w:rsidRPr="005D7A95" w:rsidRDefault="005D7A95" w:rsidP="005D7A95">
      <w:pPr>
        <w:contextualSpacing/>
        <w:rPr>
          <w:rFonts w:ascii="Calibri" w:hAnsi="Calibri"/>
          <w:sz w:val="22"/>
          <w:szCs w:val="22"/>
        </w:rPr>
      </w:pPr>
    </w:p>
    <w:p w:rsidR="004815A0" w:rsidRDefault="004815A0">
      <w:pPr>
        <w:tabs>
          <w:tab w:val="left" w:pos="-720"/>
        </w:tabs>
        <w:suppressAutoHyphens/>
        <w:jc w:val="both"/>
        <w:rPr>
          <w:spacing w:val="-3"/>
        </w:rPr>
      </w:pPr>
    </w:p>
    <w:sectPr w:rsidR="004815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66" w:rsidRDefault="008A1366">
      <w:pPr>
        <w:spacing w:line="20" w:lineRule="exact"/>
      </w:pPr>
    </w:p>
  </w:endnote>
  <w:endnote w:type="continuationSeparator" w:id="0">
    <w:p w:rsidR="008A1366" w:rsidRDefault="008A1366">
      <w:r>
        <w:t xml:space="preserve"> </w:t>
      </w:r>
    </w:p>
  </w:endnote>
  <w:endnote w:type="continuationNotice" w:id="1">
    <w:p w:rsidR="008A1366" w:rsidRDefault="008A13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2F" w:rsidRDefault="003F36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362F" w:rsidRDefault="003F3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2F" w:rsidRDefault="003F36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A95">
      <w:rPr>
        <w:rStyle w:val="PageNumber"/>
        <w:noProof/>
      </w:rPr>
      <w:t>3</w:t>
    </w:r>
    <w:r>
      <w:rPr>
        <w:rStyle w:val="PageNumber"/>
      </w:rPr>
      <w:fldChar w:fldCharType="end"/>
    </w:r>
  </w:p>
  <w:p w:rsidR="003F362F" w:rsidRDefault="003F362F">
    <w:pPr>
      <w:tabs>
        <w:tab w:val="left" w:pos="-720"/>
      </w:tabs>
      <w:suppressAutoHyphens/>
      <w:jc w:val="center"/>
    </w:pPr>
  </w:p>
  <w:p w:rsidR="003F362F" w:rsidRDefault="008A1366">
    <w:pPr>
      <w:tabs>
        <w:tab w:val="left" w:pos="-720"/>
      </w:tabs>
      <w:suppressAutoHyphens/>
    </w:pPr>
    <w:r>
      <w:rPr>
        <w:noProof/>
      </w:rPr>
      <w:pict>
        <v:rect id="_x0000_s2049" style="position:absolute;margin-left:73.5pt;margin-top:12pt;width:465pt;height:12pt;z-index:-2;mso-position-horizontal-relative:margin" o:allowincell="f" filled="f" stroked="f" strokeweight="0">
          <v:textbox inset="0,0,0,0">
            <w:txbxContent>
              <w:p w:rsidR="003F362F" w:rsidRDefault="003F362F">
                <w:pPr>
                  <w:tabs>
                    <w:tab w:val="center" w:pos="4650"/>
                  </w:tabs>
                  <w:suppressAutoHyphens/>
                  <w:jc w:val="both"/>
                </w:pPr>
                <w:r>
                  <w:tab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95" w:rsidRDefault="005D7A95">
    <w:pPr>
      <w:tabs>
        <w:tab w:val="left" w:pos="-720"/>
      </w:tabs>
      <w:suppressAutoHyphens/>
      <w:jc w:val="center"/>
    </w:pPr>
  </w:p>
  <w:p w:rsidR="005D7A95" w:rsidRDefault="005D7A95">
    <w:pPr>
      <w:tabs>
        <w:tab w:val="left" w:pos="-720"/>
      </w:tabs>
      <w:suppressAutoHyphens/>
    </w:pPr>
    <w:r>
      <w:rPr>
        <w:noProof/>
      </w:rPr>
      <w:pict>
        <v:rect id="_x0000_s2051" style="position:absolute;margin-left:73.5pt;margin-top:12pt;width:465pt;height:12pt;z-index:-1;mso-position-horizontal-relative:margin" o:allowincell="f" filled="f" stroked="f" strokeweight="0">
          <v:textbox inset="0,0,0,0">
            <w:txbxContent>
              <w:p w:rsidR="005D7A95" w:rsidRDefault="005D7A95">
                <w:pPr>
                  <w:tabs>
                    <w:tab w:val="center" w:pos="4650"/>
                  </w:tabs>
                  <w:suppressAutoHyphens/>
                  <w:jc w:val="both"/>
                </w:pPr>
                <w:r>
                  <w:tab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66" w:rsidRDefault="008A1366">
      <w:r>
        <w:separator/>
      </w:r>
    </w:p>
  </w:footnote>
  <w:footnote w:type="continuationSeparator" w:id="0">
    <w:p w:rsidR="008A1366" w:rsidRDefault="008A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5A0"/>
    <w:rsid w:val="00102481"/>
    <w:rsid w:val="00180E60"/>
    <w:rsid w:val="001C5F15"/>
    <w:rsid w:val="001D7BDF"/>
    <w:rsid w:val="001F2669"/>
    <w:rsid w:val="001F3664"/>
    <w:rsid w:val="002175FE"/>
    <w:rsid w:val="00237DA1"/>
    <w:rsid w:val="003F362F"/>
    <w:rsid w:val="00425F28"/>
    <w:rsid w:val="00453BFB"/>
    <w:rsid w:val="004815A0"/>
    <w:rsid w:val="004D5C2E"/>
    <w:rsid w:val="00513376"/>
    <w:rsid w:val="00530CA7"/>
    <w:rsid w:val="00532D28"/>
    <w:rsid w:val="00566DF3"/>
    <w:rsid w:val="0057429E"/>
    <w:rsid w:val="005D7A95"/>
    <w:rsid w:val="005D7EFC"/>
    <w:rsid w:val="005E1467"/>
    <w:rsid w:val="005E380F"/>
    <w:rsid w:val="00604929"/>
    <w:rsid w:val="00736729"/>
    <w:rsid w:val="007518DC"/>
    <w:rsid w:val="007D041E"/>
    <w:rsid w:val="007F2AD4"/>
    <w:rsid w:val="007F514B"/>
    <w:rsid w:val="00833F7E"/>
    <w:rsid w:val="008A1366"/>
    <w:rsid w:val="008A2077"/>
    <w:rsid w:val="009256A0"/>
    <w:rsid w:val="00972257"/>
    <w:rsid w:val="009849F4"/>
    <w:rsid w:val="009B0A96"/>
    <w:rsid w:val="009B0ACF"/>
    <w:rsid w:val="00A419FC"/>
    <w:rsid w:val="00AA1EDE"/>
    <w:rsid w:val="00AC75D1"/>
    <w:rsid w:val="00AD6958"/>
    <w:rsid w:val="00B10EDB"/>
    <w:rsid w:val="00B31E82"/>
    <w:rsid w:val="00B36F42"/>
    <w:rsid w:val="00B82600"/>
    <w:rsid w:val="00C73D86"/>
    <w:rsid w:val="00CC5E0D"/>
    <w:rsid w:val="00CE314C"/>
    <w:rsid w:val="00D5786B"/>
    <w:rsid w:val="00DD4690"/>
    <w:rsid w:val="00F362D4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ParaTab1">
    <w:name w:val="ParaTab 1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 Generic telephonic all utilities</vt:lpstr>
    </vt:vector>
  </TitlesOfParts>
  <Company>PA PUC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Generic telephonic all utilities</dc:title>
  <dc:creator>COCHERES</dc:creator>
  <cp:lastModifiedBy>Leonard, Allyson</cp:lastModifiedBy>
  <cp:revision>3</cp:revision>
  <cp:lastPrinted>2013-11-13T18:52:00Z</cp:lastPrinted>
  <dcterms:created xsi:type="dcterms:W3CDTF">2013-11-13T18:47:00Z</dcterms:created>
  <dcterms:modified xsi:type="dcterms:W3CDTF">2013-11-13T18:56:00Z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683919327</vt:i4>
  </property>
  <property fmtid="{D5CDD505-2E9C-101B-9397-08002B2CF9AE}" pid="3" name="_EmailSubject">
    <vt:lpwstr>#579602 v1 - Haupt v. VSSi.PO.doc</vt:lpwstr>
  </property>
  <property fmtid="{D5CDD505-2E9C-101B-9397-08002B2CF9AE}" pid="4" name="_AuthorEmail">
    <vt:lpwstr>lcocheres@state.pa.us</vt:lpwstr>
  </property>
  <property fmtid="{D5CDD505-2E9C-101B-9397-08002B2CF9AE}" pid="5" name="_AuthorEmailDisplayName">
    <vt:lpwstr>Cocheres, Louis</vt:lpwstr>
  </property>
  <property fmtid="{D5CDD505-2E9C-101B-9397-08002B2CF9AE}" pid="6" name="_ReviewingToolsShownOnce">
    <vt:lpwstr/>
  </property>
</Properties>
</file>