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DC" w:rsidRPr="00D64605" w:rsidRDefault="00B213DC" w:rsidP="00D64605">
      <w:pPr>
        <w:widowControl/>
        <w:tabs>
          <w:tab w:val="center" w:pos="4680"/>
        </w:tabs>
        <w:suppressAutoHyphens/>
        <w:jc w:val="center"/>
        <w:rPr>
          <w:b/>
          <w:sz w:val="26"/>
          <w:szCs w:val="26"/>
        </w:rPr>
      </w:pPr>
      <w:r w:rsidRPr="00D64605">
        <w:rPr>
          <w:b/>
          <w:sz w:val="26"/>
          <w:szCs w:val="26"/>
        </w:rPr>
        <w:t>PENNSYLVANIA</w:t>
      </w:r>
    </w:p>
    <w:p w:rsidR="00B213DC" w:rsidRPr="00D64605" w:rsidRDefault="00B213DC" w:rsidP="00D64605">
      <w:pPr>
        <w:widowControl/>
        <w:tabs>
          <w:tab w:val="center" w:pos="4680"/>
        </w:tabs>
        <w:suppressAutoHyphens/>
        <w:jc w:val="center"/>
        <w:rPr>
          <w:sz w:val="26"/>
          <w:szCs w:val="26"/>
        </w:rPr>
      </w:pPr>
      <w:r w:rsidRPr="00D64605">
        <w:rPr>
          <w:b/>
          <w:sz w:val="26"/>
          <w:szCs w:val="26"/>
        </w:rPr>
        <w:t>PUBLIC UTILITY COMMISSION</w:t>
      </w:r>
    </w:p>
    <w:p w:rsidR="00B213DC" w:rsidRPr="00D64605" w:rsidRDefault="00B213DC" w:rsidP="00D64605">
      <w:pPr>
        <w:widowControl/>
        <w:tabs>
          <w:tab w:val="center" w:pos="4680"/>
        </w:tabs>
        <w:suppressAutoHyphens/>
        <w:jc w:val="center"/>
        <w:rPr>
          <w:sz w:val="26"/>
          <w:szCs w:val="26"/>
        </w:rPr>
      </w:pPr>
      <w:r w:rsidRPr="00D64605">
        <w:rPr>
          <w:b/>
          <w:sz w:val="26"/>
          <w:szCs w:val="26"/>
        </w:rPr>
        <w:t>Harrisburg, PA 17105-3265</w:t>
      </w:r>
    </w:p>
    <w:p w:rsidR="00B213DC" w:rsidRPr="00D64605" w:rsidRDefault="00B213DC" w:rsidP="00D64605">
      <w:pPr>
        <w:widowControl/>
        <w:tabs>
          <w:tab w:val="left" w:pos="-720"/>
        </w:tabs>
        <w:suppressAutoHyphens/>
        <w:rPr>
          <w:sz w:val="26"/>
          <w:szCs w:val="26"/>
        </w:rPr>
      </w:pPr>
    </w:p>
    <w:p w:rsidR="00B213DC" w:rsidRPr="00D64605" w:rsidRDefault="00B213DC" w:rsidP="00D6460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B213DC" w:rsidRPr="00D64605" w:rsidTr="00B91BCD">
        <w:tc>
          <w:tcPr>
            <w:tcW w:w="5058" w:type="dxa"/>
          </w:tcPr>
          <w:p w:rsidR="00B213DC" w:rsidRPr="00D64605" w:rsidRDefault="00B213DC" w:rsidP="00D64605">
            <w:pPr>
              <w:widowControl/>
              <w:rPr>
                <w:sz w:val="26"/>
                <w:szCs w:val="26"/>
              </w:rPr>
            </w:pPr>
          </w:p>
        </w:tc>
        <w:tc>
          <w:tcPr>
            <w:tcW w:w="4428" w:type="dxa"/>
          </w:tcPr>
          <w:p w:rsidR="00B213DC" w:rsidRPr="00D64605" w:rsidRDefault="00B213DC" w:rsidP="00D64605">
            <w:pPr>
              <w:widowControl/>
              <w:ind w:right="-90"/>
              <w:rPr>
                <w:sz w:val="26"/>
                <w:szCs w:val="26"/>
              </w:rPr>
            </w:pPr>
            <w:r w:rsidRPr="00D64605">
              <w:rPr>
                <w:sz w:val="26"/>
                <w:szCs w:val="26"/>
              </w:rPr>
              <w:t>Public Meeting held November 14, 2013</w:t>
            </w:r>
          </w:p>
          <w:p w:rsidR="00B213DC" w:rsidRPr="00D64605" w:rsidRDefault="00B213DC" w:rsidP="00D64605">
            <w:pPr>
              <w:widowControl/>
              <w:jc w:val="right"/>
              <w:rPr>
                <w:sz w:val="26"/>
                <w:szCs w:val="26"/>
              </w:rPr>
            </w:pPr>
          </w:p>
        </w:tc>
      </w:tr>
      <w:tr w:rsidR="001D02E6" w:rsidRPr="00D64605" w:rsidTr="00D76B04">
        <w:tc>
          <w:tcPr>
            <w:tcW w:w="9486" w:type="dxa"/>
            <w:gridSpan w:val="2"/>
          </w:tcPr>
          <w:p w:rsidR="001D02E6" w:rsidRPr="00D64605" w:rsidRDefault="001D02E6" w:rsidP="00D64605">
            <w:pPr>
              <w:widowControl/>
              <w:rPr>
                <w:sz w:val="26"/>
                <w:szCs w:val="26"/>
              </w:rPr>
            </w:pPr>
            <w:r w:rsidRPr="00D64605">
              <w:rPr>
                <w:sz w:val="26"/>
                <w:szCs w:val="26"/>
              </w:rPr>
              <w:t>Commissioners Present:</w:t>
            </w:r>
          </w:p>
          <w:p w:rsidR="001D02E6" w:rsidRPr="00D64605" w:rsidRDefault="001D02E6" w:rsidP="00D64605">
            <w:pPr>
              <w:widowControl/>
              <w:rPr>
                <w:sz w:val="26"/>
                <w:szCs w:val="26"/>
              </w:rPr>
            </w:pPr>
          </w:p>
          <w:p w:rsidR="001D02E6" w:rsidRPr="00D64605" w:rsidRDefault="001D02E6" w:rsidP="00D64605">
            <w:pPr>
              <w:widowControl/>
              <w:tabs>
                <w:tab w:val="left" w:pos="705"/>
              </w:tabs>
              <w:ind w:firstLine="720"/>
              <w:rPr>
                <w:sz w:val="26"/>
                <w:szCs w:val="26"/>
              </w:rPr>
            </w:pPr>
            <w:r w:rsidRPr="00D64605">
              <w:rPr>
                <w:sz w:val="26"/>
                <w:szCs w:val="26"/>
              </w:rPr>
              <w:t>Robert F. Powelson, Chairman</w:t>
            </w:r>
            <w:r>
              <w:rPr>
                <w:sz w:val="26"/>
                <w:szCs w:val="26"/>
              </w:rPr>
              <w:t>, Joint Statement</w:t>
            </w:r>
          </w:p>
          <w:p w:rsidR="001D02E6" w:rsidRPr="00D64605" w:rsidRDefault="001D02E6" w:rsidP="00D64605">
            <w:pPr>
              <w:widowControl/>
              <w:tabs>
                <w:tab w:val="left" w:pos="705"/>
              </w:tabs>
              <w:ind w:firstLine="720"/>
              <w:rPr>
                <w:sz w:val="26"/>
                <w:szCs w:val="26"/>
              </w:rPr>
            </w:pPr>
            <w:r w:rsidRPr="00D64605">
              <w:rPr>
                <w:sz w:val="26"/>
                <w:szCs w:val="26"/>
              </w:rPr>
              <w:t>John F. Coleman, Jr., Vice Chairman</w:t>
            </w:r>
          </w:p>
          <w:p w:rsidR="001D02E6" w:rsidRPr="00D64605" w:rsidRDefault="001D02E6" w:rsidP="00D64605">
            <w:pPr>
              <w:widowControl/>
              <w:tabs>
                <w:tab w:val="left" w:pos="705"/>
              </w:tabs>
              <w:ind w:firstLine="720"/>
              <w:rPr>
                <w:sz w:val="26"/>
                <w:szCs w:val="26"/>
              </w:rPr>
            </w:pPr>
            <w:r w:rsidRPr="00D64605">
              <w:rPr>
                <w:sz w:val="26"/>
                <w:szCs w:val="26"/>
              </w:rPr>
              <w:t>James H. Cawley</w:t>
            </w:r>
          </w:p>
          <w:p w:rsidR="001D02E6" w:rsidRPr="00D64605" w:rsidRDefault="001D02E6" w:rsidP="00D64605">
            <w:pPr>
              <w:widowControl/>
              <w:tabs>
                <w:tab w:val="left" w:pos="705"/>
              </w:tabs>
              <w:ind w:firstLine="720"/>
              <w:rPr>
                <w:sz w:val="26"/>
                <w:szCs w:val="26"/>
              </w:rPr>
            </w:pPr>
            <w:r w:rsidRPr="00D64605">
              <w:rPr>
                <w:sz w:val="26"/>
                <w:szCs w:val="26"/>
              </w:rPr>
              <w:t>Pamela A. Witmer</w:t>
            </w:r>
            <w:r>
              <w:rPr>
                <w:sz w:val="26"/>
                <w:szCs w:val="26"/>
              </w:rPr>
              <w:t>, Joint Statement</w:t>
            </w:r>
          </w:p>
          <w:p w:rsidR="001D02E6" w:rsidRPr="00D64605" w:rsidRDefault="001D02E6" w:rsidP="00D64605">
            <w:pPr>
              <w:widowControl/>
              <w:tabs>
                <w:tab w:val="left" w:pos="705"/>
              </w:tabs>
              <w:ind w:firstLine="720"/>
              <w:rPr>
                <w:sz w:val="26"/>
                <w:szCs w:val="26"/>
              </w:rPr>
            </w:pPr>
            <w:r w:rsidRPr="00D64605">
              <w:rPr>
                <w:sz w:val="26"/>
                <w:szCs w:val="26"/>
              </w:rPr>
              <w:t>Gladys M. Brown</w:t>
            </w:r>
          </w:p>
          <w:p w:rsidR="001D02E6" w:rsidRPr="00D64605" w:rsidRDefault="001D02E6" w:rsidP="00D64605">
            <w:pPr>
              <w:widowControl/>
              <w:rPr>
                <w:sz w:val="26"/>
                <w:szCs w:val="26"/>
              </w:rPr>
            </w:pPr>
          </w:p>
          <w:p w:rsidR="001D02E6" w:rsidRPr="00D64605" w:rsidRDefault="001D02E6" w:rsidP="00D64605">
            <w:pPr>
              <w:widowControl/>
              <w:jc w:val="right"/>
              <w:rPr>
                <w:sz w:val="26"/>
                <w:szCs w:val="26"/>
              </w:rPr>
            </w:pPr>
          </w:p>
          <w:p w:rsidR="001D02E6" w:rsidRPr="00D64605" w:rsidRDefault="001D02E6" w:rsidP="00D64605">
            <w:pPr>
              <w:widowControl/>
              <w:jc w:val="right"/>
              <w:rPr>
                <w:sz w:val="26"/>
                <w:szCs w:val="26"/>
              </w:rPr>
            </w:pPr>
          </w:p>
        </w:tc>
      </w:tr>
      <w:tr w:rsidR="00B213DC" w:rsidRPr="00D64605" w:rsidTr="00B91BCD">
        <w:tc>
          <w:tcPr>
            <w:tcW w:w="5058" w:type="dxa"/>
          </w:tcPr>
          <w:p w:rsidR="00B213DC" w:rsidRPr="00D64605" w:rsidRDefault="00B213DC" w:rsidP="00D64605">
            <w:pPr>
              <w:widowControl/>
              <w:rPr>
                <w:sz w:val="26"/>
                <w:szCs w:val="26"/>
              </w:rPr>
            </w:pPr>
            <w:r w:rsidRPr="00D64605">
              <w:rPr>
                <w:sz w:val="26"/>
                <w:szCs w:val="26"/>
              </w:rPr>
              <w:t xml:space="preserve">Emory Blackshir  </w:t>
            </w:r>
          </w:p>
          <w:p w:rsidR="00B213DC" w:rsidRPr="00D64605" w:rsidRDefault="00B213DC" w:rsidP="00D64605">
            <w:pPr>
              <w:widowControl/>
              <w:jc w:val="right"/>
              <w:rPr>
                <w:sz w:val="26"/>
                <w:szCs w:val="26"/>
              </w:rPr>
            </w:pPr>
          </w:p>
        </w:tc>
        <w:tc>
          <w:tcPr>
            <w:tcW w:w="4428" w:type="dxa"/>
          </w:tcPr>
          <w:p w:rsidR="00B213DC" w:rsidRPr="00D64605" w:rsidRDefault="00B213DC" w:rsidP="00D64605">
            <w:pPr>
              <w:widowControl/>
              <w:jc w:val="right"/>
              <w:rPr>
                <w:sz w:val="26"/>
                <w:szCs w:val="26"/>
              </w:rPr>
            </w:pPr>
            <w:r w:rsidRPr="00D64605">
              <w:rPr>
                <w:sz w:val="26"/>
                <w:szCs w:val="26"/>
              </w:rPr>
              <w:t>C-2012-2335357</w:t>
            </w:r>
          </w:p>
          <w:p w:rsidR="00B213DC" w:rsidRPr="00D64605" w:rsidRDefault="00B213DC" w:rsidP="00D64605">
            <w:pPr>
              <w:widowControl/>
              <w:jc w:val="right"/>
              <w:rPr>
                <w:sz w:val="26"/>
                <w:szCs w:val="26"/>
              </w:rPr>
            </w:pPr>
            <w:r w:rsidRPr="00D64605">
              <w:rPr>
                <w:sz w:val="26"/>
                <w:szCs w:val="26"/>
              </w:rPr>
              <w:t xml:space="preserve"> </w:t>
            </w:r>
          </w:p>
        </w:tc>
      </w:tr>
      <w:tr w:rsidR="00B213DC" w:rsidRPr="00D64605" w:rsidTr="00B91BCD">
        <w:tc>
          <w:tcPr>
            <w:tcW w:w="5058" w:type="dxa"/>
          </w:tcPr>
          <w:p w:rsidR="00B213DC" w:rsidRPr="00D64605" w:rsidRDefault="00B213DC" w:rsidP="00D64605">
            <w:pPr>
              <w:widowControl/>
              <w:ind w:firstLine="720"/>
              <w:rPr>
                <w:sz w:val="26"/>
                <w:szCs w:val="26"/>
              </w:rPr>
            </w:pPr>
            <w:r w:rsidRPr="00D64605">
              <w:rPr>
                <w:sz w:val="26"/>
                <w:szCs w:val="26"/>
              </w:rPr>
              <w:t>v.</w:t>
            </w:r>
          </w:p>
          <w:p w:rsidR="00B213DC" w:rsidRPr="00D64605" w:rsidRDefault="00B213DC" w:rsidP="00D64605">
            <w:pPr>
              <w:widowControl/>
              <w:ind w:firstLine="1440"/>
              <w:rPr>
                <w:sz w:val="26"/>
                <w:szCs w:val="26"/>
              </w:rPr>
            </w:pPr>
          </w:p>
        </w:tc>
        <w:tc>
          <w:tcPr>
            <w:tcW w:w="4428" w:type="dxa"/>
          </w:tcPr>
          <w:p w:rsidR="00B213DC" w:rsidRPr="00D64605" w:rsidRDefault="00B213DC" w:rsidP="00D64605">
            <w:pPr>
              <w:widowControl/>
              <w:rPr>
                <w:sz w:val="26"/>
                <w:szCs w:val="26"/>
              </w:rPr>
            </w:pPr>
          </w:p>
        </w:tc>
      </w:tr>
      <w:tr w:rsidR="00B213DC" w:rsidRPr="00D64605" w:rsidTr="00B91BCD">
        <w:tc>
          <w:tcPr>
            <w:tcW w:w="5058" w:type="dxa"/>
          </w:tcPr>
          <w:p w:rsidR="00B213DC" w:rsidRPr="00D64605" w:rsidRDefault="00B213DC" w:rsidP="00D64605">
            <w:pPr>
              <w:widowControl/>
              <w:rPr>
                <w:sz w:val="26"/>
                <w:szCs w:val="26"/>
              </w:rPr>
            </w:pPr>
            <w:r w:rsidRPr="00D64605">
              <w:rPr>
                <w:sz w:val="26"/>
                <w:szCs w:val="26"/>
              </w:rPr>
              <w:t xml:space="preserve">PECO Energy Company </w:t>
            </w:r>
          </w:p>
        </w:tc>
        <w:tc>
          <w:tcPr>
            <w:tcW w:w="4428" w:type="dxa"/>
          </w:tcPr>
          <w:p w:rsidR="00B213DC" w:rsidRPr="00D64605" w:rsidRDefault="00B213DC" w:rsidP="00D64605">
            <w:pPr>
              <w:widowControl/>
              <w:rPr>
                <w:sz w:val="26"/>
                <w:szCs w:val="26"/>
              </w:rPr>
            </w:pPr>
          </w:p>
        </w:tc>
      </w:tr>
    </w:tbl>
    <w:p w:rsidR="00B213DC" w:rsidRPr="00D64605" w:rsidRDefault="00B213DC" w:rsidP="00D64605">
      <w:pPr>
        <w:widowControl/>
        <w:rPr>
          <w:sz w:val="26"/>
          <w:szCs w:val="26"/>
        </w:rPr>
      </w:pPr>
    </w:p>
    <w:p w:rsidR="00B213DC" w:rsidRPr="00D64605" w:rsidRDefault="00B213DC" w:rsidP="00D64605">
      <w:pPr>
        <w:widowControl/>
        <w:rPr>
          <w:sz w:val="26"/>
          <w:szCs w:val="26"/>
        </w:rPr>
      </w:pPr>
    </w:p>
    <w:p w:rsidR="00B213DC" w:rsidRPr="00D64605" w:rsidRDefault="00B213DC" w:rsidP="00D64605">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B213DC" w:rsidRPr="00D64605" w:rsidRDefault="00B213DC" w:rsidP="00D64605">
      <w:pPr>
        <w:widowControl/>
        <w:jc w:val="center"/>
        <w:rPr>
          <w:b/>
          <w:sz w:val="26"/>
          <w:szCs w:val="26"/>
        </w:rPr>
      </w:pPr>
    </w:p>
    <w:p w:rsidR="00B213DC" w:rsidRPr="00D64605" w:rsidRDefault="00B213DC" w:rsidP="00D64605">
      <w:pPr>
        <w:widowControl/>
        <w:rPr>
          <w:b/>
          <w:sz w:val="26"/>
          <w:szCs w:val="26"/>
        </w:rPr>
      </w:pPr>
      <w:r w:rsidRPr="00D64605">
        <w:rPr>
          <w:b/>
          <w:sz w:val="26"/>
          <w:szCs w:val="26"/>
        </w:rPr>
        <w:t>BY THE COMMISSION:</w:t>
      </w:r>
    </w:p>
    <w:p w:rsidR="00B213DC" w:rsidRPr="00D64605" w:rsidRDefault="00B213DC" w:rsidP="00D64605">
      <w:pPr>
        <w:widowControl/>
        <w:rPr>
          <w:sz w:val="26"/>
          <w:szCs w:val="26"/>
        </w:rPr>
      </w:pPr>
    </w:p>
    <w:p w:rsidR="00B213DC" w:rsidRPr="00D64605" w:rsidRDefault="00B213DC" w:rsidP="00D64605">
      <w:pPr>
        <w:widowControl/>
        <w:spacing w:line="360" w:lineRule="auto"/>
        <w:ind w:firstLine="1440"/>
        <w:rPr>
          <w:sz w:val="26"/>
          <w:szCs w:val="26"/>
        </w:rPr>
      </w:pPr>
      <w:r w:rsidRPr="00D64605">
        <w:rPr>
          <w:sz w:val="26"/>
          <w:szCs w:val="26"/>
        </w:rPr>
        <w:t xml:space="preserve">Before the Pennsylvania Public Utility Commission (Commission) for consideration and disposition </w:t>
      </w:r>
      <w:r w:rsidRPr="00D64605">
        <w:rPr>
          <w:color w:val="000000"/>
          <w:sz w:val="26"/>
        </w:rPr>
        <w:t>are the Exceptions of Emory Blackshir (Complainant) fil</w:t>
      </w:r>
      <w:r w:rsidR="00AD7A36" w:rsidRPr="00D64605">
        <w:rPr>
          <w:color w:val="000000"/>
          <w:sz w:val="26"/>
        </w:rPr>
        <w:t>ed on July 29, 2013</w:t>
      </w:r>
      <w:r w:rsidRPr="00D64605">
        <w:rPr>
          <w:color w:val="000000"/>
          <w:sz w:val="26"/>
        </w:rPr>
        <w:t>, to the Initial Decision (I.D.) of Administrative Law Judge (ALJ) Kandace F. Melillo, which was issued on July 10, 2013, in the above-captioned proceeding.</w:t>
      </w:r>
      <w:r w:rsidR="00611F9C" w:rsidRPr="00D64605">
        <w:rPr>
          <w:rStyle w:val="FootnoteReference"/>
          <w:color w:val="000000"/>
          <w:sz w:val="26"/>
        </w:rPr>
        <w:t xml:space="preserve"> </w:t>
      </w:r>
      <w:r w:rsidR="00611F9C" w:rsidRPr="00D64605">
        <w:rPr>
          <w:rStyle w:val="FootnoteReference"/>
          <w:color w:val="000000"/>
          <w:sz w:val="26"/>
        </w:rPr>
        <w:footnoteReference w:id="1"/>
      </w:r>
      <w:r w:rsidRPr="00D64605">
        <w:rPr>
          <w:color w:val="000000"/>
          <w:sz w:val="26"/>
        </w:rPr>
        <w:t xml:space="preserve">  Replies to Exceptions were filed by PECO Energy Company (PECO or </w:t>
      </w:r>
      <w:r w:rsidRPr="00D64605">
        <w:rPr>
          <w:color w:val="000000"/>
          <w:sz w:val="26"/>
        </w:rPr>
        <w:lastRenderedPageBreak/>
        <w:t xml:space="preserve">Company) on August 12, 2013.  </w:t>
      </w:r>
      <w:r w:rsidRPr="00D64605">
        <w:rPr>
          <w:sz w:val="26"/>
          <w:szCs w:val="26"/>
        </w:rPr>
        <w:t xml:space="preserve">For the reasons stated below, we shall deny the </w:t>
      </w:r>
      <w:r w:rsidR="00AD7A36" w:rsidRPr="00D64605">
        <w:rPr>
          <w:sz w:val="26"/>
          <w:szCs w:val="26"/>
        </w:rPr>
        <w:t xml:space="preserve">Complainant’s </w:t>
      </w:r>
      <w:r w:rsidRPr="00D64605">
        <w:rPr>
          <w:sz w:val="26"/>
          <w:szCs w:val="26"/>
        </w:rPr>
        <w:t xml:space="preserve">Exceptions and adopt the </w:t>
      </w:r>
      <w:r w:rsidR="00AD7A36" w:rsidRPr="00D64605">
        <w:rPr>
          <w:sz w:val="26"/>
          <w:szCs w:val="26"/>
        </w:rPr>
        <w:t xml:space="preserve">ALJ’s </w:t>
      </w:r>
      <w:r w:rsidRPr="00D64605">
        <w:rPr>
          <w:sz w:val="26"/>
          <w:szCs w:val="26"/>
        </w:rPr>
        <w:t>Initial Decision.</w:t>
      </w:r>
    </w:p>
    <w:p w:rsidR="004616E1" w:rsidRPr="00D64605" w:rsidRDefault="004616E1" w:rsidP="00D64605">
      <w:pPr>
        <w:widowControl/>
        <w:spacing w:line="360" w:lineRule="auto"/>
        <w:ind w:firstLine="1440"/>
        <w:rPr>
          <w:sz w:val="26"/>
          <w:szCs w:val="26"/>
        </w:rPr>
      </w:pPr>
    </w:p>
    <w:p w:rsidR="004616E1" w:rsidRPr="00D64605" w:rsidRDefault="004616E1" w:rsidP="00D64605">
      <w:pPr>
        <w:keepNext/>
        <w:widowControl/>
        <w:spacing w:line="360" w:lineRule="auto"/>
        <w:jc w:val="center"/>
        <w:rPr>
          <w:b/>
          <w:sz w:val="26"/>
          <w:szCs w:val="26"/>
        </w:rPr>
      </w:pPr>
      <w:bookmarkStart w:id="0" w:name="OLE_LINK1"/>
      <w:bookmarkStart w:id="1" w:name="OLE_LINK2"/>
      <w:r w:rsidRPr="00D64605">
        <w:rPr>
          <w:b/>
          <w:sz w:val="26"/>
          <w:szCs w:val="26"/>
        </w:rPr>
        <w:t>History of the Proceeding</w:t>
      </w:r>
    </w:p>
    <w:p w:rsidR="004616E1" w:rsidRPr="00D64605" w:rsidRDefault="004616E1" w:rsidP="00D64605">
      <w:pPr>
        <w:keepNext/>
        <w:widowControl/>
        <w:spacing w:line="360" w:lineRule="auto"/>
        <w:jc w:val="center"/>
        <w:rPr>
          <w:b/>
          <w:sz w:val="26"/>
          <w:szCs w:val="26"/>
        </w:rPr>
      </w:pPr>
    </w:p>
    <w:bookmarkEnd w:id="0"/>
    <w:bookmarkEnd w:id="1"/>
    <w:p w:rsidR="004616E1" w:rsidRPr="00D64605" w:rsidRDefault="004616E1" w:rsidP="00D64605">
      <w:pPr>
        <w:widowControl/>
        <w:spacing w:line="360" w:lineRule="auto"/>
        <w:ind w:firstLine="1440"/>
        <w:outlineLvl w:val="0"/>
        <w:rPr>
          <w:sz w:val="26"/>
          <w:szCs w:val="24"/>
        </w:rPr>
      </w:pPr>
      <w:r w:rsidRPr="00D64605">
        <w:rPr>
          <w:sz w:val="26"/>
          <w:szCs w:val="24"/>
        </w:rPr>
        <w:t xml:space="preserve">On November 20, 2012, the Complainant filed a Formal Complaint </w:t>
      </w:r>
      <w:r w:rsidR="00E74DFB" w:rsidRPr="00D64605">
        <w:rPr>
          <w:sz w:val="26"/>
          <w:szCs w:val="24"/>
        </w:rPr>
        <w:t xml:space="preserve">(Complaint) </w:t>
      </w:r>
      <w:r w:rsidRPr="00D64605">
        <w:rPr>
          <w:sz w:val="26"/>
          <w:szCs w:val="24"/>
        </w:rPr>
        <w:t xml:space="preserve">against PECO, alleging that there were incorrect charges on his bill, that he received a termination notice from the Company and that he would like a payment agreement </w:t>
      </w:r>
      <w:r w:rsidR="00D64605">
        <w:rPr>
          <w:sz w:val="26"/>
          <w:szCs w:val="24"/>
        </w:rPr>
        <w:t xml:space="preserve">that </w:t>
      </w:r>
      <w:r w:rsidRPr="00D64605">
        <w:rPr>
          <w:sz w:val="26"/>
          <w:szCs w:val="24"/>
        </w:rPr>
        <w:t xml:space="preserve">he could afford.  </w:t>
      </w:r>
      <w:r w:rsidRPr="00D64605">
        <w:rPr>
          <w:sz w:val="26"/>
          <w:szCs w:val="26"/>
        </w:rPr>
        <w:t>As relief, the Complainant requested a</w:t>
      </w:r>
      <w:r w:rsidR="009E7C56" w:rsidRPr="00D64605">
        <w:rPr>
          <w:sz w:val="26"/>
          <w:szCs w:val="26"/>
        </w:rPr>
        <w:t>n affordable</w:t>
      </w:r>
      <w:r w:rsidRPr="00D64605">
        <w:rPr>
          <w:sz w:val="26"/>
          <w:szCs w:val="26"/>
        </w:rPr>
        <w:t xml:space="preserve"> down payment along with a payment each month.  The Complainant stated he could afford no more than $300 per month on his arrearage, plus his current monthly bill.</w:t>
      </w:r>
      <w:r w:rsidR="007B2AAF" w:rsidRPr="00D64605">
        <w:rPr>
          <w:sz w:val="26"/>
          <w:szCs w:val="26"/>
        </w:rPr>
        <w:t xml:space="preserve">  Complaint at</w:t>
      </w:r>
      <w:r w:rsidR="00D64605">
        <w:rPr>
          <w:sz w:val="26"/>
          <w:szCs w:val="26"/>
        </w:rPr>
        <w:t> </w:t>
      </w:r>
      <w:r w:rsidR="007B2AAF" w:rsidRPr="00D64605">
        <w:rPr>
          <w:sz w:val="26"/>
          <w:szCs w:val="26"/>
        </w:rPr>
        <w:t>2-4</w:t>
      </w:r>
      <w:r w:rsidR="00E74DFB" w:rsidRPr="00D64605">
        <w:rPr>
          <w:sz w:val="26"/>
          <w:szCs w:val="26"/>
        </w:rPr>
        <w:t>.</w:t>
      </w:r>
    </w:p>
    <w:p w:rsidR="004616E1" w:rsidRPr="00D64605" w:rsidRDefault="004616E1" w:rsidP="00D64605">
      <w:pPr>
        <w:widowControl/>
        <w:spacing w:line="360" w:lineRule="auto"/>
        <w:ind w:firstLine="1440"/>
        <w:rPr>
          <w:sz w:val="26"/>
          <w:szCs w:val="24"/>
        </w:rPr>
      </w:pPr>
      <w:r w:rsidRPr="00D64605">
        <w:rPr>
          <w:sz w:val="26"/>
          <w:szCs w:val="24"/>
        </w:rPr>
        <w:t xml:space="preserve"> </w:t>
      </w:r>
    </w:p>
    <w:p w:rsidR="004616E1" w:rsidRPr="00D64605" w:rsidRDefault="004616E1" w:rsidP="00D64605">
      <w:pPr>
        <w:widowControl/>
        <w:spacing w:line="360" w:lineRule="auto"/>
        <w:ind w:firstLine="1440"/>
        <w:rPr>
          <w:sz w:val="26"/>
          <w:szCs w:val="24"/>
        </w:rPr>
      </w:pPr>
      <w:r w:rsidRPr="00D64605">
        <w:rPr>
          <w:sz w:val="26"/>
          <w:szCs w:val="24"/>
        </w:rPr>
        <w:t>The Commission served PECO with the Complaint on November 26, 2012, and docketed it at C-2012-2335357.</w:t>
      </w:r>
    </w:p>
    <w:p w:rsidR="004616E1" w:rsidRPr="00D64605" w:rsidRDefault="004616E1"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tab/>
      </w:r>
      <w:r w:rsidRPr="00D64605">
        <w:rPr>
          <w:sz w:val="26"/>
          <w:szCs w:val="26"/>
        </w:rPr>
        <w:tab/>
      </w:r>
      <w:r w:rsidR="00C52AE6" w:rsidRPr="00D64605">
        <w:rPr>
          <w:sz w:val="26"/>
          <w:szCs w:val="26"/>
        </w:rPr>
        <w:t xml:space="preserve">On </w:t>
      </w:r>
      <w:r w:rsidRPr="00D64605">
        <w:rPr>
          <w:sz w:val="26"/>
          <w:szCs w:val="26"/>
        </w:rPr>
        <w:t xml:space="preserve">December 3, 2012, PECO filed an Answer and New Matter, with a Notice to Plead, </w:t>
      </w:r>
      <w:r w:rsidR="00E74DFB" w:rsidRPr="00D64605">
        <w:rPr>
          <w:sz w:val="26"/>
          <w:szCs w:val="26"/>
        </w:rPr>
        <w:t xml:space="preserve">in </w:t>
      </w:r>
      <w:r w:rsidRPr="00D64605">
        <w:rPr>
          <w:sz w:val="26"/>
          <w:szCs w:val="26"/>
        </w:rPr>
        <w:t xml:space="preserve">which </w:t>
      </w:r>
      <w:r w:rsidR="00E74DFB" w:rsidRPr="00D64605">
        <w:rPr>
          <w:sz w:val="26"/>
          <w:szCs w:val="26"/>
        </w:rPr>
        <w:t xml:space="preserve">it </w:t>
      </w:r>
      <w:r w:rsidRPr="00D64605">
        <w:rPr>
          <w:sz w:val="26"/>
          <w:szCs w:val="26"/>
        </w:rPr>
        <w:t xml:space="preserve">denied that </w:t>
      </w:r>
      <w:r w:rsidR="00FD467B" w:rsidRPr="00D64605">
        <w:rPr>
          <w:sz w:val="26"/>
          <w:szCs w:val="26"/>
        </w:rPr>
        <w:t xml:space="preserve">the </w:t>
      </w:r>
      <w:r w:rsidRPr="00D64605">
        <w:rPr>
          <w:sz w:val="26"/>
          <w:szCs w:val="26"/>
        </w:rPr>
        <w:t>Complainant was entitled to another payment agreeme</w:t>
      </w:r>
      <w:r w:rsidR="009079E4" w:rsidRPr="00D64605">
        <w:rPr>
          <w:sz w:val="26"/>
          <w:szCs w:val="26"/>
        </w:rPr>
        <w:t>nt from the Commission</w:t>
      </w:r>
      <w:r w:rsidR="00FD467B" w:rsidRPr="00D64605">
        <w:rPr>
          <w:sz w:val="26"/>
          <w:szCs w:val="26"/>
        </w:rPr>
        <w:t>,</w:t>
      </w:r>
      <w:r w:rsidR="009079E4" w:rsidRPr="00D64605">
        <w:rPr>
          <w:sz w:val="26"/>
          <w:szCs w:val="26"/>
        </w:rPr>
        <w:t xml:space="preserve"> as he had</w:t>
      </w:r>
      <w:r w:rsidRPr="00D64605">
        <w:rPr>
          <w:sz w:val="26"/>
          <w:szCs w:val="26"/>
        </w:rPr>
        <w:t xml:space="preserve"> defaulted on a Bureau of Consumer Services (BCS) payment agreement that was issued in 2008</w:t>
      </w:r>
      <w:r w:rsidR="009079E4" w:rsidRPr="00D64605">
        <w:rPr>
          <w:sz w:val="26"/>
          <w:szCs w:val="26"/>
        </w:rPr>
        <w:t xml:space="preserve"> at BCS Case number 002382173</w:t>
      </w:r>
      <w:r w:rsidRPr="00D64605">
        <w:rPr>
          <w:sz w:val="26"/>
          <w:szCs w:val="26"/>
        </w:rPr>
        <w:t xml:space="preserve">.  </w:t>
      </w:r>
      <w:r w:rsidR="009079E4" w:rsidRPr="00D64605">
        <w:rPr>
          <w:sz w:val="26"/>
          <w:szCs w:val="26"/>
        </w:rPr>
        <w:t>Furthermore, PECO stated that i</w:t>
      </w:r>
      <w:r w:rsidRPr="00D64605">
        <w:rPr>
          <w:sz w:val="26"/>
          <w:szCs w:val="26"/>
        </w:rPr>
        <w:t xml:space="preserve">n 2010, </w:t>
      </w:r>
      <w:r w:rsidR="009079E4" w:rsidRPr="00D64605">
        <w:rPr>
          <w:sz w:val="26"/>
          <w:szCs w:val="26"/>
        </w:rPr>
        <w:t xml:space="preserve">the </w:t>
      </w:r>
      <w:r w:rsidRPr="00D64605">
        <w:rPr>
          <w:sz w:val="26"/>
          <w:szCs w:val="26"/>
        </w:rPr>
        <w:t xml:space="preserve">BCS denied </w:t>
      </w:r>
      <w:r w:rsidR="009079E4" w:rsidRPr="00D64605">
        <w:rPr>
          <w:sz w:val="26"/>
          <w:szCs w:val="26"/>
        </w:rPr>
        <w:t xml:space="preserve">the </w:t>
      </w:r>
      <w:r w:rsidRPr="00D64605">
        <w:rPr>
          <w:sz w:val="26"/>
          <w:szCs w:val="26"/>
        </w:rPr>
        <w:t xml:space="preserve">Complainant a second payment agreement </w:t>
      </w:r>
      <w:r w:rsidR="009079E4" w:rsidRPr="00D64605">
        <w:rPr>
          <w:sz w:val="26"/>
          <w:szCs w:val="26"/>
        </w:rPr>
        <w:t xml:space="preserve">at BCS Case number 002670774 because he had defaulted </w:t>
      </w:r>
      <w:r w:rsidRPr="00D64605">
        <w:rPr>
          <w:sz w:val="26"/>
          <w:szCs w:val="26"/>
        </w:rPr>
        <w:t xml:space="preserve">on the previous </w:t>
      </w:r>
      <w:r w:rsidR="009079E4" w:rsidRPr="00D64605">
        <w:rPr>
          <w:sz w:val="26"/>
          <w:szCs w:val="26"/>
        </w:rPr>
        <w:t xml:space="preserve">BCS </w:t>
      </w:r>
      <w:r w:rsidRPr="00D64605">
        <w:rPr>
          <w:sz w:val="26"/>
          <w:szCs w:val="26"/>
        </w:rPr>
        <w:t>paym</w:t>
      </w:r>
      <w:r w:rsidR="009079E4" w:rsidRPr="00D64605">
        <w:rPr>
          <w:sz w:val="26"/>
          <w:szCs w:val="26"/>
        </w:rPr>
        <w:t>ent agreement</w:t>
      </w:r>
      <w:r w:rsidRPr="00D64605">
        <w:rPr>
          <w:sz w:val="26"/>
          <w:szCs w:val="26"/>
        </w:rPr>
        <w:t xml:space="preserve">.  PECO further averred that </w:t>
      </w:r>
      <w:r w:rsidR="00D64605">
        <w:rPr>
          <w:sz w:val="26"/>
          <w:szCs w:val="26"/>
        </w:rPr>
        <w:t xml:space="preserve">the </w:t>
      </w:r>
      <w:r w:rsidRPr="00D64605">
        <w:rPr>
          <w:sz w:val="26"/>
          <w:szCs w:val="26"/>
        </w:rPr>
        <w:t>Complainant has had fiv</w:t>
      </w:r>
      <w:r w:rsidR="009079E4" w:rsidRPr="00D64605">
        <w:rPr>
          <w:sz w:val="26"/>
          <w:szCs w:val="26"/>
        </w:rPr>
        <w:t xml:space="preserve">e </w:t>
      </w:r>
      <w:r w:rsidRPr="00D64605">
        <w:rPr>
          <w:sz w:val="26"/>
          <w:szCs w:val="26"/>
        </w:rPr>
        <w:t xml:space="preserve">different Company-issued payment agreements, has defaulted on all of them, and has managed to avoid termination to date by obtaining medical certificates.  </w:t>
      </w:r>
      <w:r w:rsidR="009079E4" w:rsidRPr="00D64605">
        <w:rPr>
          <w:sz w:val="26"/>
          <w:szCs w:val="26"/>
        </w:rPr>
        <w:t>PECO noted that a</w:t>
      </w:r>
      <w:r w:rsidRPr="00D64605">
        <w:rPr>
          <w:sz w:val="26"/>
          <w:szCs w:val="26"/>
        </w:rPr>
        <w:t xml:space="preserve">s of the date of the Answer, </w:t>
      </w:r>
      <w:r w:rsidR="009079E4" w:rsidRPr="00D64605">
        <w:rPr>
          <w:sz w:val="26"/>
          <w:szCs w:val="26"/>
        </w:rPr>
        <w:t xml:space="preserve">the </w:t>
      </w:r>
      <w:r w:rsidRPr="00D64605">
        <w:rPr>
          <w:sz w:val="26"/>
          <w:szCs w:val="26"/>
        </w:rPr>
        <w:t xml:space="preserve">Complainant had an unpaid </w:t>
      </w:r>
      <w:r w:rsidR="00FD467B" w:rsidRPr="00D64605">
        <w:rPr>
          <w:sz w:val="26"/>
          <w:szCs w:val="26"/>
        </w:rPr>
        <w:t>balance of $19,362.17 due to</w:t>
      </w:r>
      <w:r w:rsidR="009079E4" w:rsidRPr="00D64605">
        <w:rPr>
          <w:sz w:val="26"/>
          <w:szCs w:val="26"/>
        </w:rPr>
        <w:t xml:space="preserve"> his</w:t>
      </w:r>
      <w:r w:rsidRPr="00D64605">
        <w:rPr>
          <w:sz w:val="26"/>
          <w:szCs w:val="26"/>
        </w:rPr>
        <w:t xml:space="preserve"> poor pa</w:t>
      </w:r>
      <w:r w:rsidR="009079E4" w:rsidRPr="00D64605">
        <w:rPr>
          <w:sz w:val="26"/>
          <w:szCs w:val="26"/>
        </w:rPr>
        <w:t>yment history</w:t>
      </w:r>
      <w:r w:rsidRPr="00D64605">
        <w:rPr>
          <w:sz w:val="26"/>
          <w:szCs w:val="26"/>
        </w:rPr>
        <w:t>.  PECO requested that the Complaint be dismissed.</w:t>
      </w:r>
      <w:r w:rsidR="007B2AAF" w:rsidRPr="00D64605">
        <w:rPr>
          <w:sz w:val="26"/>
          <w:szCs w:val="26"/>
        </w:rPr>
        <w:t xml:space="preserve">  Answer at 2-4</w:t>
      </w:r>
      <w:r w:rsidR="00E74DFB" w:rsidRPr="00D64605">
        <w:rPr>
          <w:sz w:val="26"/>
          <w:szCs w:val="26"/>
        </w:rPr>
        <w:t>.</w:t>
      </w:r>
    </w:p>
    <w:p w:rsidR="004616E1" w:rsidRPr="00D64605" w:rsidRDefault="004616E1"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lastRenderedPageBreak/>
        <w:tab/>
      </w:r>
      <w:r w:rsidRPr="00D64605">
        <w:rPr>
          <w:sz w:val="26"/>
          <w:szCs w:val="26"/>
        </w:rPr>
        <w:tab/>
        <w:t xml:space="preserve">In </w:t>
      </w:r>
      <w:r w:rsidR="00FD467B" w:rsidRPr="00D64605">
        <w:rPr>
          <w:sz w:val="26"/>
          <w:szCs w:val="26"/>
        </w:rPr>
        <w:t xml:space="preserve">the </w:t>
      </w:r>
      <w:r w:rsidRPr="00D64605">
        <w:rPr>
          <w:sz w:val="26"/>
          <w:szCs w:val="26"/>
        </w:rPr>
        <w:t xml:space="preserve">New Matter, PECO alleged the above-mentioned facts and further indicated that </w:t>
      </w:r>
      <w:r w:rsidR="00F95321" w:rsidRPr="00D64605">
        <w:rPr>
          <w:sz w:val="26"/>
          <w:szCs w:val="26"/>
        </w:rPr>
        <w:t xml:space="preserve">the </w:t>
      </w:r>
      <w:r w:rsidRPr="00D64605">
        <w:rPr>
          <w:sz w:val="26"/>
          <w:szCs w:val="26"/>
        </w:rPr>
        <w:t xml:space="preserve">Complainant could not demonstrate a decrease in income so as to justify another payment agreement.  </w:t>
      </w:r>
      <w:r w:rsidR="00F95321" w:rsidRPr="00D64605">
        <w:rPr>
          <w:sz w:val="26"/>
          <w:szCs w:val="26"/>
        </w:rPr>
        <w:t>We note that w</w:t>
      </w:r>
      <w:r w:rsidRPr="00D64605">
        <w:rPr>
          <w:sz w:val="26"/>
          <w:szCs w:val="26"/>
        </w:rPr>
        <w:t xml:space="preserve">hile </w:t>
      </w:r>
      <w:r w:rsidR="00F95321" w:rsidRPr="00D64605">
        <w:rPr>
          <w:sz w:val="26"/>
          <w:szCs w:val="26"/>
        </w:rPr>
        <w:t xml:space="preserve">the </w:t>
      </w:r>
      <w:r w:rsidRPr="00D64605">
        <w:rPr>
          <w:sz w:val="26"/>
          <w:szCs w:val="26"/>
        </w:rPr>
        <w:t xml:space="preserve">Complainant did not file a response to </w:t>
      </w:r>
      <w:r w:rsidR="00FD467B" w:rsidRPr="00D64605">
        <w:rPr>
          <w:sz w:val="26"/>
          <w:szCs w:val="26"/>
        </w:rPr>
        <w:t xml:space="preserve">the </w:t>
      </w:r>
      <w:r w:rsidRPr="00D64605">
        <w:rPr>
          <w:sz w:val="26"/>
          <w:szCs w:val="26"/>
        </w:rPr>
        <w:t>New Matter, PECO did not file a Motion for Judgment on the Pleadings.</w:t>
      </w:r>
    </w:p>
    <w:p w:rsidR="004616E1" w:rsidRPr="00D64605" w:rsidRDefault="004616E1"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tab/>
      </w:r>
      <w:r w:rsidRPr="00D64605">
        <w:rPr>
          <w:sz w:val="26"/>
          <w:szCs w:val="26"/>
        </w:rPr>
        <w:tab/>
        <w:t>By a Telephonic Hearing Noti</w:t>
      </w:r>
      <w:r w:rsidR="00034173" w:rsidRPr="00D64605">
        <w:rPr>
          <w:sz w:val="26"/>
          <w:szCs w:val="26"/>
        </w:rPr>
        <w:t>ce dated January 31, 2013, the P</w:t>
      </w:r>
      <w:r w:rsidRPr="00D64605">
        <w:rPr>
          <w:sz w:val="26"/>
          <w:szCs w:val="26"/>
        </w:rPr>
        <w:t>arties were notified that an Initial Telephonic Hearing was sched</w:t>
      </w:r>
      <w:r w:rsidR="00034173" w:rsidRPr="00D64605">
        <w:rPr>
          <w:sz w:val="26"/>
          <w:szCs w:val="26"/>
        </w:rPr>
        <w:t xml:space="preserve">uled for </w:t>
      </w:r>
      <w:r w:rsidRPr="00D64605">
        <w:rPr>
          <w:sz w:val="26"/>
          <w:szCs w:val="26"/>
        </w:rPr>
        <w:t>March 21, 2013.  On March</w:t>
      </w:r>
      <w:r w:rsidR="008F073C">
        <w:rPr>
          <w:sz w:val="26"/>
          <w:szCs w:val="26"/>
        </w:rPr>
        <w:t> </w:t>
      </w:r>
      <w:r w:rsidRPr="00D64605">
        <w:rPr>
          <w:sz w:val="26"/>
          <w:szCs w:val="26"/>
        </w:rPr>
        <w:t xml:space="preserve">19, 2013, PECO filed an unopposed Motion for Continuance to allow for further investigation of </w:t>
      </w:r>
      <w:r w:rsidR="00034173" w:rsidRPr="00D64605">
        <w:rPr>
          <w:sz w:val="26"/>
          <w:szCs w:val="26"/>
        </w:rPr>
        <w:t xml:space="preserve">the </w:t>
      </w:r>
      <w:r w:rsidRPr="00D64605">
        <w:rPr>
          <w:sz w:val="26"/>
          <w:szCs w:val="26"/>
        </w:rPr>
        <w:t>Complaina</w:t>
      </w:r>
      <w:r w:rsidR="00FD467B" w:rsidRPr="00D64605">
        <w:rPr>
          <w:sz w:val="26"/>
          <w:szCs w:val="26"/>
        </w:rPr>
        <w:t>nt’s high bill allegations.  This</w:t>
      </w:r>
      <w:r w:rsidRPr="00D64605">
        <w:rPr>
          <w:sz w:val="26"/>
          <w:szCs w:val="26"/>
        </w:rPr>
        <w:t xml:space="preserve"> request was granted in an Order Granting a Continuance, </w:t>
      </w:r>
      <w:r w:rsidR="00034173" w:rsidRPr="00D64605">
        <w:rPr>
          <w:sz w:val="26"/>
          <w:szCs w:val="26"/>
        </w:rPr>
        <w:t>issued by the ALJ on</w:t>
      </w:r>
      <w:r w:rsidRPr="00D64605">
        <w:rPr>
          <w:sz w:val="26"/>
          <w:szCs w:val="26"/>
        </w:rPr>
        <w:t xml:space="preserve"> March 19, 2013.</w:t>
      </w:r>
    </w:p>
    <w:p w:rsidR="00034173" w:rsidRPr="00D64605" w:rsidRDefault="00034173"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tab/>
      </w:r>
      <w:r w:rsidRPr="00D64605">
        <w:rPr>
          <w:sz w:val="26"/>
          <w:szCs w:val="26"/>
        </w:rPr>
        <w:tab/>
      </w:r>
      <w:r w:rsidR="00CB4269" w:rsidRPr="00D64605">
        <w:rPr>
          <w:sz w:val="26"/>
          <w:szCs w:val="26"/>
        </w:rPr>
        <w:t>ALJ Melillo conducted a telephonic hearing o</w:t>
      </w:r>
      <w:r w:rsidRPr="00D64605">
        <w:rPr>
          <w:sz w:val="26"/>
          <w:szCs w:val="26"/>
        </w:rPr>
        <w:t xml:space="preserve">n May </w:t>
      </w:r>
      <w:r w:rsidR="00CB4269" w:rsidRPr="00D64605">
        <w:rPr>
          <w:sz w:val="26"/>
          <w:szCs w:val="26"/>
        </w:rPr>
        <w:t>2, 2013</w:t>
      </w:r>
      <w:r w:rsidRPr="00D64605">
        <w:rPr>
          <w:sz w:val="26"/>
          <w:szCs w:val="26"/>
        </w:rPr>
        <w:t xml:space="preserve">.  </w:t>
      </w:r>
      <w:r w:rsidR="00034173" w:rsidRPr="00D64605">
        <w:rPr>
          <w:sz w:val="26"/>
          <w:szCs w:val="26"/>
        </w:rPr>
        <w:t xml:space="preserve">The </w:t>
      </w:r>
      <w:r w:rsidRPr="00D64605">
        <w:rPr>
          <w:sz w:val="26"/>
          <w:szCs w:val="26"/>
        </w:rPr>
        <w:t xml:space="preserve">Complainant appeared </w:t>
      </w:r>
      <w:r w:rsidRPr="00D64605">
        <w:rPr>
          <w:i/>
          <w:sz w:val="26"/>
          <w:szCs w:val="26"/>
        </w:rPr>
        <w:t>pro se</w:t>
      </w:r>
      <w:r w:rsidRPr="00D64605">
        <w:rPr>
          <w:sz w:val="26"/>
          <w:szCs w:val="26"/>
        </w:rPr>
        <w:t xml:space="preserve">, testified </w:t>
      </w:r>
      <w:r w:rsidR="00AD4FAD" w:rsidRPr="00D64605">
        <w:rPr>
          <w:sz w:val="26"/>
          <w:szCs w:val="26"/>
        </w:rPr>
        <w:t>o</w:t>
      </w:r>
      <w:r w:rsidRPr="00D64605">
        <w:rPr>
          <w:sz w:val="26"/>
          <w:szCs w:val="26"/>
        </w:rPr>
        <w:t xml:space="preserve">n his own behalf, and presented no other witnesses and no exhibits.  PECO, which was represented by </w:t>
      </w:r>
      <w:r w:rsidR="00034173" w:rsidRPr="00D64605">
        <w:rPr>
          <w:sz w:val="26"/>
          <w:szCs w:val="26"/>
        </w:rPr>
        <w:t xml:space="preserve">counsel, presented two </w:t>
      </w:r>
      <w:r w:rsidRPr="00D64605">
        <w:rPr>
          <w:sz w:val="26"/>
          <w:szCs w:val="26"/>
        </w:rPr>
        <w:t xml:space="preserve">witnesses and </w:t>
      </w:r>
      <w:r w:rsidR="00034173" w:rsidRPr="00D64605">
        <w:rPr>
          <w:sz w:val="26"/>
          <w:szCs w:val="26"/>
        </w:rPr>
        <w:t xml:space="preserve">sponsored eleven </w:t>
      </w:r>
      <w:r w:rsidRPr="00D64605">
        <w:rPr>
          <w:sz w:val="26"/>
          <w:szCs w:val="26"/>
        </w:rPr>
        <w:t>exhibits (PECO Energy Exhibit Nos. 1 through 11)</w:t>
      </w:r>
      <w:r w:rsidR="00AD4FAD" w:rsidRPr="00D64605">
        <w:rPr>
          <w:sz w:val="26"/>
          <w:szCs w:val="26"/>
        </w:rPr>
        <w:t>, which were admitted into evidence</w:t>
      </w:r>
      <w:r w:rsidRPr="00D64605">
        <w:rPr>
          <w:sz w:val="26"/>
          <w:szCs w:val="26"/>
        </w:rPr>
        <w:t>.</w:t>
      </w:r>
      <w:r w:rsidR="00034173" w:rsidRPr="00D64605">
        <w:rPr>
          <w:sz w:val="26"/>
          <w:szCs w:val="26"/>
        </w:rPr>
        <w:t xml:space="preserve">  The record was closed on May 31, 2013.</w:t>
      </w:r>
    </w:p>
    <w:p w:rsidR="00034173" w:rsidRPr="00D64605" w:rsidRDefault="00034173" w:rsidP="00D64605">
      <w:pPr>
        <w:widowControl/>
        <w:spacing w:line="360" w:lineRule="auto"/>
        <w:outlineLvl w:val="0"/>
        <w:rPr>
          <w:sz w:val="26"/>
          <w:szCs w:val="26"/>
        </w:rPr>
      </w:pPr>
    </w:p>
    <w:p w:rsidR="00CB4269" w:rsidRPr="00D64605" w:rsidRDefault="00034173" w:rsidP="00D64605">
      <w:pPr>
        <w:widowControl/>
        <w:spacing w:line="360" w:lineRule="auto"/>
        <w:rPr>
          <w:sz w:val="26"/>
          <w:szCs w:val="26"/>
        </w:rPr>
      </w:pPr>
      <w:r w:rsidRPr="00D64605">
        <w:rPr>
          <w:sz w:val="26"/>
          <w:szCs w:val="26"/>
        </w:rPr>
        <w:tab/>
      </w:r>
      <w:r w:rsidRPr="00D64605">
        <w:rPr>
          <w:sz w:val="26"/>
          <w:szCs w:val="26"/>
        </w:rPr>
        <w:tab/>
      </w:r>
      <w:r w:rsidR="009E7C56" w:rsidRPr="00D64605">
        <w:rPr>
          <w:sz w:val="26"/>
          <w:szCs w:val="26"/>
        </w:rPr>
        <w:t>In her</w:t>
      </w:r>
      <w:r w:rsidR="00CB4269" w:rsidRPr="00D64605">
        <w:rPr>
          <w:sz w:val="26"/>
          <w:szCs w:val="26"/>
        </w:rPr>
        <w:t xml:space="preserve"> Initial Decision, issued on July 10, 2</w:t>
      </w:r>
      <w:r w:rsidR="00FD467B" w:rsidRPr="00D64605">
        <w:rPr>
          <w:sz w:val="26"/>
          <w:szCs w:val="26"/>
        </w:rPr>
        <w:t>013, ALJ Melillo found that</w:t>
      </w:r>
      <w:r w:rsidR="00CB4269" w:rsidRPr="00D64605">
        <w:rPr>
          <w:sz w:val="26"/>
          <w:szCs w:val="26"/>
        </w:rPr>
        <w:t xml:space="preserve"> the Complainant had failed to establish a </w:t>
      </w:r>
      <w:r w:rsidR="00CB4269" w:rsidRPr="00D64605">
        <w:rPr>
          <w:i/>
          <w:sz w:val="26"/>
          <w:szCs w:val="26"/>
        </w:rPr>
        <w:t>prima facie</w:t>
      </w:r>
      <w:r w:rsidR="00CB4269" w:rsidRPr="00D64605">
        <w:rPr>
          <w:sz w:val="26"/>
          <w:szCs w:val="26"/>
        </w:rPr>
        <w:t xml:space="preserve"> case of excessive billing or entitlement to another Commission-issued payment agreement.  As previously indicated, the Complainant filed Exceptions on July 29, 2012.</w:t>
      </w:r>
      <w:r w:rsidR="00CB4269" w:rsidRPr="00D64605">
        <w:rPr>
          <w:rStyle w:val="FootnoteReference"/>
          <w:sz w:val="26"/>
          <w:szCs w:val="26"/>
        </w:rPr>
        <w:footnoteReference w:id="2"/>
      </w:r>
      <w:r w:rsidR="00CB4269" w:rsidRPr="00D64605">
        <w:rPr>
          <w:sz w:val="26"/>
          <w:szCs w:val="26"/>
        </w:rPr>
        <w:t xml:space="preserve">  PECO filed Reply Exceptions on August 12, 2013.</w:t>
      </w:r>
    </w:p>
    <w:p w:rsidR="00E74DFB" w:rsidRPr="00D64605" w:rsidRDefault="00E74DFB" w:rsidP="00D64605">
      <w:pPr>
        <w:widowControl/>
        <w:spacing w:line="360" w:lineRule="auto"/>
        <w:rPr>
          <w:sz w:val="26"/>
          <w:szCs w:val="26"/>
        </w:rPr>
      </w:pPr>
    </w:p>
    <w:p w:rsidR="00CB4269" w:rsidRPr="00D64605" w:rsidRDefault="00CB4269" w:rsidP="00D64605">
      <w:pPr>
        <w:widowControl/>
        <w:spacing w:line="360" w:lineRule="auto"/>
        <w:jc w:val="center"/>
        <w:rPr>
          <w:b/>
          <w:sz w:val="26"/>
          <w:szCs w:val="26"/>
        </w:rPr>
      </w:pPr>
      <w:r w:rsidRPr="00D64605">
        <w:rPr>
          <w:b/>
          <w:sz w:val="26"/>
          <w:szCs w:val="26"/>
        </w:rPr>
        <w:lastRenderedPageBreak/>
        <w:t>Discussion</w:t>
      </w:r>
    </w:p>
    <w:p w:rsidR="00325DAC" w:rsidRPr="00D64605" w:rsidRDefault="00325DAC" w:rsidP="00D64605">
      <w:pPr>
        <w:widowControl/>
        <w:spacing w:line="360" w:lineRule="auto"/>
        <w:jc w:val="center"/>
        <w:rPr>
          <w:b/>
          <w:sz w:val="26"/>
          <w:szCs w:val="26"/>
        </w:rPr>
      </w:pPr>
    </w:p>
    <w:p w:rsidR="00325DAC" w:rsidRPr="00D64605" w:rsidRDefault="00325DAC" w:rsidP="00D64605">
      <w:pPr>
        <w:widowControl/>
        <w:spacing w:line="360" w:lineRule="auto"/>
        <w:rPr>
          <w:sz w:val="26"/>
          <w:szCs w:val="26"/>
        </w:rPr>
      </w:pPr>
      <w:r w:rsidRPr="00D64605">
        <w:rPr>
          <w:b/>
          <w:sz w:val="26"/>
          <w:szCs w:val="26"/>
        </w:rPr>
        <w:t>Legal Standards</w:t>
      </w:r>
    </w:p>
    <w:p w:rsidR="00CB4269" w:rsidRPr="00D64605" w:rsidRDefault="00CB4269" w:rsidP="00D64605">
      <w:pPr>
        <w:widowControl/>
        <w:spacing w:line="360" w:lineRule="auto"/>
        <w:ind w:firstLine="1440"/>
        <w:rPr>
          <w:sz w:val="26"/>
          <w:szCs w:val="26"/>
        </w:rPr>
      </w:pPr>
    </w:p>
    <w:p w:rsidR="00CB4269" w:rsidRPr="00D64605" w:rsidRDefault="00CB4269" w:rsidP="00D64605">
      <w:pPr>
        <w:widowControl/>
        <w:spacing w:line="360" w:lineRule="auto"/>
        <w:ind w:firstLine="1440"/>
        <w:rPr>
          <w:sz w:val="26"/>
          <w:szCs w:val="26"/>
        </w:rPr>
      </w:pPr>
      <w:r w:rsidRPr="00D64605">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Complainant’s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CB4269" w:rsidRPr="00D64605" w:rsidRDefault="00CB4269" w:rsidP="00D64605">
      <w:pPr>
        <w:widowControl/>
        <w:spacing w:line="360" w:lineRule="auto"/>
        <w:rPr>
          <w:sz w:val="26"/>
          <w:szCs w:val="26"/>
        </w:rPr>
      </w:pPr>
    </w:p>
    <w:p w:rsidR="00CB4269" w:rsidRPr="00D64605" w:rsidRDefault="00F34EA2" w:rsidP="00D64605">
      <w:pPr>
        <w:widowControl/>
        <w:spacing w:line="360" w:lineRule="auto"/>
        <w:ind w:firstLine="1440"/>
        <w:rPr>
          <w:sz w:val="26"/>
        </w:rPr>
      </w:pPr>
      <w:r w:rsidRPr="00D64605">
        <w:rPr>
          <w:sz w:val="26"/>
        </w:rPr>
        <w:t>Upon the presentation by a C</w:t>
      </w:r>
      <w:r w:rsidR="00CB4269" w:rsidRPr="00D64605">
        <w:rPr>
          <w:sz w:val="26"/>
        </w:rPr>
        <w:t xml:space="preserve">omplainant of evidence sufficient to initially satisfy the burden of proof, the burden of going forward with the evidence, sometimes called the burden of persuasion, to rebut the evidence of the </w:t>
      </w:r>
      <w:r w:rsidRPr="00D64605">
        <w:rPr>
          <w:sz w:val="26"/>
        </w:rPr>
        <w:t>C</w:t>
      </w:r>
      <w:r w:rsidR="00CB4269" w:rsidRPr="00D64605">
        <w:rPr>
          <w:sz w:val="26"/>
        </w:rPr>
        <w:t>omplainant shifts</w:t>
      </w:r>
      <w:r w:rsidRPr="00D64605">
        <w:rPr>
          <w:sz w:val="26"/>
        </w:rPr>
        <w:t xml:space="preserve"> to the R</w:t>
      </w:r>
      <w:r w:rsidR="00CB4269" w:rsidRPr="00D64605">
        <w:rPr>
          <w:sz w:val="26"/>
        </w:rPr>
        <w:t>espondent.  If</w:t>
      </w:r>
      <w:r w:rsidRPr="00D64605">
        <w:rPr>
          <w:sz w:val="26"/>
        </w:rPr>
        <w:t xml:space="preserve"> the evidence presented by the R</w:t>
      </w:r>
      <w:r w:rsidR="00CB4269" w:rsidRPr="00D64605">
        <w:rPr>
          <w:sz w:val="26"/>
        </w:rPr>
        <w:t xml:space="preserve">espondent is of co-equal value or “weight,” the burden of proof has not been satisfied.  </w:t>
      </w:r>
      <w:r w:rsidRPr="00D64605">
        <w:rPr>
          <w:sz w:val="26"/>
        </w:rPr>
        <w:t>The C</w:t>
      </w:r>
      <w:r w:rsidR="00CB4269" w:rsidRPr="00D64605">
        <w:rPr>
          <w:sz w:val="26"/>
        </w:rPr>
        <w:t>omplainant now has to provide some additional</w:t>
      </w:r>
      <w:r w:rsidRPr="00D64605">
        <w:rPr>
          <w:sz w:val="26"/>
        </w:rPr>
        <w:t xml:space="preserve"> evidence to rebut that of the R</w:t>
      </w:r>
      <w:r w:rsidR="00CB4269" w:rsidRPr="00D64605">
        <w:rPr>
          <w:sz w:val="26"/>
        </w:rPr>
        <w:t xml:space="preserve">espondent. </w:t>
      </w:r>
      <w:r w:rsidR="00CB4269" w:rsidRPr="00D64605">
        <w:rPr>
          <w:iCs/>
          <w:sz w:val="26"/>
        </w:rPr>
        <w:t xml:space="preserve"> </w:t>
      </w:r>
      <w:hyperlink r:id="rId7" w:history="1">
        <w:r w:rsidR="00CB4269" w:rsidRPr="00D64605">
          <w:rPr>
            <w:rStyle w:val="Hyperlink"/>
            <w:rFonts w:ascii="Times New (W1)" w:hAnsi="Times New (W1)"/>
            <w:i/>
            <w:iCs/>
            <w:color w:val="auto"/>
            <w:sz w:val="26"/>
            <w:u w:val="none"/>
          </w:rPr>
          <w:t>Burleson v. Pa. PUC,</w:t>
        </w:r>
        <w:r w:rsidR="00CB4269" w:rsidRPr="00D64605">
          <w:rPr>
            <w:rStyle w:val="Hyperlink"/>
            <w:rFonts w:ascii="Times New (W1)" w:hAnsi="Times New (W1)"/>
            <w:iCs/>
            <w:color w:val="auto"/>
            <w:sz w:val="26"/>
            <w:u w:val="none"/>
          </w:rPr>
          <w:t xml:space="preserve"> 443 A.2d 1373 (Pa. Cmwlth. 1982), </w:t>
        </w:r>
        <w:r w:rsidR="00CB4269" w:rsidRPr="00D64605">
          <w:rPr>
            <w:rStyle w:val="Hyperlink"/>
            <w:rFonts w:ascii="Times New (W1)" w:hAnsi="Times New (W1)"/>
            <w:i/>
            <w:iCs/>
            <w:color w:val="auto"/>
            <w:sz w:val="26"/>
            <w:u w:val="none"/>
          </w:rPr>
          <w:t>aff’d,</w:t>
        </w:r>
        <w:r w:rsidR="00CB4269" w:rsidRPr="00D64605">
          <w:rPr>
            <w:rStyle w:val="Hyperlink"/>
            <w:rFonts w:ascii="Times New (W1)" w:hAnsi="Times New (W1)"/>
            <w:iCs/>
            <w:color w:val="auto"/>
            <w:sz w:val="26"/>
            <w:u w:val="none"/>
          </w:rPr>
          <w:t xml:space="preserve"> 501 Pa. 433, 461 A.2d 1234 (1983).</w:t>
        </w:r>
      </w:hyperlink>
      <w:r w:rsidR="00CB4269" w:rsidRPr="00D64605">
        <w:rPr>
          <w:rStyle w:val="Hyperlink"/>
          <w:rFonts w:ascii="Times New (W1)" w:hAnsi="Times New (W1)"/>
          <w:iCs/>
          <w:color w:val="auto"/>
          <w:sz w:val="26"/>
          <w:u w:val="none"/>
        </w:rPr>
        <w:t xml:space="preserve">  </w:t>
      </w:r>
      <w:r w:rsidR="00CB4269" w:rsidRPr="00D64605">
        <w:rPr>
          <w:sz w:val="26"/>
        </w:rPr>
        <w:t xml:space="preserve">While the burden of persuasion may </w:t>
      </w:r>
      <w:r w:rsidR="00CB4269" w:rsidRPr="00D64605">
        <w:rPr>
          <w:rStyle w:val="term1"/>
          <w:b w:val="0"/>
          <w:bCs w:val="0"/>
          <w:sz w:val="26"/>
        </w:rPr>
        <w:t>shift</w:t>
      </w:r>
      <w:r w:rsidR="00CB4269" w:rsidRPr="00D64605">
        <w:rPr>
          <w:sz w:val="26"/>
        </w:rPr>
        <w:t xml:space="preserve"> back and forth during a proceeding, the </w:t>
      </w:r>
      <w:r w:rsidR="00CB4269" w:rsidRPr="00D64605">
        <w:rPr>
          <w:rStyle w:val="term1"/>
          <w:b w:val="0"/>
          <w:bCs w:val="0"/>
          <w:sz w:val="26"/>
        </w:rPr>
        <w:t>burden of proof</w:t>
      </w:r>
      <w:r w:rsidR="00CB4269" w:rsidRPr="00D64605">
        <w:rPr>
          <w:sz w:val="26"/>
        </w:rPr>
        <w:t xml:space="preserve"> never </w:t>
      </w:r>
      <w:r w:rsidR="00CB4269" w:rsidRPr="00D64605">
        <w:rPr>
          <w:rStyle w:val="term1"/>
          <w:b w:val="0"/>
          <w:bCs w:val="0"/>
          <w:sz w:val="26"/>
        </w:rPr>
        <w:t>shifts. The burden of proof</w:t>
      </w:r>
      <w:r w:rsidR="00CB4269" w:rsidRPr="00D64605">
        <w:rPr>
          <w:sz w:val="26"/>
        </w:rPr>
        <w:t xml:space="preserve"> always remains on the party seeking affirmative relief from the Commission.  </w:t>
      </w:r>
      <w:r w:rsidR="00CB4269" w:rsidRPr="00D64605">
        <w:rPr>
          <w:i/>
          <w:sz w:val="26"/>
        </w:rPr>
        <w:t xml:space="preserve">Milkie v. Pa. PUC, </w:t>
      </w:r>
      <w:r w:rsidR="00CB4269" w:rsidRPr="00D64605">
        <w:rPr>
          <w:sz w:val="26"/>
        </w:rPr>
        <w:t>768 A.2d 1217 (Pa. Cmwlth. 2001).</w:t>
      </w:r>
    </w:p>
    <w:p w:rsidR="00E74DFB" w:rsidRPr="00D64605" w:rsidRDefault="00E74DFB" w:rsidP="00D64605">
      <w:pPr>
        <w:widowControl/>
        <w:spacing w:line="360" w:lineRule="auto"/>
        <w:ind w:firstLine="1440"/>
        <w:rPr>
          <w:sz w:val="26"/>
        </w:rPr>
      </w:pPr>
      <w:r w:rsidRPr="00D64605">
        <w:rPr>
          <w:sz w:val="26"/>
          <w:szCs w:val="26"/>
        </w:rPr>
        <w:lastRenderedPageBreak/>
        <w:t xml:space="preserve">The burden of proof for “high bill” complaints has been explained in </w:t>
      </w:r>
      <w:r w:rsidRPr="00D64605">
        <w:rPr>
          <w:i/>
          <w:sz w:val="26"/>
          <w:szCs w:val="26"/>
        </w:rPr>
        <w:t>Waldron v. Philadelphia Electric Company</w:t>
      </w:r>
      <w:r w:rsidRPr="00D64605">
        <w:rPr>
          <w:sz w:val="26"/>
          <w:szCs w:val="26"/>
        </w:rPr>
        <w:t xml:space="preserve">, 54 Pa. P.U.C. 98 (1980), and its progeny.  </w:t>
      </w:r>
      <w:r w:rsidRPr="00D64605">
        <w:rPr>
          <w:sz w:val="26"/>
        </w:rPr>
        <w:t>In </w:t>
      </w:r>
      <w:r w:rsidRPr="00D64605">
        <w:rPr>
          <w:i/>
          <w:sz w:val="26"/>
          <w:szCs w:val="26"/>
        </w:rPr>
        <w:t>Waldron</w:t>
      </w:r>
      <w:r w:rsidRPr="00D64605">
        <w:rPr>
          <w:sz w:val="26"/>
        </w:rPr>
        <w:t xml:space="preserve">, the Commission adopted the Michigan Public Service Commission’s (PSC’s) policy annunciated in </w:t>
      </w:r>
      <w:r w:rsidRPr="00D64605">
        <w:rPr>
          <w:i/>
          <w:sz w:val="26"/>
        </w:rPr>
        <w:t>Hallifax v. O &amp; A Electric Co-Op</w:t>
      </w:r>
      <w:r w:rsidRPr="00D64605">
        <w:rPr>
          <w:sz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D64605" w:rsidDel="000555B3">
        <w:rPr>
          <w:rFonts w:eastAsiaTheme="minorEastAsia"/>
          <w:sz w:val="26"/>
          <w:vertAlign w:val="superscript"/>
        </w:rPr>
        <w:t xml:space="preserve"> </w:t>
      </w:r>
      <w:r w:rsidRPr="00D64605">
        <w:rPr>
          <w:sz w:val="26"/>
        </w:rPr>
        <w:t xml:space="preserve">  </w:t>
      </w:r>
      <w:r w:rsidRPr="00D64605">
        <w:rPr>
          <w:i/>
          <w:sz w:val="26"/>
        </w:rPr>
        <w:t>Waldron</w:t>
      </w:r>
      <w:r w:rsidRPr="00D64605">
        <w:rPr>
          <w:sz w:val="26"/>
        </w:rPr>
        <w:t xml:space="preserve"> at 100.</w:t>
      </w:r>
    </w:p>
    <w:p w:rsidR="00E74DFB" w:rsidRPr="00D64605" w:rsidRDefault="00E74DFB" w:rsidP="00D64605">
      <w:pPr>
        <w:widowControl/>
        <w:spacing w:after="200" w:line="276" w:lineRule="auto"/>
        <w:rPr>
          <w:sz w:val="26"/>
        </w:rPr>
      </w:pPr>
    </w:p>
    <w:p w:rsidR="00E74DFB" w:rsidRPr="00D64605" w:rsidRDefault="00E74DFB" w:rsidP="00D64605">
      <w:pPr>
        <w:keepNext/>
        <w:widowControl/>
        <w:spacing w:line="360" w:lineRule="auto"/>
        <w:ind w:firstLine="1440"/>
        <w:rPr>
          <w:sz w:val="26"/>
        </w:rPr>
      </w:pPr>
      <w:r w:rsidRPr="00D64605">
        <w:rPr>
          <w:sz w:val="26"/>
        </w:rPr>
        <w:t xml:space="preserve">The Commission recently explained the burden of proof set forth in </w:t>
      </w:r>
      <w:r w:rsidRPr="00D64605">
        <w:rPr>
          <w:i/>
          <w:sz w:val="26"/>
        </w:rPr>
        <w:t>Waldron</w:t>
      </w:r>
      <w:r w:rsidRPr="00D64605">
        <w:rPr>
          <w:sz w:val="26"/>
        </w:rPr>
        <w:t xml:space="preserve"> as follows:  </w:t>
      </w:r>
    </w:p>
    <w:p w:rsidR="00E74DFB" w:rsidRPr="00D64605" w:rsidRDefault="00E74DFB" w:rsidP="00D64605">
      <w:pPr>
        <w:keepNext/>
        <w:widowControl/>
        <w:spacing w:line="360" w:lineRule="auto"/>
        <w:ind w:firstLine="1440"/>
        <w:rPr>
          <w:sz w:val="26"/>
        </w:rPr>
      </w:pPr>
    </w:p>
    <w:p w:rsidR="00E74DFB" w:rsidRPr="00D64605" w:rsidRDefault="00E74DFB" w:rsidP="00D64605">
      <w:pPr>
        <w:widowControl/>
        <w:ind w:left="1440" w:right="1440"/>
        <w:rPr>
          <w:rFonts w:cs="Arial"/>
          <w:sz w:val="26"/>
          <w:szCs w:val="26"/>
        </w:rPr>
      </w:pPr>
      <w:r w:rsidRPr="00D64605">
        <w:rPr>
          <w:sz w:val="26"/>
        </w:rPr>
        <w:t xml:space="preserve">[T]he </w:t>
      </w:r>
      <w:r w:rsidRPr="00D64605">
        <w:rPr>
          <w:i/>
          <w:sz w:val="26"/>
        </w:rPr>
        <w:t xml:space="preserve">Waldron </w:t>
      </w:r>
      <w:r w:rsidRPr="00D64605">
        <w:rPr>
          <w:sz w:val="26"/>
        </w:rPr>
        <w:t xml:space="preserve">Rule allows a complainant to establish a </w:t>
      </w:r>
      <w:r w:rsidRPr="00D64605">
        <w:rPr>
          <w:i/>
          <w:sz w:val="26"/>
        </w:rPr>
        <w:t xml:space="preserve">prima facie </w:t>
      </w:r>
      <w:r w:rsidRPr="00D64605">
        <w:rPr>
          <w:sz w:val="26"/>
        </w:rPr>
        <w:t xml:space="preserve">case in a “high bill” complaint by showing that the disputed bill is abnormally high when compared to prior usage patterns and his or her pattern of usage has not changed </w:t>
      </w:r>
      <w:r w:rsidRPr="00D64605">
        <w:rPr>
          <w:i/>
          <w:sz w:val="26"/>
        </w:rPr>
        <w:t>or</w:t>
      </w:r>
      <w:r w:rsidRPr="00D64605">
        <w:rPr>
          <w:sz w:val="26"/>
        </w:rPr>
        <w:t> </w:t>
      </w:r>
      <w:r w:rsidRPr="00D64605">
        <w:rPr>
          <w:i/>
          <w:sz w:val="26"/>
        </w:rPr>
        <w:t>by providing other relevant evidence showing that the disputed bill is unreasonably high</w:t>
      </w:r>
      <w:r w:rsidRPr="00D64605">
        <w:rPr>
          <w:sz w:val="26"/>
        </w:rPr>
        <w:t>.  In evaluating a “high bill” complaint,</w:t>
      </w:r>
      <w:r w:rsidRPr="00D64605">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w:t>
      </w:r>
    </w:p>
    <w:p w:rsidR="00E74DFB" w:rsidRPr="00D64605" w:rsidRDefault="00E74DFB" w:rsidP="00D64605">
      <w:pPr>
        <w:keepNext/>
        <w:widowControl/>
        <w:ind w:left="1440" w:right="1440"/>
        <w:rPr>
          <w:rFonts w:cs="Arial"/>
          <w:sz w:val="26"/>
          <w:szCs w:val="26"/>
        </w:rPr>
      </w:pPr>
      <w:r w:rsidRPr="00D64605">
        <w:rPr>
          <w:rFonts w:cs="Arial"/>
          <w:i/>
          <w:sz w:val="26"/>
          <w:szCs w:val="26"/>
        </w:rPr>
        <w:t>and</w:t>
      </w:r>
      <w:r w:rsidRPr="00D64605">
        <w:rPr>
          <w:rFonts w:cs="Arial"/>
          <w:b/>
          <w:i/>
          <w:sz w:val="26"/>
          <w:szCs w:val="26"/>
        </w:rPr>
        <w:t xml:space="preserve"> </w:t>
      </w:r>
      <w:r w:rsidRPr="00D64605">
        <w:rPr>
          <w:rFonts w:cs="Arial"/>
          <w:i/>
          <w:sz w:val="26"/>
          <w:szCs w:val="26"/>
        </w:rPr>
        <w:t>any other relevant facts or circumstances that come to light during the proceeding</w:t>
      </w:r>
      <w:r w:rsidRPr="00D64605">
        <w:rPr>
          <w:rFonts w:cs="Arial"/>
          <w:sz w:val="26"/>
          <w:szCs w:val="26"/>
        </w:rPr>
        <w:t>.”</w:t>
      </w:r>
    </w:p>
    <w:p w:rsidR="00E74DFB" w:rsidRPr="00D64605" w:rsidRDefault="00E74DFB" w:rsidP="00D64605">
      <w:pPr>
        <w:keepNext/>
        <w:widowControl/>
        <w:spacing w:line="360" w:lineRule="auto"/>
        <w:ind w:left="1440" w:right="1440"/>
        <w:rPr>
          <w:rFonts w:cs="Arial"/>
          <w:sz w:val="26"/>
          <w:szCs w:val="26"/>
        </w:rPr>
      </w:pPr>
    </w:p>
    <w:p w:rsidR="00E74DFB" w:rsidRPr="00D64605" w:rsidRDefault="00E74DFB" w:rsidP="00D64605">
      <w:pPr>
        <w:keepNext/>
        <w:widowControl/>
        <w:spacing w:line="360" w:lineRule="auto"/>
        <w:rPr>
          <w:sz w:val="26"/>
          <w:szCs w:val="26"/>
        </w:rPr>
      </w:pPr>
      <w:r w:rsidRPr="00D64605">
        <w:rPr>
          <w:i/>
          <w:sz w:val="26"/>
          <w:szCs w:val="26"/>
        </w:rPr>
        <w:t>Thomas v. PECO Energy Company</w:t>
      </w:r>
      <w:r w:rsidRPr="00D64605">
        <w:rPr>
          <w:sz w:val="26"/>
          <w:szCs w:val="26"/>
        </w:rPr>
        <w:t xml:space="preserve">, Docket No. C-2010-2187197 (Order entered November 15, 2011) </w:t>
      </w:r>
      <w:r w:rsidR="00AD4FAD" w:rsidRPr="00D64605">
        <w:rPr>
          <w:sz w:val="26"/>
          <w:szCs w:val="26"/>
        </w:rPr>
        <w:t xml:space="preserve">(emphasis in original) </w:t>
      </w:r>
      <w:r w:rsidRPr="00D64605">
        <w:rPr>
          <w:sz w:val="26"/>
          <w:szCs w:val="26"/>
        </w:rPr>
        <w:t xml:space="preserve">at 5; </w:t>
      </w:r>
      <w:r w:rsidRPr="00D64605">
        <w:rPr>
          <w:i/>
          <w:sz w:val="26"/>
          <w:szCs w:val="26"/>
        </w:rPr>
        <w:t>see also</w:t>
      </w:r>
      <w:r w:rsidRPr="00D64605">
        <w:rPr>
          <w:sz w:val="26"/>
          <w:szCs w:val="26"/>
        </w:rPr>
        <w:t xml:space="preserve">, </w:t>
      </w:r>
      <w:r w:rsidRPr="00D64605">
        <w:rPr>
          <w:i/>
          <w:sz w:val="26"/>
          <w:szCs w:val="26"/>
        </w:rPr>
        <w:t>Bennett v. The Peoples Natural Gas Company</w:t>
      </w:r>
      <w:r w:rsidRPr="00D64605">
        <w:rPr>
          <w:sz w:val="26"/>
          <w:szCs w:val="26"/>
        </w:rPr>
        <w:t>, Docket No. C-2009-2122979 (Order entered October 13, 2010).</w:t>
      </w:r>
    </w:p>
    <w:p w:rsidR="002A4DD8" w:rsidRPr="00D64605" w:rsidRDefault="002A4DD8" w:rsidP="00D64605">
      <w:pPr>
        <w:widowControl/>
        <w:spacing w:line="360" w:lineRule="auto"/>
        <w:ind w:firstLine="1440"/>
        <w:rPr>
          <w:sz w:val="26"/>
          <w:szCs w:val="26"/>
        </w:rPr>
      </w:pPr>
    </w:p>
    <w:p w:rsidR="002A4DD8" w:rsidRPr="00D64605" w:rsidRDefault="002A4DD8" w:rsidP="00D64605">
      <w:pPr>
        <w:widowControl/>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t>
      </w:r>
      <w:r w:rsidRPr="00D64605">
        <w:rPr>
          <w:sz w:val="26"/>
          <w:szCs w:val="26"/>
        </w:rPr>
        <w:lastRenderedPageBreak/>
        <w:t xml:space="preserve">without further discussion.  The Commission is not required to consider expressly or at length each contention or argument raised by the parties.  </w:t>
      </w:r>
      <w:hyperlink r:id="rId8" w:history="1">
        <w:r w:rsidRPr="00D64605">
          <w:rPr>
            <w:rStyle w:val="Emphasis"/>
            <w:color w:val="000000"/>
            <w:sz w:val="26"/>
            <w:szCs w:val="26"/>
          </w:rPr>
          <w:t xml:space="preserve">Consolidated Rail Corp. v. Pa. PUC, </w:t>
        </w:r>
        <w:r w:rsidRPr="00D64605">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9" w:history="1">
        <w:r w:rsidRPr="00D64605">
          <w:rPr>
            <w:rStyle w:val="Emphasis"/>
            <w:color w:val="000000"/>
            <w:sz w:val="26"/>
            <w:szCs w:val="26"/>
          </w:rPr>
          <w:t>University of Pennsylvania v. Pa. PUC</w:t>
        </w:r>
        <w:r w:rsidRPr="00D64605">
          <w:rPr>
            <w:rStyle w:val="Hyperlink"/>
            <w:color w:val="000000"/>
            <w:sz w:val="26"/>
            <w:szCs w:val="26"/>
            <w:u w:val="none"/>
          </w:rPr>
          <w:t>, 485 A.2d 1217 (Pa. Cmwlth. 1984).</w:t>
        </w:r>
      </w:hyperlink>
    </w:p>
    <w:p w:rsidR="00325DAC" w:rsidRPr="00D64605" w:rsidRDefault="00325DAC" w:rsidP="00D64605">
      <w:pPr>
        <w:widowControl/>
        <w:spacing w:line="360" w:lineRule="auto"/>
        <w:ind w:firstLine="1440"/>
        <w:rPr>
          <w:rStyle w:val="Hyperlink"/>
          <w:color w:val="000000"/>
          <w:sz w:val="26"/>
          <w:szCs w:val="26"/>
          <w:u w:val="none"/>
        </w:rPr>
      </w:pPr>
    </w:p>
    <w:p w:rsidR="00325DAC" w:rsidRPr="00D64605" w:rsidRDefault="00325DAC" w:rsidP="00D64605">
      <w:pPr>
        <w:widowControl/>
        <w:spacing w:line="360" w:lineRule="auto"/>
        <w:rPr>
          <w:b/>
          <w:color w:val="000000"/>
          <w:sz w:val="26"/>
          <w:szCs w:val="26"/>
        </w:rPr>
      </w:pPr>
      <w:r w:rsidRPr="00D64605">
        <w:rPr>
          <w:b/>
          <w:color w:val="000000"/>
          <w:sz w:val="26"/>
          <w:szCs w:val="26"/>
        </w:rPr>
        <w:t>ALJ’s Initial Decision</w:t>
      </w:r>
    </w:p>
    <w:p w:rsidR="00325DAC" w:rsidRPr="00D64605" w:rsidRDefault="00325DAC" w:rsidP="00D64605">
      <w:pPr>
        <w:widowControl/>
        <w:spacing w:line="360" w:lineRule="auto"/>
        <w:ind w:firstLine="1440"/>
        <w:rPr>
          <w:rStyle w:val="Hyperlink"/>
          <w:color w:val="000000"/>
          <w:sz w:val="26"/>
          <w:szCs w:val="26"/>
          <w:u w:val="none"/>
        </w:rPr>
      </w:pPr>
    </w:p>
    <w:p w:rsidR="00325DAC" w:rsidRPr="00D64605" w:rsidRDefault="00325DAC" w:rsidP="00D64605">
      <w:pPr>
        <w:widowControl/>
        <w:spacing w:line="360" w:lineRule="auto"/>
        <w:ind w:firstLine="1440"/>
        <w:rPr>
          <w:sz w:val="26"/>
          <w:szCs w:val="26"/>
        </w:rPr>
      </w:pPr>
      <w:r w:rsidRPr="00D64605">
        <w:rPr>
          <w:sz w:val="26"/>
          <w:szCs w:val="26"/>
        </w:rPr>
        <w:t>ALJ Melillo made nineteen Findings of Fact and reached ten Conclusions of Law.  I.D. at 3-5, 12-14.  The Findings of Fact and Conclusions of Law are incorporated herein by reference and are adopted without comment unless they are either expressly or by necessary implication rejected or modified by this Opinion and Order.</w:t>
      </w:r>
    </w:p>
    <w:p w:rsidR="00F34EA2" w:rsidRPr="00D64605" w:rsidRDefault="00F34EA2" w:rsidP="00D64605">
      <w:pPr>
        <w:widowControl/>
        <w:spacing w:line="360" w:lineRule="auto"/>
        <w:ind w:firstLine="1440"/>
        <w:rPr>
          <w:sz w:val="26"/>
          <w:szCs w:val="26"/>
        </w:rPr>
      </w:pPr>
    </w:p>
    <w:p w:rsidR="00F34EA2" w:rsidRPr="00D64605" w:rsidRDefault="00F34EA2" w:rsidP="00D64605">
      <w:pPr>
        <w:widowControl/>
        <w:spacing w:line="360" w:lineRule="auto"/>
        <w:ind w:firstLine="1440"/>
        <w:rPr>
          <w:sz w:val="26"/>
          <w:szCs w:val="26"/>
        </w:rPr>
      </w:pPr>
      <w:r w:rsidRPr="00D64605">
        <w:rPr>
          <w:sz w:val="26"/>
          <w:szCs w:val="26"/>
        </w:rPr>
        <w:t xml:space="preserve">In her Initial Decision, ALJ Melillo </w:t>
      </w:r>
      <w:r w:rsidR="00003947" w:rsidRPr="00D64605">
        <w:rPr>
          <w:sz w:val="26"/>
          <w:szCs w:val="26"/>
        </w:rPr>
        <w:t xml:space="preserve">concluded that the Complainant had failed to establish a </w:t>
      </w:r>
      <w:r w:rsidR="00003947" w:rsidRPr="00D64605">
        <w:rPr>
          <w:i/>
          <w:sz w:val="26"/>
          <w:szCs w:val="26"/>
        </w:rPr>
        <w:t>prima facie</w:t>
      </w:r>
      <w:r w:rsidR="00003947" w:rsidRPr="00D64605">
        <w:rPr>
          <w:sz w:val="26"/>
          <w:szCs w:val="26"/>
        </w:rPr>
        <w:t xml:space="preserve"> case of excessive billing or entitlement to another Commission-issued payment agreement.  The A</w:t>
      </w:r>
      <w:r w:rsidR="009E7C56" w:rsidRPr="00D64605">
        <w:rPr>
          <w:sz w:val="26"/>
          <w:szCs w:val="26"/>
        </w:rPr>
        <w:t>LJ stated that the Complainant f</w:t>
      </w:r>
      <w:r w:rsidR="00003947" w:rsidRPr="00D64605">
        <w:rPr>
          <w:sz w:val="26"/>
          <w:szCs w:val="26"/>
        </w:rPr>
        <w:t xml:space="preserve">ailed to present any evidence that his bills were unreasonably high, other </w:t>
      </w:r>
      <w:r w:rsidR="004A6217" w:rsidRPr="00D64605">
        <w:rPr>
          <w:sz w:val="26"/>
          <w:szCs w:val="26"/>
        </w:rPr>
        <w:t xml:space="preserve">than stating that his bill did </w:t>
      </w:r>
      <w:r w:rsidR="00003947" w:rsidRPr="00D64605">
        <w:rPr>
          <w:sz w:val="26"/>
          <w:szCs w:val="26"/>
        </w:rPr>
        <w:t>not go down in August 2012 when he was on vacation.</w:t>
      </w:r>
      <w:r w:rsidR="00420631" w:rsidRPr="00D64605">
        <w:rPr>
          <w:sz w:val="26"/>
          <w:szCs w:val="26"/>
        </w:rPr>
        <w:t xml:space="preserve">  According to the ALJ, testimony about one month in the face of an arrearage of this magnitude which has accumulated over many years is insufficient to establish a </w:t>
      </w:r>
      <w:r w:rsidR="00420631" w:rsidRPr="00D64605">
        <w:rPr>
          <w:i/>
          <w:sz w:val="26"/>
          <w:szCs w:val="26"/>
        </w:rPr>
        <w:t>prima facie</w:t>
      </w:r>
      <w:r w:rsidR="00420631" w:rsidRPr="00D64605">
        <w:rPr>
          <w:sz w:val="26"/>
          <w:szCs w:val="26"/>
        </w:rPr>
        <w:t xml:space="preserve"> case in accordance with </w:t>
      </w:r>
      <w:r w:rsidR="00420631" w:rsidRPr="00D64605">
        <w:rPr>
          <w:i/>
          <w:sz w:val="26"/>
          <w:szCs w:val="26"/>
        </w:rPr>
        <w:t xml:space="preserve">Bennett.  </w:t>
      </w:r>
      <w:r w:rsidR="00420631" w:rsidRPr="00D64605">
        <w:rPr>
          <w:sz w:val="26"/>
          <w:szCs w:val="26"/>
        </w:rPr>
        <w:t>I.D. at 9-10.</w:t>
      </w:r>
    </w:p>
    <w:p w:rsidR="00420631" w:rsidRPr="00D64605" w:rsidRDefault="00420631" w:rsidP="00D64605">
      <w:pPr>
        <w:widowControl/>
        <w:spacing w:line="360" w:lineRule="auto"/>
        <w:ind w:firstLine="1440"/>
        <w:rPr>
          <w:sz w:val="26"/>
          <w:szCs w:val="26"/>
        </w:rPr>
      </w:pPr>
    </w:p>
    <w:p w:rsidR="00420631" w:rsidRPr="00D64605" w:rsidRDefault="00420631" w:rsidP="00D64605">
      <w:pPr>
        <w:widowControl/>
        <w:spacing w:line="360" w:lineRule="auto"/>
        <w:ind w:firstLine="1440"/>
        <w:rPr>
          <w:sz w:val="26"/>
          <w:szCs w:val="26"/>
        </w:rPr>
      </w:pPr>
      <w:r w:rsidRPr="00D64605">
        <w:rPr>
          <w:sz w:val="26"/>
          <w:szCs w:val="26"/>
        </w:rPr>
        <w:t>Furthermore, the ALJ found that PECO presented evidence based upon a high bill investigation that the Complainant had the potential to utilize the energy for which he was being billed, that there had been very little change in the number and type of appliances in use</w:t>
      </w:r>
      <w:r w:rsidR="001037D2">
        <w:rPr>
          <w:sz w:val="26"/>
          <w:szCs w:val="26"/>
        </w:rPr>
        <w:t>,</w:t>
      </w:r>
      <w:r w:rsidRPr="00D64605">
        <w:rPr>
          <w:sz w:val="26"/>
          <w:szCs w:val="26"/>
        </w:rPr>
        <w:t xml:space="preserve"> and that the Complainant’s meter tested within the standards for accuracy.  As a result, the ALJ concluded that the billings to Mr. Blackshir were accurate and reflected the actual usage of the household.  </w:t>
      </w:r>
      <w:r w:rsidRPr="00D64605">
        <w:rPr>
          <w:i/>
          <w:sz w:val="26"/>
          <w:szCs w:val="26"/>
        </w:rPr>
        <w:t>Id</w:t>
      </w:r>
      <w:r w:rsidRPr="00D64605">
        <w:rPr>
          <w:sz w:val="26"/>
          <w:szCs w:val="26"/>
        </w:rPr>
        <w:t>. at 10-11.</w:t>
      </w:r>
    </w:p>
    <w:p w:rsidR="004A6217" w:rsidRPr="00D64605" w:rsidRDefault="004A6217" w:rsidP="00D64605">
      <w:pPr>
        <w:widowControl/>
        <w:spacing w:line="360" w:lineRule="auto"/>
        <w:ind w:firstLine="1440"/>
        <w:rPr>
          <w:sz w:val="26"/>
          <w:szCs w:val="26"/>
        </w:rPr>
      </w:pPr>
    </w:p>
    <w:p w:rsidR="00314030" w:rsidRPr="00D64605" w:rsidRDefault="004A6217" w:rsidP="00D64605">
      <w:pPr>
        <w:widowControl/>
        <w:spacing w:line="360" w:lineRule="auto"/>
        <w:ind w:firstLine="1440"/>
        <w:rPr>
          <w:sz w:val="26"/>
          <w:szCs w:val="26"/>
        </w:rPr>
      </w:pPr>
      <w:r w:rsidRPr="00D64605">
        <w:rPr>
          <w:sz w:val="26"/>
          <w:szCs w:val="26"/>
        </w:rPr>
        <w:lastRenderedPageBreak/>
        <w:t>Lastly, the ALJ noted that pursuant to 66 Pa. C.S. 1405(d), absent a change in income, the Commission is limited to establishing one payment agreement for a customer if that customer has defaulted on a previous payment agreement.</w:t>
      </w:r>
      <w:r w:rsidR="003132F6" w:rsidRPr="00D64605">
        <w:rPr>
          <w:sz w:val="26"/>
          <w:szCs w:val="26"/>
        </w:rPr>
        <w:t xml:space="preserve">  The ALJ stated that the Commission established a payment agreement for the Complainant in May of 2008, when the BCS issued an informal decision providing for a payment of $296 per month towards an arrearage of $7,094.62 plus the budget bill.  The Complainant defaulted on this agreement.  According to the ALJ, since that time, the Complainant’s household income has increased</w:t>
      </w:r>
      <w:r w:rsidR="001037D2">
        <w:rPr>
          <w:sz w:val="26"/>
          <w:szCs w:val="26"/>
        </w:rPr>
        <w:t xml:space="preserve"> rather than </w:t>
      </w:r>
      <w:r w:rsidR="003132F6" w:rsidRPr="00D64605">
        <w:rPr>
          <w:sz w:val="26"/>
          <w:szCs w:val="26"/>
        </w:rPr>
        <w:t>decreased.</w:t>
      </w:r>
      <w:r w:rsidR="00201968" w:rsidRPr="00D64605">
        <w:rPr>
          <w:sz w:val="26"/>
          <w:szCs w:val="26"/>
        </w:rPr>
        <w:t xml:space="preserve">  Therefore, the ALJ found that the Complainant cannot meet the “change in income” criterion required for issuance of another Commission payment agreement.  </w:t>
      </w:r>
      <w:r w:rsidR="00703631" w:rsidRPr="00D64605">
        <w:rPr>
          <w:sz w:val="26"/>
          <w:szCs w:val="26"/>
        </w:rPr>
        <w:t xml:space="preserve">Accordingly, the ALJ denied the Complaint.  </w:t>
      </w:r>
      <w:r w:rsidR="00703631" w:rsidRPr="00D64605">
        <w:rPr>
          <w:i/>
          <w:sz w:val="26"/>
          <w:szCs w:val="26"/>
        </w:rPr>
        <w:t>Id.</w:t>
      </w:r>
      <w:r w:rsidR="001037D2">
        <w:rPr>
          <w:i/>
          <w:sz w:val="26"/>
          <w:szCs w:val="26"/>
        </w:rPr>
        <w:t> </w:t>
      </w:r>
      <w:r w:rsidR="00703631" w:rsidRPr="00D64605">
        <w:rPr>
          <w:sz w:val="26"/>
          <w:szCs w:val="26"/>
        </w:rPr>
        <w:t>at</w:t>
      </w:r>
      <w:r w:rsidR="001037D2">
        <w:rPr>
          <w:sz w:val="26"/>
          <w:szCs w:val="26"/>
        </w:rPr>
        <w:t> </w:t>
      </w:r>
      <w:r w:rsidR="00703631" w:rsidRPr="00D64605">
        <w:rPr>
          <w:sz w:val="26"/>
          <w:szCs w:val="26"/>
        </w:rPr>
        <w:t>11-12.</w:t>
      </w:r>
    </w:p>
    <w:p w:rsidR="00314030" w:rsidRPr="00D64605" w:rsidRDefault="00314030" w:rsidP="00D64605">
      <w:pPr>
        <w:widowControl/>
        <w:spacing w:line="360" w:lineRule="auto"/>
        <w:ind w:firstLine="1440"/>
        <w:rPr>
          <w:sz w:val="26"/>
          <w:szCs w:val="26"/>
        </w:rPr>
      </w:pPr>
    </w:p>
    <w:p w:rsidR="009E449E" w:rsidRPr="00D64605" w:rsidRDefault="009E449E" w:rsidP="00D64605">
      <w:pPr>
        <w:widowControl/>
        <w:spacing w:line="360" w:lineRule="auto"/>
        <w:rPr>
          <w:b/>
          <w:sz w:val="26"/>
          <w:szCs w:val="26"/>
        </w:rPr>
      </w:pPr>
      <w:r w:rsidRPr="00D64605">
        <w:rPr>
          <w:b/>
          <w:sz w:val="26"/>
          <w:szCs w:val="26"/>
        </w:rPr>
        <w:t>Exceptions and Replies</w:t>
      </w:r>
    </w:p>
    <w:p w:rsidR="009E449E" w:rsidRPr="00D64605" w:rsidRDefault="009E449E" w:rsidP="00D64605">
      <w:pPr>
        <w:widowControl/>
        <w:spacing w:line="360" w:lineRule="auto"/>
        <w:ind w:firstLine="1440"/>
        <w:rPr>
          <w:b/>
          <w:sz w:val="26"/>
          <w:szCs w:val="26"/>
        </w:rPr>
      </w:pPr>
    </w:p>
    <w:p w:rsidR="00DA6323" w:rsidRPr="00D64605" w:rsidRDefault="009E449E" w:rsidP="00D64605">
      <w:pPr>
        <w:widowControl/>
        <w:spacing w:line="360" w:lineRule="auto"/>
        <w:ind w:firstLine="1440"/>
        <w:rPr>
          <w:sz w:val="26"/>
          <w:szCs w:val="26"/>
        </w:rPr>
      </w:pPr>
      <w:r w:rsidRPr="00D64605">
        <w:rPr>
          <w:sz w:val="26"/>
          <w:szCs w:val="26"/>
        </w:rPr>
        <w:t xml:space="preserve">In his Exceptions, the Complainant first expresses his regret that he did not have legal representation at the hearing and requests the Commission’s understanding that he does not have the </w:t>
      </w:r>
      <w:r w:rsidR="00AD4FAD" w:rsidRPr="00D64605">
        <w:rPr>
          <w:sz w:val="26"/>
          <w:szCs w:val="26"/>
        </w:rPr>
        <w:t xml:space="preserve">necessary </w:t>
      </w:r>
      <w:r w:rsidRPr="00D64605">
        <w:rPr>
          <w:sz w:val="26"/>
          <w:szCs w:val="26"/>
        </w:rPr>
        <w:t xml:space="preserve">expertise </w:t>
      </w:r>
      <w:r w:rsidR="00AD4FAD" w:rsidRPr="00D64605">
        <w:rPr>
          <w:sz w:val="26"/>
          <w:szCs w:val="26"/>
        </w:rPr>
        <w:t>to represent himself.</w:t>
      </w:r>
      <w:r w:rsidRPr="00D64605">
        <w:rPr>
          <w:sz w:val="26"/>
          <w:szCs w:val="26"/>
        </w:rPr>
        <w:t xml:space="preserve">  The Complainant reiterates his request for an agreement that </w:t>
      </w:r>
      <w:r w:rsidR="00AD4FAD" w:rsidRPr="00D64605">
        <w:rPr>
          <w:sz w:val="26"/>
          <w:szCs w:val="26"/>
        </w:rPr>
        <w:t xml:space="preserve">is </w:t>
      </w:r>
      <w:r w:rsidRPr="00D64605">
        <w:rPr>
          <w:sz w:val="26"/>
          <w:szCs w:val="26"/>
        </w:rPr>
        <w:t xml:space="preserve">fair and based on how much money he has coming into his home and that he </w:t>
      </w:r>
      <w:r w:rsidR="00AD4FAD" w:rsidRPr="00D64605">
        <w:rPr>
          <w:sz w:val="26"/>
          <w:szCs w:val="26"/>
        </w:rPr>
        <w:t xml:space="preserve">can </w:t>
      </w:r>
      <w:r w:rsidRPr="00D64605">
        <w:rPr>
          <w:sz w:val="26"/>
          <w:szCs w:val="26"/>
        </w:rPr>
        <w:t xml:space="preserve">afford.  The Complainant avers that each time he tried to make an agreement with PECO, </w:t>
      </w:r>
      <w:r w:rsidR="00AD4FAD" w:rsidRPr="00D64605">
        <w:rPr>
          <w:sz w:val="26"/>
          <w:szCs w:val="26"/>
        </w:rPr>
        <w:t xml:space="preserve">the Company </w:t>
      </w:r>
      <w:r w:rsidRPr="00D64605">
        <w:rPr>
          <w:sz w:val="26"/>
          <w:szCs w:val="26"/>
        </w:rPr>
        <w:t xml:space="preserve">would </w:t>
      </w:r>
      <w:r w:rsidR="00DA6323" w:rsidRPr="00D64605">
        <w:rPr>
          <w:sz w:val="26"/>
          <w:szCs w:val="26"/>
        </w:rPr>
        <w:t xml:space="preserve">request an amount </w:t>
      </w:r>
      <w:r w:rsidR="00AD4FAD" w:rsidRPr="00D64605">
        <w:rPr>
          <w:sz w:val="26"/>
          <w:szCs w:val="26"/>
        </w:rPr>
        <w:t>which</w:t>
      </w:r>
      <w:r w:rsidR="00DA6323" w:rsidRPr="00D64605">
        <w:rPr>
          <w:sz w:val="26"/>
          <w:szCs w:val="26"/>
        </w:rPr>
        <w:t xml:space="preserve"> he could </w:t>
      </w:r>
      <w:r w:rsidR="00AD4FAD" w:rsidRPr="00D64605">
        <w:rPr>
          <w:sz w:val="26"/>
          <w:szCs w:val="26"/>
        </w:rPr>
        <w:t xml:space="preserve">not </w:t>
      </w:r>
      <w:r w:rsidR="00DA6323" w:rsidRPr="00D64605">
        <w:rPr>
          <w:sz w:val="26"/>
          <w:szCs w:val="26"/>
        </w:rPr>
        <w:t xml:space="preserve">afford. </w:t>
      </w:r>
      <w:r w:rsidR="00242B5A" w:rsidRPr="00D64605">
        <w:rPr>
          <w:sz w:val="26"/>
          <w:szCs w:val="26"/>
        </w:rPr>
        <w:t xml:space="preserve"> Exc.</w:t>
      </w:r>
      <w:r w:rsidR="00DA6323" w:rsidRPr="00D64605">
        <w:rPr>
          <w:sz w:val="26"/>
          <w:szCs w:val="26"/>
        </w:rPr>
        <w:t xml:space="preserve"> at 1-3. </w:t>
      </w:r>
    </w:p>
    <w:p w:rsidR="00DA6323" w:rsidRPr="00D64605" w:rsidRDefault="00DA6323" w:rsidP="00D64605">
      <w:pPr>
        <w:widowControl/>
        <w:spacing w:line="360" w:lineRule="auto"/>
        <w:ind w:firstLine="1440"/>
        <w:rPr>
          <w:sz w:val="26"/>
          <w:szCs w:val="26"/>
        </w:rPr>
      </w:pPr>
    </w:p>
    <w:p w:rsidR="004A6217" w:rsidRPr="00D64605" w:rsidRDefault="00DA6323" w:rsidP="00D64605">
      <w:pPr>
        <w:widowControl/>
        <w:spacing w:line="360" w:lineRule="auto"/>
        <w:ind w:firstLine="1440"/>
        <w:rPr>
          <w:sz w:val="26"/>
          <w:szCs w:val="26"/>
        </w:rPr>
      </w:pPr>
      <w:r w:rsidRPr="00D64605">
        <w:rPr>
          <w:sz w:val="26"/>
          <w:szCs w:val="26"/>
        </w:rPr>
        <w:t>According to the Complainant, if given a fair chance</w:t>
      </w:r>
      <w:r w:rsidR="00AD4FAD" w:rsidRPr="00D64605">
        <w:rPr>
          <w:sz w:val="26"/>
          <w:szCs w:val="26"/>
        </w:rPr>
        <w:t>,</w:t>
      </w:r>
      <w:r w:rsidRPr="00D64605">
        <w:rPr>
          <w:sz w:val="26"/>
          <w:szCs w:val="26"/>
        </w:rPr>
        <w:t xml:space="preserve"> </w:t>
      </w:r>
      <w:r w:rsidR="00AD4FAD" w:rsidRPr="00D64605">
        <w:rPr>
          <w:sz w:val="26"/>
          <w:szCs w:val="26"/>
        </w:rPr>
        <w:t>he</w:t>
      </w:r>
      <w:r w:rsidRPr="00D64605">
        <w:rPr>
          <w:sz w:val="26"/>
          <w:szCs w:val="26"/>
        </w:rPr>
        <w:t xml:space="preserve"> will pay his bill </w:t>
      </w:r>
      <w:r w:rsidR="00AD4FAD" w:rsidRPr="00D64605">
        <w:rPr>
          <w:sz w:val="26"/>
          <w:szCs w:val="26"/>
        </w:rPr>
        <w:t>and be</w:t>
      </w:r>
      <w:r w:rsidRPr="00D64605">
        <w:rPr>
          <w:sz w:val="26"/>
          <w:szCs w:val="26"/>
        </w:rPr>
        <w:t xml:space="preserve"> a better customer.  The Complainant further asserts he was injured on his job and was awaiting a settlement </w:t>
      </w:r>
      <w:r w:rsidR="00AD4FAD" w:rsidRPr="00D64605">
        <w:rPr>
          <w:sz w:val="26"/>
          <w:szCs w:val="26"/>
        </w:rPr>
        <w:t>to</w:t>
      </w:r>
      <w:r w:rsidRPr="00D64605">
        <w:rPr>
          <w:sz w:val="26"/>
          <w:szCs w:val="26"/>
        </w:rPr>
        <w:t xml:space="preserve"> use to pay off PECO.</w:t>
      </w:r>
      <w:r w:rsidR="003132F6" w:rsidRPr="00D64605">
        <w:rPr>
          <w:sz w:val="26"/>
          <w:szCs w:val="26"/>
        </w:rPr>
        <w:t xml:space="preserve">  </w:t>
      </w:r>
      <w:r w:rsidRPr="00D64605">
        <w:rPr>
          <w:sz w:val="26"/>
          <w:szCs w:val="26"/>
        </w:rPr>
        <w:t xml:space="preserve">In conclusion, the Complainant maintains that </w:t>
      </w:r>
      <w:r w:rsidR="00AD4FAD" w:rsidRPr="00D64605">
        <w:rPr>
          <w:sz w:val="26"/>
          <w:szCs w:val="26"/>
        </w:rPr>
        <w:t xml:space="preserve">most of </w:t>
      </w:r>
      <w:r w:rsidRPr="00D64605">
        <w:rPr>
          <w:sz w:val="26"/>
          <w:szCs w:val="26"/>
        </w:rPr>
        <w:t xml:space="preserve">his bill is comprised of charges and does not represent what he really owes.  He states that he just received a bill for over $19,800 when clearly he has been paying $800.00 per month for the last five months.  Therefore, he questions how he is being billed and whether his bill is </w:t>
      </w:r>
      <w:r w:rsidR="00AD4FAD" w:rsidRPr="00D64605">
        <w:rPr>
          <w:sz w:val="26"/>
          <w:szCs w:val="26"/>
        </w:rPr>
        <w:t>correct</w:t>
      </w:r>
      <w:r w:rsidRPr="00D64605">
        <w:rPr>
          <w:sz w:val="26"/>
          <w:szCs w:val="26"/>
        </w:rPr>
        <w:t xml:space="preserve">.  </w:t>
      </w:r>
      <w:r w:rsidRPr="00D64605">
        <w:rPr>
          <w:i/>
          <w:sz w:val="26"/>
          <w:szCs w:val="26"/>
        </w:rPr>
        <w:t>Id.</w:t>
      </w:r>
      <w:r w:rsidRPr="00D64605">
        <w:rPr>
          <w:sz w:val="26"/>
          <w:szCs w:val="26"/>
        </w:rPr>
        <w:t xml:space="preserve"> at 3-4.</w:t>
      </w:r>
    </w:p>
    <w:p w:rsidR="00C37956" w:rsidRPr="00D64605" w:rsidRDefault="00C37956" w:rsidP="00D64605">
      <w:pPr>
        <w:widowControl/>
        <w:spacing w:line="360" w:lineRule="auto"/>
        <w:ind w:firstLine="1440"/>
        <w:rPr>
          <w:sz w:val="26"/>
          <w:szCs w:val="26"/>
        </w:rPr>
      </w:pPr>
      <w:r w:rsidRPr="00D64605">
        <w:rPr>
          <w:sz w:val="26"/>
          <w:szCs w:val="26"/>
        </w:rPr>
        <w:lastRenderedPageBreak/>
        <w:t xml:space="preserve">In reply, PECO </w:t>
      </w:r>
      <w:r w:rsidR="00242B5A" w:rsidRPr="00D64605">
        <w:rPr>
          <w:sz w:val="26"/>
          <w:szCs w:val="26"/>
        </w:rPr>
        <w:t xml:space="preserve">first notes that the Complainant does not allege that ALJ Melillo made an error of law or abused her discretion in any matter.  PECO asserts that the Complainant’s attempt to further litigation in this matter by simply disagreeing with the Initial Decision is procedurally improper and should be dismissed.  PECO avers that the record demonstrates that the Complainant’s $19,822.84 balance accrued not because of billing errors or high bills, but because the Complainant simply </w:t>
      </w:r>
      <w:r w:rsidR="001037D2">
        <w:rPr>
          <w:sz w:val="26"/>
          <w:szCs w:val="26"/>
        </w:rPr>
        <w:t>did</w:t>
      </w:r>
      <w:r w:rsidR="00242B5A" w:rsidRPr="00D64605">
        <w:rPr>
          <w:sz w:val="26"/>
          <w:szCs w:val="26"/>
        </w:rPr>
        <w:t xml:space="preserve"> not pa</w:t>
      </w:r>
      <w:r w:rsidR="001037D2">
        <w:rPr>
          <w:sz w:val="26"/>
          <w:szCs w:val="26"/>
        </w:rPr>
        <w:t>y</w:t>
      </w:r>
      <w:r w:rsidR="00242B5A" w:rsidRPr="00D64605">
        <w:rPr>
          <w:sz w:val="26"/>
          <w:szCs w:val="26"/>
        </w:rPr>
        <w:t xml:space="preserve"> his electric bill over several years.  PECO further asserts that the Complainant incurred this large balance and skillfully </w:t>
      </w:r>
      <w:r w:rsidR="001037D2">
        <w:rPr>
          <w:sz w:val="26"/>
          <w:szCs w:val="26"/>
        </w:rPr>
        <w:t xml:space="preserve">has </w:t>
      </w:r>
      <w:r w:rsidR="00242B5A" w:rsidRPr="00D64605">
        <w:rPr>
          <w:sz w:val="26"/>
          <w:szCs w:val="26"/>
        </w:rPr>
        <w:t>avoided termination by using the administrative process</w:t>
      </w:r>
      <w:r w:rsidR="00E566E1">
        <w:rPr>
          <w:sz w:val="26"/>
          <w:szCs w:val="26"/>
        </w:rPr>
        <w:t>.</w:t>
      </w:r>
      <w:r w:rsidR="00242B5A" w:rsidRPr="00D64605">
        <w:rPr>
          <w:sz w:val="26"/>
          <w:szCs w:val="26"/>
        </w:rPr>
        <w:t xml:space="preserve">  R.</w:t>
      </w:r>
      <w:r w:rsidR="001037D2">
        <w:rPr>
          <w:sz w:val="26"/>
          <w:szCs w:val="26"/>
        </w:rPr>
        <w:t> </w:t>
      </w:r>
      <w:r w:rsidR="00242B5A" w:rsidRPr="00D64605">
        <w:rPr>
          <w:sz w:val="26"/>
          <w:szCs w:val="26"/>
        </w:rPr>
        <w:t>Exc. at 1-3.</w:t>
      </w:r>
    </w:p>
    <w:p w:rsidR="00242B5A" w:rsidRPr="00D64605" w:rsidRDefault="00242B5A" w:rsidP="00D64605">
      <w:pPr>
        <w:widowControl/>
        <w:spacing w:line="360" w:lineRule="auto"/>
        <w:ind w:firstLine="1440"/>
        <w:rPr>
          <w:sz w:val="26"/>
          <w:szCs w:val="26"/>
        </w:rPr>
      </w:pPr>
    </w:p>
    <w:p w:rsidR="00242B5A" w:rsidRPr="00D64605" w:rsidRDefault="00C52250" w:rsidP="00D64605">
      <w:pPr>
        <w:widowControl/>
        <w:spacing w:line="360" w:lineRule="auto"/>
        <w:ind w:firstLine="1440"/>
        <w:rPr>
          <w:sz w:val="26"/>
          <w:szCs w:val="26"/>
        </w:rPr>
      </w:pPr>
      <w:r w:rsidRPr="00D64605">
        <w:rPr>
          <w:sz w:val="26"/>
          <w:szCs w:val="26"/>
        </w:rPr>
        <w:t xml:space="preserve">Next, PECO points out that the Complainant presented no evidence that there were problems with his billing or that PECO incorrectly billed him.  PECO noted that it performed two high bill field investigations that demonstrated that the Complainant has the potential to use the electric for which he was billed and there was nothing that caused his high balance other than non-payment over several years.  Furthermore, PECO tested the Complainant’s meter and stated that the meter was operating within Company and Commission guidelines.  </w:t>
      </w:r>
      <w:r w:rsidRPr="00D64605">
        <w:rPr>
          <w:i/>
          <w:sz w:val="26"/>
          <w:szCs w:val="26"/>
        </w:rPr>
        <w:t xml:space="preserve">Id. </w:t>
      </w:r>
      <w:r w:rsidRPr="00D64605">
        <w:rPr>
          <w:sz w:val="26"/>
          <w:szCs w:val="26"/>
        </w:rPr>
        <w:t>at 3-4.</w:t>
      </w:r>
    </w:p>
    <w:p w:rsidR="00C52250" w:rsidRPr="00D64605" w:rsidRDefault="00C52250" w:rsidP="00D64605">
      <w:pPr>
        <w:widowControl/>
        <w:spacing w:line="360" w:lineRule="auto"/>
        <w:ind w:firstLine="1440"/>
        <w:rPr>
          <w:sz w:val="26"/>
          <w:szCs w:val="26"/>
        </w:rPr>
      </w:pPr>
    </w:p>
    <w:p w:rsidR="006122E0" w:rsidRPr="00D64605" w:rsidRDefault="00C52250" w:rsidP="00D64605">
      <w:pPr>
        <w:widowControl/>
        <w:spacing w:line="360" w:lineRule="auto"/>
        <w:ind w:firstLine="1440"/>
        <w:rPr>
          <w:sz w:val="26"/>
          <w:szCs w:val="26"/>
        </w:rPr>
      </w:pPr>
      <w:r w:rsidRPr="00D64605">
        <w:rPr>
          <w:sz w:val="26"/>
          <w:szCs w:val="26"/>
        </w:rPr>
        <w:t>PECO submits that the Complainant has defaulted on every payment agreement issued to him by the Company and the BCS, and that he is not entitled to yet another payment agreement.  According to PECO, pursuant to 66 Pa. C.S. § 1405(d), the Commission has no jurisdiction to give the Complainant a payment agreement on his past due balance.</w:t>
      </w:r>
      <w:r w:rsidR="00F84761" w:rsidRPr="00D64605">
        <w:rPr>
          <w:sz w:val="26"/>
          <w:szCs w:val="26"/>
        </w:rPr>
        <w:t xml:space="preserve">  PECO requests that the ALJ’s Initial Decision dismissing the Complaint be upheld and that the Complainant’s Exceptions be denied.  </w:t>
      </w:r>
      <w:r w:rsidR="00F84761" w:rsidRPr="00D64605">
        <w:rPr>
          <w:i/>
          <w:sz w:val="26"/>
          <w:szCs w:val="26"/>
        </w:rPr>
        <w:t xml:space="preserve">Id. </w:t>
      </w:r>
      <w:r w:rsidR="00F84761" w:rsidRPr="00D64605">
        <w:rPr>
          <w:sz w:val="26"/>
          <w:szCs w:val="26"/>
        </w:rPr>
        <w:t>at</w:t>
      </w:r>
      <w:r w:rsidR="00AD4FAD" w:rsidRPr="00D64605">
        <w:rPr>
          <w:sz w:val="26"/>
          <w:szCs w:val="26"/>
        </w:rPr>
        <w:t xml:space="preserve"> </w:t>
      </w:r>
      <w:r w:rsidR="00F84761" w:rsidRPr="00D64605">
        <w:rPr>
          <w:sz w:val="26"/>
          <w:szCs w:val="26"/>
        </w:rPr>
        <w:t>4-5.</w:t>
      </w:r>
    </w:p>
    <w:p w:rsidR="006122E0" w:rsidRPr="00D64605" w:rsidRDefault="006122E0" w:rsidP="00D64605">
      <w:pPr>
        <w:widowControl/>
        <w:spacing w:line="360" w:lineRule="auto"/>
        <w:ind w:firstLine="1440"/>
        <w:rPr>
          <w:sz w:val="26"/>
          <w:szCs w:val="26"/>
        </w:rPr>
      </w:pPr>
    </w:p>
    <w:p w:rsidR="006122E0" w:rsidRPr="00D64605" w:rsidRDefault="006122E0" w:rsidP="00E566E1">
      <w:pPr>
        <w:keepNext/>
        <w:widowControl/>
        <w:spacing w:line="360" w:lineRule="auto"/>
        <w:rPr>
          <w:b/>
          <w:sz w:val="26"/>
          <w:szCs w:val="26"/>
        </w:rPr>
      </w:pPr>
      <w:r w:rsidRPr="00D64605">
        <w:rPr>
          <w:b/>
          <w:sz w:val="26"/>
          <w:szCs w:val="26"/>
        </w:rPr>
        <w:t>Disposition</w:t>
      </w:r>
    </w:p>
    <w:p w:rsidR="006122E0" w:rsidRPr="00D64605" w:rsidRDefault="006122E0" w:rsidP="00E566E1">
      <w:pPr>
        <w:pStyle w:val="ListParagraph"/>
        <w:keepNext/>
        <w:spacing w:line="360" w:lineRule="auto"/>
        <w:ind w:left="0" w:firstLine="1440"/>
        <w:rPr>
          <w:rFonts w:eastAsia="MS Mincho"/>
          <w:sz w:val="26"/>
        </w:rPr>
      </w:pPr>
    </w:p>
    <w:p w:rsidR="006122E0" w:rsidRPr="00D64605" w:rsidRDefault="006122E0" w:rsidP="00D64605">
      <w:pPr>
        <w:widowControl/>
        <w:autoSpaceDE w:val="0"/>
        <w:autoSpaceDN w:val="0"/>
        <w:adjustRightInd w:val="0"/>
        <w:spacing w:line="360" w:lineRule="auto"/>
        <w:rPr>
          <w:rFonts w:eastAsia="MS Mincho"/>
          <w:bCs/>
          <w:sz w:val="26"/>
        </w:rPr>
      </w:pPr>
      <w:r w:rsidRPr="00D64605">
        <w:rPr>
          <w:rFonts w:eastAsia="MS Mincho"/>
          <w:sz w:val="26"/>
        </w:rPr>
        <w:tab/>
      </w:r>
      <w:r w:rsidRPr="00D64605">
        <w:rPr>
          <w:rFonts w:eastAsia="MS Mincho"/>
          <w:sz w:val="26"/>
        </w:rPr>
        <w:tab/>
        <w:t xml:space="preserve">Upon our review and consideration of the record and the Complainant’s Exceptions, </w:t>
      </w:r>
      <w:r w:rsidRPr="00D64605">
        <w:rPr>
          <w:rFonts w:eastAsia="MS Mincho"/>
          <w:bCs/>
          <w:sz w:val="26"/>
        </w:rPr>
        <w:t xml:space="preserve">we are of the opinion that the Complainant failed to meet his burden of </w:t>
      </w:r>
      <w:r w:rsidRPr="00D64605">
        <w:rPr>
          <w:rFonts w:eastAsia="MS Mincho"/>
          <w:bCs/>
          <w:sz w:val="26"/>
        </w:rPr>
        <w:lastRenderedPageBreak/>
        <w:t xml:space="preserve">proving that he is entitled to a new payment agreement.  The record indicates that the Complainant’s household income has not changed in the time since the issuance of the BCS Informal Decision.  </w:t>
      </w:r>
      <w:r w:rsidR="005720F4" w:rsidRPr="00D64605">
        <w:rPr>
          <w:rFonts w:eastAsia="MS Mincho"/>
          <w:bCs/>
          <w:sz w:val="26"/>
        </w:rPr>
        <w:t xml:space="preserve">We further agree with the ALJ that the Complainant failed to establish a </w:t>
      </w:r>
      <w:r w:rsidR="005720F4" w:rsidRPr="00D64605">
        <w:rPr>
          <w:rFonts w:eastAsia="MS Mincho"/>
          <w:bCs/>
          <w:i/>
          <w:sz w:val="26"/>
        </w:rPr>
        <w:t>prima facie</w:t>
      </w:r>
      <w:r w:rsidR="005720F4" w:rsidRPr="00D64605">
        <w:rPr>
          <w:rFonts w:eastAsia="MS Mincho"/>
          <w:bCs/>
          <w:sz w:val="26"/>
        </w:rPr>
        <w:t xml:space="preserve"> case with regard to his contention that his bills were unreasonably high.</w:t>
      </w:r>
    </w:p>
    <w:p w:rsidR="006122E0" w:rsidRPr="00D64605" w:rsidRDefault="006122E0" w:rsidP="00D64605">
      <w:pPr>
        <w:widowControl/>
        <w:autoSpaceDE w:val="0"/>
        <w:autoSpaceDN w:val="0"/>
        <w:adjustRightInd w:val="0"/>
        <w:spacing w:line="360" w:lineRule="auto"/>
        <w:rPr>
          <w:rFonts w:eastAsia="MS Mincho"/>
          <w:bCs/>
          <w:sz w:val="26"/>
        </w:rPr>
      </w:pPr>
    </w:p>
    <w:p w:rsidR="006122E0" w:rsidRPr="00D64605" w:rsidRDefault="006122E0" w:rsidP="00E566E1">
      <w:pPr>
        <w:widowControl/>
        <w:spacing w:line="360" w:lineRule="auto"/>
        <w:ind w:firstLine="1440"/>
        <w:rPr>
          <w:sz w:val="26"/>
          <w:szCs w:val="26"/>
        </w:rPr>
      </w:pPr>
      <w:r w:rsidRPr="00D64605">
        <w:rPr>
          <w:sz w:val="26"/>
          <w:szCs w:val="26"/>
        </w:rPr>
        <w:t>In light of the above, we concur with the ALJ’s analysis and conclusions, as well as her deci</w:t>
      </w:r>
      <w:r w:rsidR="008C7F05" w:rsidRPr="00D64605">
        <w:rPr>
          <w:sz w:val="26"/>
          <w:szCs w:val="26"/>
        </w:rPr>
        <w:t xml:space="preserve">sion to dismiss the Complaint.  </w:t>
      </w:r>
      <w:r w:rsidRPr="00D64605">
        <w:rPr>
          <w:sz w:val="26"/>
          <w:szCs w:val="26"/>
        </w:rPr>
        <w:t>The statutory criteria under 66 Pa. C.S.</w:t>
      </w:r>
      <w:r w:rsidR="00E566E1">
        <w:rPr>
          <w:sz w:val="26"/>
          <w:szCs w:val="26"/>
        </w:rPr>
        <w:t> </w:t>
      </w:r>
      <w:r w:rsidRPr="00D64605">
        <w:rPr>
          <w:sz w:val="26"/>
          <w:szCs w:val="26"/>
        </w:rPr>
        <w:t>§§</w:t>
      </w:r>
      <w:r w:rsidR="00E566E1">
        <w:rPr>
          <w:sz w:val="26"/>
          <w:szCs w:val="26"/>
        </w:rPr>
        <w:t> </w:t>
      </w:r>
      <w:r w:rsidRPr="00D64605">
        <w:rPr>
          <w:sz w:val="26"/>
          <w:szCs w:val="26"/>
        </w:rPr>
        <w:t>1403 and 1405(d) prohibit us from establishing a second payment arrangement in this case.</w:t>
      </w:r>
    </w:p>
    <w:p w:rsidR="006122E0" w:rsidRPr="00D64605" w:rsidRDefault="006122E0" w:rsidP="00D64605">
      <w:pPr>
        <w:widowControl/>
        <w:autoSpaceDE w:val="0"/>
        <w:autoSpaceDN w:val="0"/>
        <w:adjustRightInd w:val="0"/>
        <w:spacing w:line="360" w:lineRule="auto"/>
        <w:rPr>
          <w:rFonts w:eastAsia="MS Mincho"/>
          <w:bCs/>
          <w:sz w:val="26"/>
        </w:rPr>
      </w:pPr>
    </w:p>
    <w:p w:rsidR="006122E0" w:rsidRPr="00D64605" w:rsidRDefault="006122E0" w:rsidP="00D64605">
      <w:pPr>
        <w:widowControl/>
        <w:spacing w:line="360" w:lineRule="auto"/>
        <w:ind w:firstLine="1440"/>
        <w:rPr>
          <w:sz w:val="26"/>
          <w:szCs w:val="26"/>
        </w:rPr>
      </w:pPr>
      <w:r w:rsidRPr="00D64605">
        <w:rPr>
          <w:rFonts w:ascii="Times New (W1)" w:hAnsi="Times New (W1)"/>
          <w:sz w:val="26"/>
          <w:szCs w:val="26"/>
        </w:rPr>
        <w:t xml:space="preserve">Accordingly, we shall deny the Complainant’s Exceptions and adopt the ALJ’s Initial Decision that dismisses the Complaint for failure by the Complainant to carry his burden of proving </w:t>
      </w:r>
      <w:r w:rsidRPr="00D64605">
        <w:rPr>
          <w:sz w:val="26"/>
          <w:szCs w:val="26"/>
        </w:rPr>
        <w:t>that he is entitled to a second payment agreement</w:t>
      </w:r>
      <w:r w:rsidR="00E906DD" w:rsidRPr="00D64605">
        <w:rPr>
          <w:sz w:val="26"/>
          <w:szCs w:val="26"/>
        </w:rPr>
        <w:t xml:space="preserve"> or that PECO overbilled him.</w:t>
      </w:r>
    </w:p>
    <w:p w:rsidR="006122E0" w:rsidRPr="00D64605" w:rsidRDefault="006122E0" w:rsidP="00D64605">
      <w:pPr>
        <w:widowControl/>
        <w:spacing w:line="360" w:lineRule="auto"/>
        <w:jc w:val="center"/>
        <w:rPr>
          <w:b/>
          <w:sz w:val="26"/>
          <w:szCs w:val="26"/>
        </w:rPr>
      </w:pPr>
    </w:p>
    <w:p w:rsidR="006122E0" w:rsidRPr="00D64605" w:rsidRDefault="006122E0" w:rsidP="00E566E1">
      <w:pPr>
        <w:keepNext/>
        <w:widowControl/>
        <w:spacing w:line="360" w:lineRule="auto"/>
        <w:jc w:val="center"/>
        <w:rPr>
          <w:b/>
          <w:sz w:val="26"/>
          <w:szCs w:val="26"/>
        </w:rPr>
      </w:pPr>
      <w:r w:rsidRPr="00D64605">
        <w:rPr>
          <w:b/>
          <w:sz w:val="26"/>
          <w:szCs w:val="26"/>
        </w:rPr>
        <w:t>Conclusion</w:t>
      </w:r>
    </w:p>
    <w:p w:rsidR="006122E0" w:rsidRPr="00D64605" w:rsidRDefault="006122E0" w:rsidP="00E566E1">
      <w:pPr>
        <w:keepNext/>
        <w:widowControl/>
        <w:spacing w:line="360" w:lineRule="auto"/>
        <w:rPr>
          <w:sz w:val="26"/>
          <w:szCs w:val="26"/>
        </w:rPr>
      </w:pPr>
    </w:p>
    <w:p w:rsidR="006122E0" w:rsidRPr="00D64605" w:rsidRDefault="006122E0" w:rsidP="00D64605">
      <w:pPr>
        <w:widowControl/>
        <w:spacing w:line="360" w:lineRule="auto"/>
        <w:rPr>
          <w:b/>
          <w:sz w:val="26"/>
          <w:szCs w:val="26"/>
        </w:rPr>
      </w:pPr>
      <w:r w:rsidRPr="00D64605">
        <w:rPr>
          <w:sz w:val="26"/>
          <w:szCs w:val="26"/>
        </w:rPr>
        <w:tab/>
      </w:r>
      <w:r w:rsidRPr="00D64605">
        <w:rPr>
          <w:sz w:val="26"/>
          <w:szCs w:val="26"/>
        </w:rPr>
        <w:tab/>
      </w:r>
      <w:r w:rsidR="00F34EA2" w:rsidRPr="00D64605">
        <w:rPr>
          <w:sz w:val="26"/>
          <w:szCs w:val="26"/>
        </w:rPr>
        <w:t>Based on our review of the record and the applicable law</w:t>
      </w:r>
      <w:r w:rsidRPr="00D64605">
        <w:rPr>
          <w:sz w:val="26"/>
          <w:szCs w:val="26"/>
        </w:rPr>
        <w:t>, we shall deny the Complainant’s Exceptions and adopt the ALJ’s Initial Decision</w:t>
      </w:r>
      <w:r w:rsidR="00F34EA2" w:rsidRPr="00D64605">
        <w:rPr>
          <w:sz w:val="26"/>
          <w:szCs w:val="26"/>
        </w:rPr>
        <w:t>,</w:t>
      </w:r>
      <w:r w:rsidRPr="00D64605">
        <w:rPr>
          <w:sz w:val="26"/>
          <w:szCs w:val="26"/>
        </w:rPr>
        <w:t xml:space="preserve"> consistent with this Opinion and Order; </w:t>
      </w:r>
      <w:r w:rsidRPr="00D64605">
        <w:rPr>
          <w:b/>
          <w:sz w:val="26"/>
          <w:szCs w:val="26"/>
        </w:rPr>
        <w:t>THEREFORE,</w:t>
      </w:r>
    </w:p>
    <w:p w:rsidR="006122E0" w:rsidRPr="00D64605" w:rsidRDefault="006122E0" w:rsidP="00D64605">
      <w:pPr>
        <w:widowControl/>
        <w:spacing w:line="360" w:lineRule="auto"/>
        <w:rPr>
          <w:sz w:val="26"/>
          <w:szCs w:val="26"/>
        </w:rPr>
      </w:pPr>
    </w:p>
    <w:p w:rsidR="006122E0" w:rsidRPr="00D64605" w:rsidRDefault="006122E0" w:rsidP="00E566E1">
      <w:pPr>
        <w:keepNext/>
        <w:widowControl/>
        <w:spacing w:line="360" w:lineRule="auto"/>
        <w:ind w:left="720" w:firstLine="720"/>
        <w:rPr>
          <w:b/>
          <w:sz w:val="26"/>
          <w:szCs w:val="26"/>
        </w:rPr>
      </w:pPr>
      <w:r w:rsidRPr="00D64605">
        <w:rPr>
          <w:b/>
          <w:sz w:val="26"/>
          <w:szCs w:val="26"/>
        </w:rPr>
        <w:t>IT IS ORDERED:</w:t>
      </w:r>
    </w:p>
    <w:p w:rsidR="006122E0" w:rsidRPr="00D64605" w:rsidRDefault="006122E0" w:rsidP="00E566E1">
      <w:pPr>
        <w:keepNext/>
        <w:widowControl/>
        <w:spacing w:line="360" w:lineRule="auto"/>
        <w:ind w:left="720" w:firstLine="720"/>
        <w:rPr>
          <w:b/>
          <w:sz w:val="26"/>
          <w:szCs w:val="26"/>
        </w:rPr>
      </w:pPr>
    </w:p>
    <w:p w:rsidR="006122E0" w:rsidRPr="00D64605" w:rsidRDefault="006122E0" w:rsidP="00D64605">
      <w:pPr>
        <w:widowControl/>
        <w:spacing w:line="360" w:lineRule="auto"/>
        <w:rPr>
          <w:sz w:val="26"/>
          <w:szCs w:val="26"/>
        </w:rPr>
      </w:pPr>
      <w:r w:rsidRPr="00D64605">
        <w:rPr>
          <w:sz w:val="26"/>
          <w:szCs w:val="26"/>
        </w:rPr>
        <w:tab/>
      </w:r>
      <w:r w:rsidRPr="00D64605">
        <w:rPr>
          <w:sz w:val="26"/>
          <w:szCs w:val="26"/>
        </w:rPr>
        <w:tab/>
        <w:t>1.</w:t>
      </w:r>
      <w:r w:rsidRPr="00D64605">
        <w:rPr>
          <w:sz w:val="26"/>
          <w:szCs w:val="26"/>
        </w:rPr>
        <w:tab/>
        <w:t>That the Exceptions of Emory Blackshir, filed on July 29, 2013, to the Initial Decision of Administrative Law Judge Kandace F. Melillo are denied, consistent with this Opinion and Order.</w:t>
      </w:r>
    </w:p>
    <w:p w:rsidR="006122E0" w:rsidRPr="00D64605" w:rsidRDefault="006122E0" w:rsidP="00D64605">
      <w:pPr>
        <w:widowControl/>
        <w:spacing w:line="360" w:lineRule="auto"/>
        <w:ind w:firstLine="1440"/>
        <w:rPr>
          <w:sz w:val="26"/>
          <w:szCs w:val="26"/>
        </w:rPr>
      </w:pPr>
    </w:p>
    <w:p w:rsidR="006122E0" w:rsidRPr="00D64605" w:rsidRDefault="006122E0" w:rsidP="00D64605">
      <w:pPr>
        <w:widowControl/>
        <w:spacing w:line="360" w:lineRule="auto"/>
        <w:ind w:firstLine="1440"/>
        <w:rPr>
          <w:sz w:val="26"/>
          <w:szCs w:val="26"/>
        </w:rPr>
      </w:pPr>
      <w:r w:rsidRPr="00D64605">
        <w:rPr>
          <w:sz w:val="26"/>
          <w:szCs w:val="26"/>
        </w:rPr>
        <w:lastRenderedPageBreak/>
        <w:t>2.</w:t>
      </w:r>
      <w:r w:rsidRPr="00D64605">
        <w:rPr>
          <w:sz w:val="26"/>
          <w:szCs w:val="26"/>
        </w:rPr>
        <w:tab/>
        <w:t>That the Initial Decision of Administrative Law Judge Kandace F. Melillo, issued July 10, 2013, is adopted, consistent with this Opinion and Order.</w:t>
      </w:r>
    </w:p>
    <w:p w:rsidR="006122E0" w:rsidRPr="00D64605" w:rsidRDefault="006122E0" w:rsidP="00D64605">
      <w:pPr>
        <w:widowControl/>
        <w:spacing w:line="360" w:lineRule="auto"/>
        <w:rPr>
          <w:sz w:val="26"/>
          <w:szCs w:val="26"/>
        </w:rPr>
      </w:pPr>
    </w:p>
    <w:p w:rsidR="006122E0" w:rsidRPr="00D64605" w:rsidRDefault="006122E0" w:rsidP="00D64605">
      <w:pPr>
        <w:widowControl/>
        <w:spacing w:line="360" w:lineRule="auto"/>
        <w:ind w:firstLine="1440"/>
        <w:rPr>
          <w:sz w:val="26"/>
        </w:rPr>
      </w:pPr>
      <w:r w:rsidRPr="00D64605">
        <w:rPr>
          <w:sz w:val="26"/>
          <w:szCs w:val="26"/>
        </w:rPr>
        <w:t>3.</w:t>
      </w:r>
      <w:r w:rsidRPr="00D64605">
        <w:rPr>
          <w:b/>
          <w:sz w:val="26"/>
          <w:szCs w:val="26"/>
        </w:rPr>
        <w:tab/>
      </w:r>
      <w:r w:rsidRPr="00D64605">
        <w:rPr>
          <w:sz w:val="26"/>
          <w:szCs w:val="26"/>
        </w:rPr>
        <w:t>That the Formal Complaint filed by Emory Blackshir against PECO Energy Company at Docket No. C-2012-2335357 is dismissed, consistent with this Opinion and Order.</w:t>
      </w:r>
    </w:p>
    <w:p w:rsidR="006122E0" w:rsidRPr="00D64605" w:rsidRDefault="006122E0" w:rsidP="00D64605">
      <w:pPr>
        <w:widowControl/>
        <w:spacing w:line="360" w:lineRule="auto"/>
        <w:rPr>
          <w:sz w:val="26"/>
          <w:szCs w:val="26"/>
        </w:rPr>
      </w:pPr>
    </w:p>
    <w:p w:rsidR="006122E0" w:rsidRPr="00D64605" w:rsidRDefault="006122E0" w:rsidP="00D64605">
      <w:pPr>
        <w:widowControl/>
        <w:spacing w:line="360" w:lineRule="auto"/>
        <w:rPr>
          <w:sz w:val="26"/>
          <w:szCs w:val="26"/>
        </w:rPr>
      </w:pPr>
      <w:r w:rsidRPr="00D64605">
        <w:rPr>
          <w:sz w:val="26"/>
          <w:szCs w:val="26"/>
        </w:rPr>
        <w:tab/>
      </w:r>
      <w:r w:rsidRPr="00D64605">
        <w:rPr>
          <w:sz w:val="26"/>
          <w:szCs w:val="26"/>
        </w:rPr>
        <w:tab/>
        <w:t>4.</w:t>
      </w:r>
      <w:r w:rsidRPr="00D64605">
        <w:rPr>
          <w:sz w:val="26"/>
          <w:szCs w:val="26"/>
        </w:rPr>
        <w:tab/>
        <w:t xml:space="preserve">That the proceeding docketed at C-2012-2335357 be marked closed. </w:t>
      </w:r>
    </w:p>
    <w:p w:rsidR="006122E0" w:rsidRPr="00D64605" w:rsidRDefault="00C942F6" w:rsidP="00D64605">
      <w:pPr>
        <w:widowControl/>
        <w:tabs>
          <w:tab w:val="left" w:pos="-720"/>
          <w:tab w:val="left" w:pos="0"/>
        </w:tabs>
        <w:suppressAutoHyphens/>
        <w:spacing w:line="360" w:lineRule="auto"/>
        <w:ind w:firstLine="1440"/>
        <w:rPr>
          <w:sz w:val="26"/>
          <w:szCs w:val="26"/>
        </w:rPr>
      </w:pPr>
      <w:r>
        <w:rPr>
          <w:noProof/>
        </w:rPr>
        <w:drawing>
          <wp:anchor distT="0" distB="0" distL="114300" distR="114300" simplePos="0" relativeHeight="251658240" behindDoc="1" locked="0" layoutInCell="1" allowOverlap="1" wp14:anchorId="629F2EB3" wp14:editId="0FCF61BF">
            <wp:simplePos x="0" y="0"/>
            <wp:positionH relativeFrom="column">
              <wp:posOffset>2921000</wp:posOffset>
            </wp:positionH>
            <wp:positionV relativeFrom="paragraph">
              <wp:posOffset>242570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122E0" w:rsidRPr="00D64605" w:rsidRDefault="006122E0" w:rsidP="00D64605">
      <w:pPr>
        <w:widowControl/>
        <w:tabs>
          <w:tab w:val="left" w:pos="-720"/>
        </w:tabs>
        <w:suppressAutoHyphens/>
        <w:rPr>
          <w:sz w:val="26"/>
        </w:rPr>
      </w:pP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b/>
          <w:sz w:val="26"/>
        </w:rPr>
        <w:t>BY THE COMMISSION,</w:t>
      </w:r>
    </w:p>
    <w:p w:rsidR="006122E0" w:rsidRPr="00D64605" w:rsidRDefault="006122E0"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rPr>
      </w:pPr>
    </w:p>
    <w:p w:rsidR="0088332B" w:rsidRPr="00D64605" w:rsidRDefault="0088332B" w:rsidP="00D64605">
      <w:pPr>
        <w:widowControl/>
        <w:tabs>
          <w:tab w:val="left" w:pos="-720"/>
        </w:tabs>
        <w:suppressAutoHyphens/>
        <w:rPr>
          <w:sz w:val="26"/>
        </w:rPr>
      </w:pPr>
    </w:p>
    <w:p w:rsidR="006122E0" w:rsidRPr="00D64605" w:rsidRDefault="0088332B" w:rsidP="00D64605">
      <w:pPr>
        <w:widowControl/>
        <w:tabs>
          <w:tab w:val="left" w:pos="-720"/>
        </w:tabs>
        <w:suppressAutoHyphens/>
        <w:rPr>
          <w:sz w:val="26"/>
        </w:rPr>
      </w:pPr>
      <w:r w:rsidRPr="00D64605">
        <w:rPr>
          <w:sz w:val="26"/>
        </w:rPr>
        <w:tab/>
      </w:r>
      <w:r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t>Rosemary Chiavetta</w:t>
      </w:r>
    </w:p>
    <w:p w:rsidR="006122E0" w:rsidRPr="00D64605" w:rsidRDefault="006122E0" w:rsidP="00D64605">
      <w:pPr>
        <w:widowControl/>
        <w:tabs>
          <w:tab w:val="left" w:pos="-720"/>
        </w:tabs>
        <w:suppressAutoHyphens/>
        <w:rPr>
          <w:sz w:val="26"/>
        </w:rPr>
      </w:pP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t>Secretary</w:t>
      </w:r>
    </w:p>
    <w:p w:rsidR="006122E0" w:rsidRDefault="006122E0" w:rsidP="00D64605">
      <w:pPr>
        <w:widowControl/>
        <w:tabs>
          <w:tab w:val="left" w:pos="-720"/>
        </w:tabs>
        <w:suppressAutoHyphens/>
        <w:rPr>
          <w:sz w:val="26"/>
        </w:rPr>
      </w:pPr>
    </w:p>
    <w:p w:rsidR="00E566E1" w:rsidRPr="00D64605" w:rsidRDefault="00E566E1"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rPr>
      </w:pPr>
      <w:r w:rsidRPr="00D64605">
        <w:rPr>
          <w:sz w:val="26"/>
        </w:rPr>
        <w:t>(SEAL)</w:t>
      </w:r>
    </w:p>
    <w:p w:rsidR="006122E0" w:rsidRDefault="006122E0" w:rsidP="00D64605">
      <w:pPr>
        <w:widowControl/>
        <w:tabs>
          <w:tab w:val="left" w:pos="-720"/>
        </w:tabs>
        <w:suppressAutoHyphens/>
        <w:rPr>
          <w:sz w:val="26"/>
        </w:rPr>
      </w:pPr>
    </w:p>
    <w:p w:rsidR="00E566E1" w:rsidRPr="00D64605" w:rsidRDefault="00E566E1" w:rsidP="00D64605">
      <w:pPr>
        <w:widowControl/>
        <w:tabs>
          <w:tab w:val="left" w:pos="-720"/>
        </w:tabs>
        <w:suppressAutoHyphens/>
        <w:rPr>
          <w:sz w:val="26"/>
        </w:rPr>
      </w:pPr>
    </w:p>
    <w:p w:rsidR="006122E0" w:rsidRDefault="006122E0" w:rsidP="00D64605">
      <w:pPr>
        <w:widowControl/>
        <w:tabs>
          <w:tab w:val="left" w:pos="-720"/>
        </w:tabs>
        <w:suppressAutoHyphens/>
        <w:rPr>
          <w:sz w:val="26"/>
        </w:rPr>
      </w:pPr>
      <w:r w:rsidRPr="00D64605">
        <w:rPr>
          <w:sz w:val="26"/>
        </w:rPr>
        <w:t xml:space="preserve">ORDER ADOPTED:  November 14, 2013 </w:t>
      </w:r>
    </w:p>
    <w:p w:rsidR="00E566E1" w:rsidRPr="00D64605" w:rsidRDefault="00E566E1"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szCs w:val="26"/>
        </w:rPr>
      </w:pPr>
      <w:r w:rsidRPr="00D64605">
        <w:rPr>
          <w:sz w:val="26"/>
        </w:rPr>
        <w:t xml:space="preserve">ORDER ENTERED:  </w:t>
      </w:r>
      <w:r w:rsidR="00C942F6">
        <w:rPr>
          <w:sz w:val="26"/>
        </w:rPr>
        <w:t>November 14, 2013</w:t>
      </w:r>
      <w:bookmarkStart w:id="2" w:name="_GoBack"/>
      <w:bookmarkEnd w:id="2"/>
    </w:p>
    <w:sectPr w:rsidR="006122E0" w:rsidRPr="00D64605" w:rsidSect="00CF6DF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BA4" w:rsidRDefault="00400BA4" w:rsidP="00CB4269">
      <w:r>
        <w:separator/>
      </w:r>
    </w:p>
  </w:endnote>
  <w:endnote w:type="continuationSeparator" w:id="0">
    <w:p w:rsidR="00400BA4" w:rsidRDefault="00400BA4" w:rsidP="00C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31815"/>
      <w:docPartObj>
        <w:docPartGallery w:val="Page Numbers (Bottom of Page)"/>
        <w:docPartUnique/>
      </w:docPartObj>
    </w:sdtPr>
    <w:sdtEndPr>
      <w:rPr>
        <w:noProof/>
        <w:sz w:val="26"/>
        <w:szCs w:val="26"/>
      </w:rPr>
    </w:sdtEndPr>
    <w:sdtContent>
      <w:p w:rsidR="00AD3278" w:rsidRPr="00CF6DF1" w:rsidRDefault="00AD3278" w:rsidP="00CF6DF1">
        <w:pPr>
          <w:pStyle w:val="Footer"/>
          <w:jc w:val="center"/>
          <w:rPr>
            <w:sz w:val="26"/>
            <w:szCs w:val="26"/>
          </w:rPr>
        </w:pPr>
        <w:r w:rsidRPr="00CF6DF1">
          <w:rPr>
            <w:sz w:val="26"/>
            <w:szCs w:val="26"/>
          </w:rPr>
          <w:fldChar w:fldCharType="begin"/>
        </w:r>
        <w:r w:rsidRPr="00CF6DF1">
          <w:rPr>
            <w:sz w:val="26"/>
            <w:szCs w:val="26"/>
          </w:rPr>
          <w:instrText xml:space="preserve"> PAGE   \* MERGEFORMAT </w:instrText>
        </w:r>
        <w:r w:rsidRPr="00CF6DF1">
          <w:rPr>
            <w:sz w:val="26"/>
            <w:szCs w:val="26"/>
          </w:rPr>
          <w:fldChar w:fldCharType="separate"/>
        </w:r>
        <w:r w:rsidR="00C942F6">
          <w:rPr>
            <w:noProof/>
            <w:sz w:val="26"/>
            <w:szCs w:val="26"/>
          </w:rPr>
          <w:t>10</w:t>
        </w:r>
        <w:r w:rsidRPr="00CF6DF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BA4" w:rsidRDefault="00400BA4" w:rsidP="00CB4269">
      <w:r>
        <w:separator/>
      </w:r>
    </w:p>
  </w:footnote>
  <w:footnote w:type="continuationSeparator" w:id="0">
    <w:p w:rsidR="00400BA4" w:rsidRDefault="00400BA4" w:rsidP="00CB4269">
      <w:r>
        <w:continuationSeparator/>
      </w:r>
    </w:p>
  </w:footnote>
  <w:footnote w:id="1">
    <w:p w:rsidR="00611F9C" w:rsidRPr="000B2B02" w:rsidRDefault="00611F9C" w:rsidP="0088332B">
      <w:pPr>
        <w:pStyle w:val="FootnoteText"/>
        <w:keepLines/>
        <w:ind w:firstLine="720"/>
        <w:rPr>
          <w:sz w:val="26"/>
          <w:szCs w:val="26"/>
        </w:rPr>
      </w:pPr>
      <w:r w:rsidRPr="000B2B02">
        <w:rPr>
          <w:rStyle w:val="FootnoteReference"/>
          <w:sz w:val="26"/>
          <w:szCs w:val="26"/>
        </w:rPr>
        <w:footnoteRef/>
      </w:r>
      <w:r>
        <w:rPr>
          <w:sz w:val="26"/>
          <w:szCs w:val="26"/>
        </w:rPr>
        <w:tab/>
        <w:t xml:space="preserve">The Exceptions that were filed with the Secretary’s Bureau on July 29, 2013, did not include a Certificate of Service.  As such, by letter dated August 6, 2013, the Secretary’s Bureau </w:t>
      </w:r>
      <w:r w:rsidRPr="00365F73">
        <w:rPr>
          <w:sz w:val="26"/>
          <w:szCs w:val="26"/>
        </w:rPr>
        <w:t>provided a copy of the Exceptions to all Parties</w:t>
      </w:r>
      <w:r>
        <w:rPr>
          <w:sz w:val="26"/>
          <w:szCs w:val="26"/>
        </w:rPr>
        <w:t xml:space="preserve"> in the case noting that although the Complainant filed timely Exceptions, he failed to serve a copy of the Exceptions on the Parties.  I</w:t>
      </w:r>
      <w:r w:rsidRPr="00365F73">
        <w:rPr>
          <w:sz w:val="26"/>
          <w:szCs w:val="26"/>
        </w:rPr>
        <w:t>n order to avoid prejudice to any Party</w:t>
      </w:r>
      <w:r>
        <w:rPr>
          <w:sz w:val="26"/>
          <w:szCs w:val="26"/>
        </w:rPr>
        <w:t xml:space="preserve"> who may have wanted to file Replies to Exceptions, the August 6, 2013</w:t>
      </w:r>
      <w:r w:rsidR="00AD4FAD">
        <w:rPr>
          <w:sz w:val="26"/>
          <w:szCs w:val="26"/>
        </w:rPr>
        <w:t>,</w:t>
      </w:r>
      <w:r>
        <w:rPr>
          <w:sz w:val="26"/>
          <w:szCs w:val="26"/>
        </w:rPr>
        <w:t xml:space="preserve"> letter deemed August 6, 2013, as the filing date for the Exceptions.</w:t>
      </w:r>
    </w:p>
  </w:footnote>
  <w:footnote w:id="2">
    <w:p w:rsidR="00CB4269" w:rsidRPr="00655657" w:rsidRDefault="00CB4269" w:rsidP="00E566E1">
      <w:pPr>
        <w:pStyle w:val="FootnoteText"/>
        <w:keepLines/>
        <w:tabs>
          <w:tab w:val="left" w:pos="720"/>
          <w:tab w:val="left" w:pos="1440"/>
        </w:tabs>
      </w:pPr>
      <w:r>
        <w:tab/>
      </w:r>
      <w:r w:rsidRPr="00CF6DF1">
        <w:rPr>
          <w:rStyle w:val="FootnoteReference"/>
          <w:sz w:val="26"/>
          <w:szCs w:val="26"/>
        </w:rPr>
        <w:footnoteRef/>
      </w:r>
      <w:r w:rsidRPr="00CF6DF1">
        <w:rPr>
          <w:sz w:val="26"/>
          <w:szCs w:val="26"/>
        </w:rPr>
        <w:t xml:space="preserve"> </w:t>
      </w:r>
      <w:r>
        <w:tab/>
      </w:r>
      <w:r w:rsidRPr="00655657">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sidR="008F073C">
        <w:rPr>
          <w:sz w:val="26"/>
        </w:rPr>
        <w:t> </w:t>
      </w:r>
      <w:r w:rsidRPr="00655657">
        <w:rPr>
          <w:sz w:val="26"/>
        </w:rPr>
        <w:t>1.2(c)</w:t>
      </w:r>
      <w:r>
        <w:rPr>
          <w:sz w:val="26"/>
        </w:rPr>
        <w:t>, in order to secure a just, speedy, and inexpensive determination</w:t>
      </w:r>
      <w:r w:rsidRPr="00655657">
        <w:rPr>
          <w:sz w:val="26"/>
        </w:rPr>
        <w:t>.</w:t>
      </w:r>
      <w:r>
        <w:rPr>
          <w:sz w:val="26"/>
        </w:rPr>
        <w:t xml:space="preserve"> </w:t>
      </w:r>
    </w:p>
    <w:p w:rsidR="00CB4269" w:rsidRDefault="00CB4269" w:rsidP="00CB4269">
      <w:pPr>
        <w:pStyle w:val="FootnoteText"/>
        <w:ind w:firstLine="7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DC"/>
    <w:rsid w:val="00003947"/>
    <w:rsid w:val="00034173"/>
    <w:rsid w:val="000914ED"/>
    <w:rsid w:val="000A36E1"/>
    <w:rsid w:val="001037D2"/>
    <w:rsid w:val="00124C2E"/>
    <w:rsid w:val="00157441"/>
    <w:rsid w:val="001D02E6"/>
    <w:rsid w:val="00201968"/>
    <w:rsid w:val="00242B5A"/>
    <w:rsid w:val="002A4DD8"/>
    <w:rsid w:val="003132F6"/>
    <w:rsid w:val="00314030"/>
    <w:rsid w:val="00325DAC"/>
    <w:rsid w:val="00400BA4"/>
    <w:rsid w:val="00411E1B"/>
    <w:rsid w:val="00420631"/>
    <w:rsid w:val="00440F5B"/>
    <w:rsid w:val="004616E1"/>
    <w:rsid w:val="004A6217"/>
    <w:rsid w:val="004C1724"/>
    <w:rsid w:val="005720F4"/>
    <w:rsid w:val="005F7F13"/>
    <w:rsid w:val="00611F9C"/>
    <w:rsid w:val="006122E0"/>
    <w:rsid w:val="006933A3"/>
    <w:rsid w:val="00703631"/>
    <w:rsid w:val="00750931"/>
    <w:rsid w:val="007B2AAF"/>
    <w:rsid w:val="007C537F"/>
    <w:rsid w:val="00882EFA"/>
    <w:rsid w:val="0088332B"/>
    <w:rsid w:val="00894CE1"/>
    <w:rsid w:val="008C7F05"/>
    <w:rsid w:val="008F073C"/>
    <w:rsid w:val="009079E4"/>
    <w:rsid w:val="009D1540"/>
    <w:rsid w:val="009E449E"/>
    <w:rsid w:val="009E7C56"/>
    <w:rsid w:val="00A93B24"/>
    <w:rsid w:val="00AD3278"/>
    <w:rsid w:val="00AD4FAD"/>
    <w:rsid w:val="00AD7A36"/>
    <w:rsid w:val="00B213DC"/>
    <w:rsid w:val="00C37956"/>
    <w:rsid w:val="00C52250"/>
    <w:rsid w:val="00C52AE6"/>
    <w:rsid w:val="00C61B05"/>
    <w:rsid w:val="00C942F6"/>
    <w:rsid w:val="00CB4269"/>
    <w:rsid w:val="00CF6DF1"/>
    <w:rsid w:val="00D64605"/>
    <w:rsid w:val="00DA6323"/>
    <w:rsid w:val="00DB40C0"/>
    <w:rsid w:val="00DD61DB"/>
    <w:rsid w:val="00E26B82"/>
    <w:rsid w:val="00E566E1"/>
    <w:rsid w:val="00E74DFB"/>
    <w:rsid w:val="00E906DD"/>
    <w:rsid w:val="00F34EA2"/>
    <w:rsid w:val="00F84761"/>
    <w:rsid w:val="00F95321"/>
    <w:rsid w:val="00FD467B"/>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6</cp:revision>
  <cp:lastPrinted>2013-11-14T14:13:00Z</cp:lastPrinted>
  <dcterms:created xsi:type="dcterms:W3CDTF">2013-10-29T16:02:00Z</dcterms:created>
  <dcterms:modified xsi:type="dcterms:W3CDTF">2013-11-14T14:13:00Z</dcterms:modified>
</cp:coreProperties>
</file>