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A524F0">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A524F0">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A524F0">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A524F0">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428"/>
      </w:tblGrid>
      <w:tr w:rsidR="00F514FB" w:rsidRPr="00F514FB" w:rsidTr="001A5E7A">
        <w:tc>
          <w:tcPr>
            <w:tcW w:w="4968" w:type="dxa"/>
          </w:tcPr>
          <w:p w:rsidR="00F514FB" w:rsidRPr="00F514FB" w:rsidRDefault="00F514FB" w:rsidP="00A524F0">
            <w:pPr>
              <w:widowControl/>
              <w:rPr>
                <w:sz w:val="26"/>
                <w:szCs w:val="26"/>
              </w:rPr>
            </w:pPr>
          </w:p>
        </w:tc>
        <w:tc>
          <w:tcPr>
            <w:tcW w:w="4428" w:type="dxa"/>
          </w:tcPr>
          <w:p w:rsidR="00F514FB" w:rsidRPr="00F514FB" w:rsidRDefault="001A5E7A" w:rsidP="00A524F0">
            <w:pPr>
              <w:widowControl/>
              <w:ind w:hanging="198"/>
              <w:jc w:val="right"/>
              <w:rPr>
                <w:sz w:val="26"/>
                <w:szCs w:val="26"/>
              </w:rPr>
            </w:pPr>
            <w:r>
              <w:rPr>
                <w:sz w:val="26"/>
                <w:szCs w:val="26"/>
              </w:rPr>
              <w:t xml:space="preserve">  </w:t>
            </w:r>
            <w:r w:rsidR="00F514FB" w:rsidRPr="00F514FB">
              <w:rPr>
                <w:sz w:val="26"/>
                <w:szCs w:val="26"/>
              </w:rPr>
              <w:t xml:space="preserve">Public Meeting held </w:t>
            </w:r>
            <w:r w:rsidR="008D2412">
              <w:rPr>
                <w:sz w:val="26"/>
                <w:szCs w:val="26"/>
              </w:rPr>
              <w:t>November 14</w:t>
            </w:r>
            <w:r w:rsidR="003D1F5A">
              <w:rPr>
                <w:sz w:val="26"/>
                <w:szCs w:val="26"/>
              </w:rPr>
              <w:t>, 2013</w:t>
            </w:r>
          </w:p>
          <w:p w:rsidR="00F514FB" w:rsidRPr="00F514FB" w:rsidRDefault="00F514FB" w:rsidP="00A524F0">
            <w:pPr>
              <w:widowControl/>
              <w:jc w:val="right"/>
              <w:rPr>
                <w:sz w:val="26"/>
                <w:szCs w:val="26"/>
              </w:rPr>
            </w:pPr>
          </w:p>
          <w:p w:rsidR="00F514FB" w:rsidRPr="00F514FB" w:rsidRDefault="00F514FB" w:rsidP="00A524F0">
            <w:pPr>
              <w:widowControl/>
              <w:jc w:val="right"/>
              <w:rPr>
                <w:sz w:val="26"/>
                <w:szCs w:val="26"/>
              </w:rPr>
            </w:pPr>
          </w:p>
        </w:tc>
      </w:tr>
      <w:tr w:rsidR="00F514FB" w:rsidRPr="00F514FB" w:rsidTr="001A5E7A">
        <w:tc>
          <w:tcPr>
            <w:tcW w:w="4968" w:type="dxa"/>
          </w:tcPr>
          <w:p w:rsidR="00F514FB" w:rsidRPr="00F514FB" w:rsidRDefault="00F514FB" w:rsidP="00A524F0">
            <w:pPr>
              <w:widowControl/>
              <w:rPr>
                <w:sz w:val="26"/>
                <w:szCs w:val="26"/>
              </w:rPr>
            </w:pPr>
            <w:r w:rsidRPr="00F514FB">
              <w:rPr>
                <w:sz w:val="26"/>
                <w:szCs w:val="26"/>
              </w:rPr>
              <w:t>Commissioners Present:</w:t>
            </w:r>
          </w:p>
          <w:p w:rsidR="00F514FB" w:rsidRPr="00F514FB" w:rsidRDefault="00F514FB" w:rsidP="00A524F0">
            <w:pPr>
              <w:widowControl/>
              <w:rPr>
                <w:sz w:val="26"/>
                <w:szCs w:val="26"/>
              </w:rPr>
            </w:pPr>
          </w:p>
          <w:p w:rsidR="00F514FB" w:rsidRPr="00F514FB" w:rsidRDefault="00F514FB" w:rsidP="00A524F0">
            <w:pPr>
              <w:widowControl/>
              <w:tabs>
                <w:tab w:val="left" w:pos="705"/>
              </w:tabs>
              <w:ind w:firstLine="720"/>
              <w:rPr>
                <w:sz w:val="26"/>
                <w:szCs w:val="26"/>
              </w:rPr>
            </w:pPr>
            <w:r w:rsidRPr="00F514FB">
              <w:rPr>
                <w:sz w:val="26"/>
                <w:szCs w:val="26"/>
              </w:rPr>
              <w:t>Robert F. Powelson, Chairman</w:t>
            </w:r>
          </w:p>
          <w:p w:rsidR="00F514FB" w:rsidRPr="00F514FB" w:rsidRDefault="00F514FB" w:rsidP="00A524F0">
            <w:pPr>
              <w:widowControl/>
              <w:tabs>
                <w:tab w:val="left" w:pos="705"/>
              </w:tabs>
              <w:ind w:firstLine="720"/>
              <w:rPr>
                <w:sz w:val="26"/>
                <w:szCs w:val="26"/>
              </w:rPr>
            </w:pPr>
            <w:r w:rsidRPr="00F514FB">
              <w:rPr>
                <w:sz w:val="26"/>
                <w:szCs w:val="26"/>
              </w:rPr>
              <w:t>John F. Coleman, Jr., Vice Chairman</w:t>
            </w:r>
          </w:p>
          <w:p w:rsidR="00F514FB" w:rsidRPr="00F514FB" w:rsidRDefault="00F514FB" w:rsidP="00A524F0">
            <w:pPr>
              <w:widowControl/>
              <w:tabs>
                <w:tab w:val="left" w:pos="705"/>
              </w:tabs>
              <w:ind w:firstLine="720"/>
              <w:rPr>
                <w:sz w:val="26"/>
                <w:szCs w:val="26"/>
              </w:rPr>
            </w:pPr>
            <w:r w:rsidRPr="00F514FB">
              <w:rPr>
                <w:sz w:val="26"/>
                <w:szCs w:val="26"/>
              </w:rPr>
              <w:t>James H. Cawley</w:t>
            </w:r>
          </w:p>
          <w:p w:rsidR="00F514FB" w:rsidRDefault="00F514FB" w:rsidP="00A524F0">
            <w:pPr>
              <w:widowControl/>
              <w:tabs>
                <w:tab w:val="left" w:pos="705"/>
              </w:tabs>
              <w:ind w:firstLine="720"/>
              <w:rPr>
                <w:sz w:val="26"/>
                <w:szCs w:val="26"/>
              </w:rPr>
            </w:pPr>
            <w:r w:rsidRPr="00F514FB">
              <w:rPr>
                <w:sz w:val="26"/>
                <w:szCs w:val="26"/>
              </w:rPr>
              <w:t>Pamela A. Witmer</w:t>
            </w:r>
          </w:p>
          <w:p w:rsidR="00EA2DF1" w:rsidRPr="00F514FB" w:rsidRDefault="00EA2DF1" w:rsidP="00A524F0">
            <w:pPr>
              <w:widowControl/>
              <w:tabs>
                <w:tab w:val="left" w:pos="705"/>
              </w:tabs>
              <w:ind w:firstLine="720"/>
              <w:rPr>
                <w:sz w:val="26"/>
                <w:szCs w:val="26"/>
              </w:rPr>
            </w:pPr>
            <w:r>
              <w:rPr>
                <w:sz w:val="26"/>
                <w:szCs w:val="26"/>
              </w:rPr>
              <w:t>Gladys M. Brown</w:t>
            </w:r>
          </w:p>
          <w:p w:rsidR="00F514FB" w:rsidRPr="00F514FB" w:rsidRDefault="00F514FB" w:rsidP="00A524F0">
            <w:pPr>
              <w:widowControl/>
              <w:rPr>
                <w:sz w:val="26"/>
                <w:szCs w:val="26"/>
              </w:rPr>
            </w:pPr>
          </w:p>
          <w:p w:rsidR="00F514FB" w:rsidRPr="00F514FB" w:rsidRDefault="00F514FB" w:rsidP="00A524F0">
            <w:pPr>
              <w:widowControl/>
              <w:rPr>
                <w:sz w:val="26"/>
                <w:szCs w:val="26"/>
              </w:rPr>
            </w:pPr>
          </w:p>
        </w:tc>
        <w:tc>
          <w:tcPr>
            <w:tcW w:w="4428" w:type="dxa"/>
          </w:tcPr>
          <w:p w:rsidR="00F514FB" w:rsidRPr="00F514FB" w:rsidRDefault="00F514FB" w:rsidP="00A524F0">
            <w:pPr>
              <w:widowControl/>
              <w:jc w:val="right"/>
              <w:rPr>
                <w:sz w:val="26"/>
                <w:szCs w:val="26"/>
              </w:rPr>
            </w:pPr>
          </w:p>
        </w:tc>
      </w:tr>
      <w:tr w:rsidR="00F514FB" w:rsidRPr="00F514FB" w:rsidTr="001A5E7A">
        <w:tc>
          <w:tcPr>
            <w:tcW w:w="4968" w:type="dxa"/>
          </w:tcPr>
          <w:p w:rsidR="00F514FB" w:rsidRPr="00F514FB" w:rsidRDefault="00EA2DF1" w:rsidP="00A524F0">
            <w:pPr>
              <w:widowControl/>
              <w:rPr>
                <w:sz w:val="26"/>
                <w:szCs w:val="26"/>
              </w:rPr>
            </w:pPr>
            <w:r>
              <w:rPr>
                <w:sz w:val="26"/>
                <w:szCs w:val="26"/>
              </w:rPr>
              <w:t>Steve Atuahene</w:t>
            </w:r>
          </w:p>
          <w:p w:rsidR="00F514FB" w:rsidRPr="00F514FB" w:rsidRDefault="00F514FB" w:rsidP="00A524F0">
            <w:pPr>
              <w:widowControl/>
              <w:rPr>
                <w:sz w:val="26"/>
                <w:szCs w:val="26"/>
              </w:rPr>
            </w:pPr>
          </w:p>
        </w:tc>
        <w:tc>
          <w:tcPr>
            <w:tcW w:w="4428" w:type="dxa"/>
          </w:tcPr>
          <w:p w:rsidR="00F514FB" w:rsidRPr="00F514FB" w:rsidRDefault="00EA2DF1" w:rsidP="00A524F0">
            <w:pPr>
              <w:widowControl/>
              <w:jc w:val="right"/>
              <w:rPr>
                <w:sz w:val="26"/>
                <w:szCs w:val="26"/>
              </w:rPr>
            </w:pPr>
            <w:r>
              <w:rPr>
                <w:sz w:val="26"/>
                <w:szCs w:val="26"/>
              </w:rPr>
              <w:t>C-2012-2299868</w:t>
            </w:r>
            <w:r w:rsidR="00940BD4">
              <w:rPr>
                <w:sz w:val="26"/>
                <w:szCs w:val="26"/>
              </w:rPr>
              <w:t xml:space="preserve"> </w:t>
            </w:r>
          </w:p>
        </w:tc>
      </w:tr>
      <w:tr w:rsidR="00F514FB" w:rsidRPr="00F514FB" w:rsidTr="001A5E7A">
        <w:tc>
          <w:tcPr>
            <w:tcW w:w="4968" w:type="dxa"/>
          </w:tcPr>
          <w:p w:rsidR="00F514FB" w:rsidRPr="00F514FB" w:rsidRDefault="00F514FB" w:rsidP="00A524F0">
            <w:pPr>
              <w:widowControl/>
              <w:ind w:firstLine="720"/>
              <w:rPr>
                <w:sz w:val="26"/>
                <w:szCs w:val="26"/>
              </w:rPr>
            </w:pPr>
            <w:r w:rsidRPr="00F514FB">
              <w:rPr>
                <w:sz w:val="26"/>
                <w:szCs w:val="26"/>
              </w:rPr>
              <w:t>v.</w:t>
            </w:r>
          </w:p>
          <w:p w:rsidR="00F514FB" w:rsidRPr="00F514FB" w:rsidRDefault="00F514FB" w:rsidP="00A524F0">
            <w:pPr>
              <w:widowControl/>
              <w:ind w:firstLine="1440"/>
              <w:rPr>
                <w:sz w:val="26"/>
                <w:szCs w:val="26"/>
              </w:rPr>
            </w:pPr>
          </w:p>
        </w:tc>
        <w:tc>
          <w:tcPr>
            <w:tcW w:w="4428" w:type="dxa"/>
          </w:tcPr>
          <w:p w:rsidR="00F514FB" w:rsidRPr="00F514FB" w:rsidRDefault="00F514FB" w:rsidP="00A524F0">
            <w:pPr>
              <w:widowControl/>
              <w:rPr>
                <w:sz w:val="26"/>
                <w:szCs w:val="26"/>
              </w:rPr>
            </w:pPr>
          </w:p>
        </w:tc>
      </w:tr>
      <w:tr w:rsidR="00F514FB" w:rsidRPr="00F514FB" w:rsidTr="001A5E7A">
        <w:tc>
          <w:tcPr>
            <w:tcW w:w="4968" w:type="dxa"/>
          </w:tcPr>
          <w:p w:rsidR="00F514FB" w:rsidRDefault="00EA2DF1" w:rsidP="00A524F0">
            <w:pPr>
              <w:widowControl/>
              <w:rPr>
                <w:sz w:val="26"/>
                <w:szCs w:val="26"/>
              </w:rPr>
            </w:pPr>
            <w:r>
              <w:rPr>
                <w:sz w:val="26"/>
                <w:szCs w:val="26"/>
              </w:rPr>
              <w:t>PECO Energy Company</w:t>
            </w:r>
          </w:p>
          <w:p w:rsidR="00E87631" w:rsidRDefault="00E87631" w:rsidP="00A524F0">
            <w:pPr>
              <w:widowControl/>
              <w:tabs>
                <w:tab w:val="left" w:pos="4860"/>
              </w:tabs>
              <w:ind w:left="720" w:hanging="720"/>
              <w:rPr>
                <w:sz w:val="26"/>
                <w:szCs w:val="26"/>
              </w:rPr>
            </w:pPr>
            <w:r>
              <w:rPr>
                <w:sz w:val="26"/>
                <w:szCs w:val="26"/>
              </w:rPr>
              <w:t xml:space="preserve">    </w:t>
            </w:r>
          </w:p>
          <w:p w:rsidR="00E87631" w:rsidRPr="00F514FB" w:rsidRDefault="00E87631" w:rsidP="00A524F0">
            <w:pPr>
              <w:widowControl/>
              <w:ind w:left="720" w:hanging="720"/>
              <w:rPr>
                <w:sz w:val="26"/>
                <w:szCs w:val="26"/>
              </w:rPr>
            </w:pPr>
          </w:p>
        </w:tc>
        <w:tc>
          <w:tcPr>
            <w:tcW w:w="4428" w:type="dxa"/>
          </w:tcPr>
          <w:p w:rsidR="00F514FB" w:rsidRPr="00F514FB" w:rsidRDefault="00F514FB" w:rsidP="00A524F0">
            <w:pPr>
              <w:widowControl/>
              <w:tabs>
                <w:tab w:val="left" w:pos="1062"/>
              </w:tabs>
              <w:rPr>
                <w:sz w:val="26"/>
                <w:szCs w:val="26"/>
              </w:rPr>
            </w:pPr>
          </w:p>
        </w:tc>
      </w:tr>
    </w:tbl>
    <w:p w:rsidR="00E87631" w:rsidRPr="00F514FB" w:rsidRDefault="00E87631" w:rsidP="00A524F0">
      <w:pPr>
        <w:widowControl/>
        <w:rPr>
          <w:sz w:val="26"/>
          <w:szCs w:val="26"/>
        </w:rPr>
      </w:pPr>
    </w:p>
    <w:p w:rsidR="00F514FB" w:rsidRPr="00F514FB" w:rsidRDefault="00F514FB" w:rsidP="00A524F0">
      <w:pPr>
        <w:keepNext/>
        <w:widowControl/>
        <w:jc w:val="center"/>
        <w:rPr>
          <w:b/>
          <w:sz w:val="26"/>
          <w:szCs w:val="26"/>
        </w:rPr>
      </w:pPr>
      <w:r w:rsidRPr="00F514FB">
        <w:rPr>
          <w:b/>
          <w:sz w:val="26"/>
          <w:szCs w:val="26"/>
        </w:rPr>
        <w:t>OPINION AND ORDER</w:t>
      </w:r>
    </w:p>
    <w:p w:rsidR="00F514FB" w:rsidRPr="00F514FB" w:rsidRDefault="00F514FB" w:rsidP="00A524F0">
      <w:pPr>
        <w:keepNext/>
        <w:widowControl/>
        <w:jc w:val="center"/>
        <w:rPr>
          <w:b/>
          <w:sz w:val="26"/>
          <w:szCs w:val="26"/>
        </w:rPr>
      </w:pPr>
    </w:p>
    <w:p w:rsidR="00F514FB" w:rsidRPr="00F514FB" w:rsidRDefault="00F514FB" w:rsidP="00A524F0">
      <w:pPr>
        <w:keepNext/>
        <w:widowControl/>
        <w:jc w:val="center"/>
        <w:rPr>
          <w:b/>
          <w:sz w:val="26"/>
          <w:szCs w:val="26"/>
        </w:rPr>
      </w:pPr>
    </w:p>
    <w:p w:rsidR="00F514FB" w:rsidRPr="00F514FB" w:rsidRDefault="00F514FB" w:rsidP="00A524F0">
      <w:pPr>
        <w:keepNext/>
        <w:widowControl/>
        <w:rPr>
          <w:b/>
          <w:sz w:val="26"/>
          <w:szCs w:val="26"/>
        </w:rPr>
      </w:pPr>
      <w:r w:rsidRPr="00F514FB">
        <w:rPr>
          <w:b/>
          <w:sz w:val="26"/>
          <w:szCs w:val="26"/>
        </w:rPr>
        <w:t>BY THE COMMISSION:</w:t>
      </w:r>
    </w:p>
    <w:p w:rsidR="00F514FB" w:rsidRPr="00F514FB" w:rsidRDefault="00F514FB" w:rsidP="00A524F0">
      <w:pPr>
        <w:keepNext/>
        <w:widowControl/>
        <w:rPr>
          <w:sz w:val="26"/>
          <w:szCs w:val="26"/>
        </w:rPr>
      </w:pPr>
    </w:p>
    <w:p w:rsidR="00F514FB" w:rsidRPr="00F514FB" w:rsidRDefault="00F514FB" w:rsidP="00A524F0">
      <w:pPr>
        <w:keepNext/>
        <w:widowControl/>
        <w:rPr>
          <w:sz w:val="26"/>
          <w:szCs w:val="26"/>
        </w:rPr>
      </w:pPr>
    </w:p>
    <w:p w:rsidR="00432CF2" w:rsidRPr="00432CF2" w:rsidRDefault="00432CF2" w:rsidP="00661C73">
      <w:pPr>
        <w:widowControl/>
        <w:spacing w:line="360" w:lineRule="auto"/>
        <w:ind w:firstLine="1440"/>
        <w:rPr>
          <w:sz w:val="26"/>
          <w:szCs w:val="26"/>
        </w:rPr>
      </w:pPr>
      <w:r w:rsidRPr="00432CF2">
        <w:rPr>
          <w:sz w:val="26"/>
          <w:szCs w:val="26"/>
        </w:rPr>
        <w:t>Before the Pennsylvania Public Utility Commission (Commission) for consideration and disposition is</w:t>
      </w:r>
      <w:r w:rsidRPr="00432CF2">
        <w:rPr>
          <w:color w:val="000000"/>
          <w:sz w:val="26"/>
        </w:rPr>
        <w:t xml:space="preserve"> the Petition for Reconsideration (Petition)</w:t>
      </w:r>
      <w:r w:rsidRPr="00432CF2">
        <w:rPr>
          <w:color w:val="000000"/>
          <w:sz w:val="26"/>
          <w:vertAlign w:val="superscript"/>
        </w:rPr>
        <w:footnoteReference w:id="1"/>
      </w:r>
      <w:r w:rsidRPr="00432CF2">
        <w:rPr>
          <w:color w:val="000000"/>
          <w:sz w:val="26"/>
        </w:rPr>
        <w:t xml:space="preserve"> of </w:t>
      </w:r>
      <w:r w:rsidR="00EA2DF1">
        <w:rPr>
          <w:color w:val="000000"/>
          <w:sz w:val="26"/>
        </w:rPr>
        <w:t>Steve Atuahene</w:t>
      </w:r>
      <w:r w:rsidRPr="00432CF2">
        <w:rPr>
          <w:color w:val="000000"/>
          <w:sz w:val="26"/>
        </w:rPr>
        <w:t xml:space="preserve"> (Complainant or </w:t>
      </w:r>
      <w:r>
        <w:rPr>
          <w:color w:val="000000"/>
          <w:sz w:val="26"/>
        </w:rPr>
        <w:t xml:space="preserve">Mr. </w:t>
      </w:r>
      <w:r w:rsidR="00EA2DF1">
        <w:rPr>
          <w:color w:val="000000"/>
          <w:sz w:val="26"/>
        </w:rPr>
        <w:t>Atuahene</w:t>
      </w:r>
      <w:r w:rsidRPr="00432CF2">
        <w:rPr>
          <w:color w:val="000000"/>
          <w:sz w:val="26"/>
        </w:rPr>
        <w:t xml:space="preserve">) filed on </w:t>
      </w:r>
      <w:r w:rsidR="00EA2DF1">
        <w:rPr>
          <w:color w:val="000000"/>
          <w:sz w:val="26"/>
        </w:rPr>
        <w:t>May 15</w:t>
      </w:r>
      <w:r w:rsidRPr="00432CF2">
        <w:rPr>
          <w:color w:val="000000"/>
          <w:sz w:val="26"/>
        </w:rPr>
        <w:t xml:space="preserve">, 2013, to the Initial Decision (I.D.) of Administrative Law Judge (ALJ) </w:t>
      </w:r>
      <w:r w:rsidR="00EA2DF1">
        <w:rPr>
          <w:color w:val="000000"/>
          <w:sz w:val="26"/>
        </w:rPr>
        <w:t>Eranda Vero</w:t>
      </w:r>
      <w:r w:rsidRPr="00432CF2">
        <w:rPr>
          <w:color w:val="000000"/>
          <w:sz w:val="26"/>
        </w:rPr>
        <w:t xml:space="preserve">, which was issued on </w:t>
      </w:r>
      <w:r>
        <w:rPr>
          <w:color w:val="000000"/>
          <w:sz w:val="26"/>
        </w:rPr>
        <w:t>Ma</w:t>
      </w:r>
      <w:r w:rsidR="00EA2DF1">
        <w:rPr>
          <w:color w:val="000000"/>
          <w:sz w:val="26"/>
        </w:rPr>
        <w:t>rch 4</w:t>
      </w:r>
      <w:r w:rsidRPr="00432CF2">
        <w:rPr>
          <w:color w:val="000000"/>
          <w:sz w:val="26"/>
        </w:rPr>
        <w:t xml:space="preserve">, </w:t>
      </w:r>
      <w:r w:rsidRPr="00432CF2">
        <w:rPr>
          <w:color w:val="000000"/>
          <w:sz w:val="26"/>
        </w:rPr>
        <w:lastRenderedPageBreak/>
        <w:t>2013, in the above-captioned proceeding.</w:t>
      </w:r>
      <w:r w:rsidRPr="00432CF2">
        <w:rPr>
          <w:color w:val="000000"/>
          <w:sz w:val="26"/>
          <w:vertAlign w:val="superscript"/>
        </w:rPr>
        <w:footnoteReference w:id="2"/>
      </w:r>
      <w:r w:rsidR="00116593">
        <w:rPr>
          <w:color w:val="000000"/>
          <w:sz w:val="26"/>
        </w:rPr>
        <w:t xml:space="preserve">  </w:t>
      </w:r>
      <w:r w:rsidRPr="00432CF2">
        <w:rPr>
          <w:color w:val="000000"/>
          <w:sz w:val="26"/>
        </w:rPr>
        <w:t xml:space="preserve">On </w:t>
      </w:r>
      <w:r w:rsidR="00DC2F98">
        <w:rPr>
          <w:color w:val="000000"/>
          <w:sz w:val="26"/>
        </w:rPr>
        <w:t>June 3</w:t>
      </w:r>
      <w:r w:rsidRPr="00432CF2">
        <w:rPr>
          <w:color w:val="000000"/>
          <w:sz w:val="26"/>
        </w:rPr>
        <w:t xml:space="preserve">, 2013, </w:t>
      </w:r>
      <w:r w:rsidR="00DC2F98">
        <w:rPr>
          <w:sz w:val="26"/>
          <w:szCs w:val="26"/>
        </w:rPr>
        <w:t>PECO Energy Company</w:t>
      </w:r>
      <w:r w:rsidRPr="00432CF2">
        <w:rPr>
          <w:color w:val="000000"/>
          <w:sz w:val="26"/>
        </w:rPr>
        <w:t xml:space="preserve"> (Respondent or </w:t>
      </w:r>
      <w:r w:rsidR="00DC2F98">
        <w:rPr>
          <w:color w:val="000000"/>
          <w:sz w:val="26"/>
        </w:rPr>
        <w:t>PECO</w:t>
      </w:r>
      <w:r w:rsidRPr="00432CF2">
        <w:rPr>
          <w:color w:val="000000"/>
          <w:sz w:val="26"/>
        </w:rPr>
        <w:t xml:space="preserve">) filed its Answer to the Petition.  </w:t>
      </w:r>
      <w:r w:rsidRPr="00432CF2">
        <w:rPr>
          <w:sz w:val="26"/>
          <w:szCs w:val="26"/>
        </w:rPr>
        <w:t>For the reasons stated below, we shall deny the Complainant’s Petition for Reconsideration.</w:t>
      </w:r>
    </w:p>
    <w:p w:rsidR="00A76846" w:rsidRPr="00CA43A5" w:rsidRDefault="00A76846" w:rsidP="00A524F0">
      <w:pPr>
        <w:widowControl/>
        <w:spacing w:line="360" w:lineRule="auto"/>
        <w:ind w:firstLine="1440"/>
        <w:rPr>
          <w:sz w:val="26"/>
          <w:szCs w:val="26"/>
        </w:rPr>
      </w:pPr>
    </w:p>
    <w:p w:rsidR="00CA43A5" w:rsidRDefault="00CA43A5" w:rsidP="00A524F0">
      <w:pPr>
        <w:keepNext/>
        <w:widowControl/>
        <w:spacing w:line="360" w:lineRule="auto"/>
        <w:jc w:val="center"/>
        <w:rPr>
          <w:b/>
          <w:sz w:val="26"/>
          <w:szCs w:val="26"/>
        </w:rPr>
      </w:pPr>
      <w:bookmarkStart w:id="0" w:name="OLE_LINK1"/>
      <w:bookmarkStart w:id="1" w:name="OLE_LINK2"/>
      <w:r w:rsidRPr="00CA43A5">
        <w:rPr>
          <w:b/>
          <w:sz w:val="26"/>
          <w:szCs w:val="26"/>
        </w:rPr>
        <w:t>History of the Proceeding</w:t>
      </w:r>
    </w:p>
    <w:p w:rsidR="0018461B" w:rsidRPr="00CA43A5" w:rsidRDefault="0018461B" w:rsidP="00A524F0">
      <w:pPr>
        <w:keepNext/>
        <w:widowControl/>
        <w:spacing w:line="360" w:lineRule="auto"/>
        <w:jc w:val="center"/>
        <w:rPr>
          <w:b/>
          <w:sz w:val="26"/>
          <w:szCs w:val="26"/>
        </w:rPr>
      </w:pPr>
    </w:p>
    <w:bookmarkEnd w:id="0"/>
    <w:bookmarkEnd w:id="1"/>
    <w:p w:rsidR="00AD4A42" w:rsidRDefault="00FA2995" w:rsidP="00E274C6">
      <w:pPr>
        <w:widowControl/>
        <w:spacing w:line="360" w:lineRule="auto"/>
        <w:ind w:firstLine="1440"/>
        <w:rPr>
          <w:sz w:val="26"/>
          <w:szCs w:val="24"/>
        </w:rPr>
      </w:pPr>
      <w:r>
        <w:rPr>
          <w:sz w:val="26"/>
          <w:szCs w:val="24"/>
        </w:rPr>
        <w:t xml:space="preserve">On </w:t>
      </w:r>
      <w:r w:rsidR="00DC2F98">
        <w:rPr>
          <w:sz w:val="26"/>
          <w:szCs w:val="24"/>
        </w:rPr>
        <w:t>April 20, 2012</w:t>
      </w:r>
      <w:r w:rsidR="00051A19">
        <w:rPr>
          <w:sz w:val="26"/>
          <w:szCs w:val="24"/>
        </w:rPr>
        <w:t xml:space="preserve">, </w:t>
      </w:r>
      <w:r>
        <w:rPr>
          <w:sz w:val="26"/>
          <w:szCs w:val="24"/>
        </w:rPr>
        <w:t xml:space="preserve">Mr. </w:t>
      </w:r>
      <w:r w:rsidR="00DC2F98">
        <w:rPr>
          <w:color w:val="000000"/>
          <w:sz w:val="26"/>
        </w:rPr>
        <w:t>Atuahene</w:t>
      </w:r>
      <w:r w:rsidR="00DC2F98">
        <w:rPr>
          <w:sz w:val="26"/>
          <w:szCs w:val="24"/>
        </w:rPr>
        <w:t xml:space="preserve"> </w:t>
      </w:r>
      <w:r w:rsidR="004801EF">
        <w:rPr>
          <w:sz w:val="26"/>
          <w:szCs w:val="24"/>
        </w:rPr>
        <w:t>filed</w:t>
      </w:r>
      <w:r w:rsidR="00636A5D">
        <w:rPr>
          <w:sz w:val="26"/>
          <w:szCs w:val="24"/>
        </w:rPr>
        <w:t xml:space="preserve"> a </w:t>
      </w:r>
      <w:r w:rsidR="00F039C1">
        <w:rPr>
          <w:sz w:val="26"/>
          <w:szCs w:val="24"/>
        </w:rPr>
        <w:t xml:space="preserve">Formal </w:t>
      </w:r>
      <w:r w:rsidR="00636A5D">
        <w:rPr>
          <w:sz w:val="26"/>
          <w:szCs w:val="24"/>
        </w:rPr>
        <w:t xml:space="preserve">Complaint </w:t>
      </w:r>
      <w:r w:rsidR="00F039C1">
        <w:rPr>
          <w:sz w:val="26"/>
          <w:szCs w:val="24"/>
        </w:rPr>
        <w:t>(Complaint)</w:t>
      </w:r>
      <w:r w:rsidR="00DC32B8">
        <w:rPr>
          <w:rStyle w:val="FootnoteReference"/>
          <w:sz w:val="26"/>
          <w:szCs w:val="24"/>
        </w:rPr>
        <w:footnoteReference w:id="3"/>
      </w:r>
      <w:r w:rsidR="00F039C1">
        <w:rPr>
          <w:sz w:val="26"/>
          <w:szCs w:val="24"/>
        </w:rPr>
        <w:t xml:space="preserve"> </w:t>
      </w:r>
      <w:r w:rsidR="00636A5D">
        <w:rPr>
          <w:sz w:val="26"/>
          <w:szCs w:val="24"/>
        </w:rPr>
        <w:t xml:space="preserve">against </w:t>
      </w:r>
      <w:r w:rsidR="00DC2F98">
        <w:rPr>
          <w:sz w:val="26"/>
          <w:szCs w:val="24"/>
        </w:rPr>
        <w:t>PECO</w:t>
      </w:r>
      <w:r>
        <w:rPr>
          <w:sz w:val="26"/>
          <w:szCs w:val="24"/>
        </w:rPr>
        <w:t xml:space="preserve"> </w:t>
      </w:r>
      <w:r w:rsidR="008D2ED6">
        <w:rPr>
          <w:sz w:val="26"/>
          <w:szCs w:val="24"/>
        </w:rPr>
        <w:t>alleging that:</w:t>
      </w:r>
      <w:r w:rsidR="000207B7">
        <w:rPr>
          <w:sz w:val="26"/>
          <w:szCs w:val="24"/>
        </w:rPr>
        <w:t xml:space="preserve"> </w:t>
      </w:r>
      <w:r w:rsidR="008D2ED6">
        <w:rPr>
          <w:sz w:val="26"/>
          <w:szCs w:val="24"/>
        </w:rPr>
        <w:t xml:space="preserve"> (1) his electricity bills were too high due to the operation of a faulty meter; (2) </w:t>
      </w:r>
      <w:r w:rsidR="00365CE3">
        <w:rPr>
          <w:sz w:val="26"/>
          <w:szCs w:val="24"/>
        </w:rPr>
        <w:t>there were unnecessary service interruptions to his building; and (3)</w:t>
      </w:r>
      <w:r w:rsidR="00F039C1">
        <w:rPr>
          <w:sz w:val="26"/>
          <w:szCs w:val="24"/>
        </w:rPr>
        <w:t> </w:t>
      </w:r>
      <w:r w:rsidR="00365CE3">
        <w:rPr>
          <w:sz w:val="26"/>
          <w:szCs w:val="24"/>
        </w:rPr>
        <w:t>PECO shut off his electric service without proper notice and forced him to wait a week until the service was restored.</w:t>
      </w:r>
      <w:r w:rsidR="00974C23" w:rsidRPr="00974C23">
        <w:rPr>
          <w:rStyle w:val="FootnoteReference"/>
          <w:sz w:val="26"/>
          <w:szCs w:val="24"/>
        </w:rPr>
        <w:t xml:space="preserve"> </w:t>
      </w:r>
      <w:r w:rsidR="00974C23">
        <w:rPr>
          <w:rStyle w:val="FootnoteReference"/>
          <w:sz w:val="26"/>
          <w:szCs w:val="24"/>
        </w:rPr>
        <w:footnoteReference w:id="4"/>
      </w:r>
      <w:r w:rsidR="00365CE3">
        <w:rPr>
          <w:sz w:val="26"/>
          <w:szCs w:val="24"/>
        </w:rPr>
        <w:t xml:space="preserve">  For relief, the Complainant </w:t>
      </w:r>
      <w:r w:rsidR="00974C23">
        <w:rPr>
          <w:sz w:val="26"/>
          <w:szCs w:val="24"/>
        </w:rPr>
        <w:t>requested</w:t>
      </w:r>
      <w:r w:rsidR="00F039C1">
        <w:rPr>
          <w:sz w:val="26"/>
          <w:szCs w:val="24"/>
        </w:rPr>
        <w:t xml:space="preserve"> that the meter be</w:t>
      </w:r>
      <w:r w:rsidR="00974C23">
        <w:rPr>
          <w:sz w:val="26"/>
          <w:szCs w:val="24"/>
        </w:rPr>
        <w:t xml:space="preserve"> </w:t>
      </w:r>
      <w:r w:rsidR="00365CE3">
        <w:rPr>
          <w:sz w:val="26"/>
          <w:szCs w:val="24"/>
        </w:rPr>
        <w:t>test</w:t>
      </w:r>
      <w:r w:rsidR="00F039C1">
        <w:rPr>
          <w:sz w:val="26"/>
          <w:szCs w:val="24"/>
        </w:rPr>
        <w:t>ed</w:t>
      </w:r>
      <w:r w:rsidR="00365CE3">
        <w:rPr>
          <w:sz w:val="26"/>
          <w:szCs w:val="24"/>
        </w:rPr>
        <w:t xml:space="preserve"> by an independent professional engineer and PECO </w:t>
      </w:r>
      <w:r w:rsidR="00003CD5">
        <w:rPr>
          <w:sz w:val="26"/>
          <w:szCs w:val="24"/>
        </w:rPr>
        <w:t xml:space="preserve">be required </w:t>
      </w:r>
      <w:r w:rsidR="00365CE3">
        <w:rPr>
          <w:sz w:val="26"/>
          <w:szCs w:val="24"/>
        </w:rPr>
        <w:t xml:space="preserve">to send shut off notices to customers via certified mail, with return receipt, </w:t>
      </w:r>
      <w:r w:rsidR="004C2763">
        <w:rPr>
          <w:sz w:val="26"/>
          <w:szCs w:val="24"/>
        </w:rPr>
        <w:t xml:space="preserve">thirty </w:t>
      </w:r>
      <w:r w:rsidR="00974C23">
        <w:rPr>
          <w:sz w:val="26"/>
          <w:szCs w:val="24"/>
        </w:rPr>
        <w:t xml:space="preserve">days prior to shut off.  </w:t>
      </w:r>
      <w:r w:rsidR="00365CE3">
        <w:rPr>
          <w:sz w:val="26"/>
          <w:szCs w:val="24"/>
        </w:rPr>
        <w:t>Complaint at 5</w:t>
      </w:r>
      <w:r w:rsidR="00FB733E">
        <w:rPr>
          <w:sz w:val="26"/>
          <w:szCs w:val="24"/>
        </w:rPr>
        <w:t>.</w:t>
      </w:r>
      <w:r w:rsidR="0011486A">
        <w:rPr>
          <w:sz w:val="26"/>
          <w:szCs w:val="24"/>
        </w:rPr>
        <w:t xml:space="preserve">  </w:t>
      </w:r>
    </w:p>
    <w:p w:rsidR="002E0D27" w:rsidRDefault="002E0D27">
      <w:pPr>
        <w:widowControl/>
        <w:spacing w:line="360" w:lineRule="auto"/>
        <w:ind w:firstLine="1440"/>
        <w:rPr>
          <w:sz w:val="26"/>
          <w:szCs w:val="24"/>
        </w:rPr>
      </w:pPr>
    </w:p>
    <w:p w:rsidR="00FB733E" w:rsidRDefault="00F01949">
      <w:pPr>
        <w:widowControl/>
        <w:spacing w:line="360" w:lineRule="auto"/>
        <w:ind w:firstLine="1440"/>
        <w:rPr>
          <w:sz w:val="26"/>
          <w:szCs w:val="24"/>
        </w:rPr>
      </w:pPr>
      <w:r>
        <w:rPr>
          <w:sz w:val="26"/>
          <w:szCs w:val="24"/>
        </w:rPr>
        <w:t xml:space="preserve">On </w:t>
      </w:r>
      <w:r w:rsidR="00365CE3">
        <w:rPr>
          <w:sz w:val="26"/>
          <w:szCs w:val="24"/>
        </w:rPr>
        <w:t>May 2, 2012</w:t>
      </w:r>
      <w:r w:rsidR="00B00B14">
        <w:rPr>
          <w:sz w:val="26"/>
          <w:szCs w:val="24"/>
        </w:rPr>
        <w:t xml:space="preserve">, </w:t>
      </w:r>
      <w:r w:rsidR="00365CE3">
        <w:rPr>
          <w:sz w:val="26"/>
          <w:szCs w:val="24"/>
        </w:rPr>
        <w:t>PECO</w:t>
      </w:r>
      <w:r w:rsidR="00B00B14">
        <w:rPr>
          <w:sz w:val="26"/>
          <w:szCs w:val="24"/>
        </w:rPr>
        <w:t xml:space="preserve"> </w:t>
      </w:r>
      <w:r w:rsidR="00FA2995">
        <w:rPr>
          <w:sz w:val="26"/>
          <w:szCs w:val="24"/>
        </w:rPr>
        <w:t xml:space="preserve">filed an </w:t>
      </w:r>
      <w:r w:rsidR="0087125E">
        <w:rPr>
          <w:sz w:val="26"/>
          <w:szCs w:val="24"/>
        </w:rPr>
        <w:t xml:space="preserve">Answer </w:t>
      </w:r>
      <w:r w:rsidR="00365CE3">
        <w:rPr>
          <w:sz w:val="26"/>
          <w:szCs w:val="24"/>
        </w:rPr>
        <w:t xml:space="preserve">denying the material allegations of the Complaint.  </w:t>
      </w:r>
      <w:r w:rsidR="00302C45">
        <w:rPr>
          <w:sz w:val="26"/>
          <w:szCs w:val="24"/>
        </w:rPr>
        <w:t>Sp</w:t>
      </w:r>
      <w:r w:rsidR="00AE728E">
        <w:rPr>
          <w:sz w:val="26"/>
          <w:szCs w:val="24"/>
        </w:rPr>
        <w:t>ecifically, the Respondent averred</w:t>
      </w:r>
      <w:r w:rsidR="00302C45">
        <w:rPr>
          <w:sz w:val="26"/>
          <w:szCs w:val="24"/>
        </w:rPr>
        <w:t xml:space="preserve"> that Mr. Atuahene, who established service on November 7, 2005, </w:t>
      </w:r>
      <w:r w:rsidR="004C2763">
        <w:rPr>
          <w:sz w:val="26"/>
          <w:szCs w:val="24"/>
        </w:rPr>
        <w:t>never</w:t>
      </w:r>
      <w:r w:rsidR="00AE728E">
        <w:rPr>
          <w:sz w:val="26"/>
          <w:szCs w:val="24"/>
        </w:rPr>
        <w:t xml:space="preserve"> contact</w:t>
      </w:r>
      <w:r w:rsidR="004C2763">
        <w:rPr>
          <w:sz w:val="26"/>
          <w:szCs w:val="24"/>
        </w:rPr>
        <w:t>ed</w:t>
      </w:r>
      <w:r w:rsidR="00302C45">
        <w:rPr>
          <w:sz w:val="26"/>
          <w:szCs w:val="24"/>
        </w:rPr>
        <w:t xml:space="preserve"> PECO regarding any high bill complaints </w:t>
      </w:r>
      <w:r w:rsidR="00AE728E">
        <w:rPr>
          <w:sz w:val="26"/>
          <w:szCs w:val="24"/>
        </w:rPr>
        <w:t>or open</w:t>
      </w:r>
      <w:r w:rsidR="004C2763">
        <w:rPr>
          <w:sz w:val="26"/>
          <w:szCs w:val="24"/>
        </w:rPr>
        <w:t>ed</w:t>
      </w:r>
      <w:r w:rsidR="00302C45">
        <w:rPr>
          <w:sz w:val="26"/>
          <w:szCs w:val="24"/>
        </w:rPr>
        <w:t xml:space="preserve"> a high bill dispute</w:t>
      </w:r>
      <w:r w:rsidR="00AE728E">
        <w:rPr>
          <w:sz w:val="26"/>
          <w:szCs w:val="24"/>
        </w:rPr>
        <w:t xml:space="preserve"> inquiry.  The Respondent also argued</w:t>
      </w:r>
      <w:r w:rsidR="00302C45">
        <w:rPr>
          <w:sz w:val="26"/>
          <w:szCs w:val="24"/>
        </w:rPr>
        <w:t xml:space="preserve"> that </w:t>
      </w:r>
      <w:r w:rsidR="00AE728E">
        <w:rPr>
          <w:sz w:val="26"/>
          <w:szCs w:val="24"/>
        </w:rPr>
        <w:t>the</w:t>
      </w:r>
      <w:r w:rsidR="00302C45">
        <w:rPr>
          <w:sz w:val="26"/>
          <w:szCs w:val="24"/>
        </w:rPr>
        <w:t xml:space="preserve"> outages </w:t>
      </w:r>
      <w:r w:rsidR="00AE728E">
        <w:rPr>
          <w:sz w:val="26"/>
          <w:szCs w:val="24"/>
        </w:rPr>
        <w:t xml:space="preserve">at the Complainant’s service address </w:t>
      </w:r>
      <w:r w:rsidR="00302C45">
        <w:rPr>
          <w:sz w:val="26"/>
          <w:szCs w:val="24"/>
        </w:rPr>
        <w:t>were necessary for safety repairs or because of general malfunctions or deterioration</w:t>
      </w:r>
      <w:r w:rsidR="00AE728E">
        <w:rPr>
          <w:sz w:val="26"/>
          <w:szCs w:val="24"/>
        </w:rPr>
        <w:t xml:space="preserve">.  PECO </w:t>
      </w:r>
      <w:r w:rsidR="008D2412">
        <w:rPr>
          <w:sz w:val="26"/>
          <w:szCs w:val="24"/>
        </w:rPr>
        <w:t xml:space="preserve">further </w:t>
      </w:r>
      <w:r w:rsidR="00AE728E">
        <w:rPr>
          <w:sz w:val="26"/>
          <w:szCs w:val="24"/>
        </w:rPr>
        <w:t>averred that it complied with the regulatory notice requirements for shutting off service</w:t>
      </w:r>
      <w:r w:rsidR="00974C23">
        <w:rPr>
          <w:sz w:val="26"/>
          <w:szCs w:val="24"/>
        </w:rPr>
        <w:t xml:space="preserve">.  </w:t>
      </w:r>
      <w:r w:rsidR="008D2412">
        <w:rPr>
          <w:sz w:val="26"/>
          <w:szCs w:val="24"/>
        </w:rPr>
        <w:t>In addition</w:t>
      </w:r>
      <w:r w:rsidR="00974C23">
        <w:rPr>
          <w:sz w:val="26"/>
          <w:szCs w:val="24"/>
        </w:rPr>
        <w:t xml:space="preserve">, PECO denied Mr. Atuahene’s </w:t>
      </w:r>
      <w:r w:rsidR="00974C23">
        <w:rPr>
          <w:sz w:val="26"/>
          <w:szCs w:val="24"/>
        </w:rPr>
        <w:lastRenderedPageBreak/>
        <w:t>allegation that it took a week to re</w:t>
      </w:r>
      <w:r w:rsidR="00817085">
        <w:rPr>
          <w:sz w:val="26"/>
          <w:szCs w:val="24"/>
        </w:rPr>
        <w:t>store</w:t>
      </w:r>
      <w:r w:rsidR="00974C23">
        <w:rPr>
          <w:sz w:val="26"/>
          <w:szCs w:val="24"/>
        </w:rPr>
        <w:t xml:space="preserve"> service</w:t>
      </w:r>
      <w:r w:rsidR="00CB7E35">
        <w:rPr>
          <w:sz w:val="26"/>
          <w:szCs w:val="24"/>
        </w:rPr>
        <w:t xml:space="preserve"> and stated</w:t>
      </w:r>
      <w:r w:rsidR="00974C23">
        <w:rPr>
          <w:sz w:val="26"/>
          <w:szCs w:val="24"/>
        </w:rPr>
        <w:t xml:space="preserve"> that </w:t>
      </w:r>
      <w:r w:rsidR="00AE728E">
        <w:rPr>
          <w:sz w:val="26"/>
          <w:szCs w:val="24"/>
        </w:rPr>
        <w:t xml:space="preserve">no service interruption lasted longer than </w:t>
      </w:r>
      <w:r w:rsidR="00817085">
        <w:rPr>
          <w:sz w:val="26"/>
          <w:szCs w:val="24"/>
        </w:rPr>
        <w:t>twenty-eight</w:t>
      </w:r>
      <w:r w:rsidR="00AE728E">
        <w:rPr>
          <w:sz w:val="26"/>
          <w:szCs w:val="24"/>
        </w:rPr>
        <w:t xml:space="preserve"> hours and </w:t>
      </w:r>
      <w:r w:rsidR="00817085">
        <w:rPr>
          <w:sz w:val="26"/>
          <w:szCs w:val="24"/>
        </w:rPr>
        <w:t>ten</w:t>
      </w:r>
      <w:r w:rsidR="00AE728E">
        <w:rPr>
          <w:sz w:val="26"/>
          <w:szCs w:val="24"/>
        </w:rPr>
        <w:t xml:space="preserve"> minutes.  </w:t>
      </w:r>
      <w:r w:rsidR="00974C23">
        <w:rPr>
          <w:sz w:val="26"/>
          <w:szCs w:val="24"/>
        </w:rPr>
        <w:t>Answer at 1-4.</w:t>
      </w:r>
    </w:p>
    <w:p w:rsidR="00974C23" w:rsidRDefault="00974C23">
      <w:pPr>
        <w:widowControl/>
        <w:spacing w:line="360" w:lineRule="auto"/>
        <w:ind w:firstLine="1440"/>
        <w:rPr>
          <w:sz w:val="26"/>
          <w:szCs w:val="24"/>
        </w:rPr>
      </w:pPr>
    </w:p>
    <w:p w:rsidR="00306A8B" w:rsidRDefault="002B10F7">
      <w:pPr>
        <w:widowControl/>
        <w:spacing w:line="360" w:lineRule="auto"/>
        <w:ind w:firstLine="1440"/>
        <w:rPr>
          <w:sz w:val="26"/>
          <w:szCs w:val="24"/>
        </w:rPr>
      </w:pPr>
      <w:r>
        <w:rPr>
          <w:sz w:val="26"/>
          <w:szCs w:val="24"/>
        </w:rPr>
        <w:t xml:space="preserve">ALJ </w:t>
      </w:r>
      <w:r w:rsidR="00CB7E35">
        <w:rPr>
          <w:sz w:val="26"/>
          <w:szCs w:val="24"/>
        </w:rPr>
        <w:t xml:space="preserve">Vero </w:t>
      </w:r>
      <w:r>
        <w:rPr>
          <w:sz w:val="26"/>
          <w:szCs w:val="24"/>
        </w:rPr>
        <w:t>con</w:t>
      </w:r>
      <w:r w:rsidR="00CB7E35">
        <w:rPr>
          <w:sz w:val="26"/>
          <w:szCs w:val="24"/>
        </w:rPr>
        <w:t>ducted a</w:t>
      </w:r>
      <w:r>
        <w:rPr>
          <w:sz w:val="26"/>
          <w:szCs w:val="24"/>
        </w:rPr>
        <w:t xml:space="preserve"> </w:t>
      </w:r>
      <w:r w:rsidR="00140987">
        <w:rPr>
          <w:sz w:val="26"/>
          <w:szCs w:val="24"/>
        </w:rPr>
        <w:t xml:space="preserve">hearing on </w:t>
      </w:r>
      <w:r w:rsidR="00CB7E35">
        <w:rPr>
          <w:sz w:val="26"/>
          <w:szCs w:val="24"/>
        </w:rPr>
        <w:t xml:space="preserve">September 26, 2012.  The Complainant appeared </w:t>
      </w:r>
      <w:r w:rsidR="00CB7E35">
        <w:rPr>
          <w:i/>
          <w:sz w:val="26"/>
          <w:szCs w:val="24"/>
        </w:rPr>
        <w:t xml:space="preserve">pro </w:t>
      </w:r>
      <w:r w:rsidR="00CB7E35" w:rsidRPr="00CB7E35">
        <w:rPr>
          <w:i/>
          <w:sz w:val="26"/>
          <w:szCs w:val="24"/>
        </w:rPr>
        <w:t>se</w:t>
      </w:r>
      <w:r w:rsidR="00CB7E35">
        <w:rPr>
          <w:i/>
          <w:sz w:val="26"/>
          <w:szCs w:val="24"/>
        </w:rPr>
        <w:t xml:space="preserve"> </w:t>
      </w:r>
      <w:r w:rsidR="00CB7E35">
        <w:rPr>
          <w:sz w:val="26"/>
          <w:szCs w:val="24"/>
        </w:rPr>
        <w:t>and presented testimony and three exhibits that were admitted into the record.  P</w:t>
      </w:r>
      <w:r w:rsidR="006423D2">
        <w:rPr>
          <w:sz w:val="26"/>
          <w:szCs w:val="24"/>
        </w:rPr>
        <w:t>ECO was represented by counsel and presented two witnesses and ten exhibits, which were admitted into the record.  During the hearing, the ALJ instructed the Respondent to submit four additional exhibits.</w:t>
      </w:r>
      <w:r w:rsidR="006423D2">
        <w:rPr>
          <w:rStyle w:val="FootnoteReference"/>
          <w:sz w:val="26"/>
          <w:szCs w:val="24"/>
        </w:rPr>
        <w:footnoteReference w:id="5"/>
      </w:r>
      <w:r w:rsidR="006423D2">
        <w:rPr>
          <w:sz w:val="26"/>
          <w:szCs w:val="24"/>
        </w:rPr>
        <w:t xml:space="preserve">  </w:t>
      </w:r>
    </w:p>
    <w:p w:rsidR="0018461B" w:rsidRDefault="0018461B">
      <w:pPr>
        <w:widowControl/>
        <w:spacing w:line="360" w:lineRule="auto"/>
        <w:ind w:firstLine="1440"/>
        <w:rPr>
          <w:sz w:val="26"/>
          <w:szCs w:val="24"/>
        </w:rPr>
      </w:pPr>
    </w:p>
    <w:p w:rsidR="00655657" w:rsidRDefault="00905E97" w:rsidP="005F1B48">
      <w:pPr>
        <w:widowControl/>
        <w:spacing w:line="360" w:lineRule="auto"/>
        <w:ind w:firstLine="1440"/>
        <w:rPr>
          <w:sz w:val="26"/>
          <w:szCs w:val="24"/>
        </w:rPr>
      </w:pPr>
      <w:r>
        <w:rPr>
          <w:sz w:val="26"/>
          <w:szCs w:val="24"/>
        </w:rPr>
        <w:t>I</w:t>
      </w:r>
      <w:r w:rsidR="00A21932">
        <w:rPr>
          <w:sz w:val="26"/>
          <w:szCs w:val="24"/>
        </w:rPr>
        <w:t>n the Initial Decision, issued o</w:t>
      </w:r>
      <w:r w:rsidR="00B32CC5">
        <w:rPr>
          <w:sz w:val="26"/>
          <w:szCs w:val="24"/>
        </w:rPr>
        <w:t xml:space="preserve">n </w:t>
      </w:r>
      <w:r w:rsidR="008E4ED1">
        <w:rPr>
          <w:sz w:val="26"/>
          <w:szCs w:val="24"/>
        </w:rPr>
        <w:t>March 4</w:t>
      </w:r>
      <w:r w:rsidR="00325BB3">
        <w:rPr>
          <w:sz w:val="26"/>
          <w:szCs w:val="24"/>
        </w:rPr>
        <w:t>,</w:t>
      </w:r>
      <w:r w:rsidR="00BE55A3">
        <w:rPr>
          <w:sz w:val="26"/>
          <w:szCs w:val="24"/>
        </w:rPr>
        <w:t xml:space="preserve"> 2013, </w:t>
      </w:r>
      <w:r w:rsidR="00325BB3">
        <w:rPr>
          <w:sz w:val="26"/>
          <w:szCs w:val="24"/>
        </w:rPr>
        <w:t xml:space="preserve">ALJ </w:t>
      </w:r>
      <w:r w:rsidR="0073056F">
        <w:rPr>
          <w:sz w:val="26"/>
          <w:szCs w:val="24"/>
        </w:rPr>
        <w:t>Vero</w:t>
      </w:r>
      <w:r w:rsidR="00BE55A3">
        <w:rPr>
          <w:sz w:val="26"/>
          <w:szCs w:val="24"/>
        </w:rPr>
        <w:t xml:space="preserve"> </w:t>
      </w:r>
      <w:r w:rsidR="0085486C">
        <w:rPr>
          <w:sz w:val="26"/>
          <w:szCs w:val="24"/>
        </w:rPr>
        <w:t>d</w:t>
      </w:r>
      <w:r w:rsidR="0073056F">
        <w:rPr>
          <w:sz w:val="26"/>
          <w:szCs w:val="24"/>
        </w:rPr>
        <w:t>enied the Complainant’s objections to PECO’s late-filed exhibits and d</w:t>
      </w:r>
      <w:r w:rsidR="0085486C">
        <w:rPr>
          <w:sz w:val="26"/>
          <w:szCs w:val="24"/>
        </w:rPr>
        <w:t xml:space="preserve">ismissed the Complaint due </w:t>
      </w:r>
      <w:r w:rsidR="0073056F">
        <w:rPr>
          <w:sz w:val="26"/>
          <w:szCs w:val="24"/>
        </w:rPr>
        <w:t xml:space="preserve">to Mr. Atuahene’s </w:t>
      </w:r>
      <w:r w:rsidR="0085486C">
        <w:rPr>
          <w:sz w:val="26"/>
          <w:szCs w:val="24"/>
        </w:rPr>
        <w:t xml:space="preserve">failure to </w:t>
      </w:r>
      <w:r w:rsidR="0073056F">
        <w:rPr>
          <w:sz w:val="26"/>
          <w:szCs w:val="24"/>
        </w:rPr>
        <w:t>satisfy his burden of proof</w:t>
      </w:r>
      <w:r w:rsidR="0085486C">
        <w:rPr>
          <w:sz w:val="26"/>
          <w:szCs w:val="24"/>
        </w:rPr>
        <w:t>.</w:t>
      </w:r>
      <w:r w:rsidR="00424121">
        <w:rPr>
          <w:sz w:val="26"/>
          <w:szCs w:val="24"/>
        </w:rPr>
        <w:t xml:space="preserve">  </w:t>
      </w:r>
      <w:r w:rsidR="0073056F">
        <w:rPr>
          <w:sz w:val="26"/>
          <w:szCs w:val="24"/>
        </w:rPr>
        <w:t>On April 3, 2013, the Complainant filed a Motion for Enlargement of Time to File Exceptions</w:t>
      </w:r>
      <w:r w:rsidR="00A82BE9">
        <w:rPr>
          <w:sz w:val="26"/>
          <w:szCs w:val="24"/>
        </w:rPr>
        <w:t xml:space="preserve"> requesting sixty additional days to file Exceptions, </w:t>
      </w:r>
      <w:r w:rsidR="00A82BE9">
        <w:rPr>
          <w:i/>
          <w:sz w:val="26"/>
          <w:szCs w:val="24"/>
        </w:rPr>
        <w:t xml:space="preserve">inter alia, </w:t>
      </w:r>
      <w:r w:rsidR="00A82BE9">
        <w:rPr>
          <w:sz w:val="26"/>
          <w:szCs w:val="24"/>
        </w:rPr>
        <w:t>because he allegedly did not receive the Initial Decision through the mail and only became aware of it on March 30, 2013</w:t>
      </w:r>
      <w:r w:rsidR="0073056F">
        <w:rPr>
          <w:sz w:val="26"/>
          <w:szCs w:val="24"/>
        </w:rPr>
        <w:t xml:space="preserve">. </w:t>
      </w:r>
      <w:r w:rsidR="00792B8E">
        <w:rPr>
          <w:sz w:val="26"/>
          <w:szCs w:val="24"/>
        </w:rPr>
        <w:t xml:space="preserve"> </w:t>
      </w:r>
      <w:r w:rsidR="00D17F5D">
        <w:rPr>
          <w:sz w:val="26"/>
          <w:szCs w:val="24"/>
        </w:rPr>
        <w:t xml:space="preserve">PECO </w:t>
      </w:r>
      <w:r w:rsidR="00792B8E">
        <w:rPr>
          <w:sz w:val="26"/>
          <w:szCs w:val="24"/>
        </w:rPr>
        <w:t>filed</w:t>
      </w:r>
      <w:r w:rsidR="00D17F5D">
        <w:rPr>
          <w:sz w:val="26"/>
          <w:szCs w:val="24"/>
        </w:rPr>
        <w:t xml:space="preserve"> objections to the</w:t>
      </w:r>
      <w:r w:rsidR="00792B8E">
        <w:rPr>
          <w:sz w:val="26"/>
          <w:szCs w:val="24"/>
        </w:rPr>
        <w:t xml:space="preserve"> Complainant’s</w:t>
      </w:r>
      <w:r w:rsidR="00D17F5D">
        <w:rPr>
          <w:sz w:val="26"/>
          <w:szCs w:val="24"/>
        </w:rPr>
        <w:t xml:space="preserve"> Motion on April 4, 2013.  By Secretarial Letter dated April 9, 2013, the Commission granted a 20-day extension, until April 29, 2013, for the Complainant to file Exceptions.  On </w:t>
      </w:r>
      <w:r w:rsidR="00F85B6B">
        <w:rPr>
          <w:sz w:val="26"/>
          <w:szCs w:val="24"/>
        </w:rPr>
        <w:t xml:space="preserve">April 26, 2013, the Complainant filed a second Motion for Enlargement of Time to File Exceptions to which PECO filed objections.  In response, the Commission issued a Secretarial Letter dated May 6, 2013, denying the </w:t>
      </w:r>
      <w:r w:rsidR="00F85B6B">
        <w:rPr>
          <w:sz w:val="26"/>
          <w:szCs w:val="24"/>
        </w:rPr>
        <w:lastRenderedPageBreak/>
        <w:t>Complainant’s Motion.  However, because the time for filing Exceptions expired</w:t>
      </w:r>
      <w:r w:rsidR="00A82BE9">
        <w:rPr>
          <w:sz w:val="26"/>
          <w:szCs w:val="24"/>
        </w:rPr>
        <w:t xml:space="preserve"> prior to </w:t>
      </w:r>
      <w:r w:rsidR="00F85B6B">
        <w:rPr>
          <w:sz w:val="26"/>
          <w:szCs w:val="24"/>
        </w:rPr>
        <w:t xml:space="preserve">the disposition of the second Motion for </w:t>
      </w:r>
      <w:r w:rsidR="00984D38">
        <w:rPr>
          <w:sz w:val="26"/>
          <w:szCs w:val="24"/>
        </w:rPr>
        <w:t xml:space="preserve">Enlargement of </w:t>
      </w:r>
      <w:r w:rsidR="00F85B6B">
        <w:rPr>
          <w:sz w:val="26"/>
          <w:szCs w:val="24"/>
        </w:rPr>
        <w:t xml:space="preserve">Time to File Exceptions, the Complainant </w:t>
      </w:r>
      <w:r w:rsidR="00A82BE9">
        <w:rPr>
          <w:sz w:val="26"/>
          <w:szCs w:val="24"/>
        </w:rPr>
        <w:t xml:space="preserve">was granted </w:t>
      </w:r>
      <w:r w:rsidR="00F85B6B">
        <w:rPr>
          <w:sz w:val="26"/>
          <w:szCs w:val="24"/>
        </w:rPr>
        <w:t xml:space="preserve">an additional week, until May 13, 2013, to file Exceptions.  </w:t>
      </w:r>
      <w:r w:rsidR="00655657">
        <w:rPr>
          <w:sz w:val="26"/>
          <w:szCs w:val="24"/>
        </w:rPr>
        <w:t xml:space="preserve">As previously indicated, the Complainant filed </w:t>
      </w:r>
      <w:r w:rsidR="00ED3540">
        <w:rPr>
          <w:sz w:val="26"/>
          <w:szCs w:val="24"/>
        </w:rPr>
        <w:t>the Petition</w:t>
      </w:r>
      <w:r w:rsidR="00655657">
        <w:rPr>
          <w:sz w:val="26"/>
          <w:szCs w:val="24"/>
        </w:rPr>
        <w:t xml:space="preserve"> on </w:t>
      </w:r>
      <w:r w:rsidR="00ED3540">
        <w:rPr>
          <w:sz w:val="26"/>
          <w:szCs w:val="24"/>
        </w:rPr>
        <w:t xml:space="preserve">May </w:t>
      </w:r>
      <w:r w:rsidR="00F85B6B">
        <w:rPr>
          <w:sz w:val="26"/>
          <w:szCs w:val="24"/>
        </w:rPr>
        <w:t>15</w:t>
      </w:r>
      <w:r w:rsidR="001B05AC">
        <w:rPr>
          <w:sz w:val="26"/>
          <w:szCs w:val="24"/>
        </w:rPr>
        <w:t>, 2013</w:t>
      </w:r>
      <w:r w:rsidR="00655657">
        <w:rPr>
          <w:sz w:val="26"/>
          <w:szCs w:val="24"/>
        </w:rPr>
        <w:t>.</w:t>
      </w:r>
      <w:r w:rsidR="001B05AC">
        <w:rPr>
          <w:sz w:val="26"/>
          <w:szCs w:val="24"/>
        </w:rPr>
        <w:t xml:space="preserve">  </w:t>
      </w:r>
      <w:r w:rsidR="00F85B6B">
        <w:rPr>
          <w:sz w:val="26"/>
          <w:szCs w:val="24"/>
        </w:rPr>
        <w:t>PECO</w:t>
      </w:r>
      <w:r w:rsidR="002F13A0">
        <w:rPr>
          <w:sz w:val="26"/>
          <w:szCs w:val="24"/>
        </w:rPr>
        <w:t xml:space="preserve"> filed </w:t>
      </w:r>
      <w:r w:rsidR="00ED3540">
        <w:rPr>
          <w:sz w:val="26"/>
          <w:szCs w:val="24"/>
        </w:rPr>
        <w:t>an Answer to the Petition</w:t>
      </w:r>
      <w:r w:rsidR="002F13A0">
        <w:rPr>
          <w:sz w:val="26"/>
          <w:szCs w:val="24"/>
        </w:rPr>
        <w:t xml:space="preserve"> on </w:t>
      </w:r>
      <w:r w:rsidR="00424121">
        <w:rPr>
          <w:sz w:val="26"/>
          <w:szCs w:val="24"/>
        </w:rPr>
        <w:t>June 3</w:t>
      </w:r>
      <w:r w:rsidR="001B05AC">
        <w:rPr>
          <w:sz w:val="26"/>
          <w:szCs w:val="24"/>
        </w:rPr>
        <w:t>, 2013</w:t>
      </w:r>
      <w:r w:rsidR="00A030DD">
        <w:rPr>
          <w:sz w:val="26"/>
          <w:szCs w:val="24"/>
        </w:rPr>
        <w:t>.</w:t>
      </w:r>
      <w:r w:rsidR="002F13A0">
        <w:rPr>
          <w:sz w:val="26"/>
          <w:szCs w:val="24"/>
        </w:rPr>
        <w:t xml:space="preserve"> </w:t>
      </w:r>
      <w:r w:rsidR="001B05AC">
        <w:rPr>
          <w:sz w:val="26"/>
          <w:szCs w:val="24"/>
        </w:rPr>
        <w:t xml:space="preserve">  </w:t>
      </w:r>
    </w:p>
    <w:p w:rsidR="00E274C6" w:rsidRDefault="00E274C6" w:rsidP="005F1B48">
      <w:pPr>
        <w:widowControl/>
        <w:spacing w:line="360" w:lineRule="auto"/>
        <w:jc w:val="center"/>
        <w:rPr>
          <w:b/>
          <w:sz w:val="26"/>
          <w:szCs w:val="26"/>
        </w:rPr>
      </w:pPr>
    </w:p>
    <w:p w:rsidR="00CA43A5" w:rsidRDefault="00CA43A5" w:rsidP="00A524F0">
      <w:pPr>
        <w:keepNext/>
        <w:widowControl/>
        <w:spacing w:line="360" w:lineRule="auto"/>
        <w:jc w:val="center"/>
        <w:rPr>
          <w:b/>
          <w:sz w:val="26"/>
          <w:szCs w:val="26"/>
        </w:rPr>
      </w:pPr>
      <w:r w:rsidRPr="00CA43A5">
        <w:rPr>
          <w:b/>
          <w:sz w:val="26"/>
          <w:szCs w:val="26"/>
        </w:rPr>
        <w:t>Discussion</w:t>
      </w:r>
    </w:p>
    <w:p w:rsidR="000D5232" w:rsidRPr="00CA43A5" w:rsidRDefault="000D5232" w:rsidP="00A524F0">
      <w:pPr>
        <w:keepNext/>
        <w:widowControl/>
        <w:spacing w:line="360" w:lineRule="auto"/>
        <w:jc w:val="center"/>
        <w:rPr>
          <w:sz w:val="26"/>
          <w:szCs w:val="26"/>
        </w:rPr>
      </w:pPr>
    </w:p>
    <w:p w:rsidR="00116593" w:rsidRPr="00116593" w:rsidRDefault="00116593" w:rsidP="00A524F0">
      <w:pPr>
        <w:widowControl/>
        <w:suppressAutoHyphens/>
        <w:spacing w:line="360" w:lineRule="auto"/>
        <w:ind w:firstLine="1440"/>
        <w:rPr>
          <w:sz w:val="26"/>
          <w:szCs w:val="26"/>
        </w:rPr>
      </w:pPr>
      <w:r w:rsidRPr="00116593">
        <w:rPr>
          <w:spacing w:val="-3"/>
          <w:sz w:val="26"/>
        </w:rPr>
        <w:t xml:space="preserve">We begin by considering the nature of the Complainant’s filing, because the analysis to be applied depends on the type of filing before us.  In this case, </w:t>
      </w:r>
      <w:r w:rsidRPr="00116593">
        <w:rPr>
          <w:sz w:val="26"/>
          <w:szCs w:val="26"/>
        </w:rPr>
        <w:t xml:space="preserve">Exceptions to the Initial Decision were due on </w:t>
      </w:r>
      <w:r>
        <w:rPr>
          <w:sz w:val="26"/>
          <w:szCs w:val="26"/>
        </w:rPr>
        <w:t>Ma</w:t>
      </w:r>
      <w:r w:rsidR="00717E97">
        <w:rPr>
          <w:sz w:val="26"/>
          <w:szCs w:val="26"/>
        </w:rPr>
        <w:t>rch 25</w:t>
      </w:r>
      <w:r w:rsidRPr="00116593">
        <w:rPr>
          <w:sz w:val="26"/>
          <w:szCs w:val="26"/>
        </w:rPr>
        <w:t xml:space="preserve">, 2013.  </w:t>
      </w:r>
      <w:r w:rsidR="00717E97">
        <w:rPr>
          <w:sz w:val="26"/>
          <w:szCs w:val="26"/>
        </w:rPr>
        <w:t xml:space="preserve">As discussed above, the </w:t>
      </w:r>
      <w:r w:rsidR="009D27A3">
        <w:rPr>
          <w:sz w:val="26"/>
          <w:szCs w:val="26"/>
        </w:rPr>
        <w:t>Commission</w:t>
      </w:r>
      <w:r w:rsidR="00717E97">
        <w:rPr>
          <w:sz w:val="26"/>
          <w:szCs w:val="26"/>
        </w:rPr>
        <w:t xml:space="preserve"> granted two extensions for the filing of </w:t>
      </w:r>
      <w:r w:rsidRPr="00116593">
        <w:rPr>
          <w:sz w:val="26"/>
          <w:szCs w:val="26"/>
        </w:rPr>
        <w:t>Exceptions</w:t>
      </w:r>
      <w:r w:rsidR="000C2E78">
        <w:rPr>
          <w:sz w:val="26"/>
          <w:szCs w:val="26"/>
        </w:rPr>
        <w:t>.  However, the Exceptions</w:t>
      </w:r>
      <w:r w:rsidRPr="00116593">
        <w:rPr>
          <w:sz w:val="26"/>
          <w:szCs w:val="26"/>
        </w:rPr>
        <w:t xml:space="preserve"> were not received by the Commission by the required due date.  Therefore, in accordance with Section 332(h) of the Public Utility Code (Code), 66 Pa. C.S. § 332(h), the decision of the ALJ became final without further Commission action on </w:t>
      </w:r>
      <w:r w:rsidR="000C2E78">
        <w:rPr>
          <w:sz w:val="26"/>
          <w:szCs w:val="26"/>
        </w:rPr>
        <w:t>May 13</w:t>
      </w:r>
      <w:r w:rsidRPr="00116593">
        <w:rPr>
          <w:sz w:val="26"/>
          <w:szCs w:val="26"/>
        </w:rPr>
        <w:t>, 2013</w:t>
      </w:r>
      <w:r w:rsidRPr="00116593">
        <w:rPr>
          <w:i/>
          <w:sz w:val="26"/>
          <w:szCs w:val="26"/>
        </w:rPr>
        <w:t>.</w:t>
      </w:r>
      <w:r w:rsidRPr="00116593">
        <w:rPr>
          <w:sz w:val="26"/>
          <w:szCs w:val="26"/>
        </w:rPr>
        <w:t xml:space="preserve">  </w:t>
      </w:r>
    </w:p>
    <w:p w:rsidR="00116593" w:rsidRPr="00116593" w:rsidRDefault="00116593" w:rsidP="00A524F0">
      <w:pPr>
        <w:widowControl/>
        <w:suppressAutoHyphens/>
        <w:spacing w:line="360" w:lineRule="auto"/>
        <w:ind w:firstLine="1440"/>
        <w:rPr>
          <w:sz w:val="26"/>
          <w:szCs w:val="26"/>
        </w:rPr>
      </w:pPr>
    </w:p>
    <w:p w:rsidR="00FB733E" w:rsidRDefault="00116593" w:rsidP="00A524F0">
      <w:pPr>
        <w:widowControl/>
        <w:suppressAutoHyphens/>
        <w:spacing w:line="360" w:lineRule="auto"/>
        <w:ind w:firstLine="1440"/>
        <w:rPr>
          <w:sz w:val="26"/>
          <w:szCs w:val="26"/>
        </w:rPr>
      </w:pPr>
      <w:r w:rsidRPr="00116593">
        <w:rPr>
          <w:sz w:val="26"/>
          <w:szCs w:val="26"/>
        </w:rPr>
        <w:t xml:space="preserve">As discussed above, the Complainant filed “Exceptions” on </w:t>
      </w:r>
      <w:r>
        <w:rPr>
          <w:sz w:val="26"/>
          <w:szCs w:val="26"/>
        </w:rPr>
        <w:t xml:space="preserve">May </w:t>
      </w:r>
      <w:r w:rsidR="000C2E78">
        <w:rPr>
          <w:sz w:val="26"/>
          <w:szCs w:val="26"/>
        </w:rPr>
        <w:t>15</w:t>
      </w:r>
      <w:r w:rsidRPr="00116593">
        <w:rPr>
          <w:sz w:val="26"/>
          <w:szCs w:val="26"/>
        </w:rPr>
        <w:t>, 2013 (</w:t>
      </w:r>
      <w:r w:rsidRPr="00A524F0">
        <w:rPr>
          <w:i/>
          <w:sz w:val="26"/>
          <w:szCs w:val="26"/>
        </w:rPr>
        <w:t>i.e.</w:t>
      </w:r>
      <w:r w:rsidRPr="00116593">
        <w:rPr>
          <w:sz w:val="26"/>
          <w:szCs w:val="26"/>
        </w:rPr>
        <w:t xml:space="preserve">, within fifteen days of the date that the Initial Decision became the final action of the Commission).  Because the Plaintiff is appearing </w:t>
      </w:r>
      <w:r w:rsidRPr="00116593">
        <w:rPr>
          <w:i/>
          <w:sz w:val="26"/>
          <w:szCs w:val="26"/>
        </w:rPr>
        <w:t xml:space="preserve">pro se, </w:t>
      </w:r>
      <w:r w:rsidRPr="00116593">
        <w:rPr>
          <w:sz w:val="26"/>
          <w:szCs w:val="26"/>
        </w:rPr>
        <w:t xml:space="preserve">we will exercise our discretion and consider the Complainant’s “Exceptions” as a Petition for Reconsideration of the Commission’s final decision.  52 Pa. Code § 5.572(c).  Consequently, we will treat the Replies to Exceptions filed by </w:t>
      </w:r>
      <w:r w:rsidR="000C2E78">
        <w:rPr>
          <w:sz w:val="26"/>
          <w:szCs w:val="26"/>
        </w:rPr>
        <w:t>PECO</w:t>
      </w:r>
      <w:r w:rsidRPr="00116593">
        <w:rPr>
          <w:sz w:val="26"/>
          <w:szCs w:val="26"/>
        </w:rPr>
        <w:t xml:space="preserve"> as an Answer to the Petition for Reconsideration.</w:t>
      </w:r>
      <w:r w:rsidR="000C2E78">
        <w:rPr>
          <w:rStyle w:val="FootnoteReference"/>
          <w:sz w:val="26"/>
          <w:szCs w:val="26"/>
        </w:rPr>
        <w:footnoteReference w:id="6"/>
      </w:r>
      <w:r w:rsidRPr="00116593">
        <w:rPr>
          <w:sz w:val="26"/>
          <w:szCs w:val="26"/>
        </w:rPr>
        <w:t xml:space="preserve"> </w:t>
      </w:r>
    </w:p>
    <w:p w:rsidR="00116593" w:rsidRPr="00116593" w:rsidRDefault="00116593" w:rsidP="00A524F0">
      <w:pPr>
        <w:widowControl/>
        <w:suppressAutoHyphens/>
        <w:spacing w:line="360" w:lineRule="auto"/>
        <w:ind w:firstLine="1440"/>
        <w:rPr>
          <w:b/>
          <w:spacing w:val="-3"/>
          <w:sz w:val="26"/>
        </w:rPr>
      </w:pPr>
    </w:p>
    <w:p w:rsidR="00116593" w:rsidRPr="00116593" w:rsidRDefault="00116593" w:rsidP="00A524F0">
      <w:pPr>
        <w:keepNext/>
        <w:widowControl/>
        <w:suppressAutoHyphens/>
        <w:spacing w:line="360" w:lineRule="auto"/>
        <w:rPr>
          <w:b/>
          <w:spacing w:val="-3"/>
          <w:sz w:val="26"/>
        </w:rPr>
      </w:pPr>
      <w:r w:rsidRPr="00116593">
        <w:rPr>
          <w:b/>
          <w:spacing w:val="-3"/>
          <w:sz w:val="26"/>
        </w:rPr>
        <w:lastRenderedPageBreak/>
        <w:t>Legal Standards</w:t>
      </w:r>
    </w:p>
    <w:p w:rsidR="00116593" w:rsidRPr="00116593" w:rsidRDefault="00116593" w:rsidP="00A524F0">
      <w:pPr>
        <w:keepNext/>
        <w:widowControl/>
        <w:suppressAutoHyphens/>
        <w:spacing w:line="360" w:lineRule="auto"/>
        <w:rPr>
          <w:b/>
          <w:spacing w:val="-3"/>
          <w:sz w:val="26"/>
        </w:rPr>
      </w:pPr>
    </w:p>
    <w:p w:rsidR="00116593" w:rsidRDefault="00116593" w:rsidP="00A524F0">
      <w:pPr>
        <w:widowControl/>
        <w:suppressAutoHyphens/>
        <w:spacing w:line="360" w:lineRule="auto"/>
        <w:ind w:firstLine="1440"/>
        <w:rPr>
          <w:rFonts w:ascii="Times New (W1)" w:hAnsi="Times New (W1)"/>
          <w:sz w:val="26"/>
        </w:rPr>
      </w:pPr>
      <w:r w:rsidRPr="00116593">
        <w:rPr>
          <w:rFonts w:ascii="Times New (W1)" w:hAnsi="Times New (W1)"/>
          <w:sz w:val="26"/>
        </w:rPr>
        <w:t xml:space="preserve">Before addressing the Petition, we note that any issue not specifically </w:t>
      </w:r>
      <w:r w:rsidR="00003E27">
        <w:rPr>
          <w:rFonts w:ascii="Times New (W1)" w:hAnsi="Times New (W1)"/>
          <w:sz w:val="26"/>
        </w:rPr>
        <w:t>addressed</w:t>
      </w:r>
      <w:r w:rsidRPr="00116593">
        <w:rPr>
          <w:rFonts w:ascii="Times New (W1)" w:hAnsi="Times New (W1)"/>
          <w:sz w:val="26"/>
        </w:rPr>
        <w:t xml:space="preserve"> shall be deemed to have been duly considered and denied without further discussion.  The Commission is not required to consider expressly or at length each contention or argument raised by the parties.  </w:t>
      </w:r>
      <w:r w:rsidRPr="00116593">
        <w:rPr>
          <w:rFonts w:ascii="Times New (W1)" w:hAnsi="Times New (W1)"/>
          <w:i/>
          <w:sz w:val="26"/>
        </w:rPr>
        <w:t xml:space="preserve">Consolidated Rail Corp. v. Pennsylvania Public Utility Commission, </w:t>
      </w:r>
      <w:r w:rsidRPr="00116593">
        <w:rPr>
          <w:rFonts w:ascii="Times New (W1)" w:hAnsi="Times New (W1)"/>
          <w:sz w:val="26"/>
        </w:rPr>
        <w:t>625 A.2d 741 (Pa. Cmwlth. 1993).</w:t>
      </w:r>
    </w:p>
    <w:p w:rsidR="00E274C6" w:rsidRPr="00116593" w:rsidRDefault="00E274C6" w:rsidP="00A524F0">
      <w:pPr>
        <w:widowControl/>
        <w:suppressAutoHyphens/>
        <w:spacing w:line="360" w:lineRule="auto"/>
        <w:ind w:firstLine="1440"/>
        <w:rPr>
          <w:rFonts w:ascii="Times New (W1)" w:hAnsi="Times New (W1)"/>
          <w:sz w:val="26"/>
        </w:rPr>
      </w:pPr>
    </w:p>
    <w:p w:rsidR="00116593" w:rsidRPr="00116593" w:rsidRDefault="00116593" w:rsidP="00E274C6">
      <w:pPr>
        <w:widowControl/>
        <w:spacing w:line="360" w:lineRule="auto"/>
        <w:ind w:firstLine="1440"/>
        <w:rPr>
          <w:sz w:val="26"/>
        </w:rPr>
      </w:pPr>
      <w:r w:rsidRPr="00116593">
        <w:rPr>
          <w:sz w:val="26"/>
        </w:rPr>
        <w:t xml:space="preserve">The Code establishes a party’s right to seek relief following the issuance of our final decisions pursuant to Subsections 703(f) and (g), 66 Pa. C.S. § 703(f) </w:t>
      </w:r>
    </w:p>
    <w:p w:rsidR="00116593" w:rsidRPr="00116593" w:rsidRDefault="00116593" w:rsidP="00A524F0">
      <w:pPr>
        <w:widowControl/>
        <w:spacing w:line="360" w:lineRule="auto"/>
        <w:rPr>
          <w:sz w:val="26"/>
        </w:rPr>
      </w:pPr>
      <w:r w:rsidRPr="00116593">
        <w:rPr>
          <w:sz w:val="26"/>
        </w:rPr>
        <w:t>and § 703(g), relating to rehearings, as well as the rescission and amendment of orders.  Such requests for relief must be consistent with Section 5.572 of our Regulations,  52 Pa.</w:t>
      </w:r>
      <w:r w:rsidR="00E274C6">
        <w:rPr>
          <w:sz w:val="26"/>
        </w:rPr>
        <w:t> </w:t>
      </w:r>
      <w:r w:rsidRPr="00116593">
        <w:rPr>
          <w:sz w:val="26"/>
        </w:rPr>
        <w:t xml:space="preserve">Code § 5.572, relating to petitions for relief following the issuance of a final decision.  </w:t>
      </w:r>
    </w:p>
    <w:p w:rsidR="00116593" w:rsidRPr="00116593" w:rsidRDefault="00116593" w:rsidP="00A524F0">
      <w:pPr>
        <w:widowControl/>
        <w:spacing w:line="360" w:lineRule="auto"/>
        <w:rPr>
          <w:sz w:val="26"/>
        </w:rPr>
      </w:pPr>
    </w:p>
    <w:p w:rsidR="00116593" w:rsidRPr="00116593" w:rsidRDefault="00116593" w:rsidP="00A524F0">
      <w:pPr>
        <w:widowControl/>
        <w:spacing w:line="360" w:lineRule="auto"/>
        <w:ind w:firstLine="1440"/>
        <w:rPr>
          <w:sz w:val="26"/>
        </w:rPr>
      </w:pPr>
      <w:r w:rsidRPr="00116593">
        <w:rPr>
          <w:sz w:val="26"/>
        </w:rPr>
        <w:t xml:space="preserve">The standards for granting a Petition for Reconsideration were set forth in </w:t>
      </w:r>
      <w:r w:rsidRPr="00116593">
        <w:rPr>
          <w:i/>
          <w:sz w:val="26"/>
        </w:rPr>
        <w:t>Duick v. Pennsylvania Gas and Water Company</w:t>
      </w:r>
      <w:r w:rsidRPr="00116593">
        <w:rPr>
          <w:sz w:val="26"/>
        </w:rPr>
        <w:t xml:space="preserve">, </w:t>
      </w:r>
      <w:r w:rsidRPr="00116593">
        <w:rPr>
          <w:sz w:val="26"/>
          <w:szCs w:val="24"/>
        </w:rPr>
        <w:t>56 Pa. P.U.C. 553</w:t>
      </w:r>
      <w:r w:rsidRPr="00116593">
        <w:rPr>
          <w:sz w:val="26"/>
        </w:rPr>
        <w:t xml:space="preserve"> (1982):  </w:t>
      </w:r>
    </w:p>
    <w:p w:rsidR="00116593" w:rsidRPr="00116593" w:rsidRDefault="00116593" w:rsidP="00E274C6">
      <w:pPr>
        <w:widowControl/>
        <w:rPr>
          <w:sz w:val="26"/>
        </w:rPr>
      </w:pPr>
    </w:p>
    <w:p w:rsidR="00116593" w:rsidRPr="00116593" w:rsidRDefault="00116593">
      <w:pPr>
        <w:widowControl/>
        <w:ind w:left="1440" w:right="1440"/>
        <w:rPr>
          <w:sz w:val="26"/>
        </w:rPr>
      </w:pPr>
      <w:r w:rsidRPr="00116593">
        <w:rPr>
          <w:sz w:val="26"/>
        </w:rPr>
        <w:t xml:space="preserve">A Petition for Reconsideration, under the provisions of </w:t>
      </w:r>
    </w:p>
    <w:p w:rsidR="00116593" w:rsidRPr="00116593" w:rsidRDefault="00116593">
      <w:pPr>
        <w:widowControl/>
        <w:ind w:left="1440" w:right="1440"/>
        <w:rPr>
          <w:sz w:val="26"/>
        </w:rPr>
      </w:pPr>
      <w:r w:rsidRPr="00116593">
        <w:rPr>
          <w:sz w:val="26"/>
        </w:rPr>
        <w:t xml:space="preserve">66 Pa. C.S. § 703(g), may properly raise any matters designed to convince the Commission that it should exercise its discretion under this code section to rescind or amend a prior order in whole or in part.  </w:t>
      </w:r>
    </w:p>
    <w:p w:rsidR="00116593" w:rsidRPr="00116593" w:rsidRDefault="00116593">
      <w:pPr>
        <w:widowControl/>
        <w:ind w:left="1440" w:right="1440"/>
        <w:rPr>
          <w:sz w:val="26"/>
        </w:rPr>
      </w:pPr>
    </w:p>
    <w:p w:rsidR="00116593" w:rsidRPr="00116593" w:rsidRDefault="00116593">
      <w:pPr>
        <w:widowControl/>
        <w:ind w:left="1440" w:right="1440"/>
        <w:rPr>
          <w:sz w:val="26"/>
        </w:rPr>
      </w:pPr>
      <w:r w:rsidRPr="00116593">
        <w:rPr>
          <w:sz w:val="26"/>
        </w:rPr>
        <w:tab/>
        <w:t>In this regard we agree with the court in the Pennsyl</w:t>
      </w:r>
      <w:r w:rsidRPr="00116593">
        <w:rPr>
          <w:sz w:val="26"/>
        </w:rPr>
        <w:softHyphen/>
        <w:t xml:space="preserve">vania Railroad Company case, wherein it was stated that:  </w:t>
      </w:r>
    </w:p>
    <w:p w:rsidR="00116593" w:rsidRPr="00116593" w:rsidRDefault="00116593">
      <w:pPr>
        <w:widowControl/>
        <w:ind w:left="2160" w:right="2160"/>
        <w:rPr>
          <w:sz w:val="26"/>
        </w:rPr>
      </w:pPr>
    </w:p>
    <w:p w:rsidR="00116593" w:rsidRPr="00116593" w:rsidRDefault="00116593">
      <w:pPr>
        <w:widowControl/>
        <w:tabs>
          <w:tab w:val="left" w:pos="-720"/>
        </w:tabs>
        <w:ind w:left="2160" w:right="2160"/>
        <w:rPr>
          <w:sz w:val="26"/>
        </w:rPr>
      </w:pPr>
      <w:r w:rsidRPr="00116593">
        <w:rPr>
          <w:sz w:val="26"/>
        </w:rPr>
        <w:tab/>
        <w:t>Parties . . . cannot be permitted by a second motion to review and reconsider, to raise the same questions which were specifically decided against them . . . what we expect to see raised in such petitions are new and novel arguments, not previously heard, or considera</w:t>
      </w:r>
      <w:r w:rsidRPr="00116593">
        <w:rPr>
          <w:sz w:val="26"/>
        </w:rPr>
        <w:softHyphen/>
      </w:r>
      <w:r w:rsidRPr="00116593">
        <w:rPr>
          <w:sz w:val="26"/>
        </w:rPr>
        <w:lastRenderedPageBreak/>
        <w:t xml:space="preserve">tions which appear to have been overlooked by the Commission.  </w:t>
      </w:r>
    </w:p>
    <w:p w:rsidR="00116593" w:rsidRPr="00116593" w:rsidRDefault="00116593">
      <w:pPr>
        <w:widowControl/>
        <w:tabs>
          <w:tab w:val="left" w:pos="-720"/>
        </w:tabs>
        <w:ind w:left="2160" w:right="2160"/>
        <w:rPr>
          <w:sz w:val="26"/>
        </w:rPr>
      </w:pPr>
    </w:p>
    <w:p w:rsidR="00116593" w:rsidRPr="00116593" w:rsidRDefault="00116593">
      <w:pPr>
        <w:widowControl/>
        <w:spacing w:line="360" w:lineRule="auto"/>
        <w:rPr>
          <w:sz w:val="26"/>
          <w:szCs w:val="24"/>
        </w:rPr>
      </w:pPr>
      <w:r w:rsidRPr="00116593">
        <w:rPr>
          <w:i/>
          <w:sz w:val="26"/>
        </w:rPr>
        <w:t>Duick,</w:t>
      </w:r>
      <w:r w:rsidRPr="00116593">
        <w:rPr>
          <w:sz w:val="26"/>
        </w:rPr>
        <w:t xml:space="preserve"> </w:t>
      </w:r>
      <w:r w:rsidRPr="00116593">
        <w:rPr>
          <w:sz w:val="26"/>
          <w:szCs w:val="24"/>
        </w:rPr>
        <w:t xml:space="preserve">56 Pa. P.U.C. at 559 (quoting </w:t>
      </w:r>
      <w:r w:rsidRPr="00116593">
        <w:rPr>
          <w:i/>
          <w:sz w:val="26"/>
          <w:szCs w:val="24"/>
        </w:rPr>
        <w:t>Pennsylvania Railroad Co. v. Pennsylvania Public Service Commission</w:t>
      </w:r>
      <w:r w:rsidRPr="00116593">
        <w:rPr>
          <w:sz w:val="26"/>
          <w:szCs w:val="24"/>
        </w:rPr>
        <w:t xml:space="preserve">, 179 A. 850, 854 (Pa. Super. Ct. 1935)).  </w:t>
      </w:r>
    </w:p>
    <w:p w:rsidR="00116593" w:rsidRPr="00116593" w:rsidRDefault="00116593">
      <w:pPr>
        <w:widowControl/>
        <w:spacing w:line="360" w:lineRule="auto"/>
        <w:rPr>
          <w:sz w:val="26"/>
        </w:rPr>
      </w:pPr>
    </w:p>
    <w:p w:rsidR="00116593" w:rsidRPr="00116593" w:rsidRDefault="00116593">
      <w:pPr>
        <w:widowControl/>
        <w:suppressAutoHyphens/>
        <w:spacing w:line="360" w:lineRule="auto"/>
        <w:rPr>
          <w:color w:val="000000"/>
          <w:spacing w:val="-3"/>
          <w:sz w:val="26"/>
          <w:u w:color="000000"/>
        </w:rPr>
      </w:pPr>
      <w:r w:rsidRPr="00116593">
        <w:rPr>
          <w:color w:val="000000"/>
          <w:spacing w:val="-3"/>
          <w:sz w:val="26"/>
          <w:u w:color="000000"/>
        </w:rPr>
        <w:tab/>
      </w:r>
      <w:r w:rsidRPr="00116593">
        <w:rPr>
          <w:color w:val="000000"/>
          <w:spacing w:val="-3"/>
          <w:sz w:val="26"/>
          <w:u w:color="000000"/>
        </w:rPr>
        <w:tab/>
        <w:t xml:space="preserve">Under the standards of </w:t>
      </w:r>
      <w:r w:rsidRPr="00116593">
        <w:rPr>
          <w:i/>
          <w:color w:val="000000"/>
          <w:spacing w:val="-3"/>
          <w:sz w:val="26"/>
          <w:u w:color="000000"/>
        </w:rPr>
        <w:t>Duick</w:t>
      </w:r>
      <w:r w:rsidRPr="00116593">
        <w:rPr>
          <w:color w:val="000000"/>
          <w:spacing w:val="-3"/>
          <w:sz w:val="26"/>
          <w:u w:color="000000"/>
        </w:rPr>
        <w:t xml:space="preserve">, a petition for reconsideration may properly raise any matter designed to convince this Commission that we should exercise our discretion to </w:t>
      </w:r>
      <w:r w:rsidR="005F02B4">
        <w:rPr>
          <w:color w:val="000000"/>
          <w:spacing w:val="-3"/>
          <w:sz w:val="26"/>
          <w:u w:color="000000"/>
        </w:rPr>
        <w:t xml:space="preserve">reconsider </w:t>
      </w:r>
      <w:r w:rsidRPr="00116593">
        <w:rPr>
          <w:color w:val="000000"/>
          <w:spacing w:val="-3"/>
          <w:sz w:val="26"/>
          <w:u w:color="000000"/>
        </w:rPr>
        <w:t xml:space="preserve">a prior Order, in whole or in part.  Such petitions are likely to succeed only when they raise “new and novel arguments” not previously heard or considerations which appear to have been overlooked or not addressed by the Commission.  </w:t>
      </w:r>
      <w:r w:rsidRPr="00116593">
        <w:rPr>
          <w:i/>
          <w:color w:val="000000"/>
          <w:spacing w:val="-3"/>
          <w:sz w:val="26"/>
          <w:u w:color="000000"/>
        </w:rPr>
        <w:t>Duick</w:t>
      </w:r>
      <w:r w:rsidRPr="00116593">
        <w:rPr>
          <w:color w:val="000000"/>
          <w:spacing w:val="-3"/>
          <w:sz w:val="26"/>
          <w:u w:color="000000"/>
        </w:rPr>
        <w:t xml:space="preserve">, 56 Pa. P.U.C. at 559.     </w:t>
      </w:r>
    </w:p>
    <w:p w:rsidR="00116593" w:rsidRPr="00116593" w:rsidRDefault="00116593" w:rsidP="00A524F0">
      <w:pPr>
        <w:widowControl/>
        <w:spacing w:line="360" w:lineRule="auto"/>
        <w:rPr>
          <w:i/>
          <w:sz w:val="26"/>
          <w:szCs w:val="26"/>
        </w:rPr>
      </w:pPr>
    </w:p>
    <w:p w:rsidR="00116593" w:rsidRPr="00116593" w:rsidRDefault="00116593" w:rsidP="00A524F0">
      <w:pPr>
        <w:widowControl/>
        <w:spacing w:line="360" w:lineRule="auto"/>
        <w:ind w:firstLine="1440"/>
        <w:rPr>
          <w:sz w:val="26"/>
          <w:szCs w:val="26"/>
        </w:rPr>
      </w:pPr>
      <w:r w:rsidRPr="00116593">
        <w:rPr>
          <w:sz w:val="26"/>
          <w:szCs w:val="26"/>
        </w:rPr>
        <w:t xml:space="preserve">ALJ </w:t>
      </w:r>
      <w:r w:rsidR="00EE5B9F">
        <w:rPr>
          <w:sz w:val="26"/>
          <w:szCs w:val="26"/>
        </w:rPr>
        <w:t>Vero</w:t>
      </w:r>
      <w:r w:rsidRPr="00116593">
        <w:rPr>
          <w:sz w:val="26"/>
          <w:szCs w:val="26"/>
        </w:rPr>
        <w:t xml:space="preserve"> made </w:t>
      </w:r>
      <w:r w:rsidR="002F4F00">
        <w:rPr>
          <w:sz w:val="26"/>
          <w:szCs w:val="26"/>
        </w:rPr>
        <w:t>forty-eight</w:t>
      </w:r>
      <w:r w:rsidRPr="00116593">
        <w:rPr>
          <w:sz w:val="26"/>
          <w:szCs w:val="26"/>
        </w:rPr>
        <w:t xml:space="preserve"> Findings of Fact and reached </w:t>
      </w:r>
      <w:r w:rsidR="002F4F00">
        <w:rPr>
          <w:sz w:val="26"/>
          <w:szCs w:val="26"/>
        </w:rPr>
        <w:t>seven</w:t>
      </w:r>
      <w:r w:rsidRPr="00116593">
        <w:rPr>
          <w:sz w:val="26"/>
          <w:szCs w:val="26"/>
        </w:rPr>
        <w:t xml:space="preserve"> Conclusions of Law.  I.D. at </w:t>
      </w:r>
      <w:r w:rsidR="002F4F00">
        <w:rPr>
          <w:sz w:val="26"/>
          <w:szCs w:val="26"/>
        </w:rPr>
        <w:t>6-13</w:t>
      </w:r>
      <w:r w:rsidRPr="00116593">
        <w:rPr>
          <w:sz w:val="26"/>
          <w:szCs w:val="26"/>
        </w:rPr>
        <w:t xml:space="preserve">, </w:t>
      </w:r>
      <w:r w:rsidR="002F4F00">
        <w:rPr>
          <w:sz w:val="26"/>
          <w:szCs w:val="26"/>
        </w:rPr>
        <w:t>28-29</w:t>
      </w:r>
      <w:r w:rsidRPr="00116593">
        <w:rPr>
          <w:sz w:val="26"/>
          <w:szCs w:val="26"/>
        </w:rPr>
        <w:t>.  The Findings of Fact and Conclusions of Law are incorporated herein by reference and are adopted without comment unless they are either expressly or by necessary implication rejected or modified by this Opinion and Order.</w:t>
      </w:r>
    </w:p>
    <w:p w:rsidR="00006F35" w:rsidRDefault="00006F35" w:rsidP="00A524F0">
      <w:pPr>
        <w:widowControl/>
        <w:spacing w:line="360" w:lineRule="auto"/>
        <w:ind w:firstLine="1440"/>
        <w:rPr>
          <w:sz w:val="26"/>
          <w:szCs w:val="26"/>
        </w:rPr>
      </w:pPr>
    </w:p>
    <w:p w:rsidR="00006F35" w:rsidRDefault="00006F35" w:rsidP="00A524F0">
      <w:pPr>
        <w:keepNext/>
        <w:widowControl/>
        <w:spacing w:line="360" w:lineRule="auto"/>
        <w:rPr>
          <w:b/>
          <w:sz w:val="26"/>
          <w:szCs w:val="26"/>
        </w:rPr>
      </w:pPr>
      <w:r>
        <w:rPr>
          <w:b/>
          <w:sz w:val="26"/>
          <w:szCs w:val="26"/>
        </w:rPr>
        <w:t xml:space="preserve">ALJ’s </w:t>
      </w:r>
      <w:r w:rsidR="00332C4B">
        <w:rPr>
          <w:b/>
          <w:sz w:val="26"/>
          <w:szCs w:val="26"/>
        </w:rPr>
        <w:t>Initial Decision</w:t>
      </w:r>
      <w:r w:rsidR="006A0AE5">
        <w:rPr>
          <w:rStyle w:val="FootnoteReference"/>
          <w:b/>
          <w:sz w:val="26"/>
          <w:szCs w:val="26"/>
        </w:rPr>
        <w:footnoteReference w:id="7"/>
      </w:r>
    </w:p>
    <w:p w:rsidR="00006F35" w:rsidRDefault="00006F35" w:rsidP="00A524F0">
      <w:pPr>
        <w:keepNext/>
        <w:widowControl/>
        <w:spacing w:line="360" w:lineRule="auto"/>
        <w:ind w:firstLine="720"/>
        <w:rPr>
          <w:b/>
          <w:sz w:val="26"/>
          <w:szCs w:val="26"/>
        </w:rPr>
      </w:pPr>
    </w:p>
    <w:p w:rsidR="00A5538A" w:rsidRPr="00A5538A" w:rsidRDefault="00A5538A" w:rsidP="00A524F0">
      <w:pPr>
        <w:keepNext/>
        <w:widowControl/>
        <w:spacing w:line="360" w:lineRule="auto"/>
        <w:ind w:firstLine="720"/>
        <w:rPr>
          <w:b/>
          <w:sz w:val="26"/>
          <w:szCs w:val="26"/>
        </w:rPr>
      </w:pPr>
      <w:r w:rsidRPr="00A5538A">
        <w:rPr>
          <w:b/>
          <w:sz w:val="26"/>
          <w:szCs w:val="26"/>
        </w:rPr>
        <w:t>High Billing Dispute</w:t>
      </w:r>
    </w:p>
    <w:p w:rsidR="00A5538A" w:rsidRPr="00A5538A" w:rsidRDefault="00A5538A" w:rsidP="00A524F0">
      <w:pPr>
        <w:keepNext/>
        <w:widowControl/>
        <w:spacing w:line="360" w:lineRule="auto"/>
        <w:ind w:firstLine="720"/>
        <w:rPr>
          <w:b/>
          <w:i/>
          <w:sz w:val="26"/>
          <w:szCs w:val="26"/>
        </w:rPr>
      </w:pPr>
    </w:p>
    <w:p w:rsidR="00FB3E16" w:rsidRDefault="00424121" w:rsidP="00A524F0">
      <w:pPr>
        <w:widowControl/>
        <w:spacing w:line="360" w:lineRule="auto"/>
        <w:ind w:firstLine="1440"/>
        <w:rPr>
          <w:sz w:val="26"/>
          <w:szCs w:val="26"/>
        </w:rPr>
      </w:pPr>
      <w:r w:rsidRPr="007E68BE">
        <w:rPr>
          <w:sz w:val="26"/>
          <w:szCs w:val="26"/>
        </w:rPr>
        <w:t xml:space="preserve">In </w:t>
      </w:r>
      <w:r w:rsidR="00483E80">
        <w:rPr>
          <w:sz w:val="26"/>
          <w:szCs w:val="26"/>
        </w:rPr>
        <w:t xml:space="preserve">addressing the high billing </w:t>
      </w:r>
      <w:r w:rsidR="00A5538A">
        <w:rPr>
          <w:sz w:val="26"/>
          <w:szCs w:val="26"/>
        </w:rPr>
        <w:t>allegation</w:t>
      </w:r>
      <w:r w:rsidRPr="007E68BE">
        <w:rPr>
          <w:sz w:val="26"/>
          <w:szCs w:val="26"/>
        </w:rPr>
        <w:t>, the ALJ</w:t>
      </w:r>
      <w:r>
        <w:rPr>
          <w:sz w:val="26"/>
          <w:szCs w:val="26"/>
        </w:rPr>
        <w:t xml:space="preserve"> </w:t>
      </w:r>
      <w:r w:rsidR="00BB2DD1">
        <w:rPr>
          <w:sz w:val="26"/>
          <w:szCs w:val="26"/>
        </w:rPr>
        <w:t xml:space="preserve">stated that to establish a </w:t>
      </w:r>
      <w:r w:rsidR="00BB2DD1" w:rsidRPr="00934B5E">
        <w:rPr>
          <w:i/>
          <w:sz w:val="26"/>
          <w:szCs w:val="26"/>
        </w:rPr>
        <w:t>prima facie</w:t>
      </w:r>
      <w:r w:rsidR="00BB2DD1">
        <w:rPr>
          <w:sz w:val="26"/>
          <w:szCs w:val="26"/>
        </w:rPr>
        <w:t xml:space="preserve"> case, the Complainant must show the disputed bill was abnormally high when compared to prior usage and that his pattern of usage had not changed.  I.D. at 18.  </w:t>
      </w:r>
      <w:r w:rsidR="00BB2DD1">
        <w:rPr>
          <w:sz w:val="26"/>
          <w:szCs w:val="26"/>
        </w:rPr>
        <w:lastRenderedPageBreak/>
        <w:t xml:space="preserve">Alternatively, the Complainant must provide other relevant evidence showing that the disputed bill was unreasonably high.  </w:t>
      </w:r>
      <w:r w:rsidR="00BB2DD1">
        <w:rPr>
          <w:i/>
          <w:sz w:val="26"/>
          <w:szCs w:val="26"/>
        </w:rPr>
        <w:t xml:space="preserve">Id. </w:t>
      </w:r>
      <w:r w:rsidR="00BB2DD1">
        <w:rPr>
          <w:sz w:val="26"/>
          <w:szCs w:val="26"/>
        </w:rPr>
        <w:t xml:space="preserve"> </w:t>
      </w:r>
    </w:p>
    <w:p w:rsidR="00FB3E16" w:rsidRDefault="00FB3E16" w:rsidP="00A524F0">
      <w:pPr>
        <w:widowControl/>
        <w:spacing w:line="360" w:lineRule="auto"/>
        <w:ind w:firstLine="1440"/>
        <w:rPr>
          <w:sz w:val="26"/>
          <w:szCs w:val="26"/>
        </w:rPr>
      </w:pPr>
    </w:p>
    <w:p w:rsidR="0056362D" w:rsidRDefault="00A5538A" w:rsidP="00A524F0">
      <w:pPr>
        <w:widowControl/>
        <w:spacing w:line="360" w:lineRule="auto"/>
        <w:ind w:firstLine="1440"/>
        <w:rPr>
          <w:sz w:val="26"/>
          <w:szCs w:val="26"/>
        </w:rPr>
      </w:pPr>
      <w:r>
        <w:rPr>
          <w:sz w:val="26"/>
          <w:szCs w:val="26"/>
        </w:rPr>
        <w:t>The ALJ stated that during the hearing the Complainant, for the first time, provided a time-fra</w:t>
      </w:r>
      <w:r w:rsidR="0056362D">
        <w:rPr>
          <w:sz w:val="26"/>
          <w:szCs w:val="26"/>
        </w:rPr>
        <w:t>me for his high billing dispute</w:t>
      </w:r>
      <w:r>
        <w:rPr>
          <w:sz w:val="26"/>
          <w:szCs w:val="26"/>
        </w:rPr>
        <w:t xml:space="preserve"> claiming that his electric bills from 2005 to 2010 were between $25 and $35 per month but increased to $45 and $50 per month from 2010 to 2012.  Further, the ALJ </w:t>
      </w:r>
      <w:r w:rsidR="009D27A3">
        <w:rPr>
          <w:sz w:val="26"/>
          <w:szCs w:val="26"/>
        </w:rPr>
        <w:t>discussed Mr</w:t>
      </w:r>
      <w:r>
        <w:rPr>
          <w:sz w:val="26"/>
          <w:szCs w:val="26"/>
        </w:rPr>
        <w:t>. Atuahene’s testimony that he was hospitalized from August 4, 2011, to October 1, 2011, during which time his wife remained by his bedside.  Nonetheless, the Complainant testified his “electricity stayed the same, though there was no usage during this period.”</w:t>
      </w:r>
      <w:r w:rsidR="0056362D">
        <w:rPr>
          <w:sz w:val="26"/>
          <w:szCs w:val="26"/>
        </w:rPr>
        <w:t xml:space="preserve">  I.D. at 18.  </w:t>
      </w:r>
    </w:p>
    <w:p w:rsidR="00A93A08" w:rsidRDefault="00A93A08" w:rsidP="00A524F0">
      <w:pPr>
        <w:widowControl/>
        <w:spacing w:line="360" w:lineRule="auto"/>
        <w:ind w:firstLine="1440"/>
        <w:rPr>
          <w:sz w:val="26"/>
          <w:szCs w:val="26"/>
        </w:rPr>
      </w:pPr>
    </w:p>
    <w:p w:rsidR="00424121" w:rsidRDefault="0056362D" w:rsidP="00A524F0">
      <w:pPr>
        <w:widowControl/>
        <w:spacing w:line="360" w:lineRule="auto"/>
        <w:ind w:firstLine="1440"/>
        <w:rPr>
          <w:sz w:val="26"/>
          <w:szCs w:val="26"/>
        </w:rPr>
      </w:pPr>
      <w:r>
        <w:rPr>
          <w:sz w:val="26"/>
          <w:szCs w:val="26"/>
        </w:rPr>
        <w:t xml:space="preserve">The ALJ noted the testimony of PECO’s witness regarding Mr. Atuahene’s account history from 2009 to 2012 and the absence of any abnormal bills.  Further, because Mr. Atuahene framed his </w:t>
      </w:r>
      <w:r w:rsidR="00BB2DD1">
        <w:rPr>
          <w:sz w:val="26"/>
          <w:szCs w:val="26"/>
        </w:rPr>
        <w:t xml:space="preserve">high billing dispute as a comparison of his PECO bills before and after 2010, the ALJ requested additional account information as a late-filed exhibit.  After reviewing the Complainant’s account history, the ALJ determined </w:t>
      </w:r>
      <w:r w:rsidR="00CB6CD9">
        <w:rPr>
          <w:sz w:val="26"/>
          <w:szCs w:val="26"/>
        </w:rPr>
        <w:t>that the records</w:t>
      </w:r>
      <w:r w:rsidR="006B6F05">
        <w:rPr>
          <w:sz w:val="26"/>
          <w:szCs w:val="26"/>
        </w:rPr>
        <w:t>,</w:t>
      </w:r>
      <w:r w:rsidR="00253DA6">
        <w:rPr>
          <w:sz w:val="26"/>
          <w:szCs w:val="26"/>
        </w:rPr>
        <w:t xml:space="preserve"> on </w:t>
      </w:r>
      <w:r w:rsidR="009A6A2D">
        <w:rPr>
          <w:sz w:val="26"/>
          <w:szCs w:val="26"/>
        </w:rPr>
        <w:t xml:space="preserve">the </w:t>
      </w:r>
      <w:r w:rsidR="00253DA6">
        <w:rPr>
          <w:sz w:val="26"/>
          <w:szCs w:val="26"/>
        </w:rPr>
        <w:t>whole</w:t>
      </w:r>
      <w:r w:rsidR="006B6F05">
        <w:rPr>
          <w:sz w:val="26"/>
          <w:szCs w:val="26"/>
        </w:rPr>
        <w:t>,</w:t>
      </w:r>
      <w:r w:rsidR="00CB6CD9">
        <w:rPr>
          <w:sz w:val="26"/>
          <w:szCs w:val="26"/>
        </w:rPr>
        <w:t xml:space="preserve"> </w:t>
      </w:r>
      <w:r w:rsidR="00253DA6">
        <w:rPr>
          <w:sz w:val="26"/>
          <w:szCs w:val="26"/>
        </w:rPr>
        <w:t xml:space="preserve">show that </w:t>
      </w:r>
      <w:r w:rsidR="006B6F05">
        <w:rPr>
          <w:sz w:val="26"/>
          <w:szCs w:val="26"/>
        </w:rPr>
        <w:t>the Complainant</w:t>
      </w:r>
      <w:r w:rsidR="00CB6CD9">
        <w:rPr>
          <w:sz w:val="26"/>
          <w:szCs w:val="26"/>
        </w:rPr>
        <w:t xml:space="preserve">’s </w:t>
      </w:r>
      <w:r w:rsidR="00253DA6">
        <w:rPr>
          <w:sz w:val="26"/>
          <w:szCs w:val="26"/>
        </w:rPr>
        <w:t>bills before January 2010 were high</w:t>
      </w:r>
      <w:r w:rsidR="006B6F05">
        <w:rPr>
          <w:sz w:val="26"/>
          <w:szCs w:val="26"/>
        </w:rPr>
        <w:t>er than the amount claimed by Mr. Atuahene during his testimony.  Also, the records showed that Mr. Atuahene’s electricity usage and bills were considerably higher before 2010 than after 2010.  Moreover, the account history revealed that the Complainant’s electricity usage patterns were devoid of any abnormal spikes or lows.  I.D. at 19.</w:t>
      </w:r>
    </w:p>
    <w:p w:rsidR="006B6F05" w:rsidRDefault="006B6F05" w:rsidP="00A524F0">
      <w:pPr>
        <w:widowControl/>
        <w:spacing w:line="360" w:lineRule="auto"/>
        <w:ind w:firstLine="1440"/>
        <w:rPr>
          <w:sz w:val="26"/>
          <w:szCs w:val="26"/>
        </w:rPr>
      </w:pPr>
    </w:p>
    <w:p w:rsidR="006B6F05" w:rsidRDefault="006B6F05" w:rsidP="00A524F0">
      <w:pPr>
        <w:widowControl/>
        <w:spacing w:line="360" w:lineRule="auto"/>
        <w:ind w:firstLine="1440"/>
        <w:rPr>
          <w:sz w:val="26"/>
          <w:szCs w:val="26"/>
        </w:rPr>
      </w:pPr>
      <w:r>
        <w:rPr>
          <w:sz w:val="26"/>
          <w:szCs w:val="26"/>
        </w:rPr>
        <w:t>In addition, the ALJ acknowledged that PECO took the additional step of performing a high bill field investigation at the Complainant’s residence on October 2, 2012.  The investigation</w:t>
      </w:r>
      <w:r w:rsidR="00440B75">
        <w:rPr>
          <w:sz w:val="26"/>
          <w:szCs w:val="26"/>
        </w:rPr>
        <w:t xml:space="preserve"> indicated that Mr. Atuahene had</w:t>
      </w:r>
      <w:r>
        <w:rPr>
          <w:sz w:val="26"/>
          <w:szCs w:val="26"/>
        </w:rPr>
        <w:t xml:space="preserve"> the potential for using the amount of electricity </w:t>
      </w:r>
      <w:r w:rsidR="00440B75">
        <w:rPr>
          <w:sz w:val="26"/>
          <w:szCs w:val="26"/>
        </w:rPr>
        <w:t>for which he had been charged from 2010 to 2012.  Further, the investigation confirmed there was no meter confusion or foreign wiring at the residence and the meter itself was reading and reporting electric usage accurately.  I.D. at 19-20.</w:t>
      </w:r>
    </w:p>
    <w:p w:rsidR="00440B75" w:rsidRDefault="00440B75" w:rsidP="00A524F0">
      <w:pPr>
        <w:widowControl/>
        <w:spacing w:line="360" w:lineRule="auto"/>
        <w:ind w:firstLine="1440"/>
        <w:rPr>
          <w:sz w:val="26"/>
          <w:szCs w:val="26"/>
        </w:rPr>
      </w:pPr>
    </w:p>
    <w:p w:rsidR="00440B75" w:rsidRDefault="00440B75" w:rsidP="00A524F0">
      <w:pPr>
        <w:widowControl/>
        <w:spacing w:line="360" w:lineRule="auto"/>
        <w:ind w:firstLine="1440"/>
        <w:rPr>
          <w:sz w:val="26"/>
          <w:szCs w:val="26"/>
        </w:rPr>
      </w:pPr>
      <w:r>
        <w:rPr>
          <w:sz w:val="26"/>
          <w:szCs w:val="26"/>
        </w:rPr>
        <w:lastRenderedPageBreak/>
        <w:t>Finally, the ALJ discussed Mr. Atuahene’s allegation that the electricity usage billed to him from August to October 2011 was improper because of his hospitalization.  During his testimony, however, the Complainant admitted that his stay at the hospital was not continuous</w:t>
      </w:r>
      <w:r w:rsidR="00B03DD5">
        <w:rPr>
          <w:sz w:val="26"/>
          <w:szCs w:val="26"/>
        </w:rPr>
        <w:t xml:space="preserve">.  In addition, he could not provide the exact number of times he had been hospitalized or the length of each stay during the time period </w:t>
      </w:r>
      <w:r w:rsidR="009A6A2D">
        <w:rPr>
          <w:sz w:val="26"/>
          <w:szCs w:val="26"/>
        </w:rPr>
        <w:t xml:space="preserve">in </w:t>
      </w:r>
      <w:r w:rsidR="00B03DD5">
        <w:rPr>
          <w:sz w:val="26"/>
          <w:szCs w:val="26"/>
        </w:rPr>
        <w:t xml:space="preserve">question.  Rather, he testified </w:t>
      </w:r>
      <w:r w:rsidR="00984D38">
        <w:rPr>
          <w:sz w:val="26"/>
          <w:szCs w:val="26"/>
        </w:rPr>
        <w:t>that</w:t>
      </w:r>
      <w:r w:rsidR="00B03DD5">
        <w:rPr>
          <w:sz w:val="26"/>
          <w:szCs w:val="26"/>
        </w:rPr>
        <w:t xml:space="preserve"> his last hospitalization had been from September 29, 201</w:t>
      </w:r>
      <w:r w:rsidR="009A6A2D">
        <w:rPr>
          <w:sz w:val="26"/>
          <w:szCs w:val="26"/>
        </w:rPr>
        <w:t>1</w:t>
      </w:r>
      <w:r w:rsidR="00B03DD5">
        <w:rPr>
          <w:sz w:val="26"/>
          <w:szCs w:val="26"/>
        </w:rPr>
        <w:t>, to October 1, 2011, and all his other hospitaliz</w:t>
      </w:r>
      <w:r w:rsidR="005D53D4">
        <w:rPr>
          <w:sz w:val="26"/>
          <w:szCs w:val="26"/>
        </w:rPr>
        <w:t>a</w:t>
      </w:r>
      <w:r w:rsidR="00B03DD5">
        <w:rPr>
          <w:sz w:val="26"/>
          <w:szCs w:val="26"/>
        </w:rPr>
        <w:t xml:space="preserve">tions were of comparative length and duration.  </w:t>
      </w:r>
      <w:r w:rsidR="005D53D4">
        <w:rPr>
          <w:sz w:val="26"/>
          <w:szCs w:val="26"/>
        </w:rPr>
        <w:t>Moreover, Mr. Atuahene testified that he and his wife returned to his residence after each of his hospital stays.  I.D. at 20.</w:t>
      </w:r>
    </w:p>
    <w:p w:rsidR="005D53D4" w:rsidRDefault="005D53D4" w:rsidP="00A524F0">
      <w:pPr>
        <w:widowControl/>
        <w:spacing w:line="360" w:lineRule="auto"/>
        <w:ind w:firstLine="1440"/>
        <w:rPr>
          <w:sz w:val="26"/>
          <w:szCs w:val="26"/>
        </w:rPr>
      </w:pPr>
    </w:p>
    <w:p w:rsidR="00AB7253" w:rsidRDefault="005D53D4" w:rsidP="00A524F0">
      <w:pPr>
        <w:widowControl/>
        <w:spacing w:line="360" w:lineRule="auto"/>
        <w:ind w:firstLine="1440"/>
        <w:rPr>
          <w:sz w:val="26"/>
          <w:szCs w:val="26"/>
        </w:rPr>
      </w:pPr>
      <w:r>
        <w:rPr>
          <w:sz w:val="26"/>
          <w:szCs w:val="26"/>
        </w:rPr>
        <w:t>In light of the record evidence, the ALJ concluded that the Complainant failed to carry his burden that there was little or no electricity used at his residence from August 2011 to October 2011 and that PECO improperly billed him for service</w:t>
      </w:r>
      <w:r w:rsidR="009C5D5D">
        <w:rPr>
          <w:sz w:val="26"/>
          <w:szCs w:val="26"/>
        </w:rPr>
        <w:t xml:space="preserve"> during that time</w:t>
      </w:r>
      <w:r w:rsidR="00AB7253">
        <w:rPr>
          <w:sz w:val="26"/>
          <w:szCs w:val="26"/>
        </w:rPr>
        <w:t>.  In addition, Mr. Atuahene failed to carry his burden of proving the electricity bills after 2010 were abnormally higher than the bills before 2010.  I.D. at 20.</w:t>
      </w:r>
    </w:p>
    <w:p w:rsidR="00AB7253" w:rsidRDefault="00AB7253" w:rsidP="00A524F0">
      <w:pPr>
        <w:widowControl/>
        <w:spacing w:line="360" w:lineRule="auto"/>
        <w:ind w:firstLine="1440"/>
        <w:rPr>
          <w:sz w:val="26"/>
          <w:szCs w:val="26"/>
        </w:rPr>
      </w:pPr>
    </w:p>
    <w:p w:rsidR="009C5D5D" w:rsidRDefault="009C5D5D" w:rsidP="00A524F0">
      <w:pPr>
        <w:keepNext/>
        <w:widowControl/>
        <w:spacing w:line="360" w:lineRule="auto"/>
        <w:ind w:firstLine="720"/>
        <w:rPr>
          <w:b/>
          <w:sz w:val="26"/>
          <w:szCs w:val="26"/>
        </w:rPr>
      </w:pPr>
      <w:r>
        <w:rPr>
          <w:b/>
          <w:sz w:val="26"/>
          <w:szCs w:val="26"/>
        </w:rPr>
        <w:t>Termination of Service</w:t>
      </w:r>
    </w:p>
    <w:p w:rsidR="009C5D5D" w:rsidRDefault="009C5D5D" w:rsidP="00A524F0">
      <w:pPr>
        <w:keepNext/>
        <w:widowControl/>
        <w:spacing w:line="360" w:lineRule="auto"/>
        <w:ind w:firstLine="720"/>
        <w:rPr>
          <w:b/>
          <w:sz w:val="26"/>
          <w:szCs w:val="26"/>
        </w:rPr>
      </w:pPr>
    </w:p>
    <w:p w:rsidR="00E5281A" w:rsidRDefault="009C5D5D" w:rsidP="00A524F0">
      <w:pPr>
        <w:widowControl/>
        <w:spacing w:line="360" w:lineRule="auto"/>
        <w:ind w:firstLine="720"/>
        <w:rPr>
          <w:sz w:val="26"/>
          <w:szCs w:val="26"/>
        </w:rPr>
      </w:pPr>
      <w:r>
        <w:rPr>
          <w:sz w:val="26"/>
          <w:szCs w:val="26"/>
        </w:rPr>
        <w:tab/>
      </w:r>
      <w:r w:rsidR="00E10F56">
        <w:rPr>
          <w:sz w:val="26"/>
          <w:szCs w:val="26"/>
        </w:rPr>
        <w:t>During the hearing, Mr. Atuahene testified that PECO terminated his service in October 2011 without providing proper notice</w:t>
      </w:r>
      <w:r w:rsidR="00E10F56" w:rsidRPr="00E10F56">
        <w:rPr>
          <w:sz w:val="26"/>
          <w:szCs w:val="26"/>
        </w:rPr>
        <w:t xml:space="preserve"> </w:t>
      </w:r>
      <w:r w:rsidR="00E10F56">
        <w:rPr>
          <w:sz w:val="26"/>
          <w:szCs w:val="26"/>
        </w:rPr>
        <w:t>either b</w:t>
      </w:r>
      <w:r w:rsidR="008D2412">
        <w:rPr>
          <w:sz w:val="26"/>
          <w:szCs w:val="26"/>
        </w:rPr>
        <w:t>y mail or telephone or by an in-</w:t>
      </w:r>
      <w:r w:rsidR="00E10F56">
        <w:rPr>
          <w:sz w:val="26"/>
          <w:szCs w:val="26"/>
        </w:rPr>
        <w:t xml:space="preserve">person </w:t>
      </w:r>
      <w:r w:rsidR="003A49DA">
        <w:rPr>
          <w:sz w:val="26"/>
          <w:szCs w:val="26"/>
        </w:rPr>
        <w:t>notification</w:t>
      </w:r>
      <w:r w:rsidR="00E10F56">
        <w:rPr>
          <w:sz w:val="26"/>
          <w:szCs w:val="26"/>
        </w:rPr>
        <w:t>.</w:t>
      </w:r>
      <w:r w:rsidR="00CB5B61">
        <w:rPr>
          <w:rStyle w:val="FootnoteReference"/>
          <w:sz w:val="26"/>
          <w:szCs w:val="26"/>
        </w:rPr>
        <w:footnoteReference w:id="8"/>
      </w:r>
      <w:r w:rsidR="00E10F56">
        <w:rPr>
          <w:sz w:val="26"/>
          <w:szCs w:val="26"/>
        </w:rPr>
        <w:t xml:space="preserve">  He alleged to have discovered the termination after returning from a doctor’s appointment in October 2011.  </w:t>
      </w:r>
      <w:r w:rsidR="00E5281A">
        <w:rPr>
          <w:sz w:val="26"/>
          <w:szCs w:val="26"/>
        </w:rPr>
        <w:t xml:space="preserve">I.D. at 20. </w:t>
      </w:r>
    </w:p>
    <w:p w:rsidR="00E5281A" w:rsidRDefault="00E5281A" w:rsidP="00A524F0">
      <w:pPr>
        <w:widowControl/>
        <w:spacing w:line="360" w:lineRule="auto"/>
        <w:ind w:firstLine="720"/>
        <w:rPr>
          <w:sz w:val="26"/>
          <w:szCs w:val="26"/>
        </w:rPr>
      </w:pPr>
    </w:p>
    <w:p w:rsidR="003A6CAC" w:rsidRDefault="00E5281A" w:rsidP="00A524F0">
      <w:pPr>
        <w:widowControl/>
        <w:spacing w:line="360" w:lineRule="auto"/>
        <w:ind w:firstLine="1440"/>
        <w:rPr>
          <w:sz w:val="26"/>
          <w:szCs w:val="26"/>
        </w:rPr>
      </w:pPr>
      <w:r>
        <w:rPr>
          <w:sz w:val="26"/>
          <w:szCs w:val="26"/>
        </w:rPr>
        <w:t xml:space="preserve">In the Initial Decision, the ALJ discussed the testimony of PECO’s witness who described the automated </w:t>
      </w:r>
      <w:r w:rsidR="00ED4D2E">
        <w:rPr>
          <w:sz w:val="26"/>
          <w:szCs w:val="26"/>
        </w:rPr>
        <w:t xml:space="preserve">notification </w:t>
      </w:r>
      <w:r>
        <w:rPr>
          <w:sz w:val="26"/>
          <w:szCs w:val="26"/>
        </w:rPr>
        <w:t>system</w:t>
      </w:r>
      <w:r w:rsidR="00ED4D2E">
        <w:rPr>
          <w:sz w:val="26"/>
          <w:szCs w:val="26"/>
        </w:rPr>
        <w:t xml:space="preserve">.  On </w:t>
      </w:r>
      <w:r>
        <w:rPr>
          <w:sz w:val="26"/>
          <w:szCs w:val="26"/>
        </w:rPr>
        <w:t xml:space="preserve">October 4, 2011, </w:t>
      </w:r>
      <w:r w:rsidR="00ED4D2E">
        <w:rPr>
          <w:sz w:val="26"/>
          <w:szCs w:val="26"/>
        </w:rPr>
        <w:t xml:space="preserve">PECO </w:t>
      </w:r>
      <w:r>
        <w:rPr>
          <w:sz w:val="26"/>
          <w:szCs w:val="26"/>
        </w:rPr>
        <w:t xml:space="preserve">mailed </w:t>
      </w:r>
      <w:r w:rsidR="003A49DA">
        <w:rPr>
          <w:sz w:val="26"/>
          <w:szCs w:val="26"/>
        </w:rPr>
        <w:t>a</w:t>
      </w:r>
      <w:r>
        <w:rPr>
          <w:sz w:val="26"/>
          <w:szCs w:val="26"/>
        </w:rPr>
        <w:t xml:space="preserve"> </w:t>
      </w:r>
      <w:r w:rsidR="001C3E94">
        <w:rPr>
          <w:sz w:val="26"/>
          <w:szCs w:val="26"/>
        </w:rPr>
        <w:t>ten</w:t>
      </w:r>
      <w:r>
        <w:rPr>
          <w:sz w:val="26"/>
          <w:szCs w:val="26"/>
        </w:rPr>
        <w:t xml:space="preserve">-day termination notice to the Complainant for a past due balance.  According to the </w:t>
      </w:r>
      <w:r>
        <w:rPr>
          <w:sz w:val="26"/>
          <w:szCs w:val="26"/>
        </w:rPr>
        <w:lastRenderedPageBreak/>
        <w:t xml:space="preserve">witness, the termination notice was not returned to PECO as undeliverable.  </w:t>
      </w:r>
      <w:r w:rsidR="003A49DA">
        <w:rPr>
          <w:sz w:val="26"/>
          <w:szCs w:val="26"/>
        </w:rPr>
        <w:t xml:space="preserve">The PECO witness further testified that the automated system attempted </w:t>
      </w:r>
      <w:r w:rsidR="00230BA7">
        <w:rPr>
          <w:sz w:val="26"/>
          <w:szCs w:val="26"/>
        </w:rPr>
        <w:t xml:space="preserve">seventy-two </w:t>
      </w:r>
      <w:r w:rsidR="003A49DA">
        <w:rPr>
          <w:sz w:val="26"/>
          <w:szCs w:val="26"/>
        </w:rPr>
        <w:t xml:space="preserve">hour termination notices by telephone on </w:t>
      </w:r>
      <w:r>
        <w:rPr>
          <w:sz w:val="26"/>
          <w:szCs w:val="26"/>
        </w:rPr>
        <w:t>October 11, 2011, and October 12, 2011</w:t>
      </w:r>
      <w:r w:rsidR="003A49DA">
        <w:rPr>
          <w:sz w:val="26"/>
          <w:szCs w:val="26"/>
        </w:rPr>
        <w:t xml:space="preserve">, and left messages on Mr. Atuahene’s answering machine.  I.D. at 10, 21.  Finally, the witness testified that on the date of termination, October 18, 2011, </w:t>
      </w:r>
      <w:r w:rsidR="003A6CAC">
        <w:rPr>
          <w:sz w:val="26"/>
          <w:szCs w:val="26"/>
        </w:rPr>
        <w:t xml:space="preserve">a </w:t>
      </w:r>
      <w:r w:rsidR="00BD6371">
        <w:rPr>
          <w:sz w:val="26"/>
          <w:szCs w:val="26"/>
        </w:rPr>
        <w:t xml:space="preserve">PECO </w:t>
      </w:r>
      <w:r w:rsidR="003A6CAC">
        <w:rPr>
          <w:sz w:val="26"/>
          <w:szCs w:val="26"/>
        </w:rPr>
        <w:t>technician</w:t>
      </w:r>
      <w:r w:rsidR="00BD6371">
        <w:rPr>
          <w:sz w:val="26"/>
          <w:szCs w:val="26"/>
        </w:rPr>
        <w:t xml:space="preserve"> would have</w:t>
      </w:r>
      <w:r w:rsidR="003A6CAC">
        <w:rPr>
          <w:sz w:val="26"/>
          <w:szCs w:val="26"/>
        </w:rPr>
        <w:t xml:space="preserve"> attempt</w:t>
      </w:r>
      <w:r w:rsidR="00BD6371">
        <w:rPr>
          <w:sz w:val="26"/>
          <w:szCs w:val="26"/>
        </w:rPr>
        <w:t>ed</w:t>
      </w:r>
      <w:r w:rsidR="003A6CAC">
        <w:rPr>
          <w:sz w:val="26"/>
          <w:szCs w:val="26"/>
        </w:rPr>
        <w:t xml:space="preserve"> to contact the property owner by knocking on the door or ringing the bell prior to terminating the service.  </w:t>
      </w:r>
      <w:r w:rsidR="003A6CAC">
        <w:rPr>
          <w:i/>
          <w:sz w:val="26"/>
          <w:szCs w:val="26"/>
        </w:rPr>
        <w:t xml:space="preserve">Id. </w:t>
      </w:r>
    </w:p>
    <w:p w:rsidR="003A6CAC" w:rsidRDefault="003A6CAC" w:rsidP="00A524F0">
      <w:pPr>
        <w:widowControl/>
        <w:spacing w:line="360" w:lineRule="auto"/>
        <w:ind w:firstLine="1440"/>
        <w:rPr>
          <w:sz w:val="26"/>
          <w:szCs w:val="26"/>
        </w:rPr>
      </w:pPr>
    </w:p>
    <w:p w:rsidR="00B77F60" w:rsidRDefault="0039741D" w:rsidP="00A524F0">
      <w:pPr>
        <w:widowControl/>
        <w:spacing w:line="360" w:lineRule="auto"/>
        <w:ind w:firstLine="1440"/>
        <w:rPr>
          <w:sz w:val="26"/>
          <w:szCs w:val="26"/>
        </w:rPr>
      </w:pPr>
      <w:r>
        <w:rPr>
          <w:sz w:val="26"/>
          <w:szCs w:val="26"/>
        </w:rPr>
        <w:t xml:space="preserve">Mr. Atuahene denied receiving the </w:t>
      </w:r>
      <w:r w:rsidR="00230BA7">
        <w:rPr>
          <w:sz w:val="26"/>
          <w:szCs w:val="26"/>
        </w:rPr>
        <w:t>ten</w:t>
      </w:r>
      <w:r>
        <w:rPr>
          <w:sz w:val="26"/>
          <w:szCs w:val="26"/>
        </w:rPr>
        <w:t xml:space="preserve">-day termination notice mailed on October 4, 2011.  He further denied receiving </w:t>
      </w:r>
      <w:r w:rsidR="00247022">
        <w:rPr>
          <w:sz w:val="26"/>
          <w:szCs w:val="26"/>
        </w:rPr>
        <w:t xml:space="preserve">three of </w:t>
      </w:r>
      <w:r w:rsidR="00550E71">
        <w:rPr>
          <w:sz w:val="26"/>
          <w:szCs w:val="26"/>
        </w:rPr>
        <w:t xml:space="preserve">the </w:t>
      </w:r>
      <w:r w:rsidR="00247022">
        <w:rPr>
          <w:sz w:val="26"/>
          <w:szCs w:val="26"/>
        </w:rPr>
        <w:t>fou</w:t>
      </w:r>
      <w:r w:rsidR="004026AB">
        <w:rPr>
          <w:sz w:val="26"/>
          <w:szCs w:val="26"/>
        </w:rPr>
        <w:t xml:space="preserve">r termination notices that PECO </w:t>
      </w:r>
      <w:r w:rsidR="00EF09F6">
        <w:rPr>
          <w:sz w:val="26"/>
          <w:szCs w:val="26"/>
        </w:rPr>
        <w:t xml:space="preserve">ultimately </w:t>
      </w:r>
      <w:r w:rsidR="004026AB">
        <w:rPr>
          <w:sz w:val="26"/>
          <w:szCs w:val="26"/>
        </w:rPr>
        <w:t>issue</w:t>
      </w:r>
      <w:r w:rsidR="00ED4D2E">
        <w:rPr>
          <w:sz w:val="26"/>
          <w:szCs w:val="26"/>
        </w:rPr>
        <w:t>d</w:t>
      </w:r>
      <w:r w:rsidR="004026AB">
        <w:rPr>
          <w:sz w:val="26"/>
          <w:szCs w:val="26"/>
        </w:rPr>
        <w:t xml:space="preserve"> to him (i.e., he denied receiving the notices sent </w:t>
      </w:r>
      <w:r w:rsidR="00247022">
        <w:rPr>
          <w:sz w:val="26"/>
          <w:szCs w:val="26"/>
        </w:rPr>
        <w:t xml:space="preserve">on October 4, 2011, February 20, 2012, </w:t>
      </w:r>
      <w:r w:rsidR="004026AB">
        <w:rPr>
          <w:sz w:val="26"/>
          <w:szCs w:val="26"/>
        </w:rPr>
        <w:t xml:space="preserve">and April 9, 2012, but acknowledged receiving the </w:t>
      </w:r>
      <w:r w:rsidR="00247022">
        <w:rPr>
          <w:sz w:val="26"/>
          <w:szCs w:val="26"/>
        </w:rPr>
        <w:t>July 6, 2012</w:t>
      </w:r>
      <w:r w:rsidR="004026AB">
        <w:rPr>
          <w:sz w:val="26"/>
          <w:szCs w:val="26"/>
        </w:rPr>
        <w:t>, notice)</w:t>
      </w:r>
      <w:r w:rsidR="00247022">
        <w:rPr>
          <w:sz w:val="26"/>
          <w:szCs w:val="26"/>
        </w:rPr>
        <w:t xml:space="preserve">.  </w:t>
      </w:r>
      <w:r w:rsidR="00550E71">
        <w:rPr>
          <w:sz w:val="26"/>
          <w:szCs w:val="26"/>
        </w:rPr>
        <w:t xml:space="preserve">According to the ALJ, however, Mr. Atuahene’s credibility was undermined because </w:t>
      </w:r>
      <w:r w:rsidR="004026AB">
        <w:rPr>
          <w:sz w:val="26"/>
          <w:szCs w:val="26"/>
        </w:rPr>
        <w:t xml:space="preserve">the </w:t>
      </w:r>
      <w:r w:rsidR="00230BA7">
        <w:rPr>
          <w:sz w:val="26"/>
          <w:szCs w:val="26"/>
        </w:rPr>
        <w:t>ten</w:t>
      </w:r>
      <w:r w:rsidR="004026AB">
        <w:rPr>
          <w:sz w:val="26"/>
          <w:szCs w:val="26"/>
        </w:rPr>
        <w:t xml:space="preserve">-day termination notice issued on April 9, 2012, </w:t>
      </w:r>
      <w:r w:rsidR="00624733">
        <w:rPr>
          <w:sz w:val="26"/>
          <w:szCs w:val="26"/>
        </w:rPr>
        <w:t xml:space="preserve">which he denied receiving, </w:t>
      </w:r>
      <w:r w:rsidR="00550E71">
        <w:rPr>
          <w:sz w:val="26"/>
          <w:szCs w:val="26"/>
        </w:rPr>
        <w:t xml:space="preserve">was attached to his Complaint. </w:t>
      </w:r>
      <w:r w:rsidR="004026AB">
        <w:rPr>
          <w:sz w:val="26"/>
          <w:szCs w:val="26"/>
        </w:rPr>
        <w:t xml:space="preserve"> Further, the Complainant testified about postal del</w:t>
      </w:r>
      <w:r w:rsidR="00ED4D2E">
        <w:rPr>
          <w:sz w:val="26"/>
          <w:szCs w:val="26"/>
        </w:rPr>
        <w:t>ivery problems at his address and his inability to find a permanent solution.  However, the ALJ noted that there is no record of Mr. Atuahene providing an alternate, reliable mailing address</w:t>
      </w:r>
      <w:r w:rsidR="00CB5B61">
        <w:rPr>
          <w:sz w:val="26"/>
          <w:szCs w:val="26"/>
        </w:rPr>
        <w:t xml:space="preserve"> other than his residence address.  In light of the record evidence, the ALJ concluded that PECO complied with the </w:t>
      </w:r>
      <w:r w:rsidR="00230BA7">
        <w:rPr>
          <w:sz w:val="26"/>
          <w:szCs w:val="26"/>
        </w:rPr>
        <w:t>ten</w:t>
      </w:r>
      <w:r w:rsidR="00CB5B61">
        <w:rPr>
          <w:sz w:val="26"/>
          <w:szCs w:val="26"/>
        </w:rPr>
        <w:t>-day notice requirement when it mailed the notice to the only address on file for him.  I.D. at 22.</w:t>
      </w:r>
    </w:p>
    <w:p w:rsidR="00CB5B61" w:rsidRDefault="00CB5B61" w:rsidP="00A524F0">
      <w:pPr>
        <w:widowControl/>
        <w:spacing w:line="360" w:lineRule="auto"/>
        <w:ind w:firstLine="1440"/>
        <w:rPr>
          <w:sz w:val="26"/>
          <w:szCs w:val="26"/>
        </w:rPr>
      </w:pPr>
    </w:p>
    <w:p w:rsidR="00CB5B61" w:rsidRDefault="00EF09F6" w:rsidP="00A524F0">
      <w:pPr>
        <w:widowControl/>
        <w:spacing w:line="360" w:lineRule="auto"/>
        <w:ind w:firstLine="1440"/>
        <w:rPr>
          <w:sz w:val="26"/>
          <w:szCs w:val="26"/>
        </w:rPr>
      </w:pPr>
      <w:r>
        <w:rPr>
          <w:sz w:val="26"/>
          <w:szCs w:val="26"/>
        </w:rPr>
        <w:t xml:space="preserve">The Complainant also denied receiving the </w:t>
      </w:r>
      <w:r w:rsidR="00480853">
        <w:rPr>
          <w:sz w:val="26"/>
          <w:szCs w:val="26"/>
        </w:rPr>
        <w:t>seventy</w:t>
      </w:r>
      <w:r>
        <w:rPr>
          <w:sz w:val="26"/>
          <w:szCs w:val="26"/>
        </w:rPr>
        <w:t>-</w:t>
      </w:r>
      <w:r w:rsidR="00480853">
        <w:rPr>
          <w:sz w:val="26"/>
          <w:szCs w:val="26"/>
        </w:rPr>
        <w:t xml:space="preserve">two </w:t>
      </w:r>
      <w:r>
        <w:rPr>
          <w:sz w:val="26"/>
          <w:szCs w:val="26"/>
        </w:rPr>
        <w:t xml:space="preserve">hour termination notices </w:t>
      </w:r>
      <w:r w:rsidR="00EB0CE6">
        <w:rPr>
          <w:sz w:val="26"/>
          <w:szCs w:val="26"/>
        </w:rPr>
        <w:t xml:space="preserve">on October 11 and 12, 2011, </w:t>
      </w:r>
      <w:r>
        <w:rPr>
          <w:sz w:val="26"/>
          <w:szCs w:val="26"/>
        </w:rPr>
        <w:t xml:space="preserve">because his answering machine was not working </w:t>
      </w:r>
      <w:r w:rsidR="00EB0CE6">
        <w:rPr>
          <w:sz w:val="26"/>
          <w:szCs w:val="26"/>
        </w:rPr>
        <w:t xml:space="preserve">during that time.  In response, the ALJ determined that, even if the statements about the answering machine were true, the statutory provision requiring notice did not require PECO to leave a message on the Complainant’s answering machine.  Rather, Section 1406(b)(1)(ii) of the Code, 66 Pa. C.S. § 1406(b)(1)(ii), only required PECO to attempt to reach Mr. Atuahene at his home telephone number </w:t>
      </w:r>
      <w:r w:rsidR="00BB50B9">
        <w:rPr>
          <w:sz w:val="26"/>
          <w:szCs w:val="26"/>
        </w:rPr>
        <w:t xml:space="preserve">on two different days and at two </w:t>
      </w:r>
      <w:r w:rsidR="00BB50B9">
        <w:rPr>
          <w:sz w:val="26"/>
          <w:szCs w:val="26"/>
        </w:rPr>
        <w:lastRenderedPageBreak/>
        <w:t xml:space="preserve">different times at least </w:t>
      </w:r>
      <w:r w:rsidR="00480853">
        <w:rPr>
          <w:sz w:val="26"/>
          <w:szCs w:val="26"/>
        </w:rPr>
        <w:t>seventy-two</w:t>
      </w:r>
      <w:r w:rsidR="00BB50B9">
        <w:rPr>
          <w:sz w:val="26"/>
          <w:szCs w:val="26"/>
        </w:rPr>
        <w:t xml:space="preserve"> hours in advance of termination.  Accordingly, the ALJ concluded that PECO satisfied the statutory notice requirement.</w:t>
      </w:r>
      <w:r w:rsidR="00BB50B9">
        <w:rPr>
          <w:rStyle w:val="FootnoteReference"/>
          <w:sz w:val="26"/>
          <w:szCs w:val="26"/>
        </w:rPr>
        <w:footnoteReference w:id="9"/>
      </w:r>
      <w:r w:rsidR="00BB50B9">
        <w:rPr>
          <w:sz w:val="26"/>
          <w:szCs w:val="26"/>
        </w:rPr>
        <w:t xml:space="preserve">  </w:t>
      </w:r>
      <w:r w:rsidR="00EB0CE6">
        <w:rPr>
          <w:sz w:val="26"/>
          <w:szCs w:val="26"/>
        </w:rPr>
        <w:t xml:space="preserve"> </w:t>
      </w:r>
    </w:p>
    <w:p w:rsidR="008F7A15" w:rsidRDefault="008F7A15" w:rsidP="00A524F0">
      <w:pPr>
        <w:widowControl/>
        <w:spacing w:line="360" w:lineRule="auto"/>
        <w:ind w:firstLine="1440"/>
        <w:rPr>
          <w:sz w:val="26"/>
          <w:szCs w:val="26"/>
        </w:rPr>
      </w:pPr>
    </w:p>
    <w:p w:rsidR="008F7A15" w:rsidRDefault="00EC4512" w:rsidP="00A524F0">
      <w:pPr>
        <w:widowControl/>
        <w:spacing w:line="360" w:lineRule="auto"/>
        <w:ind w:firstLine="1440"/>
        <w:rPr>
          <w:sz w:val="26"/>
          <w:szCs w:val="26"/>
        </w:rPr>
      </w:pPr>
      <w:r>
        <w:rPr>
          <w:sz w:val="26"/>
          <w:szCs w:val="26"/>
        </w:rPr>
        <w:t xml:space="preserve">Alternatively, the Complainant argued that PECO failed to satisfy the </w:t>
      </w:r>
      <w:r w:rsidR="00AE0377">
        <w:rPr>
          <w:sz w:val="26"/>
          <w:szCs w:val="26"/>
        </w:rPr>
        <w:t>seventy</w:t>
      </w:r>
      <w:r>
        <w:rPr>
          <w:sz w:val="26"/>
          <w:szCs w:val="26"/>
        </w:rPr>
        <w:t>-</w:t>
      </w:r>
      <w:r w:rsidR="00AE0377">
        <w:rPr>
          <w:sz w:val="26"/>
          <w:szCs w:val="26"/>
        </w:rPr>
        <w:t xml:space="preserve">two </w:t>
      </w:r>
      <w:r>
        <w:rPr>
          <w:sz w:val="26"/>
          <w:szCs w:val="26"/>
        </w:rPr>
        <w:t>hour notice requirements because he was at home recovering from a medical condition on October 11 and 12, 2011, and would have known if PECO had called.  However, the ALJ deemed Mr. Atuahene’s allegations to be unsupported assertions</w:t>
      </w:r>
      <w:r w:rsidR="00624733">
        <w:rPr>
          <w:sz w:val="26"/>
          <w:szCs w:val="26"/>
        </w:rPr>
        <w:t>, which no</w:t>
      </w:r>
      <w:r w:rsidR="004369EF">
        <w:rPr>
          <w:sz w:val="26"/>
          <w:szCs w:val="26"/>
        </w:rPr>
        <w:t xml:space="preserve"> matter</w:t>
      </w:r>
      <w:r>
        <w:rPr>
          <w:sz w:val="26"/>
          <w:szCs w:val="26"/>
        </w:rPr>
        <w:t xml:space="preserve"> how honest or strong</w:t>
      </w:r>
      <w:r w:rsidR="00624733">
        <w:rPr>
          <w:sz w:val="26"/>
          <w:szCs w:val="26"/>
        </w:rPr>
        <w:t>,</w:t>
      </w:r>
      <w:r>
        <w:rPr>
          <w:sz w:val="26"/>
          <w:szCs w:val="26"/>
        </w:rPr>
        <w:t xml:space="preserve"> </w:t>
      </w:r>
      <w:r w:rsidR="00624733">
        <w:rPr>
          <w:sz w:val="26"/>
          <w:szCs w:val="26"/>
        </w:rPr>
        <w:t>can</w:t>
      </w:r>
      <w:r>
        <w:rPr>
          <w:sz w:val="26"/>
          <w:szCs w:val="26"/>
        </w:rPr>
        <w:t xml:space="preserve">not form the basis of a finding in his favor.  I.D. at 23 (citing to </w:t>
      </w:r>
      <w:r w:rsidR="004369EF">
        <w:rPr>
          <w:i/>
          <w:sz w:val="26"/>
          <w:szCs w:val="26"/>
        </w:rPr>
        <w:t>Pennsylvania Bureau of Corrections v. City of Pittsburgh</w:t>
      </w:r>
      <w:r w:rsidR="00624733">
        <w:rPr>
          <w:sz w:val="26"/>
          <w:szCs w:val="26"/>
        </w:rPr>
        <w:t>, 532 A</w:t>
      </w:r>
      <w:r w:rsidR="004369EF">
        <w:rPr>
          <w:sz w:val="26"/>
          <w:szCs w:val="26"/>
        </w:rPr>
        <w:t xml:space="preserve">.2d 12 </w:t>
      </w:r>
      <w:r w:rsidR="00624733">
        <w:rPr>
          <w:sz w:val="26"/>
          <w:szCs w:val="26"/>
        </w:rPr>
        <w:t xml:space="preserve">(Pa. </w:t>
      </w:r>
      <w:r w:rsidR="004369EF">
        <w:rPr>
          <w:sz w:val="26"/>
          <w:szCs w:val="26"/>
        </w:rPr>
        <w:t>1987</w:t>
      </w:r>
      <w:r w:rsidR="000D0F8E">
        <w:rPr>
          <w:sz w:val="26"/>
          <w:szCs w:val="26"/>
        </w:rPr>
        <w:t xml:space="preserve">)).  According to the ALJ, PECO’s submission of business records indicating compliance with the </w:t>
      </w:r>
      <w:r w:rsidR="003D5C83">
        <w:rPr>
          <w:sz w:val="26"/>
          <w:szCs w:val="26"/>
        </w:rPr>
        <w:t>seventy</w:t>
      </w:r>
      <w:r w:rsidR="000D0F8E">
        <w:rPr>
          <w:sz w:val="26"/>
          <w:szCs w:val="26"/>
        </w:rPr>
        <w:t>-</w:t>
      </w:r>
      <w:r w:rsidR="003D5C83">
        <w:rPr>
          <w:sz w:val="26"/>
          <w:szCs w:val="26"/>
        </w:rPr>
        <w:t xml:space="preserve">two </w:t>
      </w:r>
      <w:r w:rsidR="000D0F8E">
        <w:rPr>
          <w:sz w:val="26"/>
          <w:szCs w:val="26"/>
        </w:rPr>
        <w:t xml:space="preserve">hour notice requirement outweighed the Complainant’s personal opinions and perceptions.   I.D. at 23.  </w:t>
      </w:r>
    </w:p>
    <w:p w:rsidR="000D0F8E" w:rsidRDefault="000D0F8E" w:rsidP="00A524F0">
      <w:pPr>
        <w:widowControl/>
        <w:spacing w:line="360" w:lineRule="auto"/>
        <w:ind w:firstLine="1440"/>
        <w:rPr>
          <w:sz w:val="26"/>
          <w:szCs w:val="26"/>
        </w:rPr>
      </w:pPr>
    </w:p>
    <w:p w:rsidR="000D0F8E" w:rsidRPr="00711BC2" w:rsidRDefault="003F5C1C" w:rsidP="00A524F0">
      <w:pPr>
        <w:widowControl/>
        <w:spacing w:line="360" w:lineRule="auto"/>
        <w:ind w:firstLine="1440"/>
        <w:rPr>
          <w:sz w:val="26"/>
          <w:szCs w:val="26"/>
        </w:rPr>
      </w:pPr>
      <w:r>
        <w:rPr>
          <w:sz w:val="26"/>
          <w:szCs w:val="26"/>
        </w:rPr>
        <w:t xml:space="preserve">Finally, the Complainant testified that he was not at home when PECO’s technician terminated his service on October 18, 2011.  Thus, the ALJ determined that Mr. Atuahene could not testify as to whether the technician attempted to make personal contact at the residence prior to the termination.  </w:t>
      </w:r>
      <w:r w:rsidR="00711BC2">
        <w:rPr>
          <w:sz w:val="26"/>
          <w:szCs w:val="26"/>
        </w:rPr>
        <w:t xml:space="preserve">For the foregoing reasons, the ALJ concluded that PECO complied with the statutory requirements for termination of service and the Complainant failed to carry his burden of proving the Respondent terminated the service without proper notice.  </w:t>
      </w:r>
      <w:r w:rsidR="00711BC2">
        <w:rPr>
          <w:i/>
          <w:sz w:val="26"/>
          <w:szCs w:val="26"/>
        </w:rPr>
        <w:t xml:space="preserve">Id.  </w:t>
      </w:r>
    </w:p>
    <w:p w:rsidR="003A6CAC" w:rsidRDefault="003A6CAC" w:rsidP="00A524F0">
      <w:pPr>
        <w:widowControl/>
        <w:spacing w:line="360" w:lineRule="auto"/>
        <w:ind w:firstLine="1440"/>
        <w:rPr>
          <w:sz w:val="26"/>
          <w:szCs w:val="26"/>
        </w:rPr>
      </w:pPr>
    </w:p>
    <w:p w:rsidR="00381A18" w:rsidRDefault="00381A18" w:rsidP="00A524F0">
      <w:pPr>
        <w:keepNext/>
        <w:widowControl/>
        <w:spacing w:line="360" w:lineRule="auto"/>
        <w:ind w:firstLine="720"/>
        <w:rPr>
          <w:b/>
          <w:sz w:val="26"/>
          <w:szCs w:val="26"/>
        </w:rPr>
      </w:pPr>
      <w:r>
        <w:rPr>
          <w:b/>
          <w:sz w:val="26"/>
          <w:szCs w:val="26"/>
        </w:rPr>
        <w:t>Service Interruption</w:t>
      </w:r>
    </w:p>
    <w:p w:rsidR="00381A18" w:rsidRDefault="00381A18" w:rsidP="00A524F0">
      <w:pPr>
        <w:keepNext/>
        <w:widowControl/>
        <w:spacing w:line="360" w:lineRule="auto"/>
        <w:ind w:firstLine="720"/>
        <w:rPr>
          <w:b/>
          <w:sz w:val="26"/>
          <w:szCs w:val="26"/>
        </w:rPr>
      </w:pPr>
      <w:r>
        <w:rPr>
          <w:b/>
          <w:sz w:val="26"/>
          <w:szCs w:val="26"/>
        </w:rPr>
        <w:tab/>
      </w:r>
    </w:p>
    <w:p w:rsidR="00381A18" w:rsidRDefault="00381A18" w:rsidP="00A524F0">
      <w:pPr>
        <w:widowControl/>
        <w:spacing w:line="360" w:lineRule="auto"/>
        <w:ind w:firstLine="720"/>
        <w:rPr>
          <w:sz w:val="26"/>
          <w:szCs w:val="26"/>
        </w:rPr>
      </w:pPr>
      <w:r>
        <w:rPr>
          <w:b/>
          <w:sz w:val="26"/>
          <w:szCs w:val="26"/>
        </w:rPr>
        <w:tab/>
      </w:r>
      <w:r>
        <w:rPr>
          <w:sz w:val="26"/>
          <w:szCs w:val="26"/>
        </w:rPr>
        <w:t xml:space="preserve">The Complainant testified that during the prior two years he experienced a high number of service interruptions.  He alleged there were five service interruptions in 2010, four in 2011, and three in 2012, which caused food to spoil in his refrigerator and </w:t>
      </w:r>
      <w:r>
        <w:rPr>
          <w:sz w:val="26"/>
          <w:szCs w:val="26"/>
        </w:rPr>
        <w:lastRenderedPageBreak/>
        <w:t xml:space="preserve">electric equipment to malfunction and break.  </w:t>
      </w:r>
      <w:r w:rsidR="0067382E">
        <w:rPr>
          <w:sz w:val="26"/>
          <w:szCs w:val="26"/>
        </w:rPr>
        <w:t>In analyzing the allegations, t</w:t>
      </w:r>
      <w:r w:rsidR="00992E05">
        <w:rPr>
          <w:sz w:val="26"/>
          <w:szCs w:val="26"/>
        </w:rPr>
        <w:t>he ALJ determined that Mr. Atuahene’s claim of service interruption falls within Section 1501 of the Code, 66 Pa. C.S. § 1501, which states that public utilities are required to provide adequate, efficient, safe and reasonabl</w:t>
      </w:r>
      <w:r w:rsidR="00987EBF">
        <w:rPr>
          <w:sz w:val="26"/>
          <w:szCs w:val="26"/>
        </w:rPr>
        <w:t>e service and facilit</w:t>
      </w:r>
      <w:r w:rsidR="0067382E">
        <w:rPr>
          <w:sz w:val="26"/>
          <w:szCs w:val="26"/>
        </w:rPr>
        <w:t>ies.</w:t>
      </w:r>
      <w:r w:rsidR="00987EBF">
        <w:rPr>
          <w:rStyle w:val="FootnoteReference"/>
          <w:sz w:val="26"/>
          <w:szCs w:val="26"/>
        </w:rPr>
        <w:footnoteReference w:id="10"/>
      </w:r>
      <w:r w:rsidR="0067382E">
        <w:rPr>
          <w:sz w:val="26"/>
          <w:szCs w:val="26"/>
        </w:rPr>
        <w:t xml:space="preserve">  I.D. at 27.</w:t>
      </w:r>
    </w:p>
    <w:p w:rsidR="008D2412" w:rsidRDefault="008D2412" w:rsidP="00A524F0">
      <w:pPr>
        <w:widowControl/>
        <w:spacing w:line="360" w:lineRule="auto"/>
        <w:ind w:firstLine="720"/>
        <w:rPr>
          <w:sz w:val="26"/>
          <w:szCs w:val="26"/>
        </w:rPr>
      </w:pPr>
    </w:p>
    <w:p w:rsidR="00E45B99" w:rsidRDefault="0067382E" w:rsidP="00A524F0">
      <w:pPr>
        <w:widowControl/>
        <w:spacing w:line="360" w:lineRule="auto"/>
        <w:ind w:firstLine="720"/>
        <w:rPr>
          <w:sz w:val="26"/>
          <w:szCs w:val="26"/>
        </w:rPr>
      </w:pPr>
      <w:r>
        <w:rPr>
          <w:sz w:val="26"/>
          <w:szCs w:val="26"/>
        </w:rPr>
        <w:tab/>
        <w:t>Although the Complainant experienced a high number of service interruptions from 2010 to 2012, the ALJ found that PECO took steps to remedy the problem.  According to the ALJ, the record shows that the Respondent carefully tracked each service interruption, identified the circuit serving M</w:t>
      </w:r>
      <w:r w:rsidR="00ED1D8D">
        <w:rPr>
          <w:sz w:val="26"/>
          <w:szCs w:val="26"/>
        </w:rPr>
        <w:t>r. Atuahene as problematic and in need of</w:t>
      </w:r>
      <w:r>
        <w:rPr>
          <w:sz w:val="26"/>
          <w:szCs w:val="26"/>
        </w:rPr>
        <w:t xml:space="preserve"> priority remedial work, and progressively intensified its efforts to ensure service reliability.  </w:t>
      </w:r>
      <w:r w:rsidR="00ED1D8D">
        <w:rPr>
          <w:sz w:val="26"/>
          <w:szCs w:val="26"/>
        </w:rPr>
        <w:t>According to the record, PECO conducted aggressive tree-trimming outside of its five-year cycle and installed equipment and reconfigured problem portions of the system.  The ALJ noted that between 2010 and September 2012, PECO issued approximately ten work orders to address maintenance is</w:t>
      </w:r>
      <w:r w:rsidR="007C1BE7">
        <w:rPr>
          <w:sz w:val="26"/>
          <w:szCs w:val="26"/>
        </w:rPr>
        <w:t>sues in the circuit serving Mr. </w:t>
      </w:r>
      <w:r w:rsidR="00ED1D8D">
        <w:rPr>
          <w:sz w:val="26"/>
          <w:szCs w:val="26"/>
        </w:rPr>
        <w:t xml:space="preserve">Atuahene’s residence.  As a result of these efforts, the number of service interruptions decreased from 2010 through 2012.  </w:t>
      </w:r>
      <w:r w:rsidR="00E45B99">
        <w:rPr>
          <w:sz w:val="26"/>
          <w:szCs w:val="26"/>
        </w:rPr>
        <w:t>I.D. at 27.</w:t>
      </w:r>
    </w:p>
    <w:p w:rsidR="00E45B99" w:rsidRDefault="00E45B99" w:rsidP="00A524F0">
      <w:pPr>
        <w:widowControl/>
        <w:spacing w:line="360" w:lineRule="auto"/>
        <w:ind w:firstLine="720"/>
        <w:rPr>
          <w:sz w:val="26"/>
          <w:szCs w:val="26"/>
        </w:rPr>
      </w:pPr>
    </w:p>
    <w:p w:rsidR="0067382E" w:rsidRPr="00381A18" w:rsidRDefault="00ED1D8D" w:rsidP="00A524F0">
      <w:pPr>
        <w:widowControl/>
        <w:spacing w:line="360" w:lineRule="auto"/>
        <w:ind w:firstLine="1440"/>
        <w:rPr>
          <w:sz w:val="26"/>
          <w:szCs w:val="26"/>
        </w:rPr>
      </w:pPr>
      <w:r>
        <w:rPr>
          <w:sz w:val="26"/>
          <w:szCs w:val="26"/>
        </w:rPr>
        <w:t xml:space="preserve">Further, </w:t>
      </w:r>
      <w:r w:rsidR="00E45B99">
        <w:rPr>
          <w:sz w:val="26"/>
          <w:szCs w:val="26"/>
        </w:rPr>
        <w:t xml:space="preserve">ALJ Vero discussed how </w:t>
      </w:r>
      <w:r>
        <w:rPr>
          <w:sz w:val="26"/>
          <w:szCs w:val="26"/>
        </w:rPr>
        <w:t>the Respondent’s decision to divide the spur that serves the area where Mr. Atuahene’s residence is located into two sections, each fed from different circuits, is expected to further decrease the number of service interruptions.  Moreover, PECO has shown that factors outside of its control can impact its ability to provide uninterrupted service to its customers</w:t>
      </w:r>
      <w:r w:rsidR="00285460">
        <w:rPr>
          <w:sz w:val="26"/>
          <w:szCs w:val="26"/>
        </w:rPr>
        <w:t>.</w:t>
      </w:r>
      <w:r w:rsidR="00285460">
        <w:rPr>
          <w:rStyle w:val="FootnoteReference"/>
          <w:sz w:val="26"/>
          <w:szCs w:val="26"/>
        </w:rPr>
        <w:footnoteReference w:id="11"/>
      </w:r>
      <w:r w:rsidR="00285460">
        <w:rPr>
          <w:sz w:val="26"/>
          <w:szCs w:val="26"/>
        </w:rPr>
        <w:t xml:space="preserve"> </w:t>
      </w:r>
      <w:r w:rsidR="00E45B99">
        <w:rPr>
          <w:sz w:val="26"/>
          <w:szCs w:val="26"/>
        </w:rPr>
        <w:t xml:space="preserve"> Accordingly, the ALJ </w:t>
      </w:r>
      <w:r w:rsidR="00285460">
        <w:rPr>
          <w:sz w:val="26"/>
          <w:szCs w:val="26"/>
        </w:rPr>
        <w:lastRenderedPageBreak/>
        <w:t xml:space="preserve">determined that PECO provided reasonable and adequate service to the Complainant by working to address the problems and </w:t>
      </w:r>
      <w:r w:rsidR="00E45B99">
        <w:rPr>
          <w:sz w:val="26"/>
          <w:szCs w:val="26"/>
        </w:rPr>
        <w:t>improve the service.  Further, she concluded that Mr. Atuahene failed to carry his burden of proving that the Respondent provided inadequate or unreasonable service to him.  I.D. at 27-28.</w:t>
      </w:r>
    </w:p>
    <w:p w:rsidR="00381A18" w:rsidRPr="00381A18" w:rsidRDefault="00381A18" w:rsidP="00A524F0">
      <w:pPr>
        <w:widowControl/>
        <w:spacing w:line="360" w:lineRule="auto"/>
        <w:ind w:firstLine="1440"/>
        <w:rPr>
          <w:b/>
          <w:sz w:val="26"/>
          <w:szCs w:val="26"/>
        </w:rPr>
      </w:pPr>
    </w:p>
    <w:p w:rsidR="00006F35" w:rsidRPr="00006F35" w:rsidRDefault="00006F35" w:rsidP="00A524F0">
      <w:pPr>
        <w:keepNext/>
        <w:widowControl/>
        <w:spacing w:line="360" w:lineRule="auto"/>
        <w:rPr>
          <w:b/>
          <w:sz w:val="26"/>
          <w:szCs w:val="26"/>
        </w:rPr>
      </w:pPr>
      <w:r>
        <w:rPr>
          <w:b/>
          <w:sz w:val="26"/>
          <w:szCs w:val="26"/>
        </w:rPr>
        <w:t>Positions of the Parties</w:t>
      </w:r>
    </w:p>
    <w:p w:rsidR="00C30F64" w:rsidRDefault="00C30F64" w:rsidP="00A524F0">
      <w:pPr>
        <w:keepNext/>
        <w:widowControl/>
        <w:spacing w:line="360" w:lineRule="auto"/>
        <w:rPr>
          <w:sz w:val="26"/>
          <w:szCs w:val="26"/>
        </w:rPr>
      </w:pPr>
    </w:p>
    <w:p w:rsidR="0077557F" w:rsidRDefault="00741469" w:rsidP="00A524F0">
      <w:pPr>
        <w:widowControl/>
        <w:spacing w:line="360" w:lineRule="auto"/>
        <w:ind w:firstLine="1440"/>
        <w:rPr>
          <w:sz w:val="26"/>
          <w:szCs w:val="26"/>
        </w:rPr>
      </w:pPr>
      <w:r>
        <w:rPr>
          <w:sz w:val="26"/>
          <w:szCs w:val="26"/>
        </w:rPr>
        <w:t xml:space="preserve">In his Petition, </w:t>
      </w:r>
      <w:r w:rsidR="00F54613">
        <w:rPr>
          <w:sz w:val="26"/>
          <w:szCs w:val="26"/>
        </w:rPr>
        <w:t xml:space="preserve">the Complainant argues that ALJ Vero made </w:t>
      </w:r>
      <w:r w:rsidR="00A81CE8">
        <w:rPr>
          <w:sz w:val="26"/>
          <w:szCs w:val="26"/>
        </w:rPr>
        <w:t>numerous</w:t>
      </w:r>
      <w:r w:rsidR="00F54613">
        <w:rPr>
          <w:sz w:val="26"/>
          <w:szCs w:val="26"/>
        </w:rPr>
        <w:t xml:space="preserve"> errors in her Initial Decision.</w:t>
      </w:r>
      <w:r w:rsidR="00D658D9">
        <w:rPr>
          <w:rStyle w:val="FootnoteReference"/>
          <w:sz w:val="26"/>
          <w:szCs w:val="26"/>
        </w:rPr>
        <w:footnoteReference w:id="12"/>
      </w:r>
      <w:r w:rsidR="0077557F">
        <w:rPr>
          <w:sz w:val="26"/>
          <w:szCs w:val="26"/>
        </w:rPr>
        <w:t xml:space="preserve">  He claims the ALJ’s finding</w:t>
      </w:r>
      <w:r w:rsidR="00F85C95">
        <w:rPr>
          <w:sz w:val="26"/>
          <w:szCs w:val="26"/>
        </w:rPr>
        <w:t>,</w:t>
      </w:r>
      <w:r w:rsidR="0077557F">
        <w:rPr>
          <w:sz w:val="26"/>
          <w:szCs w:val="26"/>
        </w:rPr>
        <w:t xml:space="preserve"> that the Complainant’s electricity usage and corresponding bills were higher before 2010 than after 2010</w:t>
      </w:r>
      <w:r w:rsidR="00F85C95">
        <w:rPr>
          <w:sz w:val="26"/>
          <w:szCs w:val="26"/>
        </w:rPr>
        <w:t>,</w:t>
      </w:r>
      <w:r w:rsidR="0077557F">
        <w:rPr>
          <w:sz w:val="26"/>
          <w:szCs w:val="26"/>
        </w:rPr>
        <w:t xml:space="preserve"> show</w:t>
      </w:r>
      <w:r w:rsidR="008D2412">
        <w:rPr>
          <w:sz w:val="26"/>
          <w:szCs w:val="26"/>
        </w:rPr>
        <w:t>ed</w:t>
      </w:r>
      <w:r w:rsidR="0077557F">
        <w:rPr>
          <w:sz w:val="26"/>
          <w:szCs w:val="26"/>
        </w:rPr>
        <w:t xml:space="preserve"> a lack of understanding of the Complaint.  According to Mr. Atuahene, his position is that he has been overcharged since the installation of his service.  Further, he avers that PECO’s failure to explain </w:t>
      </w:r>
      <w:r w:rsidR="00BC7D4E">
        <w:rPr>
          <w:sz w:val="26"/>
          <w:szCs w:val="26"/>
        </w:rPr>
        <w:t>the difference in charges from September 2008 to August 2009 ($1</w:t>
      </w:r>
      <w:r w:rsidR="00365264">
        <w:rPr>
          <w:sz w:val="26"/>
          <w:szCs w:val="26"/>
        </w:rPr>
        <w:t>,</w:t>
      </w:r>
      <w:r w:rsidR="00BC7D4E">
        <w:rPr>
          <w:sz w:val="26"/>
          <w:szCs w:val="26"/>
        </w:rPr>
        <w:t xml:space="preserve">119.95) compared with September 2010 to August 2011 ($612.72) proves his case that the electricity bills were too high due to a faulty meter.  Petition 3.  </w:t>
      </w:r>
    </w:p>
    <w:p w:rsidR="00BC7D4E" w:rsidRDefault="00BC7D4E" w:rsidP="00A524F0">
      <w:pPr>
        <w:widowControl/>
        <w:spacing w:line="360" w:lineRule="auto"/>
        <w:ind w:firstLine="1440"/>
        <w:rPr>
          <w:sz w:val="26"/>
          <w:szCs w:val="26"/>
        </w:rPr>
      </w:pPr>
    </w:p>
    <w:p w:rsidR="00BC7D4E" w:rsidRDefault="00C12EE7" w:rsidP="00A524F0">
      <w:pPr>
        <w:widowControl/>
        <w:spacing w:line="360" w:lineRule="auto"/>
        <w:ind w:firstLine="1440"/>
        <w:rPr>
          <w:sz w:val="26"/>
          <w:szCs w:val="26"/>
        </w:rPr>
      </w:pPr>
      <w:r>
        <w:rPr>
          <w:sz w:val="26"/>
          <w:szCs w:val="26"/>
        </w:rPr>
        <w:t xml:space="preserve">Next, </w:t>
      </w:r>
      <w:r w:rsidR="00631FD4">
        <w:rPr>
          <w:sz w:val="26"/>
          <w:szCs w:val="26"/>
        </w:rPr>
        <w:t>Mr. Atuahene</w:t>
      </w:r>
      <w:r>
        <w:rPr>
          <w:sz w:val="26"/>
          <w:szCs w:val="26"/>
        </w:rPr>
        <w:t xml:space="preserve"> argues the ALJ erred </w:t>
      </w:r>
      <w:r w:rsidR="00631FD4">
        <w:rPr>
          <w:sz w:val="26"/>
          <w:szCs w:val="26"/>
        </w:rPr>
        <w:t xml:space="preserve">by stating his credibility was undermined when he denied receiving a </w:t>
      </w:r>
      <w:r w:rsidR="00365264">
        <w:rPr>
          <w:sz w:val="26"/>
          <w:szCs w:val="26"/>
        </w:rPr>
        <w:t>ten</w:t>
      </w:r>
      <w:r w:rsidR="00631FD4">
        <w:rPr>
          <w:sz w:val="26"/>
          <w:szCs w:val="26"/>
        </w:rPr>
        <w:t>-day termination notice which was attached to his Complaint.  First, the</w:t>
      </w:r>
      <w:r w:rsidR="007C1BE7">
        <w:rPr>
          <w:sz w:val="26"/>
          <w:szCs w:val="26"/>
        </w:rPr>
        <w:t xml:space="preserve"> Complainant claims it was erroneous</w:t>
      </w:r>
      <w:r w:rsidR="00631FD4">
        <w:rPr>
          <w:sz w:val="26"/>
          <w:szCs w:val="26"/>
        </w:rPr>
        <w:t xml:space="preserve"> for the ALJ to reference the document without citing to it.  Second, he claims the </w:t>
      </w:r>
      <w:r w:rsidR="00365264">
        <w:rPr>
          <w:sz w:val="26"/>
          <w:szCs w:val="26"/>
        </w:rPr>
        <w:t>ten</w:t>
      </w:r>
      <w:r w:rsidR="00631FD4">
        <w:rPr>
          <w:sz w:val="26"/>
          <w:szCs w:val="26"/>
        </w:rPr>
        <w:t xml:space="preserve">-day termination notice attached to the Complaint, which was dated April 9, 2012, had no relevancy to the termination notice dated October 4, 2011, which he argues was never received.  Petition at 4. </w:t>
      </w:r>
    </w:p>
    <w:p w:rsidR="001C54F5" w:rsidRDefault="001C54F5" w:rsidP="00A524F0">
      <w:pPr>
        <w:widowControl/>
        <w:spacing w:line="360" w:lineRule="auto"/>
        <w:ind w:firstLine="1440"/>
        <w:rPr>
          <w:sz w:val="26"/>
          <w:szCs w:val="26"/>
        </w:rPr>
      </w:pPr>
      <w:r>
        <w:rPr>
          <w:sz w:val="26"/>
          <w:szCs w:val="26"/>
        </w:rPr>
        <w:lastRenderedPageBreak/>
        <w:t xml:space="preserve">Regarding the high billing dispute analysis, the Complainant argues that PECO’s witness </w:t>
      </w:r>
      <w:r w:rsidR="00CD368D">
        <w:rPr>
          <w:sz w:val="26"/>
          <w:szCs w:val="26"/>
        </w:rPr>
        <w:t xml:space="preserve">provided false testimony by </w:t>
      </w:r>
      <w:r>
        <w:rPr>
          <w:sz w:val="26"/>
          <w:szCs w:val="26"/>
        </w:rPr>
        <w:t xml:space="preserve">stating the account history from 2009 to 2012 did not contain </w:t>
      </w:r>
      <w:r w:rsidR="00CD368D">
        <w:rPr>
          <w:sz w:val="26"/>
          <w:szCs w:val="26"/>
        </w:rPr>
        <w:t>any bills out of the norm.  He avers that the account statement for September 2008 to August 2009, which showed a total of $1,119.95, clearly demonstrated overbilling for that period.  In addition, Mr. A</w:t>
      </w:r>
      <w:r w:rsidR="007C1BE7">
        <w:rPr>
          <w:sz w:val="26"/>
          <w:szCs w:val="26"/>
        </w:rPr>
        <w:t>tuahene argues that it was erroneous</w:t>
      </w:r>
      <w:r w:rsidR="00CD368D">
        <w:rPr>
          <w:sz w:val="26"/>
          <w:szCs w:val="26"/>
        </w:rPr>
        <w:t xml:space="preserve"> for the ALJ to conclude he failed to carry his burden of proving that his PECO bills post-2010 were abnormally higher than his bills pre-2010, because his Complaint did not demarcate the period of his </w:t>
      </w:r>
      <w:r w:rsidR="00893EBE">
        <w:rPr>
          <w:sz w:val="26"/>
          <w:szCs w:val="26"/>
        </w:rPr>
        <w:t xml:space="preserve">high </w:t>
      </w:r>
      <w:r w:rsidR="00CD368D">
        <w:rPr>
          <w:sz w:val="26"/>
          <w:szCs w:val="26"/>
        </w:rPr>
        <w:t xml:space="preserve">bill allegation.  </w:t>
      </w:r>
      <w:r w:rsidR="00893EBE">
        <w:rPr>
          <w:sz w:val="26"/>
          <w:szCs w:val="26"/>
        </w:rPr>
        <w:t>Petition at 6-7.</w:t>
      </w:r>
    </w:p>
    <w:p w:rsidR="00F85C95" w:rsidRDefault="00F85C95" w:rsidP="00A524F0">
      <w:pPr>
        <w:widowControl/>
        <w:spacing w:line="360" w:lineRule="auto"/>
        <w:ind w:firstLine="1440"/>
        <w:rPr>
          <w:sz w:val="26"/>
          <w:szCs w:val="26"/>
        </w:rPr>
      </w:pPr>
    </w:p>
    <w:p w:rsidR="00893EBE" w:rsidRDefault="00893EBE" w:rsidP="00A524F0">
      <w:pPr>
        <w:widowControl/>
        <w:spacing w:line="360" w:lineRule="auto"/>
        <w:ind w:firstLine="1440"/>
        <w:rPr>
          <w:sz w:val="26"/>
          <w:szCs w:val="26"/>
        </w:rPr>
      </w:pPr>
      <w:r>
        <w:rPr>
          <w:sz w:val="26"/>
          <w:szCs w:val="26"/>
        </w:rPr>
        <w:t>As to the Termination of Service disposit</w:t>
      </w:r>
      <w:r w:rsidR="00A81CE8">
        <w:rPr>
          <w:sz w:val="26"/>
          <w:szCs w:val="26"/>
        </w:rPr>
        <w:t xml:space="preserve">ion, the Complainant claims that no evidence was introduced to establish that the October 4, 2011, </w:t>
      </w:r>
      <w:r w:rsidR="003D5C83">
        <w:rPr>
          <w:sz w:val="26"/>
          <w:szCs w:val="26"/>
        </w:rPr>
        <w:t>ten</w:t>
      </w:r>
      <w:r w:rsidR="00A81CE8">
        <w:rPr>
          <w:sz w:val="26"/>
          <w:szCs w:val="26"/>
        </w:rPr>
        <w:t xml:space="preserve">-day termination notice was mailed by </w:t>
      </w:r>
      <w:r>
        <w:rPr>
          <w:sz w:val="26"/>
          <w:szCs w:val="26"/>
        </w:rPr>
        <w:t xml:space="preserve">PECO </w:t>
      </w:r>
      <w:r w:rsidR="00A81CE8">
        <w:rPr>
          <w:sz w:val="26"/>
          <w:szCs w:val="26"/>
        </w:rPr>
        <w:t xml:space="preserve">and received by Mr. Atuahene.  In addition, the Complainant argues PECO failed to satisfy its burden of complying with Section 1406(b)(1)(i) of the Code, 66 Pa. C.S. § 1406(b)(1)(i).  </w:t>
      </w:r>
      <w:r>
        <w:rPr>
          <w:sz w:val="26"/>
          <w:szCs w:val="26"/>
        </w:rPr>
        <w:t xml:space="preserve"> </w:t>
      </w:r>
    </w:p>
    <w:p w:rsidR="00A81CE8" w:rsidRDefault="00A81CE8" w:rsidP="00A524F0">
      <w:pPr>
        <w:widowControl/>
        <w:spacing w:line="360" w:lineRule="auto"/>
        <w:ind w:firstLine="1440"/>
        <w:rPr>
          <w:sz w:val="26"/>
          <w:szCs w:val="26"/>
        </w:rPr>
      </w:pPr>
    </w:p>
    <w:p w:rsidR="00A81CE8" w:rsidRPr="00BC7D4E" w:rsidRDefault="00A81CE8" w:rsidP="00A524F0">
      <w:pPr>
        <w:widowControl/>
        <w:spacing w:line="360" w:lineRule="auto"/>
        <w:ind w:firstLine="1440"/>
        <w:rPr>
          <w:sz w:val="26"/>
          <w:szCs w:val="26"/>
        </w:rPr>
      </w:pPr>
      <w:r>
        <w:rPr>
          <w:sz w:val="26"/>
          <w:szCs w:val="26"/>
        </w:rPr>
        <w:t xml:space="preserve">Lastly, the Complainant argues that PECO’s own evidence and testimony supports a finding that there were unnecessary interruptions of service in violation </w:t>
      </w:r>
      <w:r w:rsidR="000D7305">
        <w:rPr>
          <w:sz w:val="26"/>
          <w:szCs w:val="26"/>
        </w:rPr>
        <w:t xml:space="preserve">of </w:t>
      </w:r>
      <w:r w:rsidR="009D27A3">
        <w:rPr>
          <w:sz w:val="26"/>
          <w:szCs w:val="26"/>
        </w:rPr>
        <w:t>Section</w:t>
      </w:r>
      <w:r>
        <w:rPr>
          <w:sz w:val="26"/>
          <w:szCs w:val="26"/>
        </w:rPr>
        <w:t xml:space="preserve"> 1501 of the Code, 66 Pa. C.S. § 1501.  </w:t>
      </w:r>
    </w:p>
    <w:p w:rsidR="00F24840" w:rsidRDefault="00344B70" w:rsidP="00A524F0">
      <w:pPr>
        <w:widowControl/>
        <w:spacing w:line="360" w:lineRule="auto"/>
        <w:rPr>
          <w:sz w:val="26"/>
          <w:szCs w:val="26"/>
        </w:rPr>
      </w:pPr>
      <w:r>
        <w:rPr>
          <w:sz w:val="26"/>
          <w:szCs w:val="26"/>
        </w:rPr>
        <w:tab/>
      </w:r>
    </w:p>
    <w:p w:rsidR="00D85630" w:rsidRDefault="002E1F0F" w:rsidP="00A524F0">
      <w:pPr>
        <w:widowControl/>
        <w:spacing w:line="360" w:lineRule="auto"/>
        <w:ind w:firstLine="1440"/>
        <w:rPr>
          <w:sz w:val="26"/>
          <w:szCs w:val="26"/>
        </w:rPr>
      </w:pPr>
      <w:r>
        <w:rPr>
          <w:sz w:val="26"/>
          <w:szCs w:val="26"/>
        </w:rPr>
        <w:t xml:space="preserve">The Respondent generally argues that the Commission should sustain the ALJ’s Initial Decision because the majority of the arguments in the Petition do not raise any errors of law or an abuse of discretion.  Rather, PECO claims that Mr. Atuahene simply disagrees with the ALJ’s decision and believes he submitted adequate proof to support his position.  Answer to Petition at 5.  </w:t>
      </w:r>
    </w:p>
    <w:p w:rsidR="002E1F0F" w:rsidRDefault="002E1F0F" w:rsidP="00A524F0">
      <w:pPr>
        <w:widowControl/>
        <w:spacing w:line="360" w:lineRule="auto"/>
        <w:ind w:firstLine="1440"/>
        <w:rPr>
          <w:sz w:val="26"/>
          <w:szCs w:val="26"/>
        </w:rPr>
      </w:pPr>
    </w:p>
    <w:p w:rsidR="002E1F0F" w:rsidRPr="00401EA3" w:rsidRDefault="002E1F0F" w:rsidP="00A524F0">
      <w:pPr>
        <w:widowControl/>
        <w:spacing w:line="360" w:lineRule="auto"/>
        <w:ind w:firstLine="1440"/>
        <w:rPr>
          <w:i/>
          <w:sz w:val="26"/>
          <w:szCs w:val="26"/>
        </w:rPr>
      </w:pPr>
      <w:r>
        <w:rPr>
          <w:sz w:val="26"/>
          <w:szCs w:val="26"/>
        </w:rPr>
        <w:t xml:space="preserve">Regarding the claims of error pertaining to the high billing dispute, the Respondent avers the ALJ analyzed the Complainant’s electricity usage from September 2008 to August 2012.  </w:t>
      </w:r>
      <w:r w:rsidR="006E5A42">
        <w:rPr>
          <w:sz w:val="26"/>
          <w:szCs w:val="26"/>
        </w:rPr>
        <w:t xml:space="preserve">According to PECO, the ALJ properly noted PECO’s high bill investigation demonstrating no errors with the meter and the Complainant’s potential to </w:t>
      </w:r>
      <w:r w:rsidR="006E5A42">
        <w:rPr>
          <w:sz w:val="26"/>
          <w:szCs w:val="26"/>
        </w:rPr>
        <w:lastRenderedPageBreak/>
        <w:t xml:space="preserve">use an average of 683 </w:t>
      </w:r>
      <w:r w:rsidR="009D27A3">
        <w:rPr>
          <w:sz w:val="26"/>
          <w:szCs w:val="26"/>
        </w:rPr>
        <w:t>kilowatt</w:t>
      </w:r>
      <w:r w:rsidR="006E5A42">
        <w:rPr>
          <w:sz w:val="26"/>
          <w:szCs w:val="26"/>
        </w:rPr>
        <w:t xml:space="preserve"> hours per month based on the number and type of appliances in his home.  </w:t>
      </w:r>
      <w:r w:rsidR="009D27A3">
        <w:rPr>
          <w:sz w:val="26"/>
          <w:szCs w:val="26"/>
        </w:rPr>
        <w:t xml:space="preserve">The ALJ’s analysis of the bills revealed that the Complainant’s consumption in the majority of the months from September 2008 to August 2012 had not come close to the 683 kilowatt hours.  </w:t>
      </w:r>
      <w:r w:rsidR="00F53FFB">
        <w:rPr>
          <w:sz w:val="26"/>
          <w:szCs w:val="26"/>
        </w:rPr>
        <w:t xml:space="preserve">Rather, the kilowatt hour usage and billing amounts declined over the years, showing there could not be a high bill or meter problem. Answer to Petition at 3-4.  </w:t>
      </w:r>
    </w:p>
    <w:p w:rsidR="008D2412" w:rsidRDefault="008D2412" w:rsidP="00A524F0">
      <w:pPr>
        <w:widowControl/>
        <w:spacing w:line="360" w:lineRule="auto"/>
        <w:rPr>
          <w:sz w:val="26"/>
          <w:szCs w:val="26"/>
        </w:rPr>
      </w:pPr>
    </w:p>
    <w:p w:rsidR="00006F35" w:rsidRDefault="003A0BDB" w:rsidP="00A524F0">
      <w:pPr>
        <w:keepNext/>
        <w:keepLines/>
        <w:widowControl/>
        <w:spacing w:line="360" w:lineRule="auto"/>
        <w:rPr>
          <w:b/>
          <w:sz w:val="26"/>
          <w:szCs w:val="26"/>
        </w:rPr>
      </w:pPr>
      <w:r>
        <w:rPr>
          <w:b/>
          <w:sz w:val="26"/>
          <w:szCs w:val="26"/>
        </w:rPr>
        <w:t>D</w:t>
      </w:r>
      <w:r w:rsidR="00006F35" w:rsidRPr="00006F35">
        <w:rPr>
          <w:b/>
          <w:sz w:val="26"/>
          <w:szCs w:val="26"/>
        </w:rPr>
        <w:t>isposition</w:t>
      </w:r>
      <w:r w:rsidR="00181F6E">
        <w:rPr>
          <w:b/>
          <w:sz w:val="26"/>
          <w:szCs w:val="26"/>
        </w:rPr>
        <w:tab/>
      </w:r>
      <w:r w:rsidR="00181F6E">
        <w:rPr>
          <w:b/>
          <w:sz w:val="26"/>
          <w:szCs w:val="26"/>
        </w:rPr>
        <w:tab/>
      </w:r>
    </w:p>
    <w:p w:rsidR="00DC4595" w:rsidRDefault="00DC4595" w:rsidP="00A524F0">
      <w:pPr>
        <w:keepNext/>
        <w:keepLines/>
        <w:widowControl/>
        <w:spacing w:line="360" w:lineRule="auto"/>
        <w:rPr>
          <w:sz w:val="26"/>
          <w:szCs w:val="26"/>
        </w:rPr>
      </w:pPr>
    </w:p>
    <w:p w:rsidR="00D9670A" w:rsidRDefault="00D9670A" w:rsidP="00D30F17">
      <w:pPr>
        <w:widowControl/>
        <w:spacing w:line="360" w:lineRule="auto"/>
        <w:rPr>
          <w:sz w:val="26"/>
          <w:szCs w:val="26"/>
        </w:rPr>
      </w:pPr>
      <w:r>
        <w:rPr>
          <w:sz w:val="26"/>
          <w:szCs w:val="26"/>
        </w:rPr>
        <w:tab/>
      </w:r>
      <w:r>
        <w:rPr>
          <w:sz w:val="26"/>
          <w:szCs w:val="26"/>
        </w:rPr>
        <w:tab/>
      </w:r>
      <w:r w:rsidR="00BD41ED">
        <w:rPr>
          <w:sz w:val="26"/>
          <w:szCs w:val="26"/>
        </w:rPr>
        <w:t xml:space="preserve">We will deny the Petition on the grounds that it fails to meet the </w:t>
      </w:r>
      <w:r w:rsidR="00BD41ED" w:rsidRPr="00890DB5">
        <w:rPr>
          <w:i/>
          <w:sz w:val="26"/>
          <w:szCs w:val="26"/>
        </w:rPr>
        <w:t>Duick</w:t>
      </w:r>
      <w:r w:rsidR="00BD41ED">
        <w:rPr>
          <w:sz w:val="26"/>
          <w:szCs w:val="26"/>
        </w:rPr>
        <w:t xml:space="preserve"> standards.  We see no new or novel arguments, or any considerations which were apparently overlooked, when the ALJ’s decision became the final action of the Commission at the conclusion of the period for filing Exceptions.</w:t>
      </w:r>
    </w:p>
    <w:p w:rsidR="00D9670A" w:rsidRDefault="00D9670A">
      <w:pPr>
        <w:widowControl/>
        <w:spacing w:line="360" w:lineRule="auto"/>
        <w:rPr>
          <w:sz w:val="26"/>
          <w:szCs w:val="26"/>
        </w:rPr>
      </w:pPr>
    </w:p>
    <w:p w:rsidR="00D4638F" w:rsidRDefault="00984D38">
      <w:pPr>
        <w:widowControl/>
        <w:tabs>
          <w:tab w:val="left" w:pos="0"/>
        </w:tabs>
        <w:spacing w:line="360" w:lineRule="auto"/>
        <w:rPr>
          <w:sz w:val="26"/>
          <w:szCs w:val="24"/>
        </w:rPr>
      </w:pPr>
      <w:r>
        <w:rPr>
          <w:sz w:val="26"/>
          <w:szCs w:val="24"/>
        </w:rPr>
        <w:tab/>
      </w:r>
      <w:r>
        <w:rPr>
          <w:sz w:val="26"/>
          <w:szCs w:val="24"/>
        </w:rPr>
        <w:tab/>
      </w:r>
      <w:r w:rsidR="00462FF4">
        <w:rPr>
          <w:sz w:val="26"/>
          <w:szCs w:val="24"/>
        </w:rPr>
        <w:t xml:space="preserve">In his Petition, </w:t>
      </w:r>
      <w:r w:rsidR="00566635">
        <w:rPr>
          <w:sz w:val="26"/>
          <w:szCs w:val="24"/>
        </w:rPr>
        <w:t>the Complainant</w:t>
      </w:r>
      <w:r w:rsidR="00462FF4">
        <w:rPr>
          <w:sz w:val="26"/>
          <w:szCs w:val="24"/>
        </w:rPr>
        <w:t xml:space="preserve"> makes </w:t>
      </w:r>
      <w:r w:rsidR="00566635">
        <w:rPr>
          <w:sz w:val="26"/>
          <w:szCs w:val="24"/>
        </w:rPr>
        <w:t xml:space="preserve">overlapping </w:t>
      </w:r>
      <w:r w:rsidR="00462FF4">
        <w:rPr>
          <w:sz w:val="26"/>
          <w:szCs w:val="24"/>
        </w:rPr>
        <w:t xml:space="preserve">arguments regarding </w:t>
      </w:r>
      <w:r w:rsidR="00701F86">
        <w:rPr>
          <w:sz w:val="26"/>
          <w:szCs w:val="24"/>
        </w:rPr>
        <w:t>his</w:t>
      </w:r>
      <w:r w:rsidR="00462FF4">
        <w:rPr>
          <w:sz w:val="26"/>
          <w:szCs w:val="24"/>
        </w:rPr>
        <w:t xml:space="preserve"> high bil</w:t>
      </w:r>
      <w:r w:rsidR="00566635">
        <w:rPr>
          <w:sz w:val="26"/>
          <w:szCs w:val="24"/>
        </w:rPr>
        <w:t>l allegation</w:t>
      </w:r>
      <w:r w:rsidR="002B5766">
        <w:rPr>
          <w:sz w:val="26"/>
          <w:szCs w:val="24"/>
        </w:rPr>
        <w:t>s</w:t>
      </w:r>
      <w:r w:rsidR="00566635">
        <w:rPr>
          <w:sz w:val="26"/>
          <w:szCs w:val="24"/>
        </w:rPr>
        <w:t xml:space="preserve">.  Essentially, </w:t>
      </w:r>
      <w:r w:rsidR="00701F86">
        <w:rPr>
          <w:sz w:val="26"/>
          <w:szCs w:val="24"/>
        </w:rPr>
        <w:t>he</w:t>
      </w:r>
      <w:r w:rsidR="00566635">
        <w:rPr>
          <w:sz w:val="26"/>
          <w:szCs w:val="24"/>
        </w:rPr>
        <w:t xml:space="preserve"> argues </w:t>
      </w:r>
      <w:r w:rsidR="0032286E">
        <w:rPr>
          <w:sz w:val="26"/>
          <w:szCs w:val="24"/>
        </w:rPr>
        <w:t>that</w:t>
      </w:r>
      <w:r w:rsidR="00D4638F">
        <w:rPr>
          <w:sz w:val="26"/>
          <w:szCs w:val="24"/>
        </w:rPr>
        <w:t>,</w:t>
      </w:r>
      <w:r w:rsidR="0032286E">
        <w:rPr>
          <w:sz w:val="26"/>
          <w:szCs w:val="24"/>
        </w:rPr>
        <w:t xml:space="preserve"> because the Complaint is silent as to the time period of the alleged overbilling</w:t>
      </w:r>
      <w:r w:rsidR="00D4638F">
        <w:rPr>
          <w:sz w:val="26"/>
          <w:szCs w:val="24"/>
        </w:rPr>
        <w:t>,</w:t>
      </w:r>
      <w:r w:rsidR="0032286E">
        <w:rPr>
          <w:sz w:val="26"/>
          <w:szCs w:val="24"/>
        </w:rPr>
        <w:t xml:space="preserve"> the ALJ </w:t>
      </w:r>
      <w:r w:rsidR="00D4638F">
        <w:rPr>
          <w:sz w:val="26"/>
          <w:szCs w:val="24"/>
        </w:rPr>
        <w:t xml:space="preserve">should not have required him to prove his </w:t>
      </w:r>
      <w:r w:rsidR="00701F86">
        <w:rPr>
          <w:sz w:val="26"/>
          <w:szCs w:val="24"/>
        </w:rPr>
        <w:t xml:space="preserve">PECO </w:t>
      </w:r>
      <w:r w:rsidR="00D4638F">
        <w:rPr>
          <w:sz w:val="26"/>
          <w:szCs w:val="24"/>
        </w:rPr>
        <w:t xml:space="preserve">bills post-2010 were abnormally higher than his bills before 2010.  </w:t>
      </w:r>
      <w:r w:rsidR="008E4805">
        <w:rPr>
          <w:sz w:val="26"/>
          <w:szCs w:val="24"/>
        </w:rPr>
        <w:t>However, Mr. Atuahene</w:t>
      </w:r>
      <w:r w:rsidR="00C15AA9">
        <w:rPr>
          <w:sz w:val="26"/>
          <w:szCs w:val="24"/>
        </w:rPr>
        <w:t xml:space="preserve"> testified that his electric bills ranged between $25 and $35 per month between 2005 and 2010, but increased to $45 and $50 per month after 2010.  Tr. at 39-40. Thus, his own testimony contradicts the claims of his Petition.</w:t>
      </w:r>
      <w:r w:rsidR="00DB20BF">
        <w:rPr>
          <w:rStyle w:val="FootnoteReference"/>
          <w:sz w:val="26"/>
          <w:szCs w:val="24"/>
        </w:rPr>
        <w:footnoteReference w:id="13"/>
      </w:r>
      <w:r w:rsidR="00DB20BF">
        <w:rPr>
          <w:sz w:val="26"/>
          <w:szCs w:val="24"/>
        </w:rPr>
        <w:t xml:space="preserve"> </w:t>
      </w:r>
      <w:r w:rsidR="008E4805">
        <w:rPr>
          <w:sz w:val="26"/>
          <w:szCs w:val="24"/>
        </w:rPr>
        <w:t xml:space="preserve"> </w:t>
      </w:r>
    </w:p>
    <w:p w:rsidR="002B5766" w:rsidRDefault="002B5766">
      <w:pPr>
        <w:widowControl/>
        <w:tabs>
          <w:tab w:val="left" w:pos="0"/>
        </w:tabs>
        <w:spacing w:line="360" w:lineRule="auto"/>
        <w:rPr>
          <w:sz w:val="26"/>
          <w:szCs w:val="24"/>
        </w:rPr>
      </w:pPr>
    </w:p>
    <w:p w:rsidR="0058723A" w:rsidRDefault="002B5766">
      <w:pPr>
        <w:widowControl/>
        <w:tabs>
          <w:tab w:val="left" w:pos="0"/>
        </w:tabs>
        <w:spacing w:line="360" w:lineRule="auto"/>
        <w:rPr>
          <w:sz w:val="26"/>
          <w:szCs w:val="24"/>
        </w:rPr>
      </w:pPr>
      <w:r>
        <w:rPr>
          <w:sz w:val="26"/>
          <w:szCs w:val="24"/>
        </w:rPr>
        <w:tab/>
      </w:r>
      <w:r>
        <w:rPr>
          <w:sz w:val="26"/>
          <w:szCs w:val="24"/>
        </w:rPr>
        <w:tab/>
        <w:t xml:space="preserve">The Complainant also argues that PECO had the burden of proving it mailed the </w:t>
      </w:r>
      <w:r w:rsidR="003D5C83">
        <w:rPr>
          <w:sz w:val="26"/>
          <w:szCs w:val="24"/>
        </w:rPr>
        <w:t>ten</w:t>
      </w:r>
      <w:r>
        <w:rPr>
          <w:sz w:val="26"/>
          <w:szCs w:val="24"/>
        </w:rPr>
        <w:t xml:space="preserve">-day termination notice on October 4, 2011, and that Mr. Atuahene received it.  </w:t>
      </w:r>
      <w:r w:rsidR="00F83583">
        <w:rPr>
          <w:sz w:val="26"/>
          <w:szCs w:val="24"/>
        </w:rPr>
        <w:t>Section 140</w:t>
      </w:r>
      <w:r w:rsidR="00C51BE0">
        <w:rPr>
          <w:sz w:val="26"/>
          <w:szCs w:val="24"/>
        </w:rPr>
        <w:t xml:space="preserve">6 of the Code, 66 Pa. C.S. § 1406, requires the provision of </w:t>
      </w:r>
      <w:r w:rsidR="00C51BE0">
        <w:rPr>
          <w:sz w:val="26"/>
          <w:szCs w:val="24"/>
        </w:rPr>
        <w:lastRenderedPageBreak/>
        <w:t>written notice to the customer</w:t>
      </w:r>
      <w:r w:rsidR="0058723A">
        <w:rPr>
          <w:sz w:val="26"/>
          <w:szCs w:val="24"/>
        </w:rPr>
        <w:t xml:space="preserve"> ten days prior to termination</w:t>
      </w:r>
      <w:r w:rsidR="00C51BE0">
        <w:rPr>
          <w:sz w:val="26"/>
          <w:szCs w:val="24"/>
        </w:rPr>
        <w:t xml:space="preserve">.  It does not require the utility to prove the customer actually received the notice before continuing the termination process under Section 1406.  </w:t>
      </w:r>
      <w:r w:rsidR="004D28A4" w:rsidRPr="004D28A4">
        <w:rPr>
          <w:color w:val="000000"/>
          <w:sz w:val="26"/>
          <w:szCs w:val="26"/>
        </w:rPr>
        <w:t xml:space="preserve">Notice mailed to a party's last known address and not returned by the post office is presumed to have been received.  </w:t>
      </w:r>
      <w:r w:rsidR="004D28A4" w:rsidRPr="004D28A4">
        <w:rPr>
          <w:i/>
          <w:color w:val="000000"/>
          <w:sz w:val="26"/>
          <w:szCs w:val="26"/>
        </w:rPr>
        <w:t>Berkowitz v. Mayflower Securities, Inc.,</w:t>
      </w:r>
      <w:r w:rsidR="004D28A4" w:rsidRPr="004D28A4">
        <w:rPr>
          <w:color w:val="000000"/>
          <w:sz w:val="26"/>
          <w:szCs w:val="26"/>
        </w:rPr>
        <w:t xml:space="preserve"> 455 Pa. 531, 317 A.2d 584 (1974); </w:t>
      </w:r>
      <w:r w:rsidR="004D28A4" w:rsidRPr="004D28A4">
        <w:rPr>
          <w:i/>
          <w:iCs/>
          <w:color w:val="000000"/>
          <w:sz w:val="26"/>
          <w:szCs w:val="26"/>
        </w:rPr>
        <w:t>Geary v. Verizon Pennsylvania Inc.</w:t>
      </w:r>
      <w:r w:rsidR="004D28A4" w:rsidRPr="004D28A4">
        <w:rPr>
          <w:color w:val="000000"/>
          <w:sz w:val="26"/>
          <w:szCs w:val="26"/>
        </w:rPr>
        <w:t xml:space="preserve">, Docket No. C-2009-2118625 (Order entered September 16, 2010).  “Once this presumption is established, the party alleging that it did not receive the letter has the burden of establishing such, and merely asserting that the letter was not received, without corroboration, is insufficient to overcome the presumption of receipt.” </w:t>
      </w:r>
      <w:r w:rsidR="004D28A4" w:rsidRPr="004D28A4">
        <w:rPr>
          <w:i/>
          <w:color w:val="000000"/>
          <w:sz w:val="26"/>
          <w:szCs w:val="26"/>
        </w:rPr>
        <w:t>Donegal Mut. Ins. Co. v. Insurance Dept.</w:t>
      </w:r>
      <w:r w:rsidR="004D28A4" w:rsidRPr="004D28A4">
        <w:rPr>
          <w:color w:val="000000"/>
          <w:sz w:val="26"/>
          <w:szCs w:val="26"/>
        </w:rPr>
        <w:t>, 719 A.2d 825, 827 (Pa. Cmwlth. 1998).</w:t>
      </w:r>
      <w:r w:rsidR="0058723A">
        <w:rPr>
          <w:color w:val="000000"/>
          <w:sz w:val="26"/>
          <w:szCs w:val="26"/>
        </w:rPr>
        <w:t xml:space="preserve">  </w:t>
      </w:r>
      <w:r w:rsidR="0058723A">
        <w:rPr>
          <w:sz w:val="26"/>
          <w:szCs w:val="24"/>
        </w:rPr>
        <w:t>Here, PECO’s witness testified that the written notice was not returned to th</w:t>
      </w:r>
      <w:r w:rsidR="00522E26">
        <w:rPr>
          <w:sz w:val="26"/>
          <w:szCs w:val="24"/>
        </w:rPr>
        <w:t>e Respondent.  Tr. at 116.  Mr. </w:t>
      </w:r>
      <w:r w:rsidR="0058723A">
        <w:rPr>
          <w:sz w:val="26"/>
          <w:szCs w:val="24"/>
        </w:rPr>
        <w:t xml:space="preserve">Atuahene provides no additional arguments or considerations which would cause us to reconsider the record evidence that the </w:t>
      </w:r>
      <w:r w:rsidR="003D5C83">
        <w:rPr>
          <w:sz w:val="26"/>
          <w:szCs w:val="24"/>
        </w:rPr>
        <w:t>ten</w:t>
      </w:r>
      <w:r w:rsidR="0058723A">
        <w:rPr>
          <w:sz w:val="26"/>
          <w:szCs w:val="24"/>
        </w:rPr>
        <w:t>-day termination notice was mailed on October</w:t>
      </w:r>
      <w:r w:rsidR="00D30F17">
        <w:rPr>
          <w:sz w:val="26"/>
          <w:szCs w:val="24"/>
        </w:rPr>
        <w:t> </w:t>
      </w:r>
      <w:r w:rsidR="0058723A">
        <w:rPr>
          <w:sz w:val="26"/>
          <w:szCs w:val="24"/>
        </w:rPr>
        <w:t xml:space="preserve">4, 2011.  Further, he provides no additional considerations in support of his claim that he never received the notice.  </w:t>
      </w:r>
    </w:p>
    <w:p w:rsidR="002B5766" w:rsidRPr="004D28A4" w:rsidRDefault="002B5766">
      <w:pPr>
        <w:widowControl/>
        <w:tabs>
          <w:tab w:val="left" w:pos="0"/>
        </w:tabs>
        <w:spacing w:line="360" w:lineRule="auto"/>
        <w:rPr>
          <w:sz w:val="26"/>
          <w:szCs w:val="26"/>
        </w:rPr>
      </w:pPr>
    </w:p>
    <w:p w:rsidR="00F74853" w:rsidRDefault="002C2DFB">
      <w:pPr>
        <w:widowControl/>
        <w:tabs>
          <w:tab w:val="left" w:pos="0"/>
        </w:tabs>
        <w:spacing w:line="360" w:lineRule="auto"/>
        <w:rPr>
          <w:sz w:val="26"/>
          <w:szCs w:val="24"/>
        </w:rPr>
      </w:pPr>
      <w:r>
        <w:rPr>
          <w:sz w:val="26"/>
          <w:szCs w:val="24"/>
        </w:rPr>
        <w:tab/>
      </w:r>
      <w:r>
        <w:rPr>
          <w:sz w:val="26"/>
          <w:szCs w:val="24"/>
        </w:rPr>
        <w:tab/>
        <w:t xml:space="preserve">The remaining arguments in the Petition are Mr. Atuahene’s </w:t>
      </w:r>
      <w:r w:rsidR="0083371D">
        <w:rPr>
          <w:sz w:val="26"/>
          <w:szCs w:val="24"/>
        </w:rPr>
        <w:t xml:space="preserve">summary statements of disagreement with the ALJ’s findings and conclusions.  </w:t>
      </w:r>
      <w:r w:rsidR="008D2412">
        <w:rPr>
          <w:sz w:val="26"/>
          <w:szCs w:val="24"/>
        </w:rPr>
        <w:t xml:space="preserve">He simply raises the same questions which were specifically decided against him.  </w:t>
      </w:r>
      <w:r w:rsidR="00F74853">
        <w:rPr>
          <w:sz w:val="26"/>
        </w:rPr>
        <w:t xml:space="preserve">Accordingly, we </w:t>
      </w:r>
      <w:r w:rsidR="00215B63">
        <w:rPr>
          <w:sz w:val="26"/>
        </w:rPr>
        <w:t xml:space="preserve">see no reason to reconsider our prior action adopting </w:t>
      </w:r>
      <w:r w:rsidR="00F74853">
        <w:rPr>
          <w:sz w:val="26"/>
        </w:rPr>
        <w:t xml:space="preserve">the ALJ’s </w:t>
      </w:r>
      <w:r w:rsidR="00215B63">
        <w:rPr>
          <w:sz w:val="26"/>
        </w:rPr>
        <w:t>Initial Decision when no Exceptions were filed timely</w:t>
      </w:r>
      <w:r w:rsidR="00F74853">
        <w:rPr>
          <w:sz w:val="26"/>
        </w:rPr>
        <w:t xml:space="preserve">.  </w:t>
      </w:r>
    </w:p>
    <w:p w:rsidR="00240E6F" w:rsidRPr="00667954" w:rsidRDefault="00240E6F">
      <w:pPr>
        <w:widowControl/>
        <w:tabs>
          <w:tab w:val="left" w:pos="0"/>
        </w:tabs>
        <w:spacing w:line="360" w:lineRule="auto"/>
        <w:rPr>
          <w:sz w:val="26"/>
          <w:szCs w:val="26"/>
        </w:rPr>
      </w:pPr>
    </w:p>
    <w:p w:rsidR="00CA43A5" w:rsidRPr="00CA43A5" w:rsidRDefault="00CA43A5" w:rsidP="0002410B">
      <w:pPr>
        <w:keepNext/>
        <w:keepLines/>
        <w:widowControl/>
        <w:spacing w:line="360" w:lineRule="auto"/>
        <w:jc w:val="center"/>
        <w:rPr>
          <w:b/>
          <w:sz w:val="26"/>
          <w:szCs w:val="26"/>
        </w:rPr>
      </w:pPr>
      <w:r w:rsidRPr="00CA43A5">
        <w:rPr>
          <w:b/>
          <w:sz w:val="26"/>
          <w:szCs w:val="26"/>
        </w:rPr>
        <w:t>Conclusion</w:t>
      </w:r>
    </w:p>
    <w:p w:rsidR="00CA43A5" w:rsidRPr="00CA43A5" w:rsidRDefault="00CA43A5" w:rsidP="0002410B">
      <w:pPr>
        <w:keepNext/>
        <w:keepLines/>
        <w:widowControl/>
        <w:spacing w:line="360" w:lineRule="auto"/>
        <w:ind w:firstLine="1440"/>
        <w:rPr>
          <w:sz w:val="26"/>
          <w:szCs w:val="26"/>
        </w:rPr>
      </w:pPr>
    </w:p>
    <w:p w:rsidR="00CA43A5" w:rsidRPr="00CA43A5" w:rsidRDefault="00CA43A5" w:rsidP="0002410B">
      <w:pPr>
        <w:widowControl/>
        <w:spacing w:line="360" w:lineRule="auto"/>
        <w:ind w:firstLine="1440"/>
        <w:rPr>
          <w:sz w:val="26"/>
          <w:szCs w:val="26"/>
        </w:rPr>
      </w:pPr>
      <w:r w:rsidRPr="00CA43A5">
        <w:rPr>
          <w:sz w:val="26"/>
          <w:szCs w:val="26"/>
        </w:rPr>
        <w:t xml:space="preserve">Based upon the foregoing discussion, we </w:t>
      </w:r>
      <w:r w:rsidR="001831ED">
        <w:rPr>
          <w:sz w:val="26"/>
          <w:szCs w:val="26"/>
        </w:rPr>
        <w:t>shall deny the Complaint’s Petition</w:t>
      </w:r>
      <w:r w:rsidR="002006D6">
        <w:rPr>
          <w:sz w:val="26"/>
          <w:szCs w:val="26"/>
        </w:rPr>
        <w:t xml:space="preserve"> </w:t>
      </w:r>
      <w:r w:rsidRPr="00CA43A5">
        <w:rPr>
          <w:sz w:val="26"/>
          <w:szCs w:val="26"/>
        </w:rPr>
        <w:t>consistent with th</w:t>
      </w:r>
      <w:r w:rsidR="0008598C">
        <w:rPr>
          <w:sz w:val="26"/>
          <w:szCs w:val="26"/>
        </w:rPr>
        <w:t>is Opinion and Order</w:t>
      </w:r>
      <w:r w:rsidRPr="00CA43A5">
        <w:rPr>
          <w:sz w:val="26"/>
          <w:szCs w:val="26"/>
        </w:rPr>
        <w:t xml:space="preserve">; </w:t>
      </w:r>
      <w:r w:rsidRPr="00CA43A5">
        <w:rPr>
          <w:b/>
          <w:sz w:val="26"/>
          <w:szCs w:val="26"/>
        </w:rPr>
        <w:t>THEREFORE,</w:t>
      </w:r>
      <w:r w:rsidRPr="00CA43A5">
        <w:rPr>
          <w:sz w:val="26"/>
          <w:szCs w:val="26"/>
        </w:rPr>
        <w:t xml:space="preserve"> </w:t>
      </w:r>
    </w:p>
    <w:p w:rsidR="00CA43A5" w:rsidRPr="00CA43A5" w:rsidRDefault="00CA43A5" w:rsidP="0002410B">
      <w:pPr>
        <w:widowControl/>
        <w:rPr>
          <w:sz w:val="26"/>
          <w:szCs w:val="26"/>
        </w:rPr>
      </w:pPr>
    </w:p>
    <w:p w:rsidR="000C1383" w:rsidRPr="00CA43A5" w:rsidRDefault="00CA43A5" w:rsidP="0002410B">
      <w:pPr>
        <w:keepNext/>
        <w:keepLines/>
        <w:widowControl/>
        <w:spacing w:line="360" w:lineRule="auto"/>
        <w:ind w:firstLine="1440"/>
        <w:rPr>
          <w:b/>
          <w:sz w:val="26"/>
          <w:szCs w:val="26"/>
        </w:rPr>
      </w:pPr>
      <w:r w:rsidRPr="00CA43A5">
        <w:rPr>
          <w:b/>
          <w:sz w:val="26"/>
          <w:szCs w:val="26"/>
        </w:rPr>
        <w:lastRenderedPageBreak/>
        <w:t>IT IS ORDERED:</w:t>
      </w:r>
    </w:p>
    <w:p w:rsidR="00CA43A5" w:rsidRPr="00CA43A5" w:rsidRDefault="00CA43A5" w:rsidP="0002410B">
      <w:pPr>
        <w:keepNext/>
        <w:keepLines/>
        <w:widowControl/>
        <w:rPr>
          <w:sz w:val="26"/>
          <w:szCs w:val="26"/>
        </w:rPr>
      </w:pPr>
    </w:p>
    <w:p w:rsidR="009155F7" w:rsidRDefault="009155F7" w:rsidP="0002410B">
      <w:pPr>
        <w:widowControl/>
        <w:numPr>
          <w:ilvl w:val="0"/>
          <w:numId w:val="1"/>
        </w:numPr>
        <w:tabs>
          <w:tab w:val="clear" w:pos="2160"/>
          <w:tab w:val="num" w:pos="0"/>
        </w:tabs>
        <w:spacing w:line="360" w:lineRule="auto"/>
        <w:ind w:left="0" w:firstLine="1440"/>
        <w:rPr>
          <w:sz w:val="26"/>
          <w:szCs w:val="26"/>
        </w:rPr>
      </w:pPr>
      <w:r>
        <w:rPr>
          <w:sz w:val="26"/>
          <w:szCs w:val="26"/>
        </w:rPr>
        <w:t xml:space="preserve">That the </w:t>
      </w:r>
      <w:r w:rsidR="003665A9">
        <w:rPr>
          <w:sz w:val="26"/>
          <w:szCs w:val="26"/>
        </w:rPr>
        <w:t xml:space="preserve">Petition for </w:t>
      </w:r>
      <w:r w:rsidR="002006D6">
        <w:rPr>
          <w:sz w:val="26"/>
          <w:szCs w:val="26"/>
        </w:rPr>
        <w:t xml:space="preserve">Reconsideration of </w:t>
      </w:r>
      <w:r w:rsidR="009D27A3">
        <w:rPr>
          <w:sz w:val="26"/>
          <w:szCs w:val="26"/>
        </w:rPr>
        <w:t>Steve Atuahene</w:t>
      </w:r>
      <w:r w:rsidR="00425F32">
        <w:rPr>
          <w:sz w:val="26"/>
          <w:szCs w:val="26"/>
        </w:rPr>
        <w:t>,</w:t>
      </w:r>
      <w:r w:rsidR="009D4C89">
        <w:rPr>
          <w:sz w:val="26"/>
          <w:szCs w:val="26"/>
        </w:rPr>
        <w:t xml:space="preserve"> filed on </w:t>
      </w:r>
      <w:r w:rsidR="002006D6">
        <w:rPr>
          <w:sz w:val="26"/>
          <w:szCs w:val="26"/>
        </w:rPr>
        <w:t xml:space="preserve">May </w:t>
      </w:r>
      <w:r w:rsidR="000D7305">
        <w:rPr>
          <w:sz w:val="26"/>
          <w:szCs w:val="26"/>
        </w:rPr>
        <w:t>15</w:t>
      </w:r>
      <w:r w:rsidR="001831ED">
        <w:rPr>
          <w:sz w:val="26"/>
          <w:szCs w:val="26"/>
        </w:rPr>
        <w:t>,</w:t>
      </w:r>
      <w:r w:rsidR="001F4EA6">
        <w:rPr>
          <w:sz w:val="26"/>
          <w:szCs w:val="26"/>
        </w:rPr>
        <w:t xml:space="preserve"> </w:t>
      </w:r>
      <w:r w:rsidR="00425F32">
        <w:rPr>
          <w:sz w:val="26"/>
          <w:szCs w:val="26"/>
        </w:rPr>
        <w:t>2013</w:t>
      </w:r>
      <w:r w:rsidR="009D4C89">
        <w:rPr>
          <w:sz w:val="26"/>
          <w:szCs w:val="26"/>
        </w:rPr>
        <w:t xml:space="preserve">, </w:t>
      </w:r>
      <w:r w:rsidR="003665A9">
        <w:rPr>
          <w:sz w:val="26"/>
          <w:szCs w:val="26"/>
        </w:rPr>
        <w:t>is</w:t>
      </w:r>
      <w:r>
        <w:rPr>
          <w:sz w:val="26"/>
          <w:szCs w:val="26"/>
        </w:rPr>
        <w:t xml:space="preserve"> </w:t>
      </w:r>
      <w:r w:rsidR="009D4C89">
        <w:rPr>
          <w:sz w:val="26"/>
          <w:szCs w:val="26"/>
        </w:rPr>
        <w:t>denied</w:t>
      </w:r>
      <w:r w:rsidR="002006D6">
        <w:rPr>
          <w:sz w:val="26"/>
          <w:szCs w:val="26"/>
        </w:rPr>
        <w:t xml:space="preserve"> </w:t>
      </w:r>
      <w:r w:rsidR="003F51F4">
        <w:rPr>
          <w:sz w:val="26"/>
          <w:szCs w:val="26"/>
        </w:rPr>
        <w:t xml:space="preserve">consistent with this Opinion </w:t>
      </w:r>
      <w:r w:rsidR="00B80C43">
        <w:rPr>
          <w:sz w:val="26"/>
          <w:szCs w:val="26"/>
        </w:rPr>
        <w:t>and Order</w:t>
      </w:r>
      <w:r>
        <w:rPr>
          <w:sz w:val="26"/>
          <w:szCs w:val="26"/>
        </w:rPr>
        <w:t>.</w:t>
      </w:r>
    </w:p>
    <w:p w:rsidR="008D2412" w:rsidRDefault="008D2412" w:rsidP="0002410B">
      <w:pPr>
        <w:widowControl/>
        <w:spacing w:line="360" w:lineRule="auto"/>
        <w:rPr>
          <w:sz w:val="26"/>
          <w:szCs w:val="26"/>
        </w:rPr>
      </w:pPr>
    </w:p>
    <w:p w:rsidR="00372487" w:rsidRPr="00CA43A5" w:rsidRDefault="002006D6" w:rsidP="0002410B">
      <w:pPr>
        <w:widowControl/>
        <w:spacing w:line="360" w:lineRule="auto"/>
        <w:ind w:firstLine="1440"/>
        <w:rPr>
          <w:sz w:val="26"/>
          <w:szCs w:val="26"/>
        </w:rPr>
      </w:pPr>
      <w:r>
        <w:rPr>
          <w:sz w:val="26"/>
          <w:szCs w:val="26"/>
        </w:rPr>
        <w:t>2</w:t>
      </w:r>
      <w:r w:rsidR="009D4C89">
        <w:rPr>
          <w:sz w:val="26"/>
          <w:szCs w:val="26"/>
        </w:rPr>
        <w:t>.</w:t>
      </w:r>
      <w:r w:rsidR="009D4C89">
        <w:rPr>
          <w:sz w:val="26"/>
          <w:szCs w:val="26"/>
        </w:rPr>
        <w:tab/>
      </w:r>
      <w:r w:rsidR="008855BB">
        <w:rPr>
          <w:sz w:val="26"/>
          <w:szCs w:val="26"/>
        </w:rPr>
        <w:t>That th</w:t>
      </w:r>
      <w:r w:rsidR="008938C6">
        <w:rPr>
          <w:sz w:val="26"/>
          <w:szCs w:val="26"/>
        </w:rPr>
        <w:t>e</w:t>
      </w:r>
      <w:r w:rsidR="008855BB">
        <w:rPr>
          <w:sz w:val="26"/>
          <w:szCs w:val="26"/>
        </w:rPr>
        <w:t>s</w:t>
      </w:r>
      <w:r w:rsidR="008938C6">
        <w:rPr>
          <w:sz w:val="26"/>
          <w:szCs w:val="26"/>
        </w:rPr>
        <w:t>e</w:t>
      </w:r>
      <w:r w:rsidR="008855BB">
        <w:rPr>
          <w:sz w:val="26"/>
          <w:szCs w:val="26"/>
        </w:rPr>
        <w:t xml:space="preserve"> proceeding</w:t>
      </w:r>
      <w:r w:rsidR="008938C6">
        <w:rPr>
          <w:sz w:val="26"/>
          <w:szCs w:val="26"/>
        </w:rPr>
        <w:t>s</w:t>
      </w:r>
      <w:r w:rsidR="008855BB">
        <w:rPr>
          <w:sz w:val="26"/>
          <w:szCs w:val="26"/>
        </w:rPr>
        <w:t xml:space="preserve"> shall be marked closed.</w:t>
      </w:r>
    </w:p>
    <w:p w:rsidR="00CA43A5" w:rsidRPr="00CA43A5" w:rsidRDefault="00CA43A5" w:rsidP="0002410B">
      <w:pPr>
        <w:widowControl/>
        <w:rPr>
          <w:sz w:val="26"/>
          <w:szCs w:val="26"/>
        </w:rPr>
      </w:pPr>
    </w:p>
    <w:p w:rsidR="00CA43A5" w:rsidRPr="00CA43A5" w:rsidRDefault="00CA43A5" w:rsidP="0002410B">
      <w:pPr>
        <w:widowControl/>
        <w:rPr>
          <w:sz w:val="26"/>
          <w:szCs w:val="26"/>
        </w:rPr>
      </w:pPr>
    </w:p>
    <w:p w:rsidR="00CA43A5" w:rsidRPr="00CA43A5" w:rsidRDefault="003E6961" w:rsidP="0002410B">
      <w:pPr>
        <w:widowControl/>
        <w:tabs>
          <w:tab w:val="left" w:pos="-720"/>
        </w:tabs>
        <w:ind w:firstLine="5040"/>
        <w:rPr>
          <w:sz w:val="26"/>
          <w:szCs w:val="26"/>
        </w:rPr>
      </w:pPr>
      <w:bookmarkStart w:id="2" w:name="_GoBack"/>
      <w:r>
        <w:rPr>
          <w:noProof/>
        </w:rPr>
        <w:drawing>
          <wp:anchor distT="0" distB="0" distL="114300" distR="114300" simplePos="0" relativeHeight="251659264" behindDoc="1" locked="0" layoutInCell="1" allowOverlap="1" wp14:anchorId="4E485557" wp14:editId="47FEC2DF">
            <wp:simplePos x="0" y="0"/>
            <wp:positionH relativeFrom="column">
              <wp:posOffset>2750820</wp:posOffset>
            </wp:positionH>
            <wp:positionV relativeFrom="paragraph">
              <wp:posOffset>24765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CA43A5" w:rsidRPr="00CA43A5">
        <w:rPr>
          <w:b/>
          <w:sz w:val="26"/>
          <w:szCs w:val="26"/>
        </w:rPr>
        <w:t>BY THE COMMISSION,</w:t>
      </w:r>
    </w:p>
    <w:p w:rsidR="00CA43A5" w:rsidRPr="00CA43A5" w:rsidRDefault="00CA43A5" w:rsidP="0002410B">
      <w:pPr>
        <w:widowControl/>
        <w:tabs>
          <w:tab w:val="left" w:pos="-720"/>
        </w:tabs>
        <w:rPr>
          <w:sz w:val="26"/>
          <w:szCs w:val="26"/>
        </w:rPr>
      </w:pPr>
    </w:p>
    <w:p w:rsidR="00CA43A5" w:rsidRPr="00CA43A5" w:rsidRDefault="00CA43A5" w:rsidP="0002410B">
      <w:pPr>
        <w:widowControl/>
        <w:tabs>
          <w:tab w:val="left" w:pos="-720"/>
        </w:tabs>
        <w:rPr>
          <w:sz w:val="26"/>
          <w:szCs w:val="26"/>
        </w:rPr>
      </w:pPr>
    </w:p>
    <w:p w:rsidR="00CA43A5" w:rsidRPr="00CA43A5" w:rsidRDefault="00CA43A5" w:rsidP="0002410B">
      <w:pPr>
        <w:widowControl/>
        <w:tabs>
          <w:tab w:val="left" w:pos="-720"/>
        </w:tabs>
        <w:rPr>
          <w:sz w:val="26"/>
          <w:szCs w:val="26"/>
        </w:rPr>
      </w:pPr>
    </w:p>
    <w:p w:rsidR="00CA43A5" w:rsidRPr="00CA43A5" w:rsidRDefault="00564565" w:rsidP="0002410B">
      <w:pPr>
        <w:widowControl/>
        <w:tabs>
          <w:tab w:val="left" w:pos="-720"/>
        </w:tabs>
        <w:ind w:firstLine="5040"/>
        <w:rPr>
          <w:b/>
          <w:sz w:val="26"/>
          <w:szCs w:val="26"/>
        </w:rPr>
      </w:pPr>
      <w:r>
        <w:rPr>
          <w:sz w:val="26"/>
          <w:szCs w:val="26"/>
        </w:rPr>
        <w:t>Rosemary Chiavetta</w:t>
      </w:r>
    </w:p>
    <w:p w:rsidR="00CA43A5" w:rsidRPr="00CA43A5" w:rsidRDefault="00CA43A5" w:rsidP="0002410B">
      <w:pPr>
        <w:widowControl/>
        <w:tabs>
          <w:tab w:val="left" w:pos="-720"/>
        </w:tabs>
        <w:ind w:firstLine="5040"/>
        <w:rPr>
          <w:sz w:val="26"/>
          <w:szCs w:val="26"/>
        </w:rPr>
      </w:pPr>
      <w:r w:rsidRPr="00CA43A5">
        <w:rPr>
          <w:sz w:val="26"/>
          <w:szCs w:val="26"/>
        </w:rPr>
        <w:t>Secretary</w:t>
      </w:r>
    </w:p>
    <w:p w:rsidR="00CA43A5" w:rsidRPr="00CA43A5" w:rsidRDefault="00CA43A5" w:rsidP="0002410B">
      <w:pPr>
        <w:widowControl/>
        <w:tabs>
          <w:tab w:val="left" w:pos="-720"/>
        </w:tabs>
        <w:rPr>
          <w:sz w:val="26"/>
          <w:szCs w:val="26"/>
        </w:rPr>
      </w:pPr>
    </w:p>
    <w:p w:rsidR="00CA43A5" w:rsidRPr="00CA43A5" w:rsidRDefault="00CA43A5" w:rsidP="0002410B">
      <w:pPr>
        <w:widowControl/>
        <w:tabs>
          <w:tab w:val="left" w:pos="-720"/>
        </w:tabs>
        <w:rPr>
          <w:sz w:val="26"/>
          <w:szCs w:val="26"/>
        </w:rPr>
      </w:pPr>
      <w:r w:rsidRPr="00CA43A5">
        <w:rPr>
          <w:sz w:val="26"/>
          <w:szCs w:val="26"/>
        </w:rPr>
        <w:t>(SEAL)</w:t>
      </w:r>
    </w:p>
    <w:p w:rsidR="00CA43A5" w:rsidRPr="00CA43A5" w:rsidRDefault="00CA43A5" w:rsidP="0002410B">
      <w:pPr>
        <w:widowControl/>
        <w:tabs>
          <w:tab w:val="left" w:pos="-720"/>
        </w:tabs>
        <w:rPr>
          <w:sz w:val="26"/>
          <w:szCs w:val="26"/>
        </w:rPr>
      </w:pPr>
    </w:p>
    <w:p w:rsidR="00CA43A5" w:rsidRPr="00CA43A5" w:rsidRDefault="00CA43A5" w:rsidP="0002410B">
      <w:pPr>
        <w:widowControl/>
        <w:tabs>
          <w:tab w:val="left" w:pos="-720"/>
        </w:tabs>
        <w:rPr>
          <w:sz w:val="26"/>
          <w:szCs w:val="26"/>
        </w:rPr>
      </w:pPr>
      <w:r w:rsidRPr="00CA43A5">
        <w:rPr>
          <w:sz w:val="26"/>
          <w:szCs w:val="26"/>
        </w:rPr>
        <w:t>ORDER ADOPTED:</w:t>
      </w:r>
      <w:r w:rsidR="009D4C89">
        <w:rPr>
          <w:sz w:val="26"/>
          <w:szCs w:val="26"/>
        </w:rPr>
        <w:t xml:space="preserve">  </w:t>
      </w:r>
      <w:r w:rsidR="008D2412">
        <w:rPr>
          <w:sz w:val="26"/>
          <w:szCs w:val="26"/>
        </w:rPr>
        <w:t>November 14</w:t>
      </w:r>
      <w:r w:rsidR="002A60F5">
        <w:rPr>
          <w:sz w:val="26"/>
          <w:szCs w:val="26"/>
        </w:rPr>
        <w:t>, 2013</w:t>
      </w:r>
      <w:r w:rsidRPr="00CA43A5">
        <w:rPr>
          <w:sz w:val="26"/>
          <w:szCs w:val="26"/>
        </w:rPr>
        <w:t xml:space="preserve"> </w:t>
      </w:r>
    </w:p>
    <w:p w:rsidR="00857172" w:rsidRDefault="00857172" w:rsidP="0002410B">
      <w:pPr>
        <w:widowControl/>
        <w:tabs>
          <w:tab w:val="left" w:pos="-720"/>
        </w:tabs>
        <w:rPr>
          <w:sz w:val="26"/>
          <w:szCs w:val="26"/>
        </w:rPr>
      </w:pPr>
    </w:p>
    <w:p w:rsidR="00344804" w:rsidRPr="00CA43A5" w:rsidRDefault="00CA43A5" w:rsidP="0002410B">
      <w:pPr>
        <w:widowControl/>
        <w:tabs>
          <w:tab w:val="left" w:pos="-720"/>
        </w:tabs>
        <w:rPr>
          <w:sz w:val="26"/>
          <w:szCs w:val="26"/>
        </w:rPr>
      </w:pPr>
      <w:r w:rsidRPr="00CA43A5">
        <w:rPr>
          <w:sz w:val="26"/>
          <w:szCs w:val="26"/>
        </w:rPr>
        <w:t xml:space="preserve">ORDER ENTERED:  </w:t>
      </w:r>
      <w:r w:rsidR="003E6961">
        <w:rPr>
          <w:sz w:val="26"/>
          <w:szCs w:val="26"/>
        </w:rPr>
        <w:t>November 14, 2013</w:t>
      </w:r>
    </w:p>
    <w:sectPr w:rsidR="00344804" w:rsidRPr="00CA43A5" w:rsidSect="00F9641D">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507" w:rsidRDefault="002B4507" w:rsidP="001B7DA2">
      <w:r>
        <w:separator/>
      </w:r>
    </w:p>
  </w:endnote>
  <w:endnote w:type="continuationSeparator" w:id="0">
    <w:p w:rsidR="002B4507" w:rsidRDefault="002B4507"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71551"/>
      <w:docPartObj>
        <w:docPartGallery w:val="Page Numbers (Bottom of Page)"/>
        <w:docPartUnique/>
      </w:docPartObj>
    </w:sdtPr>
    <w:sdtEndPr>
      <w:rPr>
        <w:noProof/>
      </w:rPr>
    </w:sdtEndPr>
    <w:sdtContent>
      <w:p w:rsidR="00BD41ED" w:rsidRDefault="00BD41ED" w:rsidP="000207B7">
        <w:pPr>
          <w:pStyle w:val="Footer"/>
          <w:jc w:val="center"/>
        </w:pPr>
        <w:r w:rsidRPr="0049396D">
          <w:rPr>
            <w:sz w:val="26"/>
            <w:szCs w:val="26"/>
          </w:rPr>
          <w:fldChar w:fldCharType="begin"/>
        </w:r>
        <w:r w:rsidRPr="0049396D">
          <w:rPr>
            <w:sz w:val="26"/>
            <w:szCs w:val="26"/>
          </w:rPr>
          <w:instrText xml:space="preserve"> PAGE   \* MERGEFORMAT </w:instrText>
        </w:r>
        <w:r w:rsidRPr="0049396D">
          <w:rPr>
            <w:sz w:val="26"/>
            <w:szCs w:val="26"/>
          </w:rPr>
          <w:fldChar w:fldCharType="separate"/>
        </w:r>
        <w:r w:rsidR="003E6961">
          <w:rPr>
            <w:noProof/>
            <w:sz w:val="26"/>
            <w:szCs w:val="26"/>
          </w:rPr>
          <w:t>16</w:t>
        </w:r>
        <w:r w:rsidRPr="0049396D">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507" w:rsidRDefault="002B4507" w:rsidP="001B7DA2">
      <w:r>
        <w:separator/>
      </w:r>
    </w:p>
  </w:footnote>
  <w:footnote w:type="continuationSeparator" w:id="0">
    <w:p w:rsidR="002B4507" w:rsidRDefault="002B4507" w:rsidP="001B7DA2">
      <w:r>
        <w:continuationSeparator/>
      </w:r>
    </w:p>
  </w:footnote>
  <w:footnote w:id="1">
    <w:p w:rsidR="00BD41ED" w:rsidRPr="00C557F8" w:rsidRDefault="00BD41ED" w:rsidP="0002410B">
      <w:pPr>
        <w:pStyle w:val="FootnoteText"/>
        <w:keepLines/>
        <w:rPr>
          <w:sz w:val="26"/>
          <w:szCs w:val="26"/>
        </w:rPr>
      </w:pPr>
      <w:r w:rsidRPr="00C557F8">
        <w:rPr>
          <w:sz w:val="26"/>
          <w:szCs w:val="26"/>
        </w:rPr>
        <w:tab/>
      </w:r>
      <w:r w:rsidRPr="00C557F8">
        <w:rPr>
          <w:rStyle w:val="FootnoteReference"/>
          <w:sz w:val="26"/>
          <w:szCs w:val="26"/>
        </w:rPr>
        <w:footnoteRef/>
      </w:r>
      <w:r w:rsidRPr="00C557F8">
        <w:rPr>
          <w:sz w:val="26"/>
          <w:szCs w:val="26"/>
        </w:rPr>
        <w:t xml:space="preserve"> </w:t>
      </w:r>
      <w:r w:rsidRPr="00C557F8">
        <w:rPr>
          <w:sz w:val="26"/>
          <w:szCs w:val="26"/>
        </w:rPr>
        <w:tab/>
        <w:t xml:space="preserve">As discussed further herein, the filing was labeled “Exceptions,” but </w:t>
      </w:r>
      <w:r>
        <w:rPr>
          <w:sz w:val="26"/>
          <w:szCs w:val="26"/>
        </w:rPr>
        <w:t xml:space="preserve">was not timely filed.  We will treat it as a Petition for Reconsideration.  For the sake of consistency, the “Exceptions” will be referred to herein as the Petition and the “Replies to Exceptions” will be referred to as an </w:t>
      </w:r>
      <w:r>
        <w:rPr>
          <w:color w:val="000000"/>
          <w:sz w:val="26"/>
        </w:rPr>
        <w:t>Answer to the Petition for Reconsideration.</w:t>
      </w:r>
    </w:p>
  </w:footnote>
  <w:footnote w:id="2">
    <w:p w:rsidR="00BD41ED" w:rsidRPr="00F65D71" w:rsidRDefault="00BD41ED" w:rsidP="0002410B">
      <w:pPr>
        <w:pStyle w:val="FootnoteText"/>
        <w:keepLines/>
        <w:ind w:firstLine="720"/>
        <w:rPr>
          <w:sz w:val="26"/>
          <w:szCs w:val="26"/>
        </w:rPr>
      </w:pPr>
      <w:r w:rsidRPr="00F65D71">
        <w:rPr>
          <w:rStyle w:val="FootnoteReference"/>
          <w:sz w:val="26"/>
          <w:szCs w:val="26"/>
        </w:rPr>
        <w:footnoteRef/>
      </w:r>
      <w:r w:rsidRPr="00F65D71">
        <w:rPr>
          <w:sz w:val="26"/>
          <w:szCs w:val="26"/>
        </w:rPr>
        <w:t xml:space="preserve"> </w:t>
      </w:r>
      <w:r>
        <w:rPr>
          <w:sz w:val="26"/>
          <w:szCs w:val="26"/>
        </w:rPr>
        <w:tab/>
      </w:r>
      <w:r w:rsidR="00FF5BCA">
        <w:rPr>
          <w:sz w:val="26"/>
          <w:szCs w:val="26"/>
        </w:rPr>
        <w:t>As discussed below, the Complainant filed two Motions for Enlargement of Time to File Exceptions to the Initial Decision.  By letters dated April 9, 2013, and May</w:t>
      </w:r>
      <w:r w:rsidR="00953974">
        <w:rPr>
          <w:sz w:val="26"/>
          <w:szCs w:val="26"/>
        </w:rPr>
        <w:t> </w:t>
      </w:r>
      <w:r w:rsidR="00FF5BCA">
        <w:rPr>
          <w:sz w:val="26"/>
          <w:szCs w:val="26"/>
        </w:rPr>
        <w:t>6, 2013, the Secretary’s Bureau granted extensions of twenty days (due date April</w:t>
      </w:r>
      <w:r w:rsidR="00953974">
        <w:rPr>
          <w:sz w:val="26"/>
          <w:szCs w:val="26"/>
        </w:rPr>
        <w:t> </w:t>
      </w:r>
      <w:r w:rsidR="00FF5BCA">
        <w:rPr>
          <w:sz w:val="26"/>
          <w:szCs w:val="26"/>
        </w:rPr>
        <w:t>29, 2013) and one week (due date May 13, 2013) respectively.  The Complainant</w:t>
      </w:r>
      <w:r w:rsidR="00DC2F98">
        <w:rPr>
          <w:sz w:val="26"/>
          <w:szCs w:val="26"/>
        </w:rPr>
        <w:t xml:space="preserve"> did not file the present Petition until May 15, 2013.  </w:t>
      </w:r>
      <w:r w:rsidR="00FF5BCA">
        <w:rPr>
          <w:sz w:val="26"/>
          <w:szCs w:val="26"/>
        </w:rPr>
        <w:t xml:space="preserve">  </w:t>
      </w:r>
    </w:p>
  </w:footnote>
  <w:footnote w:id="3">
    <w:p w:rsidR="00DC32B8" w:rsidRPr="00895FD4" w:rsidRDefault="00DC32B8">
      <w:pPr>
        <w:pStyle w:val="FootnoteText"/>
        <w:rPr>
          <w:sz w:val="26"/>
          <w:szCs w:val="26"/>
        </w:rPr>
      </w:pPr>
      <w:r w:rsidRPr="00895FD4">
        <w:rPr>
          <w:sz w:val="26"/>
          <w:szCs w:val="26"/>
        </w:rPr>
        <w:tab/>
      </w:r>
      <w:r w:rsidRPr="00895FD4">
        <w:rPr>
          <w:rStyle w:val="FootnoteReference"/>
          <w:sz w:val="26"/>
          <w:szCs w:val="26"/>
        </w:rPr>
        <w:footnoteRef/>
      </w:r>
      <w:r w:rsidRPr="00895FD4">
        <w:rPr>
          <w:sz w:val="26"/>
          <w:szCs w:val="26"/>
        </w:rPr>
        <w:t xml:space="preserve"> </w:t>
      </w:r>
      <w:r w:rsidRPr="00895FD4">
        <w:rPr>
          <w:sz w:val="26"/>
          <w:szCs w:val="26"/>
        </w:rPr>
        <w:tab/>
        <w:t>The Complaint was an untimely appeal of a Bureau of Consumer Services decision on an informal complaint.</w:t>
      </w:r>
    </w:p>
  </w:footnote>
  <w:footnote w:id="4">
    <w:p w:rsidR="00974C23" w:rsidRPr="0011486A" w:rsidRDefault="00974C23" w:rsidP="00974C23">
      <w:pPr>
        <w:pStyle w:val="FootnoteText"/>
        <w:ind w:firstLine="720"/>
        <w:rPr>
          <w:sz w:val="26"/>
          <w:szCs w:val="26"/>
        </w:rPr>
      </w:pPr>
      <w:r w:rsidRPr="0011486A">
        <w:rPr>
          <w:rStyle w:val="FootnoteReference"/>
          <w:sz w:val="26"/>
          <w:szCs w:val="26"/>
        </w:rPr>
        <w:footnoteRef/>
      </w:r>
      <w:r w:rsidRPr="0011486A">
        <w:rPr>
          <w:sz w:val="26"/>
          <w:szCs w:val="26"/>
        </w:rPr>
        <w:t xml:space="preserve"> </w:t>
      </w:r>
      <w:r>
        <w:rPr>
          <w:sz w:val="26"/>
          <w:szCs w:val="26"/>
        </w:rPr>
        <w:tab/>
      </w:r>
      <w:r>
        <w:rPr>
          <w:sz w:val="26"/>
          <w:szCs w:val="24"/>
        </w:rPr>
        <w:t>The Commission served the Complaint on April 23, 2012.</w:t>
      </w:r>
    </w:p>
  </w:footnote>
  <w:footnote w:id="5">
    <w:p w:rsidR="006423D2" w:rsidRPr="006423D2" w:rsidRDefault="006423D2" w:rsidP="0002410B">
      <w:pPr>
        <w:pStyle w:val="FootnoteText"/>
        <w:keepLines/>
        <w:ind w:firstLine="720"/>
        <w:rPr>
          <w:sz w:val="26"/>
          <w:szCs w:val="26"/>
        </w:rPr>
      </w:pPr>
      <w:r w:rsidRPr="006423D2">
        <w:rPr>
          <w:rStyle w:val="FootnoteReference"/>
          <w:sz w:val="26"/>
          <w:szCs w:val="26"/>
        </w:rPr>
        <w:footnoteRef/>
      </w:r>
      <w:r w:rsidRPr="006423D2">
        <w:rPr>
          <w:sz w:val="26"/>
          <w:szCs w:val="26"/>
        </w:rPr>
        <w:t xml:space="preserve"> </w:t>
      </w:r>
      <w:r>
        <w:rPr>
          <w:sz w:val="26"/>
          <w:szCs w:val="26"/>
        </w:rPr>
        <w:tab/>
        <w:t xml:space="preserve">The </w:t>
      </w:r>
      <w:r w:rsidR="00C7492D">
        <w:rPr>
          <w:sz w:val="26"/>
          <w:szCs w:val="26"/>
        </w:rPr>
        <w:t xml:space="preserve">additional </w:t>
      </w:r>
      <w:r>
        <w:rPr>
          <w:sz w:val="26"/>
          <w:szCs w:val="26"/>
        </w:rPr>
        <w:t xml:space="preserve">exhibits pertained to information regarding the jurisdiction of the Fairmont Park Commission over </w:t>
      </w:r>
      <w:r w:rsidR="00C7492D">
        <w:rPr>
          <w:sz w:val="26"/>
          <w:szCs w:val="26"/>
        </w:rPr>
        <w:t>vegetation within the limits of Fairmont Park, the Complainant’s customer contacts dating back to January 1, 2010, the Complainant’s account activity statement dating back to September 2008, and the results of PECO’s high bill field investigation at Mr. Atuahene’s residence.</w:t>
      </w:r>
      <w:r w:rsidR="000465BF">
        <w:rPr>
          <w:sz w:val="26"/>
          <w:szCs w:val="26"/>
        </w:rPr>
        <w:t xml:space="preserve">  Tr. at 103, 182-183, and 188.  On or about October 11, 2012, PECO submitted the additional exhibits</w:t>
      </w:r>
      <w:r w:rsidR="00D87BA7">
        <w:rPr>
          <w:sz w:val="26"/>
          <w:szCs w:val="26"/>
        </w:rPr>
        <w:t>,</w:t>
      </w:r>
      <w:r w:rsidR="000465BF">
        <w:rPr>
          <w:sz w:val="26"/>
          <w:szCs w:val="26"/>
        </w:rPr>
        <w:t xml:space="preserve"> which the ALJ labeled “late-filed</w:t>
      </w:r>
      <w:r w:rsidR="008E4ED1">
        <w:rPr>
          <w:sz w:val="26"/>
          <w:szCs w:val="26"/>
        </w:rPr>
        <w:t>”</w:t>
      </w:r>
      <w:r w:rsidR="000465BF">
        <w:rPr>
          <w:sz w:val="26"/>
          <w:szCs w:val="26"/>
        </w:rPr>
        <w:t xml:space="preserve"> exhibits </w:t>
      </w:r>
      <w:r w:rsidR="008E4ED1">
        <w:rPr>
          <w:sz w:val="26"/>
          <w:szCs w:val="26"/>
        </w:rPr>
        <w:t xml:space="preserve">11-14.  I.D. at 5.  Thereafter, on November 1, 2012, the Complainant filed a Motion for </w:t>
      </w:r>
      <w:r w:rsidR="00D87BA7">
        <w:rPr>
          <w:sz w:val="26"/>
          <w:szCs w:val="26"/>
        </w:rPr>
        <w:t>E</w:t>
      </w:r>
      <w:r w:rsidR="008E4ED1">
        <w:rPr>
          <w:sz w:val="26"/>
          <w:szCs w:val="26"/>
        </w:rPr>
        <w:t xml:space="preserve">xtension of </w:t>
      </w:r>
      <w:r w:rsidR="00D87BA7">
        <w:rPr>
          <w:sz w:val="26"/>
          <w:szCs w:val="26"/>
        </w:rPr>
        <w:t>T</w:t>
      </w:r>
      <w:r w:rsidR="008E4ED1">
        <w:rPr>
          <w:sz w:val="26"/>
          <w:szCs w:val="26"/>
        </w:rPr>
        <w:t xml:space="preserve">ime to file objections to PECO’s late-filed exhibits.  PECO did not object to the Motion and the ALJ issued an Order granting an extension until November 16, 2012, for the Complainant to file written objections.  On November 19, 2012, Mr. Atuahene submitted written objections to PECO’s late-filed exhibits.  </w:t>
      </w:r>
    </w:p>
  </w:footnote>
  <w:footnote w:id="6">
    <w:p w:rsidR="000C2E78" w:rsidRPr="000C2E78" w:rsidRDefault="000C2E78" w:rsidP="000C2E78">
      <w:pPr>
        <w:pStyle w:val="FootnoteText"/>
        <w:ind w:firstLine="720"/>
        <w:rPr>
          <w:sz w:val="26"/>
          <w:szCs w:val="26"/>
        </w:rPr>
      </w:pPr>
      <w:r w:rsidRPr="000C2E78">
        <w:rPr>
          <w:rStyle w:val="FootnoteReference"/>
          <w:sz w:val="26"/>
          <w:szCs w:val="26"/>
        </w:rPr>
        <w:footnoteRef/>
      </w:r>
      <w:r w:rsidRPr="000C2E78">
        <w:rPr>
          <w:sz w:val="26"/>
          <w:szCs w:val="26"/>
        </w:rPr>
        <w:t xml:space="preserve"> </w:t>
      </w:r>
      <w:r>
        <w:rPr>
          <w:sz w:val="26"/>
          <w:szCs w:val="26"/>
        </w:rPr>
        <w:tab/>
        <w:t xml:space="preserve">According to the Petition’s certificate of service, Mr. Atuahene served the Petition by first class mail on May 13, 2013.  </w:t>
      </w:r>
      <w:r w:rsidR="00DC76B0">
        <w:rPr>
          <w:sz w:val="26"/>
          <w:szCs w:val="26"/>
        </w:rPr>
        <w:t>Pursuant to Regulation</w:t>
      </w:r>
      <w:r w:rsidR="00003E27">
        <w:rPr>
          <w:sz w:val="26"/>
          <w:szCs w:val="26"/>
        </w:rPr>
        <w:t>s</w:t>
      </w:r>
      <w:r w:rsidR="00DC76B0">
        <w:rPr>
          <w:sz w:val="26"/>
          <w:szCs w:val="26"/>
        </w:rPr>
        <w:t xml:space="preserve"> 1.56</w:t>
      </w:r>
      <w:r w:rsidR="00003E27">
        <w:rPr>
          <w:sz w:val="26"/>
          <w:szCs w:val="26"/>
        </w:rPr>
        <w:t xml:space="preserve"> and 5.572(e)</w:t>
      </w:r>
      <w:r w:rsidR="00DC76B0">
        <w:rPr>
          <w:sz w:val="26"/>
          <w:szCs w:val="26"/>
        </w:rPr>
        <w:t xml:space="preserve">, </w:t>
      </w:r>
      <w:r w:rsidR="00003E27">
        <w:rPr>
          <w:sz w:val="26"/>
          <w:szCs w:val="26"/>
        </w:rPr>
        <w:t xml:space="preserve">52 Pa. Code §§ 1.56 and 5.572(e), </w:t>
      </w:r>
      <w:r w:rsidR="00DC76B0">
        <w:rPr>
          <w:sz w:val="26"/>
          <w:szCs w:val="26"/>
        </w:rPr>
        <w:t xml:space="preserve">PECO’s Answer to the Petition was due by May 28, 2013.  However, the Respondent did not file its Answer </w:t>
      </w:r>
      <w:r w:rsidR="00003E27">
        <w:rPr>
          <w:sz w:val="26"/>
          <w:szCs w:val="26"/>
        </w:rPr>
        <w:t xml:space="preserve">until </w:t>
      </w:r>
      <w:r w:rsidR="00DC76B0">
        <w:rPr>
          <w:sz w:val="26"/>
          <w:szCs w:val="26"/>
        </w:rPr>
        <w:t xml:space="preserve">June 3, 2013.  </w:t>
      </w:r>
      <w:r w:rsidR="00003E27">
        <w:rPr>
          <w:sz w:val="26"/>
          <w:szCs w:val="26"/>
        </w:rPr>
        <w:t xml:space="preserve">In the interest of </w:t>
      </w:r>
      <w:r w:rsidR="002E00D1">
        <w:rPr>
          <w:sz w:val="26"/>
          <w:szCs w:val="26"/>
        </w:rPr>
        <w:t xml:space="preserve">justly and </w:t>
      </w:r>
      <w:r w:rsidR="00EE5B9F">
        <w:rPr>
          <w:sz w:val="26"/>
          <w:szCs w:val="26"/>
        </w:rPr>
        <w:t xml:space="preserve">expeditiously resolving this matter, we will </w:t>
      </w:r>
      <w:r w:rsidR="002E00D1">
        <w:rPr>
          <w:sz w:val="26"/>
          <w:szCs w:val="26"/>
        </w:rPr>
        <w:t>nonetheless consider</w:t>
      </w:r>
      <w:r w:rsidR="00EE5B9F">
        <w:rPr>
          <w:sz w:val="26"/>
          <w:szCs w:val="26"/>
        </w:rPr>
        <w:t xml:space="preserve"> PECO’s Answer to the Petition </w:t>
      </w:r>
      <w:r w:rsidR="002E00D1">
        <w:rPr>
          <w:sz w:val="26"/>
          <w:szCs w:val="26"/>
        </w:rPr>
        <w:t>in our disposition of this matter</w:t>
      </w:r>
      <w:r w:rsidR="00EE5B9F">
        <w:rPr>
          <w:sz w:val="26"/>
          <w:szCs w:val="26"/>
        </w:rPr>
        <w:t>.  52 Pa. Code § 1.2(a).</w:t>
      </w:r>
    </w:p>
  </w:footnote>
  <w:footnote w:id="7">
    <w:p w:rsidR="006A0AE5" w:rsidRPr="006A0AE5" w:rsidRDefault="006A0AE5" w:rsidP="0002410B">
      <w:pPr>
        <w:pStyle w:val="FootnoteText"/>
        <w:keepLines/>
        <w:ind w:firstLine="720"/>
        <w:rPr>
          <w:sz w:val="26"/>
          <w:szCs w:val="26"/>
        </w:rPr>
      </w:pPr>
      <w:r w:rsidRPr="006A0AE5">
        <w:rPr>
          <w:rStyle w:val="FootnoteReference"/>
          <w:sz w:val="26"/>
          <w:szCs w:val="26"/>
        </w:rPr>
        <w:footnoteRef/>
      </w:r>
      <w:r w:rsidRPr="006A0AE5">
        <w:rPr>
          <w:sz w:val="26"/>
          <w:szCs w:val="26"/>
        </w:rPr>
        <w:t xml:space="preserve"> </w:t>
      </w:r>
      <w:r>
        <w:rPr>
          <w:sz w:val="26"/>
          <w:szCs w:val="26"/>
        </w:rPr>
        <w:tab/>
        <w:t xml:space="preserve">As a preliminary matter, the ALJ denied Mr. Atuahene’s objections to PECO’s late filed exhibits.  I.D. at 14-16.  Since the Complainant’s Petition does not raise any objections to this portion of the Initial Decision, we need not address it.  </w:t>
      </w:r>
    </w:p>
  </w:footnote>
  <w:footnote w:id="8">
    <w:p w:rsidR="00CB5B61" w:rsidRPr="00CB5B61" w:rsidRDefault="00CB5B61" w:rsidP="0002410B">
      <w:pPr>
        <w:pStyle w:val="FootnoteText"/>
        <w:keepLines/>
        <w:ind w:firstLine="720"/>
        <w:rPr>
          <w:sz w:val="26"/>
          <w:szCs w:val="26"/>
        </w:rPr>
      </w:pPr>
      <w:r w:rsidRPr="00CB5B61">
        <w:rPr>
          <w:rStyle w:val="FootnoteReference"/>
          <w:sz w:val="26"/>
          <w:szCs w:val="26"/>
        </w:rPr>
        <w:footnoteRef/>
      </w:r>
      <w:r w:rsidRPr="00CB5B61">
        <w:rPr>
          <w:sz w:val="26"/>
          <w:szCs w:val="26"/>
        </w:rPr>
        <w:t xml:space="preserve"> </w:t>
      </w:r>
      <w:r>
        <w:rPr>
          <w:sz w:val="26"/>
          <w:szCs w:val="26"/>
        </w:rPr>
        <w:tab/>
        <w:t>The requirements for notice of termination of service are set forth in Section 1406 of the Code, 66 Pa. C.S. § 1406</w:t>
      </w:r>
      <w:r w:rsidR="008853A2">
        <w:rPr>
          <w:sz w:val="26"/>
          <w:szCs w:val="26"/>
        </w:rPr>
        <w:t xml:space="preserve"> and Sections 56.91-56.100 of our Regulations, 52 Pa. Code §§ 56.91-56.100</w:t>
      </w:r>
      <w:r>
        <w:rPr>
          <w:sz w:val="26"/>
          <w:szCs w:val="26"/>
        </w:rPr>
        <w:t xml:space="preserve">.  </w:t>
      </w:r>
    </w:p>
  </w:footnote>
  <w:footnote w:id="9">
    <w:p w:rsidR="00BB50B9" w:rsidRPr="00BB50B9" w:rsidRDefault="00BB50B9" w:rsidP="00BB50B9">
      <w:pPr>
        <w:pStyle w:val="FootnoteText"/>
        <w:ind w:firstLine="720"/>
        <w:rPr>
          <w:sz w:val="26"/>
          <w:szCs w:val="26"/>
        </w:rPr>
      </w:pPr>
      <w:r w:rsidRPr="00BB50B9">
        <w:rPr>
          <w:rStyle w:val="FootnoteReference"/>
          <w:sz w:val="26"/>
          <w:szCs w:val="26"/>
        </w:rPr>
        <w:footnoteRef/>
      </w:r>
      <w:r w:rsidRPr="00BB50B9">
        <w:rPr>
          <w:sz w:val="26"/>
          <w:szCs w:val="26"/>
        </w:rPr>
        <w:t xml:space="preserve"> </w:t>
      </w:r>
      <w:r>
        <w:rPr>
          <w:sz w:val="26"/>
          <w:szCs w:val="26"/>
        </w:rPr>
        <w:tab/>
        <w:t>PECO present</w:t>
      </w:r>
      <w:r w:rsidR="008F7A15">
        <w:rPr>
          <w:sz w:val="26"/>
          <w:szCs w:val="26"/>
        </w:rPr>
        <w:t>ed</w:t>
      </w:r>
      <w:r>
        <w:rPr>
          <w:sz w:val="26"/>
          <w:szCs w:val="26"/>
        </w:rPr>
        <w:t xml:space="preserve"> evidence that its automated system contacted the Complainant at 8:07 p.m., on October 11, 2011, and at 2:30 p.m., on October 12, 2011, with </w:t>
      </w:r>
      <w:r w:rsidR="003D5C83">
        <w:rPr>
          <w:sz w:val="26"/>
          <w:szCs w:val="26"/>
        </w:rPr>
        <w:t>seventy</w:t>
      </w:r>
      <w:r>
        <w:rPr>
          <w:sz w:val="26"/>
          <w:szCs w:val="26"/>
        </w:rPr>
        <w:t>-</w:t>
      </w:r>
      <w:r w:rsidR="003D5C83">
        <w:rPr>
          <w:sz w:val="26"/>
          <w:szCs w:val="26"/>
        </w:rPr>
        <w:t xml:space="preserve">two </w:t>
      </w:r>
      <w:r>
        <w:rPr>
          <w:sz w:val="26"/>
          <w:szCs w:val="26"/>
        </w:rPr>
        <w:t xml:space="preserve">hour termination notices.  I.D. at </w:t>
      </w:r>
      <w:r w:rsidR="008F7A15">
        <w:rPr>
          <w:sz w:val="26"/>
          <w:szCs w:val="26"/>
        </w:rPr>
        <w:t xml:space="preserve">10.  </w:t>
      </w:r>
    </w:p>
  </w:footnote>
  <w:footnote w:id="10">
    <w:p w:rsidR="00987EBF" w:rsidRPr="00987EBF" w:rsidRDefault="00987EBF" w:rsidP="00661C73">
      <w:pPr>
        <w:pStyle w:val="FootnoteText"/>
        <w:keepLines/>
        <w:ind w:firstLine="720"/>
        <w:rPr>
          <w:sz w:val="26"/>
          <w:szCs w:val="26"/>
        </w:rPr>
      </w:pPr>
      <w:r w:rsidRPr="00987EBF">
        <w:rPr>
          <w:rStyle w:val="FootnoteReference"/>
          <w:sz w:val="26"/>
          <w:szCs w:val="26"/>
        </w:rPr>
        <w:footnoteRef/>
      </w:r>
      <w:r w:rsidRPr="00987EBF">
        <w:rPr>
          <w:sz w:val="26"/>
          <w:szCs w:val="26"/>
        </w:rPr>
        <w:t xml:space="preserve"> </w:t>
      </w:r>
      <w:r>
        <w:rPr>
          <w:sz w:val="26"/>
          <w:szCs w:val="26"/>
        </w:rPr>
        <w:tab/>
      </w:r>
      <w:r w:rsidR="0067382E">
        <w:rPr>
          <w:sz w:val="26"/>
          <w:szCs w:val="26"/>
        </w:rPr>
        <w:t xml:space="preserve">The ALJ added that the Respondent’s tariff filed with the Commission is relevant to the Complainant’s allegations because it has the force of law and is binding on the utility and the consumer.  </w:t>
      </w:r>
      <w:r>
        <w:rPr>
          <w:sz w:val="26"/>
          <w:szCs w:val="26"/>
        </w:rPr>
        <w:t>PECO’s tariff provides, in part, that “[t]he Company does not guarantee continuous, regular and uninterrupted supply of service.”  PECO Tariff Electric--Pa. P.U.C. N</w:t>
      </w:r>
      <w:r w:rsidR="0067382E">
        <w:rPr>
          <w:sz w:val="26"/>
          <w:szCs w:val="26"/>
        </w:rPr>
        <w:t xml:space="preserve">o. 4 on January 1, 2010, at 4. </w:t>
      </w:r>
    </w:p>
  </w:footnote>
  <w:footnote w:id="11">
    <w:p w:rsidR="00285460" w:rsidRPr="00285460" w:rsidRDefault="00285460" w:rsidP="00285460">
      <w:pPr>
        <w:pStyle w:val="FootnoteText"/>
        <w:ind w:firstLine="720"/>
        <w:rPr>
          <w:sz w:val="26"/>
          <w:szCs w:val="26"/>
        </w:rPr>
      </w:pPr>
      <w:r w:rsidRPr="00285460">
        <w:rPr>
          <w:rStyle w:val="FootnoteReference"/>
          <w:sz w:val="26"/>
          <w:szCs w:val="26"/>
        </w:rPr>
        <w:footnoteRef/>
      </w:r>
      <w:r w:rsidRPr="00285460">
        <w:rPr>
          <w:sz w:val="26"/>
          <w:szCs w:val="26"/>
        </w:rPr>
        <w:t xml:space="preserve"> </w:t>
      </w:r>
      <w:r>
        <w:rPr>
          <w:sz w:val="26"/>
          <w:szCs w:val="26"/>
        </w:rPr>
        <w:tab/>
        <w:t>For example, the Complainant’s property is adjacent to a heavily wooded area in Fairmo</w:t>
      </w:r>
      <w:r w:rsidR="00365264">
        <w:rPr>
          <w:sz w:val="26"/>
          <w:szCs w:val="26"/>
        </w:rPr>
        <w:t>u</w:t>
      </w:r>
      <w:r>
        <w:rPr>
          <w:sz w:val="26"/>
          <w:szCs w:val="26"/>
        </w:rPr>
        <w:t>nt Park in Philadelphia and PECO is required to submit a case report with the Fairmo</w:t>
      </w:r>
      <w:r w:rsidR="00365264">
        <w:rPr>
          <w:sz w:val="26"/>
          <w:szCs w:val="26"/>
        </w:rPr>
        <w:t>u</w:t>
      </w:r>
      <w:r>
        <w:rPr>
          <w:sz w:val="26"/>
          <w:szCs w:val="26"/>
        </w:rPr>
        <w:t>nt Park Commission in order to remove any tre</w:t>
      </w:r>
      <w:r w:rsidR="007C1BE7">
        <w:rPr>
          <w:sz w:val="26"/>
          <w:szCs w:val="26"/>
        </w:rPr>
        <w:t>es within its grounds.  I.D. at </w:t>
      </w:r>
      <w:r>
        <w:rPr>
          <w:sz w:val="26"/>
          <w:szCs w:val="26"/>
        </w:rPr>
        <w:t xml:space="preserve">25.  </w:t>
      </w:r>
    </w:p>
  </w:footnote>
  <w:footnote w:id="12">
    <w:p w:rsidR="00D658D9" w:rsidRPr="0077557F" w:rsidRDefault="00D658D9" w:rsidP="00D658D9">
      <w:pPr>
        <w:ind w:firstLine="720"/>
        <w:rPr>
          <w:sz w:val="26"/>
          <w:szCs w:val="26"/>
        </w:rPr>
      </w:pPr>
      <w:r w:rsidRPr="00D658D9">
        <w:rPr>
          <w:rStyle w:val="FootnoteReference"/>
          <w:sz w:val="26"/>
          <w:szCs w:val="26"/>
        </w:rPr>
        <w:footnoteRef/>
      </w:r>
      <w:r w:rsidRPr="00D658D9">
        <w:rPr>
          <w:sz w:val="26"/>
          <w:szCs w:val="26"/>
        </w:rPr>
        <w:t xml:space="preserve"> </w:t>
      </w:r>
      <w:r>
        <w:rPr>
          <w:sz w:val="26"/>
          <w:szCs w:val="26"/>
        </w:rPr>
        <w:tab/>
        <w:t xml:space="preserve">First, he appears to argue that paragraph 22 of the Findings of Fact, which stated Mr. Atuahene was at a doctor’s appointment on the date of his service termination on October 18, 2011, was somehow contradicted by the ALJ’s discussion </w:t>
      </w:r>
      <w:r w:rsidR="00BC7D4E">
        <w:rPr>
          <w:sz w:val="26"/>
          <w:szCs w:val="26"/>
        </w:rPr>
        <w:t>of</w:t>
      </w:r>
      <w:r>
        <w:rPr>
          <w:sz w:val="26"/>
          <w:szCs w:val="26"/>
        </w:rPr>
        <w:t xml:space="preserve"> the Complainant </w:t>
      </w:r>
      <w:r w:rsidR="00BC7D4E">
        <w:rPr>
          <w:sz w:val="26"/>
          <w:szCs w:val="26"/>
        </w:rPr>
        <w:t>being</w:t>
      </w:r>
      <w:r>
        <w:rPr>
          <w:sz w:val="26"/>
          <w:szCs w:val="26"/>
        </w:rPr>
        <w:t xml:space="preserve"> home </w:t>
      </w:r>
      <w:r w:rsidR="00BC7D4E">
        <w:rPr>
          <w:sz w:val="26"/>
          <w:szCs w:val="26"/>
        </w:rPr>
        <w:t xml:space="preserve">and </w:t>
      </w:r>
      <w:r>
        <w:rPr>
          <w:sz w:val="26"/>
          <w:szCs w:val="26"/>
        </w:rPr>
        <w:t xml:space="preserve">recovering from a medical condition on October 11 and 12, 2011.  Petition at 3.  </w:t>
      </w:r>
      <w:r w:rsidR="0077557F">
        <w:rPr>
          <w:sz w:val="26"/>
          <w:szCs w:val="26"/>
        </w:rPr>
        <w:t>The Complainant emphasizes that he was “so ill to have visited his doctor on October 18, 2011</w:t>
      </w:r>
      <w:r w:rsidR="008D2412">
        <w:rPr>
          <w:sz w:val="26"/>
          <w:szCs w:val="26"/>
        </w:rPr>
        <w:t>[,]</w:t>
      </w:r>
      <w:r w:rsidR="0077557F">
        <w:rPr>
          <w:sz w:val="26"/>
          <w:szCs w:val="26"/>
        </w:rPr>
        <w:t xml:space="preserve"> when his electric service was terminated.”  </w:t>
      </w:r>
      <w:r w:rsidR="0077557F">
        <w:rPr>
          <w:i/>
          <w:sz w:val="26"/>
          <w:szCs w:val="26"/>
        </w:rPr>
        <w:t xml:space="preserve">Id. </w:t>
      </w:r>
      <w:r w:rsidR="0077557F">
        <w:rPr>
          <w:sz w:val="26"/>
          <w:szCs w:val="26"/>
        </w:rPr>
        <w:t xml:space="preserve"> </w:t>
      </w:r>
      <w:r w:rsidR="00BC7D4E">
        <w:rPr>
          <w:sz w:val="26"/>
          <w:szCs w:val="26"/>
        </w:rPr>
        <w:t>However, h</w:t>
      </w:r>
      <w:r w:rsidR="0077557F">
        <w:rPr>
          <w:sz w:val="26"/>
          <w:szCs w:val="26"/>
        </w:rPr>
        <w:t xml:space="preserve">e provides no explanation of how </w:t>
      </w:r>
      <w:r w:rsidR="00C12EE7">
        <w:rPr>
          <w:sz w:val="26"/>
          <w:szCs w:val="26"/>
        </w:rPr>
        <w:t xml:space="preserve">he believes </w:t>
      </w:r>
      <w:r w:rsidR="0077557F">
        <w:rPr>
          <w:sz w:val="26"/>
          <w:szCs w:val="26"/>
        </w:rPr>
        <w:t>the ALJ’</w:t>
      </w:r>
      <w:r w:rsidR="00BC7D4E">
        <w:rPr>
          <w:sz w:val="26"/>
          <w:szCs w:val="26"/>
        </w:rPr>
        <w:t>s finding</w:t>
      </w:r>
      <w:r w:rsidR="0077557F">
        <w:rPr>
          <w:sz w:val="26"/>
          <w:szCs w:val="26"/>
        </w:rPr>
        <w:t xml:space="preserve"> w</w:t>
      </w:r>
      <w:r w:rsidR="00BC7D4E">
        <w:rPr>
          <w:sz w:val="26"/>
          <w:szCs w:val="26"/>
        </w:rPr>
        <w:t>as</w:t>
      </w:r>
      <w:r w:rsidR="0077557F">
        <w:rPr>
          <w:sz w:val="26"/>
          <w:szCs w:val="26"/>
        </w:rPr>
        <w:t xml:space="preserve"> erroneous.  </w:t>
      </w:r>
    </w:p>
    <w:p w:rsidR="00D658D9" w:rsidRPr="00D658D9" w:rsidRDefault="00D658D9" w:rsidP="00D658D9">
      <w:pPr>
        <w:pStyle w:val="FootnoteText"/>
        <w:ind w:firstLine="720"/>
        <w:rPr>
          <w:sz w:val="26"/>
          <w:szCs w:val="26"/>
        </w:rPr>
      </w:pPr>
    </w:p>
  </w:footnote>
  <w:footnote w:id="13">
    <w:p w:rsidR="00DB20BF" w:rsidRPr="00DB20BF" w:rsidRDefault="00DB20BF" w:rsidP="00DB20BF">
      <w:pPr>
        <w:pStyle w:val="FootnoteText"/>
        <w:ind w:firstLine="720"/>
        <w:rPr>
          <w:sz w:val="26"/>
          <w:szCs w:val="26"/>
        </w:rPr>
      </w:pPr>
      <w:r w:rsidRPr="00DB20BF">
        <w:rPr>
          <w:rStyle w:val="FootnoteReference"/>
          <w:sz w:val="26"/>
          <w:szCs w:val="26"/>
        </w:rPr>
        <w:footnoteRef/>
      </w:r>
      <w:r w:rsidRPr="00DB20BF">
        <w:rPr>
          <w:sz w:val="26"/>
          <w:szCs w:val="26"/>
        </w:rPr>
        <w:t xml:space="preserve"> </w:t>
      </w:r>
      <w:r>
        <w:rPr>
          <w:sz w:val="26"/>
          <w:szCs w:val="26"/>
        </w:rPr>
        <w:tab/>
      </w:r>
      <w:r w:rsidR="00C15AA9">
        <w:rPr>
          <w:sz w:val="26"/>
          <w:szCs w:val="26"/>
        </w:rPr>
        <w:t>In addition, the</w:t>
      </w:r>
      <w:r>
        <w:rPr>
          <w:sz w:val="26"/>
          <w:szCs w:val="24"/>
        </w:rPr>
        <w:t xml:space="preserve"> Complainant simply s</w:t>
      </w:r>
      <w:r w:rsidR="00C15AA9">
        <w:rPr>
          <w:sz w:val="26"/>
          <w:szCs w:val="24"/>
        </w:rPr>
        <w:t>tates</w:t>
      </w:r>
      <w:r>
        <w:rPr>
          <w:sz w:val="26"/>
          <w:szCs w:val="24"/>
        </w:rPr>
        <w:t xml:space="preserve"> the account summary for September 2008 to August 2009, which totaled $1,119.95, provided sufficient proof of PECO’s overbilling when compared with </w:t>
      </w:r>
      <w:r w:rsidR="00EE3E91">
        <w:rPr>
          <w:sz w:val="26"/>
          <w:szCs w:val="24"/>
        </w:rPr>
        <w:t>September 2010 to August 2011 which totaled $612.72</w:t>
      </w:r>
      <w:r>
        <w:rPr>
          <w:sz w:val="26"/>
          <w:szCs w:val="24"/>
        </w:rPr>
        <w:t xml:space="preserve">.  </w:t>
      </w:r>
      <w:r w:rsidR="00C15AA9">
        <w:rPr>
          <w:sz w:val="26"/>
          <w:szCs w:val="24"/>
        </w:rPr>
        <w:t>However, this information</w:t>
      </w:r>
      <w:r w:rsidR="00EE3E91">
        <w:rPr>
          <w:sz w:val="26"/>
          <w:szCs w:val="24"/>
        </w:rPr>
        <w:t xml:space="preserve"> actually supports the ALJ’s finding that the service billings post-2010 were less than the pre-2010 bills.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644"/>
    <w:rsid w:val="00000D47"/>
    <w:rsid w:val="00001FC8"/>
    <w:rsid w:val="000020EC"/>
    <w:rsid w:val="00003CD5"/>
    <w:rsid w:val="00003E27"/>
    <w:rsid w:val="00006685"/>
    <w:rsid w:val="00006F35"/>
    <w:rsid w:val="000118E4"/>
    <w:rsid w:val="00016D57"/>
    <w:rsid w:val="00017852"/>
    <w:rsid w:val="000207B7"/>
    <w:rsid w:val="00021E46"/>
    <w:rsid w:val="00022B74"/>
    <w:rsid w:val="0002410B"/>
    <w:rsid w:val="00024D5A"/>
    <w:rsid w:val="0002524C"/>
    <w:rsid w:val="00025AE5"/>
    <w:rsid w:val="00025F3F"/>
    <w:rsid w:val="00026CD2"/>
    <w:rsid w:val="000273A5"/>
    <w:rsid w:val="00031CC2"/>
    <w:rsid w:val="0003764E"/>
    <w:rsid w:val="00040A8E"/>
    <w:rsid w:val="00040AEA"/>
    <w:rsid w:val="000465BF"/>
    <w:rsid w:val="00047874"/>
    <w:rsid w:val="00047F4A"/>
    <w:rsid w:val="00051A19"/>
    <w:rsid w:val="000523D1"/>
    <w:rsid w:val="00052B8F"/>
    <w:rsid w:val="00054612"/>
    <w:rsid w:val="0005572E"/>
    <w:rsid w:val="00056286"/>
    <w:rsid w:val="000565D4"/>
    <w:rsid w:val="000612FD"/>
    <w:rsid w:val="000642AA"/>
    <w:rsid w:val="000649EC"/>
    <w:rsid w:val="00064AF0"/>
    <w:rsid w:val="00066EE5"/>
    <w:rsid w:val="00067260"/>
    <w:rsid w:val="000676B7"/>
    <w:rsid w:val="00070D5C"/>
    <w:rsid w:val="00072808"/>
    <w:rsid w:val="00074B0D"/>
    <w:rsid w:val="00076F35"/>
    <w:rsid w:val="0008052C"/>
    <w:rsid w:val="00084573"/>
    <w:rsid w:val="00084AF9"/>
    <w:rsid w:val="0008598C"/>
    <w:rsid w:val="00086293"/>
    <w:rsid w:val="000873C5"/>
    <w:rsid w:val="000918D4"/>
    <w:rsid w:val="00091F11"/>
    <w:rsid w:val="0009223B"/>
    <w:rsid w:val="00093164"/>
    <w:rsid w:val="00094D3B"/>
    <w:rsid w:val="0009612D"/>
    <w:rsid w:val="00097504"/>
    <w:rsid w:val="000A2639"/>
    <w:rsid w:val="000A2994"/>
    <w:rsid w:val="000A365D"/>
    <w:rsid w:val="000A490A"/>
    <w:rsid w:val="000A554F"/>
    <w:rsid w:val="000B216D"/>
    <w:rsid w:val="000B2755"/>
    <w:rsid w:val="000B2AF0"/>
    <w:rsid w:val="000B2E41"/>
    <w:rsid w:val="000B4A40"/>
    <w:rsid w:val="000B4EAE"/>
    <w:rsid w:val="000B5238"/>
    <w:rsid w:val="000B607A"/>
    <w:rsid w:val="000B6B15"/>
    <w:rsid w:val="000C1135"/>
    <w:rsid w:val="000C1383"/>
    <w:rsid w:val="000C1425"/>
    <w:rsid w:val="000C2AE3"/>
    <w:rsid w:val="000C2E78"/>
    <w:rsid w:val="000C346C"/>
    <w:rsid w:val="000C5440"/>
    <w:rsid w:val="000C6DD4"/>
    <w:rsid w:val="000C709A"/>
    <w:rsid w:val="000D0D64"/>
    <w:rsid w:val="000D0F8E"/>
    <w:rsid w:val="000D2201"/>
    <w:rsid w:val="000D5232"/>
    <w:rsid w:val="000D6AC2"/>
    <w:rsid w:val="000D6B37"/>
    <w:rsid w:val="000D7305"/>
    <w:rsid w:val="000D7F4F"/>
    <w:rsid w:val="000E2812"/>
    <w:rsid w:val="000E33AF"/>
    <w:rsid w:val="000E426A"/>
    <w:rsid w:val="000F0AD9"/>
    <w:rsid w:val="000F1560"/>
    <w:rsid w:val="000F179E"/>
    <w:rsid w:val="000F1D55"/>
    <w:rsid w:val="000F1EE9"/>
    <w:rsid w:val="000F4307"/>
    <w:rsid w:val="000F5DE6"/>
    <w:rsid w:val="0010158F"/>
    <w:rsid w:val="00101F51"/>
    <w:rsid w:val="001026CA"/>
    <w:rsid w:val="00104D9B"/>
    <w:rsid w:val="00106D9D"/>
    <w:rsid w:val="001117FF"/>
    <w:rsid w:val="0011486A"/>
    <w:rsid w:val="00116593"/>
    <w:rsid w:val="00117CB2"/>
    <w:rsid w:val="00120B39"/>
    <w:rsid w:val="00121C48"/>
    <w:rsid w:val="001238E5"/>
    <w:rsid w:val="00123A2E"/>
    <w:rsid w:val="00124071"/>
    <w:rsid w:val="00124BCE"/>
    <w:rsid w:val="001254D6"/>
    <w:rsid w:val="00125FA2"/>
    <w:rsid w:val="001267D4"/>
    <w:rsid w:val="00132DA5"/>
    <w:rsid w:val="00135972"/>
    <w:rsid w:val="001360FC"/>
    <w:rsid w:val="001404B2"/>
    <w:rsid w:val="00140987"/>
    <w:rsid w:val="001413E1"/>
    <w:rsid w:val="001447A0"/>
    <w:rsid w:val="0014497F"/>
    <w:rsid w:val="00144A8F"/>
    <w:rsid w:val="00144E8C"/>
    <w:rsid w:val="00146D52"/>
    <w:rsid w:val="00146DDD"/>
    <w:rsid w:val="00146E58"/>
    <w:rsid w:val="00147145"/>
    <w:rsid w:val="00150096"/>
    <w:rsid w:val="001500F6"/>
    <w:rsid w:val="001508E4"/>
    <w:rsid w:val="0015380A"/>
    <w:rsid w:val="00154CB6"/>
    <w:rsid w:val="00157117"/>
    <w:rsid w:val="0016020D"/>
    <w:rsid w:val="00162A56"/>
    <w:rsid w:val="00164DA4"/>
    <w:rsid w:val="00166298"/>
    <w:rsid w:val="001663C8"/>
    <w:rsid w:val="00174D3D"/>
    <w:rsid w:val="001762A9"/>
    <w:rsid w:val="00181F6E"/>
    <w:rsid w:val="00182478"/>
    <w:rsid w:val="001831ED"/>
    <w:rsid w:val="0018461B"/>
    <w:rsid w:val="00184723"/>
    <w:rsid w:val="0018653B"/>
    <w:rsid w:val="00186A97"/>
    <w:rsid w:val="001911BF"/>
    <w:rsid w:val="00192094"/>
    <w:rsid w:val="0019351C"/>
    <w:rsid w:val="0019530E"/>
    <w:rsid w:val="00195585"/>
    <w:rsid w:val="00195F2E"/>
    <w:rsid w:val="001A5778"/>
    <w:rsid w:val="001A5E7A"/>
    <w:rsid w:val="001B05AC"/>
    <w:rsid w:val="001B1913"/>
    <w:rsid w:val="001B1DB4"/>
    <w:rsid w:val="001B28AE"/>
    <w:rsid w:val="001B2DE6"/>
    <w:rsid w:val="001B4AA9"/>
    <w:rsid w:val="001B7DA2"/>
    <w:rsid w:val="001B7F81"/>
    <w:rsid w:val="001C3E94"/>
    <w:rsid w:val="001C4978"/>
    <w:rsid w:val="001C54F5"/>
    <w:rsid w:val="001C7C2A"/>
    <w:rsid w:val="001D0ED2"/>
    <w:rsid w:val="001D1F7F"/>
    <w:rsid w:val="001D5238"/>
    <w:rsid w:val="001D5C40"/>
    <w:rsid w:val="001D6096"/>
    <w:rsid w:val="001D6EAB"/>
    <w:rsid w:val="001E0B61"/>
    <w:rsid w:val="001E1276"/>
    <w:rsid w:val="001E2C66"/>
    <w:rsid w:val="001F285E"/>
    <w:rsid w:val="001F4B29"/>
    <w:rsid w:val="001F4EA6"/>
    <w:rsid w:val="001F5292"/>
    <w:rsid w:val="001F6C7F"/>
    <w:rsid w:val="001F70B5"/>
    <w:rsid w:val="002006D6"/>
    <w:rsid w:val="00200784"/>
    <w:rsid w:val="00202524"/>
    <w:rsid w:val="0021059B"/>
    <w:rsid w:val="00210736"/>
    <w:rsid w:val="00210F81"/>
    <w:rsid w:val="00211622"/>
    <w:rsid w:val="00214B3E"/>
    <w:rsid w:val="00215B63"/>
    <w:rsid w:val="00215BA0"/>
    <w:rsid w:val="00222CDF"/>
    <w:rsid w:val="00224218"/>
    <w:rsid w:val="00224CFA"/>
    <w:rsid w:val="00225E07"/>
    <w:rsid w:val="00226034"/>
    <w:rsid w:val="0022698E"/>
    <w:rsid w:val="00227906"/>
    <w:rsid w:val="00227912"/>
    <w:rsid w:val="0023031F"/>
    <w:rsid w:val="00230BA7"/>
    <w:rsid w:val="00230D7D"/>
    <w:rsid w:val="00230DEE"/>
    <w:rsid w:val="002311EE"/>
    <w:rsid w:val="00233369"/>
    <w:rsid w:val="0023353B"/>
    <w:rsid w:val="002370F5"/>
    <w:rsid w:val="00240ACA"/>
    <w:rsid w:val="00240D7B"/>
    <w:rsid w:val="00240E6F"/>
    <w:rsid w:val="00241299"/>
    <w:rsid w:val="00241D85"/>
    <w:rsid w:val="0024419F"/>
    <w:rsid w:val="00245014"/>
    <w:rsid w:val="00246002"/>
    <w:rsid w:val="00247022"/>
    <w:rsid w:val="00252CDB"/>
    <w:rsid w:val="00253DA6"/>
    <w:rsid w:val="00255462"/>
    <w:rsid w:val="00255DD5"/>
    <w:rsid w:val="00255FEC"/>
    <w:rsid w:val="00260957"/>
    <w:rsid w:val="00264646"/>
    <w:rsid w:val="00266175"/>
    <w:rsid w:val="002709CD"/>
    <w:rsid w:val="00271EEF"/>
    <w:rsid w:val="0027232D"/>
    <w:rsid w:val="002732AB"/>
    <w:rsid w:val="00274D0F"/>
    <w:rsid w:val="0027563D"/>
    <w:rsid w:val="00276E47"/>
    <w:rsid w:val="00277500"/>
    <w:rsid w:val="00280033"/>
    <w:rsid w:val="00281632"/>
    <w:rsid w:val="00281A5F"/>
    <w:rsid w:val="00283BA3"/>
    <w:rsid w:val="00284971"/>
    <w:rsid w:val="00285460"/>
    <w:rsid w:val="002875F7"/>
    <w:rsid w:val="00290D9F"/>
    <w:rsid w:val="002916C2"/>
    <w:rsid w:val="00291F68"/>
    <w:rsid w:val="002978AE"/>
    <w:rsid w:val="002A060A"/>
    <w:rsid w:val="002A0E52"/>
    <w:rsid w:val="002A24BD"/>
    <w:rsid w:val="002A4450"/>
    <w:rsid w:val="002A60F5"/>
    <w:rsid w:val="002A6750"/>
    <w:rsid w:val="002A7BED"/>
    <w:rsid w:val="002B10F7"/>
    <w:rsid w:val="002B1572"/>
    <w:rsid w:val="002B2296"/>
    <w:rsid w:val="002B34B6"/>
    <w:rsid w:val="002B3612"/>
    <w:rsid w:val="002B4407"/>
    <w:rsid w:val="002B4507"/>
    <w:rsid w:val="002B5766"/>
    <w:rsid w:val="002B5B40"/>
    <w:rsid w:val="002B67B7"/>
    <w:rsid w:val="002C0429"/>
    <w:rsid w:val="002C165F"/>
    <w:rsid w:val="002C19E4"/>
    <w:rsid w:val="002C2DFB"/>
    <w:rsid w:val="002C6CC4"/>
    <w:rsid w:val="002D13C4"/>
    <w:rsid w:val="002D275E"/>
    <w:rsid w:val="002D42E8"/>
    <w:rsid w:val="002D6357"/>
    <w:rsid w:val="002D7584"/>
    <w:rsid w:val="002D7CE7"/>
    <w:rsid w:val="002E00D1"/>
    <w:rsid w:val="002E0D27"/>
    <w:rsid w:val="002E1460"/>
    <w:rsid w:val="002E1F0F"/>
    <w:rsid w:val="002E23A4"/>
    <w:rsid w:val="002E3026"/>
    <w:rsid w:val="002E3F06"/>
    <w:rsid w:val="002E5807"/>
    <w:rsid w:val="002E6FFA"/>
    <w:rsid w:val="002E79DE"/>
    <w:rsid w:val="002E7F8F"/>
    <w:rsid w:val="002F1105"/>
    <w:rsid w:val="002F13A0"/>
    <w:rsid w:val="002F3F04"/>
    <w:rsid w:val="002F41BA"/>
    <w:rsid w:val="002F4F00"/>
    <w:rsid w:val="00300145"/>
    <w:rsid w:val="003006D8"/>
    <w:rsid w:val="003018AA"/>
    <w:rsid w:val="00302C45"/>
    <w:rsid w:val="00303B99"/>
    <w:rsid w:val="00304757"/>
    <w:rsid w:val="0030533A"/>
    <w:rsid w:val="00305D56"/>
    <w:rsid w:val="00305D99"/>
    <w:rsid w:val="00306A8B"/>
    <w:rsid w:val="0030714F"/>
    <w:rsid w:val="003073E2"/>
    <w:rsid w:val="00307DDF"/>
    <w:rsid w:val="00314A43"/>
    <w:rsid w:val="00320728"/>
    <w:rsid w:val="00322040"/>
    <w:rsid w:val="0032286E"/>
    <w:rsid w:val="003240B8"/>
    <w:rsid w:val="00325422"/>
    <w:rsid w:val="00325555"/>
    <w:rsid w:val="00325BB3"/>
    <w:rsid w:val="00325D89"/>
    <w:rsid w:val="00330D53"/>
    <w:rsid w:val="0033216E"/>
    <w:rsid w:val="00332C4B"/>
    <w:rsid w:val="00332DA2"/>
    <w:rsid w:val="00333FDA"/>
    <w:rsid w:val="003340DE"/>
    <w:rsid w:val="00336DA6"/>
    <w:rsid w:val="00340D19"/>
    <w:rsid w:val="0034422C"/>
    <w:rsid w:val="00344804"/>
    <w:rsid w:val="00344B70"/>
    <w:rsid w:val="003518C8"/>
    <w:rsid w:val="0035194C"/>
    <w:rsid w:val="00352A3C"/>
    <w:rsid w:val="003533B5"/>
    <w:rsid w:val="003622CA"/>
    <w:rsid w:val="00363030"/>
    <w:rsid w:val="0036316A"/>
    <w:rsid w:val="0036462C"/>
    <w:rsid w:val="00364A42"/>
    <w:rsid w:val="00365264"/>
    <w:rsid w:val="00365CE3"/>
    <w:rsid w:val="00366281"/>
    <w:rsid w:val="003665A9"/>
    <w:rsid w:val="003710F8"/>
    <w:rsid w:val="00372487"/>
    <w:rsid w:val="003755FB"/>
    <w:rsid w:val="0037577C"/>
    <w:rsid w:val="003772C7"/>
    <w:rsid w:val="00377F25"/>
    <w:rsid w:val="00381A18"/>
    <w:rsid w:val="00385502"/>
    <w:rsid w:val="00386223"/>
    <w:rsid w:val="003901D9"/>
    <w:rsid w:val="00391A43"/>
    <w:rsid w:val="0039637C"/>
    <w:rsid w:val="0039741D"/>
    <w:rsid w:val="003A0BDB"/>
    <w:rsid w:val="003A3379"/>
    <w:rsid w:val="003A49DA"/>
    <w:rsid w:val="003A6CAC"/>
    <w:rsid w:val="003A7416"/>
    <w:rsid w:val="003B0611"/>
    <w:rsid w:val="003B42D9"/>
    <w:rsid w:val="003C141B"/>
    <w:rsid w:val="003C3140"/>
    <w:rsid w:val="003C3E02"/>
    <w:rsid w:val="003C3FE8"/>
    <w:rsid w:val="003C662D"/>
    <w:rsid w:val="003C708A"/>
    <w:rsid w:val="003C73F9"/>
    <w:rsid w:val="003C7EA2"/>
    <w:rsid w:val="003D1F5A"/>
    <w:rsid w:val="003D3227"/>
    <w:rsid w:val="003D5C83"/>
    <w:rsid w:val="003D5F07"/>
    <w:rsid w:val="003D6AB5"/>
    <w:rsid w:val="003E324F"/>
    <w:rsid w:val="003E3FF5"/>
    <w:rsid w:val="003E441B"/>
    <w:rsid w:val="003E4F24"/>
    <w:rsid w:val="003E5354"/>
    <w:rsid w:val="003E6961"/>
    <w:rsid w:val="003E7BA0"/>
    <w:rsid w:val="003F1ADF"/>
    <w:rsid w:val="003F1B1F"/>
    <w:rsid w:val="003F51F4"/>
    <w:rsid w:val="003F52C6"/>
    <w:rsid w:val="003F558E"/>
    <w:rsid w:val="003F57A0"/>
    <w:rsid w:val="003F5C1C"/>
    <w:rsid w:val="00401660"/>
    <w:rsid w:val="00401EA3"/>
    <w:rsid w:val="004026AB"/>
    <w:rsid w:val="00403D6E"/>
    <w:rsid w:val="00407AC0"/>
    <w:rsid w:val="00412E30"/>
    <w:rsid w:val="00412EF0"/>
    <w:rsid w:val="00415FAC"/>
    <w:rsid w:val="004170AF"/>
    <w:rsid w:val="004176BC"/>
    <w:rsid w:val="00420E78"/>
    <w:rsid w:val="00424121"/>
    <w:rsid w:val="00425F32"/>
    <w:rsid w:val="00427D07"/>
    <w:rsid w:val="004320FE"/>
    <w:rsid w:val="00432BB7"/>
    <w:rsid w:val="00432CF2"/>
    <w:rsid w:val="004331E9"/>
    <w:rsid w:val="00433E8D"/>
    <w:rsid w:val="00434136"/>
    <w:rsid w:val="0043592C"/>
    <w:rsid w:val="004369EF"/>
    <w:rsid w:val="004373CE"/>
    <w:rsid w:val="00440B75"/>
    <w:rsid w:val="00441207"/>
    <w:rsid w:val="00441374"/>
    <w:rsid w:val="004422CA"/>
    <w:rsid w:val="00443807"/>
    <w:rsid w:val="004462F7"/>
    <w:rsid w:val="00452BC4"/>
    <w:rsid w:val="00453DAD"/>
    <w:rsid w:val="004579A4"/>
    <w:rsid w:val="0046019D"/>
    <w:rsid w:val="0046055D"/>
    <w:rsid w:val="00462FF4"/>
    <w:rsid w:val="00464536"/>
    <w:rsid w:val="0046514E"/>
    <w:rsid w:val="00466159"/>
    <w:rsid w:val="0046623C"/>
    <w:rsid w:val="00467739"/>
    <w:rsid w:val="00470D0C"/>
    <w:rsid w:val="00474E22"/>
    <w:rsid w:val="0047608F"/>
    <w:rsid w:val="00476257"/>
    <w:rsid w:val="00476554"/>
    <w:rsid w:val="004801EF"/>
    <w:rsid w:val="00480853"/>
    <w:rsid w:val="004813D4"/>
    <w:rsid w:val="00483E80"/>
    <w:rsid w:val="0048472F"/>
    <w:rsid w:val="004859C3"/>
    <w:rsid w:val="00486AC9"/>
    <w:rsid w:val="00491D91"/>
    <w:rsid w:val="00492BCC"/>
    <w:rsid w:val="004931C7"/>
    <w:rsid w:val="0049396D"/>
    <w:rsid w:val="0049580C"/>
    <w:rsid w:val="0049768F"/>
    <w:rsid w:val="004A03FF"/>
    <w:rsid w:val="004A04E5"/>
    <w:rsid w:val="004A1495"/>
    <w:rsid w:val="004A2165"/>
    <w:rsid w:val="004A2FC2"/>
    <w:rsid w:val="004A5F74"/>
    <w:rsid w:val="004B07B9"/>
    <w:rsid w:val="004B1052"/>
    <w:rsid w:val="004B651B"/>
    <w:rsid w:val="004B6B14"/>
    <w:rsid w:val="004C2763"/>
    <w:rsid w:val="004C7594"/>
    <w:rsid w:val="004D28A4"/>
    <w:rsid w:val="004E206C"/>
    <w:rsid w:val="004E41CC"/>
    <w:rsid w:val="004E47EC"/>
    <w:rsid w:val="004E514F"/>
    <w:rsid w:val="004E52F7"/>
    <w:rsid w:val="004E716A"/>
    <w:rsid w:val="004E737F"/>
    <w:rsid w:val="004F03DE"/>
    <w:rsid w:val="004F22DA"/>
    <w:rsid w:val="004F6910"/>
    <w:rsid w:val="004F7A2F"/>
    <w:rsid w:val="00500800"/>
    <w:rsid w:val="00501E95"/>
    <w:rsid w:val="00502165"/>
    <w:rsid w:val="00504834"/>
    <w:rsid w:val="00504C7A"/>
    <w:rsid w:val="00505AEE"/>
    <w:rsid w:val="0050632E"/>
    <w:rsid w:val="0050752D"/>
    <w:rsid w:val="00511EF3"/>
    <w:rsid w:val="0051227C"/>
    <w:rsid w:val="00512712"/>
    <w:rsid w:val="0051386E"/>
    <w:rsid w:val="00514507"/>
    <w:rsid w:val="0051475B"/>
    <w:rsid w:val="00515B78"/>
    <w:rsid w:val="00517BDC"/>
    <w:rsid w:val="00521350"/>
    <w:rsid w:val="00522E26"/>
    <w:rsid w:val="00524D3F"/>
    <w:rsid w:val="0052690E"/>
    <w:rsid w:val="005351B9"/>
    <w:rsid w:val="00536011"/>
    <w:rsid w:val="00540506"/>
    <w:rsid w:val="00545E7B"/>
    <w:rsid w:val="0055024F"/>
    <w:rsid w:val="00550B79"/>
    <w:rsid w:val="00550E71"/>
    <w:rsid w:val="0055150B"/>
    <w:rsid w:val="005532F9"/>
    <w:rsid w:val="0055440B"/>
    <w:rsid w:val="0055708D"/>
    <w:rsid w:val="005601C4"/>
    <w:rsid w:val="005606BE"/>
    <w:rsid w:val="00561CA6"/>
    <w:rsid w:val="005624DB"/>
    <w:rsid w:val="0056362D"/>
    <w:rsid w:val="00564565"/>
    <w:rsid w:val="005647BE"/>
    <w:rsid w:val="00565C75"/>
    <w:rsid w:val="00566093"/>
    <w:rsid w:val="00566299"/>
    <w:rsid w:val="00566635"/>
    <w:rsid w:val="00566DD4"/>
    <w:rsid w:val="00567DE9"/>
    <w:rsid w:val="005725F6"/>
    <w:rsid w:val="00572BAA"/>
    <w:rsid w:val="0057526A"/>
    <w:rsid w:val="00575BBD"/>
    <w:rsid w:val="0057609F"/>
    <w:rsid w:val="0057699D"/>
    <w:rsid w:val="00577CFB"/>
    <w:rsid w:val="00577DB0"/>
    <w:rsid w:val="00580053"/>
    <w:rsid w:val="00582D2F"/>
    <w:rsid w:val="00584C5F"/>
    <w:rsid w:val="00586817"/>
    <w:rsid w:val="00586D92"/>
    <w:rsid w:val="0058723A"/>
    <w:rsid w:val="00587507"/>
    <w:rsid w:val="005964C0"/>
    <w:rsid w:val="00596A0B"/>
    <w:rsid w:val="00596E05"/>
    <w:rsid w:val="00596F85"/>
    <w:rsid w:val="005970FA"/>
    <w:rsid w:val="005A0176"/>
    <w:rsid w:val="005A088E"/>
    <w:rsid w:val="005A2298"/>
    <w:rsid w:val="005A28C1"/>
    <w:rsid w:val="005A43A7"/>
    <w:rsid w:val="005A5022"/>
    <w:rsid w:val="005A72FC"/>
    <w:rsid w:val="005A797B"/>
    <w:rsid w:val="005B0388"/>
    <w:rsid w:val="005B109A"/>
    <w:rsid w:val="005B316C"/>
    <w:rsid w:val="005B420C"/>
    <w:rsid w:val="005C2FD5"/>
    <w:rsid w:val="005C3C4C"/>
    <w:rsid w:val="005C5378"/>
    <w:rsid w:val="005D16A2"/>
    <w:rsid w:val="005D2AB9"/>
    <w:rsid w:val="005D34E2"/>
    <w:rsid w:val="005D496E"/>
    <w:rsid w:val="005D53D4"/>
    <w:rsid w:val="005D6C0B"/>
    <w:rsid w:val="005D7C20"/>
    <w:rsid w:val="005E6960"/>
    <w:rsid w:val="005E7EB8"/>
    <w:rsid w:val="005F02B4"/>
    <w:rsid w:val="005F0BD8"/>
    <w:rsid w:val="005F0C02"/>
    <w:rsid w:val="005F18D6"/>
    <w:rsid w:val="005F1A86"/>
    <w:rsid w:val="005F1B48"/>
    <w:rsid w:val="0060024E"/>
    <w:rsid w:val="00602089"/>
    <w:rsid w:val="00603024"/>
    <w:rsid w:val="00604FC7"/>
    <w:rsid w:val="006116E3"/>
    <w:rsid w:val="00613994"/>
    <w:rsid w:val="00616B7D"/>
    <w:rsid w:val="00620251"/>
    <w:rsid w:val="00620F5A"/>
    <w:rsid w:val="00623430"/>
    <w:rsid w:val="00624400"/>
    <w:rsid w:val="00624733"/>
    <w:rsid w:val="00624E51"/>
    <w:rsid w:val="00626162"/>
    <w:rsid w:val="00626B8B"/>
    <w:rsid w:val="00631FD4"/>
    <w:rsid w:val="006344DE"/>
    <w:rsid w:val="00634719"/>
    <w:rsid w:val="00636A5D"/>
    <w:rsid w:val="006373F9"/>
    <w:rsid w:val="00641D51"/>
    <w:rsid w:val="006423D2"/>
    <w:rsid w:val="006503E8"/>
    <w:rsid w:val="00651C1B"/>
    <w:rsid w:val="00652C73"/>
    <w:rsid w:val="00654A4A"/>
    <w:rsid w:val="006552BB"/>
    <w:rsid w:val="0065545A"/>
    <w:rsid w:val="00655657"/>
    <w:rsid w:val="006556A7"/>
    <w:rsid w:val="00661C73"/>
    <w:rsid w:val="006626F6"/>
    <w:rsid w:val="00663305"/>
    <w:rsid w:val="006661CF"/>
    <w:rsid w:val="0066660C"/>
    <w:rsid w:val="006708DB"/>
    <w:rsid w:val="00670BFD"/>
    <w:rsid w:val="00671E4C"/>
    <w:rsid w:val="00672DD6"/>
    <w:rsid w:val="0067382E"/>
    <w:rsid w:val="00674295"/>
    <w:rsid w:val="006818A8"/>
    <w:rsid w:val="00681A51"/>
    <w:rsid w:val="00682469"/>
    <w:rsid w:val="0068345D"/>
    <w:rsid w:val="00683D97"/>
    <w:rsid w:val="006841DE"/>
    <w:rsid w:val="00684FCA"/>
    <w:rsid w:val="00685105"/>
    <w:rsid w:val="00686B5C"/>
    <w:rsid w:val="006879DE"/>
    <w:rsid w:val="006962FB"/>
    <w:rsid w:val="00696997"/>
    <w:rsid w:val="00697D02"/>
    <w:rsid w:val="006A0AE5"/>
    <w:rsid w:val="006A224F"/>
    <w:rsid w:val="006A3209"/>
    <w:rsid w:val="006A758C"/>
    <w:rsid w:val="006B22C2"/>
    <w:rsid w:val="006B346F"/>
    <w:rsid w:val="006B4DA1"/>
    <w:rsid w:val="006B6F05"/>
    <w:rsid w:val="006C115B"/>
    <w:rsid w:val="006C1EEC"/>
    <w:rsid w:val="006C3CB9"/>
    <w:rsid w:val="006C3F75"/>
    <w:rsid w:val="006C3FEA"/>
    <w:rsid w:val="006C4898"/>
    <w:rsid w:val="006C49D8"/>
    <w:rsid w:val="006C69E7"/>
    <w:rsid w:val="006D01E8"/>
    <w:rsid w:val="006D10AE"/>
    <w:rsid w:val="006D29F2"/>
    <w:rsid w:val="006D7CA2"/>
    <w:rsid w:val="006E065B"/>
    <w:rsid w:val="006E09D3"/>
    <w:rsid w:val="006E1E68"/>
    <w:rsid w:val="006E1E6C"/>
    <w:rsid w:val="006E4254"/>
    <w:rsid w:val="006E5505"/>
    <w:rsid w:val="006E5A42"/>
    <w:rsid w:val="006E79DF"/>
    <w:rsid w:val="006F13C9"/>
    <w:rsid w:val="006F1CFB"/>
    <w:rsid w:val="006F240A"/>
    <w:rsid w:val="006F2FB3"/>
    <w:rsid w:val="006F3EA8"/>
    <w:rsid w:val="006F531B"/>
    <w:rsid w:val="006F62BC"/>
    <w:rsid w:val="00701370"/>
    <w:rsid w:val="00701F86"/>
    <w:rsid w:val="00702493"/>
    <w:rsid w:val="00706DF1"/>
    <w:rsid w:val="00706F91"/>
    <w:rsid w:val="00707CCB"/>
    <w:rsid w:val="00710851"/>
    <w:rsid w:val="00711BC2"/>
    <w:rsid w:val="00714F3B"/>
    <w:rsid w:val="00715FA6"/>
    <w:rsid w:val="007166F7"/>
    <w:rsid w:val="00716AEF"/>
    <w:rsid w:val="00717076"/>
    <w:rsid w:val="00717296"/>
    <w:rsid w:val="00717E97"/>
    <w:rsid w:val="00722967"/>
    <w:rsid w:val="00723FB6"/>
    <w:rsid w:val="00726593"/>
    <w:rsid w:val="00727370"/>
    <w:rsid w:val="0073056F"/>
    <w:rsid w:val="007341CE"/>
    <w:rsid w:val="00735D9E"/>
    <w:rsid w:val="00740756"/>
    <w:rsid w:val="0074109C"/>
    <w:rsid w:val="00741469"/>
    <w:rsid w:val="007418D0"/>
    <w:rsid w:val="00742335"/>
    <w:rsid w:val="00742842"/>
    <w:rsid w:val="00750E4A"/>
    <w:rsid w:val="00753376"/>
    <w:rsid w:val="007536F3"/>
    <w:rsid w:val="007543B0"/>
    <w:rsid w:val="007568A9"/>
    <w:rsid w:val="00761514"/>
    <w:rsid w:val="00763CE7"/>
    <w:rsid w:val="0076456C"/>
    <w:rsid w:val="007655D8"/>
    <w:rsid w:val="00767A87"/>
    <w:rsid w:val="00770A31"/>
    <w:rsid w:val="0077128B"/>
    <w:rsid w:val="00772177"/>
    <w:rsid w:val="0077556F"/>
    <w:rsid w:val="0077557F"/>
    <w:rsid w:val="00775C65"/>
    <w:rsid w:val="0077639A"/>
    <w:rsid w:val="00780A58"/>
    <w:rsid w:val="0078100C"/>
    <w:rsid w:val="00781571"/>
    <w:rsid w:val="0078157F"/>
    <w:rsid w:val="007834F2"/>
    <w:rsid w:val="00786F48"/>
    <w:rsid w:val="0078772C"/>
    <w:rsid w:val="007878E4"/>
    <w:rsid w:val="007902F4"/>
    <w:rsid w:val="007928BD"/>
    <w:rsid w:val="00792B8E"/>
    <w:rsid w:val="0079391F"/>
    <w:rsid w:val="0079575A"/>
    <w:rsid w:val="007963BD"/>
    <w:rsid w:val="007969FB"/>
    <w:rsid w:val="00797FD6"/>
    <w:rsid w:val="007A4783"/>
    <w:rsid w:val="007A5191"/>
    <w:rsid w:val="007B0500"/>
    <w:rsid w:val="007B111B"/>
    <w:rsid w:val="007B20DE"/>
    <w:rsid w:val="007B3AE8"/>
    <w:rsid w:val="007B4418"/>
    <w:rsid w:val="007B51B3"/>
    <w:rsid w:val="007B5F19"/>
    <w:rsid w:val="007B5F62"/>
    <w:rsid w:val="007B66B3"/>
    <w:rsid w:val="007B6753"/>
    <w:rsid w:val="007B7077"/>
    <w:rsid w:val="007C1BE7"/>
    <w:rsid w:val="007C3003"/>
    <w:rsid w:val="007C31B5"/>
    <w:rsid w:val="007C455B"/>
    <w:rsid w:val="007C6B60"/>
    <w:rsid w:val="007C6F85"/>
    <w:rsid w:val="007D3AA0"/>
    <w:rsid w:val="007D3FE2"/>
    <w:rsid w:val="007D5690"/>
    <w:rsid w:val="007D69FA"/>
    <w:rsid w:val="007D7143"/>
    <w:rsid w:val="007E1600"/>
    <w:rsid w:val="007F73BD"/>
    <w:rsid w:val="00805C21"/>
    <w:rsid w:val="00810603"/>
    <w:rsid w:val="00814283"/>
    <w:rsid w:val="008164D4"/>
    <w:rsid w:val="00816AD6"/>
    <w:rsid w:val="00817085"/>
    <w:rsid w:val="00820209"/>
    <w:rsid w:val="00820F35"/>
    <w:rsid w:val="00820FEC"/>
    <w:rsid w:val="0082393D"/>
    <w:rsid w:val="00823B41"/>
    <w:rsid w:val="00827CE5"/>
    <w:rsid w:val="0083324D"/>
    <w:rsid w:val="0083371D"/>
    <w:rsid w:val="0083618C"/>
    <w:rsid w:val="00841733"/>
    <w:rsid w:val="0084270A"/>
    <w:rsid w:val="00844D38"/>
    <w:rsid w:val="00844D85"/>
    <w:rsid w:val="00846E83"/>
    <w:rsid w:val="00847AB0"/>
    <w:rsid w:val="008524BE"/>
    <w:rsid w:val="00852869"/>
    <w:rsid w:val="00852C9E"/>
    <w:rsid w:val="00853BC2"/>
    <w:rsid w:val="0085402A"/>
    <w:rsid w:val="00854278"/>
    <w:rsid w:val="0085486C"/>
    <w:rsid w:val="00856063"/>
    <w:rsid w:val="00857172"/>
    <w:rsid w:val="00860EB4"/>
    <w:rsid w:val="008621D6"/>
    <w:rsid w:val="0086236A"/>
    <w:rsid w:val="0086544C"/>
    <w:rsid w:val="0087035A"/>
    <w:rsid w:val="0087125E"/>
    <w:rsid w:val="0087282C"/>
    <w:rsid w:val="0087347D"/>
    <w:rsid w:val="0087708E"/>
    <w:rsid w:val="00877B1D"/>
    <w:rsid w:val="00881673"/>
    <w:rsid w:val="00882DAD"/>
    <w:rsid w:val="00885263"/>
    <w:rsid w:val="008853A2"/>
    <w:rsid w:val="008855BB"/>
    <w:rsid w:val="008907C4"/>
    <w:rsid w:val="00892DA5"/>
    <w:rsid w:val="008938C6"/>
    <w:rsid w:val="00893EBE"/>
    <w:rsid w:val="008949B1"/>
    <w:rsid w:val="008953F1"/>
    <w:rsid w:val="00895FD4"/>
    <w:rsid w:val="0089713E"/>
    <w:rsid w:val="008A10F3"/>
    <w:rsid w:val="008A5C0F"/>
    <w:rsid w:val="008B1596"/>
    <w:rsid w:val="008B4EA3"/>
    <w:rsid w:val="008C09C4"/>
    <w:rsid w:val="008C1F44"/>
    <w:rsid w:val="008C3140"/>
    <w:rsid w:val="008C349D"/>
    <w:rsid w:val="008C43F1"/>
    <w:rsid w:val="008C6018"/>
    <w:rsid w:val="008C646F"/>
    <w:rsid w:val="008D01FC"/>
    <w:rsid w:val="008D1055"/>
    <w:rsid w:val="008D11D9"/>
    <w:rsid w:val="008D2412"/>
    <w:rsid w:val="008D2ED6"/>
    <w:rsid w:val="008D3B80"/>
    <w:rsid w:val="008D3D43"/>
    <w:rsid w:val="008E38F9"/>
    <w:rsid w:val="008E3E4B"/>
    <w:rsid w:val="008E4805"/>
    <w:rsid w:val="008E4ED1"/>
    <w:rsid w:val="008E4EF9"/>
    <w:rsid w:val="008E6DFC"/>
    <w:rsid w:val="008E7710"/>
    <w:rsid w:val="008F2510"/>
    <w:rsid w:val="008F43D8"/>
    <w:rsid w:val="008F7A15"/>
    <w:rsid w:val="0090074D"/>
    <w:rsid w:val="00900D4D"/>
    <w:rsid w:val="00901728"/>
    <w:rsid w:val="00901AFE"/>
    <w:rsid w:val="00903F34"/>
    <w:rsid w:val="00904DAD"/>
    <w:rsid w:val="00905C0A"/>
    <w:rsid w:val="00905E97"/>
    <w:rsid w:val="0090633B"/>
    <w:rsid w:val="00911BC6"/>
    <w:rsid w:val="009122F8"/>
    <w:rsid w:val="009137C4"/>
    <w:rsid w:val="00915520"/>
    <w:rsid w:val="009155F7"/>
    <w:rsid w:val="00916FA1"/>
    <w:rsid w:val="00921131"/>
    <w:rsid w:val="00923B1D"/>
    <w:rsid w:val="00923DEF"/>
    <w:rsid w:val="009243DF"/>
    <w:rsid w:val="009247F5"/>
    <w:rsid w:val="00926AB2"/>
    <w:rsid w:val="00930C74"/>
    <w:rsid w:val="00931C48"/>
    <w:rsid w:val="00933DB5"/>
    <w:rsid w:val="00934B5E"/>
    <w:rsid w:val="009356E6"/>
    <w:rsid w:val="00937780"/>
    <w:rsid w:val="009407FE"/>
    <w:rsid w:val="00940BD4"/>
    <w:rsid w:val="009419FA"/>
    <w:rsid w:val="00942436"/>
    <w:rsid w:val="00944469"/>
    <w:rsid w:val="00951885"/>
    <w:rsid w:val="00953974"/>
    <w:rsid w:val="00957603"/>
    <w:rsid w:val="00957A1D"/>
    <w:rsid w:val="00960298"/>
    <w:rsid w:val="0096487B"/>
    <w:rsid w:val="0096697B"/>
    <w:rsid w:val="0096699A"/>
    <w:rsid w:val="00974C23"/>
    <w:rsid w:val="00975572"/>
    <w:rsid w:val="009757D1"/>
    <w:rsid w:val="00975907"/>
    <w:rsid w:val="0097674C"/>
    <w:rsid w:val="00980205"/>
    <w:rsid w:val="00980754"/>
    <w:rsid w:val="00981535"/>
    <w:rsid w:val="0098222F"/>
    <w:rsid w:val="009825C8"/>
    <w:rsid w:val="0098409F"/>
    <w:rsid w:val="009843CB"/>
    <w:rsid w:val="00984D38"/>
    <w:rsid w:val="00985537"/>
    <w:rsid w:val="00987EBF"/>
    <w:rsid w:val="00991698"/>
    <w:rsid w:val="00991C17"/>
    <w:rsid w:val="00992D1E"/>
    <w:rsid w:val="00992E05"/>
    <w:rsid w:val="00993755"/>
    <w:rsid w:val="00996145"/>
    <w:rsid w:val="00997EB2"/>
    <w:rsid w:val="009A06F5"/>
    <w:rsid w:val="009A0788"/>
    <w:rsid w:val="009A0E92"/>
    <w:rsid w:val="009A17EC"/>
    <w:rsid w:val="009A2EF5"/>
    <w:rsid w:val="009A39E6"/>
    <w:rsid w:val="009A6A2D"/>
    <w:rsid w:val="009B03DF"/>
    <w:rsid w:val="009B1F16"/>
    <w:rsid w:val="009B5BE5"/>
    <w:rsid w:val="009B6AF0"/>
    <w:rsid w:val="009C292D"/>
    <w:rsid w:val="009C41C8"/>
    <w:rsid w:val="009C5D5D"/>
    <w:rsid w:val="009C5F0C"/>
    <w:rsid w:val="009C67C0"/>
    <w:rsid w:val="009C7D91"/>
    <w:rsid w:val="009D024B"/>
    <w:rsid w:val="009D1035"/>
    <w:rsid w:val="009D13D0"/>
    <w:rsid w:val="009D2068"/>
    <w:rsid w:val="009D27A3"/>
    <w:rsid w:val="009D3FAB"/>
    <w:rsid w:val="009D4C89"/>
    <w:rsid w:val="009D7D01"/>
    <w:rsid w:val="009D7D33"/>
    <w:rsid w:val="009E4DD4"/>
    <w:rsid w:val="009E4E3F"/>
    <w:rsid w:val="009E698B"/>
    <w:rsid w:val="009F1547"/>
    <w:rsid w:val="009F16E4"/>
    <w:rsid w:val="009F1F02"/>
    <w:rsid w:val="009F449B"/>
    <w:rsid w:val="009F4ABA"/>
    <w:rsid w:val="009F6F0B"/>
    <w:rsid w:val="00A00AC6"/>
    <w:rsid w:val="00A030DD"/>
    <w:rsid w:val="00A04550"/>
    <w:rsid w:val="00A066AE"/>
    <w:rsid w:val="00A069D6"/>
    <w:rsid w:val="00A07FAC"/>
    <w:rsid w:val="00A10DD9"/>
    <w:rsid w:val="00A12C6B"/>
    <w:rsid w:val="00A14117"/>
    <w:rsid w:val="00A149FA"/>
    <w:rsid w:val="00A1767B"/>
    <w:rsid w:val="00A17DF0"/>
    <w:rsid w:val="00A20F78"/>
    <w:rsid w:val="00A218F1"/>
    <w:rsid w:val="00A21932"/>
    <w:rsid w:val="00A2371C"/>
    <w:rsid w:val="00A24EB3"/>
    <w:rsid w:val="00A26BCA"/>
    <w:rsid w:val="00A27077"/>
    <w:rsid w:val="00A27DEE"/>
    <w:rsid w:val="00A31B93"/>
    <w:rsid w:val="00A31FC0"/>
    <w:rsid w:val="00A3290B"/>
    <w:rsid w:val="00A375EF"/>
    <w:rsid w:val="00A47557"/>
    <w:rsid w:val="00A50D8A"/>
    <w:rsid w:val="00A524F0"/>
    <w:rsid w:val="00A528C2"/>
    <w:rsid w:val="00A54AFD"/>
    <w:rsid w:val="00A54E69"/>
    <w:rsid w:val="00A5538A"/>
    <w:rsid w:val="00A6006E"/>
    <w:rsid w:val="00A61B06"/>
    <w:rsid w:val="00A62113"/>
    <w:rsid w:val="00A634F6"/>
    <w:rsid w:val="00A66D9E"/>
    <w:rsid w:val="00A672B1"/>
    <w:rsid w:val="00A6759C"/>
    <w:rsid w:val="00A67923"/>
    <w:rsid w:val="00A713ED"/>
    <w:rsid w:val="00A714B8"/>
    <w:rsid w:val="00A72DB7"/>
    <w:rsid w:val="00A73915"/>
    <w:rsid w:val="00A74901"/>
    <w:rsid w:val="00A75733"/>
    <w:rsid w:val="00A75753"/>
    <w:rsid w:val="00A758CD"/>
    <w:rsid w:val="00A76308"/>
    <w:rsid w:val="00A76846"/>
    <w:rsid w:val="00A77C08"/>
    <w:rsid w:val="00A8106B"/>
    <w:rsid w:val="00A81527"/>
    <w:rsid w:val="00A81CE8"/>
    <w:rsid w:val="00A82058"/>
    <w:rsid w:val="00A825C9"/>
    <w:rsid w:val="00A82BE9"/>
    <w:rsid w:val="00A82CA8"/>
    <w:rsid w:val="00A84AE7"/>
    <w:rsid w:val="00A867DC"/>
    <w:rsid w:val="00A869B0"/>
    <w:rsid w:val="00A9289F"/>
    <w:rsid w:val="00A92C1D"/>
    <w:rsid w:val="00A93A08"/>
    <w:rsid w:val="00A95964"/>
    <w:rsid w:val="00AA095A"/>
    <w:rsid w:val="00AA0C77"/>
    <w:rsid w:val="00AA1D27"/>
    <w:rsid w:val="00AA204C"/>
    <w:rsid w:val="00AA2D57"/>
    <w:rsid w:val="00AA3941"/>
    <w:rsid w:val="00AA3D09"/>
    <w:rsid w:val="00AA56D0"/>
    <w:rsid w:val="00AB0C9F"/>
    <w:rsid w:val="00AB143A"/>
    <w:rsid w:val="00AB2B96"/>
    <w:rsid w:val="00AB364C"/>
    <w:rsid w:val="00AB7253"/>
    <w:rsid w:val="00AC003C"/>
    <w:rsid w:val="00AC0103"/>
    <w:rsid w:val="00AC1404"/>
    <w:rsid w:val="00AC1794"/>
    <w:rsid w:val="00AC3246"/>
    <w:rsid w:val="00AD039F"/>
    <w:rsid w:val="00AD1F37"/>
    <w:rsid w:val="00AD2726"/>
    <w:rsid w:val="00AD3902"/>
    <w:rsid w:val="00AD4A42"/>
    <w:rsid w:val="00AD6010"/>
    <w:rsid w:val="00AD7E00"/>
    <w:rsid w:val="00AE0377"/>
    <w:rsid w:val="00AE071D"/>
    <w:rsid w:val="00AE33FF"/>
    <w:rsid w:val="00AE47DB"/>
    <w:rsid w:val="00AE4C7A"/>
    <w:rsid w:val="00AE5962"/>
    <w:rsid w:val="00AE728E"/>
    <w:rsid w:val="00AF06D5"/>
    <w:rsid w:val="00AF09DD"/>
    <w:rsid w:val="00B009F9"/>
    <w:rsid w:val="00B00B14"/>
    <w:rsid w:val="00B02494"/>
    <w:rsid w:val="00B025E9"/>
    <w:rsid w:val="00B02655"/>
    <w:rsid w:val="00B03DD5"/>
    <w:rsid w:val="00B05102"/>
    <w:rsid w:val="00B102A9"/>
    <w:rsid w:val="00B1097E"/>
    <w:rsid w:val="00B10DE9"/>
    <w:rsid w:val="00B163C5"/>
    <w:rsid w:val="00B16A34"/>
    <w:rsid w:val="00B2210C"/>
    <w:rsid w:val="00B2381A"/>
    <w:rsid w:val="00B25453"/>
    <w:rsid w:val="00B2549D"/>
    <w:rsid w:val="00B256BC"/>
    <w:rsid w:val="00B2666A"/>
    <w:rsid w:val="00B311F2"/>
    <w:rsid w:val="00B31B9C"/>
    <w:rsid w:val="00B32CC5"/>
    <w:rsid w:val="00B34D6C"/>
    <w:rsid w:val="00B35303"/>
    <w:rsid w:val="00B362BC"/>
    <w:rsid w:val="00B378C2"/>
    <w:rsid w:val="00B4012C"/>
    <w:rsid w:val="00B53B1C"/>
    <w:rsid w:val="00B5544F"/>
    <w:rsid w:val="00B55717"/>
    <w:rsid w:val="00B55E5D"/>
    <w:rsid w:val="00B56D48"/>
    <w:rsid w:val="00B5772F"/>
    <w:rsid w:val="00B57849"/>
    <w:rsid w:val="00B60A36"/>
    <w:rsid w:val="00B60A62"/>
    <w:rsid w:val="00B60D7D"/>
    <w:rsid w:val="00B61C7E"/>
    <w:rsid w:val="00B66867"/>
    <w:rsid w:val="00B66994"/>
    <w:rsid w:val="00B6706C"/>
    <w:rsid w:val="00B67B2F"/>
    <w:rsid w:val="00B70ABF"/>
    <w:rsid w:val="00B71AFB"/>
    <w:rsid w:val="00B71F3A"/>
    <w:rsid w:val="00B73C97"/>
    <w:rsid w:val="00B74E9B"/>
    <w:rsid w:val="00B76340"/>
    <w:rsid w:val="00B77F60"/>
    <w:rsid w:val="00B80C43"/>
    <w:rsid w:val="00B8628F"/>
    <w:rsid w:val="00B86788"/>
    <w:rsid w:val="00B91D2E"/>
    <w:rsid w:val="00B94786"/>
    <w:rsid w:val="00B952A5"/>
    <w:rsid w:val="00BA2E1C"/>
    <w:rsid w:val="00BA78B6"/>
    <w:rsid w:val="00BB26AD"/>
    <w:rsid w:val="00BB2DD1"/>
    <w:rsid w:val="00BB50B9"/>
    <w:rsid w:val="00BB5CE8"/>
    <w:rsid w:val="00BB6E66"/>
    <w:rsid w:val="00BB79BD"/>
    <w:rsid w:val="00BC32AE"/>
    <w:rsid w:val="00BC66A0"/>
    <w:rsid w:val="00BC7208"/>
    <w:rsid w:val="00BC7D4E"/>
    <w:rsid w:val="00BD0B48"/>
    <w:rsid w:val="00BD1925"/>
    <w:rsid w:val="00BD2A0A"/>
    <w:rsid w:val="00BD2D1B"/>
    <w:rsid w:val="00BD41ED"/>
    <w:rsid w:val="00BD45DE"/>
    <w:rsid w:val="00BD5D0F"/>
    <w:rsid w:val="00BD6371"/>
    <w:rsid w:val="00BD7C68"/>
    <w:rsid w:val="00BE1CBC"/>
    <w:rsid w:val="00BE29DC"/>
    <w:rsid w:val="00BE55A3"/>
    <w:rsid w:val="00BE7B14"/>
    <w:rsid w:val="00BF2996"/>
    <w:rsid w:val="00BF31FB"/>
    <w:rsid w:val="00BF43DA"/>
    <w:rsid w:val="00BF5571"/>
    <w:rsid w:val="00BF5E98"/>
    <w:rsid w:val="00BF679B"/>
    <w:rsid w:val="00BF697A"/>
    <w:rsid w:val="00BF6A24"/>
    <w:rsid w:val="00BF6ADB"/>
    <w:rsid w:val="00C03776"/>
    <w:rsid w:val="00C07DB4"/>
    <w:rsid w:val="00C12EE7"/>
    <w:rsid w:val="00C13821"/>
    <w:rsid w:val="00C14051"/>
    <w:rsid w:val="00C15AA9"/>
    <w:rsid w:val="00C15F73"/>
    <w:rsid w:val="00C16257"/>
    <w:rsid w:val="00C16E76"/>
    <w:rsid w:val="00C1785A"/>
    <w:rsid w:val="00C2037B"/>
    <w:rsid w:val="00C22FF7"/>
    <w:rsid w:val="00C27F76"/>
    <w:rsid w:val="00C30DA4"/>
    <w:rsid w:val="00C30F64"/>
    <w:rsid w:val="00C3295F"/>
    <w:rsid w:val="00C343DA"/>
    <w:rsid w:val="00C41ECA"/>
    <w:rsid w:val="00C44719"/>
    <w:rsid w:val="00C44B98"/>
    <w:rsid w:val="00C457E1"/>
    <w:rsid w:val="00C47633"/>
    <w:rsid w:val="00C50108"/>
    <w:rsid w:val="00C51056"/>
    <w:rsid w:val="00C51BE0"/>
    <w:rsid w:val="00C525D4"/>
    <w:rsid w:val="00C557F8"/>
    <w:rsid w:val="00C62774"/>
    <w:rsid w:val="00C62B60"/>
    <w:rsid w:val="00C6319E"/>
    <w:rsid w:val="00C6572C"/>
    <w:rsid w:val="00C665B2"/>
    <w:rsid w:val="00C679B5"/>
    <w:rsid w:val="00C70CFF"/>
    <w:rsid w:val="00C7492D"/>
    <w:rsid w:val="00C75655"/>
    <w:rsid w:val="00C8070A"/>
    <w:rsid w:val="00C80BF6"/>
    <w:rsid w:val="00C837C3"/>
    <w:rsid w:val="00C839D6"/>
    <w:rsid w:val="00C84497"/>
    <w:rsid w:val="00C851CB"/>
    <w:rsid w:val="00C868F6"/>
    <w:rsid w:val="00C911A1"/>
    <w:rsid w:val="00C9137C"/>
    <w:rsid w:val="00C91644"/>
    <w:rsid w:val="00C919DB"/>
    <w:rsid w:val="00C956CB"/>
    <w:rsid w:val="00C9663B"/>
    <w:rsid w:val="00CA32E1"/>
    <w:rsid w:val="00CA387C"/>
    <w:rsid w:val="00CA43A5"/>
    <w:rsid w:val="00CA73D2"/>
    <w:rsid w:val="00CA7718"/>
    <w:rsid w:val="00CA7C0B"/>
    <w:rsid w:val="00CB0B57"/>
    <w:rsid w:val="00CB2EE4"/>
    <w:rsid w:val="00CB4762"/>
    <w:rsid w:val="00CB5B61"/>
    <w:rsid w:val="00CB6CD9"/>
    <w:rsid w:val="00CB6E2B"/>
    <w:rsid w:val="00CB6FF7"/>
    <w:rsid w:val="00CB7302"/>
    <w:rsid w:val="00CB7E35"/>
    <w:rsid w:val="00CC1E9F"/>
    <w:rsid w:val="00CC1F25"/>
    <w:rsid w:val="00CC3680"/>
    <w:rsid w:val="00CC5896"/>
    <w:rsid w:val="00CD368D"/>
    <w:rsid w:val="00CD3BA2"/>
    <w:rsid w:val="00CD5ACE"/>
    <w:rsid w:val="00CD718C"/>
    <w:rsid w:val="00CE0C35"/>
    <w:rsid w:val="00CE2831"/>
    <w:rsid w:val="00CE3810"/>
    <w:rsid w:val="00CE3EC9"/>
    <w:rsid w:val="00CE437F"/>
    <w:rsid w:val="00CE52B4"/>
    <w:rsid w:val="00CE5DCD"/>
    <w:rsid w:val="00CE701C"/>
    <w:rsid w:val="00CE7599"/>
    <w:rsid w:val="00CE7C2C"/>
    <w:rsid w:val="00CF414A"/>
    <w:rsid w:val="00CF4FF0"/>
    <w:rsid w:val="00CF5B47"/>
    <w:rsid w:val="00D0269E"/>
    <w:rsid w:val="00D03317"/>
    <w:rsid w:val="00D051BD"/>
    <w:rsid w:val="00D06749"/>
    <w:rsid w:val="00D07302"/>
    <w:rsid w:val="00D104F9"/>
    <w:rsid w:val="00D11166"/>
    <w:rsid w:val="00D12B30"/>
    <w:rsid w:val="00D14323"/>
    <w:rsid w:val="00D16008"/>
    <w:rsid w:val="00D166D4"/>
    <w:rsid w:val="00D17F5D"/>
    <w:rsid w:val="00D2039C"/>
    <w:rsid w:val="00D21327"/>
    <w:rsid w:val="00D247B2"/>
    <w:rsid w:val="00D30254"/>
    <w:rsid w:val="00D30F17"/>
    <w:rsid w:val="00D30FF5"/>
    <w:rsid w:val="00D316E9"/>
    <w:rsid w:val="00D33768"/>
    <w:rsid w:val="00D33D87"/>
    <w:rsid w:val="00D35077"/>
    <w:rsid w:val="00D35A6E"/>
    <w:rsid w:val="00D408A8"/>
    <w:rsid w:val="00D40C23"/>
    <w:rsid w:val="00D45FFE"/>
    <w:rsid w:val="00D4638F"/>
    <w:rsid w:val="00D46DAE"/>
    <w:rsid w:val="00D51C8F"/>
    <w:rsid w:val="00D5204B"/>
    <w:rsid w:val="00D522B1"/>
    <w:rsid w:val="00D54C10"/>
    <w:rsid w:val="00D55191"/>
    <w:rsid w:val="00D55CD0"/>
    <w:rsid w:val="00D57544"/>
    <w:rsid w:val="00D57973"/>
    <w:rsid w:val="00D60CE2"/>
    <w:rsid w:val="00D612EC"/>
    <w:rsid w:val="00D6153E"/>
    <w:rsid w:val="00D623C4"/>
    <w:rsid w:val="00D658D9"/>
    <w:rsid w:val="00D722DF"/>
    <w:rsid w:val="00D74098"/>
    <w:rsid w:val="00D81AF2"/>
    <w:rsid w:val="00D8463A"/>
    <w:rsid w:val="00D84675"/>
    <w:rsid w:val="00D8491F"/>
    <w:rsid w:val="00D8526A"/>
    <w:rsid w:val="00D85630"/>
    <w:rsid w:val="00D86252"/>
    <w:rsid w:val="00D87BA7"/>
    <w:rsid w:val="00D917F3"/>
    <w:rsid w:val="00D92AA6"/>
    <w:rsid w:val="00D953E9"/>
    <w:rsid w:val="00D9670A"/>
    <w:rsid w:val="00D97BAA"/>
    <w:rsid w:val="00DA3AF3"/>
    <w:rsid w:val="00DA5455"/>
    <w:rsid w:val="00DA5C2B"/>
    <w:rsid w:val="00DB080F"/>
    <w:rsid w:val="00DB1D23"/>
    <w:rsid w:val="00DB20BF"/>
    <w:rsid w:val="00DB3295"/>
    <w:rsid w:val="00DB5EFB"/>
    <w:rsid w:val="00DB6EF1"/>
    <w:rsid w:val="00DB7C4F"/>
    <w:rsid w:val="00DC19BB"/>
    <w:rsid w:val="00DC2442"/>
    <w:rsid w:val="00DC2F98"/>
    <w:rsid w:val="00DC32B8"/>
    <w:rsid w:val="00DC373A"/>
    <w:rsid w:val="00DC3789"/>
    <w:rsid w:val="00DC4595"/>
    <w:rsid w:val="00DC6404"/>
    <w:rsid w:val="00DC739B"/>
    <w:rsid w:val="00DC739E"/>
    <w:rsid w:val="00DC76B0"/>
    <w:rsid w:val="00DD1612"/>
    <w:rsid w:val="00DD6C57"/>
    <w:rsid w:val="00DD7FDF"/>
    <w:rsid w:val="00DE1335"/>
    <w:rsid w:val="00DE1703"/>
    <w:rsid w:val="00DE25AC"/>
    <w:rsid w:val="00DE5F82"/>
    <w:rsid w:val="00DF3556"/>
    <w:rsid w:val="00DF568D"/>
    <w:rsid w:val="00DF6455"/>
    <w:rsid w:val="00E00CCB"/>
    <w:rsid w:val="00E042C7"/>
    <w:rsid w:val="00E0781A"/>
    <w:rsid w:val="00E10F56"/>
    <w:rsid w:val="00E11475"/>
    <w:rsid w:val="00E15F9C"/>
    <w:rsid w:val="00E175A7"/>
    <w:rsid w:val="00E20168"/>
    <w:rsid w:val="00E20740"/>
    <w:rsid w:val="00E20E92"/>
    <w:rsid w:val="00E238D4"/>
    <w:rsid w:val="00E245DA"/>
    <w:rsid w:val="00E24645"/>
    <w:rsid w:val="00E274C6"/>
    <w:rsid w:val="00E31BCB"/>
    <w:rsid w:val="00E32963"/>
    <w:rsid w:val="00E336AF"/>
    <w:rsid w:val="00E337BC"/>
    <w:rsid w:val="00E350CD"/>
    <w:rsid w:val="00E372A9"/>
    <w:rsid w:val="00E37A6F"/>
    <w:rsid w:val="00E4001B"/>
    <w:rsid w:val="00E45B99"/>
    <w:rsid w:val="00E46FCF"/>
    <w:rsid w:val="00E51FDE"/>
    <w:rsid w:val="00E52162"/>
    <w:rsid w:val="00E5281A"/>
    <w:rsid w:val="00E534B2"/>
    <w:rsid w:val="00E56B66"/>
    <w:rsid w:val="00E579AF"/>
    <w:rsid w:val="00E60E51"/>
    <w:rsid w:val="00E6720F"/>
    <w:rsid w:val="00E705B7"/>
    <w:rsid w:val="00E7086E"/>
    <w:rsid w:val="00E70ECC"/>
    <w:rsid w:val="00E71A89"/>
    <w:rsid w:val="00E71B61"/>
    <w:rsid w:val="00E74F79"/>
    <w:rsid w:val="00E77197"/>
    <w:rsid w:val="00E81B1A"/>
    <w:rsid w:val="00E84FB3"/>
    <w:rsid w:val="00E87037"/>
    <w:rsid w:val="00E87631"/>
    <w:rsid w:val="00E9115C"/>
    <w:rsid w:val="00EA0F03"/>
    <w:rsid w:val="00EA1EF9"/>
    <w:rsid w:val="00EA2A6C"/>
    <w:rsid w:val="00EA2CA0"/>
    <w:rsid w:val="00EA2DF1"/>
    <w:rsid w:val="00EA49C3"/>
    <w:rsid w:val="00EA5DEB"/>
    <w:rsid w:val="00EA7237"/>
    <w:rsid w:val="00EA79BB"/>
    <w:rsid w:val="00EB055B"/>
    <w:rsid w:val="00EB08D9"/>
    <w:rsid w:val="00EB0CE6"/>
    <w:rsid w:val="00EB112A"/>
    <w:rsid w:val="00EB1383"/>
    <w:rsid w:val="00EB630B"/>
    <w:rsid w:val="00EC1212"/>
    <w:rsid w:val="00EC1D3D"/>
    <w:rsid w:val="00EC3331"/>
    <w:rsid w:val="00EC4512"/>
    <w:rsid w:val="00EC677E"/>
    <w:rsid w:val="00EC7E67"/>
    <w:rsid w:val="00ED0931"/>
    <w:rsid w:val="00ED1D8D"/>
    <w:rsid w:val="00ED3540"/>
    <w:rsid w:val="00ED3570"/>
    <w:rsid w:val="00ED4D2E"/>
    <w:rsid w:val="00ED5B5C"/>
    <w:rsid w:val="00ED70BD"/>
    <w:rsid w:val="00ED7819"/>
    <w:rsid w:val="00ED7D39"/>
    <w:rsid w:val="00EE0B3E"/>
    <w:rsid w:val="00EE37BB"/>
    <w:rsid w:val="00EE3E91"/>
    <w:rsid w:val="00EE5659"/>
    <w:rsid w:val="00EE5B9F"/>
    <w:rsid w:val="00EE6EBC"/>
    <w:rsid w:val="00EE75DE"/>
    <w:rsid w:val="00EF09F6"/>
    <w:rsid w:val="00EF31B9"/>
    <w:rsid w:val="00EF4099"/>
    <w:rsid w:val="00EF6BDC"/>
    <w:rsid w:val="00EF72FB"/>
    <w:rsid w:val="00F01949"/>
    <w:rsid w:val="00F01C4C"/>
    <w:rsid w:val="00F02786"/>
    <w:rsid w:val="00F039C1"/>
    <w:rsid w:val="00F03FAD"/>
    <w:rsid w:val="00F0434F"/>
    <w:rsid w:val="00F04F14"/>
    <w:rsid w:val="00F0670F"/>
    <w:rsid w:val="00F07FA6"/>
    <w:rsid w:val="00F10ACA"/>
    <w:rsid w:val="00F11BB3"/>
    <w:rsid w:val="00F11F6E"/>
    <w:rsid w:val="00F13036"/>
    <w:rsid w:val="00F13BEE"/>
    <w:rsid w:val="00F17CF1"/>
    <w:rsid w:val="00F20D07"/>
    <w:rsid w:val="00F21298"/>
    <w:rsid w:val="00F21D1A"/>
    <w:rsid w:val="00F22865"/>
    <w:rsid w:val="00F24840"/>
    <w:rsid w:val="00F24D75"/>
    <w:rsid w:val="00F261E3"/>
    <w:rsid w:val="00F2620F"/>
    <w:rsid w:val="00F32131"/>
    <w:rsid w:val="00F327DC"/>
    <w:rsid w:val="00F32A7B"/>
    <w:rsid w:val="00F34B2F"/>
    <w:rsid w:val="00F34F33"/>
    <w:rsid w:val="00F367C7"/>
    <w:rsid w:val="00F36D1F"/>
    <w:rsid w:val="00F3769E"/>
    <w:rsid w:val="00F40F06"/>
    <w:rsid w:val="00F42418"/>
    <w:rsid w:val="00F42669"/>
    <w:rsid w:val="00F438D0"/>
    <w:rsid w:val="00F444D3"/>
    <w:rsid w:val="00F44C63"/>
    <w:rsid w:val="00F4749B"/>
    <w:rsid w:val="00F514FB"/>
    <w:rsid w:val="00F53FFB"/>
    <w:rsid w:val="00F54613"/>
    <w:rsid w:val="00F56225"/>
    <w:rsid w:val="00F56CE9"/>
    <w:rsid w:val="00F61151"/>
    <w:rsid w:val="00F611F7"/>
    <w:rsid w:val="00F63C80"/>
    <w:rsid w:val="00F64ECE"/>
    <w:rsid w:val="00F65D71"/>
    <w:rsid w:val="00F67B6E"/>
    <w:rsid w:val="00F70B57"/>
    <w:rsid w:val="00F725D8"/>
    <w:rsid w:val="00F74853"/>
    <w:rsid w:val="00F75ECD"/>
    <w:rsid w:val="00F77765"/>
    <w:rsid w:val="00F77EC3"/>
    <w:rsid w:val="00F81DFB"/>
    <w:rsid w:val="00F83583"/>
    <w:rsid w:val="00F85B6B"/>
    <w:rsid w:val="00F85C95"/>
    <w:rsid w:val="00F85E98"/>
    <w:rsid w:val="00F86C22"/>
    <w:rsid w:val="00F8747B"/>
    <w:rsid w:val="00F92CCF"/>
    <w:rsid w:val="00F93FC0"/>
    <w:rsid w:val="00F9641D"/>
    <w:rsid w:val="00F96DDF"/>
    <w:rsid w:val="00F97871"/>
    <w:rsid w:val="00FA2995"/>
    <w:rsid w:val="00FA2F55"/>
    <w:rsid w:val="00FA36C0"/>
    <w:rsid w:val="00FA3A0B"/>
    <w:rsid w:val="00FA496F"/>
    <w:rsid w:val="00FA6905"/>
    <w:rsid w:val="00FA7C8B"/>
    <w:rsid w:val="00FB0249"/>
    <w:rsid w:val="00FB3E16"/>
    <w:rsid w:val="00FB4FCF"/>
    <w:rsid w:val="00FB602B"/>
    <w:rsid w:val="00FB733E"/>
    <w:rsid w:val="00FB793A"/>
    <w:rsid w:val="00FC15F5"/>
    <w:rsid w:val="00FC3BB7"/>
    <w:rsid w:val="00FC448F"/>
    <w:rsid w:val="00FC5D6D"/>
    <w:rsid w:val="00FC5E92"/>
    <w:rsid w:val="00FD3161"/>
    <w:rsid w:val="00FD6657"/>
    <w:rsid w:val="00FD6B1D"/>
    <w:rsid w:val="00FD7C75"/>
    <w:rsid w:val="00FE1443"/>
    <w:rsid w:val="00FE7D4B"/>
    <w:rsid w:val="00FF0457"/>
    <w:rsid w:val="00FF124D"/>
    <w:rsid w:val="00FF1A54"/>
    <w:rsid w:val="00FF3C1C"/>
    <w:rsid w:val="00FF405A"/>
    <w:rsid w:val="00FF5BCA"/>
    <w:rsid w:val="00FF7A27"/>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1B7DA2"/>
  </w:style>
  <w:style w:type="character" w:customStyle="1" w:styleId="FootnoteTextChar">
    <w:name w:val="Footnote Text Char"/>
    <w:basedOn w:val="DefaultParagraphFont"/>
    <w:link w:val="FootnoteText"/>
    <w:uiPriority w:val="99"/>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BlockText">
    <w:name w:val="Block Text"/>
    <w:basedOn w:val="Normal"/>
    <w:rsid w:val="00124BCE"/>
    <w:pPr>
      <w:tabs>
        <w:tab w:val="left" w:pos="-720"/>
      </w:tabs>
      <w:spacing w:line="360" w:lineRule="auto"/>
      <w:ind w:left="1440" w:right="2160"/>
    </w:pPr>
    <w:rPr>
      <w:sz w:val="26"/>
    </w:rPr>
  </w:style>
  <w:style w:type="paragraph" w:styleId="ListParagraph">
    <w:name w:val="List Paragraph"/>
    <w:basedOn w:val="Normal"/>
    <w:uiPriority w:val="34"/>
    <w:qFormat/>
    <w:rsid w:val="001831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1B7DA2"/>
  </w:style>
  <w:style w:type="character" w:customStyle="1" w:styleId="FootnoteTextChar">
    <w:name w:val="Footnote Text Char"/>
    <w:basedOn w:val="DefaultParagraphFont"/>
    <w:link w:val="FootnoteText"/>
    <w:uiPriority w:val="99"/>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BlockText">
    <w:name w:val="Block Text"/>
    <w:basedOn w:val="Normal"/>
    <w:rsid w:val="00124BCE"/>
    <w:pPr>
      <w:tabs>
        <w:tab w:val="left" w:pos="-720"/>
      </w:tabs>
      <w:spacing w:line="360" w:lineRule="auto"/>
      <w:ind w:left="1440" w:right="2160"/>
    </w:pPr>
    <w:rPr>
      <w:sz w:val="26"/>
    </w:rPr>
  </w:style>
  <w:style w:type="paragraph" w:styleId="ListParagraph">
    <w:name w:val="List Paragraph"/>
    <w:basedOn w:val="Normal"/>
    <w:uiPriority w:val="34"/>
    <w:qFormat/>
    <w:rsid w:val="00183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C01D6-A51F-42F1-B9C4-B8A6003BD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16</Pages>
  <Words>3658</Words>
  <Characters>20852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25</cp:revision>
  <cp:lastPrinted>2013-11-14T14:31:00Z</cp:lastPrinted>
  <dcterms:created xsi:type="dcterms:W3CDTF">2013-10-25T20:13:00Z</dcterms:created>
  <dcterms:modified xsi:type="dcterms:W3CDTF">2013-11-14T14:31:00Z</dcterms:modified>
</cp:coreProperties>
</file>