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858" w:rsidRPr="00A96F21" w:rsidRDefault="007B5858" w:rsidP="00957EA9">
      <w:pPr>
        <w:jc w:val="center"/>
        <w:rPr>
          <w:rFonts w:ascii="Times New Roman" w:hAnsi="Times New Roman" w:cs="Times New Roman"/>
          <w:b/>
        </w:rPr>
      </w:pPr>
      <w:r w:rsidRPr="00A96F21">
        <w:rPr>
          <w:rFonts w:ascii="Times New Roman" w:hAnsi="Times New Roman" w:cs="Times New Roman"/>
          <w:b/>
        </w:rPr>
        <w:t>BEFORE THE</w:t>
      </w:r>
    </w:p>
    <w:p w:rsidR="007B5858" w:rsidRPr="00A96F21" w:rsidRDefault="007B5858" w:rsidP="00957EA9">
      <w:pPr>
        <w:tabs>
          <w:tab w:val="center" w:pos="4680"/>
        </w:tabs>
        <w:suppressAutoHyphens/>
        <w:jc w:val="center"/>
        <w:rPr>
          <w:rFonts w:ascii="Times New Roman" w:hAnsi="Times New Roman" w:cs="Times New Roman"/>
          <w:b/>
          <w:bCs/>
          <w:spacing w:val="-3"/>
        </w:rPr>
      </w:pPr>
      <w:r w:rsidRPr="00A96F21">
        <w:rPr>
          <w:rFonts w:ascii="Times New Roman" w:hAnsi="Times New Roman" w:cs="Times New Roman"/>
          <w:b/>
          <w:bCs/>
          <w:spacing w:val="-3"/>
        </w:rPr>
        <w:t>PENNSYLVANIA PUBLIC UTILITY COMMISSION</w:t>
      </w:r>
    </w:p>
    <w:p w:rsidR="007B5858" w:rsidRPr="00A96F21" w:rsidRDefault="007B5858" w:rsidP="00957EA9">
      <w:pPr>
        <w:tabs>
          <w:tab w:val="left" w:pos="-720"/>
        </w:tabs>
        <w:suppressAutoHyphens/>
        <w:ind w:firstLine="1440"/>
        <w:rPr>
          <w:rFonts w:ascii="Times New Roman" w:hAnsi="Times New Roman" w:cs="Times New Roman"/>
          <w:spacing w:val="-3"/>
        </w:rPr>
      </w:pPr>
    </w:p>
    <w:p w:rsidR="007B5858" w:rsidRPr="00A96F21" w:rsidRDefault="007B5858" w:rsidP="00957EA9">
      <w:pPr>
        <w:tabs>
          <w:tab w:val="left" w:pos="-720"/>
        </w:tabs>
        <w:suppressAutoHyphens/>
        <w:ind w:firstLine="1440"/>
        <w:rPr>
          <w:rFonts w:ascii="Times New Roman" w:hAnsi="Times New Roman" w:cs="Times New Roman"/>
          <w:spacing w:val="-3"/>
        </w:rPr>
      </w:pPr>
    </w:p>
    <w:p w:rsidR="00C02959" w:rsidRPr="00A96F21" w:rsidRDefault="00C02959" w:rsidP="00957EA9">
      <w:pPr>
        <w:tabs>
          <w:tab w:val="left" w:pos="-720"/>
        </w:tabs>
        <w:suppressAutoHyphens/>
        <w:ind w:firstLine="1440"/>
        <w:rPr>
          <w:rFonts w:ascii="Times New Roman" w:hAnsi="Times New Roman" w:cs="Times New Roman"/>
          <w:spacing w:val="-3"/>
        </w:rPr>
      </w:pPr>
    </w:p>
    <w:p w:rsidR="00A12A3B" w:rsidRPr="00A96F21" w:rsidRDefault="00A12A3B" w:rsidP="00A12A3B">
      <w:pPr>
        <w:rPr>
          <w:rFonts w:ascii="Times New Roman" w:hAnsi="Times New Roman" w:cs="Times New Roman"/>
        </w:rPr>
      </w:pPr>
      <w:r w:rsidRPr="00A96F21">
        <w:rPr>
          <w:rFonts w:ascii="Times New Roman" w:hAnsi="Times New Roman" w:cs="Times New Roman"/>
        </w:rPr>
        <w:t xml:space="preserve">Pennsylvania Public Utility </w:t>
      </w:r>
      <w:proofErr w:type="gramStart"/>
      <w:r w:rsidRPr="00A96F21">
        <w:rPr>
          <w:rFonts w:ascii="Times New Roman" w:hAnsi="Times New Roman" w:cs="Times New Roman"/>
        </w:rPr>
        <w:t>Commission</w:t>
      </w:r>
      <w:r w:rsidR="007A6F57" w:rsidRPr="00A96F21">
        <w:rPr>
          <w:rFonts w:ascii="Times New Roman" w:hAnsi="Times New Roman" w:cs="Times New Roman"/>
        </w:rPr>
        <w:t>,</w:t>
      </w:r>
      <w:r w:rsidRPr="00A96F21">
        <w:rPr>
          <w:rFonts w:ascii="Times New Roman" w:hAnsi="Times New Roman" w:cs="Times New Roman"/>
        </w:rPr>
        <w:tab/>
        <w:t xml:space="preserve">  </w:t>
      </w:r>
      <w:r w:rsidR="00A96F21">
        <w:rPr>
          <w:rFonts w:ascii="Times New Roman" w:hAnsi="Times New Roman" w:cs="Times New Roman"/>
        </w:rPr>
        <w:tab/>
      </w:r>
      <w:r w:rsidRPr="00A96F21">
        <w:rPr>
          <w:rFonts w:ascii="Times New Roman" w:hAnsi="Times New Roman" w:cs="Times New Roman"/>
        </w:rPr>
        <w:t>:</w:t>
      </w:r>
      <w:proofErr w:type="gramEnd"/>
    </w:p>
    <w:p w:rsidR="003B076A" w:rsidRDefault="007A6F57" w:rsidP="00A12A3B">
      <w:pPr>
        <w:rPr>
          <w:rFonts w:ascii="Times New Roman" w:hAnsi="Times New Roman" w:cs="Times New Roman"/>
        </w:rPr>
      </w:pPr>
      <w:proofErr w:type="gramStart"/>
      <w:r w:rsidRPr="00A96F21">
        <w:rPr>
          <w:rFonts w:ascii="Times New Roman" w:hAnsi="Times New Roman" w:cs="Times New Roman"/>
        </w:rPr>
        <w:t>et</w:t>
      </w:r>
      <w:proofErr w:type="gramEnd"/>
      <w:r w:rsidRPr="00A96F21">
        <w:rPr>
          <w:rFonts w:ascii="Times New Roman" w:hAnsi="Times New Roman" w:cs="Times New Roman"/>
        </w:rPr>
        <w:t xml:space="preserve"> al.</w:t>
      </w:r>
      <w:r w:rsidR="00A12A3B" w:rsidRPr="00A96F21">
        <w:rPr>
          <w:rFonts w:ascii="Times New Roman" w:hAnsi="Times New Roman" w:cs="Times New Roman"/>
        </w:rPr>
        <w:tab/>
      </w:r>
      <w:r w:rsidR="00A12A3B" w:rsidRPr="00A96F21">
        <w:rPr>
          <w:rFonts w:ascii="Times New Roman" w:hAnsi="Times New Roman" w:cs="Times New Roman"/>
        </w:rPr>
        <w:tab/>
      </w:r>
      <w:r w:rsidR="00A12A3B" w:rsidRPr="00A96F21">
        <w:rPr>
          <w:rFonts w:ascii="Times New Roman" w:hAnsi="Times New Roman" w:cs="Times New Roman"/>
        </w:rPr>
        <w:tab/>
      </w:r>
      <w:r w:rsidR="00A12A3B" w:rsidRPr="00A96F21">
        <w:rPr>
          <w:rFonts w:ascii="Times New Roman" w:hAnsi="Times New Roman" w:cs="Times New Roman"/>
        </w:rPr>
        <w:tab/>
      </w:r>
      <w:r w:rsidR="00A12A3B" w:rsidRPr="00A96F21">
        <w:rPr>
          <w:rFonts w:ascii="Times New Roman" w:hAnsi="Times New Roman" w:cs="Times New Roman"/>
        </w:rPr>
        <w:tab/>
      </w:r>
      <w:r w:rsidR="00A12A3B" w:rsidRPr="00A96F21">
        <w:rPr>
          <w:rFonts w:ascii="Times New Roman" w:hAnsi="Times New Roman" w:cs="Times New Roman"/>
        </w:rPr>
        <w:tab/>
        <w:t xml:space="preserve">   </w:t>
      </w:r>
      <w:r w:rsidR="00A96F21">
        <w:rPr>
          <w:rFonts w:ascii="Times New Roman" w:hAnsi="Times New Roman" w:cs="Times New Roman"/>
        </w:rPr>
        <w:tab/>
      </w:r>
      <w:r w:rsidR="00A12A3B" w:rsidRPr="00A96F21">
        <w:rPr>
          <w:rFonts w:ascii="Times New Roman" w:hAnsi="Times New Roman" w:cs="Times New Roman"/>
        </w:rPr>
        <w:t>:</w:t>
      </w:r>
    </w:p>
    <w:p w:rsidR="00A12A3B" w:rsidRPr="00A96F21" w:rsidRDefault="003B076A" w:rsidP="00A12A3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A12A3B" w:rsidRPr="00A96F21">
        <w:rPr>
          <w:rFonts w:ascii="Times New Roman" w:hAnsi="Times New Roman" w:cs="Times New Roman"/>
        </w:rPr>
        <w:t xml:space="preserve">         </w:t>
      </w:r>
    </w:p>
    <w:p w:rsidR="007A6F57" w:rsidRPr="00A96F21" w:rsidRDefault="00A12A3B" w:rsidP="007A6F57">
      <w:pPr>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v.</w:t>
      </w:r>
      <w:r w:rsidRPr="00A96F21">
        <w:rPr>
          <w:rFonts w:ascii="Times New Roman" w:hAnsi="Times New Roman" w:cs="Times New Roman"/>
        </w:rPr>
        <w:tab/>
      </w:r>
      <w:r w:rsidRPr="00A96F21">
        <w:rPr>
          <w:rFonts w:ascii="Times New Roman" w:hAnsi="Times New Roman" w:cs="Times New Roman"/>
        </w:rPr>
        <w:tab/>
      </w:r>
      <w:r w:rsidRPr="00A96F21">
        <w:rPr>
          <w:rFonts w:ascii="Times New Roman" w:hAnsi="Times New Roman" w:cs="Times New Roman"/>
        </w:rPr>
        <w:tab/>
      </w:r>
      <w:r w:rsidRPr="00A96F21">
        <w:rPr>
          <w:rFonts w:ascii="Times New Roman" w:hAnsi="Times New Roman" w:cs="Times New Roman"/>
        </w:rPr>
        <w:tab/>
        <w:t xml:space="preserve">   </w:t>
      </w:r>
      <w:r w:rsidR="00A96F21">
        <w:rPr>
          <w:rFonts w:ascii="Times New Roman" w:hAnsi="Times New Roman" w:cs="Times New Roman"/>
        </w:rPr>
        <w:tab/>
      </w:r>
      <w:r w:rsidRPr="00A96F21">
        <w:rPr>
          <w:rFonts w:ascii="Times New Roman" w:hAnsi="Times New Roman" w:cs="Times New Roman"/>
        </w:rPr>
        <w:t>:</w:t>
      </w:r>
      <w:r w:rsidRPr="00A96F21">
        <w:rPr>
          <w:rFonts w:ascii="Times New Roman" w:hAnsi="Times New Roman" w:cs="Times New Roman"/>
        </w:rPr>
        <w:tab/>
      </w:r>
      <w:r w:rsidRPr="00A96F21">
        <w:rPr>
          <w:rFonts w:ascii="Times New Roman" w:hAnsi="Times New Roman" w:cs="Times New Roman"/>
        </w:rPr>
        <w:tab/>
        <w:t>R-2013-2350265</w:t>
      </w:r>
      <w:r w:rsidRPr="00A96F21">
        <w:rPr>
          <w:rFonts w:ascii="Times New Roman" w:hAnsi="Times New Roman" w:cs="Times New Roman"/>
        </w:rPr>
        <w:tab/>
        <w:t xml:space="preserve">           </w:t>
      </w:r>
      <w:r w:rsidRPr="00A96F21">
        <w:rPr>
          <w:rFonts w:ascii="Times New Roman" w:hAnsi="Times New Roman" w:cs="Times New Roman"/>
        </w:rPr>
        <w:tab/>
      </w:r>
      <w:r w:rsidRPr="00A96F21">
        <w:rPr>
          <w:rFonts w:ascii="Times New Roman" w:hAnsi="Times New Roman" w:cs="Times New Roman"/>
        </w:rPr>
        <w:tab/>
      </w:r>
      <w:r w:rsidRPr="00A96F21">
        <w:rPr>
          <w:rFonts w:ascii="Times New Roman" w:hAnsi="Times New Roman" w:cs="Times New Roman"/>
        </w:rPr>
        <w:tab/>
      </w:r>
      <w:r w:rsidRPr="00A96F21">
        <w:rPr>
          <w:rFonts w:ascii="Times New Roman" w:hAnsi="Times New Roman" w:cs="Times New Roman"/>
        </w:rPr>
        <w:tab/>
      </w:r>
      <w:r w:rsidRPr="00A96F21">
        <w:rPr>
          <w:rFonts w:ascii="Times New Roman" w:hAnsi="Times New Roman" w:cs="Times New Roman"/>
        </w:rPr>
        <w:tab/>
      </w:r>
      <w:r w:rsidRPr="00A96F21">
        <w:rPr>
          <w:rFonts w:ascii="Times New Roman" w:hAnsi="Times New Roman" w:cs="Times New Roman"/>
        </w:rPr>
        <w:tab/>
      </w:r>
      <w:r w:rsidRPr="00A96F21">
        <w:rPr>
          <w:rFonts w:ascii="Times New Roman" w:hAnsi="Times New Roman" w:cs="Times New Roman"/>
        </w:rPr>
        <w:tab/>
        <w:t xml:space="preserve">  </w:t>
      </w:r>
      <w:r w:rsidRPr="00A96F21">
        <w:rPr>
          <w:rFonts w:ascii="Times New Roman" w:hAnsi="Times New Roman" w:cs="Times New Roman"/>
        </w:rPr>
        <w:tab/>
        <w:t xml:space="preserve">:                    </w:t>
      </w:r>
      <w:r w:rsidR="00A96F21">
        <w:rPr>
          <w:rFonts w:ascii="Times New Roman" w:hAnsi="Times New Roman" w:cs="Times New Roman"/>
        </w:rPr>
        <w:t xml:space="preserve">   </w:t>
      </w:r>
      <w:r w:rsidR="007A6F57" w:rsidRPr="00A96F21">
        <w:rPr>
          <w:rFonts w:ascii="Times New Roman" w:hAnsi="Times New Roman" w:cs="Times New Roman"/>
        </w:rPr>
        <w:t>C-2013-2366273</w:t>
      </w:r>
    </w:p>
    <w:p w:rsidR="00A12A3B" w:rsidRPr="00A96F21" w:rsidRDefault="007A6F57" w:rsidP="007A6F57">
      <w:pPr>
        <w:rPr>
          <w:rFonts w:ascii="Times New Roman" w:hAnsi="Times New Roman" w:cs="Times New Roman"/>
        </w:rPr>
      </w:pPr>
      <w:r w:rsidRPr="00A96F21">
        <w:rPr>
          <w:rFonts w:ascii="Times New Roman" w:hAnsi="Times New Roman" w:cs="Times New Roman"/>
        </w:rPr>
        <w:t xml:space="preserve">                      </w:t>
      </w:r>
      <w:r w:rsidRPr="00A96F21">
        <w:rPr>
          <w:rFonts w:ascii="Times New Roman" w:hAnsi="Times New Roman" w:cs="Times New Roman"/>
        </w:rPr>
        <w:tab/>
      </w:r>
      <w:r w:rsidRPr="00A96F21">
        <w:rPr>
          <w:rFonts w:ascii="Times New Roman" w:hAnsi="Times New Roman" w:cs="Times New Roman"/>
        </w:rPr>
        <w:tab/>
      </w:r>
      <w:r w:rsidRPr="00A96F21">
        <w:rPr>
          <w:rFonts w:ascii="Times New Roman" w:hAnsi="Times New Roman" w:cs="Times New Roman"/>
        </w:rPr>
        <w:tab/>
      </w:r>
      <w:r w:rsidRPr="00A96F21">
        <w:rPr>
          <w:rFonts w:ascii="Times New Roman" w:hAnsi="Times New Roman" w:cs="Times New Roman"/>
        </w:rPr>
        <w:tab/>
      </w:r>
      <w:r w:rsidRPr="00A96F21">
        <w:rPr>
          <w:rFonts w:ascii="Times New Roman" w:hAnsi="Times New Roman" w:cs="Times New Roman"/>
        </w:rPr>
        <w:tab/>
        <w:t xml:space="preserve">   </w:t>
      </w:r>
      <w:r w:rsidR="00A96F21">
        <w:rPr>
          <w:rFonts w:ascii="Times New Roman" w:hAnsi="Times New Roman" w:cs="Times New Roman"/>
        </w:rPr>
        <w:tab/>
      </w:r>
      <w:r w:rsidRPr="00A96F21">
        <w:rPr>
          <w:rFonts w:ascii="Times New Roman" w:hAnsi="Times New Roman" w:cs="Times New Roman"/>
        </w:rPr>
        <w:t>:</w:t>
      </w:r>
      <w:r w:rsidRPr="00A96F21">
        <w:rPr>
          <w:rFonts w:ascii="Times New Roman" w:hAnsi="Times New Roman" w:cs="Times New Roman"/>
        </w:rPr>
        <w:tab/>
      </w:r>
      <w:r w:rsidRPr="00A96F21">
        <w:rPr>
          <w:rFonts w:ascii="Times New Roman" w:hAnsi="Times New Roman" w:cs="Times New Roman"/>
        </w:rPr>
        <w:tab/>
        <w:t>C-2013-2367232</w:t>
      </w:r>
      <w:r w:rsidR="00A12A3B" w:rsidRPr="00A96F21">
        <w:rPr>
          <w:rFonts w:ascii="Times New Roman" w:hAnsi="Times New Roman" w:cs="Times New Roman"/>
        </w:rPr>
        <w:t xml:space="preserve">         </w:t>
      </w:r>
    </w:p>
    <w:p w:rsidR="00561D8A" w:rsidRPr="00A96F21" w:rsidRDefault="00A12A3B" w:rsidP="00A12A3B">
      <w:pPr>
        <w:rPr>
          <w:rFonts w:ascii="Times New Roman" w:hAnsi="Times New Roman" w:cs="Times New Roman"/>
        </w:rPr>
      </w:pPr>
      <w:r w:rsidRPr="00A96F21">
        <w:rPr>
          <w:rFonts w:ascii="Times New Roman" w:hAnsi="Times New Roman" w:cs="Times New Roman"/>
        </w:rPr>
        <w:t xml:space="preserve">NRG Energy Center Harrisburg LLC </w:t>
      </w:r>
      <w:r w:rsidRPr="00A96F21">
        <w:rPr>
          <w:rFonts w:ascii="Times New Roman" w:hAnsi="Times New Roman" w:cs="Times New Roman"/>
        </w:rPr>
        <w:tab/>
        <w:t xml:space="preserve">   </w:t>
      </w:r>
      <w:r w:rsidR="00A96F21">
        <w:rPr>
          <w:rFonts w:ascii="Times New Roman" w:hAnsi="Times New Roman" w:cs="Times New Roman"/>
        </w:rPr>
        <w:tab/>
      </w:r>
      <w:r w:rsidRPr="00A96F21">
        <w:rPr>
          <w:rFonts w:ascii="Times New Roman" w:hAnsi="Times New Roman" w:cs="Times New Roman"/>
        </w:rPr>
        <w:t>:</w:t>
      </w:r>
    </w:p>
    <w:p w:rsidR="00561D8A" w:rsidRPr="00A96F21" w:rsidRDefault="00561D8A" w:rsidP="00561D8A">
      <w:pPr>
        <w:rPr>
          <w:rFonts w:ascii="Times New Roman" w:hAnsi="Times New Roman" w:cs="Times New Roman"/>
        </w:rPr>
      </w:pPr>
    </w:p>
    <w:p w:rsidR="00561D8A" w:rsidRPr="00A96F21" w:rsidRDefault="00561D8A" w:rsidP="00561D8A">
      <w:pPr>
        <w:rPr>
          <w:rFonts w:ascii="Times New Roman" w:hAnsi="Times New Roman" w:cs="Times New Roman"/>
        </w:rPr>
      </w:pPr>
    </w:p>
    <w:p w:rsidR="00AC06AF" w:rsidRPr="00A96F21" w:rsidRDefault="00AC06AF" w:rsidP="00561D8A">
      <w:pPr>
        <w:rPr>
          <w:rFonts w:ascii="Times New Roman" w:hAnsi="Times New Roman" w:cs="Times New Roman"/>
        </w:rPr>
      </w:pPr>
    </w:p>
    <w:p w:rsidR="00AC06AF" w:rsidRPr="00A96F21" w:rsidRDefault="00AC06AF" w:rsidP="00AC06AF">
      <w:pPr>
        <w:tabs>
          <w:tab w:val="center" w:pos="4680"/>
        </w:tabs>
        <w:suppressAutoHyphens/>
        <w:autoSpaceDE/>
        <w:autoSpaceDN/>
        <w:jc w:val="center"/>
        <w:rPr>
          <w:rFonts w:ascii="Times New Roman" w:hAnsi="Times New Roman" w:cs="Times New Roman"/>
          <w:b/>
          <w:bCs/>
          <w:spacing w:val="-3"/>
          <w:u w:val="single"/>
        </w:rPr>
      </w:pPr>
      <w:r w:rsidRPr="00A96F21">
        <w:rPr>
          <w:rFonts w:ascii="Times New Roman" w:hAnsi="Times New Roman" w:cs="Times New Roman"/>
          <w:b/>
          <w:bCs/>
          <w:spacing w:val="-3"/>
          <w:u w:val="single"/>
        </w:rPr>
        <w:t>RECOMMENDED DECISION</w:t>
      </w:r>
    </w:p>
    <w:p w:rsidR="00AC06AF" w:rsidRPr="00A96F21" w:rsidRDefault="00AC06AF" w:rsidP="00AC06AF">
      <w:pPr>
        <w:tabs>
          <w:tab w:val="center" w:pos="4680"/>
        </w:tabs>
        <w:suppressAutoHyphens/>
        <w:autoSpaceDE/>
        <w:autoSpaceDN/>
        <w:jc w:val="center"/>
        <w:rPr>
          <w:rFonts w:ascii="Times New Roman" w:hAnsi="Times New Roman" w:cs="Times New Roman"/>
          <w:b/>
          <w:bCs/>
          <w:spacing w:val="-3"/>
          <w:u w:val="single"/>
        </w:rPr>
      </w:pPr>
    </w:p>
    <w:p w:rsidR="00AC06AF" w:rsidRPr="00A96F21" w:rsidRDefault="00AC06AF" w:rsidP="00AC06AF">
      <w:pPr>
        <w:tabs>
          <w:tab w:val="center" w:pos="4680"/>
        </w:tabs>
        <w:suppressAutoHyphens/>
        <w:autoSpaceDE/>
        <w:autoSpaceDN/>
        <w:jc w:val="center"/>
        <w:rPr>
          <w:rFonts w:ascii="Times New Roman" w:hAnsi="Times New Roman" w:cs="Times New Roman"/>
          <w:b/>
          <w:bCs/>
          <w:spacing w:val="-3"/>
          <w:u w:val="single"/>
        </w:rPr>
      </w:pPr>
    </w:p>
    <w:p w:rsidR="00AC06AF" w:rsidRPr="00A96F21" w:rsidRDefault="00AC06AF" w:rsidP="00AC06AF">
      <w:pPr>
        <w:tabs>
          <w:tab w:val="center" w:pos="4680"/>
        </w:tabs>
        <w:suppressAutoHyphens/>
        <w:autoSpaceDE/>
        <w:autoSpaceDN/>
        <w:jc w:val="center"/>
        <w:rPr>
          <w:rFonts w:ascii="Times New Roman" w:hAnsi="Times New Roman" w:cs="Times New Roman"/>
          <w:bCs/>
          <w:spacing w:val="-3"/>
        </w:rPr>
      </w:pPr>
      <w:r w:rsidRPr="00A96F21">
        <w:rPr>
          <w:rFonts w:ascii="Times New Roman" w:hAnsi="Times New Roman" w:cs="Times New Roman"/>
          <w:bCs/>
          <w:spacing w:val="-3"/>
        </w:rPr>
        <w:t>Before</w:t>
      </w:r>
    </w:p>
    <w:p w:rsidR="00AC06AF" w:rsidRPr="00A96F21" w:rsidRDefault="00AC06AF" w:rsidP="00AC06AF">
      <w:pPr>
        <w:tabs>
          <w:tab w:val="center" w:pos="4680"/>
        </w:tabs>
        <w:suppressAutoHyphens/>
        <w:autoSpaceDE/>
        <w:autoSpaceDN/>
        <w:jc w:val="center"/>
        <w:rPr>
          <w:rFonts w:ascii="Times New Roman" w:hAnsi="Times New Roman" w:cs="Times New Roman"/>
          <w:bCs/>
          <w:spacing w:val="-3"/>
        </w:rPr>
      </w:pPr>
      <w:r w:rsidRPr="00A96F21">
        <w:rPr>
          <w:rFonts w:ascii="Times New Roman" w:hAnsi="Times New Roman" w:cs="Times New Roman"/>
          <w:bCs/>
          <w:spacing w:val="-3"/>
        </w:rPr>
        <w:t>Dennis J. Buckley</w:t>
      </w:r>
    </w:p>
    <w:p w:rsidR="00AC06AF" w:rsidRPr="00A96F21" w:rsidRDefault="00AC06AF" w:rsidP="00AC06AF">
      <w:pPr>
        <w:tabs>
          <w:tab w:val="center" w:pos="4680"/>
        </w:tabs>
        <w:suppressAutoHyphens/>
        <w:autoSpaceDE/>
        <w:autoSpaceDN/>
        <w:spacing w:line="360" w:lineRule="auto"/>
        <w:jc w:val="center"/>
        <w:rPr>
          <w:rFonts w:ascii="Times New Roman" w:hAnsi="Times New Roman" w:cs="Times New Roman"/>
          <w:bCs/>
          <w:spacing w:val="-3"/>
        </w:rPr>
      </w:pPr>
      <w:r w:rsidRPr="00A96F21">
        <w:rPr>
          <w:rFonts w:ascii="Times New Roman" w:hAnsi="Times New Roman" w:cs="Times New Roman"/>
          <w:bCs/>
          <w:spacing w:val="-3"/>
        </w:rPr>
        <w:t>Administrative Law Judge</w:t>
      </w:r>
    </w:p>
    <w:p w:rsidR="00CF485D" w:rsidRPr="00A96F21" w:rsidRDefault="00CF485D" w:rsidP="00CF485D">
      <w:pPr>
        <w:rPr>
          <w:rFonts w:ascii="Times New Roman" w:hAnsi="Times New Roman" w:cs="Times New Roman"/>
        </w:rPr>
      </w:pPr>
    </w:p>
    <w:p w:rsidR="003B5D72" w:rsidRPr="00A96F21" w:rsidRDefault="002629E1" w:rsidP="002629E1">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r>
      <w:r w:rsidR="007A6F57" w:rsidRPr="00A96F21">
        <w:rPr>
          <w:rFonts w:ascii="Times New Roman" w:hAnsi="Times New Roman" w:cs="Times New Roman"/>
        </w:rPr>
        <w:t>This Recommended Decision considers and recommends the adoption by the Commission of the Joint Petition for Approval of Unanimous Settlement of All Issues</w:t>
      </w:r>
      <w:r w:rsidR="003B076A">
        <w:rPr>
          <w:rFonts w:ascii="Times New Roman" w:hAnsi="Times New Roman" w:cs="Times New Roman"/>
        </w:rPr>
        <w:t xml:space="preserve"> </w:t>
      </w:r>
      <w:r w:rsidR="007A6F57" w:rsidRPr="00A96F21">
        <w:rPr>
          <w:rFonts w:ascii="Times New Roman" w:hAnsi="Times New Roman" w:cs="Times New Roman"/>
        </w:rPr>
        <w:t xml:space="preserve">submitted by </w:t>
      </w:r>
      <w:r w:rsidR="00CE41E1" w:rsidRPr="00A96F21">
        <w:rPr>
          <w:rFonts w:ascii="Times New Roman" w:hAnsi="Times New Roman" w:cs="Times New Roman"/>
        </w:rPr>
        <w:t>NRG Energy Center Harrisburg LLC (NRG</w:t>
      </w:r>
      <w:r w:rsidR="00382FAC" w:rsidRPr="00A96F21">
        <w:rPr>
          <w:rFonts w:ascii="Times New Roman" w:hAnsi="Times New Roman" w:cs="Times New Roman"/>
        </w:rPr>
        <w:t xml:space="preserve"> or Company</w:t>
      </w:r>
      <w:r w:rsidR="00CE41E1" w:rsidRPr="00A96F21">
        <w:rPr>
          <w:rFonts w:ascii="Times New Roman" w:hAnsi="Times New Roman" w:cs="Times New Roman"/>
        </w:rPr>
        <w:t>)</w:t>
      </w:r>
      <w:r w:rsidR="007A6F57" w:rsidRPr="00A96F21">
        <w:rPr>
          <w:rFonts w:ascii="Times New Roman" w:hAnsi="Times New Roman" w:cs="Times New Roman"/>
        </w:rPr>
        <w:t>,</w:t>
      </w:r>
      <w:r w:rsidR="00CE41E1" w:rsidRPr="00A96F21">
        <w:rPr>
          <w:rFonts w:ascii="Times New Roman" w:hAnsi="Times New Roman" w:cs="Times New Roman"/>
        </w:rPr>
        <w:t xml:space="preserve"> </w:t>
      </w:r>
      <w:r w:rsidR="007A6F57" w:rsidRPr="00A96F21">
        <w:rPr>
          <w:rFonts w:ascii="Times New Roman" w:hAnsi="Times New Roman" w:cs="Times New Roman"/>
        </w:rPr>
        <w:t xml:space="preserve">the Commission’s Bureau of Investigation &amp; Enforcement (I&amp;E), the Office of Consumer Advocate (OCA), and the Office of Small Business Advocate (OSBA) </w:t>
      </w:r>
      <w:r w:rsidR="009358D5" w:rsidRPr="00A96F21">
        <w:rPr>
          <w:rFonts w:ascii="Times New Roman" w:hAnsi="Times New Roman" w:cs="Times New Roman"/>
        </w:rPr>
        <w:t>at</w:t>
      </w:r>
      <w:r w:rsidR="00CE41E1" w:rsidRPr="00A96F21">
        <w:rPr>
          <w:rFonts w:ascii="Times New Roman" w:hAnsi="Times New Roman" w:cs="Times New Roman"/>
        </w:rPr>
        <w:t xml:space="preserve"> this docket.</w:t>
      </w:r>
      <w:r w:rsidR="007A6F57" w:rsidRPr="00A96F21">
        <w:rPr>
          <w:rFonts w:ascii="Times New Roman" w:hAnsi="Times New Roman" w:cs="Times New Roman"/>
        </w:rPr>
        <w:t xml:space="preserve">  A Commission decision in this matter is due no later than January 14, 2014.</w:t>
      </w:r>
      <w:r w:rsidR="00161030" w:rsidRPr="00A96F21">
        <w:rPr>
          <w:rFonts w:ascii="Times New Roman" w:hAnsi="Times New Roman" w:cs="Times New Roman"/>
        </w:rPr>
        <w:t xml:space="preserve">  </w:t>
      </w:r>
      <w:r w:rsidR="00507740" w:rsidRPr="00A96F21">
        <w:rPr>
          <w:rFonts w:ascii="Times New Roman" w:hAnsi="Times New Roman" w:cs="Times New Roman"/>
        </w:rPr>
        <w:t>The S</w:t>
      </w:r>
      <w:r w:rsidR="00161030" w:rsidRPr="00A96F21">
        <w:rPr>
          <w:rFonts w:ascii="Times New Roman" w:hAnsi="Times New Roman" w:cs="Times New Roman"/>
        </w:rPr>
        <w:t>ettlement is recommended for approval because it is in the public interest.</w:t>
      </w:r>
      <w:r w:rsidR="004D7162" w:rsidRPr="00A96F21">
        <w:rPr>
          <w:rFonts w:ascii="Times New Roman" w:hAnsi="Times New Roman" w:cs="Times New Roman"/>
        </w:rPr>
        <w:t xml:space="preserve">  I note that the parties have waived their right to file Exceptions as this Recommended Decision recommends adoption of the Settlement without modification.</w:t>
      </w:r>
    </w:p>
    <w:p w:rsidR="00705C62" w:rsidRDefault="00705C62" w:rsidP="003B1609">
      <w:pPr>
        <w:rPr>
          <w:rFonts w:ascii="Times New Roman" w:hAnsi="Times New Roman" w:cs="Times New Roman"/>
        </w:rPr>
      </w:pPr>
    </w:p>
    <w:p w:rsidR="003B1609" w:rsidRPr="00A96F21" w:rsidRDefault="003B1609" w:rsidP="003B1609">
      <w:pPr>
        <w:rPr>
          <w:rFonts w:ascii="Times New Roman" w:hAnsi="Times New Roman" w:cs="Times New Roman"/>
        </w:rPr>
      </w:pPr>
    </w:p>
    <w:p w:rsidR="00705C62" w:rsidRPr="00A96F21" w:rsidRDefault="00AC06AF" w:rsidP="00705C62">
      <w:pPr>
        <w:jc w:val="center"/>
        <w:rPr>
          <w:rFonts w:ascii="Times New Roman" w:hAnsi="Times New Roman" w:cs="Times New Roman"/>
          <w:u w:val="single"/>
        </w:rPr>
      </w:pPr>
      <w:r w:rsidRPr="00A96F21">
        <w:rPr>
          <w:rFonts w:ascii="Times New Roman" w:hAnsi="Times New Roman" w:cs="Times New Roman"/>
        </w:rPr>
        <w:t>I.</w:t>
      </w:r>
      <w:r w:rsidRPr="00A96F21">
        <w:rPr>
          <w:rFonts w:ascii="Times New Roman" w:hAnsi="Times New Roman" w:cs="Times New Roman"/>
        </w:rPr>
        <w:tab/>
      </w:r>
      <w:r w:rsidR="00705C62" w:rsidRPr="00A96F21">
        <w:rPr>
          <w:rFonts w:ascii="Times New Roman" w:hAnsi="Times New Roman" w:cs="Times New Roman"/>
          <w:u w:val="single"/>
        </w:rPr>
        <w:t>HISTORY</w:t>
      </w:r>
    </w:p>
    <w:p w:rsidR="00705C62" w:rsidRDefault="00705C62" w:rsidP="003B1609">
      <w:pPr>
        <w:rPr>
          <w:rFonts w:ascii="Times New Roman" w:hAnsi="Times New Roman" w:cs="Times New Roman"/>
        </w:rPr>
      </w:pPr>
    </w:p>
    <w:p w:rsidR="003B1609" w:rsidRPr="00A96F21" w:rsidRDefault="003B1609" w:rsidP="003B1609">
      <w:pPr>
        <w:rPr>
          <w:rFonts w:ascii="Times New Roman" w:hAnsi="Times New Roman" w:cs="Times New Roman"/>
        </w:rPr>
      </w:pPr>
    </w:p>
    <w:p w:rsidR="00382FAC" w:rsidRPr="00A96F21" w:rsidRDefault="00A12A3B" w:rsidP="00382FAC">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 xml:space="preserve">On April 12, 2013, NRG filed Supplement No. 48 to Tariff Steam-PA PUC No. 4 (Supplement No. 48), proposing to increase the Company’s base rate for its steam service by </w:t>
      </w:r>
      <w:r w:rsidRPr="00A96F21">
        <w:rPr>
          <w:rFonts w:ascii="Times New Roman" w:hAnsi="Times New Roman" w:cs="Times New Roman"/>
        </w:rPr>
        <w:lastRenderedPageBreak/>
        <w:t xml:space="preserve">$875,000, an increase of 11.46% on a total bill basis for NRG’s 142 Rate 1 customers.  </w:t>
      </w:r>
      <w:r w:rsidR="00A35188" w:rsidRPr="00A96F21">
        <w:rPr>
          <w:rFonts w:ascii="Times New Roman" w:hAnsi="Times New Roman" w:cs="Times New Roman"/>
        </w:rPr>
        <w:t>NRG’s one Rate 2 customer would see a proportionate increase in rates.</w:t>
      </w:r>
      <w:r w:rsidR="00382FAC" w:rsidRPr="00A96F21">
        <w:rPr>
          <w:rStyle w:val="FootnoteReference"/>
          <w:rFonts w:ascii="Times New Roman" w:hAnsi="Times New Roman" w:cs="Times New Roman"/>
        </w:rPr>
        <w:footnoteReference w:id="1"/>
      </w:r>
    </w:p>
    <w:p w:rsidR="00CE41E1" w:rsidRPr="00A96F21" w:rsidRDefault="00CE41E1" w:rsidP="002629E1">
      <w:pPr>
        <w:spacing w:line="360" w:lineRule="auto"/>
        <w:rPr>
          <w:rFonts w:ascii="Times New Roman" w:hAnsi="Times New Roman" w:cs="Times New Roman"/>
        </w:rPr>
      </w:pPr>
    </w:p>
    <w:p w:rsidR="00CE41E1" w:rsidRPr="00A96F21" w:rsidRDefault="00CE41E1" w:rsidP="002629E1">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On May 22, 2013, I&amp;E entered its appearance in this case.</w:t>
      </w:r>
    </w:p>
    <w:p w:rsidR="00A35188" w:rsidRPr="00A96F21" w:rsidRDefault="00A35188" w:rsidP="002629E1">
      <w:pPr>
        <w:spacing w:line="360" w:lineRule="auto"/>
        <w:rPr>
          <w:rFonts w:ascii="Times New Roman" w:hAnsi="Times New Roman" w:cs="Times New Roman"/>
        </w:rPr>
      </w:pPr>
    </w:p>
    <w:p w:rsidR="00A35188" w:rsidRPr="00A96F21" w:rsidRDefault="00A35188" w:rsidP="002629E1">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On May 31, 2013, the OCA filed a formal Complaint and Public Statement in this proceeding.</w:t>
      </w:r>
      <w:r w:rsidRPr="00A96F21">
        <w:rPr>
          <w:rStyle w:val="FootnoteReference"/>
          <w:rFonts w:ascii="Times New Roman" w:hAnsi="Times New Roman" w:cs="Times New Roman"/>
        </w:rPr>
        <w:footnoteReference w:id="2"/>
      </w:r>
    </w:p>
    <w:p w:rsidR="00A35188" w:rsidRPr="00A96F21" w:rsidRDefault="00A35188" w:rsidP="002629E1">
      <w:pPr>
        <w:spacing w:line="360" w:lineRule="auto"/>
        <w:rPr>
          <w:rFonts w:ascii="Times New Roman" w:hAnsi="Times New Roman" w:cs="Times New Roman"/>
        </w:rPr>
      </w:pPr>
    </w:p>
    <w:p w:rsidR="00A35188" w:rsidRPr="00A96F21" w:rsidRDefault="00A35188" w:rsidP="002629E1">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 xml:space="preserve">On June 5, 2013, </w:t>
      </w:r>
      <w:bookmarkStart w:id="0" w:name="OLE_LINK1"/>
      <w:bookmarkStart w:id="1" w:name="OLE_LINK2"/>
      <w:r w:rsidRPr="00A96F21">
        <w:rPr>
          <w:rFonts w:ascii="Times New Roman" w:hAnsi="Times New Roman" w:cs="Times New Roman"/>
        </w:rPr>
        <w:t xml:space="preserve">the OSBA </w:t>
      </w:r>
      <w:bookmarkEnd w:id="0"/>
      <w:bookmarkEnd w:id="1"/>
      <w:r w:rsidRPr="00A96F21">
        <w:rPr>
          <w:rFonts w:ascii="Times New Roman" w:hAnsi="Times New Roman" w:cs="Times New Roman"/>
        </w:rPr>
        <w:t>filed a formal Complaint and Public Statement in this proceeding.</w:t>
      </w:r>
      <w:r w:rsidR="00CE41E1" w:rsidRPr="00A96F21">
        <w:rPr>
          <w:rStyle w:val="FootnoteReference"/>
          <w:rFonts w:ascii="Times New Roman" w:hAnsi="Times New Roman" w:cs="Times New Roman"/>
        </w:rPr>
        <w:footnoteReference w:id="3"/>
      </w:r>
    </w:p>
    <w:p w:rsidR="00A35188" w:rsidRPr="00A96F21" w:rsidRDefault="00A35188" w:rsidP="002629E1">
      <w:pPr>
        <w:spacing w:line="360" w:lineRule="auto"/>
        <w:rPr>
          <w:rFonts w:ascii="Times New Roman" w:hAnsi="Times New Roman" w:cs="Times New Roman"/>
        </w:rPr>
      </w:pPr>
    </w:p>
    <w:p w:rsidR="00A35188" w:rsidRPr="00A96F21" w:rsidRDefault="00A35188" w:rsidP="002629E1">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 xml:space="preserve">At its public meeting on June 13, 2013, the Commission suspended the proposed tariff Supplement by operation of law until January 14, 2014, and assigned this case to the Office of </w:t>
      </w:r>
      <w:r w:rsidR="00244C03" w:rsidRPr="00A96F21">
        <w:rPr>
          <w:rFonts w:ascii="Times New Roman" w:hAnsi="Times New Roman" w:cs="Times New Roman"/>
        </w:rPr>
        <w:t>Administrative Law Judge (OALJ).</w:t>
      </w:r>
    </w:p>
    <w:p w:rsidR="00A35188" w:rsidRPr="00A96F21" w:rsidRDefault="00A35188" w:rsidP="002629E1">
      <w:pPr>
        <w:spacing w:line="360" w:lineRule="auto"/>
        <w:rPr>
          <w:rFonts w:ascii="Times New Roman" w:hAnsi="Times New Roman" w:cs="Times New Roman"/>
        </w:rPr>
      </w:pPr>
    </w:p>
    <w:p w:rsidR="00A35188" w:rsidRPr="00A96F21" w:rsidRDefault="00A35188" w:rsidP="002629E1">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 xml:space="preserve">On June 18, 2013, a Prehearing Conference and Mediation Notice </w:t>
      </w:r>
      <w:proofErr w:type="gramStart"/>
      <w:r w:rsidRPr="00A96F21">
        <w:rPr>
          <w:rFonts w:ascii="Times New Roman" w:hAnsi="Times New Roman" w:cs="Times New Roman"/>
        </w:rPr>
        <w:t>was</w:t>
      </w:r>
      <w:proofErr w:type="gramEnd"/>
      <w:r w:rsidRPr="00A96F21">
        <w:rPr>
          <w:rFonts w:ascii="Times New Roman" w:hAnsi="Times New Roman" w:cs="Times New Roman"/>
        </w:rPr>
        <w:t xml:space="preserve"> issued by the OALJ, setting July 18, 2013 as the date for the Prehearing and Mediation Conferences in this matter.</w:t>
      </w:r>
    </w:p>
    <w:p w:rsidR="00A35188" w:rsidRPr="00A96F21" w:rsidRDefault="00A35188" w:rsidP="002629E1">
      <w:pPr>
        <w:spacing w:line="360" w:lineRule="auto"/>
        <w:rPr>
          <w:rFonts w:ascii="Times New Roman" w:hAnsi="Times New Roman" w:cs="Times New Roman"/>
        </w:rPr>
      </w:pPr>
    </w:p>
    <w:p w:rsidR="00A35188" w:rsidRPr="00A96F21" w:rsidRDefault="00A35188" w:rsidP="002629E1">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On June 25, 2013, NRG voluntarily extended the effective date of the proposed base rates an additional sixty days to March 15, 2014 so that the Parties could pursue settlement discussions.</w:t>
      </w:r>
      <w:r w:rsidR="00DB547F">
        <w:rPr>
          <w:rStyle w:val="FootnoteReference"/>
          <w:rFonts w:ascii="Times New Roman" w:hAnsi="Times New Roman" w:cs="Times New Roman"/>
        </w:rPr>
        <w:footnoteReference w:id="4"/>
      </w:r>
    </w:p>
    <w:p w:rsidR="00A35188" w:rsidRPr="00A96F21" w:rsidRDefault="00A35188" w:rsidP="002629E1">
      <w:pPr>
        <w:spacing w:line="360" w:lineRule="auto"/>
        <w:rPr>
          <w:rFonts w:ascii="Times New Roman" w:hAnsi="Times New Roman" w:cs="Times New Roman"/>
        </w:rPr>
      </w:pPr>
    </w:p>
    <w:p w:rsidR="00A35188" w:rsidRPr="00A96F21" w:rsidRDefault="00A35188" w:rsidP="002629E1">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 xml:space="preserve">On July 16, 2013, I issued a </w:t>
      </w:r>
      <w:r w:rsidRPr="00A96F21">
        <w:rPr>
          <w:rFonts w:ascii="Times New Roman" w:hAnsi="Times New Roman" w:cs="Times New Roman"/>
          <w:i/>
        </w:rPr>
        <w:t>pro forma</w:t>
      </w:r>
      <w:r w:rsidRPr="00A96F21">
        <w:rPr>
          <w:rFonts w:ascii="Times New Roman" w:hAnsi="Times New Roman" w:cs="Times New Roman"/>
        </w:rPr>
        <w:t xml:space="preserve"> Prehearing Order.</w:t>
      </w:r>
    </w:p>
    <w:p w:rsidR="00244C03" w:rsidRPr="00A96F21" w:rsidRDefault="00244C03" w:rsidP="002629E1">
      <w:pPr>
        <w:spacing w:line="360" w:lineRule="auto"/>
        <w:rPr>
          <w:rFonts w:ascii="Times New Roman" w:hAnsi="Times New Roman" w:cs="Times New Roman"/>
        </w:rPr>
      </w:pPr>
    </w:p>
    <w:p w:rsidR="00244C03" w:rsidRPr="00A96F21" w:rsidRDefault="00244C03" w:rsidP="002629E1">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 xml:space="preserve">On July 18, 2013, a Prehearing Conference, which continued immediately into a mediation session with Mediator Cynthia Lehman, took place </w:t>
      </w:r>
      <w:r w:rsidR="005F5A9C" w:rsidRPr="00A96F21">
        <w:rPr>
          <w:rFonts w:ascii="Times New Roman" w:hAnsi="Times New Roman" w:cs="Times New Roman"/>
        </w:rPr>
        <w:t>at</w:t>
      </w:r>
      <w:r w:rsidRPr="00A96F21">
        <w:rPr>
          <w:rFonts w:ascii="Times New Roman" w:hAnsi="Times New Roman" w:cs="Times New Roman"/>
        </w:rPr>
        <w:t xml:space="preserve"> the Commission’s office in Harrisburg, Pennsylvania.  David P. Zambito, Esquire appeared on behalf of NRG.  Richard A. Kanaskie, Esquire, appeared o</w:t>
      </w:r>
      <w:r w:rsidR="00051DEE">
        <w:rPr>
          <w:rFonts w:ascii="Times New Roman" w:hAnsi="Times New Roman" w:cs="Times New Roman"/>
        </w:rPr>
        <w:t xml:space="preserve">n behalf of the Commission’s </w:t>
      </w:r>
      <w:r w:rsidR="00006F99" w:rsidRPr="00A96F21">
        <w:rPr>
          <w:rFonts w:ascii="Times New Roman" w:hAnsi="Times New Roman" w:cs="Times New Roman"/>
        </w:rPr>
        <w:t>I</w:t>
      </w:r>
      <w:r w:rsidRPr="00A96F21">
        <w:rPr>
          <w:rFonts w:ascii="Times New Roman" w:hAnsi="Times New Roman" w:cs="Times New Roman"/>
        </w:rPr>
        <w:t>&amp;E.  Christy M. Appleby, Esquire, appeared on behalf of the OCA.  Steven C. Gray, Esquire, appeared on behalf of the OSBA.</w:t>
      </w:r>
      <w:r w:rsidR="009358D5" w:rsidRPr="00A96F21">
        <w:rPr>
          <w:rFonts w:ascii="Times New Roman" w:hAnsi="Times New Roman" w:cs="Times New Roman"/>
        </w:rPr>
        <w:t xml:space="preserve">  As the Parties had elected to pursue mediation and were already far advanced in their negotiations, it was not necessary to establish a formal procedural schedule.  Likewise, it was not necessary to address any proposed modifications to the Commission’s procedural rules as is usually the case in fully litigated proceedings.</w:t>
      </w:r>
    </w:p>
    <w:p w:rsidR="00CE41E1" w:rsidRPr="00A96F21" w:rsidRDefault="00CE41E1" w:rsidP="002629E1">
      <w:pPr>
        <w:spacing w:line="360" w:lineRule="auto"/>
        <w:rPr>
          <w:rFonts w:ascii="Times New Roman" w:hAnsi="Times New Roman" w:cs="Times New Roman"/>
        </w:rPr>
      </w:pPr>
    </w:p>
    <w:p w:rsidR="00CE41E1" w:rsidRPr="00A96F21" w:rsidRDefault="00CE41E1" w:rsidP="002629E1">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On July 22, 2013, I was advised by the Parties that they had reached a unanimous settlement in principle of all issues in th</w:t>
      </w:r>
      <w:r w:rsidR="00705C62" w:rsidRPr="00A96F21">
        <w:rPr>
          <w:rFonts w:ascii="Times New Roman" w:hAnsi="Times New Roman" w:cs="Times New Roman"/>
        </w:rPr>
        <w:t>is case</w:t>
      </w:r>
      <w:r w:rsidRPr="00A96F21">
        <w:rPr>
          <w:rFonts w:ascii="Times New Roman" w:hAnsi="Times New Roman" w:cs="Times New Roman"/>
        </w:rPr>
        <w:t xml:space="preserve"> and </w:t>
      </w:r>
      <w:r w:rsidR="005F5A9C" w:rsidRPr="00A96F21">
        <w:rPr>
          <w:rFonts w:ascii="Times New Roman" w:hAnsi="Times New Roman" w:cs="Times New Roman"/>
        </w:rPr>
        <w:t xml:space="preserve">that they </w:t>
      </w:r>
      <w:r w:rsidRPr="00A96F21">
        <w:rPr>
          <w:rFonts w:ascii="Times New Roman" w:hAnsi="Times New Roman" w:cs="Times New Roman"/>
        </w:rPr>
        <w:t>were therefore requesting a suspension of the procedural schedule.</w:t>
      </w:r>
      <w:r w:rsidR="007A6F57" w:rsidRPr="00A96F21">
        <w:rPr>
          <w:rFonts w:ascii="Times New Roman" w:hAnsi="Times New Roman" w:cs="Times New Roman"/>
        </w:rPr>
        <w:t xml:space="preserve">  The procedural schedule was suspended by Order issued July 26, 2013.</w:t>
      </w:r>
    </w:p>
    <w:p w:rsidR="007A6F57" w:rsidRPr="00A96F21" w:rsidRDefault="007A6F57" w:rsidP="002629E1">
      <w:pPr>
        <w:spacing w:line="360" w:lineRule="auto"/>
        <w:rPr>
          <w:rFonts w:ascii="Times New Roman" w:hAnsi="Times New Roman" w:cs="Times New Roman"/>
        </w:rPr>
      </w:pPr>
    </w:p>
    <w:p w:rsidR="007A6F57" w:rsidRPr="00A96F21" w:rsidRDefault="007A6F57" w:rsidP="002629E1">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 xml:space="preserve">On August 2, 2013, </w:t>
      </w:r>
      <w:r w:rsidR="001A3666" w:rsidRPr="00A96F21">
        <w:rPr>
          <w:rFonts w:ascii="Times New Roman" w:hAnsi="Times New Roman" w:cs="Times New Roman"/>
        </w:rPr>
        <w:t>the parties filed a Joint Petition for Approval of Unanimous Settlement of All Issues.</w:t>
      </w:r>
    </w:p>
    <w:p w:rsidR="00161030" w:rsidRPr="00A96F21" w:rsidRDefault="00161030" w:rsidP="002629E1">
      <w:pPr>
        <w:spacing w:line="360" w:lineRule="auto"/>
        <w:rPr>
          <w:rFonts w:ascii="Times New Roman" w:hAnsi="Times New Roman" w:cs="Times New Roman"/>
        </w:rPr>
      </w:pPr>
    </w:p>
    <w:p w:rsidR="00E518A8" w:rsidRPr="00A96F21" w:rsidRDefault="00161030" w:rsidP="002629E1">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r>
      <w:r w:rsidR="00E518A8" w:rsidRPr="00A96F21">
        <w:rPr>
          <w:rFonts w:ascii="Times New Roman" w:hAnsi="Times New Roman" w:cs="Times New Roman"/>
        </w:rPr>
        <w:t>On October 25, 2013, NRG filed a Motion for Admission of Evidence referencing the Joint Stipulation for Admission of Evidence filed August 2, 2013.</w:t>
      </w:r>
    </w:p>
    <w:p w:rsidR="00E518A8" w:rsidRPr="00A96F21" w:rsidRDefault="00E518A8" w:rsidP="002629E1">
      <w:pPr>
        <w:spacing w:line="360" w:lineRule="auto"/>
        <w:rPr>
          <w:rFonts w:ascii="Times New Roman" w:hAnsi="Times New Roman" w:cs="Times New Roman"/>
        </w:rPr>
      </w:pPr>
    </w:p>
    <w:p w:rsidR="00161030" w:rsidRPr="00A96F21" w:rsidRDefault="00E518A8" w:rsidP="002629E1">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 xml:space="preserve">On October 25, 2013, I issued an Order granting the Motion for Admission of Evidence and closing the record in this case.  </w:t>
      </w:r>
      <w:r w:rsidR="00161030" w:rsidRPr="00A96F21">
        <w:rPr>
          <w:rFonts w:ascii="Times New Roman" w:hAnsi="Times New Roman" w:cs="Times New Roman"/>
        </w:rPr>
        <w:t xml:space="preserve">For the reasons set forth below, the Settlement </w:t>
      </w:r>
      <w:r w:rsidR="008232CF" w:rsidRPr="00A96F21">
        <w:rPr>
          <w:rFonts w:ascii="Times New Roman" w:hAnsi="Times New Roman" w:cs="Times New Roman"/>
        </w:rPr>
        <w:t>is</w:t>
      </w:r>
      <w:r w:rsidR="00161030" w:rsidRPr="00A96F21">
        <w:rPr>
          <w:rFonts w:ascii="Times New Roman" w:hAnsi="Times New Roman" w:cs="Times New Roman"/>
        </w:rPr>
        <w:t xml:space="preserve"> recommended for approval without modification.</w:t>
      </w:r>
    </w:p>
    <w:p w:rsidR="008232CF" w:rsidRPr="00A96F21" w:rsidRDefault="008232CF" w:rsidP="002629E1">
      <w:pPr>
        <w:spacing w:line="360" w:lineRule="auto"/>
        <w:rPr>
          <w:rFonts w:ascii="Times New Roman" w:hAnsi="Times New Roman" w:cs="Times New Roman"/>
        </w:rPr>
      </w:pPr>
    </w:p>
    <w:p w:rsidR="003879FF" w:rsidRDefault="003879FF" w:rsidP="008232CF">
      <w:pPr>
        <w:spacing w:line="360" w:lineRule="auto"/>
        <w:jc w:val="center"/>
        <w:rPr>
          <w:rFonts w:ascii="Times New Roman" w:hAnsi="Times New Roman" w:cs="Times New Roman"/>
        </w:rPr>
      </w:pPr>
      <w:r>
        <w:rPr>
          <w:rFonts w:ascii="Times New Roman" w:hAnsi="Times New Roman" w:cs="Times New Roman"/>
        </w:rPr>
        <w:br w:type="page"/>
      </w:r>
    </w:p>
    <w:p w:rsidR="008232CF" w:rsidRPr="00A96F21" w:rsidRDefault="007D04E9" w:rsidP="008232CF">
      <w:pPr>
        <w:spacing w:line="360" w:lineRule="auto"/>
        <w:jc w:val="center"/>
        <w:rPr>
          <w:rFonts w:ascii="Times New Roman" w:hAnsi="Times New Roman" w:cs="Times New Roman"/>
        </w:rPr>
      </w:pPr>
      <w:r w:rsidRPr="00A96F21">
        <w:rPr>
          <w:rFonts w:ascii="Times New Roman" w:hAnsi="Times New Roman" w:cs="Times New Roman"/>
        </w:rPr>
        <w:t>II.</w:t>
      </w:r>
      <w:r w:rsidRPr="00A96F21">
        <w:rPr>
          <w:rFonts w:ascii="Times New Roman" w:hAnsi="Times New Roman" w:cs="Times New Roman"/>
        </w:rPr>
        <w:tab/>
      </w:r>
      <w:r w:rsidR="008232CF" w:rsidRPr="00A96F21">
        <w:rPr>
          <w:rFonts w:ascii="Times New Roman" w:hAnsi="Times New Roman" w:cs="Times New Roman"/>
          <w:u w:val="single"/>
        </w:rPr>
        <w:t>TERMS OF THE SETTLEMENT</w:t>
      </w:r>
    </w:p>
    <w:p w:rsidR="004D7162" w:rsidRPr="00A96F21" w:rsidRDefault="004D7162" w:rsidP="000C4224">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r>
    </w:p>
    <w:p w:rsidR="000C4224" w:rsidRPr="00A96F21" w:rsidRDefault="004D7162" w:rsidP="000C4224">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The Terms of Settlement begin on page four of the Settlement and are encompassed within Paragraph 13, which is quoted verbatim, below:</w:t>
      </w:r>
    </w:p>
    <w:p w:rsidR="000C4224" w:rsidRPr="00A96F21" w:rsidRDefault="000C4224" w:rsidP="000C4224">
      <w:pPr>
        <w:spacing w:line="360" w:lineRule="auto"/>
        <w:rPr>
          <w:rFonts w:ascii="Times New Roman" w:hAnsi="Times New Roman" w:cs="Times New Roman"/>
        </w:rPr>
      </w:pPr>
    </w:p>
    <w:p w:rsidR="000C4224" w:rsidRPr="00A96F21" w:rsidRDefault="000C4224" w:rsidP="00382FAC">
      <w:pPr>
        <w:autoSpaceDE/>
        <w:autoSpaceDN/>
        <w:ind w:left="2160" w:right="720" w:hanging="720"/>
        <w:jc w:val="both"/>
        <w:rPr>
          <w:rFonts w:ascii="Times New Roman" w:hAnsi="Times New Roman" w:cs="Times New Roman"/>
        </w:rPr>
      </w:pPr>
      <w:r w:rsidRPr="00A96F21">
        <w:rPr>
          <w:rFonts w:ascii="Times New Roman" w:hAnsi="Times New Roman" w:cs="Times New Roman"/>
        </w:rPr>
        <w:t>13.</w:t>
      </w:r>
      <w:r w:rsidRPr="00A96F21">
        <w:rPr>
          <w:rFonts w:ascii="Times New Roman" w:hAnsi="Times New Roman" w:cs="Times New Roman"/>
        </w:rPr>
        <w:tab/>
        <w:t>The Joint Petitioners agree as follows:</w:t>
      </w:r>
    </w:p>
    <w:p w:rsidR="00382FAC" w:rsidRPr="00A96F21" w:rsidRDefault="00382FAC" w:rsidP="00382FAC">
      <w:pPr>
        <w:autoSpaceDE/>
        <w:autoSpaceDN/>
        <w:ind w:left="2160" w:right="720" w:hanging="720"/>
        <w:jc w:val="both"/>
        <w:rPr>
          <w:rFonts w:ascii="Times New Roman" w:hAnsi="Times New Roman" w:cs="Times New Roman"/>
        </w:rPr>
      </w:pPr>
    </w:p>
    <w:p w:rsidR="000C4224" w:rsidRPr="00A96F21" w:rsidRDefault="000C4224" w:rsidP="00382FAC">
      <w:pPr>
        <w:autoSpaceDE/>
        <w:autoSpaceDN/>
        <w:ind w:left="2160" w:right="720" w:hanging="720"/>
        <w:jc w:val="both"/>
        <w:rPr>
          <w:rFonts w:ascii="Times New Roman" w:hAnsi="Times New Roman" w:cs="Times New Roman"/>
        </w:rPr>
      </w:pPr>
      <w:r w:rsidRPr="00A96F21">
        <w:rPr>
          <w:rFonts w:ascii="Times New Roman" w:hAnsi="Times New Roman" w:cs="Times New Roman"/>
        </w:rPr>
        <w:t>(a)</w:t>
      </w:r>
      <w:r w:rsidRPr="00A96F21">
        <w:rPr>
          <w:rFonts w:ascii="Times New Roman" w:hAnsi="Times New Roman" w:cs="Times New Roman"/>
        </w:rPr>
        <w:tab/>
        <w:t>The Settlement rates are designed to produce $875,000 in additional annual operating revenue based upon a fully projected future test year ending January 11, 2015.</w:t>
      </w:r>
    </w:p>
    <w:p w:rsidR="00382FAC" w:rsidRPr="00A96F21" w:rsidRDefault="00382FAC" w:rsidP="00382FAC">
      <w:pPr>
        <w:autoSpaceDE/>
        <w:autoSpaceDN/>
        <w:ind w:left="2160" w:right="720" w:hanging="720"/>
        <w:jc w:val="both"/>
        <w:rPr>
          <w:rFonts w:ascii="Times New Roman" w:hAnsi="Times New Roman" w:cs="Times New Roman"/>
        </w:rPr>
      </w:pPr>
    </w:p>
    <w:p w:rsidR="000C4224" w:rsidRPr="00A96F21" w:rsidRDefault="000C4224" w:rsidP="00382FAC">
      <w:pPr>
        <w:autoSpaceDE/>
        <w:autoSpaceDN/>
        <w:ind w:left="2160" w:right="720" w:hanging="720"/>
        <w:jc w:val="both"/>
        <w:rPr>
          <w:rFonts w:ascii="Times New Roman" w:hAnsi="Times New Roman" w:cs="Times New Roman"/>
        </w:rPr>
      </w:pPr>
      <w:r w:rsidRPr="00A96F21">
        <w:rPr>
          <w:rFonts w:ascii="Times New Roman" w:hAnsi="Times New Roman" w:cs="Times New Roman"/>
        </w:rPr>
        <w:t>(b)</w:t>
      </w:r>
      <w:r w:rsidRPr="00A96F21">
        <w:rPr>
          <w:rFonts w:ascii="Times New Roman" w:hAnsi="Times New Roman" w:cs="Times New Roman"/>
        </w:rPr>
        <w:tab/>
        <w:t xml:space="preserve">NRG will be permitted to file a tariff supplement in the form attached hereto as </w:t>
      </w:r>
      <w:r w:rsidRPr="00A96F21">
        <w:rPr>
          <w:rFonts w:ascii="Times New Roman" w:hAnsi="Times New Roman" w:cs="Times New Roman"/>
          <w:b/>
        </w:rPr>
        <w:t>Appendix A</w:t>
      </w:r>
      <w:r w:rsidRPr="00A96F21">
        <w:rPr>
          <w:rFonts w:ascii="Times New Roman" w:hAnsi="Times New Roman" w:cs="Times New Roman"/>
        </w:rPr>
        <w:t xml:space="preserve"> to become effective on one day’s notice.</w:t>
      </w:r>
    </w:p>
    <w:p w:rsidR="00382FAC" w:rsidRPr="00A96F21" w:rsidRDefault="00382FAC" w:rsidP="00382FAC">
      <w:pPr>
        <w:autoSpaceDE/>
        <w:autoSpaceDN/>
        <w:ind w:left="2160" w:right="720" w:hanging="720"/>
        <w:jc w:val="both"/>
        <w:rPr>
          <w:rFonts w:ascii="Times New Roman" w:hAnsi="Times New Roman" w:cs="Times New Roman"/>
        </w:rPr>
      </w:pPr>
    </w:p>
    <w:p w:rsidR="00382FAC" w:rsidRPr="00A96F21" w:rsidRDefault="000C4224" w:rsidP="00382FAC">
      <w:pPr>
        <w:autoSpaceDE/>
        <w:autoSpaceDN/>
        <w:ind w:left="2160" w:right="720" w:hanging="720"/>
        <w:jc w:val="both"/>
        <w:rPr>
          <w:rFonts w:ascii="Times New Roman" w:hAnsi="Times New Roman" w:cs="Times New Roman"/>
        </w:rPr>
      </w:pPr>
      <w:r w:rsidRPr="00A96F21">
        <w:rPr>
          <w:rFonts w:ascii="Times New Roman" w:hAnsi="Times New Roman" w:cs="Times New Roman"/>
        </w:rPr>
        <w:t>(c)</w:t>
      </w:r>
      <w:r w:rsidRPr="00A96F21">
        <w:rPr>
          <w:rFonts w:ascii="Times New Roman" w:hAnsi="Times New Roman" w:cs="Times New Roman"/>
        </w:rPr>
        <w:tab/>
        <w:t>The Settlement shall be “black box” in nature and there shall be no specification of allowed or disallowed claims; provided however that the following expenses shall be deemed to have been included in and fully recovered through</w:t>
      </w:r>
      <w:r w:rsidR="003879FF">
        <w:rPr>
          <w:rFonts w:ascii="Times New Roman" w:hAnsi="Times New Roman" w:cs="Times New Roman"/>
        </w:rPr>
        <w:t xml:space="preserve"> the allowed revenue increase: (i) </w:t>
      </w:r>
      <w:r w:rsidRPr="00A96F21">
        <w:rPr>
          <w:rFonts w:ascii="Times New Roman" w:hAnsi="Times New Roman" w:cs="Times New Roman"/>
        </w:rPr>
        <w:t>Repair/Painting of South Stack; and, (ii) Repair of Plant Roof.  Upon completion of the Repair/Painting of the South Stack and the Repair of the Plant Roof, NRG Harrisburg shall file at this docket, with copies to OCA, I&amp;E and OSBA, a letter stating that the projects have been completed.  NRG Harrisburg will inform the statutory advocates upon completion of the projects.  The Company cannot claim these projects in any future base rate proceeding.</w:t>
      </w:r>
    </w:p>
    <w:p w:rsidR="000C4224" w:rsidRPr="00A96F21" w:rsidRDefault="000C4224" w:rsidP="00382FAC">
      <w:pPr>
        <w:autoSpaceDE/>
        <w:autoSpaceDN/>
        <w:ind w:left="2160" w:right="720" w:hanging="720"/>
        <w:jc w:val="both"/>
        <w:rPr>
          <w:rFonts w:ascii="Times New Roman" w:hAnsi="Times New Roman" w:cs="Times New Roman"/>
        </w:rPr>
      </w:pPr>
    </w:p>
    <w:p w:rsidR="000C4224" w:rsidRPr="00A96F21" w:rsidRDefault="000C4224" w:rsidP="00382FAC">
      <w:pPr>
        <w:autoSpaceDE/>
        <w:autoSpaceDN/>
        <w:ind w:left="2160" w:right="720" w:hanging="720"/>
        <w:jc w:val="both"/>
        <w:rPr>
          <w:rFonts w:ascii="Times New Roman" w:hAnsi="Times New Roman" w:cs="Times New Roman"/>
        </w:rPr>
      </w:pPr>
      <w:r w:rsidRPr="00A96F21">
        <w:rPr>
          <w:rFonts w:ascii="Times New Roman" w:hAnsi="Times New Roman" w:cs="Times New Roman"/>
        </w:rPr>
        <w:t>(d)</w:t>
      </w:r>
      <w:r w:rsidRPr="00A96F21">
        <w:rPr>
          <w:rFonts w:ascii="Times New Roman" w:hAnsi="Times New Roman" w:cs="Times New Roman"/>
        </w:rPr>
        <w:tab/>
        <w:t>The 2013 base rate case expense shall be normalized.</w:t>
      </w:r>
    </w:p>
    <w:p w:rsidR="00382FAC" w:rsidRPr="00A96F21" w:rsidRDefault="00382FAC" w:rsidP="00382FAC">
      <w:pPr>
        <w:autoSpaceDE/>
        <w:autoSpaceDN/>
        <w:ind w:left="2160" w:right="720" w:hanging="720"/>
        <w:jc w:val="both"/>
        <w:rPr>
          <w:rFonts w:ascii="Times New Roman" w:hAnsi="Times New Roman" w:cs="Times New Roman"/>
        </w:rPr>
      </w:pPr>
    </w:p>
    <w:p w:rsidR="000C4224" w:rsidRPr="00A96F21" w:rsidRDefault="000C4224" w:rsidP="00382FAC">
      <w:pPr>
        <w:autoSpaceDE/>
        <w:autoSpaceDN/>
        <w:ind w:left="2160" w:right="720" w:hanging="720"/>
        <w:jc w:val="both"/>
        <w:rPr>
          <w:rFonts w:ascii="Times New Roman" w:hAnsi="Times New Roman" w:cs="Times New Roman"/>
        </w:rPr>
      </w:pPr>
      <w:r w:rsidRPr="00A96F21">
        <w:rPr>
          <w:rFonts w:ascii="Times New Roman" w:hAnsi="Times New Roman" w:cs="Times New Roman"/>
        </w:rPr>
        <w:t>(e)</w:t>
      </w:r>
      <w:r w:rsidRPr="00A96F21">
        <w:rPr>
          <w:rFonts w:ascii="Times New Roman" w:hAnsi="Times New Roman" w:cs="Times New Roman"/>
        </w:rPr>
        <w:tab/>
        <w:t>On or before April 1, 2014, the Company will provide to the Commission’s Bureau of Technical Utility Services (“TUS”), I&amp;E, OCA, and OSBA an update to the Schedules included in NRGH Exhibit No. KLL-1, Answers to 5</w:t>
      </w:r>
      <w:r w:rsidR="00E14CA1">
        <w:rPr>
          <w:rFonts w:ascii="Times New Roman" w:hAnsi="Times New Roman" w:cs="Times New Roman"/>
        </w:rPr>
        <w:t>2 Pa.Code § 53.52(c)(1), Sheet </w:t>
      </w:r>
      <w:r w:rsidRPr="00A96F21">
        <w:rPr>
          <w:rFonts w:ascii="Times New Roman" w:hAnsi="Times New Roman" w:cs="Times New Roman"/>
        </w:rPr>
        <w:t>1b, “Statement of Operating Expenses For the Twelve Months Ended December 31, 201</w:t>
      </w:r>
      <w:r w:rsidR="009D3DEF">
        <w:rPr>
          <w:rFonts w:ascii="Times New Roman" w:hAnsi="Times New Roman" w:cs="Times New Roman"/>
        </w:rPr>
        <w:t xml:space="preserve">2 and December 31, 2013” and to 52 Pa.Code § </w:t>
      </w:r>
      <w:r w:rsidRPr="00A96F21">
        <w:rPr>
          <w:rFonts w:ascii="Times New Roman" w:hAnsi="Times New Roman" w:cs="Times New Roman"/>
        </w:rPr>
        <w:t>53.52(c)(3), “Original Cost of Utility Plant in Service at December 31, 2012 and December 31, 2013” filed in this proceeding -- which will include all going-level adjustments, actual capital expenditures, plant additions, and retirements for the twelve months ending December 31, 2013.  On or befor</w:t>
      </w:r>
      <w:r w:rsidR="008F0772">
        <w:rPr>
          <w:rFonts w:ascii="Times New Roman" w:hAnsi="Times New Roman" w:cs="Times New Roman"/>
        </w:rPr>
        <w:t>e April 1, </w:t>
      </w:r>
      <w:r w:rsidRPr="00A96F21">
        <w:rPr>
          <w:rFonts w:ascii="Times New Roman" w:hAnsi="Times New Roman" w:cs="Times New Roman"/>
        </w:rPr>
        <w:t>2015, the Company will update the Schedules included in NRGH Exhib</w:t>
      </w:r>
      <w:r w:rsidR="00A43854">
        <w:rPr>
          <w:rFonts w:ascii="Times New Roman" w:hAnsi="Times New Roman" w:cs="Times New Roman"/>
        </w:rPr>
        <w:t xml:space="preserve">it No. KLL-1, Answers to 52 Pa.Code § </w:t>
      </w:r>
      <w:r w:rsidRPr="00A96F21">
        <w:rPr>
          <w:rFonts w:ascii="Times New Roman" w:hAnsi="Times New Roman" w:cs="Times New Roman"/>
        </w:rPr>
        <w:t>53.52(c)(1), Sheet 1b “Statement of Operating Expenses For the Twelve Months Ended December 31, 201</w:t>
      </w:r>
      <w:r w:rsidR="002E42B5">
        <w:rPr>
          <w:rFonts w:ascii="Times New Roman" w:hAnsi="Times New Roman" w:cs="Times New Roman"/>
        </w:rPr>
        <w:t>2 and December 31, 2013” and to 52 Pa.</w:t>
      </w:r>
      <w:r w:rsidRPr="00A96F21">
        <w:rPr>
          <w:rFonts w:ascii="Times New Roman" w:hAnsi="Times New Roman" w:cs="Times New Roman"/>
        </w:rPr>
        <w:t>Co</w:t>
      </w:r>
      <w:r w:rsidR="002E42B5">
        <w:rPr>
          <w:rFonts w:ascii="Times New Roman" w:hAnsi="Times New Roman" w:cs="Times New Roman"/>
        </w:rPr>
        <w:t xml:space="preserve">de § </w:t>
      </w:r>
      <w:r w:rsidRPr="00A96F21">
        <w:rPr>
          <w:rFonts w:ascii="Times New Roman" w:hAnsi="Times New Roman" w:cs="Times New Roman"/>
        </w:rPr>
        <w:t>53.52(c)(3), “Original Cost of Utility Plant in Service at December 31, 2012 and December 31, 2013” filed in this proceeding -- which will include all going-level adjustments, actual capital expenditures, plant additions, and retirements for the twelve months ending December 31, 2014.  In the Company’s next base rate proceeding, the Company will prepare a comparison of its actual expenses and rate base additions to its projections in this case.</w:t>
      </w:r>
    </w:p>
    <w:p w:rsidR="00382FAC" w:rsidRPr="00A96F21" w:rsidRDefault="00382FAC" w:rsidP="00382FAC">
      <w:pPr>
        <w:autoSpaceDE/>
        <w:autoSpaceDN/>
        <w:ind w:left="2160" w:right="720" w:hanging="720"/>
        <w:jc w:val="both"/>
        <w:rPr>
          <w:rFonts w:ascii="Times New Roman" w:hAnsi="Times New Roman" w:cs="Times New Roman"/>
        </w:rPr>
      </w:pPr>
    </w:p>
    <w:p w:rsidR="000C4224" w:rsidRPr="00A96F21" w:rsidRDefault="000C4224" w:rsidP="00382FAC">
      <w:pPr>
        <w:autoSpaceDE/>
        <w:autoSpaceDN/>
        <w:ind w:left="2160" w:right="720" w:hanging="720"/>
        <w:jc w:val="both"/>
        <w:rPr>
          <w:rFonts w:ascii="Times New Roman" w:hAnsi="Times New Roman" w:cs="Times New Roman"/>
          <w:b/>
        </w:rPr>
      </w:pPr>
      <w:r w:rsidRPr="00A96F21">
        <w:rPr>
          <w:rFonts w:ascii="Times New Roman" w:hAnsi="Times New Roman" w:cs="Times New Roman"/>
        </w:rPr>
        <w:t>(f)</w:t>
      </w:r>
      <w:r w:rsidRPr="00A96F21">
        <w:rPr>
          <w:rFonts w:ascii="Times New Roman" w:hAnsi="Times New Roman" w:cs="Times New Roman"/>
        </w:rPr>
        <w:tab/>
        <w:t xml:space="preserve">The allowed increase in revenues is shown in the proof of revenues attached hereto as </w:t>
      </w:r>
      <w:r w:rsidRPr="00A96F21">
        <w:rPr>
          <w:rFonts w:ascii="Times New Roman" w:hAnsi="Times New Roman" w:cs="Times New Roman"/>
          <w:b/>
        </w:rPr>
        <w:t>Appendix B.</w:t>
      </w:r>
    </w:p>
    <w:p w:rsidR="00382FAC" w:rsidRPr="00A96F21" w:rsidRDefault="00382FAC" w:rsidP="00382FAC">
      <w:pPr>
        <w:autoSpaceDE/>
        <w:autoSpaceDN/>
        <w:ind w:left="2160" w:right="720" w:hanging="720"/>
        <w:jc w:val="both"/>
        <w:rPr>
          <w:rFonts w:ascii="Times New Roman" w:hAnsi="Times New Roman" w:cs="Times New Roman"/>
        </w:rPr>
      </w:pPr>
    </w:p>
    <w:p w:rsidR="000C4224" w:rsidRPr="00A96F21" w:rsidRDefault="000C4224" w:rsidP="00382FAC">
      <w:pPr>
        <w:autoSpaceDE/>
        <w:autoSpaceDN/>
        <w:ind w:left="2160" w:right="720" w:hanging="720"/>
        <w:jc w:val="both"/>
        <w:rPr>
          <w:rFonts w:ascii="Times New Roman" w:hAnsi="Times New Roman" w:cs="Times New Roman"/>
        </w:rPr>
      </w:pPr>
      <w:r w:rsidRPr="00A96F21">
        <w:rPr>
          <w:rFonts w:ascii="Times New Roman" w:hAnsi="Times New Roman" w:cs="Times New Roman"/>
        </w:rPr>
        <w:t>(g)</w:t>
      </w:r>
      <w:r w:rsidRPr="00A96F21">
        <w:rPr>
          <w:rFonts w:ascii="Times New Roman" w:hAnsi="Times New Roman" w:cs="Times New Roman"/>
        </w:rPr>
        <w:tab/>
        <w:t xml:space="preserve">Other miscellaneous tariff changes proposed by NRG are approved, as set forth in the form of tariff supplement attached hereto as </w:t>
      </w:r>
      <w:r w:rsidRPr="00A96F21">
        <w:rPr>
          <w:rFonts w:ascii="Times New Roman" w:hAnsi="Times New Roman" w:cs="Times New Roman"/>
          <w:b/>
        </w:rPr>
        <w:t>Appendix A</w:t>
      </w:r>
      <w:r w:rsidRPr="00A96F21">
        <w:rPr>
          <w:rFonts w:ascii="Times New Roman" w:hAnsi="Times New Roman" w:cs="Times New Roman"/>
        </w:rPr>
        <w:t>.</w:t>
      </w:r>
    </w:p>
    <w:p w:rsidR="00382FAC" w:rsidRPr="00A96F21" w:rsidRDefault="00382FAC" w:rsidP="0017427E">
      <w:pPr>
        <w:autoSpaceDE/>
        <w:autoSpaceDN/>
        <w:spacing w:line="360" w:lineRule="auto"/>
        <w:ind w:firstLine="1440"/>
        <w:jc w:val="both"/>
        <w:rPr>
          <w:rFonts w:ascii="Times New Roman" w:hAnsi="Times New Roman" w:cs="Times New Roman"/>
        </w:rPr>
      </w:pPr>
    </w:p>
    <w:p w:rsidR="00382FAC" w:rsidRPr="00A96F21" w:rsidRDefault="00382FAC" w:rsidP="0017427E">
      <w:pPr>
        <w:autoSpaceDE/>
        <w:autoSpaceDN/>
        <w:spacing w:line="360" w:lineRule="auto"/>
        <w:jc w:val="both"/>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 xml:space="preserve">The Settlement is conditioned upon the usual terms, including the Commission’s approval of the terms and conditions of the Settlement without modification.  If the Commission does not approve the Settlement and the proceeding continues, the Joint Petitioners reserve their respective procedural rights, including the right to present additional testimony and to conduct full cross-examination, briefing, and argument.  The Settlement reflects a compromise of competing positions and does not necessarily reflect any Party’s position with respect to any issues raised in this proceeding.  The Joint Petitioners agree that the Settlement shall not constitute or be cited as precedent in any other proceeding, except to the extent required </w:t>
      </w:r>
      <w:proofErr w:type="gramStart"/>
      <w:r w:rsidRPr="00A96F21">
        <w:rPr>
          <w:rFonts w:ascii="Times New Roman" w:hAnsi="Times New Roman" w:cs="Times New Roman"/>
        </w:rPr>
        <w:t>to</w:t>
      </w:r>
      <w:r w:rsidR="00507740" w:rsidRPr="00A96F21">
        <w:rPr>
          <w:rFonts w:ascii="Times New Roman" w:hAnsi="Times New Roman" w:cs="Times New Roman"/>
        </w:rPr>
        <w:t xml:space="preserve"> </w:t>
      </w:r>
      <w:r w:rsidRPr="00A96F21">
        <w:rPr>
          <w:rFonts w:ascii="Times New Roman" w:hAnsi="Times New Roman" w:cs="Times New Roman"/>
        </w:rPr>
        <w:t>implement</w:t>
      </w:r>
      <w:proofErr w:type="gramEnd"/>
      <w:r w:rsidRPr="00A96F21">
        <w:rPr>
          <w:rFonts w:ascii="Times New Roman" w:hAnsi="Times New Roman" w:cs="Times New Roman"/>
        </w:rPr>
        <w:t xml:space="preserve"> the Settlement.  A Joint Petitioner’s support of the Settlement does not indicate the Joint Petitioner’s agreement to the methodologies, calculations, and claims as used or submitted by NRG in its filing.  If a Recommended Decision adopts the Settlement without modification, the Parties waive their rights to file exceptions.</w:t>
      </w:r>
    </w:p>
    <w:p w:rsidR="00382FAC" w:rsidRPr="00A96F21" w:rsidRDefault="00382FAC" w:rsidP="0017427E">
      <w:pPr>
        <w:autoSpaceDE/>
        <w:autoSpaceDN/>
        <w:spacing w:line="360" w:lineRule="auto"/>
        <w:jc w:val="both"/>
        <w:rPr>
          <w:rFonts w:ascii="Times New Roman" w:hAnsi="Times New Roman" w:cs="Times New Roman"/>
        </w:rPr>
      </w:pPr>
    </w:p>
    <w:p w:rsidR="00AC06AF" w:rsidRPr="00A96F21" w:rsidRDefault="007D04E9" w:rsidP="00AC06AF">
      <w:pPr>
        <w:spacing w:line="360" w:lineRule="auto"/>
        <w:jc w:val="center"/>
        <w:rPr>
          <w:rFonts w:ascii="Times New Roman" w:hAnsi="Times New Roman" w:cs="Times New Roman"/>
        </w:rPr>
      </w:pPr>
      <w:r w:rsidRPr="00A96F21">
        <w:rPr>
          <w:rFonts w:ascii="Times New Roman" w:hAnsi="Times New Roman" w:cs="Times New Roman"/>
        </w:rPr>
        <w:t>III.</w:t>
      </w:r>
      <w:r w:rsidRPr="00A96F21">
        <w:rPr>
          <w:rFonts w:ascii="Times New Roman" w:hAnsi="Times New Roman" w:cs="Times New Roman"/>
        </w:rPr>
        <w:tab/>
      </w:r>
      <w:r w:rsidR="00AC06AF" w:rsidRPr="00A96F21">
        <w:rPr>
          <w:rFonts w:ascii="Times New Roman" w:hAnsi="Times New Roman" w:cs="Times New Roman"/>
          <w:u w:val="single"/>
        </w:rPr>
        <w:t>DISCUSSION</w:t>
      </w:r>
    </w:p>
    <w:p w:rsidR="00AC06AF" w:rsidRPr="00A96F21" w:rsidRDefault="00AC06AF" w:rsidP="00AC06AF">
      <w:pPr>
        <w:spacing w:line="360" w:lineRule="auto"/>
        <w:rPr>
          <w:rFonts w:ascii="Times New Roman" w:hAnsi="Times New Roman" w:cs="Times New Roman"/>
        </w:rPr>
      </w:pPr>
    </w:p>
    <w:p w:rsidR="00AC06AF" w:rsidRPr="00A96F21" w:rsidRDefault="00AC06AF" w:rsidP="00AC06AF">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r>
      <w:r w:rsidR="00507740" w:rsidRPr="00A96F21">
        <w:rPr>
          <w:rFonts w:ascii="Times New Roman" w:hAnsi="Times New Roman" w:cs="Times New Roman"/>
        </w:rPr>
        <w:t>A comprehensive</w:t>
      </w:r>
      <w:r w:rsidRPr="00A96F21">
        <w:rPr>
          <w:rFonts w:ascii="Times New Roman" w:hAnsi="Times New Roman" w:cs="Times New Roman"/>
        </w:rPr>
        <w:t xml:space="preserve"> settlement has been proposed to resolve the </w:t>
      </w:r>
      <w:r w:rsidR="00382FAC" w:rsidRPr="00A96F21">
        <w:rPr>
          <w:rFonts w:ascii="Times New Roman" w:hAnsi="Times New Roman" w:cs="Times New Roman"/>
        </w:rPr>
        <w:t xml:space="preserve">issues in this </w:t>
      </w:r>
      <w:r w:rsidRPr="00A96F21">
        <w:rPr>
          <w:rFonts w:ascii="Times New Roman" w:hAnsi="Times New Roman" w:cs="Times New Roman"/>
        </w:rPr>
        <w:t xml:space="preserve">rate case.  The focus of inquiry for determining whether a proposed settlement should be recommended for approval is not a “burden of proof” standard, as is utilized for contested matters.  </w:t>
      </w:r>
      <w:r w:rsidRPr="00A96F21">
        <w:rPr>
          <w:rFonts w:ascii="Times New Roman" w:hAnsi="Times New Roman" w:cs="Times New Roman"/>
          <w:i/>
        </w:rPr>
        <w:t xml:space="preserve">Pa. </w:t>
      </w:r>
      <w:r w:rsidR="003B076A">
        <w:rPr>
          <w:rFonts w:ascii="Times New Roman" w:hAnsi="Times New Roman" w:cs="Times New Roman"/>
          <w:i/>
        </w:rPr>
        <w:t xml:space="preserve">Pub. </w:t>
      </w:r>
      <w:proofErr w:type="gramStart"/>
      <w:r w:rsidR="003B076A">
        <w:rPr>
          <w:rFonts w:ascii="Times New Roman" w:hAnsi="Times New Roman" w:cs="Times New Roman"/>
          <w:i/>
        </w:rPr>
        <w:t>Util. Comm’n</w:t>
      </w:r>
      <w:r w:rsidRPr="00A96F21">
        <w:rPr>
          <w:rFonts w:ascii="Times New Roman" w:hAnsi="Times New Roman" w:cs="Times New Roman"/>
          <w:i/>
        </w:rPr>
        <w:t>., et al. v. City of Lancaster – Bureau of Water</w:t>
      </w:r>
      <w:r w:rsidRPr="00A96F21">
        <w:rPr>
          <w:rFonts w:ascii="Times New Roman" w:hAnsi="Times New Roman" w:cs="Times New Roman"/>
        </w:rPr>
        <w:t>, Docket Nos.</w:t>
      </w:r>
      <w:proofErr w:type="gramEnd"/>
      <w:r w:rsidRPr="00A96F21">
        <w:rPr>
          <w:rFonts w:ascii="Times New Roman" w:hAnsi="Times New Roman" w:cs="Times New Roman"/>
        </w:rPr>
        <w:t xml:space="preserve"> R</w:t>
      </w:r>
      <w:r w:rsidRPr="00A96F21">
        <w:rPr>
          <w:rFonts w:ascii="Times New Roman" w:hAnsi="Times New Roman" w:cs="Times New Roman"/>
        </w:rPr>
        <w:noBreakHyphen/>
        <w:t>2010</w:t>
      </w:r>
      <w:r w:rsidRPr="00A96F21">
        <w:rPr>
          <w:rFonts w:ascii="Times New Roman" w:hAnsi="Times New Roman" w:cs="Times New Roman"/>
        </w:rPr>
        <w:noBreakHyphen/>
        <w:t xml:space="preserve">2179103, </w:t>
      </w:r>
      <w:r w:rsidRPr="00A96F21">
        <w:rPr>
          <w:rFonts w:ascii="Times New Roman" w:hAnsi="Times New Roman" w:cs="Times New Roman"/>
          <w:i/>
        </w:rPr>
        <w:t>et al</w:t>
      </w:r>
      <w:r w:rsidRPr="00A96F21">
        <w:rPr>
          <w:rFonts w:ascii="Times New Roman" w:hAnsi="Times New Roman" w:cs="Times New Roman"/>
        </w:rPr>
        <w:t xml:space="preserve">., (Opinion and Order entered July 14, 2011).  Instead, the benchmark for determining the acceptability of the proposed Settlement is whether the proposed terms and conditions are in the public interest.  </w:t>
      </w:r>
      <w:proofErr w:type="gramStart"/>
      <w:r w:rsidRPr="00A96F21">
        <w:rPr>
          <w:rFonts w:ascii="Times New Roman" w:hAnsi="Times New Roman" w:cs="Times New Roman"/>
          <w:i/>
        </w:rPr>
        <w:t>Id</w:t>
      </w:r>
      <w:r w:rsidRPr="00A96F21">
        <w:rPr>
          <w:rFonts w:ascii="Times New Roman" w:hAnsi="Times New Roman" w:cs="Times New Roman"/>
        </w:rPr>
        <w:t xml:space="preserve">., citing, </w:t>
      </w:r>
      <w:r w:rsidRPr="00A96F21">
        <w:rPr>
          <w:rFonts w:ascii="Times New Roman" w:hAnsi="Times New Roman" w:cs="Times New Roman"/>
          <w:i/>
        </w:rPr>
        <w:t>Warner v. GTE North, Inc.</w:t>
      </w:r>
      <w:r w:rsidRPr="00A96F21">
        <w:rPr>
          <w:rFonts w:ascii="Times New Roman" w:hAnsi="Times New Roman" w:cs="Times New Roman"/>
        </w:rPr>
        <w:t>, Docket No.</w:t>
      </w:r>
      <w:proofErr w:type="gramEnd"/>
      <w:r w:rsidRPr="00A96F21">
        <w:rPr>
          <w:rFonts w:ascii="Times New Roman" w:hAnsi="Times New Roman" w:cs="Times New Roman"/>
        </w:rPr>
        <w:t xml:space="preserve"> C</w:t>
      </w:r>
      <w:r w:rsidRPr="00A96F21">
        <w:rPr>
          <w:rFonts w:ascii="Times New Roman" w:hAnsi="Times New Roman" w:cs="Times New Roman"/>
        </w:rPr>
        <w:noBreakHyphen/>
        <w:t xml:space="preserve">00902815, (Opinion and Order entered April 1, 1996); </w:t>
      </w:r>
      <w:r w:rsidRPr="00A96F21">
        <w:rPr>
          <w:rFonts w:ascii="Times New Roman" w:hAnsi="Times New Roman" w:cs="Times New Roman"/>
          <w:i/>
        </w:rPr>
        <w:t>see also</w:t>
      </w:r>
      <w:r w:rsidRPr="00A96F21">
        <w:rPr>
          <w:rFonts w:ascii="Times New Roman" w:hAnsi="Times New Roman" w:cs="Times New Roman"/>
        </w:rPr>
        <w:t xml:space="preserve">, </w:t>
      </w:r>
      <w:r w:rsidRPr="00A96F21">
        <w:rPr>
          <w:rFonts w:ascii="Times New Roman" w:hAnsi="Times New Roman" w:cs="Times New Roman"/>
          <w:i/>
        </w:rPr>
        <w:t xml:space="preserve">Pa. </w:t>
      </w:r>
      <w:r w:rsidR="003B076A">
        <w:rPr>
          <w:rFonts w:ascii="Times New Roman" w:hAnsi="Times New Roman" w:cs="Times New Roman"/>
          <w:i/>
        </w:rPr>
        <w:t>Pub. Util. Comm’n</w:t>
      </w:r>
      <w:r w:rsidRPr="00A96F21">
        <w:rPr>
          <w:rFonts w:ascii="Times New Roman" w:hAnsi="Times New Roman" w:cs="Times New Roman"/>
          <w:i/>
        </w:rPr>
        <w:t xml:space="preserve">. </w:t>
      </w:r>
      <w:proofErr w:type="gramStart"/>
      <w:r w:rsidRPr="00A96F21">
        <w:rPr>
          <w:rFonts w:ascii="Times New Roman" w:hAnsi="Times New Roman" w:cs="Times New Roman"/>
          <w:i/>
        </w:rPr>
        <w:t>v</w:t>
      </w:r>
      <w:proofErr w:type="gramEnd"/>
      <w:r w:rsidRPr="00A96F21">
        <w:rPr>
          <w:rFonts w:ascii="Times New Roman" w:hAnsi="Times New Roman" w:cs="Times New Roman"/>
          <w:i/>
        </w:rPr>
        <w:t>. CS Water and Sewer Associates</w:t>
      </w:r>
      <w:r w:rsidRPr="00A96F21">
        <w:rPr>
          <w:rFonts w:ascii="Times New Roman" w:hAnsi="Times New Roman" w:cs="Times New Roman"/>
        </w:rPr>
        <w:t>, 74 Pa</w:t>
      </w:r>
      <w:r w:rsidR="003B076A">
        <w:rPr>
          <w:rFonts w:ascii="Times New Roman" w:hAnsi="Times New Roman" w:cs="Times New Roman"/>
        </w:rPr>
        <w:t>.</w:t>
      </w:r>
      <w:r w:rsidRPr="00A96F21">
        <w:rPr>
          <w:rFonts w:ascii="Times New Roman" w:hAnsi="Times New Roman" w:cs="Times New Roman"/>
        </w:rPr>
        <w:t xml:space="preserve"> PUC 767 (1991).</w:t>
      </w:r>
    </w:p>
    <w:p w:rsidR="00AC06AF" w:rsidRPr="00A96F21" w:rsidRDefault="00AC06AF" w:rsidP="00AC06AF">
      <w:pPr>
        <w:spacing w:line="360" w:lineRule="auto"/>
        <w:rPr>
          <w:rFonts w:ascii="Times New Roman" w:hAnsi="Times New Roman" w:cs="Times New Roman"/>
        </w:rPr>
      </w:pPr>
    </w:p>
    <w:p w:rsidR="00DE5CD6" w:rsidRPr="00A96F21" w:rsidRDefault="00DE5CD6" w:rsidP="00DE5CD6">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Commission polic</w:t>
      </w:r>
      <w:r w:rsidR="001219C1">
        <w:rPr>
          <w:rFonts w:ascii="Times New Roman" w:hAnsi="Times New Roman" w:cs="Times New Roman"/>
        </w:rPr>
        <w:t xml:space="preserve">y promotes settlements.  </w:t>
      </w:r>
      <w:proofErr w:type="gramStart"/>
      <w:r w:rsidR="001219C1">
        <w:rPr>
          <w:rFonts w:ascii="Times New Roman" w:hAnsi="Times New Roman" w:cs="Times New Roman"/>
        </w:rPr>
        <w:t>52 Pa.</w:t>
      </w:r>
      <w:r w:rsidRPr="00A96F21">
        <w:rPr>
          <w:rFonts w:ascii="Times New Roman" w:hAnsi="Times New Roman" w:cs="Times New Roman"/>
        </w:rPr>
        <w:t>Code §</w:t>
      </w:r>
      <w:r w:rsidR="001219C1">
        <w:rPr>
          <w:rFonts w:ascii="Times New Roman" w:hAnsi="Times New Roman" w:cs="Times New Roman"/>
        </w:rPr>
        <w:t xml:space="preserve"> </w:t>
      </w:r>
      <w:r w:rsidRPr="00A96F21">
        <w:rPr>
          <w:rFonts w:ascii="Times New Roman" w:hAnsi="Times New Roman" w:cs="Times New Roman"/>
        </w:rPr>
        <w:t>5.231.</w:t>
      </w:r>
      <w:proofErr w:type="gramEnd"/>
      <w:r w:rsidRPr="00A96F21">
        <w:rPr>
          <w:rFonts w:ascii="Times New Roman" w:hAnsi="Times New Roman" w:cs="Times New Roman"/>
        </w:rPr>
        <w:t xml:space="preserve">  Settlements lessen the time and expense the parties must expend litigating a case and at the same time conserve administrative hearing resources.  The Commission has indicated that settlement results are often preferable to those achieved at the conclusion of a fully litigated proceeding.</w:t>
      </w:r>
      <w:r w:rsidR="00440E08">
        <w:rPr>
          <w:rFonts w:ascii="Times New Roman" w:hAnsi="Times New Roman" w:cs="Times New Roman"/>
        </w:rPr>
        <w:t xml:space="preserve">  </w:t>
      </w:r>
      <w:proofErr w:type="gramStart"/>
      <w:r w:rsidR="00440E08">
        <w:rPr>
          <w:rFonts w:ascii="Times New Roman" w:hAnsi="Times New Roman" w:cs="Times New Roman"/>
        </w:rPr>
        <w:t>52 Pa.</w:t>
      </w:r>
      <w:r w:rsidRPr="00A96F21">
        <w:rPr>
          <w:rFonts w:ascii="Times New Roman" w:hAnsi="Times New Roman" w:cs="Times New Roman"/>
        </w:rPr>
        <w:t>Code §</w:t>
      </w:r>
      <w:r w:rsidR="00440E08">
        <w:rPr>
          <w:rFonts w:ascii="Times New Roman" w:hAnsi="Times New Roman" w:cs="Times New Roman"/>
        </w:rPr>
        <w:t xml:space="preserve"> </w:t>
      </w:r>
      <w:r w:rsidRPr="00A96F21">
        <w:rPr>
          <w:rFonts w:ascii="Times New Roman" w:hAnsi="Times New Roman" w:cs="Times New Roman"/>
        </w:rPr>
        <w:t>69.401.</w:t>
      </w:r>
      <w:proofErr w:type="gramEnd"/>
      <w:r w:rsidRPr="00A96F21">
        <w:rPr>
          <w:rFonts w:ascii="Times New Roman" w:hAnsi="Times New Roman" w:cs="Times New Roman"/>
        </w:rPr>
        <w:t xml:space="preserve">  Many proceedings are expensive to litigate and the cost of such litigation at a reasonable level is an operating expense recovered in the rates approved by the Commission.  This means that a settlement, which allows the parties to avoid the substantial costs of preparing and serving testimony and the cross-examination of witnesses in lengthy hearings, the preparation and service of briefs, reply briefs, exceptions and reply exceptions, together with the briefs and reply briefs necessitated by any appeal of the Commission’s decision, yields significant expense savings for the company’s customers.  That is one reason why settlements are encouraged by long-standing Commission policy.</w:t>
      </w:r>
    </w:p>
    <w:p w:rsidR="00DE5CD6" w:rsidRPr="00A96F21" w:rsidRDefault="00DE5CD6" w:rsidP="00DE5CD6">
      <w:pPr>
        <w:spacing w:line="360" w:lineRule="auto"/>
        <w:rPr>
          <w:rFonts w:ascii="Times New Roman" w:hAnsi="Times New Roman" w:cs="Times New Roman"/>
        </w:rPr>
      </w:pPr>
    </w:p>
    <w:p w:rsidR="00DE5CD6" w:rsidRPr="00A96F21" w:rsidRDefault="00DE5CD6" w:rsidP="00DE5CD6">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 xml:space="preserve">In order to accept a settlement, the Commission must determine that the proposed terms and conditions are in the public interest.  </w:t>
      </w:r>
      <w:r w:rsidR="003B076A">
        <w:rPr>
          <w:rFonts w:ascii="Times New Roman" w:hAnsi="Times New Roman" w:cs="Times New Roman"/>
          <w:i/>
        </w:rPr>
        <w:t xml:space="preserve">Pa. Pub. </w:t>
      </w:r>
      <w:proofErr w:type="gramStart"/>
      <w:r w:rsidR="003B076A">
        <w:rPr>
          <w:rFonts w:ascii="Times New Roman" w:hAnsi="Times New Roman" w:cs="Times New Roman"/>
          <w:i/>
        </w:rPr>
        <w:t>Util. Comm’n v. C</w:t>
      </w:r>
      <w:r w:rsidRPr="00A96F21">
        <w:rPr>
          <w:rFonts w:ascii="Times New Roman" w:hAnsi="Times New Roman" w:cs="Times New Roman"/>
          <w:i/>
        </w:rPr>
        <w:t>S Water and Sewer Assoc.</w:t>
      </w:r>
      <w:r w:rsidRPr="00A96F21">
        <w:rPr>
          <w:rFonts w:ascii="Times New Roman" w:hAnsi="Times New Roman" w:cs="Times New Roman"/>
        </w:rPr>
        <w:t>, 74 Pa.</w:t>
      </w:r>
      <w:r w:rsidR="00060EF2">
        <w:rPr>
          <w:rFonts w:ascii="Times New Roman" w:hAnsi="Times New Roman" w:cs="Times New Roman"/>
        </w:rPr>
        <w:t xml:space="preserve"> </w:t>
      </w:r>
      <w:r w:rsidRPr="00A96F21">
        <w:rPr>
          <w:rFonts w:ascii="Times New Roman" w:hAnsi="Times New Roman" w:cs="Times New Roman"/>
        </w:rPr>
        <w:t xml:space="preserve">PUC 767 (1991); </w:t>
      </w:r>
      <w:r w:rsidRPr="00A96F21">
        <w:rPr>
          <w:rFonts w:ascii="Times New Roman" w:hAnsi="Times New Roman" w:cs="Times New Roman"/>
          <w:i/>
        </w:rPr>
        <w:t>Pa. Pub.</w:t>
      </w:r>
      <w:proofErr w:type="gramEnd"/>
      <w:r w:rsidRPr="00A96F21">
        <w:rPr>
          <w:rFonts w:ascii="Times New Roman" w:hAnsi="Times New Roman" w:cs="Times New Roman"/>
          <w:i/>
        </w:rPr>
        <w:t xml:space="preserve"> </w:t>
      </w:r>
      <w:proofErr w:type="gramStart"/>
      <w:r w:rsidRPr="00A96F21">
        <w:rPr>
          <w:rFonts w:ascii="Times New Roman" w:hAnsi="Times New Roman" w:cs="Times New Roman"/>
          <w:i/>
        </w:rPr>
        <w:t>Util. Comm’n v. Philadelphia Electric Co</w:t>
      </w:r>
      <w:r w:rsidR="0030023C">
        <w:rPr>
          <w:rFonts w:ascii="Times New Roman" w:hAnsi="Times New Roman" w:cs="Times New Roman"/>
        </w:rPr>
        <w:t>., 60 Pa.</w:t>
      </w:r>
      <w:r w:rsidR="003B076A">
        <w:rPr>
          <w:rFonts w:ascii="Times New Roman" w:hAnsi="Times New Roman" w:cs="Times New Roman"/>
        </w:rPr>
        <w:t xml:space="preserve"> </w:t>
      </w:r>
      <w:r w:rsidR="0030023C">
        <w:rPr>
          <w:rFonts w:ascii="Times New Roman" w:hAnsi="Times New Roman" w:cs="Times New Roman"/>
        </w:rPr>
        <w:t>PUC </w:t>
      </w:r>
      <w:r w:rsidRPr="00A96F21">
        <w:rPr>
          <w:rFonts w:ascii="Times New Roman" w:hAnsi="Times New Roman" w:cs="Times New Roman"/>
        </w:rPr>
        <w:t>1 (1985).</w:t>
      </w:r>
      <w:proofErr w:type="gramEnd"/>
    </w:p>
    <w:p w:rsidR="00DE5CD6" w:rsidRPr="00A96F21" w:rsidRDefault="00DE5CD6" w:rsidP="00DE5CD6">
      <w:pPr>
        <w:spacing w:line="360" w:lineRule="auto"/>
        <w:rPr>
          <w:rFonts w:ascii="Times New Roman" w:hAnsi="Times New Roman" w:cs="Times New Roman"/>
        </w:rPr>
      </w:pPr>
    </w:p>
    <w:p w:rsidR="00DE5CD6" w:rsidRPr="00A96F21" w:rsidRDefault="00DE5CD6" w:rsidP="00DE5CD6">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Applying th</w:t>
      </w:r>
      <w:r w:rsidR="00934272">
        <w:rPr>
          <w:rFonts w:ascii="Times New Roman" w:hAnsi="Times New Roman" w:cs="Times New Roman"/>
        </w:rPr>
        <w:t>is</w:t>
      </w:r>
      <w:r w:rsidRPr="00A96F21">
        <w:rPr>
          <w:rFonts w:ascii="Times New Roman" w:hAnsi="Times New Roman" w:cs="Times New Roman"/>
        </w:rPr>
        <w:t xml:space="preserve"> principle, the Settlement should be approved by the Commission.</w:t>
      </w:r>
    </w:p>
    <w:p w:rsidR="00DE5CD6" w:rsidRPr="00A96F21" w:rsidRDefault="00DE5CD6" w:rsidP="00DE5CD6">
      <w:pPr>
        <w:spacing w:line="360" w:lineRule="auto"/>
        <w:rPr>
          <w:rFonts w:ascii="Times New Roman" w:hAnsi="Times New Roman" w:cs="Times New Roman"/>
        </w:rPr>
      </w:pPr>
    </w:p>
    <w:p w:rsidR="00DE5CD6" w:rsidRPr="00A96F21" w:rsidRDefault="00DE5CD6" w:rsidP="00DE5CD6">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 xml:space="preserve">First, the </w:t>
      </w:r>
      <w:r w:rsidR="00006F99" w:rsidRPr="00A96F21">
        <w:rPr>
          <w:rFonts w:ascii="Times New Roman" w:hAnsi="Times New Roman" w:cs="Times New Roman"/>
        </w:rPr>
        <w:t xml:space="preserve">proposed Settlement </w:t>
      </w:r>
      <w:r w:rsidRPr="00A96F21">
        <w:rPr>
          <w:rFonts w:ascii="Times New Roman" w:hAnsi="Times New Roman" w:cs="Times New Roman"/>
        </w:rPr>
        <w:t>itself is in compliance with all applicable regulatory requirements and is clearly reasonable.</w:t>
      </w:r>
    </w:p>
    <w:p w:rsidR="00DE5CD6" w:rsidRPr="00A96F21" w:rsidRDefault="00DE5CD6" w:rsidP="00AC06AF">
      <w:pPr>
        <w:spacing w:line="360" w:lineRule="auto"/>
        <w:rPr>
          <w:rFonts w:ascii="Times New Roman" w:hAnsi="Times New Roman" w:cs="Times New Roman"/>
        </w:rPr>
      </w:pPr>
    </w:p>
    <w:p w:rsidR="00AC06AF" w:rsidRPr="00A96F21" w:rsidRDefault="00AC06AF" w:rsidP="00AC06AF">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 xml:space="preserve">The Settlement in this case was not opposed by any party.  Consequently, this case is no longer a contested matter and does not require a hearing be held.  </w:t>
      </w:r>
      <w:r w:rsidRPr="00A96F21">
        <w:rPr>
          <w:rFonts w:ascii="Times New Roman" w:hAnsi="Times New Roman" w:cs="Times New Roman"/>
          <w:i/>
        </w:rPr>
        <w:t>See</w:t>
      </w:r>
      <w:r w:rsidRPr="00A96F21">
        <w:rPr>
          <w:rFonts w:ascii="Times New Roman" w:hAnsi="Times New Roman" w:cs="Times New Roman"/>
        </w:rPr>
        <w:t xml:space="preserve">, </w:t>
      </w:r>
      <w:r w:rsidRPr="00A96F21">
        <w:rPr>
          <w:rFonts w:ascii="Times New Roman" w:hAnsi="Times New Roman" w:cs="Times New Roman"/>
          <w:i/>
        </w:rPr>
        <w:t>Lehigh Valley Power Committee v. Pa. Pub. Util. Comm’n.</w:t>
      </w:r>
      <w:r w:rsidRPr="00A96F21">
        <w:rPr>
          <w:rFonts w:ascii="Times New Roman" w:hAnsi="Times New Roman" w:cs="Times New Roman"/>
        </w:rPr>
        <w:t xml:space="preserve">, 128 Pa. Cmwlth 276, 563 A.2d 557 (1989) (a hearing is only required to resolve disputed questions of fact and is not required to decide questions of law, policy or discretion); </w:t>
      </w:r>
      <w:r w:rsidRPr="00A96F21">
        <w:rPr>
          <w:rFonts w:ascii="Times New Roman" w:hAnsi="Times New Roman" w:cs="Times New Roman"/>
          <w:i/>
        </w:rPr>
        <w:t>see also</w:t>
      </w:r>
      <w:r w:rsidRPr="00A96F21">
        <w:rPr>
          <w:rFonts w:ascii="Times New Roman" w:hAnsi="Times New Roman" w:cs="Times New Roman"/>
        </w:rPr>
        <w:t xml:space="preserve">, </w:t>
      </w:r>
      <w:r w:rsidRPr="00A96F21">
        <w:rPr>
          <w:rFonts w:ascii="Times New Roman" w:hAnsi="Times New Roman" w:cs="Times New Roman"/>
          <w:i/>
        </w:rPr>
        <w:t xml:space="preserve">Dee-Dee Cab, Inc. v. Pa. Pub. </w:t>
      </w:r>
      <w:proofErr w:type="gramStart"/>
      <w:r w:rsidRPr="00A96F21">
        <w:rPr>
          <w:rFonts w:ascii="Times New Roman" w:hAnsi="Times New Roman" w:cs="Times New Roman"/>
          <w:i/>
        </w:rPr>
        <w:t>Util. Comm’n</w:t>
      </w:r>
      <w:r w:rsidRPr="00A96F21">
        <w:rPr>
          <w:rFonts w:ascii="Times New Roman" w:hAnsi="Times New Roman" w:cs="Times New Roman"/>
        </w:rPr>
        <w:t xml:space="preserve">., 817 A.2d 593 (Pa. Cmwlth 2003), </w:t>
      </w:r>
      <w:r w:rsidRPr="00A96F21">
        <w:rPr>
          <w:rFonts w:ascii="Times New Roman" w:hAnsi="Times New Roman" w:cs="Times New Roman"/>
          <w:i/>
        </w:rPr>
        <w:t>alloc.</w:t>
      </w:r>
      <w:proofErr w:type="gramEnd"/>
      <w:r w:rsidRPr="00A96F21">
        <w:rPr>
          <w:rFonts w:ascii="Times New Roman" w:hAnsi="Times New Roman" w:cs="Times New Roman"/>
          <w:i/>
        </w:rPr>
        <w:t xml:space="preserve"> </w:t>
      </w:r>
      <w:proofErr w:type="gramStart"/>
      <w:r w:rsidRPr="00A96F21">
        <w:rPr>
          <w:rFonts w:ascii="Times New Roman" w:hAnsi="Times New Roman" w:cs="Times New Roman"/>
          <w:i/>
        </w:rPr>
        <w:t>denied</w:t>
      </w:r>
      <w:proofErr w:type="gramEnd"/>
      <w:r w:rsidRPr="00A96F21">
        <w:rPr>
          <w:rFonts w:ascii="Times New Roman" w:hAnsi="Times New Roman" w:cs="Times New Roman"/>
        </w:rPr>
        <w:t>, 575 Pa. 698, 836 A.2d 123 (2003).</w:t>
      </w:r>
    </w:p>
    <w:p w:rsidR="00AC06AF" w:rsidRPr="00A96F21" w:rsidRDefault="00AC06AF" w:rsidP="00AC06AF">
      <w:pPr>
        <w:spacing w:line="360" w:lineRule="auto"/>
        <w:rPr>
          <w:rFonts w:ascii="Times New Roman" w:hAnsi="Times New Roman" w:cs="Times New Roman"/>
        </w:rPr>
      </w:pPr>
    </w:p>
    <w:p w:rsidR="00AC06AF" w:rsidRPr="00A96F21" w:rsidRDefault="00AC06AF" w:rsidP="00AC06AF">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Therefore, the analysis required is to determine whether the Settlement is in the public interest.</w:t>
      </w:r>
      <w:r w:rsidR="00C82369" w:rsidRPr="00A96F21">
        <w:rPr>
          <w:rFonts w:ascii="Times New Roman" w:hAnsi="Times New Roman" w:cs="Times New Roman"/>
        </w:rPr>
        <w:t xml:space="preserve">  To that end, each of the Parties filed Statements in Support of the proposed Settlement.</w:t>
      </w:r>
    </w:p>
    <w:p w:rsidR="00C82369" w:rsidRPr="00A96F21" w:rsidRDefault="00C82369" w:rsidP="00AC06AF">
      <w:pPr>
        <w:spacing w:line="360" w:lineRule="auto"/>
        <w:rPr>
          <w:rFonts w:ascii="Times New Roman" w:hAnsi="Times New Roman" w:cs="Times New Roman"/>
        </w:rPr>
      </w:pPr>
    </w:p>
    <w:p w:rsidR="00C82369" w:rsidRPr="00A96F21" w:rsidRDefault="007D04E9" w:rsidP="00AC06AF">
      <w:pPr>
        <w:spacing w:line="360" w:lineRule="auto"/>
        <w:rPr>
          <w:rFonts w:ascii="Times New Roman" w:hAnsi="Times New Roman" w:cs="Times New Roman"/>
          <w:u w:val="single"/>
        </w:rPr>
      </w:pPr>
      <w:r w:rsidRPr="00A96F21">
        <w:rPr>
          <w:rFonts w:ascii="Times New Roman" w:hAnsi="Times New Roman" w:cs="Times New Roman"/>
        </w:rPr>
        <w:tab/>
        <w:t>A.</w:t>
      </w:r>
      <w:r w:rsidRPr="00A96F21">
        <w:rPr>
          <w:rFonts w:ascii="Times New Roman" w:hAnsi="Times New Roman" w:cs="Times New Roman"/>
        </w:rPr>
        <w:tab/>
      </w:r>
      <w:r w:rsidR="00C82369" w:rsidRPr="00A96F21">
        <w:rPr>
          <w:rFonts w:ascii="Times New Roman" w:hAnsi="Times New Roman" w:cs="Times New Roman"/>
          <w:u w:val="single"/>
        </w:rPr>
        <w:t>I&amp;E Statement in Support</w:t>
      </w:r>
    </w:p>
    <w:p w:rsidR="00C82369" w:rsidRPr="00A96F21" w:rsidRDefault="00C82369" w:rsidP="00AC06AF">
      <w:pPr>
        <w:spacing w:line="360" w:lineRule="auto"/>
        <w:rPr>
          <w:rFonts w:ascii="Times New Roman" w:hAnsi="Times New Roman" w:cs="Times New Roman"/>
        </w:rPr>
      </w:pPr>
    </w:p>
    <w:p w:rsidR="00C537F2" w:rsidRPr="00A96F21" w:rsidRDefault="00C82369" w:rsidP="00C82369">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r>
      <w:r w:rsidR="00C537F2" w:rsidRPr="00A96F21">
        <w:rPr>
          <w:rFonts w:ascii="Times New Roman" w:hAnsi="Times New Roman" w:cs="Times New Roman"/>
        </w:rPr>
        <w:t xml:space="preserve">I&amp;E fully </w:t>
      </w:r>
      <w:proofErr w:type="gramStart"/>
      <w:r w:rsidR="00C537F2" w:rsidRPr="00A96F21">
        <w:rPr>
          <w:rFonts w:ascii="Times New Roman" w:hAnsi="Times New Roman" w:cs="Times New Roman"/>
        </w:rPr>
        <w:t>supports</w:t>
      </w:r>
      <w:proofErr w:type="gramEnd"/>
      <w:r w:rsidR="00C537F2" w:rsidRPr="00A96F21">
        <w:rPr>
          <w:rFonts w:ascii="Times New Roman" w:hAnsi="Times New Roman" w:cs="Times New Roman"/>
        </w:rPr>
        <w:t xml:space="preserve"> the Settlement and maintains that all issues have been satisfactorily resolved through discovery and discussions with NRG and are incorporated into the "Black Box" resolution of the revenue requirement in this proceeding.  Line by line identification of the ultimate resolution of ever</w:t>
      </w:r>
      <w:r w:rsidR="00051DEE">
        <w:rPr>
          <w:rFonts w:ascii="Times New Roman" w:hAnsi="Times New Roman" w:cs="Times New Roman"/>
        </w:rPr>
        <w:t xml:space="preserve">y averment is not necessary as </w:t>
      </w:r>
      <w:r w:rsidR="00C537F2" w:rsidRPr="00A96F21">
        <w:rPr>
          <w:rFonts w:ascii="Times New Roman" w:hAnsi="Times New Roman" w:cs="Times New Roman"/>
        </w:rPr>
        <w:t>I&amp;E represents that the Settlement maintains the proper balance of the interests of all parties.  Each signatory acknowledges the ultimate revenue allowance but makes no representation as to how this addition to base rate revenue was achieved.  Because of the characteristics of "Black Box” settlements, no representation of the resolution of any issue not specifically identified is po</w:t>
      </w:r>
      <w:r w:rsidR="00051DEE">
        <w:rPr>
          <w:rFonts w:ascii="Times New Roman" w:hAnsi="Times New Roman" w:cs="Times New Roman"/>
        </w:rPr>
        <w:t xml:space="preserve">ssible in future proceedings.  </w:t>
      </w:r>
      <w:r w:rsidR="00C537F2" w:rsidRPr="00A96F21">
        <w:rPr>
          <w:rFonts w:ascii="Times New Roman" w:hAnsi="Times New Roman" w:cs="Times New Roman"/>
        </w:rPr>
        <w:t xml:space="preserve">I&amp;E </w:t>
      </w:r>
      <w:proofErr w:type="gramStart"/>
      <w:r w:rsidR="00C537F2" w:rsidRPr="00A96F21">
        <w:rPr>
          <w:rFonts w:ascii="Times New Roman" w:hAnsi="Times New Roman" w:cs="Times New Roman"/>
        </w:rPr>
        <w:t>is</w:t>
      </w:r>
      <w:proofErr w:type="gramEnd"/>
      <w:r w:rsidR="00C537F2" w:rsidRPr="00A96F21">
        <w:rPr>
          <w:rFonts w:ascii="Times New Roman" w:hAnsi="Times New Roman" w:cs="Times New Roman"/>
        </w:rPr>
        <w:t xml:space="preserve"> satisfied that no further acti</w:t>
      </w:r>
      <w:r w:rsidR="00051DEE">
        <w:rPr>
          <w:rFonts w:ascii="Times New Roman" w:hAnsi="Times New Roman" w:cs="Times New Roman"/>
        </w:rPr>
        <w:t xml:space="preserve">on is necessary in this case.  </w:t>
      </w:r>
      <w:proofErr w:type="gramStart"/>
      <w:r w:rsidR="00051DEE">
        <w:rPr>
          <w:rFonts w:ascii="Times New Roman" w:hAnsi="Times New Roman" w:cs="Times New Roman"/>
        </w:rPr>
        <w:t>I&amp;E Statement in</w:t>
      </w:r>
      <w:r w:rsidR="00C537F2" w:rsidRPr="00A96F21">
        <w:rPr>
          <w:rFonts w:ascii="Times New Roman" w:hAnsi="Times New Roman" w:cs="Times New Roman"/>
        </w:rPr>
        <w:t xml:space="preserve"> Support at 6, ¶ 11.</w:t>
      </w:r>
      <w:proofErr w:type="gramEnd"/>
    </w:p>
    <w:p w:rsidR="00C537F2" w:rsidRPr="00A96F21" w:rsidRDefault="00C537F2" w:rsidP="00C82369">
      <w:pPr>
        <w:spacing w:line="360" w:lineRule="auto"/>
        <w:rPr>
          <w:rFonts w:ascii="Times New Roman" w:hAnsi="Times New Roman" w:cs="Times New Roman"/>
        </w:rPr>
      </w:pPr>
    </w:p>
    <w:p w:rsidR="00C82369" w:rsidRPr="00A96F21" w:rsidRDefault="00C537F2" w:rsidP="00C82369">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r>
      <w:r w:rsidR="00C82369" w:rsidRPr="00A96F21">
        <w:rPr>
          <w:rFonts w:ascii="Times New Roman" w:hAnsi="Times New Roman" w:cs="Times New Roman"/>
        </w:rPr>
        <w:t>I&amp;E states that the Settlement provides for allowance of the requested increase of $875,000 to NRG's annual overall revenue.</w:t>
      </w:r>
      <w:r w:rsidR="00977AFE">
        <w:rPr>
          <w:rFonts w:ascii="Times New Roman" w:hAnsi="Times New Roman" w:cs="Times New Roman"/>
        </w:rPr>
        <w:t xml:space="preserve"> </w:t>
      </w:r>
      <w:r w:rsidR="00C82369" w:rsidRPr="00A96F21">
        <w:rPr>
          <w:rFonts w:ascii="Times New Roman" w:hAnsi="Times New Roman" w:cs="Times New Roman"/>
        </w:rPr>
        <w:t xml:space="preserve"> The additional revenue in this proceeding is base</w:t>
      </w:r>
      <w:r w:rsidR="00A621F1" w:rsidRPr="00A96F21">
        <w:rPr>
          <w:rFonts w:ascii="Times New Roman" w:hAnsi="Times New Roman" w:cs="Times New Roman"/>
        </w:rPr>
        <w:t xml:space="preserve"> </w:t>
      </w:r>
      <w:r w:rsidR="00C82369" w:rsidRPr="00A96F21">
        <w:rPr>
          <w:rFonts w:ascii="Times New Roman" w:hAnsi="Times New Roman" w:cs="Times New Roman"/>
        </w:rPr>
        <w:t>rate revenue and has been agreed to in the context of a "Black Box" settlement with very</w:t>
      </w:r>
      <w:r w:rsidR="00A621F1" w:rsidRPr="00A96F21">
        <w:rPr>
          <w:rFonts w:ascii="Times New Roman" w:hAnsi="Times New Roman" w:cs="Times New Roman"/>
        </w:rPr>
        <w:t xml:space="preserve"> </w:t>
      </w:r>
      <w:r w:rsidR="00051DEE">
        <w:rPr>
          <w:rFonts w:ascii="Times New Roman" w:hAnsi="Times New Roman" w:cs="Times New Roman"/>
        </w:rPr>
        <w:t xml:space="preserve">limited exceptions.  </w:t>
      </w:r>
      <w:r w:rsidR="00C82369" w:rsidRPr="00A96F21">
        <w:rPr>
          <w:rFonts w:ascii="Times New Roman" w:hAnsi="Times New Roman" w:cs="Times New Roman"/>
        </w:rPr>
        <w:t xml:space="preserve">I&amp;E </w:t>
      </w:r>
      <w:proofErr w:type="gramStart"/>
      <w:r w:rsidR="00C82369" w:rsidRPr="00A96F21">
        <w:rPr>
          <w:rFonts w:ascii="Times New Roman" w:hAnsi="Times New Roman" w:cs="Times New Roman"/>
        </w:rPr>
        <w:t>asserts</w:t>
      </w:r>
      <w:proofErr w:type="gramEnd"/>
      <w:r w:rsidR="00C82369" w:rsidRPr="00A96F21">
        <w:rPr>
          <w:rFonts w:ascii="Times New Roman" w:hAnsi="Times New Roman" w:cs="Times New Roman"/>
        </w:rPr>
        <w:t xml:space="preserve"> that the Settlement adequately balances the interests of</w:t>
      </w:r>
      <w:r w:rsidR="00A621F1" w:rsidRPr="00A96F21">
        <w:rPr>
          <w:rFonts w:ascii="Times New Roman" w:hAnsi="Times New Roman" w:cs="Times New Roman"/>
        </w:rPr>
        <w:t xml:space="preserve"> </w:t>
      </w:r>
      <w:r w:rsidR="00C82369" w:rsidRPr="00A96F21">
        <w:rPr>
          <w:rFonts w:ascii="Times New Roman" w:hAnsi="Times New Roman" w:cs="Times New Roman"/>
        </w:rPr>
        <w:t xml:space="preserve">ratepayers and NRG.  NRG will receive sufficient operating funds in order to provide safe and adequate service while ratepayers are protected from exorbitant rates and are somewhat assured of continued service at a high level of reliability. </w:t>
      </w:r>
      <w:r w:rsidR="00131E90">
        <w:rPr>
          <w:rFonts w:ascii="Times New Roman" w:hAnsi="Times New Roman" w:cs="Times New Roman"/>
        </w:rPr>
        <w:t xml:space="preserve"> </w:t>
      </w:r>
      <w:r w:rsidR="00C82369" w:rsidRPr="00A96F21">
        <w:rPr>
          <w:rFonts w:ascii="Times New Roman" w:hAnsi="Times New Roman" w:cs="Times New Roman"/>
        </w:rPr>
        <w:t>Mitigation of the level of the rate increase occurred prior to the filing of the base rate increase request.</w:t>
      </w:r>
      <w:r w:rsidRPr="00A96F21">
        <w:rPr>
          <w:rFonts w:ascii="Times New Roman" w:hAnsi="Times New Roman" w:cs="Times New Roman"/>
        </w:rPr>
        <w:t xml:space="preserve">  I&amp;E represents tha</w:t>
      </w:r>
      <w:r w:rsidR="00A621F1" w:rsidRPr="00A96F21">
        <w:rPr>
          <w:rFonts w:ascii="Times New Roman" w:hAnsi="Times New Roman" w:cs="Times New Roman"/>
        </w:rPr>
        <w:t>t</w:t>
      </w:r>
      <w:r w:rsidRPr="00A96F21">
        <w:rPr>
          <w:rFonts w:ascii="Times New Roman" w:hAnsi="Times New Roman" w:cs="Times New Roman"/>
        </w:rPr>
        <w:t xml:space="preserve"> based on its </w:t>
      </w:r>
      <w:r w:rsidR="00A621F1" w:rsidRPr="00A96F21">
        <w:rPr>
          <w:rFonts w:ascii="Times New Roman" w:hAnsi="Times New Roman" w:cs="Times New Roman"/>
        </w:rPr>
        <w:t>a</w:t>
      </w:r>
      <w:r w:rsidRPr="00A96F21">
        <w:rPr>
          <w:rFonts w:ascii="Times New Roman" w:hAnsi="Times New Roman" w:cs="Times New Roman"/>
        </w:rPr>
        <w:t>nalysis</w:t>
      </w:r>
      <w:r w:rsidR="00A621F1" w:rsidRPr="00A96F21">
        <w:rPr>
          <w:rFonts w:ascii="Times New Roman" w:hAnsi="Times New Roman" w:cs="Times New Roman"/>
        </w:rPr>
        <w:t xml:space="preserve"> </w:t>
      </w:r>
      <w:r w:rsidRPr="00A96F21">
        <w:rPr>
          <w:rFonts w:ascii="Times New Roman" w:hAnsi="Times New Roman" w:cs="Times New Roman"/>
        </w:rPr>
        <w:t xml:space="preserve">the requested base rate revenue increase of $875,000 is adequately supported. </w:t>
      </w:r>
      <w:r w:rsidR="00A621F1" w:rsidRPr="00A96F21">
        <w:rPr>
          <w:rFonts w:ascii="Times New Roman" w:hAnsi="Times New Roman" w:cs="Times New Roman"/>
        </w:rPr>
        <w:t xml:space="preserve"> </w:t>
      </w:r>
      <w:r w:rsidRPr="00A96F21">
        <w:rPr>
          <w:rFonts w:ascii="Times New Roman" w:hAnsi="Times New Roman" w:cs="Times New Roman"/>
        </w:rPr>
        <w:t>The agreed to</w:t>
      </w:r>
      <w:r w:rsidR="00A621F1" w:rsidRPr="00A96F21">
        <w:rPr>
          <w:rFonts w:ascii="Times New Roman" w:hAnsi="Times New Roman" w:cs="Times New Roman"/>
        </w:rPr>
        <w:t xml:space="preserve"> </w:t>
      </w:r>
      <w:r w:rsidRPr="00A96F21">
        <w:rPr>
          <w:rFonts w:ascii="Times New Roman" w:hAnsi="Times New Roman" w:cs="Times New Roman"/>
        </w:rPr>
        <w:t>revenue requirement supports the standard for approval of a settlement as the resulting rates</w:t>
      </w:r>
      <w:r w:rsidR="00A621F1" w:rsidRPr="00A96F21">
        <w:rPr>
          <w:rFonts w:ascii="Times New Roman" w:hAnsi="Times New Roman" w:cs="Times New Roman"/>
        </w:rPr>
        <w:t xml:space="preserve"> </w:t>
      </w:r>
      <w:r w:rsidRPr="00A96F21">
        <w:rPr>
          <w:rFonts w:ascii="Times New Roman" w:hAnsi="Times New Roman" w:cs="Times New Roman"/>
        </w:rPr>
        <w:t>are just and reasonable and in accordance with the Public Utility Code and all pertinent case</w:t>
      </w:r>
      <w:r w:rsidR="00A621F1" w:rsidRPr="00A96F21">
        <w:rPr>
          <w:rFonts w:ascii="Times New Roman" w:hAnsi="Times New Roman" w:cs="Times New Roman"/>
        </w:rPr>
        <w:t xml:space="preserve"> </w:t>
      </w:r>
      <w:r w:rsidRPr="00A96F21">
        <w:rPr>
          <w:rFonts w:ascii="Times New Roman" w:hAnsi="Times New Roman" w:cs="Times New Roman"/>
        </w:rPr>
        <w:t>law.</w:t>
      </w:r>
      <w:r w:rsidR="00A621F1" w:rsidRPr="00A96F21">
        <w:rPr>
          <w:rFonts w:ascii="Times New Roman" w:hAnsi="Times New Roman" w:cs="Times New Roman"/>
        </w:rPr>
        <w:t xml:space="preserve">  </w:t>
      </w:r>
      <w:proofErr w:type="gramStart"/>
      <w:r w:rsidR="00051DEE">
        <w:rPr>
          <w:rFonts w:ascii="Times New Roman" w:hAnsi="Times New Roman" w:cs="Times New Roman"/>
        </w:rPr>
        <w:t>I&amp;E Statement in</w:t>
      </w:r>
      <w:r w:rsidRPr="00A96F21">
        <w:rPr>
          <w:rFonts w:ascii="Times New Roman" w:hAnsi="Times New Roman" w:cs="Times New Roman"/>
        </w:rPr>
        <w:t xml:space="preserve"> Support at 4</w:t>
      </w:r>
      <w:r w:rsidR="00A621F1" w:rsidRPr="00A96F21">
        <w:rPr>
          <w:rFonts w:ascii="Times New Roman" w:hAnsi="Times New Roman" w:cs="Times New Roman"/>
        </w:rPr>
        <w:t xml:space="preserve">-5, </w:t>
      </w:r>
      <w:r w:rsidRPr="00A96F21">
        <w:rPr>
          <w:rFonts w:ascii="Times New Roman" w:hAnsi="Times New Roman" w:cs="Times New Roman"/>
        </w:rPr>
        <w:t>¶ 9.</w:t>
      </w:r>
      <w:proofErr w:type="gramEnd"/>
    </w:p>
    <w:p w:rsidR="00C82369" w:rsidRPr="00A96F21" w:rsidRDefault="00C82369" w:rsidP="00C82369">
      <w:pPr>
        <w:spacing w:line="360" w:lineRule="auto"/>
        <w:rPr>
          <w:rFonts w:ascii="Times New Roman" w:hAnsi="Times New Roman" w:cs="Times New Roman"/>
        </w:rPr>
      </w:pPr>
    </w:p>
    <w:p w:rsidR="00C537F2" w:rsidRPr="00A96F21" w:rsidRDefault="00C82369" w:rsidP="00C537F2">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r>
      <w:r w:rsidR="00C6751F">
        <w:rPr>
          <w:rFonts w:ascii="Times New Roman" w:hAnsi="Times New Roman" w:cs="Times New Roman"/>
        </w:rPr>
        <w:t xml:space="preserve">I&amp;E </w:t>
      </w:r>
      <w:r w:rsidR="00A621F1" w:rsidRPr="00A96F21">
        <w:rPr>
          <w:rFonts w:ascii="Times New Roman" w:hAnsi="Times New Roman" w:cs="Times New Roman"/>
        </w:rPr>
        <w:t xml:space="preserve">notes </w:t>
      </w:r>
      <w:r w:rsidRPr="00A96F21">
        <w:rPr>
          <w:rFonts w:ascii="Times New Roman" w:hAnsi="Times New Roman" w:cs="Times New Roman"/>
        </w:rPr>
        <w:t>that the Settlement requires NRG to provide updated</w:t>
      </w:r>
      <w:r w:rsidR="0027160D" w:rsidRPr="00A96F21">
        <w:rPr>
          <w:rFonts w:ascii="Times New Roman" w:hAnsi="Times New Roman" w:cs="Times New Roman"/>
        </w:rPr>
        <w:t xml:space="preserve"> </w:t>
      </w:r>
      <w:r w:rsidRPr="00A96F21">
        <w:rPr>
          <w:rFonts w:ascii="Times New Roman" w:hAnsi="Times New Roman" w:cs="Times New Roman"/>
        </w:rPr>
        <w:t>schedules on or before April 1,</w:t>
      </w:r>
      <w:r w:rsidR="00A621F1" w:rsidRPr="00A96F21">
        <w:rPr>
          <w:rFonts w:ascii="Times New Roman" w:hAnsi="Times New Roman" w:cs="Times New Roman"/>
        </w:rPr>
        <w:t xml:space="preserve"> </w:t>
      </w:r>
      <w:r w:rsidRPr="00A96F21">
        <w:rPr>
          <w:rFonts w:ascii="Times New Roman" w:hAnsi="Times New Roman" w:cs="Times New Roman"/>
        </w:rPr>
        <w:t>2014 and April 1,</w:t>
      </w:r>
      <w:r w:rsidR="00A621F1" w:rsidRPr="00A96F21">
        <w:rPr>
          <w:rFonts w:ascii="Times New Roman" w:hAnsi="Times New Roman" w:cs="Times New Roman"/>
        </w:rPr>
        <w:t xml:space="preserve"> </w:t>
      </w:r>
      <w:r w:rsidRPr="00A96F21">
        <w:rPr>
          <w:rFonts w:ascii="Times New Roman" w:hAnsi="Times New Roman" w:cs="Times New Roman"/>
        </w:rPr>
        <w:t>2015 showing all going-level</w:t>
      </w:r>
      <w:r w:rsidR="0027160D" w:rsidRPr="00A96F21">
        <w:rPr>
          <w:rFonts w:ascii="Times New Roman" w:hAnsi="Times New Roman" w:cs="Times New Roman"/>
        </w:rPr>
        <w:t xml:space="preserve"> </w:t>
      </w:r>
      <w:r w:rsidRPr="00A96F21">
        <w:rPr>
          <w:rFonts w:ascii="Times New Roman" w:hAnsi="Times New Roman" w:cs="Times New Roman"/>
        </w:rPr>
        <w:t>adjustments, actual capital expenditures, plant additions and retirements for the twelve</w:t>
      </w:r>
      <w:r w:rsidR="0027160D" w:rsidRPr="00A96F21">
        <w:rPr>
          <w:rFonts w:ascii="Times New Roman" w:hAnsi="Times New Roman" w:cs="Times New Roman"/>
        </w:rPr>
        <w:t xml:space="preserve"> </w:t>
      </w:r>
      <w:r w:rsidRPr="00A96F21">
        <w:rPr>
          <w:rFonts w:ascii="Times New Roman" w:hAnsi="Times New Roman" w:cs="Times New Roman"/>
        </w:rPr>
        <w:t>months ending December 31, 2013 and December</w:t>
      </w:r>
      <w:r w:rsidR="0027160D" w:rsidRPr="00A96F21">
        <w:rPr>
          <w:rFonts w:ascii="Times New Roman" w:hAnsi="Times New Roman" w:cs="Times New Roman"/>
        </w:rPr>
        <w:t xml:space="preserve"> </w:t>
      </w:r>
      <w:r w:rsidRPr="00A96F21">
        <w:rPr>
          <w:rFonts w:ascii="Times New Roman" w:hAnsi="Times New Roman" w:cs="Times New Roman"/>
        </w:rPr>
        <w:t>3l,</w:t>
      </w:r>
      <w:r w:rsidR="0027160D" w:rsidRPr="00A96F21">
        <w:rPr>
          <w:rFonts w:ascii="Times New Roman" w:hAnsi="Times New Roman" w:cs="Times New Roman"/>
        </w:rPr>
        <w:t xml:space="preserve"> </w:t>
      </w:r>
      <w:r w:rsidRPr="00A96F21">
        <w:rPr>
          <w:rFonts w:ascii="Times New Roman" w:hAnsi="Times New Roman" w:cs="Times New Roman"/>
        </w:rPr>
        <w:t xml:space="preserve">2014 respectively. </w:t>
      </w:r>
      <w:r w:rsidR="00DF06A1">
        <w:rPr>
          <w:rFonts w:ascii="Times New Roman" w:hAnsi="Times New Roman" w:cs="Times New Roman"/>
        </w:rPr>
        <w:t xml:space="preserve"> </w:t>
      </w:r>
      <w:r w:rsidRPr="00A96F21">
        <w:rPr>
          <w:rFonts w:ascii="Times New Roman" w:hAnsi="Times New Roman" w:cs="Times New Roman"/>
        </w:rPr>
        <w:t>Also, in NRG's</w:t>
      </w:r>
      <w:r w:rsidR="0027160D" w:rsidRPr="00A96F21">
        <w:rPr>
          <w:rFonts w:ascii="Times New Roman" w:hAnsi="Times New Roman" w:cs="Times New Roman"/>
        </w:rPr>
        <w:t xml:space="preserve"> </w:t>
      </w:r>
      <w:r w:rsidRPr="00A96F21">
        <w:rPr>
          <w:rFonts w:ascii="Times New Roman" w:hAnsi="Times New Roman" w:cs="Times New Roman"/>
        </w:rPr>
        <w:t>next base rate case proceeding, NRG will prepare a comparison of its actual</w:t>
      </w:r>
      <w:r w:rsidR="0027160D" w:rsidRPr="00A96F21">
        <w:rPr>
          <w:rFonts w:ascii="Times New Roman" w:hAnsi="Times New Roman" w:cs="Times New Roman"/>
        </w:rPr>
        <w:t xml:space="preserve"> </w:t>
      </w:r>
      <w:r w:rsidRPr="00A96F21">
        <w:rPr>
          <w:rFonts w:ascii="Times New Roman" w:hAnsi="Times New Roman" w:cs="Times New Roman"/>
        </w:rPr>
        <w:t>expenses and rate base additions to the projections provided in this case.  In light of the</w:t>
      </w:r>
      <w:r w:rsidR="0027160D" w:rsidRPr="00A96F21">
        <w:rPr>
          <w:rFonts w:ascii="Times New Roman" w:hAnsi="Times New Roman" w:cs="Times New Roman"/>
        </w:rPr>
        <w:t xml:space="preserve"> </w:t>
      </w:r>
      <w:r w:rsidRPr="00A96F21">
        <w:rPr>
          <w:rFonts w:ascii="Times New Roman" w:hAnsi="Times New Roman" w:cs="Times New Roman"/>
        </w:rPr>
        <w:t>extended time allowed for the projection of rate base inv</w:t>
      </w:r>
      <w:r w:rsidR="00051DEE">
        <w:rPr>
          <w:rFonts w:ascii="Times New Roman" w:hAnsi="Times New Roman" w:cs="Times New Roman"/>
        </w:rPr>
        <w:t xml:space="preserve">estment by recent legislation, </w:t>
      </w:r>
      <w:r w:rsidRPr="00A96F21">
        <w:rPr>
          <w:rFonts w:ascii="Times New Roman" w:hAnsi="Times New Roman" w:cs="Times New Roman"/>
        </w:rPr>
        <w:t>I&amp;E</w:t>
      </w:r>
      <w:r w:rsidR="0027160D" w:rsidRPr="00A96F21">
        <w:rPr>
          <w:rFonts w:ascii="Times New Roman" w:hAnsi="Times New Roman" w:cs="Times New Roman"/>
        </w:rPr>
        <w:t xml:space="preserve"> states</w:t>
      </w:r>
      <w:r w:rsidRPr="00A96F21">
        <w:rPr>
          <w:rFonts w:ascii="Times New Roman" w:hAnsi="Times New Roman" w:cs="Times New Roman"/>
        </w:rPr>
        <w:t xml:space="preserve"> that interim reporting requirements are in the public interest as </w:t>
      </w:r>
      <w:r w:rsidR="00934272">
        <w:rPr>
          <w:rFonts w:ascii="Times New Roman" w:hAnsi="Times New Roman" w:cs="Times New Roman"/>
        </w:rPr>
        <w:t>they</w:t>
      </w:r>
      <w:r w:rsidRPr="00A96F21">
        <w:rPr>
          <w:rFonts w:ascii="Times New Roman" w:hAnsi="Times New Roman" w:cs="Times New Roman"/>
        </w:rPr>
        <w:t xml:space="preserve"> allow for the timely</w:t>
      </w:r>
      <w:r w:rsidR="0027160D" w:rsidRPr="00A96F21">
        <w:rPr>
          <w:rFonts w:ascii="Times New Roman" w:hAnsi="Times New Roman" w:cs="Times New Roman"/>
        </w:rPr>
        <w:t xml:space="preserve"> </w:t>
      </w:r>
      <w:r w:rsidRPr="00A96F21">
        <w:rPr>
          <w:rFonts w:ascii="Times New Roman" w:hAnsi="Times New Roman" w:cs="Times New Roman"/>
        </w:rPr>
        <w:t>review of the accuracy of the estimates provided by the Company in its projected test year.</w:t>
      </w:r>
      <w:r w:rsidR="0027160D" w:rsidRPr="00A96F21">
        <w:rPr>
          <w:rFonts w:ascii="Times New Roman" w:hAnsi="Times New Roman" w:cs="Times New Roman"/>
        </w:rPr>
        <w:t xml:space="preserve">  </w:t>
      </w:r>
      <w:r w:rsidRPr="00A96F21">
        <w:rPr>
          <w:rFonts w:ascii="Times New Roman" w:hAnsi="Times New Roman" w:cs="Times New Roman"/>
        </w:rPr>
        <w:t>This interim report will allow for the verification that projected plant invest</w:t>
      </w:r>
      <w:r w:rsidR="0027160D" w:rsidRPr="00A96F21">
        <w:rPr>
          <w:rFonts w:ascii="Times New Roman" w:hAnsi="Times New Roman" w:cs="Times New Roman"/>
        </w:rPr>
        <w:t>m</w:t>
      </w:r>
      <w:r w:rsidRPr="00A96F21">
        <w:rPr>
          <w:rFonts w:ascii="Times New Roman" w:hAnsi="Times New Roman" w:cs="Times New Roman"/>
        </w:rPr>
        <w:t>ents are being</w:t>
      </w:r>
      <w:r w:rsidR="0027160D" w:rsidRPr="00A96F21">
        <w:rPr>
          <w:rFonts w:ascii="Times New Roman" w:hAnsi="Times New Roman" w:cs="Times New Roman"/>
        </w:rPr>
        <w:t xml:space="preserve"> </w:t>
      </w:r>
      <w:r w:rsidRPr="00A96F21">
        <w:rPr>
          <w:rFonts w:ascii="Times New Roman" w:hAnsi="Times New Roman" w:cs="Times New Roman"/>
        </w:rPr>
        <w:t xml:space="preserve">incurred. </w:t>
      </w:r>
      <w:r w:rsidR="0027160D" w:rsidRPr="00A96F21">
        <w:rPr>
          <w:rFonts w:ascii="Times New Roman" w:hAnsi="Times New Roman" w:cs="Times New Roman"/>
        </w:rPr>
        <w:t xml:space="preserve"> </w:t>
      </w:r>
      <w:r w:rsidRPr="00A96F21">
        <w:rPr>
          <w:rFonts w:ascii="Times New Roman" w:hAnsi="Times New Roman" w:cs="Times New Roman"/>
        </w:rPr>
        <w:t>This review will allow for a more informed analysis in the Company's next rate</w:t>
      </w:r>
      <w:r w:rsidR="0027160D" w:rsidRPr="00A96F21">
        <w:rPr>
          <w:rFonts w:ascii="Times New Roman" w:hAnsi="Times New Roman" w:cs="Times New Roman"/>
        </w:rPr>
        <w:t xml:space="preserve"> </w:t>
      </w:r>
      <w:r w:rsidRPr="00A96F21">
        <w:rPr>
          <w:rFonts w:ascii="Times New Roman" w:hAnsi="Times New Roman" w:cs="Times New Roman"/>
        </w:rPr>
        <w:t xml:space="preserve">filing. </w:t>
      </w:r>
      <w:r w:rsidR="0027160D" w:rsidRPr="00A96F21">
        <w:rPr>
          <w:rFonts w:ascii="Times New Roman" w:hAnsi="Times New Roman" w:cs="Times New Roman"/>
        </w:rPr>
        <w:t xml:space="preserve"> </w:t>
      </w:r>
      <w:r w:rsidRPr="00A96F21">
        <w:rPr>
          <w:rFonts w:ascii="Times New Roman" w:hAnsi="Times New Roman" w:cs="Times New Roman"/>
        </w:rPr>
        <w:t xml:space="preserve">Accurate projections are necessary to </w:t>
      </w:r>
      <w:r w:rsidR="0027160D" w:rsidRPr="00A96F21">
        <w:rPr>
          <w:rFonts w:ascii="Times New Roman" w:hAnsi="Times New Roman" w:cs="Times New Roman"/>
        </w:rPr>
        <w:t>ensure</w:t>
      </w:r>
      <w:r w:rsidRPr="00A96F21">
        <w:rPr>
          <w:rFonts w:ascii="Times New Roman" w:hAnsi="Times New Roman" w:cs="Times New Roman"/>
        </w:rPr>
        <w:t xml:space="preserve"> that ratepayers are not providing a</w:t>
      </w:r>
      <w:r w:rsidR="0027160D" w:rsidRPr="00A96F21">
        <w:rPr>
          <w:rFonts w:ascii="Times New Roman" w:hAnsi="Times New Roman" w:cs="Times New Roman"/>
        </w:rPr>
        <w:t xml:space="preserve"> </w:t>
      </w:r>
      <w:r w:rsidRPr="00A96F21">
        <w:rPr>
          <w:rFonts w:ascii="Times New Roman" w:hAnsi="Times New Roman" w:cs="Times New Roman"/>
        </w:rPr>
        <w:t>return on an inves</w:t>
      </w:r>
      <w:r w:rsidR="0027160D" w:rsidRPr="00A96F21">
        <w:rPr>
          <w:rFonts w:ascii="Times New Roman" w:hAnsi="Times New Roman" w:cs="Times New Roman"/>
        </w:rPr>
        <w:t>tm</w:t>
      </w:r>
      <w:r w:rsidRPr="00A96F21">
        <w:rPr>
          <w:rFonts w:ascii="Times New Roman" w:hAnsi="Times New Roman" w:cs="Times New Roman"/>
        </w:rPr>
        <w:t>ent that is not used in the provision of public service.</w:t>
      </w:r>
      <w:r w:rsidR="00A621F1" w:rsidRPr="00A96F21">
        <w:rPr>
          <w:rFonts w:ascii="Times New Roman" w:hAnsi="Times New Roman" w:cs="Times New Roman"/>
        </w:rPr>
        <w:t xml:space="preserve">  </w:t>
      </w:r>
      <w:r w:rsidR="00C537F2" w:rsidRPr="00A96F21">
        <w:rPr>
          <w:rFonts w:ascii="Times New Roman" w:hAnsi="Times New Roman" w:cs="Times New Roman"/>
        </w:rPr>
        <w:t xml:space="preserve">I&amp;E points out that NRG will have current information as to the status of its planned investment to assist in maintaining the reliability of its system. </w:t>
      </w:r>
      <w:r w:rsidR="007410BD" w:rsidRPr="00A96F21">
        <w:rPr>
          <w:rFonts w:ascii="Times New Roman" w:hAnsi="Times New Roman" w:cs="Times New Roman"/>
        </w:rPr>
        <w:t xml:space="preserve"> </w:t>
      </w:r>
      <w:r w:rsidR="00C537F2" w:rsidRPr="00A96F21">
        <w:rPr>
          <w:rFonts w:ascii="Times New Roman" w:hAnsi="Times New Roman" w:cs="Times New Roman"/>
        </w:rPr>
        <w:t>Projections, by their very nature, are estimates.  Additional information that allows for a prudent review in subsequent proceedings is in the best interests of all parties.</w:t>
      </w:r>
      <w:r w:rsidR="00051DEE">
        <w:rPr>
          <w:rFonts w:ascii="Times New Roman" w:hAnsi="Times New Roman" w:cs="Times New Roman"/>
        </w:rPr>
        <w:t xml:space="preserve">  </w:t>
      </w:r>
      <w:proofErr w:type="gramStart"/>
      <w:r w:rsidR="00051DEE">
        <w:rPr>
          <w:rFonts w:ascii="Times New Roman" w:hAnsi="Times New Roman" w:cs="Times New Roman"/>
        </w:rPr>
        <w:t>I&amp;E Statement in</w:t>
      </w:r>
      <w:r w:rsidR="00A621F1" w:rsidRPr="00A96F21">
        <w:rPr>
          <w:rFonts w:ascii="Times New Roman" w:hAnsi="Times New Roman" w:cs="Times New Roman"/>
        </w:rPr>
        <w:t xml:space="preserve"> Support at 5, ¶ 10.</w:t>
      </w:r>
      <w:proofErr w:type="gramEnd"/>
    </w:p>
    <w:p w:rsidR="00210041" w:rsidRPr="00A96F21" w:rsidRDefault="00210041" w:rsidP="00C537F2">
      <w:pPr>
        <w:spacing w:line="360" w:lineRule="auto"/>
        <w:rPr>
          <w:rFonts w:ascii="Times New Roman" w:hAnsi="Times New Roman" w:cs="Times New Roman"/>
        </w:rPr>
      </w:pPr>
    </w:p>
    <w:p w:rsidR="00210041" w:rsidRPr="00A96F21" w:rsidRDefault="007D04E9" w:rsidP="00C537F2">
      <w:pPr>
        <w:spacing w:line="360" w:lineRule="auto"/>
        <w:rPr>
          <w:rFonts w:ascii="Times New Roman" w:hAnsi="Times New Roman" w:cs="Times New Roman"/>
          <w:u w:val="single"/>
        </w:rPr>
      </w:pPr>
      <w:r w:rsidRPr="00A96F21">
        <w:rPr>
          <w:rFonts w:ascii="Times New Roman" w:hAnsi="Times New Roman" w:cs="Times New Roman"/>
        </w:rPr>
        <w:tab/>
        <w:t>B.</w:t>
      </w:r>
      <w:r w:rsidRPr="00A96F21">
        <w:rPr>
          <w:rFonts w:ascii="Times New Roman" w:hAnsi="Times New Roman" w:cs="Times New Roman"/>
        </w:rPr>
        <w:tab/>
      </w:r>
      <w:r w:rsidR="00210041" w:rsidRPr="00A96F21">
        <w:rPr>
          <w:rFonts w:ascii="Times New Roman" w:hAnsi="Times New Roman" w:cs="Times New Roman"/>
          <w:u w:val="single"/>
        </w:rPr>
        <w:t>The OCA Statement in Support</w:t>
      </w:r>
    </w:p>
    <w:p w:rsidR="00210041" w:rsidRPr="00A96F21" w:rsidRDefault="00210041" w:rsidP="00C537F2">
      <w:pPr>
        <w:spacing w:line="360" w:lineRule="auto"/>
        <w:rPr>
          <w:rFonts w:ascii="Times New Roman" w:hAnsi="Times New Roman" w:cs="Times New Roman"/>
        </w:rPr>
      </w:pPr>
    </w:p>
    <w:p w:rsidR="00210041" w:rsidRPr="00A96F21" w:rsidRDefault="00210041" w:rsidP="00C537F2">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r>
      <w:r w:rsidR="00F51758" w:rsidRPr="00A96F21">
        <w:rPr>
          <w:rFonts w:ascii="Times New Roman" w:hAnsi="Times New Roman" w:cs="Times New Roman"/>
        </w:rPr>
        <w:t>In addition to condit</w:t>
      </w:r>
      <w:r w:rsidR="00051DEE">
        <w:rPr>
          <w:rFonts w:ascii="Times New Roman" w:hAnsi="Times New Roman" w:cs="Times New Roman"/>
        </w:rPr>
        <w:t xml:space="preserve">ions already referenced in </w:t>
      </w:r>
      <w:proofErr w:type="gramStart"/>
      <w:r w:rsidR="00051DEE">
        <w:rPr>
          <w:rFonts w:ascii="Times New Roman" w:hAnsi="Times New Roman" w:cs="Times New Roman"/>
        </w:rPr>
        <w:t xml:space="preserve">the </w:t>
      </w:r>
      <w:r w:rsidR="00F51758" w:rsidRPr="00A96F21">
        <w:rPr>
          <w:rFonts w:ascii="Times New Roman" w:hAnsi="Times New Roman" w:cs="Times New Roman"/>
        </w:rPr>
        <w:t>I</w:t>
      </w:r>
      <w:proofErr w:type="gramEnd"/>
      <w:r w:rsidR="00F51758" w:rsidRPr="00A96F21">
        <w:rPr>
          <w:rFonts w:ascii="Times New Roman" w:hAnsi="Times New Roman" w:cs="Times New Roman"/>
        </w:rPr>
        <w:t>&amp;E Statement, the OCA comments:</w:t>
      </w:r>
    </w:p>
    <w:p w:rsidR="00F51758" w:rsidRPr="00A96F21" w:rsidRDefault="00F51758" w:rsidP="00C537F2">
      <w:pPr>
        <w:spacing w:line="360" w:lineRule="auto"/>
        <w:rPr>
          <w:rFonts w:ascii="Times New Roman" w:hAnsi="Times New Roman" w:cs="Times New Roman"/>
        </w:rPr>
      </w:pPr>
    </w:p>
    <w:p w:rsidR="00F51758" w:rsidRPr="00A96F21" w:rsidRDefault="00F51758" w:rsidP="00F51758">
      <w:pPr>
        <w:ind w:left="1440" w:right="1440"/>
        <w:rPr>
          <w:rFonts w:ascii="Times New Roman" w:hAnsi="Times New Roman" w:cs="Times New Roman"/>
        </w:rPr>
      </w:pPr>
      <w:r w:rsidRPr="00A96F21">
        <w:rPr>
          <w:rFonts w:ascii="Times New Roman" w:hAnsi="Times New Roman" w:cs="Times New Roman"/>
        </w:rPr>
        <w:t xml:space="preserve">Although the Settlement is a black box settlement, the parties have specifically identified that the rate increase includes and fully recovers the costs of Repair/Painting of the Company's South Stack and Repair of the Plant Roof.  The Company specifically agrees that it will not include these projects in any future base rate proceeding. </w:t>
      </w:r>
      <w:r w:rsidR="00451FB7">
        <w:rPr>
          <w:rFonts w:ascii="Times New Roman" w:hAnsi="Times New Roman" w:cs="Times New Roman"/>
        </w:rPr>
        <w:t xml:space="preserve"> </w:t>
      </w:r>
      <w:r w:rsidRPr="00A96F21">
        <w:rPr>
          <w:rFonts w:ascii="Times New Roman" w:hAnsi="Times New Roman" w:cs="Times New Roman"/>
        </w:rPr>
        <w:t xml:space="preserve">NRG also agrees that it will file a letter and inform all parties upon completion of the project. </w:t>
      </w:r>
      <w:r w:rsidR="00602034">
        <w:rPr>
          <w:rFonts w:ascii="Times New Roman" w:hAnsi="Times New Roman" w:cs="Times New Roman"/>
        </w:rPr>
        <w:t xml:space="preserve"> </w:t>
      </w:r>
      <w:r w:rsidRPr="00A96F21">
        <w:rPr>
          <w:rFonts w:ascii="Times New Roman" w:hAnsi="Times New Roman" w:cs="Times New Roman"/>
        </w:rPr>
        <w:t>The OCA submits that this will ensure that both of these projects are completed to the benefit of ratepayers and that these costs will not be claimed again.</w:t>
      </w:r>
    </w:p>
    <w:p w:rsidR="00F51758" w:rsidRPr="00A96F21" w:rsidRDefault="00F51758" w:rsidP="00F51758">
      <w:pPr>
        <w:ind w:left="1440" w:right="1440"/>
        <w:rPr>
          <w:rFonts w:ascii="Times New Roman" w:hAnsi="Times New Roman" w:cs="Times New Roman"/>
        </w:rPr>
      </w:pPr>
    </w:p>
    <w:p w:rsidR="00F51758" w:rsidRPr="00A96F21" w:rsidRDefault="00051DEE" w:rsidP="00F51758">
      <w:pPr>
        <w:spacing w:line="360" w:lineRule="auto"/>
        <w:ind w:right="1440"/>
        <w:rPr>
          <w:rFonts w:ascii="Times New Roman" w:hAnsi="Times New Roman" w:cs="Times New Roman"/>
        </w:rPr>
      </w:pPr>
      <w:proofErr w:type="gramStart"/>
      <w:r>
        <w:rPr>
          <w:rFonts w:ascii="Times New Roman" w:hAnsi="Times New Roman" w:cs="Times New Roman"/>
        </w:rPr>
        <w:t>OCA Statement in</w:t>
      </w:r>
      <w:r w:rsidR="00F51758" w:rsidRPr="00A96F21">
        <w:rPr>
          <w:rFonts w:ascii="Times New Roman" w:hAnsi="Times New Roman" w:cs="Times New Roman"/>
        </w:rPr>
        <w:t xml:space="preserve"> Support at 4.</w:t>
      </w:r>
      <w:proofErr w:type="gramEnd"/>
    </w:p>
    <w:p w:rsidR="00F51758" w:rsidRPr="00A96F21" w:rsidRDefault="00F51758" w:rsidP="00F51758">
      <w:pPr>
        <w:spacing w:line="360" w:lineRule="auto"/>
        <w:ind w:right="1440"/>
        <w:rPr>
          <w:rFonts w:ascii="Times New Roman" w:hAnsi="Times New Roman" w:cs="Times New Roman"/>
        </w:rPr>
      </w:pPr>
    </w:p>
    <w:p w:rsidR="00F51758" w:rsidRPr="00A96F21" w:rsidRDefault="00F51758" w:rsidP="007D04E9">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 xml:space="preserve">The OCA concludes that the terms and conditions of the proposed Settlement are in the public interest and in the interest of NRG's customers and should be approved by the ALJ and the Commission. </w:t>
      </w:r>
      <w:r w:rsidR="007160B1">
        <w:rPr>
          <w:rFonts w:ascii="Times New Roman" w:hAnsi="Times New Roman" w:cs="Times New Roman"/>
        </w:rPr>
        <w:t xml:space="preserve"> </w:t>
      </w:r>
      <w:proofErr w:type="gramStart"/>
      <w:r w:rsidR="00051DEE">
        <w:rPr>
          <w:rFonts w:ascii="Times New Roman" w:hAnsi="Times New Roman" w:cs="Times New Roman"/>
        </w:rPr>
        <w:t>OCA Statement in</w:t>
      </w:r>
      <w:r w:rsidRPr="00A96F21">
        <w:rPr>
          <w:rFonts w:ascii="Times New Roman" w:hAnsi="Times New Roman" w:cs="Times New Roman"/>
        </w:rPr>
        <w:t xml:space="preserve"> Support at 5.</w:t>
      </w:r>
      <w:proofErr w:type="gramEnd"/>
    </w:p>
    <w:p w:rsidR="00F51758" w:rsidRPr="00A96F21" w:rsidRDefault="00F51758" w:rsidP="007D04E9">
      <w:pPr>
        <w:spacing w:line="360" w:lineRule="auto"/>
        <w:rPr>
          <w:rFonts w:ascii="Times New Roman" w:hAnsi="Times New Roman" w:cs="Times New Roman"/>
        </w:rPr>
      </w:pPr>
    </w:p>
    <w:p w:rsidR="00F51758" w:rsidRPr="00A96F21" w:rsidRDefault="007D04E9" w:rsidP="007D04E9">
      <w:pPr>
        <w:spacing w:line="360" w:lineRule="auto"/>
        <w:rPr>
          <w:rFonts w:ascii="Times New Roman" w:hAnsi="Times New Roman" w:cs="Times New Roman"/>
          <w:u w:val="single"/>
        </w:rPr>
      </w:pPr>
      <w:r w:rsidRPr="00A96F21">
        <w:rPr>
          <w:rFonts w:ascii="Times New Roman" w:hAnsi="Times New Roman" w:cs="Times New Roman"/>
        </w:rPr>
        <w:tab/>
        <w:t>C.</w:t>
      </w:r>
      <w:r w:rsidRPr="00A96F21">
        <w:rPr>
          <w:rFonts w:ascii="Times New Roman" w:hAnsi="Times New Roman" w:cs="Times New Roman"/>
        </w:rPr>
        <w:tab/>
      </w:r>
      <w:r w:rsidR="00F51758" w:rsidRPr="00A96F21">
        <w:rPr>
          <w:rFonts w:ascii="Times New Roman" w:hAnsi="Times New Roman" w:cs="Times New Roman"/>
          <w:u w:val="single"/>
        </w:rPr>
        <w:t>The OSBA Statement in Support</w:t>
      </w:r>
    </w:p>
    <w:p w:rsidR="00F51758" w:rsidRPr="00A96F21" w:rsidRDefault="00F51758" w:rsidP="007D04E9">
      <w:pPr>
        <w:spacing w:line="360" w:lineRule="auto"/>
        <w:rPr>
          <w:rFonts w:ascii="Times New Roman" w:hAnsi="Times New Roman" w:cs="Times New Roman"/>
        </w:rPr>
      </w:pPr>
    </w:p>
    <w:p w:rsidR="00AC06AF" w:rsidRPr="00A96F21" w:rsidRDefault="00F51758" w:rsidP="007D04E9">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r>
      <w:r w:rsidR="007D04E9" w:rsidRPr="00A96F21">
        <w:rPr>
          <w:rFonts w:ascii="Times New Roman" w:hAnsi="Times New Roman" w:cs="Times New Roman"/>
        </w:rPr>
        <w:t>The OSBA states that it focused its efforts in this case on evaluating the propriety of the cost of service study (COSS) and rate design proposals submitted by NRG in its original filing.  After reviewing the Company's COSS and rate design proposals, the OSBA concluded that there were no issues to be raised with respect to rate design.  This is mainly because virtually</w:t>
      </w:r>
      <w:r w:rsidR="00006F99" w:rsidRPr="00A96F21">
        <w:rPr>
          <w:rFonts w:ascii="Times New Roman" w:hAnsi="Times New Roman" w:cs="Times New Roman"/>
        </w:rPr>
        <w:t xml:space="preserve"> </w:t>
      </w:r>
      <w:r w:rsidR="007D04E9" w:rsidRPr="00A96F21">
        <w:rPr>
          <w:rFonts w:ascii="Times New Roman" w:hAnsi="Times New Roman" w:cs="Times New Roman"/>
        </w:rPr>
        <w:t>all remaining customers (many former smaller customers were given incentives to leave the</w:t>
      </w:r>
      <w:r w:rsidR="00006F99" w:rsidRPr="00A96F21">
        <w:rPr>
          <w:rFonts w:ascii="Times New Roman" w:hAnsi="Times New Roman" w:cs="Times New Roman"/>
        </w:rPr>
        <w:t xml:space="preserve"> </w:t>
      </w:r>
      <w:r w:rsidR="007D04E9" w:rsidRPr="00A96F21">
        <w:rPr>
          <w:rFonts w:ascii="Times New Roman" w:hAnsi="Times New Roman" w:cs="Times New Roman"/>
        </w:rPr>
        <w:t>system) are now on the same rate.  Therefore, because NRG's COSS appears to have been reasonably and accurately performed, and because NRG's filing presents no current rate design issues, the OSBA submits that the Joint Petition's proposal to adopt the Company</w:t>
      </w:r>
      <w:r w:rsidR="00934272">
        <w:rPr>
          <w:rFonts w:ascii="Times New Roman" w:hAnsi="Times New Roman" w:cs="Times New Roman"/>
        </w:rPr>
        <w:t>’s</w:t>
      </w:r>
      <w:r w:rsidR="007D04E9" w:rsidRPr="00A96F21">
        <w:rPr>
          <w:rFonts w:ascii="Times New Roman" w:hAnsi="Times New Roman" w:cs="Times New Roman"/>
        </w:rPr>
        <w:t xml:space="preserve"> originally filed rate design is just an</w:t>
      </w:r>
      <w:r w:rsidR="00051DEE">
        <w:rPr>
          <w:rFonts w:ascii="Times New Roman" w:hAnsi="Times New Roman" w:cs="Times New Roman"/>
        </w:rPr>
        <w:t xml:space="preserve">d reasonable.  </w:t>
      </w:r>
      <w:proofErr w:type="gramStart"/>
      <w:r w:rsidR="00051DEE">
        <w:rPr>
          <w:rFonts w:ascii="Times New Roman" w:hAnsi="Times New Roman" w:cs="Times New Roman"/>
        </w:rPr>
        <w:t>OSBA Statement in</w:t>
      </w:r>
      <w:r w:rsidR="007D04E9" w:rsidRPr="00A96F21">
        <w:rPr>
          <w:rFonts w:ascii="Times New Roman" w:hAnsi="Times New Roman" w:cs="Times New Roman"/>
        </w:rPr>
        <w:t xml:space="preserve"> Support at 2.</w:t>
      </w:r>
      <w:proofErr w:type="gramEnd"/>
    </w:p>
    <w:p w:rsidR="007B385E" w:rsidRPr="00A96F21" w:rsidRDefault="007B385E" w:rsidP="007D04E9">
      <w:pPr>
        <w:spacing w:line="360" w:lineRule="auto"/>
        <w:rPr>
          <w:rFonts w:ascii="Times New Roman" w:hAnsi="Times New Roman" w:cs="Times New Roman"/>
        </w:rPr>
      </w:pPr>
    </w:p>
    <w:p w:rsidR="007B385E" w:rsidRPr="00A96F21" w:rsidRDefault="007B385E" w:rsidP="007D04E9">
      <w:pPr>
        <w:spacing w:line="360" w:lineRule="auto"/>
        <w:rPr>
          <w:rFonts w:ascii="Times New Roman" w:hAnsi="Times New Roman" w:cs="Times New Roman"/>
        </w:rPr>
      </w:pPr>
      <w:r w:rsidRPr="00A96F21">
        <w:rPr>
          <w:rFonts w:ascii="Times New Roman" w:hAnsi="Times New Roman" w:cs="Times New Roman"/>
        </w:rPr>
        <w:tab/>
        <w:t>D.</w:t>
      </w:r>
      <w:r w:rsidRPr="00A96F21">
        <w:rPr>
          <w:rFonts w:ascii="Times New Roman" w:hAnsi="Times New Roman" w:cs="Times New Roman"/>
        </w:rPr>
        <w:tab/>
      </w:r>
      <w:r w:rsidRPr="00A96F21">
        <w:rPr>
          <w:rFonts w:ascii="Times New Roman" w:hAnsi="Times New Roman" w:cs="Times New Roman"/>
          <w:u w:val="single"/>
        </w:rPr>
        <w:t>NRG Statement in Support</w:t>
      </w:r>
    </w:p>
    <w:p w:rsidR="007B385E" w:rsidRPr="00A96F21" w:rsidRDefault="007B385E" w:rsidP="007D04E9">
      <w:pPr>
        <w:spacing w:line="360" w:lineRule="auto"/>
        <w:rPr>
          <w:rFonts w:ascii="Times New Roman" w:hAnsi="Times New Roman" w:cs="Times New Roman"/>
        </w:rPr>
      </w:pPr>
    </w:p>
    <w:p w:rsidR="007B385E" w:rsidRPr="00A96F21" w:rsidRDefault="007B385E" w:rsidP="007B385E">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r>
      <w:r w:rsidR="007410BD" w:rsidRPr="00A96F21">
        <w:rPr>
          <w:rFonts w:ascii="Times New Roman" w:hAnsi="Times New Roman" w:cs="Times New Roman"/>
        </w:rPr>
        <w:t xml:space="preserve">NRG filed a comprehensive Statement in Support of the proposed Settlement.  </w:t>
      </w:r>
      <w:r w:rsidRPr="00A96F21">
        <w:rPr>
          <w:rFonts w:ascii="Times New Roman" w:hAnsi="Times New Roman" w:cs="Times New Roman"/>
        </w:rPr>
        <w:t>NRG points out that the fact that the proposed Settlement is unopposed in this base rate proceeding is, in and of itself, strong evidence that the Settlement is reasonable and in the public interest, particularly given the diverse interests of the parties and the active role that they have taken in this proceeding.  Further, because NRG is a relatively small</w:t>
      </w:r>
      <w:r w:rsidR="007746FA" w:rsidRPr="00A96F21">
        <w:rPr>
          <w:rFonts w:ascii="Times New Roman" w:hAnsi="Times New Roman" w:cs="Times New Roman"/>
        </w:rPr>
        <w:t xml:space="preserve"> </w:t>
      </w:r>
      <w:r w:rsidRPr="00A96F21">
        <w:rPr>
          <w:rFonts w:ascii="Times New Roman" w:hAnsi="Times New Roman" w:cs="Times New Roman"/>
        </w:rPr>
        <w:t>steam utility, it was important to reach an early settlement in order to mitigate rate case expense.</w:t>
      </w:r>
      <w:r w:rsidR="00DD13E9">
        <w:rPr>
          <w:rFonts w:ascii="Times New Roman" w:hAnsi="Times New Roman" w:cs="Times New Roman"/>
        </w:rPr>
        <w:t xml:space="preserve">  </w:t>
      </w:r>
      <w:r w:rsidRPr="00A96F21">
        <w:rPr>
          <w:rFonts w:ascii="Times New Roman" w:hAnsi="Times New Roman" w:cs="Times New Roman"/>
        </w:rPr>
        <w:t>The Settlement reflects a carefully-balanced compromise of the interests of the Joint</w:t>
      </w:r>
      <w:r w:rsidR="00006F99" w:rsidRPr="00A96F21">
        <w:rPr>
          <w:rFonts w:ascii="Times New Roman" w:hAnsi="Times New Roman" w:cs="Times New Roman"/>
        </w:rPr>
        <w:t xml:space="preserve"> </w:t>
      </w:r>
      <w:r w:rsidRPr="00A96F21">
        <w:rPr>
          <w:rFonts w:ascii="Times New Roman" w:hAnsi="Times New Roman" w:cs="Times New Roman"/>
        </w:rPr>
        <w:t>Petitioners to th</w:t>
      </w:r>
      <w:r w:rsidR="00051DEE">
        <w:rPr>
          <w:rFonts w:ascii="Times New Roman" w:hAnsi="Times New Roman" w:cs="Times New Roman"/>
        </w:rPr>
        <w:t xml:space="preserve">is proceeding.  </w:t>
      </w:r>
      <w:proofErr w:type="gramStart"/>
      <w:r w:rsidR="00051DEE">
        <w:rPr>
          <w:rFonts w:ascii="Times New Roman" w:hAnsi="Times New Roman" w:cs="Times New Roman"/>
        </w:rPr>
        <w:t>NRG Statement in</w:t>
      </w:r>
      <w:r w:rsidRPr="00A96F21">
        <w:rPr>
          <w:rFonts w:ascii="Times New Roman" w:hAnsi="Times New Roman" w:cs="Times New Roman"/>
        </w:rPr>
        <w:t xml:space="preserve"> Support at 2.</w:t>
      </w:r>
      <w:proofErr w:type="gramEnd"/>
    </w:p>
    <w:p w:rsidR="007B385E" w:rsidRPr="00A96F21" w:rsidRDefault="007B385E" w:rsidP="007B385E">
      <w:pPr>
        <w:spacing w:line="360" w:lineRule="auto"/>
        <w:rPr>
          <w:rFonts w:ascii="Times New Roman" w:hAnsi="Times New Roman" w:cs="Times New Roman"/>
        </w:rPr>
      </w:pPr>
    </w:p>
    <w:p w:rsidR="007410BD" w:rsidRPr="00A96F21" w:rsidRDefault="007B385E" w:rsidP="007B385E">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NRG explains that there were five main issues raised by the Parties during the course of the instant proceeding: (1) revenue requirement; (2) treatment of expenses associated with the Repair/Painting of the South Stack and the Repair of the Plant Roof; (3) treatment of current rate case expense; (4) reporting associated with the use of a fully projected future test year (FPFTY); and, (5) cost of service and r</w:t>
      </w:r>
      <w:r w:rsidR="00051DEE">
        <w:rPr>
          <w:rFonts w:ascii="Times New Roman" w:hAnsi="Times New Roman" w:cs="Times New Roman"/>
        </w:rPr>
        <w:t xml:space="preserve">ate structure.  </w:t>
      </w:r>
      <w:proofErr w:type="gramStart"/>
      <w:r w:rsidR="00051DEE">
        <w:rPr>
          <w:rFonts w:ascii="Times New Roman" w:hAnsi="Times New Roman" w:cs="Times New Roman"/>
        </w:rPr>
        <w:t>NRG Statement in</w:t>
      </w:r>
      <w:r w:rsidRPr="00A96F21">
        <w:rPr>
          <w:rFonts w:ascii="Times New Roman" w:hAnsi="Times New Roman" w:cs="Times New Roman"/>
        </w:rPr>
        <w:t xml:space="preserve"> Support at 3.</w:t>
      </w:r>
      <w:proofErr w:type="gramEnd"/>
    </w:p>
    <w:p w:rsidR="007410BD" w:rsidRPr="00A96F21" w:rsidRDefault="007410BD" w:rsidP="007B385E">
      <w:pPr>
        <w:spacing w:line="360" w:lineRule="auto"/>
        <w:rPr>
          <w:rFonts w:ascii="Times New Roman" w:hAnsi="Times New Roman" w:cs="Times New Roman"/>
        </w:rPr>
      </w:pPr>
    </w:p>
    <w:p w:rsidR="007410BD" w:rsidRPr="00A96F21" w:rsidRDefault="007410BD" w:rsidP="007B385E">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r>
      <w:r w:rsidR="00152710">
        <w:rPr>
          <w:rFonts w:ascii="Times New Roman" w:hAnsi="Times New Roman" w:cs="Times New Roman"/>
        </w:rPr>
        <w:t>1.</w:t>
      </w:r>
      <w:r w:rsidR="00152710">
        <w:rPr>
          <w:rFonts w:ascii="Times New Roman" w:hAnsi="Times New Roman" w:cs="Times New Roman"/>
        </w:rPr>
        <w:tab/>
      </w:r>
      <w:r w:rsidRPr="00A96F21">
        <w:rPr>
          <w:rFonts w:ascii="Times New Roman" w:hAnsi="Times New Roman" w:cs="Times New Roman"/>
          <w:u w:val="single"/>
        </w:rPr>
        <w:t>Revenue Requirement</w:t>
      </w:r>
    </w:p>
    <w:p w:rsidR="007410BD" w:rsidRPr="00A96F21" w:rsidRDefault="007410BD" w:rsidP="00152710">
      <w:pPr>
        <w:spacing w:line="360" w:lineRule="auto"/>
        <w:rPr>
          <w:rFonts w:ascii="Times New Roman" w:hAnsi="Times New Roman" w:cs="Times New Roman"/>
        </w:rPr>
      </w:pPr>
    </w:p>
    <w:p w:rsidR="00F91CA3" w:rsidRPr="00A96F21" w:rsidRDefault="007410BD" w:rsidP="00F91CA3">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r>
      <w:r w:rsidR="00F91CA3" w:rsidRPr="00A96F21">
        <w:rPr>
          <w:rFonts w:ascii="Times New Roman" w:hAnsi="Times New Roman" w:cs="Times New Roman"/>
        </w:rPr>
        <w:t>NRG maintains that since its last base rate case in 2008, NRG has experienced an unanticipated loss of 100,000 Mlbs.</w:t>
      </w:r>
      <w:r w:rsidR="00006F99" w:rsidRPr="00A96F21">
        <w:rPr>
          <w:rStyle w:val="FootnoteReference"/>
          <w:rFonts w:ascii="Times New Roman" w:hAnsi="Times New Roman" w:cs="Times New Roman"/>
        </w:rPr>
        <w:footnoteReference w:id="5"/>
      </w:r>
      <w:r w:rsidR="00F91CA3" w:rsidRPr="00A96F21">
        <w:rPr>
          <w:rFonts w:ascii="Times New Roman" w:hAnsi="Times New Roman" w:cs="Times New Roman"/>
        </w:rPr>
        <w:t xml:space="preserve"> of sales, representing</w:t>
      </w:r>
      <w:r w:rsidR="00152710">
        <w:rPr>
          <w:rFonts w:ascii="Times New Roman" w:hAnsi="Times New Roman" w:cs="Times New Roman"/>
        </w:rPr>
        <w:t xml:space="preserve"> </w:t>
      </w:r>
      <w:r w:rsidR="00F91CA3" w:rsidRPr="00A96F21">
        <w:rPr>
          <w:rFonts w:ascii="Times New Roman" w:hAnsi="Times New Roman" w:cs="Times New Roman"/>
        </w:rPr>
        <w:t>24% of NRG's base load and resulting in over $1,000,000 in lost revenue.  Despite internal cost savings measures including reduction of workforce by two employees, increased charges to NRG's affiliates, suspension of corporate service charges by NRG's ultimate parent, and deferred maintenance projects, NRG argues that it needs to restore income to an acceptable level in light of the reduced consumption.  The claimed</w:t>
      </w:r>
      <w:r w:rsidR="00EF05DC">
        <w:rPr>
          <w:rFonts w:ascii="Times New Roman" w:hAnsi="Times New Roman" w:cs="Times New Roman"/>
        </w:rPr>
        <w:t xml:space="preserve"> </w:t>
      </w:r>
      <w:r w:rsidR="00F91CA3" w:rsidRPr="00A96F21">
        <w:rPr>
          <w:rFonts w:ascii="Times New Roman" w:hAnsi="Times New Roman" w:cs="Times New Roman"/>
        </w:rPr>
        <w:t>annual increase of $875,000 will result in an overall rate of return of approximately 3.3 pe</w:t>
      </w:r>
      <w:r w:rsidR="00051DEE">
        <w:rPr>
          <w:rFonts w:ascii="Times New Roman" w:hAnsi="Times New Roman" w:cs="Times New Roman"/>
        </w:rPr>
        <w:t>rcent for NRG.  NRG Statement in</w:t>
      </w:r>
      <w:r w:rsidR="00F91CA3" w:rsidRPr="00A96F21">
        <w:rPr>
          <w:rFonts w:ascii="Times New Roman" w:hAnsi="Times New Roman" w:cs="Times New Roman"/>
        </w:rPr>
        <w:t xml:space="preserve"> Support at 3-4.</w:t>
      </w:r>
    </w:p>
    <w:p w:rsidR="00F91CA3" w:rsidRPr="00A96F21" w:rsidRDefault="00F91CA3" w:rsidP="00322682">
      <w:pPr>
        <w:spacing w:line="360" w:lineRule="auto"/>
        <w:rPr>
          <w:rFonts w:ascii="Times New Roman" w:hAnsi="Times New Roman" w:cs="Times New Roman"/>
        </w:rPr>
      </w:pPr>
    </w:p>
    <w:p w:rsidR="007B385E" w:rsidRDefault="00F91CA3" w:rsidP="00423267">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 xml:space="preserve">NRG states that it proposed a mitigated claim because, while NRG is a rate-regulated public utility, it is in a competitive business.  NRG’s customers have options for their heating needs, including natural gas and electric. </w:t>
      </w:r>
      <w:r w:rsidR="00322682">
        <w:rPr>
          <w:rFonts w:ascii="Times New Roman" w:hAnsi="Times New Roman" w:cs="Times New Roman"/>
        </w:rPr>
        <w:t xml:space="preserve"> </w:t>
      </w:r>
      <w:r w:rsidRPr="00A96F21">
        <w:rPr>
          <w:rFonts w:ascii="Times New Roman" w:hAnsi="Times New Roman" w:cs="Times New Roman"/>
        </w:rPr>
        <w:t xml:space="preserve">NRG states that its management talks with its customers on a regular basis, particularly its 17 largest customers who represent 75 percent of its load.  Based on these conversations, NRG believes that a $3.00 per Mlb. increase is fair and will not lead to a steam price which is no longer competitive to the alternatives. </w:t>
      </w:r>
      <w:r w:rsidR="005E4496">
        <w:rPr>
          <w:rFonts w:ascii="Times New Roman" w:hAnsi="Times New Roman" w:cs="Times New Roman"/>
        </w:rPr>
        <w:t xml:space="preserve"> </w:t>
      </w:r>
      <w:proofErr w:type="gramStart"/>
      <w:r w:rsidRPr="00A96F21">
        <w:rPr>
          <w:rFonts w:ascii="Times New Roman" w:hAnsi="Times New Roman" w:cs="Times New Roman"/>
        </w:rPr>
        <w:t xml:space="preserve">NRG Statement </w:t>
      </w:r>
      <w:r w:rsidR="00051DEE">
        <w:rPr>
          <w:rFonts w:ascii="Times New Roman" w:hAnsi="Times New Roman" w:cs="Times New Roman"/>
        </w:rPr>
        <w:t>in</w:t>
      </w:r>
      <w:r w:rsidRPr="00A96F21">
        <w:rPr>
          <w:rFonts w:ascii="Times New Roman" w:hAnsi="Times New Roman" w:cs="Times New Roman"/>
        </w:rPr>
        <w:t xml:space="preserve"> </w:t>
      </w:r>
      <w:r w:rsidR="00423267" w:rsidRPr="00A96F21">
        <w:rPr>
          <w:rFonts w:ascii="Times New Roman" w:hAnsi="Times New Roman" w:cs="Times New Roman"/>
        </w:rPr>
        <w:t>S</w:t>
      </w:r>
      <w:r w:rsidRPr="00A96F21">
        <w:rPr>
          <w:rFonts w:ascii="Times New Roman" w:hAnsi="Times New Roman" w:cs="Times New Roman"/>
        </w:rPr>
        <w:t>upport at 4.</w:t>
      </w:r>
      <w:proofErr w:type="gramEnd"/>
      <w:r w:rsidR="00423267" w:rsidRPr="00A96F21">
        <w:rPr>
          <w:rFonts w:ascii="Times New Roman" w:hAnsi="Times New Roman" w:cs="Times New Roman"/>
        </w:rPr>
        <w:t xml:space="preserve">  NRG concludes that the increase is necessary in order for NRG to maintain safe, adequate,</w:t>
      </w:r>
      <w:r w:rsidR="00094125" w:rsidRPr="00A96F21">
        <w:rPr>
          <w:rFonts w:ascii="Times New Roman" w:hAnsi="Times New Roman" w:cs="Times New Roman"/>
        </w:rPr>
        <w:t xml:space="preserve"> </w:t>
      </w:r>
      <w:r w:rsidR="00423267" w:rsidRPr="00A96F21">
        <w:rPr>
          <w:rFonts w:ascii="Times New Roman" w:hAnsi="Times New Roman" w:cs="Times New Roman"/>
        </w:rPr>
        <w:t xml:space="preserve">and reliable </w:t>
      </w:r>
      <w:r w:rsidR="00094125" w:rsidRPr="00A96F21">
        <w:rPr>
          <w:rFonts w:ascii="Times New Roman" w:hAnsi="Times New Roman" w:cs="Times New Roman"/>
        </w:rPr>
        <w:t>steam service in the City of Harr</w:t>
      </w:r>
      <w:r w:rsidR="00423267" w:rsidRPr="00A96F21">
        <w:rPr>
          <w:rFonts w:ascii="Times New Roman" w:hAnsi="Times New Roman" w:cs="Times New Roman"/>
        </w:rPr>
        <w:t>isburg and is, therefore, in the public interest.</w:t>
      </w:r>
      <w:r w:rsidR="00094125" w:rsidRPr="00A96F21">
        <w:rPr>
          <w:rFonts w:ascii="Times New Roman" w:hAnsi="Times New Roman" w:cs="Times New Roman"/>
        </w:rPr>
        <w:t xml:space="preserve">  </w:t>
      </w:r>
      <w:proofErr w:type="gramStart"/>
      <w:r w:rsidR="00094125" w:rsidRPr="00A96F21">
        <w:rPr>
          <w:rFonts w:ascii="Times New Roman" w:hAnsi="Times New Roman" w:cs="Times New Roman"/>
        </w:rPr>
        <w:t>NRG Statement in Support at 5.</w:t>
      </w:r>
      <w:proofErr w:type="gramEnd"/>
    </w:p>
    <w:p w:rsidR="00833221" w:rsidRDefault="00833221" w:rsidP="00423267">
      <w:pPr>
        <w:spacing w:line="360" w:lineRule="auto"/>
        <w:rPr>
          <w:rFonts w:ascii="Times New Roman" w:hAnsi="Times New Roman" w:cs="Times New Roman"/>
        </w:rPr>
      </w:pPr>
    </w:p>
    <w:p w:rsidR="00833221" w:rsidRDefault="00833221" w:rsidP="00423267">
      <w:pPr>
        <w:spacing w:line="360" w:lineRule="auto"/>
        <w:rPr>
          <w:rFonts w:ascii="Times New Roman" w:hAnsi="Times New Roman" w:cs="Times New Roman"/>
        </w:rPr>
      </w:pPr>
    </w:p>
    <w:p w:rsidR="00833221" w:rsidRPr="00A96F21" w:rsidRDefault="00833221" w:rsidP="00423267">
      <w:pPr>
        <w:spacing w:line="360" w:lineRule="auto"/>
        <w:rPr>
          <w:rFonts w:ascii="Times New Roman" w:hAnsi="Times New Roman" w:cs="Times New Roman"/>
        </w:rPr>
      </w:pPr>
    </w:p>
    <w:p w:rsidR="000D142A" w:rsidRPr="00A96F21" w:rsidRDefault="000D142A" w:rsidP="00DB35C8">
      <w:pPr>
        <w:spacing w:line="360" w:lineRule="auto"/>
        <w:rPr>
          <w:rFonts w:ascii="Times New Roman" w:hAnsi="Times New Roman" w:cs="Times New Roman"/>
        </w:rPr>
      </w:pPr>
    </w:p>
    <w:p w:rsidR="000D142A" w:rsidRPr="00A96F21" w:rsidRDefault="000D142A" w:rsidP="00423267">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2.</w:t>
      </w:r>
      <w:r w:rsidRPr="00A96F21">
        <w:rPr>
          <w:rFonts w:ascii="Times New Roman" w:hAnsi="Times New Roman" w:cs="Times New Roman"/>
        </w:rPr>
        <w:tab/>
      </w:r>
      <w:r w:rsidRPr="00A96F21">
        <w:rPr>
          <w:rFonts w:ascii="Times New Roman" w:hAnsi="Times New Roman" w:cs="Times New Roman"/>
          <w:u w:val="single"/>
        </w:rPr>
        <w:t>Repair/Painting of South Stack and Repair of Plant Roof</w:t>
      </w:r>
    </w:p>
    <w:p w:rsidR="000D142A" w:rsidRPr="00A96F21" w:rsidRDefault="000D142A" w:rsidP="00423267">
      <w:pPr>
        <w:spacing w:line="360" w:lineRule="auto"/>
        <w:rPr>
          <w:rFonts w:ascii="Times New Roman" w:hAnsi="Times New Roman" w:cs="Times New Roman"/>
        </w:rPr>
      </w:pPr>
    </w:p>
    <w:p w:rsidR="000D142A" w:rsidRPr="00A96F21" w:rsidRDefault="000D142A" w:rsidP="000D142A">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NRG's original filing included claims for two major maintenance projects</w:t>
      </w:r>
      <w:r w:rsidR="009038C9" w:rsidRPr="00A96F21">
        <w:rPr>
          <w:rFonts w:ascii="Times New Roman" w:hAnsi="Times New Roman" w:cs="Times New Roman"/>
        </w:rPr>
        <w:t xml:space="preserve"> to its plant on Market Street in Harrisburg, Pennsylvania</w:t>
      </w:r>
      <w:r w:rsidRPr="00A96F21">
        <w:rPr>
          <w:rFonts w:ascii="Times New Roman" w:hAnsi="Times New Roman" w:cs="Times New Roman"/>
        </w:rPr>
        <w:t>: (a) the</w:t>
      </w:r>
      <w:r w:rsidR="009038C9" w:rsidRPr="00A96F21">
        <w:rPr>
          <w:rFonts w:ascii="Times New Roman" w:hAnsi="Times New Roman" w:cs="Times New Roman"/>
        </w:rPr>
        <w:t xml:space="preserve"> </w:t>
      </w:r>
      <w:r w:rsidRPr="00A96F21">
        <w:rPr>
          <w:rFonts w:ascii="Times New Roman" w:hAnsi="Times New Roman" w:cs="Times New Roman"/>
        </w:rPr>
        <w:t>Repair/Painting of the South Stack ($225,000); and, (b) the Repair of the Plant Roof ($100,000).</w:t>
      </w:r>
      <w:r w:rsidR="009038C9" w:rsidRPr="00A96F21">
        <w:rPr>
          <w:rFonts w:ascii="Times New Roman" w:hAnsi="Times New Roman" w:cs="Times New Roman"/>
        </w:rPr>
        <w:t xml:space="preserve">  </w:t>
      </w:r>
      <w:r w:rsidRPr="00A96F21">
        <w:rPr>
          <w:rFonts w:ascii="Times New Roman" w:hAnsi="Times New Roman" w:cs="Times New Roman"/>
        </w:rPr>
        <w:t xml:space="preserve">In order to ensure that these projects are completed and in order to avoid any future confusion regarding amortization of the project expenses, the Joint Petitioners have agreed that the expenses are included in and fully recovered through the Settlement's allowed revenue increase. </w:t>
      </w:r>
      <w:r w:rsidR="009038C9" w:rsidRPr="00A96F21">
        <w:rPr>
          <w:rFonts w:ascii="Times New Roman" w:hAnsi="Times New Roman" w:cs="Times New Roman"/>
        </w:rPr>
        <w:t xml:space="preserve"> </w:t>
      </w:r>
      <w:r w:rsidRPr="00A96F21">
        <w:rPr>
          <w:rFonts w:ascii="Times New Roman" w:hAnsi="Times New Roman" w:cs="Times New Roman"/>
        </w:rPr>
        <w:t xml:space="preserve">This provision prevents NRG from claiming any portion of the expenses in a future base rate proceeding. </w:t>
      </w:r>
      <w:r w:rsidR="009038C9" w:rsidRPr="00A96F21">
        <w:rPr>
          <w:rFonts w:ascii="Times New Roman" w:hAnsi="Times New Roman" w:cs="Times New Roman"/>
        </w:rPr>
        <w:t xml:space="preserve"> </w:t>
      </w:r>
      <w:r w:rsidRPr="00A96F21">
        <w:rPr>
          <w:rFonts w:ascii="Times New Roman" w:hAnsi="Times New Roman" w:cs="Times New Roman"/>
        </w:rPr>
        <w:t xml:space="preserve">NRG has also agreed to provide notice to the Commission and the public advocates upon completion of the projects. </w:t>
      </w:r>
      <w:r w:rsidR="00DB35C8">
        <w:rPr>
          <w:rFonts w:ascii="Times New Roman" w:hAnsi="Times New Roman" w:cs="Times New Roman"/>
        </w:rPr>
        <w:t xml:space="preserve"> </w:t>
      </w:r>
      <w:r w:rsidRPr="00A96F21">
        <w:rPr>
          <w:rFonts w:ascii="Times New Roman" w:hAnsi="Times New Roman" w:cs="Times New Roman"/>
        </w:rPr>
        <w:t xml:space="preserve">NRG concludes that these projects are necessary for NRG's continued provision of safe, adequate, and reliable steam service; accordingly, these provisions of the Settlement are in the public interest. </w:t>
      </w:r>
      <w:r w:rsidR="002A280E" w:rsidRPr="00A96F21">
        <w:rPr>
          <w:rFonts w:ascii="Times New Roman" w:hAnsi="Times New Roman" w:cs="Times New Roman"/>
        </w:rPr>
        <w:t xml:space="preserve"> </w:t>
      </w:r>
      <w:proofErr w:type="gramStart"/>
      <w:r w:rsidRPr="00A96F21">
        <w:rPr>
          <w:rFonts w:ascii="Times New Roman" w:hAnsi="Times New Roman" w:cs="Times New Roman"/>
        </w:rPr>
        <w:t>NRG Statement in Support at 5.</w:t>
      </w:r>
      <w:proofErr w:type="gramEnd"/>
    </w:p>
    <w:p w:rsidR="000D142A" w:rsidRPr="00A96F21" w:rsidRDefault="000D142A" w:rsidP="000D142A">
      <w:pPr>
        <w:spacing w:line="360" w:lineRule="auto"/>
        <w:rPr>
          <w:rFonts w:ascii="Times New Roman" w:hAnsi="Times New Roman" w:cs="Times New Roman"/>
        </w:rPr>
      </w:pPr>
    </w:p>
    <w:p w:rsidR="000D142A" w:rsidRPr="00A96F21" w:rsidRDefault="000D142A" w:rsidP="000D142A">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3.</w:t>
      </w:r>
      <w:r w:rsidRPr="00A96F21">
        <w:rPr>
          <w:rFonts w:ascii="Times New Roman" w:hAnsi="Times New Roman" w:cs="Times New Roman"/>
        </w:rPr>
        <w:tab/>
      </w:r>
      <w:r w:rsidR="00EF3A06" w:rsidRPr="00A96F21">
        <w:rPr>
          <w:rFonts w:ascii="Times New Roman" w:hAnsi="Times New Roman" w:cs="Times New Roman"/>
          <w:u w:val="single"/>
        </w:rPr>
        <w:t>Current Rate Case Expense</w:t>
      </w:r>
    </w:p>
    <w:p w:rsidR="00EF3A06" w:rsidRPr="00A96F21" w:rsidRDefault="00EF3A06" w:rsidP="000D142A">
      <w:pPr>
        <w:spacing w:line="360" w:lineRule="auto"/>
        <w:rPr>
          <w:rFonts w:ascii="Times New Roman" w:hAnsi="Times New Roman" w:cs="Times New Roman"/>
        </w:rPr>
      </w:pPr>
    </w:p>
    <w:p w:rsidR="00EF3A06" w:rsidRPr="00A96F21" w:rsidRDefault="00EF3A06" w:rsidP="006D359E">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r>
      <w:r w:rsidR="006D359E" w:rsidRPr="00A96F21">
        <w:rPr>
          <w:rFonts w:ascii="Times New Roman" w:hAnsi="Times New Roman" w:cs="Times New Roman"/>
        </w:rPr>
        <w:t>In sum, NRG</w:t>
      </w:r>
      <w:r w:rsidR="002A280E" w:rsidRPr="00A96F21">
        <w:rPr>
          <w:rFonts w:ascii="Times New Roman" w:hAnsi="Times New Roman" w:cs="Times New Roman"/>
        </w:rPr>
        <w:t xml:space="preserve"> contends that its</w:t>
      </w:r>
      <w:r w:rsidR="006D359E" w:rsidRPr="00A96F21">
        <w:rPr>
          <w:rFonts w:ascii="Times New Roman" w:hAnsi="Times New Roman" w:cs="Times New Roman"/>
        </w:rPr>
        <w:t xml:space="preserve"> rate case expense in this proceeding has been mitigated by NRG's claim of an</w:t>
      </w:r>
      <w:r w:rsidR="002A280E" w:rsidRPr="00A96F21">
        <w:rPr>
          <w:rFonts w:ascii="Times New Roman" w:hAnsi="Times New Roman" w:cs="Times New Roman"/>
        </w:rPr>
        <w:t xml:space="preserve"> </w:t>
      </w:r>
      <w:r w:rsidR="006D359E" w:rsidRPr="00A96F21">
        <w:rPr>
          <w:rFonts w:ascii="Times New Roman" w:hAnsi="Times New Roman" w:cs="Times New Roman"/>
        </w:rPr>
        <w:t>annual revenue increase of less than what it could otherwise support</w:t>
      </w:r>
      <w:r w:rsidR="002A280E" w:rsidRPr="00A96F21">
        <w:rPr>
          <w:rFonts w:ascii="Times New Roman" w:hAnsi="Times New Roman" w:cs="Times New Roman"/>
        </w:rPr>
        <w:t xml:space="preserve">, </w:t>
      </w:r>
      <w:r w:rsidR="006D359E" w:rsidRPr="00A96F21">
        <w:rPr>
          <w:rFonts w:ascii="Times New Roman" w:hAnsi="Times New Roman" w:cs="Times New Roman"/>
        </w:rPr>
        <w:t>resulting in a quick</w:t>
      </w:r>
      <w:r w:rsidR="002A280E" w:rsidRPr="00A96F21">
        <w:rPr>
          <w:rFonts w:ascii="Times New Roman" w:hAnsi="Times New Roman" w:cs="Times New Roman"/>
        </w:rPr>
        <w:t xml:space="preserve"> </w:t>
      </w:r>
      <w:r w:rsidR="006D359E" w:rsidRPr="00A96F21">
        <w:rPr>
          <w:rFonts w:ascii="Times New Roman" w:hAnsi="Times New Roman" w:cs="Times New Roman"/>
        </w:rPr>
        <w:t xml:space="preserve">settlement. </w:t>
      </w:r>
      <w:r w:rsidR="002A280E" w:rsidRPr="00A96F21">
        <w:rPr>
          <w:rFonts w:ascii="Times New Roman" w:hAnsi="Times New Roman" w:cs="Times New Roman"/>
        </w:rPr>
        <w:t xml:space="preserve"> </w:t>
      </w:r>
      <w:r w:rsidR="006D359E" w:rsidRPr="00A96F21">
        <w:rPr>
          <w:rFonts w:ascii="Times New Roman" w:hAnsi="Times New Roman" w:cs="Times New Roman"/>
        </w:rPr>
        <w:t xml:space="preserve">NRG </w:t>
      </w:r>
      <w:r w:rsidR="002A280E" w:rsidRPr="00A96F21">
        <w:rPr>
          <w:rFonts w:ascii="Times New Roman" w:hAnsi="Times New Roman" w:cs="Times New Roman"/>
        </w:rPr>
        <w:t xml:space="preserve">states that it </w:t>
      </w:r>
      <w:r w:rsidR="006D359E" w:rsidRPr="00A96F21">
        <w:rPr>
          <w:rFonts w:ascii="Times New Roman" w:hAnsi="Times New Roman" w:cs="Times New Roman"/>
        </w:rPr>
        <w:t>also controlled rate case expense by using in-house management as its primary</w:t>
      </w:r>
      <w:r w:rsidR="002A280E" w:rsidRPr="00A96F21">
        <w:rPr>
          <w:rFonts w:ascii="Times New Roman" w:hAnsi="Times New Roman" w:cs="Times New Roman"/>
        </w:rPr>
        <w:t xml:space="preserve"> </w:t>
      </w:r>
      <w:r w:rsidR="006D359E" w:rsidRPr="00A96F21">
        <w:rPr>
          <w:rFonts w:ascii="Times New Roman" w:hAnsi="Times New Roman" w:cs="Times New Roman"/>
        </w:rPr>
        <w:t xml:space="preserve">witnesses. </w:t>
      </w:r>
      <w:r w:rsidR="002A280E" w:rsidRPr="00A96F21">
        <w:rPr>
          <w:rFonts w:ascii="Times New Roman" w:hAnsi="Times New Roman" w:cs="Times New Roman"/>
        </w:rPr>
        <w:t xml:space="preserve"> T</w:t>
      </w:r>
      <w:r w:rsidR="006D359E" w:rsidRPr="00A96F21">
        <w:rPr>
          <w:rFonts w:ascii="Times New Roman" w:hAnsi="Times New Roman" w:cs="Times New Roman"/>
        </w:rPr>
        <w:t>he Joint Petitioners have agreed that the rate</w:t>
      </w:r>
      <w:r w:rsidR="002A280E" w:rsidRPr="00A96F21">
        <w:rPr>
          <w:rFonts w:ascii="Times New Roman" w:hAnsi="Times New Roman" w:cs="Times New Roman"/>
        </w:rPr>
        <w:t xml:space="preserve"> </w:t>
      </w:r>
      <w:r w:rsidR="006D359E" w:rsidRPr="00A96F21">
        <w:rPr>
          <w:rFonts w:ascii="Times New Roman" w:hAnsi="Times New Roman" w:cs="Times New Roman"/>
        </w:rPr>
        <w:t>case expense (projected in the filing to be approximately $200,000 for legal and consulting</w:t>
      </w:r>
      <w:r w:rsidR="002A280E" w:rsidRPr="00A96F21">
        <w:rPr>
          <w:rFonts w:ascii="Times New Roman" w:hAnsi="Times New Roman" w:cs="Times New Roman"/>
        </w:rPr>
        <w:t xml:space="preserve"> </w:t>
      </w:r>
      <w:r w:rsidR="006D359E" w:rsidRPr="00A96F21">
        <w:rPr>
          <w:rFonts w:ascii="Times New Roman" w:hAnsi="Times New Roman" w:cs="Times New Roman"/>
        </w:rPr>
        <w:t xml:space="preserve">services, see NRGH Exhibit No. KLL-I, p. 1-16) will be normalized instead of amortized. </w:t>
      </w:r>
      <w:r w:rsidR="004B7C5E">
        <w:rPr>
          <w:rFonts w:ascii="Times New Roman" w:hAnsi="Times New Roman" w:cs="Times New Roman"/>
        </w:rPr>
        <w:t xml:space="preserve"> </w:t>
      </w:r>
      <w:r w:rsidR="006D359E" w:rsidRPr="00A96F21">
        <w:rPr>
          <w:rFonts w:ascii="Times New Roman" w:hAnsi="Times New Roman" w:cs="Times New Roman"/>
        </w:rPr>
        <w:t>See</w:t>
      </w:r>
      <w:r w:rsidR="002A280E" w:rsidRPr="00A96F21">
        <w:rPr>
          <w:rFonts w:ascii="Times New Roman" w:hAnsi="Times New Roman" w:cs="Times New Roman"/>
        </w:rPr>
        <w:t xml:space="preserve"> </w:t>
      </w:r>
      <w:r w:rsidR="006D359E" w:rsidRPr="00A96F21">
        <w:rPr>
          <w:rFonts w:ascii="Times New Roman" w:hAnsi="Times New Roman" w:cs="Times New Roman"/>
        </w:rPr>
        <w:t xml:space="preserve">Settlement, 1T 13(d). </w:t>
      </w:r>
      <w:r w:rsidR="002A280E" w:rsidRPr="00A96F21">
        <w:rPr>
          <w:rFonts w:ascii="Times New Roman" w:hAnsi="Times New Roman" w:cs="Times New Roman"/>
        </w:rPr>
        <w:t xml:space="preserve"> </w:t>
      </w:r>
      <w:r w:rsidR="006D359E" w:rsidRPr="00A96F21">
        <w:rPr>
          <w:rFonts w:ascii="Times New Roman" w:hAnsi="Times New Roman" w:cs="Times New Roman"/>
        </w:rPr>
        <w:t>Normalization of the rate case expense will prevent NRG from claiming</w:t>
      </w:r>
      <w:r w:rsidR="002A280E" w:rsidRPr="00A96F21">
        <w:rPr>
          <w:rFonts w:ascii="Times New Roman" w:hAnsi="Times New Roman" w:cs="Times New Roman"/>
        </w:rPr>
        <w:t xml:space="preserve"> </w:t>
      </w:r>
      <w:r w:rsidR="006D359E" w:rsidRPr="00A96F21">
        <w:rPr>
          <w:rFonts w:ascii="Times New Roman" w:hAnsi="Times New Roman" w:cs="Times New Roman"/>
        </w:rPr>
        <w:t>any portion of current rate case expense in a future base rate filing.</w:t>
      </w:r>
      <w:r w:rsidR="002A280E" w:rsidRPr="00A96F21">
        <w:rPr>
          <w:rFonts w:ascii="Times New Roman" w:hAnsi="Times New Roman" w:cs="Times New Roman"/>
        </w:rPr>
        <w:t xml:space="preserve">  NRG Statement in Support at 5-6.</w:t>
      </w:r>
    </w:p>
    <w:p w:rsidR="002A280E" w:rsidRPr="00A96F21" w:rsidRDefault="002A280E" w:rsidP="006D359E">
      <w:pPr>
        <w:spacing w:line="360" w:lineRule="auto"/>
        <w:rPr>
          <w:rFonts w:ascii="Times New Roman" w:hAnsi="Times New Roman" w:cs="Times New Roman"/>
        </w:rPr>
      </w:pPr>
    </w:p>
    <w:p w:rsidR="002A280E" w:rsidRPr="00A96F21" w:rsidRDefault="002A280E" w:rsidP="006D359E">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4.</w:t>
      </w:r>
      <w:r w:rsidRPr="00A96F21">
        <w:rPr>
          <w:rFonts w:ascii="Times New Roman" w:hAnsi="Times New Roman" w:cs="Times New Roman"/>
        </w:rPr>
        <w:tab/>
      </w:r>
      <w:r w:rsidRPr="00A96F21">
        <w:rPr>
          <w:rFonts w:ascii="Times New Roman" w:hAnsi="Times New Roman" w:cs="Times New Roman"/>
          <w:u w:val="single"/>
        </w:rPr>
        <w:t>Fully Projected Future Test Year Reporting</w:t>
      </w:r>
    </w:p>
    <w:p w:rsidR="002A280E" w:rsidRPr="00A96F21" w:rsidRDefault="002A280E" w:rsidP="006D359E">
      <w:pPr>
        <w:spacing w:line="360" w:lineRule="auto"/>
        <w:rPr>
          <w:rFonts w:ascii="Times New Roman" w:hAnsi="Times New Roman" w:cs="Times New Roman"/>
        </w:rPr>
      </w:pPr>
    </w:p>
    <w:p w:rsidR="002A280E" w:rsidRPr="00A96F21" w:rsidRDefault="002A280E" w:rsidP="002A280E">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 xml:space="preserve">NRG used a FPFTY ending January </w:t>
      </w:r>
      <w:r w:rsidR="007746FA" w:rsidRPr="00A96F21">
        <w:rPr>
          <w:rFonts w:ascii="Times New Roman" w:hAnsi="Times New Roman" w:cs="Times New Roman"/>
        </w:rPr>
        <w:t>11</w:t>
      </w:r>
      <w:r w:rsidRPr="00A96F21">
        <w:rPr>
          <w:rFonts w:ascii="Times New Roman" w:hAnsi="Times New Roman" w:cs="Times New Roman"/>
        </w:rPr>
        <w:t>, 2015 for purp</w:t>
      </w:r>
      <w:r w:rsidR="006E62C8" w:rsidRPr="00A96F21">
        <w:rPr>
          <w:rFonts w:ascii="Times New Roman" w:hAnsi="Times New Roman" w:cs="Times New Roman"/>
        </w:rPr>
        <w:t xml:space="preserve">oses of this base rate filing. </w:t>
      </w:r>
    </w:p>
    <w:p w:rsidR="002A280E" w:rsidRPr="00A96F21" w:rsidRDefault="002A280E" w:rsidP="002A280E">
      <w:pPr>
        <w:spacing w:line="360" w:lineRule="auto"/>
        <w:rPr>
          <w:rFonts w:ascii="Times New Roman" w:hAnsi="Times New Roman" w:cs="Times New Roman"/>
        </w:rPr>
      </w:pPr>
      <w:r w:rsidRPr="00A96F21">
        <w:rPr>
          <w:rFonts w:ascii="Times New Roman" w:hAnsi="Times New Roman" w:cs="Times New Roman"/>
        </w:rPr>
        <w:t xml:space="preserve"> Act 11 requires a utility company that uses a FPFTY to submit appropriate data evidencing the accuracy of the estimates contained in the FPFTY.  In order to satisfy this reporting requirement, the Joint Petitioners have agreed that NRG will update certain schedules contained in its filing (relating to Statement of Operating Expenses and Original Cost of Utility Plant in Service) for the twelve months ending December 31, 2013 and th</w:t>
      </w:r>
      <w:r w:rsidR="004241EB">
        <w:rPr>
          <w:rFonts w:ascii="Times New Roman" w:hAnsi="Times New Roman" w:cs="Times New Roman"/>
        </w:rPr>
        <w:t>e twelve months ending December </w:t>
      </w:r>
      <w:r w:rsidRPr="00A96F21">
        <w:rPr>
          <w:rFonts w:ascii="Times New Roman" w:hAnsi="Times New Roman" w:cs="Times New Roman"/>
        </w:rPr>
        <w:t>31</w:t>
      </w:r>
      <w:r w:rsidR="004241EB">
        <w:rPr>
          <w:rFonts w:ascii="Times New Roman" w:hAnsi="Times New Roman" w:cs="Times New Roman"/>
        </w:rPr>
        <w:t>, </w:t>
      </w:r>
      <w:r w:rsidR="00382A4D" w:rsidRPr="00A96F21">
        <w:rPr>
          <w:rFonts w:ascii="Times New Roman" w:hAnsi="Times New Roman" w:cs="Times New Roman"/>
        </w:rPr>
        <w:t>2014</w:t>
      </w:r>
      <w:r w:rsidRPr="00A96F21">
        <w:rPr>
          <w:rFonts w:ascii="Times New Roman" w:hAnsi="Times New Roman" w:cs="Times New Roman"/>
        </w:rPr>
        <w:t xml:space="preserve">. </w:t>
      </w:r>
      <w:r w:rsidR="004241EB">
        <w:rPr>
          <w:rFonts w:ascii="Times New Roman" w:hAnsi="Times New Roman" w:cs="Times New Roman"/>
        </w:rPr>
        <w:t xml:space="preserve"> </w:t>
      </w:r>
      <w:r w:rsidRPr="00A96F21">
        <w:rPr>
          <w:rFonts w:ascii="Times New Roman" w:hAnsi="Times New Roman" w:cs="Times New Roman"/>
        </w:rPr>
        <w:t xml:space="preserve">The updates will be provided to the Commission's Bureau of Technical Utility Services and also served on the public advocates.  Additionally, in NRG's next base rate filing, it will provide a comparison of its actual expenses and rate base additions to its projections in this case.  </w:t>
      </w:r>
      <w:proofErr w:type="gramStart"/>
      <w:r w:rsidRPr="00A96F21">
        <w:rPr>
          <w:rFonts w:ascii="Times New Roman" w:hAnsi="Times New Roman" w:cs="Times New Roman"/>
        </w:rPr>
        <w:t>NRG Statement in Support at 6.</w:t>
      </w:r>
      <w:proofErr w:type="gramEnd"/>
    </w:p>
    <w:p w:rsidR="0042443D" w:rsidRPr="00A96F21" w:rsidRDefault="0042443D" w:rsidP="002A280E">
      <w:pPr>
        <w:spacing w:line="360" w:lineRule="auto"/>
        <w:rPr>
          <w:rFonts w:ascii="Times New Roman" w:hAnsi="Times New Roman" w:cs="Times New Roman"/>
        </w:rPr>
      </w:pPr>
    </w:p>
    <w:p w:rsidR="0042443D" w:rsidRPr="00A96F21" w:rsidRDefault="0042443D" w:rsidP="002A280E">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5.</w:t>
      </w:r>
      <w:r w:rsidRPr="00A96F21">
        <w:rPr>
          <w:rFonts w:ascii="Times New Roman" w:hAnsi="Times New Roman" w:cs="Times New Roman"/>
        </w:rPr>
        <w:tab/>
      </w:r>
      <w:r w:rsidRPr="00A96F21">
        <w:rPr>
          <w:rFonts w:ascii="Times New Roman" w:hAnsi="Times New Roman" w:cs="Times New Roman"/>
          <w:u w:val="single"/>
        </w:rPr>
        <w:t>Cost of Service and Rate Structure</w:t>
      </w:r>
    </w:p>
    <w:p w:rsidR="0042443D" w:rsidRPr="00A96F21" w:rsidRDefault="0042443D" w:rsidP="002A280E">
      <w:pPr>
        <w:spacing w:line="360" w:lineRule="auto"/>
        <w:rPr>
          <w:rFonts w:ascii="Times New Roman" w:hAnsi="Times New Roman" w:cs="Times New Roman"/>
        </w:rPr>
      </w:pPr>
    </w:p>
    <w:p w:rsidR="0042443D" w:rsidRPr="00A96F21" w:rsidRDefault="0042443D" w:rsidP="00D93854">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r>
      <w:r w:rsidR="00D93854" w:rsidRPr="00A96F21">
        <w:rPr>
          <w:rFonts w:ascii="Times New Roman" w:hAnsi="Times New Roman" w:cs="Times New Roman"/>
        </w:rPr>
        <w:t xml:space="preserve">NRG states that the proposed Settlement proposes no changes to rate </w:t>
      </w:r>
      <w:proofErr w:type="gramStart"/>
      <w:r w:rsidR="00D93854" w:rsidRPr="00A96F21">
        <w:rPr>
          <w:rFonts w:ascii="Times New Roman" w:hAnsi="Times New Roman" w:cs="Times New Roman"/>
        </w:rPr>
        <w:t>structure,</w:t>
      </w:r>
      <w:proofErr w:type="gramEnd"/>
      <w:r w:rsidR="00D93854" w:rsidRPr="00A96F21">
        <w:rPr>
          <w:rFonts w:ascii="Times New Roman" w:hAnsi="Times New Roman" w:cs="Times New Roman"/>
        </w:rPr>
        <w:t xml:space="preserve"> and that the current structure is fair to all customers and recognizes the competitive nature of steam service in the City of Harrisburg.  </w:t>
      </w:r>
      <w:r w:rsidR="00856F90" w:rsidRPr="00A96F21">
        <w:rPr>
          <w:rFonts w:ascii="Times New Roman" w:hAnsi="Times New Roman" w:cs="Times New Roman"/>
        </w:rPr>
        <w:t xml:space="preserve">NRG </w:t>
      </w:r>
      <w:r w:rsidR="00D104D8" w:rsidRPr="00A96F21">
        <w:rPr>
          <w:rFonts w:ascii="Times New Roman" w:hAnsi="Times New Roman" w:cs="Times New Roman"/>
        </w:rPr>
        <w:t>Statement in Support at 7-8.</w:t>
      </w:r>
    </w:p>
    <w:p w:rsidR="006205E8" w:rsidRPr="00A96F21" w:rsidRDefault="006205E8" w:rsidP="00AC06AF">
      <w:pPr>
        <w:spacing w:line="360" w:lineRule="auto"/>
        <w:rPr>
          <w:rFonts w:ascii="Times New Roman" w:hAnsi="Times New Roman" w:cs="Times New Roman"/>
        </w:rPr>
      </w:pPr>
    </w:p>
    <w:p w:rsidR="006205E8" w:rsidRPr="00A96F21" w:rsidRDefault="008722C4" w:rsidP="006205E8">
      <w:pPr>
        <w:spacing w:line="360" w:lineRule="auto"/>
        <w:jc w:val="center"/>
        <w:rPr>
          <w:rFonts w:ascii="Times New Roman" w:hAnsi="Times New Roman" w:cs="Times New Roman"/>
        </w:rPr>
      </w:pPr>
      <w:r w:rsidRPr="00A96F21">
        <w:rPr>
          <w:rFonts w:ascii="Times New Roman" w:hAnsi="Times New Roman" w:cs="Times New Roman"/>
        </w:rPr>
        <w:t>IV.</w:t>
      </w:r>
      <w:r w:rsidRPr="00A96F21">
        <w:rPr>
          <w:rFonts w:ascii="Times New Roman" w:hAnsi="Times New Roman" w:cs="Times New Roman"/>
        </w:rPr>
        <w:tab/>
      </w:r>
      <w:r w:rsidR="006205E8" w:rsidRPr="00A96F21">
        <w:rPr>
          <w:rFonts w:ascii="Times New Roman" w:hAnsi="Times New Roman" w:cs="Times New Roman"/>
          <w:u w:val="single"/>
        </w:rPr>
        <w:t>CONCLUSION</w:t>
      </w:r>
    </w:p>
    <w:p w:rsidR="006205E8" w:rsidRPr="00A96F21" w:rsidRDefault="006205E8" w:rsidP="006205E8">
      <w:pPr>
        <w:spacing w:line="360" w:lineRule="auto"/>
        <w:rPr>
          <w:rFonts w:ascii="Times New Roman" w:hAnsi="Times New Roman" w:cs="Times New Roman"/>
        </w:rPr>
      </w:pPr>
    </w:p>
    <w:p w:rsidR="006205E8" w:rsidRPr="00A96F21" w:rsidRDefault="006205E8" w:rsidP="00AC06AF">
      <w:pPr>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r>
      <w:r w:rsidR="00DE5CD6" w:rsidRPr="00A96F21">
        <w:rPr>
          <w:rFonts w:ascii="Times New Roman" w:hAnsi="Times New Roman" w:cs="Times New Roman"/>
        </w:rPr>
        <w:t xml:space="preserve">All the parties should be commended for reaching a comprehensive agreement. </w:t>
      </w:r>
      <w:r w:rsidR="00B411BC">
        <w:rPr>
          <w:rFonts w:ascii="Times New Roman" w:hAnsi="Times New Roman" w:cs="Times New Roman"/>
        </w:rPr>
        <w:t xml:space="preserve"> </w:t>
      </w:r>
      <w:r w:rsidR="00DE5CD6" w:rsidRPr="00A96F21">
        <w:rPr>
          <w:rFonts w:ascii="Times New Roman" w:hAnsi="Times New Roman" w:cs="Times New Roman"/>
        </w:rPr>
        <w:t>The Settlement addresses the essential points raised by the public advocates in their initial complaints and position statements and provides</w:t>
      </w:r>
      <w:r w:rsidR="00856F90" w:rsidRPr="00A96F21">
        <w:rPr>
          <w:rFonts w:ascii="Times New Roman" w:hAnsi="Times New Roman" w:cs="Times New Roman"/>
        </w:rPr>
        <w:t xml:space="preserve"> a reasonable resolution of those issues as reflected in the Statements of Support provided by the Parties.  </w:t>
      </w:r>
      <w:r w:rsidR="00DE5CD6" w:rsidRPr="00A96F21">
        <w:rPr>
          <w:rFonts w:ascii="Times New Roman" w:hAnsi="Times New Roman" w:cs="Times New Roman"/>
        </w:rPr>
        <w:t>T</w:t>
      </w:r>
      <w:r w:rsidRPr="00A96F21">
        <w:rPr>
          <w:rFonts w:ascii="Times New Roman" w:hAnsi="Times New Roman" w:cs="Times New Roman"/>
        </w:rPr>
        <w:t xml:space="preserve">he Settlement </w:t>
      </w:r>
      <w:r w:rsidR="00DE5CD6" w:rsidRPr="00A96F21">
        <w:rPr>
          <w:rFonts w:ascii="Times New Roman" w:hAnsi="Times New Roman" w:cs="Times New Roman"/>
        </w:rPr>
        <w:t xml:space="preserve">is </w:t>
      </w:r>
      <w:r w:rsidRPr="00A96F21">
        <w:rPr>
          <w:rFonts w:ascii="Times New Roman" w:hAnsi="Times New Roman" w:cs="Times New Roman"/>
        </w:rPr>
        <w:t xml:space="preserve">in the public interest and </w:t>
      </w:r>
      <w:r w:rsidR="00856F90" w:rsidRPr="00A96F21">
        <w:rPr>
          <w:rFonts w:ascii="Times New Roman" w:hAnsi="Times New Roman" w:cs="Times New Roman"/>
        </w:rPr>
        <w:t xml:space="preserve">it is </w:t>
      </w:r>
      <w:r w:rsidRPr="00A96F21">
        <w:rPr>
          <w:rFonts w:ascii="Times New Roman" w:hAnsi="Times New Roman" w:cs="Times New Roman"/>
        </w:rPr>
        <w:t>recommend</w:t>
      </w:r>
      <w:r w:rsidR="00856F90" w:rsidRPr="00A96F21">
        <w:rPr>
          <w:rFonts w:ascii="Times New Roman" w:hAnsi="Times New Roman" w:cs="Times New Roman"/>
        </w:rPr>
        <w:t>ed</w:t>
      </w:r>
      <w:r w:rsidRPr="00A96F21">
        <w:rPr>
          <w:rFonts w:ascii="Times New Roman" w:hAnsi="Times New Roman" w:cs="Times New Roman"/>
        </w:rPr>
        <w:t xml:space="preserve"> that it be approved without modification.</w:t>
      </w:r>
    </w:p>
    <w:p w:rsidR="006205E8" w:rsidRPr="00A96F21" w:rsidRDefault="006205E8" w:rsidP="00AB19AB">
      <w:pPr>
        <w:spacing w:line="360" w:lineRule="auto"/>
        <w:rPr>
          <w:rFonts w:ascii="Times New Roman" w:hAnsi="Times New Roman" w:cs="Times New Roman"/>
        </w:rPr>
      </w:pPr>
    </w:p>
    <w:p w:rsidR="00AC06AF" w:rsidRPr="00A96F21" w:rsidRDefault="008722C4" w:rsidP="00AC06AF">
      <w:pPr>
        <w:spacing w:line="360" w:lineRule="auto"/>
        <w:jc w:val="center"/>
        <w:rPr>
          <w:rFonts w:ascii="Times New Roman" w:hAnsi="Times New Roman" w:cs="Times New Roman"/>
          <w:u w:val="single"/>
        </w:rPr>
      </w:pPr>
      <w:r w:rsidRPr="00A96F21">
        <w:rPr>
          <w:rFonts w:ascii="Times New Roman" w:hAnsi="Times New Roman" w:cs="Times New Roman"/>
        </w:rPr>
        <w:t>V.</w:t>
      </w:r>
      <w:r w:rsidRPr="00A96F21">
        <w:rPr>
          <w:rFonts w:ascii="Times New Roman" w:hAnsi="Times New Roman" w:cs="Times New Roman"/>
        </w:rPr>
        <w:tab/>
      </w:r>
      <w:r w:rsidR="00AC06AF" w:rsidRPr="00A96F21">
        <w:rPr>
          <w:rFonts w:ascii="Times New Roman" w:hAnsi="Times New Roman" w:cs="Times New Roman"/>
          <w:u w:val="single"/>
        </w:rPr>
        <w:t>CONCLUSIONS OF LAW</w:t>
      </w:r>
    </w:p>
    <w:p w:rsidR="00AC06AF" w:rsidRPr="00A96F21" w:rsidRDefault="00AC06AF" w:rsidP="00AC06AF">
      <w:pPr>
        <w:spacing w:line="360" w:lineRule="auto"/>
        <w:rPr>
          <w:rFonts w:ascii="Times New Roman" w:hAnsi="Times New Roman" w:cs="Times New Roman"/>
        </w:rPr>
      </w:pPr>
    </w:p>
    <w:p w:rsidR="00AC06AF" w:rsidRPr="00A96F21" w:rsidRDefault="00AC06AF" w:rsidP="00AC06AF">
      <w:pPr>
        <w:suppressAutoHyphens/>
        <w:autoSpaceDE/>
        <w:autoSpaceDN/>
        <w:spacing w:line="360" w:lineRule="auto"/>
        <w:ind w:firstLine="1440"/>
        <w:rPr>
          <w:rFonts w:ascii="Times New Roman" w:hAnsi="Times New Roman" w:cs="Times New Roman"/>
          <w:spacing w:val="-3"/>
        </w:rPr>
      </w:pPr>
      <w:r w:rsidRPr="00A96F21">
        <w:rPr>
          <w:rFonts w:ascii="Times New Roman" w:hAnsi="Times New Roman" w:cs="Times New Roman"/>
          <w:spacing w:val="-3"/>
        </w:rPr>
        <w:t>1.</w:t>
      </w:r>
      <w:r w:rsidRPr="00A96F21">
        <w:rPr>
          <w:rFonts w:ascii="Times New Roman" w:hAnsi="Times New Roman" w:cs="Times New Roman"/>
          <w:spacing w:val="-3"/>
        </w:rPr>
        <w:tab/>
        <w:t xml:space="preserve">The Commission has jurisdiction over the subject matter and the parties to this proceeding.  </w:t>
      </w:r>
      <w:proofErr w:type="gramStart"/>
      <w:r w:rsidRPr="00A96F21">
        <w:rPr>
          <w:rFonts w:ascii="Times New Roman" w:hAnsi="Times New Roman" w:cs="Times New Roman"/>
          <w:spacing w:val="-3"/>
        </w:rPr>
        <w:t>66 Pa.C.S.</w:t>
      </w:r>
      <w:proofErr w:type="gramEnd"/>
      <w:r w:rsidRPr="00A96F21">
        <w:rPr>
          <w:rFonts w:ascii="Times New Roman" w:hAnsi="Times New Roman" w:cs="Times New Roman"/>
          <w:spacing w:val="-3"/>
        </w:rPr>
        <w:t xml:space="preserve"> § 1308(d)</w:t>
      </w:r>
    </w:p>
    <w:p w:rsidR="00AC06AF" w:rsidRPr="00A96F21" w:rsidRDefault="00AC06AF" w:rsidP="00AC06AF">
      <w:pPr>
        <w:suppressAutoHyphens/>
        <w:autoSpaceDE/>
        <w:autoSpaceDN/>
        <w:spacing w:line="360" w:lineRule="auto"/>
        <w:ind w:firstLine="1440"/>
        <w:rPr>
          <w:rFonts w:ascii="Times New Roman" w:hAnsi="Times New Roman" w:cs="Times New Roman"/>
          <w:spacing w:val="-3"/>
        </w:rPr>
      </w:pPr>
    </w:p>
    <w:p w:rsidR="00AC06AF" w:rsidRPr="00A96F21" w:rsidRDefault="00AC06AF" w:rsidP="00AC06AF">
      <w:pPr>
        <w:suppressAutoHyphens/>
        <w:autoSpaceDE/>
        <w:autoSpaceDN/>
        <w:spacing w:line="360" w:lineRule="auto"/>
        <w:ind w:firstLine="1440"/>
        <w:rPr>
          <w:rFonts w:ascii="Times New Roman" w:hAnsi="Times New Roman" w:cs="Times New Roman"/>
          <w:spacing w:val="-3"/>
        </w:rPr>
      </w:pPr>
      <w:r w:rsidRPr="00A96F21">
        <w:rPr>
          <w:rFonts w:ascii="Times New Roman" w:hAnsi="Times New Roman" w:cs="Times New Roman"/>
        </w:rPr>
        <w:t>2.</w:t>
      </w:r>
      <w:r w:rsidRPr="00A96F21">
        <w:rPr>
          <w:rFonts w:ascii="Times New Roman" w:hAnsi="Times New Roman" w:cs="Times New Roman"/>
        </w:rPr>
        <w:tab/>
        <w:t xml:space="preserve">A public utility seeking a general rate increase is entitled to an opportunity to earn a fair rate of return on the value of the property dedicated to public service. </w:t>
      </w:r>
      <w:r w:rsidR="00AB19AB">
        <w:rPr>
          <w:rFonts w:ascii="Times New Roman" w:hAnsi="Times New Roman" w:cs="Times New Roman"/>
        </w:rPr>
        <w:t xml:space="preserve"> </w:t>
      </w:r>
      <w:proofErr w:type="gramStart"/>
      <w:r w:rsidRPr="00A96F21">
        <w:rPr>
          <w:rFonts w:ascii="Times New Roman" w:hAnsi="Times New Roman" w:cs="Times New Roman"/>
          <w:i/>
          <w:iCs/>
        </w:rPr>
        <w:t>Pennsylvania Gas and Water Co. v. P</w:t>
      </w:r>
      <w:r w:rsidR="00833221">
        <w:rPr>
          <w:rFonts w:ascii="Times New Roman" w:hAnsi="Times New Roman" w:cs="Times New Roman"/>
          <w:i/>
          <w:iCs/>
        </w:rPr>
        <w:t>a.</w:t>
      </w:r>
      <w:r w:rsidRPr="00A96F21">
        <w:rPr>
          <w:rFonts w:ascii="Times New Roman" w:hAnsi="Times New Roman" w:cs="Times New Roman"/>
          <w:i/>
          <w:iCs/>
        </w:rPr>
        <w:t xml:space="preserve"> Pub.</w:t>
      </w:r>
      <w:proofErr w:type="gramEnd"/>
      <w:r w:rsidRPr="00A96F21">
        <w:rPr>
          <w:rFonts w:ascii="Times New Roman" w:hAnsi="Times New Roman" w:cs="Times New Roman"/>
          <w:i/>
          <w:iCs/>
        </w:rPr>
        <w:t xml:space="preserve"> </w:t>
      </w:r>
      <w:proofErr w:type="gramStart"/>
      <w:r w:rsidRPr="00A96F21">
        <w:rPr>
          <w:rFonts w:ascii="Times New Roman" w:hAnsi="Times New Roman" w:cs="Times New Roman"/>
          <w:i/>
          <w:iCs/>
        </w:rPr>
        <w:t>Util. Comm'n</w:t>
      </w:r>
      <w:r w:rsidRPr="00A96F21">
        <w:rPr>
          <w:rFonts w:ascii="Times New Roman" w:hAnsi="Times New Roman" w:cs="Times New Roman"/>
        </w:rPr>
        <w:t>, 341 A.2d 239 (Pa. Cmwlth. 1975).</w:t>
      </w:r>
      <w:proofErr w:type="gramEnd"/>
    </w:p>
    <w:p w:rsidR="00AC06AF" w:rsidRPr="00A96F21" w:rsidRDefault="00AC06AF" w:rsidP="00AC06AF">
      <w:pPr>
        <w:suppressAutoHyphens/>
        <w:autoSpaceDE/>
        <w:autoSpaceDN/>
        <w:spacing w:line="360" w:lineRule="auto"/>
        <w:ind w:firstLine="1440"/>
        <w:rPr>
          <w:rFonts w:ascii="Times New Roman" w:hAnsi="Times New Roman" w:cs="Times New Roman"/>
          <w:spacing w:val="-3"/>
        </w:rPr>
      </w:pPr>
    </w:p>
    <w:p w:rsidR="00AC06AF" w:rsidRPr="00A96F21" w:rsidRDefault="00AC06AF" w:rsidP="00AC06AF">
      <w:pPr>
        <w:autoSpaceDE/>
        <w:autoSpaceDN/>
        <w:spacing w:line="360" w:lineRule="auto"/>
        <w:ind w:firstLine="1440"/>
        <w:rPr>
          <w:rFonts w:ascii="Times New Roman" w:hAnsi="Times New Roman" w:cs="Times New Roman"/>
        </w:rPr>
      </w:pPr>
      <w:r w:rsidRPr="00A96F21">
        <w:rPr>
          <w:rFonts w:ascii="Times New Roman" w:hAnsi="Times New Roman" w:cs="Times New Roman"/>
          <w:spacing w:val="-3"/>
        </w:rPr>
        <w:t>3.</w:t>
      </w:r>
      <w:r w:rsidRPr="00A96F21">
        <w:rPr>
          <w:rFonts w:ascii="Times New Roman" w:hAnsi="Times New Roman" w:cs="Times New Roman"/>
          <w:spacing w:val="-3"/>
        </w:rPr>
        <w:tab/>
      </w:r>
      <w:r w:rsidRPr="00A96F21">
        <w:rPr>
          <w:rFonts w:ascii="Times New Roman" w:hAnsi="Times New Roman" w:cs="Times New Roman"/>
        </w:rPr>
        <w:t xml:space="preserve">To determine whether the Settlement should be approved, the Commission must decide whether the Settlement promotes the public interest.  </w:t>
      </w:r>
      <w:r w:rsidRPr="00A96F21">
        <w:rPr>
          <w:rFonts w:ascii="Times New Roman" w:hAnsi="Times New Roman" w:cs="Times New Roman"/>
          <w:i/>
        </w:rPr>
        <w:t>P</w:t>
      </w:r>
      <w:r w:rsidR="00833221">
        <w:rPr>
          <w:rFonts w:ascii="Times New Roman" w:hAnsi="Times New Roman" w:cs="Times New Roman"/>
          <w:i/>
        </w:rPr>
        <w:t xml:space="preserve">a. </w:t>
      </w:r>
      <w:r w:rsidRPr="00A96F21">
        <w:rPr>
          <w:rFonts w:ascii="Times New Roman" w:hAnsi="Times New Roman" w:cs="Times New Roman"/>
          <w:i/>
        </w:rPr>
        <w:t>Pub</w:t>
      </w:r>
      <w:r w:rsidR="00833221">
        <w:rPr>
          <w:rFonts w:ascii="Times New Roman" w:hAnsi="Times New Roman" w:cs="Times New Roman"/>
          <w:i/>
        </w:rPr>
        <w:t xml:space="preserve">. </w:t>
      </w:r>
      <w:proofErr w:type="gramStart"/>
      <w:r w:rsidRPr="00A96F21">
        <w:rPr>
          <w:rFonts w:ascii="Times New Roman" w:hAnsi="Times New Roman" w:cs="Times New Roman"/>
          <w:i/>
        </w:rPr>
        <w:t>Util</w:t>
      </w:r>
      <w:r w:rsidR="00833221">
        <w:rPr>
          <w:rFonts w:ascii="Times New Roman" w:hAnsi="Times New Roman" w:cs="Times New Roman"/>
          <w:i/>
        </w:rPr>
        <w:t>.</w:t>
      </w:r>
      <w:r w:rsidRPr="00A96F21">
        <w:rPr>
          <w:rFonts w:ascii="Times New Roman" w:hAnsi="Times New Roman" w:cs="Times New Roman"/>
          <w:i/>
        </w:rPr>
        <w:t xml:space="preserve"> Comm’n v. C.S. Water and Sewer Associates</w:t>
      </w:r>
      <w:r w:rsidRPr="00A96F21">
        <w:rPr>
          <w:rFonts w:ascii="Times New Roman" w:hAnsi="Times New Roman" w:cs="Times New Roman"/>
        </w:rPr>
        <w:t xml:space="preserve">, 74 Pa. PUC 767 (1991); </w:t>
      </w:r>
      <w:r w:rsidRPr="00A96F21">
        <w:rPr>
          <w:rFonts w:ascii="Times New Roman" w:hAnsi="Times New Roman" w:cs="Times New Roman"/>
          <w:i/>
        </w:rPr>
        <w:t>P</w:t>
      </w:r>
      <w:r w:rsidR="00833221">
        <w:rPr>
          <w:rFonts w:ascii="Times New Roman" w:hAnsi="Times New Roman" w:cs="Times New Roman"/>
          <w:i/>
        </w:rPr>
        <w:t>a.</w:t>
      </w:r>
      <w:proofErr w:type="gramEnd"/>
      <w:r w:rsidR="00833221">
        <w:rPr>
          <w:rFonts w:ascii="Times New Roman" w:hAnsi="Times New Roman" w:cs="Times New Roman"/>
          <w:i/>
        </w:rPr>
        <w:t xml:space="preserve">  </w:t>
      </w:r>
      <w:proofErr w:type="gramStart"/>
      <w:r w:rsidRPr="00A96F21">
        <w:rPr>
          <w:rFonts w:ascii="Times New Roman" w:hAnsi="Times New Roman" w:cs="Times New Roman"/>
          <w:i/>
        </w:rPr>
        <w:t>Pub</w:t>
      </w:r>
      <w:r w:rsidR="00833221">
        <w:rPr>
          <w:rFonts w:ascii="Times New Roman" w:hAnsi="Times New Roman" w:cs="Times New Roman"/>
          <w:i/>
        </w:rPr>
        <w:t>.</w:t>
      </w:r>
      <w:proofErr w:type="gramEnd"/>
      <w:r w:rsidRPr="00A96F21">
        <w:rPr>
          <w:rFonts w:ascii="Times New Roman" w:hAnsi="Times New Roman" w:cs="Times New Roman"/>
          <w:i/>
        </w:rPr>
        <w:t xml:space="preserve"> </w:t>
      </w:r>
      <w:proofErr w:type="gramStart"/>
      <w:r w:rsidRPr="00A96F21">
        <w:rPr>
          <w:rFonts w:ascii="Times New Roman" w:hAnsi="Times New Roman" w:cs="Times New Roman"/>
          <w:i/>
        </w:rPr>
        <w:t>Util</w:t>
      </w:r>
      <w:r w:rsidR="00833221">
        <w:rPr>
          <w:rFonts w:ascii="Times New Roman" w:hAnsi="Times New Roman" w:cs="Times New Roman"/>
          <w:i/>
        </w:rPr>
        <w:t>.</w:t>
      </w:r>
      <w:r w:rsidRPr="00A96F21">
        <w:rPr>
          <w:rFonts w:ascii="Times New Roman" w:hAnsi="Times New Roman" w:cs="Times New Roman"/>
          <w:i/>
        </w:rPr>
        <w:t xml:space="preserve"> Comm’n v. Philadelphia Electric Company,</w:t>
      </w:r>
      <w:r w:rsidRPr="00A96F21">
        <w:rPr>
          <w:rFonts w:ascii="Times New Roman" w:hAnsi="Times New Roman" w:cs="Times New Roman"/>
        </w:rPr>
        <w:t xml:space="preserve"> 60 Pa. PUC 1 (1985).</w:t>
      </w:r>
      <w:proofErr w:type="gramEnd"/>
    </w:p>
    <w:p w:rsidR="00AC06AF" w:rsidRPr="00A96F21" w:rsidRDefault="00AC06AF" w:rsidP="008975A9">
      <w:pPr>
        <w:suppressAutoHyphens/>
        <w:autoSpaceDE/>
        <w:autoSpaceDN/>
        <w:spacing w:line="360" w:lineRule="auto"/>
        <w:ind w:firstLine="1440"/>
        <w:rPr>
          <w:rFonts w:ascii="Times New Roman" w:hAnsi="Times New Roman" w:cs="Times New Roman"/>
          <w:spacing w:val="-3"/>
        </w:rPr>
      </w:pPr>
    </w:p>
    <w:p w:rsidR="00AC06AF" w:rsidRPr="00A96F21" w:rsidRDefault="00AC06AF" w:rsidP="00AC06AF">
      <w:pPr>
        <w:suppressAutoHyphens/>
        <w:autoSpaceDE/>
        <w:autoSpaceDN/>
        <w:spacing w:line="360" w:lineRule="auto"/>
        <w:ind w:firstLine="1440"/>
        <w:rPr>
          <w:rFonts w:ascii="Times New Roman" w:hAnsi="Times New Roman" w:cs="Times New Roman"/>
          <w:spacing w:val="-3"/>
        </w:rPr>
      </w:pPr>
      <w:r w:rsidRPr="00A96F21">
        <w:rPr>
          <w:rFonts w:ascii="Times New Roman" w:hAnsi="Times New Roman" w:cs="Times New Roman"/>
          <w:spacing w:val="-3"/>
        </w:rPr>
        <w:t>4.</w:t>
      </w:r>
      <w:r w:rsidRPr="00A96F21">
        <w:rPr>
          <w:rFonts w:ascii="Times New Roman" w:hAnsi="Times New Roman" w:cs="Times New Roman"/>
          <w:spacing w:val="-3"/>
        </w:rPr>
        <w:tab/>
        <w:t xml:space="preserve">The rates, terms and conditions contained in the </w:t>
      </w:r>
      <w:r w:rsidR="0010318E" w:rsidRPr="00A96F21">
        <w:rPr>
          <w:rFonts w:ascii="Times New Roman" w:hAnsi="Times New Roman" w:cs="Times New Roman"/>
          <w:spacing w:val="-3"/>
        </w:rPr>
        <w:t xml:space="preserve">Joint Petition for Approval of Unanimous Settlement </w:t>
      </w:r>
      <w:r w:rsidRPr="00A96F21">
        <w:rPr>
          <w:rFonts w:ascii="Times New Roman" w:hAnsi="Times New Roman" w:cs="Times New Roman"/>
          <w:spacing w:val="-3"/>
        </w:rPr>
        <w:t xml:space="preserve">of </w:t>
      </w:r>
      <w:r w:rsidR="0010318E" w:rsidRPr="00A96F21">
        <w:rPr>
          <w:rFonts w:ascii="Times New Roman" w:hAnsi="Times New Roman" w:cs="Times New Roman"/>
          <w:spacing w:val="-3"/>
        </w:rPr>
        <w:t xml:space="preserve">the </w:t>
      </w:r>
      <w:r w:rsidRPr="00A96F21">
        <w:rPr>
          <w:rFonts w:ascii="Times New Roman" w:hAnsi="Times New Roman" w:cs="Times New Roman"/>
          <w:spacing w:val="-3"/>
        </w:rPr>
        <w:t xml:space="preserve">Rate Investigation at Docket No. </w:t>
      </w:r>
      <w:r w:rsidR="007D04E9" w:rsidRPr="00A96F21">
        <w:rPr>
          <w:rFonts w:ascii="Times New Roman" w:hAnsi="Times New Roman" w:cs="Times New Roman"/>
          <w:spacing w:val="-3"/>
        </w:rPr>
        <w:t>R-2013-2350265</w:t>
      </w:r>
      <w:r w:rsidRPr="00A96F21">
        <w:rPr>
          <w:rFonts w:ascii="Times New Roman" w:hAnsi="Times New Roman" w:cs="Times New Roman"/>
          <w:spacing w:val="-3"/>
        </w:rPr>
        <w:t xml:space="preserve"> submitted by</w:t>
      </w:r>
      <w:r w:rsidR="007D04E9" w:rsidRPr="00A96F21">
        <w:rPr>
          <w:rFonts w:ascii="Times New Roman" w:hAnsi="Times New Roman" w:cs="Times New Roman"/>
          <w:spacing w:val="-3"/>
        </w:rPr>
        <w:t xml:space="preserve"> NRG Energy Center </w:t>
      </w:r>
      <w:r w:rsidR="00DB7853" w:rsidRPr="00A96F21">
        <w:rPr>
          <w:rFonts w:ascii="Times New Roman" w:hAnsi="Times New Roman" w:cs="Times New Roman"/>
          <w:spacing w:val="-3"/>
        </w:rPr>
        <w:t xml:space="preserve">Harrisburg </w:t>
      </w:r>
      <w:r w:rsidR="007D04E9" w:rsidRPr="00A96F21">
        <w:rPr>
          <w:rFonts w:ascii="Times New Roman" w:hAnsi="Times New Roman" w:cs="Times New Roman"/>
          <w:spacing w:val="-3"/>
        </w:rPr>
        <w:t xml:space="preserve">LLC, the Bureau of Investigation &amp; Enforcement, </w:t>
      </w:r>
      <w:r w:rsidRPr="00A96F21">
        <w:rPr>
          <w:rFonts w:ascii="Times New Roman" w:hAnsi="Times New Roman" w:cs="Times New Roman"/>
          <w:spacing w:val="-3"/>
        </w:rPr>
        <w:t xml:space="preserve">the Office of </w:t>
      </w:r>
      <w:r w:rsidR="00006F99" w:rsidRPr="00A96F21">
        <w:rPr>
          <w:rFonts w:ascii="Times New Roman" w:hAnsi="Times New Roman" w:cs="Times New Roman"/>
          <w:spacing w:val="-3"/>
        </w:rPr>
        <w:t xml:space="preserve">the </w:t>
      </w:r>
      <w:r w:rsidRPr="00A96F21">
        <w:rPr>
          <w:rFonts w:ascii="Times New Roman" w:hAnsi="Times New Roman" w:cs="Times New Roman"/>
          <w:spacing w:val="-3"/>
        </w:rPr>
        <w:t>Consumer Advocate, and the Office of Small Business Advocate are just, reasonable and in the public interest.</w:t>
      </w:r>
    </w:p>
    <w:p w:rsidR="00AC06AF" w:rsidRPr="00A96F21" w:rsidRDefault="00AC06AF" w:rsidP="00AC06AF">
      <w:pPr>
        <w:autoSpaceDE/>
        <w:autoSpaceDN/>
        <w:spacing w:line="360" w:lineRule="auto"/>
        <w:rPr>
          <w:rFonts w:ascii="Times New Roman" w:hAnsi="Times New Roman" w:cs="Times New Roman"/>
        </w:rPr>
      </w:pPr>
    </w:p>
    <w:p w:rsidR="00AC06AF" w:rsidRPr="00A96F21" w:rsidRDefault="008722C4" w:rsidP="00AC06AF">
      <w:pPr>
        <w:autoSpaceDE/>
        <w:autoSpaceDN/>
        <w:spacing w:line="360" w:lineRule="auto"/>
        <w:jc w:val="center"/>
        <w:rPr>
          <w:rFonts w:ascii="Times New Roman" w:hAnsi="Times New Roman" w:cs="Times New Roman"/>
        </w:rPr>
      </w:pPr>
      <w:r w:rsidRPr="00A96F21">
        <w:rPr>
          <w:rFonts w:ascii="Times New Roman" w:hAnsi="Times New Roman" w:cs="Times New Roman"/>
        </w:rPr>
        <w:t>VI</w:t>
      </w:r>
      <w:r w:rsidR="00AC06AF" w:rsidRPr="00A96F21">
        <w:rPr>
          <w:rFonts w:ascii="Times New Roman" w:hAnsi="Times New Roman" w:cs="Times New Roman"/>
        </w:rPr>
        <w:t>.</w:t>
      </w:r>
      <w:r w:rsidR="00AC06AF" w:rsidRPr="00A96F21">
        <w:rPr>
          <w:rFonts w:ascii="Times New Roman" w:hAnsi="Times New Roman" w:cs="Times New Roman"/>
        </w:rPr>
        <w:tab/>
      </w:r>
      <w:r w:rsidR="00AC06AF" w:rsidRPr="00A96F21">
        <w:rPr>
          <w:rFonts w:ascii="Times New Roman" w:hAnsi="Times New Roman" w:cs="Times New Roman"/>
          <w:u w:val="single"/>
        </w:rPr>
        <w:t>ORDER</w:t>
      </w:r>
    </w:p>
    <w:p w:rsidR="00AC06AF" w:rsidRDefault="00AC06AF" w:rsidP="00AC06AF">
      <w:pPr>
        <w:autoSpaceDE/>
        <w:autoSpaceDN/>
        <w:spacing w:line="360" w:lineRule="auto"/>
        <w:rPr>
          <w:rFonts w:ascii="Times New Roman" w:hAnsi="Times New Roman" w:cs="Times New Roman"/>
        </w:rPr>
      </w:pPr>
    </w:p>
    <w:p w:rsidR="00317AF9" w:rsidRPr="00A96F21" w:rsidRDefault="00317AF9" w:rsidP="00AC06AF">
      <w:pPr>
        <w:autoSpaceDE/>
        <w:autoSpaceDN/>
        <w:spacing w:line="360" w:lineRule="auto"/>
        <w:rPr>
          <w:rFonts w:ascii="Times New Roman" w:hAnsi="Times New Roman" w:cs="Times New Roman"/>
        </w:rPr>
      </w:pPr>
    </w:p>
    <w:p w:rsidR="00AC06AF" w:rsidRPr="00A96F21" w:rsidRDefault="00AC06AF" w:rsidP="00AC06AF">
      <w:pPr>
        <w:autoSpaceDE/>
        <w:autoSpaceDN/>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 xml:space="preserve">THEREFORE, </w:t>
      </w:r>
    </w:p>
    <w:p w:rsidR="00AC06AF" w:rsidRPr="00A96F21" w:rsidRDefault="00AC06AF" w:rsidP="00AC06AF">
      <w:pPr>
        <w:autoSpaceDE/>
        <w:autoSpaceDN/>
        <w:spacing w:line="360" w:lineRule="auto"/>
        <w:rPr>
          <w:rFonts w:ascii="Times New Roman" w:hAnsi="Times New Roman" w:cs="Times New Roman"/>
        </w:rPr>
      </w:pPr>
    </w:p>
    <w:p w:rsidR="00AC06AF" w:rsidRPr="00A96F21" w:rsidRDefault="00AC06AF" w:rsidP="00AC06AF">
      <w:pPr>
        <w:autoSpaceDE/>
        <w:autoSpaceDN/>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IT IS RECOMMENDED:</w:t>
      </w:r>
    </w:p>
    <w:p w:rsidR="00AC06AF" w:rsidRPr="00A96F21" w:rsidRDefault="00AC06AF" w:rsidP="00AC06AF">
      <w:pPr>
        <w:autoSpaceDE/>
        <w:autoSpaceDN/>
        <w:spacing w:line="360" w:lineRule="auto"/>
        <w:rPr>
          <w:rFonts w:ascii="Times New Roman" w:hAnsi="Times New Roman" w:cs="Times New Roman"/>
        </w:rPr>
      </w:pPr>
    </w:p>
    <w:p w:rsidR="00DB7853" w:rsidRPr="00A96F21" w:rsidRDefault="00AC06AF" w:rsidP="00AC06AF">
      <w:pPr>
        <w:autoSpaceDE/>
        <w:autoSpaceDN/>
        <w:spacing w:line="360" w:lineRule="auto"/>
        <w:rPr>
          <w:rFonts w:ascii="Times New Roman" w:hAnsi="Times New Roman" w:cs="Times New Roman"/>
        </w:rPr>
      </w:pPr>
      <w:r w:rsidRPr="00A96F21">
        <w:rPr>
          <w:rFonts w:ascii="Times New Roman" w:hAnsi="Times New Roman" w:cs="Times New Roman"/>
        </w:rPr>
        <w:tab/>
      </w:r>
      <w:r w:rsidRPr="00A96F21">
        <w:rPr>
          <w:rFonts w:ascii="Times New Roman" w:hAnsi="Times New Roman" w:cs="Times New Roman"/>
        </w:rPr>
        <w:tab/>
        <w:t>1.</w:t>
      </w:r>
      <w:r w:rsidRPr="00A96F21">
        <w:rPr>
          <w:rFonts w:ascii="Times New Roman" w:hAnsi="Times New Roman" w:cs="Times New Roman"/>
        </w:rPr>
        <w:tab/>
        <w:t xml:space="preserve">That the rates filed by </w:t>
      </w:r>
      <w:r w:rsidR="00DB7853" w:rsidRPr="00A96F21">
        <w:rPr>
          <w:rFonts w:ascii="Times New Roman" w:hAnsi="Times New Roman" w:cs="Times New Roman"/>
        </w:rPr>
        <w:t xml:space="preserve">NRG Energy Center Harrisburg LLC </w:t>
      </w:r>
      <w:r w:rsidR="00AD5B7F">
        <w:rPr>
          <w:rFonts w:ascii="Times New Roman" w:hAnsi="Times New Roman" w:cs="Times New Roman"/>
        </w:rPr>
        <w:t xml:space="preserve">in </w:t>
      </w:r>
      <w:r w:rsidR="00DB7853" w:rsidRPr="00A96F21">
        <w:rPr>
          <w:rFonts w:ascii="Times New Roman" w:hAnsi="Times New Roman" w:cs="Times New Roman"/>
        </w:rPr>
        <w:t>Supplement No. 48 to Tariff Steam-PA PUC No. 4 (Supplement No. 48), proposing to increase the Company’s base rate for its steam service by $875,000, be approved as just, fair and reasonable, consistent with the Joint Petition for Approval of Unanimous Settlement.</w:t>
      </w:r>
    </w:p>
    <w:p w:rsidR="00DB7853" w:rsidRPr="00A96F21" w:rsidRDefault="00DB7853" w:rsidP="00AC06AF">
      <w:pPr>
        <w:autoSpaceDE/>
        <w:autoSpaceDN/>
        <w:spacing w:line="360" w:lineRule="auto"/>
        <w:rPr>
          <w:rFonts w:ascii="Times New Roman" w:hAnsi="Times New Roman" w:cs="Times New Roman"/>
        </w:rPr>
      </w:pPr>
    </w:p>
    <w:p w:rsidR="00AC06AF" w:rsidRPr="00A96F21" w:rsidRDefault="00AC06AF" w:rsidP="00AC06AF">
      <w:pPr>
        <w:autoSpaceDE/>
        <w:autoSpaceDN/>
        <w:spacing w:line="360" w:lineRule="auto"/>
        <w:ind w:firstLine="1440"/>
        <w:rPr>
          <w:rFonts w:ascii="Times New Roman" w:hAnsi="Times New Roman" w:cs="Times New Roman"/>
        </w:rPr>
      </w:pPr>
      <w:r w:rsidRPr="00A96F21">
        <w:rPr>
          <w:rFonts w:ascii="Times New Roman" w:hAnsi="Times New Roman" w:cs="Times New Roman"/>
        </w:rPr>
        <w:t>2.</w:t>
      </w:r>
      <w:r w:rsidRPr="00A96F21">
        <w:rPr>
          <w:rFonts w:ascii="Times New Roman" w:hAnsi="Times New Roman" w:cs="Times New Roman"/>
        </w:rPr>
        <w:tab/>
        <w:t xml:space="preserve">That the Joint Petition For </w:t>
      </w:r>
      <w:r w:rsidR="00DB7853" w:rsidRPr="00A96F21">
        <w:rPr>
          <w:rFonts w:ascii="Times New Roman" w:hAnsi="Times New Roman" w:cs="Times New Roman"/>
        </w:rPr>
        <w:t xml:space="preserve">Unanimous </w:t>
      </w:r>
      <w:r w:rsidRPr="00A96F21">
        <w:rPr>
          <w:rFonts w:ascii="Times New Roman" w:hAnsi="Times New Roman" w:cs="Times New Roman"/>
        </w:rPr>
        <w:t xml:space="preserve">Settlement </w:t>
      </w:r>
      <w:r w:rsidR="00DB7853" w:rsidRPr="00A96F21">
        <w:rPr>
          <w:rFonts w:ascii="Times New Roman" w:hAnsi="Times New Roman" w:cs="Times New Roman"/>
        </w:rPr>
        <w:t xml:space="preserve">of Rate Investigation at Docket No. R-2013-2350265, </w:t>
      </w:r>
      <w:r w:rsidRPr="00A96F21">
        <w:rPr>
          <w:rFonts w:ascii="Times New Roman" w:hAnsi="Times New Roman" w:cs="Times New Roman"/>
        </w:rPr>
        <w:t xml:space="preserve">and its Attachments and Statements </w:t>
      </w:r>
      <w:proofErr w:type="gramStart"/>
      <w:r w:rsidRPr="00A96F21">
        <w:rPr>
          <w:rFonts w:ascii="Times New Roman" w:hAnsi="Times New Roman" w:cs="Times New Roman"/>
        </w:rPr>
        <w:t>In</w:t>
      </w:r>
      <w:proofErr w:type="gramEnd"/>
      <w:r w:rsidRPr="00A96F21">
        <w:rPr>
          <w:rFonts w:ascii="Times New Roman" w:hAnsi="Times New Roman" w:cs="Times New Roman"/>
        </w:rPr>
        <w:t xml:space="preserve"> Support of the Settlement among </w:t>
      </w:r>
      <w:r w:rsidR="00DB7853" w:rsidRPr="00A96F21">
        <w:rPr>
          <w:rFonts w:ascii="Times New Roman" w:hAnsi="Times New Roman" w:cs="Times New Roman"/>
        </w:rPr>
        <w:t xml:space="preserve">NRG Energy Center Harrisburg LLC, the </w:t>
      </w:r>
      <w:r w:rsidR="00006F99" w:rsidRPr="00A96F21">
        <w:rPr>
          <w:rFonts w:ascii="Times New Roman" w:hAnsi="Times New Roman" w:cs="Times New Roman"/>
        </w:rPr>
        <w:t>Bureau of Investigation &amp; Enforcement</w:t>
      </w:r>
      <w:r w:rsidRPr="00A96F21">
        <w:rPr>
          <w:rFonts w:ascii="Times New Roman" w:hAnsi="Times New Roman" w:cs="Times New Roman"/>
        </w:rPr>
        <w:t xml:space="preserve">, the Office of Consumer Advocate and the Office of Small Business Advocate, filed on </w:t>
      </w:r>
      <w:r w:rsidR="00DB7853" w:rsidRPr="00A96F21">
        <w:rPr>
          <w:rFonts w:ascii="Times New Roman" w:hAnsi="Times New Roman" w:cs="Times New Roman"/>
        </w:rPr>
        <w:t>August 2, 2013</w:t>
      </w:r>
      <w:r w:rsidRPr="00A96F21">
        <w:rPr>
          <w:rFonts w:ascii="Times New Roman" w:hAnsi="Times New Roman" w:cs="Times New Roman"/>
        </w:rPr>
        <w:t>, are hereby admitted into the record and approved without modification.</w:t>
      </w:r>
    </w:p>
    <w:p w:rsidR="00AC06AF" w:rsidRPr="00A96F21" w:rsidRDefault="00AC06AF" w:rsidP="00AC06AF">
      <w:pPr>
        <w:autoSpaceDE/>
        <w:autoSpaceDN/>
        <w:spacing w:line="360" w:lineRule="auto"/>
        <w:ind w:firstLine="1440"/>
        <w:rPr>
          <w:rFonts w:ascii="Times New Roman" w:hAnsi="Times New Roman" w:cs="Times New Roman"/>
        </w:rPr>
      </w:pPr>
    </w:p>
    <w:p w:rsidR="009A717C" w:rsidRDefault="009A717C" w:rsidP="009A717C">
      <w:pPr>
        <w:tabs>
          <w:tab w:val="left" w:pos="2160"/>
        </w:tabs>
        <w:spacing w:line="360" w:lineRule="auto"/>
        <w:ind w:firstLine="1440"/>
      </w:pPr>
      <w:r>
        <w:t>3.</w:t>
      </w:r>
      <w:r>
        <w:tab/>
        <w:t xml:space="preserve">That upon receipt of the Commission’s Order approving the Joint Petition </w:t>
      </w:r>
      <w:proofErr w:type="gramStart"/>
      <w:r>
        <w:t>For</w:t>
      </w:r>
      <w:proofErr w:type="gramEnd"/>
      <w:r>
        <w:t xml:space="preserve"> Unanimous Settlement, NRG Energy Center Harrisburg LLC shall file a tariff supplement on one day’s notice allowing an increase in its annual base rate revenues of $875,000 in accordance with the Settlement terms.</w:t>
      </w:r>
    </w:p>
    <w:p w:rsidR="00AC06AF" w:rsidRPr="00A96F21" w:rsidRDefault="00AC06AF" w:rsidP="00AC06AF">
      <w:pPr>
        <w:autoSpaceDE/>
        <w:autoSpaceDN/>
        <w:spacing w:line="360" w:lineRule="auto"/>
        <w:rPr>
          <w:rFonts w:ascii="Times New Roman" w:hAnsi="Times New Roman" w:cs="Times New Roman"/>
        </w:rPr>
      </w:pPr>
    </w:p>
    <w:p w:rsidR="00AC06AF" w:rsidRPr="00A96F21" w:rsidRDefault="00507740" w:rsidP="00587E59">
      <w:pPr>
        <w:autoSpaceDE/>
        <w:autoSpaceDN/>
        <w:spacing w:line="360" w:lineRule="auto"/>
        <w:ind w:firstLine="1440"/>
        <w:rPr>
          <w:rFonts w:ascii="Times New Roman" w:hAnsi="Times New Roman" w:cs="Times New Roman"/>
          <w:bCs/>
        </w:rPr>
      </w:pPr>
      <w:r w:rsidRPr="00A96F21">
        <w:rPr>
          <w:rFonts w:ascii="Times New Roman" w:hAnsi="Times New Roman" w:cs="Times New Roman"/>
        </w:rPr>
        <w:t>4</w:t>
      </w:r>
      <w:r w:rsidR="00AC06AF" w:rsidRPr="00A96F21">
        <w:rPr>
          <w:rFonts w:ascii="Times New Roman" w:hAnsi="Times New Roman" w:cs="Times New Roman"/>
        </w:rPr>
        <w:t>.</w:t>
      </w:r>
      <w:r w:rsidR="00AC06AF" w:rsidRPr="00A96F21">
        <w:rPr>
          <w:rFonts w:ascii="Times New Roman" w:hAnsi="Times New Roman" w:cs="Times New Roman"/>
        </w:rPr>
        <w:tab/>
      </w:r>
      <w:r w:rsidR="00AC06AF" w:rsidRPr="00A96F21">
        <w:rPr>
          <w:rFonts w:ascii="Times New Roman" w:hAnsi="Times New Roman" w:cs="Times New Roman"/>
          <w:bCs/>
        </w:rPr>
        <w:t>That Commission approval of the Settlement shall not be construed to represent approval of any party’s position on any issue herein.</w:t>
      </w:r>
    </w:p>
    <w:p w:rsidR="00AC06AF" w:rsidRPr="00A96F21" w:rsidRDefault="00AC06AF" w:rsidP="00AC06AF">
      <w:pPr>
        <w:autoSpaceDE/>
        <w:autoSpaceDN/>
        <w:spacing w:line="360" w:lineRule="auto"/>
        <w:rPr>
          <w:rFonts w:ascii="Times New Roman" w:hAnsi="Times New Roman" w:cs="Times New Roman"/>
          <w:bCs/>
        </w:rPr>
      </w:pPr>
    </w:p>
    <w:p w:rsidR="00006F99" w:rsidRPr="00A96F21" w:rsidRDefault="00507740" w:rsidP="00AC06AF">
      <w:pPr>
        <w:autoSpaceDE/>
        <w:autoSpaceDN/>
        <w:spacing w:line="360" w:lineRule="auto"/>
        <w:ind w:firstLine="1440"/>
        <w:rPr>
          <w:rFonts w:ascii="Times New Roman" w:hAnsi="Times New Roman" w:cs="Times New Roman"/>
          <w:bCs/>
        </w:rPr>
      </w:pPr>
      <w:r w:rsidRPr="00A96F21">
        <w:rPr>
          <w:rFonts w:ascii="Times New Roman" w:hAnsi="Times New Roman" w:cs="Times New Roman"/>
          <w:bCs/>
        </w:rPr>
        <w:t>5</w:t>
      </w:r>
      <w:r w:rsidR="00AC06AF" w:rsidRPr="00A96F21">
        <w:rPr>
          <w:rFonts w:ascii="Times New Roman" w:hAnsi="Times New Roman" w:cs="Times New Roman"/>
          <w:bCs/>
        </w:rPr>
        <w:t>.</w:t>
      </w:r>
      <w:r w:rsidR="00AC06AF" w:rsidRPr="00A96F21">
        <w:rPr>
          <w:rFonts w:ascii="Times New Roman" w:hAnsi="Times New Roman" w:cs="Times New Roman"/>
          <w:bCs/>
        </w:rPr>
        <w:tab/>
        <w:t xml:space="preserve">That, upon acceptance of the compliance filing, the Commission’s investigation of the proposed rates of </w:t>
      </w:r>
      <w:r w:rsidR="00587E59" w:rsidRPr="00A96F21">
        <w:rPr>
          <w:rFonts w:ascii="Times New Roman" w:hAnsi="Times New Roman" w:cs="Times New Roman"/>
          <w:bCs/>
        </w:rPr>
        <w:t xml:space="preserve">NRG Energy Center Harrisburg LLC at Docket No. </w:t>
      </w:r>
    </w:p>
    <w:p w:rsidR="00AC06AF" w:rsidRPr="00A96F21" w:rsidRDefault="00587E59" w:rsidP="00006F99">
      <w:pPr>
        <w:autoSpaceDE/>
        <w:autoSpaceDN/>
        <w:spacing w:line="360" w:lineRule="auto"/>
        <w:rPr>
          <w:rFonts w:ascii="Times New Roman" w:hAnsi="Times New Roman" w:cs="Times New Roman"/>
          <w:bCs/>
        </w:rPr>
      </w:pPr>
      <w:r w:rsidRPr="00A96F21">
        <w:rPr>
          <w:rFonts w:ascii="Times New Roman" w:hAnsi="Times New Roman" w:cs="Times New Roman"/>
          <w:bCs/>
        </w:rPr>
        <w:t xml:space="preserve">R-2013-2350265 </w:t>
      </w:r>
      <w:r w:rsidR="00AC06AF" w:rsidRPr="00A96F21">
        <w:rPr>
          <w:rFonts w:ascii="Times New Roman" w:hAnsi="Times New Roman" w:cs="Times New Roman"/>
          <w:bCs/>
        </w:rPr>
        <w:t xml:space="preserve">shall be terminated and the </w:t>
      </w:r>
      <w:r w:rsidR="00AD5B7F">
        <w:rPr>
          <w:rFonts w:ascii="Times New Roman" w:hAnsi="Times New Roman" w:cs="Times New Roman"/>
          <w:bCs/>
        </w:rPr>
        <w:t>case</w:t>
      </w:r>
      <w:r w:rsidR="00AC06AF" w:rsidRPr="00A96F21">
        <w:rPr>
          <w:rFonts w:ascii="Times New Roman" w:hAnsi="Times New Roman" w:cs="Times New Roman"/>
          <w:bCs/>
        </w:rPr>
        <w:t xml:space="preserve"> at Docket No. R--</w:t>
      </w:r>
      <w:r w:rsidRPr="00A96F21">
        <w:rPr>
          <w:rFonts w:ascii="Times New Roman" w:hAnsi="Times New Roman" w:cs="Times New Roman"/>
          <w:bCs/>
        </w:rPr>
        <w:t>2013-2350265 s</w:t>
      </w:r>
      <w:r w:rsidR="002310D4">
        <w:rPr>
          <w:rFonts w:ascii="Times New Roman" w:hAnsi="Times New Roman" w:cs="Times New Roman"/>
          <w:bCs/>
        </w:rPr>
        <w:t>hall be marked closed.</w:t>
      </w:r>
    </w:p>
    <w:p w:rsidR="00AC06AF" w:rsidRPr="00A96F21" w:rsidRDefault="00AC06AF" w:rsidP="00AC06AF">
      <w:pPr>
        <w:autoSpaceDE/>
        <w:autoSpaceDN/>
        <w:spacing w:line="360" w:lineRule="auto"/>
        <w:ind w:firstLine="1440"/>
        <w:rPr>
          <w:rFonts w:ascii="Times New Roman" w:hAnsi="Times New Roman" w:cs="Times New Roman"/>
          <w:bCs/>
        </w:rPr>
      </w:pPr>
    </w:p>
    <w:p w:rsidR="00006F99" w:rsidRPr="00A96F21" w:rsidRDefault="00507740" w:rsidP="00AC06AF">
      <w:pPr>
        <w:autoSpaceDE/>
        <w:autoSpaceDN/>
        <w:spacing w:line="360" w:lineRule="auto"/>
        <w:ind w:firstLine="1440"/>
        <w:rPr>
          <w:rFonts w:ascii="Times New Roman" w:hAnsi="Times New Roman" w:cs="Times New Roman"/>
          <w:spacing w:val="-3"/>
        </w:rPr>
      </w:pPr>
      <w:r w:rsidRPr="00A96F21">
        <w:rPr>
          <w:rFonts w:ascii="Times New Roman" w:hAnsi="Times New Roman" w:cs="Times New Roman"/>
          <w:bCs/>
        </w:rPr>
        <w:t>6</w:t>
      </w:r>
      <w:r w:rsidR="00AC06AF" w:rsidRPr="00A96F21">
        <w:rPr>
          <w:rFonts w:ascii="Times New Roman" w:hAnsi="Times New Roman" w:cs="Times New Roman"/>
          <w:bCs/>
        </w:rPr>
        <w:t>.</w:t>
      </w:r>
      <w:r w:rsidR="00AC06AF" w:rsidRPr="00A96F21">
        <w:rPr>
          <w:rFonts w:ascii="Times New Roman" w:hAnsi="Times New Roman" w:cs="Times New Roman"/>
          <w:bCs/>
        </w:rPr>
        <w:tab/>
        <w:t xml:space="preserve">That the Complaint </w:t>
      </w:r>
      <w:r w:rsidR="00AC06AF" w:rsidRPr="00A96F21">
        <w:rPr>
          <w:rFonts w:ascii="Times New Roman" w:hAnsi="Times New Roman" w:cs="Times New Roman"/>
        </w:rPr>
        <w:t xml:space="preserve">of the Office of </w:t>
      </w:r>
      <w:r w:rsidR="00006F99" w:rsidRPr="00A96F21">
        <w:rPr>
          <w:rFonts w:ascii="Times New Roman" w:hAnsi="Times New Roman" w:cs="Times New Roman"/>
        </w:rPr>
        <w:t>Consumer</w:t>
      </w:r>
      <w:r w:rsidR="00AC06AF" w:rsidRPr="00A96F21">
        <w:rPr>
          <w:rFonts w:ascii="Times New Roman" w:hAnsi="Times New Roman" w:cs="Times New Roman"/>
        </w:rPr>
        <w:t xml:space="preserve"> Advocate </w:t>
      </w:r>
      <w:r w:rsidR="00AC06AF" w:rsidRPr="00A96F21">
        <w:rPr>
          <w:rFonts w:ascii="Times New Roman" w:hAnsi="Times New Roman" w:cs="Times New Roman"/>
          <w:spacing w:val="-3"/>
        </w:rPr>
        <w:t xml:space="preserve">at Docket No. </w:t>
      </w:r>
    </w:p>
    <w:p w:rsidR="00AC06AF" w:rsidRPr="00A96F21" w:rsidRDefault="004C493C" w:rsidP="00006F99">
      <w:pPr>
        <w:autoSpaceDE/>
        <w:autoSpaceDN/>
        <w:spacing w:line="360" w:lineRule="auto"/>
        <w:rPr>
          <w:rFonts w:ascii="Times New Roman" w:hAnsi="Times New Roman" w:cs="Times New Roman"/>
        </w:rPr>
      </w:pPr>
      <w:r w:rsidRPr="00A96F21">
        <w:rPr>
          <w:rFonts w:ascii="Times New Roman" w:hAnsi="Times New Roman" w:cs="Times New Roman"/>
          <w:spacing w:val="-3"/>
        </w:rPr>
        <w:t>C-2013-2366273</w:t>
      </w:r>
      <w:r w:rsidR="00AC06AF" w:rsidRPr="00A96F21">
        <w:rPr>
          <w:rFonts w:ascii="Times New Roman" w:hAnsi="Times New Roman" w:cs="Times New Roman"/>
        </w:rPr>
        <w:t xml:space="preserve">, </w:t>
      </w:r>
      <w:r w:rsidR="00AD5B7F">
        <w:rPr>
          <w:rFonts w:ascii="Times New Roman" w:hAnsi="Times New Roman" w:cs="Times New Roman"/>
        </w:rPr>
        <w:t xml:space="preserve">and </w:t>
      </w:r>
      <w:r w:rsidR="00AC06AF" w:rsidRPr="00A96F21">
        <w:rPr>
          <w:rFonts w:ascii="Times New Roman" w:hAnsi="Times New Roman" w:cs="Times New Roman"/>
        </w:rPr>
        <w:t xml:space="preserve">the Complaint filed by the Office of Small Business Advocate at Docket No. </w:t>
      </w:r>
      <w:r w:rsidRPr="00A96F21">
        <w:rPr>
          <w:rFonts w:ascii="Times New Roman" w:hAnsi="Times New Roman" w:cs="Times New Roman"/>
        </w:rPr>
        <w:t xml:space="preserve">C-2013-2367232 </w:t>
      </w:r>
      <w:r w:rsidR="00AC06AF" w:rsidRPr="00A96F21">
        <w:rPr>
          <w:rFonts w:ascii="Times New Roman" w:hAnsi="Times New Roman" w:cs="Times New Roman"/>
          <w:spacing w:val="-3"/>
        </w:rPr>
        <w:t xml:space="preserve">are </w:t>
      </w:r>
      <w:r w:rsidR="00AC06AF" w:rsidRPr="00A96F21">
        <w:rPr>
          <w:rFonts w:ascii="Times New Roman" w:hAnsi="Times New Roman" w:cs="Times New Roman"/>
        </w:rPr>
        <w:t>dismissed and marked closed.</w:t>
      </w:r>
    </w:p>
    <w:p w:rsidR="00006F99" w:rsidRPr="00A96F21" w:rsidRDefault="00006F99" w:rsidP="00AC06AF">
      <w:pPr>
        <w:autoSpaceDE/>
        <w:autoSpaceDN/>
        <w:spacing w:line="360" w:lineRule="auto"/>
        <w:ind w:firstLine="1440"/>
        <w:rPr>
          <w:rFonts w:ascii="Times New Roman" w:hAnsi="Times New Roman" w:cs="Times New Roman"/>
        </w:rPr>
      </w:pPr>
    </w:p>
    <w:p w:rsidR="00AC06AF" w:rsidRPr="00A96F21" w:rsidRDefault="002310D4" w:rsidP="002310D4">
      <w:pPr>
        <w:autoSpaceDE/>
        <w:autoSpaceDN/>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AC06AF" w:rsidRPr="00A96F21" w:rsidRDefault="00AC06AF" w:rsidP="00AC06AF">
      <w:pPr>
        <w:autoSpaceDE/>
        <w:autoSpaceDN/>
        <w:rPr>
          <w:rFonts w:ascii="Times New Roman" w:hAnsi="Times New Roman" w:cs="Times New Roman"/>
        </w:rPr>
      </w:pPr>
      <w:r w:rsidRPr="00A96F21">
        <w:rPr>
          <w:rFonts w:ascii="Times New Roman" w:hAnsi="Times New Roman" w:cs="Times New Roman"/>
        </w:rPr>
        <w:t>DATED:</w:t>
      </w:r>
      <w:r w:rsidRPr="00A96F21">
        <w:rPr>
          <w:rFonts w:ascii="Times New Roman" w:hAnsi="Times New Roman" w:cs="Times New Roman"/>
        </w:rPr>
        <w:tab/>
      </w:r>
      <w:r w:rsidR="004C493C" w:rsidRPr="00A96F21">
        <w:rPr>
          <w:rFonts w:ascii="Times New Roman" w:hAnsi="Times New Roman" w:cs="Times New Roman"/>
          <w:u w:val="single"/>
        </w:rPr>
        <w:t xml:space="preserve">October </w:t>
      </w:r>
      <w:r w:rsidRPr="00A96F21">
        <w:rPr>
          <w:rFonts w:ascii="Times New Roman" w:hAnsi="Times New Roman" w:cs="Times New Roman"/>
          <w:u w:val="single"/>
        </w:rPr>
        <w:t>2</w:t>
      </w:r>
      <w:r w:rsidR="004C493C" w:rsidRPr="00A96F21">
        <w:rPr>
          <w:rFonts w:ascii="Times New Roman" w:hAnsi="Times New Roman" w:cs="Times New Roman"/>
          <w:u w:val="single"/>
        </w:rPr>
        <w:t>9</w:t>
      </w:r>
      <w:r w:rsidRPr="00A96F21">
        <w:rPr>
          <w:rFonts w:ascii="Times New Roman" w:hAnsi="Times New Roman" w:cs="Times New Roman"/>
          <w:u w:val="single"/>
        </w:rPr>
        <w:t>, 201</w:t>
      </w:r>
      <w:r w:rsidR="004C493C" w:rsidRPr="00A96F21">
        <w:rPr>
          <w:rFonts w:ascii="Times New Roman" w:hAnsi="Times New Roman" w:cs="Times New Roman"/>
          <w:u w:val="single"/>
        </w:rPr>
        <w:t>3</w:t>
      </w:r>
      <w:r w:rsidR="002310D4">
        <w:rPr>
          <w:rFonts w:ascii="Times New Roman" w:hAnsi="Times New Roman" w:cs="Times New Roman"/>
        </w:rPr>
        <w:tab/>
      </w:r>
      <w:r w:rsidR="002310D4">
        <w:rPr>
          <w:rFonts w:ascii="Times New Roman" w:hAnsi="Times New Roman" w:cs="Times New Roman"/>
        </w:rPr>
        <w:tab/>
      </w:r>
      <w:r w:rsidR="002310D4">
        <w:rPr>
          <w:rFonts w:ascii="Times New Roman" w:hAnsi="Times New Roman" w:cs="Times New Roman"/>
        </w:rPr>
        <w:tab/>
      </w:r>
      <w:r w:rsidRPr="00A96F21">
        <w:rPr>
          <w:rFonts w:ascii="Times New Roman" w:hAnsi="Times New Roman" w:cs="Times New Roman"/>
          <w:u w:val="single"/>
        </w:rPr>
        <w:tab/>
      </w:r>
      <w:r w:rsidR="00B26A4A">
        <w:rPr>
          <w:rFonts w:ascii="Times New Roman" w:hAnsi="Times New Roman" w:cs="Times New Roman"/>
          <w:u w:val="single"/>
        </w:rPr>
        <w:t>/</w:t>
      </w:r>
      <w:r w:rsidR="00874D29" w:rsidRPr="00874D29">
        <w:rPr>
          <w:rFonts w:ascii="Times New Roman" w:hAnsi="Times New Roman" w:cs="Times New Roman"/>
          <w:u w:val="single"/>
        </w:rPr>
        <w:t>s</w:t>
      </w:r>
      <w:r w:rsidR="00B26A4A">
        <w:rPr>
          <w:rFonts w:ascii="Times New Roman" w:hAnsi="Times New Roman" w:cs="Times New Roman"/>
          <w:u w:val="single"/>
        </w:rPr>
        <w:t>/</w:t>
      </w:r>
      <w:r w:rsidRPr="00A96F21">
        <w:rPr>
          <w:rFonts w:ascii="Times New Roman" w:hAnsi="Times New Roman" w:cs="Times New Roman"/>
          <w:u w:val="single"/>
        </w:rPr>
        <w:tab/>
      </w:r>
      <w:r w:rsidRPr="00A96F21">
        <w:rPr>
          <w:rFonts w:ascii="Times New Roman" w:hAnsi="Times New Roman" w:cs="Times New Roman"/>
          <w:u w:val="single"/>
        </w:rPr>
        <w:tab/>
      </w:r>
      <w:r w:rsidRPr="00A96F21">
        <w:rPr>
          <w:rFonts w:ascii="Times New Roman" w:hAnsi="Times New Roman" w:cs="Times New Roman"/>
          <w:u w:val="single"/>
        </w:rPr>
        <w:tab/>
      </w:r>
    </w:p>
    <w:p w:rsidR="00AC06AF" w:rsidRPr="00A96F21" w:rsidRDefault="002310D4" w:rsidP="00AC06AF">
      <w:pPr>
        <w:autoSpaceDE/>
        <w:autoSpaceDN/>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C06AF" w:rsidRPr="00A96F21">
        <w:rPr>
          <w:rFonts w:ascii="Times New Roman" w:hAnsi="Times New Roman" w:cs="Times New Roman"/>
        </w:rPr>
        <w:t>Dennis J. Buckley</w:t>
      </w:r>
    </w:p>
    <w:p w:rsidR="00AC06AF" w:rsidRPr="00A96F21" w:rsidRDefault="002310D4" w:rsidP="00AC06AF">
      <w:pPr>
        <w:autoSpaceDE/>
        <w:autoSpaceDN/>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C06AF" w:rsidRPr="00A96F21">
        <w:rPr>
          <w:rFonts w:ascii="Times New Roman" w:hAnsi="Times New Roman" w:cs="Times New Roman"/>
        </w:rPr>
        <w:t>Administrative Law Judge</w:t>
      </w:r>
    </w:p>
    <w:p w:rsidR="00AC06AF" w:rsidRPr="00A96F21" w:rsidRDefault="00AC06AF" w:rsidP="00AC06AF">
      <w:pPr>
        <w:spacing w:line="360" w:lineRule="auto"/>
        <w:jc w:val="center"/>
        <w:rPr>
          <w:rFonts w:ascii="Times New Roman" w:hAnsi="Times New Roman" w:cs="Times New Roman"/>
        </w:rPr>
      </w:pPr>
      <w:bookmarkStart w:id="2" w:name="_GoBack"/>
      <w:bookmarkEnd w:id="2"/>
    </w:p>
    <w:sectPr w:rsidR="00AC06AF" w:rsidRPr="00A96F21" w:rsidSect="00794F5B">
      <w:footerReference w:type="even" r:id="rId8"/>
      <w:footerReference w:type="defaul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036" w:rsidRDefault="00987036" w:rsidP="00045EE4">
      <w:r>
        <w:separator/>
      </w:r>
    </w:p>
  </w:endnote>
  <w:endnote w:type="continuationSeparator" w:id="0">
    <w:p w:rsidR="00987036" w:rsidRDefault="00987036" w:rsidP="0004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CD6" w:rsidRDefault="00DE5CD6" w:rsidP="005549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5CD6" w:rsidRDefault="00DE5C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CD6" w:rsidRPr="003879FF" w:rsidRDefault="00DE5CD6" w:rsidP="00554972">
    <w:pPr>
      <w:pStyle w:val="Footer"/>
      <w:framePr w:wrap="around" w:vAnchor="text" w:hAnchor="margin" w:xAlign="center" w:y="1"/>
      <w:rPr>
        <w:rStyle w:val="PageNumber"/>
        <w:rFonts w:ascii="Times New Roman" w:hAnsi="Times New Roman" w:cs="Times New Roman"/>
        <w:sz w:val="20"/>
        <w:szCs w:val="20"/>
      </w:rPr>
    </w:pPr>
    <w:r w:rsidRPr="003879FF">
      <w:rPr>
        <w:rStyle w:val="PageNumber"/>
        <w:rFonts w:ascii="Times New Roman" w:hAnsi="Times New Roman" w:cs="Times New Roman"/>
        <w:sz w:val="20"/>
        <w:szCs w:val="20"/>
      </w:rPr>
      <w:fldChar w:fldCharType="begin"/>
    </w:r>
    <w:r w:rsidRPr="003879FF">
      <w:rPr>
        <w:rStyle w:val="PageNumber"/>
        <w:rFonts w:ascii="Times New Roman" w:hAnsi="Times New Roman" w:cs="Times New Roman"/>
        <w:sz w:val="20"/>
        <w:szCs w:val="20"/>
      </w:rPr>
      <w:instrText xml:space="preserve">PAGE  </w:instrText>
    </w:r>
    <w:r w:rsidRPr="003879FF">
      <w:rPr>
        <w:rStyle w:val="PageNumber"/>
        <w:rFonts w:ascii="Times New Roman" w:hAnsi="Times New Roman" w:cs="Times New Roman"/>
        <w:sz w:val="20"/>
        <w:szCs w:val="20"/>
      </w:rPr>
      <w:fldChar w:fldCharType="separate"/>
    </w:r>
    <w:r w:rsidR="009A717C">
      <w:rPr>
        <w:rStyle w:val="PageNumber"/>
        <w:rFonts w:ascii="Times New Roman" w:hAnsi="Times New Roman" w:cs="Times New Roman"/>
        <w:noProof/>
        <w:sz w:val="20"/>
        <w:szCs w:val="20"/>
      </w:rPr>
      <w:t>14</w:t>
    </w:r>
    <w:r w:rsidRPr="003879FF">
      <w:rPr>
        <w:rStyle w:val="PageNumber"/>
        <w:rFonts w:ascii="Times New Roman" w:hAnsi="Times New Roman" w:cs="Times New Roman"/>
        <w:sz w:val="20"/>
        <w:szCs w:val="20"/>
      </w:rPr>
      <w:fldChar w:fldCharType="end"/>
    </w:r>
  </w:p>
  <w:p w:rsidR="00DE5CD6" w:rsidRDefault="00DE5CD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036" w:rsidRDefault="00987036" w:rsidP="00045EE4">
      <w:r>
        <w:separator/>
      </w:r>
    </w:p>
  </w:footnote>
  <w:footnote w:type="continuationSeparator" w:id="0">
    <w:p w:rsidR="00987036" w:rsidRDefault="00987036" w:rsidP="00045EE4">
      <w:r>
        <w:continuationSeparator/>
      </w:r>
    </w:p>
  </w:footnote>
  <w:footnote w:id="1">
    <w:p w:rsidR="00DE5CD6" w:rsidRDefault="00DE5CD6" w:rsidP="00382FAC">
      <w:pPr>
        <w:pStyle w:val="FootnoteText"/>
      </w:pPr>
      <w:r>
        <w:rPr>
          <w:rStyle w:val="FootnoteReference"/>
        </w:rPr>
        <w:footnoteRef/>
      </w:r>
      <w:r>
        <w:tab/>
        <w:t>NRG filed notice for an increase of $875,000 in annual base rate revenues, but included in its filing information that NRG claimed supported a $1,387,400 increase.</w:t>
      </w:r>
    </w:p>
    <w:p w:rsidR="00DE5CD6" w:rsidRDefault="00DE5CD6" w:rsidP="00382FAC">
      <w:pPr>
        <w:pStyle w:val="FootnoteText"/>
      </w:pPr>
    </w:p>
  </w:footnote>
  <w:footnote w:id="2">
    <w:p w:rsidR="00DE5CD6" w:rsidRDefault="00DE5CD6">
      <w:pPr>
        <w:pStyle w:val="FootnoteText"/>
      </w:pPr>
      <w:r>
        <w:rPr>
          <w:rStyle w:val="FootnoteReference"/>
        </w:rPr>
        <w:footnoteRef/>
      </w:r>
      <w:r>
        <w:t xml:space="preserve"> </w:t>
      </w:r>
      <w:r>
        <w:tab/>
        <w:t>Docket No. Pa. PUC No. C-2013-2366273.</w:t>
      </w:r>
    </w:p>
    <w:p w:rsidR="00DE5CD6" w:rsidRDefault="00DE5CD6">
      <w:pPr>
        <w:pStyle w:val="FootnoteText"/>
      </w:pPr>
    </w:p>
  </w:footnote>
  <w:footnote w:id="3">
    <w:p w:rsidR="00DE5CD6" w:rsidRDefault="00DE5CD6">
      <w:pPr>
        <w:pStyle w:val="FootnoteText"/>
      </w:pPr>
      <w:r>
        <w:rPr>
          <w:rStyle w:val="FootnoteReference"/>
        </w:rPr>
        <w:footnoteRef/>
      </w:r>
      <w:r>
        <w:t xml:space="preserve"> </w:t>
      </w:r>
      <w:r>
        <w:tab/>
      </w:r>
      <w:r w:rsidRPr="00CE41E1">
        <w:t xml:space="preserve">Docket No. Pa. PUC No. </w:t>
      </w:r>
      <w:proofErr w:type="gramStart"/>
      <w:r w:rsidRPr="00CE41E1">
        <w:t>C-2013-236</w:t>
      </w:r>
      <w:r>
        <w:t>7232.</w:t>
      </w:r>
      <w:proofErr w:type="gramEnd"/>
    </w:p>
    <w:p w:rsidR="00DB547F" w:rsidRDefault="00DB547F">
      <w:pPr>
        <w:pStyle w:val="FootnoteText"/>
      </w:pPr>
    </w:p>
  </w:footnote>
  <w:footnote w:id="4">
    <w:p w:rsidR="00DB547F" w:rsidRDefault="00DB547F">
      <w:pPr>
        <w:pStyle w:val="FootnoteText"/>
      </w:pPr>
      <w:r>
        <w:rPr>
          <w:rStyle w:val="FootnoteReference"/>
        </w:rPr>
        <w:footnoteRef/>
      </w:r>
      <w:r>
        <w:t xml:space="preserve"> </w:t>
      </w:r>
      <w:r>
        <w:tab/>
        <w:t>With the successful conclusion of negotiations and submission of a comprehensive proposed Settlement, NRG informally asked that this case be considered by the Commission as soon as practicable.</w:t>
      </w:r>
    </w:p>
  </w:footnote>
  <w:footnote w:id="5">
    <w:p w:rsidR="00006F99" w:rsidRDefault="00006F99">
      <w:pPr>
        <w:pStyle w:val="FootnoteText"/>
      </w:pPr>
      <w:r>
        <w:rPr>
          <w:rStyle w:val="FootnoteReference"/>
        </w:rPr>
        <w:footnoteRef/>
      </w:r>
      <w:r>
        <w:t xml:space="preserve"> </w:t>
      </w:r>
      <w:r>
        <w:tab/>
      </w:r>
      <w:proofErr w:type="gramStart"/>
      <w:r w:rsidRPr="00006F99">
        <w:t>1,000 pounds; the unit of steam volumes.</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BD"/>
    <w:rsid w:val="00000648"/>
    <w:rsid w:val="0000090F"/>
    <w:rsid w:val="00000ABE"/>
    <w:rsid w:val="000014B7"/>
    <w:rsid w:val="0000470F"/>
    <w:rsid w:val="000051DD"/>
    <w:rsid w:val="0000587C"/>
    <w:rsid w:val="000058E0"/>
    <w:rsid w:val="000068D5"/>
    <w:rsid w:val="00006F99"/>
    <w:rsid w:val="00007C08"/>
    <w:rsid w:val="000115F2"/>
    <w:rsid w:val="00014304"/>
    <w:rsid w:val="00014CD8"/>
    <w:rsid w:val="00016B73"/>
    <w:rsid w:val="000174C3"/>
    <w:rsid w:val="00021414"/>
    <w:rsid w:val="00021EA0"/>
    <w:rsid w:val="00021ECB"/>
    <w:rsid w:val="00022505"/>
    <w:rsid w:val="00023E3C"/>
    <w:rsid w:val="00025668"/>
    <w:rsid w:val="0002592A"/>
    <w:rsid w:val="00026710"/>
    <w:rsid w:val="00027A04"/>
    <w:rsid w:val="00030158"/>
    <w:rsid w:val="00031DFE"/>
    <w:rsid w:val="000326DC"/>
    <w:rsid w:val="000336F2"/>
    <w:rsid w:val="0003399E"/>
    <w:rsid w:val="000353F1"/>
    <w:rsid w:val="00036D5D"/>
    <w:rsid w:val="000376F9"/>
    <w:rsid w:val="000403CD"/>
    <w:rsid w:val="000407AC"/>
    <w:rsid w:val="00045EE4"/>
    <w:rsid w:val="00046304"/>
    <w:rsid w:val="000500B9"/>
    <w:rsid w:val="0005066D"/>
    <w:rsid w:val="0005071B"/>
    <w:rsid w:val="00050E0C"/>
    <w:rsid w:val="00051DEE"/>
    <w:rsid w:val="0005286E"/>
    <w:rsid w:val="000609B6"/>
    <w:rsid w:val="00060EF2"/>
    <w:rsid w:val="00061364"/>
    <w:rsid w:val="0006608A"/>
    <w:rsid w:val="000673AB"/>
    <w:rsid w:val="000700AB"/>
    <w:rsid w:val="000725BE"/>
    <w:rsid w:val="00075E7E"/>
    <w:rsid w:val="00077BC2"/>
    <w:rsid w:val="00086351"/>
    <w:rsid w:val="0009147B"/>
    <w:rsid w:val="00092F06"/>
    <w:rsid w:val="00094125"/>
    <w:rsid w:val="000943BE"/>
    <w:rsid w:val="000952F9"/>
    <w:rsid w:val="000964CC"/>
    <w:rsid w:val="000974B4"/>
    <w:rsid w:val="000977CD"/>
    <w:rsid w:val="00097A4C"/>
    <w:rsid w:val="000A18DD"/>
    <w:rsid w:val="000A3309"/>
    <w:rsid w:val="000A4939"/>
    <w:rsid w:val="000A5469"/>
    <w:rsid w:val="000A6A9D"/>
    <w:rsid w:val="000A725A"/>
    <w:rsid w:val="000B0A10"/>
    <w:rsid w:val="000B3728"/>
    <w:rsid w:val="000B3AB8"/>
    <w:rsid w:val="000B3BA5"/>
    <w:rsid w:val="000B6C5B"/>
    <w:rsid w:val="000B77FB"/>
    <w:rsid w:val="000C0C90"/>
    <w:rsid w:val="000C13F0"/>
    <w:rsid w:val="000C3889"/>
    <w:rsid w:val="000C3DF7"/>
    <w:rsid w:val="000C4224"/>
    <w:rsid w:val="000C67B7"/>
    <w:rsid w:val="000C723E"/>
    <w:rsid w:val="000C7890"/>
    <w:rsid w:val="000D06AC"/>
    <w:rsid w:val="000D142A"/>
    <w:rsid w:val="000D36CB"/>
    <w:rsid w:val="000D42E8"/>
    <w:rsid w:val="000D4D9A"/>
    <w:rsid w:val="000D4F59"/>
    <w:rsid w:val="000D4FF3"/>
    <w:rsid w:val="000D5FFC"/>
    <w:rsid w:val="000E1D21"/>
    <w:rsid w:val="000E45E1"/>
    <w:rsid w:val="000E4E90"/>
    <w:rsid w:val="000E65E8"/>
    <w:rsid w:val="000F1529"/>
    <w:rsid w:val="000F2893"/>
    <w:rsid w:val="000F31BB"/>
    <w:rsid w:val="000F3452"/>
    <w:rsid w:val="00100125"/>
    <w:rsid w:val="001030D4"/>
    <w:rsid w:val="0010318E"/>
    <w:rsid w:val="00104F14"/>
    <w:rsid w:val="0010634F"/>
    <w:rsid w:val="00106C5A"/>
    <w:rsid w:val="0011051F"/>
    <w:rsid w:val="00110C5C"/>
    <w:rsid w:val="00111240"/>
    <w:rsid w:val="0011188B"/>
    <w:rsid w:val="00113394"/>
    <w:rsid w:val="0011339D"/>
    <w:rsid w:val="00114BDE"/>
    <w:rsid w:val="00114C3A"/>
    <w:rsid w:val="00115EE3"/>
    <w:rsid w:val="00117645"/>
    <w:rsid w:val="00117CF3"/>
    <w:rsid w:val="00117D59"/>
    <w:rsid w:val="00120769"/>
    <w:rsid w:val="001219C1"/>
    <w:rsid w:val="00122110"/>
    <w:rsid w:val="0012407C"/>
    <w:rsid w:val="001265C7"/>
    <w:rsid w:val="001268C6"/>
    <w:rsid w:val="001272C9"/>
    <w:rsid w:val="00131E90"/>
    <w:rsid w:val="00132793"/>
    <w:rsid w:val="001332E9"/>
    <w:rsid w:val="00133371"/>
    <w:rsid w:val="001347FF"/>
    <w:rsid w:val="00137568"/>
    <w:rsid w:val="00143C40"/>
    <w:rsid w:val="001444EA"/>
    <w:rsid w:val="00151955"/>
    <w:rsid w:val="00151CD1"/>
    <w:rsid w:val="00152189"/>
    <w:rsid w:val="00152710"/>
    <w:rsid w:val="00152B62"/>
    <w:rsid w:val="00154870"/>
    <w:rsid w:val="00155AE8"/>
    <w:rsid w:val="001563DF"/>
    <w:rsid w:val="00157015"/>
    <w:rsid w:val="00157BD9"/>
    <w:rsid w:val="00161030"/>
    <w:rsid w:val="00161335"/>
    <w:rsid w:val="00162640"/>
    <w:rsid w:val="00162770"/>
    <w:rsid w:val="00162D6F"/>
    <w:rsid w:val="0016307D"/>
    <w:rsid w:val="00164A37"/>
    <w:rsid w:val="001655E0"/>
    <w:rsid w:val="00165D81"/>
    <w:rsid w:val="00170604"/>
    <w:rsid w:val="00170B11"/>
    <w:rsid w:val="00171293"/>
    <w:rsid w:val="00171C38"/>
    <w:rsid w:val="001732D6"/>
    <w:rsid w:val="00173A2C"/>
    <w:rsid w:val="0017427E"/>
    <w:rsid w:val="001757DC"/>
    <w:rsid w:val="00177B7D"/>
    <w:rsid w:val="00180659"/>
    <w:rsid w:val="00180890"/>
    <w:rsid w:val="00180C37"/>
    <w:rsid w:val="00181742"/>
    <w:rsid w:val="001875C7"/>
    <w:rsid w:val="00187979"/>
    <w:rsid w:val="00191877"/>
    <w:rsid w:val="001930A0"/>
    <w:rsid w:val="00194558"/>
    <w:rsid w:val="001945F7"/>
    <w:rsid w:val="00194DDD"/>
    <w:rsid w:val="00195784"/>
    <w:rsid w:val="0019705E"/>
    <w:rsid w:val="0019717E"/>
    <w:rsid w:val="001A0B2C"/>
    <w:rsid w:val="001A0B60"/>
    <w:rsid w:val="001A205B"/>
    <w:rsid w:val="001A3666"/>
    <w:rsid w:val="001A4154"/>
    <w:rsid w:val="001A5BDD"/>
    <w:rsid w:val="001A5FBA"/>
    <w:rsid w:val="001A79DB"/>
    <w:rsid w:val="001A7C00"/>
    <w:rsid w:val="001B1986"/>
    <w:rsid w:val="001B21A8"/>
    <w:rsid w:val="001B2E09"/>
    <w:rsid w:val="001B3717"/>
    <w:rsid w:val="001B3C1C"/>
    <w:rsid w:val="001B5EE4"/>
    <w:rsid w:val="001B71A2"/>
    <w:rsid w:val="001B7D8F"/>
    <w:rsid w:val="001C0B64"/>
    <w:rsid w:val="001C0D4B"/>
    <w:rsid w:val="001C25AF"/>
    <w:rsid w:val="001C2B4E"/>
    <w:rsid w:val="001C3896"/>
    <w:rsid w:val="001C4EE7"/>
    <w:rsid w:val="001C506B"/>
    <w:rsid w:val="001C5C0F"/>
    <w:rsid w:val="001C7EDD"/>
    <w:rsid w:val="001D08BE"/>
    <w:rsid w:val="001D1BF2"/>
    <w:rsid w:val="001D2011"/>
    <w:rsid w:val="001D25F2"/>
    <w:rsid w:val="001D2D4B"/>
    <w:rsid w:val="001D35D3"/>
    <w:rsid w:val="001D41D0"/>
    <w:rsid w:val="001D4996"/>
    <w:rsid w:val="001D6197"/>
    <w:rsid w:val="001D6380"/>
    <w:rsid w:val="001D6EBF"/>
    <w:rsid w:val="001D758C"/>
    <w:rsid w:val="001E1CA9"/>
    <w:rsid w:val="001E2102"/>
    <w:rsid w:val="001E2DAB"/>
    <w:rsid w:val="001E5F8C"/>
    <w:rsid w:val="001E60B4"/>
    <w:rsid w:val="001F0CC2"/>
    <w:rsid w:val="001F2281"/>
    <w:rsid w:val="001F51F6"/>
    <w:rsid w:val="001F5ABE"/>
    <w:rsid w:val="001F69E2"/>
    <w:rsid w:val="001F79A1"/>
    <w:rsid w:val="001F7C20"/>
    <w:rsid w:val="001F7CC9"/>
    <w:rsid w:val="001F7CE1"/>
    <w:rsid w:val="002014FB"/>
    <w:rsid w:val="0020238F"/>
    <w:rsid w:val="00202CEE"/>
    <w:rsid w:val="00210041"/>
    <w:rsid w:val="0021079B"/>
    <w:rsid w:val="00211C77"/>
    <w:rsid w:val="002120D7"/>
    <w:rsid w:val="002121D1"/>
    <w:rsid w:val="00214627"/>
    <w:rsid w:val="00215177"/>
    <w:rsid w:val="00215EDD"/>
    <w:rsid w:val="00216596"/>
    <w:rsid w:val="0021750D"/>
    <w:rsid w:val="00217F6F"/>
    <w:rsid w:val="00220C0D"/>
    <w:rsid w:val="002215A5"/>
    <w:rsid w:val="002219F4"/>
    <w:rsid w:val="00221EC8"/>
    <w:rsid w:val="0022290A"/>
    <w:rsid w:val="00222D5C"/>
    <w:rsid w:val="00222DCA"/>
    <w:rsid w:val="00224795"/>
    <w:rsid w:val="002273B5"/>
    <w:rsid w:val="002305E2"/>
    <w:rsid w:val="002310D4"/>
    <w:rsid w:val="00233590"/>
    <w:rsid w:val="0023534C"/>
    <w:rsid w:val="00241EF9"/>
    <w:rsid w:val="00243C4D"/>
    <w:rsid w:val="00244793"/>
    <w:rsid w:val="00244C03"/>
    <w:rsid w:val="00244FA8"/>
    <w:rsid w:val="002458A2"/>
    <w:rsid w:val="00252589"/>
    <w:rsid w:val="00253036"/>
    <w:rsid w:val="00254E65"/>
    <w:rsid w:val="00255D2C"/>
    <w:rsid w:val="002575D1"/>
    <w:rsid w:val="00257C84"/>
    <w:rsid w:val="002601AE"/>
    <w:rsid w:val="00261086"/>
    <w:rsid w:val="00261A96"/>
    <w:rsid w:val="002629E1"/>
    <w:rsid w:val="00266B22"/>
    <w:rsid w:val="00266BC3"/>
    <w:rsid w:val="00267864"/>
    <w:rsid w:val="0027083A"/>
    <w:rsid w:val="00270C80"/>
    <w:rsid w:val="0027160D"/>
    <w:rsid w:val="00272399"/>
    <w:rsid w:val="00272E22"/>
    <w:rsid w:val="002742BF"/>
    <w:rsid w:val="00274D2A"/>
    <w:rsid w:val="00280D4C"/>
    <w:rsid w:val="00281519"/>
    <w:rsid w:val="00282D4F"/>
    <w:rsid w:val="00284E81"/>
    <w:rsid w:val="00286372"/>
    <w:rsid w:val="00287E74"/>
    <w:rsid w:val="00293441"/>
    <w:rsid w:val="0029693B"/>
    <w:rsid w:val="002A280E"/>
    <w:rsid w:val="002A2E7D"/>
    <w:rsid w:val="002A3298"/>
    <w:rsid w:val="002A53D2"/>
    <w:rsid w:val="002B0F8B"/>
    <w:rsid w:val="002B2928"/>
    <w:rsid w:val="002B5699"/>
    <w:rsid w:val="002C0065"/>
    <w:rsid w:val="002C0E42"/>
    <w:rsid w:val="002C1188"/>
    <w:rsid w:val="002C18A6"/>
    <w:rsid w:val="002C2238"/>
    <w:rsid w:val="002C34DD"/>
    <w:rsid w:val="002C422B"/>
    <w:rsid w:val="002D007C"/>
    <w:rsid w:val="002D1126"/>
    <w:rsid w:val="002D1165"/>
    <w:rsid w:val="002D1358"/>
    <w:rsid w:val="002D1A2C"/>
    <w:rsid w:val="002D2C75"/>
    <w:rsid w:val="002D2DDD"/>
    <w:rsid w:val="002D3A5E"/>
    <w:rsid w:val="002E1741"/>
    <w:rsid w:val="002E285E"/>
    <w:rsid w:val="002E2EAD"/>
    <w:rsid w:val="002E32AF"/>
    <w:rsid w:val="002E39CD"/>
    <w:rsid w:val="002E3BEE"/>
    <w:rsid w:val="002E42B5"/>
    <w:rsid w:val="002E6905"/>
    <w:rsid w:val="002E6D1D"/>
    <w:rsid w:val="002F41A7"/>
    <w:rsid w:val="002F4C63"/>
    <w:rsid w:val="0030023C"/>
    <w:rsid w:val="0030077E"/>
    <w:rsid w:val="003008BF"/>
    <w:rsid w:val="00300ADA"/>
    <w:rsid w:val="003029F5"/>
    <w:rsid w:val="0030377F"/>
    <w:rsid w:val="003038CC"/>
    <w:rsid w:val="0030655E"/>
    <w:rsid w:val="003065CC"/>
    <w:rsid w:val="00306F18"/>
    <w:rsid w:val="00306F9C"/>
    <w:rsid w:val="00307285"/>
    <w:rsid w:val="003107D8"/>
    <w:rsid w:val="0031235C"/>
    <w:rsid w:val="00313180"/>
    <w:rsid w:val="00316451"/>
    <w:rsid w:val="00317AF9"/>
    <w:rsid w:val="00320B24"/>
    <w:rsid w:val="00321BB7"/>
    <w:rsid w:val="00322654"/>
    <w:rsid w:val="00322682"/>
    <w:rsid w:val="00322D9C"/>
    <w:rsid w:val="003255F4"/>
    <w:rsid w:val="00325A42"/>
    <w:rsid w:val="003262CF"/>
    <w:rsid w:val="003265E4"/>
    <w:rsid w:val="00330E4F"/>
    <w:rsid w:val="00336A58"/>
    <w:rsid w:val="00337261"/>
    <w:rsid w:val="003379C3"/>
    <w:rsid w:val="00337AC8"/>
    <w:rsid w:val="00342A67"/>
    <w:rsid w:val="00344769"/>
    <w:rsid w:val="00347E76"/>
    <w:rsid w:val="00350C1F"/>
    <w:rsid w:val="00354C10"/>
    <w:rsid w:val="00360EC5"/>
    <w:rsid w:val="0036395F"/>
    <w:rsid w:val="003642FA"/>
    <w:rsid w:val="00365F06"/>
    <w:rsid w:val="00366E3E"/>
    <w:rsid w:val="003702D0"/>
    <w:rsid w:val="00371F3B"/>
    <w:rsid w:val="003720B7"/>
    <w:rsid w:val="003725CC"/>
    <w:rsid w:val="00372982"/>
    <w:rsid w:val="00375EEF"/>
    <w:rsid w:val="00376F95"/>
    <w:rsid w:val="00377AF6"/>
    <w:rsid w:val="0038042C"/>
    <w:rsid w:val="00380559"/>
    <w:rsid w:val="00381136"/>
    <w:rsid w:val="003813F9"/>
    <w:rsid w:val="003826B8"/>
    <w:rsid w:val="00382A4D"/>
    <w:rsid w:val="00382F09"/>
    <w:rsid w:val="00382FAC"/>
    <w:rsid w:val="00383391"/>
    <w:rsid w:val="00383A4D"/>
    <w:rsid w:val="003879FF"/>
    <w:rsid w:val="003900AF"/>
    <w:rsid w:val="0039037B"/>
    <w:rsid w:val="003903B3"/>
    <w:rsid w:val="0039181D"/>
    <w:rsid w:val="00393584"/>
    <w:rsid w:val="00397350"/>
    <w:rsid w:val="00397596"/>
    <w:rsid w:val="003A068B"/>
    <w:rsid w:val="003A0E25"/>
    <w:rsid w:val="003A1936"/>
    <w:rsid w:val="003A337C"/>
    <w:rsid w:val="003A44FE"/>
    <w:rsid w:val="003A4783"/>
    <w:rsid w:val="003A5CF2"/>
    <w:rsid w:val="003A6558"/>
    <w:rsid w:val="003A6895"/>
    <w:rsid w:val="003B076A"/>
    <w:rsid w:val="003B087B"/>
    <w:rsid w:val="003B1609"/>
    <w:rsid w:val="003B2831"/>
    <w:rsid w:val="003B5D72"/>
    <w:rsid w:val="003B7CD5"/>
    <w:rsid w:val="003C1E6F"/>
    <w:rsid w:val="003C4FF1"/>
    <w:rsid w:val="003C628E"/>
    <w:rsid w:val="003D05CD"/>
    <w:rsid w:val="003D2703"/>
    <w:rsid w:val="003D29AA"/>
    <w:rsid w:val="003D4361"/>
    <w:rsid w:val="003D45D8"/>
    <w:rsid w:val="003D467D"/>
    <w:rsid w:val="003D5112"/>
    <w:rsid w:val="003D63B0"/>
    <w:rsid w:val="003D7E0F"/>
    <w:rsid w:val="003E2396"/>
    <w:rsid w:val="003E587F"/>
    <w:rsid w:val="003E63F0"/>
    <w:rsid w:val="003E6D3B"/>
    <w:rsid w:val="003E728F"/>
    <w:rsid w:val="003E744E"/>
    <w:rsid w:val="003E782B"/>
    <w:rsid w:val="003F0638"/>
    <w:rsid w:val="003F17CD"/>
    <w:rsid w:val="003F2A3E"/>
    <w:rsid w:val="003F5D54"/>
    <w:rsid w:val="003F6B18"/>
    <w:rsid w:val="003F6ED1"/>
    <w:rsid w:val="00400067"/>
    <w:rsid w:val="00402D38"/>
    <w:rsid w:val="004032D2"/>
    <w:rsid w:val="004044CD"/>
    <w:rsid w:val="00405AAF"/>
    <w:rsid w:val="00405FDB"/>
    <w:rsid w:val="00406223"/>
    <w:rsid w:val="00406525"/>
    <w:rsid w:val="00407E07"/>
    <w:rsid w:val="00411114"/>
    <w:rsid w:val="00412CE2"/>
    <w:rsid w:val="00414098"/>
    <w:rsid w:val="00414835"/>
    <w:rsid w:val="004151E8"/>
    <w:rsid w:val="004165C4"/>
    <w:rsid w:val="00417473"/>
    <w:rsid w:val="00422E20"/>
    <w:rsid w:val="00423119"/>
    <w:rsid w:val="00423267"/>
    <w:rsid w:val="004241EB"/>
    <w:rsid w:val="0042443D"/>
    <w:rsid w:val="00424539"/>
    <w:rsid w:val="004251AB"/>
    <w:rsid w:val="00425A4A"/>
    <w:rsid w:val="00426CB2"/>
    <w:rsid w:val="004279C9"/>
    <w:rsid w:val="004337C3"/>
    <w:rsid w:val="0043400C"/>
    <w:rsid w:val="004364A8"/>
    <w:rsid w:val="00437530"/>
    <w:rsid w:val="00437681"/>
    <w:rsid w:val="004400EC"/>
    <w:rsid w:val="00440E08"/>
    <w:rsid w:val="00442A59"/>
    <w:rsid w:val="004430B2"/>
    <w:rsid w:val="00447FAF"/>
    <w:rsid w:val="00451FB7"/>
    <w:rsid w:val="00453473"/>
    <w:rsid w:val="00454DD5"/>
    <w:rsid w:val="00455FEC"/>
    <w:rsid w:val="00457AB5"/>
    <w:rsid w:val="00460B7B"/>
    <w:rsid w:val="00463F63"/>
    <w:rsid w:val="004656AC"/>
    <w:rsid w:val="00465C27"/>
    <w:rsid w:val="004714BC"/>
    <w:rsid w:val="00473AF4"/>
    <w:rsid w:val="00476978"/>
    <w:rsid w:val="00480006"/>
    <w:rsid w:val="00480806"/>
    <w:rsid w:val="00480BE5"/>
    <w:rsid w:val="00480CA9"/>
    <w:rsid w:val="004820EC"/>
    <w:rsid w:val="004826EB"/>
    <w:rsid w:val="00485D8E"/>
    <w:rsid w:val="004868B2"/>
    <w:rsid w:val="00486EE4"/>
    <w:rsid w:val="00487E40"/>
    <w:rsid w:val="00487F3B"/>
    <w:rsid w:val="0049487C"/>
    <w:rsid w:val="00495B6F"/>
    <w:rsid w:val="004A02E2"/>
    <w:rsid w:val="004A0A46"/>
    <w:rsid w:val="004A1D99"/>
    <w:rsid w:val="004A3846"/>
    <w:rsid w:val="004A3FAA"/>
    <w:rsid w:val="004A5D8A"/>
    <w:rsid w:val="004A6296"/>
    <w:rsid w:val="004A6CF8"/>
    <w:rsid w:val="004A6DFB"/>
    <w:rsid w:val="004B203D"/>
    <w:rsid w:val="004B3652"/>
    <w:rsid w:val="004B6203"/>
    <w:rsid w:val="004B7C5E"/>
    <w:rsid w:val="004C0D74"/>
    <w:rsid w:val="004C1F88"/>
    <w:rsid w:val="004C2FC6"/>
    <w:rsid w:val="004C306B"/>
    <w:rsid w:val="004C3B86"/>
    <w:rsid w:val="004C41CA"/>
    <w:rsid w:val="004C493C"/>
    <w:rsid w:val="004C58BF"/>
    <w:rsid w:val="004C6B90"/>
    <w:rsid w:val="004C739B"/>
    <w:rsid w:val="004C73F4"/>
    <w:rsid w:val="004C7475"/>
    <w:rsid w:val="004C7F9C"/>
    <w:rsid w:val="004D04F3"/>
    <w:rsid w:val="004D1F16"/>
    <w:rsid w:val="004D67D2"/>
    <w:rsid w:val="004D7162"/>
    <w:rsid w:val="004D722E"/>
    <w:rsid w:val="004E05A5"/>
    <w:rsid w:val="004E1A77"/>
    <w:rsid w:val="004E40A6"/>
    <w:rsid w:val="004E4266"/>
    <w:rsid w:val="004E5676"/>
    <w:rsid w:val="004E5860"/>
    <w:rsid w:val="004E5C0C"/>
    <w:rsid w:val="004E5DE6"/>
    <w:rsid w:val="004E71E1"/>
    <w:rsid w:val="004F0DA6"/>
    <w:rsid w:val="004F23F9"/>
    <w:rsid w:val="004F2A22"/>
    <w:rsid w:val="004F6103"/>
    <w:rsid w:val="005027A7"/>
    <w:rsid w:val="00502CF5"/>
    <w:rsid w:val="00502E0A"/>
    <w:rsid w:val="00503610"/>
    <w:rsid w:val="00504B56"/>
    <w:rsid w:val="005054CE"/>
    <w:rsid w:val="00507335"/>
    <w:rsid w:val="00507740"/>
    <w:rsid w:val="00511247"/>
    <w:rsid w:val="00511A8D"/>
    <w:rsid w:val="00512246"/>
    <w:rsid w:val="005156AE"/>
    <w:rsid w:val="005202BE"/>
    <w:rsid w:val="005218EC"/>
    <w:rsid w:val="0052238D"/>
    <w:rsid w:val="0052406C"/>
    <w:rsid w:val="00526E4B"/>
    <w:rsid w:val="00527F8C"/>
    <w:rsid w:val="00532446"/>
    <w:rsid w:val="0053276B"/>
    <w:rsid w:val="00534487"/>
    <w:rsid w:val="0053562C"/>
    <w:rsid w:val="00542DB1"/>
    <w:rsid w:val="00543A6C"/>
    <w:rsid w:val="005443F7"/>
    <w:rsid w:val="00544DE9"/>
    <w:rsid w:val="005504F4"/>
    <w:rsid w:val="00550922"/>
    <w:rsid w:val="00551212"/>
    <w:rsid w:val="0055128E"/>
    <w:rsid w:val="00552F47"/>
    <w:rsid w:val="00554011"/>
    <w:rsid w:val="00554972"/>
    <w:rsid w:val="005559B7"/>
    <w:rsid w:val="00555D0E"/>
    <w:rsid w:val="00557EF4"/>
    <w:rsid w:val="00560968"/>
    <w:rsid w:val="005609C7"/>
    <w:rsid w:val="005617F1"/>
    <w:rsid w:val="00561D8A"/>
    <w:rsid w:val="00562172"/>
    <w:rsid w:val="00570821"/>
    <w:rsid w:val="0057148A"/>
    <w:rsid w:val="00574128"/>
    <w:rsid w:val="00574F21"/>
    <w:rsid w:val="00575775"/>
    <w:rsid w:val="005770FE"/>
    <w:rsid w:val="005806B1"/>
    <w:rsid w:val="00583280"/>
    <w:rsid w:val="00584177"/>
    <w:rsid w:val="00587E59"/>
    <w:rsid w:val="00592F9A"/>
    <w:rsid w:val="005955ED"/>
    <w:rsid w:val="005956BA"/>
    <w:rsid w:val="00595C86"/>
    <w:rsid w:val="005964AD"/>
    <w:rsid w:val="00597EC2"/>
    <w:rsid w:val="005A1BB4"/>
    <w:rsid w:val="005A2592"/>
    <w:rsid w:val="005A3661"/>
    <w:rsid w:val="005A7951"/>
    <w:rsid w:val="005A7EFA"/>
    <w:rsid w:val="005B14C1"/>
    <w:rsid w:val="005B2255"/>
    <w:rsid w:val="005B25FD"/>
    <w:rsid w:val="005B362C"/>
    <w:rsid w:val="005B5432"/>
    <w:rsid w:val="005B58EC"/>
    <w:rsid w:val="005B62CD"/>
    <w:rsid w:val="005B63DC"/>
    <w:rsid w:val="005B6BC3"/>
    <w:rsid w:val="005B7367"/>
    <w:rsid w:val="005B7E31"/>
    <w:rsid w:val="005C01FB"/>
    <w:rsid w:val="005C2B9D"/>
    <w:rsid w:val="005C5474"/>
    <w:rsid w:val="005D2899"/>
    <w:rsid w:val="005D4834"/>
    <w:rsid w:val="005D50F7"/>
    <w:rsid w:val="005E2A4A"/>
    <w:rsid w:val="005E2B4B"/>
    <w:rsid w:val="005E2C25"/>
    <w:rsid w:val="005E4496"/>
    <w:rsid w:val="005E44B5"/>
    <w:rsid w:val="005E4580"/>
    <w:rsid w:val="005E50A6"/>
    <w:rsid w:val="005E625F"/>
    <w:rsid w:val="005F0758"/>
    <w:rsid w:val="005F1C0D"/>
    <w:rsid w:val="005F3C15"/>
    <w:rsid w:val="005F3E71"/>
    <w:rsid w:val="005F4374"/>
    <w:rsid w:val="005F513F"/>
    <w:rsid w:val="005F51F2"/>
    <w:rsid w:val="005F5A9C"/>
    <w:rsid w:val="005F620A"/>
    <w:rsid w:val="005F68F2"/>
    <w:rsid w:val="005F6FA6"/>
    <w:rsid w:val="005F7FC5"/>
    <w:rsid w:val="0060127D"/>
    <w:rsid w:val="00601EF7"/>
    <w:rsid w:val="00602034"/>
    <w:rsid w:val="00604B58"/>
    <w:rsid w:val="00605A4A"/>
    <w:rsid w:val="00607D96"/>
    <w:rsid w:val="006125E9"/>
    <w:rsid w:val="006168F4"/>
    <w:rsid w:val="006201B3"/>
    <w:rsid w:val="006205E8"/>
    <w:rsid w:val="00620DB6"/>
    <w:rsid w:val="00620DFE"/>
    <w:rsid w:val="0062137E"/>
    <w:rsid w:val="00621416"/>
    <w:rsid w:val="00621777"/>
    <w:rsid w:val="00621A13"/>
    <w:rsid w:val="00622947"/>
    <w:rsid w:val="00622E08"/>
    <w:rsid w:val="00624702"/>
    <w:rsid w:val="00625112"/>
    <w:rsid w:val="00626B0C"/>
    <w:rsid w:val="00632D59"/>
    <w:rsid w:val="00637AED"/>
    <w:rsid w:val="00637C00"/>
    <w:rsid w:val="00637CFE"/>
    <w:rsid w:val="00640B4C"/>
    <w:rsid w:val="006429DC"/>
    <w:rsid w:val="00642F45"/>
    <w:rsid w:val="006456EA"/>
    <w:rsid w:val="00647152"/>
    <w:rsid w:val="006500DB"/>
    <w:rsid w:val="00651DFD"/>
    <w:rsid w:val="006525B9"/>
    <w:rsid w:val="00653729"/>
    <w:rsid w:val="0065470B"/>
    <w:rsid w:val="00655862"/>
    <w:rsid w:val="00655C45"/>
    <w:rsid w:val="00655DC4"/>
    <w:rsid w:val="006613A7"/>
    <w:rsid w:val="006614A9"/>
    <w:rsid w:val="00661CC7"/>
    <w:rsid w:val="00661FF5"/>
    <w:rsid w:val="00662676"/>
    <w:rsid w:val="00664C73"/>
    <w:rsid w:val="00670572"/>
    <w:rsid w:val="00671EEC"/>
    <w:rsid w:val="0067478C"/>
    <w:rsid w:val="0067697D"/>
    <w:rsid w:val="006770BC"/>
    <w:rsid w:val="00683549"/>
    <w:rsid w:val="0068634B"/>
    <w:rsid w:val="0069106E"/>
    <w:rsid w:val="006911DE"/>
    <w:rsid w:val="006933F1"/>
    <w:rsid w:val="006943F0"/>
    <w:rsid w:val="006953BC"/>
    <w:rsid w:val="00696066"/>
    <w:rsid w:val="00696DAB"/>
    <w:rsid w:val="00697B9A"/>
    <w:rsid w:val="006A2880"/>
    <w:rsid w:val="006A305D"/>
    <w:rsid w:val="006A3AD9"/>
    <w:rsid w:val="006A41CF"/>
    <w:rsid w:val="006A605E"/>
    <w:rsid w:val="006A60C2"/>
    <w:rsid w:val="006A6E97"/>
    <w:rsid w:val="006A73F7"/>
    <w:rsid w:val="006A764F"/>
    <w:rsid w:val="006A7C78"/>
    <w:rsid w:val="006B17E3"/>
    <w:rsid w:val="006B2070"/>
    <w:rsid w:val="006B2851"/>
    <w:rsid w:val="006B2B42"/>
    <w:rsid w:val="006B36BF"/>
    <w:rsid w:val="006B3887"/>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D1811"/>
    <w:rsid w:val="006D359E"/>
    <w:rsid w:val="006E0F1E"/>
    <w:rsid w:val="006E1044"/>
    <w:rsid w:val="006E1393"/>
    <w:rsid w:val="006E34E6"/>
    <w:rsid w:val="006E5A07"/>
    <w:rsid w:val="006E62C8"/>
    <w:rsid w:val="006E6B8A"/>
    <w:rsid w:val="006E7D87"/>
    <w:rsid w:val="006F2F81"/>
    <w:rsid w:val="006F3B1F"/>
    <w:rsid w:val="006F3B6C"/>
    <w:rsid w:val="006F4DC9"/>
    <w:rsid w:val="006F7B81"/>
    <w:rsid w:val="006F7D9C"/>
    <w:rsid w:val="007005D5"/>
    <w:rsid w:val="00700748"/>
    <w:rsid w:val="00702183"/>
    <w:rsid w:val="00702D90"/>
    <w:rsid w:val="00703173"/>
    <w:rsid w:val="00705C62"/>
    <w:rsid w:val="00706A95"/>
    <w:rsid w:val="00707FB4"/>
    <w:rsid w:val="00710400"/>
    <w:rsid w:val="00711D05"/>
    <w:rsid w:val="00712D4F"/>
    <w:rsid w:val="00714DBB"/>
    <w:rsid w:val="007160B1"/>
    <w:rsid w:val="007160EF"/>
    <w:rsid w:val="00720669"/>
    <w:rsid w:val="00721707"/>
    <w:rsid w:val="007228DD"/>
    <w:rsid w:val="00723AC1"/>
    <w:rsid w:val="00726E67"/>
    <w:rsid w:val="00730F33"/>
    <w:rsid w:val="00732BD0"/>
    <w:rsid w:val="00733AE0"/>
    <w:rsid w:val="00734C69"/>
    <w:rsid w:val="00734D04"/>
    <w:rsid w:val="0073583A"/>
    <w:rsid w:val="007362DE"/>
    <w:rsid w:val="00737203"/>
    <w:rsid w:val="00737DB1"/>
    <w:rsid w:val="00740FBA"/>
    <w:rsid w:val="007410BD"/>
    <w:rsid w:val="0074256E"/>
    <w:rsid w:val="00742684"/>
    <w:rsid w:val="00751D6E"/>
    <w:rsid w:val="00751F0D"/>
    <w:rsid w:val="00752DB8"/>
    <w:rsid w:val="00755762"/>
    <w:rsid w:val="00760497"/>
    <w:rsid w:val="00760EA0"/>
    <w:rsid w:val="00762D04"/>
    <w:rsid w:val="00763FBC"/>
    <w:rsid w:val="00764715"/>
    <w:rsid w:val="0076515E"/>
    <w:rsid w:val="007651A8"/>
    <w:rsid w:val="00765B5E"/>
    <w:rsid w:val="00766788"/>
    <w:rsid w:val="00766B9B"/>
    <w:rsid w:val="00770E6C"/>
    <w:rsid w:val="007716F6"/>
    <w:rsid w:val="007746FA"/>
    <w:rsid w:val="0077736D"/>
    <w:rsid w:val="00780161"/>
    <w:rsid w:val="00781DF0"/>
    <w:rsid w:val="00783B18"/>
    <w:rsid w:val="00786970"/>
    <w:rsid w:val="00787BD6"/>
    <w:rsid w:val="00792D96"/>
    <w:rsid w:val="00793A87"/>
    <w:rsid w:val="007948AB"/>
    <w:rsid w:val="00794B2B"/>
    <w:rsid w:val="00794EC2"/>
    <w:rsid w:val="00794F5B"/>
    <w:rsid w:val="0079546A"/>
    <w:rsid w:val="007970DC"/>
    <w:rsid w:val="007978A5"/>
    <w:rsid w:val="007A06EA"/>
    <w:rsid w:val="007A0D2D"/>
    <w:rsid w:val="007A2859"/>
    <w:rsid w:val="007A3677"/>
    <w:rsid w:val="007A3713"/>
    <w:rsid w:val="007A45D7"/>
    <w:rsid w:val="007A5C0E"/>
    <w:rsid w:val="007A69E4"/>
    <w:rsid w:val="007A6F57"/>
    <w:rsid w:val="007A749C"/>
    <w:rsid w:val="007A79CD"/>
    <w:rsid w:val="007B283E"/>
    <w:rsid w:val="007B385E"/>
    <w:rsid w:val="007B48FD"/>
    <w:rsid w:val="007B505E"/>
    <w:rsid w:val="007B5858"/>
    <w:rsid w:val="007C08BD"/>
    <w:rsid w:val="007C1BCB"/>
    <w:rsid w:val="007C2D9C"/>
    <w:rsid w:val="007C3F2F"/>
    <w:rsid w:val="007C64A2"/>
    <w:rsid w:val="007C64EF"/>
    <w:rsid w:val="007D04E9"/>
    <w:rsid w:val="007D3037"/>
    <w:rsid w:val="007D46F1"/>
    <w:rsid w:val="007D47F8"/>
    <w:rsid w:val="007D504E"/>
    <w:rsid w:val="007D5618"/>
    <w:rsid w:val="007D7343"/>
    <w:rsid w:val="007D791A"/>
    <w:rsid w:val="007D7E0C"/>
    <w:rsid w:val="007E2E94"/>
    <w:rsid w:val="007E465A"/>
    <w:rsid w:val="007E554B"/>
    <w:rsid w:val="007F05AC"/>
    <w:rsid w:val="007F0A6D"/>
    <w:rsid w:val="007F5625"/>
    <w:rsid w:val="007F6478"/>
    <w:rsid w:val="007F6715"/>
    <w:rsid w:val="007F7136"/>
    <w:rsid w:val="007F777F"/>
    <w:rsid w:val="007F7B4A"/>
    <w:rsid w:val="00801944"/>
    <w:rsid w:val="00802190"/>
    <w:rsid w:val="0080754A"/>
    <w:rsid w:val="00810586"/>
    <w:rsid w:val="00810E2F"/>
    <w:rsid w:val="008110F5"/>
    <w:rsid w:val="00813C93"/>
    <w:rsid w:val="00816DDF"/>
    <w:rsid w:val="00817C26"/>
    <w:rsid w:val="00817CFC"/>
    <w:rsid w:val="0082035A"/>
    <w:rsid w:val="0082047B"/>
    <w:rsid w:val="008232CF"/>
    <w:rsid w:val="008249E3"/>
    <w:rsid w:val="00830D8D"/>
    <w:rsid w:val="008324B4"/>
    <w:rsid w:val="00833221"/>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35FF"/>
    <w:rsid w:val="00854777"/>
    <w:rsid w:val="008559C5"/>
    <w:rsid w:val="00856045"/>
    <w:rsid w:val="00856F90"/>
    <w:rsid w:val="00862560"/>
    <w:rsid w:val="0086522F"/>
    <w:rsid w:val="008652FC"/>
    <w:rsid w:val="00867FF1"/>
    <w:rsid w:val="00871BB9"/>
    <w:rsid w:val="008722C4"/>
    <w:rsid w:val="008723D2"/>
    <w:rsid w:val="008741E1"/>
    <w:rsid w:val="00874D29"/>
    <w:rsid w:val="008750BC"/>
    <w:rsid w:val="00877858"/>
    <w:rsid w:val="00877917"/>
    <w:rsid w:val="0088192C"/>
    <w:rsid w:val="00882408"/>
    <w:rsid w:val="00884284"/>
    <w:rsid w:val="008863FD"/>
    <w:rsid w:val="00886423"/>
    <w:rsid w:val="008901FD"/>
    <w:rsid w:val="00890F6D"/>
    <w:rsid w:val="008931F8"/>
    <w:rsid w:val="00893F45"/>
    <w:rsid w:val="00896236"/>
    <w:rsid w:val="008975A9"/>
    <w:rsid w:val="0089787B"/>
    <w:rsid w:val="008A23E4"/>
    <w:rsid w:val="008A25E6"/>
    <w:rsid w:val="008A2C31"/>
    <w:rsid w:val="008A3487"/>
    <w:rsid w:val="008A3C97"/>
    <w:rsid w:val="008A5DD7"/>
    <w:rsid w:val="008A712B"/>
    <w:rsid w:val="008B18B0"/>
    <w:rsid w:val="008B294F"/>
    <w:rsid w:val="008B337F"/>
    <w:rsid w:val="008B4BD9"/>
    <w:rsid w:val="008C0B74"/>
    <w:rsid w:val="008C0B9D"/>
    <w:rsid w:val="008C0BCA"/>
    <w:rsid w:val="008C13AD"/>
    <w:rsid w:val="008C1E23"/>
    <w:rsid w:val="008C2565"/>
    <w:rsid w:val="008C405A"/>
    <w:rsid w:val="008D45C9"/>
    <w:rsid w:val="008D6D66"/>
    <w:rsid w:val="008D798D"/>
    <w:rsid w:val="008E06CB"/>
    <w:rsid w:val="008E119F"/>
    <w:rsid w:val="008E17A3"/>
    <w:rsid w:val="008E17E0"/>
    <w:rsid w:val="008E1DB1"/>
    <w:rsid w:val="008E23CB"/>
    <w:rsid w:val="008E259F"/>
    <w:rsid w:val="008E5F76"/>
    <w:rsid w:val="008E6500"/>
    <w:rsid w:val="008E65A7"/>
    <w:rsid w:val="008F0772"/>
    <w:rsid w:val="008F0EF6"/>
    <w:rsid w:val="008F3484"/>
    <w:rsid w:val="008F3974"/>
    <w:rsid w:val="008F4046"/>
    <w:rsid w:val="008F420D"/>
    <w:rsid w:val="008F4C9A"/>
    <w:rsid w:val="008F6B64"/>
    <w:rsid w:val="008F7192"/>
    <w:rsid w:val="008F7EC3"/>
    <w:rsid w:val="00900B99"/>
    <w:rsid w:val="009030CB"/>
    <w:rsid w:val="009038C9"/>
    <w:rsid w:val="009062E8"/>
    <w:rsid w:val="00907EB3"/>
    <w:rsid w:val="00910763"/>
    <w:rsid w:val="00911A99"/>
    <w:rsid w:val="00912234"/>
    <w:rsid w:val="00913011"/>
    <w:rsid w:val="00914B64"/>
    <w:rsid w:val="009155CE"/>
    <w:rsid w:val="0091610B"/>
    <w:rsid w:val="0091705E"/>
    <w:rsid w:val="00917128"/>
    <w:rsid w:val="0092050D"/>
    <w:rsid w:val="00920AC9"/>
    <w:rsid w:val="009210E1"/>
    <w:rsid w:val="00921B8F"/>
    <w:rsid w:val="00923CF8"/>
    <w:rsid w:val="00925925"/>
    <w:rsid w:val="009269B4"/>
    <w:rsid w:val="009272F9"/>
    <w:rsid w:val="009278E9"/>
    <w:rsid w:val="00934272"/>
    <w:rsid w:val="009358D5"/>
    <w:rsid w:val="00940605"/>
    <w:rsid w:val="009409DE"/>
    <w:rsid w:val="0094124A"/>
    <w:rsid w:val="009420E9"/>
    <w:rsid w:val="00943DBB"/>
    <w:rsid w:val="00945060"/>
    <w:rsid w:val="009475EB"/>
    <w:rsid w:val="009512CC"/>
    <w:rsid w:val="00952FC8"/>
    <w:rsid w:val="00954642"/>
    <w:rsid w:val="0095533F"/>
    <w:rsid w:val="009554A0"/>
    <w:rsid w:val="0095597B"/>
    <w:rsid w:val="00957424"/>
    <w:rsid w:val="00957EA9"/>
    <w:rsid w:val="009602CD"/>
    <w:rsid w:val="0096089A"/>
    <w:rsid w:val="00960C2D"/>
    <w:rsid w:val="00960ECC"/>
    <w:rsid w:val="00961274"/>
    <w:rsid w:val="009621D4"/>
    <w:rsid w:val="0096518B"/>
    <w:rsid w:val="0097402C"/>
    <w:rsid w:val="0097524B"/>
    <w:rsid w:val="009757CC"/>
    <w:rsid w:val="00977AFE"/>
    <w:rsid w:val="0098076F"/>
    <w:rsid w:val="00981780"/>
    <w:rsid w:val="00987036"/>
    <w:rsid w:val="00987057"/>
    <w:rsid w:val="0098783A"/>
    <w:rsid w:val="00990AF0"/>
    <w:rsid w:val="00991121"/>
    <w:rsid w:val="009913F0"/>
    <w:rsid w:val="00991789"/>
    <w:rsid w:val="0099255A"/>
    <w:rsid w:val="0099335F"/>
    <w:rsid w:val="00993614"/>
    <w:rsid w:val="009950C8"/>
    <w:rsid w:val="00996CEA"/>
    <w:rsid w:val="009A0683"/>
    <w:rsid w:val="009A2D09"/>
    <w:rsid w:val="009A4614"/>
    <w:rsid w:val="009A7102"/>
    <w:rsid w:val="009A717C"/>
    <w:rsid w:val="009A733F"/>
    <w:rsid w:val="009B1F13"/>
    <w:rsid w:val="009B3127"/>
    <w:rsid w:val="009B79D2"/>
    <w:rsid w:val="009C13FA"/>
    <w:rsid w:val="009C1478"/>
    <w:rsid w:val="009C37CB"/>
    <w:rsid w:val="009C4C1A"/>
    <w:rsid w:val="009C5618"/>
    <w:rsid w:val="009C62BF"/>
    <w:rsid w:val="009D2A06"/>
    <w:rsid w:val="009D3DEF"/>
    <w:rsid w:val="009D5B2D"/>
    <w:rsid w:val="009D6FBC"/>
    <w:rsid w:val="009D715F"/>
    <w:rsid w:val="009E44FC"/>
    <w:rsid w:val="009E4B8E"/>
    <w:rsid w:val="009F02D9"/>
    <w:rsid w:val="009F48D1"/>
    <w:rsid w:val="00A00F70"/>
    <w:rsid w:val="00A0104C"/>
    <w:rsid w:val="00A016D8"/>
    <w:rsid w:val="00A04425"/>
    <w:rsid w:val="00A04773"/>
    <w:rsid w:val="00A04ABE"/>
    <w:rsid w:val="00A061F3"/>
    <w:rsid w:val="00A07A19"/>
    <w:rsid w:val="00A10E6A"/>
    <w:rsid w:val="00A10EA2"/>
    <w:rsid w:val="00A1253A"/>
    <w:rsid w:val="00A129B9"/>
    <w:rsid w:val="00A12A3B"/>
    <w:rsid w:val="00A13950"/>
    <w:rsid w:val="00A159FC"/>
    <w:rsid w:val="00A20FB9"/>
    <w:rsid w:val="00A22543"/>
    <w:rsid w:val="00A22D18"/>
    <w:rsid w:val="00A23313"/>
    <w:rsid w:val="00A245F1"/>
    <w:rsid w:val="00A25069"/>
    <w:rsid w:val="00A270F6"/>
    <w:rsid w:val="00A273C4"/>
    <w:rsid w:val="00A27C72"/>
    <w:rsid w:val="00A30A8C"/>
    <w:rsid w:val="00A316FD"/>
    <w:rsid w:val="00A317B1"/>
    <w:rsid w:val="00A31F96"/>
    <w:rsid w:val="00A32BDE"/>
    <w:rsid w:val="00A33E09"/>
    <w:rsid w:val="00A343CD"/>
    <w:rsid w:val="00A35188"/>
    <w:rsid w:val="00A35243"/>
    <w:rsid w:val="00A352C6"/>
    <w:rsid w:val="00A35928"/>
    <w:rsid w:val="00A35B53"/>
    <w:rsid w:val="00A40970"/>
    <w:rsid w:val="00A41B97"/>
    <w:rsid w:val="00A43854"/>
    <w:rsid w:val="00A4553B"/>
    <w:rsid w:val="00A455F3"/>
    <w:rsid w:val="00A47872"/>
    <w:rsid w:val="00A52254"/>
    <w:rsid w:val="00A5338F"/>
    <w:rsid w:val="00A6143A"/>
    <w:rsid w:val="00A61658"/>
    <w:rsid w:val="00A619D6"/>
    <w:rsid w:val="00A61FFC"/>
    <w:rsid w:val="00A621F1"/>
    <w:rsid w:val="00A62992"/>
    <w:rsid w:val="00A62EF2"/>
    <w:rsid w:val="00A631B4"/>
    <w:rsid w:val="00A64316"/>
    <w:rsid w:val="00A64F0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2530"/>
    <w:rsid w:val="00A85195"/>
    <w:rsid w:val="00A86E2C"/>
    <w:rsid w:val="00A8715C"/>
    <w:rsid w:val="00A8728B"/>
    <w:rsid w:val="00A8740D"/>
    <w:rsid w:val="00A9061C"/>
    <w:rsid w:val="00A91CF0"/>
    <w:rsid w:val="00A940B1"/>
    <w:rsid w:val="00A94FDD"/>
    <w:rsid w:val="00A96F21"/>
    <w:rsid w:val="00AA01A8"/>
    <w:rsid w:val="00AA0487"/>
    <w:rsid w:val="00AA0A06"/>
    <w:rsid w:val="00AA2923"/>
    <w:rsid w:val="00AA5B53"/>
    <w:rsid w:val="00AA68B7"/>
    <w:rsid w:val="00AA6C49"/>
    <w:rsid w:val="00AA7044"/>
    <w:rsid w:val="00AB0987"/>
    <w:rsid w:val="00AB19AB"/>
    <w:rsid w:val="00AB2A6B"/>
    <w:rsid w:val="00AB439B"/>
    <w:rsid w:val="00AB45D6"/>
    <w:rsid w:val="00AB5513"/>
    <w:rsid w:val="00AB56F7"/>
    <w:rsid w:val="00AB5806"/>
    <w:rsid w:val="00AC06AF"/>
    <w:rsid w:val="00AC06F2"/>
    <w:rsid w:val="00AC129C"/>
    <w:rsid w:val="00AC20CE"/>
    <w:rsid w:val="00AC2E98"/>
    <w:rsid w:val="00AC39F6"/>
    <w:rsid w:val="00AC5794"/>
    <w:rsid w:val="00AC68EC"/>
    <w:rsid w:val="00AD1199"/>
    <w:rsid w:val="00AD2A01"/>
    <w:rsid w:val="00AD3E85"/>
    <w:rsid w:val="00AD5B7F"/>
    <w:rsid w:val="00AD704A"/>
    <w:rsid w:val="00AE2F32"/>
    <w:rsid w:val="00AE5075"/>
    <w:rsid w:val="00AE66AF"/>
    <w:rsid w:val="00AE698E"/>
    <w:rsid w:val="00AE756B"/>
    <w:rsid w:val="00AF1257"/>
    <w:rsid w:val="00AF1946"/>
    <w:rsid w:val="00AF2F12"/>
    <w:rsid w:val="00AF30ED"/>
    <w:rsid w:val="00AF5B03"/>
    <w:rsid w:val="00AF7177"/>
    <w:rsid w:val="00B0314E"/>
    <w:rsid w:val="00B03470"/>
    <w:rsid w:val="00B0470B"/>
    <w:rsid w:val="00B0794F"/>
    <w:rsid w:val="00B1198A"/>
    <w:rsid w:val="00B13C8A"/>
    <w:rsid w:val="00B145AB"/>
    <w:rsid w:val="00B14719"/>
    <w:rsid w:val="00B1540B"/>
    <w:rsid w:val="00B16AD2"/>
    <w:rsid w:val="00B16DF7"/>
    <w:rsid w:val="00B16FE6"/>
    <w:rsid w:val="00B173B1"/>
    <w:rsid w:val="00B22D2F"/>
    <w:rsid w:val="00B249B9"/>
    <w:rsid w:val="00B25715"/>
    <w:rsid w:val="00B26A4A"/>
    <w:rsid w:val="00B27F89"/>
    <w:rsid w:val="00B3086D"/>
    <w:rsid w:val="00B30DAF"/>
    <w:rsid w:val="00B3165A"/>
    <w:rsid w:val="00B31F22"/>
    <w:rsid w:val="00B32AAF"/>
    <w:rsid w:val="00B33E9B"/>
    <w:rsid w:val="00B3412A"/>
    <w:rsid w:val="00B359A0"/>
    <w:rsid w:val="00B379C6"/>
    <w:rsid w:val="00B404FE"/>
    <w:rsid w:val="00B411BC"/>
    <w:rsid w:val="00B415D3"/>
    <w:rsid w:val="00B4399B"/>
    <w:rsid w:val="00B44C4E"/>
    <w:rsid w:val="00B45822"/>
    <w:rsid w:val="00B515F1"/>
    <w:rsid w:val="00B52436"/>
    <w:rsid w:val="00B5448D"/>
    <w:rsid w:val="00B546E5"/>
    <w:rsid w:val="00B554F0"/>
    <w:rsid w:val="00B566C1"/>
    <w:rsid w:val="00B57B95"/>
    <w:rsid w:val="00B57D73"/>
    <w:rsid w:val="00B60270"/>
    <w:rsid w:val="00B61B72"/>
    <w:rsid w:val="00B61D13"/>
    <w:rsid w:val="00B63DB3"/>
    <w:rsid w:val="00B65D85"/>
    <w:rsid w:val="00B665A3"/>
    <w:rsid w:val="00B70571"/>
    <w:rsid w:val="00B717F6"/>
    <w:rsid w:val="00B71B9B"/>
    <w:rsid w:val="00B72040"/>
    <w:rsid w:val="00B722E9"/>
    <w:rsid w:val="00B723F9"/>
    <w:rsid w:val="00B73BEB"/>
    <w:rsid w:val="00B747C8"/>
    <w:rsid w:val="00B74F55"/>
    <w:rsid w:val="00B805FD"/>
    <w:rsid w:val="00B80C6C"/>
    <w:rsid w:val="00B81484"/>
    <w:rsid w:val="00B81C39"/>
    <w:rsid w:val="00B8287E"/>
    <w:rsid w:val="00B82E03"/>
    <w:rsid w:val="00B85474"/>
    <w:rsid w:val="00B876BB"/>
    <w:rsid w:val="00B90354"/>
    <w:rsid w:val="00B90A67"/>
    <w:rsid w:val="00B91A99"/>
    <w:rsid w:val="00B91AF0"/>
    <w:rsid w:val="00B92155"/>
    <w:rsid w:val="00B92B63"/>
    <w:rsid w:val="00BA0A2A"/>
    <w:rsid w:val="00BA16AC"/>
    <w:rsid w:val="00BA240A"/>
    <w:rsid w:val="00BA29F7"/>
    <w:rsid w:val="00BA5F89"/>
    <w:rsid w:val="00BA6BF2"/>
    <w:rsid w:val="00BA7ECF"/>
    <w:rsid w:val="00BB0352"/>
    <w:rsid w:val="00BB092F"/>
    <w:rsid w:val="00BB30FC"/>
    <w:rsid w:val="00BB35AF"/>
    <w:rsid w:val="00BB3757"/>
    <w:rsid w:val="00BB4862"/>
    <w:rsid w:val="00BB5C86"/>
    <w:rsid w:val="00BB6B48"/>
    <w:rsid w:val="00BC09B3"/>
    <w:rsid w:val="00BC19D4"/>
    <w:rsid w:val="00BC1A08"/>
    <w:rsid w:val="00BC2D0F"/>
    <w:rsid w:val="00BC2EB2"/>
    <w:rsid w:val="00BC32FE"/>
    <w:rsid w:val="00BC414E"/>
    <w:rsid w:val="00BC58B1"/>
    <w:rsid w:val="00BC61F4"/>
    <w:rsid w:val="00BD0278"/>
    <w:rsid w:val="00BD038D"/>
    <w:rsid w:val="00BD5B38"/>
    <w:rsid w:val="00BD62AE"/>
    <w:rsid w:val="00BE05B2"/>
    <w:rsid w:val="00BE0AAF"/>
    <w:rsid w:val="00BE3524"/>
    <w:rsid w:val="00BE396C"/>
    <w:rsid w:val="00BE4F60"/>
    <w:rsid w:val="00BE6099"/>
    <w:rsid w:val="00BE6418"/>
    <w:rsid w:val="00BE64DA"/>
    <w:rsid w:val="00BE6501"/>
    <w:rsid w:val="00BE78BC"/>
    <w:rsid w:val="00BF1D44"/>
    <w:rsid w:val="00BF1F08"/>
    <w:rsid w:val="00BF2358"/>
    <w:rsid w:val="00BF288B"/>
    <w:rsid w:val="00BF3A63"/>
    <w:rsid w:val="00BF3C26"/>
    <w:rsid w:val="00BF43D7"/>
    <w:rsid w:val="00BF45AB"/>
    <w:rsid w:val="00BF4BD4"/>
    <w:rsid w:val="00BF595C"/>
    <w:rsid w:val="00BF6735"/>
    <w:rsid w:val="00BF70B1"/>
    <w:rsid w:val="00C01CC1"/>
    <w:rsid w:val="00C02959"/>
    <w:rsid w:val="00C02DE0"/>
    <w:rsid w:val="00C03411"/>
    <w:rsid w:val="00C0420B"/>
    <w:rsid w:val="00C0490B"/>
    <w:rsid w:val="00C056D5"/>
    <w:rsid w:val="00C06D32"/>
    <w:rsid w:val="00C073E0"/>
    <w:rsid w:val="00C07697"/>
    <w:rsid w:val="00C07BD5"/>
    <w:rsid w:val="00C07E18"/>
    <w:rsid w:val="00C138F7"/>
    <w:rsid w:val="00C14831"/>
    <w:rsid w:val="00C15310"/>
    <w:rsid w:val="00C16313"/>
    <w:rsid w:val="00C16814"/>
    <w:rsid w:val="00C20432"/>
    <w:rsid w:val="00C2056A"/>
    <w:rsid w:val="00C21188"/>
    <w:rsid w:val="00C212B6"/>
    <w:rsid w:val="00C22541"/>
    <w:rsid w:val="00C228CB"/>
    <w:rsid w:val="00C23843"/>
    <w:rsid w:val="00C24BFD"/>
    <w:rsid w:val="00C26D4E"/>
    <w:rsid w:val="00C3061E"/>
    <w:rsid w:val="00C30D72"/>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2C62"/>
    <w:rsid w:val="00C537F2"/>
    <w:rsid w:val="00C5442F"/>
    <w:rsid w:val="00C5450D"/>
    <w:rsid w:val="00C54CE7"/>
    <w:rsid w:val="00C54D2B"/>
    <w:rsid w:val="00C60AA3"/>
    <w:rsid w:val="00C61896"/>
    <w:rsid w:val="00C623CA"/>
    <w:rsid w:val="00C62407"/>
    <w:rsid w:val="00C62C8A"/>
    <w:rsid w:val="00C644B5"/>
    <w:rsid w:val="00C65C1A"/>
    <w:rsid w:val="00C66413"/>
    <w:rsid w:val="00C6642E"/>
    <w:rsid w:val="00C6751F"/>
    <w:rsid w:val="00C71246"/>
    <w:rsid w:val="00C735C0"/>
    <w:rsid w:val="00C743BB"/>
    <w:rsid w:val="00C74A27"/>
    <w:rsid w:val="00C74FB9"/>
    <w:rsid w:val="00C75139"/>
    <w:rsid w:val="00C7582C"/>
    <w:rsid w:val="00C75EE5"/>
    <w:rsid w:val="00C7712D"/>
    <w:rsid w:val="00C777CE"/>
    <w:rsid w:val="00C77F29"/>
    <w:rsid w:val="00C80BD5"/>
    <w:rsid w:val="00C81233"/>
    <w:rsid w:val="00C82369"/>
    <w:rsid w:val="00C83F97"/>
    <w:rsid w:val="00C8446C"/>
    <w:rsid w:val="00C84582"/>
    <w:rsid w:val="00C858B8"/>
    <w:rsid w:val="00C86E9C"/>
    <w:rsid w:val="00C904AA"/>
    <w:rsid w:val="00C93EF2"/>
    <w:rsid w:val="00C944B3"/>
    <w:rsid w:val="00C94CAC"/>
    <w:rsid w:val="00CA049C"/>
    <w:rsid w:val="00CA0617"/>
    <w:rsid w:val="00CA11BA"/>
    <w:rsid w:val="00CA6515"/>
    <w:rsid w:val="00CA697E"/>
    <w:rsid w:val="00CA6FAB"/>
    <w:rsid w:val="00CA773A"/>
    <w:rsid w:val="00CA77E6"/>
    <w:rsid w:val="00CB05DF"/>
    <w:rsid w:val="00CB1287"/>
    <w:rsid w:val="00CB3151"/>
    <w:rsid w:val="00CB330F"/>
    <w:rsid w:val="00CB7DA9"/>
    <w:rsid w:val="00CC124D"/>
    <w:rsid w:val="00CC6B59"/>
    <w:rsid w:val="00CD1910"/>
    <w:rsid w:val="00CD2D69"/>
    <w:rsid w:val="00CD345F"/>
    <w:rsid w:val="00CD63D9"/>
    <w:rsid w:val="00CD6D8A"/>
    <w:rsid w:val="00CE0045"/>
    <w:rsid w:val="00CE1F64"/>
    <w:rsid w:val="00CE2561"/>
    <w:rsid w:val="00CE3AF1"/>
    <w:rsid w:val="00CE41E1"/>
    <w:rsid w:val="00CE4F2E"/>
    <w:rsid w:val="00CE52B0"/>
    <w:rsid w:val="00CE79BD"/>
    <w:rsid w:val="00CE7E58"/>
    <w:rsid w:val="00CF485D"/>
    <w:rsid w:val="00CF50BB"/>
    <w:rsid w:val="00CF58DD"/>
    <w:rsid w:val="00D029CB"/>
    <w:rsid w:val="00D0371C"/>
    <w:rsid w:val="00D066BA"/>
    <w:rsid w:val="00D06F30"/>
    <w:rsid w:val="00D073CD"/>
    <w:rsid w:val="00D104D8"/>
    <w:rsid w:val="00D12953"/>
    <w:rsid w:val="00D12F97"/>
    <w:rsid w:val="00D1513D"/>
    <w:rsid w:val="00D16C19"/>
    <w:rsid w:val="00D1768F"/>
    <w:rsid w:val="00D17F66"/>
    <w:rsid w:val="00D20587"/>
    <w:rsid w:val="00D21049"/>
    <w:rsid w:val="00D2106D"/>
    <w:rsid w:val="00D21102"/>
    <w:rsid w:val="00D2112F"/>
    <w:rsid w:val="00D2267C"/>
    <w:rsid w:val="00D2459D"/>
    <w:rsid w:val="00D2486F"/>
    <w:rsid w:val="00D24B2C"/>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33ED"/>
    <w:rsid w:val="00D471A1"/>
    <w:rsid w:val="00D5056E"/>
    <w:rsid w:val="00D52459"/>
    <w:rsid w:val="00D5306E"/>
    <w:rsid w:val="00D55162"/>
    <w:rsid w:val="00D556C0"/>
    <w:rsid w:val="00D55731"/>
    <w:rsid w:val="00D55C76"/>
    <w:rsid w:val="00D62B6F"/>
    <w:rsid w:val="00D63D87"/>
    <w:rsid w:val="00D65954"/>
    <w:rsid w:val="00D65A8D"/>
    <w:rsid w:val="00D65BA1"/>
    <w:rsid w:val="00D662BA"/>
    <w:rsid w:val="00D664BD"/>
    <w:rsid w:val="00D6782D"/>
    <w:rsid w:val="00D67BF4"/>
    <w:rsid w:val="00D72B72"/>
    <w:rsid w:val="00D734A6"/>
    <w:rsid w:val="00D73573"/>
    <w:rsid w:val="00D73930"/>
    <w:rsid w:val="00D74BC2"/>
    <w:rsid w:val="00D75043"/>
    <w:rsid w:val="00D76A04"/>
    <w:rsid w:val="00D80B82"/>
    <w:rsid w:val="00D8122C"/>
    <w:rsid w:val="00D817C0"/>
    <w:rsid w:val="00D8442A"/>
    <w:rsid w:val="00D856F3"/>
    <w:rsid w:val="00D85A2A"/>
    <w:rsid w:val="00D912E2"/>
    <w:rsid w:val="00D93854"/>
    <w:rsid w:val="00D972CF"/>
    <w:rsid w:val="00D97C0D"/>
    <w:rsid w:val="00DA0847"/>
    <w:rsid w:val="00DA2F8F"/>
    <w:rsid w:val="00DA5989"/>
    <w:rsid w:val="00DB226E"/>
    <w:rsid w:val="00DB2560"/>
    <w:rsid w:val="00DB2E73"/>
    <w:rsid w:val="00DB2F85"/>
    <w:rsid w:val="00DB3399"/>
    <w:rsid w:val="00DB35C8"/>
    <w:rsid w:val="00DB3CFC"/>
    <w:rsid w:val="00DB547F"/>
    <w:rsid w:val="00DB62E0"/>
    <w:rsid w:val="00DB73A7"/>
    <w:rsid w:val="00DB7853"/>
    <w:rsid w:val="00DC01E9"/>
    <w:rsid w:val="00DC2296"/>
    <w:rsid w:val="00DC2B0D"/>
    <w:rsid w:val="00DC3144"/>
    <w:rsid w:val="00DC3395"/>
    <w:rsid w:val="00DC4DDD"/>
    <w:rsid w:val="00DC506F"/>
    <w:rsid w:val="00DC5482"/>
    <w:rsid w:val="00DC723D"/>
    <w:rsid w:val="00DD13E9"/>
    <w:rsid w:val="00DD1A58"/>
    <w:rsid w:val="00DD2F2F"/>
    <w:rsid w:val="00DD3197"/>
    <w:rsid w:val="00DD7ABD"/>
    <w:rsid w:val="00DE4EC8"/>
    <w:rsid w:val="00DE5C19"/>
    <w:rsid w:val="00DE5CD6"/>
    <w:rsid w:val="00DE71E3"/>
    <w:rsid w:val="00DF06A1"/>
    <w:rsid w:val="00DF0FC7"/>
    <w:rsid w:val="00DF1237"/>
    <w:rsid w:val="00DF13AB"/>
    <w:rsid w:val="00DF275F"/>
    <w:rsid w:val="00DF33E1"/>
    <w:rsid w:val="00DF5C12"/>
    <w:rsid w:val="00DF7748"/>
    <w:rsid w:val="00DF7776"/>
    <w:rsid w:val="00E00C8E"/>
    <w:rsid w:val="00E00CFE"/>
    <w:rsid w:val="00E020B0"/>
    <w:rsid w:val="00E02C0E"/>
    <w:rsid w:val="00E032B2"/>
    <w:rsid w:val="00E038DF"/>
    <w:rsid w:val="00E0484B"/>
    <w:rsid w:val="00E0575E"/>
    <w:rsid w:val="00E05C66"/>
    <w:rsid w:val="00E07B0C"/>
    <w:rsid w:val="00E10DC4"/>
    <w:rsid w:val="00E1121E"/>
    <w:rsid w:val="00E11ADC"/>
    <w:rsid w:val="00E12A47"/>
    <w:rsid w:val="00E14CA1"/>
    <w:rsid w:val="00E1589F"/>
    <w:rsid w:val="00E16C22"/>
    <w:rsid w:val="00E16D6A"/>
    <w:rsid w:val="00E22081"/>
    <w:rsid w:val="00E22942"/>
    <w:rsid w:val="00E23625"/>
    <w:rsid w:val="00E23D46"/>
    <w:rsid w:val="00E2511F"/>
    <w:rsid w:val="00E265F6"/>
    <w:rsid w:val="00E26ED2"/>
    <w:rsid w:val="00E27ED0"/>
    <w:rsid w:val="00E30A83"/>
    <w:rsid w:val="00E33726"/>
    <w:rsid w:val="00E33BAD"/>
    <w:rsid w:val="00E344AB"/>
    <w:rsid w:val="00E3603A"/>
    <w:rsid w:val="00E36953"/>
    <w:rsid w:val="00E3718B"/>
    <w:rsid w:val="00E419D9"/>
    <w:rsid w:val="00E43D81"/>
    <w:rsid w:val="00E43E09"/>
    <w:rsid w:val="00E47478"/>
    <w:rsid w:val="00E47CA3"/>
    <w:rsid w:val="00E50732"/>
    <w:rsid w:val="00E518A8"/>
    <w:rsid w:val="00E51FC0"/>
    <w:rsid w:val="00E5275A"/>
    <w:rsid w:val="00E52AE5"/>
    <w:rsid w:val="00E53B0C"/>
    <w:rsid w:val="00E54AB7"/>
    <w:rsid w:val="00E54EDF"/>
    <w:rsid w:val="00E6088D"/>
    <w:rsid w:val="00E60AF3"/>
    <w:rsid w:val="00E629AD"/>
    <w:rsid w:val="00E62D27"/>
    <w:rsid w:val="00E64D4B"/>
    <w:rsid w:val="00E652BD"/>
    <w:rsid w:val="00E66328"/>
    <w:rsid w:val="00E673F3"/>
    <w:rsid w:val="00E702E6"/>
    <w:rsid w:val="00E703CE"/>
    <w:rsid w:val="00E708F4"/>
    <w:rsid w:val="00E70E8D"/>
    <w:rsid w:val="00E70EE6"/>
    <w:rsid w:val="00E719D1"/>
    <w:rsid w:val="00E73FBB"/>
    <w:rsid w:val="00E7604F"/>
    <w:rsid w:val="00E763EF"/>
    <w:rsid w:val="00E80409"/>
    <w:rsid w:val="00E8166C"/>
    <w:rsid w:val="00E85025"/>
    <w:rsid w:val="00E87F30"/>
    <w:rsid w:val="00E9132D"/>
    <w:rsid w:val="00E9152E"/>
    <w:rsid w:val="00E921DD"/>
    <w:rsid w:val="00E93282"/>
    <w:rsid w:val="00E93DFF"/>
    <w:rsid w:val="00E94092"/>
    <w:rsid w:val="00E94DB8"/>
    <w:rsid w:val="00E9553A"/>
    <w:rsid w:val="00E95593"/>
    <w:rsid w:val="00E95E51"/>
    <w:rsid w:val="00EA077B"/>
    <w:rsid w:val="00EA1FCF"/>
    <w:rsid w:val="00EA2B5B"/>
    <w:rsid w:val="00EA32FD"/>
    <w:rsid w:val="00EA398B"/>
    <w:rsid w:val="00EA3FB0"/>
    <w:rsid w:val="00EA63AA"/>
    <w:rsid w:val="00EA7D61"/>
    <w:rsid w:val="00EB0895"/>
    <w:rsid w:val="00EB0B35"/>
    <w:rsid w:val="00EB1B94"/>
    <w:rsid w:val="00EB1D42"/>
    <w:rsid w:val="00EB4E41"/>
    <w:rsid w:val="00EB75B5"/>
    <w:rsid w:val="00EC1F38"/>
    <w:rsid w:val="00EC2565"/>
    <w:rsid w:val="00EC4BF2"/>
    <w:rsid w:val="00EC644B"/>
    <w:rsid w:val="00ED09B9"/>
    <w:rsid w:val="00ED399F"/>
    <w:rsid w:val="00ED41D4"/>
    <w:rsid w:val="00ED4BB5"/>
    <w:rsid w:val="00EE0039"/>
    <w:rsid w:val="00EE0A0C"/>
    <w:rsid w:val="00EE1152"/>
    <w:rsid w:val="00EE274A"/>
    <w:rsid w:val="00EE2DF2"/>
    <w:rsid w:val="00EE3926"/>
    <w:rsid w:val="00EE39C3"/>
    <w:rsid w:val="00EE4173"/>
    <w:rsid w:val="00EE5D97"/>
    <w:rsid w:val="00EE7D9E"/>
    <w:rsid w:val="00EF05DC"/>
    <w:rsid w:val="00EF0EEC"/>
    <w:rsid w:val="00EF161E"/>
    <w:rsid w:val="00EF19D0"/>
    <w:rsid w:val="00EF1E7F"/>
    <w:rsid w:val="00EF2237"/>
    <w:rsid w:val="00EF2633"/>
    <w:rsid w:val="00EF3A06"/>
    <w:rsid w:val="00EF3B97"/>
    <w:rsid w:val="00EF4722"/>
    <w:rsid w:val="00EF4AAB"/>
    <w:rsid w:val="00EF4BED"/>
    <w:rsid w:val="00EF6B65"/>
    <w:rsid w:val="00EF7CB6"/>
    <w:rsid w:val="00F00078"/>
    <w:rsid w:val="00F00B9E"/>
    <w:rsid w:val="00F0417A"/>
    <w:rsid w:val="00F0424E"/>
    <w:rsid w:val="00F04C36"/>
    <w:rsid w:val="00F07605"/>
    <w:rsid w:val="00F07F12"/>
    <w:rsid w:val="00F1003F"/>
    <w:rsid w:val="00F10E44"/>
    <w:rsid w:val="00F135C5"/>
    <w:rsid w:val="00F147C3"/>
    <w:rsid w:val="00F21946"/>
    <w:rsid w:val="00F22CAC"/>
    <w:rsid w:val="00F26681"/>
    <w:rsid w:val="00F271C6"/>
    <w:rsid w:val="00F278A1"/>
    <w:rsid w:val="00F27BC9"/>
    <w:rsid w:val="00F31FCF"/>
    <w:rsid w:val="00F323F6"/>
    <w:rsid w:val="00F34D02"/>
    <w:rsid w:val="00F34F3D"/>
    <w:rsid w:val="00F35719"/>
    <w:rsid w:val="00F36F94"/>
    <w:rsid w:val="00F37623"/>
    <w:rsid w:val="00F411B0"/>
    <w:rsid w:val="00F4258F"/>
    <w:rsid w:val="00F4280E"/>
    <w:rsid w:val="00F43FF7"/>
    <w:rsid w:val="00F449F5"/>
    <w:rsid w:val="00F475C8"/>
    <w:rsid w:val="00F505A5"/>
    <w:rsid w:val="00F50A60"/>
    <w:rsid w:val="00F51758"/>
    <w:rsid w:val="00F51D4B"/>
    <w:rsid w:val="00F5223B"/>
    <w:rsid w:val="00F52290"/>
    <w:rsid w:val="00F557BD"/>
    <w:rsid w:val="00F56285"/>
    <w:rsid w:val="00F56A55"/>
    <w:rsid w:val="00F5787E"/>
    <w:rsid w:val="00F5796E"/>
    <w:rsid w:val="00F6015C"/>
    <w:rsid w:val="00F6102F"/>
    <w:rsid w:val="00F61F8E"/>
    <w:rsid w:val="00F63740"/>
    <w:rsid w:val="00F63BAE"/>
    <w:rsid w:val="00F660E9"/>
    <w:rsid w:val="00F67937"/>
    <w:rsid w:val="00F70137"/>
    <w:rsid w:val="00F7233E"/>
    <w:rsid w:val="00F7264D"/>
    <w:rsid w:val="00F76612"/>
    <w:rsid w:val="00F82636"/>
    <w:rsid w:val="00F82A87"/>
    <w:rsid w:val="00F83EC2"/>
    <w:rsid w:val="00F8448A"/>
    <w:rsid w:val="00F84548"/>
    <w:rsid w:val="00F851F9"/>
    <w:rsid w:val="00F86D21"/>
    <w:rsid w:val="00F8752C"/>
    <w:rsid w:val="00F87A10"/>
    <w:rsid w:val="00F90038"/>
    <w:rsid w:val="00F90747"/>
    <w:rsid w:val="00F9165D"/>
    <w:rsid w:val="00F91CA3"/>
    <w:rsid w:val="00F92D85"/>
    <w:rsid w:val="00F94C91"/>
    <w:rsid w:val="00F95337"/>
    <w:rsid w:val="00F961D1"/>
    <w:rsid w:val="00F96C5D"/>
    <w:rsid w:val="00F96E45"/>
    <w:rsid w:val="00FA0E83"/>
    <w:rsid w:val="00FA168A"/>
    <w:rsid w:val="00FA3C6B"/>
    <w:rsid w:val="00FA4F5B"/>
    <w:rsid w:val="00FA58AF"/>
    <w:rsid w:val="00FA7AF2"/>
    <w:rsid w:val="00FB0F5C"/>
    <w:rsid w:val="00FB1861"/>
    <w:rsid w:val="00FB4334"/>
    <w:rsid w:val="00FB4EB4"/>
    <w:rsid w:val="00FB67AB"/>
    <w:rsid w:val="00FB691E"/>
    <w:rsid w:val="00FC1AC6"/>
    <w:rsid w:val="00FC3AB3"/>
    <w:rsid w:val="00FC440E"/>
    <w:rsid w:val="00FC6B34"/>
    <w:rsid w:val="00FC6C94"/>
    <w:rsid w:val="00FC6DAF"/>
    <w:rsid w:val="00FC6DB5"/>
    <w:rsid w:val="00FC761A"/>
    <w:rsid w:val="00FD1BE7"/>
    <w:rsid w:val="00FD25F2"/>
    <w:rsid w:val="00FD2B3F"/>
    <w:rsid w:val="00FD37BA"/>
    <w:rsid w:val="00FD4CF6"/>
    <w:rsid w:val="00FD5226"/>
    <w:rsid w:val="00FD55DD"/>
    <w:rsid w:val="00FD67EF"/>
    <w:rsid w:val="00FD7087"/>
    <w:rsid w:val="00FD79A1"/>
    <w:rsid w:val="00FD7ABE"/>
    <w:rsid w:val="00FE07CB"/>
    <w:rsid w:val="00FE0C87"/>
    <w:rsid w:val="00FE0EB1"/>
    <w:rsid w:val="00FE1260"/>
    <w:rsid w:val="00FE4615"/>
    <w:rsid w:val="00FE48D7"/>
    <w:rsid w:val="00FE5E36"/>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unhideWhenUsed/>
    <w:rsid w:val="004656AC"/>
    <w:pPr>
      <w:tabs>
        <w:tab w:val="center" w:pos="4680"/>
        <w:tab w:val="right" w:pos="9360"/>
      </w:tabs>
    </w:pPr>
  </w:style>
  <w:style w:type="character" w:customStyle="1" w:styleId="HeaderChar">
    <w:name w:val="Header Char"/>
    <w:basedOn w:val="DefaultParagraphFont"/>
    <w:link w:val="Header"/>
    <w:uiPriority w:val="99"/>
    <w:rsid w:val="004656AC"/>
    <w:rPr>
      <w:rFonts w:ascii="CG Times" w:eastAsia="Times New Roman" w:hAnsi="CG Times" w:cs="CG Times"/>
      <w:sz w:val="24"/>
      <w:szCs w:val="24"/>
    </w:rPr>
  </w:style>
  <w:style w:type="paragraph" w:styleId="NoSpacing">
    <w:name w:val="No Spacing"/>
    <w:uiPriority w:val="1"/>
    <w:qFormat/>
    <w:rsid w:val="00120769"/>
    <w:pPr>
      <w:spacing w:line="240" w:lineRule="auto"/>
    </w:pPr>
  </w:style>
  <w:style w:type="paragraph" w:styleId="ListParagraph">
    <w:name w:val="List Paragraph"/>
    <w:basedOn w:val="Normal"/>
    <w:uiPriority w:val="34"/>
    <w:qFormat/>
    <w:rsid w:val="00152710"/>
    <w:pPr>
      <w:ind w:left="720"/>
      <w:contextualSpacing/>
    </w:pPr>
  </w:style>
  <w:style w:type="paragraph" w:styleId="Revision">
    <w:name w:val="Revision"/>
    <w:hidden/>
    <w:uiPriority w:val="99"/>
    <w:semiHidden/>
    <w:rsid w:val="009A717C"/>
    <w:pPr>
      <w:spacing w:line="240" w:lineRule="auto"/>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unhideWhenUsed/>
    <w:rsid w:val="004656AC"/>
    <w:pPr>
      <w:tabs>
        <w:tab w:val="center" w:pos="4680"/>
        <w:tab w:val="right" w:pos="9360"/>
      </w:tabs>
    </w:pPr>
  </w:style>
  <w:style w:type="character" w:customStyle="1" w:styleId="HeaderChar">
    <w:name w:val="Header Char"/>
    <w:basedOn w:val="DefaultParagraphFont"/>
    <w:link w:val="Header"/>
    <w:uiPriority w:val="99"/>
    <w:rsid w:val="004656AC"/>
    <w:rPr>
      <w:rFonts w:ascii="CG Times" w:eastAsia="Times New Roman" w:hAnsi="CG Times" w:cs="CG Times"/>
      <w:sz w:val="24"/>
      <w:szCs w:val="24"/>
    </w:rPr>
  </w:style>
  <w:style w:type="paragraph" w:styleId="NoSpacing">
    <w:name w:val="No Spacing"/>
    <w:uiPriority w:val="1"/>
    <w:qFormat/>
    <w:rsid w:val="00120769"/>
    <w:pPr>
      <w:spacing w:line="240" w:lineRule="auto"/>
    </w:pPr>
  </w:style>
  <w:style w:type="paragraph" w:styleId="ListParagraph">
    <w:name w:val="List Paragraph"/>
    <w:basedOn w:val="Normal"/>
    <w:uiPriority w:val="34"/>
    <w:qFormat/>
    <w:rsid w:val="00152710"/>
    <w:pPr>
      <w:ind w:left="720"/>
      <w:contextualSpacing/>
    </w:pPr>
  </w:style>
  <w:style w:type="paragraph" w:styleId="Revision">
    <w:name w:val="Revision"/>
    <w:hidden/>
    <w:uiPriority w:val="99"/>
    <w:semiHidden/>
    <w:rsid w:val="009A717C"/>
    <w:pPr>
      <w:spacing w:line="240" w:lineRule="auto"/>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0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41857-8B58-4FCC-9F61-893FDA3F3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3786</Words>
  <Characters>21584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shoffner</cp:lastModifiedBy>
  <cp:revision>5</cp:revision>
  <cp:lastPrinted>2012-10-02T14:43:00Z</cp:lastPrinted>
  <dcterms:created xsi:type="dcterms:W3CDTF">2013-11-06T13:39:00Z</dcterms:created>
  <dcterms:modified xsi:type="dcterms:W3CDTF">2013-11-12T15:09:00Z</dcterms:modified>
</cp:coreProperties>
</file>