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21D" w:rsidRPr="002A5D4B" w:rsidRDefault="003A121D" w:rsidP="00F85022">
      <w:pPr>
        <w:jc w:val="center"/>
        <w:rPr>
          <w:b/>
          <w:sz w:val="26"/>
          <w:szCs w:val="26"/>
        </w:rPr>
      </w:pPr>
      <w:r w:rsidRPr="002A5D4B">
        <w:rPr>
          <w:b/>
          <w:sz w:val="26"/>
          <w:szCs w:val="26"/>
        </w:rPr>
        <w:t>PENNSYLVANIA</w:t>
      </w:r>
    </w:p>
    <w:p w:rsidR="003A121D" w:rsidRPr="002A5D4B" w:rsidRDefault="003A121D" w:rsidP="00F85022">
      <w:pPr>
        <w:jc w:val="center"/>
        <w:rPr>
          <w:b/>
          <w:sz w:val="26"/>
          <w:szCs w:val="26"/>
        </w:rPr>
      </w:pPr>
      <w:r w:rsidRPr="002A5D4B">
        <w:rPr>
          <w:b/>
          <w:sz w:val="26"/>
          <w:szCs w:val="26"/>
        </w:rPr>
        <w:t>PUBLIC UTILITY COMMISSION</w:t>
      </w:r>
    </w:p>
    <w:p w:rsidR="003A121D" w:rsidRPr="002A5D4B" w:rsidRDefault="003A121D" w:rsidP="00F85022">
      <w:pPr>
        <w:jc w:val="center"/>
        <w:rPr>
          <w:b/>
          <w:sz w:val="26"/>
          <w:szCs w:val="26"/>
        </w:rPr>
      </w:pPr>
      <w:r w:rsidRPr="002A5D4B">
        <w:rPr>
          <w:b/>
          <w:sz w:val="26"/>
          <w:szCs w:val="26"/>
        </w:rPr>
        <w:t>Harrisburg, PA 17105-3265</w:t>
      </w:r>
    </w:p>
    <w:p w:rsidR="003A121D" w:rsidRDefault="003A121D" w:rsidP="00F85022">
      <w:pPr>
        <w:rPr>
          <w:sz w:val="26"/>
          <w:szCs w:val="26"/>
        </w:rPr>
      </w:pPr>
    </w:p>
    <w:p w:rsidR="003A121D" w:rsidRPr="00BA66A4" w:rsidRDefault="003A121D" w:rsidP="00F85022">
      <w:pPr>
        <w:rPr>
          <w:sz w:val="26"/>
          <w:szCs w:val="26"/>
        </w:rPr>
      </w:pPr>
    </w:p>
    <w:p w:rsidR="003A121D" w:rsidRPr="002A5D4B" w:rsidRDefault="003A121D" w:rsidP="00F85022">
      <w:pPr>
        <w:jc w:val="right"/>
        <w:rPr>
          <w:sz w:val="26"/>
          <w:szCs w:val="26"/>
        </w:rPr>
      </w:pPr>
      <w:r>
        <w:rPr>
          <w:sz w:val="26"/>
          <w:szCs w:val="26"/>
        </w:rPr>
        <w:t xml:space="preserve"> </w:t>
      </w:r>
      <w:r>
        <w:rPr>
          <w:sz w:val="26"/>
          <w:szCs w:val="26"/>
        </w:rPr>
        <w:tab/>
        <w:t xml:space="preserve">                 P</w:t>
      </w:r>
      <w:r w:rsidRPr="002A5D4B">
        <w:rPr>
          <w:sz w:val="26"/>
          <w:szCs w:val="26"/>
        </w:rPr>
        <w:t xml:space="preserve">ublic Meeting held </w:t>
      </w:r>
      <w:r w:rsidR="002E1E7B">
        <w:rPr>
          <w:sz w:val="26"/>
          <w:szCs w:val="26"/>
        </w:rPr>
        <w:t>October 31</w:t>
      </w:r>
      <w:r>
        <w:rPr>
          <w:sz w:val="26"/>
          <w:szCs w:val="26"/>
        </w:rPr>
        <w:t xml:space="preserve">, 2013 </w:t>
      </w:r>
    </w:p>
    <w:p w:rsidR="003A121D" w:rsidRDefault="003A121D" w:rsidP="00F85022">
      <w:pPr>
        <w:rPr>
          <w:sz w:val="26"/>
          <w:szCs w:val="26"/>
        </w:rPr>
      </w:pPr>
    </w:p>
    <w:p w:rsidR="003A121D" w:rsidRPr="002A5D4B" w:rsidRDefault="003A121D" w:rsidP="00F85022">
      <w:pPr>
        <w:rPr>
          <w:sz w:val="26"/>
          <w:szCs w:val="26"/>
        </w:rPr>
      </w:pPr>
    </w:p>
    <w:p w:rsidR="003A121D" w:rsidRPr="002A5D4B" w:rsidRDefault="003A121D" w:rsidP="00F85022">
      <w:pPr>
        <w:rPr>
          <w:sz w:val="26"/>
          <w:szCs w:val="26"/>
        </w:rPr>
      </w:pPr>
      <w:r w:rsidRPr="002A5D4B">
        <w:rPr>
          <w:sz w:val="26"/>
          <w:szCs w:val="26"/>
        </w:rPr>
        <w:t>Commissioners Present:</w:t>
      </w:r>
    </w:p>
    <w:p w:rsidR="003A121D" w:rsidRPr="002A5D4B" w:rsidRDefault="003A121D" w:rsidP="00F85022">
      <w:pPr>
        <w:rPr>
          <w:sz w:val="26"/>
          <w:szCs w:val="26"/>
        </w:rPr>
      </w:pPr>
    </w:p>
    <w:p w:rsidR="00980F3E" w:rsidRPr="008516FF" w:rsidRDefault="00980F3E" w:rsidP="00F85022">
      <w:pPr>
        <w:tabs>
          <w:tab w:val="left" w:pos="705"/>
        </w:tabs>
        <w:ind w:firstLine="720"/>
        <w:contextualSpacing/>
        <w:rPr>
          <w:sz w:val="26"/>
          <w:szCs w:val="26"/>
        </w:rPr>
      </w:pPr>
      <w:r w:rsidRPr="008516FF">
        <w:rPr>
          <w:sz w:val="26"/>
          <w:szCs w:val="26"/>
        </w:rPr>
        <w:t>Robert F. Powelson, Chairman</w:t>
      </w:r>
    </w:p>
    <w:p w:rsidR="00980F3E" w:rsidRPr="008516FF" w:rsidRDefault="00980F3E" w:rsidP="00F85022">
      <w:pPr>
        <w:tabs>
          <w:tab w:val="left" w:pos="705"/>
        </w:tabs>
        <w:ind w:firstLine="720"/>
        <w:contextualSpacing/>
        <w:rPr>
          <w:sz w:val="26"/>
          <w:szCs w:val="26"/>
        </w:rPr>
      </w:pPr>
      <w:r w:rsidRPr="008516FF">
        <w:rPr>
          <w:sz w:val="26"/>
          <w:szCs w:val="26"/>
        </w:rPr>
        <w:t>John F. Coleman, Jr., Vice Chairman</w:t>
      </w:r>
    </w:p>
    <w:p w:rsidR="00980F3E" w:rsidRPr="008516FF" w:rsidRDefault="00980F3E" w:rsidP="00F85022">
      <w:pPr>
        <w:tabs>
          <w:tab w:val="left" w:pos="705"/>
        </w:tabs>
        <w:ind w:firstLine="720"/>
        <w:contextualSpacing/>
        <w:rPr>
          <w:sz w:val="26"/>
          <w:szCs w:val="26"/>
        </w:rPr>
      </w:pPr>
      <w:r w:rsidRPr="008516FF">
        <w:rPr>
          <w:sz w:val="26"/>
          <w:szCs w:val="26"/>
        </w:rPr>
        <w:t>James H. Cawley</w:t>
      </w:r>
    </w:p>
    <w:p w:rsidR="00980F3E" w:rsidRDefault="00980F3E" w:rsidP="00F85022">
      <w:pPr>
        <w:tabs>
          <w:tab w:val="left" w:pos="705"/>
        </w:tabs>
        <w:ind w:firstLine="720"/>
        <w:contextualSpacing/>
        <w:rPr>
          <w:sz w:val="26"/>
          <w:szCs w:val="26"/>
        </w:rPr>
      </w:pPr>
      <w:r w:rsidRPr="008516FF">
        <w:rPr>
          <w:sz w:val="26"/>
          <w:szCs w:val="26"/>
        </w:rPr>
        <w:t>Pamela A. Witmer</w:t>
      </w:r>
    </w:p>
    <w:p w:rsidR="00980F3E" w:rsidRPr="008516FF" w:rsidRDefault="00980F3E" w:rsidP="00F85022">
      <w:pPr>
        <w:tabs>
          <w:tab w:val="left" w:pos="705"/>
        </w:tabs>
        <w:ind w:firstLine="720"/>
        <w:contextualSpacing/>
        <w:rPr>
          <w:sz w:val="26"/>
          <w:szCs w:val="26"/>
        </w:rPr>
      </w:pPr>
      <w:r>
        <w:rPr>
          <w:sz w:val="26"/>
          <w:szCs w:val="26"/>
        </w:rPr>
        <w:t>Gladys M. Brown</w:t>
      </w:r>
      <w:r w:rsidR="00F11588">
        <w:rPr>
          <w:sz w:val="26"/>
          <w:szCs w:val="26"/>
        </w:rPr>
        <w:t>; Statement</w:t>
      </w:r>
    </w:p>
    <w:p w:rsidR="003A121D" w:rsidRDefault="003A121D" w:rsidP="00F85022"/>
    <w:p w:rsidR="003A121D" w:rsidRDefault="003A121D" w:rsidP="00F85022"/>
    <w:p w:rsidR="003A121D" w:rsidRDefault="003A121D" w:rsidP="00F85022"/>
    <w:p w:rsidR="003A121D" w:rsidRPr="00E050C0" w:rsidRDefault="00BC7C26" w:rsidP="00F85022">
      <w:pPr>
        <w:tabs>
          <w:tab w:val="left" w:pos="-720"/>
          <w:tab w:val="left" w:pos="0"/>
        </w:tabs>
        <w:suppressAutoHyphens/>
        <w:rPr>
          <w:sz w:val="26"/>
          <w:szCs w:val="26"/>
        </w:rPr>
      </w:pPr>
      <w:r>
        <w:rPr>
          <w:sz w:val="26"/>
          <w:szCs w:val="26"/>
        </w:rPr>
        <w:t>Kisha Dorsey</w:t>
      </w:r>
      <w:r w:rsidR="003A121D">
        <w:rPr>
          <w:sz w:val="26"/>
          <w:szCs w:val="26"/>
        </w:rPr>
        <w:tab/>
      </w:r>
      <w:r w:rsidR="003A121D">
        <w:rPr>
          <w:sz w:val="26"/>
          <w:szCs w:val="26"/>
        </w:rPr>
        <w:tab/>
      </w:r>
      <w:r w:rsidR="003A121D">
        <w:rPr>
          <w:sz w:val="26"/>
          <w:szCs w:val="26"/>
        </w:rPr>
        <w:tab/>
      </w:r>
      <w:r w:rsidR="003A121D">
        <w:rPr>
          <w:sz w:val="26"/>
          <w:szCs w:val="26"/>
        </w:rPr>
        <w:tab/>
      </w:r>
      <w:r w:rsidR="003A121D">
        <w:rPr>
          <w:sz w:val="26"/>
          <w:szCs w:val="26"/>
        </w:rPr>
        <w:tab/>
      </w:r>
      <w:r w:rsidR="003A121D">
        <w:rPr>
          <w:sz w:val="26"/>
          <w:szCs w:val="26"/>
        </w:rPr>
        <w:tab/>
      </w:r>
      <w:r w:rsidR="003A121D">
        <w:rPr>
          <w:sz w:val="26"/>
          <w:szCs w:val="26"/>
        </w:rPr>
        <w:tab/>
        <w:t xml:space="preserve">                 F-2012-2</w:t>
      </w:r>
      <w:r>
        <w:rPr>
          <w:sz w:val="26"/>
          <w:szCs w:val="26"/>
        </w:rPr>
        <w:t>313679</w:t>
      </w:r>
    </w:p>
    <w:p w:rsidR="003A121D" w:rsidRDefault="003A121D" w:rsidP="00F85022">
      <w:pPr>
        <w:tabs>
          <w:tab w:val="left" w:pos="-720"/>
          <w:tab w:val="left" w:pos="0"/>
        </w:tabs>
        <w:suppressAutoHyphens/>
        <w:rPr>
          <w:sz w:val="26"/>
          <w:szCs w:val="26"/>
        </w:rPr>
      </w:pPr>
    </w:p>
    <w:p w:rsidR="003A121D" w:rsidRDefault="003A121D" w:rsidP="00F85022">
      <w:pPr>
        <w:tabs>
          <w:tab w:val="left" w:pos="-720"/>
          <w:tab w:val="left" w:pos="0"/>
        </w:tabs>
        <w:suppressAutoHyphens/>
        <w:rPr>
          <w:sz w:val="26"/>
          <w:szCs w:val="26"/>
        </w:rPr>
      </w:pPr>
      <w:r>
        <w:rPr>
          <w:sz w:val="26"/>
          <w:szCs w:val="26"/>
        </w:rPr>
        <w:tab/>
        <w:t>v.</w:t>
      </w:r>
    </w:p>
    <w:p w:rsidR="003A121D" w:rsidRDefault="003A121D" w:rsidP="00F85022">
      <w:pPr>
        <w:tabs>
          <w:tab w:val="left" w:pos="-720"/>
          <w:tab w:val="left" w:pos="0"/>
        </w:tabs>
        <w:suppressAutoHyphens/>
        <w:rPr>
          <w:sz w:val="26"/>
          <w:szCs w:val="26"/>
        </w:rPr>
      </w:pPr>
    </w:p>
    <w:p w:rsidR="003A121D" w:rsidRPr="00E050C0" w:rsidRDefault="003A121D" w:rsidP="00F85022">
      <w:pPr>
        <w:tabs>
          <w:tab w:val="left" w:pos="-720"/>
          <w:tab w:val="left" w:pos="0"/>
        </w:tabs>
        <w:suppressAutoHyphens/>
        <w:rPr>
          <w:sz w:val="26"/>
          <w:szCs w:val="26"/>
        </w:rPr>
      </w:pPr>
      <w:r>
        <w:rPr>
          <w:sz w:val="26"/>
          <w:szCs w:val="26"/>
        </w:rPr>
        <w:t xml:space="preserve">Philadelphia Gas Works       </w:t>
      </w:r>
      <w:r w:rsidRPr="00E050C0">
        <w:rPr>
          <w:sz w:val="26"/>
          <w:szCs w:val="26"/>
        </w:rPr>
        <w:t xml:space="preserve"> </w:t>
      </w:r>
      <w:r w:rsidRPr="00E050C0">
        <w:rPr>
          <w:sz w:val="26"/>
          <w:szCs w:val="26"/>
        </w:rPr>
        <w:tab/>
      </w:r>
      <w:r w:rsidRPr="00E050C0">
        <w:rPr>
          <w:sz w:val="26"/>
          <w:szCs w:val="26"/>
        </w:rPr>
        <w:tab/>
      </w:r>
      <w:r w:rsidRPr="00E050C0">
        <w:rPr>
          <w:sz w:val="26"/>
          <w:szCs w:val="26"/>
        </w:rPr>
        <w:tab/>
      </w:r>
      <w:r w:rsidRPr="00E050C0">
        <w:rPr>
          <w:sz w:val="26"/>
          <w:szCs w:val="26"/>
        </w:rPr>
        <w:tab/>
      </w:r>
    </w:p>
    <w:p w:rsidR="003A121D" w:rsidRDefault="003A121D" w:rsidP="00F85022">
      <w:pPr>
        <w:rPr>
          <w:sz w:val="26"/>
          <w:szCs w:val="26"/>
        </w:rPr>
      </w:pPr>
    </w:p>
    <w:p w:rsidR="003A121D" w:rsidRPr="00624B80" w:rsidRDefault="003A121D" w:rsidP="00F85022">
      <w:pPr>
        <w:tabs>
          <w:tab w:val="left" w:pos="-720"/>
        </w:tabs>
        <w:suppressAutoHyphens/>
        <w:rPr>
          <w:sz w:val="26"/>
        </w:rPr>
      </w:pPr>
    </w:p>
    <w:p w:rsidR="003A121D" w:rsidRPr="00624B80" w:rsidRDefault="003A121D" w:rsidP="00F85022">
      <w:pPr>
        <w:tabs>
          <w:tab w:val="center" w:pos="4680"/>
        </w:tabs>
        <w:suppressAutoHyphens/>
        <w:jc w:val="center"/>
        <w:rPr>
          <w:b/>
          <w:sz w:val="26"/>
        </w:rPr>
      </w:pPr>
      <w:r w:rsidRPr="00624B80">
        <w:rPr>
          <w:b/>
          <w:sz w:val="26"/>
        </w:rPr>
        <w:t>OPINION AND ORDER</w:t>
      </w:r>
    </w:p>
    <w:p w:rsidR="003A121D" w:rsidRPr="00624B80" w:rsidRDefault="003A121D" w:rsidP="00F85022">
      <w:pPr>
        <w:tabs>
          <w:tab w:val="left" w:pos="-720"/>
        </w:tabs>
        <w:suppressAutoHyphens/>
        <w:spacing w:line="360" w:lineRule="auto"/>
        <w:rPr>
          <w:b/>
          <w:sz w:val="26"/>
        </w:rPr>
      </w:pPr>
    </w:p>
    <w:p w:rsidR="003A121D" w:rsidRPr="00624B80" w:rsidRDefault="003A121D" w:rsidP="00F85022">
      <w:pPr>
        <w:tabs>
          <w:tab w:val="left" w:pos="-720"/>
        </w:tabs>
        <w:suppressAutoHyphens/>
        <w:spacing w:line="360" w:lineRule="auto"/>
        <w:rPr>
          <w:sz w:val="26"/>
        </w:rPr>
      </w:pPr>
      <w:r w:rsidRPr="00624B80">
        <w:rPr>
          <w:b/>
          <w:sz w:val="26"/>
        </w:rPr>
        <w:t>BY THE COMMISSION:</w:t>
      </w:r>
    </w:p>
    <w:p w:rsidR="003A121D" w:rsidRPr="00585188" w:rsidRDefault="003A121D" w:rsidP="00F85022">
      <w:pPr>
        <w:rPr>
          <w:sz w:val="26"/>
          <w:szCs w:val="26"/>
        </w:rPr>
      </w:pPr>
    </w:p>
    <w:p w:rsidR="003A121D" w:rsidRDefault="003A121D" w:rsidP="00F85022">
      <w:pPr>
        <w:spacing w:line="360" w:lineRule="auto"/>
        <w:rPr>
          <w:sz w:val="26"/>
          <w:szCs w:val="26"/>
        </w:rPr>
      </w:pPr>
      <w:r>
        <w:rPr>
          <w:sz w:val="26"/>
          <w:szCs w:val="26"/>
        </w:rPr>
        <w:tab/>
      </w:r>
      <w:r>
        <w:rPr>
          <w:sz w:val="26"/>
          <w:szCs w:val="26"/>
        </w:rPr>
        <w:tab/>
      </w: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and disposition is the Initial Decision (I</w:t>
      </w:r>
      <w:r w:rsidR="00C26058">
        <w:rPr>
          <w:sz w:val="26"/>
          <w:szCs w:val="26"/>
        </w:rPr>
        <w:t>.D.) of Special Agent (SA</w:t>
      </w:r>
      <w:r>
        <w:rPr>
          <w:sz w:val="26"/>
          <w:szCs w:val="26"/>
        </w:rPr>
        <w:t xml:space="preserve">) </w:t>
      </w:r>
      <w:r w:rsidR="00C26058">
        <w:rPr>
          <w:sz w:val="26"/>
          <w:szCs w:val="26"/>
        </w:rPr>
        <w:t>Tiffany A. Hunt</w:t>
      </w:r>
      <w:r>
        <w:rPr>
          <w:sz w:val="26"/>
          <w:szCs w:val="26"/>
        </w:rPr>
        <w:t xml:space="preserve">, issued on </w:t>
      </w:r>
      <w:r w:rsidR="00C26058">
        <w:rPr>
          <w:sz w:val="26"/>
          <w:szCs w:val="26"/>
        </w:rPr>
        <w:t>July 17</w:t>
      </w:r>
      <w:r>
        <w:rPr>
          <w:sz w:val="26"/>
          <w:szCs w:val="26"/>
        </w:rPr>
        <w:t xml:space="preserve">, 2013, in the above-captioned proceeding.  Exceptions have not been filed.  </w:t>
      </w:r>
      <w:r w:rsidR="00C26058">
        <w:rPr>
          <w:sz w:val="26"/>
          <w:szCs w:val="26"/>
        </w:rPr>
        <w:t>However, we exercise</w:t>
      </w:r>
      <w:r>
        <w:rPr>
          <w:sz w:val="26"/>
          <w:szCs w:val="26"/>
        </w:rPr>
        <w:t xml:space="preserve"> our right to review the Initial Decision pursuant to Section 332(h) of the Public Utility Code (Code), 66 Pa. C.S. § 332(h).  For the reasons stated below, we shall modify</w:t>
      </w:r>
      <w:r w:rsidR="00C26058">
        <w:rPr>
          <w:sz w:val="26"/>
          <w:szCs w:val="26"/>
        </w:rPr>
        <w:t xml:space="preserve"> the SA</w:t>
      </w:r>
      <w:r>
        <w:rPr>
          <w:sz w:val="26"/>
          <w:szCs w:val="26"/>
        </w:rPr>
        <w:t xml:space="preserve">’s Initial Decision, consistent with this Opinion and Order.   </w:t>
      </w:r>
    </w:p>
    <w:p w:rsidR="003A121D" w:rsidRDefault="003A121D" w:rsidP="00F85022">
      <w:pPr>
        <w:spacing w:line="360" w:lineRule="auto"/>
        <w:jc w:val="center"/>
        <w:rPr>
          <w:b/>
          <w:sz w:val="26"/>
          <w:szCs w:val="26"/>
        </w:rPr>
      </w:pPr>
    </w:p>
    <w:p w:rsidR="00091A47" w:rsidRDefault="00091A47" w:rsidP="00F85022">
      <w:pPr>
        <w:spacing w:line="360" w:lineRule="auto"/>
        <w:jc w:val="center"/>
        <w:rPr>
          <w:b/>
          <w:sz w:val="26"/>
          <w:szCs w:val="26"/>
        </w:rPr>
      </w:pPr>
    </w:p>
    <w:p w:rsidR="003A121D" w:rsidRDefault="003A121D" w:rsidP="00F85022">
      <w:pPr>
        <w:spacing w:line="360" w:lineRule="auto"/>
        <w:jc w:val="center"/>
        <w:rPr>
          <w:b/>
          <w:sz w:val="26"/>
          <w:szCs w:val="26"/>
        </w:rPr>
      </w:pPr>
      <w:r w:rsidRPr="00CA1972">
        <w:rPr>
          <w:b/>
          <w:sz w:val="26"/>
          <w:szCs w:val="26"/>
        </w:rPr>
        <w:lastRenderedPageBreak/>
        <w:t>History of the Proceeding</w:t>
      </w:r>
    </w:p>
    <w:p w:rsidR="00091A47" w:rsidRPr="00091A47" w:rsidRDefault="00091A47" w:rsidP="00F85022">
      <w:pPr>
        <w:spacing w:line="360" w:lineRule="auto"/>
        <w:jc w:val="center"/>
        <w:rPr>
          <w:b/>
          <w:sz w:val="26"/>
          <w:szCs w:val="26"/>
        </w:rPr>
      </w:pPr>
    </w:p>
    <w:p w:rsidR="00091A47" w:rsidRPr="00091A47" w:rsidRDefault="00091A47" w:rsidP="00F85022">
      <w:pPr>
        <w:spacing w:line="360" w:lineRule="auto"/>
        <w:ind w:firstLine="1440"/>
        <w:rPr>
          <w:sz w:val="26"/>
        </w:rPr>
      </w:pPr>
      <w:r w:rsidRPr="00091A47">
        <w:rPr>
          <w:sz w:val="26"/>
        </w:rPr>
        <w:t>On July 29, 2012, Kisha Dorsey (Ms. Dorsey</w:t>
      </w:r>
      <w:r>
        <w:rPr>
          <w:sz w:val="26"/>
        </w:rPr>
        <w:t xml:space="preserve"> or Complainant) filed a F</w:t>
      </w:r>
      <w:r w:rsidR="00D46DDB">
        <w:rPr>
          <w:sz w:val="26"/>
        </w:rPr>
        <w:t>ormal Complaint</w:t>
      </w:r>
      <w:r w:rsidR="004C690F">
        <w:rPr>
          <w:rStyle w:val="FootnoteReference"/>
          <w:sz w:val="26"/>
        </w:rPr>
        <w:footnoteReference w:id="1"/>
      </w:r>
      <w:r w:rsidRPr="00091A47">
        <w:rPr>
          <w:sz w:val="26"/>
        </w:rPr>
        <w:t xml:space="preserve"> with the Commission against Philadelphia Gas Works (PGW or Respondent) which alleged, </w:t>
      </w:r>
      <w:r w:rsidRPr="00091A47">
        <w:rPr>
          <w:i/>
          <w:sz w:val="26"/>
        </w:rPr>
        <w:t>inter alia</w:t>
      </w:r>
      <w:r w:rsidRPr="00091A47">
        <w:rPr>
          <w:sz w:val="26"/>
        </w:rPr>
        <w:t>, an inability to pay her gas utility bills and that she received a notice her utility service was being terminated.  As relief, Ms. Dorsey requested a payment agreement.</w:t>
      </w:r>
      <w:r>
        <w:rPr>
          <w:sz w:val="26"/>
        </w:rPr>
        <w:t xml:space="preserve">  </w:t>
      </w:r>
      <w:r w:rsidRPr="00091A47">
        <w:rPr>
          <w:sz w:val="26"/>
        </w:rPr>
        <w:t>On August 2, 20</w:t>
      </w:r>
      <w:r w:rsidR="00D46DDB">
        <w:rPr>
          <w:sz w:val="26"/>
        </w:rPr>
        <w:t>12, PGW filed an Answer</w:t>
      </w:r>
      <w:r w:rsidRPr="00091A47">
        <w:rPr>
          <w:sz w:val="26"/>
        </w:rPr>
        <w:t xml:space="preserve"> to the Complaint.  In </w:t>
      </w:r>
      <w:r>
        <w:rPr>
          <w:sz w:val="26"/>
        </w:rPr>
        <w:t>its</w:t>
      </w:r>
      <w:r w:rsidRPr="00091A47">
        <w:rPr>
          <w:sz w:val="26"/>
        </w:rPr>
        <w:t xml:space="preserve"> Answer, PGW denied the material allegations of the Complaint and provided additional allegations of fact regarding the Complainant’s payment history and prior payment arrangements</w:t>
      </w:r>
    </w:p>
    <w:p w:rsidR="00091A47" w:rsidRPr="00091A47" w:rsidRDefault="00091A47" w:rsidP="00F85022">
      <w:pPr>
        <w:spacing w:line="360" w:lineRule="auto"/>
        <w:rPr>
          <w:sz w:val="26"/>
        </w:rPr>
      </w:pPr>
    </w:p>
    <w:p w:rsidR="00091A47" w:rsidRDefault="00091A47" w:rsidP="00F85022">
      <w:pPr>
        <w:spacing w:line="360" w:lineRule="auto"/>
        <w:ind w:firstLine="1440"/>
        <w:rPr>
          <w:sz w:val="26"/>
        </w:rPr>
      </w:pPr>
      <w:r w:rsidRPr="00091A47">
        <w:rPr>
          <w:sz w:val="26"/>
        </w:rPr>
        <w:t xml:space="preserve">The </w:t>
      </w:r>
      <w:r>
        <w:rPr>
          <w:sz w:val="26"/>
        </w:rPr>
        <w:t>SA convened the Initial Hearing telephonically</w:t>
      </w:r>
      <w:r w:rsidRPr="00091A47">
        <w:rPr>
          <w:sz w:val="26"/>
        </w:rPr>
        <w:t xml:space="preserve"> </w:t>
      </w:r>
      <w:r>
        <w:rPr>
          <w:sz w:val="26"/>
        </w:rPr>
        <w:t>on</w:t>
      </w:r>
      <w:r w:rsidRPr="00091A47">
        <w:rPr>
          <w:sz w:val="26"/>
        </w:rPr>
        <w:t xml:space="preserve"> January 28, 2013, at 10:00 a.m.  Prior to the start of the hearing, the </w:t>
      </w:r>
      <w:r w:rsidR="00640AC8">
        <w:rPr>
          <w:sz w:val="26"/>
        </w:rPr>
        <w:t>P</w:t>
      </w:r>
      <w:r w:rsidRPr="00091A47">
        <w:rPr>
          <w:sz w:val="26"/>
        </w:rPr>
        <w:t>arties settled the Complaint.  On that same day, PGW filed a Certificate of Satisfaction with the Commission.  By letter dated February 6, 2013, Ms. Dorsey timely objected to th</w:t>
      </w:r>
      <w:r>
        <w:rPr>
          <w:sz w:val="26"/>
        </w:rPr>
        <w:t xml:space="preserve">e Certificate of Satisfaction and the hearing was rescheduled. </w:t>
      </w:r>
    </w:p>
    <w:p w:rsidR="00091A47" w:rsidRPr="00091A47" w:rsidRDefault="00091A47" w:rsidP="00F85022">
      <w:pPr>
        <w:spacing w:line="360" w:lineRule="auto"/>
        <w:ind w:firstLine="1440"/>
        <w:rPr>
          <w:sz w:val="26"/>
        </w:rPr>
      </w:pPr>
    </w:p>
    <w:p w:rsidR="00B95764" w:rsidRPr="00091A47" w:rsidRDefault="00091A47" w:rsidP="00F85022">
      <w:pPr>
        <w:spacing w:line="360" w:lineRule="auto"/>
        <w:rPr>
          <w:sz w:val="26"/>
        </w:rPr>
      </w:pPr>
      <w:r w:rsidRPr="00091A47">
        <w:rPr>
          <w:sz w:val="26"/>
        </w:rPr>
        <w:tab/>
      </w:r>
      <w:r w:rsidRPr="00091A47">
        <w:rPr>
          <w:sz w:val="26"/>
        </w:rPr>
        <w:tab/>
        <w:t>The</w:t>
      </w:r>
      <w:r>
        <w:rPr>
          <w:sz w:val="26"/>
        </w:rPr>
        <w:t xml:space="preserve"> SA again convened the Initial Hearing via telephone on</w:t>
      </w:r>
      <w:r w:rsidRPr="00091A47">
        <w:rPr>
          <w:sz w:val="26"/>
        </w:rPr>
        <w:t xml:space="preserve"> May 10, 2013, at 10:00 a.m.</w:t>
      </w:r>
      <w:r w:rsidRPr="00091A47">
        <w:rPr>
          <w:rStyle w:val="FootnoteReference"/>
          <w:sz w:val="26"/>
        </w:rPr>
        <w:footnoteReference w:id="2"/>
      </w:r>
      <w:r w:rsidRPr="00091A47">
        <w:rPr>
          <w:sz w:val="26"/>
        </w:rPr>
        <w:t xml:space="preserve">  </w:t>
      </w:r>
      <w:r w:rsidR="00D46AD3">
        <w:rPr>
          <w:sz w:val="26"/>
        </w:rPr>
        <w:t>The Complainant</w:t>
      </w:r>
      <w:r w:rsidRPr="00091A47">
        <w:rPr>
          <w:sz w:val="26"/>
        </w:rPr>
        <w:t xml:space="preserve"> appeared </w:t>
      </w:r>
      <w:r w:rsidRPr="00091A47">
        <w:rPr>
          <w:i/>
          <w:iCs/>
          <w:sz w:val="26"/>
        </w:rPr>
        <w:t>pro se</w:t>
      </w:r>
      <w:r w:rsidRPr="00091A47">
        <w:rPr>
          <w:sz w:val="26"/>
        </w:rPr>
        <w:t xml:space="preserve"> and testified on her own behalf.</w:t>
      </w:r>
      <w:r w:rsidR="00D46AD3">
        <w:rPr>
          <w:sz w:val="26"/>
        </w:rPr>
        <w:t xml:space="preserve">  The Respondent was represented by counsel and </w:t>
      </w:r>
      <w:r w:rsidR="00D46AD3" w:rsidRPr="00091A47">
        <w:rPr>
          <w:sz w:val="26"/>
        </w:rPr>
        <w:t>presented</w:t>
      </w:r>
      <w:r w:rsidRPr="00091A47">
        <w:rPr>
          <w:sz w:val="26"/>
        </w:rPr>
        <w:t xml:space="preserve"> the testimony of one</w:t>
      </w:r>
      <w:r w:rsidR="00D46AD3">
        <w:rPr>
          <w:sz w:val="26"/>
        </w:rPr>
        <w:t xml:space="preserve"> witness</w:t>
      </w:r>
      <w:r w:rsidRPr="00091A47">
        <w:rPr>
          <w:sz w:val="26"/>
        </w:rPr>
        <w:t xml:space="preserve"> who sponsored six</w:t>
      </w:r>
      <w:r w:rsidR="00D46AD3">
        <w:rPr>
          <w:sz w:val="26"/>
        </w:rPr>
        <w:t xml:space="preserve"> </w:t>
      </w:r>
      <w:r w:rsidRPr="00091A47">
        <w:rPr>
          <w:sz w:val="26"/>
        </w:rPr>
        <w:t>exhibits, which were admitted into the record.</w:t>
      </w:r>
      <w:r w:rsidR="00D46AD3">
        <w:rPr>
          <w:sz w:val="26"/>
        </w:rPr>
        <w:t xml:space="preserve">  </w:t>
      </w:r>
      <w:r w:rsidR="00F00CF4">
        <w:rPr>
          <w:sz w:val="26"/>
        </w:rPr>
        <w:t>The record closed on May </w:t>
      </w:r>
      <w:r w:rsidRPr="00091A47">
        <w:rPr>
          <w:sz w:val="26"/>
        </w:rPr>
        <w:t>10, 2013.</w:t>
      </w:r>
    </w:p>
    <w:p w:rsidR="00D25C44" w:rsidRDefault="00D25C44" w:rsidP="00F85022"/>
    <w:p w:rsidR="00194D37" w:rsidRDefault="00194D37" w:rsidP="00F85022">
      <w:pPr>
        <w:jc w:val="center"/>
        <w:rPr>
          <w:b/>
          <w:sz w:val="26"/>
          <w:szCs w:val="26"/>
        </w:rPr>
      </w:pPr>
      <w:r>
        <w:rPr>
          <w:b/>
          <w:sz w:val="26"/>
          <w:szCs w:val="26"/>
        </w:rPr>
        <w:t>Discussion</w:t>
      </w:r>
    </w:p>
    <w:p w:rsidR="00194D37" w:rsidRDefault="00194D37" w:rsidP="00F85022">
      <w:pPr>
        <w:spacing w:line="360" w:lineRule="auto"/>
        <w:jc w:val="center"/>
        <w:rPr>
          <w:sz w:val="26"/>
          <w:szCs w:val="26"/>
        </w:rPr>
      </w:pPr>
    </w:p>
    <w:p w:rsidR="00194D37" w:rsidRPr="00194D37" w:rsidRDefault="00194D37" w:rsidP="00F85022">
      <w:pPr>
        <w:spacing w:line="360" w:lineRule="auto"/>
        <w:ind w:firstLine="1440"/>
        <w:rPr>
          <w:sz w:val="26"/>
        </w:rPr>
      </w:pPr>
      <w:r w:rsidRPr="00194D37">
        <w:rPr>
          <w:sz w:val="26"/>
          <w:szCs w:val="26"/>
        </w:rPr>
        <w:t xml:space="preserve">As the proponent of a rule or order, the Complainant in this proceeding bears the burden of proof pursuant to Section 332(a) of the Code.  66 Pa. C.S. § 332(a).  </w:t>
      </w:r>
      <w:r w:rsidRPr="00194D37">
        <w:rPr>
          <w:sz w:val="26"/>
          <w:szCs w:val="26"/>
        </w:rPr>
        <w:lastRenderedPageBreak/>
        <w:t xml:space="preserve">To establish a sufficient case and satisfy the burden of proof, the Complainant must show that the Respondent is responsible or accountable for the problem described in the Complaint.  </w:t>
      </w:r>
      <w:r w:rsidRPr="00194D37">
        <w:rPr>
          <w:i/>
          <w:sz w:val="26"/>
          <w:szCs w:val="26"/>
        </w:rPr>
        <w:t>Patterson v. Bell Telephone Company of Pennsylvania</w:t>
      </w:r>
      <w:r w:rsidRPr="00194D37">
        <w:rPr>
          <w:sz w:val="26"/>
          <w:szCs w:val="26"/>
        </w:rPr>
        <w:t xml:space="preserve">, 72 Pa. P.U.C. 196 (1990).  Such a showing must be by a preponderance of the evidence.  </w:t>
      </w:r>
      <w:r w:rsidRPr="00194D37">
        <w:rPr>
          <w:i/>
          <w:iCs/>
          <w:sz w:val="26"/>
          <w:szCs w:val="26"/>
        </w:rPr>
        <w:t>Samuel J. Lansberry, Inc. v. Pa. PUC</w:t>
      </w:r>
      <w:r w:rsidRPr="00194D37">
        <w:rPr>
          <w:sz w:val="26"/>
          <w:szCs w:val="26"/>
        </w:rPr>
        <w:t xml:space="preserve">, 578 A.2d 600 (Pa. Cmwlth. 1990), </w:t>
      </w:r>
      <w:r w:rsidRPr="00194D37">
        <w:rPr>
          <w:i/>
          <w:sz w:val="26"/>
          <w:szCs w:val="26"/>
        </w:rPr>
        <w:t>alloc. denied,</w:t>
      </w:r>
      <w:r w:rsidRPr="00194D37">
        <w:rPr>
          <w:sz w:val="26"/>
          <w:szCs w:val="26"/>
        </w:rPr>
        <w:t xml:space="preserve"> 529 Pa. 654, 602 A.2d 863 (1992).  That is, the Complainant’s evidence must be more convincing, by even the smallest amount, than that presented by the Respondent.  </w:t>
      </w:r>
      <w:r w:rsidRPr="00194D37">
        <w:rPr>
          <w:i/>
          <w:sz w:val="26"/>
          <w:szCs w:val="26"/>
        </w:rPr>
        <w:t>Se-Ling Hosiery, Inc. v. Margulies</w:t>
      </w:r>
      <w:r w:rsidRPr="00194D37">
        <w:rPr>
          <w:sz w:val="26"/>
          <w:szCs w:val="26"/>
        </w:rPr>
        <w:t xml:space="preserve">, 364 Pa. 45, 70 A.2d 854 (1950).  Additionally, this Commission’s </w:t>
      </w:r>
      <w:r w:rsidRPr="00194D37">
        <w:rPr>
          <w:sz w:val="26"/>
        </w:rPr>
        <w:t xml:space="preserve">decision must be supported by substantial evidence in the record.  More is required than a mere trace of evidence or a suspicion of the existence of a fact sought to be established.  </w:t>
      </w:r>
      <w:r w:rsidRPr="00194D37">
        <w:rPr>
          <w:i/>
          <w:sz w:val="26"/>
        </w:rPr>
        <w:t xml:space="preserve">Norfolk &amp; Western Ry. Co. v. Pa. PUC, </w:t>
      </w:r>
      <w:r w:rsidRPr="00194D37">
        <w:rPr>
          <w:sz w:val="26"/>
        </w:rPr>
        <w:t xml:space="preserve">489 Pa. 109, 413 A.2d 1037 (1980).  </w:t>
      </w:r>
    </w:p>
    <w:p w:rsidR="00194D37" w:rsidRPr="00194D37" w:rsidRDefault="00194D37" w:rsidP="00F85022">
      <w:pPr>
        <w:spacing w:line="360" w:lineRule="auto"/>
        <w:ind w:firstLine="1440"/>
        <w:rPr>
          <w:sz w:val="26"/>
        </w:rPr>
      </w:pPr>
    </w:p>
    <w:p w:rsidR="00194D37" w:rsidRPr="00194D37" w:rsidRDefault="00194D37" w:rsidP="00F85022">
      <w:pPr>
        <w:spacing w:line="360" w:lineRule="auto"/>
        <w:ind w:firstLine="1440"/>
        <w:rPr>
          <w:sz w:val="26"/>
        </w:rPr>
      </w:pPr>
      <w:r w:rsidRPr="00194D37">
        <w:rPr>
          <w:sz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194D37">
        <w:rPr>
          <w:iCs/>
          <w:sz w:val="26"/>
        </w:rPr>
        <w:t xml:space="preserve"> </w:t>
      </w:r>
      <w:hyperlink r:id="rId9" w:history="1">
        <w:r w:rsidRPr="00194D37">
          <w:rPr>
            <w:rFonts w:eastAsiaTheme="majorEastAsia"/>
            <w:i/>
            <w:iCs/>
            <w:sz w:val="26"/>
          </w:rPr>
          <w:t>Burleson v. Pa. PUC</w:t>
        </w:r>
        <w:r w:rsidRPr="00194D37">
          <w:rPr>
            <w:rFonts w:eastAsiaTheme="majorEastAsia"/>
            <w:iCs/>
            <w:sz w:val="26"/>
          </w:rPr>
          <w:t xml:space="preserve">, 443 A.2d 1373 (Pa. Cmwlth. 1982), </w:t>
        </w:r>
        <w:r w:rsidRPr="00194D37">
          <w:rPr>
            <w:rFonts w:eastAsiaTheme="majorEastAsia"/>
            <w:i/>
            <w:iCs/>
            <w:sz w:val="26"/>
          </w:rPr>
          <w:t>aff’d</w:t>
        </w:r>
        <w:r w:rsidRPr="00194D37">
          <w:rPr>
            <w:rFonts w:eastAsiaTheme="majorEastAsia"/>
            <w:iCs/>
            <w:sz w:val="26"/>
          </w:rPr>
          <w:t>, 501 Pa. 433, 461 A.2d 1234 (1983).</w:t>
        </w:r>
      </w:hyperlink>
      <w:r w:rsidRPr="00194D37">
        <w:rPr>
          <w:rFonts w:eastAsiaTheme="majorEastAsia"/>
          <w:iCs/>
          <w:sz w:val="26"/>
        </w:rPr>
        <w:t xml:space="preserve">  </w:t>
      </w:r>
      <w:r w:rsidRPr="00194D37">
        <w:rPr>
          <w:sz w:val="26"/>
        </w:rPr>
        <w:t xml:space="preserve">While the burden of going forward with the evidence may </w:t>
      </w:r>
      <w:r w:rsidRPr="00194D37">
        <w:rPr>
          <w:rFonts w:eastAsiaTheme="majorEastAsia"/>
          <w:sz w:val="26"/>
        </w:rPr>
        <w:t>shift</w:t>
      </w:r>
      <w:r w:rsidRPr="00194D37">
        <w:rPr>
          <w:sz w:val="26"/>
        </w:rPr>
        <w:t xml:space="preserve"> back and forth during a proceeding, the </w:t>
      </w:r>
      <w:r w:rsidRPr="00194D37">
        <w:rPr>
          <w:rFonts w:eastAsiaTheme="majorEastAsia"/>
          <w:sz w:val="26"/>
        </w:rPr>
        <w:t>burden of proof</w:t>
      </w:r>
      <w:r w:rsidRPr="00194D37">
        <w:rPr>
          <w:sz w:val="26"/>
        </w:rPr>
        <w:t xml:space="preserve"> never </w:t>
      </w:r>
      <w:r w:rsidRPr="00194D37">
        <w:rPr>
          <w:rFonts w:eastAsiaTheme="majorEastAsia"/>
          <w:sz w:val="26"/>
        </w:rPr>
        <w:t>shifts.  The burden of proof</w:t>
      </w:r>
      <w:r w:rsidRPr="00194D37">
        <w:rPr>
          <w:sz w:val="26"/>
        </w:rPr>
        <w:t xml:space="preserve"> always remains on the party seeking affirmative relief from the Commission.  </w:t>
      </w:r>
      <w:r w:rsidRPr="00194D37">
        <w:rPr>
          <w:i/>
          <w:sz w:val="26"/>
        </w:rPr>
        <w:t xml:space="preserve">Milkie v. Pa. PUC, </w:t>
      </w:r>
      <w:r w:rsidRPr="00194D37">
        <w:rPr>
          <w:sz w:val="26"/>
        </w:rPr>
        <w:t>768 A.2d 1217 (Pa. Cmwlth. 2001).</w:t>
      </w:r>
    </w:p>
    <w:p w:rsidR="00194D37" w:rsidRPr="00194D37" w:rsidRDefault="00194D37" w:rsidP="00F85022">
      <w:pPr>
        <w:spacing w:line="360" w:lineRule="auto"/>
        <w:rPr>
          <w:sz w:val="26"/>
        </w:rPr>
      </w:pPr>
    </w:p>
    <w:p w:rsidR="00194D37" w:rsidRPr="00194D37" w:rsidRDefault="00194D37" w:rsidP="00F85022">
      <w:pPr>
        <w:spacing w:line="360" w:lineRule="auto"/>
        <w:ind w:firstLine="1440"/>
        <w:rPr>
          <w:sz w:val="26"/>
          <w:szCs w:val="26"/>
        </w:rPr>
      </w:pPr>
      <w:r>
        <w:rPr>
          <w:sz w:val="26"/>
          <w:szCs w:val="26"/>
        </w:rPr>
        <w:t>The SA</w:t>
      </w:r>
      <w:r w:rsidRPr="00194D37">
        <w:rPr>
          <w:sz w:val="26"/>
          <w:szCs w:val="26"/>
        </w:rPr>
        <w:t xml:space="preserve"> made </w:t>
      </w:r>
      <w:r>
        <w:rPr>
          <w:sz w:val="26"/>
          <w:szCs w:val="26"/>
        </w:rPr>
        <w:t>twenty-four</w:t>
      </w:r>
      <w:r w:rsidRPr="00194D37">
        <w:rPr>
          <w:sz w:val="26"/>
          <w:szCs w:val="26"/>
        </w:rPr>
        <w:t xml:space="preserve"> Findings of Fact and reached </w:t>
      </w:r>
      <w:r>
        <w:rPr>
          <w:sz w:val="26"/>
          <w:szCs w:val="26"/>
        </w:rPr>
        <w:t>five</w:t>
      </w:r>
      <w:r w:rsidRPr="00194D37">
        <w:rPr>
          <w:sz w:val="26"/>
          <w:szCs w:val="26"/>
        </w:rPr>
        <w:t xml:space="preserve"> Conclusions of Law.  I.D. at </w:t>
      </w:r>
      <w:r>
        <w:rPr>
          <w:sz w:val="26"/>
          <w:szCs w:val="26"/>
        </w:rPr>
        <w:t>3-5; 8</w:t>
      </w:r>
      <w:r w:rsidRPr="00194D37">
        <w:rPr>
          <w:sz w:val="26"/>
          <w:szCs w:val="26"/>
        </w:rPr>
        <w:t>.  We shall adopt and incorpo</w:t>
      </w:r>
      <w:r>
        <w:rPr>
          <w:sz w:val="26"/>
          <w:szCs w:val="26"/>
        </w:rPr>
        <w:t>rate herein by reference the SA</w:t>
      </w:r>
      <w:r w:rsidRPr="00194D37">
        <w:rPr>
          <w:sz w:val="26"/>
          <w:szCs w:val="26"/>
        </w:rPr>
        <w:t>’s Findings of Fact and Conclusions of Law, unless they are reversed or modified by this Opinion and Order, either expressly or by necessary implication. </w:t>
      </w:r>
    </w:p>
    <w:p w:rsidR="00194D37" w:rsidRPr="00194D37" w:rsidRDefault="00194D37" w:rsidP="00F85022">
      <w:pPr>
        <w:spacing w:line="360" w:lineRule="auto"/>
        <w:ind w:firstLine="1440"/>
        <w:rPr>
          <w:sz w:val="26"/>
          <w:szCs w:val="26"/>
        </w:rPr>
      </w:pPr>
    </w:p>
    <w:p w:rsidR="00194D37" w:rsidRPr="00194D37" w:rsidRDefault="00194D37" w:rsidP="00F85022">
      <w:pPr>
        <w:spacing w:line="360" w:lineRule="auto"/>
        <w:ind w:firstLine="720"/>
        <w:rPr>
          <w:sz w:val="26"/>
          <w:szCs w:val="26"/>
        </w:rPr>
      </w:pPr>
      <w:r w:rsidRPr="00194D37">
        <w:rPr>
          <w:b/>
          <w:sz w:val="26"/>
          <w:szCs w:val="26"/>
        </w:rPr>
        <w:lastRenderedPageBreak/>
        <w:tab/>
      </w:r>
      <w:r w:rsidRPr="00194D37">
        <w:rPr>
          <w:sz w:val="26"/>
          <w:szCs w:val="26"/>
        </w:rPr>
        <w:t xml:space="preserve">Additionally, we note that any issue or argument that we do not specifically delineate shall be deemed to have been duly considered and denied without further discussion.  The Commission is not required to consider expressly or at length each contention or argument raised by the Parties.  </w:t>
      </w:r>
      <w:r w:rsidRPr="00194D37">
        <w:rPr>
          <w:i/>
          <w:sz w:val="26"/>
          <w:szCs w:val="26"/>
        </w:rPr>
        <w:t>Consolidated Rail Corp. v. Pa. PUC</w:t>
      </w:r>
      <w:r w:rsidRPr="00194D37">
        <w:rPr>
          <w:sz w:val="26"/>
          <w:szCs w:val="26"/>
        </w:rPr>
        <w:t xml:space="preserve">, 625 A.2d 741 (Pa. Cmwlth. 1993); </w:t>
      </w:r>
      <w:r w:rsidRPr="00194D37">
        <w:rPr>
          <w:i/>
          <w:sz w:val="26"/>
          <w:szCs w:val="26"/>
        </w:rPr>
        <w:t>also see, generally</w:t>
      </w:r>
      <w:r w:rsidRPr="00194D37">
        <w:rPr>
          <w:sz w:val="26"/>
          <w:szCs w:val="26"/>
        </w:rPr>
        <w:t xml:space="preserve">, </w:t>
      </w:r>
      <w:r w:rsidRPr="00194D37">
        <w:rPr>
          <w:i/>
          <w:sz w:val="26"/>
          <w:szCs w:val="26"/>
        </w:rPr>
        <w:t>University of Pennsylvania v. Pa. PUC</w:t>
      </w:r>
      <w:r w:rsidRPr="00194D37">
        <w:rPr>
          <w:sz w:val="26"/>
          <w:szCs w:val="26"/>
        </w:rPr>
        <w:t xml:space="preserve">, 485 A.2d 1217 (Pa. Cmwlth. 1984).  </w:t>
      </w:r>
    </w:p>
    <w:p w:rsidR="00194D37" w:rsidRDefault="00194D37" w:rsidP="00F85022">
      <w:pPr>
        <w:rPr>
          <w:sz w:val="26"/>
        </w:rPr>
      </w:pPr>
    </w:p>
    <w:p w:rsidR="00B95764" w:rsidRPr="00226745" w:rsidRDefault="00B95764" w:rsidP="00F85022">
      <w:pPr>
        <w:rPr>
          <w:rFonts w:ascii="Arial" w:hAnsi="Arial" w:cs="Arial"/>
        </w:rPr>
      </w:pPr>
    </w:p>
    <w:p w:rsidR="00B95764" w:rsidRPr="0068534B" w:rsidRDefault="00B95764" w:rsidP="00F85022">
      <w:pPr>
        <w:spacing w:line="360" w:lineRule="auto"/>
        <w:rPr>
          <w:sz w:val="26"/>
        </w:rPr>
      </w:pPr>
      <w:r w:rsidRPr="00226745">
        <w:rPr>
          <w:rFonts w:ascii="Arial" w:hAnsi="Arial"/>
        </w:rPr>
        <w:tab/>
      </w:r>
      <w:r w:rsidR="0068534B">
        <w:rPr>
          <w:rFonts w:ascii="Arial" w:hAnsi="Arial"/>
        </w:rPr>
        <w:tab/>
      </w:r>
      <w:r w:rsidRPr="0068534B">
        <w:rPr>
          <w:sz w:val="26"/>
        </w:rPr>
        <w:t>In her Initial Decision the Special Agent found that the Complainant’s past due balance included arrearages accrued under Customer Assistance Program (CAP) rates as well as arrearages accrued under regular tariffed rates.  She denied the Complainant’s request for a payment agreement on the portion</w:t>
      </w:r>
      <w:r w:rsidR="003247DB">
        <w:rPr>
          <w:sz w:val="26"/>
        </w:rPr>
        <w:t xml:space="preserve"> of her account balance that is</w:t>
      </w:r>
      <w:r w:rsidRPr="0068534B">
        <w:rPr>
          <w:sz w:val="26"/>
        </w:rPr>
        <w:t xml:space="preserve"> subject to CAP rates but granted the Complainant’s request for a payment agreement on the portion of her account balance that is not subject to CAP rates.</w:t>
      </w:r>
      <w:r w:rsidRPr="0068534B">
        <w:rPr>
          <w:rStyle w:val="FootnoteReference"/>
          <w:sz w:val="26"/>
        </w:rPr>
        <w:footnoteReference w:id="3"/>
      </w:r>
      <w:r w:rsidRPr="0068534B">
        <w:rPr>
          <w:sz w:val="26"/>
        </w:rPr>
        <w:t xml:space="preserve">  As of the date of the hearing, the Complainant’s account balance with PGW was $6,737.08, which included $1,042.92 in CAP/CRP arrearages.  The Complainant’s arrearage is “mixed” in that it includes both CAP and non-CAP amounts.  </w:t>
      </w:r>
    </w:p>
    <w:p w:rsidR="00B95764" w:rsidRPr="0068534B" w:rsidRDefault="00B95764" w:rsidP="00F85022">
      <w:pPr>
        <w:spacing w:line="360" w:lineRule="auto"/>
        <w:rPr>
          <w:sz w:val="26"/>
        </w:rPr>
      </w:pPr>
    </w:p>
    <w:p w:rsidR="00B95764" w:rsidRPr="0068534B" w:rsidRDefault="0068534B" w:rsidP="00F85022">
      <w:pPr>
        <w:spacing w:line="360" w:lineRule="auto"/>
        <w:ind w:firstLine="720"/>
        <w:rPr>
          <w:sz w:val="26"/>
        </w:rPr>
      </w:pPr>
      <w:r>
        <w:rPr>
          <w:sz w:val="26"/>
        </w:rPr>
        <w:tab/>
      </w:r>
      <w:r w:rsidR="00B95764" w:rsidRPr="0068534B">
        <w:rPr>
          <w:sz w:val="26"/>
        </w:rPr>
        <w:t>For the reasons set</w:t>
      </w:r>
      <w:r w:rsidRPr="0068534B">
        <w:rPr>
          <w:sz w:val="26"/>
        </w:rPr>
        <w:t xml:space="preserve"> forth at pages 6-7 of the I</w:t>
      </w:r>
      <w:r w:rsidR="00640AC8">
        <w:rPr>
          <w:sz w:val="26"/>
        </w:rPr>
        <w:t>nitial Decision</w:t>
      </w:r>
      <w:r w:rsidRPr="0068534B">
        <w:rPr>
          <w:sz w:val="26"/>
        </w:rPr>
        <w:t>, we</w:t>
      </w:r>
      <w:r w:rsidR="00B95764" w:rsidRPr="0068534B">
        <w:rPr>
          <w:sz w:val="26"/>
        </w:rPr>
        <w:t xml:space="preserve"> agree with denying the Complainant’s request for a payment agreement for the CAP/CRP portion of her arrearages.  However, </w:t>
      </w:r>
      <w:r w:rsidR="00640AC8">
        <w:rPr>
          <w:sz w:val="26"/>
        </w:rPr>
        <w:t>we</w:t>
      </w:r>
      <w:r w:rsidR="00B95764" w:rsidRPr="0068534B">
        <w:rPr>
          <w:sz w:val="26"/>
        </w:rPr>
        <w:t xml:space="preserve"> do not agree with giving the Complainant, who has a troubled payment history, a payment agreement for the non-CAP/CRP portion of her arrearages.             </w:t>
      </w:r>
    </w:p>
    <w:p w:rsidR="00B95764" w:rsidRPr="0068534B" w:rsidRDefault="00B95764" w:rsidP="00F85022">
      <w:pPr>
        <w:spacing w:line="360" w:lineRule="auto"/>
        <w:rPr>
          <w:sz w:val="26"/>
        </w:rPr>
      </w:pPr>
    </w:p>
    <w:p w:rsidR="00B95764" w:rsidRPr="0068534B" w:rsidRDefault="0068534B" w:rsidP="00F85022">
      <w:pPr>
        <w:spacing w:line="360" w:lineRule="auto"/>
        <w:ind w:firstLine="720"/>
        <w:rPr>
          <w:sz w:val="26"/>
        </w:rPr>
      </w:pPr>
      <w:r>
        <w:rPr>
          <w:sz w:val="26"/>
        </w:rPr>
        <w:tab/>
      </w:r>
      <w:r w:rsidR="00B95764" w:rsidRPr="0068534B">
        <w:rPr>
          <w:sz w:val="26"/>
        </w:rPr>
        <w:t xml:space="preserve">Recently, in </w:t>
      </w:r>
      <w:r w:rsidR="00B95764" w:rsidRPr="0068534B">
        <w:rPr>
          <w:rFonts w:eastAsia="MS Mincho"/>
          <w:bCs/>
          <w:i/>
          <w:sz w:val="26"/>
        </w:rPr>
        <w:t>Susan Hewitt v. PECO Energy Company</w:t>
      </w:r>
      <w:r w:rsidR="00B95764" w:rsidRPr="0068534B">
        <w:rPr>
          <w:rFonts w:eastAsia="MS Mincho"/>
          <w:bCs/>
          <w:sz w:val="26"/>
        </w:rPr>
        <w:t xml:space="preserve">, Docket No. </w:t>
      </w:r>
      <w:r w:rsidR="00640AC8">
        <w:rPr>
          <w:rFonts w:eastAsia="MS Mincho"/>
          <w:bCs/>
          <w:sz w:val="26"/>
        </w:rPr>
        <w:br/>
      </w:r>
      <w:r w:rsidR="00B95764" w:rsidRPr="0068534B">
        <w:rPr>
          <w:sz w:val="26"/>
        </w:rPr>
        <w:t>F</w:t>
      </w:r>
      <w:r w:rsidR="00B95764" w:rsidRPr="0068534B">
        <w:rPr>
          <w:sz w:val="26"/>
        </w:rPr>
        <w:noBreakHyphen/>
        <w:t>2011-2273271</w:t>
      </w:r>
      <w:r w:rsidR="00B95764" w:rsidRPr="0068534B">
        <w:rPr>
          <w:rFonts w:eastAsia="MS Mincho"/>
          <w:bCs/>
          <w:sz w:val="26"/>
        </w:rPr>
        <w:t xml:space="preserve"> (Or</w:t>
      </w:r>
      <w:r w:rsidRPr="0068534B">
        <w:rPr>
          <w:rFonts w:eastAsia="MS Mincho"/>
          <w:bCs/>
          <w:sz w:val="26"/>
        </w:rPr>
        <w:t>der entered September 12, 2013)</w:t>
      </w:r>
      <w:r w:rsidR="00640AC8">
        <w:rPr>
          <w:rFonts w:eastAsia="MS Mincho"/>
          <w:bCs/>
          <w:sz w:val="26"/>
        </w:rPr>
        <w:t xml:space="preserve"> (</w:t>
      </w:r>
      <w:r w:rsidR="00640AC8">
        <w:rPr>
          <w:rFonts w:eastAsia="MS Mincho"/>
          <w:bCs/>
          <w:i/>
          <w:sz w:val="26"/>
        </w:rPr>
        <w:t>Hewitt</w:t>
      </w:r>
      <w:r w:rsidR="00640AC8">
        <w:rPr>
          <w:rFonts w:eastAsia="MS Mincho"/>
          <w:bCs/>
          <w:sz w:val="26"/>
        </w:rPr>
        <w:t>)</w:t>
      </w:r>
      <w:r w:rsidR="00B95764" w:rsidRPr="0068534B">
        <w:rPr>
          <w:sz w:val="26"/>
        </w:rPr>
        <w:t>, the Commission addressed whether we have</w:t>
      </w:r>
      <w:r w:rsidR="00B95764" w:rsidRPr="0068534B">
        <w:rPr>
          <w:rFonts w:eastAsia="MS Mincho"/>
          <w:bCs/>
          <w:sz w:val="26"/>
        </w:rPr>
        <w:t xml:space="preserve"> authority under Section 1405(c) of the Code to establish a payment agreement for the non-CAP portion of a “mixed” arrearage.  </w:t>
      </w:r>
      <w:r w:rsidR="00B95764" w:rsidRPr="0068534B">
        <w:rPr>
          <w:sz w:val="26"/>
        </w:rPr>
        <w:t xml:space="preserve">In </w:t>
      </w:r>
      <w:r w:rsidR="00B95764" w:rsidRPr="0068534B">
        <w:rPr>
          <w:i/>
          <w:sz w:val="26"/>
        </w:rPr>
        <w:t>Hewitt,</w:t>
      </w:r>
      <w:r w:rsidR="00B95764" w:rsidRPr="0068534B">
        <w:rPr>
          <w:sz w:val="26"/>
        </w:rPr>
        <w:t xml:space="preserve"> we </w:t>
      </w:r>
      <w:r w:rsidR="00B95764" w:rsidRPr="0068534B">
        <w:rPr>
          <w:sz w:val="26"/>
        </w:rPr>
        <w:lastRenderedPageBreak/>
        <w:t>concluded that</w:t>
      </w:r>
      <w:r w:rsidR="00B95764" w:rsidRPr="0068534B">
        <w:rPr>
          <w:rFonts w:eastAsia="MS Mincho"/>
          <w:bCs/>
          <w:sz w:val="26"/>
        </w:rPr>
        <w:t xml:space="preserve"> the Commission has such authority.  However, we declined to establish a payment agreement in that case, based on Ms. Hewitt’s poor payment history and her inability to keep prior Company-issued payment agreements. </w:t>
      </w:r>
      <w:r w:rsidR="00B95764" w:rsidRPr="0068534B">
        <w:rPr>
          <w:sz w:val="26"/>
        </w:rPr>
        <w:t xml:space="preserve"> </w:t>
      </w:r>
      <w:r w:rsidR="00B95764" w:rsidRPr="0068534B">
        <w:rPr>
          <w:i/>
          <w:sz w:val="26"/>
        </w:rPr>
        <w:t xml:space="preserve">Hewitt </w:t>
      </w:r>
      <w:r w:rsidR="00B95764" w:rsidRPr="0068534B">
        <w:rPr>
          <w:sz w:val="26"/>
        </w:rPr>
        <w:t>at 10.</w:t>
      </w:r>
    </w:p>
    <w:p w:rsidR="00B95764" w:rsidRPr="0068534B" w:rsidRDefault="00B95764" w:rsidP="00F85022">
      <w:pPr>
        <w:spacing w:line="360" w:lineRule="auto"/>
        <w:ind w:firstLine="720"/>
        <w:rPr>
          <w:sz w:val="26"/>
        </w:rPr>
      </w:pPr>
    </w:p>
    <w:p w:rsidR="00B95764" w:rsidRPr="0068534B" w:rsidRDefault="0068534B" w:rsidP="00F85022">
      <w:pPr>
        <w:spacing w:line="360" w:lineRule="auto"/>
        <w:ind w:firstLine="720"/>
        <w:rPr>
          <w:sz w:val="26"/>
        </w:rPr>
      </w:pPr>
      <w:r>
        <w:rPr>
          <w:sz w:val="26"/>
        </w:rPr>
        <w:tab/>
      </w:r>
      <w:r w:rsidR="00B95764" w:rsidRPr="0068534B">
        <w:rPr>
          <w:sz w:val="26"/>
        </w:rPr>
        <w:t xml:space="preserve">Here, we also must decide whether to exercise our authority and issue a payment agreement to Ms. Dorsey for the non-CAP portion of a “mixed” arrearage.  </w:t>
      </w:r>
      <w:r w:rsidRPr="0068534B">
        <w:rPr>
          <w:sz w:val="26"/>
        </w:rPr>
        <w:t>We decline to</w:t>
      </w:r>
      <w:r w:rsidR="00B95764" w:rsidRPr="0068534B">
        <w:rPr>
          <w:sz w:val="26"/>
        </w:rPr>
        <w:t xml:space="preserve"> issue a payment agreement here, given the Complainant’s poor payment history and her inability to keep prior payment agreements with PGW.  While enrolled in PGW’s CRP from December 2008 to July 2011, the Complainant made only sporadic payments.  PGW Exhibit 1.  Moreover, since being removed from PGW’s CRP in July 2011, the Complainant defaulted on two company-issued payment agreements providing her with 59 and 60 months respectively to pay her past due balance.  PGW Exhibit 3.  </w:t>
      </w:r>
      <w:r w:rsidRPr="0068534B">
        <w:rPr>
          <w:sz w:val="26"/>
        </w:rPr>
        <w:t>We</w:t>
      </w:r>
      <w:r w:rsidR="00B95764" w:rsidRPr="0068534B">
        <w:rPr>
          <w:sz w:val="26"/>
        </w:rPr>
        <w:t xml:space="preserve"> note that as of the hearing date in May 2013, the last payment made by the Complainant to PGW was on October 3, 2011, which was approximately 18 months before the hearing.</w:t>
      </w:r>
      <w:r w:rsidR="00B95764" w:rsidRPr="0068534B">
        <w:rPr>
          <w:rStyle w:val="FootnoteReference"/>
          <w:sz w:val="26"/>
        </w:rPr>
        <w:footnoteReference w:id="4"/>
      </w:r>
      <w:r w:rsidR="00B95764" w:rsidRPr="0068534B">
        <w:rPr>
          <w:sz w:val="26"/>
        </w:rPr>
        <w:t xml:space="preserve">  PGW Exhibit 1.  </w:t>
      </w:r>
    </w:p>
    <w:p w:rsidR="00B95764" w:rsidRDefault="00B95764" w:rsidP="00F85022">
      <w:pPr>
        <w:spacing w:line="360" w:lineRule="auto"/>
        <w:rPr>
          <w:sz w:val="26"/>
        </w:rPr>
      </w:pPr>
    </w:p>
    <w:p w:rsidR="00D620FA" w:rsidRPr="00385898" w:rsidRDefault="00D620FA" w:rsidP="00F85022">
      <w:pPr>
        <w:spacing w:line="360" w:lineRule="auto"/>
        <w:jc w:val="center"/>
        <w:rPr>
          <w:b/>
          <w:sz w:val="26"/>
          <w:szCs w:val="26"/>
        </w:rPr>
      </w:pPr>
      <w:r w:rsidRPr="00385898">
        <w:rPr>
          <w:b/>
          <w:sz w:val="26"/>
          <w:szCs w:val="26"/>
        </w:rPr>
        <w:t>Conclusion</w:t>
      </w:r>
    </w:p>
    <w:p w:rsidR="00D620FA" w:rsidRPr="00385898" w:rsidRDefault="00D620FA" w:rsidP="00F85022">
      <w:pPr>
        <w:spacing w:line="360" w:lineRule="auto"/>
        <w:rPr>
          <w:sz w:val="26"/>
          <w:szCs w:val="26"/>
        </w:rPr>
      </w:pPr>
    </w:p>
    <w:p w:rsidR="00D620FA" w:rsidRDefault="00D620FA" w:rsidP="00F85022">
      <w:pPr>
        <w:spacing w:line="360" w:lineRule="auto"/>
        <w:rPr>
          <w:sz w:val="26"/>
          <w:szCs w:val="26"/>
        </w:rPr>
      </w:pPr>
      <w:r>
        <w:rPr>
          <w:sz w:val="26"/>
          <w:szCs w:val="26"/>
        </w:rPr>
        <w:tab/>
      </w:r>
      <w:r>
        <w:rPr>
          <w:sz w:val="26"/>
          <w:szCs w:val="26"/>
        </w:rPr>
        <w:tab/>
        <w:t xml:space="preserve">Based on our review of the record and the applicable law, we shall modify the SA’s Initial Decision, consistent with this Opinion and Order; </w:t>
      </w:r>
      <w:r w:rsidRPr="00956972">
        <w:rPr>
          <w:b/>
          <w:sz w:val="26"/>
          <w:szCs w:val="26"/>
        </w:rPr>
        <w:t>THEREFORE,</w:t>
      </w:r>
      <w:r>
        <w:rPr>
          <w:sz w:val="26"/>
          <w:szCs w:val="26"/>
        </w:rPr>
        <w:t xml:space="preserve"> </w:t>
      </w:r>
    </w:p>
    <w:p w:rsidR="00D620FA" w:rsidRDefault="00D620FA" w:rsidP="00F85022">
      <w:pPr>
        <w:spacing w:line="360" w:lineRule="auto"/>
        <w:rPr>
          <w:sz w:val="26"/>
          <w:szCs w:val="26"/>
        </w:rPr>
      </w:pPr>
      <w:r w:rsidRPr="001C7049">
        <w:rPr>
          <w:sz w:val="26"/>
          <w:szCs w:val="26"/>
        </w:rPr>
        <w:tab/>
      </w:r>
      <w:r w:rsidRPr="001C7049">
        <w:rPr>
          <w:sz w:val="26"/>
          <w:szCs w:val="26"/>
        </w:rPr>
        <w:tab/>
      </w:r>
    </w:p>
    <w:p w:rsidR="003C071E" w:rsidRDefault="003C071E" w:rsidP="00F85022">
      <w:pPr>
        <w:spacing w:line="360" w:lineRule="auto"/>
        <w:rPr>
          <w:sz w:val="26"/>
          <w:szCs w:val="26"/>
        </w:rPr>
      </w:pPr>
    </w:p>
    <w:p w:rsidR="003C071E" w:rsidRDefault="003C071E" w:rsidP="00F85022">
      <w:pPr>
        <w:spacing w:line="360" w:lineRule="auto"/>
        <w:rPr>
          <w:sz w:val="26"/>
          <w:szCs w:val="26"/>
        </w:rPr>
      </w:pPr>
    </w:p>
    <w:p w:rsidR="003C071E" w:rsidRDefault="003C071E" w:rsidP="00F85022">
      <w:pPr>
        <w:spacing w:line="360" w:lineRule="auto"/>
        <w:rPr>
          <w:sz w:val="26"/>
          <w:szCs w:val="26"/>
        </w:rPr>
      </w:pPr>
    </w:p>
    <w:p w:rsidR="003C071E" w:rsidRDefault="003C071E" w:rsidP="00F85022">
      <w:pPr>
        <w:spacing w:line="360" w:lineRule="auto"/>
        <w:rPr>
          <w:sz w:val="26"/>
          <w:szCs w:val="26"/>
        </w:rPr>
      </w:pPr>
    </w:p>
    <w:p w:rsidR="003C071E" w:rsidRDefault="003C071E" w:rsidP="00F85022">
      <w:pPr>
        <w:spacing w:line="360" w:lineRule="auto"/>
        <w:rPr>
          <w:sz w:val="26"/>
          <w:szCs w:val="26"/>
        </w:rPr>
      </w:pPr>
    </w:p>
    <w:p w:rsidR="003C071E" w:rsidRDefault="003C071E" w:rsidP="00F85022">
      <w:pPr>
        <w:spacing w:line="360" w:lineRule="auto"/>
        <w:rPr>
          <w:sz w:val="26"/>
          <w:szCs w:val="26"/>
        </w:rPr>
      </w:pPr>
    </w:p>
    <w:p w:rsidR="00D620FA" w:rsidRDefault="00D620FA" w:rsidP="00F85022">
      <w:pPr>
        <w:spacing w:line="360" w:lineRule="auto"/>
        <w:rPr>
          <w:b/>
          <w:sz w:val="26"/>
          <w:szCs w:val="26"/>
        </w:rPr>
      </w:pPr>
      <w:r w:rsidRPr="000D6043">
        <w:rPr>
          <w:sz w:val="26"/>
          <w:szCs w:val="26"/>
        </w:rPr>
        <w:lastRenderedPageBreak/>
        <w:tab/>
      </w:r>
      <w:r w:rsidRPr="000D6043">
        <w:rPr>
          <w:sz w:val="26"/>
          <w:szCs w:val="26"/>
        </w:rPr>
        <w:tab/>
      </w:r>
      <w:r w:rsidRPr="000D6043">
        <w:rPr>
          <w:b/>
          <w:sz w:val="26"/>
          <w:szCs w:val="26"/>
        </w:rPr>
        <w:t>IT IS ORDERED:</w:t>
      </w:r>
    </w:p>
    <w:p w:rsidR="00D620FA" w:rsidRDefault="00D620FA" w:rsidP="00F85022">
      <w:pPr>
        <w:spacing w:line="360" w:lineRule="auto"/>
        <w:rPr>
          <w:sz w:val="26"/>
          <w:szCs w:val="26"/>
        </w:rPr>
      </w:pPr>
    </w:p>
    <w:p w:rsidR="00D620FA" w:rsidRPr="00A41656" w:rsidRDefault="00D620FA" w:rsidP="004467D7">
      <w:pPr>
        <w:pStyle w:val="ListParagraph"/>
        <w:numPr>
          <w:ilvl w:val="0"/>
          <w:numId w:val="1"/>
        </w:numPr>
        <w:spacing w:line="360" w:lineRule="auto"/>
        <w:ind w:left="0" w:firstLine="1440"/>
        <w:rPr>
          <w:sz w:val="26"/>
          <w:szCs w:val="26"/>
        </w:rPr>
      </w:pPr>
      <w:r w:rsidRPr="00A41656">
        <w:rPr>
          <w:sz w:val="26"/>
          <w:szCs w:val="26"/>
        </w:rPr>
        <w:t>That the Initial Decision of Specia</w:t>
      </w:r>
      <w:r w:rsidR="003247DB">
        <w:rPr>
          <w:sz w:val="26"/>
          <w:szCs w:val="26"/>
        </w:rPr>
        <w:t xml:space="preserve">l Agent Tiffany A. Hunt, issued </w:t>
      </w:r>
      <w:r w:rsidRPr="00A41656">
        <w:rPr>
          <w:sz w:val="26"/>
          <w:szCs w:val="26"/>
        </w:rPr>
        <w:t>July 17, 2013, is modified, consistent with this Opinion and Order.</w:t>
      </w:r>
    </w:p>
    <w:p w:rsidR="00D620FA" w:rsidRPr="001F5074" w:rsidRDefault="00D620FA" w:rsidP="00F85022">
      <w:pPr>
        <w:spacing w:line="360" w:lineRule="auto"/>
        <w:ind w:firstLine="1440"/>
        <w:rPr>
          <w:sz w:val="26"/>
        </w:rPr>
      </w:pPr>
    </w:p>
    <w:p w:rsidR="00D620FA" w:rsidRPr="003247DB" w:rsidRDefault="00D620FA" w:rsidP="003247DB">
      <w:pPr>
        <w:pStyle w:val="ListParagraph"/>
        <w:numPr>
          <w:ilvl w:val="0"/>
          <w:numId w:val="1"/>
        </w:numPr>
        <w:spacing w:line="360" w:lineRule="auto"/>
        <w:rPr>
          <w:sz w:val="26"/>
        </w:rPr>
      </w:pPr>
      <w:r w:rsidRPr="003247DB">
        <w:rPr>
          <w:sz w:val="26"/>
        </w:rPr>
        <w:t>That the Secretary’s Bureau shall mark this proceeding closed</w:t>
      </w:r>
      <w:r w:rsidR="003247DB" w:rsidRPr="003247DB">
        <w:rPr>
          <w:sz w:val="26"/>
        </w:rPr>
        <w:t>.</w:t>
      </w:r>
      <w:r w:rsidRPr="003247DB">
        <w:rPr>
          <w:sz w:val="26"/>
        </w:rPr>
        <w:t xml:space="preserve"> </w:t>
      </w:r>
    </w:p>
    <w:p w:rsidR="003247DB" w:rsidRDefault="003247DB" w:rsidP="003C071E">
      <w:pPr>
        <w:pStyle w:val="ListParagraph"/>
        <w:spacing w:line="360" w:lineRule="auto"/>
        <w:ind w:left="2160"/>
        <w:rPr>
          <w:sz w:val="26"/>
          <w:szCs w:val="26"/>
        </w:rPr>
      </w:pPr>
    </w:p>
    <w:p w:rsidR="00D620FA" w:rsidRPr="003C63B1" w:rsidRDefault="00F11588" w:rsidP="00F85022">
      <w:pPr>
        <w:spacing w:line="360" w:lineRule="auto"/>
        <w:rPr>
          <w:sz w:val="26"/>
        </w:rPr>
      </w:pPr>
      <w:bookmarkStart w:id="0" w:name="_GoBack"/>
      <w:r>
        <w:rPr>
          <w:noProof/>
        </w:rPr>
        <w:drawing>
          <wp:anchor distT="0" distB="0" distL="114300" distR="114300" simplePos="0" relativeHeight="251659264" behindDoc="1" locked="0" layoutInCell="1" allowOverlap="1" wp14:anchorId="009282F4" wp14:editId="0FB68982">
            <wp:simplePos x="0" y="0"/>
            <wp:positionH relativeFrom="column">
              <wp:posOffset>3040380</wp:posOffset>
            </wp:positionH>
            <wp:positionV relativeFrom="paragraph">
              <wp:posOffset>24765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20FA">
        <w:rPr>
          <w:sz w:val="26"/>
          <w:szCs w:val="26"/>
        </w:rPr>
        <w:tab/>
      </w:r>
      <w:r w:rsidR="00D620FA">
        <w:rPr>
          <w:sz w:val="26"/>
          <w:szCs w:val="26"/>
        </w:rPr>
        <w:tab/>
        <w:t xml:space="preserve"> </w:t>
      </w:r>
      <w:r w:rsidR="00D620FA">
        <w:rPr>
          <w:sz w:val="26"/>
          <w:szCs w:val="26"/>
        </w:rPr>
        <w:tab/>
      </w:r>
      <w:r w:rsidR="00D620FA">
        <w:rPr>
          <w:sz w:val="26"/>
          <w:szCs w:val="26"/>
        </w:rPr>
        <w:tab/>
      </w:r>
      <w:r w:rsidR="00D620FA">
        <w:rPr>
          <w:sz w:val="26"/>
          <w:szCs w:val="26"/>
        </w:rPr>
        <w:tab/>
      </w:r>
      <w:r w:rsidR="00D620FA" w:rsidRPr="000D6043">
        <w:rPr>
          <w:sz w:val="26"/>
          <w:szCs w:val="26"/>
        </w:rPr>
        <w:tab/>
      </w:r>
      <w:r w:rsidR="00D620FA" w:rsidRPr="000D6043">
        <w:rPr>
          <w:sz w:val="26"/>
          <w:szCs w:val="26"/>
        </w:rPr>
        <w:tab/>
      </w:r>
      <w:r w:rsidR="00D620FA" w:rsidRPr="003C63B1">
        <w:rPr>
          <w:b/>
          <w:sz w:val="26"/>
        </w:rPr>
        <w:t>BY THE COMMISSION,</w:t>
      </w:r>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D620FA" w:rsidRPr="003C63B1" w:rsidRDefault="00D620FA" w:rsidP="00F8502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r w:rsidRPr="003C63B1">
        <w:rPr>
          <w:sz w:val="26"/>
        </w:rPr>
        <w:t>(SEAL)</w:t>
      </w:r>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r>
        <w:rPr>
          <w:sz w:val="26"/>
        </w:rPr>
        <w:t xml:space="preserve">ORDER ADOPTED:  </w:t>
      </w:r>
      <w:r w:rsidR="00963727">
        <w:rPr>
          <w:sz w:val="26"/>
        </w:rPr>
        <w:t>October 31, 2013</w:t>
      </w:r>
    </w:p>
    <w:p w:rsidR="00D620FA" w:rsidRPr="003C63B1" w:rsidRDefault="00D620FA" w:rsidP="00F85022">
      <w:pPr>
        <w:tabs>
          <w:tab w:val="left" w:pos="-720"/>
        </w:tabs>
        <w:suppressAutoHyphens/>
        <w:rPr>
          <w:sz w:val="26"/>
        </w:rPr>
      </w:pPr>
    </w:p>
    <w:p w:rsidR="00D620FA" w:rsidRPr="003C63B1" w:rsidRDefault="00D620FA" w:rsidP="00F85022">
      <w:pPr>
        <w:tabs>
          <w:tab w:val="left" w:pos="-720"/>
        </w:tabs>
        <w:suppressAutoHyphens/>
        <w:rPr>
          <w:sz w:val="26"/>
        </w:rPr>
      </w:pPr>
      <w:r w:rsidRPr="003C63B1">
        <w:rPr>
          <w:sz w:val="26"/>
        </w:rPr>
        <w:t xml:space="preserve">ORDER ENTERED: </w:t>
      </w:r>
      <w:r w:rsidR="00F11588">
        <w:rPr>
          <w:sz w:val="26"/>
        </w:rPr>
        <w:t>November 22, 2013</w:t>
      </w:r>
    </w:p>
    <w:p w:rsidR="00D620FA" w:rsidRDefault="00D620FA" w:rsidP="00F85022">
      <w:pPr>
        <w:spacing w:line="360" w:lineRule="auto"/>
      </w:pPr>
    </w:p>
    <w:p w:rsidR="00D620FA" w:rsidRPr="0068534B" w:rsidRDefault="00D620FA" w:rsidP="00F85022">
      <w:pPr>
        <w:spacing w:line="360" w:lineRule="auto"/>
        <w:rPr>
          <w:sz w:val="26"/>
        </w:rPr>
      </w:pPr>
    </w:p>
    <w:sectPr w:rsidR="00D620FA" w:rsidRPr="0068534B" w:rsidSect="00F85022">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CF3" w:rsidRDefault="00C32CF3" w:rsidP="00091A47">
      <w:r>
        <w:separator/>
      </w:r>
    </w:p>
  </w:endnote>
  <w:endnote w:type="continuationSeparator" w:id="0">
    <w:p w:rsidR="00C32CF3" w:rsidRDefault="00C32CF3" w:rsidP="0009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542502"/>
      <w:docPartObj>
        <w:docPartGallery w:val="Page Numbers (Bottom of Page)"/>
        <w:docPartUnique/>
      </w:docPartObj>
    </w:sdtPr>
    <w:sdtEndPr>
      <w:rPr>
        <w:noProof/>
        <w:sz w:val="26"/>
        <w:szCs w:val="26"/>
      </w:rPr>
    </w:sdtEndPr>
    <w:sdtContent>
      <w:p w:rsidR="00F85022" w:rsidRPr="00F00CF4" w:rsidRDefault="00F85022">
        <w:pPr>
          <w:pStyle w:val="Footer"/>
          <w:jc w:val="center"/>
          <w:rPr>
            <w:sz w:val="26"/>
            <w:szCs w:val="26"/>
          </w:rPr>
        </w:pPr>
        <w:r w:rsidRPr="00F00CF4">
          <w:rPr>
            <w:sz w:val="26"/>
            <w:szCs w:val="26"/>
          </w:rPr>
          <w:fldChar w:fldCharType="begin"/>
        </w:r>
        <w:r w:rsidRPr="00F00CF4">
          <w:rPr>
            <w:sz w:val="26"/>
            <w:szCs w:val="26"/>
          </w:rPr>
          <w:instrText xml:space="preserve"> PAGE   \* MERGEFORMAT </w:instrText>
        </w:r>
        <w:r w:rsidRPr="00F00CF4">
          <w:rPr>
            <w:sz w:val="26"/>
            <w:szCs w:val="26"/>
          </w:rPr>
          <w:fldChar w:fldCharType="separate"/>
        </w:r>
        <w:r w:rsidR="00F11588">
          <w:rPr>
            <w:noProof/>
            <w:sz w:val="26"/>
            <w:szCs w:val="26"/>
          </w:rPr>
          <w:t>6</w:t>
        </w:r>
        <w:r w:rsidRPr="00F00CF4">
          <w:rPr>
            <w:noProof/>
            <w:sz w:val="26"/>
            <w:szCs w:val="26"/>
          </w:rPr>
          <w:fldChar w:fldCharType="end"/>
        </w:r>
      </w:p>
    </w:sdtContent>
  </w:sdt>
  <w:p w:rsidR="00F85022" w:rsidRDefault="00F85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CF3" w:rsidRDefault="00C32CF3" w:rsidP="00091A47">
      <w:r>
        <w:separator/>
      </w:r>
    </w:p>
  </w:footnote>
  <w:footnote w:type="continuationSeparator" w:id="0">
    <w:p w:rsidR="00C32CF3" w:rsidRDefault="00C32CF3" w:rsidP="00091A47">
      <w:r>
        <w:continuationSeparator/>
      </w:r>
    </w:p>
  </w:footnote>
  <w:footnote w:id="1">
    <w:p w:rsidR="004C690F" w:rsidRPr="004467D7" w:rsidRDefault="004C690F">
      <w:pPr>
        <w:pStyle w:val="FootnoteText"/>
        <w:rPr>
          <w:sz w:val="26"/>
          <w:szCs w:val="26"/>
        </w:rPr>
      </w:pPr>
      <w:r w:rsidRPr="004467D7">
        <w:rPr>
          <w:sz w:val="26"/>
          <w:szCs w:val="26"/>
        </w:rPr>
        <w:tab/>
      </w:r>
      <w:r w:rsidRPr="004467D7">
        <w:rPr>
          <w:rStyle w:val="FootnoteReference"/>
          <w:sz w:val="26"/>
          <w:szCs w:val="26"/>
        </w:rPr>
        <w:footnoteRef/>
      </w:r>
      <w:r w:rsidRPr="004467D7">
        <w:rPr>
          <w:sz w:val="26"/>
          <w:szCs w:val="26"/>
        </w:rPr>
        <w:t xml:space="preserve"> </w:t>
      </w:r>
      <w:r w:rsidRPr="004467D7">
        <w:rPr>
          <w:sz w:val="26"/>
          <w:szCs w:val="26"/>
        </w:rPr>
        <w:tab/>
      </w:r>
      <w:r w:rsidR="000208E4" w:rsidRPr="000208E4">
        <w:rPr>
          <w:sz w:val="26"/>
          <w:szCs w:val="26"/>
        </w:rPr>
        <w:t>Th</w:t>
      </w:r>
      <w:r w:rsidR="000208E4">
        <w:rPr>
          <w:sz w:val="26"/>
          <w:szCs w:val="26"/>
        </w:rPr>
        <w:t>e Complaint</w:t>
      </w:r>
      <w:r w:rsidRPr="004467D7">
        <w:rPr>
          <w:sz w:val="26"/>
          <w:szCs w:val="26"/>
        </w:rPr>
        <w:t xml:space="preserve"> was a timely appeal of a decision by the Commission’s Bureau of Consumer Services in Case No. 2947534.</w:t>
      </w:r>
    </w:p>
  </w:footnote>
  <w:footnote w:id="2">
    <w:p w:rsidR="00091A47" w:rsidRPr="003247DB" w:rsidRDefault="003247DB" w:rsidP="00091A47">
      <w:pPr>
        <w:pStyle w:val="FootnoteText"/>
        <w:rPr>
          <w:sz w:val="26"/>
        </w:rPr>
      </w:pPr>
      <w:r>
        <w:tab/>
      </w:r>
      <w:r w:rsidR="00091A47" w:rsidRPr="00F00CF4">
        <w:rPr>
          <w:rStyle w:val="FootnoteReference"/>
          <w:sz w:val="26"/>
          <w:szCs w:val="26"/>
        </w:rPr>
        <w:footnoteRef/>
      </w:r>
      <w:r w:rsidR="00091A47" w:rsidRPr="00F00CF4">
        <w:rPr>
          <w:sz w:val="26"/>
          <w:szCs w:val="26"/>
        </w:rPr>
        <w:t xml:space="preserve"> </w:t>
      </w:r>
      <w:r w:rsidR="00091A47" w:rsidRPr="003563D9">
        <w:tab/>
      </w:r>
      <w:r w:rsidR="00091A47" w:rsidRPr="003247DB">
        <w:rPr>
          <w:sz w:val="26"/>
        </w:rPr>
        <w:t>A tape recording of the hearing was made, no court reporter being present.</w:t>
      </w:r>
    </w:p>
  </w:footnote>
  <w:footnote w:id="3">
    <w:p w:rsidR="00B95764" w:rsidRPr="00AE6805" w:rsidRDefault="002C5696" w:rsidP="00B95764">
      <w:pPr>
        <w:pStyle w:val="FootnoteText"/>
        <w:rPr>
          <w:rFonts w:ascii="Arial" w:hAnsi="Arial" w:cs="Arial"/>
          <w:sz w:val="22"/>
          <w:szCs w:val="22"/>
        </w:rPr>
      </w:pPr>
      <w:r>
        <w:rPr>
          <w:rFonts w:ascii="Arial" w:hAnsi="Arial" w:cs="Arial"/>
          <w:sz w:val="22"/>
          <w:szCs w:val="22"/>
        </w:rPr>
        <w:tab/>
      </w:r>
      <w:r w:rsidR="00B95764" w:rsidRPr="00F00CF4">
        <w:rPr>
          <w:rStyle w:val="FootnoteReference"/>
          <w:sz w:val="26"/>
          <w:szCs w:val="26"/>
        </w:rPr>
        <w:footnoteRef/>
      </w:r>
      <w:r w:rsidR="00B95764" w:rsidRPr="00F00CF4">
        <w:rPr>
          <w:sz w:val="26"/>
          <w:szCs w:val="26"/>
        </w:rPr>
        <w:t xml:space="preserve"> </w:t>
      </w:r>
      <w:r>
        <w:rPr>
          <w:rFonts w:ascii="Arial" w:hAnsi="Arial" w:cs="Arial"/>
          <w:sz w:val="22"/>
          <w:szCs w:val="22"/>
        </w:rPr>
        <w:tab/>
      </w:r>
      <w:r w:rsidR="00B95764" w:rsidRPr="002C5696">
        <w:rPr>
          <w:sz w:val="26"/>
          <w:szCs w:val="22"/>
        </w:rPr>
        <w:t>PGW’s CAP is called the Customer Responsibility Program (CRP).</w:t>
      </w:r>
      <w:r w:rsidR="00B95764" w:rsidRPr="00AE6805">
        <w:rPr>
          <w:rFonts w:ascii="Arial" w:hAnsi="Arial" w:cs="Arial"/>
          <w:sz w:val="22"/>
          <w:szCs w:val="22"/>
        </w:rPr>
        <w:t xml:space="preserve"> </w:t>
      </w:r>
    </w:p>
  </w:footnote>
  <w:footnote w:id="4">
    <w:p w:rsidR="00B95764" w:rsidRPr="00B245D8" w:rsidRDefault="00B245D8" w:rsidP="00B95764">
      <w:pPr>
        <w:pStyle w:val="FootnoteText"/>
        <w:rPr>
          <w:sz w:val="26"/>
          <w:szCs w:val="22"/>
        </w:rPr>
      </w:pPr>
      <w:r>
        <w:rPr>
          <w:rFonts w:ascii="Arial" w:hAnsi="Arial" w:cs="Arial"/>
          <w:sz w:val="22"/>
          <w:szCs w:val="22"/>
        </w:rPr>
        <w:tab/>
      </w:r>
      <w:r w:rsidR="00B95764" w:rsidRPr="00F00CF4">
        <w:rPr>
          <w:rStyle w:val="FootnoteReference"/>
          <w:sz w:val="26"/>
          <w:szCs w:val="26"/>
        </w:rPr>
        <w:footnoteRef/>
      </w:r>
      <w:r w:rsidR="00B95764" w:rsidRPr="00F00CF4">
        <w:rPr>
          <w:sz w:val="26"/>
          <w:szCs w:val="26"/>
        </w:rPr>
        <w:t xml:space="preserve"> </w:t>
      </w:r>
      <w:r w:rsidRPr="00F00CF4">
        <w:rPr>
          <w:sz w:val="26"/>
          <w:szCs w:val="22"/>
        </w:rPr>
        <w:tab/>
      </w:r>
      <w:r w:rsidR="00B95764" w:rsidRPr="00B245D8">
        <w:rPr>
          <w:sz w:val="26"/>
          <w:szCs w:val="22"/>
        </w:rPr>
        <w:t>In 2012, a total of $870 in LIHEAP assistance was credited to Complainant’s account.  PGW Exhibits 1,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404D"/>
    <w:multiLevelType w:val="hybridMultilevel"/>
    <w:tmpl w:val="E6A6EC72"/>
    <w:lvl w:ilvl="0" w:tplc="6838AF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1D"/>
    <w:rsid w:val="000208E4"/>
    <w:rsid w:val="00091A47"/>
    <w:rsid w:val="00134469"/>
    <w:rsid w:val="00177933"/>
    <w:rsid w:val="00194D37"/>
    <w:rsid w:val="00202548"/>
    <w:rsid w:val="002C5696"/>
    <w:rsid w:val="002E1E7B"/>
    <w:rsid w:val="003247DB"/>
    <w:rsid w:val="003A121D"/>
    <w:rsid w:val="003C071E"/>
    <w:rsid w:val="004467D7"/>
    <w:rsid w:val="00476A97"/>
    <w:rsid w:val="004C690F"/>
    <w:rsid w:val="00640AC8"/>
    <w:rsid w:val="0068534B"/>
    <w:rsid w:val="00963727"/>
    <w:rsid w:val="00980F3E"/>
    <w:rsid w:val="00A41656"/>
    <w:rsid w:val="00B245D8"/>
    <w:rsid w:val="00B95764"/>
    <w:rsid w:val="00BC7C26"/>
    <w:rsid w:val="00C26058"/>
    <w:rsid w:val="00C32CF3"/>
    <w:rsid w:val="00C41BA1"/>
    <w:rsid w:val="00D25C44"/>
    <w:rsid w:val="00D46AD3"/>
    <w:rsid w:val="00D46DDB"/>
    <w:rsid w:val="00D620FA"/>
    <w:rsid w:val="00F00CF4"/>
    <w:rsid w:val="00F11588"/>
    <w:rsid w:val="00F8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91A47"/>
    <w:rPr>
      <w:vertAlign w:val="superscript"/>
    </w:rPr>
  </w:style>
  <w:style w:type="paragraph" w:styleId="FootnoteText">
    <w:name w:val="footnote text"/>
    <w:aliases w:val="Car"/>
    <w:basedOn w:val="Normal"/>
    <w:link w:val="FootnoteTextChar"/>
    <w:qFormat/>
    <w:rsid w:val="00091A47"/>
    <w:rPr>
      <w:sz w:val="20"/>
      <w:szCs w:val="20"/>
    </w:rPr>
  </w:style>
  <w:style w:type="character" w:customStyle="1" w:styleId="FootnoteTextChar">
    <w:name w:val="Footnote Text Char"/>
    <w:aliases w:val="Car Char"/>
    <w:basedOn w:val="DefaultParagraphFont"/>
    <w:link w:val="FootnoteText"/>
    <w:rsid w:val="00091A47"/>
    <w:rPr>
      <w:rFonts w:ascii="Times New Roman" w:eastAsia="Times New Roman" w:hAnsi="Times New Roman" w:cs="Times New Roman"/>
      <w:sz w:val="20"/>
      <w:szCs w:val="20"/>
    </w:rPr>
  </w:style>
  <w:style w:type="paragraph" w:styleId="ListParagraph">
    <w:name w:val="List Paragraph"/>
    <w:basedOn w:val="Normal"/>
    <w:uiPriority w:val="34"/>
    <w:qFormat/>
    <w:rsid w:val="00A41656"/>
    <w:pPr>
      <w:ind w:left="720"/>
      <w:contextualSpacing/>
    </w:pPr>
  </w:style>
  <w:style w:type="paragraph" w:styleId="Header">
    <w:name w:val="header"/>
    <w:basedOn w:val="Normal"/>
    <w:link w:val="HeaderChar"/>
    <w:uiPriority w:val="99"/>
    <w:unhideWhenUsed/>
    <w:rsid w:val="00F85022"/>
    <w:pPr>
      <w:tabs>
        <w:tab w:val="center" w:pos="4680"/>
        <w:tab w:val="right" w:pos="9360"/>
      </w:tabs>
    </w:pPr>
  </w:style>
  <w:style w:type="character" w:customStyle="1" w:styleId="HeaderChar">
    <w:name w:val="Header Char"/>
    <w:basedOn w:val="DefaultParagraphFont"/>
    <w:link w:val="Header"/>
    <w:uiPriority w:val="99"/>
    <w:rsid w:val="00F850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022"/>
    <w:pPr>
      <w:tabs>
        <w:tab w:val="center" w:pos="4680"/>
        <w:tab w:val="right" w:pos="9360"/>
      </w:tabs>
    </w:pPr>
  </w:style>
  <w:style w:type="character" w:customStyle="1" w:styleId="FooterChar">
    <w:name w:val="Footer Char"/>
    <w:basedOn w:val="DefaultParagraphFont"/>
    <w:link w:val="Footer"/>
    <w:uiPriority w:val="99"/>
    <w:rsid w:val="00F850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90F"/>
    <w:rPr>
      <w:rFonts w:ascii="Tahoma" w:hAnsi="Tahoma" w:cs="Tahoma"/>
      <w:sz w:val="16"/>
      <w:szCs w:val="16"/>
    </w:rPr>
  </w:style>
  <w:style w:type="character" w:customStyle="1" w:styleId="BalloonTextChar">
    <w:name w:val="Balloon Text Char"/>
    <w:basedOn w:val="DefaultParagraphFont"/>
    <w:link w:val="BalloonText"/>
    <w:uiPriority w:val="99"/>
    <w:semiHidden/>
    <w:rsid w:val="004C69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2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91A47"/>
    <w:rPr>
      <w:vertAlign w:val="superscript"/>
    </w:rPr>
  </w:style>
  <w:style w:type="paragraph" w:styleId="FootnoteText">
    <w:name w:val="footnote text"/>
    <w:aliases w:val="Car"/>
    <w:basedOn w:val="Normal"/>
    <w:link w:val="FootnoteTextChar"/>
    <w:qFormat/>
    <w:rsid w:val="00091A47"/>
    <w:rPr>
      <w:sz w:val="20"/>
      <w:szCs w:val="20"/>
    </w:rPr>
  </w:style>
  <w:style w:type="character" w:customStyle="1" w:styleId="FootnoteTextChar">
    <w:name w:val="Footnote Text Char"/>
    <w:aliases w:val="Car Char"/>
    <w:basedOn w:val="DefaultParagraphFont"/>
    <w:link w:val="FootnoteText"/>
    <w:rsid w:val="00091A47"/>
    <w:rPr>
      <w:rFonts w:ascii="Times New Roman" w:eastAsia="Times New Roman" w:hAnsi="Times New Roman" w:cs="Times New Roman"/>
      <w:sz w:val="20"/>
      <w:szCs w:val="20"/>
    </w:rPr>
  </w:style>
  <w:style w:type="paragraph" w:styleId="ListParagraph">
    <w:name w:val="List Paragraph"/>
    <w:basedOn w:val="Normal"/>
    <w:uiPriority w:val="34"/>
    <w:qFormat/>
    <w:rsid w:val="00A41656"/>
    <w:pPr>
      <w:ind w:left="720"/>
      <w:contextualSpacing/>
    </w:pPr>
  </w:style>
  <w:style w:type="paragraph" w:styleId="Header">
    <w:name w:val="header"/>
    <w:basedOn w:val="Normal"/>
    <w:link w:val="HeaderChar"/>
    <w:uiPriority w:val="99"/>
    <w:unhideWhenUsed/>
    <w:rsid w:val="00F85022"/>
    <w:pPr>
      <w:tabs>
        <w:tab w:val="center" w:pos="4680"/>
        <w:tab w:val="right" w:pos="9360"/>
      </w:tabs>
    </w:pPr>
  </w:style>
  <w:style w:type="character" w:customStyle="1" w:styleId="HeaderChar">
    <w:name w:val="Header Char"/>
    <w:basedOn w:val="DefaultParagraphFont"/>
    <w:link w:val="Header"/>
    <w:uiPriority w:val="99"/>
    <w:rsid w:val="00F850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85022"/>
    <w:pPr>
      <w:tabs>
        <w:tab w:val="center" w:pos="4680"/>
        <w:tab w:val="right" w:pos="9360"/>
      </w:tabs>
    </w:pPr>
  </w:style>
  <w:style w:type="character" w:customStyle="1" w:styleId="FooterChar">
    <w:name w:val="Footer Char"/>
    <w:basedOn w:val="DefaultParagraphFont"/>
    <w:link w:val="Footer"/>
    <w:uiPriority w:val="99"/>
    <w:rsid w:val="00F850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90F"/>
    <w:rPr>
      <w:rFonts w:ascii="Tahoma" w:hAnsi="Tahoma" w:cs="Tahoma"/>
      <w:sz w:val="16"/>
      <w:szCs w:val="16"/>
    </w:rPr>
  </w:style>
  <w:style w:type="character" w:customStyle="1" w:styleId="BalloonTextChar">
    <w:name w:val="Balloon Text Char"/>
    <w:basedOn w:val="DefaultParagraphFont"/>
    <w:link w:val="BalloonText"/>
    <w:uiPriority w:val="99"/>
    <w:semiHidden/>
    <w:rsid w:val="004C69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1FBF-9D9B-4815-BD99-8B53A0738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Rebecca</dc:creator>
  <cp:lastModifiedBy>Farner, Joyce</cp:lastModifiedBy>
  <cp:revision>4</cp:revision>
  <cp:lastPrinted>2013-11-22T18:55:00Z</cp:lastPrinted>
  <dcterms:created xsi:type="dcterms:W3CDTF">2013-11-12T15:13:00Z</dcterms:created>
  <dcterms:modified xsi:type="dcterms:W3CDTF">2013-11-22T18:55:00Z</dcterms:modified>
</cp:coreProperties>
</file>