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9B3EF9" w:rsidRDefault="0066241C" w:rsidP="00192F0F">
      <w:pPr>
        <w:jc w:val="center"/>
        <w:rPr>
          <w:rFonts w:ascii="Times New Roman" w:hAnsi="Times New Roman" w:cs="Times New Roman"/>
          <w:b/>
        </w:rPr>
      </w:pPr>
      <w:r w:rsidRPr="009B3EF9">
        <w:rPr>
          <w:rFonts w:ascii="Times New Roman" w:hAnsi="Times New Roman" w:cs="Times New Roman"/>
          <w:b/>
        </w:rPr>
        <w:t>BEFORE THE</w:t>
      </w:r>
    </w:p>
    <w:p w:rsidR="0066241C" w:rsidRPr="009B3EF9" w:rsidRDefault="0066241C" w:rsidP="00192F0F">
      <w:pPr>
        <w:tabs>
          <w:tab w:val="center" w:pos="4680"/>
        </w:tabs>
        <w:suppressAutoHyphens/>
        <w:jc w:val="center"/>
        <w:rPr>
          <w:rFonts w:ascii="Times New Roman" w:hAnsi="Times New Roman" w:cs="Times New Roman"/>
          <w:b/>
          <w:bCs/>
          <w:spacing w:val="-3"/>
        </w:rPr>
      </w:pPr>
      <w:r w:rsidRPr="009B3EF9">
        <w:rPr>
          <w:rFonts w:ascii="Times New Roman" w:hAnsi="Times New Roman" w:cs="Times New Roman"/>
          <w:b/>
          <w:bCs/>
          <w:spacing w:val="-3"/>
        </w:rPr>
        <w:t>PENNSYLVANIA PUBLIC UTILITY COMMISSION</w:t>
      </w:r>
    </w:p>
    <w:p w:rsidR="00F70AAF" w:rsidRPr="009B3EF9" w:rsidRDefault="00F70AAF" w:rsidP="00F70AAF">
      <w:pPr>
        <w:tabs>
          <w:tab w:val="left" w:pos="-720"/>
        </w:tabs>
        <w:suppressAutoHyphens/>
        <w:ind w:firstLine="1440"/>
        <w:rPr>
          <w:rFonts w:ascii="Times New Roman" w:hAnsi="Times New Roman" w:cs="Times New Roman"/>
          <w:spacing w:val="-3"/>
        </w:rPr>
      </w:pPr>
    </w:p>
    <w:p w:rsidR="00FB50C4" w:rsidRPr="009B3EF9" w:rsidRDefault="00FB50C4" w:rsidP="00F70AAF">
      <w:pPr>
        <w:tabs>
          <w:tab w:val="left" w:pos="-720"/>
        </w:tabs>
        <w:suppressAutoHyphens/>
        <w:ind w:firstLine="1440"/>
        <w:rPr>
          <w:rFonts w:ascii="Times New Roman" w:hAnsi="Times New Roman" w:cs="Times New Roman"/>
          <w:spacing w:val="-3"/>
        </w:rPr>
      </w:pPr>
    </w:p>
    <w:p w:rsidR="00F70AAF" w:rsidRPr="009B3EF9" w:rsidRDefault="00F70AAF" w:rsidP="00F70AAF">
      <w:pPr>
        <w:tabs>
          <w:tab w:val="left" w:pos="-720"/>
        </w:tabs>
        <w:suppressAutoHyphens/>
        <w:ind w:firstLine="1440"/>
        <w:rPr>
          <w:rFonts w:ascii="Times New Roman" w:hAnsi="Times New Roman" w:cs="Times New Roman"/>
          <w:spacing w:val="-3"/>
        </w:rPr>
      </w:pPr>
    </w:p>
    <w:p w:rsidR="003E4C31" w:rsidRPr="009B3EF9" w:rsidRDefault="003E4C31" w:rsidP="003E4C31">
      <w:pPr>
        <w:tabs>
          <w:tab w:val="left" w:pos="-720"/>
        </w:tabs>
        <w:suppressAutoHyphens/>
        <w:rPr>
          <w:rFonts w:ascii="Times New Roman" w:hAnsi="Times New Roman" w:cs="Times New Roman"/>
          <w:spacing w:val="-3"/>
        </w:rPr>
      </w:pPr>
      <w:r w:rsidRPr="009B3EF9">
        <w:rPr>
          <w:rFonts w:ascii="Times New Roman" w:hAnsi="Times New Roman" w:cs="Times New Roman"/>
          <w:spacing w:val="-3"/>
        </w:rPr>
        <w:t>Office of Small Business Advocate</w:t>
      </w:r>
      <w:r w:rsidRPr="009B3EF9">
        <w:rPr>
          <w:rFonts w:ascii="Times New Roman" w:hAnsi="Times New Roman" w:cs="Times New Roman"/>
          <w:spacing w:val="-3"/>
        </w:rPr>
        <w:tab/>
      </w:r>
      <w:r w:rsidRPr="009B3EF9">
        <w:rPr>
          <w:rFonts w:ascii="Times New Roman" w:hAnsi="Times New Roman" w:cs="Times New Roman"/>
          <w:spacing w:val="-3"/>
        </w:rPr>
        <w:tab/>
      </w:r>
      <w:r w:rsidR="009B3EF9">
        <w:rPr>
          <w:rFonts w:ascii="Times New Roman" w:hAnsi="Times New Roman" w:cs="Times New Roman"/>
          <w:spacing w:val="-3"/>
        </w:rPr>
        <w:tab/>
      </w:r>
      <w:r w:rsidRPr="009B3EF9">
        <w:rPr>
          <w:rFonts w:ascii="Times New Roman" w:hAnsi="Times New Roman" w:cs="Times New Roman"/>
          <w:spacing w:val="-3"/>
        </w:rPr>
        <w:t>:</w:t>
      </w:r>
    </w:p>
    <w:p w:rsidR="003E4C31" w:rsidRPr="009B3EF9" w:rsidRDefault="003E4C31" w:rsidP="003E4C31">
      <w:pPr>
        <w:tabs>
          <w:tab w:val="left" w:pos="-720"/>
        </w:tabs>
        <w:suppressAutoHyphens/>
        <w:rPr>
          <w:rFonts w:ascii="Times New Roman" w:hAnsi="Times New Roman" w:cs="Times New Roman"/>
          <w:spacing w:val="-3"/>
        </w:rPr>
      </w:pPr>
      <w:r w:rsidRPr="009B3EF9">
        <w:rPr>
          <w:rFonts w:ascii="Times New Roman" w:hAnsi="Times New Roman" w:cs="Times New Roman"/>
          <w:spacing w:val="-3"/>
        </w:rPr>
        <w:tab/>
      </w:r>
      <w:r w:rsidRPr="009B3EF9">
        <w:rPr>
          <w:rFonts w:ascii="Times New Roman" w:hAnsi="Times New Roman" w:cs="Times New Roman"/>
          <w:spacing w:val="-3"/>
        </w:rPr>
        <w:tab/>
      </w:r>
      <w:r w:rsidRPr="009B3EF9">
        <w:rPr>
          <w:rFonts w:ascii="Times New Roman" w:hAnsi="Times New Roman" w:cs="Times New Roman"/>
          <w:spacing w:val="-3"/>
        </w:rPr>
        <w:tab/>
      </w:r>
      <w:r w:rsidRPr="009B3EF9">
        <w:rPr>
          <w:rFonts w:ascii="Times New Roman" w:hAnsi="Times New Roman" w:cs="Times New Roman"/>
          <w:spacing w:val="-3"/>
        </w:rPr>
        <w:tab/>
      </w:r>
      <w:r w:rsidRPr="009B3EF9">
        <w:rPr>
          <w:rFonts w:ascii="Times New Roman" w:hAnsi="Times New Roman" w:cs="Times New Roman"/>
          <w:spacing w:val="-3"/>
        </w:rPr>
        <w:tab/>
      </w:r>
      <w:r w:rsidRPr="009B3EF9">
        <w:rPr>
          <w:rFonts w:ascii="Times New Roman" w:hAnsi="Times New Roman" w:cs="Times New Roman"/>
          <w:spacing w:val="-3"/>
        </w:rPr>
        <w:tab/>
      </w:r>
      <w:r w:rsidR="009B3EF9">
        <w:rPr>
          <w:rFonts w:ascii="Times New Roman" w:hAnsi="Times New Roman" w:cs="Times New Roman"/>
          <w:spacing w:val="-3"/>
        </w:rPr>
        <w:tab/>
      </w:r>
      <w:r w:rsidRPr="009B3EF9">
        <w:rPr>
          <w:rFonts w:ascii="Times New Roman" w:hAnsi="Times New Roman" w:cs="Times New Roman"/>
          <w:spacing w:val="-3"/>
        </w:rPr>
        <w:t>:</w:t>
      </w:r>
    </w:p>
    <w:p w:rsidR="003E4C31" w:rsidRPr="009B3EF9" w:rsidRDefault="003E4C31" w:rsidP="003E4C31">
      <w:pPr>
        <w:tabs>
          <w:tab w:val="left" w:pos="-720"/>
        </w:tabs>
        <w:suppressAutoHyphens/>
        <w:rPr>
          <w:rFonts w:ascii="Times New Roman" w:hAnsi="Times New Roman" w:cs="Times New Roman"/>
          <w:spacing w:val="-3"/>
        </w:rPr>
      </w:pPr>
      <w:r w:rsidRPr="009B3EF9">
        <w:rPr>
          <w:rFonts w:ascii="Times New Roman" w:hAnsi="Times New Roman" w:cs="Times New Roman"/>
          <w:spacing w:val="-3"/>
        </w:rPr>
        <w:tab/>
      </w:r>
      <w:r w:rsidRPr="009B3EF9">
        <w:rPr>
          <w:rFonts w:ascii="Times New Roman" w:hAnsi="Times New Roman" w:cs="Times New Roman"/>
          <w:spacing w:val="-3"/>
        </w:rPr>
        <w:tab/>
      </w:r>
      <w:r w:rsidRPr="009B3EF9">
        <w:rPr>
          <w:rFonts w:ascii="Times New Roman" w:hAnsi="Times New Roman" w:cs="Times New Roman"/>
          <w:spacing w:val="-3"/>
        </w:rPr>
        <w:tab/>
        <w:t>v.</w:t>
      </w:r>
      <w:r w:rsidRPr="009B3EF9">
        <w:rPr>
          <w:rFonts w:ascii="Times New Roman" w:hAnsi="Times New Roman" w:cs="Times New Roman"/>
          <w:spacing w:val="-3"/>
        </w:rPr>
        <w:tab/>
      </w:r>
      <w:r w:rsidRPr="009B3EF9">
        <w:rPr>
          <w:rFonts w:ascii="Times New Roman" w:hAnsi="Times New Roman" w:cs="Times New Roman"/>
          <w:spacing w:val="-3"/>
        </w:rPr>
        <w:tab/>
      </w:r>
      <w:r w:rsidRPr="009B3EF9">
        <w:rPr>
          <w:rFonts w:ascii="Times New Roman" w:hAnsi="Times New Roman" w:cs="Times New Roman"/>
          <w:spacing w:val="-3"/>
        </w:rPr>
        <w:tab/>
      </w:r>
      <w:r w:rsidR="009B3EF9">
        <w:rPr>
          <w:rFonts w:ascii="Times New Roman" w:hAnsi="Times New Roman" w:cs="Times New Roman"/>
          <w:spacing w:val="-3"/>
        </w:rPr>
        <w:tab/>
      </w:r>
      <w:r w:rsidRPr="009B3EF9">
        <w:rPr>
          <w:rFonts w:ascii="Times New Roman" w:hAnsi="Times New Roman" w:cs="Times New Roman"/>
          <w:spacing w:val="-3"/>
        </w:rPr>
        <w:t>:</w:t>
      </w:r>
      <w:r w:rsidRPr="009B3EF9">
        <w:rPr>
          <w:rFonts w:ascii="Times New Roman" w:hAnsi="Times New Roman" w:cs="Times New Roman"/>
          <w:spacing w:val="-3"/>
        </w:rPr>
        <w:tab/>
      </w:r>
      <w:r w:rsidRPr="009B3EF9">
        <w:rPr>
          <w:rFonts w:ascii="Times New Roman" w:hAnsi="Times New Roman" w:cs="Times New Roman"/>
          <w:spacing w:val="-3"/>
        </w:rPr>
        <w:tab/>
        <w:t>C-2013-2367475</w:t>
      </w:r>
    </w:p>
    <w:p w:rsidR="003E4C31" w:rsidRPr="009B3EF9" w:rsidRDefault="003E4C31" w:rsidP="003E4C31">
      <w:pPr>
        <w:tabs>
          <w:tab w:val="left" w:pos="-720"/>
        </w:tabs>
        <w:suppressAutoHyphens/>
        <w:rPr>
          <w:rFonts w:ascii="Times New Roman" w:hAnsi="Times New Roman" w:cs="Times New Roman"/>
          <w:spacing w:val="-3"/>
        </w:rPr>
      </w:pPr>
      <w:r w:rsidRPr="009B3EF9">
        <w:rPr>
          <w:rFonts w:ascii="Times New Roman" w:hAnsi="Times New Roman" w:cs="Times New Roman"/>
          <w:spacing w:val="-3"/>
        </w:rPr>
        <w:tab/>
      </w:r>
      <w:r w:rsidRPr="009B3EF9">
        <w:rPr>
          <w:rFonts w:ascii="Times New Roman" w:hAnsi="Times New Roman" w:cs="Times New Roman"/>
          <w:spacing w:val="-3"/>
        </w:rPr>
        <w:tab/>
      </w:r>
      <w:r w:rsidRPr="009B3EF9">
        <w:rPr>
          <w:rFonts w:ascii="Times New Roman" w:hAnsi="Times New Roman" w:cs="Times New Roman"/>
          <w:spacing w:val="-3"/>
        </w:rPr>
        <w:tab/>
      </w:r>
      <w:r w:rsidRPr="009B3EF9">
        <w:rPr>
          <w:rFonts w:ascii="Times New Roman" w:hAnsi="Times New Roman" w:cs="Times New Roman"/>
          <w:spacing w:val="-3"/>
        </w:rPr>
        <w:tab/>
      </w:r>
      <w:r w:rsidRPr="009B3EF9">
        <w:rPr>
          <w:rFonts w:ascii="Times New Roman" w:hAnsi="Times New Roman" w:cs="Times New Roman"/>
          <w:spacing w:val="-3"/>
        </w:rPr>
        <w:tab/>
      </w:r>
      <w:r w:rsidRPr="009B3EF9">
        <w:rPr>
          <w:rFonts w:ascii="Times New Roman" w:hAnsi="Times New Roman" w:cs="Times New Roman"/>
          <w:spacing w:val="-3"/>
        </w:rPr>
        <w:tab/>
      </w:r>
      <w:r w:rsidR="009B3EF9">
        <w:rPr>
          <w:rFonts w:ascii="Times New Roman" w:hAnsi="Times New Roman" w:cs="Times New Roman"/>
          <w:spacing w:val="-3"/>
        </w:rPr>
        <w:tab/>
      </w:r>
      <w:r w:rsidRPr="009B3EF9">
        <w:rPr>
          <w:rFonts w:ascii="Times New Roman" w:hAnsi="Times New Roman" w:cs="Times New Roman"/>
          <w:spacing w:val="-3"/>
        </w:rPr>
        <w:t>:</w:t>
      </w:r>
    </w:p>
    <w:p w:rsidR="003E4C31" w:rsidRPr="009B3EF9" w:rsidRDefault="003E4C31" w:rsidP="003E4C31">
      <w:pPr>
        <w:tabs>
          <w:tab w:val="left" w:pos="-720"/>
        </w:tabs>
        <w:suppressAutoHyphens/>
        <w:rPr>
          <w:rFonts w:ascii="Times New Roman" w:hAnsi="Times New Roman" w:cs="Times New Roman"/>
          <w:spacing w:val="-3"/>
        </w:rPr>
      </w:pPr>
      <w:r w:rsidRPr="009B3EF9">
        <w:rPr>
          <w:rFonts w:ascii="Times New Roman" w:hAnsi="Times New Roman" w:cs="Times New Roman"/>
          <w:spacing w:val="-3"/>
        </w:rPr>
        <w:t>PPL Electric Utilities Corporation</w:t>
      </w:r>
      <w:r w:rsidRPr="009B3EF9">
        <w:rPr>
          <w:rFonts w:ascii="Times New Roman" w:hAnsi="Times New Roman" w:cs="Times New Roman"/>
          <w:spacing w:val="-3"/>
        </w:rPr>
        <w:tab/>
      </w:r>
      <w:r w:rsidRPr="009B3EF9">
        <w:rPr>
          <w:rFonts w:ascii="Times New Roman" w:hAnsi="Times New Roman" w:cs="Times New Roman"/>
          <w:spacing w:val="-3"/>
        </w:rPr>
        <w:tab/>
      </w:r>
      <w:r w:rsidR="009B3EF9">
        <w:rPr>
          <w:rFonts w:ascii="Times New Roman" w:hAnsi="Times New Roman" w:cs="Times New Roman"/>
          <w:spacing w:val="-3"/>
        </w:rPr>
        <w:tab/>
      </w:r>
      <w:r w:rsidRPr="009B3EF9">
        <w:rPr>
          <w:rFonts w:ascii="Times New Roman" w:hAnsi="Times New Roman" w:cs="Times New Roman"/>
          <w:spacing w:val="-3"/>
        </w:rPr>
        <w:t>:</w:t>
      </w:r>
    </w:p>
    <w:p w:rsidR="003E4C31" w:rsidRDefault="003E4C31" w:rsidP="003E4C31">
      <w:pPr>
        <w:tabs>
          <w:tab w:val="left" w:pos="-720"/>
          <w:tab w:val="left" w:pos="720"/>
          <w:tab w:val="left" w:pos="5040"/>
          <w:tab w:val="left" w:pos="6480"/>
        </w:tabs>
        <w:suppressAutoHyphens/>
        <w:jc w:val="both"/>
        <w:rPr>
          <w:rFonts w:ascii="Times New Roman" w:hAnsi="Times New Roman" w:cs="Times New Roman"/>
          <w:spacing w:val="-3"/>
        </w:rPr>
      </w:pPr>
      <w:r w:rsidRPr="009B3EF9">
        <w:rPr>
          <w:rFonts w:ascii="Times New Roman" w:hAnsi="Times New Roman" w:cs="Times New Roman"/>
          <w:spacing w:val="-3"/>
        </w:rPr>
        <w:tab/>
      </w:r>
      <w:r w:rsidRPr="009B3EF9">
        <w:rPr>
          <w:rFonts w:ascii="Times New Roman" w:hAnsi="Times New Roman" w:cs="Times New Roman"/>
          <w:spacing w:val="-3"/>
        </w:rPr>
        <w:tab/>
      </w:r>
    </w:p>
    <w:p w:rsidR="009B3EF9" w:rsidRPr="009B3EF9" w:rsidRDefault="009B3EF9" w:rsidP="003E4C31">
      <w:pPr>
        <w:tabs>
          <w:tab w:val="left" w:pos="-720"/>
          <w:tab w:val="left" w:pos="720"/>
          <w:tab w:val="left" w:pos="5040"/>
          <w:tab w:val="left" w:pos="6480"/>
        </w:tabs>
        <w:suppressAutoHyphens/>
        <w:jc w:val="both"/>
        <w:rPr>
          <w:rFonts w:ascii="Times New Roman" w:hAnsi="Times New Roman" w:cs="Times New Roman"/>
          <w:spacing w:val="-3"/>
        </w:rPr>
      </w:pPr>
    </w:p>
    <w:p w:rsidR="00192F0F" w:rsidRPr="009B3EF9" w:rsidRDefault="00192F0F" w:rsidP="00192F0F">
      <w:pPr>
        <w:tabs>
          <w:tab w:val="left" w:pos="-720"/>
          <w:tab w:val="left" w:pos="5040"/>
        </w:tabs>
        <w:suppressAutoHyphens/>
        <w:jc w:val="both"/>
        <w:rPr>
          <w:rFonts w:ascii="Times New Roman" w:hAnsi="Times New Roman" w:cs="Times New Roman"/>
          <w:b/>
          <w:spacing w:val="-3"/>
        </w:rPr>
      </w:pPr>
    </w:p>
    <w:p w:rsidR="008C1DB3" w:rsidRPr="009B3EF9" w:rsidRDefault="008C1DB3" w:rsidP="00192F0F">
      <w:pPr>
        <w:jc w:val="center"/>
        <w:rPr>
          <w:rFonts w:ascii="Times New Roman" w:hAnsi="Times New Roman" w:cs="Times New Roman"/>
          <w:b/>
          <w:u w:val="single"/>
        </w:rPr>
      </w:pPr>
      <w:r w:rsidRPr="009B3EF9">
        <w:rPr>
          <w:rFonts w:ascii="Times New Roman" w:hAnsi="Times New Roman" w:cs="Times New Roman"/>
          <w:b/>
          <w:u w:val="single"/>
        </w:rPr>
        <w:t>INITIAL DECISION</w:t>
      </w:r>
    </w:p>
    <w:p w:rsidR="008C1DB3" w:rsidRPr="009B3EF9" w:rsidRDefault="008C1DB3" w:rsidP="00F70AAF">
      <w:pPr>
        <w:jc w:val="center"/>
        <w:rPr>
          <w:rFonts w:ascii="Times New Roman" w:hAnsi="Times New Roman" w:cs="Times New Roman"/>
        </w:rPr>
      </w:pPr>
    </w:p>
    <w:p w:rsidR="003F63F6" w:rsidRPr="009B3EF9" w:rsidRDefault="003F63F6" w:rsidP="00192F0F">
      <w:pPr>
        <w:jc w:val="center"/>
        <w:rPr>
          <w:rFonts w:ascii="Times New Roman" w:hAnsi="Times New Roman" w:cs="Times New Roman"/>
        </w:rPr>
      </w:pPr>
    </w:p>
    <w:p w:rsidR="008C1DB3" w:rsidRPr="009B3EF9" w:rsidRDefault="008C1DB3" w:rsidP="00192F0F">
      <w:pPr>
        <w:jc w:val="center"/>
        <w:rPr>
          <w:rFonts w:ascii="Times New Roman" w:hAnsi="Times New Roman" w:cs="Times New Roman"/>
        </w:rPr>
      </w:pPr>
      <w:r w:rsidRPr="009B3EF9">
        <w:rPr>
          <w:rFonts w:ascii="Times New Roman" w:hAnsi="Times New Roman" w:cs="Times New Roman"/>
        </w:rPr>
        <w:t>Before</w:t>
      </w:r>
    </w:p>
    <w:p w:rsidR="008C1DB3" w:rsidRPr="009B3EF9" w:rsidRDefault="008C1DB3" w:rsidP="00192F0F">
      <w:pPr>
        <w:jc w:val="center"/>
        <w:rPr>
          <w:rFonts w:ascii="Times New Roman" w:hAnsi="Times New Roman" w:cs="Times New Roman"/>
        </w:rPr>
      </w:pPr>
      <w:r w:rsidRPr="009B3EF9">
        <w:rPr>
          <w:rFonts w:ascii="Times New Roman" w:hAnsi="Times New Roman" w:cs="Times New Roman"/>
        </w:rPr>
        <w:t>David A. Salapa</w:t>
      </w:r>
    </w:p>
    <w:p w:rsidR="008C1DB3" w:rsidRPr="009B3EF9" w:rsidRDefault="008C1DB3" w:rsidP="00192F0F">
      <w:pPr>
        <w:jc w:val="center"/>
        <w:rPr>
          <w:rFonts w:ascii="Times New Roman" w:hAnsi="Times New Roman" w:cs="Times New Roman"/>
        </w:rPr>
      </w:pPr>
      <w:r w:rsidRPr="009B3EF9">
        <w:rPr>
          <w:rFonts w:ascii="Times New Roman" w:hAnsi="Times New Roman" w:cs="Times New Roman"/>
        </w:rPr>
        <w:t>Administrative Law Judge</w:t>
      </w:r>
    </w:p>
    <w:p w:rsidR="00A316DF" w:rsidRPr="009B3EF9" w:rsidRDefault="00A316DF" w:rsidP="00F70AAF">
      <w:pPr>
        <w:tabs>
          <w:tab w:val="center" w:pos="4680"/>
        </w:tabs>
        <w:suppressAutoHyphens/>
        <w:jc w:val="center"/>
        <w:rPr>
          <w:rFonts w:ascii="Times New Roman" w:hAnsi="Times New Roman" w:cs="Times New Roman"/>
          <w:bCs/>
          <w:spacing w:val="-3"/>
        </w:rPr>
      </w:pPr>
    </w:p>
    <w:p w:rsidR="00FB50C4" w:rsidRPr="009B3EF9" w:rsidRDefault="00FB50C4" w:rsidP="00F70AAF">
      <w:pPr>
        <w:tabs>
          <w:tab w:val="center" w:pos="4680"/>
        </w:tabs>
        <w:suppressAutoHyphens/>
        <w:jc w:val="center"/>
        <w:rPr>
          <w:rFonts w:ascii="Times New Roman" w:hAnsi="Times New Roman" w:cs="Times New Roman"/>
          <w:bCs/>
          <w:spacing w:val="-3"/>
        </w:rPr>
      </w:pPr>
    </w:p>
    <w:p w:rsidR="00A316DF" w:rsidRPr="009B3EF9" w:rsidRDefault="00A316DF" w:rsidP="00A316DF">
      <w:pPr>
        <w:tabs>
          <w:tab w:val="center" w:pos="4680"/>
        </w:tabs>
        <w:suppressAutoHyphens/>
        <w:jc w:val="center"/>
        <w:rPr>
          <w:rFonts w:ascii="Times New Roman" w:hAnsi="Times New Roman" w:cs="Times New Roman"/>
          <w:bCs/>
          <w:spacing w:val="-3"/>
          <w:u w:val="single"/>
        </w:rPr>
      </w:pPr>
      <w:r w:rsidRPr="009B3EF9">
        <w:rPr>
          <w:rFonts w:ascii="Times New Roman" w:hAnsi="Times New Roman" w:cs="Times New Roman"/>
          <w:bCs/>
          <w:spacing w:val="-3"/>
          <w:u w:val="single"/>
        </w:rPr>
        <w:t>INTRODUCTION</w:t>
      </w:r>
    </w:p>
    <w:p w:rsidR="001948E2" w:rsidRPr="009B3EF9" w:rsidRDefault="001948E2" w:rsidP="00A316DF">
      <w:pPr>
        <w:tabs>
          <w:tab w:val="center" w:pos="4680"/>
        </w:tabs>
        <w:suppressAutoHyphens/>
        <w:jc w:val="center"/>
        <w:rPr>
          <w:rFonts w:ascii="Times New Roman" w:hAnsi="Times New Roman" w:cs="Times New Roman"/>
          <w:bCs/>
          <w:spacing w:val="-3"/>
          <w:u w:val="single"/>
        </w:rPr>
      </w:pPr>
    </w:p>
    <w:p w:rsidR="00FB50C4" w:rsidRPr="009B3EF9" w:rsidRDefault="00FB50C4" w:rsidP="00A316DF">
      <w:pPr>
        <w:tabs>
          <w:tab w:val="center" w:pos="4680"/>
        </w:tabs>
        <w:suppressAutoHyphens/>
        <w:jc w:val="center"/>
        <w:rPr>
          <w:rFonts w:ascii="Times New Roman" w:hAnsi="Times New Roman" w:cs="Times New Roman"/>
          <w:bCs/>
          <w:spacing w:val="-3"/>
          <w:u w:val="single"/>
        </w:rPr>
      </w:pPr>
    </w:p>
    <w:p w:rsidR="003F63F6" w:rsidRPr="009B3EF9" w:rsidRDefault="001948E2" w:rsidP="009E17A6">
      <w:pPr>
        <w:pStyle w:val="ParaTab1"/>
        <w:tabs>
          <w:tab w:val="left" w:pos="-180"/>
        </w:tabs>
        <w:spacing w:line="360" w:lineRule="auto"/>
        <w:rPr>
          <w:rFonts w:ascii="Times New Roman" w:hAnsi="Times New Roman" w:cs="Times New Roman"/>
        </w:rPr>
      </w:pPr>
      <w:r w:rsidRPr="009B3EF9">
        <w:rPr>
          <w:rFonts w:ascii="Times New Roman" w:hAnsi="Times New Roman" w:cs="Times New Roman"/>
        </w:rPr>
        <w:t xml:space="preserve">The complaint alleges that an electric </w:t>
      </w:r>
      <w:r w:rsidR="009E17A6" w:rsidRPr="009B3EF9">
        <w:rPr>
          <w:rFonts w:ascii="Times New Roman" w:hAnsi="Times New Roman" w:cs="Times New Roman"/>
        </w:rPr>
        <w:t>distribution company</w:t>
      </w:r>
      <w:r w:rsidR="00030C21" w:rsidRPr="009B3EF9">
        <w:rPr>
          <w:rFonts w:ascii="Times New Roman" w:hAnsi="Times New Roman" w:cs="Times New Roman"/>
        </w:rPr>
        <w:t>’s</w:t>
      </w:r>
      <w:r w:rsidR="009E17A6" w:rsidRPr="009B3EF9">
        <w:rPr>
          <w:rFonts w:ascii="Times New Roman" w:hAnsi="Times New Roman" w:cs="Times New Roman"/>
        </w:rPr>
        <w:t xml:space="preserve"> (EDC</w:t>
      </w:r>
      <w:r w:rsidR="00030C21" w:rsidRPr="009B3EF9">
        <w:rPr>
          <w:rFonts w:ascii="Times New Roman" w:hAnsi="Times New Roman" w:cs="Times New Roman"/>
        </w:rPr>
        <w:t>’s</w:t>
      </w:r>
      <w:r w:rsidR="009E17A6" w:rsidRPr="009B3EF9">
        <w:rPr>
          <w:rFonts w:ascii="Times New Roman" w:hAnsi="Times New Roman" w:cs="Times New Roman"/>
        </w:rPr>
        <w:t xml:space="preserve">) </w:t>
      </w:r>
      <w:r w:rsidR="00030C21" w:rsidRPr="009B3EF9">
        <w:rPr>
          <w:rFonts w:ascii="Times New Roman" w:hAnsi="Times New Roman" w:cs="Times New Roman"/>
        </w:rPr>
        <w:t>reconciliation</w:t>
      </w:r>
      <w:r w:rsidR="002D2A1B" w:rsidRPr="009B3EF9">
        <w:rPr>
          <w:rFonts w:ascii="Times New Roman" w:hAnsi="Times New Roman" w:cs="Times New Roman"/>
        </w:rPr>
        <w:t>,</w:t>
      </w:r>
      <w:r w:rsidR="00030C21" w:rsidRPr="009B3EF9">
        <w:rPr>
          <w:rFonts w:ascii="Times New Roman" w:hAnsi="Times New Roman" w:cs="Times New Roman"/>
        </w:rPr>
        <w:t xml:space="preserve"> filed pursuant to 66 Pa.C.S. §</w:t>
      </w:r>
      <w:r w:rsidR="00455F2B" w:rsidRPr="009B3EF9">
        <w:rPr>
          <w:rFonts w:ascii="Times New Roman" w:hAnsi="Times New Roman" w:cs="Times New Roman"/>
        </w:rPr>
        <w:t xml:space="preserve"> </w:t>
      </w:r>
      <w:r w:rsidR="00030C21" w:rsidRPr="009B3EF9">
        <w:rPr>
          <w:rFonts w:ascii="Times New Roman" w:hAnsi="Times New Roman" w:cs="Times New Roman"/>
        </w:rPr>
        <w:t>1307(e)</w:t>
      </w:r>
      <w:r w:rsidR="002D2A1B" w:rsidRPr="009B3EF9">
        <w:rPr>
          <w:rFonts w:ascii="Times New Roman" w:hAnsi="Times New Roman" w:cs="Times New Roman"/>
        </w:rPr>
        <w:t>,</w:t>
      </w:r>
      <w:r w:rsidR="00030C21" w:rsidRPr="009B3EF9">
        <w:rPr>
          <w:rFonts w:ascii="Times New Roman" w:hAnsi="Times New Roman" w:cs="Times New Roman"/>
        </w:rPr>
        <w:t xml:space="preserve"> has resulted in high and unstable rates for Small Commercial and Industrial-Fixed (Small C&amp;I) customers.</w:t>
      </w:r>
      <w:r w:rsidR="00455F2B" w:rsidRPr="009B3EF9">
        <w:rPr>
          <w:rFonts w:ascii="Times New Roman" w:hAnsi="Times New Roman" w:cs="Times New Roman"/>
        </w:rPr>
        <w:t xml:space="preserve">  This decision approves a joint settlement petition filed by the parties that addresses </w:t>
      </w:r>
      <w:r w:rsidR="00455F2B" w:rsidRPr="009B3EF9">
        <w:rPr>
          <w:rFonts w:ascii="Times New Roman" w:hAnsi="Times New Roman" w:cs="Times New Roman"/>
          <w:color w:val="000000"/>
        </w:rPr>
        <w:t>the issues raised in the complaint.</w:t>
      </w:r>
    </w:p>
    <w:p w:rsidR="00030C21" w:rsidRDefault="00030C21" w:rsidP="009B3EF9">
      <w:pPr>
        <w:pStyle w:val="ParaTab1"/>
        <w:tabs>
          <w:tab w:val="left" w:pos="-180"/>
        </w:tabs>
        <w:rPr>
          <w:rFonts w:ascii="Times New Roman" w:hAnsi="Times New Roman" w:cs="Times New Roman"/>
        </w:rPr>
      </w:pPr>
    </w:p>
    <w:p w:rsidR="009B3EF9" w:rsidRPr="009B3EF9" w:rsidRDefault="009B3EF9" w:rsidP="009B3EF9">
      <w:pPr>
        <w:pStyle w:val="ParaTab1"/>
        <w:tabs>
          <w:tab w:val="left" w:pos="-180"/>
        </w:tabs>
        <w:rPr>
          <w:rFonts w:ascii="Times New Roman" w:hAnsi="Times New Roman" w:cs="Times New Roman"/>
        </w:rPr>
      </w:pPr>
    </w:p>
    <w:p w:rsidR="008C1DB3" w:rsidRPr="009B3EF9" w:rsidRDefault="008C1DB3" w:rsidP="009B3EF9">
      <w:pPr>
        <w:jc w:val="center"/>
        <w:rPr>
          <w:rFonts w:ascii="Times New Roman" w:hAnsi="Times New Roman" w:cs="Times New Roman"/>
          <w:u w:val="single"/>
        </w:rPr>
      </w:pPr>
      <w:r w:rsidRPr="009B3EF9">
        <w:rPr>
          <w:rFonts w:ascii="Times New Roman" w:hAnsi="Times New Roman" w:cs="Times New Roman"/>
          <w:u w:val="single"/>
        </w:rPr>
        <w:t>HISTORY OF THE PROCEEDING</w:t>
      </w:r>
    </w:p>
    <w:p w:rsidR="00706FA4" w:rsidRDefault="00706FA4" w:rsidP="009B3EF9">
      <w:pPr>
        <w:jc w:val="center"/>
        <w:rPr>
          <w:rFonts w:ascii="Times New Roman" w:hAnsi="Times New Roman" w:cs="Times New Roman"/>
          <w:u w:val="single"/>
        </w:rPr>
      </w:pPr>
    </w:p>
    <w:p w:rsidR="009B3EF9" w:rsidRPr="009B3EF9" w:rsidRDefault="009B3EF9" w:rsidP="009B3EF9">
      <w:pPr>
        <w:jc w:val="center"/>
        <w:rPr>
          <w:rFonts w:ascii="Times New Roman" w:hAnsi="Times New Roman" w:cs="Times New Roman"/>
          <w:u w:val="single"/>
        </w:rPr>
      </w:pPr>
    </w:p>
    <w:p w:rsidR="002A234A" w:rsidRPr="009B3EF9" w:rsidRDefault="00446500" w:rsidP="00593F59">
      <w:pPr>
        <w:spacing w:line="360" w:lineRule="auto"/>
        <w:ind w:firstLine="1440"/>
        <w:rPr>
          <w:rFonts w:ascii="Times New Roman" w:hAnsi="Times New Roman" w:cs="Times New Roman"/>
        </w:rPr>
      </w:pPr>
      <w:r w:rsidRPr="009B3EF9">
        <w:rPr>
          <w:rFonts w:ascii="Times New Roman" w:hAnsi="Times New Roman" w:cs="Times New Roman"/>
        </w:rPr>
        <w:t xml:space="preserve">On </w:t>
      </w:r>
      <w:r w:rsidR="009E17A6" w:rsidRPr="009B3EF9">
        <w:rPr>
          <w:rFonts w:ascii="Times New Roman" w:hAnsi="Times New Roman" w:cs="Times New Roman"/>
        </w:rPr>
        <w:t>June 6, 2013</w:t>
      </w:r>
      <w:r w:rsidRPr="009B3EF9">
        <w:rPr>
          <w:rFonts w:ascii="Times New Roman" w:hAnsi="Times New Roman" w:cs="Times New Roman"/>
        </w:rPr>
        <w:t xml:space="preserve">, the </w:t>
      </w:r>
      <w:r w:rsidR="009E17A6" w:rsidRPr="009B3EF9">
        <w:rPr>
          <w:rFonts w:ascii="Times New Roman" w:hAnsi="Times New Roman" w:cs="Times New Roman"/>
        </w:rPr>
        <w:t xml:space="preserve">Office of Small Business Advocate </w:t>
      </w:r>
      <w:r w:rsidRPr="009B3EF9">
        <w:rPr>
          <w:rFonts w:ascii="Times New Roman" w:hAnsi="Times New Roman" w:cs="Times New Roman"/>
        </w:rPr>
        <w:t>(</w:t>
      </w:r>
      <w:r w:rsidR="009E17A6" w:rsidRPr="009B3EF9">
        <w:rPr>
          <w:rFonts w:ascii="Times New Roman" w:hAnsi="Times New Roman" w:cs="Times New Roman"/>
        </w:rPr>
        <w:t>OSBA)</w:t>
      </w:r>
      <w:r w:rsidRPr="009B3EF9">
        <w:rPr>
          <w:rFonts w:ascii="Times New Roman" w:hAnsi="Times New Roman" w:cs="Times New Roman"/>
        </w:rPr>
        <w:t xml:space="preserve"> filed a complaint with the Pennsylvania Public Utility Commission (Commission) against </w:t>
      </w:r>
      <w:r w:rsidR="009E17A6" w:rsidRPr="009B3EF9">
        <w:rPr>
          <w:rFonts w:ascii="Times New Roman" w:hAnsi="Times New Roman" w:cs="Times New Roman"/>
        </w:rPr>
        <w:t>PPL Electric Utilities Corporation</w:t>
      </w:r>
      <w:r w:rsidRPr="009B3EF9">
        <w:rPr>
          <w:rFonts w:ascii="Times New Roman" w:hAnsi="Times New Roman" w:cs="Times New Roman"/>
        </w:rPr>
        <w:t xml:space="preserve"> (</w:t>
      </w:r>
      <w:r w:rsidR="009E17A6" w:rsidRPr="009B3EF9">
        <w:rPr>
          <w:rFonts w:ascii="Times New Roman" w:hAnsi="Times New Roman" w:cs="Times New Roman"/>
        </w:rPr>
        <w:t>PPL</w:t>
      </w:r>
      <w:r w:rsidRPr="009B3EF9">
        <w:rPr>
          <w:rFonts w:ascii="Times New Roman" w:hAnsi="Times New Roman" w:cs="Times New Roman"/>
        </w:rPr>
        <w:t xml:space="preserve">).  </w:t>
      </w:r>
      <w:r w:rsidR="009E17A6" w:rsidRPr="009B3EF9">
        <w:rPr>
          <w:rFonts w:ascii="Times New Roman" w:hAnsi="Times New Roman" w:cs="Times New Roman"/>
        </w:rPr>
        <w:t xml:space="preserve">OSBA filed the complaint against PPL’s Generation Supply Charge-1 Reconciliation Report (GSC-1 Reconciliation Report) filed on May 17, 2013, for the period May 1, 2012 through April 30, 2013.  The complaint alleges that the GSC-1 Reconciliation Report </w:t>
      </w:r>
      <w:r w:rsidR="002A234A" w:rsidRPr="009B3EF9">
        <w:rPr>
          <w:rFonts w:ascii="Times New Roman" w:hAnsi="Times New Roman" w:cs="Times New Roman"/>
        </w:rPr>
        <w:t xml:space="preserve">has resulted in high and unstable rates for Small </w:t>
      </w:r>
      <w:proofErr w:type="gramStart"/>
      <w:r w:rsidR="002A234A" w:rsidRPr="009B3EF9">
        <w:rPr>
          <w:rFonts w:ascii="Times New Roman" w:hAnsi="Times New Roman" w:cs="Times New Roman"/>
        </w:rPr>
        <w:t>C&amp;I</w:t>
      </w:r>
      <w:proofErr w:type="gramEnd"/>
      <w:r w:rsidR="002A234A" w:rsidRPr="009B3EF9">
        <w:rPr>
          <w:rFonts w:ascii="Times New Roman" w:hAnsi="Times New Roman" w:cs="Times New Roman"/>
        </w:rPr>
        <w:t xml:space="preserve"> cu</w:t>
      </w:r>
      <w:r w:rsidR="009B3EF9">
        <w:rPr>
          <w:rFonts w:ascii="Times New Roman" w:hAnsi="Times New Roman" w:cs="Times New Roman"/>
        </w:rPr>
        <w:t>stomers.</w:t>
      </w:r>
    </w:p>
    <w:p w:rsidR="002A234A" w:rsidRPr="009B3EF9" w:rsidRDefault="002A234A" w:rsidP="00593F59">
      <w:pPr>
        <w:spacing w:line="360" w:lineRule="auto"/>
        <w:ind w:firstLine="1440"/>
        <w:rPr>
          <w:rFonts w:ascii="Times New Roman" w:hAnsi="Times New Roman" w:cs="Times New Roman"/>
        </w:rPr>
      </w:pPr>
    </w:p>
    <w:p w:rsidR="002A234A" w:rsidRPr="009B3EF9" w:rsidRDefault="002A234A" w:rsidP="00593F59">
      <w:pPr>
        <w:spacing w:line="360" w:lineRule="auto"/>
        <w:ind w:firstLine="1440"/>
        <w:rPr>
          <w:rFonts w:ascii="Times New Roman" w:hAnsi="Times New Roman" w:cs="Times New Roman"/>
        </w:rPr>
      </w:pPr>
      <w:r w:rsidRPr="009B3EF9">
        <w:rPr>
          <w:rFonts w:ascii="Times New Roman" w:hAnsi="Times New Roman" w:cs="Times New Roman"/>
        </w:rPr>
        <w:lastRenderedPageBreak/>
        <w:t xml:space="preserve">The complaint requests that the Commission 1) require PPL to provide a detailed explanation as to why actual Small C&amp;I costs far exceed expectations during the reconciliation period; 2) direct PPL to evaluate its cost forecasting procedures to identify improvements that can be made to reduce the high error level related to Small C&amp;I default service costs; 3) </w:t>
      </w:r>
      <w:r w:rsidR="00E62C64">
        <w:rPr>
          <w:rFonts w:ascii="Times New Roman" w:hAnsi="Times New Roman" w:cs="Times New Roman"/>
        </w:rPr>
        <w:t>d</w:t>
      </w:r>
      <w:r w:rsidRPr="009B3EF9">
        <w:rPr>
          <w:rFonts w:ascii="Times New Roman" w:hAnsi="Times New Roman" w:cs="Times New Roman"/>
        </w:rPr>
        <w:t xml:space="preserve">irect the Commission’s Bureau of Audits to evaluate whether </w:t>
      </w:r>
      <w:r w:rsidR="002D2A1B" w:rsidRPr="009B3EF9">
        <w:rPr>
          <w:rFonts w:ascii="Times New Roman" w:hAnsi="Times New Roman" w:cs="Times New Roman"/>
        </w:rPr>
        <w:t>PPL’s</w:t>
      </w:r>
      <w:r w:rsidRPr="009B3EF9">
        <w:rPr>
          <w:rFonts w:ascii="Times New Roman" w:hAnsi="Times New Roman" w:cs="Times New Roman"/>
        </w:rPr>
        <w:t xml:space="preserve"> assignment of costs to Small C&amp;I customers for the reconciliation period is reasonable, and if found to be unreasonable, order appropriate refunds; and 4) grant such other relief as may be necessary or appropriate.</w:t>
      </w:r>
    </w:p>
    <w:p w:rsidR="00C6484A" w:rsidRPr="009B3EF9" w:rsidRDefault="00C6484A" w:rsidP="00593F59">
      <w:pPr>
        <w:spacing w:line="360" w:lineRule="auto"/>
        <w:ind w:firstLine="1440"/>
        <w:rPr>
          <w:rFonts w:ascii="Times New Roman" w:hAnsi="Times New Roman" w:cs="Times New Roman"/>
        </w:rPr>
      </w:pPr>
    </w:p>
    <w:p w:rsidR="00C6484A" w:rsidRPr="009B3EF9" w:rsidRDefault="00C6484A" w:rsidP="00593F59">
      <w:pPr>
        <w:spacing w:line="360" w:lineRule="auto"/>
        <w:ind w:firstLine="1440"/>
        <w:rPr>
          <w:rFonts w:ascii="Times New Roman" w:hAnsi="Times New Roman" w:cs="Times New Roman"/>
        </w:rPr>
      </w:pPr>
      <w:r w:rsidRPr="009B3EF9">
        <w:rPr>
          <w:rFonts w:ascii="Times New Roman" w:hAnsi="Times New Roman" w:cs="Times New Roman"/>
        </w:rPr>
        <w:t>On June 24, 2013, the Office of Consumer Advocate (OCA) filed a notice of intervention and public statement in t</w:t>
      </w:r>
      <w:r w:rsidR="009B3EF9">
        <w:rPr>
          <w:rFonts w:ascii="Times New Roman" w:hAnsi="Times New Roman" w:cs="Times New Roman"/>
        </w:rPr>
        <w:t>his proceeding.</w:t>
      </w:r>
    </w:p>
    <w:p w:rsidR="00C5666F" w:rsidRPr="009B3EF9" w:rsidRDefault="00C5666F" w:rsidP="009B3EF9">
      <w:pPr>
        <w:pStyle w:val="ParaTab1"/>
        <w:spacing w:line="360" w:lineRule="auto"/>
        <w:ind w:left="86" w:firstLine="1354"/>
        <w:rPr>
          <w:rFonts w:ascii="Times New Roman" w:hAnsi="Times New Roman" w:cs="Times New Roman"/>
        </w:rPr>
      </w:pPr>
    </w:p>
    <w:p w:rsidR="002D2A1B" w:rsidRPr="009B3EF9" w:rsidRDefault="002D2A1B" w:rsidP="00C5666F">
      <w:pPr>
        <w:pStyle w:val="ParaTab1"/>
        <w:spacing w:line="360" w:lineRule="auto"/>
        <w:ind w:left="90" w:firstLine="1350"/>
        <w:rPr>
          <w:rFonts w:ascii="Times New Roman" w:hAnsi="Times New Roman" w:cs="Times New Roman"/>
        </w:rPr>
      </w:pPr>
      <w:r w:rsidRPr="009B3EF9">
        <w:rPr>
          <w:rFonts w:ascii="Times New Roman" w:hAnsi="Times New Roman" w:cs="Times New Roman"/>
        </w:rPr>
        <w:t>PPL did not file an answer to OSBA’s complaint.</w:t>
      </w:r>
    </w:p>
    <w:p w:rsidR="002D2A1B" w:rsidRPr="009B3EF9" w:rsidRDefault="002D2A1B" w:rsidP="00C5666F">
      <w:pPr>
        <w:pStyle w:val="ParaTab1"/>
        <w:spacing w:line="360" w:lineRule="auto"/>
        <w:ind w:left="90" w:firstLine="1350"/>
        <w:rPr>
          <w:rFonts w:ascii="Times New Roman" w:hAnsi="Times New Roman" w:cs="Times New Roman"/>
        </w:rPr>
      </w:pPr>
    </w:p>
    <w:p w:rsidR="00477373" w:rsidRPr="009B3EF9" w:rsidRDefault="00477373" w:rsidP="00477373">
      <w:pPr>
        <w:spacing w:line="360" w:lineRule="auto"/>
        <w:ind w:firstLine="1440"/>
        <w:rPr>
          <w:rFonts w:ascii="Times New Roman" w:hAnsi="Times New Roman" w:cs="Times New Roman"/>
        </w:rPr>
      </w:pPr>
      <w:r w:rsidRPr="009B3EF9">
        <w:rPr>
          <w:rFonts w:ascii="Times New Roman" w:hAnsi="Times New Roman" w:cs="Times New Roman"/>
        </w:rPr>
        <w:t xml:space="preserve">By notice dated </w:t>
      </w:r>
      <w:r w:rsidR="00BB09A3" w:rsidRPr="009B3EF9">
        <w:rPr>
          <w:rFonts w:ascii="Times New Roman" w:hAnsi="Times New Roman" w:cs="Times New Roman"/>
        </w:rPr>
        <w:t>June 28, 2013</w:t>
      </w:r>
      <w:r w:rsidRPr="009B3EF9">
        <w:rPr>
          <w:rFonts w:ascii="Times New Roman" w:hAnsi="Times New Roman" w:cs="Times New Roman"/>
        </w:rPr>
        <w:t xml:space="preserve">, the Commission scheduled a </w:t>
      </w:r>
      <w:r w:rsidR="00C5666F" w:rsidRPr="009B3EF9">
        <w:rPr>
          <w:rFonts w:ascii="Times New Roman" w:hAnsi="Times New Roman" w:cs="Times New Roman"/>
        </w:rPr>
        <w:t>prehearing conference</w:t>
      </w:r>
      <w:r w:rsidR="00C5666F" w:rsidRPr="009B3EF9">
        <w:rPr>
          <w:rFonts w:ascii="Times New Roman" w:hAnsi="Times New Roman" w:cs="Times New Roman"/>
          <w:bCs/>
          <w:spacing w:val="-3"/>
        </w:rPr>
        <w:t xml:space="preserve"> to be held on </w:t>
      </w:r>
      <w:r w:rsidR="00BB09A3" w:rsidRPr="009B3EF9">
        <w:rPr>
          <w:rFonts w:ascii="Times New Roman" w:hAnsi="Times New Roman" w:cs="Times New Roman"/>
          <w:bCs/>
          <w:spacing w:val="-3"/>
        </w:rPr>
        <w:t>July 9, 2013</w:t>
      </w:r>
      <w:r w:rsidR="00C5666F" w:rsidRPr="009B3EF9">
        <w:rPr>
          <w:rFonts w:ascii="Times New Roman" w:hAnsi="Times New Roman" w:cs="Times New Roman"/>
          <w:bCs/>
          <w:spacing w:val="-3"/>
        </w:rPr>
        <w:t xml:space="preserve"> at 10:00 a.m. in Hearing Room </w:t>
      </w:r>
      <w:r w:rsidRPr="009B3EF9">
        <w:rPr>
          <w:rFonts w:ascii="Times New Roman" w:hAnsi="Times New Roman" w:cs="Times New Roman"/>
          <w:bCs/>
          <w:spacing w:val="-3"/>
        </w:rPr>
        <w:t>4</w:t>
      </w:r>
      <w:r w:rsidR="00C5666F" w:rsidRPr="009B3EF9">
        <w:rPr>
          <w:rFonts w:ascii="Times New Roman" w:hAnsi="Times New Roman" w:cs="Times New Roman"/>
          <w:bCs/>
          <w:spacing w:val="-3"/>
        </w:rPr>
        <w:t xml:space="preserve"> of the Commonwealth Keystone Building in Harrisburg.</w:t>
      </w:r>
      <w:r w:rsidRPr="009B3EF9">
        <w:rPr>
          <w:rFonts w:ascii="Times New Roman" w:hAnsi="Times New Roman" w:cs="Times New Roman"/>
          <w:bCs/>
          <w:spacing w:val="-3"/>
        </w:rPr>
        <w:t xml:space="preserve">  </w:t>
      </w:r>
      <w:r w:rsidRPr="009B3EF9">
        <w:rPr>
          <w:rFonts w:ascii="Times New Roman" w:hAnsi="Times New Roman" w:cs="Times New Roman"/>
        </w:rPr>
        <w:t xml:space="preserve">I issued a prehearing conference order on </w:t>
      </w:r>
      <w:r w:rsidR="00BB09A3" w:rsidRPr="009B3EF9">
        <w:rPr>
          <w:rFonts w:ascii="Times New Roman" w:hAnsi="Times New Roman" w:cs="Times New Roman"/>
        </w:rPr>
        <w:t>June 28, 2013</w:t>
      </w:r>
      <w:r w:rsidRPr="009B3EF9">
        <w:rPr>
          <w:rFonts w:ascii="Times New Roman" w:hAnsi="Times New Roman" w:cs="Times New Roman"/>
        </w:rPr>
        <w:t>, setting forth the procedural matters to be addressed</w:t>
      </w:r>
      <w:r w:rsidR="001630BF" w:rsidRPr="009B3EF9">
        <w:rPr>
          <w:rFonts w:ascii="Times New Roman" w:hAnsi="Times New Roman" w:cs="Times New Roman"/>
        </w:rPr>
        <w:t xml:space="preserve"> at the prehearing conference.</w:t>
      </w:r>
    </w:p>
    <w:p w:rsidR="00BB09A3" w:rsidRPr="009B3EF9" w:rsidRDefault="00BB09A3" w:rsidP="00477373">
      <w:pPr>
        <w:pStyle w:val="ParaTab1"/>
        <w:spacing w:line="360" w:lineRule="auto"/>
        <w:ind w:firstLine="1350"/>
        <w:rPr>
          <w:rFonts w:ascii="Times New Roman" w:hAnsi="Times New Roman" w:cs="Times New Roman"/>
        </w:rPr>
      </w:pPr>
    </w:p>
    <w:p w:rsidR="00032401" w:rsidRPr="009B3EF9" w:rsidRDefault="00032401" w:rsidP="00032401">
      <w:pPr>
        <w:spacing w:line="360" w:lineRule="auto"/>
        <w:ind w:firstLine="1440"/>
        <w:rPr>
          <w:rFonts w:ascii="Times New Roman" w:hAnsi="Times New Roman" w:cs="Times New Roman"/>
        </w:rPr>
      </w:pPr>
      <w:r w:rsidRPr="009B3EF9">
        <w:rPr>
          <w:rFonts w:ascii="Times New Roman" w:hAnsi="Times New Roman" w:cs="Times New Roman"/>
        </w:rPr>
        <w:t xml:space="preserve">I conducted the prehearing conference as scheduled on </w:t>
      </w:r>
      <w:r w:rsidR="00BB09A3" w:rsidRPr="009B3EF9">
        <w:rPr>
          <w:rFonts w:ascii="Times New Roman" w:hAnsi="Times New Roman" w:cs="Times New Roman"/>
        </w:rPr>
        <w:t>July 9, 2013</w:t>
      </w:r>
      <w:r w:rsidRPr="009B3EF9">
        <w:rPr>
          <w:rFonts w:ascii="Times New Roman" w:hAnsi="Times New Roman" w:cs="Times New Roman"/>
        </w:rPr>
        <w:t xml:space="preserve">.  Participating </w:t>
      </w:r>
      <w:proofErr w:type="gramStart"/>
      <w:r w:rsidRPr="009B3EF9">
        <w:rPr>
          <w:rFonts w:ascii="Times New Roman" w:hAnsi="Times New Roman" w:cs="Times New Roman"/>
        </w:rPr>
        <w:t>were</w:t>
      </w:r>
      <w:proofErr w:type="gramEnd"/>
      <w:r w:rsidRPr="009B3EF9">
        <w:rPr>
          <w:rFonts w:ascii="Times New Roman" w:hAnsi="Times New Roman" w:cs="Times New Roman"/>
        </w:rPr>
        <w:t xml:space="preserve"> counsel for </w:t>
      </w:r>
      <w:r w:rsidR="009E17A6" w:rsidRPr="009B3EF9">
        <w:rPr>
          <w:rFonts w:ascii="Times New Roman" w:hAnsi="Times New Roman" w:cs="Times New Roman"/>
        </w:rPr>
        <w:t>OSBA</w:t>
      </w:r>
      <w:r w:rsidR="00BB09A3" w:rsidRPr="009B3EF9">
        <w:rPr>
          <w:rFonts w:ascii="Times New Roman" w:hAnsi="Times New Roman" w:cs="Times New Roman"/>
        </w:rPr>
        <w:t>, OCA</w:t>
      </w:r>
      <w:r w:rsidRPr="009B3EF9">
        <w:rPr>
          <w:rFonts w:ascii="Times New Roman" w:hAnsi="Times New Roman" w:cs="Times New Roman"/>
        </w:rPr>
        <w:t xml:space="preserve"> and </w:t>
      </w:r>
      <w:r w:rsidR="009E17A6" w:rsidRPr="009B3EF9">
        <w:rPr>
          <w:rFonts w:ascii="Times New Roman" w:hAnsi="Times New Roman" w:cs="Times New Roman"/>
        </w:rPr>
        <w:t>PPL</w:t>
      </w:r>
      <w:r w:rsidRPr="009B3EF9">
        <w:rPr>
          <w:rFonts w:ascii="Times New Roman" w:hAnsi="Times New Roman" w:cs="Times New Roman"/>
        </w:rPr>
        <w:t>.</w:t>
      </w:r>
      <w:r w:rsidR="00253DAA" w:rsidRPr="009B3EF9">
        <w:rPr>
          <w:rFonts w:ascii="Times New Roman" w:hAnsi="Times New Roman" w:cs="Times New Roman"/>
        </w:rPr>
        <w:t xml:space="preserve">  </w:t>
      </w:r>
      <w:r w:rsidRPr="009B3EF9">
        <w:rPr>
          <w:rFonts w:ascii="Times New Roman" w:hAnsi="Times New Roman" w:cs="Times New Roman"/>
        </w:rPr>
        <w:t xml:space="preserve">As a result of the prehearing conference, I issued Prehearing Order #2 on </w:t>
      </w:r>
      <w:r w:rsidR="00BB09A3" w:rsidRPr="009B3EF9">
        <w:rPr>
          <w:rFonts w:ascii="Times New Roman" w:hAnsi="Times New Roman" w:cs="Times New Roman"/>
        </w:rPr>
        <w:t>July 9, 2013</w:t>
      </w:r>
      <w:r w:rsidRPr="009B3EF9">
        <w:rPr>
          <w:rFonts w:ascii="Times New Roman" w:hAnsi="Times New Roman" w:cs="Times New Roman"/>
        </w:rPr>
        <w:t xml:space="preserve">.  Prehearing Order #2 established </w:t>
      </w:r>
      <w:r w:rsidR="00BB09A3" w:rsidRPr="009B3EF9">
        <w:rPr>
          <w:rFonts w:ascii="Times New Roman" w:hAnsi="Times New Roman" w:cs="Times New Roman"/>
        </w:rPr>
        <w:t xml:space="preserve">a </w:t>
      </w:r>
      <w:r w:rsidRPr="009B3EF9">
        <w:rPr>
          <w:rFonts w:ascii="Times New Roman" w:hAnsi="Times New Roman" w:cs="Times New Roman"/>
        </w:rPr>
        <w:t>litigation and briefing schedule.</w:t>
      </w:r>
    </w:p>
    <w:p w:rsidR="00032401" w:rsidRPr="009B3EF9" w:rsidRDefault="00032401" w:rsidP="00192F0F">
      <w:pPr>
        <w:spacing w:line="360" w:lineRule="auto"/>
        <w:rPr>
          <w:rFonts w:ascii="Times New Roman" w:hAnsi="Times New Roman" w:cs="Times New Roman"/>
        </w:rPr>
      </w:pPr>
    </w:p>
    <w:p w:rsidR="006D1582" w:rsidRPr="009B3EF9" w:rsidRDefault="00145B61" w:rsidP="006528C8">
      <w:pPr>
        <w:tabs>
          <w:tab w:val="left" w:pos="2160"/>
        </w:tabs>
        <w:spacing w:line="360" w:lineRule="auto"/>
        <w:ind w:firstLine="1440"/>
        <w:rPr>
          <w:rFonts w:ascii="Times New Roman" w:hAnsi="Times New Roman" w:cs="Times New Roman"/>
        </w:rPr>
      </w:pPr>
      <w:r w:rsidRPr="009B3EF9">
        <w:rPr>
          <w:rFonts w:ascii="Times New Roman" w:hAnsi="Times New Roman" w:cs="Times New Roman"/>
        </w:rPr>
        <w:t xml:space="preserve">By notice dated </w:t>
      </w:r>
      <w:r w:rsidR="00BB09A3" w:rsidRPr="009B3EF9">
        <w:rPr>
          <w:rFonts w:ascii="Times New Roman" w:hAnsi="Times New Roman" w:cs="Times New Roman"/>
        </w:rPr>
        <w:t>July 16, 2013</w:t>
      </w:r>
      <w:r w:rsidRPr="009B3EF9">
        <w:rPr>
          <w:rFonts w:ascii="Times New Roman" w:hAnsi="Times New Roman" w:cs="Times New Roman"/>
        </w:rPr>
        <w:t>, the Commission scheduled initial hearing</w:t>
      </w:r>
      <w:r w:rsidR="00032401" w:rsidRPr="009B3EF9">
        <w:rPr>
          <w:rFonts w:ascii="Times New Roman" w:hAnsi="Times New Roman" w:cs="Times New Roman"/>
        </w:rPr>
        <w:t>s</w:t>
      </w:r>
      <w:r w:rsidRPr="009B3EF9">
        <w:rPr>
          <w:rFonts w:ascii="Times New Roman" w:hAnsi="Times New Roman" w:cs="Times New Roman"/>
        </w:rPr>
        <w:t xml:space="preserve"> for this matter on </w:t>
      </w:r>
      <w:r w:rsidR="00BB09A3" w:rsidRPr="009B3EF9">
        <w:rPr>
          <w:rFonts w:ascii="Times New Roman" w:hAnsi="Times New Roman" w:cs="Times New Roman"/>
        </w:rPr>
        <w:t>October 9 and 10</w:t>
      </w:r>
      <w:r w:rsidR="006D1582" w:rsidRPr="009B3EF9">
        <w:rPr>
          <w:rFonts w:ascii="Times New Roman" w:hAnsi="Times New Roman" w:cs="Times New Roman"/>
        </w:rPr>
        <w:t>, 2013</w:t>
      </w:r>
      <w:r w:rsidRPr="009B3EF9">
        <w:rPr>
          <w:rFonts w:ascii="Times New Roman" w:hAnsi="Times New Roman" w:cs="Times New Roman"/>
        </w:rPr>
        <w:t xml:space="preserve"> at 10:00 a.m. in Hearing Room </w:t>
      </w:r>
      <w:r w:rsidR="00520045" w:rsidRPr="009B3EF9">
        <w:rPr>
          <w:rFonts w:ascii="Times New Roman" w:hAnsi="Times New Roman" w:cs="Times New Roman"/>
        </w:rPr>
        <w:t>2</w:t>
      </w:r>
      <w:r w:rsidRPr="009B3EF9">
        <w:rPr>
          <w:rFonts w:ascii="Times New Roman" w:hAnsi="Times New Roman" w:cs="Times New Roman"/>
        </w:rPr>
        <w:t>, Commonwealth Ke</w:t>
      </w:r>
      <w:r w:rsidR="003D525E" w:rsidRPr="009B3EF9">
        <w:rPr>
          <w:rFonts w:ascii="Times New Roman" w:hAnsi="Times New Roman" w:cs="Times New Roman"/>
        </w:rPr>
        <w:t>ystone Building in Harrisburg.</w:t>
      </w:r>
    </w:p>
    <w:p w:rsidR="00733C2E" w:rsidRPr="009B3EF9" w:rsidRDefault="00733C2E" w:rsidP="006528C8">
      <w:pPr>
        <w:tabs>
          <w:tab w:val="left" w:pos="1440"/>
          <w:tab w:val="left" w:pos="2160"/>
          <w:tab w:val="center" w:pos="4680"/>
        </w:tabs>
        <w:suppressAutoHyphens/>
        <w:spacing w:line="360" w:lineRule="auto"/>
        <w:ind w:firstLine="1440"/>
        <w:rPr>
          <w:rFonts w:ascii="Times New Roman" w:hAnsi="Times New Roman" w:cs="Times New Roman"/>
        </w:rPr>
      </w:pPr>
    </w:p>
    <w:p w:rsidR="00C6484A" w:rsidRPr="009B3EF9" w:rsidRDefault="00BB09A3" w:rsidP="006528C8">
      <w:pPr>
        <w:tabs>
          <w:tab w:val="left" w:pos="1440"/>
          <w:tab w:val="left" w:pos="2160"/>
          <w:tab w:val="center" w:pos="4680"/>
        </w:tabs>
        <w:suppressAutoHyphens/>
        <w:spacing w:line="360" w:lineRule="auto"/>
        <w:ind w:firstLine="1440"/>
        <w:rPr>
          <w:rFonts w:ascii="Times New Roman" w:hAnsi="Times New Roman" w:cs="Times New Roman"/>
        </w:rPr>
      </w:pPr>
      <w:r w:rsidRPr="009B3EF9">
        <w:rPr>
          <w:rFonts w:ascii="Times New Roman" w:hAnsi="Times New Roman" w:cs="Times New Roman"/>
        </w:rPr>
        <w:t>On August 16, 2013, OSBA served prepared d</w:t>
      </w:r>
      <w:r w:rsidR="000C3B06">
        <w:rPr>
          <w:rFonts w:ascii="Times New Roman" w:hAnsi="Times New Roman" w:cs="Times New Roman"/>
        </w:rPr>
        <w:t>irect testimony on the parties.</w:t>
      </w:r>
    </w:p>
    <w:p w:rsidR="00C6484A" w:rsidRPr="009B3EF9" w:rsidRDefault="00C6484A" w:rsidP="006528C8">
      <w:pPr>
        <w:tabs>
          <w:tab w:val="left" w:pos="1440"/>
          <w:tab w:val="left" w:pos="2160"/>
          <w:tab w:val="center" w:pos="4680"/>
        </w:tabs>
        <w:suppressAutoHyphens/>
        <w:spacing w:line="360" w:lineRule="auto"/>
        <w:ind w:firstLine="1440"/>
        <w:rPr>
          <w:rFonts w:ascii="Times New Roman" w:hAnsi="Times New Roman" w:cs="Times New Roman"/>
        </w:rPr>
      </w:pPr>
    </w:p>
    <w:p w:rsidR="00BB09A3" w:rsidRPr="009B3EF9" w:rsidRDefault="00C6484A" w:rsidP="006528C8">
      <w:pPr>
        <w:tabs>
          <w:tab w:val="left" w:pos="1440"/>
          <w:tab w:val="left" w:pos="2160"/>
          <w:tab w:val="center" w:pos="4680"/>
        </w:tabs>
        <w:suppressAutoHyphens/>
        <w:spacing w:line="360" w:lineRule="auto"/>
        <w:ind w:firstLine="1440"/>
        <w:rPr>
          <w:rFonts w:ascii="Times New Roman" w:hAnsi="Times New Roman" w:cs="Times New Roman"/>
        </w:rPr>
      </w:pPr>
      <w:r w:rsidRPr="009B3EF9">
        <w:rPr>
          <w:rFonts w:ascii="Times New Roman" w:hAnsi="Times New Roman" w:cs="Times New Roman"/>
        </w:rPr>
        <w:t>On September 6, 2013, PPL served prepared rebuttal testimony on</w:t>
      </w:r>
      <w:r w:rsidR="00BB09A3" w:rsidRPr="009B3EF9">
        <w:rPr>
          <w:rFonts w:ascii="Times New Roman" w:hAnsi="Times New Roman" w:cs="Times New Roman"/>
        </w:rPr>
        <w:t xml:space="preserve"> </w:t>
      </w:r>
      <w:r w:rsidRPr="009B3EF9">
        <w:rPr>
          <w:rFonts w:ascii="Times New Roman" w:hAnsi="Times New Roman" w:cs="Times New Roman"/>
        </w:rPr>
        <w:t>the parties.</w:t>
      </w:r>
    </w:p>
    <w:p w:rsidR="00C6484A" w:rsidRPr="009B3EF9" w:rsidRDefault="00C6484A" w:rsidP="006528C8">
      <w:pPr>
        <w:tabs>
          <w:tab w:val="left" w:pos="1440"/>
          <w:tab w:val="left" w:pos="2160"/>
          <w:tab w:val="center" w:pos="4680"/>
        </w:tabs>
        <w:suppressAutoHyphens/>
        <w:spacing w:line="360" w:lineRule="auto"/>
        <w:ind w:firstLine="1440"/>
        <w:rPr>
          <w:rFonts w:ascii="Times New Roman" w:hAnsi="Times New Roman" w:cs="Times New Roman"/>
        </w:rPr>
      </w:pPr>
    </w:p>
    <w:p w:rsidR="00C6484A" w:rsidRPr="009B3EF9" w:rsidRDefault="00C6484A" w:rsidP="006528C8">
      <w:pPr>
        <w:tabs>
          <w:tab w:val="left" w:pos="1440"/>
          <w:tab w:val="left" w:pos="2160"/>
          <w:tab w:val="center" w:pos="4680"/>
        </w:tabs>
        <w:suppressAutoHyphens/>
        <w:spacing w:line="360" w:lineRule="auto"/>
        <w:ind w:firstLine="1440"/>
        <w:rPr>
          <w:rFonts w:ascii="Times New Roman" w:hAnsi="Times New Roman" w:cs="Times New Roman"/>
        </w:rPr>
      </w:pPr>
      <w:r w:rsidRPr="009B3EF9">
        <w:rPr>
          <w:rFonts w:ascii="Times New Roman" w:hAnsi="Times New Roman" w:cs="Times New Roman"/>
        </w:rPr>
        <w:lastRenderedPageBreak/>
        <w:t>On October 1, 2013, OSBA served prepared surrebuttal testimony on the parties.</w:t>
      </w:r>
    </w:p>
    <w:p w:rsidR="00073D0F" w:rsidRPr="009B3EF9" w:rsidRDefault="00073D0F" w:rsidP="006528C8">
      <w:pPr>
        <w:tabs>
          <w:tab w:val="left" w:pos="1440"/>
          <w:tab w:val="left" w:pos="2160"/>
          <w:tab w:val="center" w:pos="4680"/>
        </w:tabs>
        <w:suppressAutoHyphens/>
        <w:spacing w:line="360" w:lineRule="auto"/>
        <w:ind w:firstLine="1440"/>
        <w:rPr>
          <w:rFonts w:ascii="Times New Roman" w:hAnsi="Times New Roman" w:cs="Times New Roman"/>
        </w:rPr>
      </w:pPr>
    </w:p>
    <w:p w:rsidR="00073D0F" w:rsidRPr="009B3EF9" w:rsidRDefault="00073D0F" w:rsidP="00073D0F">
      <w:pPr>
        <w:widowControl w:val="0"/>
        <w:spacing w:line="360" w:lineRule="auto"/>
        <w:ind w:firstLine="1440"/>
        <w:rPr>
          <w:rFonts w:ascii="Times New Roman" w:hAnsi="Times New Roman" w:cs="Times New Roman"/>
        </w:rPr>
      </w:pPr>
      <w:r w:rsidRPr="009B3EF9">
        <w:rPr>
          <w:rFonts w:ascii="Times New Roman" w:hAnsi="Times New Roman" w:cs="Times New Roman"/>
        </w:rPr>
        <w:t xml:space="preserve">On October 9, 2013, the parties informed me that they </w:t>
      </w:r>
      <w:r w:rsidRPr="009B3EF9">
        <w:rPr>
          <w:rFonts w:ascii="Times New Roman" w:hAnsi="Times New Roman" w:cs="Times New Roman"/>
          <w:color w:val="000000"/>
        </w:rPr>
        <w:t>had reached an agreement in principle, settling all the issues in these proceedings and request</w:t>
      </w:r>
      <w:r w:rsidR="00E62C64">
        <w:rPr>
          <w:rFonts w:ascii="Times New Roman" w:hAnsi="Times New Roman" w:cs="Times New Roman"/>
          <w:color w:val="000000"/>
        </w:rPr>
        <w:t>ed</w:t>
      </w:r>
      <w:r w:rsidRPr="009B3EF9">
        <w:rPr>
          <w:rFonts w:ascii="Times New Roman" w:hAnsi="Times New Roman" w:cs="Times New Roman"/>
          <w:color w:val="000000"/>
        </w:rPr>
        <w:t xml:space="preserve"> that I suspend the litigation schedule.  The parties represented that they would file a signed written settlement agreement shortly.  By order dated October 9, 2013, I </w:t>
      </w:r>
      <w:r w:rsidRPr="009B3EF9">
        <w:rPr>
          <w:rFonts w:ascii="Times New Roman" w:hAnsi="Times New Roman" w:cs="Times New Roman"/>
        </w:rPr>
        <w:t>suspended the litigation schedule set forth in Prehearing Order #2 and cancelled the hearings scheduled for October 9 and 10, 2013.</w:t>
      </w:r>
    </w:p>
    <w:p w:rsidR="00073D0F" w:rsidRPr="009B3EF9" w:rsidRDefault="00073D0F" w:rsidP="00073D0F">
      <w:pPr>
        <w:widowControl w:val="0"/>
        <w:spacing w:line="360" w:lineRule="auto"/>
        <w:ind w:firstLine="1440"/>
        <w:rPr>
          <w:rFonts w:ascii="Times New Roman" w:hAnsi="Times New Roman" w:cs="Times New Roman"/>
        </w:rPr>
      </w:pPr>
    </w:p>
    <w:p w:rsidR="00073D0F" w:rsidRPr="009B3EF9" w:rsidRDefault="00073D0F" w:rsidP="00073D0F">
      <w:pPr>
        <w:spacing w:line="360" w:lineRule="auto"/>
        <w:ind w:firstLine="1440"/>
        <w:rPr>
          <w:rFonts w:ascii="Times New Roman" w:hAnsi="Times New Roman" w:cs="Times New Roman"/>
        </w:rPr>
      </w:pPr>
      <w:r w:rsidRPr="009B3EF9">
        <w:rPr>
          <w:rFonts w:ascii="Times New Roman" w:hAnsi="Times New Roman" w:cs="Times New Roman"/>
        </w:rPr>
        <w:t xml:space="preserve">On </w:t>
      </w:r>
      <w:r w:rsidR="0086070B" w:rsidRPr="009B3EF9">
        <w:rPr>
          <w:rFonts w:ascii="Times New Roman" w:hAnsi="Times New Roman" w:cs="Times New Roman"/>
        </w:rPr>
        <w:t>November 5, 2013</w:t>
      </w:r>
      <w:r w:rsidRPr="009B3EF9">
        <w:rPr>
          <w:rFonts w:ascii="Times New Roman" w:hAnsi="Times New Roman" w:cs="Times New Roman"/>
        </w:rPr>
        <w:t xml:space="preserve">, </w:t>
      </w:r>
      <w:r w:rsidR="0086070B" w:rsidRPr="009B3EF9">
        <w:rPr>
          <w:rFonts w:ascii="Times New Roman" w:hAnsi="Times New Roman" w:cs="Times New Roman"/>
        </w:rPr>
        <w:t>OSBA</w:t>
      </w:r>
      <w:r w:rsidRPr="009B3EF9">
        <w:rPr>
          <w:rFonts w:ascii="Times New Roman" w:hAnsi="Times New Roman" w:cs="Times New Roman"/>
        </w:rPr>
        <w:t xml:space="preserve"> filed a joint settlement petition signed by counsel for </w:t>
      </w:r>
      <w:r w:rsidR="0086070B" w:rsidRPr="009B3EF9">
        <w:rPr>
          <w:rFonts w:ascii="Times New Roman" w:hAnsi="Times New Roman" w:cs="Times New Roman"/>
        </w:rPr>
        <w:t xml:space="preserve">PPL, </w:t>
      </w:r>
      <w:r w:rsidRPr="009B3EF9">
        <w:rPr>
          <w:rFonts w:ascii="Times New Roman" w:hAnsi="Times New Roman" w:cs="Times New Roman"/>
        </w:rPr>
        <w:t xml:space="preserve">OCA and OSBA.  Attached to the settlement petition are statements in support of the settlement petition by OCA, OSBA and </w:t>
      </w:r>
      <w:r w:rsidR="0086070B" w:rsidRPr="009B3EF9">
        <w:rPr>
          <w:rFonts w:ascii="Times New Roman" w:hAnsi="Times New Roman" w:cs="Times New Roman"/>
        </w:rPr>
        <w:t>PPL</w:t>
      </w:r>
      <w:r w:rsidRPr="009B3EF9">
        <w:rPr>
          <w:rFonts w:ascii="Times New Roman" w:hAnsi="Times New Roman" w:cs="Times New Roman"/>
        </w:rPr>
        <w:t xml:space="preserve">. </w:t>
      </w:r>
    </w:p>
    <w:p w:rsidR="00073D0F" w:rsidRPr="009B3EF9" w:rsidRDefault="00073D0F" w:rsidP="00073D0F">
      <w:pPr>
        <w:spacing w:line="360" w:lineRule="auto"/>
        <w:ind w:firstLine="1440"/>
        <w:rPr>
          <w:rFonts w:ascii="Times New Roman" w:hAnsi="Times New Roman" w:cs="Times New Roman"/>
        </w:rPr>
      </w:pPr>
    </w:p>
    <w:p w:rsidR="00073D0F" w:rsidRPr="009B3EF9" w:rsidRDefault="00073D0F" w:rsidP="00073D0F">
      <w:pPr>
        <w:spacing w:line="360" w:lineRule="auto"/>
        <w:ind w:firstLine="1440"/>
        <w:rPr>
          <w:rFonts w:ascii="Times New Roman" w:hAnsi="Times New Roman" w:cs="Times New Roman"/>
        </w:rPr>
      </w:pPr>
      <w:r w:rsidRPr="009B3EF9">
        <w:rPr>
          <w:rFonts w:ascii="Times New Roman" w:hAnsi="Times New Roman" w:cs="Times New Roman"/>
        </w:rPr>
        <w:t xml:space="preserve">Also on </w:t>
      </w:r>
      <w:r w:rsidR="0086070B" w:rsidRPr="009B3EF9">
        <w:rPr>
          <w:rFonts w:ascii="Times New Roman" w:hAnsi="Times New Roman" w:cs="Times New Roman"/>
        </w:rPr>
        <w:t>November 5, 2013</w:t>
      </w:r>
      <w:r w:rsidRPr="009B3EF9">
        <w:rPr>
          <w:rFonts w:ascii="Times New Roman" w:hAnsi="Times New Roman" w:cs="Times New Roman"/>
        </w:rPr>
        <w:t xml:space="preserve">, </w:t>
      </w:r>
      <w:r w:rsidR="0086070B" w:rsidRPr="009B3EF9">
        <w:rPr>
          <w:rFonts w:ascii="Times New Roman" w:hAnsi="Times New Roman" w:cs="Times New Roman"/>
        </w:rPr>
        <w:t>OSBA</w:t>
      </w:r>
      <w:r w:rsidRPr="009B3EF9">
        <w:rPr>
          <w:rFonts w:ascii="Times New Roman" w:hAnsi="Times New Roman" w:cs="Times New Roman"/>
        </w:rPr>
        <w:t xml:space="preserve"> filed a motion for admission of testimony and exhibits</w:t>
      </w:r>
      <w:r w:rsidR="0086070B" w:rsidRPr="009B3EF9">
        <w:rPr>
          <w:rFonts w:ascii="Times New Roman" w:hAnsi="Times New Roman" w:cs="Times New Roman"/>
        </w:rPr>
        <w:t xml:space="preserve"> and stipulation for admission of testimony and exhibits.</w:t>
      </w:r>
      <w:r w:rsidRPr="009B3EF9">
        <w:rPr>
          <w:rFonts w:ascii="Times New Roman" w:hAnsi="Times New Roman" w:cs="Times New Roman"/>
        </w:rPr>
        <w:t xml:space="preserve">  </w:t>
      </w:r>
      <w:r w:rsidR="0086070B" w:rsidRPr="009B3EF9">
        <w:rPr>
          <w:rFonts w:ascii="Times New Roman" w:hAnsi="Times New Roman" w:cs="Times New Roman"/>
        </w:rPr>
        <w:t xml:space="preserve">The motion </w:t>
      </w:r>
      <w:r w:rsidR="002D2A1B" w:rsidRPr="009B3EF9">
        <w:rPr>
          <w:rFonts w:ascii="Times New Roman" w:hAnsi="Times New Roman" w:cs="Times New Roman"/>
        </w:rPr>
        <w:t>states</w:t>
      </w:r>
      <w:r w:rsidR="0086070B" w:rsidRPr="009B3EF9">
        <w:rPr>
          <w:rFonts w:ascii="Times New Roman" w:hAnsi="Times New Roman" w:cs="Times New Roman"/>
        </w:rPr>
        <w:t xml:space="preserve"> that the parties have stipulated to the authenticity of the statements and exhibits listed in the stipulation and waived cross examination of the witnesses sponsoring those statements and exhibits.  </w:t>
      </w:r>
      <w:r w:rsidR="00455F2B" w:rsidRPr="009B3EF9">
        <w:rPr>
          <w:rFonts w:ascii="Times New Roman" w:hAnsi="Times New Roman" w:cs="Times New Roman"/>
        </w:rPr>
        <w:t xml:space="preserve">The motion requests that the Commission admit the statements and exhibits listed in the motion into the record in this proceeding.  </w:t>
      </w:r>
      <w:r w:rsidR="0086070B" w:rsidRPr="009B3EF9">
        <w:rPr>
          <w:rFonts w:ascii="Times New Roman" w:hAnsi="Times New Roman" w:cs="Times New Roman"/>
        </w:rPr>
        <w:t>The motion states that copies of the statements and exhibits listed in the stipulation will be filed with the Commission’s Secretary after the motion is granted.</w:t>
      </w:r>
    </w:p>
    <w:p w:rsidR="00455F2B" w:rsidRPr="009B3EF9" w:rsidRDefault="00455F2B" w:rsidP="00073D0F">
      <w:pPr>
        <w:spacing w:line="360" w:lineRule="auto"/>
        <w:ind w:firstLine="1440"/>
        <w:rPr>
          <w:rFonts w:ascii="Times New Roman" w:hAnsi="Times New Roman" w:cs="Times New Roman"/>
        </w:rPr>
      </w:pPr>
    </w:p>
    <w:p w:rsidR="00455F2B" w:rsidRPr="009B3EF9" w:rsidRDefault="00455F2B" w:rsidP="00455F2B">
      <w:pPr>
        <w:spacing w:line="360" w:lineRule="auto"/>
        <w:ind w:firstLine="1440"/>
        <w:rPr>
          <w:rFonts w:ascii="Times New Roman" w:hAnsi="Times New Roman" w:cs="Times New Roman"/>
        </w:rPr>
      </w:pPr>
      <w:r w:rsidRPr="009B3EF9">
        <w:rPr>
          <w:rFonts w:ascii="Times New Roman" w:hAnsi="Times New Roman" w:cs="Times New Roman"/>
        </w:rPr>
        <w:t xml:space="preserve">OSBA served a copy of the joint petition for settlement and attachments and the motion for admission of </w:t>
      </w:r>
      <w:r w:rsidR="00E62C64">
        <w:rPr>
          <w:rFonts w:ascii="Times New Roman" w:hAnsi="Times New Roman" w:cs="Times New Roman"/>
        </w:rPr>
        <w:t>testimony</w:t>
      </w:r>
      <w:r w:rsidRPr="009B3EF9">
        <w:rPr>
          <w:rFonts w:ascii="Times New Roman" w:hAnsi="Times New Roman" w:cs="Times New Roman"/>
        </w:rPr>
        <w:t xml:space="preserve"> and exhibits and stipulation for admission of testimony and exhibits on each of the parties.  I have not received any written comments or objections from any of the parties opposing the joint settlement petition as of the d</w:t>
      </w:r>
      <w:r w:rsidR="000F31C9">
        <w:rPr>
          <w:rFonts w:ascii="Times New Roman" w:hAnsi="Times New Roman" w:cs="Times New Roman"/>
        </w:rPr>
        <w:t>ate of this initial decision.</w:t>
      </w:r>
    </w:p>
    <w:p w:rsidR="00455F2B" w:rsidRPr="009B3EF9" w:rsidRDefault="00455F2B" w:rsidP="00455F2B">
      <w:pPr>
        <w:spacing w:line="360" w:lineRule="auto"/>
        <w:rPr>
          <w:rFonts w:ascii="Times New Roman" w:hAnsi="Times New Roman" w:cs="Times New Roman"/>
        </w:rPr>
      </w:pPr>
    </w:p>
    <w:p w:rsidR="00455F2B" w:rsidRPr="009B3EF9" w:rsidRDefault="00455F2B" w:rsidP="00455F2B">
      <w:pPr>
        <w:spacing w:line="360" w:lineRule="auto"/>
        <w:ind w:firstLine="1440"/>
        <w:rPr>
          <w:rFonts w:ascii="Times New Roman" w:hAnsi="Times New Roman" w:cs="Times New Roman"/>
        </w:rPr>
      </w:pPr>
      <w:r w:rsidRPr="009B3EF9">
        <w:rPr>
          <w:rFonts w:ascii="Times New Roman" w:hAnsi="Times New Roman" w:cs="Times New Roman"/>
        </w:rPr>
        <w:t>The record closed on November 5, 2013, the date OSBA filed the joint settlement petition.  For the reasons set forth below, I recommend that the Commission approve and adopt the joint petition for settlement.</w:t>
      </w:r>
    </w:p>
    <w:p w:rsidR="00455F2B" w:rsidRPr="009B3EF9" w:rsidRDefault="00455F2B" w:rsidP="00455F2B">
      <w:pPr>
        <w:spacing w:line="360" w:lineRule="auto"/>
        <w:ind w:firstLine="1440"/>
        <w:rPr>
          <w:rFonts w:ascii="Times New Roman" w:hAnsi="Times New Roman" w:cs="Times New Roman"/>
        </w:rPr>
      </w:pPr>
    </w:p>
    <w:p w:rsidR="005647C3" w:rsidRDefault="005647C3" w:rsidP="00455F2B">
      <w:pPr>
        <w:tabs>
          <w:tab w:val="left" w:pos="-720"/>
        </w:tabs>
        <w:suppressAutoHyphens/>
        <w:spacing w:line="360" w:lineRule="auto"/>
        <w:jc w:val="center"/>
        <w:rPr>
          <w:rFonts w:ascii="Times New Roman" w:hAnsi="Times New Roman" w:cs="Times New Roman"/>
          <w:spacing w:val="-3"/>
          <w:u w:val="single"/>
        </w:rPr>
      </w:pPr>
      <w:r>
        <w:rPr>
          <w:rFonts w:ascii="Times New Roman" w:hAnsi="Times New Roman" w:cs="Times New Roman"/>
          <w:spacing w:val="-3"/>
          <w:u w:val="single"/>
        </w:rPr>
        <w:br w:type="page"/>
      </w:r>
    </w:p>
    <w:p w:rsidR="00455F2B" w:rsidRPr="009B3EF9" w:rsidRDefault="00455F2B" w:rsidP="00455F2B">
      <w:pPr>
        <w:tabs>
          <w:tab w:val="left" w:pos="-720"/>
        </w:tabs>
        <w:suppressAutoHyphens/>
        <w:spacing w:line="360" w:lineRule="auto"/>
        <w:jc w:val="center"/>
        <w:rPr>
          <w:rFonts w:ascii="Times New Roman" w:hAnsi="Times New Roman" w:cs="Times New Roman"/>
          <w:spacing w:val="-3"/>
          <w:u w:val="single"/>
        </w:rPr>
      </w:pPr>
      <w:r w:rsidRPr="009B3EF9">
        <w:rPr>
          <w:rFonts w:ascii="Times New Roman" w:hAnsi="Times New Roman" w:cs="Times New Roman"/>
          <w:spacing w:val="-3"/>
          <w:u w:val="single"/>
        </w:rPr>
        <w:lastRenderedPageBreak/>
        <w:t>DISCUSSION</w:t>
      </w:r>
    </w:p>
    <w:p w:rsidR="00455F2B" w:rsidRPr="009B3EF9" w:rsidRDefault="00455F2B" w:rsidP="00455F2B">
      <w:pPr>
        <w:tabs>
          <w:tab w:val="left" w:pos="-720"/>
        </w:tabs>
        <w:suppressAutoHyphens/>
        <w:spacing w:line="360" w:lineRule="auto"/>
        <w:rPr>
          <w:rFonts w:ascii="Times New Roman" w:hAnsi="Times New Roman" w:cs="Times New Roman"/>
          <w:spacing w:val="-3"/>
          <w:u w:val="single"/>
        </w:rPr>
      </w:pPr>
    </w:p>
    <w:p w:rsidR="00455F2B" w:rsidRPr="009B3EF9" w:rsidRDefault="00455F2B" w:rsidP="00455F2B">
      <w:pPr>
        <w:pStyle w:val="TxBrp3"/>
        <w:widowControl/>
        <w:tabs>
          <w:tab w:val="clear" w:pos="1474"/>
        </w:tabs>
        <w:spacing w:line="360" w:lineRule="auto"/>
        <w:ind w:firstLine="1440"/>
      </w:pPr>
      <w:r w:rsidRPr="009B3EF9">
        <w:t>Commission polic</w:t>
      </w:r>
      <w:r w:rsidR="007A17DC" w:rsidRPr="009B3EF9">
        <w:t xml:space="preserve">y promotes settlements.  </w:t>
      </w:r>
      <w:proofErr w:type="gramStart"/>
      <w:r w:rsidR="007A17DC" w:rsidRPr="009B3EF9">
        <w:t>52 Pa.</w:t>
      </w:r>
      <w:r w:rsidRPr="009B3EF9">
        <w:t>Code §</w:t>
      </w:r>
      <w:r w:rsidR="007A17DC" w:rsidRPr="009B3EF9">
        <w:t xml:space="preserve"> </w:t>
      </w:r>
      <w:r w:rsidRPr="009B3EF9">
        <w:t>5.231.</w:t>
      </w:r>
      <w:proofErr w:type="gramEnd"/>
      <w:r w:rsidRPr="009B3EF9">
        <w:t xml:space="preserve">  Settlements lessen the time and expense the parties must expend litigating a case and at the same time conserve precious administrative hearing resources.  The Commission has indicated that settlement results are often preferable to those achieved at the conclusion of a fully litigated proceeding.  </w:t>
      </w:r>
      <w:proofErr w:type="gramStart"/>
      <w:r w:rsidRPr="009B3EF9">
        <w:t>52 Pa.Code §</w:t>
      </w:r>
      <w:r w:rsidR="007A17DC" w:rsidRPr="009B3EF9">
        <w:t xml:space="preserve"> </w:t>
      </w:r>
      <w:r w:rsidRPr="009B3EF9">
        <w:t>69.401.</w:t>
      </w:r>
      <w:proofErr w:type="gramEnd"/>
    </w:p>
    <w:p w:rsidR="00455F2B" w:rsidRPr="009B3EF9" w:rsidRDefault="00455F2B" w:rsidP="00455F2B">
      <w:pPr>
        <w:tabs>
          <w:tab w:val="left" w:pos="1474"/>
        </w:tabs>
        <w:spacing w:line="360" w:lineRule="auto"/>
        <w:ind w:firstLine="1440"/>
        <w:rPr>
          <w:rFonts w:ascii="Times New Roman" w:hAnsi="Times New Roman" w:cs="Times New Roman"/>
        </w:rPr>
      </w:pPr>
    </w:p>
    <w:p w:rsidR="00455F2B" w:rsidRPr="009B3EF9" w:rsidRDefault="00455F2B" w:rsidP="00455F2B">
      <w:pPr>
        <w:pStyle w:val="TxBrp3"/>
        <w:widowControl/>
        <w:tabs>
          <w:tab w:val="clear" w:pos="1474"/>
        </w:tabs>
        <w:spacing w:line="360" w:lineRule="auto"/>
        <w:ind w:firstLine="1440"/>
      </w:pPr>
      <w:r w:rsidRPr="009B3EF9">
        <w:t xml:space="preserve">In order to accept a settlement, the Commission must first determine that the proposed terms and conditions are in the public interest.  </w:t>
      </w:r>
      <w:r w:rsidRPr="009B3EF9">
        <w:rPr>
          <w:u w:val="single"/>
        </w:rPr>
        <w:t>P</w:t>
      </w:r>
      <w:r w:rsidR="007A17DC" w:rsidRPr="009B3EF9">
        <w:rPr>
          <w:u w:val="single"/>
        </w:rPr>
        <w:t xml:space="preserve">a. </w:t>
      </w:r>
      <w:r w:rsidRPr="009B3EF9">
        <w:rPr>
          <w:u w:val="single"/>
        </w:rPr>
        <w:t>Pub. Util. Comm’n v. York Water Co.</w:t>
      </w:r>
      <w:r w:rsidRPr="009B3EF9">
        <w:t xml:space="preserve">, Docket No. R-00049165, (Order entered October 4, 2004); </w:t>
      </w:r>
      <w:r w:rsidRPr="009B3EF9">
        <w:rPr>
          <w:u w:val="single"/>
        </w:rPr>
        <w:t>P</w:t>
      </w:r>
      <w:r w:rsidR="007A17DC" w:rsidRPr="009B3EF9">
        <w:rPr>
          <w:u w:val="single"/>
        </w:rPr>
        <w:t>a.</w:t>
      </w:r>
      <w:r w:rsidRPr="009B3EF9">
        <w:rPr>
          <w:u w:val="single"/>
        </w:rPr>
        <w:t xml:space="preserve"> Pub. </w:t>
      </w:r>
      <w:proofErr w:type="gramStart"/>
      <w:r w:rsidRPr="009B3EF9">
        <w:rPr>
          <w:u w:val="single"/>
        </w:rPr>
        <w:t>Util. Comm’n v. C S Water and Sewer Assoc.</w:t>
      </w:r>
      <w:r w:rsidRPr="009B3EF9">
        <w:t>, 74 Pa. PUC 767 (1991).</w:t>
      </w:r>
      <w:proofErr w:type="gramEnd"/>
      <w:r w:rsidRPr="009B3EF9">
        <w:t xml:space="preserve">  For the following reasons, I find that the joint petition for settlement, which is unopposed by any party, is in the public interest.</w:t>
      </w:r>
    </w:p>
    <w:p w:rsidR="00455F2B" w:rsidRPr="009B3EF9" w:rsidRDefault="00455F2B" w:rsidP="00455F2B">
      <w:pPr>
        <w:pStyle w:val="TxBrp3"/>
        <w:widowControl/>
        <w:tabs>
          <w:tab w:val="clear" w:pos="1474"/>
        </w:tabs>
        <w:spacing w:line="360" w:lineRule="auto"/>
        <w:ind w:firstLine="1440"/>
      </w:pPr>
    </w:p>
    <w:p w:rsidR="00455F2B" w:rsidRPr="009B3EF9" w:rsidRDefault="00455F2B" w:rsidP="00455F2B">
      <w:pPr>
        <w:spacing w:line="360" w:lineRule="auto"/>
        <w:jc w:val="center"/>
        <w:rPr>
          <w:rFonts w:ascii="Times New Roman" w:hAnsi="Times New Roman" w:cs="Times New Roman"/>
          <w:u w:val="single"/>
        </w:rPr>
      </w:pPr>
      <w:r w:rsidRPr="009B3EF9">
        <w:rPr>
          <w:rFonts w:ascii="Times New Roman" w:hAnsi="Times New Roman" w:cs="Times New Roman"/>
          <w:u w:val="single"/>
        </w:rPr>
        <w:t>BACKGROUND</w:t>
      </w:r>
    </w:p>
    <w:p w:rsidR="00455F2B" w:rsidRPr="009B3EF9" w:rsidRDefault="00455F2B" w:rsidP="00455F2B">
      <w:pPr>
        <w:spacing w:line="360" w:lineRule="auto"/>
        <w:jc w:val="center"/>
        <w:rPr>
          <w:rFonts w:ascii="Times New Roman" w:hAnsi="Times New Roman" w:cs="Times New Roman"/>
          <w:u w:val="single"/>
        </w:rPr>
      </w:pPr>
    </w:p>
    <w:p w:rsidR="00455F2B" w:rsidRPr="009B3EF9" w:rsidRDefault="00F97697" w:rsidP="00455F2B">
      <w:pPr>
        <w:spacing w:line="360" w:lineRule="auto"/>
        <w:ind w:firstLine="1440"/>
        <w:rPr>
          <w:rFonts w:ascii="Times New Roman" w:hAnsi="Times New Roman" w:cs="Times New Roman"/>
        </w:rPr>
      </w:pPr>
      <w:r w:rsidRPr="009B3EF9">
        <w:rPr>
          <w:rFonts w:ascii="Times New Roman" w:hAnsi="Times New Roman" w:cs="Times New Roman"/>
        </w:rPr>
        <w:t xml:space="preserve">On June 6, 2013, OSBA filed its complaint against PPL’s GSC-1 Reconciliation Report for the period May 1, 2012 through April 30, 2013, alleging that the GSC-1 Reconciliation Report has resulted in high and unstable rates for Small </w:t>
      </w:r>
      <w:proofErr w:type="gramStart"/>
      <w:r w:rsidRPr="009B3EF9">
        <w:rPr>
          <w:rFonts w:ascii="Times New Roman" w:hAnsi="Times New Roman" w:cs="Times New Roman"/>
        </w:rPr>
        <w:t>C&amp;I</w:t>
      </w:r>
      <w:proofErr w:type="gramEnd"/>
      <w:r w:rsidRPr="009B3EF9">
        <w:rPr>
          <w:rFonts w:ascii="Times New Roman" w:hAnsi="Times New Roman" w:cs="Times New Roman"/>
        </w:rPr>
        <w:t xml:space="preserve"> customers.</w:t>
      </w:r>
      <w:r w:rsidR="00455F2B" w:rsidRPr="009B3EF9">
        <w:rPr>
          <w:rFonts w:ascii="Times New Roman" w:hAnsi="Times New Roman" w:cs="Times New Roman"/>
        </w:rPr>
        <w:t xml:space="preserve"> </w:t>
      </w:r>
      <w:r w:rsidRPr="009B3EF9">
        <w:rPr>
          <w:rFonts w:ascii="Times New Roman" w:hAnsi="Times New Roman" w:cs="Times New Roman"/>
        </w:rPr>
        <w:t xml:space="preserve"> </w:t>
      </w:r>
      <w:r w:rsidR="00455F2B" w:rsidRPr="009B3EF9">
        <w:rPr>
          <w:rFonts w:ascii="Times New Roman" w:hAnsi="Times New Roman" w:cs="Times New Roman"/>
        </w:rPr>
        <w:t>The</w:t>
      </w:r>
      <w:r w:rsidR="00455F2B" w:rsidRPr="009B3EF9">
        <w:rPr>
          <w:rFonts w:ascii="Times New Roman" w:hAnsi="Times New Roman" w:cs="Times New Roman"/>
          <w:color w:val="000000"/>
        </w:rPr>
        <w:t xml:space="preserve"> parties served testimony and have engaged in settlement negotiations in order to fully resolve the issues identified by </w:t>
      </w:r>
      <w:r w:rsidRPr="009B3EF9">
        <w:rPr>
          <w:rFonts w:ascii="Times New Roman" w:hAnsi="Times New Roman" w:cs="Times New Roman"/>
          <w:color w:val="000000"/>
        </w:rPr>
        <w:t>OSBA in its complaint</w:t>
      </w:r>
      <w:r w:rsidR="00455F2B" w:rsidRPr="009B3EF9">
        <w:rPr>
          <w:rFonts w:ascii="Times New Roman" w:hAnsi="Times New Roman" w:cs="Times New Roman"/>
          <w:color w:val="000000"/>
        </w:rPr>
        <w:t xml:space="preserve">.  OCA, OSBA and </w:t>
      </w:r>
      <w:r w:rsidRPr="009B3EF9">
        <w:rPr>
          <w:rFonts w:ascii="Times New Roman" w:hAnsi="Times New Roman" w:cs="Times New Roman"/>
          <w:color w:val="000000"/>
        </w:rPr>
        <w:t xml:space="preserve">PPL </w:t>
      </w:r>
      <w:r w:rsidR="00455F2B" w:rsidRPr="009B3EF9">
        <w:rPr>
          <w:rFonts w:ascii="Times New Roman" w:hAnsi="Times New Roman" w:cs="Times New Roman"/>
          <w:color w:val="000000"/>
        </w:rPr>
        <w:t xml:space="preserve">have agreed to a settlement of all issues.  OCA, OSBA and </w:t>
      </w:r>
      <w:r w:rsidRPr="009B3EF9">
        <w:rPr>
          <w:rFonts w:ascii="Times New Roman" w:hAnsi="Times New Roman" w:cs="Times New Roman"/>
          <w:color w:val="000000"/>
        </w:rPr>
        <w:t>PPL</w:t>
      </w:r>
      <w:r w:rsidR="00455F2B" w:rsidRPr="009B3EF9">
        <w:rPr>
          <w:rFonts w:ascii="Times New Roman" w:hAnsi="Times New Roman" w:cs="Times New Roman"/>
          <w:color w:val="000000"/>
        </w:rPr>
        <w:t xml:space="preserve"> agree that the settlement is lawful, serves the public interest and advances the Commission’s policies.</w:t>
      </w:r>
    </w:p>
    <w:p w:rsidR="00455F2B" w:rsidRPr="009B3EF9" w:rsidRDefault="00455F2B" w:rsidP="00455F2B">
      <w:pPr>
        <w:spacing w:line="360" w:lineRule="auto"/>
        <w:ind w:firstLine="1440"/>
        <w:jc w:val="both"/>
        <w:rPr>
          <w:rStyle w:val="CommentReference"/>
          <w:rFonts w:ascii="Times New Roman" w:hAnsi="Times New Roman"/>
          <w:sz w:val="24"/>
          <w:szCs w:val="24"/>
        </w:rPr>
      </w:pPr>
    </w:p>
    <w:p w:rsidR="005647C3" w:rsidRDefault="005647C3" w:rsidP="0003550A">
      <w:pPr>
        <w:tabs>
          <w:tab w:val="left" w:pos="-720"/>
        </w:tabs>
        <w:suppressAutoHyphens/>
        <w:spacing w:line="360" w:lineRule="auto"/>
        <w:jc w:val="center"/>
        <w:rPr>
          <w:rFonts w:ascii="Times New Roman" w:hAnsi="Times New Roman" w:cs="Times New Roman"/>
          <w:spacing w:val="-3"/>
          <w:u w:val="single"/>
        </w:rPr>
      </w:pPr>
      <w:r>
        <w:rPr>
          <w:rFonts w:ascii="Times New Roman" w:hAnsi="Times New Roman" w:cs="Times New Roman"/>
          <w:spacing w:val="-3"/>
          <w:u w:val="single"/>
        </w:rPr>
        <w:br w:type="page"/>
      </w:r>
    </w:p>
    <w:p w:rsidR="0003550A" w:rsidRPr="009B3EF9" w:rsidRDefault="00455F2B" w:rsidP="0003550A">
      <w:pPr>
        <w:tabs>
          <w:tab w:val="left" w:pos="-720"/>
        </w:tabs>
        <w:suppressAutoHyphens/>
        <w:spacing w:line="360" w:lineRule="auto"/>
        <w:jc w:val="center"/>
        <w:rPr>
          <w:rFonts w:ascii="Times New Roman" w:hAnsi="Times New Roman" w:cs="Times New Roman"/>
          <w:spacing w:val="-3"/>
          <w:u w:val="single"/>
        </w:rPr>
      </w:pPr>
      <w:r w:rsidRPr="009B3EF9">
        <w:rPr>
          <w:rFonts w:ascii="Times New Roman" w:hAnsi="Times New Roman" w:cs="Times New Roman"/>
          <w:spacing w:val="-3"/>
          <w:u w:val="single"/>
        </w:rPr>
        <w:lastRenderedPageBreak/>
        <w:t>TERMS OF THE SETTLEMENT</w:t>
      </w:r>
    </w:p>
    <w:p w:rsidR="0003550A" w:rsidRPr="009B3EF9" w:rsidRDefault="0003550A" w:rsidP="0003550A">
      <w:pPr>
        <w:tabs>
          <w:tab w:val="left" w:pos="-720"/>
        </w:tabs>
        <w:suppressAutoHyphens/>
        <w:spacing w:line="360" w:lineRule="auto"/>
        <w:jc w:val="center"/>
        <w:rPr>
          <w:rFonts w:ascii="Times New Roman" w:hAnsi="Times New Roman" w:cs="Times New Roman"/>
          <w:spacing w:val="-3"/>
          <w:u w:val="single"/>
        </w:rPr>
      </w:pPr>
    </w:p>
    <w:p w:rsidR="0003550A" w:rsidRPr="009B3EF9" w:rsidRDefault="0003550A" w:rsidP="0003550A">
      <w:pPr>
        <w:tabs>
          <w:tab w:val="left" w:pos="-720"/>
        </w:tabs>
        <w:suppressAutoHyphens/>
        <w:spacing w:line="360" w:lineRule="auto"/>
        <w:rPr>
          <w:rFonts w:ascii="Times New Roman" w:hAnsi="Times New Roman" w:cs="Times New Roman"/>
        </w:rPr>
      </w:pPr>
      <w:r w:rsidRPr="009B3EF9">
        <w:rPr>
          <w:rFonts w:ascii="Times New Roman" w:hAnsi="Times New Roman" w:cs="Times New Roman"/>
          <w:spacing w:val="-3"/>
        </w:rPr>
        <w:tab/>
      </w:r>
      <w:r w:rsidRPr="009B3EF9">
        <w:rPr>
          <w:rFonts w:ascii="Times New Roman" w:hAnsi="Times New Roman" w:cs="Times New Roman"/>
          <w:spacing w:val="-3"/>
        </w:rPr>
        <w:tab/>
        <w:t xml:space="preserve">Having provided a brief discussion of the Commission’s criteria for accepting a settlement and a brief background of the proceeding, I will now address the terms of the proposed settlement.  According to the joint petition, the </w:t>
      </w:r>
      <w:r w:rsidRPr="009B3EF9">
        <w:rPr>
          <w:rFonts w:ascii="Times New Roman" w:hAnsi="Times New Roman" w:cs="Times New Roman"/>
        </w:rPr>
        <w:t>terms of the joint settlement petition reflect a carefully balanced compromise of the interests of the parties in this proceeding.  OSBA, OCA and PPL request that the joint settlement petition be approved as specified below:</w:t>
      </w:r>
    </w:p>
    <w:p w:rsidR="0003550A" w:rsidRPr="009B3EF9" w:rsidRDefault="0003550A" w:rsidP="0003550A">
      <w:pPr>
        <w:tabs>
          <w:tab w:val="left" w:pos="-720"/>
        </w:tabs>
        <w:suppressAutoHyphens/>
        <w:spacing w:line="360" w:lineRule="auto"/>
        <w:rPr>
          <w:rFonts w:ascii="Times New Roman" w:hAnsi="Times New Roman" w:cs="Times New Roman"/>
        </w:rPr>
      </w:pPr>
    </w:p>
    <w:p w:rsidR="0003550A" w:rsidRDefault="0003550A" w:rsidP="0003550A">
      <w:pPr>
        <w:tabs>
          <w:tab w:val="left" w:pos="-720"/>
        </w:tabs>
        <w:suppressAutoHyphens/>
        <w:spacing w:line="360" w:lineRule="auto"/>
        <w:rPr>
          <w:rFonts w:ascii="Times New Roman" w:eastAsia="Calibri" w:hAnsi="Times New Roman" w:cs="Times New Roman"/>
        </w:rPr>
      </w:pPr>
      <w:r w:rsidRPr="009B3EF9">
        <w:rPr>
          <w:rFonts w:ascii="Times New Roman" w:hAnsi="Times New Roman" w:cs="Times New Roman"/>
        </w:rPr>
        <w:tab/>
      </w:r>
      <w:r w:rsidRPr="009B3EF9">
        <w:rPr>
          <w:rFonts w:ascii="Times New Roman" w:hAnsi="Times New Roman" w:cs="Times New Roman"/>
        </w:rPr>
        <w:tab/>
        <w:t>1.</w:t>
      </w:r>
      <w:r w:rsidRPr="009B3EF9">
        <w:rPr>
          <w:rFonts w:ascii="Times New Roman" w:hAnsi="Times New Roman" w:cs="Times New Roman"/>
        </w:rPr>
        <w:tab/>
      </w:r>
      <w:r w:rsidRPr="009B3EF9">
        <w:rPr>
          <w:rFonts w:ascii="Times New Roman" w:eastAsia="Calibri" w:hAnsi="Times New Roman" w:cs="Times New Roman"/>
        </w:rPr>
        <w:t>PPL will review its residential and Small C&amp;I GSC-1 cost forecasting procedures and modify them as necessary so that PPL’s GSC</w:t>
      </w:r>
      <w:r w:rsidRPr="009B3EF9">
        <w:rPr>
          <w:rFonts w:ascii="Times New Roman" w:eastAsia="Calibri" w:hAnsi="Times New Roman" w:cs="Times New Roman"/>
          <w:vertAlign w:val="subscript"/>
        </w:rPr>
        <w:t>fp</w:t>
      </w:r>
      <w:r w:rsidRPr="009B3EF9">
        <w:rPr>
          <w:rFonts w:ascii="Times New Roman" w:eastAsia="Calibri" w:hAnsi="Times New Roman" w:cs="Times New Roman"/>
        </w:rPr>
        <w:t xml:space="preserve"> costs, as defined in PPL’s tariff, fully reflect the estimated costs associated with distribution line losses.</w:t>
      </w:r>
    </w:p>
    <w:p w:rsidR="005647C3" w:rsidRPr="009B3EF9" w:rsidRDefault="005647C3" w:rsidP="005647C3">
      <w:pPr>
        <w:tabs>
          <w:tab w:val="left" w:pos="-720"/>
        </w:tabs>
        <w:suppressAutoHyphens/>
        <w:spacing w:line="360" w:lineRule="auto"/>
        <w:rPr>
          <w:rFonts w:ascii="Times New Roman" w:eastAsia="Calibri" w:hAnsi="Times New Roman" w:cs="Times New Roman"/>
        </w:rPr>
      </w:pPr>
    </w:p>
    <w:p w:rsidR="0003550A" w:rsidRPr="009B3EF9" w:rsidRDefault="0003550A" w:rsidP="0003550A">
      <w:pPr>
        <w:tabs>
          <w:tab w:val="left" w:pos="-720"/>
        </w:tabs>
        <w:suppressAutoHyphens/>
        <w:spacing w:line="360" w:lineRule="auto"/>
        <w:rPr>
          <w:rFonts w:ascii="Times New Roman" w:eastAsia="Calibri" w:hAnsi="Times New Roman" w:cs="Times New Roman"/>
        </w:rPr>
      </w:pPr>
      <w:r w:rsidRPr="009B3EF9">
        <w:rPr>
          <w:rFonts w:ascii="Times New Roman" w:eastAsia="Calibri" w:hAnsi="Times New Roman" w:cs="Times New Roman"/>
        </w:rPr>
        <w:tab/>
      </w:r>
      <w:r w:rsidRPr="009B3EF9">
        <w:rPr>
          <w:rFonts w:ascii="Times New Roman" w:eastAsia="Calibri" w:hAnsi="Times New Roman" w:cs="Times New Roman"/>
        </w:rPr>
        <w:tab/>
        <w:t>2.</w:t>
      </w:r>
      <w:r w:rsidRPr="009B3EF9">
        <w:rPr>
          <w:rFonts w:ascii="Times New Roman" w:eastAsia="Calibri" w:hAnsi="Times New Roman" w:cs="Times New Roman"/>
        </w:rPr>
        <w:tab/>
        <w:t>PPL will confirm that it is crediting Small C&amp;I net metering generation against its Small C&amp;I load obligation in its forecasting model, and that its actual Small C&amp;I net metering generation properly offsets its actual Small C&amp;I kWh purchases and costs.</w:t>
      </w:r>
    </w:p>
    <w:p w:rsidR="0003550A" w:rsidRPr="009B3EF9" w:rsidRDefault="0003550A" w:rsidP="0003550A">
      <w:pPr>
        <w:tabs>
          <w:tab w:val="left" w:pos="-720"/>
        </w:tabs>
        <w:suppressAutoHyphens/>
        <w:spacing w:line="360" w:lineRule="auto"/>
        <w:rPr>
          <w:rFonts w:ascii="Times New Roman" w:eastAsia="Calibri" w:hAnsi="Times New Roman" w:cs="Times New Roman"/>
        </w:rPr>
      </w:pPr>
    </w:p>
    <w:p w:rsidR="0003550A" w:rsidRPr="009B3EF9" w:rsidRDefault="0003550A" w:rsidP="0003550A">
      <w:pPr>
        <w:tabs>
          <w:tab w:val="left" w:pos="-720"/>
        </w:tabs>
        <w:suppressAutoHyphens/>
        <w:spacing w:line="360" w:lineRule="auto"/>
        <w:rPr>
          <w:rFonts w:ascii="Times New Roman" w:eastAsia="Calibri" w:hAnsi="Times New Roman" w:cs="Times New Roman"/>
        </w:rPr>
      </w:pPr>
      <w:r w:rsidRPr="009B3EF9">
        <w:rPr>
          <w:rFonts w:ascii="Times New Roman" w:eastAsia="Calibri" w:hAnsi="Times New Roman" w:cs="Times New Roman"/>
        </w:rPr>
        <w:tab/>
      </w:r>
      <w:r w:rsidRPr="009B3EF9">
        <w:rPr>
          <w:rFonts w:ascii="Times New Roman" w:eastAsia="Calibri" w:hAnsi="Times New Roman" w:cs="Times New Roman"/>
        </w:rPr>
        <w:tab/>
        <w:t>3.</w:t>
      </w:r>
      <w:r w:rsidRPr="009B3EF9">
        <w:rPr>
          <w:rFonts w:ascii="Times New Roman" w:eastAsia="Calibri" w:hAnsi="Times New Roman" w:cs="Times New Roman"/>
        </w:rPr>
        <w:tab/>
        <w:t>PPL will continue to monitor the operation of its GSC-1 and will continue to evaluate means to improve the operation of the GSC-1, as necessary to improve the accuracy of its forecasts.</w:t>
      </w:r>
    </w:p>
    <w:p w:rsidR="0003550A" w:rsidRPr="009B3EF9" w:rsidRDefault="0003550A" w:rsidP="0003550A">
      <w:pPr>
        <w:tabs>
          <w:tab w:val="left" w:pos="-720"/>
        </w:tabs>
        <w:suppressAutoHyphens/>
        <w:spacing w:line="360" w:lineRule="auto"/>
        <w:rPr>
          <w:rFonts w:ascii="Times New Roman" w:eastAsia="Calibri" w:hAnsi="Times New Roman" w:cs="Times New Roman"/>
        </w:rPr>
      </w:pPr>
    </w:p>
    <w:p w:rsidR="0003550A" w:rsidRPr="009B3EF9" w:rsidRDefault="0003550A" w:rsidP="0003550A">
      <w:pPr>
        <w:tabs>
          <w:tab w:val="left" w:pos="-720"/>
        </w:tabs>
        <w:suppressAutoHyphens/>
        <w:spacing w:line="360" w:lineRule="auto"/>
        <w:rPr>
          <w:rFonts w:ascii="Times New Roman" w:eastAsia="Calibri" w:hAnsi="Times New Roman" w:cs="Times New Roman"/>
        </w:rPr>
      </w:pPr>
      <w:r w:rsidRPr="009B3EF9">
        <w:rPr>
          <w:rFonts w:ascii="Times New Roman" w:eastAsia="Calibri" w:hAnsi="Times New Roman" w:cs="Times New Roman"/>
        </w:rPr>
        <w:tab/>
      </w:r>
      <w:r w:rsidRPr="009B3EF9">
        <w:rPr>
          <w:rFonts w:ascii="Times New Roman" w:eastAsia="Calibri" w:hAnsi="Times New Roman" w:cs="Times New Roman"/>
        </w:rPr>
        <w:tab/>
        <w:t>4.</w:t>
      </w:r>
      <w:r w:rsidRPr="009B3EF9">
        <w:rPr>
          <w:rFonts w:ascii="Times New Roman" w:eastAsia="Calibri" w:hAnsi="Times New Roman" w:cs="Times New Roman"/>
        </w:rPr>
        <w:tab/>
        <w:t>PPL will work with the OSBA and OCA to identify and provide information relative to the actual costs incurred by PPL and reflected in PPL’s quarterly and/or annual GSC-1 filings to enable the OSBA and OCA to evaluate PPL’s cost forecast and the operation of the Company’s GSC-1, including, where practical, the following:</w:t>
      </w:r>
    </w:p>
    <w:p w:rsidR="0003550A" w:rsidRPr="009B3EF9" w:rsidRDefault="0003550A" w:rsidP="005647C3">
      <w:pPr>
        <w:tabs>
          <w:tab w:val="left" w:pos="-720"/>
        </w:tabs>
        <w:suppressAutoHyphens/>
        <w:spacing w:line="360" w:lineRule="auto"/>
        <w:rPr>
          <w:rFonts w:ascii="Times New Roman" w:eastAsia="Calibri" w:hAnsi="Times New Roman" w:cs="Times New Roman"/>
        </w:rPr>
      </w:pPr>
    </w:p>
    <w:p w:rsidR="0003550A" w:rsidRPr="009B3EF9" w:rsidRDefault="0003550A" w:rsidP="00ED1DE9">
      <w:pPr>
        <w:tabs>
          <w:tab w:val="left" w:pos="-720"/>
        </w:tabs>
        <w:suppressAutoHyphens/>
        <w:rPr>
          <w:rFonts w:ascii="Times New Roman" w:eastAsia="Calibri" w:hAnsi="Times New Roman" w:cs="Times New Roman"/>
        </w:rPr>
      </w:pPr>
      <w:r w:rsidRPr="009B3EF9">
        <w:rPr>
          <w:rFonts w:ascii="Times New Roman" w:eastAsia="Calibri" w:hAnsi="Times New Roman" w:cs="Times New Roman"/>
        </w:rPr>
        <w:tab/>
      </w:r>
      <w:r w:rsidRPr="009B3EF9">
        <w:rPr>
          <w:rFonts w:ascii="Times New Roman" w:eastAsia="Calibri" w:hAnsi="Times New Roman" w:cs="Times New Roman"/>
        </w:rPr>
        <w:tab/>
      </w:r>
      <w:r w:rsidRPr="009B3EF9">
        <w:rPr>
          <w:rFonts w:ascii="Times New Roman" w:eastAsia="Calibri" w:hAnsi="Times New Roman" w:cs="Times New Roman"/>
        </w:rPr>
        <w:tab/>
        <w:t>a.</w:t>
      </w:r>
      <w:r w:rsidRPr="009B3EF9">
        <w:rPr>
          <w:rFonts w:ascii="Times New Roman" w:eastAsia="Calibri" w:hAnsi="Times New Roman" w:cs="Times New Roman"/>
        </w:rPr>
        <w:tab/>
        <w:t>Reconciliation Filings:</w:t>
      </w:r>
    </w:p>
    <w:p w:rsidR="0003550A" w:rsidRPr="009B3EF9" w:rsidRDefault="0003550A" w:rsidP="00ED1DE9">
      <w:pPr>
        <w:tabs>
          <w:tab w:val="left" w:pos="-720"/>
        </w:tabs>
        <w:suppressAutoHyphens/>
        <w:ind w:left="2880"/>
        <w:rPr>
          <w:rFonts w:ascii="Times New Roman" w:eastAsia="Calibri" w:hAnsi="Times New Roman" w:cs="Times New Roman"/>
        </w:rPr>
      </w:pPr>
      <w:r w:rsidRPr="009B3EF9">
        <w:rPr>
          <w:rFonts w:ascii="Times New Roman" w:eastAsia="Calibri" w:hAnsi="Times New Roman" w:cs="Times New Roman"/>
        </w:rPr>
        <w:t>1)  Actual monthly kWh purchased under full requirements contracts;</w:t>
      </w:r>
    </w:p>
    <w:p w:rsidR="0003550A" w:rsidRPr="009B3EF9" w:rsidRDefault="0003550A" w:rsidP="00ED1DE9">
      <w:pPr>
        <w:tabs>
          <w:tab w:val="left" w:pos="-720"/>
        </w:tabs>
        <w:suppressAutoHyphens/>
        <w:ind w:left="2880"/>
        <w:rPr>
          <w:rFonts w:ascii="Times New Roman" w:eastAsia="Calibri" w:hAnsi="Times New Roman" w:cs="Times New Roman"/>
        </w:rPr>
      </w:pPr>
      <w:r w:rsidRPr="009B3EF9">
        <w:rPr>
          <w:rFonts w:ascii="Times New Roman" w:eastAsia="Calibri" w:hAnsi="Times New Roman" w:cs="Times New Roman"/>
        </w:rPr>
        <w:t>2)  Actual monthly costs incurred under full requirements contracts;</w:t>
      </w:r>
    </w:p>
    <w:p w:rsidR="0003550A" w:rsidRPr="009B3EF9" w:rsidRDefault="0003550A" w:rsidP="00ED1DE9">
      <w:pPr>
        <w:tabs>
          <w:tab w:val="left" w:pos="-720"/>
        </w:tabs>
        <w:suppressAutoHyphens/>
        <w:ind w:left="2880"/>
        <w:rPr>
          <w:rFonts w:ascii="Times New Roman" w:eastAsia="Calibri" w:hAnsi="Times New Roman" w:cs="Times New Roman"/>
        </w:rPr>
      </w:pPr>
      <w:r w:rsidRPr="009B3EF9">
        <w:rPr>
          <w:rFonts w:ascii="Times New Roman" w:eastAsia="Calibri" w:hAnsi="Times New Roman" w:cs="Times New Roman"/>
        </w:rPr>
        <w:t>3)  Any other costs included in the “Energy Procurement” line item in the report;</w:t>
      </w:r>
    </w:p>
    <w:p w:rsidR="0003550A" w:rsidRPr="009B3EF9" w:rsidRDefault="0003550A" w:rsidP="00ED1DE9">
      <w:pPr>
        <w:tabs>
          <w:tab w:val="left" w:pos="-720"/>
        </w:tabs>
        <w:suppressAutoHyphens/>
        <w:ind w:left="2160"/>
        <w:rPr>
          <w:rFonts w:ascii="Times New Roman" w:eastAsia="Calibri" w:hAnsi="Times New Roman" w:cs="Times New Roman"/>
        </w:rPr>
      </w:pPr>
      <w:r w:rsidRPr="009B3EF9">
        <w:rPr>
          <w:rFonts w:ascii="Times New Roman" w:eastAsia="Calibri" w:hAnsi="Times New Roman" w:cs="Times New Roman"/>
        </w:rPr>
        <w:tab/>
        <w:t>4)  Actual monthly kWh obtained from net generation suppliers;</w:t>
      </w:r>
    </w:p>
    <w:p w:rsidR="0003550A" w:rsidRPr="009B3EF9" w:rsidRDefault="0003550A" w:rsidP="00ED1DE9">
      <w:pPr>
        <w:tabs>
          <w:tab w:val="left" w:pos="-720"/>
        </w:tabs>
        <w:suppressAutoHyphens/>
        <w:ind w:left="2880"/>
        <w:rPr>
          <w:rFonts w:ascii="Times New Roman" w:eastAsia="Calibri" w:hAnsi="Times New Roman" w:cs="Times New Roman"/>
        </w:rPr>
      </w:pPr>
      <w:r w:rsidRPr="009B3EF9">
        <w:rPr>
          <w:rFonts w:ascii="Times New Roman" w:eastAsia="Calibri" w:hAnsi="Times New Roman" w:cs="Times New Roman"/>
        </w:rPr>
        <w:lastRenderedPageBreak/>
        <w:t>5)  Accrued costs, if any, associated with kWh obtained from net generation suppliers;</w:t>
      </w:r>
    </w:p>
    <w:p w:rsidR="0003550A" w:rsidRPr="009B3EF9" w:rsidRDefault="0003550A" w:rsidP="00ED1DE9">
      <w:pPr>
        <w:tabs>
          <w:tab w:val="left" w:pos="-720"/>
        </w:tabs>
        <w:suppressAutoHyphens/>
        <w:ind w:left="2880"/>
        <w:rPr>
          <w:rFonts w:ascii="Times New Roman" w:eastAsia="Calibri" w:hAnsi="Times New Roman" w:cs="Times New Roman"/>
        </w:rPr>
      </w:pPr>
      <w:r w:rsidRPr="009B3EF9">
        <w:rPr>
          <w:rFonts w:ascii="Times New Roman" w:eastAsia="Calibri" w:hAnsi="Times New Roman" w:cs="Times New Roman"/>
        </w:rPr>
        <w:t>6)  Billed kWh, segregated if possible between kWh billed at prior quarter GSC-1 and current quarter GSC-1.</w:t>
      </w:r>
    </w:p>
    <w:p w:rsidR="0003550A" w:rsidRPr="009B3EF9" w:rsidRDefault="0003550A" w:rsidP="00ED1DE9">
      <w:pPr>
        <w:tabs>
          <w:tab w:val="left" w:pos="-720"/>
        </w:tabs>
        <w:suppressAutoHyphens/>
        <w:ind w:left="2880"/>
        <w:rPr>
          <w:rFonts w:ascii="Times New Roman" w:eastAsia="Calibri" w:hAnsi="Times New Roman" w:cs="Times New Roman"/>
        </w:rPr>
      </w:pPr>
    </w:p>
    <w:p w:rsidR="0003550A" w:rsidRPr="009B3EF9" w:rsidRDefault="0003550A" w:rsidP="00ED1DE9">
      <w:pPr>
        <w:tabs>
          <w:tab w:val="left" w:pos="-720"/>
        </w:tabs>
        <w:suppressAutoHyphens/>
        <w:ind w:left="2160"/>
        <w:rPr>
          <w:rFonts w:ascii="Times New Roman" w:eastAsia="Calibri" w:hAnsi="Times New Roman" w:cs="Times New Roman"/>
        </w:rPr>
      </w:pPr>
      <w:proofErr w:type="gramStart"/>
      <w:r w:rsidRPr="009B3EF9">
        <w:rPr>
          <w:rFonts w:ascii="Times New Roman" w:eastAsia="Calibri" w:hAnsi="Times New Roman" w:cs="Times New Roman"/>
        </w:rPr>
        <w:t>b.</w:t>
      </w:r>
      <w:r w:rsidRPr="009B3EF9">
        <w:rPr>
          <w:rFonts w:ascii="Times New Roman" w:eastAsia="Calibri" w:hAnsi="Times New Roman" w:cs="Times New Roman"/>
        </w:rPr>
        <w:tab/>
        <w:t>GSC-1 Quarterly Rate-setting</w:t>
      </w:r>
      <w:proofErr w:type="gramEnd"/>
      <w:r w:rsidRPr="009B3EF9">
        <w:rPr>
          <w:rFonts w:ascii="Times New Roman" w:eastAsia="Calibri" w:hAnsi="Times New Roman" w:cs="Times New Roman"/>
        </w:rPr>
        <w:t xml:space="preserve"> Filings -- monthly detail for:</w:t>
      </w:r>
    </w:p>
    <w:p w:rsidR="0003550A" w:rsidRPr="009B3EF9" w:rsidRDefault="0003550A" w:rsidP="00ED1DE9">
      <w:pPr>
        <w:tabs>
          <w:tab w:val="left" w:pos="-720"/>
        </w:tabs>
        <w:suppressAutoHyphens/>
        <w:ind w:left="2160"/>
        <w:rPr>
          <w:rFonts w:ascii="Times New Roman" w:eastAsia="Calibri" w:hAnsi="Times New Roman" w:cs="Times New Roman"/>
        </w:rPr>
      </w:pPr>
      <w:r w:rsidRPr="009B3EF9">
        <w:rPr>
          <w:rFonts w:ascii="Times New Roman" w:eastAsia="Calibri" w:hAnsi="Times New Roman" w:cs="Times New Roman"/>
        </w:rPr>
        <w:tab/>
        <w:t>1)  Forecast purchased kWh for full requirements contracts;</w:t>
      </w:r>
    </w:p>
    <w:p w:rsidR="0003550A" w:rsidRPr="009B3EF9" w:rsidRDefault="0003550A" w:rsidP="00ED1DE9">
      <w:pPr>
        <w:tabs>
          <w:tab w:val="left" w:pos="-720"/>
        </w:tabs>
        <w:suppressAutoHyphens/>
        <w:ind w:left="2160"/>
        <w:rPr>
          <w:rFonts w:ascii="Times New Roman" w:eastAsia="Calibri" w:hAnsi="Times New Roman" w:cs="Times New Roman"/>
        </w:rPr>
      </w:pPr>
      <w:r w:rsidRPr="009B3EF9">
        <w:rPr>
          <w:rFonts w:ascii="Times New Roman" w:eastAsia="Calibri" w:hAnsi="Times New Roman" w:cs="Times New Roman"/>
        </w:rPr>
        <w:tab/>
        <w:t>2)  Forecast full requirements contract costs;</w:t>
      </w:r>
    </w:p>
    <w:p w:rsidR="0003550A" w:rsidRPr="009B3EF9" w:rsidRDefault="0003550A" w:rsidP="00ED1DE9">
      <w:pPr>
        <w:tabs>
          <w:tab w:val="left" w:pos="-720"/>
        </w:tabs>
        <w:suppressAutoHyphens/>
        <w:ind w:left="2160"/>
        <w:rPr>
          <w:rFonts w:ascii="Times New Roman" w:eastAsia="Calibri" w:hAnsi="Times New Roman" w:cs="Times New Roman"/>
        </w:rPr>
      </w:pPr>
      <w:r w:rsidRPr="009B3EF9">
        <w:rPr>
          <w:rFonts w:ascii="Times New Roman" w:eastAsia="Calibri" w:hAnsi="Times New Roman" w:cs="Times New Roman"/>
        </w:rPr>
        <w:tab/>
        <w:t>3)  Forecast billing kWh;</w:t>
      </w:r>
    </w:p>
    <w:p w:rsidR="0003550A" w:rsidRPr="009B3EF9" w:rsidRDefault="0003550A" w:rsidP="00ED1DE9">
      <w:pPr>
        <w:tabs>
          <w:tab w:val="left" w:pos="-720"/>
        </w:tabs>
        <w:suppressAutoHyphens/>
        <w:ind w:left="2160"/>
        <w:rPr>
          <w:rFonts w:ascii="Times New Roman" w:eastAsia="Calibri" w:hAnsi="Times New Roman" w:cs="Times New Roman"/>
        </w:rPr>
      </w:pPr>
      <w:r w:rsidRPr="009B3EF9">
        <w:rPr>
          <w:rFonts w:ascii="Times New Roman" w:eastAsia="Calibri" w:hAnsi="Times New Roman" w:cs="Times New Roman"/>
        </w:rPr>
        <w:tab/>
        <w:t>4)  Forecast net metered kWh purchases;</w:t>
      </w:r>
    </w:p>
    <w:p w:rsidR="0003550A" w:rsidRPr="009B3EF9" w:rsidRDefault="0003550A" w:rsidP="00ED1DE9">
      <w:pPr>
        <w:tabs>
          <w:tab w:val="left" w:pos="-720"/>
        </w:tabs>
        <w:suppressAutoHyphens/>
        <w:ind w:left="2160"/>
        <w:rPr>
          <w:rFonts w:ascii="Times New Roman" w:eastAsia="Calibri" w:hAnsi="Times New Roman" w:cs="Times New Roman"/>
          <w:b/>
        </w:rPr>
      </w:pPr>
      <w:r w:rsidRPr="009B3EF9">
        <w:rPr>
          <w:rFonts w:ascii="Times New Roman" w:eastAsia="Calibri" w:hAnsi="Times New Roman" w:cs="Times New Roman"/>
        </w:rPr>
        <w:tab/>
        <w:t>5)  Forecast accrued costs for net metered purchases.</w:t>
      </w:r>
    </w:p>
    <w:p w:rsidR="0003550A" w:rsidRPr="009B3EF9" w:rsidRDefault="0003550A" w:rsidP="005647C3">
      <w:pPr>
        <w:spacing w:line="360" w:lineRule="auto"/>
        <w:ind w:left="360"/>
        <w:contextualSpacing/>
        <w:rPr>
          <w:rFonts w:ascii="Times New Roman" w:eastAsia="Calibri" w:hAnsi="Times New Roman" w:cs="Times New Roman"/>
          <w:b/>
        </w:rPr>
      </w:pPr>
    </w:p>
    <w:p w:rsidR="0003550A" w:rsidRPr="009B3EF9" w:rsidRDefault="00ED1DE9" w:rsidP="00ED1DE9">
      <w:pPr>
        <w:spacing w:after="240"/>
        <w:ind w:firstLine="1440"/>
        <w:contextualSpacing/>
        <w:rPr>
          <w:rFonts w:ascii="Times New Roman" w:eastAsia="Calibri" w:hAnsi="Times New Roman" w:cs="Times New Roman"/>
          <w:b/>
        </w:rPr>
      </w:pPr>
      <w:r w:rsidRPr="009B3EF9">
        <w:rPr>
          <w:rFonts w:ascii="Times New Roman" w:eastAsia="Calibri" w:hAnsi="Times New Roman" w:cs="Times New Roman"/>
        </w:rPr>
        <w:t>OSBA, OCA and PPL</w:t>
      </w:r>
      <w:r w:rsidR="0003550A" w:rsidRPr="009B3EF9">
        <w:rPr>
          <w:rFonts w:ascii="Times New Roman" w:eastAsia="Calibri" w:hAnsi="Times New Roman" w:cs="Times New Roman"/>
        </w:rPr>
        <w:t xml:space="preserve"> will monitor and assess the continuing need to provide this information.</w:t>
      </w:r>
    </w:p>
    <w:p w:rsidR="00CB7342" w:rsidRPr="009B3EF9" w:rsidRDefault="00CB7342" w:rsidP="005647C3">
      <w:pPr>
        <w:spacing w:line="360" w:lineRule="auto"/>
        <w:ind w:firstLine="1440"/>
        <w:rPr>
          <w:rFonts w:ascii="Times New Roman" w:hAnsi="Times New Roman" w:cs="Times New Roman"/>
          <w:spacing w:val="-3"/>
        </w:rPr>
      </w:pPr>
    </w:p>
    <w:p w:rsidR="00506E0E" w:rsidRPr="009B3EF9" w:rsidRDefault="00506E0E" w:rsidP="00506E0E">
      <w:pPr>
        <w:tabs>
          <w:tab w:val="left" w:pos="-720"/>
        </w:tabs>
        <w:suppressAutoHyphens/>
        <w:spacing w:line="360" w:lineRule="auto"/>
        <w:jc w:val="center"/>
        <w:rPr>
          <w:rFonts w:ascii="Times New Roman" w:hAnsi="Times New Roman" w:cs="Times New Roman"/>
          <w:color w:val="000000"/>
          <w:u w:val="single"/>
        </w:rPr>
      </w:pPr>
      <w:r w:rsidRPr="009B3EF9">
        <w:rPr>
          <w:rFonts w:ascii="Times New Roman" w:hAnsi="Times New Roman" w:cs="Times New Roman"/>
          <w:color w:val="000000"/>
          <w:u w:val="single"/>
        </w:rPr>
        <w:t>EVIDENT</w:t>
      </w:r>
      <w:r w:rsidR="002D2A1B" w:rsidRPr="009B3EF9">
        <w:rPr>
          <w:rFonts w:ascii="Times New Roman" w:hAnsi="Times New Roman" w:cs="Times New Roman"/>
          <w:color w:val="000000"/>
          <w:u w:val="single"/>
        </w:rPr>
        <w:t>I</w:t>
      </w:r>
      <w:r w:rsidRPr="009B3EF9">
        <w:rPr>
          <w:rFonts w:ascii="Times New Roman" w:hAnsi="Times New Roman" w:cs="Times New Roman"/>
          <w:color w:val="000000"/>
          <w:u w:val="single"/>
        </w:rPr>
        <w:t>ARY STIPULATIONS</w:t>
      </w:r>
    </w:p>
    <w:p w:rsidR="00506E0E" w:rsidRPr="009B3EF9" w:rsidRDefault="00506E0E" w:rsidP="00506E0E">
      <w:pPr>
        <w:spacing w:line="360" w:lineRule="auto"/>
        <w:rPr>
          <w:rFonts w:ascii="Times New Roman" w:hAnsi="Times New Roman" w:cs="Times New Roman"/>
        </w:rPr>
      </w:pPr>
    </w:p>
    <w:p w:rsidR="00506E0E" w:rsidRPr="009B3EF9" w:rsidRDefault="00506E0E" w:rsidP="00506E0E">
      <w:pPr>
        <w:spacing w:line="360" w:lineRule="auto"/>
        <w:rPr>
          <w:rFonts w:ascii="Times New Roman" w:hAnsi="Times New Roman" w:cs="Times New Roman"/>
        </w:rPr>
      </w:pPr>
      <w:r w:rsidRPr="009B3EF9">
        <w:rPr>
          <w:rFonts w:ascii="Times New Roman" w:hAnsi="Times New Roman" w:cs="Times New Roman"/>
        </w:rPr>
        <w:tab/>
      </w:r>
      <w:r w:rsidRPr="009B3EF9">
        <w:rPr>
          <w:rFonts w:ascii="Times New Roman" w:hAnsi="Times New Roman" w:cs="Times New Roman"/>
        </w:rPr>
        <w:tab/>
        <w:t>OSBA, OCA and PPL have filed a joint motion for admission of testimony and exhibits identified in the attached stipulation for admission of testimony and exhibits.  Pursuant to the stipulation, the parties have stipulated to the authenticity of the statements and exhibits listed and waived cross examination of the witnesses sponsoring those statements and exhibits.  The parties stipulate to the admission of the following testimony and exhibits into</w:t>
      </w:r>
      <w:r w:rsidR="009B06D3">
        <w:rPr>
          <w:rFonts w:ascii="Times New Roman" w:hAnsi="Times New Roman" w:cs="Times New Roman"/>
        </w:rPr>
        <w:t xml:space="preserve"> the record in this proceeding:</w:t>
      </w:r>
    </w:p>
    <w:p w:rsidR="00506E0E" w:rsidRPr="009B3EF9" w:rsidRDefault="00506E0E" w:rsidP="009B06D3">
      <w:pPr>
        <w:spacing w:line="360" w:lineRule="auto"/>
        <w:rPr>
          <w:rFonts w:ascii="Times New Roman" w:hAnsi="Times New Roman" w:cs="Times New Roman"/>
        </w:rPr>
      </w:pPr>
    </w:p>
    <w:p w:rsidR="00506E0E" w:rsidRPr="009B3EF9" w:rsidRDefault="00506E0E" w:rsidP="00C866BC">
      <w:pPr>
        <w:ind w:left="1440"/>
        <w:rPr>
          <w:rFonts w:ascii="Times New Roman" w:hAnsi="Times New Roman" w:cs="Times New Roman"/>
        </w:rPr>
      </w:pPr>
      <w:r w:rsidRPr="009B3EF9">
        <w:rPr>
          <w:rFonts w:ascii="Times New Roman" w:hAnsi="Times New Roman" w:cs="Times New Roman"/>
        </w:rPr>
        <w:t>OSBA Statement No. 1; Direct Testimony of Robert D. Knecht and Exhibits</w:t>
      </w:r>
    </w:p>
    <w:p w:rsidR="00C866BC" w:rsidRPr="009B3EF9" w:rsidRDefault="00C866BC" w:rsidP="00C866BC">
      <w:pPr>
        <w:ind w:left="1440"/>
        <w:rPr>
          <w:rFonts w:ascii="Times New Roman" w:hAnsi="Times New Roman" w:cs="Times New Roman"/>
        </w:rPr>
      </w:pPr>
      <w:r w:rsidRPr="009B3EF9">
        <w:rPr>
          <w:rFonts w:ascii="Times New Roman" w:hAnsi="Times New Roman" w:cs="Times New Roman"/>
        </w:rPr>
        <w:t>OSBA Statement No. 2; Surrebuttal Testimony of Robert D. Knecht and Exhibits</w:t>
      </w:r>
    </w:p>
    <w:p w:rsidR="00C866BC" w:rsidRPr="009B3EF9" w:rsidRDefault="00C866BC" w:rsidP="00C866BC">
      <w:pPr>
        <w:ind w:left="1440"/>
        <w:rPr>
          <w:rFonts w:ascii="Times New Roman" w:hAnsi="Times New Roman" w:cs="Times New Roman"/>
        </w:rPr>
      </w:pPr>
      <w:r w:rsidRPr="009B3EF9">
        <w:rPr>
          <w:rFonts w:ascii="Times New Roman" w:hAnsi="Times New Roman" w:cs="Times New Roman"/>
        </w:rPr>
        <w:t>PPL Electric Statement No. 1-R; Rebuttal Testimony of Bethany Johnson</w:t>
      </w:r>
    </w:p>
    <w:p w:rsidR="00C866BC" w:rsidRPr="009B3EF9" w:rsidRDefault="00C866BC" w:rsidP="00C866BC">
      <w:pPr>
        <w:ind w:left="1440"/>
        <w:rPr>
          <w:rFonts w:ascii="Times New Roman" w:hAnsi="Times New Roman" w:cs="Times New Roman"/>
        </w:rPr>
      </w:pPr>
      <w:r w:rsidRPr="009B3EF9">
        <w:rPr>
          <w:rFonts w:ascii="Times New Roman" w:hAnsi="Times New Roman" w:cs="Times New Roman"/>
        </w:rPr>
        <w:t>PPL Electric Statement No. 2-R; Rebuttal Testimony of James Rouland</w:t>
      </w:r>
    </w:p>
    <w:p w:rsidR="00506E0E" w:rsidRPr="009B3EF9" w:rsidRDefault="00506E0E" w:rsidP="009B06D3">
      <w:pPr>
        <w:spacing w:line="360" w:lineRule="auto"/>
        <w:ind w:left="1440"/>
        <w:rPr>
          <w:rFonts w:ascii="Times New Roman" w:hAnsi="Times New Roman" w:cs="Times New Roman"/>
        </w:rPr>
      </w:pPr>
    </w:p>
    <w:p w:rsidR="00506E0E" w:rsidRPr="009B3EF9" w:rsidRDefault="00506E0E" w:rsidP="00506E0E">
      <w:pPr>
        <w:spacing w:line="360" w:lineRule="auto"/>
        <w:ind w:firstLine="1440"/>
        <w:rPr>
          <w:rFonts w:ascii="Times New Roman" w:hAnsi="Times New Roman" w:cs="Times New Roman"/>
        </w:rPr>
      </w:pPr>
      <w:r w:rsidRPr="009B3EF9">
        <w:rPr>
          <w:rFonts w:ascii="Times New Roman" w:hAnsi="Times New Roman" w:cs="Times New Roman"/>
        </w:rPr>
        <w:t xml:space="preserve">I will grant the joint motion for admission of testimony and exhibits and admit the above-referenced documents into the record as stipulated to by </w:t>
      </w:r>
      <w:r w:rsidR="00C866BC" w:rsidRPr="009B3EF9">
        <w:rPr>
          <w:rFonts w:ascii="Times New Roman" w:hAnsi="Times New Roman" w:cs="Times New Roman"/>
        </w:rPr>
        <w:t>PPL</w:t>
      </w:r>
      <w:r w:rsidRPr="009B3EF9">
        <w:rPr>
          <w:rFonts w:ascii="Times New Roman" w:hAnsi="Times New Roman" w:cs="Times New Roman"/>
        </w:rPr>
        <w:t>, OCA and OSBA.</w:t>
      </w:r>
    </w:p>
    <w:p w:rsidR="00506E0E" w:rsidRPr="009B3EF9" w:rsidRDefault="00506E0E" w:rsidP="00506E0E">
      <w:pPr>
        <w:pStyle w:val="TxBrp3"/>
        <w:widowControl/>
        <w:tabs>
          <w:tab w:val="clear" w:pos="1474"/>
        </w:tabs>
        <w:spacing w:line="360" w:lineRule="auto"/>
        <w:ind w:firstLine="0"/>
        <w:jc w:val="center"/>
        <w:rPr>
          <w:u w:val="single"/>
        </w:rPr>
      </w:pPr>
    </w:p>
    <w:p w:rsidR="00506E0E" w:rsidRPr="009B3EF9" w:rsidRDefault="00506E0E" w:rsidP="00506E0E">
      <w:pPr>
        <w:pStyle w:val="TxBrp3"/>
        <w:widowControl/>
        <w:tabs>
          <w:tab w:val="clear" w:pos="1474"/>
        </w:tabs>
        <w:spacing w:line="360" w:lineRule="auto"/>
        <w:ind w:firstLine="0"/>
        <w:jc w:val="center"/>
        <w:rPr>
          <w:u w:val="single"/>
        </w:rPr>
      </w:pPr>
      <w:r w:rsidRPr="009B3EF9">
        <w:rPr>
          <w:u w:val="single"/>
        </w:rPr>
        <w:t>PUBLIC INTEREST</w:t>
      </w:r>
    </w:p>
    <w:p w:rsidR="00506E0E" w:rsidRPr="009B3EF9" w:rsidRDefault="00506E0E" w:rsidP="00506E0E">
      <w:pPr>
        <w:spacing w:line="360" w:lineRule="auto"/>
        <w:ind w:firstLine="1440"/>
        <w:jc w:val="center"/>
        <w:rPr>
          <w:rFonts w:ascii="Times New Roman" w:hAnsi="Times New Roman" w:cs="Times New Roman"/>
        </w:rPr>
      </w:pPr>
    </w:p>
    <w:p w:rsidR="002648E9" w:rsidRPr="009B3EF9" w:rsidRDefault="00C866BC" w:rsidP="002648E9">
      <w:pPr>
        <w:spacing w:line="360" w:lineRule="auto"/>
        <w:ind w:firstLine="1440"/>
        <w:rPr>
          <w:rFonts w:ascii="Times New Roman" w:hAnsi="Times New Roman" w:cs="Times New Roman"/>
        </w:rPr>
      </w:pPr>
      <w:r w:rsidRPr="009B3EF9">
        <w:rPr>
          <w:rFonts w:ascii="Times New Roman" w:hAnsi="Times New Roman" w:cs="Times New Roman"/>
        </w:rPr>
        <w:t>Having set forth the terms of the joint settlement petition, I will now address why approving and adopting the joint settlement petition is in the public interest.</w:t>
      </w:r>
      <w:r w:rsidR="002648E9" w:rsidRPr="009B3EF9">
        <w:rPr>
          <w:rFonts w:ascii="Times New Roman" w:hAnsi="Times New Roman" w:cs="Times New Roman"/>
        </w:rPr>
        <w:t xml:space="preserve">  First, I will provide a brief explanation of the </w:t>
      </w:r>
      <w:r w:rsidR="0046268D" w:rsidRPr="009B3EF9">
        <w:rPr>
          <w:rFonts w:ascii="Times New Roman" w:hAnsi="Times New Roman" w:cs="Times New Roman"/>
        </w:rPr>
        <w:t>genesis of the OSBA complaint</w:t>
      </w:r>
      <w:r w:rsidR="002648E9" w:rsidRPr="009B3EF9">
        <w:rPr>
          <w:rFonts w:ascii="Times New Roman" w:hAnsi="Times New Roman" w:cs="Times New Roman"/>
        </w:rPr>
        <w:t xml:space="preserve">.  PPL purchases electric power and </w:t>
      </w:r>
      <w:r w:rsidR="002648E9" w:rsidRPr="009B3EF9">
        <w:rPr>
          <w:rFonts w:ascii="Times New Roman" w:hAnsi="Times New Roman" w:cs="Times New Roman"/>
        </w:rPr>
        <w:lastRenderedPageBreak/>
        <w:t>transmission services on behalf of its default service customers.  The electric power costs are recovered from residential and Small C&amp;I customers through a reconcilable tariff mechanism called the Gener</w:t>
      </w:r>
      <w:r w:rsidR="009B06D3">
        <w:rPr>
          <w:rFonts w:ascii="Times New Roman" w:hAnsi="Times New Roman" w:cs="Times New Roman"/>
        </w:rPr>
        <w:t>ation Supply Charge-1 or GSC-1.</w:t>
      </w:r>
    </w:p>
    <w:p w:rsidR="002648E9" w:rsidRPr="009B3EF9" w:rsidRDefault="002648E9" w:rsidP="002648E9">
      <w:pPr>
        <w:spacing w:line="360" w:lineRule="auto"/>
        <w:ind w:firstLine="1440"/>
        <w:rPr>
          <w:rFonts w:ascii="Times New Roman" w:hAnsi="Times New Roman" w:cs="Times New Roman"/>
        </w:rPr>
      </w:pPr>
    </w:p>
    <w:p w:rsidR="0046268D" w:rsidRPr="009B3EF9" w:rsidRDefault="002648E9" w:rsidP="002648E9">
      <w:pPr>
        <w:spacing w:line="360" w:lineRule="auto"/>
        <w:ind w:firstLine="1440"/>
        <w:rPr>
          <w:rFonts w:ascii="Times New Roman" w:hAnsi="Times New Roman" w:cs="Times New Roman"/>
        </w:rPr>
      </w:pPr>
      <w:r w:rsidRPr="009B3EF9">
        <w:rPr>
          <w:rFonts w:ascii="Times New Roman" w:hAnsi="Times New Roman" w:cs="Times New Roman"/>
        </w:rPr>
        <w:t>For each rate class, the GSC-1 charge is a flat per-kWh charge, consisting of a “C-Factor” component and an “E-Factor” component.  OSBA St. 1, p. 1.  The C-Factor represents PPL’s forecast for per-kWh electric power costs for the quarter to which the charge applies.  The E-Factor is the reconciliation component of the GSC-1, and it is designed to recove</w:t>
      </w:r>
      <w:r w:rsidR="00346CB5" w:rsidRPr="009B3EF9">
        <w:rPr>
          <w:rFonts w:ascii="Times New Roman" w:hAnsi="Times New Roman" w:cs="Times New Roman"/>
        </w:rPr>
        <w:t>r/refund net prior period under</w:t>
      </w:r>
      <w:r w:rsidRPr="009B3EF9">
        <w:rPr>
          <w:rFonts w:ascii="Times New Roman" w:hAnsi="Times New Roman" w:cs="Times New Roman"/>
        </w:rPr>
        <w:t>/over-recoveries over a thre</w:t>
      </w:r>
      <w:r w:rsidR="006E2687">
        <w:rPr>
          <w:rFonts w:ascii="Times New Roman" w:hAnsi="Times New Roman" w:cs="Times New Roman"/>
        </w:rPr>
        <w:t>e-month period.  OSBA St. 1, p. </w:t>
      </w:r>
      <w:r w:rsidRPr="009B3EF9">
        <w:rPr>
          <w:rFonts w:ascii="Times New Roman" w:hAnsi="Times New Roman" w:cs="Times New Roman"/>
        </w:rPr>
        <w:t>2.  The E-Factor contains a one month lag.  For example, the E-Factor for the June to August quarter is based on the net under or over</w:t>
      </w:r>
      <w:r w:rsidR="00346CB5" w:rsidRPr="009B3EF9">
        <w:rPr>
          <w:rFonts w:ascii="Times New Roman" w:hAnsi="Times New Roman" w:cs="Times New Roman"/>
        </w:rPr>
        <w:t xml:space="preserve"> </w:t>
      </w:r>
      <w:r w:rsidRPr="009B3EF9">
        <w:rPr>
          <w:rFonts w:ascii="Times New Roman" w:hAnsi="Times New Roman" w:cs="Times New Roman"/>
        </w:rPr>
        <w:t>recovery position at the end of April.  OSBA St. 1, p. 2.</w:t>
      </w:r>
    </w:p>
    <w:p w:rsidR="00346CB5" w:rsidRPr="009B3EF9" w:rsidRDefault="00346CB5" w:rsidP="002648E9">
      <w:pPr>
        <w:spacing w:line="360" w:lineRule="auto"/>
        <w:ind w:firstLine="1440"/>
        <w:rPr>
          <w:rFonts w:ascii="Times New Roman" w:hAnsi="Times New Roman" w:cs="Times New Roman"/>
        </w:rPr>
      </w:pPr>
    </w:p>
    <w:p w:rsidR="0046268D" w:rsidRPr="009B3EF9" w:rsidRDefault="0046268D" w:rsidP="002648E9">
      <w:pPr>
        <w:spacing w:line="360" w:lineRule="auto"/>
        <w:ind w:firstLine="1440"/>
        <w:rPr>
          <w:rFonts w:ascii="Times New Roman" w:hAnsi="Times New Roman" w:cs="Times New Roman"/>
        </w:rPr>
      </w:pPr>
      <w:r w:rsidRPr="009B3EF9">
        <w:rPr>
          <w:rFonts w:ascii="Times New Roman" w:hAnsi="Times New Roman" w:cs="Times New Roman"/>
        </w:rPr>
        <w:t>PPL has generally forecast</w:t>
      </w:r>
      <w:r w:rsidR="00176B86">
        <w:rPr>
          <w:rFonts w:ascii="Times New Roman" w:hAnsi="Times New Roman" w:cs="Times New Roman"/>
        </w:rPr>
        <w:t>ed</w:t>
      </w:r>
      <w:r w:rsidRPr="009B3EF9">
        <w:rPr>
          <w:rFonts w:ascii="Times New Roman" w:hAnsi="Times New Roman" w:cs="Times New Roman"/>
        </w:rPr>
        <w:t xml:space="preserve"> that the cost to provide service to residential and Small </w:t>
      </w:r>
      <w:proofErr w:type="gramStart"/>
      <w:r w:rsidRPr="009B3EF9">
        <w:rPr>
          <w:rFonts w:ascii="Times New Roman" w:hAnsi="Times New Roman" w:cs="Times New Roman"/>
        </w:rPr>
        <w:t>C&amp;I</w:t>
      </w:r>
      <w:proofErr w:type="gramEnd"/>
      <w:r w:rsidRPr="009B3EF9">
        <w:rPr>
          <w:rFonts w:ascii="Times New Roman" w:hAnsi="Times New Roman" w:cs="Times New Roman"/>
        </w:rPr>
        <w:t xml:space="preserve"> customers would be reasonably similar in magnitude, as well as being reasonably stable from quarter to quarter.  E-Factor charges for </w:t>
      </w:r>
      <w:r w:rsidR="00BE1DA8" w:rsidRPr="009B3EF9">
        <w:rPr>
          <w:rFonts w:ascii="Times New Roman" w:hAnsi="Times New Roman" w:cs="Times New Roman"/>
        </w:rPr>
        <w:t>r</w:t>
      </w:r>
      <w:r w:rsidRPr="009B3EF9">
        <w:rPr>
          <w:rFonts w:ascii="Times New Roman" w:hAnsi="Times New Roman" w:cs="Times New Roman"/>
        </w:rPr>
        <w:t xml:space="preserve">esidential customers have been relatively low and relatively stable over the past 2½ years, with changes generally below 1 cent per kWh from quarter to quarter.  </w:t>
      </w:r>
      <w:proofErr w:type="gramStart"/>
      <w:r w:rsidRPr="009B3EF9">
        <w:rPr>
          <w:rFonts w:ascii="Times New Roman" w:hAnsi="Times New Roman" w:cs="Times New Roman"/>
        </w:rPr>
        <w:t>OSBA St. 1, p.2.</w:t>
      </w:r>
      <w:proofErr w:type="gramEnd"/>
      <w:r w:rsidRPr="009B3EF9">
        <w:rPr>
          <w:rFonts w:ascii="Times New Roman" w:hAnsi="Times New Roman" w:cs="Times New Roman"/>
        </w:rPr>
        <w:t xml:space="preserve"> </w:t>
      </w:r>
      <w:r w:rsidR="002D2A1B" w:rsidRPr="009B3EF9">
        <w:rPr>
          <w:rFonts w:ascii="Times New Roman" w:hAnsi="Times New Roman" w:cs="Times New Roman"/>
        </w:rPr>
        <w:t xml:space="preserve"> </w:t>
      </w:r>
      <w:r w:rsidRPr="009B3EF9">
        <w:rPr>
          <w:rFonts w:ascii="Times New Roman" w:hAnsi="Times New Roman" w:cs="Times New Roman"/>
        </w:rPr>
        <w:t xml:space="preserve">However, the Small C&amp;I E-Factor charge has varied widely from quarter to quarter, with swings of more than 3 cents per kWh.  </w:t>
      </w:r>
      <w:proofErr w:type="gramStart"/>
      <w:r w:rsidRPr="009B3EF9">
        <w:rPr>
          <w:rFonts w:ascii="Times New Roman" w:hAnsi="Times New Roman" w:cs="Times New Roman"/>
        </w:rPr>
        <w:t>OSBA St. 1, p.2.</w:t>
      </w:r>
      <w:proofErr w:type="gramEnd"/>
    </w:p>
    <w:p w:rsidR="0046268D" w:rsidRPr="009B3EF9" w:rsidRDefault="0046268D" w:rsidP="002648E9">
      <w:pPr>
        <w:spacing w:line="360" w:lineRule="auto"/>
        <w:ind w:firstLine="1440"/>
        <w:rPr>
          <w:rFonts w:ascii="Times New Roman" w:hAnsi="Times New Roman" w:cs="Times New Roman"/>
        </w:rPr>
      </w:pPr>
    </w:p>
    <w:p w:rsidR="0046268D" w:rsidRPr="009B3EF9" w:rsidRDefault="0046268D" w:rsidP="002648E9">
      <w:pPr>
        <w:spacing w:line="360" w:lineRule="auto"/>
        <w:ind w:firstLine="1440"/>
        <w:rPr>
          <w:rFonts w:ascii="Times New Roman" w:hAnsi="Times New Roman" w:cs="Times New Roman"/>
        </w:rPr>
      </w:pPr>
      <w:r w:rsidRPr="009B3EF9">
        <w:rPr>
          <w:rFonts w:ascii="Times New Roman" w:hAnsi="Times New Roman" w:cs="Times New Roman"/>
        </w:rPr>
        <w:t xml:space="preserve">The Small C&amp;I E-Factor had generally been a substantial charge in </w:t>
      </w:r>
      <w:r w:rsidR="00346CB5" w:rsidRPr="009B3EF9">
        <w:rPr>
          <w:rFonts w:ascii="Times New Roman" w:hAnsi="Times New Roman" w:cs="Times New Roman"/>
        </w:rPr>
        <w:t>the past 2½ years</w:t>
      </w:r>
      <w:r w:rsidRPr="009B3EF9">
        <w:rPr>
          <w:rFonts w:ascii="Times New Roman" w:hAnsi="Times New Roman" w:cs="Times New Roman"/>
        </w:rPr>
        <w:t>, meaning that PPL was generally under</w:t>
      </w:r>
      <w:r w:rsidR="00346CB5" w:rsidRPr="009B3EF9">
        <w:rPr>
          <w:rFonts w:ascii="Times New Roman" w:hAnsi="Times New Roman" w:cs="Times New Roman"/>
        </w:rPr>
        <w:t xml:space="preserve"> </w:t>
      </w:r>
      <w:r w:rsidRPr="009B3EF9">
        <w:rPr>
          <w:rFonts w:ascii="Times New Roman" w:hAnsi="Times New Roman" w:cs="Times New Roman"/>
        </w:rPr>
        <w:t xml:space="preserve">recovering its reported costs with its C-Factor charge.  </w:t>
      </w:r>
      <w:proofErr w:type="gramStart"/>
      <w:r w:rsidRPr="009B3EF9">
        <w:rPr>
          <w:rFonts w:ascii="Times New Roman" w:hAnsi="Times New Roman" w:cs="Times New Roman"/>
        </w:rPr>
        <w:t>OSBA St. 1, p.2.</w:t>
      </w:r>
      <w:proofErr w:type="gramEnd"/>
      <w:r w:rsidRPr="009B3EF9">
        <w:rPr>
          <w:rFonts w:ascii="Times New Roman" w:hAnsi="Times New Roman" w:cs="Times New Roman"/>
        </w:rPr>
        <w:t xml:space="preserve">  Between June</w:t>
      </w:r>
      <w:r w:rsidR="009544D3">
        <w:rPr>
          <w:rFonts w:ascii="Times New Roman" w:hAnsi="Times New Roman" w:cs="Times New Roman"/>
        </w:rPr>
        <w:t>,</w:t>
      </w:r>
      <w:r w:rsidRPr="009B3EF9">
        <w:rPr>
          <w:rFonts w:ascii="Times New Roman" w:hAnsi="Times New Roman" w:cs="Times New Roman"/>
        </w:rPr>
        <w:t xml:space="preserve"> 2012 and May</w:t>
      </w:r>
      <w:r w:rsidR="009544D3">
        <w:rPr>
          <w:rFonts w:ascii="Times New Roman" w:hAnsi="Times New Roman" w:cs="Times New Roman"/>
        </w:rPr>
        <w:t>,</w:t>
      </w:r>
      <w:r w:rsidRPr="009B3EF9">
        <w:rPr>
          <w:rFonts w:ascii="Times New Roman" w:hAnsi="Times New Roman" w:cs="Times New Roman"/>
        </w:rPr>
        <w:t xml:space="preserve"> 2013, the total E-Factor billings to Small C&amp;I customers came to over $21.8 million, before gross receipt taxes, or 1.35 cents per kWh.  Even with the E-Factor credit in the last quarter, the E-Factor represented, on average, a nearly 20 percent markup above the C-Factor charge revenues over the past 12 months.  OSBA St. 1, p. 2-3.  OSBA alleges that it filed its complaint in order to obtain an explanation for these high vari</w:t>
      </w:r>
      <w:r w:rsidR="00346CB5" w:rsidRPr="009B3EF9">
        <w:rPr>
          <w:rFonts w:ascii="Times New Roman" w:hAnsi="Times New Roman" w:cs="Times New Roman"/>
        </w:rPr>
        <w:t xml:space="preserve">ances and consistent cost under </w:t>
      </w:r>
      <w:r w:rsidRPr="009B3EF9">
        <w:rPr>
          <w:rFonts w:ascii="Times New Roman" w:hAnsi="Times New Roman" w:cs="Times New Roman"/>
        </w:rPr>
        <w:t>recoveries for the Small C&amp;I customers, especially as compared to the relatively stable residential E-Factor.</w:t>
      </w:r>
    </w:p>
    <w:p w:rsidR="0046268D" w:rsidRPr="009B3EF9" w:rsidRDefault="0046268D" w:rsidP="002648E9">
      <w:pPr>
        <w:spacing w:line="360" w:lineRule="auto"/>
        <w:ind w:firstLine="1440"/>
        <w:rPr>
          <w:rFonts w:ascii="Times New Roman" w:hAnsi="Times New Roman" w:cs="Times New Roman"/>
        </w:rPr>
      </w:pPr>
    </w:p>
    <w:p w:rsidR="00737B17" w:rsidRPr="009B3EF9" w:rsidRDefault="0046268D" w:rsidP="002648E9">
      <w:pPr>
        <w:spacing w:line="360" w:lineRule="auto"/>
        <w:ind w:firstLine="1440"/>
        <w:rPr>
          <w:rFonts w:ascii="Times New Roman" w:hAnsi="Times New Roman" w:cs="Times New Roman"/>
        </w:rPr>
      </w:pPr>
      <w:r w:rsidRPr="009B3EF9">
        <w:rPr>
          <w:rFonts w:ascii="Times New Roman" w:hAnsi="Times New Roman" w:cs="Times New Roman"/>
        </w:rPr>
        <w:t xml:space="preserve">Having provided a brief explanation of the genesis of the OSBA complaint, I will now </w:t>
      </w:r>
      <w:r w:rsidR="00346CB5" w:rsidRPr="009B3EF9">
        <w:rPr>
          <w:rFonts w:ascii="Times New Roman" w:hAnsi="Times New Roman" w:cs="Times New Roman"/>
        </w:rPr>
        <w:t xml:space="preserve">discuss </w:t>
      </w:r>
      <w:r w:rsidRPr="009B3EF9">
        <w:rPr>
          <w:rFonts w:ascii="Times New Roman" w:hAnsi="Times New Roman" w:cs="Times New Roman"/>
        </w:rPr>
        <w:t xml:space="preserve">how the joint settlement petition addresses OSBA’s concerns and </w:t>
      </w:r>
      <w:r w:rsidR="00737B17" w:rsidRPr="009B3EF9">
        <w:rPr>
          <w:rFonts w:ascii="Times New Roman" w:hAnsi="Times New Roman" w:cs="Times New Roman"/>
        </w:rPr>
        <w:t xml:space="preserve">why approving </w:t>
      </w:r>
      <w:r w:rsidR="00737B17" w:rsidRPr="009B3EF9">
        <w:rPr>
          <w:rFonts w:ascii="Times New Roman" w:hAnsi="Times New Roman" w:cs="Times New Roman"/>
        </w:rPr>
        <w:lastRenderedPageBreak/>
        <w:t>and adopting the joint settlement petition is in the public interest.</w:t>
      </w:r>
      <w:r w:rsidR="002D2A1B" w:rsidRPr="009B3EF9">
        <w:rPr>
          <w:rFonts w:ascii="Times New Roman" w:hAnsi="Times New Roman" w:cs="Times New Roman"/>
        </w:rPr>
        <w:t xml:space="preserve"> </w:t>
      </w:r>
      <w:r w:rsidR="00737B17" w:rsidRPr="009B3EF9">
        <w:rPr>
          <w:rFonts w:ascii="Times New Roman" w:hAnsi="Times New Roman" w:cs="Times New Roman"/>
        </w:rPr>
        <w:t xml:space="preserve"> </w:t>
      </w:r>
      <w:r w:rsidR="00BE1DA8" w:rsidRPr="009B3EF9">
        <w:rPr>
          <w:rFonts w:ascii="Times New Roman" w:hAnsi="Times New Roman" w:cs="Times New Roman"/>
        </w:rPr>
        <w:t xml:space="preserve">In its statement of support, </w:t>
      </w:r>
      <w:r w:rsidR="00737B17" w:rsidRPr="009B3EF9">
        <w:rPr>
          <w:rFonts w:ascii="Times New Roman" w:hAnsi="Times New Roman" w:cs="Times New Roman"/>
        </w:rPr>
        <w:t>OSBA states that through testimony, informal and formal discovery, and settlement discussions, PPL offered additional information that provided a reasonable explanation for the E-Factor variability, as well as a significant amount of the under</w:t>
      </w:r>
      <w:r w:rsidR="00346CB5" w:rsidRPr="009B3EF9">
        <w:rPr>
          <w:rFonts w:ascii="Times New Roman" w:hAnsi="Times New Roman" w:cs="Times New Roman"/>
        </w:rPr>
        <w:t xml:space="preserve"> </w:t>
      </w:r>
      <w:r w:rsidR="00737B17" w:rsidRPr="009B3EF9">
        <w:rPr>
          <w:rFonts w:ascii="Times New Roman" w:hAnsi="Times New Roman" w:cs="Times New Roman"/>
        </w:rPr>
        <w:t>recovery of costs.  OSBA points out that in rebuttal testimony, PPL identified primary factors causing the variability of the E-Factor, including the effect of actual versus forecast sales, accounting treatment of net-metering customers, billing versus calendar month differences, the lag in calculating the E-Factor, pro-rations of bills (unbilled revenues), and quarterly reconciliation.  PPL St. 1-R, p. 4.</w:t>
      </w:r>
    </w:p>
    <w:p w:rsidR="00737B17" w:rsidRPr="009B3EF9" w:rsidRDefault="00737B17" w:rsidP="002648E9">
      <w:pPr>
        <w:spacing w:line="360" w:lineRule="auto"/>
        <w:ind w:firstLine="1440"/>
        <w:rPr>
          <w:rFonts w:ascii="Times New Roman" w:hAnsi="Times New Roman" w:cs="Times New Roman"/>
        </w:rPr>
      </w:pPr>
    </w:p>
    <w:p w:rsidR="00737B17" w:rsidRPr="009B3EF9" w:rsidRDefault="00737B17" w:rsidP="002648E9">
      <w:pPr>
        <w:spacing w:line="360" w:lineRule="auto"/>
        <w:ind w:firstLine="1440"/>
        <w:rPr>
          <w:rFonts w:ascii="Times New Roman" w:hAnsi="Times New Roman" w:cs="Times New Roman"/>
        </w:rPr>
      </w:pPr>
      <w:r w:rsidRPr="009B3EF9">
        <w:rPr>
          <w:rFonts w:ascii="Times New Roman" w:hAnsi="Times New Roman" w:cs="Times New Roman"/>
        </w:rPr>
        <w:t>OSBA states that it was not only concerned about the variability of the E-Factor.  Rather, its primary concern was the substantial and consistent under-recovery of forecast costs from Small C&amp;I customers in the 2012-2013 period.  Of the factors that PPL identified as contributing to E-Factor volatility, OSBA contend</w:t>
      </w:r>
      <w:r w:rsidR="00346CB5" w:rsidRPr="009B3EF9">
        <w:rPr>
          <w:rFonts w:ascii="Times New Roman" w:hAnsi="Times New Roman" w:cs="Times New Roman"/>
        </w:rPr>
        <w:t>ed</w:t>
      </w:r>
      <w:r w:rsidRPr="009B3EF9">
        <w:rPr>
          <w:rFonts w:ascii="Times New Roman" w:hAnsi="Times New Roman" w:cs="Times New Roman"/>
        </w:rPr>
        <w:t xml:space="preserve"> that only the accounting of purchases from net generators could contribute to the large and consistent under-collection from Small </w:t>
      </w:r>
      <w:r w:rsidR="00BD4F44">
        <w:rPr>
          <w:rFonts w:ascii="Times New Roman" w:hAnsi="Times New Roman" w:cs="Times New Roman"/>
        </w:rPr>
        <w:t>C&amp;I customers over this period.</w:t>
      </w:r>
    </w:p>
    <w:p w:rsidR="00FF48C2" w:rsidRPr="009B3EF9" w:rsidRDefault="00FF48C2" w:rsidP="002648E9">
      <w:pPr>
        <w:spacing w:line="360" w:lineRule="auto"/>
        <w:ind w:firstLine="1440"/>
        <w:rPr>
          <w:rFonts w:ascii="Times New Roman" w:hAnsi="Times New Roman" w:cs="Times New Roman"/>
        </w:rPr>
      </w:pPr>
    </w:p>
    <w:p w:rsidR="00FF48C2" w:rsidRPr="009B3EF9" w:rsidRDefault="00FF48C2" w:rsidP="00FF48C2">
      <w:pPr>
        <w:spacing w:line="360" w:lineRule="auto"/>
        <w:ind w:firstLine="1440"/>
        <w:rPr>
          <w:rFonts w:ascii="Times New Roman" w:hAnsi="Times New Roman" w:cs="Times New Roman"/>
        </w:rPr>
      </w:pPr>
      <w:r w:rsidRPr="009B3EF9">
        <w:rPr>
          <w:rFonts w:ascii="Times New Roman" w:hAnsi="Times New Roman" w:cs="Times New Roman"/>
        </w:rPr>
        <w:t xml:space="preserve">In its statement of support, PPL points out that, as an electric distribution company, it is required to purchase excess generation from its net metering customers.  PPL purchases the excess generation </w:t>
      </w:r>
      <w:r w:rsidR="009F0A05" w:rsidRPr="009B3EF9">
        <w:rPr>
          <w:rFonts w:ascii="Times New Roman" w:hAnsi="Times New Roman" w:cs="Times New Roman"/>
        </w:rPr>
        <w:t xml:space="preserve">at </w:t>
      </w:r>
      <w:r w:rsidRPr="009B3EF9">
        <w:rPr>
          <w:rFonts w:ascii="Times New Roman" w:hAnsi="Times New Roman" w:cs="Times New Roman"/>
        </w:rPr>
        <w:t xml:space="preserve">its Price </w:t>
      </w:r>
      <w:proofErr w:type="gramStart"/>
      <w:r w:rsidRPr="009B3EF9">
        <w:rPr>
          <w:rFonts w:ascii="Times New Roman" w:hAnsi="Times New Roman" w:cs="Times New Roman"/>
        </w:rPr>
        <w:t>To</w:t>
      </w:r>
      <w:proofErr w:type="gramEnd"/>
      <w:r w:rsidRPr="009B3EF9">
        <w:rPr>
          <w:rFonts w:ascii="Times New Roman" w:hAnsi="Times New Roman" w:cs="Times New Roman"/>
        </w:rPr>
        <w:t xml:space="preserve"> Compare (PTC).  PPL St. 1-R, p. 13.  Net-metering customers’ account balances are adjusted monthly to reflect monthly usage and generation.  PPL pays net-metering customers annually each May for any net excess generation over the prior 12-month period.  PPL St. 1-R, p. 12.  These payments are reflected as </w:t>
      </w:r>
      <w:r w:rsidR="002D2A1B" w:rsidRPr="009B3EF9">
        <w:rPr>
          <w:rFonts w:ascii="Times New Roman" w:hAnsi="Times New Roman" w:cs="Times New Roman"/>
        </w:rPr>
        <w:t xml:space="preserve">an </w:t>
      </w:r>
      <w:r w:rsidRPr="009B3EF9">
        <w:rPr>
          <w:rFonts w:ascii="Times New Roman" w:hAnsi="Times New Roman" w:cs="Times New Roman"/>
        </w:rPr>
        <w:t>expense for the corresponding default service customer class, and the excess generation is credited against the amount of default service supply that otherwise would have been purchased for that group.</w:t>
      </w:r>
    </w:p>
    <w:p w:rsidR="00FF48C2" w:rsidRPr="009B3EF9" w:rsidRDefault="00FF48C2" w:rsidP="00FF48C2">
      <w:pPr>
        <w:spacing w:line="360" w:lineRule="auto"/>
        <w:ind w:left="90" w:firstLine="1440"/>
        <w:rPr>
          <w:rFonts w:ascii="Times New Roman" w:hAnsi="Times New Roman" w:cs="Times New Roman"/>
        </w:rPr>
      </w:pPr>
    </w:p>
    <w:p w:rsidR="00FF48C2" w:rsidRPr="009B3EF9" w:rsidRDefault="00FF48C2" w:rsidP="00FF48C2">
      <w:pPr>
        <w:spacing w:line="360" w:lineRule="auto"/>
        <w:ind w:left="90" w:firstLine="1440"/>
        <w:rPr>
          <w:rFonts w:ascii="Times New Roman" w:hAnsi="Times New Roman" w:cs="Times New Roman"/>
        </w:rPr>
      </w:pPr>
      <w:r w:rsidRPr="009B3EF9">
        <w:rPr>
          <w:rFonts w:ascii="Times New Roman" w:hAnsi="Times New Roman" w:cs="Times New Roman"/>
        </w:rPr>
        <w:t xml:space="preserve">Historically, PPL reflected the net-metering cash out payments as a GSC-1 expense at the time payment was made in the May/June time period on an annual basis.  However, this approach resulted in an under collection in the next quarterly reconciliation period.  According to PPL, the impact of this approach has been exacerbated by an increase in the number of Small C&amp;I net metering customers and the generally declining number of Small </w:t>
      </w:r>
      <w:r w:rsidRPr="009B3EF9">
        <w:rPr>
          <w:rFonts w:ascii="Times New Roman" w:hAnsi="Times New Roman" w:cs="Times New Roman"/>
        </w:rPr>
        <w:lastRenderedPageBreak/>
        <w:t>C&amp;I default service customers.  PPL St. 1-R, p. 12.  To address this issue, PPL revised its procedures and, in September</w:t>
      </w:r>
      <w:r w:rsidR="002050A8">
        <w:rPr>
          <w:rFonts w:ascii="Times New Roman" w:hAnsi="Times New Roman" w:cs="Times New Roman"/>
        </w:rPr>
        <w:t>,</w:t>
      </w:r>
      <w:r w:rsidRPr="009B3EF9">
        <w:rPr>
          <w:rFonts w:ascii="Times New Roman" w:hAnsi="Times New Roman" w:cs="Times New Roman"/>
        </w:rPr>
        <w:t xml:space="preserve"> 2013, it began to accrue, on a quarterly basis, the estimated cash out payments to its three largest net-metering customers, which contribute approximately 85% of all net-metering load in the Small C&amp;I customer class.  PPL St. 1-R, p. 5.  The joint settlement petition reaffirms PPL’s treatment of net-metering cash outs going forward.  As a result of this modification, PPL asserts that GSC-1 revenues and expenses will be more closely matched and GSC-1 E-factor </w:t>
      </w:r>
      <w:r w:rsidR="00561FE3">
        <w:rPr>
          <w:rFonts w:ascii="Times New Roman" w:hAnsi="Times New Roman" w:cs="Times New Roman"/>
        </w:rPr>
        <w:t>variability should be reduced.</w:t>
      </w:r>
    </w:p>
    <w:p w:rsidR="00FF48C2" w:rsidRPr="009B3EF9" w:rsidRDefault="00FF48C2" w:rsidP="002648E9">
      <w:pPr>
        <w:spacing w:line="360" w:lineRule="auto"/>
        <w:ind w:firstLine="1440"/>
        <w:rPr>
          <w:rFonts w:ascii="Times New Roman" w:hAnsi="Times New Roman" w:cs="Times New Roman"/>
        </w:rPr>
      </w:pPr>
    </w:p>
    <w:p w:rsidR="00FF48C2" w:rsidRPr="009B3EF9" w:rsidRDefault="00FF48C2" w:rsidP="00FF48C2">
      <w:pPr>
        <w:spacing w:line="360" w:lineRule="auto"/>
        <w:ind w:firstLine="1440"/>
        <w:rPr>
          <w:rFonts w:ascii="Times New Roman" w:hAnsi="Times New Roman" w:cs="Times New Roman"/>
        </w:rPr>
      </w:pPr>
      <w:r w:rsidRPr="009B3EF9">
        <w:rPr>
          <w:rFonts w:ascii="Times New Roman" w:hAnsi="Times New Roman" w:cs="Times New Roman"/>
        </w:rPr>
        <w:t xml:space="preserve">It appears that PPL’s revision to its treatment of net metering cash outs will allow GSC-1 revenues and expenses to be more closely matched, leading to reduced fluctuations in the GSC-1 E-Factor.  Providing for reduced fluctuations in the E-Factor means that PPL’s Small C&amp;I customers will benefit from more stable rates than might otherwise be the case.  More stable rates are a benefit for Small C&amp;I customers </w:t>
      </w:r>
      <w:r w:rsidR="008C746A">
        <w:rPr>
          <w:rFonts w:ascii="Times New Roman" w:hAnsi="Times New Roman" w:cs="Times New Roman"/>
        </w:rPr>
        <w:t>and serve the public interest.</w:t>
      </w:r>
    </w:p>
    <w:p w:rsidR="00737B17" w:rsidRPr="009B3EF9" w:rsidRDefault="00737B17" w:rsidP="002648E9">
      <w:pPr>
        <w:spacing w:line="360" w:lineRule="auto"/>
        <w:ind w:firstLine="1440"/>
        <w:rPr>
          <w:rFonts w:ascii="Times New Roman" w:hAnsi="Times New Roman" w:cs="Times New Roman"/>
        </w:rPr>
      </w:pPr>
    </w:p>
    <w:p w:rsidR="00DE1D9A" w:rsidRPr="009B3EF9" w:rsidRDefault="00737B17" w:rsidP="002648E9">
      <w:pPr>
        <w:spacing w:line="360" w:lineRule="auto"/>
        <w:ind w:firstLine="1440"/>
        <w:rPr>
          <w:rFonts w:ascii="Times New Roman" w:hAnsi="Times New Roman" w:cs="Times New Roman"/>
        </w:rPr>
      </w:pPr>
      <w:r w:rsidRPr="009B3EF9">
        <w:rPr>
          <w:rFonts w:ascii="Times New Roman" w:hAnsi="Times New Roman" w:cs="Times New Roman"/>
        </w:rPr>
        <w:t xml:space="preserve">PPL subsequently identified certain additional factors that contributed to </w:t>
      </w:r>
      <w:proofErr w:type="gramStart"/>
      <w:r w:rsidRPr="009B3EF9">
        <w:rPr>
          <w:rFonts w:ascii="Times New Roman" w:hAnsi="Times New Roman" w:cs="Times New Roman"/>
        </w:rPr>
        <w:t>the  under</w:t>
      </w:r>
      <w:proofErr w:type="gramEnd"/>
      <w:r w:rsidR="00346CB5" w:rsidRPr="009B3EF9">
        <w:rPr>
          <w:rFonts w:ascii="Times New Roman" w:hAnsi="Times New Roman" w:cs="Times New Roman"/>
        </w:rPr>
        <w:t xml:space="preserve"> </w:t>
      </w:r>
      <w:r w:rsidRPr="009B3EF9">
        <w:rPr>
          <w:rFonts w:ascii="Times New Roman" w:hAnsi="Times New Roman" w:cs="Times New Roman"/>
        </w:rPr>
        <w:t>forecast</w:t>
      </w:r>
      <w:r w:rsidR="00E62C64">
        <w:rPr>
          <w:rFonts w:ascii="Times New Roman" w:hAnsi="Times New Roman" w:cs="Times New Roman"/>
        </w:rPr>
        <w:t>ing of costs</w:t>
      </w:r>
      <w:r w:rsidRPr="009B3EF9">
        <w:rPr>
          <w:rFonts w:ascii="Times New Roman" w:hAnsi="Times New Roman" w:cs="Times New Roman"/>
        </w:rPr>
        <w:t xml:space="preserve">.  According to OSBA, it appears that PPL’s cost forecast did not include making an adjustment to wholesale power purchase </w:t>
      </w:r>
      <w:r w:rsidR="00BA57FA">
        <w:rPr>
          <w:rFonts w:ascii="Times New Roman" w:hAnsi="Times New Roman" w:cs="Times New Roman"/>
        </w:rPr>
        <w:t>prices for distribution losses.</w:t>
      </w:r>
    </w:p>
    <w:p w:rsidR="00711FB7" w:rsidRPr="009B3EF9" w:rsidRDefault="00711FB7" w:rsidP="002648E9">
      <w:pPr>
        <w:spacing w:line="360" w:lineRule="auto"/>
        <w:ind w:firstLine="1440"/>
        <w:rPr>
          <w:rFonts w:ascii="Times New Roman" w:hAnsi="Times New Roman" w:cs="Times New Roman"/>
        </w:rPr>
      </w:pPr>
    </w:p>
    <w:p w:rsidR="00711FB7" w:rsidRPr="009B3EF9" w:rsidRDefault="00711FB7" w:rsidP="00711FB7">
      <w:pPr>
        <w:spacing w:line="360" w:lineRule="auto"/>
        <w:ind w:firstLine="1440"/>
        <w:rPr>
          <w:rFonts w:ascii="Times New Roman" w:hAnsi="Times New Roman" w:cs="Times New Roman"/>
        </w:rPr>
      </w:pPr>
      <w:r w:rsidRPr="009B3EF9">
        <w:rPr>
          <w:rFonts w:ascii="Times New Roman" w:hAnsi="Times New Roman" w:cs="Times New Roman"/>
        </w:rPr>
        <w:t>PPL observes that the joint settlement petition modifies its residential and Small C&amp;I GSC-1 forecasting procedures to more closely track actual costs.  Specifically, through discovery and settlement discussions, it was determined that PPL’s forecast of GSC-1 costs did not adjust wholesale power purchase prices for distribution losses.  By not including the distribution loss factor in its forecasting, PPL understated its forecasted GSC-1 costs, resulting in an under collection of costs.  The joint settlement petition modifies PPL’s GSC-1 cost forecasting to include estim</w:t>
      </w:r>
      <w:r w:rsidR="00391B80">
        <w:rPr>
          <w:rFonts w:ascii="Times New Roman" w:hAnsi="Times New Roman" w:cs="Times New Roman"/>
        </w:rPr>
        <w:t>ated distribution line losses.</w:t>
      </w:r>
    </w:p>
    <w:p w:rsidR="00711FB7" w:rsidRPr="009B3EF9" w:rsidRDefault="00711FB7" w:rsidP="002648E9">
      <w:pPr>
        <w:spacing w:line="360" w:lineRule="auto"/>
        <w:ind w:firstLine="1440"/>
        <w:rPr>
          <w:rFonts w:ascii="Times New Roman" w:hAnsi="Times New Roman" w:cs="Times New Roman"/>
        </w:rPr>
      </w:pPr>
    </w:p>
    <w:p w:rsidR="00711FB7" w:rsidRPr="009B3EF9" w:rsidRDefault="00711FB7" w:rsidP="00711FB7">
      <w:pPr>
        <w:spacing w:line="360" w:lineRule="auto"/>
        <w:ind w:firstLine="1440"/>
        <w:rPr>
          <w:rFonts w:ascii="Times New Roman" w:hAnsi="Times New Roman" w:cs="Times New Roman"/>
        </w:rPr>
      </w:pPr>
      <w:r w:rsidRPr="009B3EF9">
        <w:rPr>
          <w:rFonts w:ascii="Times New Roman" w:hAnsi="Times New Roman" w:cs="Times New Roman"/>
        </w:rPr>
        <w:t>OCA in its statement of support states that the movement of distribution line loss costs into the projection of generation costs, rather than fully recovering those costs solely through future reconciliations, is an improvement to setting default service generation rates.  OCA supports this change in cost forecasting to the extent that it improves the accuracy of default s</w:t>
      </w:r>
      <w:r w:rsidR="00BC6C28">
        <w:rPr>
          <w:rFonts w:ascii="Times New Roman" w:hAnsi="Times New Roman" w:cs="Times New Roman"/>
        </w:rPr>
        <w:t>ervice rates for all customers.</w:t>
      </w:r>
    </w:p>
    <w:p w:rsidR="00711FB7" w:rsidRPr="009B3EF9" w:rsidRDefault="00711FB7" w:rsidP="000700BF">
      <w:pPr>
        <w:spacing w:line="360" w:lineRule="auto"/>
        <w:ind w:firstLine="1440"/>
        <w:rPr>
          <w:rFonts w:ascii="Times New Roman" w:hAnsi="Times New Roman" w:cs="Times New Roman"/>
        </w:rPr>
      </w:pPr>
    </w:p>
    <w:p w:rsidR="003B223D" w:rsidRPr="009B3EF9" w:rsidRDefault="00711FB7" w:rsidP="002648E9">
      <w:pPr>
        <w:spacing w:line="360" w:lineRule="auto"/>
        <w:ind w:firstLine="1440"/>
        <w:rPr>
          <w:rFonts w:ascii="Times New Roman" w:hAnsi="Times New Roman" w:cs="Times New Roman"/>
        </w:rPr>
      </w:pPr>
      <w:r w:rsidRPr="009B3EF9">
        <w:rPr>
          <w:rFonts w:ascii="Times New Roman" w:hAnsi="Times New Roman" w:cs="Times New Roman"/>
        </w:rPr>
        <w:t xml:space="preserve">OSBA contends that </w:t>
      </w:r>
      <w:r w:rsidR="00DE1D9A" w:rsidRPr="009B3EF9">
        <w:rPr>
          <w:rFonts w:ascii="Times New Roman" w:eastAsia="Calibri" w:hAnsi="Times New Roman" w:cs="Times New Roman"/>
        </w:rPr>
        <w:t>fully reflecting the estimated costs associated with distribution line losses</w:t>
      </w:r>
      <w:r w:rsidR="00DE1D9A" w:rsidRPr="009B3EF9">
        <w:rPr>
          <w:rFonts w:ascii="Times New Roman" w:hAnsi="Times New Roman" w:cs="Times New Roman"/>
        </w:rPr>
        <w:t xml:space="preserve"> will decrease variability in the GSC-1 rates for Smal</w:t>
      </w:r>
      <w:r w:rsidR="000700BF">
        <w:rPr>
          <w:rFonts w:ascii="Times New Roman" w:hAnsi="Times New Roman" w:cs="Times New Roman"/>
        </w:rPr>
        <w:t>l C&amp;I customers in the future.</w:t>
      </w:r>
    </w:p>
    <w:p w:rsidR="003B223D" w:rsidRPr="009B3EF9" w:rsidRDefault="003B223D" w:rsidP="002648E9">
      <w:pPr>
        <w:spacing w:line="360" w:lineRule="auto"/>
        <w:ind w:firstLine="1440"/>
        <w:rPr>
          <w:rFonts w:ascii="Times New Roman" w:hAnsi="Times New Roman" w:cs="Times New Roman"/>
        </w:rPr>
      </w:pPr>
    </w:p>
    <w:p w:rsidR="003B223D" w:rsidRPr="009B3EF9" w:rsidRDefault="003B223D" w:rsidP="003B223D">
      <w:pPr>
        <w:spacing w:line="360" w:lineRule="auto"/>
        <w:ind w:firstLine="1440"/>
        <w:rPr>
          <w:rFonts w:ascii="Times New Roman" w:hAnsi="Times New Roman" w:cs="Times New Roman"/>
        </w:rPr>
      </w:pPr>
      <w:r w:rsidRPr="009B3EF9">
        <w:rPr>
          <w:rFonts w:ascii="Times New Roman" w:hAnsi="Times New Roman" w:cs="Times New Roman"/>
        </w:rPr>
        <w:t xml:space="preserve">It appears that revising PPL’s forecasting procedures to more closely track actual GSC-1 costs by adjusting wholesale power purchase prices for distribution losses will improve the accuracy of its forecasts and reduce the under collection of costs.  Providing for reduced </w:t>
      </w:r>
      <w:r w:rsidR="007832D4" w:rsidRPr="009B3EF9">
        <w:rPr>
          <w:rFonts w:ascii="Times New Roman" w:hAnsi="Times New Roman" w:cs="Times New Roman"/>
        </w:rPr>
        <w:t>u</w:t>
      </w:r>
      <w:r w:rsidRPr="009B3EF9">
        <w:rPr>
          <w:rFonts w:ascii="Times New Roman" w:hAnsi="Times New Roman" w:cs="Times New Roman"/>
        </w:rPr>
        <w:t xml:space="preserve">nder collections means that PPL’s residential and Small C&amp;I customers will benefit from more stable rates than might otherwise be the case.  Again, more stable rates are a benefit for both residential and Small C&amp;I customers </w:t>
      </w:r>
      <w:r w:rsidR="00532F85">
        <w:rPr>
          <w:rFonts w:ascii="Times New Roman" w:hAnsi="Times New Roman" w:cs="Times New Roman"/>
        </w:rPr>
        <w:t>and serve the public interest.</w:t>
      </w:r>
    </w:p>
    <w:p w:rsidR="005118E6" w:rsidRPr="009B3EF9" w:rsidRDefault="005118E6" w:rsidP="002648E9">
      <w:pPr>
        <w:spacing w:line="360" w:lineRule="auto"/>
        <w:ind w:firstLine="1440"/>
        <w:rPr>
          <w:rFonts w:ascii="Times New Roman" w:hAnsi="Times New Roman" w:cs="Times New Roman"/>
        </w:rPr>
      </w:pPr>
    </w:p>
    <w:p w:rsidR="005118E6" w:rsidRPr="009B3EF9" w:rsidRDefault="005118E6" w:rsidP="002648E9">
      <w:pPr>
        <w:spacing w:line="360" w:lineRule="auto"/>
        <w:ind w:firstLine="1440"/>
        <w:rPr>
          <w:rFonts w:ascii="Times New Roman" w:hAnsi="Times New Roman" w:cs="Times New Roman"/>
        </w:rPr>
      </w:pPr>
      <w:r w:rsidRPr="009B3EF9">
        <w:rPr>
          <w:rFonts w:ascii="Times New Roman" w:hAnsi="Times New Roman" w:cs="Times New Roman"/>
        </w:rPr>
        <w:t xml:space="preserve">The joint settlement petition also provides that PPL will continue to monitor and evaluate the operation of the GSC-1 for accuracy of forecasts. </w:t>
      </w:r>
      <w:r w:rsidR="00760E7C">
        <w:rPr>
          <w:rFonts w:ascii="Times New Roman" w:hAnsi="Times New Roman" w:cs="Times New Roman"/>
        </w:rPr>
        <w:t xml:space="preserve"> </w:t>
      </w:r>
      <w:r w:rsidRPr="009B3EF9">
        <w:rPr>
          <w:rFonts w:ascii="Times New Roman" w:hAnsi="Times New Roman" w:cs="Times New Roman"/>
        </w:rPr>
        <w:t xml:space="preserve">The joint settlement petition provides for ongoing communication </w:t>
      </w:r>
      <w:r w:rsidR="001760EE" w:rsidRPr="009B3EF9">
        <w:rPr>
          <w:rFonts w:ascii="Times New Roman" w:hAnsi="Times New Roman" w:cs="Times New Roman"/>
        </w:rPr>
        <w:t xml:space="preserve">among </w:t>
      </w:r>
      <w:r w:rsidRPr="009B3EF9">
        <w:rPr>
          <w:rFonts w:ascii="Times New Roman" w:hAnsi="Times New Roman" w:cs="Times New Roman"/>
        </w:rPr>
        <w:t>PPL</w:t>
      </w:r>
      <w:r w:rsidR="001760EE" w:rsidRPr="009B3EF9">
        <w:rPr>
          <w:rFonts w:ascii="Times New Roman" w:hAnsi="Times New Roman" w:cs="Times New Roman"/>
        </w:rPr>
        <w:t xml:space="preserve">, OCA and OSBA regarding the </w:t>
      </w:r>
      <w:r w:rsidRPr="009B3EF9">
        <w:rPr>
          <w:rFonts w:ascii="Times New Roman" w:hAnsi="Times New Roman" w:cs="Times New Roman"/>
        </w:rPr>
        <w:t xml:space="preserve">reconciliation of the GSC-1.  </w:t>
      </w:r>
      <w:r w:rsidR="001760EE" w:rsidRPr="009B3EF9">
        <w:rPr>
          <w:rFonts w:ascii="Times New Roman" w:hAnsi="Times New Roman" w:cs="Times New Roman"/>
        </w:rPr>
        <w:t>The additional information agreed to be provided by PPL will allow OSBA and OCA to better evaluate individual reconciliation submissions and more quickly identify</w:t>
      </w:r>
      <w:r w:rsidR="002D2A1B" w:rsidRPr="009B3EF9">
        <w:rPr>
          <w:rFonts w:ascii="Times New Roman" w:hAnsi="Times New Roman" w:cs="Times New Roman"/>
        </w:rPr>
        <w:t xml:space="preserve"> the</w:t>
      </w:r>
      <w:r w:rsidR="001760EE" w:rsidRPr="009B3EF9">
        <w:rPr>
          <w:rFonts w:ascii="Times New Roman" w:hAnsi="Times New Roman" w:cs="Times New Roman"/>
        </w:rPr>
        <w:t xml:space="preserve"> problems</w:t>
      </w:r>
      <w:r w:rsidR="002D2A1B" w:rsidRPr="009B3EF9">
        <w:rPr>
          <w:rFonts w:ascii="Times New Roman" w:hAnsi="Times New Roman" w:cs="Times New Roman"/>
        </w:rPr>
        <w:t>,</w:t>
      </w:r>
      <w:r w:rsidR="001760EE" w:rsidRPr="009B3EF9">
        <w:rPr>
          <w:rFonts w:ascii="Times New Roman" w:hAnsi="Times New Roman" w:cs="Times New Roman"/>
        </w:rPr>
        <w:t xml:space="preserve"> </w:t>
      </w:r>
      <w:r w:rsidR="002D2A1B" w:rsidRPr="009B3EF9">
        <w:rPr>
          <w:rFonts w:ascii="Times New Roman" w:hAnsi="Times New Roman" w:cs="Times New Roman"/>
        </w:rPr>
        <w:t xml:space="preserve">like those that occurred </w:t>
      </w:r>
      <w:r w:rsidR="001760EE" w:rsidRPr="009B3EF9">
        <w:rPr>
          <w:rFonts w:ascii="Times New Roman" w:hAnsi="Times New Roman" w:cs="Times New Roman"/>
        </w:rPr>
        <w:t>in 2012-2013</w:t>
      </w:r>
      <w:r w:rsidR="002D2A1B" w:rsidRPr="009B3EF9">
        <w:rPr>
          <w:rFonts w:ascii="Times New Roman" w:hAnsi="Times New Roman" w:cs="Times New Roman"/>
        </w:rPr>
        <w:t>,</w:t>
      </w:r>
      <w:r w:rsidR="001760EE" w:rsidRPr="009B3EF9">
        <w:rPr>
          <w:rFonts w:ascii="Times New Roman" w:hAnsi="Times New Roman" w:cs="Times New Roman"/>
        </w:rPr>
        <w:t xml:space="preserve"> that gave rise to OSBA’s complaint.</w:t>
      </w:r>
    </w:p>
    <w:p w:rsidR="005118E6" w:rsidRPr="009B3EF9" w:rsidRDefault="005118E6" w:rsidP="006528C8">
      <w:pPr>
        <w:tabs>
          <w:tab w:val="left" w:pos="1440"/>
          <w:tab w:val="left" w:pos="2160"/>
          <w:tab w:val="center" w:pos="4680"/>
        </w:tabs>
        <w:suppressAutoHyphens/>
        <w:spacing w:line="360" w:lineRule="auto"/>
        <w:ind w:firstLine="1440"/>
        <w:rPr>
          <w:rFonts w:ascii="Times New Roman" w:hAnsi="Times New Roman" w:cs="Times New Roman"/>
        </w:rPr>
      </w:pPr>
    </w:p>
    <w:p w:rsidR="003B223D" w:rsidRPr="009B3EF9" w:rsidRDefault="003B223D" w:rsidP="003B223D">
      <w:pPr>
        <w:spacing w:line="360" w:lineRule="auto"/>
        <w:ind w:firstLine="1440"/>
        <w:rPr>
          <w:rFonts w:ascii="Times New Roman" w:hAnsi="Times New Roman" w:cs="Times New Roman"/>
        </w:rPr>
      </w:pPr>
      <w:r w:rsidRPr="009B3EF9">
        <w:rPr>
          <w:rFonts w:ascii="Times New Roman" w:hAnsi="Times New Roman" w:cs="Times New Roman"/>
        </w:rPr>
        <w:t>OCA also points out that the joint settlement petition provides both OCA and OSBA with actual cost information that impacts PPL’s GSC-1 filing.  This information will enable OSBA and OCA to evaluate PPL cost forecast</w:t>
      </w:r>
      <w:r w:rsidR="00E62C64">
        <w:rPr>
          <w:rFonts w:ascii="Times New Roman" w:hAnsi="Times New Roman" w:cs="Times New Roman"/>
        </w:rPr>
        <w:t>s</w:t>
      </w:r>
      <w:bookmarkStart w:id="0" w:name="_GoBack"/>
      <w:bookmarkEnd w:id="0"/>
      <w:r w:rsidRPr="009B3EF9">
        <w:rPr>
          <w:rFonts w:ascii="Times New Roman" w:hAnsi="Times New Roman" w:cs="Times New Roman"/>
        </w:rPr>
        <w:t xml:space="preserve"> and </w:t>
      </w:r>
      <w:r w:rsidR="00DA4FE0">
        <w:rPr>
          <w:rFonts w:ascii="Times New Roman" w:hAnsi="Times New Roman" w:cs="Times New Roman"/>
        </w:rPr>
        <w:t xml:space="preserve">the operation of PPL’s GSC-1.  </w:t>
      </w:r>
      <w:r w:rsidRPr="009B3EF9">
        <w:rPr>
          <w:rFonts w:ascii="Times New Roman" w:hAnsi="Times New Roman" w:cs="Times New Roman"/>
        </w:rPr>
        <w:t>OCA states that regular access to cost data will allow the parties greater opportunity to recognize and rectify areas where future improvements may be needed.</w:t>
      </w:r>
    </w:p>
    <w:p w:rsidR="003B223D" w:rsidRPr="009B3EF9" w:rsidRDefault="003B223D" w:rsidP="006528C8">
      <w:pPr>
        <w:tabs>
          <w:tab w:val="left" w:pos="1440"/>
          <w:tab w:val="left" w:pos="2160"/>
          <w:tab w:val="center" w:pos="4680"/>
        </w:tabs>
        <w:suppressAutoHyphens/>
        <w:spacing w:line="360" w:lineRule="auto"/>
        <w:ind w:firstLine="1440"/>
        <w:rPr>
          <w:rFonts w:ascii="Times New Roman" w:hAnsi="Times New Roman" w:cs="Times New Roman"/>
        </w:rPr>
      </w:pPr>
    </w:p>
    <w:p w:rsidR="007832D4" w:rsidRPr="009B3EF9" w:rsidRDefault="007832D4" w:rsidP="007832D4">
      <w:pPr>
        <w:spacing w:line="360" w:lineRule="auto"/>
        <w:ind w:firstLine="1440"/>
        <w:rPr>
          <w:rFonts w:ascii="Times New Roman" w:hAnsi="Times New Roman" w:cs="Times New Roman"/>
        </w:rPr>
      </w:pPr>
      <w:r w:rsidRPr="009B3EF9">
        <w:rPr>
          <w:rFonts w:ascii="Times New Roman" w:hAnsi="Times New Roman" w:cs="Times New Roman"/>
        </w:rPr>
        <w:t xml:space="preserve">PPL asserts that the joint settlement petition provides that it will continue to monitor the GSC-1 filing process and evaluate means to improve the operation of the GSC-1.  The joint settlement petition provides that PPL will identify and provide OSBA and OCA with information relative to the actual costs incurred by PPL so they will be able to evaluate the operation of PPL’s GSC-1.  By establishing an ongoing dialogue between PPL, OSBA and the </w:t>
      </w:r>
      <w:r w:rsidRPr="009B3EF9">
        <w:rPr>
          <w:rFonts w:ascii="Times New Roman" w:hAnsi="Times New Roman" w:cs="Times New Roman"/>
        </w:rPr>
        <w:lastRenderedPageBreak/>
        <w:t>OCA with respect to reconciliation of the GSC-1, the joint settlement petition will enable OSBA and OCA to continue to monitor and evaluate the operation of PPL’s GSC-1.</w:t>
      </w:r>
    </w:p>
    <w:p w:rsidR="007832D4" w:rsidRPr="009B3EF9" w:rsidRDefault="007832D4" w:rsidP="007832D4">
      <w:pPr>
        <w:spacing w:line="360" w:lineRule="auto"/>
        <w:ind w:firstLine="1440"/>
        <w:rPr>
          <w:rFonts w:ascii="Times New Roman" w:hAnsi="Times New Roman" w:cs="Times New Roman"/>
        </w:rPr>
      </w:pPr>
    </w:p>
    <w:p w:rsidR="003B223D" w:rsidRDefault="007832D4" w:rsidP="006528C8">
      <w:pPr>
        <w:tabs>
          <w:tab w:val="left" w:pos="1440"/>
          <w:tab w:val="left" w:pos="2160"/>
          <w:tab w:val="center" w:pos="4680"/>
        </w:tabs>
        <w:suppressAutoHyphens/>
        <w:spacing w:line="360" w:lineRule="auto"/>
        <w:ind w:firstLine="1440"/>
        <w:rPr>
          <w:rFonts w:ascii="Times New Roman" w:hAnsi="Times New Roman" w:cs="Times New Roman"/>
        </w:rPr>
      </w:pPr>
      <w:r w:rsidRPr="009B3EF9">
        <w:rPr>
          <w:rFonts w:ascii="Times New Roman" w:hAnsi="Times New Roman" w:cs="Times New Roman"/>
        </w:rPr>
        <w:t xml:space="preserve">It appears that PPL providing cost information to OBSA and OCA will enable the OCA and OBSA to evaluate that information on a regular basis. </w:t>
      </w:r>
      <w:r w:rsidR="00FF6781">
        <w:rPr>
          <w:rFonts w:ascii="Times New Roman" w:hAnsi="Times New Roman" w:cs="Times New Roman"/>
        </w:rPr>
        <w:t xml:space="preserve"> </w:t>
      </w:r>
      <w:r w:rsidRPr="009B3EF9">
        <w:rPr>
          <w:rFonts w:ascii="Times New Roman" w:hAnsi="Times New Roman" w:cs="Times New Roman"/>
        </w:rPr>
        <w:t>This ongoing evaluation should enable the parties to recognize and correct problems more quickly than would otherwise be the case.  More timely recognition and correction of problems should lead to more stable rates than might otherwise be the case</w:t>
      </w:r>
      <w:r w:rsidR="00CC78CC" w:rsidRPr="009B3EF9">
        <w:rPr>
          <w:rFonts w:ascii="Times New Roman" w:hAnsi="Times New Roman" w:cs="Times New Roman"/>
        </w:rPr>
        <w:t xml:space="preserve"> and benefit PPL’s residential and Small C&amp;I customers.  More stable rates for both residential and Small C&amp;I customers serve the public interest</w:t>
      </w:r>
      <w:r w:rsidR="00B43AD6">
        <w:rPr>
          <w:rFonts w:ascii="Times New Roman" w:hAnsi="Times New Roman" w:cs="Times New Roman"/>
        </w:rPr>
        <w:t>.</w:t>
      </w:r>
    </w:p>
    <w:p w:rsidR="00B43AD6" w:rsidRPr="009B3EF9" w:rsidRDefault="00B43AD6" w:rsidP="00B43AD6">
      <w:pPr>
        <w:tabs>
          <w:tab w:val="left" w:pos="1440"/>
          <w:tab w:val="left" w:pos="2160"/>
          <w:tab w:val="center" w:pos="4680"/>
        </w:tabs>
        <w:suppressAutoHyphens/>
        <w:spacing w:line="360" w:lineRule="auto"/>
        <w:ind w:firstLine="1440"/>
        <w:rPr>
          <w:rFonts w:ascii="Times New Roman" w:hAnsi="Times New Roman" w:cs="Times New Roman"/>
        </w:rPr>
      </w:pPr>
    </w:p>
    <w:p w:rsidR="005118E6" w:rsidRPr="009B3EF9" w:rsidRDefault="005118E6" w:rsidP="005118E6">
      <w:pPr>
        <w:spacing w:line="360" w:lineRule="auto"/>
        <w:ind w:firstLine="1440"/>
        <w:rPr>
          <w:rFonts w:ascii="Times New Roman" w:hAnsi="Times New Roman" w:cs="Times New Roman"/>
        </w:rPr>
      </w:pPr>
      <w:r w:rsidRPr="009B3EF9">
        <w:rPr>
          <w:rFonts w:ascii="Times New Roman" w:hAnsi="Times New Roman" w:cs="Times New Roman"/>
        </w:rPr>
        <w:t xml:space="preserve">It appears that the terms of the joint settlement petition will </w:t>
      </w:r>
      <w:r w:rsidR="002D2A1B" w:rsidRPr="009B3EF9">
        <w:rPr>
          <w:rFonts w:ascii="Times New Roman" w:hAnsi="Times New Roman" w:cs="Times New Roman"/>
        </w:rPr>
        <w:t xml:space="preserve">help promote </w:t>
      </w:r>
      <w:r w:rsidRPr="009B3EF9">
        <w:rPr>
          <w:rFonts w:ascii="Times New Roman" w:hAnsi="Times New Roman" w:cs="Times New Roman"/>
        </w:rPr>
        <w:t xml:space="preserve">more </w:t>
      </w:r>
      <w:r w:rsidR="002D2A1B" w:rsidRPr="009B3EF9">
        <w:rPr>
          <w:rFonts w:ascii="Times New Roman" w:hAnsi="Times New Roman" w:cs="Times New Roman"/>
        </w:rPr>
        <w:t xml:space="preserve">accurate </w:t>
      </w:r>
      <w:r w:rsidRPr="009B3EF9">
        <w:rPr>
          <w:rFonts w:ascii="Times New Roman" w:hAnsi="Times New Roman" w:cs="Times New Roman"/>
        </w:rPr>
        <w:t>energy cost</w:t>
      </w:r>
      <w:r w:rsidR="002D2A1B" w:rsidRPr="009B3EF9">
        <w:rPr>
          <w:rFonts w:ascii="Times New Roman" w:hAnsi="Times New Roman" w:cs="Times New Roman"/>
        </w:rPr>
        <w:t xml:space="preserve"> forecasts</w:t>
      </w:r>
      <w:r w:rsidRPr="009B3EF9">
        <w:rPr>
          <w:rFonts w:ascii="Times New Roman" w:hAnsi="Times New Roman" w:cs="Times New Roman"/>
        </w:rPr>
        <w:t xml:space="preserve"> for Small C&amp;I customers.  Providing more </w:t>
      </w:r>
      <w:r w:rsidR="002D2A1B" w:rsidRPr="009B3EF9">
        <w:rPr>
          <w:rFonts w:ascii="Times New Roman" w:hAnsi="Times New Roman" w:cs="Times New Roman"/>
        </w:rPr>
        <w:t>accurate</w:t>
      </w:r>
      <w:r w:rsidRPr="009B3EF9">
        <w:rPr>
          <w:rFonts w:ascii="Times New Roman" w:hAnsi="Times New Roman" w:cs="Times New Roman"/>
        </w:rPr>
        <w:t xml:space="preserve"> energy cost</w:t>
      </w:r>
      <w:r w:rsidR="002D2A1B" w:rsidRPr="009B3EF9">
        <w:rPr>
          <w:rFonts w:ascii="Times New Roman" w:hAnsi="Times New Roman" w:cs="Times New Roman"/>
        </w:rPr>
        <w:t xml:space="preserve"> forecast</w:t>
      </w:r>
      <w:r w:rsidRPr="009B3EF9">
        <w:rPr>
          <w:rFonts w:ascii="Times New Roman" w:hAnsi="Times New Roman" w:cs="Times New Roman"/>
        </w:rPr>
        <w:t>s for Small C&amp;I customers means that PPL’s Small C&amp;I customers will benefit from more stable rates than might otherwise be the case.  More stable rates are a benefit for Small C&amp;I customers and se</w:t>
      </w:r>
      <w:r w:rsidR="00B43AD6">
        <w:rPr>
          <w:rFonts w:ascii="Times New Roman" w:hAnsi="Times New Roman" w:cs="Times New Roman"/>
        </w:rPr>
        <w:t>rve the public interest.</w:t>
      </w:r>
    </w:p>
    <w:p w:rsidR="003B223D" w:rsidRPr="009B3EF9" w:rsidRDefault="003B223D" w:rsidP="00094F85">
      <w:pPr>
        <w:spacing w:line="360" w:lineRule="auto"/>
        <w:rPr>
          <w:rFonts w:ascii="Times New Roman" w:hAnsi="Times New Roman" w:cs="Times New Roman"/>
        </w:rPr>
      </w:pPr>
    </w:p>
    <w:p w:rsidR="00754897" w:rsidRPr="009B3EF9" w:rsidRDefault="00754897" w:rsidP="00754897">
      <w:pPr>
        <w:spacing w:line="360" w:lineRule="auto"/>
        <w:ind w:firstLine="1440"/>
        <w:rPr>
          <w:rFonts w:ascii="Times New Roman" w:hAnsi="Times New Roman" w:cs="Times New Roman"/>
        </w:rPr>
      </w:pPr>
      <w:r w:rsidRPr="009B3EF9">
        <w:rPr>
          <w:rFonts w:ascii="Times New Roman" w:hAnsi="Times New Roman" w:cs="Times New Roman"/>
        </w:rPr>
        <w:t>Finally, approving and adopting the joint settlement petition is in the public interest because accepting the settlement will avoid the substantial time and expense involved in litigating the proceeding.  Accepting the settlement will negate the need to examine or cross-examine witnesses, prepare main briefs, reply briefs, exceptions and reply exceptions and possibly file appeals.  Avoiding these expenses serves the interests of OCA, OSBA, PPL and PPL’s customers and therefore is in the public interest.</w:t>
      </w:r>
    </w:p>
    <w:p w:rsidR="00711FB7" w:rsidRPr="009B3EF9" w:rsidRDefault="00711FB7" w:rsidP="00754897">
      <w:pPr>
        <w:spacing w:line="360" w:lineRule="auto"/>
        <w:ind w:firstLine="1440"/>
        <w:rPr>
          <w:rFonts w:ascii="Times New Roman" w:hAnsi="Times New Roman" w:cs="Times New Roman"/>
        </w:rPr>
      </w:pPr>
    </w:p>
    <w:p w:rsidR="00754897" w:rsidRPr="009B3EF9" w:rsidRDefault="00754897" w:rsidP="00754897">
      <w:pPr>
        <w:spacing w:line="360" w:lineRule="auto"/>
        <w:jc w:val="center"/>
        <w:rPr>
          <w:rFonts w:ascii="Times New Roman" w:hAnsi="Times New Roman" w:cs="Times New Roman"/>
          <w:u w:val="single"/>
        </w:rPr>
      </w:pPr>
      <w:r w:rsidRPr="009B3EF9">
        <w:rPr>
          <w:rFonts w:ascii="Times New Roman" w:hAnsi="Times New Roman" w:cs="Times New Roman"/>
          <w:u w:val="single"/>
        </w:rPr>
        <w:t>CONDITIONS OF SETTLEMENT</w:t>
      </w:r>
    </w:p>
    <w:p w:rsidR="00754897" w:rsidRPr="009B3EF9" w:rsidRDefault="00754897" w:rsidP="00754897">
      <w:pPr>
        <w:spacing w:line="360" w:lineRule="auto"/>
        <w:jc w:val="center"/>
        <w:rPr>
          <w:rFonts w:ascii="Times New Roman" w:hAnsi="Times New Roman" w:cs="Times New Roman"/>
          <w:u w:val="single"/>
        </w:rPr>
      </w:pPr>
    </w:p>
    <w:p w:rsidR="009731B5" w:rsidRPr="009B3EF9" w:rsidRDefault="009731B5" w:rsidP="009731B5">
      <w:pPr>
        <w:pStyle w:val="ListNumber"/>
        <w:numPr>
          <w:ilvl w:val="0"/>
          <w:numId w:val="0"/>
        </w:numPr>
        <w:spacing w:line="360" w:lineRule="auto"/>
        <w:ind w:firstLine="1440"/>
        <w:jc w:val="both"/>
      </w:pPr>
      <w:r w:rsidRPr="009B3EF9">
        <w:t>The settlement is proposed by the parties to the settlement to settle all issues in the instant proceeding.  The settlement is made without any admission against, or prejudice to, any position which any party may adopt in the event of any further litigation of this proceeding, or in any other proceeding.</w:t>
      </w:r>
    </w:p>
    <w:p w:rsidR="009731B5" w:rsidRPr="009B3EF9" w:rsidRDefault="009731B5" w:rsidP="00754897">
      <w:pPr>
        <w:spacing w:line="360" w:lineRule="auto"/>
        <w:ind w:firstLine="1440"/>
        <w:rPr>
          <w:rFonts w:ascii="Times New Roman" w:hAnsi="Times New Roman" w:cs="Times New Roman"/>
        </w:rPr>
      </w:pPr>
    </w:p>
    <w:p w:rsidR="00754897" w:rsidRPr="009B3EF9" w:rsidRDefault="00754897" w:rsidP="00754897">
      <w:pPr>
        <w:spacing w:line="360" w:lineRule="auto"/>
        <w:ind w:firstLine="1440"/>
        <w:rPr>
          <w:rFonts w:ascii="Times New Roman" w:hAnsi="Times New Roman" w:cs="Times New Roman"/>
        </w:rPr>
      </w:pPr>
      <w:r w:rsidRPr="009B3EF9">
        <w:rPr>
          <w:rFonts w:ascii="Times New Roman" w:hAnsi="Times New Roman" w:cs="Times New Roman"/>
        </w:rPr>
        <w:lastRenderedPageBreak/>
        <w:t xml:space="preserve">The settlement is conditioned upon the Commission’s approval of the terms and conditions contained in the settlement without modification.  If the Commission modifies the settlement, any party may elect to withdraw from the settlement and may proceed with litigation and, in such event, the settlement shall be void and of no effect.  Such election to withdraw must be made in writing, filed with the Secretary of the Commission and served upon other parties within </w:t>
      </w:r>
      <w:r w:rsidR="009731B5" w:rsidRPr="009B3EF9">
        <w:rPr>
          <w:rFonts w:ascii="Times New Roman" w:hAnsi="Times New Roman" w:cs="Times New Roman"/>
        </w:rPr>
        <w:t>three</w:t>
      </w:r>
      <w:r w:rsidRPr="009B3EF9">
        <w:rPr>
          <w:rFonts w:ascii="Times New Roman" w:hAnsi="Times New Roman" w:cs="Times New Roman"/>
        </w:rPr>
        <w:t xml:space="preserve"> (</w:t>
      </w:r>
      <w:r w:rsidR="009731B5" w:rsidRPr="009B3EF9">
        <w:rPr>
          <w:rFonts w:ascii="Times New Roman" w:hAnsi="Times New Roman" w:cs="Times New Roman"/>
        </w:rPr>
        <w:t>3</w:t>
      </w:r>
      <w:r w:rsidRPr="009B3EF9">
        <w:rPr>
          <w:rFonts w:ascii="Times New Roman" w:hAnsi="Times New Roman" w:cs="Times New Roman"/>
        </w:rPr>
        <w:t>) business days after the entry of an O</w:t>
      </w:r>
      <w:r w:rsidR="00242D10">
        <w:rPr>
          <w:rFonts w:ascii="Times New Roman" w:hAnsi="Times New Roman" w:cs="Times New Roman"/>
        </w:rPr>
        <w:t>rder modifying the settlement.</w:t>
      </w:r>
    </w:p>
    <w:p w:rsidR="00754897" w:rsidRPr="009B3EF9" w:rsidRDefault="00754897" w:rsidP="009731B5">
      <w:pPr>
        <w:spacing w:line="360" w:lineRule="auto"/>
        <w:rPr>
          <w:rFonts w:ascii="Times New Roman" w:hAnsi="Times New Roman" w:cs="Times New Roman"/>
        </w:rPr>
      </w:pPr>
    </w:p>
    <w:p w:rsidR="009731B5" w:rsidRPr="009B3EF9" w:rsidRDefault="009731B5" w:rsidP="009731B5">
      <w:pPr>
        <w:pStyle w:val="OutlineL2"/>
        <w:numPr>
          <w:ilvl w:val="0"/>
          <w:numId w:val="0"/>
        </w:numPr>
        <w:spacing w:after="0" w:line="360" w:lineRule="auto"/>
        <w:ind w:firstLine="1440"/>
        <w:rPr>
          <w:szCs w:val="24"/>
        </w:rPr>
      </w:pPr>
      <w:r w:rsidRPr="009B3EF9">
        <w:rPr>
          <w:szCs w:val="24"/>
        </w:rPr>
        <w:t>The settlement is proposed by PPL, OCA and OSBA to settle all issues in the instant proceeding.  If the Commission disapproves the settlement or any party elects to withdraw as provided above, the parties reserve their respective rights to fully litigate this case, including but not limited to presentation of witnesses, cross-examination and legal argument through submission of briefs, excepti</w:t>
      </w:r>
      <w:r w:rsidR="003301DA">
        <w:rPr>
          <w:szCs w:val="24"/>
        </w:rPr>
        <w:t>ons and replies to exceptions.</w:t>
      </w:r>
    </w:p>
    <w:p w:rsidR="001E74EB" w:rsidRPr="009B3EF9" w:rsidRDefault="001E74EB" w:rsidP="00754897">
      <w:pPr>
        <w:pStyle w:val="ListNumber"/>
        <w:numPr>
          <w:ilvl w:val="0"/>
          <w:numId w:val="0"/>
        </w:numPr>
        <w:spacing w:line="360" w:lineRule="auto"/>
        <w:ind w:firstLine="1440"/>
        <w:jc w:val="both"/>
      </w:pPr>
    </w:p>
    <w:p w:rsidR="001E74EB" w:rsidRPr="009B3EF9" w:rsidRDefault="001E74EB" w:rsidP="00754897">
      <w:pPr>
        <w:pStyle w:val="ListNumber"/>
        <w:numPr>
          <w:ilvl w:val="0"/>
          <w:numId w:val="0"/>
        </w:numPr>
        <w:spacing w:line="360" w:lineRule="auto"/>
        <w:ind w:firstLine="1440"/>
        <w:jc w:val="both"/>
      </w:pPr>
      <w:r w:rsidRPr="009B3EF9">
        <w:t xml:space="preserve">The joint settlement petition does not establish precedent and neither the joint settlement petition nor Commission approval of the joint settlement petition shall be cited in other proceedings. </w:t>
      </w:r>
    </w:p>
    <w:p w:rsidR="001E74EB" w:rsidRPr="009B3EF9" w:rsidRDefault="001E74EB" w:rsidP="00754897">
      <w:pPr>
        <w:pStyle w:val="ListNumber"/>
        <w:numPr>
          <w:ilvl w:val="0"/>
          <w:numId w:val="0"/>
        </w:numPr>
        <w:spacing w:line="360" w:lineRule="auto"/>
        <w:ind w:firstLine="1440"/>
        <w:jc w:val="both"/>
      </w:pPr>
    </w:p>
    <w:p w:rsidR="001E74EB" w:rsidRPr="009B3EF9" w:rsidRDefault="001E74EB" w:rsidP="001E74EB">
      <w:pPr>
        <w:pStyle w:val="ListNumber"/>
        <w:numPr>
          <w:ilvl w:val="0"/>
          <w:numId w:val="0"/>
        </w:numPr>
        <w:spacing w:line="360" w:lineRule="auto"/>
        <w:ind w:firstLine="1440"/>
        <w:jc w:val="both"/>
      </w:pPr>
      <w:r w:rsidRPr="009B3EF9">
        <w:t>The Commission’s approval of the settlement shall not be construed to represent approval of any party’s position on any issue, except to the extent required to effectuate the terms and agreements of the settlement in these and fut</w:t>
      </w:r>
      <w:r w:rsidR="000D3F30">
        <w:t>ure proceedings involving PPL.</w:t>
      </w:r>
    </w:p>
    <w:p w:rsidR="001E74EB" w:rsidRPr="009B3EF9" w:rsidRDefault="001E74EB" w:rsidP="001E74EB">
      <w:pPr>
        <w:pStyle w:val="ListNumber"/>
        <w:numPr>
          <w:ilvl w:val="0"/>
          <w:numId w:val="0"/>
        </w:numPr>
        <w:spacing w:line="360" w:lineRule="auto"/>
        <w:ind w:firstLine="1440"/>
        <w:jc w:val="both"/>
      </w:pPr>
    </w:p>
    <w:p w:rsidR="001E74EB" w:rsidRPr="009B3EF9" w:rsidRDefault="001E74EB" w:rsidP="001E74EB">
      <w:pPr>
        <w:pStyle w:val="ListNumber"/>
        <w:numPr>
          <w:ilvl w:val="0"/>
          <w:numId w:val="0"/>
        </w:numPr>
        <w:spacing w:line="360" w:lineRule="auto"/>
        <w:ind w:firstLine="1440"/>
      </w:pPr>
      <w:r w:rsidRPr="009B3EF9">
        <w:t>If I adopt the joint settlement petition without modification, the parties waive their rights to file exceptions and reply exceptions.  However, the parties do not waive their rights to file exceptions with respect to any modifications to the terms and conditions of the settlement, or any additional matters proposed by me in my recommended decision.  The parties also reserve the right to file replies to an</w:t>
      </w:r>
      <w:r w:rsidR="00EC4BFD">
        <w:t>y exceptions that may be filed.</w:t>
      </w:r>
    </w:p>
    <w:p w:rsidR="001E74EB" w:rsidRPr="009B3EF9" w:rsidRDefault="001E74EB" w:rsidP="0050700D">
      <w:pPr>
        <w:pStyle w:val="ListNumber"/>
        <w:numPr>
          <w:ilvl w:val="0"/>
          <w:numId w:val="0"/>
        </w:numPr>
        <w:spacing w:line="360" w:lineRule="auto"/>
        <w:ind w:firstLine="1440"/>
      </w:pPr>
    </w:p>
    <w:p w:rsidR="001E74EB" w:rsidRPr="009B3EF9" w:rsidRDefault="001E74EB" w:rsidP="001E74EB">
      <w:pPr>
        <w:pStyle w:val="TxBrp3"/>
        <w:widowControl/>
        <w:spacing w:line="360" w:lineRule="auto"/>
        <w:ind w:firstLine="0"/>
        <w:jc w:val="center"/>
        <w:rPr>
          <w:u w:val="single"/>
        </w:rPr>
      </w:pPr>
      <w:r w:rsidRPr="009B3EF9">
        <w:rPr>
          <w:u w:val="single"/>
        </w:rPr>
        <w:t>CONCLUSION</w:t>
      </w:r>
    </w:p>
    <w:p w:rsidR="001E74EB" w:rsidRPr="009B3EF9" w:rsidRDefault="001E74EB" w:rsidP="001E74EB">
      <w:pPr>
        <w:pStyle w:val="TxBrp3"/>
        <w:widowControl/>
        <w:spacing w:line="360" w:lineRule="auto"/>
        <w:ind w:firstLine="0"/>
      </w:pPr>
    </w:p>
    <w:p w:rsidR="001E74EB" w:rsidRPr="009B3EF9" w:rsidRDefault="001E74EB" w:rsidP="001E74EB">
      <w:pPr>
        <w:pStyle w:val="TxBrp3"/>
        <w:widowControl/>
        <w:spacing w:line="360" w:lineRule="auto"/>
        <w:ind w:firstLine="1440"/>
      </w:pPr>
      <w:r w:rsidRPr="009B3EF9">
        <w:t>For the reasons set forth above, I find that the proposed settlement is in the public interest.  Accordingly, I recommend that the Commission approve the proposed settlement</w:t>
      </w:r>
      <w:r w:rsidR="00CB7342" w:rsidRPr="009B3EF9">
        <w:t>.</w:t>
      </w:r>
    </w:p>
    <w:p w:rsidR="001E74EB" w:rsidRPr="009B3EF9" w:rsidRDefault="001E74EB" w:rsidP="001E74EB">
      <w:pPr>
        <w:spacing w:line="360" w:lineRule="auto"/>
        <w:jc w:val="center"/>
        <w:rPr>
          <w:rFonts w:ascii="Times New Roman" w:hAnsi="Times New Roman" w:cs="Times New Roman"/>
          <w:u w:val="single"/>
        </w:rPr>
      </w:pPr>
    </w:p>
    <w:p w:rsidR="001E74EB" w:rsidRPr="009B3EF9" w:rsidRDefault="001E74EB" w:rsidP="001E74EB">
      <w:pPr>
        <w:pStyle w:val="Heading5"/>
        <w:suppressAutoHyphens/>
        <w:spacing w:before="0" w:after="0" w:line="360" w:lineRule="auto"/>
        <w:jc w:val="center"/>
        <w:rPr>
          <w:b w:val="0"/>
          <w:i w:val="0"/>
          <w:spacing w:val="-3"/>
          <w:sz w:val="24"/>
          <w:szCs w:val="24"/>
          <w:u w:val="single"/>
        </w:rPr>
      </w:pPr>
      <w:r w:rsidRPr="009B3EF9">
        <w:rPr>
          <w:b w:val="0"/>
          <w:i w:val="0"/>
          <w:spacing w:val="-3"/>
          <w:sz w:val="24"/>
          <w:szCs w:val="24"/>
          <w:u w:val="single"/>
        </w:rPr>
        <w:t>CONCLUSIONS OF LAW</w:t>
      </w:r>
    </w:p>
    <w:p w:rsidR="001E74EB" w:rsidRPr="009B3EF9" w:rsidRDefault="001E74EB" w:rsidP="0050700D">
      <w:pPr>
        <w:spacing w:line="360" w:lineRule="auto"/>
        <w:rPr>
          <w:rFonts w:ascii="Times New Roman" w:hAnsi="Times New Roman" w:cs="Times New Roman"/>
        </w:rPr>
      </w:pPr>
    </w:p>
    <w:p w:rsidR="001E74EB" w:rsidRPr="009B3EF9" w:rsidRDefault="001E74EB" w:rsidP="001E74EB">
      <w:pPr>
        <w:spacing w:line="360" w:lineRule="auto"/>
        <w:ind w:firstLine="720"/>
        <w:rPr>
          <w:rFonts w:ascii="Times New Roman" w:hAnsi="Times New Roman" w:cs="Times New Roman"/>
        </w:rPr>
      </w:pPr>
      <w:r w:rsidRPr="009B3EF9">
        <w:rPr>
          <w:rFonts w:ascii="Times New Roman" w:hAnsi="Times New Roman" w:cs="Times New Roman"/>
        </w:rPr>
        <w:tab/>
        <w:t>1.</w:t>
      </w:r>
      <w:r w:rsidRPr="009B3EF9">
        <w:rPr>
          <w:rFonts w:ascii="Times New Roman" w:hAnsi="Times New Roman" w:cs="Times New Roman"/>
        </w:rPr>
        <w:tab/>
        <w:t>The Commission has jurisdiction over the subject matter of and the parties to this proceeding.</w:t>
      </w:r>
    </w:p>
    <w:p w:rsidR="001E74EB" w:rsidRPr="009B3EF9" w:rsidRDefault="001E74EB" w:rsidP="0050700D">
      <w:pPr>
        <w:spacing w:line="360" w:lineRule="auto"/>
        <w:ind w:firstLine="720"/>
        <w:rPr>
          <w:rFonts w:ascii="Times New Roman" w:hAnsi="Times New Roman" w:cs="Times New Roman"/>
        </w:rPr>
      </w:pPr>
    </w:p>
    <w:p w:rsidR="001E74EB" w:rsidRPr="009B3EF9" w:rsidRDefault="001E74EB" w:rsidP="001E74EB">
      <w:pPr>
        <w:spacing w:line="360" w:lineRule="auto"/>
        <w:rPr>
          <w:rFonts w:ascii="Times New Roman" w:hAnsi="Times New Roman" w:cs="Times New Roman"/>
        </w:rPr>
      </w:pPr>
      <w:r w:rsidRPr="009B3EF9">
        <w:rPr>
          <w:rFonts w:ascii="Times New Roman" w:hAnsi="Times New Roman" w:cs="Times New Roman"/>
        </w:rPr>
        <w:tab/>
      </w:r>
      <w:r w:rsidRPr="009B3EF9">
        <w:rPr>
          <w:rFonts w:ascii="Times New Roman" w:hAnsi="Times New Roman" w:cs="Times New Roman"/>
        </w:rPr>
        <w:tab/>
        <w:t>2.</w:t>
      </w:r>
      <w:r w:rsidRPr="009B3EF9">
        <w:rPr>
          <w:rFonts w:ascii="Times New Roman" w:hAnsi="Times New Roman" w:cs="Times New Roman"/>
        </w:rPr>
        <w:tab/>
        <w:t xml:space="preserve">The joint petition for settlement filed on </w:t>
      </w:r>
      <w:r w:rsidR="00CB7342" w:rsidRPr="009B3EF9">
        <w:rPr>
          <w:rFonts w:ascii="Times New Roman" w:hAnsi="Times New Roman" w:cs="Times New Roman"/>
        </w:rPr>
        <w:t>November 5</w:t>
      </w:r>
      <w:r w:rsidR="0050700D">
        <w:rPr>
          <w:rFonts w:ascii="Times New Roman" w:hAnsi="Times New Roman" w:cs="Times New Roman"/>
        </w:rPr>
        <w:t>, 2013</w:t>
      </w:r>
      <w:r w:rsidRPr="009B3EF9">
        <w:rPr>
          <w:rFonts w:ascii="Times New Roman" w:hAnsi="Times New Roman" w:cs="Times New Roman"/>
        </w:rPr>
        <w:t xml:space="preserve">, among </w:t>
      </w:r>
      <w:r w:rsidR="00CB7342" w:rsidRPr="009B3EF9">
        <w:rPr>
          <w:rFonts w:ascii="Times New Roman" w:hAnsi="Times New Roman" w:cs="Times New Roman"/>
        </w:rPr>
        <w:t>PPL</w:t>
      </w:r>
      <w:r w:rsidRPr="009B3EF9">
        <w:rPr>
          <w:rFonts w:ascii="Times New Roman" w:hAnsi="Times New Roman" w:cs="Times New Roman"/>
        </w:rPr>
        <w:t>, OCA and OSBA is in the public interest and should be approved by the Commission.</w:t>
      </w:r>
    </w:p>
    <w:p w:rsidR="002D2A1B" w:rsidRPr="009B3EF9" w:rsidRDefault="002D2A1B" w:rsidP="00BE1624">
      <w:pPr>
        <w:spacing w:line="360" w:lineRule="auto"/>
        <w:rPr>
          <w:rFonts w:ascii="Times New Roman" w:hAnsi="Times New Roman" w:cs="Times New Roman"/>
        </w:rPr>
      </w:pPr>
    </w:p>
    <w:p w:rsidR="001E74EB" w:rsidRPr="009B3EF9" w:rsidRDefault="001E74EB" w:rsidP="001E74EB">
      <w:pPr>
        <w:pStyle w:val="Heading5"/>
        <w:suppressAutoHyphens/>
        <w:spacing w:before="0" w:after="0" w:line="360" w:lineRule="auto"/>
        <w:jc w:val="center"/>
        <w:rPr>
          <w:b w:val="0"/>
          <w:i w:val="0"/>
          <w:spacing w:val="-3"/>
          <w:sz w:val="24"/>
          <w:szCs w:val="24"/>
          <w:u w:val="single"/>
        </w:rPr>
      </w:pPr>
      <w:r w:rsidRPr="009B3EF9">
        <w:rPr>
          <w:b w:val="0"/>
          <w:i w:val="0"/>
          <w:spacing w:val="-3"/>
          <w:sz w:val="24"/>
          <w:szCs w:val="24"/>
          <w:u w:val="single"/>
        </w:rPr>
        <w:t>ORDER</w:t>
      </w:r>
    </w:p>
    <w:p w:rsidR="001E74EB" w:rsidRDefault="001E74EB" w:rsidP="00BE1624">
      <w:pPr>
        <w:tabs>
          <w:tab w:val="center" w:pos="4680"/>
        </w:tabs>
        <w:suppressAutoHyphens/>
        <w:spacing w:line="360" w:lineRule="auto"/>
        <w:jc w:val="both"/>
        <w:rPr>
          <w:rFonts w:ascii="Times New Roman" w:hAnsi="Times New Roman" w:cs="Times New Roman"/>
          <w:b/>
          <w:spacing w:val="-3"/>
        </w:rPr>
      </w:pPr>
    </w:p>
    <w:p w:rsidR="00BE1624" w:rsidRPr="009B3EF9" w:rsidRDefault="00BE1624" w:rsidP="00BE1624">
      <w:pPr>
        <w:tabs>
          <w:tab w:val="center" w:pos="4680"/>
        </w:tabs>
        <w:suppressAutoHyphens/>
        <w:spacing w:line="360" w:lineRule="auto"/>
        <w:jc w:val="both"/>
        <w:rPr>
          <w:rFonts w:ascii="Times New Roman" w:hAnsi="Times New Roman" w:cs="Times New Roman"/>
          <w:b/>
          <w:spacing w:val="-3"/>
        </w:rPr>
      </w:pPr>
    </w:p>
    <w:p w:rsidR="001E74EB" w:rsidRPr="009B3EF9" w:rsidRDefault="001E74EB" w:rsidP="001E74EB">
      <w:pPr>
        <w:tabs>
          <w:tab w:val="left" w:pos="-720"/>
        </w:tabs>
        <w:suppressAutoHyphens/>
        <w:spacing w:line="360" w:lineRule="auto"/>
        <w:jc w:val="both"/>
        <w:rPr>
          <w:rFonts w:ascii="Times New Roman" w:hAnsi="Times New Roman" w:cs="Times New Roman"/>
          <w:spacing w:val="-3"/>
        </w:rPr>
      </w:pPr>
      <w:r w:rsidRPr="009B3EF9">
        <w:rPr>
          <w:rFonts w:ascii="Times New Roman" w:hAnsi="Times New Roman" w:cs="Times New Roman"/>
          <w:spacing w:val="-3"/>
        </w:rPr>
        <w:tab/>
      </w:r>
      <w:r w:rsidRPr="009B3EF9">
        <w:rPr>
          <w:rFonts w:ascii="Times New Roman" w:hAnsi="Times New Roman" w:cs="Times New Roman"/>
          <w:spacing w:val="-3"/>
        </w:rPr>
        <w:tab/>
        <w:t>THEREFORE,</w:t>
      </w:r>
    </w:p>
    <w:p w:rsidR="001E74EB" w:rsidRPr="009B3EF9" w:rsidRDefault="001E74EB" w:rsidP="00BE1624">
      <w:pPr>
        <w:tabs>
          <w:tab w:val="left" w:pos="-720"/>
        </w:tabs>
        <w:suppressAutoHyphens/>
        <w:spacing w:line="360" w:lineRule="auto"/>
        <w:jc w:val="both"/>
        <w:rPr>
          <w:rFonts w:ascii="Times New Roman" w:hAnsi="Times New Roman" w:cs="Times New Roman"/>
          <w:spacing w:val="-3"/>
        </w:rPr>
      </w:pPr>
    </w:p>
    <w:p w:rsidR="001E74EB" w:rsidRPr="009B3EF9" w:rsidRDefault="001E74EB" w:rsidP="001E74EB">
      <w:pPr>
        <w:pStyle w:val="BodyText3"/>
        <w:tabs>
          <w:tab w:val="left" w:pos="-720"/>
        </w:tabs>
        <w:spacing w:after="0"/>
        <w:rPr>
          <w:rFonts w:ascii="Times New Roman" w:hAnsi="Times New Roman" w:cs="Times New Roman"/>
          <w:sz w:val="24"/>
          <w:szCs w:val="24"/>
        </w:rPr>
      </w:pPr>
      <w:r w:rsidRPr="009B3EF9">
        <w:rPr>
          <w:rFonts w:ascii="Times New Roman" w:hAnsi="Times New Roman" w:cs="Times New Roman"/>
          <w:sz w:val="24"/>
          <w:szCs w:val="24"/>
        </w:rPr>
        <w:tab/>
      </w:r>
      <w:r w:rsidRPr="009B3EF9">
        <w:rPr>
          <w:rFonts w:ascii="Times New Roman" w:hAnsi="Times New Roman" w:cs="Times New Roman"/>
          <w:sz w:val="24"/>
          <w:szCs w:val="24"/>
        </w:rPr>
        <w:tab/>
        <w:t xml:space="preserve">IT IS </w:t>
      </w:r>
      <w:r w:rsidR="002D2A1B" w:rsidRPr="009B3EF9">
        <w:rPr>
          <w:rFonts w:ascii="Times New Roman" w:hAnsi="Times New Roman" w:cs="Times New Roman"/>
          <w:sz w:val="24"/>
          <w:szCs w:val="24"/>
        </w:rPr>
        <w:t>ORDERED</w:t>
      </w:r>
      <w:r w:rsidRPr="009B3EF9">
        <w:rPr>
          <w:rFonts w:ascii="Times New Roman" w:hAnsi="Times New Roman" w:cs="Times New Roman"/>
          <w:sz w:val="24"/>
          <w:szCs w:val="24"/>
        </w:rPr>
        <w:t>:</w:t>
      </w:r>
    </w:p>
    <w:p w:rsidR="001E74EB" w:rsidRPr="009B3EF9" w:rsidRDefault="001E74EB" w:rsidP="00BE1624">
      <w:pPr>
        <w:tabs>
          <w:tab w:val="left" w:pos="-720"/>
        </w:tabs>
        <w:suppressAutoHyphens/>
        <w:spacing w:line="360" w:lineRule="auto"/>
        <w:rPr>
          <w:rFonts w:ascii="Times New Roman" w:hAnsi="Times New Roman" w:cs="Times New Roman"/>
          <w:spacing w:val="-3"/>
        </w:rPr>
      </w:pPr>
    </w:p>
    <w:p w:rsidR="001E74EB" w:rsidRPr="009B3EF9" w:rsidRDefault="001E74EB" w:rsidP="001E74EB">
      <w:pPr>
        <w:suppressAutoHyphens/>
        <w:spacing w:line="360" w:lineRule="auto"/>
        <w:rPr>
          <w:rFonts w:ascii="Times New Roman" w:hAnsi="Times New Roman" w:cs="Times New Roman"/>
          <w:spacing w:val="-3"/>
        </w:rPr>
      </w:pPr>
      <w:r w:rsidRPr="009B3EF9">
        <w:rPr>
          <w:rFonts w:ascii="Times New Roman" w:hAnsi="Times New Roman" w:cs="Times New Roman"/>
          <w:spacing w:val="-3"/>
        </w:rPr>
        <w:tab/>
      </w:r>
      <w:r w:rsidRPr="009B3EF9">
        <w:rPr>
          <w:rFonts w:ascii="Times New Roman" w:hAnsi="Times New Roman" w:cs="Times New Roman"/>
          <w:spacing w:val="-3"/>
        </w:rPr>
        <w:tab/>
        <w:t>1</w:t>
      </w:r>
      <w:r w:rsidRPr="009B3EF9">
        <w:rPr>
          <w:rFonts w:ascii="Times New Roman" w:hAnsi="Times New Roman" w:cs="Times New Roman"/>
        </w:rPr>
        <w:t>.</w:t>
      </w:r>
      <w:r w:rsidRPr="009B3EF9">
        <w:rPr>
          <w:rFonts w:ascii="Times New Roman" w:hAnsi="Times New Roman" w:cs="Times New Roman"/>
        </w:rPr>
        <w:tab/>
        <w:t xml:space="preserve">That the joint settlement petition among </w:t>
      </w:r>
      <w:r w:rsidR="00CB7342" w:rsidRPr="009B3EF9">
        <w:rPr>
          <w:rFonts w:ascii="Times New Roman" w:hAnsi="Times New Roman" w:cs="Times New Roman"/>
        </w:rPr>
        <w:t>PPL Electric Utilities Corporation</w:t>
      </w:r>
      <w:r w:rsidRPr="009B3EF9">
        <w:rPr>
          <w:rFonts w:ascii="Times New Roman" w:hAnsi="Times New Roman" w:cs="Times New Roman"/>
        </w:rPr>
        <w:t xml:space="preserve">, the Office of Consumer Advocate and the Office of Small Business Advocate filed on </w:t>
      </w:r>
      <w:r w:rsidR="00CB7342" w:rsidRPr="009B3EF9">
        <w:rPr>
          <w:rFonts w:ascii="Times New Roman" w:hAnsi="Times New Roman" w:cs="Times New Roman"/>
        </w:rPr>
        <w:t>November 5, 2013</w:t>
      </w:r>
      <w:r w:rsidRPr="009B3EF9">
        <w:rPr>
          <w:rFonts w:ascii="Times New Roman" w:hAnsi="Times New Roman" w:cs="Times New Roman"/>
        </w:rPr>
        <w:t xml:space="preserve"> at </w:t>
      </w:r>
      <w:r w:rsidR="00CB7342" w:rsidRPr="009B3EF9">
        <w:rPr>
          <w:rFonts w:ascii="Times New Roman" w:hAnsi="Times New Roman" w:cs="Times New Roman"/>
        </w:rPr>
        <w:t xml:space="preserve">C-2013-2367475 </w:t>
      </w:r>
      <w:r w:rsidRPr="009B3EF9">
        <w:rPr>
          <w:rFonts w:ascii="Times New Roman" w:hAnsi="Times New Roman" w:cs="Times New Roman"/>
        </w:rPr>
        <w:t>is hereby approved and adopted.</w:t>
      </w:r>
    </w:p>
    <w:p w:rsidR="001E74EB" w:rsidRPr="009B3EF9" w:rsidRDefault="001E74EB" w:rsidP="00BE1624">
      <w:pPr>
        <w:suppressAutoHyphens/>
        <w:spacing w:line="360" w:lineRule="auto"/>
        <w:rPr>
          <w:rFonts w:ascii="Times New Roman" w:hAnsi="Times New Roman" w:cs="Times New Roman"/>
          <w:spacing w:val="-3"/>
        </w:rPr>
      </w:pPr>
    </w:p>
    <w:p w:rsidR="001E74EB" w:rsidRPr="009B3EF9" w:rsidRDefault="00CB7342" w:rsidP="001E74EB">
      <w:pPr>
        <w:pStyle w:val="ListNumber"/>
        <w:numPr>
          <w:ilvl w:val="0"/>
          <w:numId w:val="0"/>
        </w:numPr>
        <w:spacing w:line="360" w:lineRule="auto"/>
        <w:ind w:firstLine="1440"/>
      </w:pPr>
      <w:r w:rsidRPr="009B3EF9">
        <w:rPr>
          <w:spacing w:val="-3"/>
        </w:rPr>
        <w:t>2</w:t>
      </w:r>
      <w:r w:rsidR="001E74EB" w:rsidRPr="009B3EF9">
        <w:t>.</w:t>
      </w:r>
      <w:r w:rsidR="001E74EB" w:rsidRPr="009B3EF9">
        <w:tab/>
        <w:t>That the motion for admission of testimony and exhibits is granted and the following documents are admitted into the record as stipulated to in the motion for admiss</w:t>
      </w:r>
      <w:r w:rsidR="00BE1624">
        <w:t>ion of testimony and exhibits:</w:t>
      </w:r>
    </w:p>
    <w:p w:rsidR="001E74EB" w:rsidRPr="009B3EF9" w:rsidRDefault="001E74EB" w:rsidP="00BE1624">
      <w:pPr>
        <w:suppressAutoHyphens/>
        <w:spacing w:line="360" w:lineRule="auto"/>
        <w:rPr>
          <w:rFonts w:ascii="Times New Roman" w:hAnsi="Times New Roman" w:cs="Times New Roman"/>
          <w:spacing w:val="-3"/>
        </w:rPr>
      </w:pPr>
    </w:p>
    <w:p w:rsidR="00CB7342" w:rsidRPr="009B3EF9" w:rsidRDefault="00CB7342" w:rsidP="00CB7342">
      <w:pPr>
        <w:ind w:left="1440"/>
        <w:rPr>
          <w:rFonts w:ascii="Times New Roman" w:hAnsi="Times New Roman" w:cs="Times New Roman"/>
        </w:rPr>
      </w:pPr>
      <w:r w:rsidRPr="009B3EF9">
        <w:rPr>
          <w:rFonts w:ascii="Times New Roman" w:hAnsi="Times New Roman" w:cs="Times New Roman"/>
        </w:rPr>
        <w:t>OSBA Statement No. 1; Direct Testimony of Robert D. Knecht and Exhibits</w:t>
      </w:r>
    </w:p>
    <w:p w:rsidR="00CB7342" w:rsidRPr="009B3EF9" w:rsidRDefault="00CB7342" w:rsidP="00CB7342">
      <w:pPr>
        <w:ind w:left="1440"/>
        <w:rPr>
          <w:rFonts w:ascii="Times New Roman" w:hAnsi="Times New Roman" w:cs="Times New Roman"/>
        </w:rPr>
      </w:pPr>
      <w:r w:rsidRPr="009B3EF9">
        <w:rPr>
          <w:rFonts w:ascii="Times New Roman" w:hAnsi="Times New Roman" w:cs="Times New Roman"/>
        </w:rPr>
        <w:t>OSBA Statement No. 2; Surrebuttal Testimony of Robert D. Knecht and Exhibits</w:t>
      </w:r>
    </w:p>
    <w:p w:rsidR="00CB7342" w:rsidRPr="009B3EF9" w:rsidRDefault="00CB7342" w:rsidP="00CB7342">
      <w:pPr>
        <w:ind w:left="1440"/>
        <w:rPr>
          <w:rFonts w:ascii="Times New Roman" w:hAnsi="Times New Roman" w:cs="Times New Roman"/>
        </w:rPr>
      </w:pPr>
      <w:r w:rsidRPr="009B3EF9">
        <w:rPr>
          <w:rFonts w:ascii="Times New Roman" w:hAnsi="Times New Roman" w:cs="Times New Roman"/>
        </w:rPr>
        <w:t>PPL Electric Statement No. 1-R; Rebuttal Testimony of Bethany Johnson</w:t>
      </w:r>
    </w:p>
    <w:p w:rsidR="00CB7342" w:rsidRPr="009B3EF9" w:rsidRDefault="00CB7342" w:rsidP="00CB7342">
      <w:pPr>
        <w:ind w:left="1440"/>
        <w:rPr>
          <w:rFonts w:ascii="Times New Roman" w:hAnsi="Times New Roman" w:cs="Times New Roman"/>
        </w:rPr>
      </w:pPr>
      <w:r w:rsidRPr="009B3EF9">
        <w:rPr>
          <w:rFonts w:ascii="Times New Roman" w:hAnsi="Times New Roman" w:cs="Times New Roman"/>
        </w:rPr>
        <w:t>PPL Electric Statement No. 2-R; Rebuttal Testimony of James Rouland</w:t>
      </w:r>
    </w:p>
    <w:p w:rsidR="001E74EB" w:rsidRPr="009B3EF9" w:rsidRDefault="001E74EB" w:rsidP="00BE1624">
      <w:pPr>
        <w:pStyle w:val="ListNumber"/>
        <w:numPr>
          <w:ilvl w:val="0"/>
          <w:numId w:val="0"/>
        </w:numPr>
        <w:spacing w:after="240" w:line="360" w:lineRule="auto"/>
        <w:ind w:left="2160" w:hanging="720"/>
        <w:jc w:val="both"/>
      </w:pPr>
    </w:p>
    <w:p w:rsidR="001E74EB" w:rsidRPr="009B3EF9" w:rsidRDefault="001E74EB" w:rsidP="001E74EB">
      <w:pPr>
        <w:tabs>
          <w:tab w:val="left" w:pos="-720"/>
        </w:tabs>
        <w:suppressAutoHyphens/>
        <w:spacing w:line="360" w:lineRule="auto"/>
        <w:rPr>
          <w:rFonts w:ascii="Times New Roman" w:hAnsi="Times New Roman" w:cs="Times New Roman"/>
          <w:spacing w:val="-3"/>
        </w:rPr>
      </w:pPr>
      <w:r w:rsidRPr="009B3EF9">
        <w:rPr>
          <w:rFonts w:ascii="Times New Roman" w:hAnsi="Times New Roman" w:cs="Times New Roman"/>
          <w:spacing w:val="-3"/>
        </w:rPr>
        <w:tab/>
      </w:r>
      <w:r w:rsidRPr="009B3EF9">
        <w:rPr>
          <w:rFonts w:ascii="Times New Roman" w:hAnsi="Times New Roman" w:cs="Times New Roman"/>
          <w:spacing w:val="-3"/>
        </w:rPr>
        <w:tab/>
      </w:r>
      <w:r w:rsidR="00346CB5" w:rsidRPr="009B3EF9">
        <w:rPr>
          <w:rFonts w:ascii="Times New Roman" w:hAnsi="Times New Roman" w:cs="Times New Roman"/>
          <w:spacing w:val="-3"/>
        </w:rPr>
        <w:t>3</w:t>
      </w:r>
      <w:r w:rsidRPr="009B3EF9">
        <w:rPr>
          <w:rFonts w:ascii="Times New Roman" w:hAnsi="Times New Roman" w:cs="Times New Roman"/>
        </w:rPr>
        <w:t>.</w:t>
      </w:r>
      <w:r w:rsidRPr="009B3EF9">
        <w:rPr>
          <w:rFonts w:ascii="Times New Roman" w:hAnsi="Times New Roman" w:cs="Times New Roman"/>
        </w:rPr>
        <w:tab/>
        <w:t xml:space="preserve">That </w:t>
      </w:r>
      <w:r w:rsidR="00CB7342" w:rsidRPr="009B3EF9">
        <w:rPr>
          <w:rFonts w:ascii="Times New Roman" w:hAnsi="Times New Roman" w:cs="Times New Roman"/>
        </w:rPr>
        <w:t>PPL Electric Utilities Corporation</w:t>
      </w:r>
      <w:r w:rsidRPr="009B3EF9">
        <w:rPr>
          <w:rFonts w:ascii="Times New Roman" w:hAnsi="Times New Roman" w:cs="Times New Roman"/>
        </w:rPr>
        <w:t xml:space="preserve"> shall </w:t>
      </w:r>
      <w:r w:rsidRPr="009B3EF9">
        <w:rPr>
          <w:rFonts w:ascii="Times New Roman" w:hAnsi="Times New Roman" w:cs="Times New Roman"/>
          <w:spacing w:val="-3"/>
        </w:rPr>
        <w:t xml:space="preserve">comply with all directives, conclusions and recommendations in the joint settlement petition as approved and adopted in this </w:t>
      </w:r>
      <w:r w:rsidR="00CB7342" w:rsidRPr="009B3EF9">
        <w:rPr>
          <w:rFonts w:ascii="Times New Roman" w:hAnsi="Times New Roman" w:cs="Times New Roman"/>
          <w:spacing w:val="-3"/>
        </w:rPr>
        <w:lastRenderedPageBreak/>
        <w:t xml:space="preserve">Initial </w:t>
      </w:r>
      <w:r w:rsidRPr="009B3EF9">
        <w:rPr>
          <w:rFonts w:ascii="Times New Roman" w:hAnsi="Times New Roman" w:cs="Times New Roman"/>
          <w:spacing w:val="-3"/>
        </w:rPr>
        <w:t>Decision that are not the subject of individual ordering paragraphs as fully as if they were the subject of specific ordering paragraphs.</w:t>
      </w:r>
    </w:p>
    <w:p w:rsidR="001E74EB" w:rsidRPr="009B3EF9" w:rsidRDefault="001E74EB" w:rsidP="00BE1624">
      <w:pPr>
        <w:tabs>
          <w:tab w:val="left" w:pos="-720"/>
        </w:tabs>
        <w:suppressAutoHyphens/>
        <w:spacing w:line="360" w:lineRule="auto"/>
        <w:rPr>
          <w:rFonts w:ascii="Times New Roman" w:hAnsi="Times New Roman" w:cs="Times New Roman"/>
          <w:spacing w:val="-3"/>
        </w:rPr>
      </w:pPr>
    </w:p>
    <w:p w:rsidR="00CB7342" w:rsidRPr="009B3EF9" w:rsidRDefault="001E74EB" w:rsidP="00CB7342">
      <w:pPr>
        <w:spacing w:line="360" w:lineRule="auto"/>
        <w:rPr>
          <w:rFonts w:ascii="Times New Roman" w:hAnsi="Times New Roman" w:cs="Times New Roman"/>
        </w:rPr>
      </w:pPr>
      <w:r w:rsidRPr="009B3EF9">
        <w:rPr>
          <w:rFonts w:ascii="Times New Roman" w:hAnsi="Times New Roman" w:cs="Times New Roman"/>
          <w:spacing w:val="-3"/>
        </w:rPr>
        <w:tab/>
      </w:r>
      <w:r w:rsidR="00CB7342" w:rsidRPr="009B3EF9">
        <w:rPr>
          <w:rFonts w:ascii="Times New Roman" w:hAnsi="Times New Roman" w:cs="Times New Roman"/>
          <w:spacing w:val="-3"/>
        </w:rPr>
        <w:tab/>
      </w:r>
      <w:r w:rsidR="00346CB5" w:rsidRPr="009B3EF9">
        <w:rPr>
          <w:rFonts w:ascii="Times New Roman" w:hAnsi="Times New Roman" w:cs="Times New Roman"/>
          <w:spacing w:val="-3"/>
        </w:rPr>
        <w:t>4</w:t>
      </w:r>
      <w:r w:rsidR="00CB7342" w:rsidRPr="009B3EF9">
        <w:rPr>
          <w:rFonts w:ascii="Times New Roman" w:hAnsi="Times New Roman" w:cs="Times New Roman"/>
        </w:rPr>
        <w:t>.</w:t>
      </w:r>
      <w:r w:rsidR="00CB7342" w:rsidRPr="009B3EF9">
        <w:rPr>
          <w:rFonts w:ascii="Times New Roman" w:hAnsi="Times New Roman" w:cs="Times New Roman"/>
        </w:rPr>
        <w:tab/>
        <w:t xml:space="preserve">That the docket at Docket No. </w:t>
      </w:r>
      <w:r w:rsidR="00CB7342" w:rsidRPr="009B3EF9">
        <w:rPr>
          <w:rFonts w:ascii="Times New Roman" w:hAnsi="Times New Roman" w:cs="Times New Roman"/>
          <w:spacing w:val="-3"/>
        </w:rPr>
        <w:t xml:space="preserve">C-2013-2367475 </w:t>
      </w:r>
      <w:r w:rsidR="00CB7342" w:rsidRPr="009B3EF9">
        <w:rPr>
          <w:rFonts w:ascii="Times New Roman" w:hAnsi="Times New Roman" w:cs="Times New Roman"/>
        </w:rPr>
        <w:t>is marked closed.</w:t>
      </w:r>
    </w:p>
    <w:p w:rsidR="001E74EB" w:rsidRPr="009B3EF9" w:rsidRDefault="001E74EB" w:rsidP="00BE1624">
      <w:pPr>
        <w:tabs>
          <w:tab w:val="left" w:pos="-720"/>
        </w:tabs>
        <w:suppressAutoHyphens/>
        <w:spacing w:line="360" w:lineRule="auto"/>
        <w:rPr>
          <w:rFonts w:ascii="Times New Roman" w:hAnsi="Times New Roman" w:cs="Times New Roman"/>
        </w:rPr>
      </w:pPr>
    </w:p>
    <w:p w:rsidR="001E74EB" w:rsidRPr="009B3EF9" w:rsidRDefault="001E74EB" w:rsidP="00BE1624">
      <w:pPr>
        <w:tabs>
          <w:tab w:val="left" w:pos="1440"/>
        </w:tabs>
        <w:spacing w:line="360" w:lineRule="auto"/>
        <w:ind w:firstLine="1440"/>
        <w:rPr>
          <w:rFonts w:ascii="Times New Roman" w:hAnsi="Times New Roman" w:cs="Times New Roman"/>
        </w:rPr>
      </w:pPr>
    </w:p>
    <w:p w:rsidR="001E74EB" w:rsidRPr="009B3EF9" w:rsidRDefault="001E74EB" w:rsidP="001E74EB">
      <w:pPr>
        <w:tabs>
          <w:tab w:val="left" w:pos="1440"/>
        </w:tabs>
        <w:rPr>
          <w:rFonts w:ascii="Times New Roman" w:hAnsi="Times New Roman" w:cs="Times New Roman"/>
          <w:u w:val="single"/>
        </w:rPr>
      </w:pPr>
      <w:r w:rsidRPr="009B3EF9">
        <w:rPr>
          <w:rFonts w:ascii="Times New Roman" w:hAnsi="Times New Roman" w:cs="Times New Roman"/>
        </w:rPr>
        <w:t xml:space="preserve">Date: </w:t>
      </w:r>
      <w:r w:rsidR="00CB7342" w:rsidRPr="009B3EF9">
        <w:rPr>
          <w:rFonts w:ascii="Times New Roman" w:hAnsi="Times New Roman" w:cs="Times New Roman"/>
          <w:u w:val="single"/>
        </w:rPr>
        <w:t>November 13, 2013</w:t>
      </w:r>
      <w:r w:rsidRPr="009B3EF9">
        <w:rPr>
          <w:rFonts w:ascii="Times New Roman" w:hAnsi="Times New Roman" w:cs="Times New Roman"/>
        </w:rPr>
        <w:tab/>
      </w:r>
      <w:r w:rsidRPr="009B3EF9">
        <w:rPr>
          <w:rFonts w:ascii="Times New Roman" w:hAnsi="Times New Roman" w:cs="Times New Roman"/>
        </w:rPr>
        <w:tab/>
      </w:r>
      <w:r w:rsidRPr="009B3EF9">
        <w:rPr>
          <w:rFonts w:ascii="Times New Roman" w:hAnsi="Times New Roman" w:cs="Times New Roman"/>
        </w:rPr>
        <w:tab/>
      </w:r>
      <w:r w:rsidRPr="009B3EF9">
        <w:rPr>
          <w:rFonts w:ascii="Times New Roman" w:hAnsi="Times New Roman" w:cs="Times New Roman"/>
        </w:rPr>
        <w:tab/>
      </w:r>
      <w:r w:rsidRPr="009B3EF9">
        <w:rPr>
          <w:rFonts w:ascii="Times New Roman" w:hAnsi="Times New Roman" w:cs="Times New Roman"/>
          <w:u w:val="single"/>
        </w:rPr>
        <w:tab/>
      </w:r>
      <w:r w:rsidRPr="009B3EF9">
        <w:rPr>
          <w:rFonts w:ascii="Times New Roman" w:hAnsi="Times New Roman" w:cs="Times New Roman"/>
          <w:u w:val="single"/>
        </w:rPr>
        <w:tab/>
      </w:r>
      <w:r w:rsidR="00CB7342" w:rsidRPr="009B3EF9">
        <w:rPr>
          <w:rFonts w:ascii="Times New Roman" w:hAnsi="Times New Roman" w:cs="Times New Roman"/>
          <w:u w:val="single"/>
        </w:rPr>
        <w:t>/s/</w:t>
      </w:r>
      <w:r w:rsidRPr="009B3EF9">
        <w:rPr>
          <w:rFonts w:ascii="Times New Roman" w:hAnsi="Times New Roman" w:cs="Times New Roman"/>
          <w:u w:val="single"/>
        </w:rPr>
        <w:tab/>
      </w:r>
      <w:r w:rsidRPr="009B3EF9">
        <w:rPr>
          <w:rFonts w:ascii="Times New Roman" w:hAnsi="Times New Roman" w:cs="Times New Roman"/>
          <w:u w:val="single"/>
        </w:rPr>
        <w:tab/>
      </w:r>
      <w:r w:rsidRPr="009B3EF9">
        <w:rPr>
          <w:rFonts w:ascii="Times New Roman" w:hAnsi="Times New Roman" w:cs="Times New Roman"/>
          <w:u w:val="single"/>
        </w:rPr>
        <w:tab/>
      </w:r>
      <w:r w:rsidRPr="009B3EF9">
        <w:rPr>
          <w:rFonts w:ascii="Times New Roman" w:hAnsi="Times New Roman" w:cs="Times New Roman"/>
          <w:u w:val="single"/>
        </w:rPr>
        <w:tab/>
      </w:r>
    </w:p>
    <w:p w:rsidR="001E74EB" w:rsidRPr="009B3EF9" w:rsidRDefault="001E74EB" w:rsidP="001E74EB">
      <w:pPr>
        <w:rPr>
          <w:rFonts w:ascii="Times New Roman" w:hAnsi="Times New Roman" w:cs="Times New Roman"/>
        </w:rPr>
      </w:pPr>
      <w:r w:rsidRPr="009B3EF9">
        <w:rPr>
          <w:rFonts w:ascii="Times New Roman" w:hAnsi="Times New Roman" w:cs="Times New Roman"/>
        </w:rPr>
        <w:tab/>
      </w:r>
      <w:r w:rsidRPr="009B3EF9">
        <w:rPr>
          <w:rFonts w:ascii="Times New Roman" w:hAnsi="Times New Roman" w:cs="Times New Roman"/>
        </w:rPr>
        <w:tab/>
      </w:r>
      <w:r w:rsidRPr="009B3EF9">
        <w:rPr>
          <w:rFonts w:ascii="Times New Roman" w:hAnsi="Times New Roman" w:cs="Times New Roman"/>
        </w:rPr>
        <w:tab/>
      </w:r>
      <w:r w:rsidRPr="009B3EF9">
        <w:rPr>
          <w:rFonts w:ascii="Times New Roman" w:hAnsi="Times New Roman" w:cs="Times New Roman"/>
        </w:rPr>
        <w:tab/>
      </w:r>
      <w:r w:rsidRPr="009B3EF9">
        <w:rPr>
          <w:rFonts w:ascii="Times New Roman" w:hAnsi="Times New Roman" w:cs="Times New Roman"/>
        </w:rPr>
        <w:tab/>
      </w:r>
      <w:r w:rsidRPr="009B3EF9">
        <w:rPr>
          <w:rFonts w:ascii="Times New Roman" w:hAnsi="Times New Roman" w:cs="Times New Roman"/>
        </w:rPr>
        <w:tab/>
      </w:r>
      <w:r w:rsidRPr="009B3EF9">
        <w:rPr>
          <w:rFonts w:ascii="Times New Roman" w:hAnsi="Times New Roman" w:cs="Times New Roman"/>
        </w:rPr>
        <w:tab/>
        <w:t>David A. Salapa</w:t>
      </w:r>
    </w:p>
    <w:p w:rsidR="001E74EB" w:rsidRPr="009B3EF9" w:rsidRDefault="001E74EB" w:rsidP="001E74EB">
      <w:pPr>
        <w:rPr>
          <w:rFonts w:ascii="Times New Roman" w:hAnsi="Times New Roman" w:cs="Times New Roman"/>
        </w:rPr>
      </w:pPr>
      <w:r w:rsidRPr="009B3EF9">
        <w:rPr>
          <w:rFonts w:ascii="Times New Roman" w:hAnsi="Times New Roman" w:cs="Times New Roman"/>
        </w:rPr>
        <w:tab/>
      </w:r>
      <w:r w:rsidRPr="009B3EF9">
        <w:rPr>
          <w:rFonts w:ascii="Times New Roman" w:hAnsi="Times New Roman" w:cs="Times New Roman"/>
        </w:rPr>
        <w:tab/>
      </w:r>
      <w:r w:rsidRPr="009B3EF9">
        <w:rPr>
          <w:rFonts w:ascii="Times New Roman" w:hAnsi="Times New Roman" w:cs="Times New Roman"/>
        </w:rPr>
        <w:tab/>
      </w:r>
      <w:r w:rsidRPr="009B3EF9">
        <w:rPr>
          <w:rFonts w:ascii="Times New Roman" w:hAnsi="Times New Roman" w:cs="Times New Roman"/>
        </w:rPr>
        <w:tab/>
      </w:r>
      <w:r w:rsidRPr="009B3EF9">
        <w:rPr>
          <w:rFonts w:ascii="Times New Roman" w:hAnsi="Times New Roman" w:cs="Times New Roman"/>
        </w:rPr>
        <w:tab/>
      </w:r>
      <w:r w:rsidRPr="009B3EF9">
        <w:rPr>
          <w:rFonts w:ascii="Times New Roman" w:hAnsi="Times New Roman" w:cs="Times New Roman"/>
        </w:rPr>
        <w:tab/>
      </w:r>
      <w:r w:rsidRPr="009B3EF9">
        <w:rPr>
          <w:rFonts w:ascii="Times New Roman" w:hAnsi="Times New Roman" w:cs="Times New Roman"/>
        </w:rPr>
        <w:tab/>
        <w:t>Administrative Law Judge</w:t>
      </w:r>
    </w:p>
    <w:p w:rsidR="001E74EB" w:rsidRPr="009B3EF9" w:rsidRDefault="001E74EB" w:rsidP="001E74EB">
      <w:pPr>
        <w:pStyle w:val="ListNumber"/>
        <w:numPr>
          <w:ilvl w:val="0"/>
          <w:numId w:val="0"/>
        </w:numPr>
        <w:spacing w:line="360" w:lineRule="auto"/>
        <w:jc w:val="center"/>
      </w:pPr>
    </w:p>
    <w:p w:rsidR="001E74EB" w:rsidRPr="009B3EF9" w:rsidRDefault="001E74EB" w:rsidP="001E74EB">
      <w:pPr>
        <w:pStyle w:val="ListNumber"/>
        <w:numPr>
          <w:ilvl w:val="0"/>
          <w:numId w:val="0"/>
        </w:numPr>
        <w:spacing w:line="360" w:lineRule="auto"/>
        <w:ind w:firstLine="1440"/>
        <w:jc w:val="both"/>
      </w:pPr>
    </w:p>
    <w:p w:rsidR="001E74EB" w:rsidRPr="009B3EF9" w:rsidRDefault="001E74EB" w:rsidP="001E74EB">
      <w:pPr>
        <w:pStyle w:val="ListNumber"/>
        <w:numPr>
          <w:ilvl w:val="0"/>
          <w:numId w:val="0"/>
        </w:numPr>
        <w:spacing w:line="360" w:lineRule="auto"/>
        <w:ind w:firstLine="1440"/>
        <w:jc w:val="both"/>
      </w:pPr>
    </w:p>
    <w:p w:rsidR="001E74EB" w:rsidRPr="009B3EF9" w:rsidRDefault="001E74EB" w:rsidP="001E74EB">
      <w:pPr>
        <w:pStyle w:val="ListNumber"/>
        <w:numPr>
          <w:ilvl w:val="0"/>
          <w:numId w:val="0"/>
        </w:numPr>
        <w:spacing w:line="360" w:lineRule="auto"/>
        <w:ind w:firstLine="1440"/>
        <w:jc w:val="both"/>
      </w:pPr>
    </w:p>
    <w:sectPr w:rsidR="001E74EB" w:rsidRPr="009B3EF9" w:rsidSect="00706FA4">
      <w:footerReference w:type="defaul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CBB" w:rsidRDefault="00366CBB">
      <w:pPr>
        <w:spacing w:line="20" w:lineRule="exact"/>
        <w:rPr>
          <w:sz w:val="20"/>
          <w:szCs w:val="20"/>
        </w:rPr>
      </w:pPr>
    </w:p>
  </w:endnote>
  <w:endnote w:type="continuationSeparator" w:id="0">
    <w:p w:rsidR="00366CBB" w:rsidRDefault="00366CBB">
      <w:pPr>
        <w:pStyle w:val="ParaTab1"/>
        <w:rPr>
          <w:sz w:val="20"/>
          <w:szCs w:val="20"/>
        </w:rPr>
      </w:pPr>
      <w:r>
        <w:rPr>
          <w:sz w:val="20"/>
          <w:szCs w:val="20"/>
        </w:rPr>
        <w:t xml:space="preserve"> </w:t>
      </w:r>
    </w:p>
  </w:endnote>
  <w:endnote w:type="continuationNotice" w:id="1">
    <w:p w:rsidR="00366CBB" w:rsidRDefault="00366CB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727311"/>
      <w:docPartObj>
        <w:docPartGallery w:val="Page Numbers (Bottom of Page)"/>
        <w:docPartUnique/>
      </w:docPartObj>
    </w:sdtPr>
    <w:sdtEndPr>
      <w:rPr>
        <w:rFonts w:ascii="Times New Roman" w:hAnsi="Times New Roman" w:cs="Times New Roman"/>
        <w:noProof/>
        <w:sz w:val="20"/>
        <w:szCs w:val="20"/>
      </w:rPr>
    </w:sdtEndPr>
    <w:sdtContent>
      <w:p w:rsidR="00CB7342" w:rsidRPr="00AB7DDC" w:rsidRDefault="00CB7342" w:rsidP="00AB7DDC">
        <w:pPr>
          <w:pStyle w:val="Footer"/>
          <w:jc w:val="center"/>
          <w:rPr>
            <w:rFonts w:ascii="Times New Roman" w:hAnsi="Times New Roman" w:cs="Times New Roman"/>
            <w:sz w:val="20"/>
            <w:szCs w:val="20"/>
          </w:rPr>
        </w:pPr>
        <w:r w:rsidRPr="00AB7DDC">
          <w:rPr>
            <w:rFonts w:ascii="Times New Roman" w:hAnsi="Times New Roman" w:cs="Times New Roman"/>
            <w:sz w:val="20"/>
            <w:szCs w:val="20"/>
          </w:rPr>
          <w:fldChar w:fldCharType="begin"/>
        </w:r>
        <w:r w:rsidRPr="00AB7DDC">
          <w:rPr>
            <w:rFonts w:ascii="Times New Roman" w:hAnsi="Times New Roman" w:cs="Times New Roman"/>
            <w:sz w:val="20"/>
            <w:szCs w:val="20"/>
          </w:rPr>
          <w:instrText xml:space="preserve"> PAGE   \* MERGEFORMAT </w:instrText>
        </w:r>
        <w:r w:rsidRPr="00AB7DDC">
          <w:rPr>
            <w:rFonts w:ascii="Times New Roman" w:hAnsi="Times New Roman" w:cs="Times New Roman"/>
            <w:sz w:val="20"/>
            <w:szCs w:val="20"/>
          </w:rPr>
          <w:fldChar w:fldCharType="separate"/>
        </w:r>
        <w:r w:rsidR="00E62C64">
          <w:rPr>
            <w:rFonts w:ascii="Times New Roman" w:hAnsi="Times New Roman" w:cs="Times New Roman"/>
            <w:noProof/>
            <w:sz w:val="20"/>
            <w:szCs w:val="20"/>
          </w:rPr>
          <w:t>10</w:t>
        </w:r>
        <w:r w:rsidRPr="00AB7DD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9A3" w:rsidRPr="001D6010" w:rsidRDefault="00BB09A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CBB" w:rsidRDefault="00366CBB">
      <w:pPr>
        <w:pStyle w:val="ParaTab1"/>
        <w:rPr>
          <w:sz w:val="20"/>
          <w:szCs w:val="20"/>
        </w:rPr>
      </w:pPr>
      <w:r>
        <w:rPr>
          <w:sz w:val="20"/>
          <w:szCs w:val="20"/>
        </w:rPr>
        <w:separator/>
      </w:r>
    </w:p>
  </w:footnote>
  <w:footnote w:type="continuationSeparator" w:id="0">
    <w:p w:rsidR="00366CBB" w:rsidRDefault="00366CBB">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0163238"/>
    <w:lvl w:ilvl="0">
      <w:start w:val="1"/>
      <w:numFmt w:val="decimal"/>
      <w:pStyle w:val="ListNumber"/>
      <w:lvlText w:val="%1."/>
      <w:lvlJc w:val="left"/>
      <w:pPr>
        <w:tabs>
          <w:tab w:val="num" w:pos="360"/>
        </w:tabs>
        <w:ind w:left="360" w:hanging="360"/>
      </w:pPr>
    </w:lvl>
  </w:abstractNum>
  <w:abstractNum w:abstractNumId="1">
    <w:nsid w:val="052D4E6D"/>
    <w:multiLevelType w:val="hybridMultilevel"/>
    <w:tmpl w:val="04B61C1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41506"/>
    <w:multiLevelType w:val="hybridMultilevel"/>
    <w:tmpl w:val="C38EBAC2"/>
    <w:lvl w:ilvl="0" w:tplc="0409000F">
      <w:start w:val="1"/>
      <w:numFmt w:val="decimal"/>
      <w:lvlText w:val="%1."/>
      <w:lvlJc w:val="left"/>
      <w:pPr>
        <w:ind w:left="180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4">
    <w:nsid w:val="2BB620D8"/>
    <w:multiLevelType w:val="hybridMultilevel"/>
    <w:tmpl w:val="3BD2342E"/>
    <w:lvl w:ilvl="0" w:tplc="77A21BD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1440"/>
        </w:tabs>
        <w:ind w:left="72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leading2L3"/>
      <w:lvlText w:val="%3."/>
      <w:lvlJc w:val="left"/>
      <w:pPr>
        <w:tabs>
          <w:tab w:val="num" w:pos="2160"/>
        </w:tabs>
        <w:ind w:left="144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4B6B03D4"/>
    <w:multiLevelType w:val="multilevel"/>
    <w:tmpl w:val="A1861910"/>
    <w:name w:val="zzmpOutline||Outline|2|3|1|1|2|41||1|4|0||1|4|0||1|4|1||1|4|0||1|4|9||1|4|0||1|4|0||1|4|0||"/>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z w:val="24"/>
        <w:u w:val="none"/>
      </w:rPr>
    </w:lvl>
    <w:lvl w:ilvl="1">
      <w:start w:val="13"/>
      <w:numFmt w:val="decimal"/>
      <w:lvlRestart w:val="0"/>
      <w:pStyle w:val="OutlineL2"/>
      <w:lvlText w:val="%2."/>
      <w:lvlJc w:val="left"/>
      <w:pPr>
        <w:tabs>
          <w:tab w:val="num" w:pos="1440"/>
        </w:tabs>
        <w:ind w:left="0" w:firstLine="720"/>
      </w:pPr>
      <w:rPr>
        <w:rFonts w:ascii="Times New Roman" w:hAnsi="Times New Roman" w:cs="Times New Roman" w:hint="default"/>
        <w:b w:val="0"/>
        <w:i w:val="0"/>
        <w:caps w:val="0"/>
        <w:sz w:val="24"/>
        <w:u w:val="none"/>
      </w:rPr>
    </w:lvl>
    <w:lvl w:ilvl="2">
      <w:start w:val="1"/>
      <w:numFmt w:val="lowerLetter"/>
      <w:pStyle w:val="OutlineL3"/>
      <w:lvlText w:val="%3."/>
      <w:lvlJc w:val="left"/>
      <w:pPr>
        <w:tabs>
          <w:tab w:val="num" w:pos="2160"/>
        </w:tabs>
        <w:ind w:left="0" w:firstLine="1440"/>
      </w:pPr>
      <w:rPr>
        <w:rFonts w:ascii="Times New Roman" w:hAnsi="Times New Roman" w:cs="Times New Roman" w:hint="default"/>
        <w:b w:val="0"/>
        <w:i w:val="0"/>
        <w:caps w:val="0"/>
        <w:sz w:val="24"/>
        <w:u w:val="none"/>
      </w:rPr>
    </w:lvl>
    <w:lvl w:ilvl="3">
      <w:start w:val="1"/>
      <w:numFmt w:val="decimal"/>
      <w:lvlRestart w:val="0"/>
      <w:pStyle w:val="OutlineL4"/>
      <w:lvlText w:val="(%4)"/>
      <w:lvlJc w:val="left"/>
      <w:pPr>
        <w:tabs>
          <w:tab w:val="num" w:pos="2880"/>
        </w:tabs>
        <w:ind w:left="0" w:firstLine="2160"/>
      </w:pPr>
      <w:rPr>
        <w:rFonts w:ascii="Times New Roman" w:hAnsi="Times New Roman" w:cs="Times New Roman" w:hint="default"/>
        <w:b w:val="0"/>
        <w:i w:val="0"/>
        <w:caps w:val="0"/>
        <w:sz w:val="24"/>
        <w:u w:val="none"/>
      </w:rPr>
    </w:lvl>
    <w:lvl w:ilvl="4">
      <w:start w:val="1"/>
      <w:numFmt w:val="lowerLetter"/>
      <w:pStyle w:val="OutlineL5"/>
      <w:lvlText w:val="(%5)"/>
      <w:lvlJc w:val="left"/>
      <w:pPr>
        <w:tabs>
          <w:tab w:val="num" w:pos="3600"/>
        </w:tabs>
        <w:ind w:left="3600" w:hanging="720"/>
      </w:pPr>
      <w:rPr>
        <w:rFonts w:ascii="Times New Roman" w:hAnsi="Times New Roman" w:cs="Times New Roman" w:hint="default"/>
        <w:b w:val="0"/>
        <w:i w:val="0"/>
        <w:caps w:val="0"/>
        <w:sz w:val="24"/>
        <w:u w:val="none"/>
      </w:rPr>
    </w:lvl>
    <w:lvl w:ilvl="5">
      <w:start w:val="1"/>
      <w:numFmt w:val="upperLetter"/>
      <w:lvlRestart w:val="0"/>
      <w:pStyle w:val="OutlineL6"/>
      <w:lvlText w:val="APPENDIX %6"/>
      <w:lvlJc w:val="left"/>
      <w:pPr>
        <w:tabs>
          <w:tab w:val="num" w:pos="2880"/>
        </w:tabs>
        <w:ind w:left="0" w:firstLine="0"/>
      </w:pPr>
      <w:rPr>
        <w:rFonts w:ascii="Times New Roman" w:hAnsi="Times New Roman" w:cs="Times New Roman" w:hint="default"/>
        <w:b/>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z w:val="24"/>
        <w:u w:val="none"/>
      </w:rPr>
    </w:lvl>
  </w:abstractNum>
  <w:abstractNum w:abstractNumId="9">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0">
    <w:nsid w:val="71BD4291"/>
    <w:multiLevelType w:val="hybridMultilevel"/>
    <w:tmpl w:val="F6E65F1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E662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5"/>
  </w:num>
  <w:num w:numId="4">
    <w:abstractNumId w:val="6"/>
  </w:num>
  <w:num w:numId="5">
    <w:abstractNumId w:val="4"/>
  </w:num>
  <w:num w:numId="6">
    <w:abstractNumId w:val="11"/>
  </w:num>
  <w:num w:numId="7">
    <w:abstractNumId w:val="3"/>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8">
    <w:abstractNumId w:val="2"/>
  </w:num>
  <w:num w:numId="9">
    <w:abstractNumId w:val="1"/>
  </w:num>
  <w:num w:numId="10">
    <w:abstractNumId w:val="1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5217"/>
    <w:rsid w:val="00013530"/>
    <w:rsid w:val="000200FC"/>
    <w:rsid w:val="00021748"/>
    <w:rsid w:val="0002580A"/>
    <w:rsid w:val="000268DB"/>
    <w:rsid w:val="0003072C"/>
    <w:rsid w:val="00030C21"/>
    <w:rsid w:val="00032401"/>
    <w:rsid w:val="00034FD9"/>
    <w:rsid w:val="0003550A"/>
    <w:rsid w:val="0003733C"/>
    <w:rsid w:val="00042F38"/>
    <w:rsid w:val="00043080"/>
    <w:rsid w:val="00046210"/>
    <w:rsid w:val="000464BE"/>
    <w:rsid w:val="0004672F"/>
    <w:rsid w:val="0005019C"/>
    <w:rsid w:val="00052F82"/>
    <w:rsid w:val="000552C0"/>
    <w:rsid w:val="00055DDB"/>
    <w:rsid w:val="000627A1"/>
    <w:rsid w:val="0006386B"/>
    <w:rsid w:val="00066538"/>
    <w:rsid w:val="0006666B"/>
    <w:rsid w:val="00066AF1"/>
    <w:rsid w:val="000700BF"/>
    <w:rsid w:val="00071714"/>
    <w:rsid w:val="00071C51"/>
    <w:rsid w:val="00073D0F"/>
    <w:rsid w:val="0007411C"/>
    <w:rsid w:val="00074FDA"/>
    <w:rsid w:val="00076587"/>
    <w:rsid w:val="00083326"/>
    <w:rsid w:val="00084ACF"/>
    <w:rsid w:val="00090613"/>
    <w:rsid w:val="00094F85"/>
    <w:rsid w:val="000A28B7"/>
    <w:rsid w:val="000A36EE"/>
    <w:rsid w:val="000A4894"/>
    <w:rsid w:val="000A7D36"/>
    <w:rsid w:val="000B2B66"/>
    <w:rsid w:val="000B3C86"/>
    <w:rsid w:val="000C1849"/>
    <w:rsid w:val="000C3688"/>
    <w:rsid w:val="000C3A7F"/>
    <w:rsid w:val="000C3B06"/>
    <w:rsid w:val="000C4896"/>
    <w:rsid w:val="000C696A"/>
    <w:rsid w:val="000C6A1D"/>
    <w:rsid w:val="000C73EC"/>
    <w:rsid w:val="000D0FDF"/>
    <w:rsid w:val="000D25DB"/>
    <w:rsid w:val="000D2FA3"/>
    <w:rsid w:val="000D3F30"/>
    <w:rsid w:val="000D4964"/>
    <w:rsid w:val="000D78E6"/>
    <w:rsid w:val="000E1C79"/>
    <w:rsid w:val="000E4193"/>
    <w:rsid w:val="000E49F4"/>
    <w:rsid w:val="000E725C"/>
    <w:rsid w:val="000E7B8F"/>
    <w:rsid w:val="000F0BAC"/>
    <w:rsid w:val="000F10E5"/>
    <w:rsid w:val="000F13B8"/>
    <w:rsid w:val="000F3058"/>
    <w:rsid w:val="000F31C9"/>
    <w:rsid w:val="000F6A23"/>
    <w:rsid w:val="001011E2"/>
    <w:rsid w:val="001025DE"/>
    <w:rsid w:val="001123AC"/>
    <w:rsid w:val="00115CB4"/>
    <w:rsid w:val="00117FE0"/>
    <w:rsid w:val="00121128"/>
    <w:rsid w:val="001243D1"/>
    <w:rsid w:val="0012751F"/>
    <w:rsid w:val="0013007B"/>
    <w:rsid w:val="0013176F"/>
    <w:rsid w:val="00131B87"/>
    <w:rsid w:val="001343FA"/>
    <w:rsid w:val="0013754E"/>
    <w:rsid w:val="00145617"/>
    <w:rsid w:val="00145B61"/>
    <w:rsid w:val="00150066"/>
    <w:rsid w:val="0015014D"/>
    <w:rsid w:val="00150729"/>
    <w:rsid w:val="00150CD8"/>
    <w:rsid w:val="001516BA"/>
    <w:rsid w:val="001545A6"/>
    <w:rsid w:val="00155BE7"/>
    <w:rsid w:val="00156A71"/>
    <w:rsid w:val="00160258"/>
    <w:rsid w:val="001630BF"/>
    <w:rsid w:val="0016689F"/>
    <w:rsid w:val="00170E42"/>
    <w:rsid w:val="00171435"/>
    <w:rsid w:val="00171F84"/>
    <w:rsid w:val="00172008"/>
    <w:rsid w:val="00174549"/>
    <w:rsid w:val="001760EE"/>
    <w:rsid w:val="00176B86"/>
    <w:rsid w:val="00177947"/>
    <w:rsid w:val="00180C65"/>
    <w:rsid w:val="00184184"/>
    <w:rsid w:val="00186A82"/>
    <w:rsid w:val="00187DD1"/>
    <w:rsid w:val="001913E2"/>
    <w:rsid w:val="00192F0F"/>
    <w:rsid w:val="00193F05"/>
    <w:rsid w:val="001948E2"/>
    <w:rsid w:val="00195489"/>
    <w:rsid w:val="00196175"/>
    <w:rsid w:val="001A3CF5"/>
    <w:rsid w:val="001A3D82"/>
    <w:rsid w:val="001A485D"/>
    <w:rsid w:val="001A526C"/>
    <w:rsid w:val="001B0B05"/>
    <w:rsid w:val="001B46C2"/>
    <w:rsid w:val="001C2E76"/>
    <w:rsid w:val="001C3E17"/>
    <w:rsid w:val="001C58BE"/>
    <w:rsid w:val="001C69CA"/>
    <w:rsid w:val="001C6ED2"/>
    <w:rsid w:val="001D0837"/>
    <w:rsid w:val="001D093B"/>
    <w:rsid w:val="001D1AD1"/>
    <w:rsid w:val="001D26E5"/>
    <w:rsid w:val="001D2E1B"/>
    <w:rsid w:val="001D5559"/>
    <w:rsid w:val="001D6010"/>
    <w:rsid w:val="001D7B3E"/>
    <w:rsid w:val="001D7C29"/>
    <w:rsid w:val="001E00BF"/>
    <w:rsid w:val="001E217C"/>
    <w:rsid w:val="001E4C2E"/>
    <w:rsid w:val="001E4FE1"/>
    <w:rsid w:val="001E74EB"/>
    <w:rsid w:val="001E77FE"/>
    <w:rsid w:val="001F11E8"/>
    <w:rsid w:val="001F565C"/>
    <w:rsid w:val="001F569B"/>
    <w:rsid w:val="001F6979"/>
    <w:rsid w:val="00202EC7"/>
    <w:rsid w:val="002050A8"/>
    <w:rsid w:val="00213880"/>
    <w:rsid w:val="00214AE3"/>
    <w:rsid w:val="0022061E"/>
    <w:rsid w:val="00221A44"/>
    <w:rsid w:val="002255E5"/>
    <w:rsid w:val="002270A3"/>
    <w:rsid w:val="00234024"/>
    <w:rsid w:val="0023722B"/>
    <w:rsid w:val="00241E39"/>
    <w:rsid w:val="002427DC"/>
    <w:rsid w:val="00242D10"/>
    <w:rsid w:val="00244D8B"/>
    <w:rsid w:val="00245C71"/>
    <w:rsid w:val="00246626"/>
    <w:rsid w:val="002474C4"/>
    <w:rsid w:val="00252E8E"/>
    <w:rsid w:val="00253DAA"/>
    <w:rsid w:val="00254AA4"/>
    <w:rsid w:val="00256BC7"/>
    <w:rsid w:val="00257B87"/>
    <w:rsid w:val="002624B6"/>
    <w:rsid w:val="00262976"/>
    <w:rsid w:val="002640B6"/>
    <w:rsid w:val="002648E9"/>
    <w:rsid w:val="002669C6"/>
    <w:rsid w:val="00270B46"/>
    <w:rsid w:val="0027134C"/>
    <w:rsid w:val="00272C05"/>
    <w:rsid w:val="00273E34"/>
    <w:rsid w:val="0027423F"/>
    <w:rsid w:val="00280F29"/>
    <w:rsid w:val="00281054"/>
    <w:rsid w:val="00281D25"/>
    <w:rsid w:val="0028258E"/>
    <w:rsid w:val="002842AC"/>
    <w:rsid w:val="0028579C"/>
    <w:rsid w:val="00286B74"/>
    <w:rsid w:val="00291787"/>
    <w:rsid w:val="002929A0"/>
    <w:rsid w:val="002931C8"/>
    <w:rsid w:val="00294BD1"/>
    <w:rsid w:val="00296137"/>
    <w:rsid w:val="00297751"/>
    <w:rsid w:val="002A1E33"/>
    <w:rsid w:val="002A234A"/>
    <w:rsid w:val="002A4E52"/>
    <w:rsid w:val="002B5E52"/>
    <w:rsid w:val="002B618E"/>
    <w:rsid w:val="002B78D7"/>
    <w:rsid w:val="002C08E2"/>
    <w:rsid w:val="002C0A16"/>
    <w:rsid w:val="002C23D1"/>
    <w:rsid w:val="002C28BB"/>
    <w:rsid w:val="002C34D2"/>
    <w:rsid w:val="002C585B"/>
    <w:rsid w:val="002C5ED7"/>
    <w:rsid w:val="002C7F06"/>
    <w:rsid w:val="002D0730"/>
    <w:rsid w:val="002D14F7"/>
    <w:rsid w:val="002D2A1B"/>
    <w:rsid w:val="002D4B8D"/>
    <w:rsid w:val="002D4D90"/>
    <w:rsid w:val="002D6067"/>
    <w:rsid w:val="002D6E51"/>
    <w:rsid w:val="002E1EC8"/>
    <w:rsid w:val="002E2236"/>
    <w:rsid w:val="002E259A"/>
    <w:rsid w:val="002E35A1"/>
    <w:rsid w:val="002E4B22"/>
    <w:rsid w:val="002E6AF7"/>
    <w:rsid w:val="002E7778"/>
    <w:rsid w:val="002E7C48"/>
    <w:rsid w:val="002F1C74"/>
    <w:rsid w:val="002F43BF"/>
    <w:rsid w:val="002F5CD5"/>
    <w:rsid w:val="002F720B"/>
    <w:rsid w:val="00300CE8"/>
    <w:rsid w:val="003031F0"/>
    <w:rsid w:val="003038A9"/>
    <w:rsid w:val="00303F6C"/>
    <w:rsid w:val="00304B12"/>
    <w:rsid w:val="00305550"/>
    <w:rsid w:val="00307D37"/>
    <w:rsid w:val="003108FE"/>
    <w:rsid w:val="00310CE5"/>
    <w:rsid w:val="00311A88"/>
    <w:rsid w:val="0031234A"/>
    <w:rsid w:val="0031442A"/>
    <w:rsid w:val="00314DF5"/>
    <w:rsid w:val="0031518E"/>
    <w:rsid w:val="0031526E"/>
    <w:rsid w:val="00317FA2"/>
    <w:rsid w:val="0032094F"/>
    <w:rsid w:val="003240D7"/>
    <w:rsid w:val="003279C0"/>
    <w:rsid w:val="00327F22"/>
    <w:rsid w:val="003301DA"/>
    <w:rsid w:val="00333B36"/>
    <w:rsid w:val="00337CDB"/>
    <w:rsid w:val="00337CF1"/>
    <w:rsid w:val="003440CB"/>
    <w:rsid w:val="00344BB9"/>
    <w:rsid w:val="00345F1C"/>
    <w:rsid w:val="00346CB5"/>
    <w:rsid w:val="0034744D"/>
    <w:rsid w:val="0035092C"/>
    <w:rsid w:val="003512E5"/>
    <w:rsid w:val="003535E3"/>
    <w:rsid w:val="00355FE9"/>
    <w:rsid w:val="003616DE"/>
    <w:rsid w:val="00362634"/>
    <w:rsid w:val="00362B96"/>
    <w:rsid w:val="00362FFE"/>
    <w:rsid w:val="003631E5"/>
    <w:rsid w:val="00363273"/>
    <w:rsid w:val="00366CBB"/>
    <w:rsid w:val="00371787"/>
    <w:rsid w:val="00372D01"/>
    <w:rsid w:val="00373A2A"/>
    <w:rsid w:val="00373D26"/>
    <w:rsid w:val="00375EFC"/>
    <w:rsid w:val="00376195"/>
    <w:rsid w:val="00376D13"/>
    <w:rsid w:val="00377007"/>
    <w:rsid w:val="003778D5"/>
    <w:rsid w:val="00377974"/>
    <w:rsid w:val="00377F32"/>
    <w:rsid w:val="0038029E"/>
    <w:rsid w:val="003808F5"/>
    <w:rsid w:val="00381B39"/>
    <w:rsid w:val="00381CEA"/>
    <w:rsid w:val="00382457"/>
    <w:rsid w:val="003830B6"/>
    <w:rsid w:val="00384222"/>
    <w:rsid w:val="003869A7"/>
    <w:rsid w:val="00390D2C"/>
    <w:rsid w:val="00391B80"/>
    <w:rsid w:val="003921FB"/>
    <w:rsid w:val="003A28F8"/>
    <w:rsid w:val="003A34DB"/>
    <w:rsid w:val="003A3BD7"/>
    <w:rsid w:val="003A65C4"/>
    <w:rsid w:val="003A7B03"/>
    <w:rsid w:val="003B03F5"/>
    <w:rsid w:val="003B0872"/>
    <w:rsid w:val="003B16DC"/>
    <w:rsid w:val="003B223D"/>
    <w:rsid w:val="003B3E81"/>
    <w:rsid w:val="003B429E"/>
    <w:rsid w:val="003B4D2C"/>
    <w:rsid w:val="003C18AE"/>
    <w:rsid w:val="003C2941"/>
    <w:rsid w:val="003C2ED9"/>
    <w:rsid w:val="003C5596"/>
    <w:rsid w:val="003C5897"/>
    <w:rsid w:val="003C6810"/>
    <w:rsid w:val="003C6EF3"/>
    <w:rsid w:val="003D38B8"/>
    <w:rsid w:val="003D408B"/>
    <w:rsid w:val="003D525E"/>
    <w:rsid w:val="003D5402"/>
    <w:rsid w:val="003D6062"/>
    <w:rsid w:val="003D7A4E"/>
    <w:rsid w:val="003E01A1"/>
    <w:rsid w:val="003E4032"/>
    <w:rsid w:val="003E4B29"/>
    <w:rsid w:val="003E4C31"/>
    <w:rsid w:val="003F319F"/>
    <w:rsid w:val="003F35CF"/>
    <w:rsid w:val="003F3701"/>
    <w:rsid w:val="003F4903"/>
    <w:rsid w:val="003F5E4D"/>
    <w:rsid w:val="003F63F6"/>
    <w:rsid w:val="00403EE1"/>
    <w:rsid w:val="00403F8A"/>
    <w:rsid w:val="0041397D"/>
    <w:rsid w:val="00414EB5"/>
    <w:rsid w:val="00421226"/>
    <w:rsid w:val="00422F13"/>
    <w:rsid w:val="004245ED"/>
    <w:rsid w:val="00424D04"/>
    <w:rsid w:val="00436AD3"/>
    <w:rsid w:val="00440B5A"/>
    <w:rsid w:val="00441785"/>
    <w:rsid w:val="00444BA8"/>
    <w:rsid w:val="00446500"/>
    <w:rsid w:val="00446D78"/>
    <w:rsid w:val="004470C9"/>
    <w:rsid w:val="00447547"/>
    <w:rsid w:val="00450F51"/>
    <w:rsid w:val="0045366C"/>
    <w:rsid w:val="0045489C"/>
    <w:rsid w:val="00455F2B"/>
    <w:rsid w:val="00457488"/>
    <w:rsid w:val="00460B5E"/>
    <w:rsid w:val="00460D74"/>
    <w:rsid w:val="004614D8"/>
    <w:rsid w:val="00461B36"/>
    <w:rsid w:val="00461E60"/>
    <w:rsid w:val="0046268D"/>
    <w:rsid w:val="00462AA2"/>
    <w:rsid w:val="00462BE0"/>
    <w:rsid w:val="00464617"/>
    <w:rsid w:val="00465705"/>
    <w:rsid w:val="00465929"/>
    <w:rsid w:val="00471358"/>
    <w:rsid w:val="00471538"/>
    <w:rsid w:val="004735FD"/>
    <w:rsid w:val="004749EC"/>
    <w:rsid w:val="00474F21"/>
    <w:rsid w:val="00477373"/>
    <w:rsid w:val="00481BAE"/>
    <w:rsid w:val="00483815"/>
    <w:rsid w:val="00484993"/>
    <w:rsid w:val="00490407"/>
    <w:rsid w:val="0049079D"/>
    <w:rsid w:val="004938FD"/>
    <w:rsid w:val="004941CC"/>
    <w:rsid w:val="004946F6"/>
    <w:rsid w:val="0049474A"/>
    <w:rsid w:val="004955E6"/>
    <w:rsid w:val="004A151A"/>
    <w:rsid w:val="004A201E"/>
    <w:rsid w:val="004A334E"/>
    <w:rsid w:val="004A7AE6"/>
    <w:rsid w:val="004B0990"/>
    <w:rsid w:val="004B20AC"/>
    <w:rsid w:val="004B3362"/>
    <w:rsid w:val="004B39F8"/>
    <w:rsid w:val="004B711E"/>
    <w:rsid w:val="004C1FF8"/>
    <w:rsid w:val="004C47AE"/>
    <w:rsid w:val="004D0837"/>
    <w:rsid w:val="004D20A2"/>
    <w:rsid w:val="004D3ADF"/>
    <w:rsid w:val="004D5DB9"/>
    <w:rsid w:val="004D772F"/>
    <w:rsid w:val="004E2780"/>
    <w:rsid w:val="004E6DA9"/>
    <w:rsid w:val="004E7962"/>
    <w:rsid w:val="004F0DA5"/>
    <w:rsid w:val="004F2D33"/>
    <w:rsid w:val="004F4257"/>
    <w:rsid w:val="004F5B60"/>
    <w:rsid w:val="004F5F3B"/>
    <w:rsid w:val="00502469"/>
    <w:rsid w:val="00504410"/>
    <w:rsid w:val="00504EC3"/>
    <w:rsid w:val="00506E0E"/>
    <w:rsid w:val="0050700D"/>
    <w:rsid w:val="005114E8"/>
    <w:rsid w:val="005118E6"/>
    <w:rsid w:val="00511F84"/>
    <w:rsid w:val="00512C38"/>
    <w:rsid w:val="00513E70"/>
    <w:rsid w:val="00514274"/>
    <w:rsid w:val="005146B8"/>
    <w:rsid w:val="005153F6"/>
    <w:rsid w:val="005158EF"/>
    <w:rsid w:val="00515EB9"/>
    <w:rsid w:val="00520045"/>
    <w:rsid w:val="00522445"/>
    <w:rsid w:val="00522A9E"/>
    <w:rsid w:val="00523EBB"/>
    <w:rsid w:val="00526172"/>
    <w:rsid w:val="00526761"/>
    <w:rsid w:val="005270C9"/>
    <w:rsid w:val="00532A49"/>
    <w:rsid w:val="00532F85"/>
    <w:rsid w:val="00533359"/>
    <w:rsid w:val="00534201"/>
    <w:rsid w:val="00535387"/>
    <w:rsid w:val="00535422"/>
    <w:rsid w:val="0054109E"/>
    <w:rsid w:val="005416BA"/>
    <w:rsid w:val="00544C76"/>
    <w:rsid w:val="00545BBD"/>
    <w:rsid w:val="0054748C"/>
    <w:rsid w:val="0055022D"/>
    <w:rsid w:val="00551376"/>
    <w:rsid w:val="00552CFE"/>
    <w:rsid w:val="00553599"/>
    <w:rsid w:val="00553E3B"/>
    <w:rsid w:val="0055421B"/>
    <w:rsid w:val="00554503"/>
    <w:rsid w:val="0056006D"/>
    <w:rsid w:val="00560233"/>
    <w:rsid w:val="00561FE3"/>
    <w:rsid w:val="00562B89"/>
    <w:rsid w:val="005647C3"/>
    <w:rsid w:val="005670AC"/>
    <w:rsid w:val="00567106"/>
    <w:rsid w:val="005719D5"/>
    <w:rsid w:val="005732F8"/>
    <w:rsid w:val="00573692"/>
    <w:rsid w:val="00573B26"/>
    <w:rsid w:val="005749D4"/>
    <w:rsid w:val="00577DDB"/>
    <w:rsid w:val="0058419B"/>
    <w:rsid w:val="00586C74"/>
    <w:rsid w:val="00593F59"/>
    <w:rsid w:val="0059580E"/>
    <w:rsid w:val="005A27D0"/>
    <w:rsid w:val="005A398A"/>
    <w:rsid w:val="005A3D5F"/>
    <w:rsid w:val="005A6C09"/>
    <w:rsid w:val="005B29B8"/>
    <w:rsid w:val="005B2F60"/>
    <w:rsid w:val="005B39EE"/>
    <w:rsid w:val="005B4F80"/>
    <w:rsid w:val="005B791A"/>
    <w:rsid w:val="005C4537"/>
    <w:rsid w:val="005C4709"/>
    <w:rsid w:val="005C59CB"/>
    <w:rsid w:val="005C73BA"/>
    <w:rsid w:val="005D2A74"/>
    <w:rsid w:val="005D5A9F"/>
    <w:rsid w:val="005D66D5"/>
    <w:rsid w:val="005D77D1"/>
    <w:rsid w:val="005E2ED7"/>
    <w:rsid w:val="005E43A5"/>
    <w:rsid w:val="005E4B0B"/>
    <w:rsid w:val="005E5B8A"/>
    <w:rsid w:val="005F1C68"/>
    <w:rsid w:val="005F645A"/>
    <w:rsid w:val="005F69F5"/>
    <w:rsid w:val="005F706C"/>
    <w:rsid w:val="005F7C94"/>
    <w:rsid w:val="005F7F10"/>
    <w:rsid w:val="00601CD0"/>
    <w:rsid w:val="00602BA7"/>
    <w:rsid w:val="00604212"/>
    <w:rsid w:val="0060450B"/>
    <w:rsid w:val="00604DF2"/>
    <w:rsid w:val="006062D6"/>
    <w:rsid w:val="006078DF"/>
    <w:rsid w:val="0060791B"/>
    <w:rsid w:val="00611DAB"/>
    <w:rsid w:val="00614BA9"/>
    <w:rsid w:val="00615756"/>
    <w:rsid w:val="00617F4A"/>
    <w:rsid w:val="0062091A"/>
    <w:rsid w:val="0063148D"/>
    <w:rsid w:val="006324BE"/>
    <w:rsid w:val="00633DC0"/>
    <w:rsid w:val="006349C0"/>
    <w:rsid w:val="00635D8B"/>
    <w:rsid w:val="00636D91"/>
    <w:rsid w:val="00641777"/>
    <w:rsid w:val="006479D7"/>
    <w:rsid w:val="00651FB7"/>
    <w:rsid w:val="006528C8"/>
    <w:rsid w:val="00654186"/>
    <w:rsid w:val="0065490E"/>
    <w:rsid w:val="006557AC"/>
    <w:rsid w:val="00655999"/>
    <w:rsid w:val="006573C5"/>
    <w:rsid w:val="006608FD"/>
    <w:rsid w:val="00661998"/>
    <w:rsid w:val="0066223E"/>
    <w:rsid w:val="00662259"/>
    <w:rsid w:val="0066241C"/>
    <w:rsid w:val="00662491"/>
    <w:rsid w:val="00663566"/>
    <w:rsid w:val="00664278"/>
    <w:rsid w:val="00670B11"/>
    <w:rsid w:val="006717D0"/>
    <w:rsid w:val="006764BC"/>
    <w:rsid w:val="0067658B"/>
    <w:rsid w:val="006807F4"/>
    <w:rsid w:val="00681DAD"/>
    <w:rsid w:val="00682E80"/>
    <w:rsid w:val="00682EE5"/>
    <w:rsid w:val="00684153"/>
    <w:rsid w:val="00686575"/>
    <w:rsid w:val="0069071C"/>
    <w:rsid w:val="00690D65"/>
    <w:rsid w:val="00690EDC"/>
    <w:rsid w:val="006A184F"/>
    <w:rsid w:val="006A29FF"/>
    <w:rsid w:val="006A4467"/>
    <w:rsid w:val="006A4FFB"/>
    <w:rsid w:val="006A6645"/>
    <w:rsid w:val="006A7C84"/>
    <w:rsid w:val="006B0E7C"/>
    <w:rsid w:val="006B1233"/>
    <w:rsid w:val="006B161B"/>
    <w:rsid w:val="006C1E38"/>
    <w:rsid w:val="006C2669"/>
    <w:rsid w:val="006C3BE4"/>
    <w:rsid w:val="006C5054"/>
    <w:rsid w:val="006D1116"/>
    <w:rsid w:val="006D1582"/>
    <w:rsid w:val="006D5683"/>
    <w:rsid w:val="006E0A31"/>
    <w:rsid w:val="006E1178"/>
    <w:rsid w:val="006E2687"/>
    <w:rsid w:val="006E5544"/>
    <w:rsid w:val="006E5589"/>
    <w:rsid w:val="006E593B"/>
    <w:rsid w:val="006E721C"/>
    <w:rsid w:val="006F244B"/>
    <w:rsid w:val="006F2E0F"/>
    <w:rsid w:val="006F5FF3"/>
    <w:rsid w:val="006F781F"/>
    <w:rsid w:val="00700544"/>
    <w:rsid w:val="0070591F"/>
    <w:rsid w:val="00706922"/>
    <w:rsid w:val="00706FA4"/>
    <w:rsid w:val="00707C58"/>
    <w:rsid w:val="00710D70"/>
    <w:rsid w:val="00711FB7"/>
    <w:rsid w:val="0071467B"/>
    <w:rsid w:val="00715164"/>
    <w:rsid w:val="00717DD4"/>
    <w:rsid w:val="00722965"/>
    <w:rsid w:val="00722E51"/>
    <w:rsid w:val="0072467B"/>
    <w:rsid w:val="00724F24"/>
    <w:rsid w:val="00725BA8"/>
    <w:rsid w:val="0072728C"/>
    <w:rsid w:val="0073214A"/>
    <w:rsid w:val="00733C2E"/>
    <w:rsid w:val="00734B22"/>
    <w:rsid w:val="00735604"/>
    <w:rsid w:val="00737B17"/>
    <w:rsid w:val="00737CCF"/>
    <w:rsid w:val="00742E76"/>
    <w:rsid w:val="007515E8"/>
    <w:rsid w:val="007546FC"/>
    <w:rsid w:val="00754897"/>
    <w:rsid w:val="0075658E"/>
    <w:rsid w:val="00756AE0"/>
    <w:rsid w:val="00756BB4"/>
    <w:rsid w:val="00756D04"/>
    <w:rsid w:val="00760E7C"/>
    <w:rsid w:val="0076114E"/>
    <w:rsid w:val="00763B13"/>
    <w:rsid w:val="00765D4F"/>
    <w:rsid w:val="007667C0"/>
    <w:rsid w:val="00772002"/>
    <w:rsid w:val="007720BD"/>
    <w:rsid w:val="007731F5"/>
    <w:rsid w:val="00774774"/>
    <w:rsid w:val="00777ACA"/>
    <w:rsid w:val="007810D0"/>
    <w:rsid w:val="007832D4"/>
    <w:rsid w:val="00785E21"/>
    <w:rsid w:val="007879BD"/>
    <w:rsid w:val="00790265"/>
    <w:rsid w:val="00791A6B"/>
    <w:rsid w:val="0079253C"/>
    <w:rsid w:val="0079257C"/>
    <w:rsid w:val="00792F0E"/>
    <w:rsid w:val="007A0E86"/>
    <w:rsid w:val="007A12E2"/>
    <w:rsid w:val="007A17DC"/>
    <w:rsid w:val="007A2B0A"/>
    <w:rsid w:val="007A4578"/>
    <w:rsid w:val="007A5877"/>
    <w:rsid w:val="007A7E89"/>
    <w:rsid w:val="007B1B7B"/>
    <w:rsid w:val="007B5973"/>
    <w:rsid w:val="007B6BB1"/>
    <w:rsid w:val="007C166F"/>
    <w:rsid w:val="007C3CB4"/>
    <w:rsid w:val="007C3EE0"/>
    <w:rsid w:val="007C44B8"/>
    <w:rsid w:val="007C6B7B"/>
    <w:rsid w:val="007D0C0D"/>
    <w:rsid w:val="007D47BE"/>
    <w:rsid w:val="007E000D"/>
    <w:rsid w:val="007E24FC"/>
    <w:rsid w:val="007E43FD"/>
    <w:rsid w:val="007E46B9"/>
    <w:rsid w:val="007E7052"/>
    <w:rsid w:val="007E76B4"/>
    <w:rsid w:val="007F576B"/>
    <w:rsid w:val="007F5B4F"/>
    <w:rsid w:val="007F5DDA"/>
    <w:rsid w:val="007F6781"/>
    <w:rsid w:val="007F6B89"/>
    <w:rsid w:val="007F7022"/>
    <w:rsid w:val="0080198C"/>
    <w:rsid w:val="0080480C"/>
    <w:rsid w:val="00804CA1"/>
    <w:rsid w:val="008078AF"/>
    <w:rsid w:val="00810E0E"/>
    <w:rsid w:val="008144D7"/>
    <w:rsid w:val="00815FFB"/>
    <w:rsid w:val="0082038A"/>
    <w:rsid w:val="00821A6B"/>
    <w:rsid w:val="0082300F"/>
    <w:rsid w:val="008249D3"/>
    <w:rsid w:val="008333EF"/>
    <w:rsid w:val="00833FB8"/>
    <w:rsid w:val="0083630A"/>
    <w:rsid w:val="00837304"/>
    <w:rsid w:val="00840A5F"/>
    <w:rsid w:val="0084333D"/>
    <w:rsid w:val="00844412"/>
    <w:rsid w:val="0085255C"/>
    <w:rsid w:val="00855281"/>
    <w:rsid w:val="008576BA"/>
    <w:rsid w:val="0086070B"/>
    <w:rsid w:val="008608AA"/>
    <w:rsid w:val="00864589"/>
    <w:rsid w:val="00865200"/>
    <w:rsid w:val="008652A2"/>
    <w:rsid w:val="00867FBD"/>
    <w:rsid w:val="00870EB9"/>
    <w:rsid w:val="008720E5"/>
    <w:rsid w:val="00873BC8"/>
    <w:rsid w:val="00877178"/>
    <w:rsid w:val="0087761A"/>
    <w:rsid w:val="00880D3A"/>
    <w:rsid w:val="00882AEA"/>
    <w:rsid w:val="00882C61"/>
    <w:rsid w:val="00882F4E"/>
    <w:rsid w:val="0088300C"/>
    <w:rsid w:val="00885185"/>
    <w:rsid w:val="008857AC"/>
    <w:rsid w:val="0088663E"/>
    <w:rsid w:val="00892304"/>
    <w:rsid w:val="00895853"/>
    <w:rsid w:val="00897B60"/>
    <w:rsid w:val="00897C02"/>
    <w:rsid w:val="00897D6A"/>
    <w:rsid w:val="008A0E9A"/>
    <w:rsid w:val="008A212C"/>
    <w:rsid w:val="008B151C"/>
    <w:rsid w:val="008B4CB5"/>
    <w:rsid w:val="008B68D3"/>
    <w:rsid w:val="008B68FF"/>
    <w:rsid w:val="008C1A4E"/>
    <w:rsid w:val="008C1DB3"/>
    <w:rsid w:val="008C24E1"/>
    <w:rsid w:val="008C38E1"/>
    <w:rsid w:val="008C39D0"/>
    <w:rsid w:val="008C442D"/>
    <w:rsid w:val="008C45E1"/>
    <w:rsid w:val="008C49CF"/>
    <w:rsid w:val="008C746A"/>
    <w:rsid w:val="008D1001"/>
    <w:rsid w:val="008D3243"/>
    <w:rsid w:val="008D3ABA"/>
    <w:rsid w:val="008D4761"/>
    <w:rsid w:val="008D47A9"/>
    <w:rsid w:val="008D6935"/>
    <w:rsid w:val="008D6BB1"/>
    <w:rsid w:val="008E034B"/>
    <w:rsid w:val="008E2FB6"/>
    <w:rsid w:val="008E3E3C"/>
    <w:rsid w:val="008E6065"/>
    <w:rsid w:val="008F026D"/>
    <w:rsid w:val="008F1052"/>
    <w:rsid w:val="008F1DE7"/>
    <w:rsid w:val="008F2D03"/>
    <w:rsid w:val="008F33E4"/>
    <w:rsid w:val="008F4C29"/>
    <w:rsid w:val="008F793B"/>
    <w:rsid w:val="009044FD"/>
    <w:rsid w:val="009061A5"/>
    <w:rsid w:val="0090623B"/>
    <w:rsid w:val="009070FC"/>
    <w:rsid w:val="009071F3"/>
    <w:rsid w:val="00912881"/>
    <w:rsid w:val="00912A5B"/>
    <w:rsid w:val="00915747"/>
    <w:rsid w:val="00915F23"/>
    <w:rsid w:val="0091713C"/>
    <w:rsid w:val="00920CDC"/>
    <w:rsid w:val="00926D97"/>
    <w:rsid w:val="00927469"/>
    <w:rsid w:val="009278E0"/>
    <w:rsid w:val="009302E5"/>
    <w:rsid w:val="00931F85"/>
    <w:rsid w:val="00935C4B"/>
    <w:rsid w:val="00941CA5"/>
    <w:rsid w:val="00944BE8"/>
    <w:rsid w:val="009460D3"/>
    <w:rsid w:val="009473BF"/>
    <w:rsid w:val="0094741B"/>
    <w:rsid w:val="0095003B"/>
    <w:rsid w:val="0095056B"/>
    <w:rsid w:val="00952C97"/>
    <w:rsid w:val="009544D3"/>
    <w:rsid w:val="00955873"/>
    <w:rsid w:val="009568BE"/>
    <w:rsid w:val="009572A1"/>
    <w:rsid w:val="00960B0C"/>
    <w:rsid w:val="00960F3C"/>
    <w:rsid w:val="009628BB"/>
    <w:rsid w:val="0096408B"/>
    <w:rsid w:val="0096422B"/>
    <w:rsid w:val="00966E87"/>
    <w:rsid w:val="00967676"/>
    <w:rsid w:val="009678F8"/>
    <w:rsid w:val="009728A5"/>
    <w:rsid w:val="009731B5"/>
    <w:rsid w:val="00974D94"/>
    <w:rsid w:val="0097570B"/>
    <w:rsid w:val="00977571"/>
    <w:rsid w:val="009806E0"/>
    <w:rsid w:val="0098095E"/>
    <w:rsid w:val="0098143E"/>
    <w:rsid w:val="0098215A"/>
    <w:rsid w:val="00982207"/>
    <w:rsid w:val="009829A8"/>
    <w:rsid w:val="00983936"/>
    <w:rsid w:val="00984405"/>
    <w:rsid w:val="00984BD3"/>
    <w:rsid w:val="00984FCA"/>
    <w:rsid w:val="009860B5"/>
    <w:rsid w:val="00986838"/>
    <w:rsid w:val="00987C2F"/>
    <w:rsid w:val="00990854"/>
    <w:rsid w:val="009930CA"/>
    <w:rsid w:val="00994A29"/>
    <w:rsid w:val="009956F2"/>
    <w:rsid w:val="009959E2"/>
    <w:rsid w:val="009967BC"/>
    <w:rsid w:val="009A271D"/>
    <w:rsid w:val="009A30CC"/>
    <w:rsid w:val="009A4689"/>
    <w:rsid w:val="009B06D3"/>
    <w:rsid w:val="009B3EF9"/>
    <w:rsid w:val="009B4366"/>
    <w:rsid w:val="009B53BF"/>
    <w:rsid w:val="009B5E0C"/>
    <w:rsid w:val="009B5EDF"/>
    <w:rsid w:val="009B641B"/>
    <w:rsid w:val="009C022E"/>
    <w:rsid w:val="009C1E55"/>
    <w:rsid w:val="009C2BEA"/>
    <w:rsid w:val="009C7947"/>
    <w:rsid w:val="009D6B18"/>
    <w:rsid w:val="009D6DA8"/>
    <w:rsid w:val="009E01CA"/>
    <w:rsid w:val="009E06A1"/>
    <w:rsid w:val="009E157F"/>
    <w:rsid w:val="009E17A6"/>
    <w:rsid w:val="009E1819"/>
    <w:rsid w:val="009E4890"/>
    <w:rsid w:val="009E5508"/>
    <w:rsid w:val="009E6DA5"/>
    <w:rsid w:val="009E72F8"/>
    <w:rsid w:val="009F0A05"/>
    <w:rsid w:val="009F24E4"/>
    <w:rsid w:val="009F5DF0"/>
    <w:rsid w:val="009F6BE0"/>
    <w:rsid w:val="009F6C36"/>
    <w:rsid w:val="00A02AB9"/>
    <w:rsid w:val="00A06BC9"/>
    <w:rsid w:val="00A118DA"/>
    <w:rsid w:val="00A125F7"/>
    <w:rsid w:val="00A15347"/>
    <w:rsid w:val="00A15F34"/>
    <w:rsid w:val="00A20FA0"/>
    <w:rsid w:val="00A22A89"/>
    <w:rsid w:val="00A259E4"/>
    <w:rsid w:val="00A316DF"/>
    <w:rsid w:val="00A3193F"/>
    <w:rsid w:val="00A33808"/>
    <w:rsid w:val="00A3493F"/>
    <w:rsid w:val="00A3632B"/>
    <w:rsid w:val="00A43873"/>
    <w:rsid w:val="00A45659"/>
    <w:rsid w:val="00A501E5"/>
    <w:rsid w:val="00A50993"/>
    <w:rsid w:val="00A5305B"/>
    <w:rsid w:val="00A549D7"/>
    <w:rsid w:val="00A56F0E"/>
    <w:rsid w:val="00A655FE"/>
    <w:rsid w:val="00A67685"/>
    <w:rsid w:val="00A7333A"/>
    <w:rsid w:val="00A80FE9"/>
    <w:rsid w:val="00A81934"/>
    <w:rsid w:val="00A8297B"/>
    <w:rsid w:val="00A82B9C"/>
    <w:rsid w:val="00A82FB2"/>
    <w:rsid w:val="00A837B0"/>
    <w:rsid w:val="00A839FD"/>
    <w:rsid w:val="00A862CE"/>
    <w:rsid w:val="00A91895"/>
    <w:rsid w:val="00A9403C"/>
    <w:rsid w:val="00A9452C"/>
    <w:rsid w:val="00A95F48"/>
    <w:rsid w:val="00AA1851"/>
    <w:rsid w:val="00AA1970"/>
    <w:rsid w:val="00AA231C"/>
    <w:rsid w:val="00AB17F8"/>
    <w:rsid w:val="00AB1D13"/>
    <w:rsid w:val="00AB2673"/>
    <w:rsid w:val="00AB7DDC"/>
    <w:rsid w:val="00AC11F3"/>
    <w:rsid w:val="00AC1C61"/>
    <w:rsid w:val="00AC5DE1"/>
    <w:rsid w:val="00AC62A0"/>
    <w:rsid w:val="00AC6DFE"/>
    <w:rsid w:val="00AC703E"/>
    <w:rsid w:val="00AD077F"/>
    <w:rsid w:val="00AD0794"/>
    <w:rsid w:val="00AD1D49"/>
    <w:rsid w:val="00AD26DC"/>
    <w:rsid w:val="00AD4844"/>
    <w:rsid w:val="00AE1215"/>
    <w:rsid w:val="00AE1E36"/>
    <w:rsid w:val="00AE5D4A"/>
    <w:rsid w:val="00AE67F5"/>
    <w:rsid w:val="00AF2524"/>
    <w:rsid w:val="00AF3E72"/>
    <w:rsid w:val="00AF5155"/>
    <w:rsid w:val="00AF5E7E"/>
    <w:rsid w:val="00AF6196"/>
    <w:rsid w:val="00AF6645"/>
    <w:rsid w:val="00AF6A12"/>
    <w:rsid w:val="00B00C04"/>
    <w:rsid w:val="00B01101"/>
    <w:rsid w:val="00B0300E"/>
    <w:rsid w:val="00B04FF7"/>
    <w:rsid w:val="00B05437"/>
    <w:rsid w:val="00B06A65"/>
    <w:rsid w:val="00B07BF8"/>
    <w:rsid w:val="00B07ECF"/>
    <w:rsid w:val="00B11BE7"/>
    <w:rsid w:val="00B13577"/>
    <w:rsid w:val="00B154CE"/>
    <w:rsid w:val="00B17B70"/>
    <w:rsid w:val="00B26D87"/>
    <w:rsid w:val="00B3131A"/>
    <w:rsid w:val="00B33BA2"/>
    <w:rsid w:val="00B33E9E"/>
    <w:rsid w:val="00B34B97"/>
    <w:rsid w:val="00B34F07"/>
    <w:rsid w:val="00B375D9"/>
    <w:rsid w:val="00B37763"/>
    <w:rsid w:val="00B40505"/>
    <w:rsid w:val="00B41DEC"/>
    <w:rsid w:val="00B42737"/>
    <w:rsid w:val="00B43AD6"/>
    <w:rsid w:val="00B4433D"/>
    <w:rsid w:val="00B47C58"/>
    <w:rsid w:val="00B5116B"/>
    <w:rsid w:val="00B5145B"/>
    <w:rsid w:val="00B52049"/>
    <w:rsid w:val="00B52169"/>
    <w:rsid w:val="00B53CBC"/>
    <w:rsid w:val="00B5790A"/>
    <w:rsid w:val="00B57CF5"/>
    <w:rsid w:val="00B61D9E"/>
    <w:rsid w:val="00B62415"/>
    <w:rsid w:val="00B640A9"/>
    <w:rsid w:val="00B673A6"/>
    <w:rsid w:val="00B715CE"/>
    <w:rsid w:val="00B7241F"/>
    <w:rsid w:val="00B72D65"/>
    <w:rsid w:val="00B75971"/>
    <w:rsid w:val="00B84BF6"/>
    <w:rsid w:val="00B860D6"/>
    <w:rsid w:val="00B86A21"/>
    <w:rsid w:val="00B914D1"/>
    <w:rsid w:val="00B933CB"/>
    <w:rsid w:val="00B96F9E"/>
    <w:rsid w:val="00B9788E"/>
    <w:rsid w:val="00B97B74"/>
    <w:rsid w:val="00BA06AD"/>
    <w:rsid w:val="00BA4173"/>
    <w:rsid w:val="00BA57FA"/>
    <w:rsid w:val="00BB09A3"/>
    <w:rsid w:val="00BB0C6A"/>
    <w:rsid w:val="00BB510D"/>
    <w:rsid w:val="00BB636C"/>
    <w:rsid w:val="00BB6A38"/>
    <w:rsid w:val="00BB76FC"/>
    <w:rsid w:val="00BC3FE5"/>
    <w:rsid w:val="00BC5794"/>
    <w:rsid w:val="00BC6C28"/>
    <w:rsid w:val="00BC7344"/>
    <w:rsid w:val="00BC73FC"/>
    <w:rsid w:val="00BC7D6B"/>
    <w:rsid w:val="00BD3A4D"/>
    <w:rsid w:val="00BD44D3"/>
    <w:rsid w:val="00BD4F44"/>
    <w:rsid w:val="00BD56B5"/>
    <w:rsid w:val="00BD7657"/>
    <w:rsid w:val="00BE1624"/>
    <w:rsid w:val="00BE1DA8"/>
    <w:rsid w:val="00BE2ACA"/>
    <w:rsid w:val="00BE2C45"/>
    <w:rsid w:val="00BE5A29"/>
    <w:rsid w:val="00BF075A"/>
    <w:rsid w:val="00BF149F"/>
    <w:rsid w:val="00BF1A27"/>
    <w:rsid w:val="00BF1C75"/>
    <w:rsid w:val="00BF356E"/>
    <w:rsid w:val="00C05F82"/>
    <w:rsid w:val="00C15960"/>
    <w:rsid w:val="00C17974"/>
    <w:rsid w:val="00C23F13"/>
    <w:rsid w:val="00C24949"/>
    <w:rsid w:val="00C27840"/>
    <w:rsid w:val="00C3078F"/>
    <w:rsid w:val="00C34DA3"/>
    <w:rsid w:val="00C34EA1"/>
    <w:rsid w:val="00C35EFD"/>
    <w:rsid w:val="00C41F34"/>
    <w:rsid w:val="00C42508"/>
    <w:rsid w:val="00C43B6A"/>
    <w:rsid w:val="00C440E1"/>
    <w:rsid w:val="00C454EA"/>
    <w:rsid w:val="00C45933"/>
    <w:rsid w:val="00C5016D"/>
    <w:rsid w:val="00C504E9"/>
    <w:rsid w:val="00C515F8"/>
    <w:rsid w:val="00C52C85"/>
    <w:rsid w:val="00C52F27"/>
    <w:rsid w:val="00C562AF"/>
    <w:rsid w:val="00C5666F"/>
    <w:rsid w:val="00C61DF0"/>
    <w:rsid w:val="00C63B62"/>
    <w:rsid w:val="00C6484A"/>
    <w:rsid w:val="00C658B7"/>
    <w:rsid w:val="00C65F18"/>
    <w:rsid w:val="00C6794F"/>
    <w:rsid w:val="00C77667"/>
    <w:rsid w:val="00C847A0"/>
    <w:rsid w:val="00C84A5A"/>
    <w:rsid w:val="00C859BE"/>
    <w:rsid w:val="00C866BC"/>
    <w:rsid w:val="00C868F8"/>
    <w:rsid w:val="00C86A11"/>
    <w:rsid w:val="00C86B5C"/>
    <w:rsid w:val="00C870AF"/>
    <w:rsid w:val="00C873F5"/>
    <w:rsid w:val="00C879E5"/>
    <w:rsid w:val="00C91B23"/>
    <w:rsid w:val="00C94B41"/>
    <w:rsid w:val="00CA2AE7"/>
    <w:rsid w:val="00CA2FE0"/>
    <w:rsid w:val="00CA34B8"/>
    <w:rsid w:val="00CA3C94"/>
    <w:rsid w:val="00CA3F07"/>
    <w:rsid w:val="00CA53D9"/>
    <w:rsid w:val="00CA7571"/>
    <w:rsid w:val="00CB0935"/>
    <w:rsid w:val="00CB34A2"/>
    <w:rsid w:val="00CB7342"/>
    <w:rsid w:val="00CB7ACD"/>
    <w:rsid w:val="00CB7F09"/>
    <w:rsid w:val="00CC3733"/>
    <w:rsid w:val="00CC6B04"/>
    <w:rsid w:val="00CC6BE3"/>
    <w:rsid w:val="00CC748D"/>
    <w:rsid w:val="00CC78CC"/>
    <w:rsid w:val="00CC7C91"/>
    <w:rsid w:val="00CD285B"/>
    <w:rsid w:val="00CE03E5"/>
    <w:rsid w:val="00CE3A92"/>
    <w:rsid w:val="00CE4967"/>
    <w:rsid w:val="00CE510A"/>
    <w:rsid w:val="00CE61A3"/>
    <w:rsid w:val="00CF072D"/>
    <w:rsid w:val="00CF152B"/>
    <w:rsid w:val="00CF4E29"/>
    <w:rsid w:val="00CF7456"/>
    <w:rsid w:val="00D02DA3"/>
    <w:rsid w:val="00D04C35"/>
    <w:rsid w:val="00D0540C"/>
    <w:rsid w:val="00D07321"/>
    <w:rsid w:val="00D10B79"/>
    <w:rsid w:val="00D113D7"/>
    <w:rsid w:val="00D1209D"/>
    <w:rsid w:val="00D1385F"/>
    <w:rsid w:val="00D14DE9"/>
    <w:rsid w:val="00D16CD6"/>
    <w:rsid w:val="00D218EE"/>
    <w:rsid w:val="00D24604"/>
    <w:rsid w:val="00D250CA"/>
    <w:rsid w:val="00D25931"/>
    <w:rsid w:val="00D30A00"/>
    <w:rsid w:val="00D30D0D"/>
    <w:rsid w:val="00D30DB1"/>
    <w:rsid w:val="00D31401"/>
    <w:rsid w:val="00D3322D"/>
    <w:rsid w:val="00D357A1"/>
    <w:rsid w:val="00D40E64"/>
    <w:rsid w:val="00D44262"/>
    <w:rsid w:val="00D449CB"/>
    <w:rsid w:val="00D45A4D"/>
    <w:rsid w:val="00D470F5"/>
    <w:rsid w:val="00D47535"/>
    <w:rsid w:val="00D54354"/>
    <w:rsid w:val="00D544E6"/>
    <w:rsid w:val="00D601A0"/>
    <w:rsid w:val="00D63669"/>
    <w:rsid w:val="00D64007"/>
    <w:rsid w:val="00D641C5"/>
    <w:rsid w:val="00D65FCC"/>
    <w:rsid w:val="00D703C0"/>
    <w:rsid w:val="00D71D77"/>
    <w:rsid w:val="00D71EAF"/>
    <w:rsid w:val="00D737B8"/>
    <w:rsid w:val="00D738C5"/>
    <w:rsid w:val="00D74455"/>
    <w:rsid w:val="00D800AA"/>
    <w:rsid w:val="00D8243B"/>
    <w:rsid w:val="00D83169"/>
    <w:rsid w:val="00D83B5B"/>
    <w:rsid w:val="00D8547A"/>
    <w:rsid w:val="00D858D8"/>
    <w:rsid w:val="00D91F75"/>
    <w:rsid w:val="00D92E8F"/>
    <w:rsid w:val="00D95BFE"/>
    <w:rsid w:val="00D97C37"/>
    <w:rsid w:val="00DA397B"/>
    <w:rsid w:val="00DA433E"/>
    <w:rsid w:val="00DA44CB"/>
    <w:rsid w:val="00DA4FE0"/>
    <w:rsid w:val="00DA50DF"/>
    <w:rsid w:val="00DA55E5"/>
    <w:rsid w:val="00DA5B3D"/>
    <w:rsid w:val="00DB3162"/>
    <w:rsid w:val="00DB40DA"/>
    <w:rsid w:val="00DB5107"/>
    <w:rsid w:val="00DB5586"/>
    <w:rsid w:val="00DB5C86"/>
    <w:rsid w:val="00DB6247"/>
    <w:rsid w:val="00DB6D34"/>
    <w:rsid w:val="00DB70D8"/>
    <w:rsid w:val="00DC01F0"/>
    <w:rsid w:val="00DC1084"/>
    <w:rsid w:val="00DC1BD2"/>
    <w:rsid w:val="00DC46D2"/>
    <w:rsid w:val="00DD0369"/>
    <w:rsid w:val="00DD045F"/>
    <w:rsid w:val="00DD20B3"/>
    <w:rsid w:val="00DD4A1A"/>
    <w:rsid w:val="00DD685A"/>
    <w:rsid w:val="00DD6E42"/>
    <w:rsid w:val="00DD782A"/>
    <w:rsid w:val="00DD7A82"/>
    <w:rsid w:val="00DE0129"/>
    <w:rsid w:val="00DE1D9A"/>
    <w:rsid w:val="00DE2644"/>
    <w:rsid w:val="00DE3E7D"/>
    <w:rsid w:val="00DE5C6F"/>
    <w:rsid w:val="00DF38D2"/>
    <w:rsid w:val="00DF4419"/>
    <w:rsid w:val="00DF6D42"/>
    <w:rsid w:val="00E0199A"/>
    <w:rsid w:val="00E03815"/>
    <w:rsid w:val="00E12835"/>
    <w:rsid w:val="00E14C30"/>
    <w:rsid w:val="00E150CF"/>
    <w:rsid w:val="00E1535E"/>
    <w:rsid w:val="00E202DD"/>
    <w:rsid w:val="00E24167"/>
    <w:rsid w:val="00E265DB"/>
    <w:rsid w:val="00E26BBB"/>
    <w:rsid w:val="00E31A2E"/>
    <w:rsid w:val="00E36C13"/>
    <w:rsid w:val="00E37BCE"/>
    <w:rsid w:val="00E4262A"/>
    <w:rsid w:val="00E4598C"/>
    <w:rsid w:val="00E507BA"/>
    <w:rsid w:val="00E507BC"/>
    <w:rsid w:val="00E50E67"/>
    <w:rsid w:val="00E53AE3"/>
    <w:rsid w:val="00E551B4"/>
    <w:rsid w:val="00E602C5"/>
    <w:rsid w:val="00E609D9"/>
    <w:rsid w:val="00E61A22"/>
    <w:rsid w:val="00E62494"/>
    <w:rsid w:val="00E62C64"/>
    <w:rsid w:val="00E64F8D"/>
    <w:rsid w:val="00E651FE"/>
    <w:rsid w:val="00E66A63"/>
    <w:rsid w:val="00E67391"/>
    <w:rsid w:val="00E6753E"/>
    <w:rsid w:val="00E70B40"/>
    <w:rsid w:val="00E7161D"/>
    <w:rsid w:val="00E71B7B"/>
    <w:rsid w:val="00E7480E"/>
    <w:rsid w:val="00E849D5"/>
    <w:rsid w:val="00E87BC9"/>
    <w:rsid w:val="00E90AA2"/>
    <w:rsid w:val="00E9186A"/>
    <w:rsid w:val="00E9231E"/>
    <w:rsid w:val="00E92F24"/>
    <w:rsid w:val="00E93341"/>
    <w:rsid w:val="00E94046"/>
    <w:rsid w:val="00E95B19"/>
    <w:rsid w:val="00E962FC"/>
    <w:rsid w:val="00E96EB4"/>
    <w:rsid w:val="00EA39BC"/>
    <w:rsid w:val="00EA3C79"/>
    <w:rsid w:val="00EB0BEA"/>
    <w:rsid w:val="00EB52A9"/>
    <w:rsid w:val="00EB5D89"/>
    <w:rsid w:val="00EC2611"/>
    <w:rsid w:val="00EC2CAB"/>
    <w:rsid w:val="00EC4BFD"/>
    <w:rsid w:val="00EC7184"/>
    <w:rsid w:val="00ED1DE9"/>
    <w:rsid w:val="00ED4DD0"/>
    <w:rsid w:val="00EE0FB2"/>
    <w:rsid w:val="00EE137D"/>
    <w:rsid w:val="00EE1383"/>
    <w:rsid w:val="00EE42D0"/>
    <w:rsid w:val="00EE4352"/>
    <w:rsid w:val="00EE4435"/>
    <w:rsid w:val="00EE492A"/>
    <w:rsid w:val="00EE5A0F"/>
    <w:rsid w:val="00EE77E6"/>
    <w:rsid w:val="00EF2440"/>
    <w:rsid w:val="00EF2A00"/>
    <w:rsid w:val="00EF57D4"/>
    <w:rsid w:val="00EF64E4"/>
    <w:rsid w:val="00F02122"/>
    <w:rsid w:val="00F04186"/>
    <w:rsid w:val="00F06906"/>
    <w:rsid w:val="00F1179F"/>
    <w:rsid w:val="00F1278A"/>
    <w:rsid w:val="00F1656B"/>
    <w:rsid w:val="00F20F26"/>
    <w:rsid w:val="00F2498B"/>
    <w:rsid w:val="00F31EFE"/>
    <w:rsid w:val="00F33A47"/>
    <w:rsid w:val="00F35BA9"/>
    <w:rsid w:val="00F3628E"/>
    <w:rsid w:val="00F40CAA"/>
    <w:rsid w:val="00F43012"/>
    <w:rsid w:val="00F447D3"/>
    <w:rsid w:val="00F46CF4"/>
    <w:rsid w:val="00F51F67"/>
    <w:rsid w:val="00F5286E"/>
    <w:rsid w:val="00F53C22"/>
    <w:rsid w:val="00F54549"/>
    <w:rsid w:val="00F575CE"/>
    <w:rsid w:val="00F625B5"/>
    <w:rsid w:val="00F63B02"/>
    <w:rsid w:val="00F6740A"/>
    <w:rsid w:val="00F70336"/>
    <w:rsid w:val="00F70AAF"/>
    <w:rsid w:val="00F71724"/>
    <w:rsid w:val="00F7325B"/>
    <w:rsid w:val="00F76E37"/>
    <w:rsid w:val="00F77131"/>
    <w:rsid w:val="00F801BD"/>
    <w:rsid w:val="00F80488"/>
    <w:rsid w:val="00F81057"/>
    <w:rsid w:val="00F820C3"/>
    <w:rsid w:val="00F82CFD"/>
    <w:rsid w:val="00F8607E"/>
    <w:rsid w:val="00F90C0F"/>
    <w:rsid w:val="00F91BB8"/>
    <w:rsid w:val="00F91D7D"/>
    <w:rsid w:val="00F94BD5"/>
    <w:rsid w:val="00F95EE8"/>
    <w:rsid w:val="00F960F5"/>
    <w:rsid w:val="00F9632E"/>
    <w:rsid w:val="00F97697"/>
    <w:rsid w:val="00FB095A"/>
    <w:rsid w:val="00FB0B5E"/>
    <w:rsid w:val="00FB13C0"/>
    <w:rsid w:val="00FB162F"/>
    <w:rsid w:val="00FB170C"/>
    <w:rsid w:val="00FB2E1C"/>
    <w:rsid w:val="00FB50C4"/>
    <w:rsid w:val="00FB6514"/>
    <w:rsid w:val="00FB6BDF"/>
    <w:rsid w:val="00FC0540"/>
    <w:rsid w:val="00FC06C0"/>
    <w:rsid w:val="00FC1F33"/>
    <w:rsid w:val="00FC2ABF"/>
    <w:rsid w:val="00FC2B7E"/>
    <w:rsid w:val="00FC3954"/>
    <w:rsid w:val="00FC4268"/>
    <w:rsid w:val="00FC5EE8"/>
    <w:rsid w:val="00FD04E2"/>
    <w:rsid w:val="00FD06BD"/>
    <w:rsid w:val="00FD20C1"/>
    <w:rsid w:val="00FD4FED"/>
    <w:rsid w:val="00FD675D"/>
    <w:rsid w:val="00FE1058"/>
    <w:rsid w:val="00FE1489"/>
    <w:rsid w:val="00FE260F"/>
    <w:rsid w:val="00FE2711"/>
    <w:rsid w:val="00FE2E02"/>
    <w:rsid w:val="00FE4B16"/>
    <w:rsid w:val="00FE63B9"/>
    <w:rsid w:val="00FE6A4D"/>
    <w:rsid w:val="00FF13B6"/>
    <w:rsid w:val="00FF1631"/>
    <w:rsid w:val="00FF1B77"/>
    <w:rsid w:val="00FF221A"/>
    <w:rsid w:val="00FF26FD"/>
    <w:rsid w:val="00FF48C2"/>
    <w:rsid w:val="00FF49BB"/>
    <w:rsid w:val="00FF5A36"/>
    <w:rsid w:val="00FF6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5">
    <w:name w:val="heading 5"/>
    <w:basedOn w:val="Normal"/>
    <w:next w:val="Normal"/>
    <w:link w:val="Heading5Char"/>
    <w:qFormat/>
    <w:rsid w:val="001E74EB"/>
    <w:pPr>
      <w:autoSpaceDE/>
      <w:autoSpaceDN/>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aliases w:val="footnote text"/>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uiPriority w:val="99"/>
    <w:unhideWhenUsed/>
    <w:rsid w:val="0016689F"/>
    <w:pPr>
      <w:autoSpaceDE/>
      <w:autoSpaceDN/>
      <w:spacing w:before="100" w:beforeAutospacing="1" w:after="100" w:afterAutospacing="1"/>
    </w:pPr>
    <w:rPr>
      <w:rFonts w:ascii="Times New Roman" w:hAnsi="Times New Roman" w:cs="Times New Roman"/>
    </w:rPr>
  </w:style>
  <w:style w:type="paragraph" w:customStyle="1" w:styleId="TxBrp3">
    <w:name w:val="TxBr_p3"/>
    <w:basedOn w:val="Normal"/>
    <w:rsid w:val="00314DF5"/>
    <w:pPr>
      <w:widowControl w:val="0"/>
      <w:tabs>
        <w:tab w:val="left" w:pos="1474"/>
      </w:tabs>
      <w:adjustRightInd w:val="0"/>
      <w:spacing w:line="425" w:lineRule="atLeast"/>
      <w:ind w:firstLine="1474"/>
    </w:pPr>
    <w:rPr>
      <w:rFonts w:ascii="Times New Roman" w:hAnsi="Times New Roman" w:cs="Times New Roman"/>
    </w:rPr>
  </w:style>
  <w:style w:type="paragraph" w:customStyle="1" w:styleId="Pleading2L1">
    <w:name w:val="Pleading2_L1"/>
    <w:basedOn w:val="Normal"/>
    <w:rsid w:val="00310CE5"/>
    <w:pPr>
      <w:numPr>
        <w:numId w:val="4"/>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310CE5"/>
    <w:pPr>
      <w:numPr>
        <w:ilvl w:val="1"/>
      </w:numPr>
      <w:spacing w:after="0" w:line="480" w:lineRule="auto"/>
      <w:jc w:val="left"/>
      <w:outlineLvl w:val="1"/>
    </w:pPr>
    <w:rPr>
      <w:b w:val="0"/>
      <w:caps w:val="0"/>
      <w:u w:val="none"/>
    </w:rPr>
  </w:style>
  <w:style w:type="paragraph" w:customStyle="1" w:styleId="Pleading2L3">
    <w:name w:val="Pleading2_L3"/>
    <w:basedOn w:val="Pleading2L2"/>
    <w:rsid w:val="00310CE5"/>
    <w:pPr>
      <w:numPr>
        <w:ilvl w:val="2"/>
      </w:numPr>
      <w:outlineLvl w:val="2"/>
    </w:pPr>
  </w:style>
  <w:style w:type="paragraph" w:customStyle="1" w:styleId="Pleading2L4">
    <w:name w:val="Pleading2_L4"/>
    <w:basedOn w:val="Pleading2L3"/>
    <w:rsid w:val="00310CE5"/>
    <w:pPr>
      <w:numPr>
        <w:ilvl w:val="3"/>
      </w:numPr>
      <w:outlineLvl w:val="3"/>
    </w:pPr>
  </w:style>
  <w:style w:type="paragraph" w:customStyle="1" w:styleId="Pleading2L5">
    <w:name w:val="Pleading2_L5"/>
    <w:basedOn w:val="Pleading2L4"/>
    <w:rsid w:val="00310CE5"/>
    <w:pPr>
      <w:keepNext/>
      <w:keepLines/>
      <w:widowControl w:val="0"/>
      <w:numPr>
        <w:ilvl w:val="4"/>
      </w:numPr>
      <w:spacing w:after="240" w:line="240" w:lineRule="auto"/>
      <w:outlineLvl w:val="4"/>
    </w:pPr>
  </w:style>
  <w:style w:type="paragraph" w:customStyle="1" w:styleId="Pleading2L6">
    <w:name w:val="Pleading2_L6"/>
    <w:basedOn w:val="Pleading2L5"/>
    <w:rsid w:val="00310CE5"/>
    <w:pPr>
      <w:numPr>
        <w:ilvl w:val="5"/>
      </w:numPr>
      <w:outlineLvl w:val="5"/>
    </w:pPr>
  </w:style>
  <w:style w:type="paragraph" w:customStyle="1" w:styleId="Pleading2L7">
    <w:name w:val="Pleading2_L7"/>
    <w:basedOn w:val="Pleading2L6"/>
    <w:rsid w:val="00310CE5"/>
    <w:pPr>
      <w:numPr>
        <w:ilvl w:val="6"/>
      </w:numPr>
      <w:outlineLvl w:val="6"/>
    </w:pPr>
  </w:style>
  <w:style w:type="paragraph" w:customStyle="1" w:styleId="Pleading2L8">
    <w:name w:val="Pleading2_L8"/>
    <w:basedOn w:val="Pleading2L7"/>
    <w:rsid w:val="00310CE5"/>
    <w:pPr>
      <w:numPr>
        <w:ilvl w:val="7"/>
      </w:numPr>
      <w:outlineLvl w:val="7"/>
    </w:pPr>
  </w:style>
  <w:style w:type="paragraph" w:customStyle="1" w:styleId="Pleading2L9">
    <w:name w:val="Pleading2_L9"/>
    <w:basedOn w:val="Pleading2L8"/>
    <w:rsid w:val="00310CE5"/>
    <w:pPr>
      <w:numPr>
        <w:ilvl w:val="8"/>
      </w:numPr>
      <w:outlineLvl w:val="8"/>
    </w:pPr>
  </w:style>
  <w:style w:type="paragraph" w:styleId="BodyText">
    <w:name w:val="Body Text"/>
    <w:basedOn w:val="Normal"/>
    <w:link w:val="BodyTextChar"/>
    <w:rsid w:val="00310CE5"/>
    <w:pPr>
      <w:spacing w:after="120"/>
    </w:pPr>
  </w:style>
  <w:style w:type="character" w:customStyle="1" w:styleId="BodyTextChar">
    <w:name w:val="Body Text Char"/>
    <w:link w:val="BodyText"/>
    <w:rsid w:val="00310CE5"/>
    <w:rPr>
      <w:rFonts w:ascii="CG Times" w:hAnsi="CG Times" w:cs="CG Times"/>
      <w:sz w:val="24"/>
      <w:szCs w:val="24"/>
    </w:rPr>
  </w:style>
  <w:style w:type="paragraph" w:styleId="ListParagraph">
    <w:name w:val="List Paragraph"/>
    <w:basedOn w:val="Normal"/>
    <w:uiPriority w:val="34"/>
    <w:qFormat/>
    <w:rsid w:val="00D16CD6"/>
    <w:pPr>
      <w:autoSpaceDE/>
      <w:autoSpaceDN/>
      <w:ind w:left="720"/>
    </w:pPr>
    <w:rPr>
      <w:rFonts w:ascii="Courier" w:hAnsi="Courier" w:cs="Times New Roman"/>
      <w:sz w:val="20"/>
      <w:szCs w:val="20"/>
    </w:rPr>
  </w:style>
  <w:style w:type="paragraph" w:customStyle="1" w:styleId="p8">
    <w:name w:val="p8"/>
    <w:basedOn w:val="Normal"/>
    <w:uiPriority w:val="99"/>
    <w:rsid w:val="00D16CD6"/>
    <w:pPr>
      <w:widowControl w:val="0"/>
      <w:adjustRightInd w:val="0"/>
    </w:pPr>
    <w:rPr>
      <w:rFonts w:ascii="Times New Roman" w:hAnsi="Times New Roman" w:cs="Times New Roman"/>
    </w:rPr>
  </w:style>
  <w:style w:type="paragraph" w:customStyle="1" w:styleId="p12">
    <w:name w:val="p12"/>
    <w:basedOn w:val="Normal"/>
    <w:uiPriority w:val="99"/>
    <w:rsid w:val="00D16CD6"/>
    <w:pPr>
      <w:widowControl w:val="0"/>
      <w:adjustRightInd w:val="0"/>
    </w:pPr>
    <w:rPr>
      <w:rFonts w:ascii="Times New Roman" w:hAnsi="Times New Roman" w:cs="Times New Roman"/>
    </w:rPr>
  </w:style>
  <w:style w:type="character" w:customStyle="1" w:styleId="FooterChar">
    <w:name w:val="Footer Char"/>
    <w:basedOn w:val="DefaultParagraphFont"/>
    <w:link w:val="Footer"/>
    <w:uiPriority w:val="99"/>
    <w:rsid w:val="001D6010"/>
    <w:rPr>
      <w:rFonts w:ascii="CG Times" w:hAnsi="CG Times" w:cs="CG Times"/>
      <w:sz w:val="24"/>
      <w:szCs w:val="24"/>
    </w:rPr>
  </w:style>
  <w:style w:type="character" w:styleId="CommentReference">
    <w:name w:val="annotation reference"/>
    <w:uiPriority w:val="99"/>
    <w:rsid w:val="00455F2B"/>
    <w:rPr>
      <w:rFonts w:cs="Times New Roman"/>
      <w:sz w:val="16"/>
      <w:szCs w:val="16"/>
    </w:rPr>
  </w:style>
  <w:style w:type="character" w:customStyle="1" w:styleId="FootnoteTextChar">
    <w:name w:val="Footnote Text Char"/>
    <w:basedOn w:val="DefaultParagraphFont"/>
    <w:link w:val="FootnoteText"/>
    <w:rsid w:val="0046268D"/>
    <w:rPr>
      <w:rFonts w:ascii="CG Times" w:hAnsi="CG Times" w:cs="CG Times"/>
      <w:sz w:val="24"/>
      <w:szCs w:val="24"/>
    </w:rPr>
  </w:style>
  <w:style w:type="paragraph" w:styleId="ListNumber">
    <w:name w:val="List Number"/>
    <w:basedOn w:val="Normal"/>
    <w:rsid w:val="00754897"/>
    <w:pPr>
      <w:numPr>
        <w:numId w:val="11"/>
      </w:numPr>
      <w:tabs>
        <w:tab w:val="clear" w:pos="360"/>
      </w:tabs>
      <w:autoSpaceDE/>
      <w:autoSpaceDN/>
      <w:spacing w:line="480" w:lineRule="auto"/>
      <w:ind w:left="0" w:firstLine="720"/>
    </w:pPr>
    <w:rPr>
      <w:rFonts w:ascii="Times New Roman" w:hAnsi="Times New Roman" w:cs="Times New Roman"/>
    </w:rPr>
  </w:style>
  <w:style w:type="paragraph" w:customStyle="1" w:styleId="OutlineL1">
    <w:name w:val="Outline_L1"/>
    <w:basedOn w:val="Normal"/>
    <w:next w:val="BodyText"/>
    <w:rsid w:val="009731B5"/>
    <w:pPr>
      <w:keepNext/>
      <w:numPr>
        <w:numId w:val="12"/>
      </w:numPr>
      <w:autoSpaceDE/>
      <w:autoSpaceDN/>
      <w:spacing w:after="240"/>
      <w:jc w:val="center"/>
      <w:outlineLvl w:val="0"/>
    </w:pPr>
    <w:rPr>
      <w:rFonts w:ascii="Times New Roman Bold" w:hAnsi="Times New Roman Bold" w:cs="Times New Roman"/>
      <w:b/>
      <w:caps/>
      <w:szCs w:val="20"/>
    </w:rPr>
  </w:style>
  <w:style w:type="paragraph" w:customStyle="1" w:styleId="OutlineL2">
    <w:name w:val="Outline_L2"/>
    <w:basedOn w:val="OutlineL1"/>
    <w:rsid w:val="009731B5"/>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9731B5"/>
    <w:pPr>
      <w:numPr>
        <w:ilvl w:val="2"/>
      </w:numPr>
      <w:spacing w:after="120"/>
      <w:outlineLvl w:val="2"/>
    </w:pPr>
  </w:style>
  <w:style w:type="paragraph" w:customStyle="1" w:styleId="OutlineL4">
    <w:name w:val="Outline_L4"/>
    <w:basedOn w:val="OutlineL3"/>
    <w:rsid w:val="009731B5"/>
    <w:pPr>
      <w:numPr>
        <w:ilvl w:val="3"/>
      </w:numPr>
      <w:outlineLvl w:val="3"/>
    </w:pPr>
  </w:style>
  <w:style w:type="paragraph" w:customStyle="1" w:styleId="OutlineL5">
    <w:name w:val="Outline_L5"/>
    <w:basedOn w:val="OutlineL4"/>
    <w:rsid w:val="009731B5"/>
    <w:pPr>
      <w:numPr>
        <w:ilvl w:val="4"/>
      </w:numPr>
      <w:spacing w:line="240" w:lineRule="auto"/>
      <w:outlineLvl w:val="4"/>
    </w:pPr>
  </w:style>
  <w:style w:type="paragraph" w:customStyle="1" w:styleId="OutlineL6">
    <w:name w:val="Outline_L6"/>
    <w:basedOn w:val="OutlineL5"/>
    <w:rsid w:val="009731B5"/>
    <w:pPr>
      <w:numPr>
        <w:ilvl w:val="5"/>
      </w:numPr>
      <w:spacing w:after="240"/>
      <w:outlineLvl w:val="5"/>
    </w:pPr>
    <w:rPr>
      <w:szCs w:val="24"/>
    </w:rPr>
  </w:style>
  <w:style w:type="paragraph" w:customStyle="1" w:styleId="OutlineL7">
    <w:name w:val="Outline_L7"/>
    <w:basedOn w:val="OutlineL6"/>
    <w:rsid w:val="009731B5"/>
    <w:pPr>
      <w:numPr>
        <w:ilvl w:val="6"/>
      </w:numPr>
      <w:outlineLvl w:val="6"/>
    </w:pPr>
    <w:rPr>
      <w:rFonts w:ascii="Times New Roman Bold" w:hAnsi="Times New Roman Bold"/>
      <w:b/>
    </w:rPr>
  </w:style>
  <w:style w:type="paragraph" w:customStyle="1" w:styleId="OutlineL8">
    <w:name w:val="Outline_L8"/>
    <w:basedOn w:val="OutlineL7"/>
    <w:rsid w:val="009731B5"/>
    <w:pPr>
      <w:numPr>
        <w:ilvl w:val="7"/>
      </w:numPr>
      <w:outlineLvl w:val="7"/>
    </w:pPr>
  </w:style>
  <w:style w:type="paragraph" w:customStyle="1" w:styleId="OutlineL9">
    <w:name w:val="Outline_L9"/>
    <w:basedOn w:val="OutlineL8"/>
    <w:rsid w:val="009731B5"/>
    <w:pPr>
      <w:numPr>
        <w:ilvl w:val="8"/>
      </w:numPr>
      <w:outlineLvl w:val="8"/>
    </w:pPr>
  </w:style>
  <w:style w:type="character" w:customStyle="1" w:styleId="Heading5Char">
    <w:name w:val="Heading 5 Char"/>
    <w:basedOn w:val="DefaultParagraphFont"/>
    <w:link w:val="Heading5"/>
    <w:rsid w:val="001E74EB"/>
    <w:rPr>
      <w:b/>
      <w:bCs/>
      <w:i/>
      <w:iCs/>
      <w:sz w:val="26"/>
      <w:szCs w:val="26"/>
    </w:rPr>
  </w:style>
  <w:style w:type="paragraph" w:styleId="BodyText3">
    <w:name w:val="Body Text 3"/>
    <w:basedOn w:val="Normal"/>
    <w:link w:val="BodyText3Char"/>
    <w:rsid w:val="001E74EB"/>
    <w:pPr>
      <w:spacing w:after="120"/>
    </w:pPr>
    <w:rPr>
      <w:sz w:val="16"/>
      <w:szCs w:val="16"/>
    </w:rPr>
  </w:style>
  <w:style w:type="character" w:customStyle="1" w:styleId="BodyText3Char">
    <w:name w:val="Body Text 3 Char"/>
    <w:basedOn w:val="DefaultParagraphFont"/>
    <w:link w:val="BodyText3"/>
    <w:rsid w:val="001E74EB"/>
    <w:rPr>
      <w:rFonts w:ascii="CG Times" w:hAnsi="CG Times" w:cs="CG Time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5">
    <w:name w:val="heading 5"/>
    <w:basedOn w:val="Normal"/>
    <w:next w:val="Normal"/>
    <w:link w:val="Heading5Char"/>
    <w:qFormat/>
    <w:rsid w:val="001E74EB"/>
    <w:pPr>
      <w:autoSpaceDE/>
      <w:autoSpaceDN/>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aliases w:val="footnote text"/>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uiPriority w:val="99"/>
    <w:unhideWhenUsed/>
    <w:rsid w:val="0016689F"/>
    <w:pPr>
      <w:autoSpaceDE/>
      <w:autoSpaceDN/>
      <w:spacing w:before="100" w:beforeAutospacing="1" w:after="100" w:afterAutospacing="1"/>
    </w:pPr>
    <w:rPr>
      <w:rFonts w:ascii="Times New Roman" w:hAnsi="Times New Roman" w:cs="Times New Roman"/>
    </w:rPr>
  </w:style>
  <w:style w:type="paragraph" w:customStyle="1" w:styleId="TxBrp3">
    <w:name w:val="TxBr_p3"/>
    <w:basedOn w:val="Normal"/>
    <w:rsid w:val="00314DF5"/>
    <w:pPr>
      <w:widowControl w:val="0"/>
      <w:tabs>
        <w:tab w:val="left" w:pos="1474"/>
      </w:tabs>
      <w:adjustRightInd w:val="0"/>
      <w:spacing w:line="425" w:lineRule="atLeast"/>
      <w:ind w:firstLine="1474"/>
    </w:pPr>
    <w:rPr>
      <w:rFonts w:ascii="Times New Roman" w:hAnsi="Times New Roman" w:cs="Times New Roman"/>
    </w:rPr>
  </w:style>
  <w:style w:type="paragraph" w:customStyle="1" w:styleId="Pleading2L1">
    <w:name w:val="Pleading2_L1"/>
    <w:basedOn w:val="Normal"/>
    <w:rsid w:val="00310CE5"/>
    <w:pPr>
      <w:numPr>
        <w:numId w:val="4"/>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310CE5"/>
    <w:pPr>
      <w:numPr>
        <w:ilvl w:val="1"/>
      </w:numPr>
      <w:spacing w:after="0" w:line="480" w:lineRule="auto"/>
      <w:jc w:val="left"/>
      <w:outlineLvl w:val="1"/>
    </w:pPr>
    <w:rPr>
      <w:b w:val="0"/>
      <w:caps w:val="0"/>
      <w:u w:val="none"/>
    </w:rPr>
  </w:style>
  <w:style w:type="paragraph" w:customStyle="1" w:styleId="Pleading2L3">
    <w:name w:val="Pleading2_L3"/>
    <w:basedOn w:val="Pleading2L2"/>
    <w:rsid w:val="00310CE5"/>
    <w:pPr>
      <w:numPr>
        <w:ilvl w:val="2"/>
      </w:numPr>
      <w:outlineLvl w:val="2"/>
    </w:pPr>
  </w:style>
  <w:style w:type="paragraph" w:customStyle="1" w:styleId="Pleading2L4">
    <w:name w:val="Pleading2_L4"/>
    <w:basedOn w:val="Pleading2L3"/>
    <w:rsid w:val="00310CE5"/>
    <w:pPr>
      <w:numPr>
        <w:ilvl w:val="3"/>
      </w:numPr>
      <w:outlineLvl w:val="3"/>
    </w:pPr>
  </w:style>
  <w:style w:type="paragraph" w:customStyle="1" w:styleId="Pleading2L5">
    <w:name w:val="Pleading2_L5"/>
    <w:basedOn w:val="Pleading2L4"/>
    <w:rsid w:val="00310CE5"/>
    <w:pPr>
      <w:keepNext/>
      <w:keepLines/>
      <w:widowControl w:val="0"/>
      <w:numPr>
        <w:ilvl w:val="4"/>
      </w:numPr>
      <w:spacing w:after="240" w:line="240" w:lineRule="auto"/>
      <w:outlineLvl w:val="4"/>
    </w:pPr>
  </w:style>
  <w:style w:type="paragraph" w:customStyle="1" w:styleId="Pleading2L6">
    <w:name w:val="Pleading2_L6"/>
    <w:basedOn w:val="Pleading2L5"/>
    <w:rsid w:val="00310CE5"/>
    <w:pPr>
      <w:numPr>
        <w:ilvl w:val="5"/>
      </w:numPr>
      <w:outlineLvl w:val="5"/>
    </w:pPr>
  </w:style>
  <w:style w:type="paragraph" w:customStyle="1" w:styleId="Pleading2L7">
    <w:name w:val="Pleading2_L7"/>
    <w:basedOn w:val="Pleading2L6"/>
    <w:rsid w:val="00310CE5"/>
    <w:pPr>
      <w:numPr>
        <w:ilvl w:val="6"/>
      </w:numPr>
      <w:outlineLvl w:val="6"/>
    </w:pPr>
  </w:style>
  <w:style w:type="paragraph" w:customStyle="1" w:styleId="Pleading2L8">
    <w:name w:val="Pleading2_L8"/>
    <w:basedOn w:val="Pleading2L7"/>
    <w:rsid w:val="00310CE5"/>
    <w:pPr>
      <w:numPr>
        <w:ilvl w:val="7"/>
      </w:numPr>
      <w:outlineLvl w:val="7"/>
    </w:pPr>
  </w:style>
  <w:style w:type="paragraph" w:customStyle="1" w:styleId="Pleading2L9">
    <w:name w:val="Pleading2_L9"/>
    <w:basedOn w:val="Pleading2L8"/>
    <w:rsid w:val="00310CE5"/>
    <w:pPr>
      <w:numPr>
        <w:ilvl w:val="8"/>
      </w:numPr>
      <w:outlineLvl w:val="8"/>
    </w:pPr>
  </w:style>
  <w:style w:type="paragraph" w:styleId="BodyText">
    <w:name w:val="Body Text"/>
    <w:basedOn w:val="Normal"/>
    <w:link w:val="BodyTextChar"/>
    <w:rsid w:val="00310CE5"/>
    <w:pPr>
      <w:spacing w:after="120"/>
    </w:pPr>
  </w:style>
  <w:style w:type="character" w:customStyle="1" w:styleId="BodyTextChar">
    <w:name w:val="Body Text Char"/>
    <w:link w:val="BodyText"/>
    <w:rsid w:val="00310CE5"/>
    <w:rPr>
      <w:rFonts w:ascii="CG Times" w:hAnsi="CG Times" w:cs="CG Times"/>
      <w:sz w:val="24"/>
      <w:szCs w:val="24"/>
    </w:rPr>
  </w:style>
  <w:style w:type="paragraph" w:styleId="ListParagraph">
    <w:name w:val="List Paragraph"/>
    <w:basedOn w:val="Normal"/>
    <w:uiPriority w:val="34"/>
    <w:qFormat/>
    <w:rsid w:val="00D16CD6"/>
    <w:pPr>
      <w:autoSpaceDE/>
      <w:autoSpaceDN/>
      <w:ind w:left="720"/>
    </w:pPr>
    <w:rPr>
      <w:rFonts w:ascii="Courier" w:hAnsi="Courier" w:cs="Times New Roman"/>
      <w:sz w:val="20"/>
      <w:szCs w:val="20"/>
    </w:rPr>
  </w:style>
  <w:style w:type="paragraph" w:customStyle="1" w:styleId="p8">
    <w:name w:val="p8"/>
    <w:basedOn w:val="Normal"/>
    <w:uiPriority w:val="99"/>
    <w:rsid w:val="00D16CD6"/>
    <w:pPr>
      <w:widowControl w:val="0"/>
      <w:adjustRightInd w:val="0"/>
    </w:pPr>
    <w:rPr>
      <w:rFonts w:ascii="Times New Roman" w:hAnsi="Times New Roman" w:cs="Times New Roman"/>
    </w:rPr>
  </w:style>
  <w:style w:type="paragraph" w:customStyle="1" w:styleId="p12">
    <w:name w:val="p12"/>
    <w:basedOn w:val="Normal"/>
    <w:uiPriority w:val="99"/>
    <w:rsid w:val="00D16CD6"/>
    <w:pPr>
      <w:widowControl w:val="0"/>
      <w:adjustRightInd w:val="0"/>
    </w:pPr>
    <w:rPr>
      <w:rFonts w:ascii="Times New Roman" w:hAnsi="Times New Roman" w:cs="Times New Roman"/>
    </w:rPr>
  </w:style>
  <w:style w:type="character" w:customStyle="1" w:styleId="FooterChar">
    <w:name w:val="Footer Char"/>
    <w:basedOn w:val="DefaultParagraphFont"/>
    <w:link w:val="Footer"/>
    <w:uiPriority w:val="99"/>
    <w:rsid w:val="001D6010"/>
    <w:rPr>
      <w:rFonts w:ascii="CG Times" w:hAnsi="CG Times" w:cs="CG Times"/>
      <w:sz w:val="24"/>
      <w:szCs w:val="24"/>
    </w:rPr>
  </w:style>
  <w:style w:type="character" w:styleId="CommentReference">
    <w:name w:val="annotation reference"/>
    <w:uiPriority w:val="99"/>
    <w:rsid w:val="00455F2B"/>
    <w:rPr>
      <w:rFonts w:cs="Times New Roman"/>
      <w:sz w:val="16"/>
      <w:szCs w:val="16"/>
    </w:rPr>
  </w:style>
  <w:style w:type="character" w:customStyle="1" w:styleId="FootnoteTextChar">
    <w:name w:val="Footnote Text Char"/>
    <w:basedOn w:val="DefaultParagraphFont"/>
    <w:link w:val="FootnoteText"/>
    <w:rsid w:val="0046268D"/>
    <w:rPr>
      <w:rFonts w:ascii="CG Times" w:hAnsi="CG Times" w:cs="CG Times"/>
      <w:sz w:val="24"/>
      <w:szCs w:val="24"/>
    </w:rPr>
  </w:style>
  <w:style w:type="paragraph" w:styleId="ListNumber">
    <w:name w:val="List Number"/>
    <w:basedOn w:val="Normal"/>
    <w:rsid w:val="00754897"/>
    <w:pPr>
      <w:numPr>
        <w:numId w:val="11"/>
      </w:numPr>
      <w:tabs>
        <w:tab w:val="clear" w:pos="360"/>
      </w:tabs>
      <w:autoSpaceDE/>
      <w:autoSpaceDN/>
      <w:spacing w:line="480" w:lineRule="auto"/>
      <w:ind w:left="0" w:firstLine="720"/>
    </w:pPr>
    <w:rPr>
      <w:rFonts w:ascii="Times New Roman" w:hAnsi="Times New Roman" w:cs="Times New Roman"/>
    </w:rPr>
  </w:style>
  <w:style w:type="paragraph" w:customStyle="1" w:styleId="OutlineL1">
    <w:name w:val="Outline_L1"/>
    <w:basedOn w:val="Normal"/>
    <w:next w:val="BodyText"/>
    <w:rsid w:val="009731B5"/>
    <w:pPr>
      <w:keepNext/>
      <w:numPr>
        <w:numId w:val="12"/>
      </w:numPr>
      <w:autoSpaceDE/>
      <w:autoSpaceDN/>
      <w:spacing w:after="240"/>
      <w:jc w:val="center"/>
      <w:outlineLvl w:val="0"/>
    </w:pPr>
    <w:rPr>
      <w:rFonts w:ascii="Times New Roman Bold" w:hAnsi="Times New Roman Bold" w:cs="Times New Roman"/>
      <w:b/>
      <w:caps/>
      <w:szCs w:val="20"/>
    </w:rPr>
  </w:style>
  <w:style w:type="paragraph" w:customStyle="1" w:styleId="OutlineL2">
    <w:name w:val="Outline_L2"/>
    <w:basedOn w:val="OutlineL1"/>
    <w:rsid w:val="009731B5"/>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9731B5"/>
    <w:pPr>
      <w:numPr>
        <w:ilvl w:val="2"/>
      </w:numPr>
      <w:spacing w:after="120"/>
      <w:outlineLvl w:val="2"/>
    </w:pPr>
  </w:style>
  <w:style w:type="paragraph" w:customStyle="1" w:styleId="OutlineL4">
    <w:name w:val="Outline_L4"/>
    <w:basedOn w:val="OutlineL3"/>
    <w:rsid w:val="009731B5"/>
    <w:pPr>
      <w:numPr>
        <w:ilvl w:val="3"/>
      </w:numPr>
      <w:outlineLvl w:val="3"/>
    </w:pPr>
  </w:style>
  <w:style w:type="paragraph" w:customStyle="1" w:styleId="OutlineL5">
    <w:name w:val="Outline_L5"/>
    <w:basedOn w:val="OutlineL4"/>
    <w:rsid w:val="009731B5"/>
    <w:pPr>
      <w:numPr>
        <w:ilvl w:val="4"/>
      </w:numPr>
      <w:spacing w:line="240" w:lineRule="auto"/>
      <w:outlineLvl w:val="4"/>
    </w:pPr>
  </w:style>
  <w:style w:type="paragraph" w:customStyle="1" w:styleId="OutlineL6">
    <w:name w:val="Outline_L6"/>
    <w:basedOn w:val="OutlineL5"/>
    <w:rsid w:val="009731B5"/>
    <w:pPr>
      <w:numPr>
        <w:ilvl w:val="5"/>
      </w:numPr>
      <w:spacing w:after="240"/>
      <w:outlineLvl w:val="5"/>
    </w:pPr>
    <w:rPr>
      <w:szCs w:val="24"/>
    </w:rPr>
  </w:style>
  <w:style w:type="paragraph" w:customStyle="1" w:styleId="OutlineL7">
    <w:name w:val="Outline_L7"/>
    <w:basedOn w:val="OutlineL6"/>
    <w:rsid w:val="009731B5"/>
    <w:pPr>
      <w:numPr>
        <w:ilvl w:val="6"/>
      </w:numPr>
      <w:outlineLvl w:val="6"/>
    </w:pPr>
    <w:rPr>
      <w:rFonts w:ascii="Times New Roman Bold" w:hAnsi="Times New Roman Bold"/>
      <w:b/>
    </w:rPr>
  </w:style>
  <w:style w:type="paragraph" w:customStyle="1" w:styleId="OutlineL8">
    <w:name w:val="Outline_L8"/>
    <w:basedOn w:val="OutlineL7"/>
    <w:rsid w:val="009731B5"/>
    <w:pPr>
      <w:numPr>
        <w:ilvl w:val="7"/>
      </w:numPr>
      <w:outlineLvl w:val="7"/>
    </w:pPr>
  </w:style>
  <w:style w:type="paragraph" w:customStyle="1" w:styleId="OutlineL9">
    <w:name w:val="Outline_L9"/>
    <w:basedOn w:val="OutlineL8"/>
    <w:rsid w:val="009731B5"/>
    <w:pPr>
      <w:numPr>
        <w:ilvl w:val="8"/>
      </w:numPr>
      <w:outlineLvl w:val="8"/>
    </w:pPr>
  </w:style>
  <w:style w:type="character" w:customStyle="1" w:styleId="Heading5Char">
    <w:name w:val="Heading 5 Char"/>
    <w:basedOn w:val="DefaultParagraphFont"/>
    <w:link w:val="Heading5"/>
    <w:rsid w:val="001E74EB"/>
    <w:rPr>
      <w:b/>
      <w:bCs/>
      <w:i/>
      <w:iCs/>
      <w:sz w:val="26"/>
      <w:szCs w:val="26"/>
    </w:rPr>
  </w:style>
  <w:style w:type="paragraph" w:styleId="BodyText3">
    <w:name w:val="Body Text 3"/>
    <w:basedOn w:val="Normal"/>
    <w:link w:val="BodyText3Char"/>
    <w:rsid w:val="001E74EB"/>
    <w:pPr>
      <w:spacing w:after="120"/>
    </w:pPr>
    <w:rPr>
      <w:sz w:val="16"/>
      <w:szCs w:val="16"/>
    </w:rPr>
  </w:style>
  <w:style w:type="character" w:customStyle="1" w:styleId="BodyText3Char">
    <w:name w:val="Body Text 3 Char"/>
    <w:basedOn w:val="DefaultParagraphFont"/>
    <w:link w:val="BodyText3"/>
    <w:rsid w:val="001E74EB"/>
    <w:rPr>
      <w:rFonts w:ascii="CG Times" w:hAnsi="CG Times" w:cs="CG Time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11391">
      <w:bodyDiv w:val="1"/>
      <w:marLeft w:val="0"/>
      <w:marRight w:val="0"/>
      <w:marTop w:val="0"/>
      <w:marBottom w:val="0"/>
      <w:divBdr>
        <w:top w:val="none" w:sz="0" w:space="0" w:color="auto"/>
        <w:left w:val="none" w:sz="0" w:space="0" w:color="auto"/>
        <w:bottom w:val="none" w:sz="0" w:space="0" w:color="auto"/>
        <w:right w:val="none" w:sz="0" w:space="0" w:color="auto"/>
      </w:divBdr>
      <w:divsChild>
        <w:div w:id="498467607">
          <w:marLeft w:val="0"/>
          <w:marRight w:val="0"/>
          <w:marTop w:val="0"/>
          <w:marBottom w:val="0"/>
          <w:divBdr>
            <w:top w:val="none" w:sz="0" w:space="0" w:color="auto"/>
            <w:left w:val="none" w:sz="0" w:space="0" w:color="auto"/>
            <w:bottom w:val="none" w:sz="0" w:space="0" w:color="auto"/>
            <w:right w:val="none" w:sz="0" w:space="0" w:color="auto"/>
          </w:divBdr>
        </w:div>
      </w:divsChild>
    </w:div>
    <w:div w:id="1606228218">
      <w:bodyDiv w:val="1"/>
      <w:marLeft w:val="0"/>
      <w:marRight w:val="0"/>
      <w:marTop w:val="0"/>
      <w:marBottom w:val="0"/>
      <w:divBdr>
        <w:top w:val="none" w:sz="0" w:space="0" w:color="auto"/>
        <w:left w:val="none" w:sz="0" w:space="0" w:color="auto"/>
        <w:bottom w:val="none" w:sz="0" w:space="0" w:color="auto"/>
        <w:right w:val="none" w:sz="0" w:space="0" w:color="auto"/>
      </w:divBdr>
      <w:divsChild>
        <w:div w:id="6828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9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538D1-F821-4050-A475-C771BC5C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14</Pages>
  <Words>3704</Words>
  <Characters>21118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39</cp:revision>
  <cp:lastPrinted>2013-11-13T14:28:00Z</cp:lastPrinted>
  <dcterms:created xsi:type="dcterms:W3CDTF">2013-08-19T18:24:00Z</dcterms:created>
  <dcterms:modified xsi:type="dcterms:W3CDTF">2013-11-25T18:43:00Z</dcterms:modified>
</cp:coreProperties>
</file>