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3D24" w:rsidRPr="000C4F02" w:rsidRDefault="00053D24" w:rsidP="003C4E87">
      <w:pPr>
        <w:tabs>
          <w:tab w:val="center" w:pos="4680"/>
        </w:tabs>
        <w:suppressAutoHyphens/>
        <w:spacing w:line="240" w:lineRule="auto"/>
        <w:ind w:firstLine="0"/>
        <w:jc w:val="center"/>
        <w:rPr>
          <w:b/>
          <w:bCs/>
          <w:spacing w:val="-3"/>
        </w:rPr>
      </w:pPr>
      <w:r w:rsidRPr="000C4F02">
        <w:rPr>
          <w:b/>
          <w:bCs/>
          <w:spacing w:val="-3"/>
        </w:rPr>
        <w:t>BEFORE THE</w:t>
      </w:r>
    </w:p>
    <w:p w:rsidR="00053D24" w:rsidRPr="000C4F02" w:rsidRDefault="00053D24" w:rsidP="00D07FBF">
      <w:pPr>
        <w:tabs>
          <w:tab w:val="center" w:pos="4680"/>
        </w:tabs>
        <w:suppressAutoHyphens/>
        <w:spacing w:line="240" w:lineRule="auto"/>
        <w:ind w:firstLine="0"/>
        <w:jc w:val="center"/>
        <w:rPr>
          <w:b/>
          <w:bCs/>
          <w:spacing w:val="-3"/>
        </w:rPr>
      </w:pPr>
      <w:r w:rsidRPr="000C4F02">
        <w:rPr>
          <w:b/>
          <w:bCs/>
          <w:spacing w:val="-3"/>
        </w:rPr>
        <w:t>PENNSYLVANIA PUBLIC UTILITY COMMISSION</w:t>
      </w:r>
    </w:p>
    <w:p w:rsidR="003D1C18" w:rsidRPr="000C4F02" w:rsidRDefault="003D1C18" w:rsidP="00D07FBF">
      <w:pPr>
        <w:tabs>
          <w:tab w:val="center" w:pos="4680"/>
        </w:tabs>
        <w:suppressAutoHyphens/>
        <w:spacing w:line="240" w:lineRule="auto"/>
        <w:jc w:val="both"/>
        <w:rPr>
          <w:bCs/>
          <w:spacing w:val="-3"/>
        </w:rPr>
      </w:pPr>
    </w:p>
    <w:p w:rsidR="003D1C18" w:rsidRPr="000C4F02" w:rsidRDefault="003D1C18" w:rsidP="00D07FBF">
      <w:pPr>
        <w:tabs>
          <w:tab w:val="center" w:pos="4680"/>
        </w:tabs>
        <w:suppressAutoHyphens/>
        <w:spacing w:line="240" w:lineRule="auto"/>
        <w:jc w:val="both"/>
        <w:rPr>
          <w:bCs/>
          <w:spacing w:val="-3"/>
        </w:rPr>
      </w:pPr>
    </w:p>
    <w:p w:rsidR="003D1C18" w:rsidRPr="000C4F02" w:rsidRDefault="003D1C18" w:rsidP="00D07FBF">
      <w:pPr>
        <w:tabs>
          <w:tab w:val="center" w:pos="4680"/>
        </w:tabs>
        <w:suppressAutoHyphens/>
        <w:spacing w:line="240" w:lineRule="auto"/>
        <w:jc w:val="both"/>
        <w:rPr>
          <w:bCs/>
          <w:spacing w:val="-3"/>
        </w:rPr>
      </w:pPr>
    </w:p>
    <w:p w:rsidR="00053D24" w:rsidRPr="000C4F02" w:rsidRDefault="009A69E1" w:rsidP="003C4E87">
      <w:pPr>
        <w:tabs>
          <w:tab w:val="left" w:pos="-1440"/>
          <w:tab w:val="left" w:pos="-720"/>
        </w:tabs>
        <w:suppressAutoHyphens/>
        <w:spacing w:line="240" w:lineRule="auto"/>
        <w:ind w:firstLine="0"/>
        <w:rPr>
          <w:spacing w:val="-3"/>
        </w:rPr>
      </w:pPr>
      <w:r w:rsidRPr="000C4F02">
        <w:rPr>
          <w:spacing w:val="-3"/>
        </w:rPr>
        <w:t>Elena Brodski</w:t>
      </w:r>
      <w:r w:rsidRPr="000C4F02">
        <w:rPr>
          <w:spacing w:val="-3"/>
        </w:rPr>
        <w:tab/>
      </w:r>
      <w:r w:rsidR="00774BD7" w:rsidRPr="000C4F02">
        <w:rPr>
          <w:spacing w:val="-3"/>
        </w:rPr>
        <w:tab/>
      </w:r>
      <w:r w:rsidR="00774BD7" w:rsidRPr="000C4F02">
        <w:rPr>
          <w:spacing w:val="-3"/>
        </w:rPr>
        <w:tab/>
      </w:r>
      <w:r w:rsidR="00774BD7" w:rsidRPr="000C4F02">
        <w:rPr>
          <w:spacing w:val="-3"/>
        </w:rPr>
        <w:tab/>
      </w:r>
      <w:r w:rsidR="00774BD7" w:rsidRPr="000C4F02">
        <w:rPr>
          <w:spacing w:val="-3"/>
        </w:rPr>
        <w:tab/>
      </w:r>
      <w:r w:rsidR="00774BD7" w:rsidRPr="000C4F02">
        <w:rPr>
          <w:spacing w:val="-3"/>
        </w:rPr>
        <w:tab/>
      </w:r>
      <w:r w:rsidR="00806C56" w:rsidRPr="000C4F02">
        <w:rPr>
          <w:spacing w:val="-3"/>
        </w:rPr>
        <w:t>:</w:t>
      </w:r>
    </w:p>
    <w:p w:rsidR="00053D24" w:rsidRPr="000C4F02" w:rsidRDefault="00053D24" w:rsidP="003C4E87">
      <w:pPr>
        <w:tabs>
          <w:tab w:val="left" w:pos="-1440"/>
          <w:tab w:val="left" w:pos="-720"/>
        </w:tabs>
        <w:suppressAutoHyphens/>
        <w:spacing w:line="240" w:lineRule="auto"/>
        <w:ind w:firstLine="0"/>
        <w:rPr>
          <w:spacing w:val="-3"/>
        </w:rPr>
      </w:pPr>
      <w:r w:rsidRPr="000C4F02">
        <w:rPr>
          <w:spacing w:val="-3"/>
        </w:rPr>
        <w:tab/>
      </w:r>
      <w:r w:rsidRPr="000C4F02">
        <w:rPr>
          <w:spacing w:val="-3"/>
        </w:rPr>
        <w:tab/>
      </w:r>
      <w:r w:rsidRPr="000C4F02">
        <w:rPr>
          <w:spacing w:val="-3"/>
        </w:rPr>
        <w:tab/>
      </w:r>
      <w:r w:rsidRPr="000C4F02">
        <w:rPr>
          <w:spacing w:val="-3"/>
        </w:rPr>
        <w:tab/>
      </w:r>
      <w:r w:rsidRPr="000C4F02">
        <w:rPr>
          <w:spacing w:val="-3"/>
        </w:rPr>
        <w:tab/>
      </w:r>
      <w:r w:rsidRPr="000C4F02">
        <w:rPr>
          <w:spacing w:val="-3"/>
        </w:rPr>
        <w:tab/>
      </w:r>
      <w:r w:rsidR="00FC0BDA" w:rsidRPr="000C4F02">
        <w:rPr>
          <w:spacing w:val="-3"/>
        </w:rPr>
        <w:tab/>
      </w:r>
      <w:r w:rsidRPr="000C4F02">
        <w:rPr>
          <w:spacing w:val="-3"/>
        </w:rPr>
        <w:t>:</w:t>
      </w:r>
    </w:p>
    <w:p w:rsidR="00053D24" w:rsidRPr="000C4F02" w:rsidRDefault="00053D24" w:rsidP="003C4E87">
      <w:pPr>
        <w:tabs>
          <w:tab w:val="left" w:pos="-1440"/>
          <w:tab w:val="left" w:pos="-720"/>
        </w:tabs>
        <w:suppressAutoHyphens/>
        <w:spacing w:line="240" w:lineRule="auto"/>
        <w:ind w:firstLine="0"/>
        <w:rPr>
          <w:spacing w:val="-3"/>
        </w:rPr>
      </w:pPr>
      <w:r w:rsidRPr="000C4F02">
        <w:rPr>
          <w:spacing w:val="-3"/>
        </w:rPr>
        <w:tab/>
        <w:t>v.</w:t>
      </w:r>
      <w:r w:rsidRPr="000C4F02">
        <w:rPr>
          <w:spacing w:val="-3"/>
        </w:rPr>
        <w:tab/>
      </w:r>
      <w:r w:rsidRPr="000C4F02">
        <w:rPr>
          <w:spacing w:val="-3"/>
        </w:rPr>
        <w:tab/>
      </w:r>
      <w:r w:rsidRPr="000C4F02">
        <w:rPr>
          <w:spacing w:val="-3"/>
        </w:rPr>
        <w:tab/>
      </w:r>
      <w:r w:rsidRPr="000C4F02">
        <w:rPr>
          <w:spacing w:val="-3"/>
        </w:rPr>
        <w:tab/>
      </w:r>
      <w:r w:rsidRPr="000C4F02">
        <w:rPr>
          <w:spacing w:val="-3"/>
        </w:rPr>
        <w:tab/>
      </w:r>
      <w:r w:rsidR="00FC0BDA" w:rsidRPr="000C4F02">
        <w:rPr>
          <w:spacing w:val="-3"/>
        </w:rPr>
        <w:tab/>
      </w:r>
      <w:r w:rsidRPr="000C4F02">
        <w:rPr>
          <w:spacing w:val="-3"/>
        </w:rPr>
        <w:t>:</w:t>
      </w:r>
      <w:r w:rsidR="003D1C18" w:rsidRPr="000C4F02">
        <w:rPr>
          <w:spacing w:val="-3"/>
        </w:rPr>
        <w:tab/>
      </w:r>
      <w:r w:rsidR="003D1C18" w:rsidRPr="000C4F02">
        <w:rPr>
          <w:spacing w:val="-3"/>
        </w:rPr>
        <w:tab/>
      </w:r>
      <w:r w:rsidR="009A69E1" w:rsidRPr="000C4F02">
        <w:rPr>
          <w:spacing w:val="-3"/>
        </w:rPr>
        <w:t>F-2013-2356675</w:t>
      </w:r>
    </w:p>
    <w:p w:rsidR="00053D24" w:rsidRPr="000C4F02" w:rsidRDefault="00053D24" w:rsidP="003C4E87">
      <w:pPr>
        <w:tabs>
          <w:tab w:val="left" w:pos="-1440"/>
          <w:tab w:val="left" w:pos="-720"/>
        </w:tabs>
        <w:suppressAutoHyphens/>
        <w:spacing w:line="240" w:lineRule="auto"/>
        <w:ind w:firstLine="0"/>
        <w:rPr>
          <w:spacing w:val="-3"/>
        </w:rPr>
      </w:pPr>
      <w:r w:rsidRPr="000C4F02">
        <w:rPr>
          <w:spacing w:val="-3"/>
        </w:rPr>
        <w:tab/>
      </w:r>
      <w:r w:rsidRPr="000C4F02">
        <w:rPr>
          <w:spacing w:val="-3"/>
        </w:rPr>
        <w:tab/>
      </w:r>
      <w:r w:rsidRPr="000C4F02">
        <w:rPr>
          <w:spacing w:val="-3"/>
        </w:rPr>
        <w:tab/>
      </w:r>
      <w:r w:rsidRPr="000C4F02">
        <w:rPr>
          <w:spacing w:val="-3"/>
        </w:rPr>
        <w:tab/>
      </w:r>
      <w:r w:rsidRPr="000C4F02">
        <w:rPr>
          <w:spacing w:val="-3"/>
        </w:rPr>
        <w:tab/>
      </w:r>
      <w:r w:rsidRPr="000C4F02">
        <w:rPr>
          <w:spacing w:val="-3"/>
        </w:rPr>
        <w:tab/>
      </w:r>
      <w:r w:rsidR="00FC0BDA" w:rsidRPr="000C4F02">
        <w:rPr>
          <w:spacing w:val="-3"/>
        </w:rPr>
        <w:tab/>
      </w:r>
      <w:r w:rsidRPr="000C4F02">
        <w:rPr>
          <w:spacing w:val="-3"/>
        </w:rPr>
        <w:t>:</w:t>
      </w:r>
    </w:p>
    <w:p w:rsidR="00053D24" w:rsidRPr="000C4F02" w:rsidRDefault="009A69E1" w:rsidP="00D07FBF">
      <w:pPr>
        <w:tabs>
          <w:tab w:val="left" w:pos="-1440"/>
          <w:tab w:val="left" w:pos="-720"/>
        </w:tabs>
        <w:suppressAutoHyphens/>
        <w:spacing w:line="240" w:lineRule="auto"/>
        <w:ind w:firstLine="0"/>
        <w:rPr>
          <w:spacing w:val="-3"/>
        </w:rPr>
      </w:pPr>
      <w:r w:rsidRPr="000C4F02">
        <w:rPr>
          <w:spacing w:val="-3"/>
        </w:rPr>
        <w:t>Philadelphia Gas Works</w:t>
      </w:r>
      <w:r w:rsidRPr="000C4F02">
        <w:rPr>
          <w:spacing w:val="-3"/>
        </w:rPr>
        <w:tab/>
      </w:r>
      <w:r w:rsidR="00C06528" w:rsidRPr="000C4F02">
        <w:rPr>
          <w:spacing w:val="-3"/>
        </w:rPr>
        <w:tab/>
      </w:r>
      <w:r w:rsidR="00A43D1A" w:rsidRPr="000C4F02">
        <w:rPr>
          <w:spacing w:val="-3"/>
        </w:rPr>
        <w:tab/>
      </w:r>
      <w:r w:rsidR="00C06528" w:rsidRPr="000C4F02">
        <w:rPr>
          <w:spacing w:val="-3"/>
        </w:rPr>
        <w:tab/>
        <w:t>:</w:t>
      </w:r>
    </w:p>
    <w:p w:rsidR="003D1C18" w:rsidRPr="000C4F02" w:rsidRDefault="003D1C18" w:rsidP="00D07FBF">
      <w:pPr>
        <w:tabs>
          <w:tab w:val="left" w:pos="-1440"/>
          <w:tab w:val="left" w:pos="-720"/>
        </w:tabs>
        <w:suppressAutoHyphens/>
        <w:spacing w:line="240" w:lineRule="auto"/>
        <w:rPr>
          <w:spacing w:val="-3"/>
        </w:rPr>
      </w:pPr>
    </w:p>
    <w:p w:rsidR="003D1C18" w:rsidRPr="000C4F02" w:rsidRDefault="003D1C18" w:rsidP="00D07FBF">
      <w:pPr>
        <w:tabs>
          <w:tab w:val="left" w:pos="-1440"/>
          <w:tab w:val="left" w:pos="-720"/>
        </w:tabs>
        <w:suppressAutoHyphens/>
        <w:spacing w:line="240" w:lineRule="auto"/>
        <w:rPr>
          <w:spacing w:val="-3"/>
        </w:rPr>
      </w:pPr>
    </w:p>
    <w:p w:rsidR="003D1C18" w:rsidRPr="000C4F02" w:rsidRDefault="003D1C18" w:rsidP="00D07FBF">
      <w:pPr>
        <w:tabs>
          <w:tab w:val="left" w:pos="-1440"/>
          <w:tab w:val="left" w:pos="-720"/>
        </w:tabs>
        <w:suppressAutoHyphens/>
        <w:spacing w:line="240" w:lineRule="auto"/>
        <w:rPr>
          <w:spacing w:val="-3"/>
        </w:rPr>
      </w:pPr>
    </w:p>
    <w:p w:rsidR="00053D24" w:rsidRPr="000C4F02" w:rsidRDefault="00053D24" w:rsidP="003C4E87">
      <w:pPr>
        <w:tabs>
          <w:tab w:val="center" w:pos="4680"/>
        </w:tabs>
        <w:suppressAutoHyphens/>
        <w:spacing w:line="240" w:lineRule="auto"/>
        <w:ind w:firstLine="0"/>
        <w:jc w:val="center"/>
        <w:rPr>
          <w:b/>
          <w:bCs/>
          <w:spacing w:val="-3"/>
          <w:u w:val="single"/>
        </w:rPr>
      </w:pPr>
      <w:r w:rsidRPr="000C4F02">
        <w:rPr>
          <w:b/>
          <w:bCs/>
          <w:spacing w:val="-3"/>
          <w:u w:val="single"/>
        </w:rPr>
        <w:t>INITIAL DECISION</w:t>
      </w:r>
    </w:p>
    <w:p w:rsidR="003D1C18" w:rsidRPr="000C4F02" w:rsidRDefault="003D1C18" w:rsidP="003C4E87">
      <w:pPr>
        <w:tabs>
          <w:tab w:val="center" w:pos="4680"/>
        </w:tabs>
        <w:suppressAutoHyphens/>
        <w:spacing w:line="240" w:lineRule="auto"/>
        <w:ind w:firstLine="0"/>
        <w:jc w:val="center"/>
        <w:rPr>
          <w:bCs/>
          <w:spacing w:val="-3"/>
        </w:rPr>
      </w:pPr>
    </w:p>
    <w:p w:rsidR="003D1C18" w:rsidRPr="000C4F02" w:rsidRDefault="003D1C18" w:rsidP="003C4E87">
      <w:pPr>
        <w:tabs>
          <w:tab w:val="center" w:pos="4680"/>
        </w:tabs>
        <w:suppressAutoHyphens/>
        <w:spacing w:line="240" w:lineRule="auto"/>
        <w:ind w:firstLine="0"/>
        <w:jc w:val="center"/>
        <w:rPr>
          <w:bCs/>
          <w:spacing w:val="-3"/>
        </w:rPr>
      </w:pPr>
    </w:p>
    <w:p w:rsidR="00053D24" w:rsidRPr="000C4F02" w:rsidRDefault="00053D24" w:rsidP="003C4E87">
      <w:pPr>
        <w:tabs>
          <w:tab w:val="center" w:pos="4680"/>
        </w:tabs>
        <w:suppressAutoHyphens/>
        <w:spacing w:line="240" w:lineRule="auto"/>
        <w:ind w:firstLine="0"/>
        <w:jc w:val="center"/>
        <w:rPr>
          <w:spacing w:val="-3"/>
        </w:rPr>
      </w:pPr>
      <w:r w:rsidRPr="000C4F02">
        <w:rPr>
          <w:spacing w:val="-3"/>
        </w:rPr>
        <w:t>Before</w:t>
      </w:r>
    </w:p>
    <w:p w:rsidR="00053D24" w:rsidRPr="000C4F02" w:rsidRDefault="0027299F" w:rsidP="003C4E87">
      <w:pPr>
        <w:tabs>
          <w:tab w:val="center" w:pos="4680"/>
        </w:tabs>
        <w:suppressAutoHyphens/>
        <w:spacing w:line="240" w:lineRule="auto"/>
        <w:ind w:firstLine="0"/>
        <w:jc w:val="center"/>
        <w:rPr>
          <w:spacing w:val="-3"/>
        </w:rPr>
      </w:pPr>
      <w:r w:rsidRPr="000C4F02">
        <w:rPr>
          <w:spacing w:val="-3"/>
        </w:rPr>
        <w:t>Elizabeth H. Barnes</w:t>
      </w:r>
    </w:p>
    <w:p w:rsidR="00053D24" w:rsidRPr="000C4F02" w:rsidRDefault="00053D24" w:rsidP="00D07FBF">
      <w:pPr>
        <w:tabs>
          <w:tab w:val="center" w:pos="4680"/>
        </w:tabs>
        <w:suppressAutoHyphens/>
        <w:spacing w:line="240" w:lineRule="auto"/>
        <w:ind w:firstLine="0"/>
        <w:jc w:val="center"/>
        <w:rPr>
          <w:spacing w:val="-3"/>
        </w:rPr>
      </w:pPr>
      <w:r w:rsidRPr="000C4F02">
        <w:rPr>
          <w:spacing w:val="-3"/>
        </w:rPr>
        <w:t>Administrative Law Judge</w:t>
      </w:r>
    </w:p>
    <w:p w:rsidR="003D1C18" w:rsidRPr="000C4F02" w:rsidRDefault="003D1C18" w:rsidP="00D07FBF">
      <w:pPr>
        <w:tabs>
          <w:tab w:val="center" w:pos="4680"/>
        </w:tabs>
        <w:suppressAutoHyphens/>
        <w:spacing w:line="240" w:lineRule="auto"/>
        <w:rPr>
          <w:spacing w:val="-3"/>
        </w:rPr>
      </w:pPr>
    </w:p>
    <w:p w:rsidR="003D1C18" w:rsidRPr="000C4F02" w:rsidRDefault="003D1C18" w:rsidP="00D07FBF">
      <w:pPr>
        <w:tabs>
          <w:tab w:val="center" w:pos="4680"/>
        </w:tabs>
        <w:suppressAutoHyphens/>
        <w:spacing w:line="240" w:lineRule="auto"/>
        <w:rPr>
          <w:spacing w:val="-3"/>
        </w:rPr>
      </w:pPr>
    </w:p>
    <w:p w:rsidR="00053D24" w:rsidRPr="000C4F02" w:rsidRDefault="00053D24" w:rsidP="00D07FBF">
      <w:pPr>
        <w:tabs>
          <w:tab w:val="center" w:pos="4680"/>
        </w:tabs>
        <w:suppressAutoHyphens/>
        <w:spacing w:line="240" w:lineRule="auto"/>
        <w:ind w:firstLine="0"/>
        <w:jc w:val="center"/>
        <w:rPr>
          <w:spacing w:val="-3"/>
          <w:u w:val="single"/>
        </w:rPr>
      </w:pPr>
      <w:r w:rsidRPr="000C4F02">
        <w:rPr>
          <w:spacing w:val="-3"/>
          <w:u w:val="single"/>
        </w:rPr>
        <w:t>HISTORY OF THE PROCEEDING</w:t>
      </w:r>
    </w:p>
    <w:p w:rsidR="003D1C18" w:rsidRPr="000C4F02" w:rsidRDefault="003D1C18" w:rsidP="00D07FBF">
      <w:pPr>
        <w:tabs>
          <w:tab w:val="center" w:pos="4680"/>
        </w:tabs>
        <w:suppressAutoHyphens/>
        <w:spacing w:line="240" w:lineRule="auto"/>
        <w:ind w:firstLine="0"/>
        <w:jc w:val="center"/>
        <w:rPr>
          <w:spacing w:val="-3"/>
          <w:u w:val="single"/>
        </w:rPr>
      </w:pPr>
    </w:p>
    <w:p w:rsidR="003D1C18" w:rsidRPr="000C4F02" w:rsidRDefault="003D1C18" w:rsidP="00D07FBF">
      <w:pPr>
        <w:tabs>
          <w:tab w:val="center" w:pos="4680"/>
        </w:tabs>
        <w:suppressAutoHyphens/>
        <w:spacing w:line="240" w:lineRule="auto"/>
        <w:ind w:firstLine="0"/>
        <w:jc w:val="center"/>
        <w:rPr>
          <w:spacing w:val="-3"/>
          <w:u w:val="single"/>
        </w:rPr>
      </w:pPr>
    </w:p>
    <w:p w:rsidR="009A69E1" w:rsidRPr="000C4F02" w:rsidRDefault="006928EB" w:rsidP="009A11B9">
      <w:pPr>
        <w:tabs>
          <w:tab w:val="left" w:pos="-1440"/>
          <w:tab w:val="left" w:pos="-720"/>
        </w:tabs>
        <w:suppressAutoHyphens/>
        <w:rPr>
          <w:spacing w:val="-3"/>
        </w:rPr>
      </w:pPr>
      <w:r w:rsidRPr="000C4F02">
        <w:rPr>
          <w:spacing w:val="-3"/>
        </w:rPr>
        <w:t>On</w:t>
      </w:r>
      <w:r w:rsidR="003E6C5B" w:rsidRPr="000C4F02">
        <w:rPr>
          <w:spacing w:val="-3"/>
        </w:rPr>
        <w:t xml:space="preserve"> </w:t>
      </w:r>
      <w:r w:rsidR="009A69E1" w:rsidRPr="000C4F02">
        <w:rPr>
          <w:spacing w:val="-3"/>
        </w:rPr>
        <w:t>March 25, 2013</w:t>
      </w:r>
      <w:r w:rsidRPr="000C4F02">
        <w:rPr>
          <w:spacing w:val="-3"/>
        </w:rPr>
        <w:t xml:space="preserve">, </w:t>
      </w:r>
      <w:r w:rsidR="009A69E1" w:rsidRPr="000C4F02">
        <w:rPr>
          <w:spacing w:val="-3"/>
        </w:rPr>
        <w:t>Elena Brodski</w:t>
      </w:r>
      <w:r w:rsidR="00214803" w:rsidRPr="000C4F02">
        <w:rPr>
          <w:spacing w:val="-3"/>
        </w:rPr>
        <w:t xml:space="preserve"> </w:t>
      </w:r>
      <w:r w:rsidR="00990E8D" w:rsidRPr="000C4F02">
        <w:rPr>
          <w:spacing w:val="-3"/>
        </w:rPr>
        <w:t>(</w:t>
      </w:r>
      <w:r w:rsidR="00667DCD" w:rsidRPr="000C4F02">
        <w:rPr>
          <w:spacing w:val="-3"/>
        </w:rPr>
        <w:t>C</w:t>
      </w:r>
      <w:r w:rsidR="00275012" w:rsidRPr="000C4F02">
        <w:rPr>
          <w:spacing w:val="-3"/>
        </w:rPr>
        <w:t>omplainant</w:t>
      </w:r>
      <w:r w:rsidR="00990E8D" w:rsidRPr="000C4F02">
        <w:rPr>
          <w:spacing w:val="-3"/>
        </w:rPr>
        <w:t>)</w:t>
      </w:r>
      <w:r w:rsidR="00053D24" w:rsidRPr="000C4F02">
        <w:rPr>
          <w:spacing w:val="-3"/>
        </w:rPr>
        <w:t xml:space="preserve"> filed a formal Complaint (Complaint) with </w:t>
      </w:r>
      <w:r w:rsidR="00275012" w:rsidRPr="000C4F02">
        <w:rPr>
          <w:spacing w:val="-3"/>
        </w:rPr>
        <w:t xml:space="preserve">the </w:t>
      </w:r>
      <w:r w:rsidR="00990E8D" w:rsidRPr="000C4F02">
        <w:rPr>
          <w:spacing w:val="-3"/>
        </w:rPr>
        <w:t xml:space="preserve">Pennsylvania Public Utility </w:t>
      </w:r>
      <w:r w:rsidR="00275012" w:rsidRPr="000C4F02">
        <w:rPr>
          <w:spacing w:val="-3"/>
        </w:rPr>
        <w:t>Commission</w:t>
      </w:r>
      <w:r w:rsidR="00952E03" w:rsidRPr="000C4F02">
        <w:rPr>
          <w:spacing w:val="-3"/>
        </w:rPr>
        <w:t xml:space="preserve"> (Commission)</w:t>
      </w:r>
      <w:r w:rsidR="00275012" w:rsidRPr="000C4F02">
        <w:rPr>
          <w:spacing w:val="-3"/>
        </w:rPr>
        <w:t xml:space="preserve"> </w:t>
      </w:r>
      <w:r w:rsidR="00053D24" w:rsidRPr="000C4F02">
        <w:rPr>
          <w:spacing w:val="-3"/>
        </w:rPr>
        <w:t xml:space="preserve">against </w:t>
      </w:r>
      <w:r w:rsidR="009A69E1" w:rsidRPr="000C4F02">
        <w:rPr>
          <w:spacing w:val="-3"/>
        </w:rPr>
        <w:t>Philadelphia</w:t>
      </w:r>
      <w:r w:rsidR="00651443" w:rsidRPr="000C4F02">
        <w:rPr>
          <w:spacing w:val="-3"/>
        </w:rPr>
        <w:t xml:space="preserve"> Gas </w:t>
      </w:r>
      <w:r w:rsidR="009A69E1" w:rsidRPr="000C4F02">
        <w:rPr>
          <w:spacing w:val="-3"/>
        </w:rPr>
        <w:t>Works</w:t>
      </w:r>
      <w:r w:rsidR="00A43D1A" w:rsidRPr="000C4F02">
        <w:rPr>
          <w:spacing w:val="-3"/>
        </w:rPr>
        <w:t xml:space="preserve"> </w:t>
      </w:r>
      <w:r w:rsidR="00053D24" w:rsidRPr="000C4F02">
        <w:rPr>
          <w:spacing w:val="-3"/>
        </w:rPr>
        <w:t>(</w:t>
      </w:r>
      <w:r w:rsidR="009A69E1" w:rsidRPr="000C4F02">
        <w:rPr>
          <w:spacing w:val="-3"/>
        </w:rPr>
        <w:t>R</w:t>
      </w:r>
      <w:r w:rsidR="00053D24" w:rsidRPr="000C4F02">
        <w:rPr>
          <w:spacing w:val="-3"/>
        </w:rPr>
        <w:t>espondent</w:t>
      </w:r>
      <w:r w:rsidR="00A02613" w:rsidRPr="000C4F02">
        <w:rPr>
          <w:spacing w:val="-3"/>
        </w:rPr>
        <w:t xml:space="preserve"> or </w:t>
      </w:r>
      <w:r w:rsidR="009A69E1" w:rsidRPr="000C4F02">
        <w:rPr>
          <w:spacing w:val="-3"/>
        </w:rPr>
        <w:t>PGW</w:t>
      </w:r>
      <w:r w:rsidR="00A02613" w:rsidRPr="000C4F02">
        <w:rPr>
          <w:spacing w:val="-3"/>
        </w:rPr>
        <w:t>)</w:t>
      </w:r>
      <w:r w:rsidR="00053D24" w:rsidRPr="000C4F02">
        <w:rPr>
          <w:spacing w:val="-3"/>
        </w:rPr>
        <w:t xml:space="preserve">, </w:t>
      </w:r>
      <w:r w:rsidR="00275012" w:rsidRPr="000C4F02">
        <w:rPr>
          <w:spacing w:val="-3"/>
        </w:rPr>
        <w:t xml:space="preserve">at </w:t>
      </w:r>
      <w:r w:rsidR="00053D24" w:rsidRPr="000C4F02">
        <w:rPr>
          <w:spacing w:val="-3"/>
        </w:rPr>
        <w:t xml:space="preserve">Docket Number </w:t>
      </w:r>
      <w:r w:rsidR="009A69E1" w:rsidRPr="000C4F02">
        <w:rPr>
          <w:spacing w:val="-3"/>
        </w:rPr>
        <w:t>F-2013-2356675</w:t>
      </w:r>
      <w:r w:rsidR="00053D24" w:rsidRPr="000C4F02">
        <w:rPr>
          <w:spacing w:val="-3"/>
        </w:rPr>
        <w:t>.</w:t>
      </w:r>
      <w:r w:rsidR="00160870" w:rsidRPr="000C4F02">
        <w:rPr>
          <w:spacing w:val="-3"/>
        </w:rPr>
        <w:t xml:space="preserve"> </w:t>
      </w:r>
      <w:r w:rsidR="009A11B9" w:rsidRPr="000C4F02">
        <w:rPr>
          <w:spacing w:val="-3"/>
        </w:rPr>
        <w:t xml:space="preserve"> </w:t>
      </w:r>
      <w:r w:rsidR="00160870" w:rsidRPr="000C4F02">
        <w:rPr>
          <w:spacing w:val="-3"/>
        </w:rPr>
        <w:t xml:space="preserve">The </w:t>
      </w:r>
      <w:r w:rsidR="00667DCD" w:rsidRPr="000C4F02">
        <w:rPr>
          <w:spacing w:val="-3"/>
        </w:rPr>
        <w:t>C</w:t>
      </w:r>
      <w:r w:rsidR="00160870" w:rsidRPr="000C4F02">
        <w:rPr>
          <w:spacing w:val="-3"/>
        </w:rPr>
        <w:t>omplain</w:t>
      </w:r>
      <w:r w:rsidR="00D646E8" w:rsidRPr="000C4F02">
        <w:rPr>
          <w:spacing w:val="-3"/>
        </w:rPr>
        <w:t>ant</w:t>
      </w:r>
      <w:r w:rsidR="00651443" w:rsidRPr="000C4F02">
        <w:rPr>
          <w:spacing w:val="-3"/>
        </w:rPr>
        <w:t xml:space="preserve"> averred there were incorrect charges on her gas bill</w:t>
      </w:r>
      <w:r w:rsidR="009A69E1" w:rsidRPr="000C4F02">
        <w:rPr>
          <w:spacing w:val="-3"/>
        </w:rPr>
        <w:t>, that the bills were too high given the fact that the first floor of the building is vacant, that the meter should be tested</w:t>
      </w:r>
      <w:r w:rsidR="00443638" w:rsidRPr="000C4F02">
        <w:rPr>
          <w:spacing w:val="-3"/>
        </w:rPr>
        <w:t>, and</w:t>
      </w:r>
      <w:r w:rsidR="009A69E1" w:rsidRPr="000C4F02">
        <w:rPr>
          <w:spacing w:val="-3"/>
        </w:rPr>
        <w:t xml:space="preserve"> </w:t>
      </w:r>
      <w:r w:rsidR="00443638" w:rsidRPr="000C4F02">
        <w:rPr>
          <w:spacing w:val="-3"/>
        </w:rPr>
        <w:t xml:space="preserve">that </w:t>
      </w:r>
      <w:r w:rsidR="009A69E1" w:rsidRPr="000C4F02">
        <w:rPr>
          <w:spacing w:val="-3"/>
        </w:rPr>
        <w:t>an investigation should be made into possible theft of her gas service from neighbors.</w:t>
      </w:r>
      <w:r w:rsidR="00C06E6D" w:rsidRPr="000C4F02">
        <w:rPr>
          <w:rStyle w:val="FootnoteReference"/>
          <w:spacing w:val="-3"/>
        </w:rPr>
        <w:footnoteReference w:id="1"/>
      </w:r>
    </w:p>
    <w:p w:rsidR="009A69E1" w:rsidRPr="000C4F02" w:rsidRDefault="009A69E1" w:rsidP="009A11B9">
      <w:pPr>
        <w:tabs>
          <w:tab w:val="left" w:pos="-1440"/>
          <w:tab w:val="left" w:pos="-720"/>
        </w:tabs>
        <w:suppressAutoHyphens/>
        <w:rPr>
          <w:spacing w:val="-3"/>
        </w:rPr>
      </w:pPr>
    </w:p>
    <w:p w:rsidR="009A11B9" w:rsidRDefault="009A69E1" w:rsidP="009A11B9">
      <w:pPr>
        <w:tabs>
          <w:tab w:val="left" w:pos="-1440"/>
          <w:tab w:val="left" w:pos="-720"/>
        </w:tabs>
        <w:suppressAutoHyphens/>
        <w:rPr>
          <w:spacing w:val="-3"/>
        </w:rPr>
      </w:pPr>
      <w:r w:rsidRPr="000C4F02">
        <w:rPr>
          <w:spacing w:val="-3"/>
        </w:rPr>
        <w:t xml:space="preserve">PGW filed an Answer on April 29, 2013, </w:t>
      </w:r>
      <w:r w:rsidR="003E6C5B" w:rsidRPr="000C4F02">
        <w:rPr>
          <w:spacing w:val="-3"/>
        </w:rPr>
        <w:t xml:space="preserve">denying that </w:t>
      </w:r>
      <w:r w:rsidR="00214803" w:rsidRPr="000C4F02">
        <w:rPr>
          <w:spacing w:val="-3"/>
        </w:rPr>
        <w:t>it</w:t>
      </w:r>
      <w:r w:rsidR="00651443" w:rsidRPr="000C4F02">
        <w:rPr>
          <w:spacing w:val="-3"/>
        </w:rPr>
        <w:t xml:space="preserve"> incorrectly charged </w:t>
      </w:r>
      <w:r w:rsidR="00C472DF">
        <w:rPr>
          <w:spacing w:val="-3"/>
        </w:rPr>
        <w:t>C</w:t>
      </w:r>
      <w:r w:rsidR="00651443" w:rsidRPr="000C4F02">
        <w:rPr>
          <w:spacing w:val="-3"/>
        </w:rPr>
        <w:t>omplainant</w:t>
      </w:r>
      <w:r w:rsidRPr="000C4F02">
        <w:rPr>
          <w:spacing w:val="-3"/>
        </w:rPr>
        <w:t xml:space="preserve"> and </w:t>
      </w:r>
      <w:r w:rsidR="00C06E6D" w:rsidRPr="000C4F02">
        <w:rPr>
          <w:spacing w:val="-3"/>
        </w:rPr>
        <w:t>averring</w:t>
      </w:r>
      <w:r w:rsidRPr="000C4F02">
        <w:rPr>
          <w:spacing w:val="-3"/>
        </w:rPr>
        <w:t xml:space="preserve"> that</w:t>
      </w:r>
      <w:r w:rsidR="00C06E6D" w:rsidRPr="000C4F02">
        <w:rPr>
          <w:spacing w:val="-3"/>
        </w:rPr>
        <w:t xml:space="preserve"> it had conducted a high bill investigation in December, 2012, and had found no evidence of either foreign load or incorrect billing.  Respondent further avers that on March 8, 2013, Complainant enrolled in the Customer Responsibility Program (CRP) with a monthly CRP payment of $149 based upon Complainant’s reported income. </w:t>
      </w:r>
      <w:r w:rsidR="00C472DF">
        <w:rPr>
          <w:spacing w:val="-3"/>
        </w:rPr>
        <w:t xml:space="preserve"> </w:t>
      </w:r>
      <w:r w:rsidR="00C06E6D" w:rsidRPr="000C4F02">
        <w:rPr>
          <w:spacing w:val="-3"/>
        </w:rPr>
        <w:t>Further,</w:t>
      </w:r>
      <w:r w:rsidRPr="000C4F02">
        <w:rPr>
          <w:spacing w:val="-3"/>
        </w:rPr>
        <w:t xml:space="preserve"> Complainant’s meter had been pulled on March 28, 2013</w:t>
      </w:r>
      <w:r w:rsidR="00B50009">
        <w:rPr>
          <w:spacing w:val="-3"/>
        </w:rPr>
        <w:t>, and a meter test was pending.</w:t>
      </w:r>
    </w:p>
    <w:p w:rsidR="009F4358" w:rsidRPr="000C4F02" w:rsidRDefault="00667DCD" w:rsidP="00443638">
      <w:pPr>
        <w:tabs>
          <w:tab w:val="left" w:pos="-1440"/>
          <w:tab w:val="left" w:pos="-720"/>
        </w:tabs>
        <w:suppressAutoHyphens/>
        <w:rPr>
          <w:spacing w:val="-3"/>
        </w:rPr>
      </w:pPr>
      <w:r w:rsidRPr="000C4F02">
        <w:rPr>
          <w:spacing w:val="-3"/>
        </w:rPr>
        <w:lastRenderedPageBreak/>
        <w:t>A</w:t>
      </w:r>
      <w:r w:rsidR="00A02613" w:rsidRPr="000C4F02">
        <w:rPr>
          <w:spacing w:val="-3"/>
        </w:rPr>
        <w:t xml:space="preserve"> </w:t>
      </w:r>
      <w:r w:rsidRPr="000C4F02">
        <w:rPr>
          <w:spacing w:val="-3"/>
        </w:rPr>
        <w:t>H</w:t>
      </w:r>
      <w:r w:rsidR="00A02613" w:rsidRPr="000C4F02">
        <w:rPr>
          <w:spacing w:val="-3"/>
        </w:rPr>
        <w:t xml:space="preserve">earing </w:t>
      </w:r>
      <w:r w:rsidR="006928EB" w:rsidRPr="000C4F02">
        <w:rPr>
          <w:spacing w:val="-3"/>
        </w:rPr>
        <w:t>was</w:t>
      </w:r>
      <w:r w:rsidR="00A02613" w:rsidRPr="000C4F02">
        <w:rPr>
          <w:spacing w:val="-3"/>
        </w:rPr>
        <w:t xml:space="preserve"> scheduled to be held </w:t>
      </w:r>
      <w:r w:rsidR="006928EB" w:rsidRPr="000C4F02">
        <w:rPr>
          <w:spacing w:val="-3"/>
        </w:rPr>
        <w:t xml:space="preserve">telephonically on </w:t>
      </w:r>
      <w:r w:rsidR="00C06E6D" w:rsidRPr="000C4F02">
        <w:rPr>
          <w:spacing w:val="-3"/>
        </w:rPr>
        <w:t>September 9, 2013</w:t>
      </w:r>
      <w:r w:rsidR="006928EB" w:rsidRPr="000C4F02">
        <w:rPr>
          <w:spacing w:val="-3"/>
        </w:rPr>
        <w:t>.</w:t>
      </w:r>
      <w:r w:rsidR="00CE7331" w:rsidRPr="000C4F02">
        <w:rPr>
          <w:spacing w:val="-3"/>
        </w:rPr>
        <w:t xml:space="preserve">  </w:t>
      </w:r>
      <w:r w:rsidR="00A76C93" w:rsidRPr="000C4F02">
        <w:t>I issued a</w:t>
      </w:r>
      <w:r w:rsidR="00BE0C26" w:rsidRPr="000C4F02">
        <w:t xml:space="preserve"> Prehearing Order dated </w:t>
      </w:r>
      <w:r w:rsidR="00C06E6D" w:rsidRPr="000C4F02">
        <w:t>July 26, 2013</w:t>
      </w:r>
      <w:r w:rsidR="00443638" w:rsidRPr="000C4F02">
        <w:t>.  I</w:t>
      </w:r>
      <w:r w:rsidR="009F4358" w:rsidRPr="000C4F02">
        <w:rPr>
          <w:spacing w:val="-3"/>
        </w:rPr>
        <w:t xml:space="preserve">n accordance with the terms of the Prehearing Order, </w:t>
      </w:r>
      <w:r w:rsidRPr="000C4F02">
        <w:rPr>
          <w:spacing w:val="-3"/>
        </w:rPr>
        <w:t>R</w:t>
      </w:r>
      <w:r w:rsidR="009F4358" w:rsidRPr="000C4F02">
        <w:rPr>
          <w:spacing w:val="-3"/>
        </w:rPr>
        <w:t xml:space="preserve">espondent served </w:t>
      </w:r>
      <w:r w:rsidR="00C06E6D" w:rsidRPr="000C4F02">
        <w:rPr>
          <w:spacing w:val="-3"/>
        </w:rPr>
        <w:t>5</w:t>
      </w:r>
      <w:r w:rsidR="009F4358" w:rsidRPr="000C4F02">
        <w:rPr>
          <w:spacing w:val="-3"/>
        </w:rPr>
        <w:t xml:space="preserve"> proposed exhibits for possible use at the Hearing.</w:t>
      </w:r>
      <w:r w:rsidR="00C06E6D" w:rsidRPr="000C4F02">
        <w:rPr>
          <w:spacing w:val="-3"/>
        </w:rPr>
        <w:t xml:space="preserve">  Complainant served 1 proposed exhibit.</w:t>
      </w:r>
    </w:p>
    <w:p w:rsidR="00EF6495" w:rsidRPr="000C4F02" w:rsidRDefault="00EF6495" w:rsidP="003C4E87">
      <w:pPr>
        <w:tabs>
          <w:tab w:val="left" w:pos="-1440"/>
          <w:tab w:val="left" w:pos="-720"/>
        </w:tabs>
        <w:suppressAutoHyphens/>
        <w:rPr>
          <w:spacing w:val="-3"/>
        </w:rPr>
      </w:pPr>
    </w:p>
    <w:p w:rsidR="001142E3" w:rsidRDefault="00053D24" w:rsidP="00B43F05">
      <w:pPr>
        <w:tabs>
          <w:tab w:val="left" w:pos="-1440"/>
          <w:tab w:val="left" w:pos="-720"/>
        </w:tabs>
        <w:suppressAutoHyphens/>
        <w:rPr>
          <w:spacing w:val="-3"/>
        </w:rPr>
      </w:pPr>
      <w:r w:rsidRPr="000C4F02">
        <w:rPr>
          <w:spacing w:val="-3"/>
        </w:rPr>
        <w:t xml:space="preserve">The </w:t>
      </w:r>
      <w:r w:rsidR="004F4D00" w:rsidRPr="000C4F02">
        <w:rPr>
          <w:spacing w:val="-3"/>
        </w:rPr>
        <w:t xml:space="preserve">Hearing </w:t>
      </w:r>
      <w:r w:rsidRPr="000C4F02">
        <w:rPr>
          <w:spacing w:val="-3"/>
        </w:rPr>
        <w:t xml:space="preserve">convened </w:t>
      </w:r>
      <w:r w:rsidR="00AD4008" w:rsidRPr="000C4F02">
        <w:rPr>
          <w:spacing w:val="-3"/>
        </w:rPr>
        <w:t xml:space="preserve">at </w:t>
      </w:r>
      <w:r w:rsidR="00C06E6D" w:rsidRPr="000C4F02">
        <w:rPr>
          <w:spacing w:val="-3"/>
        </w:rPr>
        <w:t>2</w:t>
      </w:r>
      <w:r w:rsidR="00AD4008" w:rsidRPr="000C4F02">
        <w:rPr>
          <w:spacing w:val="-3"/>
        </w:rPr>
        <w:t xml:space="preserve">:00 </w:t>
      </w:r>
      <w:r w:rsidR="00C06E6D" w:rsidRPr="000C4F02">
        <w:rPr>
          <w:spacing w:val="-3"/>
        </w:rPr>
        <w:t>p</w:t>
      </w:r>
      <w:r w:rsidR="00AD4008" w:rsidRPr="000C4F02">
        <w:rPr>
          <w:spacing w:val="-3"/>
        </w:rPr>
        <w:t xml:space="preserve">.m., </w:t>
      </w:r>
      <w:r w:rsidRPr="000C4F02">
        <w:rPr>
          <w:spacing w:val="-3"/>
        </w:rPr>
        <w:t>as scheduled</w:t>
      </w:r>
      <w:r w:rsidR="00AD4008" w:rsidRPr="000C4F02">
        <w:rPr>
          <w:spacing w:val="-3"/>
        </w:rPr>
        <w:t>,</w:t>
      </w:r>
      <w:r w:rsidRPr="000C4F02">
        <w:rPr>
          <w:spacing w:val="-3"/>
        </w:rPr>
        <w:t xml:space="preserve"> on </w:t>
      </w:r>
      <w:r w:rsidR="00C06E6D" w:rsidRPr="000C4F02">
        <w:rPr>
          <w:spacing w:val="-3"/>
        </w:rPr>
        <w:t>September 9, 2013</w:t>
      </w:r>
      <w:r w:rsidRPr="000C4F02">
        <w:rPr>
          <w:spacing w:val="-3"/>
        </w:rPr>
        <w:t xml:space="preserve">.  Respondent’s attorney, </w:t>
      </w:r>
      <w:r w:rsidR="00463719" w:rsidRPr="000C4F02">
        <w:rPr>
          <w:spacing w:val="-3"/>
        </w:rPr>
        <w:t>Laureto Farinas,</w:t>
      </w:r>
      <w:r w:rsidRPr="000C4F02">
        <w:rPr>
          <w:spacing w:val="-3"/>
        </w:rPr>
        <w:t xml:space="preserve"> Esquire, </w:t>
      </w:r>
      <w:r w:rsidR="00BC25E6" w:rsidRPr="000C4F02">
        <w:rPr>
          <w:spacing w:val="-3"/>
        </w:rPr>
        <w:t>and</w:t>
      </w:r>
      <w:r w:rsidR="00A81FF1" w:rsidRPr="000C4F02">
        <w:rPr>
          <w:spacing w:val="-3"/>
        </w:rPr>
        <w:t xml:space="preserve"> one</w:t>
      </w:r>
      <w:r w:rsidR="00AD7EE1" w:rsidRPr="000C4F02">
        <w:rPr>
          <w:spacing w:val="-3"/>
        </w:rPr>
        <w:t xml:space="preserve"> witness </w:t>
      </w:r>
      <w:r w:rsidR="00BC25E6" w:rsidRPr="000C4F02">
        <w:rPr>
          <w:spacing w:val="-3"/>
        </w:rPr>
        <w:t xml:space="preserve">for respondent, </w:t>
      </w:r>
      <w:r w:rsidR="00463719" w:rsidRPr="000C4F02">
        <w:rPr>
          <w:spacing w:val="-3"/>
        </w:rPr>
        <w:t xml:space="preserve">Wendy Vacca, appeared for Respondent. </w:t>
      </w:r>
      <w:r w:rsidR="00C52692" w:rsidRPr="000C4F02">
        <w:rPr>
          <w:spacing w:val="-3"/>
        </w:rPr>
        <w:t xml:space="preserve"> </w:t>
      </w:r>
      <w:r w:rsidR="00463719" w:rsidRPr="000C4F02">
        <w:rPr>
          <w:spacing w:val="-3"/>
        </w:rPr>
        <w:t xml:space="preserve">Elena Brodski appeared and testified </w:t>
      </w:r>
      <w:r w:rsidR="00463719" w:rsidRPr="00C472DF">
        <w:rPr>
          <w:i/>
          <w:spacing w:val="-3"/>
        </w:rPr>
        <w:t>pro se</w:t>
      </w:r>
      <w:r w:rsidR="00463719" w:rsidRPr="000C4F02">
        <w:rPr>
          <w:spacing w:val="-3"/>
        </w:rPr>
        <w:t>.  Ludmila P. Annable, a</w:t>
      </w:r>
      <w:r w:rsidR="00443638" w:rsidRPr="000C4F02">
        <w:rPr>
          <w:spacing w:val="-3"/>
        </w:rPr>
        <w:t xml:space="preserve"> Russian</w:t>
      </w:r>
      <w:r w:rsidR="00463719" w:rsidRPr="000C4F02">
        <w:rPr>
          <w:spacing w:val="-3"/>
        </w:rPr>
        <w:t xml:space="preserve"> Interpreter </w:t>
      </w:r>
      <w:r w:rsidR="00C472DF">
        <w:rPr>
          <w:spacing w:val="-3"/>
        </w:rPr>
        <w:t xml:space="preserve">hired by the Office of Administrative Law Judge upon </w:t>
      </w:r>
      <w:r w:rsidR="00463719" w:rsidRPr="000C4F02">
        <w:rPr>
          <w:spacing w:val="-3"/>
        </w:rPr>
        <w:t>Complainant</w:t>
      </w:r>
      <w:r w:rsidR="00C472DF">
        <w:rPr>
          <w:spacing w:val="-3"/>
        </w:rPr>
        <w:t>’s request for an interpreter</w:t>
      </w:r>
      <w:r w:rsidR="00463719" w:rsidRPr="000C4F02">
        <w:rPr>
          <w:spacing w:val="-3"/>
        </w:rPr>
        <w:t>, also appeared.</w:t>
      </w:r>
      <w:r w:rsidR="00443638" w:rsidRPr="000C4F02">
        <w:rPr>
          <w:spacing w:val="-3"/>
        </w:rPr>
        <w:t xml:space="preserve">  A transcript was filed and the record closed on September 16, 2013.  This case is ripe for a decision.</w:t>
      </w:r>
    </w:p>
    <w:p w:rsidR="00B43F05" w:rsidRPr="000C4F02" w:rsidRDefault="00B43F05" w:rsidP="00B43F05">
      <w:pPr>
        <w:tabs>
          <w:tab w:val="left" w:pos="-1440"/>
          <w:tab w:val="left" w:pos="-720"/>
        </w:tabs>
        <w:suppressAutoHyphens/>
        <w:rPr>
          <w:spacing w:val="-3"/>
        </w:rPr>
      </w:pPr>
    </w:p>
    <w:p w:rsidR="00053D24" w:rsidRPr="000C4F02" w:rsidRDefault="00053D24" w:rsidP="00B43F05">
      <w:pPr>
        <w:tabs>
          <w:tab w:val="center" w:pos="4680"/>
        </w:tabs>
        <w:suppressAutoHyphens/>
        <w:ind w:firstLine="0"/>
        <w:jc w:val="center"/>
        <w:rPr>
          <w:spacing w:val="-3"/>
          <w:u w:val="single"/>
        </w:rPr>
      </w:pPr>
      <w:r w:rsidRPr="000C4F02">
        <w:rPr>
          <w:spacing w:val="-3"/>
          <w:u w:val="single"/>
        </w:rPr>
        <w:t>FINDINGS OF FACT</w:t>
      </w:r>
    </w:p>
    <w:p w:rsidR="00D82DBF" w:rsidRPr="000C4F02" w:rsidRDefault="00D82DBF" w:rsidP="00B43F05">
      <w:pPr>
        <w:tabs>
          <w:tab w:val="center" w:pos="4680"/>
        </w:tabs>
        <w:suppressAutoHyphens/>
        <w:rPr>
          <w:spacing w:val="-3"/>
        </w:rPr>
      </w:pPr>
    </w:p>
    <w:p w:rsidR="00214803" w:rsidRPr="000C4F02" w:rsidRDefault="00C11EB2" w:rsidP="00B43F05">
      <w:pPr>
        <w:tabs>
          <w:tab w:val="left" w:pos="-1440"/>
          <w:tab w:val="left" w:pos="-720"/>
        </w:tabs>
        <w:suppressAutoHyphens/>
        <w:rPr>
          <w:spacing w:val="-3"/>
        </w:rPr>
      </w:pPr>
      <w:r w:rsidRPr="000C4F02">
        <w:rPr>
          <w:spacing w:val="-3"/>
        </w:rPr>
        <w:t>1</w:t>
      </w:r>
      <w:r w:rsidR="000B3328" w:rsidRPr="000C4F02">
        <w:rPr>
          <w:spacing w:val="-3"/>
        </w:rPr>
        <w:t>.</w:t>
      </w:r>
      <w:r w:rsidR="000B3328" w:rsidRPr="000C4F02">
        <w:rPr>
          <w:spacing w:val="-3"/>
        </w:rPr>
        <w:tab/>
      </w:r>
      <w:r w:rsidR="00214803" w:rsidRPr="000C4F02">
        <w:rPr>
          <w:spacing w:val="-3"/>
        </w:rPr>
        <w:t xml:space="preserve">Complainant is </w:t>
      </w:r>
      <w:r w:rsidR="00463719" w:rsidRPr="000C4F02">
        <w:rPr>
          <w:spacing w:val="-3"/>
        </w:rPr>
        <w:t>Elena Brodski</w:t>
      </w:r>
      <w:r w:rsidR="00443638" w:rsidRPr="000C4F02">
        <w:rPr>
          <w:spacing w:val="-3"/>
        </w:rPr>
        <w:t>, 205 Robina Street, 2</w:t>
      </w:r>
      <w:r w:rsidR="00443638" w:rsidRPr="000C4F02">
        <w:rPr>
          <w:spacing w:val="-3"/>
          <w:vertAlign w:val="superscript"/>
        </w:rPr>
        <w:t>nd</w:t>
      </w:r>
      <w:r w:rsidR="00017AE6">
        <w:rPr>
          <w:spacing w:val="-3"/>
        </w:rPr>
        <w:t xml:space="preserve"> floor, Philadelphia, PA </w:t>
      </w:r>
      <w:r w:rsidR="00443638" w:rsidRPr="000C4F02">
        <w:rPr>
          <w:spacing w:val="-3"/>
        </w:rPr>
        <w:t>19116</w:t>
      </w:r>
      <w:r w:rsidR="00463719" w:rsidRPr="000C4F02">
        <w:rPr>
          <w:spacing w:val="-3"/>
        </w:rPr>
        <w:t>.</w:t>
      </w:r>
    </w:p>
    <w:p w:rsidR="00214803" w:rsidRPr="000C4F02" w:rsidRDefault="00214803" w:rsidP="00B43F05">
      <w:pPr>
        <w:tabs>
          <w:tab w:val="left" w:pos="-1440"/>
          <w:tab w:val="left" w:pos="-720"/>
        </w:tabs>
        <w:suppressAutoHyphens/>
        <w:rPr>
          <w:spacing w:val="-3"/>
        </w:rPr>
      </w:pPr>
    </w:p>
    <w:p w:rsidR="00214803" w:rsidRPr="000C4F02" w:rsidRDefault="00214803" w:rsidP="00837B9F">
      <w:pPr>
        <w:tabs>
          <w:tab w:val="left" w:pos="-1440"/>
          <w:tab w:val="left" w:pos="-720"/>
        </w:tabs>
        <w:suppressAutoHyphens/>
        <w:rPr>
          <w:spacing w:val="-3"/>
        </w:rPr>
      </w:pPr>
      <w:r w:rsidRPr="000C4F02">
        <w:rPr>
          <w:spacing w:val="-3"/>
        </w:rPr>
        <w:t>2.</w:t>
      </w:r>
      <w:r w:rsidRPr="000C4F02">
        <w:rPr>
          <w:spacing w:val="-3"/>
        </w:rPr>
        <w:tab/>
        <w:t xml:space="preserve">Respondent is </w:t>
      </w:r>
      <w:r w:rsidR="00463719" w:rsidRPr="000C4F02">
        <w:rPr>
          <w:spacing w:val="-3"/>
        </w:rPr>
        <w:t>Philadelphia Gas Works</w:t>
      </w:r>
      <w:r w:rsidRPr="000C4F02">
        <w:rPr>
          <w:spacing w:val="-3"/>
        </w:rPr>
        <w:t>.</w:t>
      </w:r>
    </w:p>
    <w:p w:rsidR="00B82500" w:rsidRPr="000C4F02" w:rsidRDefault="00B82500" w:rsidP="00837B9F">
      <w:pPr>
        <w:tabs>
          <w:tab w:val="left" w:pos="-1440"/>
          <w:tab w:val="left" w:pos="-720"/>
        </w:tabs>
        <w:suppressAutoHyphens/>
        <w:rPr>
          <w:spacing w:val="-3"/>
        </w:rPr>
      </w:pPr>
    </w:p>
    <w:p w:rsidR="00B82500" w:rsidRPr="000C4F02" w:rsidRDefault="00B82500" w:rsidP="00837B9F">
      <w:pPr>
        <w:tabs>
          <w:tab w:val="left" w:pos="-1440"/>
          <w:tab w:val="left" w:pos="-720"/>
        </w:tabs>
        <w:suppressAutoHyphens/>
        <w:rPr>
          <w:spacing w:val="-3"/>
        </w:rPr>
      </w:pPr>
      <w:r w:rsidRPr="000C4F02">
        <w:rPr>
          <w:spacing w:val="-3"/>
        </w:rPr>
        <w:t>3.</w:t>
      </w:r>
      <w:r w:rsidRPr="000C4F02">
        <w:rPr>
          <w:spacing w:val="-3"/>
        </w:rPr>
        <w:tab/>
        <w:t xml:space="preserve">Complainant established service on </w:t>
      </w:r>
      <w:r w:rsidR="000E1660">
        <w:rPr>
          <w:spacing w:val="-3"/>
        </w:rPr>
        <w:t>or about December 6, 2006</w:t>
      </w:r>
      <w:r w:rsidRPr="000C4F02">
        <w:rPr>
          <w:spacing w:val="-3"/>
        </w:rPr>
        <w:t xml:space="preserve">.  PGW Exhibit </w:t>
      </w:r>
      <w:r w:rsidR="000E1660">
        <w:rPr>
          <w:spacing w:val="-3"/>
        </w:rPr>
        <w:t>1</w:t>
      </w:r>
      <w:r w:rsidRPr="000C4F02">
        <w:rPr>
          <w:spacing w:val="-3"/>
        </w:rPr>
        <w:t>.</w:t>
      </w:r>
    </w:p>
    <w:p w:rsidR="00214803" w:rsidRPr="000C4F02" w:rsidRDefault="00214803" w:rsidP="00837B9F">
      <w:pPr>
        <w:tabs>
          <w:tab w:val="left" w:pos="-1440"/>
          <w:tab w:val="left" w:pos="-720"/>
        </w:tabs>
        <w:suppressAutoHyphens/>
        <w:rPr>
          <w:spacing w:val="-3"/>
        </w:rPr>
      </w:pPr>
    </w:p>
    <w:p w:rsidR="00214803" w:rsidRPr="000C4F02" w:rsidRDefault="00AB6577" w:rsidP="00463719">
      <w:pPr>
        <w:tabs>
          <w:tab w:val="left" w:pos="-1440"/>
          <w:tab w:val="left" w:pos="-720"/>
        </w:tabs>
        <w:suppressAutoHyphens/>
        <w:rPr>
          <w:spacing w:val="-3"/>
        </w:rPr>
      </w:pPr>
      <w:r w:rsidRPr="000C4F02">
        <w:rPr>
          <w:spacing w:val="-3"/>
        </w:rPr>
        <w:t>4</w:t>
      </w:r>
      <w:r w:rsidR="00214803" w:rsidRPr="000C4F02">
        <w:rPr>
          <w:spacing w:val="-3"/>
        </w:rPr>
        <w:t>.</w:t>
      </w:r>
      <w:r w:rsidR="00214803" w:rsidRPr="000C4F02">
        <w:rPr>
          <w:spacing w:val="-3"/>
        </w:rPr>
        <w:tab/>
      </w:r>
      <w:r w:rsidR="00443638" w:rsidRPr="000C4F02">
        <w:rPr>
          <w:spacing w:val="-3"/>
        </w:rPr>
        <w:t>Wendy Vacca, Customer Review Officer for PGW, appeared and testified on behalf of Respondent.  N.T. 17.</w:t>
      </w:r>
    </w:p>
    <w:p w:rsidR="00443638" w:rsidRPr="000C4F02" w:rsidRDefault="00443638" w:rsidP="00463719">
      <w:pPr>
        <w:tabs>
          <w:tab w:val="left" w:pos="-1440"/>
          <w:tab w:val="left" w:pos="-720"/>
        </w:tabs>
        <w:suppressAutoHyphens/>
        <w:rPr>
          <w:spacing w:val="-3"/>
        </w:rPr>
      </w:pPr>
    </w:p>
    <w:p w:rsidR="00443638" w:rsidRPr="000C4F02" w:rsidRDefault="00AB6577" w:rsidP="00463719">
      <w:pPr>
        <w:tabs>
          <w:tab w:val="left" w:pos="-1440"/>
          <w:tab w:val="left" w:pos="-720"/>
        </w:tabs>
        <w:suppressAutoHyphens/>
        <w:rPr>
          <w:spacing w:val="-3"/>
        </w:rPr>
      </w:pPr>
      <w:r w:rsidRPr="000C4F02">
        <w:rPr>
          <w:spacing w:val="-3"/>
        </w:rPr>
        <w:t>5</w:t>
      </w:r>
      <w:r w:rsidR="00443638" w:rsidRPr="000C4F02">
        <w:rPr>
          <w:spacing w:val="-3"/>
        </w:rPr>
        <w:t>.</w:t>
      </w:r>
      <w:r w:rsidR="00443638" w:rsidRPr="000C4F02">
        <w:rPr>
          <w:spacing w:val="-3"/>
        </w:rPr>
        <w:tab/>
        <w:t xml:space="preserve">On December 3, 2012, Complainant </w:t>
      </w:r>
      <w:r w:rsidR="000A0AFD" w:rsidRPr="000C4F02">
        <w:rPr>
          <w:spacing w:val="-3"/>
        </w:rPr>
        <w:t xml:space="preserve">contacted Respondent and </w:t>
      </w:r>
      <w:r w:rsidR="00443638" w:rsidRPr="000C4F02">
        <w:rPr>
          <w:spacing w:val="-3"/>
        </w:rPr>
        <w:t xml:space="preserve">complained </w:t>
      </w:r>
      <w:r w:rsidR="000A0AFD" w:rsidRPr="000C4F02">
        <w:rPr>
          <w:spacing w:val="-3"/>
        </w:rPr>
        <w:t>about her high bills.</w:t>
      </w:r>
      <w:r w:rsidR="00443638" w:rsidRPr="000C4F02">
        <w:rPr>
          <w:spacing w:val="-3"/>
        </w:rPr>
        <w:t xml:space="preserve">  PGW Exhibit 1, N.T. 23.</w:t>
      </w:r>
    </w:p>
    <w:p w:rsidR="00443638" w:rsidRPr="000C4F02" w:rsidRDefault="00443638" w:rsidP="00463719">
      <w:pPr>
        <w:tabs>
          <w:tab w:val="left" w:pos="-1440"/>
          <w:tab w:val="left" w:pos="-720"/>
        </w:tabs>
        <w:suppressAutoHyphens/>
        <w:rPr>
          <w:spacing w:val="-3"/>
        </w:rPr>
      </w:pPr>
    </w:p>
    <w:p w:rsidR="00443638" w:rsidRPr="000C4F02" w:rsidRDefault="00AB6577" w:rsidP="00463719">
      <w:pPr>
        <w:tabs>
          <w:tab w:val="left" w:pos="-1440"/>
          <w:tab w:val="left" w:pos="-720"/>
        </w:tabs>
        <w:suppressAutoHyphens/>
        <w:rPr>
          <w:spacing w:val="-3"/>
        </w:rPr>
      </w:pPr>
      <w:r w:rsidRPr="000C4F02">
        <w:rPr>
          <w:spacing w:val="-3"/>
        </w:rPr>
        <w:t>6</w:t>
      </w:r>
      <w:r w:rsidR="00443638" w:rsidRPr="000C4F02">
        <w:rPr>
          <w:spacing w:val="-3"/>
        </w:rPr>
        <w:t>.</w:t>
      </w:r>
      <w:r w:rsidR="00443638" w:rsidRPr="000C4F02">
        <w:rPr>
          <w:spacing w:val="-3"/>
        </w:rPr>
        <w:tab/>
        <w:t>On December 18, 2012, PGW personnel visited the service property and conducted a high bill complaint investigation</w:t>
      </w:r>
      <w:r w:rsidR="00B82500" w:rsidRPr="000C4F02">
        <w:rPr>
          <w:spacing w:val="-3"/>
        </w:rPr>
        <w:t xml:space="preserve"> including a Trace Meter/Piping investigation</w:t>
      </w:r>
      <w:r w:rsidR="00D200F3">
        <w:rPr>
          <w:spacing w:val="-3"/>
        </w:rPr>
        <w:t>.  N.T. </w:t>
      </w:r>
      <w:r w:rsidR="00443638" w:rsidRPr="000C4F02">
        <w:rPr>
          <w:spacing w:val="-3"/>
        </w:rPr>
        <w:t>23.</w:t>
      </w:r>
    </w:p>
    <w:p w:rsidR="00443638" w:rsidRPr="000C4F02" w:rsidRDefault="00AB6577" w:rsidP="00463719">
      <w:pPr>
        <w:tabs>
          <w:tab w:val="left" w:pos="-1440"/>
          <w:tab w:val="left" w:pos="-720"/>
        </w:tabs>
        <w:suppressAutoHyphens/>
        <w:rPr>
          <w:spacing w:val="-3"/>
        </w:rPr>
      </w:pPr>
      <w:r w:rsidRPr="000C4F02">
        <w:rPr>
          <w:spacing w:val="-3"/>
        </w:rPr>
        <w:t>7</w:t>
      </w:r>
      <w:r w:rsidR="00443638" w:rsidRPr="000C4F02">
        <w:rPr>
          <w:spacing w:val="-3"/>
        </w:rPr>
        <w:t>.</w:t>
      </w:r>
      <w:r w:rsidR="00443638" w:rsidRPr="000C4F02">
        <w:rPr>
          <w:spacing w:val="-3"/>
        </w:rPr>
        <w:tab/>
        <w:t xml:space="preserve">On December 29, 2012, the investigation was completed and the customer was advised by PGW that </w:t>
      </w:r>
      <w:r w:rsidR="00B82500" w:rsidRPr="000C4F02">
        <w:rPr>
          <w:spacing w:val="-3"/>
        </w:rPr>
        <w:t xml:space="preserve">the first floor meter was turned off, and based upon their findings regarding the usage </w:t>
      </w:r>
      <w:r w:rsidR="000A0AFD" w:rsidRPr="000C4F02">
        <w:rPr>
          <w:spacing w:val="-3"/>
        </w:rPr>
        <w:t xml:space="preserve">and age </w:t>
      </w:r>
      <w:r w:rsidR="00B82500" w:rsidRPr="000C4F02">
        <w:rPr>
          <w:spacing w:val="-3"/>
        </w:rPr>
        <w:t xml:space="preserve">of the appliances connected to the line and </w:t>
      </w:r>
      <w:r w:rsidR="000A0AFD" w:rsidRPr="000C4F02">
        <w:rPr>
          <w:spacing w:val="-3"/>
        </w:rPr>
        <w:t xml:space="preserve">the fact </w:t>
      </w:r>
      <w:r w:rsidR="00B82500" w:rsidRPr="000C4F02">
        <w:rPr>
          <w:spacing w:val="-3"/>
        </w:rPr>
        <w:t xml:space="preserve">that </w:t>
      </w:r>
      <w:r w:rsidR="00443638" w:rsidRPr="000C4F02">
        <w:rPr>
          <w:spacing w:val="-3"/>
        </w:rPr>
        <w:t>there was no foreign load on her account</w:t>
      </w:r>
      <w:r w:rsidR="00B82500" w:rsidRPr="000C4F02">
        <w:rPr>
          <w:spacing w:val="-3"/>
        </w:rPr>
        <w:t xml:space="preserve">, </w:t>
      </w:r>
      <w:r w:rsidR="00443638" w:rsidRPr="000C4F02">
        <w:rPr>
          <w:spacing w:val="-3"/>
        </w:rPr>
        <w:t>that her bills were correct.  N.T. 23.</w:t>
      </w:r>
    </w:p>
    <w:p w:rsidR="00B82500" w:rsidRPr="000C4F02" w:rsidRDefault="00B82500" w:rsidP="00463719">
      <w:pPr>
        <w:tabs>
          <w:tab w:val="left" w:pos="-1440"/>
          <w:tab w:val="left" w:pos="-720"/>
        </w:tabs>
        <w:suppressAutoHyphens/>
        <w:rPr>
          <w:spacing w:val="-3"/>
        </w:rPr>
      </w:pPr>
    </w:p>
    <w:p w:rsidR="00443638" w:rsidRPr="000C4F02" w:rsidRDefault="00AB6577" w:rsidP="00463719">
      <w:pPr>
        <w:tabs>
          <w:tab w:val="left" w:pos="-1440"/>
          <w:tab w:val="left" w:pos="-720"/>
        </w:tabs>
        <w:suppressAutoHyphens/>
        <w:rPr>
          <w:spacing w:val="-3"/>
        </w:rPr>
      </w:pPr>
      <w:r w:rsidRPr="000C4F02">
        <w:rPr>
          <w:spacing w:val="-3"/>
        </w:rPr>
        <w:t>8</w:t>
      </w:r>
      <w:r w:rsidR="00443638" w:rsidRPr="000C4F02">
        <w:rPr>
          <w:spacing w:val="-3"/>
        </w:rPr>
        <w:t>.</w:t>
      </w:r>
      <w:r w:rsidR="00443638" w:rsidRPr="000C4F02">
        <w:rPr>
          <w:spacing w:val="-3"/>
        </w:rPr>
        <w:tab/>
        <w:t>On March 28, 2013, PGW removed Complaina</w:t>
      </w:r>
      <w:r w:rsidR="00BF64FB">
        <w:rPr>
          <w:spacing w:val="-3"/>
        </w:rPr>
        <w:t>nt’s meter and tested it.  N.T. </w:t>
      </w:r>
      <w:r w:rsidR="00443638" w:rsidRPr="000C4F02">
        <w:rPr>
          <w:spacing w:val="-3"/>
        </w:rPr>
        <w:t>24</w:t>
      </w:r>
      <w:r w:rsidR="00BF64FB">
        <w:rPr>
          <w:spacing w:val="-3"/>
        </w:rPr>
        <w:t>, PGW Exhibits 3 and 4.</w:t>
      </w:r>
    </w:p>
    <w:p w:rsidR="00790EF0" w:rsidRPr="000C4F02" w:rsidRDefault="00790EF0" w:rsidP="00463719">
      <w:pPr>
        <w:tabs>
          <w:tab w:val="left" w:pos="-1440"/>
          <w:tab w:val="left" w:pos="-720"/>
        </w:tabs>
        <w:suppressAutoHyphens/>
        <w:rPr>
          <w:spacing w:val="-3"/>
        </w:rPr>
      </w:pPr>
    </w:p>
    <w:p w:rsidR="00790EF0" w:rsidRPr="000C4F02" w:rsidRDefault="00AB6577" w:rsidP="00463719">
      <w:pPr>
        <w:tabs>
          <w:tab w:val="left" w:pos="-1440"/>
          <w:tab w:val="left" w:pos="-720"/>
        </w:tabs>
        <w:suppressAutoHyphens/>
        <w:rPr>
          <w:spacing w:val="-3"/>
        </w:rPr>
      </w:pPr>
      <w:r w:rsidRPr="000C4F02">
        <w:rPr>
          <w:spacing w:val="-3"/>
        </w:rPr>
        <w:t>9</w:t>
      </w:r>
      <w:r w:rsidR="00790EF0" w:rsidRPr="000C4F02">
        <w:rPr>
          <w:spacing w:val="-3"/>
        </w:rPr>
        <w:t>.</w:t>
      </w:r>
      <w:r w:rsidR="00790EF0" w:rsidRPr="000C4F02">
        <w:rPr>
          <w:spacing w:val="-3"/>
        </w:rPr>
        <w:tab/>
        <w:t>The meter was tested on April 1, 2013 showing 98.3% accuracy.  N.T. 34, PGW Exhibit 4.</w:t>
      </w:r>
    </w:p>
    <w:p w:rsidR="00790EF0" w:rsidRPr="000C4F02" w:rsidRDefault="00790EF0" w:rsidP="00463719">
      <w:pPr>
        <w:tabs>
          <w:tab w:val="left" w:pos="-1440"/>
          <w:tab w:val="left" w:pos="-720"/>
        </w:tabs>
        <w:suppressAutoHyphens/>
        <w:rPr>
          <w:spacing w:val="-3"/>
        </w:rPr>
      </w:pPr>
    </w:p>
    <w:p w:rsidR="00790EF0" w:rsidRPr="000C4F02" w:rsidRDefault="00AB6577" w:rsidP="00463719">
      <w:pPr>
        <w:tabs>
          <w:tab w:val="left" w:pos="-1440"/>
          <w:tab w:val="left" w:pos="-720"/>
        </w:tabs>
        <w:suppressAutoHyphens/>
        <w:rPr>
          <w:spacing w:val="-3"/>
        </w:rPr>
      </w:pPr>
      <w:r w:rsidRPr="000C4F02">
        <w:rPr>
          <w:spacing w:val="-3"/>
        </w:rPr>
        <w:t>10</w:t>
      </w:r>
      <w:r w:rsidR="00790EF0" w:rsidRPr="000C4F02">
        <w:rPr>
          <w:spacing w:val="-3"/>
        </w:rPr>
        <w:t>.</w:t>
      </w:r>
      <w:r w:rsidR="00790EF0" w:rsidRPr="000C4F02">
        <w:rPr>
          <w:spacing w:val="-3"/>
        </w:rPr>
        <w:tab/>
        <w:t>Complainant’s meter was accurately reading her usage.  N.T. 35, PGW Exhibit 4.</w:t>
      </w:r>
    </w:p>
    <w:p w:rsidR="00790EF0" w:rsidRPr="000C4F02" w:rsidRDefault="00790EF0" w:rsidP="00463719">
      <w:pPr>
        <w:tabs>
          <w:tab w:val="left" w:pos="-1440"/>
          <w:tab w:val="left" w:pos="-720"/>
        </w:tabs>
        <w:suppressAutoHyphens/>
        <w:rPr>
          <w:spacing w:val="-3"/>
        </w:rPr>
      </w:pPr>
    </w:p>
    <w:p w:rsidR="00790EF0" w:rsidRPr="000C4F02" w:rsidRDefault="00AB6577" w:rsidP="00463719">
      <w:pPr>
        <w:tabs>
          <w:tab w:val="left" w:pos="-1440"/>
          <w:tab w:val="left" w:pos="-720"/>
        </w:tabs>
        <w:suppressAutoHyphens/>
        <w:rPr>
          <w:spacing w:val="-3"/>
        </w:rPr>
      </w:pPr>
      <w:r w:rsidRPr="000C4F02">
        <w:rPr>
          <w:spacing w:val="-3"/>
        </w:rPr>
        <w:t>11</w:t>
      </w:r>
      <w:r w:rsidR="00790EF0" w:rsidRPr="000C4F02">
        <w:rPr>
          <w:spacing w:val="-3"/>
        </w:rPr>
        <w:t>.</w:t>
      </w:r>
      <w:r w:rsidR="00790EF0" w:rsidRPr="000C4F02">
        <w:rPr>
          <w:spacing w:val="-3"/>
        </w:rPr>
        <w:tab/>
        <w:t xml:space="preserve">Complainant lives on the second floor of a duplex house </w:t>
      </w:r>
      <w:r w:rsidR="00772ACF" w:rsidRPr="000C4F02">
        <w:rPr>
          <w:spacing w:val="-3"/>
        </w:rPr>
        <w:t>that is 2</w:t>
      </w:r>
      <w:r w:rsidR="00E458E5" w:rsidRPr="000C4F02">
        <w:rPr>
          <w:spacing w:val="-3"/>
        </w:rPr>
        <w:t>,</w:t>
      </w:r>
      <w:r w:rsidR="00772ACF" w:rsidRPr="000C4F02">
        <w:rPr>
          <w:spacing w:val="-3"/>
        </w:rPr>
        <w:t xml:space="preserve">500 square feet in size </w:t>
      </w:r>
      <w:r w:rsidR="00790EF0" w:rsidRPr="000C4F02">
        <w:rPr>
          <w:spacing w:val="-3"/>
        </w:rPr>
        <w:t>with old appliances that run on natural gas including: a house heater, water heater, automatic gas range</w:t>
      </w:r>
      <w:r w:rsidR="000E1660">
        <w:rPr>
          <w:spacing w:val="-3"/>
        </w:rPr>
        <w:t>, and dryer</w:t>
      </w:r>
      <w:r w:rsidR="00790EF0" w:rsidRPr="000C4F02">
        <w:rPr>
          <w:spacing w:val="-3"/>
        </w:rPr>
        <w:t>.  N.T. 33</w:t>
      </w:r>
      <w:r w:rsidR="00772ACF" w:rsidRPr="000C4F02">
        <w:rPr>
          <w:spacing w:val="-3"/>
        </w:rPr>
        <w:t>-34</w:t>
      </w:r>
      <w:r w:rsidR="00790EF0" w:rsidRPr="000C4F02">
        <w:rPr>
          <w:spacing w:val="-3"/>
        </w:rPr>
        <w:t>.</w:t>
      </w:r>
    </w:p>
    <w:p w:rsidR="00790EF0" w:rsidRPr="000C4F02" w:rsidRDefault="00790EF0" w:rsidP="00463719">
      <w:pPr>
        <w:tabs>
          <w:tab w:val="left" w:pos="-1440"/>
          <w:tab w:val="left" w:pos="-720"/>
        </w:tabs>
        <w:suppressAutoHyphens/>
        <w:rPr>
          <w:spacing w:val="-3"/>
        </w:rPr>
      </w:pPr>
    </w:p>
    <w:p w:rsidR="002F2B9E" w:rsidRPr="000C4F02" w:rsidRDefault="002F2B9E" w:rsidP="002F2B9E">
      <w:pPr>
        <w:tabs>
          <w:tab w:val="left" w:pos="-1440"/>
          <w:tab w:val="left" w:pos="-720"/>
        </w:tabs>
        <w:suppressAutoHyphens/>
        <w:rPr>
          <w:spacing w:val="-3"/>
        </w:rPr>
      </w:pPr>
      <w:r w:rsidRPr="000C4F02">
        <w:rPr>
          <w:spacing w:val="-3"/>
        </w:rPr>
        <w:t>1</w:t>
      </w:r>
      <w:r w:rsidR="00AB6577" w:rsidRPr="000C4F02">
        <w:rPr>
          <w:spacing w:val="-3"/>
        </w:rPr>
        <w:t>2</w:t>
      </w:r>
      <w:r w:rsidRPr="000C4F02">
        <w:rPr>
          <w:spacing w:val="-3"/>
        </w:rPr>
        <w:t>.</w:t>
      </w:r>
      <w:r w:rsidRPr="000C4F02">
        <w:rPr>
          <w:spacing w:val="-3"/>
        </w:rPr>
        <w:tab/>
      </w:r>
      <w:r w:rsidR="000A0AFD" w:rsidRPr="000C4F02">
        <w:rPr>
          <w:spacing w:val="-3"/>
        </w:rPr>
        <w:t>The</w:t>
      </w:r>
      <w:r w:rsidRPr="000C4F02">
        <w:rPr>
          <w:spacing w:val="-3"/>
        </w:rPr>
        <w:t xml:space="preserve"> weather information included in PGW Exhibit 2 shows the amount of degree days during the disputed time period and supports the level of usage obtained by the meter readings and the amount of the bills.  N.T. 39, PGW Exhibits 1-4.</w:t>
      </w:r>
    </w:p>
    <w:p w:rsidR="002F2B9E" w:rsidRPr="000C4F02" w:rsidRDefault="002F2B9E" w:rsidP="002F2B9E">
      <w:pPr>
        <w:tabs>
          <w:tab w:val="left" w:pos="-1440"/>
          <w:tab w:val="left" w:pos="-720"/>
        </w:tabs>
        <w:suppressAutoHyphens/>
        <w:rPr>
          <w:spacing w:val="-3"/>
        </w:rPr>
      </w:pPr>
    </w:p>
    <w:p w:rsidR="000A0AFD" w:rsidRPr="000C4F02" w:rsidRDefault="00B82500" w:rsidP="00463719">
      <w:pPr>
        <w:tabs>
          <w:tab w:val="left" w:pos="-1440"/>
          <w:tab w:val="left" w:pos="-720"/>
        </w:tabs>
        <w:suppressAutoHyphens/>
        <w:rPr>
          <w:spacing w:val="-3"/>
        </w:rPr>
      </w:pPr>
      <w:r w:rsidRPr="000C4F02">
        <w:rPr>
          <w:spacing w:val="-3"/>
        </w:rPr>
        <w:t>1</w:t>
      </w:r>
      <w:r w:rsidR="00AB6577" w:rsidRPr="000C4F02">
        <w:rPr>
          <w:spacing w:val="-3"/>
        </w:rPr>
        <w:t>3</w:t>
      </w:r>
      <w:r w:rsidRPr="000C4F02">
        <w:rPr>
          <w:spacing w:val="-3"/>
        </w:rPr>
        <w:t>.</w:t>
      </w:r>
      <w:r w:rsidRPr="000C4F02">
        <w:rPr>
          <w:spacing w:val="-3"/>
        </w:rPr>
        <w:tab/>
        <w:t xml:space="preserve">On March 8, 2013, Complainant enrolled in </w:t>
      </w:r>
      <w:r w:rsidR="00D00EFB">
        <w:rPr>
          <w:spacing w:val="-3"/>
        </w:rPr>
        <w:t xml:space="preserve">a </w:t>
      </w:r>
      <w:r w:rsidR="00D00EFB" w:rsidRPr="000C4F02">
        <w:rPr>
          <w:spacing w:val="-3"/>
        </w:rPr>
        <w:t>PGW</w:t>
      </w:r>
      <w:r w:rsidR="000A0AFD" w:rsidRPr="000C4F02">
        <w:rPr>
          <w:spacing w:val="-3"/>
        </w:rPr>
        <w:t xml:space="preserve"> customer assistance</w:t>
      </w:r>
      <w:r w:rsidRPr="000C4F02">
        <w:rPr>
          <w:spacing w:val="-3"/>
        </w:rPr>
        <w:t xml:space="preserve"> </w:t>
      </w:r>
      <w:r w:rsidR="000A0AFD" w:rsidRPr="000C4F02">
        <w:rPr>
          <w:spacing w:val="-3"/>
        </w:rPr>
        <w:t>(</w:t>
      </w:r>
      <w:r w:rsidRPr="000C4F02">
        <w:rPr>
          <w:spacing w:val="-3"/>
        </w:rPr>
        <w:t>CRP</w:t>
      </w:r>
      <w:r w:rsidR="000A0AFD" w:rsidRPr="000C4F02">
        <w:rPr>
          <w:spacing w:val="-3"/>
        </w:rPr>
        <w:t>)</w:t>
      </w:r>
      <w:r w:rsidRPr="000C4F02">
        <w:rPr>
          <w:spacing w:val="-3"/>
        </w:rPr>
        <w:t xml:space="preserve"> </w:t>
      </w:r>
      <w:r w:rsidR="000A0AFD" w:rsidRPr="000C4F02">
        <w:rPr>
          <w:spacing w:val="-3"/>
        </w:rPr>
        <w:t>p</w:t>
      </w:r>
      <w:r w:rsidRPr="000C4F02">
        <w:rPr>
          <w:spacing w:val="-3"/>
        </w:rPr>
        <w:t>rogram which froze her outstanding balance of $1,121.86 at that time, and began billing monthly from a zero balance.</w:t>
      </w:r>
    </w:p>
    <w:p w:rsidR="000A0AFD" w:rsidRPr="000C4F02" w:rsidRDefault="000A0AFD" w:rsidP="00463719">
      <w:pPr>
        <w:tabs>
          <w:tab w:val="left" w:pos="-1440"/>
          <w:tab w:val="left" w:pos="-720"/>
        </w:tabs>
        <w:suppressAutoHyphens/>
        <w:rPr>
          <w:spacing w:val="-3"/>
        </w:rPr>
      </w:pPr>
    </w:p>
    <w:p w:rsidR="000E1660" w:rsidRDefault="000A0AFD" w:rsidP="00463719">
      <w:pPr>
        <w:tabs>
          <w:tab w:val="left" w:pos="-1440"/>
          <w:tab w:val="left" w:pos="-720"/>
        </w:tabs>
        <w:suppressAutoHyphens/>
        <w:rPr>
          <w:spacing w:val="-3"/>
        </w:rPr>
      </w:pPr>
      <w:r w:rsidRPr="000C4F02">
        <w:rPr>
          <w:spacing w:val="-3"/>
        </w:rPr>
        <w:t>14.</w:t>
      </w:r>
      <w:r w:rsidRPr="000C4F02">
        <w:rPr>
          <w:spacing w:val="-3"/>
        </w:rPr>
        <w:tab/>
      </w:r>
      <w:r w:rsidR="000E1660">
        <w:rPr>
          <w:spacing w:val="-3"/>
        </w:rPr>
        <w:t>Complainant’s total balance at the time she enrolled in the CRP Program was $1,121.86.  N.T. 29.</w:t>
      </w:r>
    </w:p>
    <w:p w:rsidR="000E1660" w:rsidRDefault="000E1660" w:rsidP="00463719">
      <w:pPr>
        <w:tabs>
          <w:tab w:val="left" w:pos="-1440"/>
          <w:tab w:val="left" w:pos="-720"/>
        </w:tabs>
        <w:suppressAutoHyphens/>
        <w:rPr>
          <w:spacing w:val="-3"/>
        </w:rPr>
      </w:pPr>
    </w:p>
    <w:p w:rsidR="000A0AFD" w:rsidRPr="000C4F02" w:rsidRDefault="000E1660" w:rsidP="00463719">
      <w:pPr>
        <w:tabs>
          <w:tab w:val="left" w:pos="-1440"/>
          <w:tab w:val="left" w:pos="-720"/>
        </w:tabs>
        <w:suppressAutoHyphens/>
        <w:rPr>
          <w:spacing w:val="-3"/>
        </w:rPr>
      </w:pPr>
      <w:r>
        <w:rPr>
          <w:spacing w:val="-3"/>
        </w:rPr>
        <w:t>15.</w:t>
      </w:r>
      <w:r>
        <w:rPr>
          <w:spacing w:val="-3"/>
        </w:rPr>
        <w:tab/>
      </w:r>
      <w:r w:rsidR="00B82500" w:rsidRPr="000C4F02">
        <w:rPr>
          <w:spacing w:val="-3"/>
        </w:rPr>
        <w:t>Each timely monthly payment of $149 result</w:t>
      </w:r>
      <w:r w:rsidR="000A0AFD" w:rsidRPr="000C4F02">
        <w:rPr>
          <w:spacing w:val="-3"/>
        </w:rPr>
        <w:t>s</w:t>
      </w:r>
      <w:r w:rsidR="00B82500" w:rsidRPr="000C4F02">
        <w:rPr>
          <w:spacing w:val="-3"/>
        </w:rPr>
        <w:t xml:space="preserve"> in a 1/36</w:t>
      </w:r>
      <w:r w:rsidR="00B82500" w:rsidRPr="000C4F02">
        <w:rPr>
          <w:spacing w:val="-3"/>
          <w:vertAlign w:val="superscript"/>
        </w:rPr>
        <w:t>th</w:t>
      </w:r>
      <w:r w:rsidR="00B82500" w:rsidRPr="000C4F02">
        <w:rPr>
          <w:spacing w:val="-3"/>
        </w:rPr>
        <w:t xml:space="preserve"> forgiveness of $31.16 </w:t>
      </w:r>
      <w:r>
        <w:rPr>
          <w:spacing w:val="-3"/>
        </w:rPr>
        <w:t xml:space="preserve">from the frozen outstanding balance of $1,121.86 </w:t>
      </w:r>
      <w:r w:rsidR="00B82500" w:rsidRPr="000C4F02">
        <w:rPr>
          <w:spacing w:val="-3"/>
        </w:rPr>
        <w:t xml:space="preserve">on </w:t>
      </w:r>
      <w:r w:rsidR="000A0AFD" w:rsidRPr="000C4F02">
        <w:rPr>
          <w:spacing w:val="-3"/>
        </w:rPr>
        <w:t>Complainant’s</w:t>
      </w:r>
      <w:r w:rsidR="00B82500" w:rsidRPr="000C4F02">
        <w:rPr>
          <w:spacing w:val="-3"/>
        </w:rPr>
        <w:t xml:space="preserve"> account.  N.T. 29.</w:t>
      </w:r>
    </w:p>
    <w:p w:rsidR="000A0AFD" w:rsidRPr="000C4F02" w:rsidRDefault="000A0AFD" w:rsidP="00463719">
      <w:pPr>
        <w:tabs>
          <w:tab w:val="left" w:pos="-1440"/>
          <w:tab w:val="left" w:pos="-720"/>
        </w:tabs>
        <w:suppressAutoHyphens/>
        <w:rPr>
          <w:spacing w:val="-3"/>
        </w:rPr>
      </w:pPr>
      <w:r w:rsidRPr="000C4F02">
        <w:rPr>
          <w:spacing w:val="-3"/>
        </w:rPr>
        <w:t>1</w:t>
      </w:r>
      <w:r w:rsidR="000E1660">
        <w:rPr>
          <w:spacing w:val="-3"/>
        </w:rPr>
        <w:t>6</w:t>
      </w:r>
      <w:r w:rsidRPr="000C4F02">
        <w:rPr>
          <w:spacing w:val="-3"/>
        </w:rPr>
        <w:t>.</w:t>
      </w:r>
      <w:r w:rsidRPr="000C4F02">
        <w:rPr>
          <w:spacing w:val="-3"/>
        </w:rPr>
        <w:tab/>
      </w:r>
      <w:r w:rsidR="00B82500" w:rsidRPr="000C4F02">
        <w:rPr>
          <w:spacing w:val="-3"/>
        </w:rPr>
        <w:t xml:space="preserve">The remaining balance owed on Complainant’s account as of the time of the hearing was $682.06 </w:t>
      </w:r>
      <w:r w:rsidR="000E1660">
        <w:rPr>
          <w:spacing w:val="-3"/>
        </w:rPr>
        <w:t>i</w:t>
      </w:r>
      <w:r w:rsidR="00B82500" w:rsidRPr="000C4F02">
        <w:rPr>
          <w:spacing w:val="-3"/>
        </w:rPr>
        <w:t>n CRP arrears.  N.T</w:t>
      </w:r>
      <w:r w:rsidR="003B059A" w:rsidRPr="000C4F02">
        <w:rPr>
          <w:spacing w:val="-3"/>
        </w:rPr>
        <w:t>.</w:t>
      </w:r>
      <w:r w:rsidR="00B82500" w:rsidRPr="000C4F02">
        <w:rPr>
          <w:spacing w:val="-3"/>
        </w:rPr>
        <w:t xml:space="preserve"> 30.</w:t>
      </w:r>
    </w:p>
    <w:p w:rsidR="000A0AFD" w:rsidRPr="000C4F02" w:rsidRDefault="000A0AFD" w:rsidP="00463719">
      <w:pPr>
        <w:tabs>
          <w:tab w:val="left" w:pos="-1440"/>
          <w:tab w:val="left" w:pos="-720"/>
        </w:tabs>
        <w:suppressAutoHyphens/>
        <w:rPr>
          <w:spacing w:val="-3"/>
        </w:rPr>
      </w:pPr>
    </w:p>
    <w:p w:rsidR="00790EF0" w:rsidRPr="000C4F02" w:rsidRDefault="000A0AFD" w:rsidP="00463719">
      <w:pPr>
        <w:tabs>
          <w:tab w:val="left" w:pos="-1440"/>
          <w:tab w:val="left" w:pos="-720"/>
        </w:tabs>
        <w:suppressAutoHyphens/>
        <w:rPr>
          <w:spacing w:val="-3"/>
        </w:rPr>
      </w:pPr>
      <w:r w:rsidRPr="000C4F02">
        <w:rPr>
          <w:spacing w:val="-3"/>
        </w:rPr>
        <w:t>1</w:t>
      </w:r>
      <w:r w:rsidR="000E1660">
        <w:rPr>
          <w:spacing w:val="-3"/>
        </w:rPr>
        <w:t>7</w:t>
      </w:r>
      <w:r w:rsidRPr="000C4F02">
        <w:rPr>
          <w:spacing w:val="-3"/>
        </w:rPr>
        <w:t>.</w:t>
      </w:r>
      <w:r w:rsidRPr="000C4F02">
        <w:rPr>
          <w:spacing w:val="-3"/>
        </w:rPr>
        <w:tab/>
      </w:r>
      <w:r w:rsidR="00B82500" w:rsidRPr="000C4F02">
        <w:rPr>
          <w:spacing w:val="-3"/>
        </w:rPr>
        <w:t>If the complainant does not want to be on CRP, an alternative payment arrangement offered by the Company is a budget bill</w:t>
      </w:r>
      <w:r w:rsidR="003B059A" w:rsidRPr="000C4F02">
        <w:rPr>
          <w:spacing w:val="-3"/>
        </w:rPr>
        <w:t xml:space="preserve"> </w:t>
      </w:r>
      <w:r w:rsidR="00B82500" w:rsidRPr="000C4F02">
        <w:rPr>
          <w:spacing w:val="-3"/>
        </w:rPr>
        <w:t xml:space="preserve">of $172 per month, plus $20 towards the arrears for a total of $192 per month.  </w:t>
      </w:r>
      <w:r w:rsidR="00790EF0" w:rsidRPr="000C4F02">
        <w:rPr>
          <w:spacing w:val="-3"/>
        </w:rPr>
        <w:tab/>
      </w:r>
      <w:r w:rsidRPr="000C4F02">
        <w:rPr>
          <w:spacing w:val="-3"/>
        </w:rPr>
        <w:t>N.T. 31.</w:t>
      </w:r>
    </w:p>
    <w:p w:rsidR="00214803" w:rsidRPr="000C4F02" w:rsidRDefault="00214803" w:rsidP="00214803">
      <w:pPr>
        <w:tabs>
          <w:tab w:val="left" w:pos="-1440"/>
          <w:tab w:val="left" w:pos="-720"/>
        </w:tabs>
        <w:suppressAutoHyphens/>
        <w:rPr>
          <w:spacing w:val="-3"/>
        </w:rPr>
      </w:pPr>
    </w:p>
    <w:p w:rsidR="00053D24" w:rsidRPr="000C4F02" w:rsidRDefault="00053D24" w:rsidP="00B9709F">
      <w:pPr>
        <w:tabs>
          <w:tab w:val="left" w:pos="-1440"/>
          <w:tab w:val="left" w:pos="-720"/>
        </w:tabs>
        <w:suppressAutoHyphens/>
        <w:ind w:firstLine="0"/>
        <w:jc w:val="center"/>
        <w:rPr>
          <w:spacing w:val="-3"/>
        </w:rPr>
      </w:pPr>
      <w:r w:rsidRPr="000C4F02">
        <w:rPr>
          <w:spacing w:val="-3"/>
          <w:u w:val="single"/>
        </w:rPr>
        <w:t>DISCUSSION</w:t>
      </w:r>
    </w:p>
    <w:p w:rsidR="00053D24" w:rsidRPr="000C4F02" w:rsidRDefault="00053D24" w:rsidP="00837B9F">
      <w:pPr>
        <w:tabs>
          <w:tab w:val="center" w:pos="4680"/>
        </w:tabs>
        <w:suppressAutoHyphens/>
        <w:rPr>
          <w:spacing w:val="-3"/>
        </w:rPr>
      </w:pPr>
    </w:p>
    <w:p w:rsidR="00053D24" w:rsidRPr="000C4F02" w:rsidRDefault="00053D24" w:rsidP="00837B9F">
      <w:pPr>
        <w:tabs>
          <w:tab w:val="left" w:pos="-1440"/>
          <w:tab w:val="left" w:pos="-720"/>
        </w:tabs>
        <w:suppressAutoHyphens/>
        <w:rPr>
          <w:spacing w:val="-3"/>
        </w:rPr>
      </w:pPr>
      <w:r w:rsidRPr="000C4F02">
        <w:rPr>
          <w:spacing w:val="-3"/>
        </w:rPr>
        <w:t xml:space="preserve">As the proponent of a rule or order, </w:t>
      </w:r>
      <w:r w:rsidR="00667DCD" w:rsidRPr="000C4F02">
        <w:rPr>
          <w:spacing w:val="-3"/>
        </w:rPr>
        <w:t>C</w:t>
      </w:r>
      <w:r w:rsidRPr="000C4F02">
        <w:rPr>
          <w:spacing w:val="-3"/>
        </w:rPr>
        <w:t>omplainant has the burden of proof in this matter pursuant to 66 Pa.C.S.</w:t>
      </w:r>
      <w:r w:rsidR="000B17AA" w:rsidRPr="000C4F02">
        <w:rPr>
          <w:spacing w:val="-3"/>
        </w:rPr>
        <w:t>A.</w:t>
      </w:r>
      <w:r w:rsidRPr="000C4F02">
        <w:rPr>
          <w:spacing w:val="-3"/>
        </w:rPr>
        <w:t xml:space="preserve"> §</w:t>
      </w:r>
      <w:r w:rsidR="000B17AA" w:rsidRPr="000C4F02">
        <w:rPr>
          <w:spacing w:val="-3"/>
        </w:rPr>
        <w:t xml:space="preserve"> </w:t>
      </w:r>
      <w:r w:rsidRPr="000C4F02">
        <w:rPr>
          <w:spacing w:val="-3"/>
        </w:rPr>
        <w:t>332(a).</w:t>
      </w:r>
    </w:p>
    <w:p w:rsidR="00053D24" w:rsidRPr="000C4F02" w:rsidRDefault="00053D24" w:rsidP="00837B9F">
      <w:pPr>
        <w:tabs>
          <w:tab w:val="left" w:pos="-1440"/>
          <w:tab w:val="left" w:pos="-720"/>
        </w:tabs>
        <w:suppressAutoHyphens/>
        <w:rPr>
          <w:spacing w:val="-3"/>
        </w:rPr>
      </w:pPr>
    </w:p>
    <w:p w:rsidR="00667DCD" w:rsidRPr="000C4F02" w:rsidRDefault="00053D24" w:rsidP="00837B9F">
      <w:pPr>
        <w:tabs>
          <w:tab w:val="left" w:pos="-1440"/>
          <w:tab w:val="left" w:pos="-720"/>
        </w:tabs>
        <w:suppressAutoHyphens/>
        <w:rPr>
          <w:spacing w:val="-3"/>
        </w:rPr>
      </w:pPr>
      <w:r w:rsidRPr="000C4F02">
        <w:rPr>
          <w:spacing w:val="-3"/>
        </w:rPr>
        <w:t xml:space="preserve">To establish a sufficient case and satisfy the burden of proof, </w:t>
      </w:r>
      <w:r w:rsidR="00667DCD" w:rsidRPr="000C4F02">
        <w:rPr>
          <w:spacing w:val="-3"/>
        </w:rPr>
        <w:t>C</w:t>
      </w:r>
      <w:r w:rsidRPr="000C4F02">
        <w:rPr>
          <w:spacing w:val="-3"/>
        </w:rPr>
        <w:t>omplainant must show that the respondent public utility is responsible or accountable f</w:t>
      </w:r>
      <w:r w:rsidR="00B43F05">
        <w:rPr>
          <w:spacing w:val="-3"/>
        </w:rPr>
        <w:t>or the problem described in the </w:t>
      </w:r>
      <w:r w:rsidRPr="000C4F02">
        <w:rPr>
          <w:spacing w:val="-3"/>
        </w:rPr>
        <w:t xml:space="preserve">Complaint.  </w:t>
      </w:r>
      <w:r w:rsidRPr="000C4F02">
        <w:rPr>
          <w:i/>
          <w:spacing w:val="-3"/>
        </w:rPr>
        <w:t>Patterson v. Bell Telephone Company of Pennsylvania</w:t>
      </w:r>
      <w:r w:rsidRPr="000C4F02">
        <w:rPr>
          <w:spacing w:val="-3"/>
        </w:rPr>
        <w:t>, 72 P</w:t>
      </w:r>
      <w:r w:rsidR="00131FAC" w:rsidRPr="000C4F02">
        <w:rPr>
          <w:spacing w:val="-3"/>
        </w:rPr>
        <w:t>a. P</w:t>
      </w:r>
      <w:r w:rsidRPr="000C4F02">
        <w:rPr>
          <w:spacing w:val="-3"/>
        </w:rPr>
        <w:t>UC 196</w:t>
      </w:r>
      <w:r w:rsidR="00ED07CE" w:rsidRPr="000C4F02">
        <w:rPr>
          <w:spacing w:val="-3"/>
        </w:rPr>
        <w:t xml:space="preserve"> </w:t>
      </w:r>
      <w:r w:rsidRPr="000C4F02">
        <w:rPr>
          <w:spacing w:val="-3"/>
        </w:rPr>
        <w:t>(1990)</w:t>
      </w:r>
      <w:r w:rsidR="002458F6" w:rsidRPr="000C4F02">
        <w:rPr>
          <w:spacing w:val="-3"/>
        </w:rPr>
        <w:t>;</w:t>
      </w:r>
      <w:r w:rsidRPr="000C4F02">
        <w:rPr>
          <w:spacing w:val="-3"/>
        </w:rPr>
        <w:t xml:space="preserve"> </w:t>
      </w:r>
      <w:r w:rsidRPr="000C4F02">
        <w:rPr>
          <w:i/>
          <w:spacing w:val="-3"/>
        </w:rPr>
        <w:t>Feinstein v. Philadelphia Suburban Water Company</w:t>
      </w:r>
      <w:r w:rsidRPr="000C4F02">
        <w:rPr>
          <w:spacing w:val="-3"/>
        </w:rPr>
        <w:t>, 50 P</w:t>
      </w:r>
      <w:r w:rsidR="00131FAC" w:rsidRPr="000C4F02">
        <w:rPr>
          <w:spacing w:val="-3"/>
        </w:rPr>
        <w:t>a.</w:t>
      </w:r>
      <w:r w:rsidRPr="000C4F02">
        <w:rPr>
          <w:spacing w:val="-3"/>
        </w:rPr>
        <w:t xml:space="preserve"> PUC 300</w:t>
      </w:r>
      <w:r w:rsidR="00ED07CE" w:rsidRPr="000C4F02">
        <w:rPr>
          <w:spacing w:val="-3"/>
        </w:rPr>
        <w:t xml:space="preserve"> </w:t>
      </w:r>
      <w:r w:rsidR="00B43F05">
        <w:rPr>
          <w:spacing w:val="-3"/>
        </w:rPr>
        <w:t>(1976).  Such a showing must </w:t>
      </w:r>
      <w:r w:rsidRPr="000C4F02">
        <w:rPr>
          <w:spacing w:val="-3"/>
        </w:rPr>
        <w:t xml:space="preserve">be by a preponderance of the evidence.  </w:t>
      </w:r>
      <w:r w:rsidRPr="000C4F02">
        <w:rPr>
          <w:i/>
          <w:spacing w:val="-3"/>
        </w:rPr>
        <w:t>Samuel J. Lansberry, Inc. v. Pa. Pub</w:t>
      </w:r>
      <w:r w:rsidR="00AB6577" w:rsidRPr="000C4F02">
        <w:rPr>
          <w:i/>
          <w:spacing w:val="-3"/>
        </w:rPr>
        <w:t>.</w:t>
      </w:r>
      <w:r w:rsidRPr="000C4F02">
        <w:rPr>
          <w:i/>
          <w:spacing w:val="-3"/>
        </w:rPr>
        <w:t xml:space="preserve"> Uti</w:t>
      </w:r>
      <w:r w:rsidR="00AB6577" w:rsidRPr="000C4F02">
        <w:rPr>
          <w:i/>
          <w:spacing w:val="-3"/>
        </w:rPr>
        <w:t>l.</w:t>
      </w:r>
      <w:r w:rsidRPr="000C4F02">
        <w:rPr>
          <w:i/>
          <w:spacing w:val="-3"/>
        </w:rPr>
        <w:t xml:space="preserve"> Comm’n</w:t>
      </w:r>
      <w:r w:rsidRPr="000C4F02">
        <w:rPr>
          <w:spacing w:val="-3"/>
        </w:rPr>
        <w:t>, 134 Pa.C</w:t>
      </w:r>
      <w:r w:rsidR="00DB6897" w:rsidRPr="000C4F02">
        <w:rPr>
          <w:spacing w:val="-3"/>
        </w:rPr>
        <w:t>mwlth</w:t>
      </w:r>
      <w:r w:rsidRPr="000C4F02">
        <w:rPr>
          <w:spacing w:val="-3"/>
        </w:rPr>
        <w:t>. 218; 221-222, 578 A.2d 600; 602</w:t>
      </w:r>
      <w:r w:rsidR="00ED07CE" w:rsidRPr="000C4F02">
        <w:rPr>
          <w:spacing w:val="-3"/>
        </w:rPr>
        <w:t xml:space="preserve"> </w:t>
      </w:r>
      <w:r w:rsidRPr="000C4F02">
        <w:rPr>
          <w:spacing w:val="-3"/>
        </w:rPr>
        <w:t xml:space="preserve">(1990), </w:t>
      </w:r>
      <w:r w:rsidRPr="000C4F02">
        <w:rPr>
          <w:iCs/>
          <w:spacing w:val="-3"/>
        </w:rPr>
        <w:t>a</w:t>
      </w:r>
      <w:r w:rsidR="00DB6897" w:rsidRPr="000C4F02">
        <w:rPr>
          <w:iCs/>
          <w:spacing w:val="-3"/>
        </w:rPr>
        <w:t>pp.</w:t>
      </w:r>
      <w:r w:rsidRPr="000C4F02">
        <w:rPr>
          <w:iCs/>
          <w:spacing w:val="-3"/>
        </w:rPr>
        <w:t xml:space="preserve"> den</w:t>
      </w:r>
      <w:r w:rsidR="00DB6897" w:rsidRPr="000C4F02">
        <w:rPr>
          <w:iCs/>
          <w:spacing w:val="-3"/>
        </w:rPr>
        <w:t>ied,</w:t>
      </w:r>
      <w:r w:rsidRPr="000C4F02">
        <w:rPr>
          <w:spacing w:val="-3"/>
        </w:rPr>
        <w:t xml:space="preserve"> 602 A.2d 863</w:t>
      </w:r>
      <w:r w:rsidR="00ED07CE" w:rsidRPr="000C4F02">
        <w:rPr>
          <w:spacing w:val="-3"/>
        </w:rPr>
        <w:t xml:space="preserve"> </w:t>
      </w:r>
      <w:r w:rsidRPr="000C4F02">
        <w:rPr>
          <w:spacing w:val="-3"/>
        </w:rPr>
        <w:t xml:space="preserve">(1992).  </w:t>
      </w:r>
      <w:r w:rsidR="00937D7B" w:rsidRPr="000C4F02">
        <w:rPr>
          <w:spacing w:val="-3"/>
        </w:rPr>
        <w:t xml:space="preserve">A preponderance of the evidence </w:t>
      </w:r>
      <w:r w:rsidRPr="000C4F02">
        <w:rPr>
          <w:spacing w:val="-3"/>
        </w:rPr>
        <w:t>is</w:t>
      </w:r>
      <w:r w:rsidR="00937D7B" w:rsidRPr="000C4F02">
        <w:rPr>
          <w:spacing w:val="-3"/>
        </w:rPr>
        <w:t xml:space="preserve"> established by presenti</w:t>
      </w:r>
      <w:r w:rsidRPr="000C4F02">
        <w:rPr>
          <w:spacing w:val="-3"/>
        </w:rPr>
        <w:t xml:space="preserve">ng evidence more convincing, by even the smallest amount, than that presented by the other party.  </w:t>
      </w:r>
      <w:r w:rsidRPr="000C4F02">
        <w:rPr>
          <w:i/>
          <w:spacing w:val="-3"/>
        </w:rPr>
        <w:t>Se-Ling Hosiery v. Mar</w:t>
      </w:r>
      <w:r w:rsidR="00DB6897" w:rsidRPr="000C4F02">
        <w:rPr>
          <w:i/>
          <w:spacing w:val="-3"/>
        </w:rPr>
        <w:t>g</w:t>
      </w:r>
      <w:r w:rsidRPr="000C4F02">
        <w:rPr>
          <w:i/>
          <w:spacing w:val="-3"/>
        </w:rPr>
        <w:t>ulies</w:t>
      </w:r>
      <w:r w:rsidR="00B9709F">
        <w:rPr>
          <w:spacing w:val="-3"/>
        </w:rPr>
        <w:t>, 364 Pa. 45, </w:t>
      </w:r>
      <w:r w:rsidRPr="000C4F02">
        <w:rPr>
          <w:spacing w:val="-3"/>
        </w:rPr>
        <w:t>70 A.2d 854</w:t>
      </w:r>
      <w:r w:rsidR="00ED07CE" w:rsidRPr="000C4F02">
        <w:rPr>
          <w:spacing w:val="-3"/>
        </w:rPr>
        <w:t xml:space="preserve"> </w:t>
      </w:r>
      <w:r w:rsidRPr="000C4F02">
        <w:rPr>
          <w:spacing w:val="-3"/>
        </w:rPr>
        <w:t>(1950).</w:t>
      </w:r>
    </w:p>
    <w:p w:rsidR="00667DCD" w:rsidRPr="000C4F02" w:rsidRDefault="00667DCD" w:rsidP="00837B9F">
      <w:pPr>
        <w:tabs>
          <w:tab w:val="left" w:pos="-1440"/>
          <w:tab w:val="left" w:pos="-720"/>
        </w:tabs>
        <w:suppressAutoHyphens/>
        <w:rPr>
          <w:spacing w:val="-3"/>
        </w:rPr>
      </w:pPr>
    </w:p>
    <w:p w:rsidR="00053D24" w:rsidRPr="000C4F02" w:rsidRDefault="00053D24" w:rsidP="00837B9F">
      <w:pPr>
        <w:tabs>
          <w:tab w:val="left" w:pos="-1440"/>
          <w:tab w:val="left" w:pos="-720"/>
        </w:tabs>
        <w:suppressAutoHyphens/>
        <w:rPr>
          <w:spacing w:val="-3"/>
        </w:rPr>
      </w:pPr>
      <w:r w:rsidRPr="000C4F02">
        <w:rPr>
          <w:spacing w:val="-3"/>
        </w:rPr>
        <w:t xml:space="preserve">Additionally, any finding of fact necessary to support the Commission’s adjudication must be based upon substantial evidence.  </w:t>
      </w:r>
      <w:r w:rsidRPr="000C4F02">
        <w:rPr>
          <w:i/>
          <w:spacing w:val="-3"/>
        </w:rPr>
        <w:t>Mill v. P</w:t>
      </w:r>
      <w:r w:rsidR="00DB6897" w:rsidRPr="000C4F02">
        <w:rPr>
          <w:i/>
          <w:spacing w:val="-3"/>
        </w:rPr>
        <w:t>a.</w:t>
      </w:r>
      <w:r w:rsidRPr="000C4F02">
        <w:rPr>
          <w:i/>
          <w:spacing w:val="-3"/>
        </w:rPr>
        <w:t xml:space="preserve"> Pub</w:t>
      </w:r>
      <w:r w:rsidR="00AB6577" w:rsidRPr="000C4F02">
        <w:rPr>
          <w:i/>
          <w:spacing w:val="-3"/>
        </w:rPr>
        <w:t>.</w:t>
      </w:r>
      <w:r w:rsidRPr="000C4F02">
        <w:rPr>
          <w:i/>
          <w:spacing w:val="-3"/>
        </w:rPr>
        <w:t xml:space="preserve"> Util</w:t>
      </w:r>
      <w:r w:rsidR="00AB6577" w:rsidRPr="000C4F02">
        <w:rPr>
          <w:i/>
          <w:spacing w:val="-3"/>
        </w:rPr>
        <w:t>.</w:t>
      </w:r>
      <w:r w:rsidRPr="000C4F02">
        <w:rPr>
          <w:i/>
          <w:spacing w:val="-3"/>
        </w:rPr>
        <w:t xml:space="preserve"> Comm’n</w:t>
      </w:r>
      <w:r w:rsidRPr="000C4F02">
        <w:rPr>
          <w:spacing w:val="-3"/>
        </w:rPr>
        <w:t>, 67 Pa.C</w:t>
      </w:r>
      <w:r w:rsidR="00DB6897" w:rsidRPr="000C4F02">
        <w:rPr>
          <w:spacing w:val="-3"/>
        </w:rPr>
        <w:t>mwlth.</w:t>
      </w:r>
      <w:r w:rsidRPr="000C4F02">
        <w:rPr>
          <w:spacing w:val="-3"/>
        </w:rPr>
        <w:t xml:space="preserve"> 597, 447 A.2d 1100</w:t>
      </w:r>
      <w:r w:rsidR="00ED07CE" w:rsidRPr="000C4F02">
        <w:rPr>
          <w:spacing w:val="-3"/>
        </w:rPr>
        <w:t xml:space="preserve"> </w:t>
      </w:r>
      <w:r w:rsidRPr="000C4F02">
        <w:rPr>
          <w:spacing w:val="-3"/>
        </w:rPr>
        <w:t>(1982)</w:t>
      </w:r>
      <w:r w:rsidR="002458F6" w:rsidRPr="000C4F02">
        <w:rPr>
          <w:spacing w:val="-3"/>
        </w:rPr>
        <w:t>;</w:t>
      </w:r>
      <w:r w:rsidRPr="000C4F02">
        <w:rPr>
          <w:spacing w:val="-3"/>
        </w:rPr>
        <w:t xml:space="preserve"> </w:t>
      </w:r>
      <w:r w:rsidRPr="000C4F02">
        <w:rPr>
          <w:i/>
          <w:spacing w:val="-3"/>
        </w:rPr>
        <w:t>Edan Transportation Corp. v. P</w:t>
      </w:r>
      <w:r w:rsidR="00DB6897" w:rsidRPr="000C4F02">
        <w:rPr>
          <w:i/>
          <w:spacing w:val="-3"/>
        </w:rPr>
        <w:t>a.</w:t>
      </w:r>
      <w:r w:rsidRPr="000C4F02">
        <w:rPr>
          <w:i/>
          <w:spacing w:val="-3"/>
        </w:rPr>
        <w:t xml:space="preserve"> Pub</w:t>
      </w:r>
      <w:r w:rsidR="00AB6577" w:rsidRPr="000C4F02">
        <w:rPr>
          <w:i/>
          <w:spacing w:val="-3"/>
        </w:rPr>
        <w:t>.</w:t>
      </w:r>
      <w:r w:rsidRPr="000C4F02">
        <w:rPr>
          <w:i/>
          <w:spacing w:val="-3"/>
        </w:rPr>
        <w:t xml:space="preserve"> Util</w:t>
      </w:r>
      <w:r w:rsidR="00AB6577" w:rsidRPr="000C4F02">
        <w:rPr>
          <w:i/>
          <w:spacing w:val="-3"/>
        </w:rPr>
        <w:t>.</w:t>
      </w:r>
      <w:r w:rsidRPr="000C4F02">
        <w:rPr>
          <w:i/>
          <w:spacing w:val="-3"/>
        </w:rPr>
        <w:t xml:space="preserve"> Comm’n</w:t>
      </w:r>
      <w:r w:rsidR="00B43F05">
        <w:rPr>
          <w:spacing w:val="-3"/>
        </w:rPr>
        <w:t>, 154 </w:t>
      </w:r>
      <w:r w:rsidRPr="000C4F02">
        <w:rPr>
          <w:spacing w:val="-3"/>
        </w:rPr>
        <w:t>Pa.C</w:t>
      </w:r>
      <w:r w:rsidR="00DB6897" w:rsidRPr="000C4F02">
        <w:rPr>
          <w:spacing w:val="-3"/>
        </w:rPr>
        <w:t>mwlth.</w:t>
      </w:r>
      <w:r w:rsidRPr="000C4F02">
        <w:rPr>
          <w:spacing w:val="-3"/>
        </w:rPr>
        <w:t xml:space="preserve"> 21, 623 A.2d 6</w:t>
      </w:r>
      <w:r w:rsidR="00ED07CE" w:rsidRPr="000C4F02">
        <w:rPr>
          <w:spacing w:val="-3"/>
        </w:rPr>
        <w:t xml:space="preserve"> </w:t>
      </w:r>
      <w:r w:rsidRPr="000C4F02">
        <w:rPr>
          <w:spacing w:val="-3"/>
        </w:rPr>
        <w:t>(1993)</w:t>
      </w:r>
      <w:r w:rsidR="000E1660">
        <w:rPr>
          <w:spacing w:val="-3"/>
        </w:rPr>
        <w:t>;</w:t>
      </w:r>
      <w:r w:rsidRPr="000C4F02">
        <w:rPr>
          <w:spacing w:val="-3"/>
        </w:rPr>
        <w:t xml:space="preserve"> 2 Pa.C.S. §</w:t>
      </w:r>
      <w:r w:rsidR="00515619">
        <w:rPr>
          <w:spacing w:val="-3"/>
        </w:rPr>
        <w:t xml:space="preserve"> </w:t>
      </w:r>
      <w:r w:rsidRPr="000C4F02">
        <w:rPr>
          <w:spacing w:val="-3"/>
        </w:rPr>
        <w:t>704.</w:t>
      </w:r>
      <w:r w:rsidR="00CD42F8" w:rsidRPr="000C4F02">
        <w:rPr>
          <w:spacing w:val="-3"/>
        </w:rPr>
        <w:t xml:space="preserve">  Substantial evidence has been defined as such relevant evidence as a reasonable mind might accept as adequate to support a conclusion.  </w:t>
      </w:r>
      <w:r w:rsidR="00CD42F8" w:rsidRPr="000C4F02">
        <w:rPr>
          <w:i/>
          <w:spacing w:val="-3"/>
        </w:rPr>
        <w:t>Bethenergy Mines, Inc. v. Workmen’s Compensation Appeal Bd. (Skirpan)</w:t>
      </w:r>
      <w:r w:rsidR="001F6DC2">
        <w:rPr>
          <w:spacing w:val="-3"/>
        </w:rPr>
        <w:t>, 531 Pa. 287, 612 A.2d </w:t>
      </w:r>
      <w:r w:rsidR="00CD42F8" w:rsidRPr="000C4F02">
        <w:rPr>
          <w:spacing w:val="-3"/>
        </w:rPr>
        <w:t>434 (1992).</w:t>
      </w:r>
      <w:r w:rsidRPr="000C4F02">
        <w:rPr>
          <w:spacing w:val="-3"/>
        </w:rPr>
        <w:t xml:space="preserve">  More is required than a mere trace of evidence or a suspicion of the existence of a fact sought to be established.  </w:t>
      </w:r>
      <w:r w:rsidRPr="000C4F02">
        <w:rPr>
          <w:i/>
          <w:spacing w:val="-3"/>
        </w:rPr>
        <w:t>Norfolk and Western Ry. v. Pa. Pub</w:t>
      </w:r>
      <w:r w:rsidR="00AB6577" w:rsidRPr="000C4F02">
        <w:rPr>
          <w:i/>
          <w:spacing w:val="-3"/>
        </w:rPr>
        <w:t>.</w:t>
      </w:r>
      <w:r w:rsidRPr="000C4F02">
        <w:rPr>
          <w:i/>
          <w:spacing w:val="-3"/>
        </w:rPr>
        <w:t xml:space="preserve"> Uti</w:t>
      </w:r>
      <w:r w:rsidR="00AB6577" w:rsidRPr="000C4F02">
        <w:rPr>
          <w:i/>
          <w:spacing w:val="-3"/>
        </w:rPr>
        <w:t>l.</w:t>
      </w:r>
      <w:r w:rsidRPr="000C4F02">
        <w:rPr>
          <w:i/>
          <w:spacing w:val="-3"/>
        </w:rPr>
        <w:t xml:space="preserve"> Comm’n</w:t>
      </w:r>
      <w:r w:rsidRPr="000C4F02">
        <w:rPr>
          <w:spacing w:val="-3"/>
        </w:rPr>
        <w:t>, 489 Pa. 109, 413 A.2d 1037</w:t>
      </w:r>
      <w:r w:rsidR="00ED07CE" w:rsidRPr="000C4F02">
        <w:rPr>
          <w:spacing w:val="-3"/>
        </w:rPr>
        <w:t xml:space="preserve"> </w:t>
      </w:r>
      <w:r w:rsidRPr="000C4F02">
        <w:rPr>
          <w:spacing w:val="-3"/>
        </w:rPr>
        <w:t xml:space="preserve">(1980); </w:t>
      </w:r>
      <w:r w:rsidRPr="000C4F02">
        <w:rPr>
          <w:i/>
          <w:spacing w:val="-3"/>
        </w:rPr>
        <w:t>Erie Resistor Corp. v. Unemployment Compensation Bd. of Review</w:t>
      </w:r>
      <w:r w:rsidRPr="000C4F02">
        <w:rPr>
          <w:spacing w:val="-3"/>
        </w:rPr>
        <w:t>, 194 Pa.Super. 278, 166 A.2d 96</w:t>
      </w:r>
      <w:r w:rsidR="00ED07CE" w:rsidRPr="000C4F02">
        <w:rPr>
          <w:spacing w:val="-3"/>
        </w:rPr>
        <w:t xml:space="preserve"> </w:t>
      </w:r>
      <w:r w:rsidRPr="000C4F02">
        <w:rPr>
          <w:spacing w:val="-3"/>
        </w:rPr>
        <w:t xml:space="preserve">(1960); </w:t>
      </w:r>
      <w:r w:rsidRPr="000C4F02">
        <w:rPr>
          <w:i/>
          <w:spacing w:val="-3"/>
        </w:rPr>
        <w:t>Murphy v. Dep’t. of Public Welfare, White Haven Center</w:t>
      </w:r>
      <w:r w:rsidR="00B43F05">
        <w:rPr>
          <w:spacing w:val="-3"/>
        </w:rPr>
        <w:t>, 85 </w:t>
      </w:r>
      <w:r w:rsidRPr="000C4F02">
        <w:rPr>
          <w:spacing w:val="-3"/>
        </w:rPr>
        <w:t>Pa.C</w:t>
      </w:r>
      <w:r w:rsidR="00DB6897" w:rsidRPr="000C4F02">
        <w:rPr>
          <w:spacing w:val="-3"/>
        </w:rPr>
        <w:t>mwlth.</w:t>
      </w:r>
      <w:r w:rsidRPr="000C4F02">
        <w:rPr>
          <w:spacing w:val="-3"/>
        </w:rPr>
        <w:t xml:space="preserve"> 23, 480 A.2d 382</w:t>
      </w:r>
      <w:r w:rsidR="00ED07CE" w:rsidRPr="000C4F02">
        <w:rPr>
          <w:spacing w:val="-3"/>
        </w:rPr>
        <w:t xml:space="preserve"> </w:t>
      </w:r>
      <w:r w:rsidRPr="000C4F02">
        <w:rPr>
          <w:spacing w:val="-3"/>
        </w:rPr>
        <w:t>(1984).</w:t>
      </w:r>
    </w:p>
    <w:p w:rsidR="00CA0462" w:rsidRPr="000C4F02" w:rsidRDefault="00CA0462" w:rsidP="00837B9F">
      <w:pPr>
        <w:tabs>
          <w:tab w:val="left" w:pos="-1440"/>
          <w:tab w:val="left" w:pos="-720"/>
        </w:tabs>
        <w:suppressAutoHyphens/>
        <w:rPr>
          <w:spacing w:val="-3"/>
        </w:rPr>
      </w:pPr>
    </w:p>
    <w:p w:rsidR="00CA0462" w:rsidRPr="000C4F02" w:rsidRDefault="00CA0462" w:rsidP="00CA0462">
      <w:r w:rsidRPr="000C4F02">
        <w:t>The offense must be a violation of the Public Utility Code, the Commission’s regulations, or an outstanding o</w:t>
      </w:r>
      <w:r w:rsidR="008D3C08">
        <w:t>rder of the Commission.  66 Pa.</w:t>
      </w:r>
      <w:r w:rsidRPr="000C4F02">
        <w:t>C.S. § 701.</w:t>
      </w:r>
    </w:p>
    <w:p w:rsidR="00CA0462" w:rsidRPr="000C4F02" w:rsidRDefault="00CA0462" w:rsidP="00CA0462"/>
    <w:p w:rsidR="00E458E5" w:rsidRPr="000C4F02" w:rsidRDefault="00E458E5" w:rsidP="00E458E5">
      <w:pPr>
        <w:ind w:firstLine="0"/>
        <w:rPr>
          <w:u w:val="single"/>
        </w:rPr>
      </w:pPr>
      <w:r w:rsidRPr="000C4F02">
        <w:rPr>
          <w:u w:val="single"/>
        </w:rPr>
        <w:t>High Bill Claim</w:t>
      </w:r>
    </w:p>
    <w:p w:rsidR="00E458E5" w:rsidRPr="000C4F02" w:rsidRDefault="00E458E5" w:rsidP="000A0AFD">
      <w:pPr>
        <w:contextualSpacing/>
      </w:pPr>
    </w:p>
    <w:p w:rsidR="000A0AFD" w:rsidRDefault="000A0AFD" w:rsidP="000A0AFD">
      <w:pPr>
        <w:contextualSpacing/>
      </w:pPr>
      <w:r w:rsidRPr="000C4F02">
        <w:t xml:space="preserve">Criteria to be used in evaluating this type of complaint was established in </w:t>
      </w:r>
      <w:r w:rsidRPr="000C4F02">
        <w:rPr>
          <w:i/>
        </w:rPr>
        <w:t>Waldron v. Philadelphia Electric Co.</w:t>
      </w:r>
      <w:r w:rsidR="00A72809">
        <w:t>, 54 Pa. PUC</w:t>
      </w:r>
      <w:r w:rsidRPr="000C4F02">
        <w:t xml:space="preserve"> 98 (1980).  When a complainant has presented testimony that the number of occupants in the household has not changed, that the potential for energy utilization was low, and that the complainant’s prior billing history showed no previous abnormalities, the complainant has established a </w:t>
      </w:r>
      <w:r w:rsidRPr="00516826">
        <w:rPr>
          <w:i/>
        </w:rPr>
        <w:t>prima facie</w:t>
      </w:r>
      <w:r w:rsidRPr="000C4F02">
        <w:t xml:space="preserve"> case which, if unrebutted by a utility, would entitle complainant to prevail.  The results of a meter test are an important factor but may be insufficient to rebut the case.  However, if the respondent utility has placed into the record testimony in addition to the meter test results to rebut this prima facie case, complainant must meet the now shifted burden of going forward by a preponderance of the evidence.  </w:t>
      </w:r>
      <w:r w:rsidRPr="000C4F02">
        <w:rPr>
          <w:i/>
        </w:rPr>
        <w:t xml:space="preserve">Replogle v. Pennsylvania Electric Company, </w:t>
      </w:r>
      <w:r w:rsidR="00AB4AB3">
        <w:t>54 Pa. PUC</w:t>
      </w:r>
      <w:r w:rsidRPr="000C4F02">
        <w:t xml:space="preserve"> 98 (1980).</w:t>
      </w:r>
    </w:p>
    <w:p w:rsidR="00F353BC" w:rsidRDefault="00F353BC" w:rsidP="000A0AFD">
      <w:pPr>
        <w:contextualSpacing/>
      </w:pPr>
    </w:p>
    <w:p w:rsidR="00F353BC" w:rsidRDefault="00F353BC" w:rsidP="000A0AFD">
      <w:pPr>
        <w:contextualSpacing/>
      </w:pPr>
      <w:r>
        <w:t xml:space="preserve">The Commission may consider such evidence as the billing history of the account, any change in usage patterns (such as a change in the number of occupants residing in the household or potential energy utilization) and any other relevant facts or circumstances that come to light during the proceeding.  </w:t>
      </w:r>
      <w:r>
        <w:rPr>
          <w:i/>
        </w:rPr>
        <w:t xml:space="preserve">Thomas v. PECO Energy Company, </w:t>
      </w:r>
      <w:r>
        <w:t xml:space="preserve">C-2010-2187197, Opinion and Order entered November 15, 2011, </w:t>
      </w:r>
      <w:r>
        <w:rPr>
          <w:i/>
        </w:rPr>
        <w:t>citing Charisse Bennett v. Peoples Natural Gas Col,</w:t>
      </w:r>
      <w:r>
        <w:t xml:space="preserve"> C-2009-2122979</w:t>
      </w:r>
      <w:r w:rsidR="000E1660">
        <w:t>,</w:t>
      </w:r>
      <w:r>
        <w:t xml:space="preserve"> Order entered October 13, 2010.  </w:t>
      </w:r>
    </w:p>
    <w:p w:rsidR="00F353BC" w:rsidRDefault="00F353BC" w:rsidP="000A0AFD">
      <w:pPr>
        <w:contextualSpacing/>
      </w:pPr>
    </w:p>
    <w:p w:rsidR="000A0AFD" w:rsidRPr="000C4F02" w:rsidRDefault="00F353BC" w:rsidP="000A0AFD">
      <w:pPr>
        <w:contextualSpacing/>
      </w:pPr>
      <w:r>
        <w:t>In the instant case</w:t>
      </w:r>
      <w:r w:rsidR="000A0AFD" w:rsidRPr="000C4F02">
        <w:t xml:space="preserve">, Complainant testified that she and her two children live in </w:t>
      </w:r>
      <w:r w:rsidR="002D1EDB" w:rsidRPr="000C4F02">
        <w:t>a duplex</w:t>
      </w:r>
      <w:r w:rsidR="000A0AFD" w:rsidRPr="000C4F02">
        <w:t xml:space="preserve"> house on the second floor.</w:t>
      </w:r>
      <w:r w:rsidR="002D1EDB" w:rsidRPr="000C4F02">
        <w:t xml:space="preserve">  </w:t>
      </w:r>
      <w:r>
        <w:t>There is no evidence that the number of persons living in the household ha</w:t>
      </w:r>
      <w:r w:rsidR="0052342D">
        <w:t>s</w:t>
      </w:r>
      <w:r>
        <w:t xml:space="preserve"> changed during the time period in question.  Complainant</w:t>
      </w:r>
      <w:r w:rsidR="002D1EDB" w:rsidRPr="000C4F02">
        <w:t xml:space="preserve"> claims her bills are incorrect and too high given that the first floor of the duplex is vacant.</w:t>
      </w:r>
      <w:r w:rsidR="000A0AFD" w:rsidRPr="000C4F02">
        <w:t xml:space="preserve">  </w:t>
      </w:r>
      <w:r w:rsidR="002D1EDB" w:rsidRPr="000C4F02">
        <w:t xml:space="preserve">The </w:t>
      </w:r>
      <w:r w:rsidR="000E1660">
        <w:t>C</w:t>
      </w:r>
      <w:r w:rsidR="002D1EDB" w:rsidRPr="000C4F02">
        <w:t xml:space="preserve">ompany offered results of a meter test conducted on April 1, 2013 as well </w:t>
      </w:r>
      <w:r>
        <w:t xml:space="preserve">as </w:t>
      </w:r>
      <w:r w:rsidR="002D1EDB" w:rsidRPr="000C4F02">
        <w:t>testimony into the record; thus</w:t>
      </w:r>
      <w:r>
        <w:t>,</w:t>
      </w:r>
      <w:r w:rsidR="002D1EDB" w:rsidRPr="000C4F02">
        <w:t xml:space="preserve"> the burden to prove a violation of a statute or Commission regulation is Complainant’s burden going forward.</w:t>
      </w:r>
    </w:p>
    <w:p w:rsidR="000A0AFD" w:rsidRPr="000C4F02" w:rsidRDefault="000A0AFD" w:rsidP="00CA0462"/>
    <w:p w:rsidR="00CA0462" w:rsidRPr="000C4F02" w:rsidRDefault="00CA0462" w:rsidP="00CA0462">
      <w:r w:rsidRPr="000C4F02">
        <w:t>On December 18, 201</w:t>
      </w:r>
      <w:r w:rsidR="000E1660">
        <w:t>2</w:t>
      </w:r>
      <w:r w:rsidRPr="000C4F02">
        <w:t xml:space="preserve">, PGW conducted a high bill complaint investigation and found appliances on </w:t>
      </w:r>
      <w:r w:rsidR="002D1EDB" w:rsidRPr="000C4F02">
        <w:t>Complainant’s</w:t>
      </w:r>
      <w:r w:rsidRPr="000C4F02">
        <w:t xml:space="preserve"> line including: a gas house heater, water heater, gas range and dryer.  The first floor meter was off.  Her usage is consistent with the fact that internal conditions cause</w:t>
      </w:r>
      <w:r w:rsidR="009B1A99">
        <w:t>d</w:t>
      </w:r>
      <w:r w:rsidRPr="000C4F02">
        <w:t xml:space="preserve"> by the first floor meter being turned off will cause an increase in consumption </w:t>
      </w:r>
      <w:r w:rsidR="00F353BC">
        <w:t xml:space="preserve">regarding the second floor’s meter </w:t>
      </w:r>
      <w:r w:rsidRPr="000C4F02">
        <w:t xml:space="preserve">to heat </w:t>
      </w:r>
      <w:r w:rsidR="000A0AFD" w:rsidRPr="000C4F02">
        <w:t xml:space="preserve">the second </w:t>
      </w:r>
      <w:r w:rsidRPr="000C4F02">
        <w:t>floor</w:t>
      </w:r>
      <w:r w:rsidR="000A0AFD" w:rsidRPr="000C4F02">
        <w:t xml:space="preserve">, </w:t>
      </w:r>
      <w:r w:rsidR="00F353BC">
        <w:t xml:space="preserve">Complainant’s </w:t>
      </w:r>
      <w:r w:rsidR="000A0AFD" w:rsidRPr="000C4F02">
        <w:t>living space in the duplex</w:t>
      </w:r>
      <w:r w:rsidRPr="000C4F02">
        <w:t>.</w:t>
      </w:r>
    </w:p>
    <w:p w:rsidR="008A497C" w:rsidRPr="000C4F02" w:rsidRDefault="008A497C" w:rsidP="00CA0462"/>
    <w:p w:rsidR="00CA0462" w:rsidRPr="000C4F02" w:rsidRDefault="00CA0462" w:rsidP="00CA0462">
      <w:r w:rsidRPr="000C4F02">
        <w:t>Complainant’s billing comparison</w:t>
      </w:r>
      <w:r w:rsidRPr="000C4F02">
        <w:rPr>
          <w:rStyle w:val="FootnoteReference"/>
        </w:rPr>
        <w:footnoteReference w:id="2"/>
      </w:r>
      <w:r w:rsidRPr="000C4F02">
        <w:t xml:space="preserve"> is as follows:</w:t>
      </w:r>
    </w:p>
    <w:p w:rsidR="00CA0462" w:rsidRPr="000C4F02" w:rsidRDefault="00CA0462" w:rsidP="00CA0462"/>
    <w:p w:rsidR="00CA0462" w:rsidRPr="000C4F02" w:rsidRDefault="00CA0462" w:rsidP="00F17BE0">
      <w:pPr>
        <w:spacing w:line="240" w:lineRule="auto"/>
        <w:ind w:right="720" w:firstLine="720"/>
        <w:contextualSpacing/>
        <w:rPr>
          <w:b/>
        </w:rPr>
      </w:pPr>
      <w:r w:rsidRPr="000C4F02">
        <w:rPr>
          <w:b/>
        </w:rPr>
        <w:t>Transaction Date</w:t>
      </w:r>
      <w:r w:rsidRPr="000C4F02">
        <w:rPr>
          <w:b/>
        </w:rPr>
        <w:tab/>
      </w:r>
      <w:r w:rsidR="00F17BE0">
        <w:rPr>
          <w:b/>
        </w:rPr>
        <w:t>Days</w:t>
      </w:r>
      <w:r w:rsidRPr="000C4F02">
        <w:rPr>
          <w:b/>
        </w:rPr>
        <w:tab/>
      </w:r>
      <w:r w:rsidR="00F17BE0">
        <w:rPr>
          <w:b/>
        </w:rPr>
        <w:t>Reading</w:t>
      </w:r>
      <w:r w:rsidR="00F17BE0">
        <w:rPr>
          <w:b/>
        </w:rPr>
        <w:tab/>
        <w:t>Billed A</w:t>
      </w:r>
      <w:r w:rsidRPr="000C4F02">
        <w:rPr>
          <w:b/>
        </w:rPr>
        <w:t>mt.</w:t>
      </w:r>
      <w:r w:rsidR="00E26C7A" w:rsidRPr="000C4F02">
        <w:rPr>
          <w:b/>
        </w:rPr>
        <w:tab/>
        <w:t>Heating DDD’s</w:t>
      </w:r>
    </w:p>
    <w:p w:rsidR="00CA0462" w:rsidRPr="000C4F02" w:rsidRDefault="00CA0462" w:rsidP="00F17BE0">
      <w:pPr>
        <w:spacing w:line="240" w:lineRule="auto"/>
        <w:ind w:right="720" w:firstLine="720"/>
        <w:contextualSpacing/>
        <w:rPr>
          <w:b/>
        </w:rPr>
      </w:pPr>
      <w:r w:rsidRPr="000C4F02">
        <w:rPr>
          <w:b/>
        </w:rPr>
        <w:tab/>
      </w:r>
      <w:r w:rsidRPr="000C4F02">
        <w:rPr>
          <w:b/>
        </w:rPr>
        <w:tab/>
      </w:r>
      <w:r w:rsidRPr="000C4F02">
        <w:rPr>
          <w:b/>
        </w:rPr>
        <w:tab/>
      </w:r>
      <w:r w:rsidRPr="000C4F02">
        <w:rPr>
          <w:b/>
        </w:rPr>
        <w:tab/>
      </w:r>
      <w:r w:rsidR="00F17BE0">
        <w:rPr>
          <w:b/>
        </w:rPr>
        <w:t>C</w:t>
      </w:r>
      <w:r w:rsidR="00E26C7A" w:rsidRPr="000C4F02">
        <w:rPr>
          <w:b/>
        </w:rPr>
        <w:t>ode</w:t>
      </w:r>
    </w:p>
    <w:p w:rsidR="00CA0462" w:rsidRPr="000C4F02" w:rsidRDefault="00CA0462" w:rsidP="00F17BE0">
      <w:pPr>
        <w:spacing w:line="240" w:lineRule="auto"/>
        <w:ind w:right="720" w:firstLine="720"/>
        <w:contextualSpacing/>
        <w:rPr>
          <w:b/>
        </w:rPr>
      </w:pPr>
      <w:bookmarkStart w:id="0" w:name="_GoBack"/>
      <w:bookmarkEnd w:id="0"/>
    </w:p>
    <w:p w:rsidR="00CA0462" w:rsidRPr="000C4F02" w:rsidRDefault="00E26C7A" w:rsidP="00F17BE0">
      <w:pPr>
        <w:spacing w:line="240" w:lineRule="auto"/>
        <w:ind w:right="720" w:firstLine="720"/>
        <w:contextualSpacing/>
      </w:pPr>
      <w:r w:rsidRPr="000C4F02">
        <w:t>3/29/12</w:t>
      </w:r>
      <w:r w:rsidR="00CA0462" w:rsidRPr="000C4F02">
        <w:tab/>
      </w:r>
      <w:r w:rsidR="00CA0462" w:rsidRPr="000C4F02">
        <w:tab/>
      </w:r>
      <w:r w:rsidRPr="000C4F02">
        <w:t>29</w:t>
      </w:r>
      <w:r w:rsidR="00CA0462" w:rsidRPr="000C4F02">
        <w:tab/>
      </w:r>
      <w:r w:rsidRPr="000C4F02">
        <w:t>R</w:t>
      </w:r>
      <w:r w:rsidR="00CA0462" w:rsidRPr="000C4F02">
        <w:tab/>
      </w:r>
      <w:r w:rsidR="00CA0462" w:rsidRPr="000C4F02">
        <w:tab/>
        <w:t>$</w:t>
      </w:r>
      <w:r w:rsidRPr="000C4F02">
        <w:t>130.99</w:t>
      </w:r>
      <w:r w:rsidR="00CA0462" w:rsidRPr="000C4F02">
        <w:tab/>
      </w:r>
      <w:r w:rsidRPr="000C4F02">
        <w:t>371</w:t>
      </w:r>
      <w:r w:rsidR="00CA0462" w:rsidRPr="000C4F02">
        <w:tab/>
      </w:r>
    </w:p>
    <w:p w:rsidR="00CA0462" w:rsidRPr="000C4F02" w:rsidRDefault="00E26C7A" w:rsidP="00F17BE0">
      <w:pPr>
        <w:spacing w:line="240" w:lineRule="auto"/>
        <w:ind w:right="720" w:firstLine="720"/>
        <w:contextualSpacing/>
      </w:pPr>
      <w:r w:rsidRPr="000C4F02">
        <w:t>11/29/12</w:t>
      </w:r>
      <w:r w:rsidR="00CA0462" w:rsidRPr="000C4F02">
        <w:tab/>
      </w:r>
      <w:r w:rsidR="00CA0462" w:rsidRPr="000C4F02">
        <w:tab/>
      </w:r>
      <w:r w:rsidRPr="000C4F02">
        <w:t>33</w:t>
      </w:r>
      <w:r w:rsidR="00CA0462" w:rsidRPr="000C4F02">
        <w:tab/>
      </w:r>
      <w:r w:rsidRPr="000C4F02">
        <w:t>R</w:t>
      </w:r>
      <w:r w:rsidR="00CA0462" w:rsidRPr="000C4F02">
        <w:tab/>
      </w:r>
      <w:r w:rsidR="00CA0462" w:rsidRPr="000C4F02">
        <w:tab/>
        <w:t>$</w:t>
      </w:r>
      <w:r w:rsidRPr="000C4F02">
        <w:t>263.38</w:t>
      </w:r>
      <w:r w:rsidR="00CA0462" w:rsidRPr="000C4F02">
        <w:tab/>
      </w:r>
      <w:r w:rsidRPr="000C4F02">
        <w:t>617</w:t>
      </w:r>
      <w:r w:rsidR="00CA0462" w:rsidRPr="000C4F02">
        <w:tab/>
      </w:r>
    </w:p>
    <w:p w:rsidR="00E26C7A" w:rsidRPr="000C4F02" w:rsidRDefault="00E26C7A" w:rsidP="00F17BE0">
      <w:pPr>
        <w:spacing w:line="240" w:lineRule="auto"/>
        <w:ind w:right="720" w:firstLine="720"/>
        <w:contextualSpacing/>
      </w:pPr>
      <w:r w:rsidRPr="000C4F02">
        <w:t>1/2/13</w:t>
      </w:r>
      <w:r w:rsidRPr="000C4F02">
        <w:tab/>
      </w:r>
      <w:r w:rsidR="00CA0462" w:rsidRPr="000C4F02">
        <w:tab/>
      </w:r>
      <w:r w:rsidR="00CA0462" w:rsidRPr="000C4F02">
        <w:tab/>
      </w:r>
      <w:r w:rsidRPr="000C4F02">
        <w:t>33</w:t>
      </w:r>
      <w:r w:rsidR="00CA0462" w:rsidRPr="000C4F02">
        <w:tab/>
      </w:r>
      <w:r w:rsidR="008A497C" w:rsidRPr="000C4F02">
        <w:t>R</w:t>
      </w:r>
      <w:r w:rsidR="00CA0462" w:rsidRPr="000C4F02">
        <w:tab/>
      </w:r>
      <w:r w:rsidR="00CA0462" w:rsidRPr="000C4F02">
        <w:tab/>
        <w:t>$</w:t>
      </w:r>
      <w:r w:rsidR="008A497C" w:rsidRPr="000C4F02">
        <w:t>384.27</w:t>
      </w:r>
      <w:r w:rsidR="00CA0462" w:rsidRPr="000C4F02">
        <w:tab/>
      </w:r>
      <w:r w:rsidR="008A497C" w:rsidRPr="000C4F02">
        <w:t>722</w:t>
      </w:r>
    </w:p>
    <w:p w:rsidR="00E26C7A" w:rsidRPr="000C4F02" w:rsidRDefault="008A497C" w:rsidP="00F17BE0">
      <w:pPr>
        <w:spacing w:line="240" w:lineRule="auto"/>
        <w:ind w:right="720" w:firstLine="720"/>
        <w:contextualSpacing/>
      </w:pPr>
      <w:r w:rsidRPr="000C4F02">
        <w:t>1/31/13</w:t>
      </w:r>
      <w:r w:rsidRPr="000C4F02">
        <w:tab/>
      </w:r>
      <w:r w:rsidRPr="000C4F02">
        <w:tab/>
        <w:t>30</w:t>
      </w:r>
      <w:r w:rsidRPr="000C4F02">
        <w:tab/>
        <w:t>R</w:t>
      </w:r>
      <w:r w:rsidRPr="000C4F02">
        <w:tab/>
      </w:r>
      <w:r w:rsidRPr="000C4F02">
        <w:tab/>
        <w:t>$411.48</w:t>
      </w:r>
      <w:r w:rsidRPr="000C4F02">
        <w:tab/>
        <w:t>862</w:t>
      </w:r>
      <w:r w:rsidR="00CA0462" w:rsidRPr="000C4F02">
        <w:tab/>
      </w:r>
    </w:p>
    <w:p w:rsidR="008A497C" w:rsidRPr="000C4F02" w:rsidRDefault="008A497C" w:rsidP="00F17BE0">
      <w:pPr>
        <w:spacing w:line="240" w:lineRule="auto"/>
        <w:ind w:right="720" w:firstLine="720"/>
        <w:contextualSpacing/>
      </w:pPr>
      <w:r w:rsidRPr="000C4F02">
        <w:t>3/2/13</w:t>
      </w:r>
      <w:r w:rsidRPr="000C4F02">
        <w:tab/>
      </w:r>
      <w:r w:rsidRPr="000C4F02">
        <w:tab/>
      </w:r>
      <w:r w:rsidRPr="000C4F02">
        <w:tab/>
        <w:t>29</w:t>
      </w:r>
      <w:r w:rsidRPr="000C4F02">
        <w:tab/>
        <w:t>R</w:t>
      </w:r>
      <w:r w:rsidRPr="000C4F02">
        <w:tab/>
      </w:r>
      <w:r w:rsidRPr="000C4F02">
        <w:tab/>
        <w:t>$386.73</w:t>
      </w:r>
      <w:r w:rsidRPr="000C4F02">
        <w:tab/>
        <w:t>849</w:t>
      </w:r>
    </w:p>
    <w:p w:rsidR="00CA0462" w:rsidRPr="000C4F02" w:rsidRDefault="00CA0462" w:rsidP="00B43F05">
      <w:pPr>
        <w:spacing w:line="480" w:lineRule="auto"/>
        <w:ind w:firstLine="0"/>
      </w:pPr>
    </w:p>
    <w:p w:rsidR="00CA0462" w:rsidRPr="000C4F02" w:rsidRDefault="000A0AFD" w:rsidP="008A497C">
      <w:r w:rsidRPr="000C4F02">
        <w:t>T</w:t>
      </w:r>
      <w:r w:rsidR="00772ACF" w:rsidRPr="000C4F02">
        <w:t>he March</w:t>
      </w:r>
      <w:r w:rsidR="00463C50">
        <w:t>,</w:t>
      </w:r>
      <w:r w:rsidR="00772ACF" w:rsidRPr="000C4F02">
        <w:t xml:space="preserve"> 2012 degree day figure of 371 degree days </w:t>
      </w:r>
      <w:r w:rsidRPr="000C4F02">
        <w:t xml:space="preserve">compared </w:t>
      </w:r>
      <w:r w:rsidR="006A20E8">
        <w:t>to the March of </w:t>
      </w:r>
      <w:r w:rsidR="00772ACF" w:rsidRPr="000C4F02">
        <w:t>2013 figure of 849 degree days shows it was much colder in March</w:t>
      </w:r>
      <w:r w:rsidR="00463C50">
        <w:t>,</w:t>
      </w:r>
      <w:r w:rsidR="00772ACF" w:rsidRPr="000C4F02">
        <w:t xml:space="preserve"> 2013; th</w:t>
      </w:r>
      <w:r w:rsidRPr="000C4F02">
        <w:t>erefore</w:t>
      </w:r>
      <w:r w:rsidR="00772ACF" w:rsidRPr="000C4F02">
        <w:t>, there would have been a greater need for heat in the household.  N.T. 28.  PGW Exhibit 2.</w:t>
      </w:r>
    </w:p>
    <w:p w:rsidR="00AB6577" w:rsidRPr="000C4F02" w:rsidRDefault="00AB6577" w:rsidP="008A497C"/>
    <w:p w:rsidR="00CA0462" w:rsidRPr="000C4F02" w:rsidRDefault="000A0AFD" w:rsidP="00CA0462">
      <w:pPr>
        <w:contextualSpacing/>
      </w:pPr>
      <w:r w:rsidRPr="000C4F02">
        <w:t>I</w:t>
      </w:r>
      <w:r w:rsidR="008A497C" w:rsidRPr="000C4F02">
        <w:t xml:space="preserve">t is reasonable to conclude given the meter test and investigation results, that the </w:t>
      </w:r>
      <w:r w:rsidRPr="000C4F02">
        <w:t>higher bills are</w:t>
      </w:r>
      <w:r w:rsidR="008A497C" w:rsidRPr="000C4F02">
        <w:t xml:space="preserve"> related to </w:t>
      </w:r>
      <w:r w:rsidR="00772ACF" w:rsidRPr="000C4F02">
        <w:t xml:space="preserve">colder outdoor temperatures in </w:t>
      </w:r>
      <w:r w:rsidRPr="000C4F02">
        <w:t xml:space="preserve">the winter of </w:t>
      </w:r>
      <w:r w:rsidR="00772ACF" w:rsidRPr="000C4F02">
        <w:t xml:space="preserve">2013 and </w:t>
      </w:r>
      <w:r w:rsidR="008A497C" w:rsidRPr="000C4F02">
        <w:t xml:space="preserve">a cold floor under the second floor apartment, causing the gas heater to work harder.  It is reasonable to conclude that </w:t>
      </w:r>
      <w:r w:rsidR="00CA0462" w:rsidRPr="000C4F02">
        <w:t xml:space="preserve">actual usage in the house </w:t>
      </w:r>
      <w:r w:rsidR="008A497C" w:rsidRPr="000C4F02">
        <w:t>increased in the winter months</w:t>
      </w:r>
      <w:r w:rsidR="00772ACF" w:rsidRPr="000C4F02">
        <w:t xml:space="preserve"> and this was seasonal in nature, most likely related to the </w:t>
      </w:r>
      <w:r w:rsidRPr="000C4F02">
        <w:t xml:space="preserve">weather conditions and condition of the </w:t>
      </w:r>
      <w:r w:rsidR="00772ACF" w:rsidRPr="000C4F02">
        <w:t>heating appliances</w:t>
      </w:r>
      <w:r w:rsidR="00CA0462" w:rsidRPr="000C4F02">
        <w:t>.</w:t>
      </w:r>
      <w:r w:rsidR="009B1A99">
        <w:t xml:space="preserve">  N.T. 27-28.</w:t>
      </w:r>
    </w:p>
    <w:p w:rsidR="00CA0462" w:rsidRPr="000C4F02" w:rsidRDefault="00CA0462" w:rsidP="00CA0462">
      <w:pPr>
        <w:contextualSpacing/>
      </w:pPr>
    </w:p>
    <w:p w:rsidR="000A0AFD" w:rsidRPr="000C4F02" w:rsidRDefault="000A0AFD" w:rsidP="00CA0462">
      <w:pPr>
        <w:contextualSpacing/>
      </w:pPr>
      <w:r w:rsidRPr="000C4F02">
        <w:t xml:space="preserve">Further, Complainant’s meter was </w:t>
      </w:r>
      <w:r w:rsidR="00E458E5" w:rsidRPr="000C4F02">
        <w:t xml:space="preserve">tested on April 1, 2013, and found to be 98.3% accurate, which is </w:t>
      </w:r>
      <w:r w:rsidRPr="000C4F02">
        <w:t xml:space="preserve">within </w:t>
      </w:r>
      <w:r w:rsidR="00E458E5" w:rsidRPr="000C4F02">
        <w:t xml:space="preserve">the Commission’s </w:t>
      </w:r>
      <w:r w:rsidRPr="000C4F02">
        <w:t xml:space="preserve">compliance </w:t>
      </w:r>
      <w:r w:rsidR="00E458E5" w:rsidRPr="000C4F02">
        <w:t xml:space="preserve">regulations.  </w:t>
      </w:r>
      <w:r w:rsidR="009B1A99">
        <w:t xml:space="preserve">N.T. 34.  </w:t>
      </w:r>
      <w:r w:rsidR="00E458E5" w:rsidRPr="000C4F02">
        <w:t xml:space="preserve">The </w:t>
      </w:r>
      <w:r w:rsidRPr="000C4F02">
        <w:t xml:space="preserve">testing standards of </w:t>
      </w:r>
      <w:r w:rsidR="00CB018A">
        <w:t>52 Pa.</w:t>
      </w:r>
      <w:r w:rsidR="00E458E5" w:rsidRPr="000C4F02">
        <w:t>Code § 59.21(e)(3) and (f)(1) require a tested meter fall with a 98% - 102% accuracy</w:t>
      </w:r>
      <w:r w:rsidRPr="000C4F02">
        <w:t>.</w:t>
      </w:r>
      <w:r w:rsidR="00E458E5" w:rsidRPr="000C4F02">
        <w:t xml:space="preserve">  This is further evidence that Complainant was being billed correctly during the time period in question.  I find Complainant has failed to prove by a preponderance of evidence that her bills were incorrect during the time period in question.</w:t>
      </w:r>
    </w:p>
    <w:p w:rsidR="00E458E5" w:rsidRPr="000C4F02" w:rsidRDefault="00E458E5" w:rsidP="00E458E5">
      <w:pPr>
        <w:ind w:firstLine="0"/>
        <w:contextualSpacing/>
        <w:rPr>
          <w:u w:val="single"/>
        </w:rPr>
      </w:pPr>
    </w:p>
    <w:p w:rsidR="00E458E5" w:rsidRDefault="00E458E5" w:rsidP="00E458E5">
      <w:pPr>
        <w:ind w:firstLine="0"/>
        <w:contextualSpacing/>
        <w:rPr>
          <w:u w:val="single"/>
        </w:rPr>
      </w:pPr>
      <w:r w:rsidRPr="000C4F02">
        <w:rPr>
          <w:u w:val="single"/>
        </w:rPr>
        <w:t>Payment Arrangement</w:t>
      </w:r>
    </w:p>
    <w:p w:rsidR="000C3FA9" w:rsidRPr="000C4F02" w:rsidRDefault="000C3FA9" w:rsidP="00E458E5">
      <w:pPr>
        <w:ind w:firstLine="0"/>
        <w:contextualSpacing/>
        <w:rPr>
          <w:u w:val="single"/>
        </w:rPr>
      </w:pPr>
    </w:p>
    <w:p w:rsidR="00B82500" w:rsidRPr="000C4F02" w:rsidRDefault="00B82500" w:rsidP="00CA0462">
      <w:pPr>
        <w:contextualSpacing/>
      </w:pPr>
      <w:r w:rsidRPr="000C4F02">
        <w:t xml:space="preserve">Complainant </w:t>
      </w:r>
      <w:r w:rsidR="00837799">
        <w:t>i</w:t>
      </w:r>
      <w:r w:rsidRPr="000C4F02">
        <w:t>s a CRP customer enjoying gradual 1/36</w:t>
      </w:r>
      <w:r w:rsidRPr="000C4F02">
        <w:rPr>
          <w:vertAlign w:val="superscript"/>
        </w:rPr>
        <w:t>th</w:t>
      </w:r>
      <w:r w:rsidRPr="000C4F02">
        <w:t xml:space="preserve"> forgiveness of her outstanding arrearage as long as she makes timely payments of approximately $14</w:t>
      </w:r>
      <w:r w:rsidR="009B1A99">
        <w:t>9</w:t>
      </w:r>
      <w:r w:rsidRPr="000C4F02">
        <w:t xml:space="preserve"> per month.  N.T. 30.</w:t>
      </w:r>
      <w:r w:rsidR="00F353BC">
        <w:t xml:space="preserve">  The CRP program is a customer assistance program, and </w:t>
      </w:r>
      <w:r w:rsidR="00837799">
        <w:t>customer assistance program rates must be timely paid and are not the subject of payment agreements negotiated or approved by the commission.  66 Pa.C.S. §</w:t>
      </w:r>
      <w:r w:rsidR="009B1A99">
        <w:t xml:space="preserve"> </w:t>
      </w:r>
      <w:r w:rsidR="00837799">
        <w:t xml:space="preserve">1405(c).  </w:t>
      </w:r>
      <w:r w:rsidR="00AB6577" w:rsidRPr="000C4F02">
        <w:t>Therefore, I will n</w:t>
      </w:r>
      <w:r w:rsidR="00003AD3">
        <w:t>ot order a payment arrangement.</w:t>
      </w:r>
      <w:r w:rsidR="00837799">
        <w:t xml:space="preserve">  </w:t>
      </w:r>
    </w:p>
    <w:p w:rsidR="00AB6577" w:rsidRPr="000C4F02" w:rsidRDefault="00AB6577" w:rsidP="00CA0462">
      <w:pPr>
        <w:contextualSpacing/>
        <w:rPr>
          <w:u w:val="single"/>
        </w:rPr>
      </w:pPr>
    </w:p>
    <w:p w:rsidR="00CA0462" w:rsidRPr="000C4F02" w:rsidRDefault="00CA0462" w:rsidP="00003AD3">
      <w:pPr>
        <w:ind w:firstLine="0"/>
        <w:contextualSpacing/>
        <w:jc w:val="center"/>
        <w:rPr>
          <w:u w:val="single"/>
        </w:rPr>
      </w:pPr>
      <w:r w:rsidRPr="000C4F02">
        <w:rPr>
          <w:u w:val="single"/>
        </w:rPr>
        <w:t>CONCLUSIONS OF LAW</w:t>
      </w:r>
    </w:p>
    <w:p w:rsidR="00CA0462" w:rsidRPr="000C4F02" w:rsidRDefault="00CA0462" w:rsidP="00CA0462">
      <w:pPr>
        <w:contextualSpacing/>
      </w:pPr>
    </w:p>
    <w:p w:rsidR="00CA0462" w:rsidRDefault="00CA0462" w:rsidP="00CA0462">
      <w:pPr>
        <w:rPr>
          <w:spacing w:val="-3"/>
        </w:rPr>
      </w:pPr>
      <w:r w:rsidRPr="000C4F02">
        <w:t>1.</w:t>
      </w:r>
      <w:r w:rsidRPr="000C4F02">
        <w:tab/>
        <w:t>The C</w:t>
      </w:r>
      <w:r w:rsidRPr="000C4F02">
        <w:rPr>
          <w:spacing w:val="-3"/>
        </w:rPr>
        <w:t xml:space="preserve">omplainant has the burden of showing that the utility is responsible or accountable for the problem described in the Complaint in order to prevail.  </w:t>
      </w:r>
      <w:r w:rsidRPr="000C4F02">
        <w:rPr>
          <w:i/>
          <w:spacing w:val="-3"/>
        </w:rPr>
        <w:t>Patterson v. Bell Telephone Company of Pennsylvania</w:t>
      </w:r>
      <w:r w:rsidRPr="000C4F02">
        <w:rPr>
          <w:spacing w:val="-3"/>
        </w:rPr>
        <w:t xml:space="preserve">, 72 Pa. PUC 196 (1990); </w:t>
      </w:r>
      <w:r w:rsidRPr="000C4F02">
        <w:rPr>
          <w:i/>
          <w:spacing w:val="-3"/>
        </w:rPr>
        <w:t>Feinstein v. Philadelphia Suburban Water Company</w:t>
      </w:r>
      <w:r w:rsidRPr="000C4F02">
        <w:rPr>
          <w:spacing w:val="-3"/>
        </w:rPr>
        <w:t xml:space="preserve">, 50 Pa. PUC 300 (1976).  This must be shown by a preponderance of the evidence.  </w:t>
      </w:r>
      <w:r w:rsidRPr="000C4F02">
        <w:rPr>
          <w:i/>
          <w:spacing w:val="-3"/>
        </w:rPr>
        <w:t xml:space="preserve">Samuel J. Lansberry, Inc. v. </w:t>
      </w:r>
      <w:r w:rsidR="009B1A99" w:rsidRPr="000C4F02">
        <w:rPr>
          <w:i/>
          <w:spacing w:val="-3"/>
        </w:rPr>
        <w:t>P</w:t>
      </w:r>
      <w:r w:rsidR="009B1A99">
        <w:rPr>
          <w:i/>
          <w:spacing w:val="-3"/>
        </w:rPr>
        <w:t xml:space="preserve">a. Pub. Util. </w:t>
      </w:r>
      <w:r w:rsidRPr="000C4F02">
        <w:rPr>
          <w:i/>
          <w:spacing w:val="-3"/>
        </w:rPr>
        <w:t>Comm’n</w:t>
      </w:r>
      <w:r w:rsidRPr="000C4F02">
        <w:rPr>
          <w:spacing w:val="-3"/>
        </w:rPr>
        <w:t xml:space="preserve">, 578 A.2d 600 (Pa. Cmwlth.1990), </w:t>
      </w:r>
      <w:r w:rsidRPr="000C4F02">
        <w:rPr>
          <w:i/>
          <w:spacing w:val="-3"/>
        </w:rPr>
        <w:t>alloc. den.</w:t>
      </w:r>
      <w:r w:rsidRPr="000C4F02">
        <w:rPr>
          <w:spacing w:val="-3"/>
        </w:rPr>
        <w:t xml:space="preserve">, 529 A.2d 654, 602 A.2d 863 (1992).  </w:t>
      </w:r>
    </w:p>
    <w:p w:rsidR="00837799" w:rsidRPr="000C4F02" w:rsidRDefault="00837799" w:rsidP="00CA0462">
      <w:pPr>
        <w:rPr>
          <w:spacing w:val="-3"/>
        </w:rPr>
      </w:pPr>
    </w:p>
    <w:p w:rsidR="00CA0462" w:rsidRPr="000C4F02" w:rsidRDefault="00CA0462" w:rsidP="00CA0462">
      <w:pPr>
        <w:rPr>
          <w:spacing w:val="-3"/>
        </w:rPr>
      </w:pPr>
      <w:r w:rsidRPr="000C4F02">
        <w:rPr>
          <w:spacing w:val="-3"/>
        </w:rPr>
        <w:t>2.</w:t>
      </w:r>
      <w:r w:rsidRPr="000C4F02">
        <w:rPr>
          <w:spacing w:val="-3"/>
        </w:rPr>
        <w:tab/>
        <w:t xml:space="preserve">Any finding of fact necessary to support the Commission’s adjudication must be based upon substantial evidence.  </w:t>
      </w:r>
      <w:r w:rsidRPr="000C4F02">
        <w:rPr>
          <w:i/>
          <w:spacing w:val="-3"/>
        </w:rPr>
        <w:t xml:space="preserve">Mill v. Comm’w., </w:t>
      </w:r>
      <w:r w:rsidR="009B1A99" w:rsidRPr="000C4F02">
        <w:rPr>
          <w:i/>
          <w:spacing w:val="-3"/>
        </w:rPr>
        <w:t>P</w:t>
      </w:r>
      <w:r w:rsidR="009B1A99">
        <w:rPr>
          <w:i/>
          <w:spacing w:val="-3"/>
        </w:rPr>
        <w:t xml:space="preserve">a. Pub. Util. </w:t>
      </w:r>
      <w:r w:rsidRPr="000C4F02">
        <w:rPr>
          <w:i/>
          <w:spacing w:val="-3"/>
        </w:rPr>
        <w:t>Comm’n</w:t>
      </w:r>
      <w:r w:rsidR="00342855">
        <w:rPr>
          <w:spacing w:val="-3"/>
        </w:rPr>
        <w:t>, 447 A.2d </w:t>
      </w:r>
      <w:r w:rsidRPr="000C4F02">
        <w:rPr>
          <w:spacing w:val="-3"/>
        </w:rPr>
        <w:t xml:space="preserve">1100 (Pa. Cmwlth.1982); </w:t>
      </w:r>
      <w:r w:rsidRPr="000C4F02">
        <w:rPr>
          <w:i/>
          <w:spacing w:val="-3"/>
        </w:rPr>
        <w:t xml:space="preserve">Edan Transportation Corp. v. </w:t>
      </w:r>
      <w:r w:rsidR="009B1A99" w:rsidRPr="000C4F02">
        <w:rPr>
          <w:i/>
          <w:spacing w:val="-3"/>
        </w:rPr>
        <w:t>P</w:t>
      </w:r>
      <w:r w:rsidR="009B1A99">
        <w:rPr>
          <w:i/>
          <w:spacing w:val="-3"/>
        </w:rPr>
        <w:t xml:space="preserve">a. Pub. Util. </w:t>
      </w:r>
      <w:r w:rsidRPr="000C4F02">
        <w:rPr>
          <w:i/>
          <w:spacing w:val="-3"/>
        </w:rPr>
        <w:t>Comm’n,</w:t>
      </w:r>
      <w:r w:rsidR="00342855">
        <w:rPr>
          <w:spacing w:val="-3"/>
        </w:rPr>
        <w:t xml:space="preserve"> 623 A.2d </w:t>
      </w:r>
      <w:r w:rsidRPr="000C4F02">
        <w:rPr>
          <w:spacing w:val="-3"/>
        </w:rPr>
        <w:t>6 (Pa. Cmwlth.1993), 2 Pa.C.S. §</w:t>
      </w:r>
      <w:r w:rsidR="00342855">
        <w:rPr>
          <w:spacing w:val="-3"/>
        </w:rPr>
        <w:t xml:space="preserve"> </w:t>
      </w:r>
      <w:r w:rsidRPr="000C4F02">
        <w:rPr>
          <w:spacing w:val="-3"/>
        </w:rPr>
        <w:t xml:space="preserve">704.  More is required than a mere trace of evidence or a suspicion of the existence of a fact sought to be established.  </w:t>
      </w:r>
      <w:r w:rsidRPr="000C4F02">
        <w:rPr>
          <w:i/>
          <w:spacing w:val="-3"/>
        </w:rPr>
        <w:t xml:space="preserve">Norfolk and Western Ry. v. </w:t>
      </w:r>
      <w:r w:rsidR="008346F9" w:rsidRPr="000C4F02">
        <w:rPr>
          <w:i/>
          <w:spacing w:val="-3"/>
        </w:rPr>
        <w:t>P</w:t>
      </w:r>
      <w:r w:rsidR="008346F9">
        <w:rPr>
          <w:i/>
          <w:spacing w:val="-3"/>
        </w:rPr>
        <w:t xml:space="preserve">a. Pub. Util. </w:t>
      </w:r>
      <w:r w:rsidRPr="000C4F02">
        <w:rPr>
          <w:i/>
          <w:spacing w:val="-3"/>
        </w:rPr>
        <w:t>Comm’n</w:t>
      </w:r>
      <w:r w:rsidRPr="000C4F02">
        <w:rPr>
          <w:spacing w:val="-3"/>
        </w:rPr>
        <w:t xml:space="preserve">, 489 Pa. 109, 413 A.2d 1037 (1980); </w:t>
      </w:r>
      <w:r w:rsidRPr="000C4F02">
        <w:rPr>
          <w:i/>
          <w:spacing w:val="-3"/>
        </w:rPr>
        <w:t>Erie Resistor Corp. v. Unemployment Compensation Bd. of Review</w:t>
      </w:r>
      <w:r w:rsidRPr="000C4F02">
        <w:rPr>
          <w:spacing w:val="-3"/>
        </w:rPr>
        <w:t xml:space="preserve">, 166 A.2d 96 (Pa. Super.1960); </w:t>
      </w:r>
      <w:r w:rsidRPr="000C4F02">
        <w:rPr>
          <w:i/>
          <w:spacing w:val="-3"/>
        </w:rPr>
        <w:t>Murphy v. Commonwealth, Dep’t. of Public Welfare, White Haven Center</w:t>
      </w:r>
      <w:r w:rsidRPr="000C4F02">
        <w:rPr>
          <w:spacing w:val="-3"/>
        </w:rPr>
        <w:t>, 480 A.2d 382 (Pa. Cmwlth.</w:t>
      </w:r>
      <w:r w:rsidR="009B1A99">
        <w:rPr>
          <w:spacing w:val="-3"/>
        </w:rPr>
        <w:t xml:space="preserve"> </w:t>
      </w:r>
      <w:r w:rsidRPr="000C4F02">
        <w:rPr>
          <w:spacing w:val="-3"/>
        </w:rPr>
        <w:t>1984).</w:t>
      </w:r>
    </w:p>
    <w:p w:rsidR="00CA0462" w:rsidRPr="000C4F02" w:rsidRDefault="00CA0462" w:rsidP="00CA0462">
      <w:pPr>
        <w:rPr>
          <w:spacing w:val="-3"/>
        </w:rPr>
      </w:pPr>
    </w:p>
    <w:p w:rsidR="00CA0462" w:rsidRDefault="00CA0462" w:rsidP="00CA0462">
      <w:r w:rsidRPr="000C4F02">
        <w:t>3.</w:t>
      </w:r>
      <w:r w:rsidRPr="000C4F02">
        <w:tab/>
        <w:t>The offense must be a violation of the Public Utility Code, the Commission’s regulations, or an outstanding o</w:t>
      </w:r>
      <w:r w:rsidR="00CE4884">
        <w:t>rder of the Commission.  66 Pa.</w:t>
      </w:r>
      <w:r w:rsidRPr="000C4F02">
        <w:t>C.S. §701.</w:t>
      </w:r>
    </w:p>
    <w:p w:rsidR="00837799" w:rsidRPr="000C4F02" w:rsidRDefault="00837799" w:rsidP="00CA0462"/>
    <w:p w:rsidR="00837799" w:rsidRDefault="00837799" w:rsidP="00837799">
      <w:pPr>
        <w:spacing w:before="100" w:beforeAutospacing="1" w:after="100" w:afterAutospacing="1"/>
        <w:contextualSpacing/>
      </w:pPr>
      <w:r>
        <w:t>4.</w:t>
      </w:r>
      <w:r>
        <w:tab/>
        <w:t xml:space="preserve">Complainant has failed to prove by a preponderance of evidence that there are incorrect charges on her bill. </w:t>
      </w:r>
    </w:p>
    <w:p w:rsidR="00837799" w:rsidRDefault="00837799" w:rsidP="00837799">
      <w:pPr>
        <w:spacing w:before="100" w:beforeAutospacing="1" w:after="100" w:afterAutospacing="1"/>
        <w:contextualSpacing/>
      </w:pPr>
    </w:p>
    <w:p w:rsidR="00837799" w:rsidRPr="000C4F02" w:rsidRDefault="00837799" w:rsidP="00837799">
      <w:pPr>
        <w:spacing w:before="100" w:beforeAutospacing="1" w:after="100" w:afterAutospacing="1"/>
        <w:contextualSpacing/>
      </w:pPr>
      <w:r>
        <w:t>5.</w:t>
      </w:r>
      <w:r>
        <w:tab/>
      </w:r>
      <w:r w:rsidRPr="000C4F02">
        <w:t>Evidence of record does not support a finding that Respondent’s actions constitute a violation of the Public Utility Code, Commission regulations or any outstanding order.</w:t>
      </w:r>
    </w:p>
    <w:p w:rsidR="00CA0462" w:rsidRDefault="00837799" w:rsidP="00CA0462">
      <w:pPr>
        <w:contextualSpacing/>
      </w:pPr>
      <w:r>
        <w:t>6.</w:t>
      </w:r>
      <w:r>
        <w:tab/>
        <w:t>Complainant is not entitled to a Commission-ordered payment arrangement because she is on a customer assistance program.  66 Pa.C.S. §</w:t>
      </w:r>
      <w:r w:rsidR="009B1A99">
        <w:t xml:space="preserve"> </w:t>
      </w:r>
      <w:r>
        <w:t>1405(c).</w:t>
      </w:r>
    </w:p>
    <w:p w:rsidR="007C6983" w:rsidRDefault="007C6983" w:rsidP="007C6983">
      <w:pPr>
        <w:autoSpaceDE/>
        <w:autoSpaceDN/>
        <w:spacing w:line="240" w:lineRule="auto"/>
        <w:ind w:firstLine="0"/>
      </w:pPr>
    </w:p>
    <w:p w:rsidR="007C6983" w:rsidRDefault="007C6983" w:rsidP="007C6983">
      <w:pPr>
        <w:autoSpaceDE/>
        <w:autoSpaceDN/>
        <w:spacing w:line="240" w:lineRule="auto"/>
        <w:ind w:firstLine="0"/>
      </w:pPr>
    </w:p>
    <w:p w:rsidR="00053D24" w:rsidRPr="007C6983" w:rsidRDefault="00053D24" w:rsidP="007C6983">
      <w:pPr>
        <w:autoSpaceDE/>
        <w:autoSpaceDN/>
        <w:spacing w:line="240" w:lineRule="auto"/>
        <w:ind w:firstLine="0"/>
        <w:jc w:val="center"/>
      </w:pPr>
      <w:r w:rsidRPr="000C4F02">
        <w:rPr>
          <w:bCs/>
          <w:spacing w:val="-3"/>
          <w:u w:val="single"/>
        </w:rPr>
        <w:t>ORDER</w:t>
      </w:r>
    </w:p>
    <w:p w:rsidR="00002B69" w:rsidRPr="000C4F02" w:rsidRDefault="00002B69" w:rsidP="00280392">
      <w:pPr>
        <w:tabs>
          <w:tab w:val="center" w:pos="4680"/>
        </w:tabs>
        <w:suppressAutoHyphens/>
        <w:spacing w:line="480" w:lineRule="auto"/>
        <w:rPr>
          <w:bCs/>
          <w:spacing w:val="-3"/>
          <w:u w:val="single"/>
        </w:rPr>
      </w:pPr>
    </w:p>
    <w:p w:rsidR="00053D24" w:rsidRPr="000C4F02" w:rsidRDefault="00053D24" w:rsidP="00837B9F">
      <w:pPr>
        <w:tabs>
          <w:tab w:val="left" w:pos="-1440"/>
          <w:tab w:val="left" w:pos="-720"/>
        </w:tabs>
        <w:suppressAutoHyphens/>
        <w:rPr>
          <w:bCs/>
          <w:spacing w:val="-3"/>
        </w:rPr>
      </w:pPr>
      <w:r w:rsidRPr="000C4F02">
        <w:rPr>
          <w:bCs/>
          <w:spacing w:val="-3"/>
        </w:rPr>
        <w:t>THEREFORE,</w:t>
      </w:r>
    </w:p>
    <w:p w:rsidR="00053D24" w:rsidRPr="000C4F02" w:rsidRDefault="00053D24" w:rsidP="00837B9F">
      <w:pPr>
        <w:tabs>
          <w:tab w:val="left" w:pos="-1440"/>
          <w:tab w:val="left" w:pos="-720"/>
        </w:tabs>
        <w:suppressAutoHyphens/>
        <w:rPr>
          <w:spacing w:val="-3"/>
        </w:rPr>
      </w:pPr>
    </w:p>
    <w:p w:rsidR="00053D24" w:rsidRPr="000C4F02" w:rsidRDefault="00053D24" w:rsidP="00837B9F">
      <w:pPr>
        <w:tabs>
          <w:tab w:val="left" w:pos="-1440"/>
          <w:tab w:val="left" w:pos="-720"/>
        </w:tabs>
        <w:suppressAutoHyphens/>
        <w:rPr>
          <w:bCs/>
          <w:spacing w:val="-3"/>
        </w:rPr>
      </w:pPr>
      <w:r w:rsidRPr="000C4F02">
        <w:rPr>
          <w:bCs/>
          <w:spacing w:val="-3"/>
        </w:rPr>
        <w:t>IT IS ORDERED:</w:t>
      </w:r>
    </w:p>
    <w:p w:rsidR="00053D24" w:rsidRPr="000C4F02" w:rsidRDefault="00053D24" w:rsidP="00026EB5">
      <w:pPr>
        <w:tabs>
          <w:tab w:val="left" w:pos="-1440"/>
          <w:tab w:val="left" w:pos="-720"/>
        </w:tabs>
        <w:suppressAutoHyphens/>
        <w:ind w:firstLine="0"/>
        <w:rPr>
          <w:spacing w:val="-3"/>
        </w:rPr>
      </w:pPr>
    </w:p>
    <w:p w:rsidR="00053D24" w:rsidRPr="000C4F02" w:rsidRDefault="00CD42F8" w:rsidP="00837B9F">
      <w:pPr>
        <w:tabs>
          <w:tab w:val="left" w:pos="-1440"/>
          <w:tab w:val="left" w:pos="-720"/>
        </w:tabs>
        <w:suppressAutoHyphens/>
        <w:rPr>
          <w:spacing w:val="-3"/>
        </w:rPr>
      </w:pPr>
      <w:r w:rsidRPr="000C4F02">
        <w:rPr>
          <w:spacing w:val="-3"/>
        </w:rPr>
        <w:t>1</w:t>
      </w:r>
      <w:r w:rsidR="00053D24" w:rsidRPr="000C4F02">
        <w:rPr>
          <w:spacing w:val="-3"/>
        </w:rPr>
        <w:t>.</w:t>
      </w:r>
      <w:r w:rsidR="00053D24" w:rsidRPr="000C4F02">
        <w:rPr>
          <w:spacing w:val="-3"/>
        </w:rPr>
        <w:tab/>
        <w:t xml:space="preserve">That the Complaint of </w:t>
      </w:r>
      <w:r w:rsidR="00CA0462" w:rsidRPr="000C4F02">
        <w:rPr>
          <w:spacing w:val="-3"/>
        </w:rPr>
        <w:t xml:space="preserve">Elena Brodski </w:t>
      </w:r>
      <w:r w:rsidR="00370DB5" w:rsidRPr="000C4F02">
        <w:rPr>
          <w:spacing w:val="-3"/>
        </w:rPr>
        <w:t xml:space="preserve">against </w:t>
      </w:r>
      <w:r w:rsidR="00CA0462" w:rsidRPr="000C4F02">
        <w:rPr>
          <w:spacing w:val="-3"/>
        </w:rPr>
        <w:t xml:space="preserve">Philadelphia Gas Works </w:t>
      </w:r>
      <w:r w:rsidR="00053D24" w:rsidRPr="000C4F02">
        <w:rPr>
          <w:spacing w:val="-3"/>
        </w:rPr>
        <w:t xml:space="preserve">at Docket Number </w:t>
      </w:r>
      <w:r w:rsidR="00CA0462" w:rsidRPr="000C4F02">
        <w:rPr>
          <w:spacing w:val="-3"/>
        </w:rPr>
        <w:t xml:space="preserve">F-2013-2356675 </w:t>
      </w:r>
      <w:r w:rsidR="00053D24" w:rsidRPr="000C4F02">
        <w:rPr>
          <w:spacing w:val="-3"/>
        </w:rPr>
        <w:t>is dismissed.</w:t>
      </w:r>
    </w:p>
    <w:p w:rsidR="00822561" w:rsidRPr="000C4F02" w:rsidRDefault="00822561" w:rsidP="00837B9F">
      <w:pPr>
        <w:tabs>
          <w:tab w:val="left" w:pos="-1440"/>
          <w:tab w:val="left" w:pos="-720"/>
        </w:tabs>
        <w:suppressAutoHyphens/>
        <w:rPr>
          <w:spacing w:val="-3"/>
        </w:rPr>
      </w:pPr>
    </w:p>
    <w:p w:rsidR="00121E9F" w:rsidRPr="000C4F02" w:rsidRDefault="005073EF" w:rsidP="00837B9F">
      <w:pPr>
        <w:tabs>
          <w:tab w:val="left" w:pos="-1440"/>
          <w:tab w:val="left" w:pos="-720"/>
        </w:tabs>
        <w:suppressAutoHyphens/>
        <w:rPr>
          <w:spacing w:val="-3"/>
        </w:rPr>
      </w:pPr>
      <w:r w:rsidRPr="000C4F02">
        <w:rPr>
          <w:spacing w:val="-3"/>
        </w:rPr>
        <w:t>2</w:t>
      </w:r>
      <w:r w:rsidR="00121E9F" w:rsidRPr="000C4F02">
        <w:rPr>
          <w:spacing w:val="-3"/>
        </w:rPr>
        <w:t>.</w:t>
      </w:r>
      <w:r w:rsidR="00121E9F" w:rsidRPr="000C4F02">
        <w:rPr>
          <w:spacing w:val="-3"/>
        </w:rPr>
        <w:tab/>
        <w:t xml:space="preserve">That the </w:t>
      </w:r>
      <w:r w:rsidR="00837799">
        <w:rPr>
          <w:spacing w:val="-3"/>
        </w:rPr>
        <w:t>case</w:t>
      </w:r>
      <w:r w:rsidR="00121E9F" w:rsidRPr="000C4F02">
        <w:rPr>
          <w:spacing w:val="-3"/>
        </w:rPr>
        <w:t xml:space="preserve"> at Docket Number </w:t>
      </w:r>
      <w:r w:rsidR="00CA0462" w:rsidRPr="000C4F02">
        <w:rPr>
          <w:spacing w:val="-3"/>
        </w:rPr>
        <w:t xml:space="preserve">F-2013-2356675 </w:t>
      </w:r>
      <w:r w:rsidR="00121E9F" w:rsidRPr="000C4F02">
        <w:rPr>
          <w:spacing w:val="-3"/>
        </w:rPr>
        <w:t>be marked closed.</w:t>
      </w:r>
    </w:p>
    <w:p w:rsidR="00D82DBF" w:rsidRPr="000C4F02" w:rsidRDefault="00D82DBF" w:rsidP="00837B9F">
      <w:pPr>
        <w:tabs>
          <w:tab w:val="left" w:pos="-1440"/>
          <w:tab w:val="left" w:pos="-720"/>
        </w:tabs>
        <w:suppressAutoHyphens/>
        <w:rPr>
          <w:spacing w:val="-3"/>
        </w:rPr>
      </w:pPr>
    </w:p>
    <w:p w:rsidR="00053D24" w:rsidRPr="000C4F02" w:rsidRDefault="00053D24" w:rsidP="0091034B">
      <w:pPr>
        <w:tabs>
          <w:tab w:val="left" w:pos="-1440"/>
          <w:tab w:val="left" w:pos="-720"/>
        </w:tabs>
        <w:suppressAutoHyphens/>
        <w:spacing w:line="240" w:lineRule="auto"/>
        <w:ind w:firstLine="0"/>
        <w:rPr>
          <w:spacing w:val="-3"/>
          <w:u w:val="single"/>
        </w:rPr>
      </w:pPr>
      <w:r w:rsidRPr="000C4F02">
        <w:rPr>
          <w:spacing w:val="-3"/>
        </w:rPr>
        <w:t>Date:</w:t>
      </w:r>
      <w:r w:rsidR="00CE7331" w:rsidRPr="000C4F02">
        <w:rPr>
          <w:spacing w:val="-3"/>
        </w:rPr>
        <w:t xml:space="preserve">  </w:t>
      </w:r>
      <w:r w:rsidR="00CA0462" w:rsidRPr="000C4F02">
        <w:rPr>
          <w:spacing w:val="-3"/>
          <w:u w:val="single"/>
        </w:rPr>
        <w:t>November 18, 2013</w:t>
      </w:r>
      <w:r w:rsidRPr="000C4F02">
        <w:rPr>
          <w:spacing w:val="-3"/>
        </w:rPr>
        <w:tab/>
      </w:r>
      <w:r w:rsidR="005073EF" w:rsidRPr="000C4F02">
        <w:rPr>
          <w:spacing w:val="-3"/>
        </w:rPr>
        <w:tab/>
      </w:r>
      <w:r w:rsidR="00A51685" w:rsidRPr="000C4F02">
        <w:rPr>
          <w:spacing w:val="-3"/>
        </w:rPr>
        <w:tab/>
      </w:r>
      <w:r w:rsidR="00280392">
        <w:rPr>
          <w:spacing w:val="-3"/>
        </w:rPr>
        <w:tab/>
      </w:r>
      <w:r w:rsidR="00B02C5D" w:rsidRPr="000C4F02">
        <w:rPr>
          <w:spacing w:val="-3"/>
          <w:u w:val="single"/>
        </w:rPr>
        <w:tab/>
      </w:r>
      <w:r w:rsidR="00B02C5D" w:rsidRPr="000C4F02">
        <w:rPr>
          <w:spacing w:val="-3"/>
          <w:u w:val="single"/>
        </w:rPr>
        <w:tab/>
      </w:r>
      <w:r w:rsidR="009B1A99">
        <w:rPr>
          <w:spacing w:val="-3"/>
          <w:u w:val="single"/>
        </w:rPr>
        <w:t>/s/</w:t>
      </w:r>
      <w:r w:rsidR="00B02C5D" w:rsidRPr="000C4F02">
        <w:rPr>
          <w:spacing w:val="-3"/>
          <w:u w:val="single"/>
        </w:rPr>
        <w:tab/>
      </w:r>
      <w:r w:rsidR="00B02C5D" w:rsidRPr="000C4F02">
        <w:rPr>
          <w:spacing w:val="-3"/>
          <w:u w:val="single"/>
        </w:rPr>
        <w:tab/>
      </w:r>
      <w:r w:rsidR="00B02C5D" w:rsidRPr="000C4F02">
        <w:rPr>
          <w:spacing w:val="-3"/>
          <w:u w:val="single"/>
        </w:rPr>
        <w:tab/>
      </w:r>
    </w:p>
    <w:p w:rsidR="00053D24" w:rsidRPr="000C4F02" w:rsidRDefault="00F96375" w:rsidP="00A51685">
      <w:pPr>
        <w:tabs>
          <w:tab w:val="left" w:pos="5040"/>
        </w:tabs>
        <w:spacing w:line="240" w:lineRule="auto"/>
        <w:ind w:firstLine="0"/>
      </w:pPr>
      <w:r w:rsidRPr="000C4F02">
        <w:tab/>
        <w:t>Elizabeth H. Barnes</w:t>
      </w:r>
    </w:p>
    <w:p w:rsidR="00053D24" w:rsidRPr="000C4F02" w:rsidRDefault="00053D24" w:rsidP="0091034B">
      <w:pPr>
        <w:spacing w:line="240" w:lineRule="auto"/>
        <w:ind w:firstLine="0"/>
      </w:pPr>
      <w:r w:rsidRPr="000C4F02">
        <w:tab/>
      </w:r>
      <w:r w:rsidRPr="000C4F02">
        <w:tab/>
      </w:r>
      <w:r w:rsidR="0091034B" w:rsidRPr="000C4F02">
        <w:tab/>
      </w:r>
      <w:r w:rsidR="0091034B" w:rsidRPr="000C4F02">
        <w:tab/>
      </w:r>
      <w:r w:rsidRPr="000C4F02">
        <w:tab/>
      </w:r>
      <w:r w:rsidR="00A51685" w:rsidRPr="000C4F02">
        <w:tab/>
      </w:r>
      <w:r w:rsidR="00A51685" w:rsidRPr="000C4F02">
        <w:tab/>
      </w:r>
      <w:r w:rsidRPr="000C4F02">
        <w:t>Administrative Law Judge</w:t>
      </w:r>
    </w:p>
    <w:sectPr w:rsidR="00053D24" w:rsidRPr="000C4F02" w:rsidSect="00AE5D22">
      <w:headerReference w:type="default" r:id="rId8"/>
      <w:footerReference w:type="default" r:id="rId9"/>
      <w:headerReference w:type="first" r:id="rId10"/>
      <w:footerReference w:type="first" r:id="rId11"/>
      <w:pgSz w:w="12240" w:h="15840"/>
      <w:pgMar w:top="1440" w:right="1440" w:bottom="1440" w:left="1440"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5BA0" w:rsidRDefault="00FE5BA0">
      <w:pPr>
        <w:spacing w:line="20" w:lineRule="exact"/>
        <w:rPr>
          <w:sz w:val="23"/>
          <w:szCs w:val="23"/>
        </w:rPr>
      </w:pPr>
    </w:p>
  </w:endnote>
  <w:endnote w:type="continuationSeparator" w:id="0">
    <w:p w:rsidR="00FE5BA0" w:rsidRDefault="00FE5BA0">
      <w:pPr>
        <w:rPr>
          <w:sz w:val="23"/>
          <w:szCs w:val="23"/>
        </w:rPr>
      </w:pPr>
      <w:r>
        <w:rPr>
          <w:sz w:val="23"/>
          <w:szCs w:val="23"/>
        </w:rPr>
        <w:t xml:space="preserve"> </w:t>
      </w:r>
    </w:p>
  </w:endnote>
  <w:endnote w:type="continuationNotice" w:id="1">
    <w:p w:rsidR="00FE5BA0" w:rsidRDefault="00FE5BA0">
      <w:pPr>
        <w:rPr>
          <w:sz w:val="23"/>
          <w:szCs w:val="23"/>
        </w:rPr>
      </w:pPr>
      <w:r>
        <w:rPr>
          <w:sz w:val="23"/>
          <w:szCs w:val="23"/>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5F63" w:rsidRPr="00A51685" w:rsidRDefault="00415F63">
    <w:pPr>
      <w:pStyle w:val="Footer"/>
      <w:framePr w:wrap="auto" w:vAnchor="text" w:hAnchor="margin" w:xAlign="center" w:y="1"/>
      <w:ind w:firstLine="0"/>
      <w:rPr>
        <w:rStyle w:val="PageNumber"/>
        <w:sz w:val="20"/>
        <w:szCs w:val="20"/>
      </w:rPr>
    </w:pPr>
    <w:r w:rsidRPr="00A51685">
      <w:rPr>
        <w:rStyle w:val="PageNumber"/>
        <w:sz w:val="20"/>
        <w:szCs w:val="20"/>
      </w:rPr>
      <w:fldChar w:fldCharType="begin"/>
    </w:r>
    <w:r w:rsidRPr="00A51685">
      <w:rPr>
        <w:rStyle w:val="PageNumber"/>
        <w:sz w:val="20"/>
        <w:szCs w:val="20"/>
      </w:rPr>
      <w:instrText xml:space="preserve">PAGE  </w:instrText>
    </w:r>
    <w:r w:rsidRPr="00A51685">
      <w:rPr>
        <w:rStyle w:val="PageNumber"/>
        <w:sz w:val="20"/>
        <w:szCs w:val="20"/>
      </w:rPr>
      <w:fldChar w:fldCharType="separate"/>
    </w:r>
    <w:r w:rsidR="00F17BE0">
      <w:rPr>
        <w:rStyle w:val="PageNumber"/>
        <w:noProof/>
        <w:sz w:val="20"/>
        <w:szCs w:val="20"/>
      </w:rPr>
      <w:t>6</w:t>
    </w:r>
    <w:r w:rsidRPr="00A51685">
      <w:rPr>
        <w:rStyle w:val="PageNumber"/>
        <w:sz w:val="20"/>
        <w:szCs w:val="20"/>
      </w:rPr>
      <w:fldChar w:fldCharType="end"/>
    </w:r>
  </w:p>
  <w:p w:rsidR="00415F63" w:rsidRDefault="00415F63" w:rsidP="003D6AD5">
    <w:pPr>
      <w:pStyle w:val="Footer"/>
      <w:spacing w:line="240" w:lineRule="auto"/>
      <w:ind w:firstLine="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5F63" w:rsidRDefault="00415F63">
    <w:pPr>
      <w:pStyle w:val="Footer"/>
      <w:spacing w:line="240" w:lineRule="auto"/>
      <w:ind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5BA0" w:rsidRDefault="00FE5BA0" w:rsidP="00DC3DF7">
      <w:pPr>
        <w:ind w:firstLine="0"/>
        <w:rPr>
          <w:sz w:val="23"/>
          <w:szCs w:val="23"/>
        </w:rPr>
      </w:pPr>
      <w:r>
        <w:rPr>
          <w:sz w:val="23"/>
          <w:szCs w:val="23"/>
        </w:rPr>
        <w:separator/>
      </w:r>
    </w:p>
  </w:footnote>
  <w:footnote w:type="continuationSeparator" w:id="0">
    <w:p w:rsidR="00FE5BA0" w:rsidRDefault="00FE5BA0">
      <w:r>
        <w:continuationSeparator/>
      </w:r>
    </w:p>
  </w:footnote>
  <w:footnote w:id="1">
    <w:p w:rsidR="00C06E6D" w:rsidRDefault="00C06E6D">
      <w:pPr>
        <w:pStyle w:val="FootnoteText"/>
      </w:pPr>
      <w:r>
        <w:rPr>
          <w:rStyle w:val="FootnoteReference"/>
        </w:rPr>
        <w:footnoteRef/>
      </w:r>
      <w:r>
        <w:t xml:space="preserve"> </w:t>
      </w:r>
      <w:r w:rsidR="00B43F05">
        <w:tab/>
      </w:r>
      <w:r>
        <w:t>This is a</w:t>
      </w:r>
      <w:r w:rsidR="00772ACF">
        <w:t xml:space="preserve"> timely</w:t>
      </w:r>
      <w:r>
        <w:t xml:space="preserve"> appeal of the Bureau of Consumer Services’ </w:t>
      </w:r>
      <w:r w:rsidR="00772ACF">
        <w:t>D</w:t>
      </w:r>
      <w:r>
        <w:t xml:space="preserve">ecision at Case No. 3053053 </w:t>
      </w:r>
      <w:r w:rsidR="00443638">
        <w:t>dated</w:t>
      </w:r>
      <w:r>
        <w:t xml:space="preserve"> </w:t>
      </w:r>
      <w:r w:rsidR="00772ACF">
        <w:t>March 4</w:t>
      </w:r>
      <w:r>
        <w:t>, 2013.</w:t>
      </w:r>
    </w:p>
  </w:footnote>
  <w:footnote w:id="2">
    <w:p w:rsidR="00CA0462" w:rsidRDefault="00CA0462" w:rsidP="00CA0462">
      <w:pPr>
        <w:pStyle w:val="FootnoteText"/>
      </w:pPr>
      <w:r>
        <w:rPr>
          <w:rStyle w:val="FootnoteReference"/>
        </w:rPr>
        <w:footnoteRef/>
      </w:r>
      <w:r>
        <w:t xml:space="preserve"> </w:t>
      </w:r>
      <w:r w:rsidR="00B43F05">
        <w:tab/>
      </w:r>
      <w:r>
        <w:t xml:space="preserve">The information on this chart was taken from PGW Exhibit 2. </w:t>
      </w:r>
      <w:r w:rsidR="00E26C7A">
        <w:t>Reading code</w:t>
      </w:r>
      <w:r>
        <w:t xml:space="preserve"> “R” means an actual read.</w:t>
      </w:r>
      <w:r w:rsidR="00E26C7A">
        <w:t xml:space="preserve">  N.T. 25.  Heating DDD’s states how many degree days were within the billing period.  N.T.</w:t>
      </w:r>
      <w:r w:rsidR="00504C21">
        <w:t xml:space="preserve"> </w:t>
      </w:r>
      <w:r w:rsidR="00E26C7A">
        <w:t>25</w:t>
      </w:r>
      <w:r w:rsidR="00AB6577">
        <w:t>. A</w:t>
      </w:r>
      <w:r w:rsidR="00E26C7A">
        <w:t xml:space="preserve"> degree day is defined as a term used</w:t>
      </w:r>
      <w:r w:rsidR="008A497C">
        <w:t xml:space="preserve"> to</w:t>
      </w:r>
      <w:r w:rsidR="00E26C7A">
        <w:t xml:space="preserve"> measure the need for heat.  To get the degree day of any given day, you take the high and low temperature of the day to get an average and subtract that from a benchmark of 65 degrees</w:t>
      </w:r>
      <w:r w:rsidR="008A497C">
        <w:t>, then add all of the days in the month together</w:t>
      </w:r>
      <w:r w:rsidR="00E26C7A">
        <w:t>.  N.T. 28.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5F63" w:rsidRDefault="00415F63">
    <w:pPr>
      <w:pStyle w:val="Header"/>
      <w:spacing w:line="240" w:lineRule="auto"/>
      <w:ind w:firstLine="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5F63" w:rsidRDefault="00415F63">
    <w:pPr>
      <w:pStyle w:val="Header"/>
      <w:spacing w:line="240" w:lineRule="auto"/>
      <w:ind w:firstLine="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40B6"/>
    <w:rsid w:val="0000257E"/>
    <w:rsid w:val="00002B69"/>
    <w:rsid w:val="00003AD3"/>
    <w:rsid w:val="0000733B"/>
    <w:rsid w:val="00016C10"/>
    <w:rsid w:val="00017AE6"/>
    <w:rsid w:val="00026EB5"/>
    <w:rsid w:val="0004779A"/>
    <w:rsid w:val="00053D24"/>
    <w:rsid w:val="000548E9"/>
    <w:rsid w:val="00060ACF"/>
    <w:rsid w:val="000625AD"/>
    <w:rsid w:val="00067B76"/>
    <w:rsid w:val="00072F24"/>
    <w:rsid w:val="00082F11"/>
    <w:rsid w:val="000837F4"/>
    <w:rsid w:val="00091CD9"/>
    <w:rsid w:val="000973E8"/>
    <w:rsid w:val="000A0AFD"/>
    <w:rsid w:val="000B0C3A"/>
    <w:rsid w:val="000B17AA"/>
    <w:rsid w:val="000B3328"/>
    <w:rsid w:val="000B4401"/>
    <w:rsid w:val="000B58F4"/>
    <w:rsid w:val="000B5C47"/>
    <w:rsid w:val="000C2183"/>
    <w:rsid w:val="000C3FA9"/>
    <w:rsid w:val="000C4F02"/>
    <w:rsid w:val="000C7394"/>
    <w:rsid w:val="000E1660"/>
    <w:rsid w:val="000E4565"/>
    <w:rsid w:val="000E4E04"/>
    <w:rsid w:val="001142E3"/>
    <w:rsid w:val="00120392"/>
    <w:rsid w:val="0012137D"/>
    <w:rsid w:val="00121E9F"/>
    <w:rsid w:val="00131FAC"/>
    <w:rsid w:val="0013698F"/>
    <w:rsid w:val="001377E3"/>
    <w:rsid w:val="001439F4"/>
    <w:rsid w:val="00147C58"/>
    <w:rsid w:val="00160870"/>
    <w:rsid w:val="00167B69"/>
    <w:rsid w:val="00171C2A"/>
    <w:rsid w:val="001812E3"/>
    <w:rsid w:val="00183503"/>
    <w:rsid w:val="0019202B"/>
    <w:rsid w:val="001B3F94"/>
    <w:rsid w:val="001B70E8"/>
    <w:rsid w:val="001C4C07"/>
    <w:rsid w:val="001F6DC2"/>
    <w:rsid w:val="001F7088"/>
    <w:rsid w:val="00203E27"/>
    <w:rsid w:val="002131CA"/>
    <w:rsid w:val="00214803"/>
    <w:rsid w:val="002175D7"/>
    <w:rsid w:val="00224D8B"/>
    <w:rsid w:val="0022611D"/>
    <w:rsid w:val="002315B8"/>
    <w:rsid w:val="002437D5"/>
    <w:rsid w:val="002458F6"/>
    <w:rsid w:val="00255D4B"/>
    <w:rsid w:val="00263A55"/>
    <w:rsid w:val="00264A32"/>
    <w:rsid w:val="002658BE"/>
    <w:rsid w:val="00265D5B"/>
    <w:rsid w:val="0027299F"/>
    <w:rsid w:val="00275012"/>
    <w:rsid w:val="00275BBC"/>
    <w:rsid w:val="00280392"/>
    <w:rsid w:val="00282EE3"/>
    <w:rsid w:val="0029053E"/>
    <w:rsid w:val="002A4461"/>
    <w:rsid w:val="002A5C12"/>
    <w:rsid w:val="002A67B1"/>
    <w:rsid w:val="002B49C5"/>
    <w:rsid w:val="002B7431"/>
    <w:rsid w:val="002C0AE8"/>
    <w:rsid w:val="002D1EDB"/>
    <w:rsid w:val="002D6DA7"/>
    <w:rsid w:val="002E34D8"/>
    <w:rsid w:val="002F2B9E"/>
    <w:rsid w:val="002F366B"/>
    <w:rsid w:val="00304DEC"/>
    <w:rsid w:val="00306D04"/>
    <w:rsid w:val="00311F02"/>
    <w:rsid w:val="003171D6"/>
    <w:rsid w:val="00326455"/>
    <w:rsid w:val="00327EFE"/>
    <w:rsid w:val="003316FA"/>
    <w:rsid w:val="00337C8E"/>
    <w:rsid w:val="003416E3"/>
    <w:rsid w:val="00342855"/>
    <w:rsid w:val="00351B63"/>
    <w:rsid w:val="00370DB5"/>
    <w:rsid w:val="00373EDB"/>
    <w:rsid w:val="00374071"/>
    <w:rsid w:val="00383EF0"/>
    <w:rsid w:val="003854AF"/>
    <w:rsid w:val="003874F0"/>
    <w:rsid w:val="003A0FE1"/>
    <w:rsid w:val="003B059A"/>
    <w:rsid w:val="003B1EE9"/>
    <w:rsid w:val="003C4E87"/>
    <w:rsid w:val="003D1C18"/>
    <w:rsid w:val="003D506E"/>
    <w:rsid w:val="003D6264"/>
    <w:rsid w:val="003D6AD5"/>
    <w:rsid w:val="003E6C5B"/>
    <w:rsid w:val="003F16F4"/>
    <w:rsid w:val="00412E1F"/>
    <w:rsid w:val="00415F63"/>
    <w:rsid w:val="00422AB7"/>
    <w:rsid w:val="00424244"/>
    <w:rsid w:val="00434CF2"/>
    <w:rsid w:val="00443638"/>
    <w:rsid w:val="00463719"/>
    <w:rsid w:val="00463C50"/>
    <w:rsid w:val="00465165"/>
    <w:rsid w:val="004768C6"/>
    <w:rsid w:val="00476B19"/>
    <w:rsid w:val="0048219F"/>
    <w:rsid w:val="004854F6"/>
    <w:rsid w:val="00491F34"/>
    <w:rsid w:val="004A0053"/>
    <w:rsid w:val="004B1013"/>
    <w:rsid w:val="004B5141"/>
    <w:rsid w:val="004B74B5"/>
    <w:rsid w:val="004B7BBA"/>
    <w:rsid w:val="004D1BB5"/>
    <w:rsid w:val="004D67E5"/>
    <w:rsid w:val="004E7B34"/>
    <w:rsid w:val="004F4D00"/>
    <w:rsid w:val="004F4F36"/>
    <w:rsid w:val="004F636F"/>
    <w:rsid w:val="00501699"/>
    <w:rsid w:val="00502CE1"/>
    <w:rsid w:val="00504C21"/>
    <w:rsid w:val="005073EF"/>
    <w:rsid w:val="00507A26"/>
    <w:rsid w:val="00511838"/>
    <w:rsid w:val="00515619"/>
    <w:rsid w:val="00516826"/>
    <w:rsid w:val="00516DFC"/>
    <w:rsid w:val="00522902"/>
    <w:rsid w:val="0052342D"/>
    <w:rsid w:val="00525C33"/>
    <w:rsid w:val="00531C34"/>
    <w:rsid w:val="00541B67"/>
    <w:rsid w:val="00544D20"/>
    <w:rsid w:val="00550242"/>
    <w:rsid w:val="0055424D"/>
    <w:rsid w:val="005550E2"/>
    <w:rsid w:val="00565E99"/>
    <w:rsid w:val="00566198"/>
    <w:rsid w:val="0056769B"/>
    <w:rsid w:val="0057670F"/>
    <w:rsid w:val="00580B4D"/>
    <w:rsid w:val="00582793"/>
    <w:rsid w:val="00586905"/>
    <w:rsid w:val="00590062"/>
    <w:rsid w:val="00590A1B"/>
    <w:rsid w:val="00595521"/>
    <w:rsid w:val="005A093F"/>
    <w:rsid w:val="005B1269"/>
    <w:rsid w:val="005B2CC8"/>
    <w:rsid w:val="005D1B72"/>
    <w:rsid w:val="005D2CFD"/>
    <w:rsid w:val="005D3891"/>
    <w:rsid w:val="005E069F"/>
    <w:rsid w:val="005E4676"/>
    <w:rsid w:val="005F4F58"/>
    <w:rsid w:val="00603100"/>
    <w:rsid w:val="006122B9"/>
    <w:rsid w:val="006247A7"/>
    <w:rsid w:val="00632D40"/>
    <w:rsid w:val="00641540"/>
    <w:rsid w:val="00644FF1"/>
    <w:rsid w:val="00651443"/>
    <w:rsid w:val="00652DA2"/>
    <w:rsid w:val="00654D68"/>
    <w:rsid w:val="00654E34"/>
    <w:rsid w:val="00664CC1"/>
    <w:rsid w:val="00666CB8"/>
    <w:rsid w:val="00667DCD"/>
    <w:rsid w:val="00676247"/>
    <w:rsid w:val="006827BF"/>
    <w:rsid w:val="00685066"/>
    <w:rsid w:val="006928EB"/>
    <w:rsid w:val="00697E7D"/>
    <w:rsid w:val="006A20E8"/>
    <w:rsid w:val="006F6390"/>
    <w:rsid w:val="0070312A"/>
    <w:rsid w:val="00703C5F"/>
    <w:rsid w:val="007217F2"/>
    <w:rsid w:val="00726E7C"/>
    <w:rsid w:val="0073058B"/>
    <w:rsid w:val="00732FE9"/>
    <w:rsid w:val="00735BC3"/>
    <w:rsid w:val="0073640F"/>
    <w:rsid w:val="0075040E"/>
    <w:rsid w:val="0077083D"/>
    <w:rsid w:val="00772ACF"/>
    <w:rsid w:val="007731AB"/>
    <w:rsid w:val="00774BD7"/>
    <w:rsid w:val="00774E6B"/>
    <w:rsid w:val="00776CDC"/>
    <w:rsid w:val="00783700"/>
    <w:rsid w:val="007857F1"/>
    <w:rsid w:val="00787FF0"/>
    <w:rsid w:val="00790EF0"/>
    <w:rsid w:val="007948B0"/>
    <w:rsid w:val="007A1857"/>
    <w:rsid w:val="007A714D"/>
    <w:rsid w:val="007B6C91"/>
    <w:rsid w:val="007B7A18"/>
    <w:rsid w:val="007C29F8"/>
    <w:rsid w:val="007C3F0D"/>
    <w:rsid w:val="007C6983"/>
    <w:rsid w:val="007D17DD"/>
    <w:rsid w:val="007D58CF"/>
    <w:rsid w:val="007E1DC0"/>
    <w:rsid w:val="007E7026"/>
    <w:rsid w:val="007E763E"/>
    <w:rsid w:val="007F7382"/>
    <w:rsid w:val="00805C19"/>
    <w:rsid w:val="00806C56"/>
    <w:rsid w:val="00807B39"/>
    <w:rsid w:val="0081057B"/>
    <w:rsid w:val="00817032"/>
    <w:rsid w:val="00822561"/>
    <w:rsid w:val="008228A8"/>
    <w:rsid w:val="008346F9"/>
    <w:rsid w:val="00836D24"/>
    <w:rsid w:val="00837799"/>
    <w:rsid w:val="00837B9F"/>
    <w:rsid w:val="0084033F"/>
    <w:rsid w:val="008408D8"/>
    <w:rsid w:val="00841563"/>
    <w:rsid w:val="00846364"/>
    <w:rsid w:val="0085651F"/>
    <w:rsid w:val="008618DA"/>
    <w:rsid w:val="008717CA"/>
    <w:rsid w:val="00871B0A"/>
    <w:rsid w:val="008916E8"/>
    <w:rsid w:val="008A497C"/>
    <w:rsid w:val="008A4E83"/>
    <w:rsid w:val="008A5C71"/>
    <w:rsid w:val="008A6D29"/>
    <w:rsid w:val="008A6E44"/>
    <w:rsid w:val="008B7295"/>
    <w:rsid w:val="008C0CDF"/>
    <w:rsid w:val="008C307E"/>
    <w:rsid w:val="008C491B"/>
    <w:rsid w:val="008C5ED6"/>
    <w:rsid w:val="008C6622"/>
    <w:rsid w:val="008C7006"/>
    <w:rsid w:val="008D0B80"/>
    <w:rsid w:val="008D3C08"/>
    <w:rsid w:val="008D634C"/>
    <w:rsid w:val="008F48CE"/>
    <w:rsid w:val="008F7723"/>
    <w:rsid w:val="0091034B"/>
    <w:rsid w:val="00915A6B"/>
    <w:rsid w:val="009162AD"/>
    <w:rsid w:val="00937D7B"/>
    <w:rsid w:val="00942963"/>
    <w:rsid w:val="00952E03"/>
    <w:rsid w:val="009559A9"/>
    <w:rsid w:val="009617C0"/>
    <w:rsid w:val="009762EF"/>
    <w:rsid w:val="00987EC6"/>
    <w:rsid w:val="00990E8D"/>
    <w:rsid w:val="00997A35"/>
    <w:rsid w:val="009A11B9"/>
    <w:rsid w:val="009A69E1"/>
    <w:rsid w:val="009B1A99"/>
    <w:rsid w:val="009C09BF"/>
    <w:rsid w:val="009C0AA5"/>
    <w:rsid w:val="009D7D69"/>
    <w:rsid w:val="009E0227"/>
    <w:rsid w:val="009E3D92"/>
    <w:rsid w:val="009F4358"/>
    <w:rsid w:val="00A02613"/>
    <w:rsid w:val="00A0262F"/>
    <w:rsid w:val="00A1110F"/>
    <w:rsid w:val="00A14B33"/>
    <w:rsid w:val="00A21C9F"/>
    <w:rsid w:val="00A225E8"/>
    <w:rsid w:val="00A2714C"/>
    <w:rsid w:val="00A3789B"/>
    <w:rsid w:val="00A4119D"/>
    <w:rsid w:val="00A43D1A"/>
    <w:rsid w:val="00A443C0"/>
    <w:rsid w:val="00A51685"/>
    <w:rsid w:val="00A566A0"/>
    <w:rsid w:val="00A67E0B"/>
    <w:rsid w:val="00A67F73"/>
    <w:rsid w:val="00A72809"/>
    <w:rsid w:val="00A76794"/>
    <w:rsid w:val="00A76C93"/>
    <w:rsid w:val="00A77D3F"/>
    <w:rsid w:val="00A77DD2"/>
    <w:rsid w:val="00A805B0"/>
    <w:rsid w:val="00A81FF1"/>
    <w:rsid w:val="00A840FE"/>
    <w:rsid w:val="00A862D2"/>
    <w:rsid w:val="00AA2FAC"/>
    <w:rsid w:val="00AA7F33"/>
    <w:rsid w:val="00AB271E"/>
    <w:rsid w:val="00AB4AB3"/>
    <w:rsid w:val="00AB6577"/>
    <w:rsid w:val="00AD0F91"/>
    <w:rsid w:val="00AD2EE6"/>
    <w:rsid w:val="00AD4008"/>
    <w:rsid w:val="00AD534E"/>
    <w:rsid w:val="00AD7A09"/>
    <w:rsid w:val="00AD7EE1"/>
    <w:rsid w:val="00AE46E5"/>
    <w:rsid w:val="00AE5D22"/>
    <w:rsid w:val="00AF77D4"/>
    <w:rsid w:val="00B02C5D"/>
    <w:rsid w:val="00B157C5"/>
    <w:rsid w:val="00B16C4B"/>
    <w:rsid w:val="00B2243D"/>
    <w:rsid w:val="00B25ECE"/>
    <w:rsid w:val="00B43635"/>
    <w:rsid w:val="00B43F05"/>
    <w:rsid w:val="00B46D63"/>
    <w:rsid w:val="00B50009"/>
    <w:rsid w:val="00B50EBC"/>
    <w:rsid w:val="00B559CF"/>
    <w:rsid w:val="00B5772E"/>
    <w:rsid w:val="00B63339"/>
    <w:rsid w:val="00B70D9C"/>
    <w:rsid w:val="00B7321F"/>
    <w:rsid w:val="00B76440"/>
    <w:rsid w:val="00B8185D"/>
    <w:rsid w:val="00B82500"/>
    <w:rsid w:val="00B84A1E"/>
    <w:rsid w:val="00B86468"/>
    <w:rsid w:val="00B95A87"/>
    <w:rsid w:val="00B96208"/>
    <w:rsid w:val="00B96E59"/>
    <w:rsid w:val="00B9709F"/>
    <w:rsid w:val="00BC1D41"/>
    <w:rsid w:val="00BC25E6"/>
    <w:rsid w:val="00BC4CF1"/>
    <w:rsid w:val="00BD4CEC"/>
    <w:rsid w:val="00BE0C26"/>
    <w:rsid w:val="00BE4638"/>
    <w:rsid w:val="00BF32A2"/>
    <w:rsid w:val="00BF634F"/>
    <w:rsid w:val="00BF64FB"/>
    <w:rsid w:val="00C017D7"/>
    <w:rsid w:val="00C06528"/>
    <w:rsid w:val="00C06E6D"/>
    <w:rsid w:val="00C11EB2"/>
    <w:rsid w:val="00C148F2"/>
    <w:rsid w:val="00C17233"/>
    <w:rsid w:val="00C22B17"/>
    <w:rsid w:val="00C2334F"/>
    <w:rsid w:val="00C24FA0"/>
    <w:rsid w:val="00C25E1E"/>
    <w:rsid w:val="00C42A12"/>
    <w:rsid w:val="00C472DF"/>
    <w:rsid w:val="00C5020F"/>
    <w:rsid w:val="00C52692"/>
    <w:rsid w:val="00C7324D"/>
    <w:rsid w:val="00C759D8"/>
    <w:rsid w:val="00C7665F"/>
    <w:rsid w:val="00C7782C"/>
    <w:rsid w:val="00C81819"/>
    <w:rsid w:val="00C96AFB"/>
    <w:rsid w:val="00CA0462"/>
    <w:rsid w:val="00CA371E"/>
    <w:rsid w:val="00CB018A"/>
    <w:rsid w:val="00CB29DA"/>
    <w:rsid w:val="00CB40F9"/>
    <w:rsid w:val="00CB5708"/>
    <w:rsid w:val="00CB7EEA"/>
    <w:rsid w:val="00CC0FA2"/>
    <w:rsid w:val="00CC30C0"/>
    <w:rsid w:val="00CD42F8"/>
    <w:rsid w:val="00CD6ACD"/>
    <w:rsid w:val="00CD6CDC"/>
    <w:rsid w:val="00CE4884"/>
    <w:rsid w:val="00CE4A68"/>
    <w:rsid w:val="00CE4AF0"/>
    <w:rsid w:val="00CE7331"/>
    <w:rsid w:val="00CE74A9"/>
    <w:rsid w:val="00CF2228"/>
    <w:rsid w:val="00CF7593"/>
    <w:rsid w:val="00D00EFB"/>
    <w:rsid w:val="00D07FBF"/>
    <w:rsid w:val="00D1292F"/>
    <w:rsid w:val="00D1452B"/>
    <w:rsid w:val="00D200F3"/>
    <w:rsid w:val="00D35949"/>
    <w:rsid w:val="00D435BB"/>
    <w:rsid w:val="00D51FD3"/>
    <w:rsid w:val="00D53773"/>
    <w:rsid w:val="00D540B6"/>
    <w:rsid w:val="00D621A6"/>
    <w:rsid w:val="00D646E8"/>
    <w:rsid w:val="00D72B4D"/>
    <w:rsid w:val="00D748FD"/>
    <w:rsid w:val="00D75B9D"/>
    <w:rsid w:val="00D82DBF"/>
    <w:rsid w:val="00D83A8A"/>
    <w:rsid w:val="00D8559E"/>
    <w:rsid w:val="00D946D3"/>
    <w:rsid w:val="00D952AD"/>
    <w:rsid w:val="00D95E5C"/>
    <w:rsid w:val="00DB6897"/>
    <w:rsid w:val="00DB6D01"/>
    <w:rsid w:val="00DC334F"/>
    <w:rsid w:val="00DC3DF7"/>
    <w:rsid w:val="00DC5B65"/>
    <w:rsid w:val="00DC7A3E"/>
    <w:rsid w:val="00DD0C6B"/>
    <w:rsid w:val="00DD5E51"/>
    <w:rsid w:val="00DE1622"/>
    <w:rsid w:val="00E03B17"/>
    <w:rsid w:val="00E14071"/>
    <w:rsid w:val="00E14F99"/>
    <w:rsid w:val="00E21701"/>
    <w:rsid w:val="00E2206E"/>
    <w:rsid w:val="00E26C7A"/>
    <w:rsid w:val="00E420AF"/>
    <w:rsid w:val="00E43D5E"/>
    <w:rsid w:val="00E458E5"/>
    <w:rsid w:val="00E47EB7"/>
    <w:rsid w:val="00E65CC6"/>
    <w:rsid w:val="00E70735"/>
    <w:rsid w:val="00E82B01"/>
    <w:rsid w:val="00E84AD5"/>
    <w:rsid w:val="00E85190"/>
    <w:rsid w:val="00E92CF8"/>
    <w:rsid w:val="00E9554D"/>
    <w:rsid w:val="00EA1860"/>
    <w:rsid w:val="00EA1D09"/>
    <w:rsid w:val="00EB04E0"/>
    <w:rsid w:val="00EB309F"/>
    <w:rsid w:val="00EB3CDF"/>
    <w:rsid w:val="00ED07CE"/>
    <w:rsid w:val="00ED6E53"/>
    <w:rsid w:val="00EF37ED"/>
    <w:rsid w:val="00EF6495"/>
    <w:rsid w:val="00F057A9"/>
    <w:rsid w:val="00F12AF5"/>
    <w:rsid w:val="00F16753"/>
    <w:rsid w:val="00F17BE0"/>
    <w:rsid w:val="00F224DD"/>
    <w:rsid w:val="00F256C5"/>
    <w:rsid w:val="00F27DCE"/>
    <w:rsid w:val="00F353BC"/>
    <w:rsid w:val="00F42BAE"/>
    <w:rsid w:val="00F46FAF"/>
    <w:rsid w:val="00F7048D"/>
    <w:rsid w:val="00F70DAA"/>
    <w:rsid w:val="00F73963"/>
    <w:rsid w:val="00F82895"/>
    <w:rsid w:val="00F85F42"/>
    <w:rsid w:val="00F86107"/>
    <w:rsid w:val="00F8649C"/>
    <w:rsid w:val="00F96375"/>
    <w:rsid w:val="00FA4977"/>
    <w:rsid w:val="00FC0BDA"/>
    <w:rsid w:val="00FC7CD1"/>
    <w:rsid w:val="00FD03C1"/>
    <w:rsid w:val="00FE25BB"/>
    <w:rsid w:val="00FE5BA0"/>
    <w:rsid w:val="00FF1B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spacing w:line="360" w:lineRule="auto"/>
      <w:ind w:firstLine="144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uiPriority w:val="99"/>
    <w:semiHidden/>
    <w:rsid w:val="00BF634F"/>
    <w:pPr>
      <w:spacing w:line="240" w:lineRule="auto"/>
      <w:ind w:firstLine="0"/>
    </w:pPr>
    <w:rPr>
      <w:sz w:val="20"/>
      <w:szCs w:val="20"/>
    </w:rPr>
  </w:style>
  <w:style w:type="character" w:styleId="FootnoteReference">
    <w:name w:val="footnote reference"/>
    <w:uiPriority w:val="99"/>
    <w:semiHidden/>
    <w:rPr>
      <w:vertAlign w:val="superscript"/>
    </w:rPr>
  </w:style>
  <w:style w:type="character" w:customStyle="1" w:styleId="Document8">
    <w:name w:val="Document 8"/>
    <w:basedOn w:val="DefaultParagraphFont"/>
  </w:style>
  <w:style w:type="character" w:customStyle="1" w:styleId="Document4">
    <w:name w:val="Document 4"/>
    <w:rPr>
      <w:b/>
      <w:bCs/>
      <w:i/>
      <w:iCs/>
      <w:sz w:val="24"/>
      <w:szCs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New" w:hAnsi="Courier New" w:cs="Courier New"/>
      <w:sz w:val="24"/>
      <w:szCs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paragraph" w:customStyle="1" w:styleId="RightPar1">
    <w:name w:val="Right Par 1"/>
    <w:pPr>
      <w:tabs>
        <w:tab w:val="left" w:pos="-720"/>
        <w:tab w:val="left" w:pos="0"/>
        <w:tab w:val="decimal" w:pos="720"/>
      </w:tabs>
      <w:suppressAutoHyphens/>
      <w:autoSpaceDE w:val="0"/>
      <w:autoSpaceDN w:val="0"/>
      <w:ind w:left="720"/>
    </w:pPr>
    <w:rPr>
      <w:rFonts w:ascii="Courier New" w:hAnsi="Courier New" w:cs="Courier New"/>
      <w:sz w:val="24"/>
      <w:szCs w:val="24"/>
    </w:rPr>
  </w:style>
  <w:style w:type="paragraph" w:customStyle="1" w:styleId="RightPar2">
    <w:name w:val="Right Par 2"/>
    <w:pPr>
      <w:tabs>
        <w:tab w:val="left" w:pos="-720"/>
        <w:tab w:val="left" w:pos="0"/>
        <w:tab w:val="left" w:pos="720"/>
        <w:tab w:val="decimal" w:pos="1440"/>
      </w:tabs>
      <w:suppressAutoHyphens/>
      <w:autoSpaceDE w:val="0"/>
      <w:autoSpaceDN w:val="0"/>
      <w:ind w:left="1440"/>
    </w:pPr>
    <w:rPr>
      <w:rFonts w:ascii="Courier New" w:hAnsi="Courier New" w:cs="Courier New"/>
      <w:sz w:val="24"/>
      <w:szCs w:val="24"/>
    </w:rPr>
  </w:style>
  <w:style w:type="character" w:customStyle="1" w:styleId="Document3">
    <w:name w:val="Document 3"/>
    <w:rPr>
      <w:rFonts w:ascii="Courier New" w:hAnsi="Courier New" w:cs="Courier New"/>
      <w:sz w:val="24"/>
      <w:szCs w:val="24"/>
      <w:lang w:val="en-US"/>
    </w:rPr>
  </w:style>
  <w:style w:type="paragraph" w:customStyle="1" w:styleId="RightPar3">
    <w:name w:val="Right Par 3"/>
    <w:pPr>
      <w:tabs>
        <w:tab w:val="left" w:pos="-720"/>
        <w:tab w:val="left" w:pos="0"/>
        <w:tab w:val="left" w:pos="720"/>
        <w:tab w:val="left" w:pos="1440"/>
        <w:tab w:val="decimal" w:pos="2160"/>
      </w:tabs>
      <w:suppressAutoHyphens/>
      <w:autoSpaceDE w:val="0"/>
      <w:autoSpaceDN w:val="0"/>
      <w:ind w:left="2160"/>
    </w:pPr>
    <w:rPr>
      <w:rFonts w:ascii="Courier New" w:hAnsi="Courier New" w:cs="Courier New"/>
      <w:sz w:val="24"/>
      <w:szCs w:val="24"/>
    </w:rPr>
  </w:style>
  <w:style w:type="paragraph" w:customStyle="1" w:styleId="RightPar4">
    <w:name w:val="Right Par 4"/>
    <w:pPr>
      <w:tabs>
        <w:tab w:val="left" w:pos="-720"/>
        <w:tab w:val="left" w:pos="0"/>
        <w:tab w:val="left" w:pos="720"/>
        <w:tab w:val="left" w:pos="1440"/>
        <w:tab w:val="left" w:pos="2160"/>
        <w:tab w:val="decimal" w:pos="2880"/>
      </w:tabs>
      <w:suppressAutoHyphens/>
      <w:autoSpaceDE w:val="0"/>
      <w:autoSpaceDN w:val="0"/>
      <w:ind w:left="2880"/>
    </w:pPr>
    <w:rPr>
      <w:rFonts w:ascii="Courier New" w:hAnsi="Courier New" w:cs="Courier New"/>
      <w:sz w:val="24"/>
      <w:szCs w:val="24"/>
    </w:rPr>
  </w:style>
  <w:style w:type="paragraph" w:customStyle="1" w:styleId="RightPar5">
    <w:name w:val="Right Par 5"/>
    <w:pPr>
      <w:tabs>
        <w:tab w:val="left" w:pos="-720"/>
        <w:tab w:val="left" w:pos="0"/>
        <w:tab w:val="left" w:pos="720"/>
        <w:tab w:val="left" w:pos="1440"/>
        <w:tab w:val="left" w:pos="2160"/>
        <w:tab w:val="left" w:pos="2880"/>
        <w:tab w:val="decimal" w:pos="3600"/>
      </w:tabs>
      <w:suppressAutoHyphens/>
      <w:autoSpaceDE w:val="0"/>
      <w:autoSpaceDN w:val="0"/>
      <w:ind w:left="3600"/>
    </w:pPr>
    <w:rPr>
      <w:rFonts w:ascii="Courier New" w:hAnsi="Courier New" w:cs="Courier New"/>
      <w:sz w:val="24"/>
      <w:szCs w:val="24"/>
    </w:rPr>
  </w:style>
  <w:style w:type="paragraph" w:customStyle="1" w:styleId="RightPar6">
    <w:name w:val="Right Par 6"/>
    <w:pPr>
      <w:tabs>
        <w:tab w:val="left" w:pos="-720"/>
        <w:tab w:val="left" w:pos="0"/>
        <w:tab w:val="left" w:pos="720"/>
        <w:tab w:val="left" w:pos="1440"/>
        <w:tab w:val="left" w:pos="2160"/>
        <w:tab w:val="left" w:pos="2880"/>
        <w:tab w:val="left" w:pos="3600"/>
        <w:tab w:val="decimal" w:pos="4320"/>
      </w:tabs>
      <w:suppressAutoHyphens/>
      <w:autoSpaceDE w:val="0"/>
      <w:autoSpaceDN w:val="0"/>
      <w:ind w:left="4320"/>
    </w:pPr>
    <w:rPr>
      <w:rFonts w:ascii="Courier New" w:hAnsi="Courier New" w:cs="Courier New"/>
      <w:sz w:val="24"/>
      <w:szCs w:val="24"/>
    </w:rPr>
  </w:style>
  <w:style w:type="paragraph" w:customStyle="1" w:styleId="RightPar7">
    <w:name w:val="Right Par 7"/>
    <w:pPr>
      <w:tabs>
        <w:tab w:val="left" w:pos="-720"/>
        <w:tab w:val="left" w:pos="0"/>
        <w:tab w:val="left" w:pos="720"/>
        <w:tab w:val="left" w:pos="1440"/>
        <w:tab w:val="left" w:pos="2160"/>
        <w:tab w:val="left" w:pos="2880"/>
        <w:tab w:val="left" w:pos="3600"/>
        <w:tab w:val="left" w:pos="4320"/>
        <w:tab w:val="decimal" w:pos="5040"/>
      </w:tabs>
      <w:suppressAutoHyphens/>
      <w:autoSpaceDE w:val="0"/>
      <w:autoSpaceDN w:val="0"/>
      <w:ind w:left="5040"/>
    </w:pPr>
    <w:rPr>
      <w:rFonts w:ascii="Courier New" w:hAnsi="Courier New" w:cs="Courier New"/>
      <w:sz w:val="24"/>
      <w:szCs w:val="24"/>
    </w:rPr>
  </w:style>
  <w:style w:type="paragraph" w:customStyle="1" w:styleId="RightPar8">
    <w:name w:val="Right Par 8"/>
    <w:pPr>
      <w:tabs>
        <w:tab w:val="left" w:pos="-720"/>
        <w:tab w:val="left" w:pos="0"/>
        <w:tab w:val="left" w:pos="720"/>
        <w:tab w:val="left" w:pos="1440"/>
        <w:tab w:val="left" w:pos="2160"/>
        <w:tab w:val="left" w:pos="2880"/>
        <w:tab w:val="left" w:pos="3600"/>
        <w:tab w:val="left" w:pos="4320"/>
        <w:tab w:val="left" w:pos="5040"/>
        <w:tab w:val="decimal" w:pos="5760"/>
      </w:tabs>
      <w:suppressAutoHyphens/>
      <w:autoSpaceDE w:val="0"/>
      <w:autoSpaceDN w:val="0"/>
      <w:ind w:left="5760"/>
    </w:pPr>
    <w:rPr>
      <w:rFonts w:ascii="Courier New" w:hAnsi="Courier New" w:cs="Courier New"/>
      <w:sz w:val="24"/>
      <w:szCs w:val="24"/>
    </w:rPr>
  </w:style>
  <w:style w:type="paragraph" w:customStyle="1" w:styleId="Document1">
    <w:name w:val="Document 1"/>
    <w:pPr>
      <w:keepNext/>
      <w:keepLines/>
      <w:tabs>
        <w:tab w:val="left" w:pos="-720"/>
      </w:tabs>
      <w:suppressAutoHyphens/>
      <w:autoSpaceDE w:val="0"/>
      <w:autoSpaceDN w:val="0"/>
    </w:pPr>
    <w:rPr>
      <w:rFonts w:ascii="Courier New" w:hAnsi="Courier New" w:cs="Courier New"/>
      <w:sz w:val="24"/>
      <w:szCs w:val="24"/>
    </w:rPr>
  </w:style>
  <w:style w:type="character" w:customStyle="1" w:styleId="DocInit">
    <w:name w:val="Doc Init"/>
    <w:basedOn w:val="DefaultParagraphFont"/>
  </w:style>
  <w:style w:type="character" w:customStyle="1" w:styleId="TechInit">
    <w:name w:val="Tech Init"/>
    <w:rPr>
      <w:rFonts w:ascii="Courier New" w:hAnsi="Courier New" w:cs="Courier New"/>
      <w:sz w:val="24"/>
      <w:szCs w:val="24"/>
      <w:lang w:val="en-US"/>
    </w:rPr>
  </w:style>
  <w:style w:type="paragraph" w:customStyle="1" w:styleId="Technical5">
    <w:name w:val="Technical 5"/>
    <w:pPr>
      <w:tabs>
        <w:tab w:val="left" w:pos="-720"/>
      </w:tabs>
      <w:suppressAutoHyphens/>
      <w:autoSpaceDE w:val="0"/>
      <w:autoSpaceDN w:val="0"/>
      <w:ind w:firstLine="720"/>
    </w:pPr>
    <w:rPr>
      <w:rFonts w:ascii="Courier New" w:hAnsi="Courier New" w:cs="Courier New"/>
      <w:b/>
      <w:bCs/>
      <w:sz w:val="24"/>
      <w:szCs w:val="24"/>
    </w:rPr>
  </w:style>
  <w:style w:type="paragraph" w:customStyle="1" w:styleId="Technical6">
    <w:name w:val="Technical 6"/>
    <w:pPr>
      <w:tabs>
        <w:tab w:val="left" w:pos="-720"/>
      </w:tabs>
      <w:suppressAutoHyphens/>
      <w:autoSpaceDE w:val="0"/>
      <w:autoSpaceDN w:val="0"/>
      <w:ind w:firstLine="720"/>
    </w:pPr>
    <w:rPr>
      <w:rFonts w:ascii="Courier New" w:hAnsi="Courier New" w:cs="Courier New"/>
      <w:b/>
      <w:bCs/>
      <w:sz w:val="24"/>
      <w:szCs w:val="24"/>
    </w:rPr>
  </w:style>
  <w:style w:type="character" w:customStyle="1" w:styleId="Technical2">
    <w:name w:val="Technical 2"/>
    <w:rPr>
      <w:rFonts w:ascii="Courier New" w:hAnsi="Courier New" w:cs="Courier New"/>
      <w:sz w:val="24"/>
      <w:szCs w:val="24"/>
      <w:lang w:val="en-US"/>
    </w:rPr>
  </w:style>
  <w:style w:type="character" w:customStyle="1" w:styleId="Technical3">
    <w:name w:val="Technical 3"/>
    <w:rPr>
      <w:rFonts w:ascii="Courier New" w:hAnsi="Courier New" w:cs="Courier New"/>
      <w:sz w:val="24"/>
      <w:szCs w:val="24"/>
      <w:lang w:val="en-US"/>
    </w:rPr>
  </w:style>
  <w:style w:type="paragraph" w:customStyle="1" w:styleId="Technical4">
    <w:name w:val="Technical 4"/>
    <w:pPr>
      <w:tabs>
        <w:tab w:val="left" w:pos="-720"/>
      </w:tabs>
      <w:suppressAutoHyphens/>
      <w:autoSpaceDE w:val="0"/>
      <w:autoSpaceDN w:val="0"/>
    </w:pPr>
    <w:rPr>
      <w:rFonts w:ascii="Courier New" w:hAnsi="Courier New" w:cs="Courier New"/>
      <w:b/>
      <w:bCs/>
      <w:sz w:val="24"/>
      <w:szCs w:val="24"/>
    </w:rPr>
  </w:style>
  <w:style w:type="character" w:customStyle="1" w:styleId="Technical1">
    <w:name w:val="Technical 1"/>
    <w:rPr>
      <w:rFonts w:ascii="Courier New" w:hAnsi="Courier New" w:cs="Courier New"/>
      <w:sz w:val="24"/>
      <w:szCs w:val="24"/>
      <w:lang w:val="en-US"/>
    </w:rPr>
  </w:style>
  <w:style w:type="paragraph" w:customStyle="1" w:styleId="Technical7">
    <w:name w:val="Technical 7"/>
    <w:pPr>
      <w:tabs>
        <w:tab w:val="left" w:pos="-720"/>
      </w:tabs>
      <w:suppressAutoHyphens/>
      <w:autoSpaceDE w:val="0"/>
      <w:autoSpaceDN w:val="0"/>
      <w:ind w:firstLine="720"/>
    </w:pPr>
    <w:rPr>
      <w:rFonts w:ascii="Courier New" w:hAnsi="Courier New" w:cs="Courier New"/>
      <w:b/>
      <w:bCs/>
      <w:sz w:val="24"/>
      <w:szCs w:val="24"/>
    </w:rPr>
  </w:style>
  <w:style w:type="paragraph" w:customStyle="1" w:styleId="Technical8">
    <w:name w:val="Technical 8"/>
    <w:pPr>
      <w:tabs>
        <w:tab w:val="left" w:pos="-720"/>
      </w:tabs>
      <w:suppressAutoHyphens/>
      <w:autoSpaceDE w:val="0"/>
      <w:autoSpaceDN w:val="0"/>
      <w:ind w:firstLine="720"/>
    </w:pPr>
    <w:rPr>
      <w:rFonts w:ascii="Courier New" w:hAnsi="Courier New" w:cs="Courier New"/>
      <w:b/>
      <w:bC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PageNumber">
    <w:name w:val="page number"/>
    <w:rPr>
      <w:rFonts w:ascii="Times New Roman" w:hAnsi="Times New Roman" w:cs="Times New Roman"/>
      <w:sz w:val="26"/>
      <w:szCs w:val="26"/>
      <w:lang w:val="en-US"/>
    </w:rPr>
  </w:style>
  <w:style w:type="paragraph" w:customStyle="1" w:styleId="TxBrp4">
    <w:name w:val="TxBr_p4"/>
    <w:basedOn w:val="Normal"/>
    <w:rsid w:val="00121E9F"/>
    <w:pPr>
      <w:widowControl w:val="0"/>
      <w:tabs>
        <w:tab w:val="left" w:pos="810"/>
      </w:tabs>
      <w:autoSpaceDE/>
      <w:autoSpaceDN/>
      <w:spacing w:line="266" w:lineRule="atLeast"/>
      <w:ind w:firstLine="811"/>
    </w:pPr>
    <w:rPr>
      <w:snapToGrid w:val="0"/>
      <w:szCs w:val="20"/>
    </w:rPr>
  </w:style>
  <w:style w:type="paragraph" w:customStyle="1" w:styleId="TxBrp8">
    <w:name w:val="TxBr_p8"/>
    <w:basedOn w:val="Normal"/>
    <w:rsid w:val="00D53773"/>
    <w:pPr>
      <w:widowControl w:val="0"/>
      <w:tabs>
        <w:tab w:val="left" w:pos="1468"/>
      </w:tabs>
      <w:adjustRightInd w:val="0"/>
      <w:spacing w:line="464" w:lineRule="atLeast"/>
      <w:ind w:firstLine="1468"/>
    </w:pPr>
  </w:style>
  <w:style w:type="paragraph" w:customStyle="1" w:styleId="Style">
    <w:name w:val="Style"/>
    <w:rsid w:val="003D6AD5"/>
    <w:pPr>
      <w:widowControl w:val="0"/>
      <w:autoSpaceDE w:val="0"/>
      <w:autoSpaceDN w:val="0"/>
      <w:adjustRightInd w:val="0"/>
    </w:pPr>
    <w:rPr>
      <w:sz w:val="24"/>
      <w:szCs w:val="24"/>
    </w:rPr>
  </w:style>
  <w:style w:type="character" w:customStyle="1" w:styleId="FootnoteTextChar">
    <w:name w:val="Footnote Text Char"/>
    <w:basedOn w:val="DefaultParagraphFont"/>
    <w:link w:val="FootnoteText"/>
    <w:uiPriority w:val="99"/>
    <w:semiHidden/>
    <w:rsid w:val="00CA046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spacing w:line="360" w:lineRule="auto"/>
      <w:ind w:firstLine="144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uiPriority w:val="99"/>
    <w:semiHidden/>
    <w:rsid w:val="00BF634F"/>
    <w:pPr>
      <w:spacing w:line="240" w:lineRule="auto"/>
      <w:ind w:firstLine="0"/>
    </w:pPr>
    <w:rPr>
      <w:sz w:val="20"/>
      <w:szCs w:val="20"/>
    </w:rPr>
  </w:style>
  <w:style w:type="character" w:styleId="FootnoteReference">
    <w:name w:val="footnote reference"/>
    <w:uiPriority w:val="99"/>
    <w:semiHidden/>
    <w:rPr>
      <w:vertAlign w:val="superscript"/>
    </w:rPr>
  </w:style>
  <w:style w:type="character" w:customStyle="1" w:styleId="Document8">
    <w:name w:val="Document 8"/>
    <w:basedOn w:val="DefaultParagraphFont"/>
  </w:style>
  <w:style w:type="character" w:customStyle="1" w:styleId="Document4">
    <w:name w:val="Document 4"/>
    <w:rPr>
      <w:b/>
      <w:bCs/>
      <w:i/>
      <w:iCs/>
      <w:sz w:val="24"/>
      <w:szCs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New" w:hAnsi="Courier New" w:cs="Courier New"/>
      <w:sz w:val="24"/>
      <w:szCs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paragraph" w:customStyle="1" w:styleId="RightPar1">
    <w:name w:val="Right Par 1"/>
    <w:pPr>
      <w:tabs>
        <w:tab w:val="left" w:pos="-720"/>
        <w:tab w:val="left" w:pos="0"/>
        <w:tab w:val="decimal" w:pos="720"/>
      </w:tabs>
      <w:suppressAutoHyphens/>
      <w:autoSpaceDE w:val="0"/>
      <w:autoSpaceDN w:val="0"/>
      <w:ind w:left="720"/>
    </w:pPr>
    <w:rPr>
      <w:rFonts w:ascii="Courier New" w:hAnsi="Courier New" w:cs="Courier New"/>
      <w:sz w:val="24"/>
      <w:szCs w:val="24"/>
    </w:rPr>
  </w:style>
  <w:style w:type="paragraph" w:customStyle="1" w:styleId="RightPar2">
    <w:name w:val="Right Par 2"/>
    <w:pPr>
      <w:tabs>
        <w:tab w:val="left" w:pos="-720"/>
        <w:tab w:val="left" w:pos="0"/>
        <w:tab w:val="left" w:pos="720"/>
        <w:tab w:val="decimal" w:pos="1440"/>
      </w:tabs>
      <w:suppressAutoHyphens/>
      <w:autoSpaceDE w:val="0"/>
      <w:autoSpaceDN w:val="0"/>
      <w:ind w:left="1440"/>
    </w:pPr>
    <w:rPr>
      <w:rFonts w:ascii="Courier New" w:hAnsi="Courier New" w:cs="Courier New"/>
      <w:sz w:val="24"/>
      <w:szCs w:val="24"/>
    </w:rPr>
  </w:style>
  <w:style w:type="character" w:customStyle="1" w:styleId="Document3">
    <w:name w:val="Document 3"/>
    <w:rPr>
      <w:rFonts w:ascii="Courier New" w:hAnsi="Courier New" w:cs="Courier New"/>
      <w:sz w:val="24"/>
      <w:szCs w:val="24"/>
      <w:lang w:val="en-US"/>
    </w:rPr>
  </w:style>
  <w:style w:type="paragraph" w:customStyle="1" w:styleId="RightPar3">
    <w:name w:val="Right Par 3"/>
    <w:pPr>
      <w:tabs>
        <w:tab w:val="left" w:pos="-720"/>
        <w:tab w:val="left" w:pos="0"/>
        <w:tab w:val="left" w:pos="720"/>
        <w:tab w:val="left" w:pos="1440"/>
        <w:tab w:val="decimal" w:pos="2160"/>
      </w:tabs>
      <w:suppressAutoHyphens/>
      <w:autoSpaceDE w:val="0"/>
      <w:autoSpaceDN w:val="0"/>
      <w:ind w:left="2160"/>
    </w:pPr>
    <w:rPr>
      <w:rFonts w:ascii="Courier New" w:hAnsi="Courier New" w:cs="Courier New"/>
      <w:sz w:val="24"/>
      <w:szCs w:val="24"/>
    </w:rPr>
  </w:style>
  <w:style w:type="paragraph" w:customStyle="1" w:styleId="RightPar4">
    <w:name w:val="Right Par 4"/>
    <w:pPr>
      <w:tabs>
        <w:tab w:val="left" w:pos="-720"/>
        <w:tab w:val="left" w:pos="0"/>
        <w:tab w:val="left" w:pos="720"/>
        <w:tab w:val="left" w:pos="1440"/>
        <w:tab w:val="left" w:pos="2160"/>
        <w:tab w:val="decimal" w:pos="2880"/>
      </w:tabs>
      <w:suppressAutoHyphens/>
      <w:autoSpaceDE w:val="0"/>
      <w:autoSpaceDN w:val="0"/>
      <w:ind w:left="2880"/>
    </w:pPr>
    <w:rPr>
      <w:rFonts w:ascii="Courier New" w:hAnsi="Courier New" w:cs="Courier New"/>
      <w:sz w:val="24"/>
      <w:szCs w:val="24"/>
    </w:rPr>
  </w:style>
  <w:style w:type="paragraph" w:customStyle="1" w:styleId="RightPar5">
    <w:name w:val="Right Par 5"/>
    <w:pPr>
      <w:tabs>
        <w:tab w:val="left" w:pos="-720"/>
        <w:tab w:val="left" w:pos="0"/>
        <w:tab w:val="left" w:pos="720"/>
        <w:tab w:val="left" w:pos="1440"/>
        <w:tab w:val="left" w:pos="2160"/>
        <w:tab w:val="left" w:pos="2880"/>
        <w:tab w:val="decimal" w:pos="3600"/>
      </w:tabs>
      <w:suppressAutoHyphens/>
      <w:autoSpaceDE w:val="0"/>
      <w:autoSpaceDN w:val="0"/>
      <w:ind w:left="3600"/>
    </w:pPr>
    <w:rPr>
      <w:rFonts w:ascii="Courier New" w:hAnsi="Courier New" w:cs="Courier New"/>
      <w:sz w:val="24"/>
      <w:szCs w:val="24"/>
    </w:rPr>
  </w:style>
  <w:style w:type="paragraph" w:customStyle="1" w:styleId="RightPar6">
    <w:name w:val="Right Par 6"/>
    <w:pPr>
      <w:tabs>
        <w:tab w:val="left" w:pos="-720"/>
        <w:tab w:val="left" w:pos="0"/>
        <w:tab w:val="left" w:pos="720"/>
        <w:tab w:val="left" w:pos="1440"/>
        <w:tab w:val="left" w:pos="2160"/>
        <w:tab w:val="left" w:pos="2880"/>
        <w:tab w:val="left" w:pos="3600"/>
        <w:tab w:val="decimal" w:pos="4320"/>
      </w:tabs>
      <w:suppressAutoHyphens/>
      <w:autoSpaceDE w:val="0"/>
      <w:autoSpaceDN w:val="0"/>
      <w:ind w:left="4320"/>
    </w:pPr>
    <w:rPr>
      <w:rFonts w:ascii="Courier New" w:hAnsi="Courier New" w:cs="Courier New"/>
      <w:sz w:val="24"/>
      <w:szCs w:val="24"/>
    </w:rPr>
  </w:style>
  <w:style w:type="paragraph" w:customStyle="1" w:styleId="RightPar7">
    <w:name w:val="Right Par 7"/>
    <w:pPr>
      <w:tabs>
        <w:tab w:val="left" w:pos="-720"/>
        <w:tab w:val="left" w:pos="0"/>
        <w:tab w:val="left" w:pos="720"/>
        <w:tab w:val="left" w:pos="1440"/>
        <w:tab w:val="left" w:pos="2160"/>
        <w:tab w:val="left" w:pos="2880"/>
        <w:tab w:val="left" w:pos="3600"/>
        <w:tab w:val="left" w:pos="4320"/>
        <w:tab w:val="decimal" w:pos="5040"/>
      </w:tabs>
      <w:suppressAutoHyphens/>
      <w:autoSpaceDE w:val="0"/>
      <w:autoSpaceDN w:val="0"/>
      <w:ind w:left="5040"/>
    </w:pPr>
    <w:rPr>
      <w:rFonts w:ascii="Courier New" w:hAnsi="Courier New" w:cs="Courier New"/>
      <w:sz w:val="24"/>
      <w:szCs w:val="24"/>
    </w:rPr>
  </w:style>
  <w:style w:type="paragraph" w:customStyle="1" w:styleId="RightPar8">
    <w:name w:val="Right Par 8"/>
    <w:pPr>
      <w:tabs>
        <w:tab w:val="left" w:pos="-720"/>
        <w:tab w:val="left" w:pos="0"/>
        <w:tab w:val="left" w:pos="720"/>
        <w:tab w:val="left" w:pos="1440"/>
        <w:tab w:val="left" w:pos="2160"/>
        <w:tab w:val="left" w:pos="2880"/>
        <w:tab w:val="left" w:pos="3600"/>
        <w:tab w:val="left" w:pos="4320"/>
        <w:tab w:val="left" w:pos="5040"/>
        <w:tab w:val="decimal" w:pos="5760"/>
      </w:tabs>
      <w:suppressAutoHyphens/>
      <w:autoSpaceDE w:val="0"/>
      <w:autoSpaceDN w:val="0"/>
      <w:ind w:left="5760"/>
    </w:pPr>
    <w:rPr>
      <w:rFonts w:ascii="Courier New" w:hAnsi="Courier New" w:cs="Courier New"/>
      <w:sz w:val="24"/>
      <w:szCs w:val="24"/>
    </w:rPr>
  </w:style>
  <w:style w:type="paragraph" w:customStyle="1" w:styleId="Document1">
    <w:name w:val="Document 1"/>
    <w:pPr>
      <w:keepNext/>
      <w:keepLines/>
      <w:tabs>
        <w:tab w:val="left" w:pos="-720"/>
      </w:tabs>
      <w:suppressAutoHyphens/>
      <w:autoSpaceDE w:val="0"/>
      <w:autoSpaceDN w:val="0"/>
    </w:pPr>
    <w:rPr>
      <w:rFonts w:ascii="Courier New" w:hAnsi="Courier New" w:cs="Courier New"/>
      <w:sz w:val="24"/>
      <w:szCs w:val="24"/>
    </w:rPr>
  </w:style>
  <w:style w:type="character" w:customStyle="1" w:styleId="DocInit">
    <w:name w:val="Doc Init"/>
    <w:basedOn w:val="DefaultParagraphFont"/>
  </w:style>
  <w:style w:type="character" w:customStyle="1" w:styleId="TechInit">
    <w:name w:val="Tech Init"/>
    <w:rPr>
      <w:rFonts w:ascii="Courier New" w:hAnsi="Courier New" w:cs="Courier New"/>
      <w:sz w:val="24"/>
      <w:szCs w:val="24"/>
      <w:lang w:val="en-US"/>
    </w:rPr>
  </w:style>
  <w:style w:type="paragraph" w:customStyle="1" w:styleId="Technical5">
    <w:name w:val="Technical 5"/>
    <w:pPr>
      <w:tabs>
        <w:tab w:val="left" w:pos="-720"/>
      </w:tabs>
      <w:suppressAutoHyphens/>
      <w:autoSpaceDE w:val="0"/>
      <w:autoSpaceDN w:val="0"/>
      <w:ind w:firstLine="720"/>
    </w:pPr>
    <w:rPr>
      <w:rFonts w:ascii="Courier New" w:hAnsi="Courier New" w:cs="Courier New"/>
      <w:b/>
      <w:bCs/>
      <w:sz w:val="24"/>
      <w:szCs w:val="24"/>
    </w:rPr>
  </w:style>
  <w:style w:type="paragraph" w:customStyle="1" w:styleId="Technical6">
    <w:name w:val="Technical 6"/>
    <w:pPr>
      <w:tabs>
        <w:tab w:val="left" w:pos="-720"/>
      </w:tabs>
      <w:suppressAutoHyphens/>
      <w:autoSpaceDE w:val="0"/>
      <w:autoSpaceDN w:val="0"/>
      <w:ind w:firstLine="720"/>
    </w:pPr>
    <w:rPr>
      <w:rFonts w:ascii="Courier New" w:hAnsi="Courier New" w:cs="Courier New"/>
      <w:b/>
      <w:bCs/>
      <w:sz w:val="24"/>
      <w:szCs w:val="24"/>
    </w:rPr>
  </w:style>
  <w:style w:type="character" w:customStyle="1" w:styleId="Technical2">
    <w:name w:val="Technical 2"/>
    <w:rPr>
      <w:rFonts w:ascii="Courier New" w:hAnsi="Courier New" w:cs="Courier New"/>
      <w:sz w:val="24"/>
      <w:szCs w:val="24"/>
      <w:lang w:val="en-US"/>
    </w:rPr>
  </w:style>
  <w:style w:type="character" w:customStyle="1" w:styleId="Technical3">
    <w:name w:val="Technical 3"/>
    <w:rPr>
      <w:rFonts w:ascii="Courier New" w:hAnsi="Courier New" w:cs="Courier New"/>
      <w:sz w:val="24"/>
      <w:szCs w:val="24"/>
      <w:lang w:val="en-US"/>
    </w:rPr>
  </w:style>
  <w:style w:type="paragraph" w:customStyle="1" w:styleId="Technical4">
    <w:name w:val="Technical 4"/>
    <w:pPr>
      <w:tabs>
        <w:tab w:val="left" w:pos="-720"/>
      </w:tabs>
      <w:suppressAutoHyphens/>
      <w:autoSpaceDE w:val="0"/>
      <w:autoSpaceDN w:val="0"/>
    </w:pPr>
    <w:rPr>
      <w:rFonts w:ascii="Courier New" w:hAnsi="Courier New" w:cs="Courier New"/>
      <w:b/>
      <w:bCs/>
      <w:sz w:val="24"/>
      <w:szCs w:val="24"/>
    </w:rPr>
  </w:style>
  <w:style w:type="character" w:customStyle="1" w:styleId="Technical1">
    <w:name w:val="Technical 1"/>
    <w:rPr>
      <w:rFonts w:ascii="Courier New" w:hAnsi="Courier New" w:cs="Courier New"/>
      <w:sz w:val="24"/>
      <w:szCs w:val="24"/>
      <w:lang w:val="en-US"/>
    </w:rPr>
  </w:style>
  <w:style w:type="paragraph" w:customStyle="1" w:styleId="Technical7">
    <w:name w:val="Technical 7"/>
    <w:pPr>
      <w:tabs>
        <w:tab w:val="left" w:pos="-720"/>
      </w:tabs>
      <w:suppressAutoHyphens/>
      <w:autoSpaceDE w:val="0"/>
      <w:autoSpaceDN w:val="0"/>
      <w:ind w:firstLine="720"/>
    </w:pPr>
    <w:rPr>
      <w:rFonts w:ascii="Courier New" w:hAnsi="Courier New" w:cs="Courier New"/>
      <w:b/>
      <w:bCs/>
      <w:sz w:val="24"/>
      <w:szCs w:val="24"/>
    </w:rPr>
  </w:style>
  <w:style w:type="paragraph" w:customStyle="1" w:styleId="Technical8">
    <w:name w:val="Technical 8"/>
    <w:pPr>
      <w:tabs>
        <w:tab w:val="left" w:pos="-720"/>
      </w:tabs>
      <w:suppressAutoHyphens/>
      <w:autoSpaceDE w:val="0"/>
      <w:autoSpaceDN w:val="0"/>
      <w:ind w:firstLine="720"/>
    </w:pPr>
    <w:rPr>
      <w:rFonts w:ascii="Courier New" w:hAnsi="Courier New" w:cs="Courier New"/>
      <w:b/>
      <w:bC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PageNumber">
    <w:name w:val="page number"/>
    <w:rPr>
      <w:rFonts w:ascii="Times New Roman" w:hAnsi="Times New Roman" w:cs="Times New Roman"/>
      <w:sz w:val="26"/>
      <w:szCs w:val="26"/>
      <w:lang w:val="en-US"/>
    </w:rPr>
  </w:style>
  <w:style w:type="paragraph" w:customStyle="1" w:styleId="TxBrp4">
    <w:name w:val="TxBr_p4"/>
    <w:basedOn w:val="Normal"/>
    <w:rsid w:val="00121E9F"/>
    <w:pPr>
      <w:widowControl w:val="0"/>
      <w:tabs>
        <w:tab w:val="left" w:pos="810"/>
      </w:tabs>
      <w:autoSpaceDE/>
      <w:autoSpaceDN/>
      <w:spacing w:line="266" w:lineRule="atLeast"/>
      <w:ind w:firstLine="811"/>
    </w:pPr>
    <w:rPr>
      <w:snapToGrid w:val="0"/>
      <w:szCs w:val="20"/>
    </w:rPr>
  </w:style>
  <w:style w:type="paragraph" w:customStyle="1" w:styleId="TxBrp8">
    <w:name w:val="TxBr_p8"/>
    <w:basedOn w:val="Normal"/>
    <w:rsid w:val="00D53773"/>
    <w:pPr>
      <w:widowControl w:val="0"/>
      <w:tabs>
        <w:tab w:val="left" w:pos="1468"/>
      </w:tabs>
      <w:adjustRightInd w:val="0"/>
      <w:spacing w:line="464" w:lineRule="atLeast"/>
      <w:ind w:firstLine="1468"/>
    </w:pPr>
  </w:style>
  <w:style w:type="paragraph" w:customStyle="1" w:styleId="Style">
    <w:name w:val="Style"/>
    <w:rsid w:val="003D6AD5"/>
    <w:pPr>
      <w:widowControl w:val="0"/>
      <w:autoSpaceDE w:val="0"/>
      <w:autoSpaceDN w:val="0"/>
      <w:adjustRightInd w:val="0"/>
    </w:pPr>
    <w:rPr>
      <w:sz w:val="24"/>
      <w:szCs w:val="24"/>
    </w:rPr>
  </w:style>
  <w:style w:type="character" w:customStyle="1" w:styleId="FootnoteTextChar">
    <w:name w:val="Footnote Text Char"/>
    <w:basedOn w:val="DefaultParagraphFont"/>
    <w:link w:val="FootnoteText"/>
    <w:uiPriority w:val="99"/>
    <w:semiHidden/>
    <w:rsid w:val="00CA04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4CB316-95F6-41D5-A115-090C56E4BD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1963</Words>
  <Characters>11190</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_BEFORE THE</vt:lpstr>
    </vt:vector>
  </TitlesOfParts>
  <Company>PA PUC</Company>
  <LinksUpToDate>false</LinksUpToDate>
  <CharactersWithSpaces>13127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_BEFORE THE</dc:title>
  <dc:creator>PA PUC</dc:creator>
  <cp:lastModifiedBy>shoffner</cp:lastModifiedBy>
  <cp:revision>3</cp:revision>
  <cp:lastPrinted>2013-12-02T16:32:00Z</cp:lastPrinted>
  <dcterms:created xsi:type="dcterms:W3CDTF">2013-12-02T18:31:00Z</dcterms:created>
  <dcterms:modified xsi:type="dcterms:W3CDTF">2013-12-02T18:37:00Z</dcterms:modified>
</cp:coreProperties>
</file>