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23" w:rsidRPr="00DC2023" w:rsidRDefault="00DC2023" w:rsidP="00DC2023">
      <w:pPr>
        <w:tabs>
          <w:tab w:val="center" w:pos="4680"/>
        </w:tabs>
        <w:suppressAutoHyphens/>
        <w:autoSpaceDE w:val="0"/>
        <w:autoSpaceDN w:val="0"/>
        <w:spacing w:after="0" w:line="240" w:lineRule="auto"/>
        <w:ind w:firstLine="0"/>
        <w:jc w:val="center"/>
        <w:rPr>
          <w:b/>
          <w:bCs/>
          <w:spacing w:val="-3"/>
          <w:szCs w:val="24"/>
        </w:rPr>
      </w:pPr>
      <w:bookmarkStart w:id="0" w:name="_GoBack"/>
      <w:bookmarkEnd w:id="0"/>
      <w:r w:rsidRPr="00DC2023">
        <w:rPr>
          <w:b/>
          <w:bCs/>
          <w:spacing w:val="-3"/>
          <w:szCs w:val="24"/>
        </w:rPr>
        <w:t>BEFORE THE</w:t>
      </w:r>
    </w:p>
    <w:p w:rsidR="00DC2023" w:rsidRPr="00DC2023" w:rsidRDefault="00DC2023" w:rsidP="00DC2023">
      <w:pPr>
        <w:tabs>
          <w:tab w:val="center" w:pos="4680"/>
        </w:tabs>
        <w:suppressAutoHyphens/>
        <w:autoSpaceDE w:val="0"/>
        <w:autoSpaceDN w:val="0"/>
        <w:spacing w:after="0" w:line="240" w:lineRule="auto"/>
        <w:ind w:firstLine="0"/>
        <w:jc w:val="center"/>
        <w:rPr>
          <w:b/>
          <w:bCs/>
          <w:spacing w:val="-3"/>
          <w:szCs w:val="24"/>
        </w:rPr>
      </w:pPr>
      <w:r w:rsidRPr="00DC2023">
        <w:rPr>
          <w:b/>
          <w:bCs/>
          <w:spacing w:val="-3"/>
          <w:szCs w:val="24"/>
        </w:rPr>
        <w:t>PENNSYLVANIA PUBLIC UTILITY COMMISSION</w:t>
      </w:r>
    </w:p>
    <w:p w:rsidR="00DC2023" w:rsidRPr="00DC2023" w:rsidRDefault="00DC2023" w:rsidP="00DC2023">
      <w:pPr>
        <w:tabs>
          <w:tab w:val="center" w:pos="4680"/>
        </w:tabs>
        <w:suppressAutoHyphens/>
        <w:autoSpaceDE w:val="0"/>
        <w:autoSpaceDN w:val="0"/>
        <w:spacing w:after="0" w:line="240" w:lineRule="auto"/>
        <w:ind w:firstLine="0"/>
        <w:jc w:val="center"/>
        <w:rPr>
          <w:b/>
          <w:bCs/>
          <w:spacing w:val="-3"/>
          <w:szCs w:val="24"/>
        </w:rPr>
      </w:pPr>
    </w:p>
    <w:p w:rsidR="00DC2023" w:rsidRPr="00DC2023" w:rsidRDefault="00DC2023" w:rsidP="00DC2023">
      <w:pPr>
        <w:tabs>
          <w:tab w:val="center" w:pos="4680"/>
        </w:tabs>
        <w:suppressAutoHyphens/>
        <w:autoSpaceDE w:val="0"/>
        <w:autoSpaceDN w:val="0"/>
        <w:spacing w:after="0" w:line="240" w:lineRule="auto"/>
        <w:ind w:firstLine="0"/>
        <w:jc w:val="center"/>
        <w:rPr>
          <w:b/>
          <w:bCs/>
          <w:spacing w:val="-3"/>
          <w:szCs w:val="24"/>
        </w:rPr>
      </w:pPr>
    </w:p>
    <w:p w:rsidR="00DC2023" w:rsidRPr="00DC2023" w:rsidRDefault="00DC2023" w:rsidP="00DC2023">
      <w:pPr>
        <w:tabs>
          <w:tab w:val="center" w:pos="4680"/>
        </w:tabs>
        <w:suppressAutoHyphens/>
        <w:autoSpaceDE w:val="0"/>
        <w:autoSpaceDN w:val="0"/>
        <w:spacing w:after="0" w:line="240" w:lineRule="auto"/>
        <w:ind w:firstLine="0"/>
        <w:jc w:val="center"/>
        <w:rPr>
          <w:b/>
          <w:bCs/>
          <w:spacing w:val="-3"/>
          <w:szCs w:val="24"/>
        </w:rPr>
      </w:pPr>
    </w:p>
    <w:p w:rsidR="00DC2023" w:rsidRPr="00DC2023" w:rsidRDefault="00DC2023" w:rsidP="00DC2023">
      <w:pPr>
        <w:autoSpaceDE w:val="0"/>
        <w:autoSpaceDN w:val="0"/>
        <w:spacing w:after="0" w:line="240" w:lineRule="auto"/>
        <w:ind w:firstLine="0"/>
        <w:rPr>
          <w:szCs w:val="24"/>
        </w:rPr>
      </w:pPr>
      <w:r>
        <w:rPr>
          <w:szCs w:val="24"/>
        </w:rPr>
        <w:t>John F. and Joanne M. McVey</w:t>
      </w:r>
      <w:r>
        <w:rPr>
          <w:szCs w:val="24"/>
        </w:rPr>
        <w:tab/>
      </w:r>
      <w:r w:rsidRPr="00DC2023">
        <w:rPr>
          <w:szCs w:val="24"/>
        </w:rPr>
        <w:tab/>
      </w:r>
      <w:r w:rsidRPr="00DC2023">
        <w:rPr>
          <w:szCs w:val="24"/>
        </w:rPr>
        <w:tab/>
        <w:t>:</w:t>
      </w:r>
    </w:p>
    <w:p w:rsidR="00DC2023" w:rsidRPr="00DC2023" w:rsidRDefault="00DC2023" w:rsidP="00DC2023">
      <w:pPr>
        <w:autoSpaceDE w:val="0"/>
        <w:autoSpaceDN w:val="0"/>
        <w:spacing w:after="0" w:line="240" w:lineRule="auto"/>
        <w:ind w:firstLine="0"/>
        <w:rPr>
          <w:szCs w:val="24"/>
        </w:rPr>
      </w:pPr>
      <w:r w:rsidRPr="00DC2023">
        <w:rPr>
          <w:szCs w:val="24"/>
        </w:rPr>
        <w:tab/>
      </w:r>
      <w:r w:rsidRPr="00DC2023">
        <w:rPr>
          <w:szCs w:val="24"/>
        </w:rPr>
        <w:tab/>
      </w:r>
      <w:r w:rsidRPr="00DC2023">
        <w:rPr>
          <w:szCs w:val="24"/>
        </w:rPr>
        <w:tab/>
      </w:r>
      <w:r w:rsidRPr="00DC2023">
        <w:rPr>
          <w:szCs w:val="24"/>
        </w:rPr>
        <w:tab/>
      </w:r>
      <w:r w:rsidRPr="00DC2023">
        <w:rPr>
          <w:szCs w:val="24"/>
        </w:rPr>
        <w:tab/>
      </w:r>
      <w:r w:rsidRPr="00DC2023">
        <w:rPr>
          <w:szCs w:val="24"/>
        </w:rPr>
        <w:tab/>
      </w:r>
      <w:r w:rsidRPr="00DC2023">
        <w:rPr>
          <w:szCs w:val="24"/>
        </w:rPr>
        <w:tab/>
        <w:t>:</w:t>
      </w:r>
      <w:r w:rsidRPr="00DC2023">
        <w:rPr>
          <w:szCs w:val="24"/>
        </w:rPr>
        <w:tab/>
      </w:r>
      <w:r w:rsidRPr="00DC2023">
        <w:rPr>
          <w:szCs w:val="24"/>
        </w:rPr>
        <w:tab/>
      </w:r>
    </w:p>
    <w:p w:rsidR="00DC2023" w:rsidRPr="00DC2023" w:rsidRDefault="00DC2023" w:rsidP="00DC2023">
      <w:pPr>
        <w:autoSpaceDE w:val="0"/>
        <w:autoSpaceDN w:val="0"/>
        <w:spacing w:after="0" w:line="240" w:lineRule="auto"/>
        <w:ind w:firstLine="0"/>
        <w:rPr>
          <w:szCs w:val="24"/>
        </w:rPr>
      </w:pPr>
      <w:r w:rsidRPr="00DC2023">
        <w:rPr>
          <w:szCs w:val="24"/>
        </w:rPr>
        <w:tab/>
        <w:t>v.</w:t>
      </w:r>
      <w:r w:rsidRPr="00DC2023">
        <w:rPr>
          <w:szCs w:val="24"/>
        </w:rPr>
        <w:tab/>
      </w:r>
      <w:r w:rsidRPr="00DC2023">
        <w:rPr>
          <w:szCs w:val="24"/>
        </w:rPr>
        <w:tab/>
      </w:r>
      <w:r w:rsidRPr="00DC2023">
        <w:rPr>
          <w:szCs w:val="24"/>
        </w:rPr>
        <w:tab/>
      </w:r>
      <w:r w:rsidRPr="00DC2023">
        <w:rPr>
          <w:szCs w:val="24"/>
        </w:rPr>
        <w:tab/>
      </w:r>
      <w:r w:rsidRPr="00DC2023">
        <w:rPr>
          <w:szCs w:val="24"/>
        </w:rPr>
        <w:tab/>
      </w:r>
      <w:r w:rsidRPr="00DC2023">
        <w:rPr>
          <w:szCs w:val="24"/>
        </w:rPr>
        <w:tab/>
        <w:t>:</w:t>
      </w:r>
      <w:r w:rsidRPr="00DC2023">
        <w:rPr>
          <w:szCs w:val="24"/>
        </w:rPr>
        <w:tab/>
      </w:r>
      <w:r w:rsidRPr="00DC2023">
        <w:rPr>
          <w:szCs w:val="24"/>
        </w:rPr>
        <w:tab/>
        <w:t>C-201</w:t>
      </w:r>
      <w:r>
        <w:rPr>
          <w:szCs w:val="24"/>
        </w:rPr>
        <w:t>1</w:t>
      </w:r>
      <w:r w:rsidRPr="00DC2023">
        <w:rPr>
          <w:szCs w:val="24"/>
        </w:rPr>
        <w:t>-2</w:t>
      </w:r>
      <w:r>
        <w:rPr>
          <w:szCs w:val="24"/>
        </w:rPr>
        <w:t>2</w:t>
      </w:r>
      <w:r w:rsidRPr="00DC2023">
        <w:rPr>
          <w:szCs w:val="24"/>
        </w:rPr>
        <w:t>3</w:t>
      </w:r>
      <w:r>
        <w:rPr>
          <w:szCs w:val="24"/>
        </w:rPr>
        <w:t>9859</w:t>
      </w:r>
    </w:p>
    <w:p w:rsidR="00DC2023" w:rsidRPr="00DC2023" w:rsidRDefault="00DC2023" w:rsidP="00DC2023">
      <w:pPr>
        <w:autoSpaceDE w:val="0"/>
        <w:autoSpaceDN w:val="0"/>
        <w:spacing w:after="0" w:line="240" w:lineRule="auto"/>
        <w:ind w:firstLine="0"/>
        <w:rPr>
          <w:szCs w:val="24"/>
        </w:rPr>
      </w:pPr>
      <w:r w:rsidRPr="00DC2023">
        <w:rPr>
          <w:szCs w:val="24"/>
        </w:rPr>
        <w:tab/>
      </w:r>
      <w:r w:rsidRPr="00DC2023">
        <w:rPr>
          <w:szCs w:val="24"/>
        </w:rPr>
        <w:tab/>
      </w:r>
      <w:r w:rsidRPr="00DC2023">
        <w:rPr>
          <w:szCs w:val="24"/>
        </w:rPr>
        <w:tab/>
      </w:r>
      <w:r w:rsidRPr="00DC2023">
        <w:rPr>
          <w:szCs w:val="24"/>
        </w:rPr>
        <w:tab/>
      </w:r>
      <w:r w:rsidRPr="00DC2023">
        <w:rPr>
          <w:szCs w:val="24"/>
        </w:rPr>
        <w:tab/>
      </w:r>
      <w:r w:rsidRPr="00DC2023">
        <w:rPr>
          <w:szCs w:val="24"/>
        </w:rPr>
        <w:tab/>
      </w:r>
      <w:r w:rsidRPr="00DC2023">
        <w:rPr>
          <w:szCs w:val="24"/>
        </w:rPr>
        <w:tab/>
        <w:t>:</w:t>
      </w:r>
    </w:p>
    <w:p w:rsidR="00DC2023" w:rsidRPr="00DC2023" w:rsidRDefault="00DC2023" w:rsidP="00DC2023">
      <w:pPr>
        <w:autoSpaceDE w:val="0"/>
        <w:autoSpaceDN w:val="0"/>
        <w:spacing w:after="0" w:line="240" w:lineRule="auto"/>
        <w:ind w:firstLine="0"/>
        <w:rPr>
          <w:szCs w:val="24"/>
        </w:rPr>
      </w:pPr>
      <w:r>
        <w:rPr>
          <w:szCs w:val="24"/>
        </w:rPr>
        <w:t>Philadelphia Gas Works</w:t>
      </w:r>
      <w:r>
        <w:rPr>
          <w:szCs w:val="24"/>
        </w:rPr>
        <w:tab/>
      </w:r>
      <w:r>
        <w:rPr>
          <w:szCs w:val="24"/>
        </w:rPr>
        <w:tab/>
      </w:r>
      <w:r w:rsidRPr="00DC2023">
        <w:rPr>
          <w:szCs w:val="24"/>
        </w:rPr>
        <w:tab/>
      </w:r>
      <w:r w:rsidRPr="00DC2023">
        <w:rPr>
          <w:szCs w:val="24"/>
        </w:rPr>
        <w:tab/>
        <w:t>:</w:t>
      </w:r>
    </w:p>
    <w:p w:rsidR="00DC2023" w:rsidRPr="00DC2023" w:rsidRDefault="00DC2023" w:rsidP="00DC2023">
      <w:pPr>
        <w:autoSpaceDE w:val="0"/>
        <w:autoSpaceDN w:val="0"/>
        <w:spacing w:after="0" w:line="240" w:lineRule="auto"/>
        <w:ind w:firstLine="0"/>
        <w:rPr>
          <w:szCs w:val="24"/>
        </w:rPr>
      </w:pPr>
      <w:r w:rsidRPr="00DC2023">
        <w:rPr>
          <w:szCs w:val="24"/>
        </w:rPr>
        <w:tab/>
      </w:r>
      <w:r w:rsidRPr="00DC2023">
        <w:rPr>
          <w:szCs w:val="24"/>
        </w:rPr>
        <w:tab/>
      </w:r>
      <w:r w:rsidRPr="00DC2023">
        <w:rPr>
          <w:szCs w:val="24"/>
        </w:rPr>
        <w:tab/>
      </w:r>
      <w:r w:rsidRPr="00DC2023">
        <w:rPr>
          <w:szCs w:val="24"/>
        </w:rPr>
        <w:tab/>
      </w:r>
      <w:r w:rsidRPr="00DC2023">
        <w:rPr>
          <w:szCs w:val="24"/>
        </w:rPr>
        <w:tab/>
      </w:r>
      <w:r w:rsidRPr="00DC2023">
        <w:rPr>
          <w:szCs w:val="24"/>
        </w:rPr>
        <w:tab/>
      </w:r>
      <w:r w:rsidRPr="00DC2023">
        <w:rPr>
          <w:szCs w:val="24"/>
        </w:rPr>
        <w:tab/>
      </w:r>
    </w:p>
    <w:p w:rsidR="00DC2023" w:rsidRPr="00DC2023" w:rsidRDefault="00DC2023" w:rsidP="00DC2023">
      <w:pPr>
        <w:autoSpaceDE w:val="0"/>
        <w:autoSpaceDN w:val="0"/>
        <w:spacing w:after="0" w:line="240" w:lineRule="auto"/>
        <w:ind w:firstLine="0"/>
        <w:rPr>
          <w:szCs w:val="24"/>
        </w:rPr>
      </w:pPr>
      <w:r w:rsidRPr="00DC2023">
        <w:rPr>
          <w:szCs w:val="24"/>
        </w:rPr>
        <w:tab/>
      </w:r>
      <w:r w:rsidRPr="00DC2023">
        <w:rPr>
          <w:szCs w:val="24"/>
        </w:rPr>
        <w:tab/>
      </w:r>
      <w:r w:rsidRPr="00DC2023">
        <w:rPr>
          <w:szCs w:val="24"/>
        </w:rPr>
        <w:tab/>
      </w:r>
    </w:p>
    <w:p w:rsidR="00DC2023" w:rsidRPr="00DC2023" w:rsidRDefault="00DC2023" w:rsidP="00DC2023">
      <w:pPr>
        <w:autoSpaceDE w:val="0"/>
        <w:autoSpaceDN w:val="0"/>
        <w:spacing w:after="0" w:line="240" w:lineRule="auto"/>
        <w:ind w:firstLine="0"/>
        <w:rPr>
          <w:spacing w:val="-3"/>
          <w:szCs w:val="24"/>
        </w:rPr>
      </w:pPr>
      <w:r w:rsidRPr="00DC2023">
        <w:rPr>
          <w:szCs w:val="24"/>
        </w:rPr>
        <w:tab/>
      </w:r>
      <w:r w:rsidRPr="00DC2023">
        <w:rPr>
          <w:szCs w:val="24"/>
        </w:rPr>
        <w:tab/>
      </w:r>
      <w:r w:rsidRPr="00DC2023">
        <w:rPr>
          <w:szCs w:val="24"/>
        </w:rPr>
        <w:tab/>
      </w:r>
    </w:p>
    <w:p w:rsidR="00156803" w:rsidRPr="002C242A" w:rsidRDefault="00156803" w:rsidP="002C242A">
      <w:pPr>
        <w:spacing w:after="0" w:line="240" w:lineRule="auto"/>
        <w:ind w:firstLine="0"/>
        <w:jc w:val="center"/>
        <w:rPr>
          <w:b/>
          <w:u w:val="single"/>
        </w:rPr>
      </w:pPr>
      <w:r w:rsidRPr="002C242A">
        <w:rPr>
          <w:b/>
          <w:u w:val="single"/>
        </w:rPr>
        <w:t>INITIAL DECISION</w:t>
      </w:r>
    </w:p>
    <w:p w:rsidR="002C242A" w:rsidRDefault="002C242A" w:rsidP="002C242A">
      <w:pPr>
        <w:spacing w:after="0" w:line="240" w:lineRule="auto"/>
        <w:ind w:firstLine="0"/>
        <w:jc w:val="center"/>
      </w:pPr>
    </w:p>
    <w:p w:rsidR="00DC2023" w:rsidRDefault="00DC2023" w:rsidP="002C242A">
      <w:pPr>
        <w:spacing w:after="0" w:line="240" w:lineRule="auto"/>
        <w:ind w:firstLine="0"/>
        <w:jc w:val="center"/>
      </w:pPr>
    </w:p>
    <w:p w:rsidR="00156803" w:rsidRDefault="00156803" w:rsidP="002C242A">
      <w:pPr>
        <w:spacing w:after="0" w:line="240" w:lineRule="auto"/>
        <w:ind w:firstLine="0"/>
        <w:jc w:val="center"/>
      </w:pPr>
      <w:r>
        <w:t>Before</w:t>
      </w:r>
    </w:p>
    <w:p w:rsidR="00156803" w:rsidRDefault="00156803" w:rsidP="002C242A">
      <w:pPr>
        <w:spacing w:after="0" w:line="240" w:lineRule="auto"/>
        <w:ind w:firstLine="0"/>
        <w:jc w:val="center"/>
      </w:pPr>
      <w:r>
        <w:t>Conrad A. Johnson</w:t>
      </w:r>
    </w:p>
    <w:p w:rsidR="00156803" w:rsidRDefault="00156803" w:rsidP="002C242A">
      <w:pPr>
        <w:spacing w:after="0" w:line="240" w:lineRule="auto"/>
        <w:ind w:firstLine="0"/>
        <w:jc w:val="center"/>
      </w:pPr>
      <w:r>
        <w:t>Administrative Law Judge</w:t>
      </w:r>
    </w:p>
    <w:p w:rsidR="00156803" w:rsidRDefault="00156803" w:rsidP="00DC2023">
      <w:pPr>
        <w:spacing w:after="0"/>
        <w:ind w:firstLine="0"/>
      </w:pPr>
    </w:p>
    <w:p w:rsidR="00156803" w:rsidRDefault="00156803" w:rsidP="00DC2023">
      <w:pPr>
        <w:spacing w:after="0"/>
      </w:pPr>
      <w:r>
        <w:t xml:space="preserve">This decision sustains the preliminary objections of Philadelphia Gas Works and dismisses the complaint of landlords who </w:t>
      </w:r>
      <w:r w:rsidR="002C242A">
        <w:t>alleged</w:t>
      </w:r>
      <w:r>
        <w:t xml:space="preserve"> that the utility had filed a lien against their property due to an unpaid balance accrued by former tenants and had failed to inform them of the existence of the Landlord Cooperation Program.  The Commission lacks jurisdiction to render judgment on these claims.</w:t>
      </w:r>
    </w:p>
    <w:p w:rsidR="00DC2023" w:rsidRDefault="00DC2023" w:rsidP="00DC2023">
      <w:pPr>
        <w:spacing w:after="0"/>
      </w:pPr>
    </w:p>
    <w:p w:rsidR="00156803" w:rsidRDefault="00156803" w:rsidP="00DC2023">
      <w:pPr>
        <w:spacing w:after="0"/>
        <w:ind w:firstLine="0"/>
        <w:jc w:val="center"/>
        <w:rPr>
          <w:u w:val="single"/>
        </w:rPr>
      </w:pPr>
      <w:r w:rsidRPr="00AB1355">
        <w:rPr>
          <w:u w:val="single"/>
        </w:rPr>
        <w:t>HISTORY OF THE PROCEEDINGS</w:t>
      </w:r>
    </w:p>
    <w:p w:rsidR="00DC2023" w:rsidRPr="00AB1355" w:rsidRDefault="00DC2023" w:rsidP="00DC2023">
      <w:pPr>
        <w:spacing w:after="0"/>
        <w:ind w:firstLine="0"/>
        <w:jc w:val="center"/>
        <w:rPr>
          <w:u w:val="single"/>
        </w:rPr>
      </w:pPr>
    </w:p>
    <w:p w:rsidR="00156803" w:rsidRDefault="00156803" w:rsidP="00DC2023">
      <w:pPr>
        <w:spacing w:after="0"/>
      </w:pPr>
      <w:r>
        <w:t xml:space="preserve">On April 28, 2011, John </w:t>
      </w:r>
      <w:r w:rsidR="00D9698C">
        <w:t xml:space="preserve">F. </w:t>
      </w:r>
      <w:r>
        <w:t xml:space="preserve">and Joanne </w:t>
      </w:r>
      <w:r w:rsidR="00D9698C">
        <w:t xml:space="preserve">M. </w:t>
      </w:r>
      <w:r>
        <w:t xml:space="preserve">McVey (Complainants) filed a formal complaint against Philadelphia Gas Works (PGW) which challenged a lien that PGW had placed on their property in the amount of an unpaid balance owed by former tenants of the property. </w:t>
      </w:r>
      <w:r w:rsidR="00AB1355">
        <w:t xml:space="preserve">This lien was discovered when </w:t>
      </w:r>
      <w:r w:rsidR="00DE3DB3">
        <w:t>Complainants</w:t>
      </w:r>
      <w:r w:rsidR="00AB1355">
        <w:t xml:space="preserve"> sold the property</w:t>
      </w:r>
      <w:r w:rsidR="002C242A">
        <w:t xml:space="preserve"> and they were required to settle the l</w:t>
      </w:r>
      <w:r w:rsidR="0001137E">
        <w:t>ie</w:t>
      </w:r>
      <w:r w:rsidR="002C242A">
        <w:t>n in or</w:t>
      </w:r>
      <w:r w:rsidR="00475ECA">
        <w:t>der</w:t>
      </w:r>
      <w:r w:rsidR="002C242A">
        <w:t xml:space="preserve"> to complete the sale of the property</w:t>
      </w:r>
      <w:r w:rsidR="00AB1355">
        <w:t xml:space="preserve">.  </w:t>
      </w:r>
      <w:r w:rsidR="00DE3DB3">
        <w:t>Complainants</w:t>
      </w:r>
      <w:r w:rsidR="00AB1355">
        <w:t xml:space="preserve"> admit</w:t>
      </w:r>
      <w:r w:rsidR="00475ECA">
        <w:t>ted</w:t>
      </w:r>
      <w:r w:rsidR="00BF6261">
        <w:t xml:space="preserve"> </w:t>
      </w:r>
      <w:r w:rsidR="00AB1355">
        <w:t xml:space="preserve">that as owners of the property, they were responsible for the outstanding balance. </w:t>
      </w:r>
      <w:r w:rsidR="00BF6261">
        <w:t xml:space="preserve"> </w:t>
      </w:r>
      <w:r w:rsidR="00DE3DB3">
        <w:t>Complainants</w:t>
      </w:r>
      <w:r>
        <w:t xml:space="preserve"> complained that PGW had not provided them with information about PGW’s Landlord Cooperation Program</w:t>
      </w:r>
      <w:r w:rsidR="00AB1355">
        <w:t xml:space="preserve"> (LCP)</w:t>
      </w:r>
      <w:r>
        <w:t xml:space="preserve"> which</w:t>
      </w:r>
      <w:r w:rsidR="00AB1355">
        <w:t>,</w:t>
      </w:r>
      <w:r>
        <w:t xml:space="preserve"> </w:t>
      </w:r>
      <w:r w:rsidR="00DE3DB3">
        <w:t>Complainants</w:t>
      </w:r>
      <w:r>
        <w:t xml:space="preserve"> believe</w:t>
      </w:r>
      <w:r w:rsidR="00AB1355">
        <w:t>,</w:t>
      </w:r>
      <w:r>
        <w:t xml:space="preserve"> would have </w:t>
      </w:r>
      <w:r w:rsidR="00852553">
        <w:t>prevented their liability.</w:t>
      </w:r>
      <w:r w:rsidR="002C242A">
        <w:t xml:space="preserve"> </w:t>
      </w:r>
      <w:r w:rsidR="0001137E">
        <w:t xml:space="preserve"> </w:t>
      </w:r>
      <w:r w:rsidR="002C242A">
        <w:t xml:space="preserve">They complain that </w:t>
      </w:r>
      <w:r w:rsidR="002C242A">
        <w:lastRenderedPageBreak/>
        <w:t xml:space="preserve">they were never notified that this balance had been placed in their name.  </w:t>
      </w:r>
      <w:r w:rsidR="00852553">
        <w:t>As relief, they seek reimbursement of $1,840.55.</w:t>
      </w:r>
    </w:p>
    <w:p w:rsidR="00DC2023" w:rsidRDefault="00DC2023" w:rsidP="00DC2023">
      <w:pPr>
        <w:spacing w:after="0"/>
      </w:pPr>
    </w:p>
    <w:p w:rsidR="002E42C9" w:rsidRDefault="002E42C9" w:rsidP="0001137E">
      <w:pPr>
        <w:spacing w:after="0"/>
      </w:pPr>
      <w:r>
        <w:t>PGW filed an answer and preliminary objections on May 27, 2011.</w:t>
      </w:r>
      <w:r w:rsidR="007C063B">
        <w:t xml:space="preserve">  In its answer, PGW admits that it filed a lien on the property for the past due balance in the amount of $1,840.55.  PGW further admitted that </w:t>
      </w:r>
      <w:r w:rsidR="00DE3DB3">
        <w:t>Complainants</w:t>
      </w:r>
      <w:r w:rsidR="007C063B">
        <w:t xml:space="preserve"> were not registered in its LCP Program, but alleged that it did not have sufficient information to determine whether </w:t>
      </w:r>
      <w:r w:rsidR="00DE3DB3">
        <w:t>Complainants</w:t>
      </w:r>
      <w:r w:rsidR="007C063B">
        <w:t xml:space="preserve"> were ever notified of PGW’s LCP Program.</w:t>
      </w:r>
      <w:r w:rsidR="00817D45">
        <w:t xml:space="preserve"> The basis for PGW’s preliminary objection is that the Commission lacks jurisdiction over the matters </w:t>
      </w:r>
      <w:r w:rsidR="00475ECA">
        <w:t>set forth</w:t>
      </w:r>
      <w:r w:rsidR="00817D45">
        <w:t xml:space="preserve"> in the complaint</w:t>
      </w:r>
      <w:r w:rsidR="00475ECA">
        <w:t xml:space="preserve">. </w:t>
      </w:r>
      <w:r w:rsidR="00DE3DB3">
        <w:t xml:space="preserve"> </w:t>
      </w:r>
      <w:r w:rsidR="00475ECA">
        <w:t>Accordingly</w:t>
      </w:r>
      <w:r w:rsidR="00DE3DB3">
        <w:t>,</w:t>
      </w:r>
      <w:r w:rsidR="00475ECA">
        <w:t xml:space="preserve"> PGW</w:t>
      </w:r>
      <w:r w:rsidR="00817D45">
        <w:t xml:space="preserve"> seeks dismissal of the complaint</w:t>
      </w:r>
      <w:r w:rsidR="002C242A">
        <w:t>.</w:t>
      </w:r>
      <w:r w:rsidR="00817D45">
        <w:t xml:space="preserve">  By letter dated June 28, 2011, Complainants answered the preliminary objections and stated that their complaint should not be dismissed because PGW never addressed their position that they were licensed landlords and yet were never notified of the LCP and that PGW never notified them that the PGW account with the past due balances had been placed in their name.</w:t>
      </w:r>
    </w:p>
    <w:p w:rsidR="00DC2023" w:rsidRDefault="00DC2023" w:rsidP="0001137E">
      <w:pPr>
        <w:spacing w:after="0"/>
      </w:pPr>
    </w:p>
    <w:p w:rsidR="00AB1355" w:rsidRDefault="00AB1355" w:rsidP="0001137E">
      <w:pPr>
        <w:spacing w:after="0"/>
        <w:ind w:firstLine="0"/>
        <w:jc w:val="center"/>
        <w:rPr>
          <w:u w:val="single"/>
        </w:rPr>
      </w:pPr>
      <w:r w:rsidRPr="00AB1355">
        <w:rPr>
          <w:u w:val="single"/>
        </w:rPr>
        <w:t>DISCUSSION</w:t>
      </w:r>
    </w:p>
    <w:p w:rsidR="00DC2023" w:rsidRPr="00AB1355" w:rsidRDefault="00DC2023" w:rsidP="0001137E">
      <w:pPr>
        <w:spacing w:after="0"/>
        <w:ind w:firstLine="0"/>
        <w:jc w:val="center"/>
        <w:rPr>
          <w:u w:val="single"/>
        </w:rPr>
      </w:pPr>
    </w:p>
    <w:p w:rsidR="00AB1355" w:rsidRDefault="00AB1355" w:rsidP="0001137E">
      <w:pPr>
        <w:spacing w:after="0"/>
      </w:pPr>
      <w:r>
        <w:t>The Commission’s Rules of Administrative Practice and Procedur</w:t>
      </w:r>
      <w:r w:rsidR="006B2652">
        <w:t>e, 52 Pa.</w:t>
      </w:r>
      <w:r>
        <w:t>Code Chapters 1, 3 and 5, provide for the filing of Preliminary Objections.  52</w:t>
      </w:r>
      <w:r w:rsidR="006B2652">
        <w:t xml:space="preserve"> Pa.</w:t>
      </w:r>
      <w:r w:rsidR="00134058">
        <w:t>Code § 5.101.  Commission preliminary o</w:t>
      </w:r>
      <w:r>
        <w:t xml:space="preserve">bjection practice is comparable to Pennsylvania civil practice respecting the filing of preliminary objections.  </w:t>
      </w:r>
      <w:r w:rsidRPr="00134058">
        <w:rPr>
          <w:i/>
        </w:rPr>
        <w:t>Equitable Small Transportation Intervenors v. Equitable Gas Company</w:t>
      </w:r>
      <w:r>
        <w:t xml:space="preserve">, </w:t>
      </w:r>
      <w:r w:rsidR="006B2652">
        <w:t>PUC</w:t>
      </w:r>
      <w:r>
        <w:t xml:space="preserve"> Docket No. C-00935435 (</w:t>
      </w:r>
      <w:r w:rsidR="006B2652">
        <w:t xml:space="preserve">Final Order </w:t>
      </w:r>
      <w:r>
        <w:t>July 18, 1994) (</w:t>
      </w:r>
      <w:r w:rsidRPr="006B2652">
        <w:rPr>
          <w:i/>
        </w:rPr>
        <w:t>Equitable</w:t>
      </w:r>
      <w:r>
        <w:t xml:space="preserve">).  PGW averred in its Preliminary Objection that the Commission does not have jurisdiction over the imposition of municipal liens or PGW’s LCP and therefore </w:t>
      </w:r>
      <w:r w:rsidR="00DE3DB3">
        <w:t>Complainants</w:t>
      </w:r>
      <w:r w:rsidR="00475ECA">
        <w:t>’</w:t>
      </w:r>
      <w:r w:rsidR="00134058">
        <w:t xml:space="preserve"> formal c</w:t>
      </w:r>
      <w:r>
        <w:t>omplaint should be dismissed.</w:t>
      </w:r>
    </w:p>
    <w:p w:rsidR="00DC2023" w:rsidRDefault="00DC2023" w:rsidP="00DC2023">
      <w:pPr>
        <w:spacing w:after="0"/>
      </w:pPr>
    </w:p>
    <w:p w:rsidR="00AB1355" w:rsidRDefault="00AB1355" w:rsidP="00DC2023">
      <w:pPr>
        <w:spacing w:after="0"/>
      </w:pPr>
      <w:r>
        <w:t>Th</w:t>
      </w:r>
      <w:r w:rsidR="00134058">
        <w:t>e Commission’s Rules regarding preliminary o</w:t>
      </w:r>
      <w:r>
        <w:t>bjections provide, in relevant part:</w:t>
      </w:r>
    </w:p>
    <w:p w:rsidR="0001137E" w:rsidRDefault="0001137E" w:rsidP="00DC2023">
      <w:pPr>
        <w:spacing w:after="0" w:line="240" w:lineRule="auto"/>
        <w:ind w:left="1440" w:right="1440" w:firstLine="0"/>
      </w:pPr>
    </w:p>
    <w:p w:rsidR="00AB1355" w:rsidRDefault="00AB1355" w:rsidP="00DC2023">
      <w:pPr>
        <w:spacing w:after="0" w:line="240" w:lineRule="auto"/>
        <w:ind w:left="1440" w:right="1440" w:firstLine="0"/>
      </w:pPr>
      <w:r>
        <w:t>(a)</w:t>
      </w:r>
      <w:r>
        <w:tab/>
        <w:t xml:space="preserve">Grounds. </w:t>
      </w:r>
      <w:r w:rsidR="0001137E">
        <w:t xml:space="preserve"> </w:t>
      </w:r>
      <w:r>
        <w:t xml:space="preserve">Preliminary objections are available to parties and may be filed in response to a pleading except motions and prior preliminary objections.  Preliminary objections must be </w:t>
      </w:r>
      <w:r>
        <w:lastRenderedPageBreak/>
        <w:t>accompanied by a notice to plead, must state specifically the legal and factual grounds relied upon and be limited to the following:</w:t>
      </w:r>
    </w:p>
    <w:p w:rsidR="00AB1355" w:rsidRDefault="00AB1355" w:rsidP="00DC2023">
      <w:pPr>
        <w:spacing w:after="0" w:line="240" w:lineRule="auto"/>
        <w:ind w:left="1440" w:right="1440" w:firstLine="0"/>
      </w:pPr>
    </w:p>
    <w:p w:rsidR="00AB1355" w:rsidRDefault="00AB1355" w:rsidP="00DC2023">
      <w:pPr>
        <w:spacing w:after="0" w:line="240" w:lineRule="auto"/>
        <w:ind w:left="1440" w:right="1440" w:firstLine="0"/>
      </w:pPr>
      <w:r>
        <w:t>(1)</w:t>
      </w:r>
      <w:r>
        <w:tab/>
        <w:t>Lack of Commission jurisdiction or improper service of the pleading initiating the proceeding.</w:t>
      </w:r>
    </w:p>
    <w:p w:rsidR="00DC2023" w:rsidRDefault="00DC2023" w:rsidP="00DC2023">
      <w:pPr>
        <w:spacing w:after="0" w:line="240" w:lineRule="auto"/>
        <w:ind w:left="1440" w:right="1440" w:firstLine="0"/>
      </w:pPr>
    </w:p>
    <w:p w:rsidR="00AB1355" w:rsidRDefault="00AB1355" w:rsidP="00DC2023">
      <w:pPr>
        <w:spacing w:after="0" w:line="240" w:lineRule="auto"/>
        <w:ind w:left="1440" w:right="1440" w:firstLine="0"/>
      </w:pPr>
      <w:r>
        <w:t>(2)</w:t>
      </w:r>
      <w:r>
        <w:tab/>
        <w:t>Failure of a pleading to conform to this chapter or the inclusion of scandalous or impertinent matter.</w:t>
      </w:r>
    </w:p>
    <w:p w:rsidR="00DC2023" w:rsidRDefault="00DC2023" w:rsidP="00DC2023">
      <w:pPr>
        <w:spacing w:after="0" w:line="240" w:lineRule="auto"/>
        <w:ind w:left="1440" w:right="1440" w:firstLine="0"/>
      </w:pPr>
    </w:p>
    <w:p w:rsidR="00AB1355" w:rsidRDefault="00AB1355" w:rsidP="00DC2023">
      <w:pPr>
        <w:spacing w:after="0" w:line="240" w:lineRule="auto"/>
        <w:ind w:left="1440" w:right="1440" w:firstLine="0"/>
      </w:pPr>
      <w:r>
        <w:t>(3)</w:t>
      </w:r>
      <w:r>
        <w:tab/>
        <w:t>Insufficient specificity of a pleading.</w:t>
      </w:r>
    </w:p>
    <w:p w:rsidR="00DC2023" w:rsidRDefault="00DC2023" w:rsidP="00DC2023">
      <w:pPr>
        <w:spacing w:after="0" w:line="240" w:lineRule="auto"/>
        <w:ind w:left="1440" w:right="1440" w:firstLine="0"/>
      </w:pPr>
    </w:p>
    <w:p w:rsidR="00AB1355" w:rsidRDefault="00AB1355" w:rsidP="00DC2023">
      <w:pPr>
        <w:spacing w:after="0" w:line="240" w:lineRule="auto"/>
        <w:ind w:left="1440" w:right="1440" w:firstLine="0"/>
      </w:pPr>
      <w:r>
        <w:t>(4)</w:t>
      </w:r>
      <w:r>
        <w:tab/>
        <w:t>Legal insufficiency of a pleading.</w:t>
      </w:r>
    </w:p>
    <w:p w:rsidR="00DC2023" w:rsidRDefault="00DC2023" w:rsidP="00DC2023">
      <w:pPr>
        <w:spacing w:after="0" w:line="240" w:lineRule="auto"/>
        <w:ind w:left="1440" w:right="1440" w:firstLine="0"/>
      </w:pPr>
    </w:p>
    <w:p w:rsidR="00AB1355" w:rsidRDefault="00AB1355" w:rsidP="00DC2023">
      <w:pPr>
        <w:spacing w:after="0" w:line="240" w:lineRule="auto"/>
        <w:ind w:left="1440" w:right="1440" w:firstLine="0"/>
      </w:pPr>
      <w:r>
        <w:t>(5)</w:t>
      </w:r>
      <w:r>
        <w:tab/>
        <w:t>Lack of capacity to sue, nonjoinder of a necessary party or misjoinder of a cause of action.</w:t>
      </w:r>
    </w:p>
    <w:p w:rsidR="00DC2023" w:rsidRDefault="00DC2023" w:rsidP="00DC2023">
      <w:pPr>
        <w:spacing w:after="0" w:line="240" w:lineRule="auto"/>
        <w:ind w:left="1440" w:right="1440" w:firstLine="0"/>
      </w:pPr>
    </w:p>
    <w:p w:rsidR="00AB1355" w:rsidRDefault="00AB1355" w:rsidP="00DC2023">
      <w:pPr>
        <w:spacing w:after="0" w:line="240" w:lineRule="auto"/>
        <w:ind w:left="1440" w:right="1440" w:firstLine="0"/>
      </w:pPr>
      <w:r>
        <w:t>(6)</w:t>
      </w:r>
      <w:r>
        <w:tab/>
        <w:t>Pendency of a prior proceeding or agreement for alternative dispute resolution.</w:t>
      </w:r>
    </w:p>
    <w:p w:rsidR="00DC2023" w:rsidRDefault="00DC2023" w:rsidP="00DC2023">
      <w:pPr>
        <w:spacing w:after="0"/>
        <w:ind w:firstLine="0"/>
      </w:pPr>
    </w:p>
    <w:p w:rsidR="00AB1355" w:rsidRDefault="006B2652" w:rsidP="00DC2023">
      <w:pPr>
        <w:spacing w:after="0"/>
        <w:ind w:firstLine="0"/>
      </w:pPr>
      <w:r>
        <w:t>52 Pa.</w:t>
      </w:r>
      <w:r w:rsidR="00AB1355">
        <w:t>Code § 5.101(a)(1)-(6).</w:t>
      </w:r>
    </w:p>
    <w:p w:rsidR="00DC2023" w:rsidRDefault="00DC2023" w:rsidP="00DC2023">
      <w:pPr>
        <w:spacing w:after="0"/>
        <w:ind w:firstLine="0"/>
      </w:pPr>
    </w:p>
    <w:p w:rsidR="00AB1355" w:rsidRDefault="00AB1355" w:rsidP="00DC2023">
      <w:pPr>
        <w:spacing w:after="0"/>
      </w:pPr>
      <w:r>
        <w:t xml:space="preserve">For purposes of disposing of </w:t>
      </w:r>
      <w:r w:rsidR="00134058">
        <w:t>preliminary o</w:t>
      </w:r>
      <w:r>
        <w:t xml:space="preserve">bjections, the Commission must accept as true all well pleaded, material facts of the nonmoving party, as well as every reasonable inference from those facts.  </w:t>
      </w:r>
      <w:r w:rsidRPr="00134058">
        <w:rPr>
          <w:i/>
        </w:rPr>
        <w:t>County of Allegheny v. Commonwealth of Pennsylvania</w:t>
      </w:r>
      <w:r>
        <w:t xml:space="preserve">, 490 A.2d 402 (Pa. 1985); </w:t>
      </w:r>
      <w:r w:rsidRPr="00134058">
        <w:rPr>
          <w:i/>
        </w:rPr>
        <w:t>Commonwealth of Pennsylvania v. Bell of P</w:t>
      </w:r>
      <w:r w:rsidR="00DE3DB3">
        <w:rPr>
          <w:i/>
        </w:rPr>
        <w:t>ennsylvania</w:t>
      </w:r>
      <w:r>
        <w:t>, 551 A.2d 602 (Pa.Cmwlth. 1988).</w:t>
      </w:r>
      <w:r w:rsidR="00134058">
        <w:t xml:space="preserve">  The Commission must view the c</w:t>
      </w:r>
      <w:r>
        <w:t xml:space="preserve">omplaint in this case in the light most favorable to </w:t>
      </w:r>
      <w:r w:rsidR="00DE3DB3">
        <w:t>Complainants</w:t>
      </w:r>
      <w:r w:rsidR="00134058">
        <w:t xml:space="preserve"> and should dismiss the c</w:t>
      </w:r>
      <w:r>
        <w:t xml:space="preserve">omplaint only if it appears that </w:t>
      </w:r>
      <w:r w:rsidR="00DE3DB3">
        <w:t>Complainants</w:t>
      </w:r>
      <w:r>
        <w:t xml:space="preserve"> would not be entitled to relief under any circumstances as a matter of law.  </w:t>
      </w:r>
      <w:r w:rsidRPr="00134058">
        <w:rPr>
          <w:i/>
        </w:rPr>
        <w:t>Equitable, supra</w:t>
      </w:r>
      <w:r>
        <w:t xml:space="preserve">; </w:t>
      </w:r>
      <w:r w:rsidRPr="00CA2FC8">
        <w:rPr>
          <w:i/>
        </w:rPr>
        <w:t>see also</w:t>
      </w:r>
      <w:r>
        <w:t xml:space="preserve"> </w:t>
      </w:r>
      <w:r w:rsidRPr="00134058">
        <w:rPr>
          <w:i/>
        </w:rPr>
        <w:t>Interstate Traveler Services, Inc. v. Commonwealth, Department of Environmental Resources</w:t>
      </w:r>
      <w:r>
        <w:t>, 406 A.2d 1020 (Pa. 1979).</w:t>
      </w:r>
    </w:p>
    <w:p w:rsidR="00DC2023" w:rsidRDefault="00DC2023" w:rsidP="00DC2023">
      <w:pPr>
        <w:spacing w:after="0"/>
      </w:pPr>
    </w:p>
    <w:p w:rsidR="00200AEF" w:rsidRDefault="00200AEF" w:rsidP="00DC2023">
      <w:pPr>
        <w:spacing w:after="0"/>
      </w:pPr>
      <w:r>
        <w:t xml:space="preserve">PGW argued in its preliminary objections that </w:t>
      </w:r>
      <w:r w:rsidR="00DE3DB3">
        <w:t>Complainants</w:t>
      </w:r>
      <w:r>
        <w:t>’ request for relief is impertinent matter and should be stricken from the complaint because the Commission is without jurisdiction to decide matters involving the imposition of municipal liens.  Specifically, it had a statutory right to collect the debt through the imposition of the lien.</w:t>
      </w:r>
    </w:p>
    <w:p w:rsidR="00DC2023" w:rsidRDefault="00DC2023" w:rsidP="00DC2023">
      <w:pPr>
        <w:spacing w:after="0"/>
      </w:pPr>
    </w:p>
    <w:p w:rsidR="00200AEF" w:rsidRDefault="00200AEF" w:rsidP="00DC2023">
      <w:pPr>
        <w:spacing w:after="0"/>
      </w:pPr>
      <w:r>
        <w:lastRenderedPageBreak/>
        <w:t xml:space="preserve">The Commission, as a creation of the General Assembly, has only the powers and authority granted to it by the General Assembly contained in the Public Utility Code.  </w:t>
      </w:r>
      <w:r w:rsidRPr="00CA2FC8">
        <w:rPr>
          <w:i/>
        </w:rPr>
        <w:t xml:space="preserve">Feingold v. Bell </w:t>
      </w:r>
      <w:r w:rsidR="00DE3DB3">
        <w:rPr>
          <w:i/>
        </w:rPr>
        <w:t>of Pennsylvania</w:t>
      </w:r>
      <w:r w:rsidRPr="00CA2FC8">
        <w:rPr>
          <w:i/>
        </w:rPr>
        <w:t>,</w:t>
      </w:r>
      <w:r>
        <w:t xml:space="preserve"> 383 A.2d 791 (Pa. 1977).  The Commission must act within, and cannot exceed, its jurisdiction.</w:t>
      </w:r>
      <w:r w:rsidR="00CA2FC8">
        <w:t xml:space="preserve">  </w:t>
      </w:r>
      <w:r w:rsidRPr="00CA2FC8">
        <w:rPr>
          <w:i/>
        </w:rPr>
        <w:t>City of Pittsburgh v. Pa</w:t>
      </w:r>
      <w:r w:rsidR="00DE3DB3">
        <w:rPr>
          <w:i/>
        </w:rPr>
        <w:t>.</w:t>
      </w:r>
      <w:r w:rsidRPr="00CA2FC8">
        <w:rPr>
          <w:i/>
        </w:rPr>
        <w:t xml:space="preserve"> Pub. Util. Comm’n</w:t>
      </w:r>
      <w:r w:rsidR="00DE3DB3">
        <w:t>, 43 A.2d 348 (Pa.</w:t>
      </w:r>
      <w:r>
        <w:t>Super. 1945)</w:t>
      </w:r>
      <w:r w:rsidR="00CA2FC8">
        <w:t xml:space="preserve">; </w:t>
      </w:r>
      <w:r w:rsidR="00CA2FC8" w:rsidRPr="006B2652">
        <w:rPr>
          <w:i/>
        </w:rPr>
        <w:t>See also</w:t>
      </w:r>
      <w:r w:rsidR="00CA2FC8">
        <w:rPr>
          <w:rFonts w:ascii="Verdana" w:hAnsi="Verdana"/>
          <w:i/>
          <w:iCs/>
          <w:color w:val="333333"/>
          <w:sz w:val="20"/>
        </w:rPr>
        <w:t xml:space="preserve"> </w:t>
      </w:r>
      <w:hyperlink r:id="rId9" w:history="1">
        <w:r w:rsidR="00CA2FC8">
          <w:rPr>
            <w:rStyle w:val="Hyperlink"/>
            <w:i/>
            <w:iCs/>
            <w:color w:val="auto"/>
          </w:rPr>
          <w:t>Department of Environmental Resources</w:t>
        </w:r>
        <w:r w:rsidR="00CA2FC8" w:rsidRPr="00624D45">
          <w:rPr>
            <w:rStyle w:val="Hyperlink"/>
            <w:i/>
            <w:iCs/>
            <w:color w:val="auto"/>
          </w:rPr>
          <w:t xml:space="preserve"> v. Butler County</w:t>
        </w:r>
        <w:r w:rsidR="00CA2FC8">
          <w:rPr>
            <w:rStyle w:val="Hyperlink"/>
            <w:i/>
            <w:iCs/>
            <w:color w:val="auto"/>
          </w:rPr>
          <w:t xml:space="preserve"> Mushroom</w:t>
        </w:r>
        <w:r w:rsidR="00CA2FC8" w:rsidRPr="00624D45">
          <w:rPr>
            <w:rStyle w:val="Hyperlink"/>
            <w:i/>
            <w:iCs/>
            <w:color w:val="auto"/>
          </w:rPr>
          <w:t xml:space="preserve"> Farm</w:t>
        </w:r>
        <w:r w:rsidR="00CA2FC8" w:rsidRPr="00624D45">
          <w:rPr>
            <w:rStyle w:val="Hyperlink"/>
            <w:color w:val="auto"/>
          </w:rPr>
          <w:t>, 454 A.2d 1, 4 (Pa. 1982)</w:t>
        </w:r>
      </w:hyperlink>
      <w:r w:rsidR="006B2652">
        <w:rPr>
          <w:rStyle w:val="Hyperlink"/>
          <w:color w:val="auto"/>
        </w:rPr>
        <w:t xml:space="preserve">; </w:t>
      </w:r>
      <w:hyperlink r:id="rId10" w:history="1">
        <w:r w:rsidR="00CA2FC8" w:rsidRPr="00624D45">
          <w:rPr>
            <w:rStyle w:val="Hyperlink"/>
            <w:i/>
            <w:iCs/>
            <w:color w:val="auto"/>
          </w:rPr>
          <w:t xml:space="preserve">Pequea Township v. </w:t>
        </w:r>
        <w:r w:rsidR="00CA2FC8">
          <w:rPr>
            <w:rStyle w:val="Hyperlink"/>
            <w:i/>
            <w:iCs/>
            <w:color w:val="auto"/>
          </w:rPr>
          <w:t>Department of Environmental Protection</w:t>
        </w:r>
        <w:r w:rsidR="00CA2FC8" w:rsidRPr="00624D45">
          <w:rPr>
            <w:rStyle w:val="Hyperlink"/>
            <w:color w:val="auto"/>
          </w:rPr>
          <w:t>, 716 A.2d 678,</w:t>
        </w:r>
        <w:r w:rsidR="0001137E">
          <w:rPr>
            <w:rStyle w:val="Hyperlink"/>
            <w:color w:val="auto"/>
          </w:rPr>
          <w:t xml:space="preserve"> 686 (Pa.</w:t>
        </w:r>
        <w:r w:rsidR="00CA2FC8" w:rsidRPr="00624D45">
          <w:rPr>
            <w:rStyle w:val="Hyperlink"/>
            <w:color w:val="auto"/>
          </w:rPr>
          <w:t>Cmwlth. 1998).</w:t>
        </w:r>
      </w:hyperlink>
      <w:r w:rsidR="00CA2FC8">
        <w:t xml:space="preserve">  </w:t>
      </w:r>
      <w:r>
        <w:t xml:space="preserve">Subject matter jurisdiction is a prerequisite to the exercise of power to decide a controversy.  </w:t>
      </w:r>
      <w:r w:rsidRPr="00CA2FC8">
        <w:rPr>
          <w:i/>
        </w:rPr>
        <w:t>Hughes v. Pennsylvania State Police</w:t>
      </w:r>
      <w:r w:rsidR="0001137E">
        <w:t>, 619 A.2d 390 (Pa.</w:t>
      </w:r>
      <w:r>
        <w:t xml:space="preserve">Cmwlth. 1992), </w:t>
      </w:r>
      <w:r w:rsidR="00CA2FC8">
        <w:rPr>
          <w:i/>
        </w:rPr>
        <w:t>petition for allowance of appeal denied</w:t>
      </w:r>
      <w:r>
        <w:t>, 637 A.2d 293 (Pa. 1993).</w:t>
      </w:r>
    </w:p>
    <w:p w:rsidR="00486148" w:rsidRDefault="00486148" w:rsidP="00DC2023">
      <w:pPr>
        <w:spacing w:after="0"/>
      </w:pPr>
    </w:p>
    <w:p w:rsidR="00200AEF" w:rsidRDefault="00200AEF" w:rsidP="00DC2023">
      <w:pPr>
        <w:spacing w:after="0"/>
      </w:pPr>
      <w:r>
        <w:t>PGW is correct that the Commission has recognized its lack of subject matter jurisdiction in cases involving a dispute over a municipal lien placed upon a property</w:t>
      </w:r>
      <w:r w:rsidR="00CA2FC8">
        <w:t xml:space="preserve"> on numerous occa</w:t>
      </w:r>
      <w:r w:rsidR="005C1377">
        <w:t>s</w:t>
      </w:r>
      <w:r w:rsidR="00CA2FC8">
        <w:t>ions</w:t>
      </w:r>
      <w:r>
        <w:t xml:space="preserve">.  </w:t>
      </w:r>
      <w:r w:rsidR="00CA2FC8">
        <w:rPr>
          <w:i/>
        </w:rPr>
        <w:t>E.g., Newman v. Philadelphia Gas Works</w:t>
      </w:r>
      <w:r w:rsidR="00CA2FC8">
        <w:t>, PUC Docket No. C-2011-2273565 (Opinion and Order entered March 29, 2012)</w:t>
      </w:r>
      <w:r w:rsidR="0001137E">
        <w:t xml:space="preserve"> </w:t>
      </w:r>
      <w:r w:rsidR="005C1377">
        <w:t>(</w:t>
      </w:r>
      <w:r w:rsidR="005C1377">
        <w:rPr>
          <w:i/>
        </w:rPr>
        <w:t>Newman</w:t>
      </w:r>
      <w:r w:rsidR="005C1377">
        <w:t>)</w:t>
      </w:r>
      <w:r w:rsidR="00CA2FC8">
        <w:t>;</w:t>
      </w:r>
      <w:r>
        <w:t xml:space="preserve"> </w:t>
      </w:r>
      <w:r w:rsidRPr="00CA2FC8">
        <w:rPr>
          <w:i/>
        </w:rPr>
        <w:t>see also</w:t>
      </w:r>
      <w:r w:rsidR="006B2652">
        <w:t xml:space="preserve"> 66 Pa.</w:t>
      </w:r>
      <w:r>
        <w:t>C.S. §§ 1414(a) and 2212(n).  The Commission may, however, retain jurisdiction if there are underlying issues involved in the Complaint over which the Commission does have jurisdiction</w:t>
      </w:r>
      <w:r w:rsidR="00CA2FC8">
        <w:t xml:space="preserve">. </w:t>
      </w:r>
      <w:r w:rsidR="0001137E">
        <w:t xml:space="preserve"> </w:t>
      </w:r>
      <w:r w:rsidR="006B2652">
        <w:rPr>
          <w:i/>
        </w:rPr>
        <w:t>Newman</w:t>
      </w:r>
      <w:r w:rsidR="00CA2FC8">
        <w:rPr>
          <w:i/>
        </w:rPr>
        <w:t>.</w:t>
      </w:r>
    </w:p>
    <w:p w:rsidR="00486148" w:rsidRDefault="00486148" w:rsidP="00DC2023">
      <w:pPr>
        <w:spacing w:after="0"/>
      </w:pPr>
    </w:p>
    <w:p w:rsidR="00200AEF" w:rsidRDefault="00200AEF" w:rsidP="00DC2023">
      <w:pPr>
        <w:spacing w:after="0"/>
      </w:pPr>
      <w:r>
        <w:t xml:space="preserve">In this case, however, the underlying issue resulting in the imposition of the lien is PGW’s LCP.  Here, the Commission also does not have jurisdiction over </w:t>
      </w:r>
      <w:r w:rsidR="00501B53">
        <w:t xml:space="preserve">the </w:t>
      </w:r>
      <w:r>
        <w:t xml:space="preserve">LCP.  </w:t>
      </w:r>
      <w:r w:rsidRPr="005C1377">
        <w:rPr>
          <w:i/>
        </w:rPr>
        <w:t>Fisher v. Philadelphia Gas Works</w:t>
      </w:r>
      <w:r>
        <w:t xml:space="preserve">, </w:t>
      </w:r>
      <w:r w:rsidR="00E56439">
        <w:t xml:space="preserve">PUC Docket Number F-2010-2215047 </w:t>
      </w:r>
      <w:r>
        <w:t xml:space="preserve">(Final Order entered July 31, 2012) (Fisher).  In </w:t>
      </w:r>
      <w:r w:rsidRPr="00E56439">
        <w:rPr>
          <w:i/>
        </w:rPr>
        <w:t>Fisher</w:t>
      </w:r>
      <w:r>
        <w:t xml:space="preserve">, </w:t>
      </w:r>
      <w:r w:rsidR="00E56439">
        <w:t xml:space="preserve">Administrative Law Judge </w:t>
      </w:r>
      <w:r w:rsidR="005C1377">
        <w:t>Eranda Vero</w:t>
      </w:r>
      <w:r>
        <w:t xml:space="preserve"> noted that “the LCP is essentially a contract for private services</w:t>
      </w:r>
      <w:r w:rsidR="00475ECA">
        <w:t xml:space="preserve">, </w:t>
      </w:r>
      <w:r>
        <w:t>which only supplements the public services provide</w:t>
      </w:r>
      <w:r w:rsidR="0001137E">
        <w:t>d</w:t>
      </w:r>
      <w:r>
        <w:t xml:space="preserve"> by the utility.”  </w:t>
      </w:r>
      <w:r w:rsidRPr="00E56439">
        <w:rPr>
          <w:i/>
        </w:rPr>
        <w:t>Id.</w:t>
      </w:r>
      <w:r>
        <w:t xml:space="preserve"> at 13.  In granting PGW’s </w:t>
      </w:r>
      <w:r w:rsidR="00475ECA">
        <w:t>m</w:t>
      </w:r>
      <w:r>
        <w:t xml:space="preserve">otion to </w:t>
      </w:r>
      <w:r w:rsidR="00475ECA">
        <w:t>d</w:t>
      </w:r>
      <w:r>
        <w:t>ismiss</w:t>
      </w:r>
      <w:r w:rsidR="00475ECA">
        <w:t xml:space="preserve"> </w:t>
      </w:r>
      <w:r>
        <w:t xml:space="preserve">the complaint in that case, </w:t>
      </w:r>
      <w:r w:rsidR="005C1377">
        <w:t>Administrative Law Judge Vero</w:t>
      </w:r>
      <w:r w:rsidR="00E56439">
        <w:t xml:space="preserve"> </w:t>
      </w:r>
      <w:r>
        <w:t>added:</w:t>
      </w:r>
    </w:p>
    <w:p w:rsidR="00486148" w:rsidRDefault="00486148" w:rsidP="00DC2023">
      <w:pPr>
        <w:spacing w:after="0" w:line="240" w:lineRule="auto"/>
        <w:ind w:left="1440" w:right="1440" w:firstLine="0"/>
      </w:pPr>
    </w:p>
    <w:p w:rsidR="00200AEF" w:rsidRDefault="00200AEF" w:rsidP="00DC2023">
      <w:pPr>
        <w:spacing w:after="0" w:line="240" w:lineRule="auto"/>
        <w:ind w:left="1440" w:right="1440" w:firstLine="0"/>
      </w:pPr>
      <w:r>
        <w:t>I agree with PGW that any rights or obligations in connection with the LCP do not arise from the public rights embodied in the Public Utility Code, but from the terms of the private contract between PGW and the Complainant.  Therefore, any alleged breaches of LCP obligations do not involve a law, regulation or order the Commission has jurisdiction to administer.  They constitute private disputes which fall beyond the scope of the Commission’s jurisdiction.</w:t>
      </w:r>
    </w:p>
    <w:p w:rsidR="00200AEF" w:rsidRDefault="00744AC4" w:rsidP="00DC2023">
      <w:pPr>
        <w:spacing w:after="0"/>
        <w:ind w:firstLine="0"/>
      </w:pPr>
      <w:r>
        <w:rPr>
          <w:i/>
        </w:rPr>
        <w:lastRenderedPageBreak/>
        <w:t>I</w:t>
      </w:r>
      <w:r w:rsidR="005C1377" w:rsidRPr="00754A73">
        <w:rPr>
          <w:i/>
        </w:rPr>
        <w:t>d.</w:t>
      </w:r>
      <w:r w:rsidR="005C1377">
        <w:t xml:space="preserve"> at 16-17; see also, </w:t>
      </w:r>
      <w:r w:rsidR="00200AEF" w:rsidRPr="005C1377">
        <w:rPr>
          <w:i/>
        </w:rPr>
        <w:t>Ovrutsky v. Philadelphia Gas Works</w:t>
      </w:r>
      <w:r w:rsidR="00200AEF">
        <w:t xml:space="preserve">, </w:t>
      </w:r>
      <w:r w:rsidR="005C1377">
        <w:t xml:space="preserve">PUC </w:t>
      </w:r>
      <w:r w:rsidR="00200AEF">
        <w:t>Docket Number</w:t>
      </w:r>
      <w:r w:rsidR="005C1377">
        <w:t xml:space="preserve"> C-2012-2321385</w:t>
      </w:r>
      <w:r w:rsidR="00200AEF">
        <w:t xml:space="preserve"> (Final O</w:t>
      </w:r>
      <w:r w:rsidR="005C1377">
        <w:t>rder entered December 19, 2012).</w:t>
      </w:r>
    </w:p>
    <w:p w:rsidR="00486148" w:rsidRDefault="00486148" w:rsidP="00DC2023">
      <w:pPr>
        <w:spacing w:after="0"/>
      </w:pPr>
    </w:p>
    <w:p w:rsidR="008A4B08" w:rsidRDefault="006B2652" w:rsidP="00DC2023">
      <w:pPr>
        <w:spacing w:after="0"/>
      </w:pPr>
      <w:r>
        <w:t xml:space="preserve">Further, the Commission has specifically held that </w:t>
      </w:r>
      <w:r w:rsidR="008A4B08">
        <w:t xml:space="preserve">PGW’s alleged failure to notify </w:t>
      </w:r>
      <w:r>
        <w:t>landlords</w:t>
      </w:r>
      <w:r w:rsidR="008A4B08">
        <w:t xml:space="preserve"> about the LCP is</w:t>
      </w:r>
      <w:r w:rsidR="00200AEF">
        <w:t xml:space="preserve"> beyond the jurisdiction </w:t>
      </w:r>
      <w:r w:rsidR="008A4B08">
        <w:t xml:space="preserve">of the Commission.  </w:t>
      </w:r>
      <w:r w:rsidR="008A4B08">
        <w:rPr>
          <w:i/>
        </w:rPr>
        <w:t>Newman, supra,</w:t>
      </w:r>
      <w:r w:rsidR="008A4B08">
        <w:t xml:space="preserve"> at 9.  Moreover, the notion that had they been notified of the availability of the LCP they could have avoided liability is akin to an argument that damages could have been mitigated.  The Commission has also held that a mitigation defense is a matter to be raised in the appropriate court </w:t>
      </w:r>
      <w:r w:rsidR="00DE3DB3">
        <w:t xml:space="preserve">and </w:t>
      </w:r>
      <w:r w:rsidR="008A4B08">
        <w:t xml:space="preserve">is not a “reasonable service” dispute within the Commission’s jurisdiction. </w:t>
      </w:r>
      <w:r w:rsidR="0001137E">
        <w:t xml:space="preserve"> </w:t>
      </w:r>
      <w:r w:rsidR="008A4B08">
        <w:rPr>
          <w:i/>
        </w:rPr>
        <w:t>Id.</w:t>
      </w:r>
    </w:p>
    <w:p w:rsidR="00486148" w:rsidRDefault="00486148" w:rsidP="00DC2023">
      <w:pPr>
        <w:spacing w:after="0"/>
      </w:pPr>
    </w:p>
    <w:p w:rsidR="006B2652" w:rsidRDefault="006B2652" w:rsidP="00DC2023">
      <w:pPr>
        <w:spacing w:after="0"/>
      </w:pPr>
      <w:r>
        <w:t>In sum, even when viewing the facts of the formal complaint</w:t>
      </w:r>
      <w:r w:rsidR="00200AEF">
        <w:t xml:space="preserve"> in</w:t>
      </w:r>
      <w:r>
        <w:t xml:space="preserve"> the light most favorable to </w:t>
      </w:r>
      <w:r w:rsidR="00DE3DB3">
        <w:t>Complainants</w:t>
      </w:r>
      <w:r w:rsidR="00200AEF">
        <w:t xml:space="preserve"> and accepting as true all well</w:t>
      </w:r>
      <w:r w:rsidR="0001137E">
        <w:t>-</w:t>
      </w:r>
      <w:r w:rsidR="00200AEF">
        <w:t xml:space="preserve">pleaded material facts, as well as every reasonable inference from those facts, it is clear that </w:t>
      </w:r>
      <w:r w:rsidR="00DE3DB3">
        <w:t>Complainants</w:t>
      </w:r>
      <w:r w:rsidR="00200AEF">
        <w:t xml:space="preserve"> would not be entitled to relief under any circumstances as a matter of law.  Although the Commission may have jurisdiction regarding certain matters that have led PGW to impose a municipal lien, it is clear that the Commission does not have jurisdiction over PGW’s LCP, including </w:t>
      </w:r>
      <w:r>
        <w:t>Complainants</w:t>
      </w:r>
      <w:r w:rsidR="00DE3DB3">
        <w:t>’</w:t>
      </w:r>
      <w:r>
        <w:t xml:space="preserve"> knowledge of their eligibility to </w:t>
      </w:r>
      <w:r w:rsidR="00200AEF">
        <w:t xml:space="preserve">enroll in the program.  </w:t>
      </w:r>
      <w:r>
        <w:t xml:space="preserve">Any relief that may be afforded to </w:t>
      </w:r>
      <w:r w:rsidR="00DE3DB3">
        <w:t>Complainants</w:t>
      </w:r>
      <w:r>
        <w:t xml:space="preserve"> must be sought in an appropriate court of common pleas or</w:t>
      </w:r>
      <w:r w:rsidR="00200AEF">
        <w:t xml:space="preserve"> some other court.</w:t>
      </w:r>
    </w:p>
    <w:p w:rsidR="00486148" w:rsidRDefault="00486148" w:rsidP="00DC2023">
      <w:pPr>
        <w:spacing w:after="0"/>
      </w:pPr>
    </w:p>
    <w:p w:rsidR="006B2652" w:rsidRDefault="006B2652" w:rsidP="00DC2023">
      <w:pPr>
        <w:spacing w:after="0"/>
      </w:pPr>
      <w:r>
        <w:t>The Commission may dismiss any complaint without a hearing if, in its opinion, a hearing is not necessary in the public interest.  66 Pa</w:t>
      </w:r>
      <w:r w:rsidR="00501B53">
        <w:t>.</w:t>
      </w:r>
      <w:r>
        <w:t>C.S. § 703(b).  Since the Commission does not have subject</w:t>
      </w:r>
      <w:r w:rsidR="0001137E">
        <w:t xml:space="preserve"> </w:t>
      </w:r>
      <w:r>
        <w:t>matter jurisdiction over Complainants</w:t>
      </w:r>
      <w:r w:rsidR="00DE3DB3">
        <w:t>’</w:t>
      </w:r>
      <w:r>
        <w:t xml:space="preserve"> dispute with PGW, it is appropriate to dismiss the complaint.</w:t>
      </w:r>
    </w:p>
    <w:p w:rsidR="00486148" w:rsidRDefault="00486148" w:rsidP="00DC2023">
      <w:pPr>
        <w:spacing w:after="0"/>
        <w:ind w:firstLine="0"/>
        <w:jc w:val="center"/>
        <w:rPr>
          <w:u w:val="single"/>
        </w:rPr>
      </w:pPr>
    </w:p>
    <w:p w:rsidR="001B65C5" w:rsidRPr="001B65C5" w:rsidRDefault="001B65C5" w:rsidP="00DC2023">
      <w:pPr>
        <w:spacing w:after="0"/>
        <w:ind w:firstLine="0"/>
        <w:jc w:val="center"/>
        <w:rPr>
          <w:u w:val="single"/>
        </w:rPr>
      </w:pPr>
      <w:r w:rsidRPr="001B65C5">
        <w:rPr>
          <w:u w:val="single"/>
        </w:rPr>
        <w:t>CONCLUSIONS OF LAW</w:t>
      </w:r>
    </w:p>
    <w:p w:rsidR="00486148" w:rsidRDefault="00486148" w:rsidP="00DC2023">
      <w:pPr>
        <w:spacing w:after="0"/>
        <w:ind w:firstLine="0"/>
      </w:pPr>
    </w:p>
    <w:p w:rsidR="001B65C5" w:rsidRDefault="001B65C5" w:rsidP="0001137E">
      <w:pPr>
        <w:spacing w:after="0"/>
        <w:ind w:firstLine="720"/>
      </w:pPr>
      <w:r>
        <w:tab/>
        <w:t>1.</w:t>
      </w:r>
      <w:r>
        <w:tab/>
        <w:t>The Commission’s regulations provide for the filing of preliminary objections based upon lack of jurisdiction.  52 Pa.Code § 5.101(a).</w:t>
      </w:r>
    </w:p>
    <w:p w:rsidR="00486148" w:rsidRDefault="00486148" w:rsidP="0001137E">
      <w:pPr>
        <w:spacing w:after="0"/>
        <w:ind w:firstLine="720"/>
      </w:pPr>
    </w:p>
    <w:p w:rsidR="001B65C5" w:rsidRDefault="001B65C5" w:rsidP="0001137E">
      <w:pPr>
        <w:spacing w:after="0"/>
        <w:ind w:firstLine="720"/>
      </w:pPr>
      <w:r>
        <w:lastRenderedPageBreak/>
        <w:tab/>
        <w:t>2.</w:t>
      </w:r>
      <w:r>
        <w:tab/>
        <w:t xml:space="preserve">The Commission has repeatedly recognized its lack of subject matter jurisdiction in numerous cases involving municipal lien disputes.  </w:t>
      </w:r>
      <w:r>
        <w:rPr>
          <w:i/>
        </w:rPr>
        <w:t>E.g., Newman v. Philadelphia Gas Works</w:t>
      </w:r>
      <w:r>
        <w:t>, PUC Docket No. C-2011-2273565 (Opinion and Order entered March 29, 2012).</w:t>
      </w:r>
    </w:p>
    <w:p w:rsidR="00486148" w:rsidRDefault="00486148" w:rsidP="0001137E">
      <w:pPr>
        <w:spacing w:after="0"/>
        <w:ind w:firstLine="720"/>
      </w:pPr>
    </w:p>
    <w:p w:rsidR="001B65C5" w:rsidRDefault="001B65C5" w:rsidP="0001137E">
      <w:pPr>
        <w:spacing w:after="0"/>
        <w:ind w:firstLine="720"/>
      </w:pPr>
      <w:r>
        <w:tab/>
        <w:t>3.</w:t>
      </w:r>
      <w:r>
        <w:tab/>
        <w:t xml:space="preserve">The Commission does not have jurisdiction over private contractual disputes including the administration of PGW’s Landlord Cooperation Program.  </w:t>
      </w:r>
      <w:r>
        <w:rPr>
          <w:i/>
        </w:rPr>
        <w:t>Newman.</w:t>
      </w:r>
    </w:p>
    <w:p w:rsidR="00486148" w:rsidRDefault="00486148" w:rsidP="00DC2023">
      <w:pPr>
        <w:spacing w:after="0"/>
        <w:ind w:firstLine="0"/>
        <w:jc w:val="center"/>
        <w:rPr>
          <w:u w:val="single"/>
        </w:rPr>
      </w:pPr>
    </w:p>
    <w:p w:rsidR="0001137E" w:rsidRDefault="0001137E" w:rsidP="00DC2023">
      <w:pPr>
        <w:spacing w:after="0"/>
        <w:ind w:firstLine="0"/>
        <w:jc w:val="center"/>
        <w:rPr>
          <w:u w:val="single"/>
        </w:rPr>
      </w:pPr>
    </w:p>
    <w:p w:rsidR="001B65C5" w:rsidRPr="001B65C5" w:rsidRDefault="001B65C5" w:rsidP="0001137E">
      <w:pPr>
        <w:spacing w:after="0"/>
        <w:ind w:firstLine="0"/>
        <w:jc w:val="center"/>
        <w:rPr>
          <w:u w:val="single"/>
        </w:rPr>
      </w:pPr>
      <w:r w:rsidRPr="001B65C5">
        <w:rPr>
          <w:u w:val="single"/>
        </w:rPr>
        <w:t>ORDER</w:t>
      </w:r>
    </w:p>
    <w:p w:rsidR="0001137E" w:rsidRDefault="0001137E" w:rsidP="0001137E">
      <w:pPr>
        <w:spacing w:after="0"/>
      </w:pPr>
    </w:p>
    <w:p w:rsidR="0001137E" w:rsidRDefault="0001137E" w:rsidP="0001137E">
      <w:pPr>
        <w:spacing w:after="0"/>
      </w:pPr>
    </w:p>
    <w:p w:rsidR="001B65C5" w:rsidRDefault="001B65C5" w:rsidP="0001137E">
      <w:pPr>
        <w:spacing w:after="0"/>
      </w:pPr>
      <w:r>
        <w:t>THEREFORE,</w:t>
      </w:r>
    </w:p>
    <w:p w:rsidR="00486148" w:rsidRDefault="00486148" w:rsidP="0001137E">
      <w:pPr>
        <w:spacing w:after="0"/>
      </w:pPr>
    </w:p>
    <w:p w:rsidR="001B65C5" w:rsidRDefault="001B65C5" w:rsidP="0001137E">
      <w:pPr>
        <w:spacing w:after="0"/>
      </w:pPr>
      <w:r>
        <w:t>IT IS ORDERED:</w:t>
      </w:r>
    </w:p>
    <w:p w:rsidR="00486148" w:rsidRDefault="00486148" w:rsidP="00DC2023">
      <w:pPr>
        <w:spacing w:after="0"/>
        <w:ind w:firstLine="0"/>
      </w:pPr>
    </w:p>
    <w:p w:rsidR="001B65C5" w:rsidRDefault="001B65C5" w:rsidP="0001137E">
      <w:pPr>
        <w:spacing w:after="0"/>
        <w:ind w:firstLine="720"/>
      </w:pPr>
      <w:r>
        <w:tab/>
        <w:t>1.</w:t>
      </w:r>
      <w:r>
        <w:tab/>
        <w:t xml:space="preserve">That the Preliminary Objections of Philadelphia Gas Works seeking to dismiss the formal complaint filed by John </w:t>
      </w:r>
      <w:r w:rsidR="00D9698C">
        <w:t xml:space="preserve">F. </w:t>
      </w:r>
      <w:r>
        <w:t xml:space="preserve">and </w:t>
      </w:r>
      <w:r w:rsidR="0088526D">
        <w:t>Joanne</w:t>
      </w:r>
      <w:r>
        <w:t xml:space="preserve"> </w:t>
      </w:r>
      <w:r w:rsidR="00DE3DB3">
        <w:t xml:space="preserve">M. </w:t>
      </w:r>
      <w:r>
        <w:t>McVey at PUC Docket No. C-2011-2239859, on the grounds of lack of jurisdiction</w:t>
      </w:r>
      <w:r w:rsidR="00DE3DB3">
        <w:t>,</w:t>
      </w:r>
      <w:r>
        <w:t xml:space="preserve"> are sustained.</w:t>
      </w:r>
    </w:p>
    <w:p w:rsidR="00486148" w:rsidRDefault="00486148" w:rsidP="0001137E">
      <w:pPr>
        <w:spacing w:after="0"/>
        <w:ind w:firstLine="720"/>
      </w:pPr>
    </w:p>
    <w:p w:rsidR="001B65C5" w:rsidRDefault="001B65C5" w:rsidP="0001137E">
      <w:pPr>
        <w:spacing w:after="0"/>
        <w:ind w:firstLine="720"/>
      </w:pPr>
      <w:r>
        <w:tab/>
        <w:t>2.</w:t>
      </w:r>
      <w:r>
        <w:tab/>
        <w:t xml:space="preserve">That the formal complaint </w:t>
      </w:r>
      <w:r w:rsidR="00501B53">
        <w:t xml:space="preserve">filed by </w:t>
      </w:r>
      <w:r>
        <w:t>John</w:t>
      </w:r>
      <w:r w:rsidR="00D9698C">
        <w:t xml:space="preserve"> F.</w:t>
      </w:r>
      <w:r>
        <w:t xml:space="preserve"> and </w:t>
      </w:r>
      <w:r w:rsidR="0088526D">
        <w:t>Joanne</w:t>
      </w:r>
      <w:r>
        <w:t xml:space="preserve"> </w:t>
      </w:r>
      <w:r w:rsidR="00DE3DB3">
        <w:t xml:space="preserve">M. </w:t>
      </w:r>
      <w:r>
        <w:t>McVey at PUC Docket No. C</w:t>
      </w:r>
      <w:r w:rsidR="0001137E">
        <w:noBreakHyphen/>
      </w:r>
      <w:r>
        <w:t>2011-2239859, is dismissed.</w:t>
      </w:r>
    </w:p>
    <w:p w:rsidR="00486148" w:rsidRDefault="00486148" w:rsidP="0001137E">
      <w:pPr>
        <w:spacing w:after="0"/>
        <w:ind w:firstLine="720"/>
      </w:pPr>
    </w:p>
    <w:p w:rsidR="001B65C5" w:rsidRPr="001B65C5" w:rsidRDefault="001B65C5" w:rsidP="0001137E">
      <w:pPr>
        <w:spacing w:after="0"/>
        <w:ind w:firstLine="720"/>
      </w:pPr>
      <w:r>
        <w:tab/>
        <w:t>3.</w:t>
      </w:r>
      <w:r>
        <w:tab/>
        <w:t>That the docket shall be marked closed.</w:t>
      </w:r>
    </w:p>
    <w:p w:rsidR="006B2652" w:rsidRDefault="006B2652" w:rsidP="0001137E">
      <w:pPr>
        <w:spacing w:after="0"/>
        <w:ind w:firstLine="720"/>
      </w:pPr>
    </w:p>
    <w:p w:rsidR="00EA271C" w:rsidRPr="00EA271C" w:rsidRDefault="00EA271C" w:rsidP="00CE6330">
      <w:pPr>
        <w:spacing w:after="0" w:line="240" w:lineRule="auto"/>
        <w:ind w:firstLine="0"/>
        <w:rPr>
          <w:szCs w:val="24"/>
        </w:rPr>
      </w:pPr>
    </w:p>
    <w:p w:rsidR="00CE6330" w:rsidRPr="009E6175" w:rsidRDefault="00CE6330" w:rsidP="00CE6330">
      <w:pPr>
        <w:spacing w:after="0" w:line="240" w:lineRule="auto"/>
        <w:ind w:firstLine="0"/>
        <w:jc w:val="both"/>
        <w:rPr>
          <w:szCs w:val="24"/>
          <w:u w:val="single"/>
        </w:rPr>
      </w:pPr>
      <w:r w:rsidRPr="009E6175">
        <w:rPr>
          <w:szCs w:val="24"/>
        </w:rPr>
        <w:t xml:space="preserve">Date:  </w:t>
      </w:r>
      <w:r>
        <w:rPr>
          <w:szCs w:val="24"/>
          <w:u w:val="single"/>
        </w:rPr>
        <w:t>November 22,</w:t>
      </w:r>
      <w:r w:rsidRPr="009E6175">
        <w:rPr>
          <w:szCs w:val="24"/>
          <w:u w:val="single"/>
        </w:rPr>
        <w:t xml:space="preserve"> 2013</w:t>
      </w:r>
      <w:r w:rsidRPr="009E6175">
        <w:rPr>
          <w:szCs w:val="24"/>
        </w:rPr>
        <w:tab/>
      </w:r>
      <w:r w:rsidRPr="009E6175">
        <w:rPr>
          <w:szCs w:val="24"/>
        </w:rPr>
        <w:tab/>
      </w:r>
      <w:r w:rsidRPr="009E6175">
        <w:rPr>
          <w:szCs w:val="24"/>
        </w:rPr>
        <w:tab/>
      </w:r>
      <w:r>
        <w:rPr>
          <w:szCs w:val="24"/>
        </w:rPr>
        <w:tab/>
      </w:r>
      <w:r w:rsidRPr="009E6175">
        <w:rPr>
          <w:szCs w:val="24"/>
          <w:u w:val="single"/>
        </w:rPr>
        <w:tab/>
      </w:r>
      <w:r w:rsidRPr="009E6175">
        <w:rPr>
          <w:szCs w:val="24"/>
          <w:u w:val="single"/>
        </w:rPr>
        <w:tab/>
        <w:t>/s/</w:t>
      </w:r>
      <w:r w:rsidRPr="009E6175">
        <w:rPr>
          <w:szCs w:val="24"/>
          <w:u w:val="single"/>
        </w:rPr>
        <w:tab/>
      </w:r>
      <w:r w:rsidRPr="009E6175">
        <w:rPr>
          <w:szCs w:val="24"/>
          <w:u w:val="single"/>
        </w:rPr>
        <w:tab/>
      </w:r>
      <w:r w:rsidRPr="009E6175">
        <w:rPr>
          <w:szCs w:val="24"/>
          <w:u w:val="single"/>
        </w:rPr>
        <w:tab/>
      </w:r>
    </w:p>
    <w:p w:rsidR="00CE6330" w:rsidRPr="009E6175" w:rsidRDefault="00CE6330" w:rsidP="00CE6330">
      <w:pPr>
        <w:tabs>
          <w:tab w:val="left" w:pos="0"/>
        </w:tabs>
        <w:spacing w:after="0" w:line="240" w:lineRule="auto"/>
        <w:jc w:val="both"/>
        <w:rPr>
          <w:szCs w:val="24"/>
        </w:rPr>
      </w:pPr>
      <w:r w:rsidRPr="009E6175">
        <w:rPr>
          <w:szCs w:val="24"/>
        </w:rPr>
        <w:tab/>
      </w:r>
      <w:r w:rsidRPr="009E6175">
        <w:rPr>
          <w:szCs w:val="24"/>
        </w:rPr>
        <w:tab/>
      </w:r>
      <w:r w:rsidRPr="009E6175">
        <w:rPr>
          <w:szCs w:val="24"/>
        </w:rPr>
        <w:tab/>
      </w:r>
      <w:r w:rsidRPr="009E6175">
        <w:rPr>
          <w:szCs w:val="24"/>
        </w:rPr>
        <w:tab/>
      </w:r>
      <w:r w:rsidRPr="009E6175">
        <w:rPr>
          <w:szCs w:val="24"/>
        </w:rPr>
        <w:tab/>
      </w:r>
      <w:r>
        <w:rPr>
          <w:szCs w:val="24"/>
        </w:rPr>
        <w:t>Conrad A. Johnson</w:t>
      </w:r>
    </w:p>
    <w:p w:rsidR="00CE6330" w:rsidRDefault="00CE6330" w:rsidP="00CE6330">
      <w:pPr>
        <w:tabs>
          <w:tab w:val="left" w:pos="0"/>
        </w:tabs>
        <w:spacing w:after="0" w:line="240" w:lineRule="auto"/>
        <w:jc w:val="both"/>
        <w:rPr>
          <w:szCs w:val="24"/>
        </w:rPr>
      </w:pPr>
      <w:r w:rsidRPr="009E6175">
        <w:rPr>
          <w:szCs w:val="24"/>
        </w:rPr>
        <w:tab/>
      </w:r>
      <w:r w:rsidRPr="009E6175">
        <w:rPr>
          <w:szCs w:val="24"/>
        </w:rPr>
        <w:tab/>
      </w:r>
      <w:r w:rsidRPr="009E6175">
        <w:rPr>
          <w:szCs w:val="24"/>
        </w:rPr>
        <w:tab/>
      </w:r>
      <w:r w:rsidRPr="009E6175">
        <w:rPr>
          <w:szCs w:val="24"/>
        </w:rPr>
        <w:tab/>
      </w:r>
      <w:r w:rsidRPr="009E6175">
        <w:rPr>
          <w:szCs w:val="24"/>
        </w:rPr>
        <w:tab/>
        <w:t>Administrative Law Judge</w:t>
      </w:r>
    </w:p>
    <w:p w:rsidR="00CE6330" w:rsidRDefault="00CE6330" w:rsidP="00CE6330">
      <w:pPr>
        <w:tabs>
          <w:tab w:val="left" w:pos="0"/>
        </w:tabs>
        <w:spacing w:after="0" w:line="240" w:lineRule="auto"/>
        <w:jc w:val="both"/>
        <w:rPr>
          <w:szCs w:val="24"/>
        </w:rPr>
      </w:pPr>
    </w:p>
    <w:p w:rsidR="00EA271C" w:rsidRDefault="00EA271C" w:rsidP="00CE6330">
      <w:pPr>
        <w:tabs>
          <w:tab w:val="left" w:pos="0"/>
        </w:tabs>
        <w:autoSpaceDE w:val="0"/>
        <w:autoSpaceDN w:val="0"/>
        <w:spacing w:after="0" w:line="240" w:lineRule="auto"/>
        <w:ind w:firstLine="0"/>
        <w:jc w:val="both"/>
      </w:pPr>
    </w:p>
    <w:sectPr w:rsidR="00EA271C" w:rsidSect="002D735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587" w:rsidRDefault="00171587" w:rsidP="00200AEF">
      <w:pPr>
        <w:spacing w:after="0" w:line="240" w:lineRule="auto"/>
      </w:pPr>
      <w:r>
        <w:separator/>
      </w:r>
    </w:p>
  </w:endnote>
  <w:endnote w:type="continuationSeparator" w:id="0">
    <w:p w:rsidR="00171587" w:rsidRDefault="00171587" w:rsidP="0020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41952"/>
      <w:docPartObj>
        <w:docPartGallery w:val="Page Numbers (Bottom of Page)"/>
        <w:docPartUnique/>
      </w:docPartObj>
    </w:sdtPr>
    <w:sdtEndPr>
      <w:rPr>
        <w:noProof/>
        <w:sz w:val="20"/>
      </w:rPr>
    </w:sdtEndPr>
    <w:sdtContent>
      <w:p w:rsidR="002D7351" w:rsidRPr="0001137E" w:rsidRDefault="002D7351" w:rsidP="002D7351">
        <w:pPr>
          <w:pStyle w:val="Footer"/>
          <w:ind w:firstLine="0"/>
          <w:jc w:val="center"/>
          <w:rPr>
            <w:sz w:val="20"/>
          </w:rPr>
        </w:pPr>
        <w:r w:rsidRPr="0001137E">
          <w:rPr>
            <w:sz w:val="20"/>
          </w:rPr>
          <w:fldChar w:fldCharType="begin"/>
        </w:r>
        <w:r w:rsidRPr="0001137E">
          <w:rPr>
            <w:sz w:val="20"/>
          </w:rPr>
          <w:instrText xml:space="preserve"> PAGE   \* MERGEFORMAT </w:instrText>
        </w:r>
        <w:r w:rsidRPr="0001137E">
          <w:rPr>
            <w:sz w:val="20"/>
          </w:rPr>
          <w:fldChar w:fldCharType="separate"/>
        </w:r>
        <w:r w:rsidR="00EB3C79">
          <w:rPr>
            <w:noProof/>
            <w:sz w:val="20"/>
          </w:rPr>
          <w:t>6</w:t>
        </w:r>
        <w:r w:rsidRPr="0001137E">
          <w:rPr>
            <w:noProof/>
            <w:sz w:val="20"/>
          </w:rPr>
          <w:fldChar w:fldCharType="end"/>
        </w:r>
      </w:p>
    </w:sdtContent>
  </w:sdt>
  <w:p w:rsidR="002D7351" w:rsidRDefault="002D7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587" w:rsidRDefault="00171587" w:rsidP="00200AEF">
      <w:pPr>
        <w:spacing w:after="0" w:line="240" w:lineRule="auto"/>
      </w:pPr>
      <w:r>
        <w:separator/>
      </w:r>
    </w:p>
  </w:footnote>
  <w:footnote w:type="continuationSeparator" w:id="0">
    <w:p w:rsidR="00171587" w:rsidRDefault="00171587" w:rsidP="00200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30C6BCA"/>
    <w:multiLevelType w:val="hybridMultilevel"/>
    <w:tmpl w:val="28386070"/>
    <w:lvl w:ilvl="0" w:tplc="0C92B1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03"/>
    <w:rsid w:val="00004C37"/>
    <w:rsid w:val="0001137E"/>
    <w:rsid w:val="000D66C6"/>
    <w:rsid w:val="00134058"/>
    <w:rsid w:val="00156803"/>
    <w:rsid w:val="00171587"/>
    <w:rsid w:val="001B1CBA"/>
    <w:rsid w:val="001B65C5"/>
    <w:rsid w:val="00200AEF"/>
    <w:rsid w:val="00213167"/>
    <w:rsid w:val="002C242A"/>
    <w:rsid w:val="002D7351"/>
    <w:rsid w:val="002E41DE"/>
    <w:rsid w:val="002E42C9"/>
    <w:rsid w:val="00393C92"/>
    <w:rsid w:val="00475ECA"/>
    <w:rsid w:val="00486148"/>
    <w:rsid w:val="004D523C"/>
    <w:rsid w:val="00501B53"/>
    <w:rsid w:val="00536667"/>
    <w:rsid w:val="005C1377"/>
    <w:rsid w:val="005C7E6B"/>
    <w:rsid w:val="0061775F"/>
    <w:rsid w:val="006B2652"/>
    <w:rsid w:val="00744AC4"/>
    <w:rsid w:val="00754A73"/>
    <w:rsid w:val="00792796"/>
    <w:rsid w:val="00795EA4"/>
    <w:rsid w:val="007C063B"/>
    <w:rsid w:val="007E6779"/>
    <w:rsid w:val="00817D45"/>
    <w:rsid w:val="00852553"/>
    <w:rsid w:val="008529D2"/>
    <w:rsid w:val="0088526D"/>
    <w:rsid w:val="008A4B08"/>
    <w:rsid w:val="008E2569"/>
    <w:rsid w:val="009000F7"/>
    <w:rsid w:val="00935083"/>
    <w:rsid w:val="00A9249C"/>
    <w:rsid w:val="00AB1355"/>
    <w:rsid w:val="00AB4C73"/>
    <w:rsid w:val="00AE6F47"/>
    <w:rsid w:val="00AF6F5B"/>
    <w:rsid w:val="00B43451"/>
    <w:rsid w:val="00BC4FCB"/>
    <w:rsid w:val="00BF6261"/>
    <w:rsid w:val="00C8494C"/>
    <w:rsid w:val="00CA2FC8"/>
    <w:rsid w:val="00CE6330"/>
    <w:rsid w:val="00D3130C"/>
    <w:rsid w:val="00D9698C"/>
    <w:rsid w:val="00DC2023"/>
    <w:rsid w:val="00DD5C37"/>
    <w:rsid w:val="00DE3DB3"/>
    <w:rsid w:val="00E56439"/>
    <w:rsid w:val="00EA271C"/>
    <w:rsid w:val="00EB3C79"/>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13167"/>
    <w:pPr>
      <w:numPr>
        <w:numId w:val="3"/>
      </w:numPr>
      <w:tabs>
        <w:tab w:val="left" w:pos="1440"/>
      </w:tabs>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200AEF"/>
    <w:rPr>
      <w:vertAlign w:val="superscript"/>
    </w:rPr>
  </w:style>
  <w:style w:type="character" w:styleId="Hyperlink">
    <w:name w:val="Hyperlink"/>
    <w:basedOn w:val="DefaultParagraphFont"/>
    <w:uiPriority w:val="99"/>
    <w:semiHidden/>
    <w:unhideWhenUsed/>
    <w:rsid w:val="00CA2FC8"/>
    <w:rPr>
      <w:strike w:val="0"/>
      <w:dstrike w:val="0"/>
      <w:color w:val="004B91"/>
      <w:u w:val="none"/>
      <w:effect w:val="none"/>
    </w:rPr>
  </w:style>
  <w:style w:type="paragraph" w:styleId="Header">
    <w:name w:val="header"/>
    <w:basedOn w:val="Normal"/>
    <w:link w:val="HeaderChar"/>
    <w:uiPriority w:val="99"/>
    <w:unhideWhenUsed/>
    <w:rsid w:val="002D7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351"/>
    <w:rPr>
      <w:rFonts w:ascii="Times New Roman" w:hAnsi="Times New Roman" w:cs="Times New Roman"/>
      <w:sz w:val="24"/>
      <w:szCs w:val="20"/>
    </w:rPr>
  </w:style>
  <w:style w:type="paragraph" w:styleId="Footer">
    <w:name w:val="footer"/>
    <w:basedOn w:val="Normal"/>
    <w:link w:val="FooterChar"/>
    <w:uiPriority w:val="99"/>
    <w:unhideWhenUsed/>
    <w:rsid w:val="002D7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35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13167"/>
    <w:pPr>
      <w:numPr>
        <w:numId w:val="3"/>
      </w:numPr>
      <w:tabs>
        <w:tab w:val="left" w:pos="1440"/>
      </w:tabs>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200AEF"/>
    <w:rPr>
      <w:vertAlign w:val="superscript"/>
    </w:rPr>
  </w:style>
  <w:style w:type="character" w:styleId="Hyperlink">
    <w:name w:val="Hyperlink"/>
    <w:basedOn w:val="DefaultParagraphFont"/>
    <w:uiPriority w:val="99"/>
    <w:semiHidden/>
    <w:unhideWhenUsed/>
    <w:rsid w:val="00CA2FC8"/>
    <w:rPr>
      <w:strike w:val="0"/>
      <w:dstrike w:val="0"/>
      <w:color w:val="004B91"/>
      <w:u w:val="none"/>
      <w:effect w:val="none"/>
    </w:rPr>
  </w:style>
  <w:style w:type="paragraph" w:styleId="Header">
    <w:name w:val="header"/>
    <w:basedOn w:val="Normal"/>
    <w:link w:val="HeaderChar"/>
    <w:uiPriority w:val="99"/>
    <w:unhideWhenUsed/>
    <w:rsid w:val="002D7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351"/>
    <w:rPr>
      <w:rFonts w:ascii="Times New Roman" w:hAnsi="Times New Roman" w:cs="Times New Roman"/>
      <w:sz w:val="24"/>
      <w:szCs w:val="20"/>
    </w:rPr>
  </w:style>
  <w:style w:type="paragraph" w:styleId="Footer">
    <w:name w:val="footer"/>
    <w:basedOn w:val="Normal"/>
    <w:link w:val="FooterChar"/>
    <w:uiPriority w:val="99"/>
    <w:unhideWhenUsed/>
    <w:rsid w:val="002D7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35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1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4" Type="http://schemas.microsoft.com/office/2007/relationships/stylesWithEffects" Target="stylesWithEffects.xml"/><Relationship Id="rId9"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F72B-B05F-457F-9D1A-66ADA497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2</cp:revision>
  <cp:lastPrinted>2013-12-02T18:08:00Z</cp:lastPrinted>
  <dcterms:created xsi:type="dcterms:W3CDTF">2013-12-02T18:08:00Z</dcterms:created>
  <dcterms:modified xsi:type="dcterms:W3CDTF">2013-12-02T18:08:00Z</dcterms:modified>
</cp:coreProperties>
</file>