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2C1B32" w:rsidRDefault="00ED3EC8" w:rsidP="00A677E1">
      <w:pPr>
        <w:jc w:val="center"/>
        <w:rPr>
          <w:b/>
          <w:sz w:val="24"/>
          <w:szCs w:val="24"/>
        </w:rPr>
      </w:pPr>
      <w:bookmarkStart w:id="0" w:name="_GoBack"/>
      <w:bookmarkEnd w:id="0"/>
      <w:r w:rsidRPr="002C1B32">
        <w:rPr>
          <w:b/>
          <w:sz w:val="24"/>
          <w:szCs w:val="24"/>
        </w:rPr>
        <w:t>BEFORE THE</w:t>
      </w:r>
    </w:p>
    <w:p w:rsidR="00ED3EC8" w:rsidRPr="002C1B32" w:rsidRDefault="00ED3EC8" w:rsidP="00A677E1">
      <w:pPr>
        <w:jc w:val="center"/>
        <w:rPr>
          <w:b/>
          <w:sz w:val="24"/>
          <w:szCs w:val="24"/>
        </w:rPr>
      </w:pPr>
      <w:r w:rsidRPr="002C1B32">
        <w:rPr>
          <w:b/>
          <w:sz w:val="24"/>
          <w:szCs w:val="24"/>
        </w:rPr>
        <w:t>PENNSYLVANIA PUBLIC UTILITY COMMISSION</w:t>
      </w:r>
    </w:p>
    <w:p w:rsidR="00ED3EC8" w:rsidRPr="002C1B32" w:rsidRDefault="00ED3EC8" w:rsidP="00A677E1">
      <w:pPr>
        <w:jc w:val="center"/>
        <w:rPr>
          <w:b/>
          <w:sz w:val="24"/>
          <w:szCs w:val="24"/>
        </w:rPr>
      </w:pPr>
    </w:p>
    <w:p w:rsidR="007B2E82" w:rsidRPr="002C1B32" w:rsidRDefault="007B2E82" w:rsidP="00A677E1">
      <w:pPr>
        <w:jc w:val="center"/>
        <w:rPr>
          <w:b/>
          <w:sz w:val="24"/>
          <w:szCs w:val="24"/>
        </w:rPr>
      </w:pPr>
    </w:p>
    <w:p w:rsidR="00ED3EC8" w:rsidRPr="002C1B32" w:rsidRDefault="00ED3EC8" w:rsidP="00A677E1">
      <w:pPr>
        <w:jc w:val="center"/>
        <w:rPr>
          <w:b/>
          <w:sz w:val="24"/>
          <w:szCs w:val="24"/>
        </w:rPr>
      </w:pPr>
    </w:p>
    <w:p w:rsidR="00ED3EC8" w:rsidRPr="002C1B32" w:rsidRDefault="003B5F2B" w:rsidP="00A677E1">
      <w:pPr>
        <w:rPr>
          <w:sz w:val="24"/>
          <w:szCs w:val="24"/>
        </w:rPr>
      </w:pPr>
      <w:r w:rsidRPr="002C1B32">
        <w:rPr>
          <w:sz w:val="24"/>
          <w:szCs w:val="24"/>
        </w:rPr>
        <w:t>Curtis Hoke</w:t>
      </w:r>
      <w:r w:rsidRPr="002C1B32">
        <w:rPr>
          <w:sz w:val="24"/>
          <w:szCs w:val="24"/>
        </w:rPr>
        <w:tab/>
      </w:r>
      <w:r w:rsidR="00C03F47" w:rsidRPr="002C1B32">
        <w:rPr>
          <w:sz w:val="24"/>
          <w:szCs w:val="24"/>
        </w:rPr>
        <w:tab/>
      </w:r>
      <w:r w:rsidR="00900735" w:rsidRPr="002C1B32">
        <w:rPr>
          <w:sz w:val="24"/>
          <w:szCs w:val="24"/>
        </w:rPr>
        <w:tab/>
      </w:r>
      <w:r w:rsidR="00900735" w:rsidRPr="002C1B32">
        <w:rPr>
          <w:sz w:val="24"/>
          <w:szCs w:val="24"/>
        </w:rPr>
        <w:tab/>
      </w:r>
      <w:r w:rsidR="00ED3EC8" w:rsidRPr="002C1B32">
        <w:rPr>
          <w:sz w:val="24"/>
          <w:szCs w:val="24"/>
        </w:rPr>
        <w:tab/>
      </w:r>
      <w:r w:rsidR="005E13BA" w:rsidRPr="002C1B32">
        <w:rPr>
          <w:sz w:val="24"/>
          <w:szCs w:val="24"/>
        </w:rPr>
        <w:tab/>
      </w:r>
      <w:r w:rsidR="00ED3EC8" w:rsidRPr="002C1B32">
        <w:rPr>
          <w:sz w:val="24"/>
          <w:szCs w:val="24"/>
        </w:rPr>
        <w:t>:</w:t>
      </w:r>
    </w:p>
    <w:p w:rsidR="00ED3EC8" w:rsidRPr="002C1B32" w:rsidRDefault="00ED3EC8" w:rsidP="00A677E1">
      <w:pPr>
        <w:rPr>
          <w:sz w:val="24"/>
          <w:szCs w:val="24"/>
        </w:rPr>
      </w:pP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005E13BA" w:rsidRPr="002C1B32">
        <w:rPr>
          <w:sz w:val="24"/>
          <w:szCs w:val="24"/>
        </w:rPr>
        <w:tab/>
      </w:r>
      <w:r w:rsidRPr="002C1B32">
        <w:rPr>
          <w:sz w:val="24"/>
          <w:szCs w:val="24"/>
        </w:rPr>
        <w:t>:</w:t>
      </w:r>
    </w:p>
    <w:p w:rsidR="00ED3EC8" w:rsidRPr="002C1B32" w:rsidRDefault="008E19D7" w:rsidP="00A677E1">
      <w:pPr>
        <w:rPr>
          <w:sz w:val="24"/>
          <w:szCs w:val="24"/>
        </w:rPr>
      </w:pPr>
      <w:r w:rsidRPr="002C1B32">
        <w:rPr>
          <w:sz w:val="24"/>
          <w:szCs w:val="24"/>
        </w:rPr>
        <w:tab/>
        <w:t>v.</w:t>
      </w: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005E13BA" w:rsidRPr="002C1B32">
        <w:rPr>
          <w:sz w:val="24"/>
          <w:szCs w:val="24"/>
        </w:rPr>
        <w:tab/>
      </w:r>
      <w:r w:rsidRPr="002C1B32">
        <w:rPr>
          <w:sz w:val="24"/>
          <w:szCs w:val="24"/>
        </w:rPr>
        <w:t>:</w:t>
      </w:r>
      <w:r w:rsidRPr="002C1B32">
        <w:rPr>
          <w:sz w:val="24"/>
          <w:szCs w:val="24"/>
        </w:rPr>
        <w:tab/>
      </w:r>
      <w:r w:rsidR="007B2E82" w:rsidRPr="002C1B32">
        <w:rPr>
          <w:sz w:val="24"/>
          <w:szCs w:val="24"/>
        </w:rPr>
        <w:tab/>
      </w:r>
      <w:r w:rsidRPr="002C1B32">
        <w:rPr>
          <w:sz w:val="24"/>
          <w:szCs w:val="24"/>
        </w:rPr>
        <w:t>C-201</w:t>
      </w:r>
      <w:r w:rsidR="003B5F2B" w:rsidRPr="002C1B32">
        <w:rPr>
          <w:sz w:val="24"/>
          <w:szCs w:val="24"/>
        </w:rPr>
        <w:t>3</w:t>
      </w:r>
      <w:r w:rsidRPr="002C1B32">
        <w:rPr>
          <w:sz w:val="24"/>
          <w:szCs w:val="24"/>
        </w:rPr>
        <w:t>-</w:t>
      </w:r>
      <w:r w:rsidR="003B5F2B" w:rsidRPr="002C1B32">
        <w:rPr>
          <w:sz w:val="24"/>
          <w:szCs w:val="24"/>
        </w:rPr>
        <w:t>2357863</w:t>
      </w:r>
    </w:p>
    <w:p w:rsidR="00ED3EC8" w:rsidRPr="002C1B32" w:rsidRDefault="00ED3EC8" w:rsidP="00A677E1">
      <w:pPr>
        <w:rPr>
          <w:sz w:val="24"/>
          <w:szCs w:val="24"/>
        </w:rPr>
      </w:pP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005E13BA" w:rsidRPr="002C1B32">
        <w:rPr>
          <w:sz w:val="24"/>
          <w:szCs w:val="24"/>
        </w:rPr>
        <w:tab/>
      </w:r>
      <w:r w:rsidRPr="002C1B32">
        <w:rPr>
          <w:sz w:val="24"/>
          <w:szCs w:val="24"/>
        </w:rPr>
        <w:t>:</w:t>
      </w:r>
    </w:p>
    <w:p w:rsidR="00ED3EC8" w:rsidRPr="002C1B32" w:rsidRDefault="003B5F2B" w:rsidP="00A677E1">
      <w:pPr>
        <w:rPr>
          <w:sz w:val="24"/>
          <w:szCs w:val="24"/>
        </w:rPr>
      </w:pPr>
      <w:r w:rsidRPr="002C1B32">
        <w:rPr>
          <w:sz w:val="24"/>
          <w:szCs w:val="24"/>
        </w:rPr>
        <w:t>Ambit Northeast, LLC d/b/a Ambit Energy</w:t>
      </w:r>
      <w:r w:rsidR="00ED3EC8" w:rsidRPr="002C1B32">
        <w:rPr>
          <w:sz w:val="24"/>
          <w:szCs w:val="24"/>
        </w:rPr>
        <w:tab/>
      </w:r>
      <w:r w:rsidR="005E13BA" w:rsidRPr="002C1B32">
        <w:rPr>
          <w:sz w:val="24"/>
          <w:szCs w:val="24"/>
        </w:rPr>
        <w:tab/>
      </w:r>
      <w:r w:rsidR="00ED3EC8" w:rsidRPr="002C1B32">
        <w:rPr>
          <w:sz w:val="24"/>
          <w:szCs w:val="24"/>
        </w:rPr>
        <w:t>:</w:t>
      </w:r>
    </w:p>
    <w:p w:rsidR="00ED3EC8" w:rsidRPr="002C1B32" w:rsidRDefault="00ED3EC8" w:rsidP="00A677E1">
      <w:pPr>
        <w:rPr>
          <w:sz w:val="24"/>
          <w:szCs w:val="24"/>
        </w:rPr>
      </w:pPr>
    </w:p>
    <w:p w:rsidR="005E13BA" w:rsidRPr="002C1B32" w:rsidRDefault="005E13BA" w:rsidP="00A677E1">
      <w:pPr>
        <w:rPr>
          <w:sz w:val="24"/>
          <w:szCs w:val="24"/>
        </w:rPr>
      </w:pPr>
    </w:p>
    <w:p w:rsidR="00ED3EC8" w:rsidRPr="002C1B32" w:rsidRDefault="00ED3EC8" w:rsidP="00A677E1">
      <w:pPr>
        <w:rPr>
          <w:sz w:val="24"/>
          <w:szCs w:val="24"/>
        </w:rPr>
      </w:pPr>
    </w:p>
    <w:p w:rsidR="00ED3EC8" w:rsidRPr="002C1B32" w:rsidRDefault="00F8605D" w:rsidP="00A677E1">
      <w:pPr>
        <w:jc w:val="center"/>
        <w:rPr>
          <w:b/>
          <w:sz w:val="24"/>
          <w:szCs w:val="24"/>
          <w:u w:val="single"/>
        </w:rPr>
      </w:pPr>
      <w:r w:rsidRPr="002C1B32">
        <w:rPr>
          <w:b/>
          <w:sz w:val="24"/>
          <w:szCs w:val="24"/>
          <w:u w:val="single"/>
        </w:rPr>
        <w:t>INITIAL DECISION</w:t>
      </w:r>
    </w:p>
    <w:p w:rsidR="00ED3EC8" w:rsidRPr="002C1B32" w:rsidRDefault="00ED3EC8" w:rsidP="00A677E1">
      <w:pPr>
        <w:jc w:val="center"/>
        <w:rPr>
          <w:b/>
          <w:sz w:val="24"/>
          <w:szCs w:val="24"/>
        </w:rPr>
      </w:pPr>
    </w:p>
    <w:p w:rsidR="007B2E82" w:rsidRPr="002C1B32" w:rsidRDefault="007B2E82" w:rsidP="00A677E1">
      <w:pPr>
        <w:jc w:val="center"/>
        <w:rPr>
          <w:b/>
          <w:sz w:val="24"/>
          <w:szCs w:val="24"/>
        </w:rPr>
      </w:pPr>
    </w:p>
    <w:p w:rsidR="00FC763F" w:rsidRPr="002C1B32" w:rsidRDefault="00FC763F" w:rsidP="00A677E1">
      <w:pPr>
        <w:pStyle w:val="BodyTextIndent"/>
        <w:widowControl/>
        <w:spacing w:line="240" w:lineRule="auto"/>
        <w:ind w:firstLine="0"/>
        <w:jc w:val="center"/>
        <w:rPr>
          <w:bCs/>
          <w:sz w:val="24"/>
          <w:szCs w:val="24"/>
        </w:rPr>
      </w:pPr>
      <w:r w:rsidRPr="002C1B32">
        <w:rPr>
          <w:bCs/>
          <w:sz w:val="24"/>
          <w:szCs w:val="24"/>
        </w:rPr>
        <w:t>Before</w:t>
      </w:r>
    </w:p>
    <w:p w:rsidR="00FC763F" w:rsidRPr="002C1B32" w:rsidRDefault="00C03F47" w:rsidP="00A677E1">
      <w:pPr>
        <w:pStyle w:val="BodyTextIndent"/>
        <w:widowControl/>
        <w:spacing w:line="240" w:lineRule="auto"/>
        <w:ind w:firstLine="0"/>
        <w:jc w:val="center"/>
        <w:rPr>
          <w:bCs/>
          <w:sz w:val="24"/>
          <w:szCs w:val="24"/>
        </w:rPr>
      </w:pPr>
      <w:r w:rsidRPr="002C1B32">
        <w:rPr>
          <w:bCs/>
          <w:sz w:val="24"/>
          <w:szCs w:val="24"/>
        </w:rPr>
        <w:t>Elizabeth H. Barnes</w:t>
      </w:r>
    </w:p>
    <w:p w:rsidR="00FC763F" w:rsidRPr="002C1B32" w:rsidRDefault="00FC763F" w:rsidP="00A677E1">
      <w:pPr>
        <w:pStyle w:val="BodyTextIndent"/>
        <w:widowControl/>
        <w:spacing w:line="240" w:lineRule="auto"/>
        <w:ind w:firstLine="0"/>
        <w:jc w:val="center"/>
        <w:rPr>
          <w:bCs/>
          <w:sz w:val="24"/>
          <w:szCs w:val="24"/>
        </w:rPr>
      </w:pPr>
      <w:r w:rsidRPr="002C1B32">
        <w:rPr>
          <w:bCs/>
          <w:sz w:val="24"/>
          <w:szCs w:val="24"/>
        </w:rPr>
        <w:t>Administrative Law Judge</w:t>
      </w:r>
    </w:p>
    <w:p w:rsidR="00ED3EC8" w:rsidRPr="002C1B32" w:rsidRDefault="00ED3EC8" w:rsidP="00A677E1">
      <w:pPr>
        <w:rPr>
          <w:b/>
          <w:sz w:val="24"/>
          <w:szCs w:val="24"/>
        </w:rPr>
      </w:pPr>
    </w:p>
    <w:p w:rsidR="00FC763F" w:rsidRPr="002C1B32" w:rsidRDefault="00FC763F" w:rsidP="00A677E1">
      <w:pPr>
        <w:rPr>
          <w:b/>
          <w:sz w:val="24"/>
          <w:szCs w:val="24"/>
        </w:rPr>
      </w:pPr>
    </w:p>
    <w:p w:rsidR="00FC763F" w:rsidRPr="002C1B32" w:rsidRDefault="00FC763F" w:rsidP="00A677E1">
      <w:pPr>
        <w:jc w:val="center"/>
        <w:rPr>
          <w:sz w:val="24"/>
          <w:szCs w:val="24"/>
          <w:u w:val="single"/>
        </w:rPr>
      </w:pPr>
      <w:r w:rsidRPr="002C1B32">
        <w:rPr>
          <w:sz w:val="24"/>
          <w:szCs w:val="24"/>
          <w:u w:val="single"/>
        </w:rPr>
        <w:t>HISTORY OF THE PROCEEDING</w:t>
      </w:r>
    </w:p>
    <w:p w:rsidR="00FC763F" w:rsidRPr="002C1B32" w:rsidRDefault="00FC763F" w:rsidP="00A677E1">
      <w:pPr>
        <w:jc w:val="center"/>
        <w:rPr>
          <w:sz w:val="24"/>
          <w:szCs w:val="24"/>
          <w:u w:val="single"/>
        </w:rPr>
      </w:pPr>
    </w:p>
    <w:p w:rsidR="00B11062" w:rsidRPr="002C1B32" w:rsidRDefault="00B11062" w:rsidP="002C1B32">
      <w:pPr>
        <w:rPr>
          <w:sz w:val="24"/>
          <w:szCs w:val="24"/>
        </w:rPr>
      </w:pPr>
    </w:p>
    <w:p w:rsidR="00A142DA" w:rsidRPr="002C1B32" w:rsidRDefault="00B11062" w:rsidP="008D699F">
      <w:pPr>
        <w:spacing w:line="360" w:lineRule="auto"/>
        <w:rPr>
          <w:sz w:val="24"/>
          <w:szCs w:val="24"/>
        </w:rPr>
      </w:pPr>
      <w:r w:rsidRPr="002C1B32">
        <w:rPr>
          <w:sz w:val="24"/>
          <w:szCs w:val="24"/>
        </w:rPr>
        <w:tab/>
      </w:r>
      <w:r w:rsidRPr="002C1B32">
        <w:rPr>
          <w:sz w:val="24"/>
          <w:szCs w:val="24"/>
        </w:rPr>
        <w:tab/>
      </w:r>
      <w:r w:rsidR="00647EF2" w:rsidRPr="002C1B32">
        <w:rPr>
          <w:sz w:val="24"/>
          <w:szCs w:val="24"/>
        </w:rPr>
        <w:t xml:space="preserve">On </w:t>
      </w:r>
      <w:r w:rsidR="003B5F2B" w:rsidRPr="002C1B32">
        <w:rPr>
          <w:sz w:val="24"/>
          <w:szCs w:val="24"/>
        </w:rPr>
        <w:t>April 12, 2013</w:t>
      </w:r>
      <w:r w:rsidR="00647EF2" w:rsidRPr="002C1B32">
        <w:rPr>
          <w:sz w:val="24"/>
          <w:szCs w:val="24"/>
        </w:rPr>
        <w:t xml:space="preserve">, </w:t>
      </w:r>
      <w:r w:rsidR="003B5F2B" w:rsidRPr="002C1B32">
        <w:rPr>
          <w:sz w:val="24"/>
          <w:szCs w:val="24"/>
        </w:rPr>
        <w:t>Curtis Hoke</w:t>
      </w:r>
      <w:r w:rsidR="00647EF2" w:rsidRPr="002C1B32">
        <w:rPr>
          <w:sz w:val="24"/>
          <w:szCs w:val="24"/>
        </w:rPr>
        <w:t xml:space="preserve"> (Complainant) filed a formal Complaint with the Commission against </w:t>
      </w:r>
      <w:r w:rsidR="003B5F2B" w:rsidRPr="002C1B32">
        <w:rPr>
          <w:sz w:val="24"/>
          <w:szCs w:val="24"/>
        </w:rPr>
        <w:t>Ambit Northeast, LLC d/b/a Ambit Energy</w:t>
      </w:r>
      <w:r w:rsidR="00647EF2" w:rsidRPr="002C1B32">
        <w:rPr>
          <w:sz w:val="24"/>
          <w:szCs w:val="24"/>
        </w:rPr>
        <w:t xml:space="preserve"> (</w:t>
      </w:r>
      <w:r w:rsidR="003B5F2B" w:rsidRPr="002C1B32">
        <w:rPr>
          <w:sz w:val="24"/>
          <w:szCs w:val="24"/>
        </w:rPr>
        <w:t>Ambit</w:t>
      </w:r>
      <w:r w:rsidR="00CC7377" w:rsidRPr="002C1B32">
        <w:rPr>
          <w:sz w:val="24"/>
          <w:szCs w:val="24"/>
        </w:rPr>
        <w:t xml:space="preserve"> </w:t>
      </w:r>
      <w:r w:rsidR="00647EF2" w:rsidRPr="002C1B32">
        <w:rPr>
          <w:sz w:val="24"/>
          <w:szCs w:val="24"/>
        </w:rPr>
        <w:t>or Respondent) alleging that</w:t>
      </w:r>
      <w:r w:rsidR="00CC7377" w:rsidRPr="002C1B32">
        <w:rPr>
          <w:sz w:val="24"/>
          <w:szCs w:val="24"/>
        </w:rPr>
        <w:t xml:space="preserve"> </w:t>
      </w:r>
      <w:r w:rsidR="00C03F47" w:rsidRPr="002C1B32">
        <w:rPr>
          <w:sz w:val="24"/>
          <w:szCs w:val="24"/>
        </w:rPr>
        <w:t>Respondent</w:t>
      </w:r>
      <w:r w:rsidR="00D903A7" w:rsidRPr="002C1B32">
        <w:rPr>
          <w:sz w:val="24"/>
          <w:szCs w:val="24"/>
        </w:rPr>
        <w:t xml:space="preserve"> improperly billed h</w:t>
      </w:r>
      <w:r w:rsidR="003B5F2B" w:rsidRPr="002C1B32">
        <w:rPr>
          <w:sz w:val="24"/>
          <w:szCs w:val="24"/>
        </w:rPr>
        <w:t>im for two months</w:t>
      </w:r>
      <w:r w:rsidR="002D0169" w:rsidRPr="002C1B32">
        <w:rPr>
          <w:sz w:val="24"/>
          <w:szCs w:val="24"/>
        </w:rPr>
        <w:t xml:space="preserve">, </w:t>
      </w:r>
      <w:r w:rsidR="00D903A7" w:rsidRPr="002C1B32">
        <w:rPr>
          <w:sz w:val="24"/>
          <w:szCs w:val="24"/>
        </w:rPr>
        <w:t xml:space="preserve">and requesting </w:t>
      </w:r>
      <w:r w:rsidR="003B5F2B" w:rsidRPr="002C1B32">
        <w:rPr>
          <w:sz w:val="24"/>
          <w:szCs w:val="24"/>
        </w:rPr>
        <w:t xml:space="preserve">the Commission </w:t>
      </w:r>
      <w:r w:rsidR="00B41867" w:rsidRPr="002C1B32">
        <w:rPr>
          <w:sz w:val="24"/>
          <w:szCs w:val="24"/>
        </w:rPr>
        <w:t>preclude</w:t>
      </w:r>
      <w:r w:rsidR="003B5F2B" w:rsidRPr="002C1B32">
        <w:rPr>
          <w:sz w:val="24"/>
          <w:szCs w:val="24"/>
        </w:rPr>
        <w:t xml:space="preserve"> Ambit from this deceitful practice and require Ambit to clearly </w:t>
      </w:r>
      <w:r w:rsidR="00A142DA" w:rsidRPr="002C1B32">
        <w:rPr>
          <w:sz w:val="24"/>
          <w:szCs w:val="24"/>
        </w:rPr>
        <w:t>advertise</w:t>
      </w:r>
      <w:r w:rsidR="003B5F2B" w:rsidRPr="002C1B32">
        <w:rPr>
          <w:sz w:val="24"/>
          <w:szCs w:val="24"/>
        </w:rPr>
        <w:t xml:space="preserve"> and disclose that the rate shown on their website and on </w:t>
      </w:r>
      <w:r w:rsidR="00B41867" w:rsidRPr="002C1B32">
        <w:rPr>
          <w:sz w:val="24"/>
          <w:szCs w:val="24"/>
        </w:rPr>
        <w:t xml:space="preserve">the </w:t>
      </w:r>
      <w:r w:rsidR="003B5F2B" w:rsidRPr="002C1B32">
        <w:rPr>
          <w:sz w:val="24"/>
          <w:szCs w:val="24"/>
        </w:rPr>
        <w:t xml:space="preserve">PAPowerSwitch </w:t>
      </w:r>
      <w:r w:rsidR="00B41867" w:rsidRPr="002C1B32">
        <w:rPr>
          <w:sz w:val="24"/>
          <w:szCs w:val="24"/>
        </w:rPr>
        <w:t xml:space="preserve">website </w:t>
      </w:r>
      <w:r w:rsidR="003B5F2B" w:rsidRPr="002C1B32">
        <w:rPr>
          <w:sz w:val="24"/>
          <w:szCs w:val="24"/>
        </w:rPr>
        <w:t xml:space="preserve">is a one-month introductory rate.  </w:t>
      </w:r>
      <w:r w:rsidR="00A142DA" w:rsidRPr="002C1B32">
        <w:rPr>
          <w:sz w:val="24"/>
          <w:szCs w:val="24"/>
        </w:rPr>
        <w:t>Complainant further requests the Commission direct Ambit to refund all other deceived customers and revoke Ambit’s certificate of convenience in Pennsylvania if it does not comply with Commission directives.  Further, Complainant requests the Commission investigate to see if other electricity suppliers are using similar deceptive practices.</w:t>
      </w:r>
    </w:p>
    <w:p w:rsidR="00A142DA" w:rsidRPr="002C1B32" w:rsidRDefault="00A142DA" w:rsidP="008D699F">
      <w:pPr>
        <w:spacing w:line="360" w:lineRule="auto"/>
        <w:rPr>
          <w:sz w:val="24"/>
          <w:szCs w:val="24"/>
        </w:rPr>
      </w:pPr>
    </w:p>
    <w:p w:rsidR="00A142DA" w:rsidRPr="002C1B32" w:rsidRDefault="00A142DA" w:rsidP="008D699F">
      <w:pPr>
        <w:spacing w:line="360" w:lineRule="auto"/>
        <w:rPr>
          <w:sz w:val="24"/>
          <w:szCs w:val="24"/>
        </w:rPr>
      </w:pPr>
      <w:r w:rsidRPr="002C1B32">
        <w:rPr>
          <w:sz w:val="24"/>
          <w:szCs w:val="24"/>
        </w:rPr>
        <w:tab/>
      </w:r>
      <w:r w:rsidRPr="002C1B32">
        <w:rPr>
          <w:sz w:val="24"/>
          <w:szCs w:val="24"/>
        </w:rPr>
        <w:tab/>
      </w:r>
      <w:r w:rsidR="002D0169" w:rsidRPr="002C1B32">
        <w:rPr>
          <w:sz w:val="24"/>
          <w:szCs w:val="24"/>
        </w:rPr>
        <w:t xml:space="preserve"> Complainant believed </w:t>
      </w:r>
      <w:r w:rsidRPr="002C1B32">
        <w:rPr>
          <w:sz w:val="24"/>
          <w:szCs w:val="24"/>
        </w:rPr>
        <w:t xml:space="preserve">he was being offered electric service at a fixed rate </w:t>
      </w:r>
      <w:r w:rsidR="00BF6C4F" w:rsidRPr="002C1B32">
        <w:rPr>
          <w:sz w:val="24"/>
          <w:szCs w:val="24"/>
        </w:rPr>
        <w:t>of $</w:t>
      </w:r>
      <w:r w:rsidR="00B312DE" w:rsidRPr="002C1B32">
        <w:rPr>
          <w:sz w:val="24"/>
          <w:szCs w:val="24"/>
        </w:rPr>
        <w:t>0.0</w:t>
      </w:r>
      <w:r w:rsidRPr="002C1B32">
        <w:rPr>
          <w:sz w:val="24"/>
          <w:szCs w:val="24"/>
        </w:rPr>
        <w:t>684</w:t>
      </w:r>
      <w:r w:rsidR="00B312DE" w:rsidRPr="002C1B32">
        <w:rPr>
          <w:sz w:val="24"/>
          <w:szCs w:val="24"/>
        </w:rPr>
        <w:t>/kWh</w:t>
      </w:r>
      <w:r w:rsidRPr="002C1B32">
        <w:rPr>
          <w:sz w:val="24"/>
          <w:szCs w:val="24"/>
        </w:rPr>
        <w:t xml:space="preserve"> when h</w:t>
      </w:r>
      <w:r w:rsidR="00B312DE" w:rsidRPr="002C1B32">
        <w:rPr>
          <w:sz w:val="24"/>
          <w:szCs w:val="24"/>
        </w:rPr>
        <w:t xml:space="preserve">e </w:t>
      </w:r>
      <w:r w:rsidR="00B55386" w:rsidRPr="002C1B32">
        <w:rPr>
          <w:sz w:val="24"/>
          <w:szCs w:val="24"/>
        </w:rPr>
        <w:t xml:space="preserve">executed a contract </w:t>
      </w:r>
      <w:r w:rsidR="00B312DE" w:rsidRPr="002C1B32">
        <w:rPr>
          <w:sz w:val="24"/>
          <w:szCs w:val="24"/>
        </w:rPr>
        <w:t>with Respondent</w:t>
      </w:r>
      <w:r w:rsidR="00B55386" w:rsidRPr="002C1B32">
        <w:rPr>
          <w:sz w:val="24"/>
          <w:szCs w:val="24"/>
        </w:rPr>
        <w:t xml:space="preserve"> in January, 2013</w:t>
      </w:r>
      <w:r w:rsidR="00B312DE" w:rsidRPr="002C1B32">
        <w:rPr>
          <w:sz w:val="24"/>
          <w:szCs w:val="24"/>
        </w:rPr>
        <w:t>.  I</w:t>
      </w:r>
      <w:r w:rsidRPr="002C1B32">
        <w:rPr>
          <w:sz w:val="24"/>
          <w:szCs w:val="24"/>
        </w:rPr>
        <w:t xml:space="preserve">n fact, this was a variable introductory rate for only one month.  Complainant avers he was charged a higher rate of </w:t>
      </w:r>
      <w:r w:rsidR="00B312DE" w:rsidRPr="002C1B32">
        <w:rPr>
          <w:sz w:val="24"/>
          <w:szCs w:val="24"/>
        </w:rPr>
        <w:t>$0.0</w:t>
      </w:r>
      <w:r w:rsidRPr="002C1B32">
        <w:rPr>
          <w:sz w:val="24"/>
          <w:szCs w:val="24"/>
        </w:rPr>
        <w:t>739</w:t>
      </w:r>
      <w:r w:rsidR="00B312DE" w:rsidRPr="002C1B32">
        <w:rPr>
          <w:sz w:val="24"/>
          <w:szCs w:val="24"/>
        </w:rPr>
        <w:t>/kWh</w:t>
      </w:r>
      <w:r w:rsidRPr="002C1B32">
        <w:rPr>
          <w:sz w:val="24"/>
          <w:szCs w:val="24"/>
        </w:rPr>
        <w:t xml:space="preserve"> the first month and when he contacted the company, he was issued a refund of the difference between 7.39 and 6.84 cents for the first month of service.  The second month, </w:t>
      </w:r>
      <w:r w:rsidRPr="002C1B32">
        <w:rPr>
          <w:sz w:val="24"/>
          <w:szCs w:val="24"/>
        </w:rPr>
        <w:lastRenderedPageBreak/>
        <w:t xml:space="preserve">Complainant was billed at a rate of </w:t>
      </w:r>
      <w:r w:rsidR="00B312DE" w:rsidRPr="002C1B32">
        <w:rPr>
          <w:sz w:val="24"/>
          <w:szCs w:val="24"/>
        </w:rPr>
        <w:t>$0.0</w:t>
      </w:r>
      <w:r w:rsidRPr="002C1B32">
        <w:rPr>
          <w:sz w:val="24"/>
          <w:szCs w:val="24"/>
        </w:rPr>
        <w:t>739</w:t>
      </w:r>
      <w:r w:rsidR="00B312DE" w:rsidRPr="002C1B32">
        <w:rPr>
          <w:sz w:val="24"/>
          <w:szCs w:val="24"/>
        </w:rPr>
        <w:t>/kWh</w:t>
      </w:r>
      <w:r w:rsidRPr="002C1B32">
        <w:rPr>
          <w:sz w:val="24"/>
          <w:szCs w:val="24"/>
        </w:rPr>
        <w:t>.  When Complainant contacted Ambit, he was told that the introductory rate of</w:t>
      </w:r>
      <w:r w:rsidR="00B312DE" w:rsidRPr="002C1B32">
        <w:rPr>
          <w:sz w:val="24"/>
          <w:szCs w:val="24"/>
        </w:rPr>
        <w:t xml:space="preserve"> $0.0</w:t>
      </w:r>
      <w:r w:rsidRPr="002C1B32">
        <w:rPr>
          <w:sz w:val="24"/>
          <w:szCs w:val="24"/>
        </w:rPr>
        <w:t>684</w:t>
      </w:r>
      <w:r w:rsidR="00B312DE" w:rsidRPr="002C1B32">
        <w:rPr>
          <w:sz w:val="24"/>
          <w:szCs w:val="24"/>
        </w:rPr>
        <w:t xml:space="preserve">/kWh </w:t>
      </w:r>
      <w:r w:rsidRPr="002C1B32">
        <w:rPr>
          <w:sz w:val="24"/>
          <w:szCs w:val="24"/>
        </w:rPr>
        <w:t xml:space="preserve">expired after the first month of service, and now he was subject to variable rates.  Complainant </w:t>
      </w:r>
      <w:r w:rsidR="00B55386" w:rsidRPr="002C1B32">
        <w:rPr>
          <w:sz w:val="24"/>
          <w:szCs w:val="24"/>
        </w:rPr>
        <w:t>terminated</w:t>
      </w:r>
      <w:r w:rsidRPr="002C1B32">
        <w:rPr>
          <w:sz w:val="24"/>
          <w:szCs w:val="24"/>
        </w:rPr>
        <w:t xml:space="preserve"> his </w:t>
      </w:r>
      <w:r w:rsidR="00B55386" w:rsidRPr="002C1B32">
        <w:rPr>
          <w:sz w:val="24"/>
          <w:szCs w:val="24"/>
        </w:rPr>
        <w:t>contract</w:t>
      </w:r>
      <w:r w:rsidRPr="002C1B32">
        <w:rPr>
          <w:sz w:val="24"/>
          <w:szCs w:val="24"/>
        </w:rPr>
        <w:t xml:space="preserve"> and filed the instant complaint.</w:t>
      </w:r>
    </w:p>
    <w:p w:rsidR="00A142DA" w:rsidRPr="002C1B32" w:rsidRDefault="00A142DA" w:rsidP="008D699F">
      <w:pPr>
        <w:spacing w:line="360" w:lineRule="auto"/>
        <w:rPr>
          <w:sz w:val="24"/>
          <w:szCs w:val="24"/>
        </w:rPr>
      </w:pPr>
    </w:p>
    <w:p w:rsidR="006D4337" w:rsidRPr="002C1B32" w:rsidRDefault="00647EF2" w:rsidP="008D699F">
      <w:pPr>
        <w:spacing w:line="360" w:lineRule="auto"/>
        <w:rPr>
          <w:sz w:val="24"/>
          <w:szCs w:val="24"/>
        </w:rPr>
      </w:pPr>
      <w:r w:rsidRPr="002C1B32">
        <w:rPr>
          <w:sz w:val="24"/>
          <w:szCs w:val="24"/>
        </w:rPr>
        <w:tab/>
      </w:r>
      <w:r w:rsidRPr="002C1B32">
        <w:rPr>
          <w:sz w:val="24"/>
          <w:szCs w:val="24"/>
        </w:rPr>
        <w:tab/>
      </w:r>
      <w:r w:rsidR="00410792" w:rsidRPr="002C1B32">
        <w:rPr>
          <w:sz w:val="24"/>
          <w:szCs w:val="24"/>
        </w:rPr>
        <w:t xml:space="preserve">On April 15, 2013, the complaint was served upon Respondent.  </w:t>
      </w:r>
      <w:r w:rsidR="00580E5F" w:rsidRPr="002C1B32">
        <w:rPr>
          <w:sz w:val="24"/>
          <w:szCs w:val="24"/>
        </w:rPr>
        <w:t>Ambit</w:t>
      </w:r>
      <w:r w:rsidR="00D903A7" w:rsidRPr="002C1B32">
        <w:rPr>
          <w:sz w:val="24"/>
          <w:szCs w:val="24"/>
        </w:rPr>
        <w:t xml:space="preserve"> </w:t>
      </w:r>
      <w:r w:rsidR="001B0EF6" w:rsidRPr="002C1B32">
        <w:rPr>
          <w:sz w:val="24"/>
          <w:szCs w:val="24"/>
        </w:rPr>
        <w:t>fil</w:t>
      </w:r>
      <w:r w:rsidR="00D903A7" w:rsidRPr="002C1B32">
        <w:rPr>
          <w:sz w:val="24"/>
          <w:szCs w:val="24"/>
        </w:rPr>
        <w:t>ed an Answer</w:t>
      </w:r>
      <w:r w:rsidR="00860E3B" w:rsidRPr="002C1B32">
        <w:rPr>
          <w:rStyle w:val="FootnoteReference"/>
          <w:sz w:val="24"/>
          <w:szCs w:val="24"/>
        </w:rPr>
        <w:footnoteReference w:id="1"/>
      </w:r>
      <w:r w:rsidR="00D903A7" w:rsidRPr="002C1B32">
        <w:rPr>
          <w:sz w:val="24"/>
          <w:szCs w:val="24"/>
        </w:rPr>
        <w:t xml:space="preserve"> to the Complaint denying negligent billing practices.  </w:t>
      </w:r>
      <w:r w:rsidR="00580E5F" w:rsidRPr="002C1B32">
        <w:rPr>
          <w:sz w:val="24"/>
          <w:szCs w:val="24"/>
        </w:rPr>
        <w:t>Ambit</w:t>
      </w:r>
      <w:r w:rsidR="00D903A7" w:rsidRPr="002C1B32">
        <w:rPr>
          <w:sz w:val="24"/>
          <w:szCs w:val="24"/>
        </w:rPr>
        <w:t xml:space="preserve"> admits Complainant enrolled for service on </w:t>
      </w:r>
      <w:r w:rsidR="00B312DE" w:rsidRPr="002C1B32">
        <w:rPr>
          <w:sz w:val="24"/>
          <w:szCs w:val="24"/>
        </w:rPr>
        <w:t>January 10, 2013 and that he was enrolled in the Keystone Select Variable Plan, a variable-priced product.  Respondent admits that it erroneously charged Complainant at the variable rate instead of the lower introductory rate for the servi</w:t>
      </w:r>
      <w:r w:rsidR="00FB02CD">
        <w:rPr>
          <w:sz w:val="24"/>
          <w:szCs w:val="24"/>
        </w:rPr>
        <w:t>ce period </w:t>
      </w:r>
      <w:r w:rsidR="00B312DE" w:rsidRPr="002C1B32">
        <w:rPr>
          <w:sz w:val="24"/>
          <w:szCs w:val="24"/>
        </w:rPr>
        <w:t>1/10/13 – 2/8/13.  However, when Complainant contacted Respondent, the Customer Service Representative promptly adjusted Complainant’s account and issued a credit of $11.75.  Ambit contends it properly discloses the nature of Complainant’s rate plan in accordance with the Public Utility Code and that it immediately remedied an erroneous overcharge to Complainant’s account.  Ambit</w:t>
      </w:r>
      <w:r w:rsidR="00D903A7" w:rsidRPr="002C1B32">
        <w:rPr>
          <w:sz w:val="24"/>
          <w:szCs w:val="24"/>
        </w:rPr>
        <w:t xml:space="preserve"> denies it </w:t>
      </w:r>
      <w:r w:rsidR="00B312DE" w:rsidRPr="002C1B32">
        <w:rPr>
          <w:sz w:val="24"/>
          <w:szCs w:val="24"/>
        </w:rPr>
        <w:t>engaged in deceptive advertising.</w:t>
      </w:r>
    </w:p>
    <w:p w:rsidR="006D4337" w:rsidRPr="002C1B32" w:rsidRDefault="006D4337" w:rsidP="008D699F">
      <w:pPr>
        <w:spacing w:line="360" w:lineRule="auto"/>
        <w:rPr>
          <w:sz w:val="24"/>
          <w:szCs w:val="24"/>
        </w:rPr>
      </w:pPr>
    </w:p>
    <w:p w:rsidR="005C734F" w:rsidRPr="002C1B32" w:rsidRDefault="001B0EF6" w:rsidP="008D699F">
      <w:pPr>
        <w:spacing w:line="360" w:lineRule="auto"/>
        <w:rPr>
          <w:sz w:val="24"/>
          <w:szCs w:val="24"/>
        </w:rPr>
      </w:pPr>
      <w:r w:rsidRPr="002C1B32">
        <w:rPr>
          <w:sz w:val="24"/>
          <w:szCs w:val="24"/>
        </w:rPr>
        <w:tab/>
      </w:r>
      <w:r w:rsidRPr="002C1B32">
        <w:rPr>
          <w:sz w:val="24"/>
          <w:szCs w:val="24"/>
        </w:rPr>
        <w:tab/>
        <w:t xml:space="preserve">On </w:t>
      </w:r>
      <w:r w:rsidR="00860E3B" w:rsidRPr="002C1B32">
        <w:rPr>
          <w:sz w:val="24"/>
          <w:szCs w:val="24"/>
        </w:rPr>
        <w:t>July 15, 2013</w:t>
      </w:r>
      <w:r w:rsidRPr="002C1B32">
        <w:rPr>
          <w:sz w:val="24"/>
          <w:szCs w:val="24"/>
        </w:rPr>
        <w:t xml:space="preserve">, a Notice of telephonic hearing was issued by the Office of Administrative Law Judge (OALJ) setting </w:t>
      </w:r>
      <w:r w:rsidR="00860E3B" w:rsidRPr="002C1B32">
        <w:rPr>
          <w:sz w:val="24"/>
          <w:szCs w:val="24"/>
        </w:rPr>
        <w:t>August 22, 2013</w:t>
      </w:r>
      <w:r w:rsidRPr="002C1B32">
        <w:rPr>
          <w:sz w:val="24"/>
          <w:szCs w:val="24"/>
        </w:rPr>
        <w:t>, as the date for the hearing in this matter.</w:t>
      </w:r>
      <w:r w:rsidR="00F03DF4">
        <w:rPr>
          <w:sz w:val="24"/>
          <w:szCs w:val="24"/>
        </w:rPr>
        <w:t xml:space="preserve">  </w:t>
      </w:r>
      <w:r w:rsidRPr="002C1B32">
        <w:rPr>
          <w:sz w:val="24"/>
          <w:szCs w:val="24"/>
        </w:rPr>
        <w:t xml:space="preserve">On </w:t>
      </w:r>
      <w:r w:rsidR="00860E3B" w:rsidRPr="002C1B32">
        <w:rPr>
          <w:sz w:val="24"/>
          <w:szCs w:val="24"/>
        </w:rPr>
        <w:t>July 16,</w:t>
      </w:r>
      <w:r w:rsidR="006241B6" w:rsidRPr="002C1B32">
        <w:rPr>
          <w:sz w:val="24"/>
          <w:szCs w:val="24"/>
        </w:rPr>
        <w:t xml:space="preserve"> 201</w:t>
      </w:r>
      <w:r w:rsidR="00860E3B" w:rsidRPr="002C1B32">
        <w:rPr>
          <w:sz w:val="24"/>
          <w:szCs w:val="24"/>
        </w:rPr>
        <w:t>3</w:t>
      </w:r>
      <w:r w:rsidRPr="002C1B32">
        <w:rPr>
          <w:sz w:val="24"/>
          <w:szCs w:val="24"/>
        </w:rPr>
        <w:t xml:space="preserve">, a Prehearing Order was issued by the </w:t>
      </w:r>
      <w:r w:rsidR="00A26275" w:rsidRPr="002C1B32">
        <w:rPr>
          <w:sz w:val="24"/>
          <w:szCs w:val="24"/>
        </w:rPr>
        <w:t>presiding officer</w:t>
      </w:r>
      <w:r w:rsidRPr="002C1B32">
        <w:rPr>
          <w:sz w:val="24"/>
          <w:szCs w:val="24"/>
        </w:rPr>
        <w:t xml:space="preserve">, stressing to </w:t>
      </w:r>
      <w:r w:rsidR="00860E3B" w:rsidRPr="002C1B32">
        <w:rPr>
          <w:sz w:val="24"/>
          <w:szCs w:val="24"/>
        </w:rPr>
        <w:t>Ambit</w:t>
      </w:r>
      <w:r w:rsidRPr="002C1B32">
        <w:rPr>
          <w:sz w:val="24"/>
          <w:szCs w:val="24"/>
        </w:rPr>
        <w:t xml:space="preserve"> that </w:t>
      </w:r>
      <w:r w:rsidR="003A0395">
        <w:rPr>
          <w:sz w:val="24"/>
          <w:szCs w:val="24"/>
        </w:rPr>
        <w:t>pursuant to 52 Pa.</w:t>
      </w:r>
      <w:r w:rsidR="006241B6" w:rsidRPr="002C1B32">
        <w:rPr>
          <w:sz w:val="24"/>
          <w:szCs w:val="24"/>
        </w:rPr>
        <w:t xml:space="preserve">Code § 1.21 &amp; 1.22, it must have an attorney licensed to practice law in the Commonwealth of Pennsylvania, or admitted </w:t>
      </w:r>
      <w:r w:rsidR="006241B6" w:rsidRPr="002C1B32">
        <w:rPr>
          <w:i/>
          <w:sz w:val="24"/>
          <w:szCs w:val="24"/>
        </w:rPr>
        <w:t>Pro Hac Vice,</w:t>
      </w:r>
      <w:r w:rsidR="006241B6" w:rsidRPr="002C1B32">
        <w:rPr>
          <w:sz w:val="24"/>
          <w:szCs w:val="24"/>
        </w:rPr>
        <w:t xml:space="preserve"> representing it in this proceeding.  On </w:t>
      </w:r>
      <w:r w:rsidR="00860E3B" w:rsidRPr="002C1B32">
        <w:rPr>
          <w:sz w:val="24"/>
          <w:szCs w:val="24"/>
        </w:rPr>
        <w:t>August 15, 2013, Deanne M. O’Dell</w:t>
      </w:r>
      <w:r w:rsidR="006241B6" w:rsidRPr="002C1B32">
        <w:rPr>
          <w:sz w:val="24"/>
          <w:szCs w:val="24"/>
        </w:rPr>
        <w:t xml:space="preserve">, Esquire, on behalf of </w:t>
      </w:r>
      <w:r w:rsidR="00860E3B" w:rsidRPr="002C1B32">
        <w:rPr>
          <w:sz w:val="24"/>
          <w:szCs w:val="24"/>
        </w:rPr>
        <w:t>Ambit</w:t>
      </w:r>
      <w:r w:rsidR="00F03DF4">
        <w:rPr>
          <w:sz w:val="24"/>
          <w:szCs w:val="24"/>
        </w:rPr>
        <w:t>,</w:t>
      </w:r>
      <w:r w:rsidR="006241B6" w:rsidRPr="002C1B32">
        <w:rPr>
          <w:sz w:val="24"/>
          <w:szCs w:val="24"/>
        </w:rPr>
        <w:t xml:space="preserve"> filed </w:t>
      </w:r>
      <w:r w:rsidR="0080154C" w:rsidRPr="002C1B32">
        <w:rPr>
          <w:sz w:val="24"/>
          <w:szCs w:val="24"/>
        </w:rPr>
        <w:t xml:space="preserve">a </w:t>
      </w:r>
      <w:r w:rsidR="00126607" w:rsidRPr="002C1B32">
        <w:rPr>
          <w:sz w:val="24"/>
          <w:szCs w:val="24"/>
        </w:rPr>
        <w:t>Notice of Appearance</w:t>
      </w:r>
      <w:r w:rsidR="001D7AEF" w:rsidRPr="002C1B32">
        <w:rPr>
          <w:sz w:val="24"/>
          <w:szCs w:val="24"/>
        </w:rPr>
        <w:t xml:space="preserve">.  </w:t>
      </w:r>
      <w:r w:rsidR="00860E3B" w:rsidRPr="002C1B32">
        <w:rPr>
          <w:sz w:val="24"/>
          <w:szCs w:val="24"/>
        </w:rPr>
        <w:t>Ms. O’Dell is an attorney licensed to practice law in the Commonwealth of Pennsylvania.</w:t>
      </w:r>
    </w:p>
    <w:p w:rsidR="00860E3B" w:rsidRPr="002C1B32" w:rsidRDefault="00860E3B" w:rsidP="008D699F">
      <w:pPr>
        <w:spacing w:line="360" w:lineRule="auto"/>
        <w:rPr>
          <w:sz w:val="24"/>
          <w:szCs w:val="24"/>
        </w:rPr>
      </w:pPr>
    </w:p>
    <w:p w:rsidR="005C734F" w:rsidRPr="002C1B32" w:rsidRDefault="005C734F" w:rsidP="008D699F">
      <w:pPr>
        <w:spacing w:line="360" w:lineRule="auto"/>
        <w:rPr>
          <w:sz w:val="24"/>
          <w:szCs w:val="24"/>
        </w:rPr>
      </w:pPr>
      <w:r w:rsidRPr="002C1B32">
        <w:rPr>
          <w:sz w:val="24"/>
          <w:szCs w:val="24"/>
        </w:rPr>
        <w:tab/>
      </w:r>
      <w:r w:rsidRPr="002C1B32">
        <w:rPr>
          <w:sz w:val="24"/>
          <w:szCs w:val="24"/>
        </w:rPr>
        <w:tab/>
      </w:r>
      <w:r w:rsidR="00126607" w:rsidRPr="002C1B32">
        <w:rPr>
          <w:sz w:val="24"/>
          <w:szCs w:val="24"/>
        </w:rPr>
        <w:t>O</w:t>
      </w:r>
      <w:r w:rsidR="007E069F" w:rsidRPr="002C1B32">
        <w:rPr>
          <w:sz w:val="24"/>
          <w:szCs w:val="24"/>
        </w:rPr>
        <w:t xml:space="preserve">n </w:t>
      </w:r>
      <w:r w:rsidR="00860E3B" w:rsidRPr="002C1B32">
        <w:rPr>
          <w:sz w:val="24"/>
          <w:szCs w:val="24"/>
        </w:rPr>
        <w:t>August 15, 2013, Ambit</w:t>
      </w:r>
      <w:r w:rsidR="007B14BD" w:rsidRPr="002C1B32">
        <w:rPr>
          <w:sz w:val="24"/>
          <w:szCs w:val="24"/>
        </w:rPr>
        <w:t xml:space="preserve"> served its </w:t>
      </w:r>
      <w:r w:rsidR="00860E3B" w:rsidRPr="002C1B32">
        <w:rPr>
          <w:sz w:val="24"/>
          <w:szCs w:val="24"/>
        </w:rPr>
        <w:t>five</w:t>
      </w:r>
      <w:r w:rsidR="00627AAE" w:rsidRPr="002C1B32">
        <w:rPr>
          <w:sz w:val="24"/>
          <w:szCs w:val="24"/>
        </w:rPr>
        <w:t xml:space="preserve"> </w:t>
      </w:r>
      <w:r w:rsidR="007B14BD" w:rsidRPr="002C1B32">
        <w:rPr>
          <w:sz w:val="24"/>
          <w:szCs w:val="24"/>
        </w:rPr>
        <w:t>proposed hearing exhibits on Complainant with copies provided to the Presiding Officer.</w:t>
      </w:r>
    </w:p>
    <w:p w:rsidR="007B14BD" w:rsidRPr="002C1B32" w:rsidRDefault="007B14BD" w:rsidP="008D699F">
      <w:pPr>
        <w:spacing w:line="360" w:lineRule="auto"/>
        <w:rPr>
          <w:sz w:val="24"/>
          <w:szCs w:val="24"/>
        </w:rPr>
      </w:pPr>
    </w:p>
    <w:p w:rsidR="007B14BD" w:rsidRPr="002C1B32" w:rsidRDefault="007B14BD" w:rsidP="008D699F">
      <w:pPr>
        <w:spacing w:line="360" w:lineRule="auto"/>
        <w:rPr>
          <w:sz w:val="24"/>
          <w:szCs w:val="24"/>
        </w:rPr>
      </w:pPr>
      <w:r w:rsidRPr="002C1B32">
        <w:rPr>
          <w:sz w:val="24"/>
          <w:szCs w:val="24"/>
        </w:rPr>
        <w:lastRenderedPageBreak/>
        <w:tab/>
      </w:r>
      <w:r w:rsidRPr="002C1B32">
        <w:rPr>
          <w:sz w:val="24"/>
          <w:szCs w:val="24"/>
        </w:rPr>
        <w:tab/>
      </w:r>
      <w:r w:rsidR="00C57D9D" w:rsidRPr="002C1B32">
        <w:rPr>
          <w:sz w:val="24"/>
          <w:szCs w:val="24"/>
        </w:rPr>
        <w:t xml:space="preserve">On </w:t>
      </w:r>
      <w:r w:rsidR="00860E3B" w:rsidRPr="002C1B32">
        <w:rPr>
          <w:sz w:val="24"/>
          <w:szCs w:val="24"/>
        </w:rPr>
        <w:t>August 22, 2013</w:t>
      </w:r>
      <w:r w:rsidR="00C57D9D" w:rsidRPr="002C1B32">
        <w:rPr>
          <w:sz w:val="24"/>
          <w:szCs w:val="24"/>
        </w:rPr>
        <w:t xml:space="preserve">, a telephonic hearing took place, originating from the Commission’s Harrisburg office.  </w:t>
      </w:r>
      <w:r w:rsidR="00126607" w:rsidRPr="002C1B32">
        <w:rPr>
          <w:sz w:val="24"/>
          <w:szCs w:val="24"/>
        </w:rPr>
        <w:t xml:space="preserve">Complainant </w:t>
      </w:r>
      <w:r w:rsidR="00C57D9D" w:rsidRPr="002C1B32">
        <w:rPr>
          <w:sz w:val="24"/>
          <w:szCs w:val="24"/>
        </w:rPr>
        <w:t xml:space="preserve">testified on </w:t>
      </w:r>
      <w:r w:rsidR="00126607" w:rsidRPr="002C1B32">
        <w:rPr>
          <w:sz w:val="24"/>
          <w:szCs w:val="24"/>
        </w:rPr>
        <w:t>h</w:t>
      </w:r>
      <w:r w:rsidR="00860E3B" w:rsidRPr="002C1B32">
        <w:rPr>
          <w:sz w:val="24"/>
          <w:szCs w:val="24"/>
        </w:rPr>
        <w:t>is</w:t>
      </w:r>
      <w:r w:rsidR="00C57D9D" w:rsidRPr="002C1B32">
        <w:rPr>
          <w:sz w:val="24"/>
          <w:szCs w:val="24"/>
        </w:rPr>
        <w:t xml:space="preserve"> own behalf.  </w:t>
      </w:r>
      <w:r w:rsidR="00640749" w:rsidRPr="002C1B32">
        <w:rPr>
          <w:sz w:val="24"/>
          <w:szCs w:val="24"/>
        </w:rPr>
        <w:t>H</w:t>
      </w:r>
      <w:r w:rsidR="00126607" w:rsidRPr="002C1B32">
        <w:rPr>
          <w:sz w:val="24"/>
          <w:szCs w:val="24"/>
        </w:rPr>
        <w:t>e</w:t>
      </w:r>
      <w:r w:rsidR="00C57D9D" w:rsidRPr="002C1B32">
        <w:rPr>
          <w:sz w:val="24"/>
          <w:szCs w:val="24"/>
        </w:rPr>
        <w:t xml:space="preserve"> offered </w:t>
      </w:r>
      <w:r w:rsidR="00640749" w:rsidRPr="002C1B32">
        <w:rPr>
          <w:sz w:val="24"/>
          <w:szCs w:val="24"/>
        </w:rPr>
        <w:t>one</w:t>
      </w:r>
      <w:r w:rsidR="00C57D9D" w:rsidRPr="002C1B32">
        <w:rPr>
          <w:sz w:val="24"/>
          <w:szCs w:val="24"/>
        </w:rPr>
        <w:t xml:space="preserve"> exhibit.  Attorney </w:t>
      </w:r>
      <w:r w:rsidR="00640749" w:rsidRPr="002C1B32">
        <w:rPr>
          <w:sz w:val="24"/>
          <w:szCs w:val="24"/>
        </w:rPr>
        <w:t>O’Dell</w:t>
      </w:r>
      <w:r w:rsidR="00C57D9D" w:rsidRPr="002C1B32">
        <w:rPr>
          <w:sz w:val="24"/>
          <w:szCs w:val="24"/>
        </w:rPr>
        <w:t xml:space="preserve"> represented </w:t>
      </w:r>
      <w:r w:rsidR="00640749" w:rsidRPr="002C1B32">
        <w:rPr>
          <w:sz w:val="24"/>
          <w:szCs w:val="24"/>
        </w:rPr>
        <w:t>Ambit</w:t>
      </w:r>
      <w:r w:rsidR="00126607" w:rsidRPr="002C1B32">
        <w:rPr>
          <w:sz w:val="24"/>
          <w:szCs w:val="24"/>
        </w:rPr>
        <w:t xml:space="preserve"> </w:t>
      </w:r>
      <w:r w:rsidR="00C57D9D" w:rsidRPr="002C1B32">
        <w:rPr>
          <w:sz w:val="24"/>
          <w:szCs w:val="24"/>
        </w:rPr>
        <w:t xml:space="preserve">and presented the testimony of </w:t>
      </w:r>
      <w:r w:rsidR="00640749" w:rsidRPr="002C1B32">
        <w:rPr>
          <w:sz w:val="24"/>
          <w:szCs w:val="24"/>
        </w:rPr>
        <w:t>Paul Colter</w:t>
      </w:r>
      <w:r w:rsidR="00F8377E" w:rsidRPr="002C1B32">
        <w:rPr>
          <w:sz w:val="24"/>
          <w:szCs w:val="24"/>
        </w:rPr>
        <w:t xml:space="preserve">, </w:t>
      </w:r>
      <w:r w:rsidR="00640749" w:rsidRPr="002C1B32">
        <w:rPr>
          <w:sz w:val="24"/>
          <w:szCs w:val="24"/>
        </w:rPr>
        <w:t>an employee of Ambit responsible for responding to customer complaints</w:t>
      </w:r>
      <w:r w:rsidR="00867312">
        <w:rPr>
          <w:sz w:val="24"/>
          <w:szCs w:val="24"/>
        </w:rPr>
        <w:t>.</w:t>
      </w:r>
      <w:r w:rsidR="00640749" w:rsidRPr="002C1B32">
        <w:rPr>
          <w:sz w:val="24"/>
          <w:szCs w:val="24"/>
        </w:rPr>
        <w:t xml:space="preserve">  N.T. 32.</w:t>
      </w:r>
      <w:r w:rsidR="00F8377E" w:rsidRPr="002C1B32">
        <w:rPr>
          <w:sz w:val="24"/>
          <w:szCs w:val="24"/>
        </w:rPr>
        <w:t xml:space="preserve">  </w:t>
      </w:r>
      <w:r w:rsidR="00410792" w:rsidRPr="002C1B32">
        <w:rPr>
          <w:sz w:val="24"/>
          <w:szCs w:val="24"/>
        </w:rPr>
        <w:t>A transcript was entered a</w:t>
      </w:r>
      <w:r w:rsidR="003A0395">
        <w:rPr>
          <w:sz w:val="24"/>
          <w:szCs w:val="24"/>
        </w:rPr>
        <w:t>nd the record closed on October 1, </w:t>
      </w:r>
      <w:r w:rsidR="00410792" w:rsidRPr="002C1B32">
        <w:rPr>
          <w:sz w:val="24"/>
          <w:szCs w:val="24"/>
        </w:rPr>
        <w:t>2013.  This case is ripe for a decision.</w:t>
      </w:r>
    </w:p>
    <w:p w:rsidR="006C5928" w:rsidRDefault="006C5928" w:rsidP="00CF122C">
      <w:pPr>
        <w:rPr>
          <w:sz w:val="24"/>
          <w:szCs w:val="24"/>
        </w:rPr>
      </w:pPr>
    </w:p>
    <w:p w:rsidR="00CF122C" w:rsidRPr="002C1B32" w:rsidRDefault="00CF122C" w:rsidP="00CF122C">
      <w:pPr>
        <w:rPr>
          <w:sz w:val="24"/>
          <w:szCs w:val="24"/>
        </w:rPr>
      </w:pPr>
    </w:p>
    <w:p w:rsidR="00BE2FC0" w:rsidRPr="002C1B32" w:rsidRDefault="006C5928" w:rsidP="008D699F">
      <w:pPr>
        <w:spacing w:line="360" w:lineRule="auto"/>
        <w:jc w:val="center"/>
        <w:rPr>
          <w:sz w:val="24"/>
          <w:szCs w:val="24"/>
        </w:rPr>
      </w:pPr>
      <w:r w:rsidRPr="002C1B32">
        <w:rPr>
          <w:sz w:val="24"/>
          <w:szCs w:val="24"/>
          <w:u w:val="single"/>
        </w:rPr>
        <w:t>FINDINGS OF FACT</w:t>
      </w:r>
    </w:p>
    <w:p w:rsidR="006C5928" w:rsidRPr="002C1B32" w:rsidRDefault="006C5928" w:rsidP="008D699F">
      <w:pPr>
        <w:spacing w:line="360" w:lineRule="auto"/>
        <w:jc w:val="center"/>
        <w:rPr>
          <w:sz w:val="24"/>
          <w:szCs w:val="24"/>
        </w:rPr>
      </w:pPr>
    </w:p>
    <w:p w:rsidR="006C5928" w:rsidRPr="002C1B32" w:rsidRDefault="000006BA" w:rsidP="008D699F">
      <w:pPr>
        <w:spacing w:line="360" w:lineRule="auto"/>
        <w:rPr>
          <w:sz w:val="24"/>
          <w:szCs w:val="24"/>
        </w:rPr>
      </w:pPr>
      <w:r w:rsidRPr="002C1B32">
        <w:rPr>
          <w:sz w:val="24"/>
          <w:szCs w:val="24"/>
        </w:rPr>
        <w:tab/>
      </w:r>
      <w:r w:rsidRPr="002C1B32">
        <w:rPr>
          <w:sz w:val="24"/>
          <w:szCs w:val="24"/>
        </w:rPr>
        <w:tab/>
        <w:t>1.</w:t>
      </w:r>
      <w:r w:rsidRPr="002C1B32">
        <w:rPr>
          <w:sz w:val="24"/>
          <w:szCs w:val="24"/>
        </w:rPr>
        <w:tab/>
        <w:t>Complainant</w:t>
      </w:r>
      <w:r w:rsidR="000E5FB2" w:rsidRPr="002C1B32">
        <w:rPr>
          <w:sz w:val="24"/>
          <w:szCs w:val="24"/>
        </w:rPr>
        <w:t xml:space="preserve"> </w:t>
      </w:r>
      <w:r w:rsidR="00F8377E" w:rsidRPr="002C1B32">
        <w:rPr>
          <w:sz w:val="24"/>
          <w:szCs w:val="24"/>
        </w:rPr>
        <w:t xml:space="preserve">is </w:t>
      </w:r>
      <w:r w:rsidR="00640749" w:rsidRPr="002C1B32">
        <w:rPr>
          <w:sz w:val="24"/>
          <w:szCs w:val="24"/>
        </w:rPr>
        <w:t>Curtis Hoke</w:t>
      </w:r>
      <w:r w:rsidRPr="002C1B32">
        <w:rPr>
          <w:sz w:val="24"/>
          <w:szCs w:val="24"/>
        </w:rPr>
        <w:t xml:space="preserve">, </w:t>
      </w:r>
      <w:r w:rsidR="00141AFE" w:rsidRPr="002C1B32">
        <w:rPr>
          <w:sz w:val="24"/>
          <w:szCs w:val="24"/>
        </w:rPr>
        <w:t xml:space="preserve">whose service address is </w:t>
      </w:r>
      <w:r w:rsidR="00640749" w:rsidRPr="002C1B32">
        <w:rPr>
          <w:sz w:val="24"/>
          <w:szCs w:val="24"/>
        </w:rPr>
        <w:t>12 Meadowview Drive, Elverson, PA 19520</w:t>
      </w:r>
      <w:r w:rsidR="00141AFE" w:rsidRPr="002C1B32">
        <w:rPr>
          <w:sz w:val="24"/>
          <w:szCs w:val="24"/>
        </w:rPr>
        <w:t>.</w:t>
      </w:r>
      <w:r w:rsidR="00627AAE" w:rsidRPr="002C1B32">
        <w:rPr>
          <w:sz w:val="24"/>
          <w:szCs w:val="24"/>
        </w:rPr>
        <w:t xml:space="preserve">  </w:t>
      </w:r>
      <w:r w:rsidR="00640749" w:rsidRPr="002C1B32">
        <w:rPr>
          <w:sz w:val="24"/>
          <w:szCs w:val="24"/>
        </w:rPr>
        <w:t>N.T. 5.</w:t>
      </w:r>
    </w:p>
    <w:p w:rsidR="00ED3EC8" w:rsidRPr="002C1B32" w:rsidRDefault="00ED3EC8" w:rsidP="008D699F">
      <w:pPr>
        <w:spacing w:line="360" w:lineRule="auto"/>
        <w:jc w:val="center"/>
        <w:rPr>
          <w:b/>
          <w:sz w:val="24"/>
          <w:szCs w:val="24"/>
        </w:rPr>
      </w:pPr>
    </w:p>
    <w:p w:rsidR="00141AFE" w:rsidRPr="002C1B32" w:rsidRDefault="00ED3EC8" w:rsidP="008D699F">
      <w:pPr>
        <w:spacing w:line="360" w:lineRule="auto"/>
        <w:rPr>
          <w:sz w:val="24"/>
          <w:szCs w:val="24"/>
        </w:rPr>
      </w:pPr>
      <w:r w:rsidRPr="002C1B32">
        <w:rPr>
          <w:sz w:val="24"/>
          <w:szCs w:val="24"/>
        </w:rPr>
        <w:tab/>
      </w:r>
      <w:r w:rsidRPr="002C1B32">
        <w:rPr>
          <w:sz w:val="24"/>
          <w:szCs w:val="24"/>
        </w:rPr>
        <w:tab/>
      </w:r>
      <w:r w:rsidR="00141AFE" w:rsidRPr="002C1B32">
        <w:rPr>
          <w:sz w:val="24"/>
          <w:szCs w:val="24"/>
        </w:rPr>
        <w:t>2.</w:t>
      </w:r>
      <w:r w:rsidR="00141AFE" w:rsidRPr="002C1B32">
        <w:rPr>
          <w:sz w:val="24"/>
          <w:szCs w:val="24"/>
        </w:rPr>
        <w:tab/>
        <w:t xml:space="preserve">Respondent is </w:t>
      </w:r>
      <w:r w:rsidR="00640749" w:rsidRPr="002C1B32">
        <w:rPr>
          <w:sz w:val="24"/>
          <w:szCs w:val="24"/>
        </w:rPr>
        <w:t>Ambit Northeast, LLC d/b/a Ambit Energy, a ju</w:t>
      </w:r>
      <w:r w:rsidR="00141AFE" w:rsidRPr="002C1B32">
        <w:rPr>
          <w:sz w:val="24"/>
          <w:szCs w:val="24"/>
        </w:rPr>
        <w:t xml:space="preserve">risdictional </w:t>
      </w:r>
      <w:r w:rsidR="00E13F2B" w:rsidRPr="002C1B32">
        <w:rPr>
          <w:sz w:val="24"/>
          <w:szCs w:val="24"/>
        </w:rPr>
        <w:t>electric generation supplier (EGS)</w:t>
      </w:r>
      <w:r w:rsidR="00141AFE" w:rsidRPr="002C1B32">
        <w:rPr>
          <w:sz w:val="24"/>
          <w:szCs w:val="24"/>
        </w:rPr>
        <w:t xml:space="preserve"> providing residential </w:t>
      </w:r>
      <w:r w:rsidR="00E13F2B" w:rsidRPr="002C1B32">
        <w:rPr>
          <w:sz w:val="24"/>
          <w:szCs w:val="24"/>
        </w:rPr>
        <w:t xml:space="preserve">electricity generation </w:t>
      </w:r>
      <w:r w:rsidR="00141AFE" w:rsidRPr="002C1B32">
        <w:rPr>
          <w:sz w:val="24"/>
          <w:szCs w:val="24"/>
        </w:rPr>
        <w:t>service in the Commonwealth of Pennsylvania</w:t>
      </w:r>
      <w:r w:rsidR="00640749" w:rsidRPr="002C1B32">
        <w:rPr>
          <w:sz w:val="24"/>
          <w:szCs w:val="24"/>
        </w:rPr>
        <w:t xml:space="preserve"> since November 5, 2010</w:t>
      </w:r>
      <w:r w:rsidR="00141AFE" w:rsidRPr="002C1B32">
        <w:rPr>
          <w:sz w:val="24"/>
          <w:szCs w:val="24"/>
        </w:rPr>
        <w:t>.</w:t>
      </w:r>
      <w:r w:rsidR="00640749" w:rsidRPr="002C1B32">
        <w:rPr>
          <w:sz w:val="24"/>
          <w:szCs w:val="24"/>
        </w:rPr>
        <w:t xml:space="preserve">  N.T. 32.</w:t>
      </w:r>
    </w:p>
    <w:p w:rsidR="00141AFE" w:rsidRPr="002C1B32" w:rsidRDefault="00141AFE" w:rsidP="008D699F">
      <w:pPr>
        <w:spacing w:line="360" w:lineRule="auto"/>
        <w:rPr>
          <w:sz w:val="24"/>
          <w:szCs w:val="24"/>
        </w:rPr>
      </w:pPr>
    </w:p>
    <w:p w:rsidR="00925C73" w:rsidRPr="002C1B32" w:rsidRDefault="00141AFE" w:rsidP="008D699F">
      <w:pPr>
        <w:spacing w:line="360" w:lineRule="auto"/>
        <w:rPr>
          <w:sz w:val="24"/>
          <w:szCs w:val="24"/>
        </w:rPr>
      </w:pPr>
      <w:r w:rsidRPr="002C1B32">
        <w:rPr>
          <w:sz w:val="24"/>
          <w:szCs w:val="24"/>
        </w:rPr>
        <w:tab/>
      </w:r>
      <w:r w:rsidRPr="002C1B32">
        <w:rPr>
          <w:sz w:val="24"/>
          <w:szCs w:val="24"/>
        </w:rPr>
        <w:tab/>
        <w:t>3.</w:t>
      </w:r>
      <w:r w:rsidRPr="002C1B32">
        <w:rPr>
          <w:sz w:val="24"/>
          <w:szCs w:val="24"/>
        </w:rPr>
        <w:tab/>
      </w:r>
      <w:r w:rsidR="00925C73" w:rsidRPr="002C1B32">
        <w:rPr>
          <w:sz w:val="24"/>
          <w:szCs w:val="24"/>
        </w:rPr>
        <w:t xml:space="preserve">PPL Electric Utilities Corporation, a jurisdictional electric </w:t>
      </w:r>
      <w:r w:rsidR="00084154" w:rsidRPr="002C1B32">
        <w:rPr>
          <w:sz w:val="24"/>
          <w:szCs w:val="24"/>
        </w:rPr>
        <w:t>distribution company</w:t>
      </w:r>
      <w:r w:rsidR="00867312">
        <w:rPr>
          <w:sz w:val="24"/>
          <w:szCs w:val="24"/>
        </w:rPr>
        <w:t xml:space="preserve"> (EDC)</w:t>
      </w:r>
      <w:r w:rsidR="00925C73" w:rsidRPr="002C1B32">
        <w:rPr>
          <w:sz w:val="24"/>
          <w:szCs w:val="24"/>
        </w:rPr>
        <w:t xml:space="preserve"> in the Commonwealth of Pennsylvania, was the Complainant</w:t>
      </w:r>
      <w:r w:rsidR="00215361" w:rsidRPr="002C1B32">
        <w:rPr>
          <w:sz w:val="24"/>
          <w:szCs w:val="24"/>
        </w:rPr>
        <w:t>’</w:t>
      </w:r>
      <w:r w:rsidR="00925C73" w:rsidRPr="002C1B32">
        <w:rPr>
          <w:sz w:val="24"/>
          <w:szCs w:val="24"/>
        </w:rPr>
        <w:t xml:space="preserve">s </w:t>
      </w:r>
      <w:r w:rsidR="00867312">
        <w:rPr>
          <w:sz w:val="24"/>
          <w:szCs w:val="24"/>
        </w:rPr>
        <w:t xml:space="preserve">default service </w:t>
      </w:r>
      <w:r w:rsidR="00925C73" w:rsidRPr="002C1B32">
        <w:rPr>
          <w:sz w:val="24"/>
          <w:szCs w:val="24"/>
        </w:rPr>
        <w:t xml:space="preserve"> supplier </w:t>
      </w:r>
      <w:r w:rsidR="00640749" w:rsidRPr="002C1B32">
        <w:rPr>
          <w:sz w:val="24"/>
          <w:szCs w:val="24"/>
        </w:rPr>
        <w:t xml:space="preserve">at the time he </w:t>
      </w:r>
      <w:r w:rsidR="00410792" w:rsidRPr="002C1B32">
        <w:rPr>
          <w:sz w:val="24"/>
          <w:szCs w:val="24"/>
        </w:rPr>
        <w:t>switched to</w:t>
      </w:r>
      <w:r w:rsidR="00640749" w:rsidRPr="002C1B32">
        <w:rPr>
          <w:sz w:val="24"/>
          <w:szCs w:val="24"/>
        </w:rPr>
        <w:t xml:space="preserve"> Ambit.  N.T. 6</w:t>
      </w:r>
      <w:r w:rsidR="00925C73" w:rsidRPr="002C1B32">
        <w:rPr>
          <w:sz w:val="24"/>
          <w:szCs w:val="24"/>
        </w:rPr>
        <w:t>.</w:t>
      </w:r>
    </w:p>
    <w:p w:rsidR="00627AAE" w:rsidRPr="002C1B32" w:rsidRDefault="00627AAE" w:rsidP="008D699F">
      <w:pPr>
        <w:spacing w:line="360" w:lineRule="auto"/>
        <w:rPr>
          <w:sz w:val="24"/>
          <w:szCs w:val="24"/>
        </w:rPr>
      </w:pPr>
    </w:p>
    <w:p w:rsidR="00B55386" w:rsidRPr="002C1B32" w:rsidRDefault="00141AFE" w:rsidP="008D699F">
      <w:pPr>
        <w:spacing w:line="360" w:lineRule="auto"/>
        <w:rPr>
          <w:sz w:val="24"/>
          <w:szCs w:val="24"/>
        </w:rPr>
      </w:pPr>
      <w:r w:rsidRPr="002C1B32">
        <w:rPr>
          <w:sz w:val="24"/>
          <w:szCs w:val="24"/>
        </w:rPr>
        <w:tab/>
      </w:r>
      <w:r w:rsidRPr="002C1B32">
        <w:rPr>
          <w:sz w:val="24"/>
          <w:szCs w:val="24"/>
        </w:rPr>
        <w:tab/>
        <w:t>4.</w:t>
      </w:r>
      <w:r w:rsidRPr="002C1B32">
        <w:rPr>
          <w:sz w:val="24"/>
          <w:szCs w:val="24"/>
        </w:rPr>
        <w:tab/>
      </w:r>
      <w:r w:rsidR="00B55386" w:rsidRPr="002C1B32">
        <w:rPr>
          <w:sz w:val="24"/>
          <w:szCs w:val="24"/>
        </w:rPr>
        <w:t>Paul Colter is a regulatory compliance specialist at Ambit responsible for responding to customer complaints</w:t>
      </w:r>
      <w:r w:rsidR="00505948">
        <w:rPr>
          <w:sz w:val="24"/>
          <w:szCs w:val="24"/>
        </w:rPr>
        <w:t>.  N.T. </w:t>
      </w:r>
      <w:r w:rsidR="00B55386" w:rsidRPr="002C1B32">
        <w:rPr>
          <w:sz w:val="24"/>
          <w:szCs w:val="24"/>
        </w:rPr>
        <w:t>31-32.</w:t>
      </w:r>
    </w:p>
    <w:p w:rsidR="00B55386" w:rsidRPr="002C1B32" w:rsidRDefault="00B55386" w:rsidP="008D699F">
      <w:pPr>
        <w:spacing w:line="360" w:lineRule="auto"/>
        <w:rPr>
          <w:sz w:val="24"/>
          <w:szCs w:val="24"/>
        </w:rPr>
      </w:pPr>
    </w:p>
    <w:p w:rsidR="00D95C0B" w:rsidRPr="002C1B32" w:rsidRDefault="00B55386" w:rsidP="00D95C0B">
      <w:pPr>
        <w:spacing w:line="360" w:lineRule="auto"/>
        <w:rPr>
          <w:sz w:val="24"/>
          <w:szCs w:val="24"/>
        </w:rPr>
      </w:pPr>
      <w:r w:rsidRPr="002C1B32">
        <w:rPr>
          <w:sz w:val="24"/>
          <w:szCs w:val="24"/>
        </w:rPr>
        <w:tab/>
      </w:r>
      <w:r w:rsidRPr="002C1B32">
        <w:rPr>
          <w:sz w:val="24"/>
          <w:szCs w:val="24"/>
        </w:rPr>
        <w:tab/>
        <w:t>5.</w:t>
      </w:r>
      <w:r w:rsidRPr="002C1B32">
        <w:rPr>
          <w:sz w:val="24"/>
          <w:szCs w:val="24"/>
        </w:rPr>
        <w:tab/>
      </w:r>
      <w:r w:rsidR="00D95C0B" w:rsidRPr="002C1B32">
        <w:rPr>
          <w:sz w:val="24"/>
          <w:szCs w:val="24"/>
        </w:rPr>
        <w:t xml:space="preserve">Complainant enrolled with Ambit as an </w:t>
      </w:r>
      <w:r w:rsidR="00867312">
        <w:rPr>
          <w:sz w:val="24"/>
          <w:szCs w:val="24"/>
        </w:rPr>
        <w:t>alternative electric generation supplier</w:t>
      </w:r>
      <w:r w:rsidR="00D95C0B" w:rsidRPr="002C1B32">
        <w:rPr>
          <w:sz w:val="24"/>
          <w:szCs w:val="24"/>
        </w:rPr>
        <w:t xml:space="preserve"> on January 10, 2013.  N.T. 6</w:t>
      </w:r>
      <w:r w:rsidR="00BF6C4F" w:rsidRPr="002C1B32">
        <w:rPr>
          <w:sz w:val="24"/>
          <w:szCs w:val="24"/>
        </w:rPr>
        <w:t>, Exhibit</w:t>
      </w:r>
      <w:r w:rsidR="00D95C0B" w:rsidRPr="002C1B32">
        <w:rPr>
          <w:sz w:val="24"/>
          <w:szCs w:val="24"/>
        </w:rPr>
        <w:t xml:space="preserve"> AE 1.</w:t>
      </w:r>
    </w:p>
    <w:p w:rsidR="00D95C0B" w:rsidRPr="002C1B32" w:rsidRDefault="00D95C0B" w:rsidP="00D95C0B">
      <w:pPr>
        <w:spacing w:line="360" w:lineRule="auto"/>
        <w:rPr>
          <w:sz w:val="24"/>
          <w:szCs w:val="24"/>
        </w:rPr>
      </w:pPr>
      <w:r w:rsidRPr="002C1B32">
        <w:rPr>
          <w:sz w:val="24"/>
          <w:szCs w:val="24"/>
        </w:rPr>
        <w:tab/>
      </w:r>
    </w:p>
    <w:p w:rsidR="00B55386" w:rsidRPr="002C1B32" w:rsidRDefault="00D95C0B" w:rsidP="008D699F">
      <w:pPr>
        <w:spacing w:line="360" w:lineRule="auto"/>
        <w:rPr>
          <w:sz w:val="24"/>
          <w:szCs w:val="24"/>
        </w:rPr>
      </w:pPr>
      <w:r w:rsidRPr="002C1B32">
        <w:rPr>
          <w:sz w:val="24"/>
          <w:szCs w:val="24"/>
        </w:rPr>
        <w:tab/>
      </w:r>
      <w:r w:rsidRPr="002C1B32">
        <w:rPr>
          <w:sz w:val="24"/>
          <w:szCs w:val="24"/>
        </w:rPr>
        <w:tab/>
        <w:t>6.</w:t>
      </w:r>
      <w:r w:rsidRPr="002C1B32">
        <w:rPr>
          <w:sz w:val="24"/>
          <w:szCs w:val="24"/>
        </w:rPr>
        <w:tab/>
        <w:t xml:space="preserve">Ambit mailed Complainant a welcome letter in January, 2013 including a </w:t>
      </w:r>
      <w:r w:rsidR="00B55386" w:rsidRPr="002C1B32">
        <w:rPr>
          <w:sz w:val="24"/>
          <w:szCs w:val="24"/>
        </w:rPr>
        <w:t>disclosure statement</w:t>
      </w:r>
      <w:r w:rsidRPr="002C1B32">
        <w:rPr>
          <w:sz w:val="24"/>
          <w:szCs w:val="24"/>
        </w:rPr>
        <w:t>, which contained notice language that had been previously approved by the Commission’s Bureau of Consumer Service</w:t>
      </w:r>
      <w:r w:rsidR="00867312">
        <w:rPr>
          <w:sz w:val="24"/>
          <w:szCs w:val="24"/>
        </w:rPr>
        <w:t>s</w:t>
      </w:r>
      <w:r w:rsidR="00B55386" w:rsidRPr="002C1B32">
        <w:rPr>
          <w:sz w:val="24"/>
          <w:szCs w:val="24"/>
        </w:rPr>
        <w:t xml:space="preserve">.  N.T. 32-33.  </w:t>
      </w:r>
      <w:r w:rsidR="002F76D2" w:rsidRPr="002C1B32">
        <w:rPr>
          <w:sz w:val="24"/>
          <w:szCs w:val="24"/>
        </w:rPr>
        <w:t>Exhibit AE-3.</w:t>
      </w:r>
    </w:p>
    <w:p w:rsidR="00EF4A3C" w:rsidRPr="002C1B32" w:rsidRDefault="00EF4A3C" w:rsidP="00D95C0B">
      <w:pPr>
        <w:spacing w:line="360" w:lineRule="auto"/>
        <w:rPr>
          <w:sz w:val="24"/>
          <w:szCs w:val="24"/>
        </w:rPr>
      </w:pPr>
    </w:p>
    <w:p w:rsidR="002F76D2" w:rsidRPr="002C1B32" w:rsidRDefault="00141AFE" w:rsidP="008D699F">
      <w:pPr>
        <w:spacing w:line="360" w:lineRule="auto"/>
        <w:rPr>
          <w:sz w:val="24"/>
          <w:szCs w:val="24"/>
        </w:rPr>
      </w:pPr>
      <w:r w:rsidRPr="002C1B32">
        <w:rPr>
          <w:sz w:val="24"/>
          <w:szCs w:val="24"/>
        </w:rPr>
        <w:tab/>
      </w:r>
      <w:r w:rsidRPr="002C1B32">
        <w:rPr>
          <w:sz w:val="24"/>
          <w:szCs w:val="24"/>
        </w:rPr>
        <w:tab/>
      </w:r>
      <w:r w:rsidR="00B41867" w:rsidRPr="002C1B32">
        <w:rPr>
          <w:sz w:val="24"/>
          <w:szCs w:val="24"/>
        </w:rPr>
        <w:t>7</w:t>
      </w:r>
      <w:r w:rsidRPr="002C1B32">
        <w:rPr>
          <w:sz w:val="24"/>
          <w:szCs w:val="24"/>
        </w:rPr>
        <w:t>.</w:t>
      </w:r>
      <w:r w:rsidRPr="002C1B32">
        <w:rPr>
          <w:sz w:val="24"/>
          <w:szCs w:val="24"/>
        </w:rPr>
        <w:tab/>
      </w:r>
      <w:r w:rsidR="002F76D2" w:rsidRPr="002C1B32">
        <w:rPr>
          <w:sz w:val="24"/>
          <w:szCs w:val="24"/>
        </w:rPr>
        <w:t>Complainant telephoned Ambit on February 15, 2013, and complained he should have received an introductory rate on his bill.  N.T</w:t>
      </w:r>
      <w:r w:rsidR="00CF64B7" w:rsidRPr="002C1B32">
        <w:rPr>
          <w:sz w:val="24"/>
          <w:szCs w:val="24"/>
        </w:rPr>
        <w:t>.</w:t>
      </w:r>
      <w:r w:rsidR="002F76D2" w:rsidRPr="002C1B32">
        <w:rPr>
          <w:sz w:val="24"/>
          <w:szCs w:val="24"/>
        </w:rPr>
        <w:t xml:space="preserve"> 34, Exhibit AE-1.</w:t>
      </w:r>
    </w:p>
    <w:p w:rsidR="002F76D2" w:rsidRPr="002C1B32" w:rsidRDefault="002F76D2" w:rsidP="008D699F">
      <w:pPr>
        <w:spacing w:line="360" w:lineRule="auto"/>
        <w:rPr>
          <w:sz w:val="24"/>
          <w:szCs w:val="24"/>
        </w:rPr>
      </w:pPr>
    </w:p>
    <w:p w:rsidR="002F76D2" w:rsidRPr="002C1B32" w:rsidRDefault="002F76D2" w:rsidP="008D699F">
      <w:pPr>
        <w:spacing w:line="360" w:lineRule="auto"/>
        <w:rPr>
          <w:sz w:val="24"/>
          <w:szCs w:val="24"/>
        </w:rPr>
      </w:pPr>
      <w:r w:rsidRPr="002C1B32">
        <w:rPr>
          <w:sz w:val="24"/>
          <w:szCs w:val="24"/>
        </w:rPr>
        <w:tab/>
      </w:r>
      <w:r w:rsidRPr="002C1B32">
        <w:rPr>
          <w:sz w:val="24"/>
          <w:szCs w:val="24"/>
        </w:rPr>
        <w:tab/>
      </w:r>
      <w:r w:rsidR="00B41867" w:rsidRPr="002C1B32">
        <w:rPr>
          <w:sz w:val="24"/>
          <w:szCs w:val="24"/>
        </w:rPr>
        <w:t>8</w:t>
      </w:r>
      <w:r w:rsidRPr="002C1B32">
        <w:rPr>
          <w:sz w:val="24"/>
          <w:szCs w:val="24"/>
        </w:rPr>
        <w:t>.</w:t>
      </w:r>
      <w:r w:rsidRPr="002C1B32">
        <w:rPr>
          <w:sz w:val="24"/>
          <w:szCs w:val="24"/>
        </w:rPr>
        <w:tab/>
        <w:t>A billing review was conducted on February 15, 2013, and Ambit refunded Complainant $11.75 to match the promised introductory rate.  N.T</w:t>
      </w:r>
      <w:r w:rsidR="00CF64B7" w:rsidRPr="002C1B32">
        <w:rPr>
          <w:sz w:val="24"/>
          <w:szCs w:val="24"/>
        </w:rPr>
        <w:t>.</w:t>
      </w:r>
      <w:r w:rsidRPr="002C1B32">
        <w:rPr>
          <w:sz w:val="24"/>
          <w:szCs w:val="24"/>
        </w:rPr>
        <w:t xml:space="preserve"> 34.</w:t>
      </w:r>
    </w:p>
    <w:p w:rsidR="002F76D2" w:rsidRPr="002C1B32" w:rsidRDefault="002F76D2" w:rsidP="008D699F">
      <w:pPr>
        <w:spacing w:line="360" w:lineRule="auto"/>
        <w:rPr>
          <w:sz w:val="24"/>
          <w:szCs w:val="24"/>
        </w:rPr>
      </w:pPr>
    </w:p>
    <w:p w:rsidR="002F76D2" w:rsidRPr="002C1B32" w:rsidRDefault="002F76D2" w:rsidP="008D699F">
      <w:pPr>
        <w:spacing w:line="360" w:lineRule="auto"/>
        <w:rPr>
          <w:sz w:val="24"/>
          <w:szCs w:val="24"/>
        </w:rPr>
      </w:pPr>
      <w:r w:rsidRPr="002C1B32">
        <w:rPr>
          <w:sz w:val="24"/>
          <w:szCs w:val="24"/>
        </w:rPr>
        <w:tab/>
      </w:r>
      <w:r w:rsidRPr="002C1B32">
        <w:rPr>
          <w:sz w:val="24"/>
          <w:szCs w:val="24"/>
        </w:rPr>
        <w:tab/>
      </w:r>
      <w:r w:rsidR="00B41867" w:rsidRPr="002C1B32">
        <w:rPr>
          <w:sz w:val="24"/>
          <w:szCs w:val="24"/>
        </w:rPr>
        <w:t>9</w:t>
      </w:r>
      <w:r w:rsidRPr="002C1B32">
        <w:rPr>
          <w:sz w:val="24"/>
          <w:szCs w:val="24"/>
        </w:rPr>
        <w:t>.</w:t>
      </w:r>
      <w:r w:rsidRPr="002C1B32">
        <w:rPr>
          <w:sz w:val="24"/>
          <w:szCs w:val="24"/>
        </w:rPr>
        <w:tab/>
        <w:t>Mr. Hoke telephoned Ambit regarding his February bill questioning the price again, and at the end of his conversation, terminated his contract with Ambit.  N.T</w:t>
      </w:r>
      <w:r w:rsidR="00CF64B7" w:rsidRPr="002C1B32">
        <w:rPr>
          <w:sz w:val="24"/>
          <w:szCs w:val="24"/>
        </w:rPr>
        <w:t>.</w:t>
      </w:r>
      <w:r w:rsidRPr="002C1B32">
        <w:rPr>
          <w:sz w:val="24"/>
          <w:szCs w:val="24"/>
        </w:rPr>
        <w:t xml:space="preserve"> 34.</w:t>
      </w:r>
    </w:p>
    <w:p w:rsidR="002F76D2" w:rsidRPr="002C1B32" w:rsidRDefault="002F76D2" w:rsidP="008D699F">
      <w:pPr>
        <w:spacing w:line="360" w:lineRule="auto"/>
        <w:rPr>
          <w:sz w:val="24"/>
          <w:szCs w:val="24"/>
        </w:rPr>
      </w:pPr>
    </w:p>
    <w:p w:rsidR="002F76D2" w:rsidRPr="002C1B32" w:rsidRDefault="002F76D2" w:rsidP="008D699F">
      <w:pPr>
        <w:spacing w:line="360" w:lineRule="auto"/>
        <w:rPr>
          <w:sz w:val="24"/>
          <w:szCs w:val="24"/>
        </w:rPr>
      </w:pPr>
      <w:r w:rsidRPr="002C1B32">
        <w:rPr>
          <w:sz w:val="24"/>
          <w:szCs w:val="24"/>
        </w:rPr>
        <w:tab/>
      </w:r>
      <w:r w:rsidRPr="002C1B32">
        <w:rPr>
          <w:sz w:val="24"/>
          <w:szCs w:val="24"/>
        </w:rPr>
        <w:tab/>
      </w:r>
      <w:r w:rsidR="00B41867" w:rsidRPr="002C1B32">
        <w:rPr>
          <w:sz w:val="24"/>
          <w:szCs w:val="24"/>
        </w:rPr>
        <w:t>10</w:t>
      </w:r>
      <w:r w:rsidRPr="002C1B32">
        <w:rPr>
          <w:sz w:val="24"/>
          <w:szCs w:val="24"/>
        </w:rPr>
        <w:t>.</w:t>
      </w:r>
      <w:r w:rsidRPr="002C1B32">
        <w:rPr>
          <w:sz w:val="24"/>
          <w:szCs w:val="24"/>
        </w:rPr>
        <w:tab/>
        <w:t>Mr. Hoke was not assessed any early termination or cancellation fees.  N.T. 34.</w:t>
      </w:r>
    </w:p>
    <w:p w:rsidR="002F76D2" w:rsidRPr="002C1B32" w:rsidRDefault="002F76D2" w:rsidP="008D699F">
      <w:pPr>
        <w:spacing w:line="360" w:lineRule="auto"/>
        <w:rPr>
          <w:sz w:val="24"/>
          <w:szCs w:val="24"/>
        </w:rPr>
      </w:pPr>
    </w:p>
    <w:p w:rsidR="002F76D2" w:rsidRPr="002C1B32" w:rsidRDefault="002F76D2" w:rsidP="008D699F">
      <w:pPr>
        <w:spacing w:line="360" w:lineRule="auto"/>
        <w:rPr>
          <w:sz w:val="24"/>
          <w:szCs w:val="24"/>
        </w:rPr>
      </w:pPr>
      <w:r w:rsidRPr="002C1B32">
        <w:rPr>
          <w:sz w:val="24"/>
          <w:szCs w:val="24"/>
        </w:rPr>
        <w:tab/>
      </w:r>
      <w:r w:rsidRPr="002C1B32">
        <w:rPr>
          <w:sz w:val="24"/>
          <w:szCs w:val="24"/>
        </w:rPr>
        <w:tab/>
        <w:t>1</w:t>
      </w:r>
      <w:r w:rsidR="00B41867" w:rsidRPr="002C1B32">
        <w:rPr>
          <w:sz w:val="24"/>
          <w:szCs w:val="24"/>
        </w:rPr>
        <w:t>1</w:t>
      </w:r>
      <w:r w:rsidRPr="002C1B32">
        <w:rPr>
          <w:sz w:val="24"/>
          <w:szCs w:val="24"/>
        </w:rPr>
        <w:t>.</w:t>
      </w:r>
      <w:r w:rsidRPr="002C1B32">
        <w:rPr>
          <w:sz w:val="24"/>
          <w:szCs w:val="24"/>
        </w:rPr>
        <w:tab/>
        <w:t>As part of the online enrollment process with Ambit, a customer is required to review Ambit’s disclosure statement.  N.T. 35-36, Exhibit AE-2.</w:t>
      </w:r>
    </w:p>
    <w:p w:rsidR="002F76D2" w:rsidRPr="002C1B32" w:rsidRDefault="002F76D2" w:rsidP="008D699F">
      <w:pPr>
        <w:spacing w:line="360" w:lineRule="auto"/>
        <w:rPr>
          <w:sz w:val="24"/>
          <w:szCs w:val="24"/>
        </w:rPr>
      </w:pPr>
    </w:p>
    <w:p w:rsidR="002F76D2" w:rsidRPr="002C1B32" w:rsidRDefault="002F76D2" w:rsidP="008D699F">
      <w:pPr>
        <w:spacing w:line="360" w:lineRule="auto"/>
        <w:rPr>
          <w:sz w:val="24"/>
          <w:szCs w:val="24"/>
        </w:rPr>
      </w:pPr>
      <w:r w:rsidRPr="002C1B32">
        <w:rPr>
          <w:sz w:val="24"/>
          <w:szCs w:val="24"/>
        </w:rPr>
        <w:tab/>
      </w:r>
      <w:r w:rsidRPr="002C1B32">
        <w:rPr>
          <w:sz w:val="24"/>
          <w:szCs w:val="24"/>
        </w:rPr>
        <w:tab/>
        <w:t>1</w:t>
      </w:r>
      <w:r w:rsidR="00B41867" w:rsidRPr="002C1B32">
        <w:rPr>
          <w:sz w:val="24"/>
          <w:szCs w:val="24"/>
        </w:rPr>
        <w:t>2</w:t>
      </w:r>
      <w:r w:rsidRPr="002C1B32">
        <w:rPr>
          <w:sz w:val="24"/>
          <w:szCs w:val="24"/>
        </w:rPr>
        <w:t>.</w:t>
      </w:r>
      <w:r w:rsidRPr="002C1B32">
        <w:rPr>
          <w:sz w:val="24"/>
          <w:szCs w:val="24"/>
        </w:rPr>
        <w:tab/>
        <w:t>Complainant received the Terms of Service, which explain the Keystone Variable Rate Plan terms.  N.T. 37, Exhibit AE-3.</w:t>
      </w:r>
    </w:p>
    <w:p w:rsidR="002F76D2" w:rsidRPr="002C1B32" w:rsidRDefault="002F76D2" w:rsidP="008D699F">
      <w:pPr>
        <w:spacing w:line="360" w:lineRule="auto"/>
        <w:rPr>
          <w:sz w:val="24"/>
          <w:szCs w:val="24"/>
        </w:rPr>
      </w:pPr>
    </w:p>
    <w:p w:rsidR="00430A4C" w:rsidRDefault="002F76D2" w:rsidP="008D699F">
      <w:pPr>
        <w:spacing w:line="360" w:lineRule="auto"/>
        <w:rPr>
          <w:sz w:val="24"/>
          <w:szCs w:val="24"/>
        </w:rPr>
      </w:pPr>
      <w:r w:rsidRPr="002C1B32">
        <w:rPr>
          <w:sz w:val="24"/>
          <w:szCs w:val="24"/>
        </w:rPr>
        <w:tab/>
      </w:r>
      <w:r w:rsidRPr="002C1B32">
        <w:rPr>
          <w:sz w:val="24"/>
          <w:szCs w:val="24"/>
        </w:rPr>
        <w:tab/>
        <w:t>1</w:t>
      </w:r>
      <w:r w:rsidR="00B41867" w:rsidRPr="002C1B32">
        <w:rPr>
          <w:sz w:val="24"/>
          <w:szCs w:val="24"/>
        </w:rPr>
        <w:t>3</w:t>
      </w:r>
      <w:r w:rsidR="00FE0461">
        <w:rPr>
          <w:sz w:val="24"/>
          <w:szCs w:val="24"/>
        </w:rPr>
        <w:t>.</w:t>
      </w:r>
      <w:r w:rsidR="00FE0461">
        <w:rPr>
          <w:sz w:val="24"/>
          <w:szCs w:val="24"/>
        </w:rPr>
        <w:tab/>
      </w:r>
      <w:r w:rsidR="00703FFC" w:rsidRPr="002C1B32">
        <w:rPr>
          <w:sz w:val="24"/>
          <w:szCs w:val="24"/>
        </w:rPr>
        <w:t>Ambit’s Sales Agreement and Terms of Service states, “Variable Rate Products shall commence for a one (1) month term and shall automatically renew for successive one (1) month periods (“Renewal Term”) unless either party notifies the other party in writing of its desire not to renew, at least thirty (30) days prior to the next meter read date.”  Exhibit AE-3, at 2.</w:t>
      </w:r>
    </w:p>
    <w:p w:rsidR="00343925" w:rsidRPr="002C1B32" w:rsidRDefault="00343925" w:rsidP="008D699F">
      <w:pPr>
        <w:spacing w:line="360" w:lineRule="auto"/>
        <w:rPr>
          <w:sz w:val="24"/>
          <w:szCs w:val="24"/>
        </w:rPr>
      </w:pPr>
    </w:p>
    <w:p w:rsidR="00703FFC" w:rsidRPr="002C1B32" w:rsidRDefault="00141AFE" w:rsidP="008D699F">
      <w:pPr>
        <w:spacing w:line="360" w:lineRule="auto"/>
        <w:rPr>
          <w:sz w:val="24"/>
          <w:szCs w:val="24"/>
        </w:rPr>
      </w:pPr>
      <w:r w:rsidRPr="002C1B32">
        <w:rPr>
          <w:sz w:val="24"/>
          <w:szCs w:val="24"/>
        </w:rPr>
        <w:tab/>
      </w:r>
      <w:r w:rsidRPr="002C1B32">
        <w:rPr>
          <w:sz w:val="24"/>
          <w:szCs w:val="24"/>
        </w:rPr>
        <w:tab/>
      </w:r>
      <w:r w:rsidR="00D70C2F" w:rsidRPr="002C1B32">
        <w:rPr>
          <w:sz w:val="24"/>
          <w:szCs w:val="24"/>
        </w:rPr>
        <w:t>1</w:t>
      </w:r>
      <w:r w:rsidR="00B41867" w:rsidRPr="002C1B32">
        <w:rPr>
          <w:sz w:val="24"/>
          <w:szCs w:val="24"/>
        </w:rPr>
        <w:t>4</w:t>
      </w:r>
      <w:r w:rsidRPr="002C1B32">
        <w:rPr>
          <w:sz w:val="24"/>
          <w:szCs w:val="24"/>
        </w:rPr>
        <w:t>.</w:t>
      </w:r>
      <w:r w:rsidRPr="002C1B32">
        <w:rPr>
          <w:sz w:val="24"/>
          <w:szCs w:val="24"/>
        </w:rPr>
        <w:tab/>
      </w:r>
      <w:r w:rsidR="00703FFC" w:rsidRPr="002C1B32">
        <w:rPr>
          <w:sz w:val="24"/>
          <w:szCs w:val="24"/>
        </w:rPr>
        <w:t>Ambit’s Disclosure Statement</w:t>
      </w:r>
      <w:r w:rsidR="00F03DF4">
        <w:rPr>
          <w:sz w:val="24"/>
          <w:szCs w:val="24"/>
        </w:rPr>
        <w:t xml:space="preserve"> and</w:t>
      </w:r>
      <w:r w:rsidR="00703FFC" w:rsidRPr="002C1B32">
        <w:rPr>
          <w:sz w:val="24"/>
          <w:szCs w:val="24"/>
        </w:rPr>
        <w:t xml:space="preserve"> Keystone Variable Rate Plans’ </w:t>
      </w:r>
      <w:r w:rsidR="00756FCD" w:rsidRPr="002C1B32">
        <w:rPr>
          <w:sz w:val="24"/>
          <w:szCs w:val="24"/>
        </w:rPr>
        <w:t xml:space="preserve">Terms of Service state that </w:t>
      </w:r>
      <w:r w:rsidR="00703FFC" w:rsidRPr="002C1B32">
        <w:rPr>
          <w:sz w:val="24"/>
          <w:szCs w:val="24"/>
        </w:rPr>
        <w:t>the length of the agreement term commences as of the date the change of provider to Ambit is deemed effective by the EDC and shall commence for a one (1) month term (</w:t>
      </w:r>
      <w:r w:rsidR="003F2004" w:rsidRPr="002C1B32">
        <w:rPr>
          <w:sz w:val="24"/>
          <w:szCs w:val="24"/>
        </w:rPr>
        <w:t>Initial</w:t>
      </w:r>
      <w:r w:rsidR="00703FFC" w:rsidRPr="002C1B32">
        <w:rPr>
          <w:sz w:val="24"/>
          <w:szCs w:val="24"/>
        </w:rPr>
        <w:t xml:space="preserve"> Term).  Service will automatically renew for successive one month periods unless either party notifies the other in writing at least 30 days prior to the next meter read date of the desire not to renew.  N.T. 38-39, Exhibit AE-3 at 5.</w:t>
      </w:r>
    </w:p>
    <w:p w:rsidR="00703FFC" w:rsidRPr="002C1B32" w:rsidRDefault="00703FFC" w:rsidP="008D699F">
      <w:pPr>
        <w:spacing w:line="360" w:lineRule="auto"/>
        <w:rPr>
          <w:sz w:val="24"/>
          <w:szCs w:val="24"/>
        </w:rPr>
      </w:pPr>
    </w:p>
    <w:p w:rsidR="00703FFC" w:rsidRPr="002C1B32" w:rsidRDefault="00703FFC" w:rsidP="008D699F">
      <w:pPr>
        <w:spacing w:line="360" w:lineRule="auto"/>
        <w:rPr>
          <w:sz w:val="24"/>
          <w:szCs w:val="24"/>
        </w:rPr>
      </w:pPr>
      <w:r w:rsidRPr="002C1B32">
        <w:rPr>
          <w:sz w:val="24"/>
          <w:szCs w:val="24"/>
        </w:rPr>
        <w:tab/>
      </w:r>
      <w:r w:rsidRPr="002C1B32">
        <w:rPr>
          <w:sz w:val="24"/>
          <w:szCs w:val="24"/>
        </w:rPr>
        <w:tab/>
      </w:r>
      <w:r w:rsidR="00D70C2F" w:rsidRPr="002C1B32">
        <w:rPr>
          <w:sz w:val="24"/>
          <w:szCs w:val="24"/>
        </w:rPr>
        <w:t>1</w:t>
      </w:r>
      <w:r w:rsidR="00B41867" w:rsidRPr="002C1B32">
        <w:rPr>
          <w:sz w:val="24"/>
          <w:szCs w:val="24"/>
        </w:rPr>
        <w:t>5</w:t>
      </w:r>
      <w:r w:rsidRPr="002C1B32">
        <w:rPr>
          <w:sz w:val="24"/>
          <w:szCs w:val="24"/>
        </w:rPr>
        <w:t>.</w:t>
      </w:r>
      <w:r w:rsidRPr="002C1B32">
        <w:rPr>
          <w:sz w:val="24"/>
          <w:szCs w:val="24"/>
        </w:rPr>
        <w:tab/>
        <w:t xml:space="preserve">Ambit’s Disclosure Statement </w:t>
      </w:r>
      <w:r w:rsidR="00F03DF4">
        <w:rPr>
          <w:sz w:val="24"/>
          <w:szCs w:val="24"/>
        </w:rPr>
        <w:t xml:space="preserve">and </w:t>
      </w:r>
      <w:r w:rsidRPr="002C1B32">
        <w:rPr>
          <w:sz w:val="24"/>
          <w:szCs w:val="24"/>
        </w:rPr>
        <w:t xml:space="preserve">Keystone Variable Rate Plans’ Basic Service Prices states that rates for the initial term and subsequent renewal terms may vary </w:t>
      </w:r>
      <w:r w:rsidRPr="002C1B32">
        <w:rPr>
          <w:sz w:val="24"/>
          <w:szCs w:val="24"/>
        </w:rPr>
        <w:lastRenderedPageBreak/>
        <w:t>dependent upon price fluctuations in the entry and capacity markets, plus all applicable taxes.  N.T. 39, Exhibit AE-3 at 5.</w:t>
      </w:r>
    </w:p>
    <w:p w:rsidR="00703FFC" w:rsidRPr="002C1B32" w:rsidRDefault="00703FFC" w:rsidP="008D699F">
      <w:pPr>
        <w:spacing w:line="360" w:lineRule="auto"/>
        <w:rPr>
          <w:sz w:val="24"/>
          <w:szCs w:val="24"/>
        </w:rPr>
      </w:pPr>
    </w:p>
    <w:p w:rsidR="003F2004" w:rsidRPr="002C1B32" w:rsidRDefault="003F2004" w:rsidP="008D699F">
      <w:pPr>
        <w:spacing w:line="360" w:lineRule="auto"/>
        <w:rPr>
          <w:sz w:val="24"/>
          <w:szCs w:val="24"/>
        </w:rPr>
      </w:pPr>
      <w:r w:rsidRPr="002C1B32">
        <w:rPr>
          <w:sz w:val="24"/>
          <w:szCs w:val="24"/>
        </w:rPr>
        <w:tab/>
      </w:r>
      <w:r w:rsidRPr="002C1B32">
        <w:rPr>
          <w:sz w:val="24"/>
          <w:szCs w:val="24"/>
        </w:rPr>
        <w:tab/>
      </w:r>
      <w:r w:rsidR="00D70C2F" w:rsidRPr="002C1B32">
        <w:rPr>
          <w:sz w:val="24"/>
          <w:szCs w:val="24"/>
        </w:rPr>
        <w:t>1</w:t>
      </w:r>
      <w:r w:rsidR="00B41867" w:rsidRPr="002C1B32">
        <w:rPr>
          <w:sz w:val="24"/>
          <w:szCs w:val="24"/>
        </w:rPr>
        <w:t>6</w:t>
      </w:r>
      <w:r w:rsidRPr="002C1B32">
        <w:rPr>
          <w:sz w:val="24"/>
          <w:szCs w:val="24"/>
        </w:rPr>
        <w:t>.</w:t>
      </w:r>
      <w:r w:rsidRPr="002C1B32">
        <w:rPr>
          <w:sz w:val="24"/>
          <w:szCs w:val="24"/>
        </w:rPr>
        <w:tab/>
        <w:t xml:space="preserve">Complainant mistakenly believed that rates advertised on the Commission’s PaPowerSwitch website were the </w:t>
      </w:r>
      <w:r w:rsidR="00867312">
        <w:rPr>
          <w:sz w:val="24"/>
          <w:szCs w:val="24"/>
        </w:rPr>
        <w:t xml:space="preserve">current </w:t>
      </w:r>
      <w:r w:rsidRPr="002C1B32">
        <w:rPr>
          <w:sz w:val="24"/>
          <w:szCs w:val="24"/>
        </w:rPr>
        <w:t>variable monthly rates that would apply to his account</w:t>
      </w:r>
      <w:r w:rsidR="0051538A" w:rsidRPr="002C1B32">
        <w:rPr>
          <w:sz w:val="24"/>
          <w:szCs w:val="24"/>
        </w:rPr>
        <w:t xml:space="preserve"> and not just an introductory one-month offer</w:t>
      </w:r>
      <w:r w:rsidRPr="002C1B32">
        <w:rPr>
          <w:sz w:val="24"/>
          <w:szCs w:val="24"/>
        </w:rPr>
        <w:t xml:space="preserve">. </w:t>
      </w:r>
      <w:r w:rsidR="00D178E3">
        <w:rPr>
          <w:sz w:val="24"/>
          <w:szCs w:val="24"/>
        </w:rPr>
        <w:t xml:space="preserve"> </w:t>
      </w:r>
      <w:r w:rsidR="00867312">
        <w:rPr>
          <w:sz w:val="24"/>
          <w:szCs w:val="24"/>
        </w:rPr>
        <w:t xml:space="preserve">He thought these variable rates were kept constant and stable over a long period of time.  </w:t>
      </w:r>
      <w:r w:rsidR="001F3ED0" w:rsidRPr="002C1B32">
        <w:rPr>
          <w:sz w:val="24"/>
          <w:szCs w:val="24"/>
        </w:rPr>
        <w:t>Exhibit AE-5</w:t>
      </w:r>
      <w:r w:rsidR="00D70C2F" w:rsidRPr="002C1B32">
        <w:rPr>
          <w:sz w:val="24"/>
          <w:szCs w:val="24"/>
        </w:rPr>
        <w:t>, Complainant’s Exhibit 1</w:t>
      </w:r>
      <w:r w:rsidR="001F3ED0" w:rsidRPr="002C1B32">
        <w:rPr>
          <w:sz w:val="24"/>
          <w:szCs w:val="24"/>
        </w:rPr>
        <w:t>.</w:t>
      </w:r>
    </w:p>
    <w:p w:rsidR="00703FFC" w:rsidRPr="002C1B32" w:rsidRDefault="00703FFC" w:rsidP="008D699F">
      <w:pPr>
        <w:spacing w:line="360" w:lineRule="auto"/>
        <w:rPr>
          <w:sz w:val="24"/>
          <w:szCs w:val="24"/>
        </w:rPr>
      </w:pPr>
    </w:p>
    <w:p w:rsidR="001F3ED0" w:rsidRPr="002C1B32" w:rsidRDefault="00141AFE" w:rsidP="008D699F">
      <w:pPr>
        <w:spacing w:line="360" w:lineRule="auto"/>
        <w:rPr>
          <w:sz w:val="24"/>
          <w:szCs w:val="24"/>
        </w:rPr>
      </w:pPr>
      <w:r w:rsidRPr="002C1B32">
        <w:rPr>
          <w:sz w:val="24"/>
          <w:szCs w:val="24"/>
        </w:rPr>
        <w:tab/>
      </w:r>
      <w:r w:rsidRPr="002C1B32">
        <w:rPr>
          <w:sz w:val="24"/>
          <w:szCs w:val="24"/>
        </w:rPr>
        <w:tab/>
      </w:r>
      <w:r w:rsidR="001F3ED0" w:rsidRPr="002C1B32">
        <w:rPr>
          <w:sz w:val="24"/>
          <w:szCs w:val="24"/>
        </w:rPr>
        <w:t>1</w:t>
      </w:r>
      <w:r w:rsidR="00B41867" w:rsidRPr="002C1B32">
        <w:rPr>
          <w:sz w:val="24"/>
          <w:szCs w:val="24"/>
        </w:rPr>
        <w:t>7</w:t>
      </w:r>
      <w:r w:rsidR="001F3ED0" w:rsidRPr="002C1B32">
        <w:rPr>
          <w:sz w:val="24"/>
          <w:szCs w:val="24"/>
        </w:rPr>
        <w:t>.</w:t>
      </w:r>
      <w:r w:rsidR="001F3ED0" w:rsidRPr="002C1B32">
        <w:rPr>
          <w:sz w:val="24"/>
          <w:szCs w:val="24"/>
        </w:rPr>
        <w:tab/>
      </w:r>
      <w:r w:rsidR="00BF6C4F" w:rsidRPr="002C1B32">
        <w:rPr>
          <w:sz w:val="24"/>
          <w:szCs w:val="24"/>
        </w:rPr>
        <w:t>Ambit</w:t>
      </w:r>
      <w:r w:rsidR="001F3ED0" w:rsidRPr="002C1B32">
        <w:rPr>
          <w:sz w:val="24"/>
          <w:szCs w:val="24"/>
        </w:rPr>
        <w:t xml:space="preserve"> advertised its Keystone Select Variable Rate Plan on its website, and stated that the variable rate plans can vary from month to month based upon commodity costs and market conditions and that the rate quoted was an introductory offer for new Ambit energy customers effective for the first billing cycle only, and this information would have been available to Complainant at the time he contracted with Ambit.  N.T. 41, Exhibit AE-4.</w:t>
      </w:r>
    </w:p>
    <w:p w:rsidR="001F3ED0" w:rsidRPr="002C1B32" w:rsidRDefault="001F3ED0" w:rsidP="008D699F">
      <w:pPr>
        <w:spacing w:line="360" w:lineRule="auto"/>
        <w:rPr>
          <w:sz w:val="24"/>
          <w:szCs w:val="24"/>
        </w:rPr>
      </w:pPr>
    </w:p>
    <w:p w:rsidR="001F3ED0" w:rsidRPr="002C1B32" w:rsidRDefault="001F3ED0" w:rsidP="008D699F">
      <w:pPr>
        <w:spacing w:line="360" w:lineRule="auto"/>
        <w:rPr>
          <w:sz w:val="24"/>
          <w:szCs w:val="24"/>
        </w:rPr>
      </w:pPr>
      <w:r w:rsidRPr="002C1B32">
        <w:rPr>
          <w:sz w:val="24"/>
          <w:szCs w:val="24"/>
        </w:rPr>
        <w:tab/>
      </w:r>
      <w:r w:rsidRPr="002C1B32">
        <w:rPr>
          <w:sz w:val="24"/>
          <w:szCs w:val="24"/>
        </w:rPr>
        <w:tab/>
        <w:t>1</w:t>
      </w:r>
      <w:r w:rsidR="00B41867" w:rsidRPr="002C1B32">
        <w:rPr>
          <w:sz w:val="24"/>
          <w:szCs w:val="24"/>
        </w:rPr>
        <w:t>8</w:t>
      </w:r>
      <w:r w:rsidRPr="002C1B32">
        <w:rPr>
          <w:sz w:val="24"/>
          <w:szCs w:val="24"/>
        </w:rPr>
        <w:t>.</w:t>
      </w:r>
      <w:r w:rsidRPr="002C1B32">
        <w:rPr>
          <w:sz w:val="24"/>
          <w:szCs w:val="24"/>
        </w:rPr>
        <w:tab/>
        <w:t>Ambit acted in good faith in refunding Complainant the difference between the introductory rate and the variable rate a</w:t>
      </w:r>
      <w:r w:rsidR="0069580E">
        <w:rPr>
          <w:sz w:val="24"/>
          <w:szCs w:val="24"/>
        </w:rPr>
        <w:t>ctually charged during January, </w:t>
      </w:r>
      <w:r w:rsidRPr="002C1B32">
        <w:rPr>
          <w:sz w:val="24"/>
          <w:szCs w:val="24"/>
        </w:rPr>
        <w:t>2013.  N.T. 42.</w:t>
      </w:r>
    </w:p>
    <w:p w:rsidR="002B0C51" w:rsidRPr="002C1B32" w:rsidRDefault="002B0C51" w:rsidP="003F2004">
      <w:pPr>
        <w:spacing w:line="360" w:lineRule="auto"/>
        <w:rPr>
          <w:sz w:val="24"/>
          <w:szCs w:val="24"/>
        </w:rPr>
      </w:pPr>
    </w:p>
    <w:p w:rsidR="005D7C65" w:rsidRPr="002C1B32" w:rsidRDefault="005D7C65" w:rsidP="008D699F">
      <w:pPr>
        <w:spacing w:line="360" w:lineRule="auto"/>
        <w:jc w:val="center"/>
        <w:rPr>
          <w:sz w:val="24"/>
          <w:szCs w:val="24"/>
        </w:rPr>
      </w:pPr>
      <w:r w:rsidRPr="002C1B32">
        <w:rPr>
          <w:sz w:val="24"/>
          <w:szCs w:val="24"/>
          <w:u w:val="single"/>
        </w:rPr>
        <w:t>DISCUSSION</w:t>
      </w:r>
    </w:p>
    <w:p w:rsidR="005D7C65" w:rsidRPr="002C1B32" w:rsidRDefault="005D7C65" w:rsidP="008D699F">
      <w:pPr>
        <w:spacing w:line="360" w:lineRule="auto"/>
        <w:rPr>
          <w:sz w:val="24"/>
          <w:szCs w:val="24"/>
        </w:rPr>
      </w:pPr>
    </w:p>
    <w:p w:rsidR="008D699F" w:rsidRPr="002C1B32" w:rsidRDefault="005D7C65" w:rsidP="008D699F">
      <w:pPr>
        <w:spacing w:line="360" w:lineRule="auto"/>
        <w:rPr>
          <w:sz w:val="24"/>
          <w:szCs w:val="24"/>
        </w:rPr>
      </w:pPr>
      <w:r w:rsidRPr="002C1B32">
        <w:rPr>
          <w:sz w:val="24"/>
          <w:szCs w:val="24"/>
        </w:rPr>
        <w:tab/>
      </w:r>
      <w:r w:rsidRPr="002C1B32">
        <w:rPr>
          <w:sz w:val="24"/>
          <w:szCs w:val="24"/>
        </w:rPr>
        <w:tab/>
        <w:t>As the party seeking affirmative relief from the Commission, Complainant bea</w:t>
      </w:r>
      <w:r w:rsidR="00ED0F7F">
        <w:rPr>
          <w:sz w:val="24"/>
          <w:szCs w:val="24"/>
        </w:rPr>
        <w:t>rs the burden of proof.  66 Pa.</w:t>
      </w:r>
      <w:r w:rsidRPr="002C1B32">
        <w:rPr>
          <w:sz w:val="24"/>
          <w:szCs w:val="24"/>
        </w:rPr>
        <w:t>C.S.A § 332(a).</w:t>
      </w:r>
    </w:p>
    <w:p w:rsidR="008D699F" w:rsidRPr="002C1B32" w:rsidRDefault="008D699F" w:rsidP="008D699F">
      <w:pPr>
        <w:spacing w:line="360" w:lineRule="auto"/>
        <w:rPr>
          <w:sz w:val="24"/>
          <w:szCs w:val="24"/>
        </w:rPr>
      </w:pPr>
    </w:p>
    <w:p w:rsidR="005D7C65" w:rsidRPr="002C1B32" w:rsidRDefault="005D7C65" w:rsidP="008D699F">
      <w:pPr>
        <w:spacing w:line="360" w:lineRule="auto"/>
        <w:rPr>
          <w:sz w:val="24"/>
          <w:szCs w:val="24"/>
        </w:rPr>
      </w:pPr>
      <w:r w:rsidRPr="002C1B32">
        <w:rPr>
          <w:sz w:val="24"/>
          <w:szCs w:val="24"/>
        </w:rPr>
        <w:tab/>
      </w:r>
      <w:r w:rsidRPr="002C1B32">
        <w:rPr>
          <w:sz w:val="24"/>
          <w:szCs w:val="24"/>
        </w:rPr>
        <w:tab/>
        <w:t xml:space="preserve">To satisfy this burden, a complainant must show that the named utility is responsible or accountable for the problem described in the Complaint. </w:t>
      </w:r>
      <w:r w:rsidR="00B56E12">
        <w:rPr>
          <w:sz w:val="24"/>
          <w:szCs w:val="24"/>
        </w:rPr>
        <w:t xml:space="preserve"> </w:t>
      </w:r>
      <w:r w:rsidRPr="002C1B32">
        <w:rPr>
          <w:i/>
          <w:sz w:val="24"/>
          <w:szCs w:val="24"/>
        </w:rPr>
        <w:t>Patterson v. Bell Telephone Company of Pennsylvania</w:t>
      </w:r>
      <w:r w:rsidR="00B56E12">
        <w:rPr>
          <w:sz w:val="24"/>
          <w:szCs w:val="24"/>
        </w:rPr>
        <w:t>, 72 P</w:t>
      </w:r>
      <w:r w:rsidR="002D2355">
        <w:rPr>
          <w:sz w:val="24"/>
          <w:szCs w:val="24"/>
        </w:rPr>
        <w:t>a.</w:t>
      </w:r>
      <w:r w:rsidR="00B56E12">
        <w:rPr>
          <w:sz w:val="24"/>
          <w:szCs w:val="24"/>
        </w:rPr>
        <w:t xml:space="preserve"> PUC 196 (1990); </w:t>
      </w:r>
      <w:r w:rsidRPr="002C1B32">
        <w:rPr>
          <w:i/>
          <w:sz w:val="24"/>
          <w:szCs w:val="24"/>
        </w:rPr>
        <w:t>Feinstein v. Philadelphia Suburban Water Company</w:t>
      </w:r>
      <w:r w:rsidRPr="002C1B32">
        <w:rPr>
          <w:sz w:val="24"/>
          <w:szCs w:val="24"/>
        </w:rPr>
        <w:t>, 50 P</w:t>
      </w:r>
      <w:r w:rsidR="002D2355">
        <w:rPr>
          <w:sz w:val="24"/>
          <w:szCs w:val="24"/>
        </w:rPr>
        <w:t>a.</w:t>
      </w:r>
      <w:r w:rsidRPr="002C1B32">
        <w:rPr>
          <w:sz w:val="24"/>
          <w:szCs w:val="24"/>
        </w:rPr>
        <w:t xml:space="preserve"> PUC 300 (1976). </w:t>
      </w:r>
      <w:r w:rsidR="00B56E12">
        <w:rPr>
          <w:sz w:val="24"/>
          <w:szCs w:val="24"/>
        </w:rPr>
        <w:t xml:space="preserve"> </w:t>
      </w:r>
      <w:r w:rsidRPr="002C1B32">
        <w:rPr>
          <w:sz w:val="24"/>
          <w:szCs w:val="24"/>
        </w:rPr>
        <w:t xml:space="preserve">This must be shown by a preponderance of the evidence.  </w:t>
      </w:r>
      <w:r w:rsidRPr="002C1B32">
        <w:rPr>
          <w:i/>
          <w:sz w:val="24"/>
          <w:szCs w:val="24"/>
        </w:rPr>
        <w:t>Samuel J. Lansberry, Inc. v. P</w:t>
      </w:r>
      <w:r w:rsidR="002D2355">
        <w:rPr>
          <w:i/>
          <w:sz w:val="24"/>
          <w:szCs w:val="24"/>
        </w:rPr>
        <w:t>a.</w:t>
      </w:r>
      <w:r w:rsidRPr="002C1B32">
        <w:rPr>
          <w:i/>
          <w:sz w:val="24"/>
          <w:szCs w:val="24"/>
        </w:rPr>
        <w:t xml:space="preserve"> Pub. Util. Comm'n</w:t>
      </w:r>
      <w:r w:rsidRPr="002C1B32">
        <w:rPr>
          <w:sz w:val="24"/>
          <w:szCs w:val="24"/>
        </w:rPr>
        <w:t>, 578 A.2d 600 (Pa. Cmwlth.</w:t>
      </w:r>
      <w:r w:rsidR="00103859">
        <w:rPr>
          <w:sz w:val="24"/>
          <w:szCs w:val="24"/>
        </w:rPr>
        <w:t> </w:t>
      </w:r>
      <w:r w:rsidRPr="002C1B32">
        <w:rPr>
          <w:sz w:val="24"/>
          <w:szCs w:val="24"/>
        </w:rPr>
        <w:t xml:space="preserve">1990), </w:t>
      </w:r>
      <w:r w:rsidRPr="002C1B32">
        <w:rPr>
          <w:i/>
          <w:iCs/>
          <w:sz w:val="24"/>
          <w:szCs w:val="24"/>
        </w:rPr>
        <w:t>alloc. den</w:t>
      </w:r>
      <w:r w:rsidRPr="002C1B32">
        <w:rPr>
          <w:sz w:val="24"/>
          <w:szCs w:val="24"/>
        </w:rPr>
        <w:t>., 602 A.2d 863 (Pa. 1992).</w:t>
      </w:r>
      <w:r w:rsidR="00885062" w:rsidRPr="002C1B32">
        <w:rPr>
          <w:sz w:val="24"/>
          <w:szCs w:val="24"/>
        </w:rPr>
        <w:t xml:space="preserve"> </w:t>
      </w:r>
      <w:r w:rsidRPr="002C1B32">
        <w:rPr>
          <w:sz w:val="24"/>
          <w:szCs w:val="24"/>
        </w:rPr>
        <w:t xml:space="preserve"> That is, by presenting evidence more convincing, by even the smallest amount, than that presented by the other party.  </w:t>
      </w:r>
      <w:r w:rsidRPr="002C1B32">
        <w:rPr>
          <w:i/>
          <w:sz w:val="24"/>
          <w:szCs w:val="24"/>
        </w:rPr>
        <w:t>Se-Ling Hosiery v. Margulies</w:t>
      </w:r>
      <w:r w:rsidRPr="002C1B32">
        <w:rPr>
          <w:sz w:val="24"/>
          <w:szCs w:val="24"/>
        </w:rPr>
        <w:t xml:space="preserve">, 70 A.2d 854 (Pa. 1950).  Additionally, any finding of fact necessary to support the </w:t>
      </w:r>
      <w:r w:rsidRPr="002C1B32">
        <w:rPr>
          <w:sz w:val="24"/>
          <w:szCs w:val="24"/>
        </w:rPr>
        <w:lastRenderedPageBreak/>
        <w:t xml:space="preserve">Commission's adjudication must be based upon substantial evidence.  </w:t>
      </w:r>
      <w:r w:rsidRPr="002C1B32">
        <w:rPr>
          <w:i/>
          <w:sz w:val="24"/>
          <w:szCs w:val="24"/>
        </w:rPr>
        <w:t>Mill v. Comm'w., P</w:t>
      </w:r>
      <w:r w:rsidR="002D2355">
        <w:rPr>
          <w:i/>
          <w:sz w:val="24"/>
          <w:szCs w:val="24"/>
        </w:rPr>
        <w:t>a.</w:t>
      </w:r>
      <w:r w:rsidRPr="002C1B32">
        <w:rPr>
          <w:i/>
          <w:sz w:val="24"/>
          <w:szCs w:val="24"/>
        </w:rPr>
        <w:t xml:space="preserve"> Pub. Util. Comm'n</w:t>
      </w:r>
      <w:r w:rsidRPr="002C1B32">
        <w:rPr>
          <w:sz w:val="24"/>
          <w:szCs w:val="24"/>
        </w:rPr>
        <w:t>, 447</w:t>
      </w:r>
      <w:r w:rsidR="00F21C69">
        <w:rPr>
          <w:sz w:val="24"/>
          <w:szCs w:val="24"/>
        </w:rPr>
        <w:t xml:space="preserve"> A.2d 1100 (Pa. Cmwlth. 1982); </w:t>
      </w:r>
      <w:r w:rsidRPr="002C1B32">
        <w:rPr>
          <w:i/>
          <w:sz w:val="24"/>
          <w:szCs w:val="24"/>
        </w:rPr>
        <w:t>Edan Transportation Corp. v. P</w:t>
      </w:r>
      <w:r w:rsidR="002D2355">
        <w:rPr>
          <w:i/>
          <w:sz w:val="24"/>
          <w:szCs w:val="24"/>
        </w:rPr>
        <w:t>a.</w:t>
      </w:r>
      <w:r w:rsidRPr="002C1B32">
        <w:rPr>
          <w:i/>
          <w:sz w:val="24"/>
          <w:szCs w:val="24"/>
        </w:rPr>
        <w:t xml:space="preserve"> Pub. Util. Comm'n</w:t>
      </w:r>
      <w:r w:rsidRPr="002C1B32">
        <w:rPr>
          <w:sz w:val="24"/>
          <w:szCs w:val="24"/>
        </w:rPr>
        <w:t xml:space="preserve">, 623 A.2d 6 (Pa. Cmwlth. 1993), 2 Pa.C.S. § 704.  More is required than a mere trace of evidence or a suspicion of the existence of a fact sought to be established.  </w:t>
      </w:r>
      <w:r w:rsidRPr="002C1B32">
        <w:rPr>
          <w:i/>
          <w:sz w:val="24"/>
          <w:szCs w:val="24"/>
        </w:rPr>
        <w:t>Norfolk and Western Ry. v. P</w:t>
      </w:r>
      <w:r w:rsidR="002D2355">
        <w:rPr>
          <w:i/>
          <w:sz w:val="24"/>
          <w:szCs w:val="24"/>
        </w:rPr>
        <w:t>a.</w:t>
      </w:r>
      <w:r w:rsidRPr="002C1B32">
        <w:rPr>
          <w:i/>
          <w:sz w:val="24"/>
          <w:szCs w:val="24"/>
        </w:rPr>
        <w:t xml:space="preserve"> Pub. Util. Comm'n</w:t>
      </w:r>
      <w:r w:rsidR="00F21C69">
        <w:rPr>
          <w:sz w:val="24"/>
          <w:szCs w:val="24"/>
        </w:rPr>
        <w:t xml:space="preserve">, 413 A.2d 1037 (Pa. 1980); </w:t>
      </w:r>
      <w:r w:rsidRPr="002C1B32">
        <w:rPr>
          <w:i/>
          <w:sz w:val="24"/>
          <w:szCs w:val="24"/>
        </w:rPr>
        <w:t>Erie Resistor Corp. v. Unemployment Compensation Bd. of Review</w:t>
      </w:r>
      <w:r w:rsidRPr="002C1B32">
        <w:rPr>
          <w:sz w:val="24"/>
          <w:szCs w:val="24"/>
        </w:rPr>
        <w:t xml:space="preserve">, </w:t>
      </w:r>
      <w:r w:rsidR="00F21C69">
        <w:rPr>
          <w:sz w:val="24"/>
          <w:szCs w:val="24"/>
        </w:rPr>
        <w:t xml:space="preserve">166 A.2d 96 (Pa. Super. 1960); </w:t>
      </w:r>
      <w:r w:rsidRPr="002C1B32">
        <w:rPr>
          <w:i/>
          <w:sz w:val="24"/>
          <w:szCs w:val="24"/>
        </w:rPr>
        <w:t>Murphy v. Commonwealth, Dep't. of Public Welfare, White Haven Center</w:t>
      </w:r>
      <w:r w:rsidRPr="002C1B32">
        <w:rPr>
          <w:sz w:val="24"/>
          <w:szCs w:val="24"/>
        </w:rPr>
        <w:t>, 480 A.2d 382 (Pa. Cmwlth. 1984).</w:t>
      </w:r>
    </w:p>
    <w:p w:rsidR="009C6D87" w:rsidRPr="002C1B32" w:rsidRDefault="009C6D87" w:rsidP="008D699F">
      <w:pPr>
        <w:spacing w:line="360" w:lineRule="auto"/>
        <w:rPr>
          <w:sz w:val="24"/>
          <w:szCs w:val="24"/>
        </w:rPr>
      </w:pPr>
    </w:p>
    <w:p w:rsidR="009C6D87" w:rsidRPr="002C1B32" w:rsidRDefault="009C6D87" w:rsidP="008D699F">
      <w:pPr>
        <w:tabs>
          <w:tab w:val="left" w:pos="-1440"/>
          <w:tab w:val="left" w:pos="-720"/>
        </w:tabs>
        <w:suppressAutoHyphens/>
        <w:spacing w:line="360" w:lineRule="auto"/>
        <w:ind w:firstLine="1440"/>
        <w:rPr>
          <w:sz w:val="24"/>
          <w:szCs w:val="24"/>
        </w:rPr>
      </w:pPr>
      <w:r w:rsidRPr="002C1B32">
        <w:rPr>
          <w:sz w:val="24"/>
          <w:szCs w:val="24"/>
        </w:rPr>
        <w:t xml:space="preserve">To satisfy the burden of proof against a utility, the Complainant must show that the utility is responsible or accountable for the problem described in the Complaint, </w:t>
      </w:r>
      <w:r w:rsidRPr="002C1B32">
        <w:rPr>
          <w:i/>
          <w:sz w:val="24"/>
          <w:szCs w:val="24"/>
        </w:rPr>
        <w:t>Feinstein v. Philadelphia Suburban Water Company</w:t>
      </w:r>
      <w:r w:rsidR="00DE2B62">
        <w:rPr>
          <w:sz w:val="24"/>
          <w:szCs w:val="24"/>
        </w:rPr>
        <w:t>, 50 Pa. PUC</w:t>
      </w:r>
      <w:r w:rsidRPr="002C1B32">
        <w:rPr>
          <w:sz w:val="24"/>
          <w:szCs w:val="24"/>
        </w:rPr>
        <w:t xml:space="preserve"> 300 (1976), or that the utility has violated either its duty under the Public Utility Code or the orders or regulat</w:t>
      </w:r>
      <w:r w:rsidR="00DE2B62">
        <w:rPr>
          <w:sz w:val="24"/>
          <w:szCs w:val="24"/>
        </w:rPr>
        <w:t>ions of the Commission.  66 Pa.</w:t>
      </w:r>
      <w:r w:rsidRPr="002C1B32">
        <w:rPr>
          <w:sz w:val="24"/>
          <w:szCs w:val="24"/>
        </w:rPr>
        <w:t xml:space="preserve">C.S. § 701.  This must be shown by a preponderance of the evidence.  </w:t>
      </w:r>
      <w:r w:rsidRPr="002C1B32">
        <w:rPr>
          <w:i/>
          <w:sz w:val="24"/>
          <w:szCs w:val="24"/>
        </w:rPr>
        <w:t>Patterson v. Bell Telephone Company of Pennsylvania</w:t>
      </w:r>
      <w:r w:rsidR="002D2355">
        <w:rPr>
          <w:sz w:val="24"/>
          <w:szCs w:val="24"/>
        </w:rPr>
        <w:t xml:space="preserve">, 72 Pa. </w:t>
      </w:r>
      <w:r w:rsidRPr="002C1B32">
        <w:rPr>
          <w:sz w:val="24"/>
          <w:szCs w:val="24"/>
        </w:rPr>
        <w:t>PUC 196 (1990).</w:t>
      </w:r>
    </w:p>
    <w:p w:rsidR="00826F31" w:rsidRPr="002C1B32" w:rsidRDefault="00826F31" w:rsidP="008D699F">
      <w:pPr>
        <w:tabs>
          <w:tab w:val="left" w:pos="-1440"/>
          <w:tab w:val="left" w:pos="-720"/>
        </w:tabs>
        <w:suppressAutoHyphens/>
        <w:spacing w:line="360" w:lineRule="auto"/>
        <w:ind w:firstLine="1440"/>
        <w:rPr>
          <w:sz w:val="24"/>
          <w:szCs w:val="24"/>
        </w:rPr>
      </w:pPr>
    </w:p>
    <w:p w:rsidR="00826F31" w:rsidRPr="002C1B32" w:rsidRDefault="00826F31" w:rsidP="008D699F">
      <w:pPr>
        <w:tabs>
          <w:tab w:val="left" w:pos="-1440"/>
          <w:tab w:val="left" w:pos="-720"/>
        </w:tabs>
        <w:suppressAutoHyphens/>
        <w:spacing w:line="360" w:lineRule="auto"/>
        <w:ind w:firstLine="1440"/>
        <w:rPr>
          <w:sz w:val="24"/>
          <w:szCs w:val="24"/>
        </w:rPr>
      </w:pPr>
      <w:r w:rsidRPr="002C1B32">
        <w:rPr>
          <w:sz w:val="24"/>
          <w:szCs w:val="24"/>
        </w:rPr>
        <w:t xml:space="preserve">Ambit is a licensed EGS in Pennsylvania.  The Commission has consistently ruled that Section 2809(e) of the Public Utility Code, 66 Pa.C.S. § 2809(e) provides the Commission with the authority to impose requirements necessary to maintain quality of service, including assuring that Chapter 56 billing regulations are followed.  </w:t>
      </w:r>
      <w:r w:rsidRPr="002C1B32">
        <w:rPr>
          <w:i/>
          <w:sz w:val="24"/>
          <w:szCs w:val="24"/>
        </w:rPr>
        <w:t>See Bracken v. Champion Energy Services, LLC</w:t>
      </w:r>
      <w:r w:rsidRPr="002C1B32">
        <w:rPr>
          <w:sz w:val="24"/>
          <w:szCs w:val="24"/>
        </w:rPr>
        <w:t>, Docket No. C-2011-2256514 Opinion and Order entered June 12, 2</w:t>
      </w:r>
      <w:r w:rsidR="00273C88">
        <w:rPr>
          <w:sz w:val="24"/>
          <w:szCs w:val="24"/>
        </w:rPr>
        <w:t xml:space="preserve">012.  </w:t>
      </w:r>
      <w:r w:rsidRPr="002C1B32">
        <w:rPr>
          <w:sz w:val="24"/>
          <w:szCs w:val="24"/>
        </w:rPr>
        <w:t>This issue in the instant case is whether Ambit violated any Chapter 56 regulations</w:t>
      </w:r>
      <w:r w:rsidR="0051538A" w:rsidRPr="002C1B32">
        <w:rPr>
          <w:sz w:val="24"/>
          <w:szCs w:val="24"/>
        </w:rPr>
        <w:t>.</w:t>
      </w:r>
    </w:p>
    <w:p w:rsidR="0051538A" w:rsidRPr="002C1B32" w:rsidRDefault="0051538A" w:rsidP="008D699F">
      <w:pPr>
        <w:tabs>
          <w:tab w:val="left" w:pos="-1440"/>
          <w:tab w:val="left" w:pos="-720"/>
        </w:tabs>
        <w:suppressAutoHyphens/>
        <w:spacing w:line="360" w:lineRule="auto"/>
        <w:ind w:firstLine="1440"/>
        <w:rPr>
          <w:sz w:val="24"/>
          <w:szCs w:val="24"/>
        </w:rPr>
      </w:pPr>
    </w:p>
    <w:p w:rsidR="004F746B" w:rsidRPr="002C1B32" w:rsidRDefault="00356894" w:rsidP="008D699F">
      <w:pPr>
        <w:spacing w:line="360" w:lineRule="auto"/>
        <w:rPr>
          <w:sz w:val="24"/>
          <w:szCs w:val="24"/>
        </w:rPr>
      </w:pPr>
      <w:r w:rsidRPr="002C1B32">
        <w:rPr>
          <w:sz w:val="24"/>
          <w:szCs w:val="24"/>
        </w:rPr>
        <w:tab/>
      </w:r>
      <w:r w:rsidR="004005A6" w:rsidRPr="002C1B32">
        <w:rPr>
          <w:sz w:val="24"/>
          <w:szCs w:val="24"/>
        </w:rPr>
        <w:tab/>
      </w:r>
      <w:r w:rsidR="00464398" w:rsidRPr="002C1B32">
        <w:rPr>
          <w:sz w:val="24"/>
          <w:szCs w:val="24"/>
        </w:rPr>
        <w:t>Complainant claim</w:t>
      </w:r>
      <w:r w:rsidRPr="002C1B32">
        <w:rPr>
          <w:sz w:val="24"/>
          <w:szCs w:val="24"/>
        </w:rPr>
        <w:t>s</w:t>
      </w:r>
      <w:r w:rsidR="00FB2133" w:rsidRPr="002C1B32">
        <w:rPr>
          <w:sz w:val="24"/>
          <w:szCs w:val="24"/>
        </w:rPr>
        <w:t xml:space="preserve"> that Ambit deceitfully advertised a rate through the Pennsylvania Power Switch Website, and did not disclose that it was an introductory offer </w:t>
      </w:r>
      <w:r w:rsidR="004F746B" w:rsidRPr="002C1B32">
        <w:rPr>
          <w:sz w:val="24"/>
          <w:szCs w:val="24"/>
        </w:rPr>
        <w:t xml:space="preserve">for one month </w:t>
      </w:r>
      <w:r w:rsidR="00FB2133" w:rsidRPr="002C1B32">
        <w:rPr>
          <w:sz w:val="24"/>
          <w:szCs w:val="24"/>
        </w:rPr>
        <w:t>only</w:t>
      </w:r>
      <w:r w:rsidR="004F746B" w:rsidRPr="002C1B32">
        <w:rPr>
          <w:sz w:val="24"/>
          <w:szCs w:val="24"/>
        </w:rPr>
        <w:t xml:space="preserve">, and that thereafter </w:t>
      </w:r>
      <w:r w:rsidR="00867312">
        <w:rPr>
          <w:sz w:val="24"/>
          <w:szCs w:val="24"/>
        </w:rPr>
        <w:t xml:space="preserve">it </w:t>
      </w:r>
      <w:r w:rsidR="004F746B" w:rsidRPr="002C1B32">
        <w:rPr>
          <w:sz w:val="24"/>
          <w:szCs w:val="24"/>
        </w:rPr>
        <w:t>would become a variable rate</w:t>
      </w:r>
      <w:r w:rsidR="0051538A" w:rsidRPr="002C1B32">
        <w:rPr>
          <w:sz w:val="24"/>
          <w:szCs w:val="24"/>
        </w:rPr>
        <w:t xml:space="preserve"> subject to automatic change at the </w:t>
      </w:r>
      <w:r w:rsidR="00867312">
        <w:rPr>
          <w:sz w:val="24"/>
          <w:szCs w:val="24"/>
        </w:rPr>
        <w:t>C</w:t>
      </w:r>
      <w:r w:rsidR="0051538A" w:rsidRPr="002C1B32">
        <w:rPr>
          <w:sz w:val="24"/>
          <w:szCs w:val="24"/>
        </w:rPr>
        <w:t>ompany’s discretion</w:t>
      </w:r>
      <w:r w:rsidR="00FB2133" w:rsidRPr="002C1B32">
        <w:rPr>
          <w:sz w:val="24"/>
          <w:szCs w:val="24"/>
        </w:rPr>
        <w:t xml:space="preserve">. </w:t>
      </w:r>
      <w:r w:rsidR="004F746B" w:rsidRPr="002C1B32">
        <w:rPr>
          <w:sz w:val="24"/>
          <w:szCs w:val="24"/>
        </w:rPr>
        <w:t xml:space="preserve"> Complainant checked Ambit’s advertised variable rate on the Pennsylvania </w:t>
      </w:r>
      <w:r w:rsidR="00BF6C4F" w:rsidRPr="002C1B32">
        <w:rPr>
          <w:sz w:val="24"/>
          <w:szCs w:val="24"/>
        </w:rPr>
        <w:t>Power</w:t>
      </w:r>
      <w:r w:rsidR="004F746B" w:rsidRPr="002C1B32">
        <w:rPr>
          <w:sz w:val="24"/>
          <w:szCs w:val="24"/>
        </w:rPr>
        <w:t xml:space="preserve"> Switch website for six months, and noted that it had not changed.  N.T. 6.  Therefore, he believed the variable rate was pretty steady, and he telephoned the company in December, 2012 to make Ambit his generation supplier.  He received his first PPL bill showing Ambit’s charge on it in January, 2013, and was surprised to find a rate charge of </w:t>
      </w:r>
      <w:r w:rsidR="00F03DF4">
        <w:rPr>
          <w:sz w:val="24"/>
          <w:szCs w:val="24"/>
        </w:rPr>
        <w:t xml:space="preserve">7.39 </w:t>
      </w:r>
      <w:r w:rsidR="004F746B" w:rsidRPr="002C1B32">
        <w:rPr>
          <w:sz w:val="24"/>
          <w:szCs w:val="24"/>
        </w:rPr>
        <w:t xml:space="preserve">cents instead of </w:t>
      </w:r>
      <w:r w:rsidR="00F03DF4" w:rsidRPr="002C1B32">
        <w:rPr>
          <w:sz w:val="24"/>
          <w:szCs w:val="24"/>
        </w:rPr>
        <w:t xml:space="preserve">6.84 </w:t>
      </w:r>
      <w:r w:rsidR="004F746B" w:rsidRPr="002C1B32">
        <w:rPr>
          <w:sz w:val="24"/>
          <w:szCs w:val="24"/>
        </w:rPr>
        <w:t xml:space="preserve">cents.  So, </w:t>
      </w:r>
      <w:r w:rsidR="00FB2133" w:rsidRPr="002C1B32">
        <w:rPr>
          <w:sz w:val="24"/>
          <w:szCs w:val="24"/>
        </w:rPr>
        <w:t xml:space="preserve">Complainant </w:t>
      </w:r>
      <w:r w:rsidR="004F746B" w:rsidRPr="002C1B32">
        <w:rPr>
          <w:sz w:val="24"/>
          <w:szCs w:val="24"/>
        </w:rPr>
        <w:t>telephoned Ambit</w:t>
      </w:r>
      <w:r w:rsidR="00867312">
        <w:rPr>
          <w:sz w:val="24"/>
          <w:szCs w:val="24"/>
        </w:rPr>
        <w:t>, which</w:t>
      </w:r>
      <w:r w:rsidR="004F746B" w:rsidRPr="002C1B32">
        <w:rPr>
          <w:sz w:val="24"/>
          <w:szCs w:val="24"/>
        </w:rPr>
        <w:t xml:space="preserve"> applied a credit for the </w:t>
      </w:r>
      <w:r w:rsidR="004F746B" w:rsidRPr="002C1B32">
        <w:rPr>
          <w:sz w:val="24"/>
          <w:szCs w:val="24"/>
        </w:rPr>
        <w:lastRenderedPageBreak/>
        <w:t>difference in rate</w:t>
      </w:r>
      <w:r w:rsidR="0069681C">
        <w:rPr>
          <w:sz w:val="24"/>
          <w:szCs w:val="24"/>
        </w:rPr>
        <w:t xml:space="preserve">s on Complainant’s next bill.  </w:t>
      </w:r>
      <w:r w:rsidR="004F746B" w:rsidRPr="002C1B32">
        <w:rPr>
          <w:sz w:val="24"/>
          <w:szCs w:val="24"/>
        </w:rPr>
        <w:t>N</w:t>
      </w:r>
      <w:r w:rsidR="0069681C">
        <w:rPr>
          <w:sz w:val="24"/>
          <w:szCs w:val="24"/>
        </w:rPr>
        <w:t>.T. 6-7.  However, in February, </w:t>
      </w:r>
      <w:r w:rsidR="004F746B" w:rsidRPr="002C1B32">
        <w:rPr>
          <w:sz w:val="24"/>
          <w:szCs w:val="24"/>
        </w:rPr>
        <w:t xml:space="preserve">2013, Complainant noticed the same variable rate was charged, and when he telephoned Ambit, a customer service representative informed him that </w:t>
      </w:r>
      <w:r w:rsidR="00867312">
        <w:rPr>
          <w:sz w:val="24"/>
          <w:szCs w:val="24"/>
        </w:rPr>
        <w:t>his plan</w:t>
      </w:r>
      <w:r w:rsidR="004F746B" w:rsidRPr="002C1B32">
        <w:rPr>
          <w:sz w:val="24"/>
          <w:szCs w:val="24"/>
        </w:rPr>
        <w:t xml:space="preserve"> was </w:t>
      </w:r>
      <w:r w:rsidR="00867312">
        <w:rPr>
          <w:sz w:val="24"/>
          <w:szCs w:val="24"/>
        </w:rPr>
        <w:t>subject to</w:t>
      </w:r>
      <w:r w:rsidR="004F746B" w:rsidRPr="002C1B32">
        <w:rPr>
          <w:sz w:val="24"/>
          <w:szCs w:val="24"/>
        </w:rPr>
        <w:t xml:space="preserve"> a variable rate.  So, Complainant terminated his month to month contract with Ambit.</w:t>
      </w:r>
    </w:p>
    <w:p w:rsidR="004F746B" w:rsidRPr="002C1B32" w:rsidRDefault="004F746B" w:rsidP="008D699F">
      <w:pPr>
        <w:spacing w:line="360" w:lineRule="auto"/>
        <w:rPr>
          <w:sz w:val="24"/>
          <w:szCs w:val="24"/>
        </w:rPr>
      </w:pPr>
    </w:p>
    <w:p w:rsidR="004F746B" w:rsidRPr="002C1B32" w:rsidRDefault="004F746B" w:rsidP="008D699F">
      <w:pPr>
        <w:spacing w:line="360" w:lineRule="auto"/>
        <w:rPr>
          <w:sz w:val="24"/>
          <w:szCs w:val="24"/>
        </w:rPr>
      </w:pPr>
      <w:r w:rsidRPr="002C1B32">
        <w:rPr>
          <w:sz w:val="24"/>
          <w:szCs w:val="24"/>
        </w:rPr>
        <w:tab/>
      </w:r>
      <w:r w:rsidRPr="002C1B32">
        <w:rPr>
          <w:sz w:val="24"/>
          <w:szCs w:val="24"/>
        </w:rPr>
        <w:tab/>
        <w:t xml:space="preserve">Complainant testified that in February, </w:t>
      </w:r>
      <w:r w:rsidR="0051538A" w:rsidRPr="002C1B32">
        <w:rPr>
          <w:sz w:val="24"/>
          <w:szCs w:val="24"/>
        </w:rPr>
        <w:t xml:space="preserve">2013, </w:t>
      </w:r>
      <w:r w:rsidRPr="002C1B32">
        <w:rPr>
          <w:sz w:val="24"/>
          <w:szCs w:val="24"/>
        </w:rPr>
        <w:t xml:space="preserve">the PaPowerSwitch </w:t>
      </w:r>
      <w:r w:rsidR="00124ACC">
        <w:rPr>
          <w:sz w:val="24"/>
          <w:szCs w:val="24"/>
        </w:rPr>
        <w:t xml:space="preserve">website </w:t>
      </w:r>
      <w:r w:rsidRPr="002C1B32">
        <w:rPr>
          <w:sz w:val="24"/>
          <w:szCs w:val="24"/>
        </w:rPr>
        <w:t xml:space="preserve">still had 6.84 cents listed for Ambit on its website.  </w:t>
      </w:r>
      <w:r w:rsidR="00BF6C4F" w:rsidRPr="002C1B32">
        <w:rPr>
          <w:sz w:val="24"/>
          <w:szCs w:val="24"/>
        </w:rPr>
        <w:t>Complainant</w:t>
      </w:r>
      <w:r w:rsidRPr="002C1B32">
        <w:rPr>
          <w:sz w:val="24"/>
          <w:szCs w:val="24"/>
        </w:rPr>
        <w:t xml:space="preserve"> also looked up </w:t>
      </w:r>
      <w:r w:rsidR="00BF6C4F" w:rsidRPr="002C1B32">
        <w:rPr>
          <w:sz w:val="24"/>
          <w:szCs w:val="24"/>
        </w:rPr>
        <w:t>Ambit’s</w:t>
      </w:r>
      <w:r w:rsidR="008A705D">
        <w:rPr>
          <w:sz w:val="24"/>
          <w:szCs w:val="24"/>
        </w:rPr>
        <w:t xml:space="preserve"> website and found a </w:t>
      </w:r>
      <w:r w:rsidRPr="002C1B32">
        <w:rPr>
          <w:sz w:val="24"/>
          <w:szCs w:val="24"/>
        </w:rPr>
        <w:t>6.84 cents introductory rate offer on the website.  N.T</w:t>
      </w:r>
      <w:r w:rsidR="00CF64B7" w:rsidRPr="002C1B32">
        <w:rPr>
          <w:sz w:val="24"/>
          <w:szCs w:val="24"/>
        </w:rPr>
        <w:t>.</w:t>
      </w:r>
      <w:r w:rsidRPr="002C1B32">
        <w:rPr>
          <w:sz w:val="24"/>
          <w:szCs w:val="24"/>
        </w:rPr>
        <w:t xml:space="preserve"> 7.  Complainant does not believe he was notified of this on his disclosure statement.  N.T. 7.  Complainant testified he </w:t>
      </w:r>
      <w:r w:rsidR="0051538A" w:rsidRPr="002C1B32">
        <w:rPr>
          <w:sz w:val="24"/>
          <w:szCs w:val="24"/>
        </w:rPr>
        <w:t>preferred</w:t>
      </w:r>
      <w:r w:rsidRPr="002C1B32">
        <w:rPr>
          <w:sz w:val="24"/>
          <w:szCs w:val="24"/>
        </w:rPr>
        <w:t xml:space="preserve"> the way Ambit </w:t>
      </w:r>
      <w:r w:rsidR="0051538A" w:rsidRPr="002C1B32">
        <w:rPr>
          <w:sz w:val="24"/>
          <w:szCs w:val="24"/>
        </w:rPr>
        <w:t xml:space="preserve">advertised its </w:t>
      </w:r>
      <w:r w:rsidRPr="002C1B32">
        <w:rPr>
          <w:sz w:val="24"/>
          <w:szCs w:val="24"/>
        </w:rPr>
        <w:t xml:space="preserve">introductory </w:t>
      </w:r>
      <w:r w:rsidR="00BF6C4F" w:rsidRPr="002C1B32">
        <w:rPr>
          <w:sz w:val="24"/>
          <w:szCs w:val="24"/>
        </w:rPr>
        <w:t>prices on</w:t>
      </w:r>
      <w:r w:rsidRPr="002C1B32">
        <w:rPr>
          <w:sz w:val="24"/>
          <w:szCs w:val="24"/>
        </w:rPr>
        <w:t xml:space="preserve"> the O</w:t>
      </w:r>
      <w:r w:rsidR="0051538A" w:rsidRPr="002C1B32">
        <w:rPr>
          <w:sz w:val="24"/>
          <w:szCs w:val="24"/>
        </w:rPr>
        <w:t xml:space="preserve">ffice of </w:t>
      </w:r>
      <w:r w:rsidRPr="002C1B32">
        <w:rPr>
          <w:sz w:val="24"/>
          <w:szCs w:val="24"/>
        </w:rPr>
        <w:t>C</w:t>
      </w:r>
      <w:r w:rsidR="0051538A" w:rsidRPr="002C1B32">
        <w:rPr>
          <w:sz w:val="24"/>
          <w:szCs w:val="24"/>
        </w:rPr>
        <w:t xml:space="preserve">onsumer </w:t>
      </w:r>
      <w:r w:rsidRPr="002C1B32">
        <w:rPr>
          <w:sz w:val="24"/>
          <w:szCs w:val="24"/>
        </w:rPr>
        <w:t>A</w:t>
      </w:r>
      <w:r w:rsidR="0051538A" w:rsidRPr="002C1B32">
        <w:rPr>
          <w:sz w:val="24"/>
          <w:szCs w:val="24"/>
        </w:rPr>
        <w:t>dvocate</w:t>
      </w:r>
      <w:r w:rsidRPr="002C1B32">
        <w:rPr>
          <w:sz w:val="24"/>
          <w:szCs w:val="24"/>
        </w:rPr>
        <w:t>’s website</w:t>
      </w:r>
      <w:r w:rsidR="003C1BE1" w:rsidRPr="002C1B32">
        <w:rPr>
          <w:sz w:val="24"/>
          <w:szCs w:val="24"/>
        </w:rPr>
        <w:t xml:space="preserve"> as compared to the Commission’s PaPowerSwitch website</w:t>
      </w:r>
      <w:r w:rsidRPr="002C1B32">
        <w:rPr>
          <w:sz w:val="24"/>
          <w:szCs w:val="24"/>
        </w:rPr>
        <w:t>.  N.T. 10</w:t>
      </w:r>
      <w:r w:rsidR="003C1BE1" w:rsidRPr="002C1B32">
        <w:rPr>
          <w:sz w:val="24"/>
          <w:szCs w:val="24"/>
        </w:rPr>
        <w:t>-11</w:t>
      </w:r>
      <w:r w:rsidRPr="002C1B32">
        <w:rPr>
          <w:sz w:val="24"/>
          <w:szCs w:val="24"/>
        </w:rPr>
        <w:t xml:space="preserve">. </w:t>
      </w:r>
      <w:r w:rsidR="00B45F51">
        <w:rPr>
          <w:sz w:val="24"/>
          <w:szCs w:val="24"/>
        </w:rPr>
        <w:t xml:space="preserve"> </w:t>
      </w:r>
      <w:r w:rsidR="003C1BE1" w:rsidRPr="002C1B32">
        <w:rPr>
          <w:sz w:val="24"/>
          <w:szCs w:val="24"/>
        </w:rPr>
        <w:t xml:space="preserve">He further testified that the disclosure statement on Ambit’s website does not state an introductory rate.  </w:t>
      </w:r>
      <w:r w:rsidR="0051538A" w:rsidRPr="002C1B32">
        <w:rPr>
          <w:sz w:val="24"/>
          <w:szCs w:val="24"/>
        </w:rPr>
        <w:t>I</w:t>
      </w:r>
      <w:r w:rsidR="003C1BE1" w:rsidRPr="002C1B32">
        <w:rPr>
          <w:sz w:val="24"/>
          <w:szCs w:val="24"/>
        </w:rPr>
        <w:t xml:space="preserve">t </w:t>
      </w:r>
      <w:r w:rsidR="0051538A" w:rsidRPr="002C1B32">
        <w:rPr>
          <w:sz w:val="24"/>
          <w:szCs w:val="24"/>
        </w:rPr>
        <w:t xml:space="preserve">only </w:t>
      </w:r>
      <w:r w:rsidR="00B41867" w:rsidRPr="002C1B32">
        <w:rPr>
          <w:sz w:val="24"/>
          <w:szCs w:val="24"/>
        </w:rPr>
        <w:t>shows the</w:t>
      </w:r>
      <w:r w:rsidR="003C1BE1" w:rsidRPr="002C1B32">
        <w:rPr>
          <w:sz w:val="24"/>
          <w:szCs w:val="24"/>
        </w:rPr>
        <w:t xml:space="preserve"> lower rate.  N.T. 11.</w:t>
      </w:r>
    </w:p>
    <w:p w:rsidR="003C1BE1" w:rsidRPr="002C1B32" w:rsidRDefault="003C1BE1" w:rsidP="008D699F">
      <w:pPr>
        <w:spacing w:line="360" w:lineRule="auto"/>
        <w:rPr>
          <w:sz w:val="24"/>
          <w:szCs w:val="24"/>
        </w:rPr>
      </w:pPr>
    </w:p>
    <w:p w:rsidR="00923D16" w:rsidRPr="002C1B32" w:rsidRDefault="003C1BE1" w:rsidP="008D699F">
      <w:pPr>
        <w:spacing w:line="360" w:lineRule="auto"/>
        <w:rPr>
          <w:sz w:val="24"/>
          <w:szCs w:val="24"/>
        </w:rPr>
      </w:pPr>
      <w:r w:rsidRPr="002C1B32">
        <w:rPr>
          <w:sz w:val="24"/>
          <w:szCs w:val="24"/>
        </w:rPr>
        <w:tab/>
      </w:r>
      <w:r w:rsidRPr="002C1B32">
        <w:rPr>
          <w:sz w:val="24"/>
          <w:szCs w:val="24"/>
        </w:rPr>
        <w:tab/>
      </w:r>
      <w:r w:rsidR="00771D7B" w:rsidRPr="002C1B32">
        <w:rPr>
          <w:sz w:val="24"/>
          <w:szCs w:val="24"/>
        </w:rPr>
        <w:t xml:space="preserve">Complainant has a Bachelor of Arts in </w:t>
      </w:r>
      <w:r w:rsidR="0051538A" w:rsidRPr="002C1B32">
        <w:rPr>
          <w:sz w:val="24"/>
          <w:szCs w:val="24"/>
        </w:rPr>
        <w:t>Ma</w:t>
      </w:r>
      <w:r w:rsidR="00771D7B" w:rsidRPr="002C1B32">
        <w:rPr>
          <w:sz w:val="24"/>
          <w:szCs w:val="24"/>
        </w:rPr>
        <w:t>thematics.  N.T. 56.  He</w:t>
      </w:r>
      <w:r w:rsidR="0079268A" w:rsidRPr="002C1B32">
        <w:rPr>
          <w:sz w:val="24"/>
          <w:szCs w:val="24"/>
        </w:rPr>
        <w:t xml:space="preserve"> ar</w:t>
      </w:r>
      <w:r w:rsidR="004E362D">
        <w:rPr>
          <w:sz w:val="24"/>
          <w:szCs w:val="24"/>
        </w:rPr>
        <w:t>gues Respondent violated 52 Pa.</w:t>
      </w:r>
      <w:r w:rsidR="0079268A" w:rsidRPr="002C1B32">
        <w:rPr>
          <w:sz w:val="24"/>
          <w:szCs w:val="24"/>
        </w:rPr>
        <w:t>Code §</w:t>
      </w:r>
      <w:r w:rsidR="00124ACC">
        <w:rPr>
          <w:sz w:val="24"/>
          <w:szCs w:val="24"/>
        </w:rPr>
        <w:t>§</w:t>
      </w:r>
      <w:r w:rsidR="0079268A" w:rsidRPr="002C1B32">
        <w:rPr>
          <w:sz w:val="24"/>
          <w:szCs w:val="24"/>
        </w:rPr>
        <w:t xml:space="preserve"> 54.3(1); 54.5(a), (c</w:t>
      </w:r>
      <w:r w:rsidR="00BF6C4F" w:rsidRPr="002C1B32">
        <w:rPr>
          <w:sz w:val="24"/>
          <w:szCs w:val="24"/>
        </w:rPr>
        <w:t>)(</w:t>
      </w:r>
      <w:r w:rsidR="0079268A" w:rsidRPr="002C1B32">
        <w:rPr>
          <w:sz w:val="24"/>
          <w:szCs w:val="24"/>
        </w:rPr>
        <w:t xml:space="preserve">2); 54.7(a); and 54.43(1)(f) </w:t>
      </w:r>
      <w:r w:rsidR="00923D16" w:rsidRPr="002C1B32">
        <w:rPr>
          <w:sz w:val="24"/>
          <w:szCs w:val="24"/>
        </w:rPr>
        <w:t xml:space="preserve">by hiding an introductory rate without explaining the variable rate process </w:t>
      </w:r>
      <w:r w:rsidR="0079268A" w:rsidRPr="002C1B32">
        <w:rPr>
          <w:sz w:val="24"/>
          <w:szCs w:val="24"/>
        </w:rPr>
        <w:t xml:space="preserve">and should be enjoined from further violations. </w:t>
      </w:r>
      <w:r w:rsidR="00BF6C4F" w:rsidRPr="002C1B32">
        <w:rPr>
          <w:sz w:val="24"/>
          <w:szCs w:val="24"/>
        </w:rPr>
        <w:t xml:space="preserve"> </w:t>
      </w:r>
      <w:r w:rsidR="00923D16" w:rsidRPr="002C1B32">
        <w:rPr>
          <w:sz w:val="24"/>
          <w:szCs w:val="24"/>
        </w:rPr>
        <w:t xml:space="preserve">N.T. 17.  </w:t>
      </w:r>
      <w:r w:rsidR="00AC135B" w:rsidRPr="002C1B32">
        <w:rPr>
          <w:sz w:val="24"/>
          <w:szCs w:val="24"/>
        </w:rPr>
        <w:t>Complainant contends that Ambit’s website, the terms of service, and disclosure statement, and rate information that Ambit provided on the P</w:t>
      </w:r>
      <w:r w:rsidR="00124ACC">
        <w:rPr>
          <w:sz w:val="24"/>
          <w:szCs w:val="24"/>
        </w:rPr>
        <w:t>aPowerSwitch</w:t>
      </w:r>
      <w:r w:rsidR="00AC135B" w:rsidRPr="002C1B32">
        <w:rPr>
          <w:sz w:val="24"/>
          <w:szCs w:val="24"/>
        </w:rPr>
        <w:t xml:space="preserve"> website were deceitful and misled him to believe that the rate he was offered on Ambit’s website was renewable month to month, and that it would not vary.  </w:t>
      </w:r>
      <w:r w:rsidR="00923D16" w:rsidRPr="002C1B32">
        <w:rPr>
          <w:sz w:val="24"/>
          <w:szCs w:val="24"/>
        </w:rPr>
        <w:t>Complai</w:t>
      </w:r>
      <w:r w:rsidR="00FA61CB">
        <w:rPr>
          <w:sz w:val="24"/>
          <w:szCs w:val="24"/>
        </w:rPr>
        <w:t xml:space="preserve">nant is not seeking a refund.  </w:t>
      </w:r>
      <w:r w:rsidR="00923D16" w:rsidRPr="002C1B32">
        <w:rPr>
          <w:sz w:val="24"/>
          <w:szCs w:val="24"/>
        </w:rPr>
        <w:t xml:space="preserve">Rather, Complainant seeks a Commission directive ordering Respondent to clearly state in its marketing literature and disclosure statement that there is an introductory rate and that a variable rate applies starting in the second month of service.  N.T. 18-20. </w:t>
      </w:r>
      <w:r w:rsidR="00771D7B" w:rsidRPr="002C1B32">
        <w:rPr>
          <w:sz w:val="24"/>
          <w:szCs w:val="24"/>
        </w:rPr>
        <w:t xml:space="preserve"> It is clear from Complainant’s testimony that he believes a variable rate may or may not change based on market changes, taxes, or costs, but he does not understand an a</w:t>
      </w:r>
      <w:r w:rsidR="00E3163D">
        <w:rPr>
          <w:sz w:val="24"/>
          <w:szCs w:val="24"/>
        </w:rPr>
        <w:t>utomatic change to rates.  N.T. </w:t>
      </w:r>
      <w:r w:rsidR="00771D7B" w:rsidRPr="002C1B32">
        <w:rPr>
          <w:sz w:val="24"/>
          <w:szCs w:val="24"/>
        </w:rPr>
        <w:t>30.</w:t>
      </w:r>
    </w:p>
    <w:p w:rsidR="00771D7B" w:rsidRPr="002C1B32" w:rsidRDefault="00771D7B" w:rsidP="008D699F">
      <w:pPr>
        <w:spacing w:line="360" w:lineRule="auto"/>
        <w:rPr>
          <w:sz w:val="24"/>
          <w:szCs w:val="24"/>
        </w:rPr>
      </w:pPr>
    </w:p>
    <w:p w:rsidR="00B41867" w:rsidRPr="002C1B32" w:rsidRDefault="00923D16" w:rsidP="00B41867">
      <w:pPr>
        <w:spacing w:line="360" w:lineRule="auto"/>
        <w:rPr>
          <w:sz w:val="24"/>
          <w:szCs w:val="24"/>
        </w:rPr>
      </w:pPr>
      <w:r w:rsidRPr="002C1B32">
        <w:rPr>
          <w:sz w:val="24"/>
          <w:szCs w:val="24"/>
        </w:rPr>
        <w:tab/>
      </w:r>
      <w:r w:rsidRPr="002C1B32">
        <w:rPr>
          <w:sz w:val="24"/>
          <w:szCs w:val="24"/>
        </w:rPr>
        <w:tab/>
      </w:r>
      <w:r w:rsidR="00B41867" w:rsidRPr="002C1B32">
        <w:rPr>
          <w:sz w:val="24"/>
          <w:szCs w:val="24"/>
        </w:rPr>
        <w:t>52 Pa.Code § 54.42 provides that EGSs must comply with the applicable requirements of the code and Commission regulations and orders.  Consistent with due process, a license may be suspended or revoked and fines may be imposed against a licensee for viola</w:t>
      </w:r>
      <w:r w:rsidR="002A14BB">
        <w:rPr>
          <w:sz w:val="24"/>
          <w:szCs w:val="24"/>
        </w:rPr>
        <w:t>tions of the code.  52 Pa.</w:t>
      </w:r>
      <w:r w:rsidR="00B41867" w:rsidRPr="002C1B32">
        <w:rPr>
          <w:sz w:val="24"/>
          <w:szCs w:val="24"/>
        </w:rPr>
        <w:t xml:space="preserve">Code </w:t>
      </w:r>
      <w:r w:rsidR="002510A9">
        <w:rPr>
          <w:sz w:val="24"/>
          <w:szCs w:val="24"/>
        </w:rPr>
        <w:t>§ 54.43</w:t>
      </w:r>
      <w:r w:rsidR="00B41867" w:rsidRPr="002C1B32">
        <w:rPr>
          <w:sz w:val="24"/>
          <w:szCs w:val="24"/>
        </w:rPr>
        <w:t xml:space="preserve">(1)(f) provides that a licensee is responsible for any fraudulent </w:t>
      </w:r>
      <w:r w:rsidR="00B41867" w:rsidRPr="002C1B32">
        <w:rPr>
          <w:sz w:val="24"/>
          <w:szCs w:val="24"/>
        </w:rPr>
        <w:lastRenderedPageBreak/>
        <w:t>deceptive or other unlawful marketing or billing acts performed by the licensee, its employees, age</w:t>
      </w:r>
      <w:r w:rsidR="000F6B0D">
        <w:rPr>
          <w:sz w:val="24"/>
          <w:szCs w:val="24"/>
        </w:rPr>
        <w:t>nts or representatives.  52 Pa.</w:t>
      </w:r>
      <w:r w:rsidR="00B41867" w:rsidRPr="002C1B32">
        <w:rPr>
          <w:sz w:val="24"/>
          <w:szCs w:val="24"/>
        </w:rPr>
        <w:t xml:space="preserve">Code </w:t>
      </w:r>
      <w:r w:rsidR="002510A9">
        <w:rPr>
          <w:sz w:val="24"/>
          <w:szCs w:val="24"/>
        </w:rPr>
        <w:t xml:space="preserve">§ </w:t>
      </w:r>
      <w:r w:rsidR="00B41867" w:rsidRPr="002C1B32">
        <w:rPr>
          <w:sz w:val="24"/>
          <w:szCs w:val="24"/>
        </w:rPr>
        <w:t xml:space="preserve">54.3(1) states that EGSs shall use common and consistent terminology in customer communications, including marketing, billing and disclosure statements.  </w:t>
      </w:r>
      <w:r w:rsidR="00812EE4">
        <w:rPr>
          <w:sz w:val="24"/>
          <w:szCs w:val="24"/>
        </w:rPr>
        <w:t>52 Pa.</w:t>
      </w:r>
      <w:r w:rsidR="00B41867" w:rsidRPr="002C1B32">
        <w:rPr>
          <w:sz w:val="24"/>
          <w:szCs w:val="24"/>
        </w:rPr>
        <w:t>Code § 54.4(a) states that EGS prices billed must reflect the marketed prices and the agreed upon prices in the dis</w:t>
      </w:r>
      <w:r w:rsidR="00EF4871">
        <w:rPr>
          <w:sz w:val="24"/>
          <w:szCs w:val="24"/>
        </w:rPr>
        <w:t>closure statement.  52 Pa.</w:t>
      </w:r>
      <w:r w:rsidR="00B41867" w:rsidRPr="002C1B32">
        <w:rPr>
          <w:sz w:val="24"/>
          <w:szCs w:val="24"/>
        </w:rPr>
        <w:t>Code § 54.5(c)(2) provides that the contract’s terms of service shall be disclosed, including a variable pricing statement if applicable including conditions and</w:t>
      </w:r>
      <w:r w:rsidR="00EC4DC6">
        <w:rPr>
          <w:sz w:val="24"/>
          <w:szCs w:val="24"/>
        </w:rPr>
        <w:t xml:space="preserve"> limits on variability.  52 Pa.</w:t>
      </w:r>
      <w:r w:rsidR="00B41867" w:rsidRPr="002C1B32">
        <w:rPr>
          <w:sz w:val="24"/>
          <w:szCs w:val="24"/>
        </w:rPr>
        <w:t>Code § 54.7(a) provides advertised prices shall reflect prices in disclosure statements and billed prices.</w:t>
      </w:r>
    </w:p>
    <w:p w:rsidR="00923D16" w:rsidRPr="002C1B32" w:rsidRDefault="00923D16" w:rsidP="00923D16">
      <w:pPr>
        <w:spacing w:line="360" w:lineRule="auto"/>
        <w:rPr>
          <w:sz w:val="24"/>
          <w:szCs w:val="24"/>
        </w:rPr>
      </w:pPr>
    </w:p>
    <w:p w:rsidR="00AC135B" w:rsidRPr="002C1B32" w:rsidRDefault="00AC135B" w:rsidP="00923D16">
      <w:pPr>
        <w:spacing w:line="360" w:lineRule="auto"/>
        <w:rPr>
          <w:sz w:val="24"/>
          <w:szCs w:val="24"/>
        </w:rPr>
      </w:pPr>
      <w:r w:rsidRPr="002C1B32">
        <w:rPr>
          <w:sz w:val="24"/>
          <w:szCs w:val="24"/>
        </w:rPr>
        <w:tab/>
      </w:r>
      <w:r w:rsidRPr="002C1B32">
        <w:rPr>
          <w:sz w:val="24"/>
          <w:szCs w:val="24"/>
        </w:rPr>
        <w:tab/>
        <w:t xml:space="preserve">As part of Ambit’s licensing process, it submitted a customer disclosure statement for review and approval by the Commission’s Bureau of Consumer Services.  Ambit is still using the same disclosure statement approved by Commission Staff.  N.T. 32.  </w:t>
      </w:r>
      <w:r w:rsidR="00B41867" w:rsidRPr="002C1B32">
        <w:rPr>
          <w:sz w:val="24"/>
          <w:szCs w:val="24"/>
        </w:rPr>
        <w:t>The disclosure statement and terms of service statement are located on Ambit’s website and a customer must confirm he/she has read the statements before signing up for the service onli</w:t>
      </w:r>
      <w:r w:rsidR="00B24439">
        <w:rPr>
          <w:sz w:val="24"/>
          <w:szCs w:val="24"/>
        </w:rPr>
        <w:t xml:space="preserve">ne.  </w:t>
      </w:r>
      <w:r w:rsidRPr="002C1B32">
        <w:rPr>
          <w:sz w:val="24"/>
          <w:szCs w:val="24"/>
        </w:rPr>
        <w:t>The statements are also mailed as part of a welcome packet to new customers.  N.T</w:t>
      </w:r>
      <w:r w:rsidR="00CF64B7" w:rsidRPr="002C1B32">
        <w:rPr>
          <w:sz w:val="24"/>
          <w:szCs w:val="24"/>
        </w:rPr>
        <w:t>.</w:t>
      </w:r>
      <w:r w:rsidRPr="002C1B32">
        <w:rPr>
          <w:sz w:val="24"/>
          <w:szCs w:val="24"/>
        </w:rPr>
        <w:t xml:space="preserve"> 33-36.  Exhibit AE-3.  The </w:t>
      </w:r>
      <w:r w:rsidR="004D163B" w:rsidRPr="002C1B32">
        <w:rPr>
          <w:sz w:val="24"/>
          <w:szCs w:val="24"/>
        </w:rPr>
        <w:t>welcome packet</w:t>
      </w:r>
      <w:r w:rsidRPr="002C1B32">
        <w:rPr>
          <w:sz w:val="24"/>
          <w:szCs w:val="24"/>
        </w:rPr>
        <w:t xml:space="preserve"> sent to Complainant clearly stated</w:t>
      </w:r>
      <w:r w:rsidR="0051538A" w:rsidRPr="002C1B32">
        <w:rPr>
          <w:sz w:val="24"/>
          <w:szCs w:val="24"/>
        </w:rPr>
        <w:t>,</w:t>
      </w:r>
      <w:r w:rsidRPr="002C1B32">
        <w:rPr>
          <w:sz w:val="24"/>
          <w:szCs w:val="24"/>
        </w:rPr>
        <w:t xml:space="preserve"> “</w:t>
      </w:r>
      <w:r w:rsidR="0051538A" w:rsidRPr="002C1B32">
        <w:rPr>
          <w:sz w:val="24"/>
          <w:szCs w:val="24"/>
        </w:rPr>
        <w:t>A</w:t>
      </w:r>
      <w:r w:rsidRPr="002C1B32">
        <w:rPr>
          <w:sz w:val="24"/>
          <w:szCs w:val="24"/>
        </w:rPr>
        <w:t xml:space="preserve"> variable rate product shall commence for a one month term.”  It also states that it will automatically renew </w:t>
      </w:r>
      <w:r w:rsidR="002510A9">
        <w:rPr>
          <w:sz w:val="24"/>
          <w:szCs w:val="24"/>
        </w:rPr>
        <w:t xml:space="preserve">for </w:t>
      </w:r>
      <w:r w:rsidRPr="002C1B32">
        <w:rPr>
          <w:sz w:val="24"/>
          <w:szCs w:val="24"/>
        </w:rPr>
        <w:t xml:space="preserve">successive one month </w:t>
      </w:r>
      <w:r w:rsidR="00CF64B7" w:rsidRPr="002C1B32">
        <w:rPr>
          <w:sz w:val="24"/>
          <w:szCs w:val="24"/>
        </w:rPr>
        <w:t>period</w:t>
      </w:r>
      <w:r w:rsidR="002510A9">
        <w:rPr>
          <w:sz w:val="24"/>
          <w:szCs w:val="24"/>
        </w:rPr>
        <w:t>s</w:t>
      </w:r>
      <w:r w:rsidRPr="002C1B32">
        <w:rPr>
          <w:sz w:val="24"/>
          <w:szCs w:val="24"/>
        </w:rPr>
        <w:t xml:space="preserve"> unless cancelled.  N.T. 37, </w:t>
      </w:r>
      <w:r w:rsidR="00CF64B7" w:rsidRPr="002C1B32">
        <w:rPr>
          <w:sz w:val="24"/>
          <w:szCs w:val="24"/>
        </w:rPr>
        <w:t>Exhibit</w:t>
      </w:r>
      <w:r w:rsidRPr="002C1B32">
        <w:rPr>
          <w:sz w:val="24"/>
          <w:szCs w:val="24"/>
        </w:rPr>
        <w:t xml:space="preserve"> AE-3.  Under the “Pricing and Payment” section, it states that the rate will be disclosed at the time of enrollment and if the variable rate plan is selected, then the price for the initial term will be shown at the time of enrollment, and thereafter, rates are subject to change at the discretion of Ambit </w:t>
      </w:r>
      <w:r w:rsidR="002510A9">
        <w:rPr>
          <w:sz w:val="24"/>
          <w:szCs w:val="24"/>
        </w:rPr>
        <w:t>E</w:t>
      </w:r>
      <w:r w:rsidRPr="002C1B32">
        <w:rPr>
          <w:sz w:val="24"/>
          <w:szCs w:val="24"/>
        </w:rPr>
        <w:t xml:space="preserve">nergy. </w:t>
      </w:r>
      <w:r w:rsidR="00C7644E">
        <w:rPr>
          <w:sz w:val="24"/>
          <w:szCs w:val="24"/>
        </w:rPr>
        <w:t xml:space="preserve"> </w:t>
      </w:r>
      <w:r w:rsidRPr="002C1B32">
        <w:rPr>
          <w:sz w:val="24"/>
          <w:szCs w:val="24"/>
        </w:rPr>
        <w:t>N.T</w:t>
      </w:r>
      <w:r w:rsidR="00CF64B7" w:rsidRPr="002C1B32">
        <w:rPr>
          <w:sz w:val="24"/>
          <w:szCs w:val="24"/>
        </w:rPr>
        <w:t>.</w:t>
      </w:r>
      <w:r w:rsidRPr="002C1B32">
        <w:rPr>
          <w:sz w:val="24"/>
          <w:szCs w:val="24"/>
        </w:rPr>
        <w:t xml:space="preserve"> 38, </w:t>
      </w:r>
      <w:r w:rsidR="00CF64B7" w:rsidRPr="002C1B32">
        <w:rPr>
          <w:sz w:val="24"/>
          <w:szCs w:val="24"/>
        </w:rPr>
        <w:t>Exhibit</w:t>
      </w:r>
      <w:r w:rsidR="00C7644E">
        <w:rPr>
          <w:sz w:val="24"/>
          <w:szCs w:val="24"/>
        </w:rPr>
        <w:t xml:space="preserve"> AE-3.  </w:t>
      </w:r>
      <w:r w:rsidRPr="002C1B32">
        <w:rPr>
          <w:sz w:val="24"/>
          <w:szCs w:val="24"/>
        </w:rPr>
        <w:t>The “Length of Agreement” also states that the term of the product is at one month with automatic renewal on a month to month basis.  N.T</w:t>
      </w:r>
      <w:r w:rsidR="00CF64B7" w:rsidRPr="002C1B32">
        <w:rPr>
          <w:sz w:val="24"/>
          <w:szCs w:val="24"/>
        </w:rPr>
        <w:t>.</w:t>
      </w:r>
      <w:r w:rsidRPr="002C1B32">
        <w:rPr>
          <w:sz w:val="24"/>
          <w:szCs w:val="24"/>
        </w:rPr>
        <w:t xml:space="preserve"> 38, </w:t>
      </w:r>
      <w:r w:rsidR="00CF64B7" w:rsidRPr="002C1B32">
        <w:rPr>
          <w:sz w:val="24"/>
          <w:szCs w:val="24"/>
        </w:rPr>
        <w:t>Exhibit</w:t>
      </w:r>
      <w:r w:rsidRPr="002C1B32">
        <w:rPr>
          <w:sz w:val="24"/>
          <w:szCs w:val="24"/>
        </w:rPr>
        <w:t xml:space="preserve"> AE-3.  </w:t>
      </w:r>
      <w:r w:rsidR="002D5CD8" w:rsidRPr="002C1B32">
        <w:rPr>
          <w:sz w:val="24"/>
          <w:szCs w:val="24"/>
        </w:rPr>
        <w:t xml:space="preserve">Ambit’s contact information is provided on the welcome letter and a customer can call customer service to get information about variable monthly rates.  N.T. 39.  </w:t>
      </w:r>
      <w:r w:rsidR="004D163B" w:rsidRPr="002C1B32">
        <w:rPr>
          <w:sz w:val="24"/>
          <w:szCs w:val="24"/>
        </w:rPr>
        <w:t xml:space="preserve">Further, because the agreement renews on a month-to-month basis, and the customer is not locked into a fixed price contract for a specific term, Complainant can terminate his service at any time and not sustain any early cancellation or termination fees.  </w:t>
      </w:r>
      <w:r w:rsidR="0051538A" w:rsidRPr="002C1B32">
        <w:rPr>
          <w:sz w:val="24"/>
          <w:szCs w:val="24"/>
        </w:rPr>
        <w:t>The PaPowerSwitch website does show an introductory price and whether it is fixed or var</w:t>
      </w:r>
      <w:r w:rsidR="006350F7">
        <w:rPr>
          <w:sz w:val="24"/>
          <w:szCs w:val="24"/>
        </w:rPr>
        <w:t xml:space="preserve">iable.  N.T. 42 Exhibit AE-5.  </w:t>
      </w:r>
      <w:r w:rsidR="002D5CD8" w:rsidRPr="002C1B32">
        <w:rPr>
          <w:sz w:val="24"/>
          <w:szCs w:val="24"/>
        </w:rPr>
        <w:t xml:space="preserve">The PaPowerSwitch website </w:t>
      </w:r>
      <w:r w:rsidR="0051538A" w:rsidRPr="002C1B32">
        <w:rPr>
          <w:sz w:val="24"/>
          <w:szCs w:val="24"/>
        </w:rPr>
        <w:t xml:space="preserve">does not show two rates, one for </w:t>
      </w:r>
      <w:r w:rsidR="002510A9">
        <w:rPr>
          <w:sz w:val="24"/>
          <w:szCs w:val="24"/>
        </w:rPr>
        <w:t xml:space="preserve">an </w:t>
      </w:r>
      <w:r w:rsidR="0051538A" w:rsidRPr="002C1B32">
        <w:rPr>
          <w:sz w:val="24"/>
          <w:szCs w:val="24"/>
        </w:rPr>
        <w:t>introductory price and another for a variable price</w:t>
      </w:r>
      <w:r w:rsidR="002D5CD8" w:rsidRPr="002C1B32">
        <w:rPr>
          <w:sz w:val="24"/>
          <w:szCs w:val="24"/>
        </w:rPr>
        <w:t xml:space="preserve"> for the Keystone Variable Plan</w:t>
      </w:r>
      <w:r w:rsidR="0051538A" w:rsidRPr="002C1B32">
        <w:rPr>
          <w:sz w:val="24"/>
          <w:szCs w:val="24"/>
        </w:rPr>
        <w:t xml:space="preserve">; however, this website is maintained by the Commission, not Respondent. </w:t>
      </w:r>
      <w:r w:rsidR="002D5CD8" w:rsidRPr="002C1B32">
        <w:rPr>
          <w:sz w:val="24"/>
          <w:szCs w:val="24"/>
        </w:rPr>
        <w:t xml:space="preserve"> N.T. 40.  </w:t>
      </w:r>
      <w:r w:rsidR="0051538A" w:rsidRPr="002C1B32">
        <w:rPr>
          <w:sz w:val="24"/>
          <w:szCs w:val="24"/>
        </w:rPr>
        <w:t xml:space="preserve">Although the </w:t>
      </w:r>
      <w:r w:rsidR="0051538A" w:rsidRPr="002C1B32">
        <w:rPr>
          <w:sz w:val="24"/>
          <w:szCs w:val="24"/>
        </w:rPr>
        <w:lastRenderedPageBreak/>
        <w:t xml:space="preserve">website </w:t>
      </w:r>
      <w:r w:rsidR="002510A9">
        <w:rPr>
          <w:sz w:val="24"/>
          <w:szCs w:val="24"/>
        </w:rPr>
        <w:t xml:space="preserve">includes </w:t>
      </w:r>
      <w:r w:rsidR="0051538A" w:rsidRPr="002C1B32">
        <w:rPr>
          <w:sz w:val="24"/>
          <w:szCs w:val="24"/>
        </w:rPr>
        <w:t xml:space="preserve">posts </w:t>
      </w:r>
      <w:r w:rsidR="002510A9">
        <w:rPr>
          <w:sz w:val="24"/>
          <w:szCs w:val="24"/>
        </w:rPr>
        <w:t xml:space="preserve">showing </w:t>
      </w:r>
      <w:r w:rsidR="0051538A" w:rsidRPr="002C1B32">
        <w:rPr>
          <w:sz w:val="24"/>
          <w:szCs w:val="24"/>
        </w:rPr>
        <w:t xml:space="preserve">rates based upon information given to the Commission by the EGSs, the website directs prospective customers to check the EGSs’ websites for more information regarding plan specifics.  </w:t>
      </w:r>
      <w:r w:rsidR="002D5CD8" w:rsidRPr="002C1B32">
        <w:rPr>
          <w:sz w:val="24"/>
          <w:szCs w:val="24"/>
        </w:rPr>
        <w:t xml:space="preserve">Ambit’s website describes its Keystone Select Variable Rate Plan as varying from month to month based on commodity costs and market conditions and that the rate offered is introductory for the first billing cycle only.  N.T. 41.  </w:t>
      </w:r>
      <w:r w:rsidR="00CF64B7" w:rsidRPr="002C1B32">
        <w:rPr>
          <w:sz w:val="24"/>
          <w:szCs w:val="24"/>
        </w:rPr>
        <w:t>Exhibit</w:t>
      </w:r>
      <w:r w:rsidR="002D5CD8" w:rsidRPr="002C1B32">
        <w:rPr>
          <w:sz w:val="24"/>
          <w:szCs w:val="24"/>
        </w:rPr>
        <w:t xml:space="preserve"> AE-4.</w:t>
      </w:r>
    </w:p>
    <w:p w:rsidR="002D5CD8" w:rsidRPr="002C1B32" w:rsidRDefault="002D5CD8" w:rsidP="00923D16">
      <w:pPr>
        <w:spacing w:line="360" w:lineRule="auto"/>
        <w:rPr>
          <w:sz w:val="24"/>
          <w:szCs w:val="24"/>
        </w:rPr>
      </w:pPr>
    </w:p>
    <w:p w:rsidR="00F03DF4" w:rsidRDefault="002D5CD8" w:rsidP="004D163B">
      <w:pPr>
        <w:spacing w:line="360" w:lineRule="auto"/>
        <w:rPr>
          <w:sz w:val="24"/>
          <w:szCs w:val="24"/>
        </w:rPr>
      </w:pPr>
      <w:r w:rsidRPr="002C1B32">
        <w:rPr>
          <w:sz w:val="24"/>
          <w:szCs w:val="24"/>
        </w:rPr>
        <w:tab/>
      </w:r>
      <w:r w:rsidRPr="002C1B32">
        <w:rPr>
          <w:sz w:val="24"/>
          <w:szCs w:val="24"/>
        </w:rPr>
        <w:tab/>
      </w:r>
      <w:r w:rsidR="00993054" w:rsidRPr="002C1B32">
        <w:rPr>
          <w:sz w:val="24"/>
          <w:szCs w:val="24"/>
        </w:rPr>
        <w:t>Based on the evidence presented, Complainant ha</w:t>
      </w:r>
      <w:r w:rsidR="008B2E40" w:rsidRPr="002C1B32">
        <w:rPr>
          <w:sz w:val="24"/>
          <w:szCs w:val="24"/>
        </w:rPr>
        <w:t>s</w:t>
      </w:r>
      <w:r w:rsidR="00993054" w:rsidRPr="002C1B32">
        <w:rPr>
          <w:sz w:val="24"/>
          <w:szCs w:val="24"/>
        </w:rPr>
        <w:t xml:space="preserve"> failed to prove by a preponderance of the evidence that </w:t>
      </w:r>
      <w:r w:rsidR="00923D16" w:rsidRPr="002C1B32">
        <w:rPr>
          <w:sz w:val="24"/>
          <w:szCs w:val="24"/>
        </w:rPr>
        <w:t>Ambit</w:t>
      </w:r>
      <w:r w:rsidR="00012108" w:rsidRPr="002C1B32">
        <w:rPr>
          <w:sz w:val="24"/>
          <w:szCs w:val="24"/>
        </w:rPr>
        <w:t xml:space="preserve"> incorrectly charged h</w:t>
      </w:r>
      <w:r w:rsidR="00923D16" w:rsidRPr="002C1B32">
        <w:rPr>
          <w:sz w:val="24"/>
          <w:szCs w:val="24"/>
        </w:rPr>
        <w:t>im</w:t>
      </w:r>
      <w:r w:rsidR="00012108" w:rsidRPr="002C1B32">
        <w:rPr>
          <w:sz w:val="24"/>
          <w:szCs w:val="24"/>
        </w:rPr>
        <w:t xml:space="preserve"> for electric services</w:t>
      </w:r>
      <w:r w:rsidR="004D163B" w:rsidRPr="002C1B32">
        <w:rPr>
          <w:sz w:val="24"/>
          <w:szCs w:val="24"/>
        </w:rPr>
        <w:t xml:space="preserve"> as the Company fully refunded Complainant within 30 days of the initial overcharge.  Respondent did not charge any cancellation or termination fees.  </w:t>
      </w:r>
      <w:r w:rsidR="00064F4D" w:rsidRPr="002C1B32">
        <w:rPr>
          <w:sz w:val="24"/>
          <w:szCs w:val="24"/>
        </w:rPr>
        <w:t xml:space="preserve">Complainant had adequate notice of a variable rate for the second month in the disclosure statement Complainant received as part of a welcome packet from Respondent in January, 2013.  </w:t>
      </w:r>
    </w:p>
    <w:p w:rsidR="00F03DF4" w:rsidRDefault="00F03DF4" w:rsidP="004D163B">
      <w:pPr>
        <w:spacing w:line="360" w:lineRule="auto"/>
        <w:rPr>
          <w:sz w:val="24"/>
          <w:szCs w:val="24"/>
        </w:rPr>
      </w:pPr>
    </w:p>
    <w:p w:rsidR="00064F4D" w:rsidRPr="002C1B32" w:rsidRDefault="00F03DF4" w:rsidP="004D163B">
      <w:pPr>
        <w:spacing w:line="360" w:lineRule="auto"/>
        <w:rPr>
          <w:sz w:val="24"/>
          <w:szCs w:val="24"/>
        </w:rPr>
      </w:pPr>
      <w:r>
        <w:rPr>
          <w:sz w:val="24"/>
          <w:szCs w:val="24"/>
        </w:rPr>
        <w:tab/>
      </w:r>
      <w:r>
        <w:rPr>
          <w:sz w:val="24"/>
          <w:szCs w:val="24"/>
        </w:rPr>
        <w:tab/>
      </w:r>
      <w:r w:rsidR="004D163B" w:rsidRPr="002C1B32">
        <w:rPr>
          <w:sz w:val="24"/>
          <w:szCs w:val="24"/>
        </w:rPr>
        <w:t>Complainant has also failed to prove Respondent</w:t>
      </w:r>
      <w:r w:rsidR="00923D16" w:rsidRPr="002C1B32">
        <w:rPr>
          <w:sz w:val="24"/>
          <w:szCs w:val="24"/>
        </w:rPr>
        <w:t xml:space="preserve"> deceitfully or fraudulently marketed its product to Complainant</w:t>
      </w:r>
      <w:r w:rsidR="004D163B" w:rsidRPr="002C1B32">
        <w:rPr>
          <w:sz w:val="24"/>
          <w:szCs w:val="24"/>
        </w:rPr>
        <w:t xml:space="preserve"> or other customers</w:t>
      </w:r>
      <w:r w:rsidR="00012108" w:rsidRPr="002C1B32">
        <w:rPr>
          <w:sz w:val="24"/>
          <w:szCs w:val="24"/>
        </w:rPr>
        <w:t xml:space="preserve">. </w:t>
      </w:r>
      <w:r w:rsidR="002D5CD8" w:rsidRPr="002C1B32">
        <w:rPr>
          <w:sz w:val="24"/>
          <w:szCs w:val="24"/>
        </w:rPr>
        <w:t xml:space="preserve"> </w:t>
      </w:r>
      <w:r w:rsidR="004D163B" w:rsidRPr="002C1B32">
        <w:rPr>
          <w:sz w:val="24"/>
          <w:szCs w:val="24"/>
        </w:rPr>
        <w:t>T</w:t>
      </w:r>
      <w:r w:rsidR="002D5CD8" w:rsidRPr="002C1B32">
        <w:rPr>
          <w:sz w:val="24"/>
          <w:szCs w:val="24"/>
        </w:rPr>
        <w:t>he</w:t>
      </w:r>
      <w:r w:rsidR="004D163B" w:rsidRPr="002C1B32">
        <w:rPr>
          <w:sz w:val="24"/>
          <w:szCs w:val="24"/>
        </w:rPr>
        <w:t xml:space="preserve"> Commission’s</w:t>
      </w:r>
      <w:r w:rsidR="002D5CD8" w:rsidRPr="002C1B32">
        <w:rPr>
          <w:sz w:val="24"/>
          <w:szCs w:val="24"/>
        </w:rPr>
        <w:t xml:space="preserve"> Bureau of Consumer Services </w:t>
      </w:r>
      <w:r w:rsidR="004D163B" w:rsidRPr="002C1B32">
        <w:rPr>
          <w:sz w:val="24"/>
          <w:szCs w:val="24"/>
        </w:rPr>
        <w:t xml:space="preserve">(BCS) </w:t>
      </w:r>
      <w:r w:rsidR="002D5CD8" w:rsidRPr="002C1B32">
        <w:rPr>
          <w:sz w:val="24"/>
          <w:szCs w:val="24"/>
        </w:rPr>
        <w:t>a</w:t>
      </w:r>
      <w:r w:rsidR="004D163B" w:rsidRPr="002C1B32">
        <w:rPr>
          <w:sz w:val="24"/>
          <w:szCs w:val="24"/>
        </w:rPr>
        <w:t xml:space="preserve">pproved the language in Respondent’s disclosure statement and the offer is consistent </w:t>
      </w:r>
      <w:r w:rsidR="00064F4D" w:rsidRPr="002C1B32">
        <w:rPr>
          <w:sz w:val="24"/>
          <w:szCs w:val="24"/>
        </w:rPr>
        <w:t>in</w:t>
      </w:r>
      <w:r w:rsidR="004D163B" w:rsidRPr="002C1B32">
        <w:rPr>
          <w:sz w:val="24"/>
          <w:szCs w:val="24"/>
        </w:rPr>
        <w:t xml:space="preserve"> its website, terms of service, and disclosure statement.  </w:t>
      </w:r>
      <w:r w:rsidR="00064F4D" w:rsidRPr="002C1B32">
        <w:rPr>
          <w:sz w:val="24"/>
          <w:szCs w:val="24"/>
        </w:rPr>
        <w:t>Therefore, no civil penalty is warranted in this case as I find no violation of any regulations or Commission orders.</w:t>
      </w:r>
    </w:p>
    <w:p w:rsidR="00064F4D" w:rsidRPr="002C1B32" w:rsidRDefault="00064F4D" w:rsidP="004D163B">
      <w:pPr>
        <w:spacing w:line="360" w:lineRule="auto"/>
        <w:rPr>
          <w:sz w:val="24"/>
          <w:szCs w:val="24"/>
        </w:rPr>
      </w:pPr>
    </w:p>
    <w:p w:rsidR="00F03DF4" w:rsidRPr="002C1B32" w:rsidRDefault="00064F4D" w:rsidP="00F03DF4">
      <w:pPr>
        <w:spacing w:line="360" w:lineRule="auto"/>
        <w:rPr>
          <w:sz w:val="24"/>
          <w:szCs w:val="24"/>
        </w:rPr>
      </w:pPr>
      <w:r w:rsidRPr="002C1B32">
        <w:rPr>
          <w:sz w:val="24"/>
          <w:szCs w:val="24"/>
        </w:rPr>
        <w:tab/>
      </w:r>
      <w:r w:rsidRPr="002C1B32">
        <w:rPr>
          <w:sz w:val="24"/>
          <w:szCs w:val="24"/>
        </w:rPr>
        <w:tab/>
      </w:r>
      <w:r w:rsidR="00F03DF4" w:rsidRPr="002C1B32">
        <w:rPr>
          <w:sz w:val="24"/>
          <w:szCs w:val="24"/>
        </w:rPr>
        <w:t>That said, Complainant</w:t>
      </w:r>
      <w:r w:rsidR="00F03DF4">
        <w:rPr>
          <w:sz w:val="24"/>
          <w:szCs w:val="24"/>
        </w:rPr>
        <w:t xml:space="preserve"> was confused</w:t>
      </w:r>
      <w:r w:rsidR="002510A9">
        <w:rPr>
          <w:sz w:val="24"/>
          <w:szCs w:val="24"/>
        </w:rPr>
        <w:t xml:space="preserve"> by language preapproved by the Commission’s Bureau of Consumer Services in the disclosed terms of agreement.  Complainant also </w:t>
      </w:r>
      <w:r w:rsidR="008D2766">
        <w:rPr>
          <w:sz w:val="24"/>
          <w:szCs w:val="24"/>
        </w:rPr>
        <w:t xml:space="preserve">misinterpreted </w:t>
      </w:r>
      <w:r w:rsidR="002510A9">
        <w:rPr>
          <w:sz w:val="24"/>
          <w:szCs w:val="24"/>
        </w:rPr>
        <w:t>information posted on the Commission’s PaPowerSwitch website</w:t>
      </w:r>
      <w:r w:rsidR="00F03DF4">
        <w:rPr>
          <w:sz w:val="24"/>
          <w:szCs w:val="24"/>
        </w:rPr>
        <w:t>.  A</w:t>
      </w:r>
      <w:r w:rsidR="00F03DF4" w:rsidRPr="002C1B32">
        <w:rPr>
          <w:sz w:val="24"/>
          <w:szCs w:val="24"/>
        </w:rPr>
        <w:t xml:space="preserve">ccordingly, I shall direct a copy of this </w:t>
      </w:r>
      <w:r w:rsidR="002510A9">
        <w:rPr>
          <w:sz w:val="24"/>
          <w:szCs w:val="24"/>
        </w:rPr>
        <w:t>decision</w:t>
      </w:r>
      <w:r w:rsidR="00F03DF4" w:rsidRPr="002C1B32">
        <w:rPr>
          <w:sz w:val="24"/>
          <w:szCs w:val="24"/>
        </w:rPr>
        <w:t xml:space="preserve"> be delivered to BCS as well as the Commission’s Office of Competitive Market Oversight, so that they may</w:t>
      </w:r>
      <w:r w:rsidR="00F03DF4">
        <w:rPr>
          <w:sz w:val="24"/>
          <w:szCs w:val="24"/>
        </w:rPr>
        <w:t xml:space="preserve"> be aware of customer confusion as this </w:t>
      </w:r>
      <w:r w:rsidR="00D61928">
        <w:rPr>
          <w:sz w:val="24"/>
          <w:szCs w:val="24"/>
        </w:rPr>
        <w:t xml:space="preserve">may </w:t>
      </w:r>
      <w:r w:rsidR="00F03DF4">
        <w:rPr>
          <w:sz w:val="24"/>
          <w:szCs w:val="24"/>
        </w:rPr>
        <w:t xml:space="preserve">indicate a need to review the approved disclosure language.  </w:t>
      </w:r>
    </w:p>
    <w:p w:rsidR="00F03DF4" w:rsidRPr="002C1B32" w:rsidRDefault="00F03DF4" w:rsidP="00F03DF4">
      <w:pPr>
        <w:spacing w:line="360" w:lineRule="auto"/>
        <w:rPr>
          <w:sz w:val="24"/>
          <w:szCs w:val="24"/>
        </w:rPr>
      </w:pPr>
    </w:p>
    <w:p w:rsidR="00307F0F" w:rsidRDefault="00307F0F" w:rsidP="008D699F">
      <w:pPr>
        <w:spacing w:line="360" w:lineRule="auto"/>
        <w:jc w:val="center"/>
        <w:rPr>
          <w:sz w:val="24"/>
          <w:szCs w:val="24"/>
          <w:u w:val="single"/>
        </w:rPr>
      </w:pPr>
    </w:p>
    <w:p w:rsidR="00993054" w:rsidRPr="002C1B32" w:rsidRDefault="00013F48" w:rsidP="008D699F">
      <w:pPr>
        <w:spacing w:line="360" w:lineRule="auto"/>
        <w:jc w:val="center"/>
        <w:rPr>
          <w:sz w:val="24"/>
          <w:szCs w:val="24"/>
        </w:rPr>
      </w:pPr>
      <w:r w:rsidRPr="002C1B32">
        <w:rPr>
          <w:sz w:val="24"/>
          <w:szCs w:val="24"/>
          <w:u w:val="single"/>
        </w:rPr>
        <w:t>CONCLUSIONS OF LAW</w:t>
      </w:r>
    </w:p>
    <w:p w:rsidR="00013F48" w:rsidRPr="002C1B32" w:rsidRDefault="00013F48" w:rsidP="008D699F">
      <w:pPr>
        <w:spacing w:line="360" w:lineRule="auto"/>
        <w:jc w:val="center"/>
        <w:rPr>
          <w:sz w:val="24"/>
          <w:szCs w:val="24"/>
        </w:rPr>
      </w:pPr>
    </w:p>
    <w:p w:rsidR="00013F48" w:rsidRPr="002C1B32" w:rsidRDefault="00013F48" w:rsidP="008D699F">
      <w:pPr>
        <w:spacing w:line="360" w:lineRule="auto"/>
        <w:jc w:val="both"/>
        <w:rPr>
          <w:sz w:val="24"/>
          <w:szCs w:val="24"/>
        </w:rPr>
      </w:pPr>
      <w:r w:rsidRPr="002C1B32">
        <w:rPr>
          <w:sz w:val="24"/>
          <w:szCs w:val="24"/>
        </w:rPr>
        <w:tab/>
      </w:r>
      <w:r w:rsidRPr="002C1B32">
        <w:rPr>
          <w:sz w:val="24"/>
          <w:szCs w:val="24"/>
        </w:rPr>
        <w:tab/>
        <w:t>1.</w:t>
      </w:r>
      <w:r w:rsidRPr="002C1B32">
        <w:rPr>
          <w:sz w:val="24"/>
          <w:szCs w:val="24"/>
        </w:rPr>
        <w:tab/>
        <w:t>The Commission has jurisdiction over the subject matter and parties to this proceedi</w:t>
      </w:r>
      <w:r w:rsidR="00307F0F">
        <w:rPr>
          <w:sz w:val="24"/>
          <w:szCs w:val="24"/>
        </w:rPr>
        <w:t>ng.  66 Pa.</w:t>
      </w:r>
      <w:r w:rsidRPr="002C1B32">
        <w:rPr>
          <w:sz w:val="24"/>
          <w:szCs w:val="24"/>
        </w:rPr>
        <w:t>C.S. §</w:t>
      </w:r>
      <w:r w:rsidR="00307F0F">
        <w:rPr>
          <w:sz w:val="24"/>
          <w:szCs w:val="24"/>
        </w:rPr>
        <w:t xml:space="preserve"> </w:t>
      </w:r>
      <w:r w:rsidRPr="002C1B32">
        <w:rPr>
          <w:sz w:val="24"/>
          <w:szCs w:val="24"/>
        </w:rPr>
        <w:t>701.</w:t>
      </w:r>
    </w:p>
    <w:p w:rsidR="00013F48" w:rsidRPr="002C1B32" w:rsidRDefault="00013F48" w:rsidP="008D699F">
      <w:pPr>
        <w:spacing w:line="360" w:lineRule="auto"/>
        <w:rPr>
          <w:sz w:val="24"/>
          <w:szCs w:val="24"/>
        </w:rPr>
      </w:pPr>
    </w:p>
    <w:p w:rsidR="00013F48" w:rsidRPr="002C1B32" w:rsidRDefault="00013F48" w:rsidP="008D699F">
      <w:pPr>
        <w:spacing w:line="360" w:lineRule="auto"/>
        <w:rPr>
          <w:sz w:val="24"/>
          <w:szCs w:val="24"/>
        </w:rPr>
      </w:pPr>
      <w:r w:rsidRPr="002C1B32">
        <w:rPr>
          <w:sz w:val="24"/>
          <w:szCs w:val="24"/>
        </w:rPr>
        <w:tab/>
      </w:r>
      <w:r w:rsidRPr="002C1B32">
        <w:rPr>
          <w:sz w:val="24"/>
          <w:szCs w:val="24"/>
        </w:rPr>
        <w:tab/>
      </w:r>
      <w:r w:rsidR="00D1300E">
        <w:rPr>
          <w:sz w:val="24"/>
          <w:szCs w:val="24"/>
        </w:rPr>
        <w:t>2.</w:t>
      </w:r>
      <w:r w:rsidR="00D1300E">
        <w:rPr>
          <w:sz w:val="24"/>
          <w:szCs w:val="24"/>
        </w:rPr>
        <w:tab/>
        <w:t>Pursuant to 66 Pa.</w:t>
      </w:r>
      <w:r w:rsidRPr="002C1B32">
        <w:rPr>
          <w:sz w:val="24"/>
          <w:szCs w:val="24"/>
        </w:rPr>
        <w:t>C.S. §</w:t>
      </w:r>
      <w:r w:rsidR="00D1300E">
        <w:rPr>
          <w:sz w:val="24"/>
          <w:szCs w:val="24"/>
        </w:rPr>
        <w:t xml:space="preserve"> </w:t>
      </w:r>
      <w:r w:rsidRPr="002C1B32">
        <w:rPr>
          <w:sz w:val="24"/>
          <w:szCs w:val="24"/>
        </w:rPr>
        <w:t>332(a), the burden of proof in this proceeding is on the Complainant.</w:t>
      </w:r>
    </w:p>
    <w:p w:rsidR="00250147" w:rsidRPr="002C1B32" w:rsidRDefault="00250147" w:rsidP="008D699F">
      <w:pPr>
        <w:spacing w:line="360" w:lineRule="auto"/>
        <w:rPr>
          <w:sz w:val="24"/>
          <w:szCs w:val="24"/>
        </w:rPr>
      </w:pPr>
    </w:p>
    <w:p w:rsidR="00B41867" w:rsidRPr="002C1B32" w:rsidRDefault="00250147" w:rsidP="00B41867">
      <w:pPr>
        <w:spacing w:line="360" w:lineRule="auto"/>
        <w:rPr>
          <w:sz w:val="24"/>
          <w:szCs w:val="24"/>
        </w:rPr>
      </w:pPr>
      <w:r w:rsidRPr="002C1B32">
        <w:rPr>
          <w:sz w:val="24"/>
          <w:szCs w:val="24"/>
        </w:rPr>
        <w:tab/>
      </w:r>
      <w:r w:rsidRPr="002C1B32">
        <w:rPr>
          <w:sz w:val="24"/>
          <w:szCs w:val="24"/>
        </w:rPr>
        <w:tab/>
        <w:t>3.</w:t>
      </w:r>
      <w:r w:rsidRPr="002C1B32">
        <w:rPr>
          <w:sz w:val="24"/>
          <w:szCs w:val="24"/>
        </w:rPr>
        <w:tab/>
      </w:r>
      <w:r w:rsidR="00B41867" w:rsidRPr="002C1B32">
        <w:rPr>
          <w:sz w:val="24"/>
          <w:szCs w:val="24"/>
        </w:rPr>
        <w:t>The Commission’s regulation at 52 Pa.Code § 54.42 provides that EGSs must comply with the applicable requirements of the code and Commission regulations and orders.  Consistent with due process, a license may be suspended or revoked and fines may be imposed against a licensee for violations of the code.</w:t>
      </w:r>
    </w:p>
    <w:p w:rsidR="00B41867" w:rsidRPr="002C1B32" w:rsidRDefault="00B41867" w:rsidP="00B41867">
      <w:pPr>
        <w:spacing w:line="360" w:lineRule="auto"/>
        <w:rPr>
          <w:sz w:val="24"/>
          <w:szCs w:val="24"/>
        </w:rPr>
      </w:pPr>
    </w:p>
    <w:p w:rsidR="00B41867" w:rsidRPr="002C1B32" w:rsidRDefault="00B41867" w:rsidP="00B41867">
      <w:pPr>
        <w:spacing w:line="360" w:lineRule="auto"/>
        <w:rPr>
          <w:sz w:val="24"/>
          <w:szCs w:val="24"/>
        </w:rPr>
      </w:pPr>
      <w:r w:rsidRPr="002C1B32">
        <w:rPr>
          <w:sz w:val="24"/>
          <w:szCs w:val="24"/>
        </w:rPr>
        <w:tab/>
      </w:r>
      <w:r w:rsidRPr="002C1B32">
        <w:rPr>
          <w:sz w:val="24"/>
          <w:szCs w:val="24"/>
        </w:rPr>
        <w:tab/>
        <w:t>4.</w:t>
      </w:r>
      <w:r w:rsidRPr="002C1B32">
        <w:rPr>
          <w:sz w:val="24"/>
          <w:szCs w:val="24"/>
        </w:rPr>
        <w:tab/>
        <w:t>The Co</w:t>
      </w:r>
      <w:r w:rsidR="00FA637D">
        <w:rPr>
          <w:sz w:val="24"/>
          <w:szCs w:val="24"/>
        </w:rPr>
        <w:t>mmission’s regulation at 52 Pa.</w:t>
      </w:r>
      <w:r w:rsidRPr="002C1B32">
        <w:rPr>
          <w:sz w:val="24"/>
          <w:szCs w:val="24"/>
        </w:rPr>
        <w:t xml:space="preserve">Code </w:t>
      </w:r>
      <w:r w:rsidR="00F40C32">
        <w:rPr>
          <w:sz w:val="24"/>
          <w:szCs w:val="24"/>
        </w:rPr>
        <w:t>§ 54.43</w:t>
      </w:r>
      <w:r w:rsidRPr="002C1B32">
        <w:rPr>
          <w:sz w:val="24"/>
          <w:szCs w:val="24"/>
        </w:rPr>
        <w:t>(1)(f) provides that a licensee is responsible for any fraudulent deceptive or other unlawful marketing or billing acts performed by the licensee, its employees, agents or representatives.</w:t>
      </w:r>
    </w:p>
    <w:p w:rsidR="00B41867" w:rsidRPr="002C1B32" w:rsidRDefault="00B41867" w:rsidP="00B41867">
      <w:pPr>
        <w:spacing w:line="360" w:lineRule="auto"/>
        <w:rPr>
          <w:sz w:val="24"/>
          <w:szCs w:val="24"/>
        </w:rPr>
      </w:pPr>
    </w:p>
    <w:p w:rsidR="00B41867" w:rsidRPr="002C1B32" w:rsidRDefault="00B41867" w:rsidP="00B41867">
      <w:pPr>
        <w:spacing w:line="360" w:lineRule="auto"/>
        <w:rPr>
          <w:sz w:val="24"/>
          <w:szCs w:val="24"/>
        </w:rPr>
      </w:pPr>
      <w:r w:rsidRPr="002C1B32">
        <w:rPr>
          <w:sz w:val="24"/>
          <w:szCs w:val="24"/>
        </w:rPr>
        <w:tab/>
      </w:r>
      <w:r w:rsidRPr="002C1B32">
        <w:rPr>
          <w:sz w:val="24"/>
          <w:szCs w:val="24"/>
        </w:rPr>
        <w:tab/>
        <w:t>5.</w:t>
      </w:r>
      <w:r w:rsidRPr="002C1B32">
        <w:rPr>
          <w:sz w:val="24"/>
          <w:szCs w:val="24"/>
        </w:rPr>
        <w:tab/>
        <w:t>The Co</w:t>
      </w:r>
      <w:r w:rsidR="005B2930">
        <w:rPr>
          <w:sz w:val="24"/>
          <w:szCs w:val="24"/>
        </w:rPr>
        <w:t>mmission’s regulation at 52 Pa.</w:t>
      </w:r>
      <w:r w:rsidRPr="002C1B32">
        <w:rPr>
          <w:sz w:val="24"/>
          <w:szCs w:val="24"/>
        </w:rPr>
        <w:t xml:space="preserve">Code </w:t>
      </w:r>
      <w:r w:rsidR="00F40C32">
        <w:rPr>
          <w:sz w:val="24"/>
          <w:szCs w:val="24"/>
        </w:rPr>
        <w:t xml:space="preserve">§ </w:t>
      </w:r>
      <w:r w:rsidRPr="002C1B32">
        <w:rPr>
          <w:sz w:val="24"/>
          <w:szCs w:val="24"/>
        </w:rPr>
        <w:t>54.3(1) states that EGSs shall use common and consistent terminology in customer communications, including marketing, billing and disclosure statements.</w:t>
      </w:r>
    </w:p>
    <w:p w:rsidR="00B41867" w:rsidRPr="002C1B32" w:rsidRDefault="00B41867" w:rsidP="00B41867">
      <w:pPr>
        <w:spacing w:line="360" w:lineRule="auto"/>
        <w:rPr>
          <w:sz w:val="24"/>
          <w:szCs w:val="24"/>
        </w:rPr>
      </w:pPr>
    </w:p>
    <w:p w:rsidR="00A331FA" w:rsidRPr="002C1B32" w:rsidRDefault="00B41867" w:rsidP="00B41867">
      <w:pPr>
        <w:spacing w:line="360" w:lineRule="auto"/>
        <w:rPr>
          <w:sz w:val="24"/>
          <w:szCs w:val="24"/>
        </w:rPr>
      </w:pPr>
      <w:r w:rsidRPr="002C1B32">
        <w:rPr>
          <w:sz w:val="24"/>
          <w:szCs w:val="24"/>
        </w:rPr>
        <w:tab/>
      </w:r>
      <w:r w:rsidRPr="002C1B32">
        <w:rPr>
          <w:sz w:val="24"/>
          <w:szCs w:val="24"/>
        </w:rPr>
        <w:tab/>
        <w:t>6.</w:t>
      </w:r>
      <w:r w:rsidRPr="002C1B32">
        <w:rPr>
          <w:sz w:val="24"/>
          <w:szCs w:val="24"/>
        </w:rPr>
        <w:tab/>
        <w:t xml:space="preserve">The Commission’s regulation at </w:t>
      </w:r>
      <w:r w:rsidR="00DD068D">
        <w:rPr>
          <w:sz w:val="24"/>
          <w:szCs w:val="24"/>
        </w:rPr>
        <w:t>52 Pa.</w:t>
      </w:r>
      <w:r w:rsidRPr="002C1B32">
        <w:rPr>
          <w:sz w:val="24"/>
          <w:szCs w:val="24"/>
        </w:rPr>
        <w:t>Code § 54.4(a) states that EGS prices billed must reflect the marketed prices and the agreed upon prices in the disclosure statement.</w:t>
      </w:r>
    </w:p>
    <w:p w:rsidR="00A331FA" w:rsidRPr="002C1B32" w:rsidRDefault="00A331FA" w:rsidP="00B41867">
      <w:pPr>
        <w:spacing w:line="360" w:lineRule="auto"/>
        <w:rPr>
          <w:sz w:val="24"/>
          <w:szCs w:val="24"/>
        </w:rPr>
      </w:pPr>
    </w:p>
    <w:p w:rsidR="00A331FA" w:rsidRPr="002C1B32" w:rsidRDefault="00A331FA" w:rsidP="00B41867">
      <w:pPr>
        <w:spacing w:line="360" w:lineRule="auto"/>
        <w:rPr>
          <w:sz w:val="24"/>
          <w:szCs w:val="24"/>
        </w:rPr>
      </w:pPr>
      <w:r w:rsidRPr="002C1B32">
        <w:rPr>
          <w:sz w:val="24"/>
          <w:szCs w:val="24"/>
        </w:rPr>
        <w:tab/>
      </w:r>
      <w:r w:rsidRPr="002C1B32">
        <w:rPr>
          <w:sz w:val="24"/>
          <w:szCs w:val="24"/>
        </w:rPr>
        <w:tab/>
        <w:t>7.</w:t>
      </w:r>
      <w:r w:rsidRPr="002C1B32">
        <w:rPr>
          <w:sz w:val="24"/>
          <w:szCs w:val="24"/>
        </w:rPr>
        <w:tab/>
        <w:t xml:space="preserve">The Commission’s regulation at </w:t>
      </w:r>
      <w:r w:rsidR="00207601">
        <w:rPr>
          <w:sz w:val="24"/>
          <w:szCs w:val="24"/>
        </w:rPr>
        <w:t>52 Pa.</w:t>
      </w:r>
      <w:r w:rsidR="00B41867" w:rsidRPr="002C1B32">
        <w:rPr>
          <w:sz w:val="24"/>
          <w:szCs w:val="24"/>
        </w:rPr>
        <w:t>Code § 54.5(c)(2) provides that the contract’s terms of service shall be disclosed, including a variable pricing statement if applicable including conditions and limits on variability.</w:t>
      </w:r>
    </w:p>
    <w:p w:rsidR="00A331FA" w:rsidRPr="002C1B32" w:rsidRDefault="00A331FA" w:rsidP="00B41867">
      <w:pPr>
        <w:spacing w:line="360" w:lineRule="auto"/>
        <w:rPr>
          <w:sz w:val="24"/>
          <w:szCs w:val="24"/>
        </w:rPr>
      </w:pPr>
    </w:p>
    <w:p w:rsidR="00B41867" w:rsidRPr="002C1B32" w:rsidRDefault="00A331FA" w:rsidP="00B41867">
      <w:pPr>
        <w:spacing w:line="360" w:lineRule="auto"/>
        <w:rPr>
          <w:sz w:val="24"/>
          <w:szCs w:val="24"/>
        </w:rPr>
      </w:pPr>
      <w:r w:rsidRPr="002C1B32">
        <w:rPr>
          <w:sz w:val="24"/>
          <w:szCs w:val="24"/>
        </w:rPr>
        <w:tab/>
      </w:r>
      <w:r w:rsidRPr="002C1B32">
        <w:rPr>
          <w:sz w:val="24"/>
          <w:szCs w:val="24"/>
        </w:rPr>
        <w:tab/>
        <w:t>8.</w:t>
      </w:r>
      <w:r w:rsidRPr="002C1B32">
        <w:rPr>
          <w:sz w:val="24"/>
          <w:szCs w:val="24"/>
        </w:rPr>
        <w:tab/>
        <w:t xml:space="preserve">The Commission’s regulation at </w:t>
      </w:r>
      <w:r w:rsidR="00BE5569">
        <w:rPr>
          <w:sz w:val="24"/>
          <w:szCs w:val="24"/>
        </w:rPr>
        <w:t>52 Pa.</w:t>
      </w:r>
      <w:r w:rsidR="00B41867" w:rsidRPr="002C1B32">
        <w:rPr>
          <w:sz w:val="24"/>
          <w:szCs w:val="24"/>
        </w:rPr>
        <w:t xml:space="preserve">Code § 54.7(a) provides </w:t>
      </w:r>
      <w:r w:rsidRPr="002C1B32">
        <w:rPr>
          <w:sz w:val="24"/>
          <w:szCs w:val="24"/>
        </w:rPr>
        <w:t xml:space="preserve">that </w:t>
      </w:r>
      <w:r w:rsidR="00B41867" w:rsidRPr="002C1B32">
        <w:rPr>
          <w:sz w:val="24"/>
          <w:szCs w:val="24"/>
        </w:rPr>
        <w:t>advertised prices shall reflect prices in disclosure statements and billed prices.</w:t>
      </w:r>
    </w:p>
    <w:p w:rsidR="009C6D87" w:rsidRPr="002C1B32" w:rsidRDefault="009C6D87" w:rsidP="008D699F">
      <w:pPr>
        <w:spacing w:line="360" w:lineRule="auto"/>
        <w:rPr>
          <w:sz w:val="24"/>
          <w:szCs w:val="24"/>
        </w:rPr>
      </w:pPr>
    </w:p>
    <w:p w:rsidR="006B1387" w:rsidRPr="002C1B32" w:rsidRDefault="00013F48" w:rsidP="008D699F">
      <w:pPr>
        <w:spacing w:line="360" w:lineRule="auto"/>
        <w:rPr>
          <w:sz w:val="24"/>
          <w:szCs w:val="24"/>
        </w:rPr>
      </w:pPr>
      <w:r w:rsidRPr="002C1B32">
        <w:rPr>
          <w:sz w:val="24"/>
          <w:szCs w:val="24"/>
        </w:rPr>
        <w:tab/>
      </w:r>
      <w:r w:rsidRPr="002C1B32">
        <w:rPr>
          <w:sz w:val="24"/>
          <w:szCs w:val="24"/>
        </w:rPr>
        <w:tab/>
      </w:r>
      <w:r w:rsidR="00A331FA" w:rsidRPr="002C1B32">
        <w:rPr>
          <w:sz w:val="24"/>
          <w:szCs w:val="24"/>
        </w:rPr>
        <w:t>9</w:t>
      </w:r>
      <w:r w:rsidRPr="002C1B32">
        <w:rPr>
          <w:sz w:val="24"/>
          <w:szCs w:val="24"/>
        </w:rPr>
        <w:t>.</w:t>
      </w:r>
      <w:r w:rsidRPr="002C1B32">
        <w:rPr>
          <w:sz w:val="24"/>
          <w:szCs w:val="24"/>
        </w:rPr>
        <w:tab/>
      </w:r>
      <w:r w:rsidR="00064F4D" w:rsidRPr="002C1B32">
        <w:rPr>
          <w:sz w:val="24"/>
          <w:szCs w:val="24"/>
        </w:rPr>
        <w:t xml:space="preserve">Complainant failed to show by a </w:t>
      </w:r>
      <w:r w:rsidR="00767E19" w:rsidRPr="002C1B32">
        <w:rPr>
          <w:sz w:val="24"/>
          <w:szCs w:val="24"/>
        </w:rPr>
        <w:t xml:space="preserve">preponderance of the evidence </w:t>
      </w:r>
      <w:r w:rsidR="00064F4D" w:rsidRPr="002C1B32">
        <w:rPr>
          <w:sz w:val="24"/>
          <w:szCs w:val="24"/>
        </w:rPr>
        <w:t>that</w:t>
      </w:r>
      <w:r w:rsidR="00767E19" w:rsidRPr="002C1B32">
        <w:rPr>
          <w:sz w:val="24"/>
          <w:szCs w:val="24"/>
        </w:rPr>
        <w:t xml:space="preserve"> Respondent violated </w:t>
      </w:r>
      <w:r w:rsidR="00B41867" w:rsidRPr="002C1B32">
        <w:rPr>
          <w:sz w:val="24"/>
          <w:szCs w:val="24"/>
        </w:rPr>
        <w:t>any Commission regulations or orders.</w:t>
      </w:r>
    </w:p>
    <w:p w:rsidR="00DF623D" w:rsidRPr="002C1B32" w:rsidRDefault="00DF623D" w:rsidP="00024DF2">
      <w:pPr>
        <w:spacing w:line="360" w:lineRule="auto"/>
        <w:rPr>
          <w:sz w:val="24"/>
          <w:szCs w:val="24"/>
          <w:u w:val="single"/>
        </w:rPr>
      </w:pPr>
    </w:p>
    <w:p w:rsidR="006B1387" w:rsidRPr="002C1B32" w:rsidRDefault="006B1387" w:rsidP="008D699F">
      <w:pPr>
        <w:spacing w:line="360" w:lineRule="auto"/>
        <w:jc w:val="center"/>
        <w:rPr>
          <w:sz w:val="24"/>
          <w:szCs w:val="24"/>
          <w:u w:val="single"/>
        </w:rPr>
      </w:pPr>
      <w:r w:rsidRPr="002C1B32">
        <w:rPr>
          <w:sz w:val="24"/>
          <w:szCs w:val="24"/>
          <w:u w:val="single"/>
        </w:rPr>
        <w:lastRenderedPageBreak/>
        <w:t>ORDER</w:t>
      </w:r>
    </w:p>
    <w:p w:rsidR="00013F48" w:rsidRDefault="00013F48" w:rsidP="008D699F">
      <w:pPr>
        <w:spacing w:line="360" w:lineRule="auto"/>
        <w:rPr>
          <w:sz w:val="24"/>
          <w:szCs w:val="24"/>
        </w:rPr>
      </w:pPr>
    </w:p>
    <w:p w:rsidR="00024DF2" w:rsidRPr="002C1B32" w:rsidRDefault="00024DF2" w:rsidP="008D699F">
      <w:pPr>
        <w:spacing w:line="360" w:lineRule="auto"/>
        <w:rPr>
          <w:sz w:val="24"/>
          <w:szCs w:val="24"/>
        </w:rPr>
      </w:pPr>
    </w:p>
    <w:p w:rsidR="00013F48" w:rsidRPr="002C1B32" w:rsidRDefault="00013F48" w:rsidP="008D699F">
      <w:pPr>
        <w:spacing w:line="360" w:lineRule="auto"/>
        <w:rPr>
          <w:sz w:val="24"/>
          <w:szCs w:val="24"/>
        </w:rPr>
      </w:pPr>
      <w:r w:rsidRPr="002C1B32">
        <w:rPr>
          <w:sz w:val="24"/>
          <w:szCs w:val="24"/>
        </w:rPr>
        <w:tab/>
      </w:r>
      <w:r w:rsidRPr="002C1B32">
        <w:rPr>
          <w:sz w:val="24"/>
          <w:szCs w:val="24"/>
        </w:rPr>
        <w:tab/>
        <w:t>THEREFORE,</w:t>
      </w:r>
    </w:p>
    <w:p w:rsidR="00013F48" w:rsidRPr="002C1B32" w:rsidRDefault="00013F48" w:rsidP="00024DF2">
      <w:pPr>
        <w:spacing w:line="360" w:lineRule="auto"/>
        <w:rPr>
          <w:sz w:val="24"/>
          <w:szCs w:val="24"/>
        </w:rPr>
      </w:pPr>
    </w:p>
    <w:p w:rsidR="001A184C" w:rsidRPr="002C1B32" w:rsidRDefault="00013F48" w:rsidP="008D699F">
      <w:pPr>
        <w:spacing w:line="360" w:lineRule="auto"/>
        <w:rPr>
          <w:sz w:val="24"/>
          <w:szCs w:val="24"/>
        </w:rPr>
      </w:pPr>
      <w:r w:rsidRPr="002C1B32">
        <w:rPr>
          <w:sz w:val="24"/>
          <w:szCs w:val="24"/>
        </w:rPr>
        <w:tab/>
      </w:r>
      <w:r w:rsidRPr="002C1B32">
        <w:rPr>
          <w:sz w:val="24"/>
          <w:szCs w:val="24"/>
        </w:rPr>
        <w:tab/>
        <w:t>IT IS ORDERED:</w:t>
      </w:r>
    </w:p>
    <w:p w:rsidR="001A184C" w:rsidRPr="002C1B32" w:rsidRDefault="001A184C" w:rsidP="008D699F">
      <w:pPr>
        <w:spacing w:line="360" w:lineRule="auto"/>
        <w:rPr>
          <w:sz w:val="24"/>
          <w:szCs w:val="24"/>
        </w:rPr>
      </w:pPr>
    </w:p>
    <w:p w:rsidR="001A184C" w:rsidRPr="002C1B32" w:rsidRDefault="001A184C" w:rsidP="008D699F">
      <w:pPr>
        <w:spacing w:line="360" w:lineRule="auto"/>
        <w:rPr>
          <w:sz w:val="24"/>
          <w:szCs w:val="24"/>
        </w:rPr>
      </w:pPr>
      <w:r w:rsidRPr="002C1B32">
        <w:rPr>
          <w:sz w:val="24"/>
          <w:szCs w:val="24"/>
        </w:rPr>
        <w:tab/>
      </w:r>
      <w:r w:rsidRPr="002C1B32">
        <w:rPr>
          <w:sz w:val="24"/>
          <w:szCs w:val="24"/>
        </w:rPr>
        <w:tab/>
        <w:t xml:space="preserve">1. </w:t>
      </w:r>
      <w:r w:rsidRPr="002C1B32">
        <w:rPr>
          <w:sz w:val="24"/>
          <w:szCs w:val="24"/>
        </w:rPr>
        <w:tab/>
      </w:r>
      <w:r w:rsidR="00013F48" w:rsidRPr="002C1B32">
        <w:rPr>
          <w:sz w:val="24"/>
          <w:szCs w:val="24"/>
        </w:rPr>
        <w:t xml:space="preserve">That the </w:t>
      </w:r>
      <w:r w:rsidR="00A24F5E" w:rsidRPr="002C1B32">
        <w:rPr>
          <w:sz w:val="24"/>
          <w:szCs w:val="24"/>
        </w:rPr>
        <w:t>C</w:t>
      </w:r>
      <w:r w:rsidR="00013F48" w:rsidRPr="002C1B32">
        <w:rPr>
          <w:sz w:val="24"/>
          <w:szCs w:val="24"/>
        </w:rPr>
        <w:t xml:space="preserve">omplaint of </w:t>
      </w:r>
      <w:r w:rsidR="00B41867" w:rsidRPr="002C1B32">
        <w:rPr>
          <w:sz w:val="24"/>
          <w:szCs w:val="24"/>
        </w:rPr>
        <w:t>Curtis Hoke</w:t>
      </w:r>
      <w:r w:rsidR="00356894" w:rsidRPr="002C1B32">
        <w:rPr>
          <w:sz w:val="24"/>
          <w:szCs w:val="24"/>
        </w:rPr>
        <w:t xml:space="preserve"> </w:t>
      </w:r>
      <w:r w:rsidR="00013F48" w:rsidRPr="002C1B32">
        <w:rPr>
          <w:sz w:val="24"/>
          <w:szCs w:val="24"/>
        </w:rPr>
        <w:t xml:space="preserve">against </w:t>
      </w:r>
      <w:r w:rsidR="00B41867" w:rsidRPr="002C1B32">
        <w:rPr>
          <w:sz w:val="24"/>
          <w:szCs w:val="24"/>
        </w:rPr>
        <w:t>Ambit Northeast, LLC d/b/a Ambit Energy</w:t>
      </w:r>
      <w:r w:rsidR="00356894" w:rsidRPr="002C1B32">
        <w:rPr>
          <w:sz w:val="24"/>
          <w:szCs w:val="24"/>
        </w:rPr>
        <w:t xml:space="preserve"> </w:t>
      </w:r>
      <w:r w:rsidR="00013F48" w:rsidRPr="002C1B32">
        <w:rPr>
          <w:sz w:val="24"/>
          <w:szCs w:val="24"/>
        </w:rPr>
        <w:t xml:space="preserve">at Docket No. </w:t>
      </w:r>
      <w:r w:rsidR="00B41867" w:rsidRPr="002C1B32">
        <w:rPr>
          <w:sz w:val="24"/>
          <w:szCs w:val="24"/>
        </w:rPr>
        <w:t xml:space="preserve">C-2013-2357863 </w:t>
      </w:r>
      <w:r w:rsidR="00F40C32">
        <w:rPr>
          <w:sz w:val="24"/>
          <w:szCs w:val="24"/>
        </w:rPr>
        <w:t xml:space="preserve">is </w:t>
      </w:r>
      <w:r w:rsidRPr="002C1B32">
        <w:rPr>
          <w:sz w:val="24"/>
          <w:szCs w:val="24"/>
        </w:rPr>
        <w:t>denied</w:t>
      </w:r>
      <w:r w:rsidR="00B41867" w:rsidRPr="002C1B32">
        <w:rPr>
          <w:sz w:val="24"/>
          <w:szCs w:val="24"/>
        </w:rPr>
        <w:t xml:space="preserve"> and dismissed</w:t>
      </w:r>
      <w:r w:rsidRPr="002C1B32">
        <w:rPr>
          <w:sz w:val="24"/>
          <w:szCs w:val="24"/>
        </w:rPr>
        <w:t>.</w:t>
      </w:r>
    </w:p>
    <w:p w:rsidR="001A184C" w:rsidRPr="002C1B32" w:rsidRDefault="001A184C" w:rsidP="00024DF2">
      <w:pPr>
        <w:spacing w:line="360" w:lineRule="auto"/>
        <w:ind w:firstLine="1440"/>
        <w:rPr>
          <w:sz w:val="24"/>
          <w:szCs w:val="24"/>
        </w:rPr>
      </w:pPr>
    </w:p>
    <w:p w:rsidR="002D5CD8" w:rsidRPr="002C1B32" w:rsidRDefault="00013F48" w:rsidP="002D5CD8">
      <w:pPr>
        <w:spacing w:line="360" w:lineRule="auto"/>
        <w:ind w:firstLine="1440"/>
        <w:rPr>
          <w:sz w:val="24"/>
          <w:szCs w:val="24"/>
        </w:rPr>
      </w:pPr>
      <w:r w:rsidRPr="002C1B32">
        <w:rPr>
          <w:sz w:val="24"/>
          <w:szCs w:val="24"/>
        </w:rPr>
        <w:t>2.</w:t>
      </w:r>
      <w:r w:rsidRPr="002C1B32">
        <w:rPr>
          <w:sz w:val="24"/>
          <w:szCs w:val="24"/>
        </w:rPr>
        <w:tab/>
      </w:r>
      <w:r w:rsidR="001A184C" w:rsidRPr="002C1B32">
        <w:rPr>
          <w:sz w:val="24"/>
          <w:szCs w:val="24"/>
        </w:rPr>
        <w:t xml:space="preserve">That </w:t>
      </w:r>
      <w:r w:rsidR="00D95C0B" w:rsidRPr="002C1B32">
        <w:rPr>
          <w:sz w:val="24"/>
          <w:szCs w:val="24"/>
        </w:rPr>
        <w:t xml:space="preserve">a copy of this </w:t>
      </w:r>
      <w:r w:rsidR="00F40C32">
        <w:rPr>
          <w:sz w:val="24"/>
          <w:szCs w:val="24"/>
        </w:rPr>
        <w:t>Initial Decision</w:t>
      </w:r>
      <w:r w:rsidR="00D95C0B" w:rsidRPr="002C1B32">
        <w:rPr>
          <w:sz w:val="24"/>
          <w:szCs w:val="24"/>
        </w:rPr>
        <w:t xml:space="preserve"> shall be served upon the </w:t>
      </w:r>
      <w:r w:rsidR="002D5CD8" w:rsidRPr="002C1B32">
        <w:rPr>
          <w:sz w:val="24"/>
          <w:szCs w:val="24"/>
        </w:rPr>
        <w:t>Commission’s Office of Competitive Market Oversight</w:t>
      </w:r>
      <w:r w:rsidR="00B41867" w:rsidRPr="002C1B32">
        <w:rPr>
          <w:sz w:val="24"/>
          <w:szCs w:val="24"/>
        </w:rPr>
        <w:t xml:space="preserve"> and Bureau of Consumer Services</w:t>
      </w:r>
      <w:r w:rsidR="002D5CD8" w:rsidRPr="002C1B32">
        <w:rPr>
          <w:sz w:val="24"/>
          <w:szCs w:val="24"/>
        </w:rPr>
        <w:t>.</w:t>
      </w:r>
    </w:p>
    <w:p w:rsidR="00482FC8" w:rsidRPr="002C1B32" w:rsidRDefault="00482FC8" w:rsidP="008D699F">
      <w:pPr>
        <w:spacing w:line="360" w:lineRule="auto"/>
        <w:ind w:firstLine="1440"/>
        <w:rPr>
          <w:sz w:val="24"/>
          <w:szCs w:val="24"/>
        </w:rPr>
      </w:pPr>
    </w:p>
    <w:p w:rsidR="00013F48" w:rsidRPr="002C1B32" w:rsidRDefault="001A184C" w:rsidP="008D699F">
      <w:pPr>
        <w:spacing w:line="360" w:lineRule="auto"/>
        <w:rPr>
          <w:sz w:val="24"/>
          <w:szCs w:val="24"/>
        </w:rPr>
      </w:pPr>
      <w:r w:rsidRPr="002C1B32">
        <w:rPr>
          <w:sz w:val="24"/>
          <w:szCs w:val="24"/>
        </w:rPr>
        <w:tab/>
      </w:r>
      <w:r w:rsidRPr="002C1B32">
        <w:rPr>
          <w:sz w:val="24"/>
          <w:szCs w:val="24"/>
        </w:rPr>
        <w:tab/>
      </w:r>
      <w:r w:rsidR="00F40C32">
        <w:rPr>
          <w:sz w:val="24"/>
          <w:szCs w:val="24"/>
        </w:rPr>
        <w:t>3</w:t>
      </w:r>
      <w:r w:rsidRPr="002C1B32">
        <w:rPr>
          <w:sz w:val="24"/>
          <w:szCs w:val="24"/>
        </w:rPr>
        <w:t>.</w:t>
      </w:r>
      <w:r w:rsidRPr="002C1B32">
        <w:rPr>
          <w:sz w:val="24"/>
          <w:szCs w:val="24"/>
        </w:rPr>
        <w:tab/>
        <w:t>T</w:t>
      </w:r>
      <w:r w:rsidR="00013F48" w:rsidRPr="002C1B32">
        <w:rPr>
          <w:sz w:val="24"/>
          <w:szCs w:val="24"/>
        </w:rPr>
        <w:t xml:space="preserve">hat the </w:t>
      </w:r>
      <w:r w:rsidR="00B41867" w:rsidRPr="002C1B32">
        <w:rPr>
          <w:sz w:val="24"/>
          <w:szCs w:val="24"/>
        </w:rPr>
        <w:t>case</w:t>
      </w:r>
      <w:r w:rsidR="00013F48" w:rsidRPr="002C1B32">
        <w:rPr>
          <w:sz w:val="24"/>
          <w:szCs w:val="24"/>
        </w:rPr>
        <w:t xml:space="preserve"> at Docket No. </w:t>
      </w:r>
      <w:r w:rsidR="00B41867" w:rsidRPr="002C1B32">
        <w:rPr>
          <w:sz w:val="24"/>
          <w:szCs w:val="24"/>
        </w:rPr>
        <w:t xml:space="preserve">C-2013-2357863 </w:t>
      </w:r>
      <w:r w:rsidR="00013F48" w:rsidRPr="002C1B32">
        <w:rPr>
          <w:sz w:val="24"/>
          <w:szCs w:val="24"/>
        </w:rPr>
        <w:t>be marked closed.</w:t>
      </w:r>
    </w:p>
    <w:p w:rsidR="00ED3EC8" w:rsidRPr="002C1B32" w:rsidRDefault="00ED3EC8" w:rsidP="008D699F">
      <w:pPr>
        <w:spacing w:line="360" w:lineRule="auto"/>
        <w:rPr>
          <w:sz w:val="24"/>
          <w:szCs w:val="24"/>
        </w:rPr>
      </w:pPr>
    </w:p>
    <w:p w:rsidR="003A3B45" w:rsidRPr="002C1B32" w:rsidRDefault="003A3B45" w:rsidP="00024DF2">
      <w:pPr>
        <w:pStyle w:val="NoSpacing"/>
        <w:spacing w:line="360" w:lineRule="auto"/>
        <w:rPr>
          <w:sz w:val="24"/>
          <w:szCs w:val="24"/>
        </w:rPr>
      </w:pPr>
    </w:p>
    <w:p w:rsidR="003A3B45" w:rsidRPr="002C1B32" w:rsidRDefault="003A3B45" w:rsidP="00024DF2">
      <w:pPr>
        <w:pStyle w:val="NoSpacing"/>
        <w:spacing w:line="360" w:lineRule="auto"/>
        <w:rPr>
          <w:sz w:val="24"/>
          <w:szCs w:val="24"/>
        </w:rPr>
      </w:pPr>
    </w:p>
    <w:p w:rsidR="00ED3EC8" w:rsidRPr="002C1B32" w:rsidRDefault="00ED3EC8" w:rsidP="008D699F">
      <w:pPr>
        <w:pStyle w:val="NoSpacing"/>
        <w:rPr>
          <w:sz w:val="24"/>
          <w:szCs w:val="24"/>
        </w:rPr>
      </w:pPr>
      <w:r w:rsidRPr="002C1B32">
        <w:rPr>
          <w:sz w:val="24"/>
          <w:szCs w:val="24"/>
        </w:rPr>
        <w:t>Dated:</w:t>
      </w:r>
      <w:r w:rsidR="00E31B54" w:rsidRPr="002C1B32">
        <w:rPr>
          <w:sz w:val="24"/>
          <w:szCs w:val="24"/>
        </w:rPr>
        <w:t xml:space="preserve">  </w:t>
      </w:r>
      <w:r w:rsidR="00D95C0B" w:rsidRPr="002C1B32">
        <w:rPr>
          <w:sz w:val="24"/>
          <w:szCs w:val="24"/>
          <w:u w:val="single"/>
        </w:rPr>
        <w:t>November 2</w:t>
      </w:r>
      <w:r w:rsidR="00B41867" w:rsidRPr="002C1B32">
        <w:rPr>
          <w:sz w:val="24"/>
          <w:szCs w:val="24"/>
          <w:u w:val="single"/>
        </w:rPr>
        <w:t>1</w:t>
      </w:r>
      <w:r w:rsidR="00890848" w:rsidRPr="002C1B32">
        <w:rPr>
          <w:sz w:val="24"/>
          <w:szCs w:val="24"/>
          <w:u w:val="single"/>
        </w:rPr>
        <w:t>, 201</w:t>
      </w:r>
      <w:r w:rsidR="00D95C0B" w:rsidRPr="002C1B32">
        <w:rPr>
          <w:sz w:val="24"/>
          <w:szCs w:val="24"/>
          <w:u w:val="single"/>
        </w:rPr>
        <w:t>3</w:t>
      </w:r>
      <w:r w:rsidRPr="002C1B32">
        <w:rPr>
          <w:sz w:val="24"/>
          <w:szCs w:val="24"/>
        </w:rPr>
        <w:tab/>
      </w:r>
      <w:r w:rsidRPr="002C1B32">
        <w:rPr>
          <w:sz w:val="24"/>
          <w:szCs w:val="24"/>
        </w:rPr>
        <w:tab/>
      </w:r>
      <w:r w:rsidRPr="002C1B32">
        <w:rPr>
          <w:sz w:val="24"/>
          <w:szCs w:val="24"/>
        </w:rPr>
        <w:tab/>
      </w:r>
      <w:r w:rsidR="00013F48" w:rsidRPr="002C1B32">
        <w:rPr>
          <w:sz w:val="24"/>
          <w:szCs w:val="24"/>
        </w:rPr>
        <w:tab/>
      </w:r>
      <w:r w:rsidRPr="0011535D">
        <w:rPr>
          <w:sz w:val="24"/>
          <w:szCs w:val="24"/>
          <w:u w:val="single"/>
        </w:rPr>
        <w:t>__________</w:t>
      </w:r>
      <w:r w:rsidR="0011535D" w:rsidRPr="0011535D">
        <w:rPr>
          <w:sz w:val="24"/>
          <w:szCs w:val="24"/>
          <w:u w:val="single"/>
        </w:rPr>
        <w:t>/s/</w:t>
      </w:r>
      <w:r w:rsidRPr="0011535D">
        <w:rPr>
          <w:sz w:val="24"/>
          <w:szCs w:val="24"/>
          <w:u w:val="single"/>
        </w:rPr>
        <w:t>____________________</w:t>
      </w:r>
    </w:p>
    <w:p w:rsidR="00ED3EC8" w:rsidRPr="002C1B32" w:rsidRDefault="00ED3EC8" w:rsidP="008D699F">
      <w:pPr>
        <w:pStyle w:val="NoSpacing"/>
        <w:rPr>
          <w:sz w:val="24"/>
          <w:szCs w:val="24"/>
        </w:rPr>
      </w:pP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00013F48" w:rsidRPr="002C1B32">
        <w:rPr>
          <w:sz w:val="24"/>
          <w:szCs w:val="24"/>
        </w:rPr>
        <w:tab/>
      </w:r>
      <w:r w:rsidR="00356894" w:rsidRPr="002C1B32">
        <w:rPr>
          <w:sz w:val="24"/>
          <w:szCs w:val="24"/>
        </w:rPr>
        <w:t>Elizabeth Barnes</w:t>
      </w:r>
    </w:p>
    <w:p w:rsidR="00477566" w:rsidRPr="002C1B32" w:rsidRDefault="00ED3EC8" w:rsidP="008D699F">
      <w:pPr>
        <w:pStyle w:val="NoSpacing"/>
        <w:rPr>
          <w:sz w:val="24"/>
          <w:szCs w:val="24"/>
        </w:rPr>
      </w:pP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Pr="002C1B32">
        <w:rPr>
          <w:sz w:val="24"/>
          <w:szCs w:val="24"/>
        </w:rPr>
        <w:tab/>
      </w:r>
      <w:r w:rsidR="00013F48" w:rsidRPr="002C1B32">
        <w:rPr>
          <w:sz w:val="24"/>
          <w:szCs w:val="24"/>
        </w:rPr>
        <w:tab/>
      </w:r>
      <w:r w:rsidRPr="002C1B32">
        <w:rPr>
          <w:sz w:val="24"/>
          <w:szCs w:val="24"/>
        </w:rPr>
        <w:t>Administrative Law Judge</w:t>
      </w:r>
    </w:p>
    <w:sectPr w:rsidR="00477566" w:rsidRPr="002C1B32"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EC9" w:rsidRDefault="001C7EC9">
      <w:r>
        <w:separator/>
      </w:r>
    </w:p>
  </w:endnote>
  <w:endnote w:type="continuationSeparator" w:id="0">
    <w:p w:rsidR="001C7EC9" w:rsidRDefault="001C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3B" w:rsidRDefault="00860E3B"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0E3B" w:rsidRDefault="00860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3B" w:rsidRPr="007E069F" w:rsidRDefault="00860E3B"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Pr="007E069F">
      <w:rPr>
        <w:rStyle w:val="PageNumber"/>
        <w:sz w:val="20"/>
        <w:szCs w:val="20"/>
      </w:rPr>
      <w:instrText xml:space="preserve">PAGE  </w:instrText>
    </w:r>
    <w:r w:rsidRPr="007E069F">
      <w:rPr>
        <w:rStyle w:val="PageNumber"/>
        <w:sz w:val="20"/>
        <w:szCs w:val="20"/>
      </w:rPr>
      <w:fldChar w:fldCharType="separate"/>
    </w:r>
    <w:r w:rsidR="00577D09">
      <w:rPr>
        <w:rStyle w:val="PageNumber"/>
        <w:noProof/>
        <w:sz w:val="20"/>
        <w:szCs w:val="20"/>
      </w:rPr>
      <w:t>11</w:t>
    </w:r>
    <w:r w:rsidRPr="007E069F">
      <w:rPr>
        <w:rStyle w:val="PageNumber"/>
        <w:sz w:val="20"/>
        <w:szCs w:val="20"/>
      </w:rPr>
      <w:fldChar w:fldCharType="end"/>
    </w:r>
  </w:p>
  <w:p w:rsidR="00860E3B" w:rsidRDefault="00860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EC9" w:rsidRDefault="001C7EC9">
      <w:r>
        <w:separator/>
      </w:r>
    </w:p>
  </w:footnote>
  <w:footnote w:type="continuationSeparator" w:id="0">
    <w:p w:rsidR="001C7EC9" w:rsidRDefault="001C7EC9">
      <w:r>
        <w:continuationSeparator/>
      </w:r>
    </w:p>
  </w:footnote>
  <w:footnote w:id="1">
    <w:p w:rsidR="00860E3B" w:rsidRDefault="00860E3B">
      <w:pPr>
        <w:pStyle w:val="FootnoteText"/>
      </w:pPr>
      <w:r>
        <w:rPr>
          <w:rStyle w:val="FootnoteReference"/>
        </w:rPr>
        <w:footnoteRef/>
      </w:r>
      <w:r>
        <w:t xml:space="preserve"> The Answer submitted by Patricia Zacharie, Esquire, an attorney from Dallas, Texas</w:t>
      </w:r>
      <w:r w:rsidR="00410792">
        <w:t>, was initially rejected on May 6, 2013, by the Secretary’s Bureau for failure to attach a certificate of service</w:t>
      </w:r>
      <w:r>
        <w:t>.</w:t>
      </w:r>
      <w:r w:rsidR="00410792">
        <w:t xml:space="preserve">  The answer was </w:t>
      </w:r>
      <w:r w:rsidR="00B55386">
        <w:t xml:space="preserve">resubmitted and </w:t>
      </w:r>
      <w:r w:rsidR="00410792">
        <w:t xml:space="preserve"> filed on May 15,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456"/>
    <w:multiLevelType w:val="hybridMultilevel"/>
    <w:tmpl w:val="42D086EA"/>
    <w:lvl w:ilvl="0" w:tplc="2ED0551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448F731E"/>
    <w:multiLevelType w:val="hybridMultilevel"/>
    <w:tmpl w:val="7B7CD30C"/>
    <w:lvl w:ilvl="0" w:tplc="574C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B6220A9"/>
    <w:multiLevelType w:val="hybridMultilevel"/>
    <w:tmpl w:val="BD4EF2BA"/>
    <w:lvl w:ilvl="0" w:tplc="86306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142026"/>
    <w:multiLevelType w:val="hybridMultilevel"/>
    <w:tmpl w:val="91BA31BE"/>
    <w:lvl w:ilvl="0" w:tplc="4CCE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2D4A1B"/>
    <w:multiLevelType w:val="hybridMultilevel"/>
    <w:tmpl w:val="38BE3F9A"/>
    <w:lvl w:ilvl="0" w:tplc="B6C8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1E3BAF"/>
    <w:multiLevelType w:val="hybridMultilevel"/>
    <w:tmpl w:val="6136CBAE"/>
    <w:lvl w:ilvl="0" w:tplc="F3B87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471F"/>
    <w:rsid w:val="00005558"/>
    <w:rsid w:val="000079FE"/>
    <w:rsid w:val="00010AF8"/>
    <w:rsid w:val="00012104"/>
    <w:rsid w:val="00012108"/>
    <w:rsid w:val="0001305A"/>
    <w:rsid w:val="00013F48"/>
    <w:rsid w:val="00016E55"/>
    <w:rsid w:val="000207AA"/>
    <w:rsid w:val="0002105C"/>
    <w:rsid w:val="00024DF2"/>
    <w:rsid w:val="00034379"/>
    <w:rsid w:val="00035BB8"/>
    <w:rsid w:val="00041F54"/>
    <w:rsid w:val="00050520"/>
    <w:rsid w:val="000513F0"/>
    <w:rsid w:val="000541C0"/>
    <w:rsid w:val="000576ED"/>
    <w:rsid w:val="000576F6"/>
    <w:rsid w:val="000605B6"/>
    <w:rsid w:val="00061278"/>
    <w:rsid w:val="00062D64"/>
    <w:rsid w:val="000634EB"/>
    <w:rsid w:val="00063801"/>
    <w:rsid w:val="00064F4D"/>
    <w:rsid w:val="00067CBC"/>
    <w:rsid w:val="00080B14"/>
    <w:rsid w:val="00084154"/>
    <w:rsid w:val="000902E3"/>
    <w:rsid w:val="0009220F"/>
    <w:rsid w:val="00092B4E"/>
    <w:rsid w:val="00092E44"/>
    <w:rsid w:val="00093562"/>
    <w:rsid w:val="000A770B"/>
    <w:rsid w:val="000B339A"/>
    <w:rsid w:val="000C2A2B"/>
    <w:rsid w:val="000C34F3"/>
    <w:rsid w:val="000C6B6E"/>
    <w:rsid w:val="000C6EF0"/>
    <w:rsid w:val="000D29BA"/>
    <w:rsid w:val="000D4208"/>
    <w:rsid w:val="000E1AEF"/>
    <w:rsid w:val="000E5FB2"/>
    <w:rsid w:val="000E7EF5"/>
    <w:rsid w:val="000F2E5F"/>
    <w:rsid w:val="000F6B0D"/>
    <w:rsid w:val="001021FB"/>
    <w:rsid w:val="00102A77"/>
    <w:rsid w:val="00103859"/>
    <w:rsid w:val="0010420D"/>
    <w:rsid w:val="001077F1"/>
    <w:rsid w:val="0011535D"/>
    <w:rsid w:val="00115BB6"/>
    <w:rsid w:val="00116578"/>
    <w:rsid w:val="0012035F"/>
    <w:rsid w:val="00121291"/>
    <w:rsid w:val="00124101"/>
    <w:rsid w:val="00124A2A"/>
    <w:rsid w:val="00124ACC"/>
    <w:rsid w:val="00124D49"/>
    <w:rsid w:val="00126607"/>
    <w:rsid w:val="0013112E"/>
    <w:rsid w:val="001333A1"/>
    <w:rsid w:val="00135CE5"/>
    <w:rsid w:val="00140A18"/>
    <w:rsid w:val="0014105E"/>
    <w:rsid w:val="00141AFE"/>
    <w:rsid w:val="00143142"/>
    <w:rsid w:val="00155E87"/>
    <w:rsid w:val="00157E46"/>
    <w:rsid w:val="00162908"/>
    <w:rsid w:val="00162D2F"/>
    <w:rsid w:val="00172E8C"/>
    <w:rsid w:val="00174F7E"/>
    <w:rsid w:val="0017580D"/>
    <w:rsid w:val="00181AB1"/>
    <w:rsid w:val="00183909"/>
    <w:rsid w:val="001857EA"/>
    <w:rsid w:val="00191522"/>
    <w:rsid w:val="001927D1"/>
    <w:rsid w:val="00192EB5"/>
    <w:rsid w:val="00192F4C"/>
    <w:rsid w:val="001966CB"/>
    <w:rsid w:val="001A103D"/>
    <w:rsid w:val="001A184C"/>
    <w:rsid w:val="001A216A"/>
    <w:rsid w:val="001A3A8A"/>
    <w:rsid w:val="001A3E1A"/>
    <w:rsid w:val="001A4184"/>
    <w:rsid w:val="001A7C4B"/>
    <w:rsid w:val="001B0EF6"/>
    <w:rsid w:val="001B1B1D"/>
    <w:rsid w:val="001B3D6F"/>
    <w:rsid w:val="001B3E78"/>
    <w:rsid w:val="001B605F"/>
    <w:rsid w:val="001C7EC9"/>
    <w:rsid w:val="001D0D25"/>
    <w:rsid w:val="001D1F1B"/>
    <w:rsid w:val="001D7AEF"/>
    <w:rsid w:val="001E2642"/>
    <w:rsid w:val="001E332F"/>
    <w:rsid w:val="001E3C9A"/>
    <w:rsid w:val="001E5447"/>
    <w:rsid w:val="001E79A7"/>
    <w:rsid w:val="001F0835"/>
    <w:rsid w:val="001F3ED0"/>
    <w:rsid w:val="001F6817"/>
    <w:rsid w:val="001F74FC"/>
    <w:rsid w:val="002004A8"/>
    <w:rsid w:val="00207601"/>
    <w:rsid w:val="0021162B"/>
    <w:rsid w:val="002125E4"/>
    <w:rsid w:val="0021276D"/>
    <w:rsid w:val="00215361"/>
    <w:rsid w:val="00215381"/>
    <w:rsid w:val="002163C5"/>
    <w:rsid w:val="00216C32"/>
    <w:rsid w:val="00216F76"/>
    <w:rsid w:val="00221A88"/>
    <w:rsid w:val="002332E5"/>
    <w:rsid w:val="002337D7"/>
    <w:rsid w:val="00234856"/>
    <w:rsid w:val="002451F7"/>
    <w:rsid w:val="0024529C"/>
    <w:rsid w:val="00250147"/>
    <w:rsid w:val="002510A9"/>
    <w:rsid w:val="00251E5A"/>
    <w:rsid w:val="00252DB6"/>
    <w:rsid w:val="002546D8"/>
    <w:rsid w:val="00260459"/>
    <w:rsid w:val="00264D05"/>
    <w:rsid w:val="00266522"/>
    <w:rsid w:val="0026705F"/>
    <w:rsid w:val="002704DD"/>
    <w:rsid w:val="00273A8C"/>
    <w:rsid w:val="00273C88"/>
    <w:rsid w:val="00284760"/>
    <w:rsid w:val="0029096F"/>
    <w:rsid w:val="00292013"/>
    <w:rsid w:val="0029353E"/>
    <w:rsid w:val="00297286"/>
    <w:rsid w:val="002A05C6"/>
    <w:rsid w:val="002A14BB"/>
    <w:rsid w:val="002A5F4D"/>
    <w:rsid w:val="002A6FFE"/>
    <w:rsid w:val="002B0C51"/>
    <w:rsid w:val="002B4CC2"/>
    <w:rsid w:val="002B754D"/>
    <w:rsid w:val="002C1B32"/>
    <w:rsid w:val="002C3F09"/>
    <w:rsid w:val="002C4F02"/>
    <w:rsid w:val="002C79E3"/>
    <w:rsid w:val="002D0169"/>
    <w:rsid w:val="002D07B7"/>
    <w:rsid w:val="002D2355"/>
    <w:rsid w:val="002D5CD8"/>
    <w:rsid w:val="002D7AED"/>
    <w:rsid w:val="002E7DDB"/>
    <w:rsid w:val="002F42FC"/>
    <w:rsid w:val="002F76D2"/>
    <w:rsid w:val="00304AA1"/>
    <w:rsid w:val="0030504A"/>
    <w:rsid w:val="003053DC"/>
    <w:rsid w:val="00306375"/>
    <w:rsid w:val="00306C33"/>
    <w:rsid w:val="00307F0F"/>
    <w:rsid w:val="003141E3"/>
    <w:rsid w:val="00316EDF"/>
    <w:rsid w:val="003201D4"/>
    <w:rsid w:val="003209EA"/>
    <w:rsid w:val="00321DB1"/>
    <w:rsid w:val="003250E0"/>
    <w:rsid w:val="00330A67"/>
    <w:rsid w:val="00333FF7"/>
    <w:rsid w:val="00334F62"/>
    <w:rsid w:val="003364EB"/>
    <w:rsid w:val="003366D5"/>
    <w:rsid w:val="003375DF"/>
    <w:rsid w:val="00343925"/>
    <w:rsid w:val="00344C34"/>
    <w:rsid w:val="00354574"/>
    <w:rsid w:val="00356894"/>
    <w:rsid w:val="00357BA9"/>
    <w:rsid w:val="00360F5F"/>
    <w:rsid w:val="0036124A"/>
    <w:rsid w:val="00365459"/>
    <w:rsid w:val="0036754C"/>
    <w:rsid w:val="0037371A"/>
    <w:rsid w:val="00376167"/>
    <w:rsid w:val="0038073F"/>
    <w:rsid w:val="00381B05"/>
    <w:rsid w:val="00386626"/>
    <w:rsid w:val="00390929"/>
    <w:rsid w:val="003A0395"/>
    <w:rsid w:val="003A0B9C"/>
    <w:rsid w:val="003A0E5A"/>
    <w:rsid w:val="003A3B45"/>
    <w:rsid w:val="003A4C58"/>
    <w:rsid w:val="003A7581"/>
    <w:rsid w:val="003B0276"/>
    <w:rsid w:val="003B4D40"/>
    <w:rsid w:val="003B5D19"/>
    <w:rsid w:val="003B5F2B"/>
    <w:rsid w:val="003B610B"/>
    <w:rsid w:val="003C1BE1"/>
    <w:rsid w:val="003C47E8"/>
    <w:rsid w:val="003C6B35"/>
    <w:rsid w:val="003C6CEE"/>
    <w:rsid w:val="003C7919"/>
    <w:rsid w:val="003D6389"/>
    <w:rsid w:val="003D72CF"/>
    <w:rsid w:val="003E2B14"/>
    <w:rsid w:val="003F01A7"/>
    <w:rsid w:val="003F2004"/>
    <w:rsid w:val="003F4D9D"/>
    <w:rsid w:val="004005A6"/>
    <w:rsid w:val="004047B1"/>
    <w:rsid w:val="00405CCE"/>
    <w:rsid w:val="00405DC3"/>
    <w:rsid w:val="00407C2F"/>
    <w:rsid w:val="00410792"/>
    <w:rsid w:val="00411425"/>
    <w:rsid w:val="00413BA5"/>
    <w:rsid w:val="00423948"/>
    <w:rsid w:val="00426277"/>
    <w:rsid w:val="004262B3"/>
    <w:rsid w:val="00430A4C"/>
    <w:rsid w:val="00431130"/>
    <w:rsid w:val="004313BC"/>
    <w:rsid w:val="00442254"/>
    <w:rsid w:val="00446B02"/>
    <w:rsid w:val="0045300F"/>
    <w:rsid w:val="00454158"/>
    <w:rsid w:val="00454723"/>
    <w:rsid w:val="00456657"/>
    <w:rsid w:val="00460140"/>
    <w:rsid w:val="0046238B"/>
    <w:rsid w:val="00462690"/>
    <w:rsid w:val="00464398"/>
    <w:rsid w:val="00477566"/>
    <w:rsid w:val="00481888"/>
    <w:rsid w:val="00482FC8"/>
    <w:rsid w:val="004843ED"/>
    <w:rsid w:val="00491F39"/>
    <w:rsid w:val="0049575D"/>
    <w:rsid w:val="004A3BF0"/>
    <w:rsid w:val="004A5318"/>
    <w:rsid w:val="004A741E"/>
    <w:rsid w:val="004B10D4"/>
    <w:rsid w:val="004B1ADE"/>
    <w:rsid w:val="004B570B"/>
    <w:rsid w:val="004B5DDD"/>
    <w:rsid w:val="004B652A"/>
    <w:rsid w:val="004B66B9"/>
    <w:rsid w:val="004B7329"/>
    <w:rsid w:val="004C30D2"/>
    <w:rsid w:val="004C469F"/>
    <w:rsid w:val="004C53F8"/>
    <w:rsid w:val="004D0BE0"/>
    <w:rsid w:val="004D14F0"/>
    <w:rsid w:val="004D163B"/>
    <w:rsid w:val="004D4A68"/>
    <w:rsid w:val="004E362D"/>
    <w:rsid w:val="004E429F"/>
    <w:rsid w:val="004E64A1"/>
    <w:rsid w:val="004F25E0"/>
    <w:rsid w:val="004F2E8E"/>
    <w:rsid w:val="004F37CB"/>
    <w:rsid w:val="004F45CA"/>
    <w:rsid w:val="004F5B11"/>
    <w:rsid w:val="004F6833"/>
    <w:rsid w:val="004F746B"/>
    <w:rsid w:val="0050417A"/>
    <w:rsid w:val="00504F92"/>
    <w:rsid w:val="00505948"/>
    <w:rsid w:val="005078B3"/>
    <w:rsid w:val="0051538A"/>
    <w:rsid w:val="00521B57"/>
    <w:rsid w:val="00522DE9"/>
    <w:rsid w:val="00523FBA"/>
    <w:rsid w:val="00523FC6"/>
    <w:rsid w:val="00524079"/>
    <w:rsid w:val="005255C0"/>
    <w:rsid w:val="00531871"/>
    <w:rsid w:val="005328F4"/>
    <w:rsid w:val="00532B33"/>
    <w:rsid w:val="005338F2"/>
    <w:rsid w:val="0054248C"/>
    <w:rsid w:val="00547727"/>
    <w:rsid w:val="00551EC6"/>
    <w:rsid w:val="005534BD"/>
    <w:rsid w:val="0055472A"/>
    <w:rsid w:val="00564A3A"/>
    <w:rsid w:val="005674EF"/>
    <w:rsid w:val="00570C2E"/>
    <w:rsid w:val="00573546"/>
    <w:rsid w:val="00575D4F"/>
    <w:rsid w:val="00575F27"/>
    <w:rsid w:val="00577D09"/>
    <w:rsid w:val="0058036C"/>
    <w:rsid w:val="00580E5F"/>
    <w:rsid w:val="00582BD2"/>
    <w:rsid w:val="00585BD9"/>
    <w:rsid w:val="005A1839"/>
    <w:rsid w:val="005A3759"/>
    <w:rsid w:val="005B2930"/>
    <w:rsid w:val="005B72B2"/>
    <w:rsid w:val="005C1211"/>
    <w:rsid w:val="005C373B"/>
    <w:rsid w:val="005C4AAA"/>
    <w:rsid w:val="005C734F"/>
    <w:rsid w:val="005D06EA"/>
    <w:rsid w:val="005D1442"/>
    <w:rsid w:val="005D2701"/>
    <w:rsid w:val="005D5AF1"/>
    <w:rsid w:val="005D75C8"/>
    <w:rsid w:val="005D7C65"/>
    <w:rsid w:val="005E04F7"/>
    <w:rsid w:val="005E13BA"/>
    <w:rsid w:val="005E283D"/>
    <w:rsid w:val="005F064D"/>
    <w:rsid w:val="005F5A21"/>
    <w:rsid w:val="00600458"/>
    <w:rsid w:val="00603824"/>
    <w:rsid w:val="006060DD"/>
    <w:rsid w:val="0061069A"/>
    <w:rsid w:val="00620850"/>
    <w:rsid w:val="00623DD7"/>
    <w:rsid w:val="006241B6"/>
    <w:rsid w:val="00624D32"/>
    <w:rsid w:val="00625F66"/>
    <w:rsid w:val="00626F9E"/>
    <w:rsid w:val="006273ED"/>
    <w:rsid w:val="00627AAE"/>
    <w:rsid w:val="00632A2B"/>
    <w:rsid w:val="006350F7"/>
    <w:rsid w:val="00640749"/>
    <w:rsid w:val="0064750C"/>
    <w:rsid w:val="00647D59"/>
    <w:rsid w:val="00647EF2"/>
    <w:rsid w:val="006621E9"/>
    <w:rsid w:val="00664C73"/>
    <w:rsid w:val="00665DD9"/>
    <w:rsid w:val="00667C4C"/>
    <w:rsid w:val="006856E2"/>
    <w:rsid w:val="00695397"/>
    <w:rsid w:val="0069562F"/>
    <w:rsid w:val="0069580E"/>
    <w:rsid w:val="0069681C"/>
    <w:rsid w:val="006A0885"/>
    <w:rsid w:val="006B1387"/>
    <w:rsid w:val="006B2FA8"/>
    <w:rsid w:val="006B3E08"/>
    <w:rsid w:val="006C4536"/>
    <w:rsid w:val="006C4572"/>
    <w:rsid w:val="006C51E2"/>
    <w:rsid w:val="006C5928"/>
    <w:rsid w:val="006C71BB"/>
    <w:rsid w:val="006D1276"/>
    <w:rsid w:val="006D4337"/>
    <w:rsid w:val="006E670A"/>
    <w:rsid w:val="006F03B9"/>
    <w:rsid w:val="006F27FC"/>
    <w:rsid w:val="006F3153"/>
    <w:rsid w:val="006F4F6D"/>
    <w:rsid w:val="006F6AD4"/>
    <w:rsid w:val="006F77EF"/>
    <w:rsid w:val="00703FFC"/>
    <w:rsid w:val="00705262"/>
    <w:rsid w:val="00705CA5"/>
    <w:rsid w:val="00716D0A"/>
    <w:rsid w:val="00721ECF"/>
    <w:rsid w:val="00725BEA"/>
    <w:rsid w:val="007306D1"/>
    <w:rsid w:val="007427B5"/>
    <w:rsid w:val="00742CE1"/>
    <w:rsid w:val="0074372C"/>
    <w:rsid w:val="00744C7C"/>
    <w:rsid w:val="00747C4D"/>
    <w:rsid w:val="00754478"/>
    <w:rsid w:val="0075585E"/>
    <w:rsid w:val="00756FCD"/>
    <w:rsid w:val="00765F0F"/>
    <w:rsid w:val="00767047"/>
    <w:rsid w:val="00767E19"/>
    <w:rsid w:val="00771D7B"/>
    <w:rsid w:val="0078470A"/>
    <w:rsid w:val="00787AF1"/>
    <w:rsid w:val="0079268A"/>
    <w:rsid w:val="007A1913"/>
    <w:rsid w:val="007B08F7"/>
    <w:rsid w:val="007B1039"/>
    <w:rsid w:val="007B14BD"/>
    <w:rsid w:val="007B1C09"/>
    <w:rsid w:val="007B2E82"/>
    <w:rsid w:val="007B60D7"/>
    <w:rsid w:val="007D5B1C"/>
    <w:rsid w:val="007D65EF"/>
    <w:rsid w:val="007E04BC"/>
    <w:rsid w:val="007E069F"/>
    <w:rsid w:val="007E0ADA"/>
    <w:rsid w:val="007E5866"/>
    <w:rsid w:val="0080154C"/>
    <w:rsid w:val="00804065"/>
    <w:rsid w:val="008062F5"/>
    <w:rsid w:val="00812EE4"/>
    <w:rsid w:val="00817BBA"/>
    <w:rsid w:val="00825745"/>
    <w:rsid w:val="00826F31"/>
    <w:rsid w:val="00840A53"/>
    <w:rsid w:val="00841FF2"/>
    <w:rsid w:val="008427B3"/>
    <w:rsid w:val="0084466C"/>
    <w:rsid w:val="00844B77"/>
    <w:rsid w:val="008502DA"/>
    <w:rsid w:val="0085047D"/>
    <w:rsid w:val="008524EA"/>
    <w:rsid w:val="00857642"/>
    <w:rsid w:val="00857F8E"/>
    <w:rsid w:val="00860E3B"/>
    <w:rsid w:val="0086268A"/>
    <w:rsid w:val="00864B15"/>
    <w:rsid w:val="00865C18"/>
    <w:rsid w:val="0086621E"/>
    <w:rsid w:val="00867312"/>
    <w:rsid w:val="0087492A"/>
    <w:rsid w:val="00882CB8"/>
    <w:rsid w:val="0088462F"/>
    <w:rsid w:val="00884650"/>
    <w:rsid w:val="00885062"/>
    <w:rsid w:val="0089049E"/>
    <w:rsid w:val="00890848"/>
    <w:rsid w:val="00893230"/>
    <w:rsid w:val="00893901"/>
    <w:rsid w:val="00896D5C"/>
    <w:rsid w:val="008A41C8"/>
    <w:rsid w:val="008A4643"/>
    <w:rsid w:val="008A705D"/>
    <w:rsid w:val="008B2982"/>
    <w:rsid w:val="008B2E40"/>
    <w:rsid w:val="008B44D4"/>
    <w:rsid w:val="008C03AD"/>
    <w:rsid w:val="008C1485"/>
    <w:rsid w:val="008D1039"/>
    <w:rsid w:val="008D2766"/>
    <w:rsid w:val="008D2DBA"/>
    <w:rsid w:val="008D638B"/>
    <w:rsid w:val="008D699F"/>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3D16"/>
    <w:rsid w:val="00924A88"/>
    <w:rsid w:val="00925C73"/>
    <w:rsid w:val="00926002"/>
    <w:rsid w:val="00930EBA"/>
    <w:rsid w:val="00935580"/>
    <w:rsid w:val="00941016"/>
    <w:rsid w:val="009412D9"/>
    <w:rsid w:val="00944730"/>
    <w:rsid w:val="009471B5"/>
    <w:rsid w:val="00952928"/>
    <w:rsid w:val="00953CFD"/>
    <w:rsid w:val="009622E9"/>
    <w:rsid w:val="009632D0"/>
    <w:rsid w:val="009669E3"/>
    <w:rsid w:val="009671DB"/>
    <w:rsid w:val="009678E3"/>
    <w:rsid w:val="00972738"/>
    <w:rsid w:val="00980958"/>
    <w:rsid w:val="00980D4B"/>
    <w:rsid w:val="00980F7A"/>
    <w:rsid w:val="00987014"/>
    <w:rsid w:val="00993054"/>
    <w:rsid w:val="00997443"/>
    <w:rsid w:val="009A68E7"/>
    <w:rsid w:val="009A78FB"/>
    <w:rsid w:val="009B590B"/>
    <w:rsid w:val="009B66C0"/>
    <w:rsid w:val="009C0A1E"/>
    <w:rsid w:val="009C24F9"/>
    <w:rsid w:val="009C6D87"/>
    <w:rsid w:val="009D3AAC"/>
    <w:rsid w:val="009D5B63"/>
    <w:rsid w:val="009E0823"/>
    <w:rsid w:val="009E1679"/>
    <w:rsid w:val="009E239E"/>
    <w:rsid w:val="009E271D"/>
    <w:rsid w:val="009E2E98"/>
    <w:rsid w:val="009F768D"/>
    <w:rsid w:val="00A039DA"/>
    <w:rsid w:val="00A07D8F"/>
    <w:rsid w:val="00A13C95"/>
    <w:rsid w:val="00A142DA"/>
    <w:rsid w:val="00A2244E"/>
    <w:rsid w:val="00A249F6"/>
    <w:rsid w:val="00A24F5E"/>
    <w:rsid w:val="00A26275"/>
    <w:rsid w:val="00A331FA"/>
    <w:rsid w:val="00A35AFD"/>
    <w:rsid w:val="00A37259"/>
    <w:rsid w:val="00A40731"/>
    <w:rsid w:val="00A448EF"/>
    <w:rsid w:val="00A52A4E"/>
    <w:rsid w:val="00A5343C"/>
    <w:rsid w:val="00A60122"/>
    <w:rsid w:val="00A604D8"/>
    <w:rsid w:val="00A62629"/>
    <w:rsid w:val="00A6364C"/>
    <w:rsid w:val="00A677E1"/>
    <w:rsid w:val="00A7043A"/>
    <w:rsid w:val="00A7538D"/>
    <w:rsid w:val="00A8008F"/>
    <w:rsid w:val="00A80E74"/>
    <w:rsid w:val="00A82749"/>
    <w:rsid w:val="00A84087"/>
    <w:rsid w:val="00A84418"/>
    <w:rsid w:val="00A851A4"/>
    <w:rsid w:val="00A86BD8"/>
    <w:rsid w:val="00A87EDF"/>
    <w:rsid w:val="00AA13DD"/>
    <w:rsid w:val="00AA1496"/>
    <w:rsid w:val="00AA3D06"/>
    <w:rsid w:val="00AA4899"/>
    <w:rsid w:val="00AA639F"/>
    <w:rsid w:val="00AC0D42"/>
    <w:rsid w:val="00AC135B"/>
    <w:rsid w:val="00AC7DAD"/>
    <w:rsid w:val="00AD344D"/>
    <w:rsid w:val="00AD5E7B"/>
    <w:rsid w:val="00AE43F5"/>
    <w:rsid w:val="00AE7E8A"/>
    <w:rsid w:val="00AF32D8"/>
    <w:rsid w:val="00AF391B"/>
    <w:rsid w:val="00AF4C64"/>
    <w:rsid w:val="00B01BE5"/>
    <w:rsid w:val="00B06DDF"/>
    <w:rsid w:val="00B079A5"/>
    <w:rsid w:val="00B11062"/>
    <w:rsid w:val="00B14AF0"/>
    <w:rsid w:val="00B16D92"/>
    <w:rsid w:val="00B20FAA"/>
    <w:rsid w:val="00B21FBA"/>
    <w:rsid w:val="00B24439"/>
    <w:rsid w:val="00B2793E"/>
    <w:rsid w:val="00B312DE"/>
    <w:rsid w:val="00B34988"/>
    <w:rsid w:val="00B37C66"/>
    <w:rsid w:val="00B41867"/>
    <w:rsid w:val="00B42826"/>
    <w:rsid w:val="00B45F51"/>
    <w:rsid w:val="00B46EE3"/>
    <w:rsid w:val="00B53F93"/>
    <w:rsid w:val="00B542E3"/>
    <w:rsid w:val="00B55386"/>
    <w:rsid w:val="00B55869"/>
    <w:rsid w:val="00B567F1"/>
    <w:rsid w:val="00B569FA"/>
    <w:rsid w:val="00B56E12"/>
    <w:rsid w:val="00B571D3"/>
    <w:rsid w:val="00B666DE"/>
    <w:rsid w:val="00B759EC"/>
    <w:rsid w:val="00B75F96"/>
    <w:rsid w:val="00B81C6E"/>
    <w:rsid w:val="00B824F8"/>
    <w:rsid w:val="00B838FD"/>
    <w:rsid w:val="00B86F52"/>
    <w:rsid w:val="00B907EB"/>
    <w:rsid w:val="00B91893"/>
    <w:rsid w:val="00B926BD"/>
    <w:rsid w:val="00B944E7"/>
    <w:rsid w:val="00BA7557"/>
    <w:rsid w:val="00BB027A"/>
    <w:rsid w:val="00BB1D36"/>
    <w:rsid w:val="00BB5630"/>
    <w:rsid w:val="00BC499D"/>
    <w:rsid w:val="00BC5264"/>
    <w:rsid w:val="00BC6D72"/>
    <w:rsid w:val="00BD00D9"/>
    <w:rsid w:val="00BD078E"/>
    <w:rsid w:val="00BD6387"/>
    <w:rsid w:val="00BE2FC0"/>
    <w:rsid w:val="00BE3736"/>
    <w:rsid w:val="00BE5569"/>
    <w:rsid w:val="00BE5D1C"/>
    <w:rsid w:val="00BE7640"/>
    <w:rsid w:val="00BE7D0C"/>
    <w:rsid w:val="00BF0242"/>
    <w:rsid w:val="00BF16D8"/>
    <w:rsid w:val="00BF6C4F"/>
    <w:rsid w:val="00C02723"/>
    <w:rsid w:val="00C02A91"/>
    <w:rsid w:val="00C03F47"/>
    <w:rsid w:val="00C04960"/>
    <w:rsid w:val="00C11391"/>
    <w:rsid w:val="00C138A5"/>
    <w:rsid w:val="00C175F6"/>
    <w:rsid w:val="00C211F9"/>
    <w:rsid w:val="00C25927"/>
    <w:rsid w:val="00C26BF3"/>
    <w:rsid w:val="00C27126"/>
    <w:rsid w:val="00C30CE6"/>
    <w:rsid w:val="00C310B8"/>
    <w:rsid w:val="00C31DBD"/>
    <w:rsid w:val="00C3343C"/>
    <w:rsid w:val="00C36C29"/>
    <w:rsid w:val="00C401B1"/>
    <w:rsid w:val="00C426AC"/>
    <w:rsid w:val="00C46233"/>
    <w:rsid w:val="00C50BA1"/>
    <w:rsid w:val="00C57D9D"/>
    <w:rsid w:val="00C65047"/>
    <w:rsid w:val="00C6573E"/>
    <w:rsid w:val="00C7644E"/>
    <w:rsid w:val="00C833D6"/>
    <w:rsid w:val="00C8685D"/>
    <w:rsid w:val="00C93BE4"/>
    <w:rsid w:val="00C95318"/>
    <w:rsid w:val="00C95A99"/>
    <w:rsid w:val="00C9603B"/>
    <w:rsid w:val="00C96F6B"/>
    <w:rsid w:val="00CA27F9"/>
    <w:rsid w:val="00CB772E"/>
    <w:rsid w:val="00CC1659"/>
    <w:rsid w:val="00CC2B54"/>
    <w:rsid w:val="00CC30C3"/>
    <w:rsid w:val="00CC7377"/>
    <w:rsid w:val="00CD4229"/>
    <w:rsid w:val="00CD439E"/>
    <w:rsid w:val="00CD4AE1"/>
    <w:rsid w:val="00CE047D"/>
    <w:rsid w:val="00CE1B40"/>
    <w:rsid w:val="00CE7731"/>
    <w:rsid w:val="00CF122C"/>
    <w:rsid w:val="00CF64B7"/>
    <w:rsid w:val="00CF6A79"/>
    <w:rsid w:val="00D02D5A"/>
    <w:rsid w:val="00D06F2D"/>
    <w:rsid w:val="00D1300E"/>
    <w:rsid w:val="00D13B2D"/>
    <w:rsid w:val="00D1507E"/>
    <w:rsid w:val="00D16E7D"/>
    <w:rsid w:val="00D17731"/>
    <w:rsid w:val="00D178E3"/>
    <w:rsid w:val="00D21DFB"/>
    <w:rsid w:val="00D23DD0"/>
    <w:rsid w:val="00D24071"/>
    <w:rsid w:val="00D33231"/>
    <w:rsid w:val="00D36240"/>
    <w:rsid w:val="00D36DB7"/>
    <w:rsid w:val="00D36DE5"/>
    <w:rsid w:val="00D40E5E"/>
    <w:rsid w:val="00D4152F"/>
    <w:rsid w:val="00D43F6F"/>
    <w:rsid w:val="00D61928"/>
    <w:rsid w:val="00D62214"/>
    <w:rsid w:val="00D62E62"/>
    <w:rsid w:val="00D65154"/>
    <w:rsid w:val="00D65E10"/>
    <w:rsid w:val="00D67729"/>
    <w:rsid w:val="00D709A0"/>
    <w:rsid w:val="00D70C2F"/>
    <w:rsid w:val="00D73BC0"/>
    <w:rsid w:val="00D76C93"/>
    <w:rsid w:val="00D77E88"/>
    <w:rsid w:val="00D903A7"/>
    <w:rsid w:val="00D95C0B"/>
    <w:rsid w:val="00DA0625"/>
    <w:rsid w:val="00DA671A"/>
    <w:rsid w:val="00DA7E6E"/>
    <w:rsid w:val="00DB07B8"/>
    <w:rsid w:val="00DB4F49"/>
    <w:rsid w:val="00DB7D6D"/>
    <w:rsid w:val="00DC46F7"/>
    <w:rsid w:val="00DC4772"/>
    <w:rsid w:val="00DC6711"/>
    <w:rsid w:val="00DC67F2"/>
    <w:rsid w:val="00DD068D"/>
    <w:rsid w:val="00DD4F2F"/>
    <w:rsid w:val="00DD5F86"/>
    <w:rsid w:val="00DD6047"/>
    <w:rsid w:val="00DD771A"/>
    <w:rsid w:val="00DE2759"/>
    <w:rsid w:val="00DE2B62"/>
    <w:rsid w:val="00DE4037"/>
    <w:rsid w:val="00DF11E9"/>
    <w:rsid w:val="00DF1CFA"/>
    <w:rsid w:val="00DF623D"/>
    <w:rsid w:val="00DF63EB"/>
    <w:rsid w:val="00E04EFF"/>
    <w:rsid w:val="00E06563"/>
    <w:rsid w:val="00E101A9"/>
    <w:rsid w:val="00E13468"/>
    <w:rsid w:val="00E13F2B"/>
    <w:rsid w:val="00E24921"/>
    <w:rsid w:val="00E257AB"/>
    <w:rsid w:val="00E25D1A"/>
    <w:rsid w:val="00E3163D"/>
    <w:rsid w:val="00E31B54"/>
    <w:rsid w:val="00E3212A"/>
    <w:rsid w:val="00E324D8"/>
    <w:rsid w:val="00E32658"/>
    <w:rsid w:val="00E333C7"/>
    <w:rsid w:val="00E41293"/>
    <w:rsid w:val="00E44479"/>
    <w:rsid w:val="00E475F0"/>
    <w:rsid w:val="00E50CA8"/>
    <w:rsid w:val="00E553E9"/>
    <w:rsid w:val="00E62177"/>
    <w:rsid w:val="00E6494D"/>
    <w:rsid w:val="00E703C3"/>
    <w:rsid w:val="00E80333"/>
    <w:rsid w:val="00E8107B"/>
    <w:rsid w:val="00E86D78"/>
    <w:rsid w:val="00E9310C"/>
    <w:rsid w:val="00E9501F"/>
    <w:rsid w:val="00E9676A"/>
    <w:rsid w:val="00EB13D0"/>
    <w:rsid w:val="00EB7A35"/>
    <w:rsid w:val="00EC05B4"/>
    <w:rsid w:val="00EC074E"/>
    <w:rsid w:val="00EC33EA"/>
    <w:rsid w:val="00EC4DC6"/>
    <w:rsid w:val="00ED0F7F"/>
    <w:rsid w:val="00ED1B28"/>
    <w:rsid w:val="00ED2F8A"/>
    <w:rsid w:val="00ED3EC8"/>
    <w:rsid w:val="00ED5EB3"/>
    <w:rsid w:val="00ED7543"/>
    <w:rsid w:val="00EE1EE5"/>
    <w:rsid w:val="00EE490F"/>
    <w:rsid w:val="00EF4871"/>
    <w:rsid w:val="00EF4A3C"/>
    <w:rsid w:val="00EF7235"/>
    <w:rsid w:val="00F03DF4"/>
    <w:rsid w:val="00F04C8C"/>
    <w:rsid w:val="00F054DA"/>
    <w:rsid w:val="00F05847"/>
    <w:rsid w:val="00F07770"/>
    <w:rsid w:val="00F07BCF"/>
    <w:rsid w:val="00F16FAB"/>
    <w:rsid w:val="00F21C69"/>
    <w:rsid w:val="00F31625"/>
    <w:rsid w:val="00F3389A"/>
    <w:rsid w:val="00F36E39"/>
    <w:rsid w:val="00F40C32"/>
    <w:rsid w:val="00F475C9"/>
    <w:rsid w:val="00F5046F"/>
    <w:rsid w:val="00F5088C"/>
    <w:rsid w:val="00F5095C"/>
    <w:rsid w:val="00F510AC"/>
    <w:rsid w:val="00F54836"/>
    <w:rsid w:val="00F561B9"/>
    <w:rsid w:val="00F62D04"/>
    <w:rsid w:val="00F65067"/>
    <w:rsid w:val="00F70887"/>
    <w:rsid w:val="00F8377E"/>
    <w:rsid w:val="00F8605D"/>
    <w:rsid w:val="00F86EF9"/>
    <w:rsid w:val="00F86FB1"/>
    <w:rsid w:val="00F908E0"/>
    <w:rsid w:val="00F909B5"/>
    <w:rsid w:val="00F9335A"/>
    <w:rsid w:val="00FA0DD6"/>
    <w:rsid w:val="00FA61CB"/>
    <w:rsid w:val="00FA637D"/>
    <w:rsid w:val="00FB02CD"/>
    <w:rsid w:val="00FB2133"/>
    <w:rsid w:val="00FB4A94"/>
    <w:rsid w:val="00FB4C6F"/>
    <w:rsid w:val="00FB64A1"/>
    <w:rsid w:val="00FC110D"/>
    <w:rsid w:val="00FC3800"/>
    <w:rsid w:val="00FC763F"/>
    <w:rsid w:val="00FD36CA"/>
    <w:rsid w:val="00FD3B41"/>
    <w:rsid w:val="00FD6C73"/>
    <w:rsid w:val="00FE0461"/>
    <w:rsid w:val="00FE060A"/>
    <w:rsid w:val="00FE6938"/>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11CF-3FD7-4B0D-AC3C-8558C69B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2013-12-03T14:44:00Z</cp:lastPrinted>
  <dcterms:created xsi:type="dcterms:W3CDTF">2013-12-04T15:29:00Z</dcterms:created>
  <dcterms:modified xsi:type="dcterms:W3CDTF">2013-12-04T15:29:00Z</dcterms:modified>
</cp:coreProperties>
</file>