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896BC7" w:rsidRDefault="00A248EC" w:rsidP="00A248EC">
      <w:pPr>
        <w:spacing w:line="240" w:lineRule="auto"/>
        <w:rPr>
          <w:b/>
        </w:rPr>
      </w:pPr>
      <w:r w:rsidRPr="00896BC7">
        <w:rPr>
          <w:b/>
        </w:rPr>
        <w:t>BEFORE THE</w:t>
      </w:r>
    </w:p>
    <w:p w:rsidR="00A248EC" w:rsidRPr="00896BC7" w:rsidRDefault="00A248EC" w:rsidP="00A248EC">
      <w:pPr>
        <w:spacing w:line="240" w:lineRule="auto"/>
        <w:rPr>
          <w:b/>
        </w:rPr>
      </w:pPr>
      <w:r w:rsidRPr="00896BC7">
        <w:rPr>
          <w:b/>
        </w:rPr>
        <w:t>PENNSYLVANIA PUBLIC UTILITY COMMISSION</w:t>
      </w:r>
    </w:p>
    <w:p w:rsidR="00A248EC" w:rsidRDefault="00A248EC" w:rsidP="00A248EC">
      <w:pPr>
        <w:spacing w:line="240" w:lineRule="auto"/>
        <w:rPr>
          <w:b/>
        </w:rPr>
      </w:pPr>
    </w:p>
    <w:p w:rsidR="00896BC7" w:rsidRPr="00896BC7" w:rsidRDefault="00896BC7" w:rsidP="00A248EC">
      <w:pPr>
        <w:spacing w:line="240" w:lineRule="auto"/>
        <w:rPr>
          <w:b/>
        </w:rPr>
      </w:pPr>
    </w:p>
    <w:p w:rsidR="00A248EC" w:rsidRPr="00896BC7" w:rsidRDefault="00A248EC" w:rsidP="00A248EC">
      <w:pPr>
        <w:spacing w:line="240" w:lineRule="auto"/>
        <w:rPr>
          <w:b/>
        </w:rPr>
      </w:pPr>
    </w:p>
    <w:p w:rsidR="00A248EC" w:rsidRPr="00896BC7" w:rsidRDefault="00A248EC" w:rsidP="00A248EC">
      <w:pPr>
        <w:spacing w:line="240" w:lineRule="auto"/>
        <w:jc w:val="left"/>
      </w:pPr>
      <w:proofErr w:type="spellStart"/>
      <w:r w:rsidRPr="00896BC7">
        <w:t>Kujtim</w:t>
      </w:r>
      <w:proofErr w:type="spellEnd"/>
      <w:r w:rsidRPr="00896BC7">
        <w:t xml:space="preserve"> </w:t>
      </w:r>
      <w:proofErr w:type="spellStart"/>
      <w:r w:rsidRPr="00896BC7">
        <w:t>Ballaj</w:t>
      </w:r>
      <w:proofErr w:type="spellEnd"/>
      <w:r w:rsidRPr="00896BC7">
        <w:tab/>
      </w:r>
      <w:r w:rsidRPr="00896BC7">
        <w:tab/>
      </w:r>
      <w:r w:rsidRPr="00896BC7">
        <w:tab/>
      </w:r>
      <w:r w:rsidRPr="00896BC7">
        <w:tab/>
      </w:r>
      <w:r w:rsidRPr="00896BC7">
        <w:tab/>
      </w:r>
      <w:r w:rsidRPr="00896BC7">
        <w:tab/>
        <w:t>:</w:t>
      </w:r>
    </w:p>
    <w:p w:rsidR="00A248EC" w:rsidRPr="00896BC7" w:rsidRDefault="00A248EC" w:rsidP="00A248EC">
      <w:pPr>
        <w:spacing w:line="240" w:lineRule="auto"/>
        <w:jc w:val="left"/>
      </w:pPr>
      <w:r w:rsidRPr="00896BC7">
        <w:tab/>
      </w:r>
      <w:r w:rsidRPr="00896BC7">
        <w:tab/>
      </w:r>
      <w:r w:rsidRPr="00896BC7">
        <w:tab/>
      </w:r>
      <w:r w:rsidRPr="00896BC7">
        <w:tab/>
      </w:r>
      <w:r w:rsidRPr="00896BC7">
        <w:tab/>
      </w:r>
      <w:r w:rsidRPr="00896BC7">
        <w:tab/>
      </w:r>
      <w:r w:rsidRPr="00896BC7">
        <w:tab/>
        <w:t>:</w:t>
      </w:r>
    </w:p>
    <w:p w:rsidR="00A248EC" w:rsidRPr="00896BC7" w:rsidRDefault="00A248EC" w:rsidP="00A248EC">
      <w:pPr>
        <w:spacing w:line="240" w:lineRule="auto"/>
        <w:jc w:val="left"/>
      </w:pPr>
      <w:r w:rsidRPr="00896BC7">
        <w:tab/>
        <w:t>v.</w:t>
      </w:r>
      <w:r w:rsidRPr="00896BC7">
        <w:tab/>
      </w:r>
      <w:r w:rsidRPr="00896BC7">
        <w:tab/>
      </w:r>
      <w:r w:rsidRPr="00896BC7">
        <w:tab/>
      </w:r>
      <w:r w:rsidRPr="00896BC7">
        <w:tab/>
      </w:r>
      <w:r w:rsidRPr="00896BC7">
        <w:tab/>
      </w:r>
      <w:r w:rsidRPr="00896BC7">
        <w:tab/>
      </w:r>
      <w:r w:rsidR="00896BC7">
        <w:t>:</w:t>
      </w:r>
      <w:r w:rsidR="00896BC7">
        <w:tab/>
      </w:r>
      <w:r w:rsidR="00896BC7">
        <w:tab/>
      </w:r>
      <w:r w:rsidRPr="00896BC7">
        <w:t>C-2013-2373601</w:t>
      </w:r>
    </w:p>
    <w:p w:rsidR="00A248EC" w:rsidRPr="00896BC7" w:rsidRDefault="00A248EC" w:rsidP="00A248EC">
      <w:pPr>
        <w:spacing w:line="240" w:lineRule="auto"/>
        <w:jc w:val="left"/>
      </w:pPr>
      <w:r w:rsidRPr="00896BC7">
        <w:tab/>
      </w:r>
      <w:r w:rsidRPr="00896BC7">
        <w:tab/>
      </w:r>
      <w:r w:rsidRPr="00896BC7">
        <w:tab/>
      </w:r>
      <w:r w:rsidRPr="00896BC7">
        <w:tab/>
      </w:r>
      <w:r w:rsidRPr="00896BC7">
        <w:tab/>
      </w:r>
      <w:r w:rsidRPr="00896BC7">
        <w:tab/>
      </w:r>
      <w:r w:rsidRPr="00896BC7">
        <w:tab/>
        <w:t>:</w:t>
      </w:r>
    </w:p>
    <w:p w:rsidR="00A248EC" w:rsidRPr="00896BC7" w:rsidRDefault="00A248EC" w:rsidP="00A248EC">
      <w:pPr>
        <w:spacing w:line="240" w:lineRule="auto"/>
        <w:jc w:val="left"/>
      </w:pPr>
      <w:r w:rsidRPr="00896BC7">
        <w:t>Philadelphia Gas Works</w:t>
      </w:r>
      <w:r w:rsidRPr="00896BC7">
        <w:tab/>
      </w:r>
      <w:r w:rsidRPr="00896BC7">
        <w:tab/>
      </w:r>
      <w:r w:rsidRPr="00896BC7">
        <w:tab/>
      </w:r>
      <w:r w:rsidRPr="00896BC7">
        <w:tab/>
        <w:t>:</w:t>
      </w:r>
    </w:p>
    <w:p w:rsidR="00A248EC" w:rsidRDefault="00A248EC" w:rsidP="00A248EC">
      <w:pPr>
        <w:spacing w:line="240" w:lineRule="auto"/>
        <w:jc w:val="left"/>
      </w:pPr>
    </w:p>
    <w:p w:rsidR="00896BC7" w:rsidRPr="00896BC7" w:rsidRDefault="00896BC7" w:rsidP="00A248EC">
      <w:pPr>
        <w:spacing w:line="240" w:lineRule="auto"/>
        <w:jc w:val="left"/>
      </w:pPr>
    </w:p>
    <w:p w:rsidR="00A248EC" w:rsidRPr="00896BC7" w:rsidRDefault="00A248EC" w:rsidP="00A248EC">
      <w:pPr>
        <w:spacing w:line="240" w:lineRule="auto"/>
        <w:jc w:val="left"/>
      </w:pPr>
    </w:p>
    <w:p w:rsidR="00A248EC" w:rsidRPr="00896BC7" w:rsidRDefault="00A248EC" w:rsidP="00A248EC">
      <w:pPr>
        <w:spacing w:line="240" w:lineRule="auto"/>
        <w:rPr>
          <w:b/>
          <w:u w:val="single"/>
        </w:rPr>
      </w:pPr>
      <w:r w:rsidRPr="00896BC7">
        <w:rPr>
          <w:b/>
          <w:u w:val="single"/>
        </w:rPr>
        <w:t>INITIAL DECISION</w:t>
      </w:r>
    </w:p>
    <w:p w:rsidR="00A248EC" w:rsidRDefault="00A248EC" w:rsidP="00A248EC">
      <w:pPr>
        <w:spacing w:line="240" w:lineRule="auto"/>
        <w:rPr>
          <w:b/>
          <w:u w:val="single"/>
        </w:rPr>
      </w:pPr>
    </w:p>
    <w:p w:rsidR="00896BC7" w:rsidRPr="00896BC7" w:rsidRDefault="00896BC7" w:rsidP="00A248EC">
      <w:pPr>
        <w:spacing w:line="240" w:lineRule="auto"/>
        <w:rPr>
          <w:b/>
          <w:u w:val="single"/>
        </w:rPr>
      </w:pPr>
    </w:p>
    <w:p w:rsidR="00A248EC" w:rsidRPr="00896BC7" w:rsidRDefault="00A248EC" w:rsidP="00A248EC">
      <w:pPr>
        <w:spacing w:line="240" w:lineRule="auto"/>
      </w:pPr>
      <w:r w:rsidRPr="00896BC7">
        <w:t>Before</w:t>
      </w:r>
    </w:p>
    <w:p w:rsidR="00A248EC" w:rsidRPr="00896BC7" w:rsidRDefault="00A248EC" w:rsidP="00A248EC">
      <w:pPr>
        <w:spacing w:line="240" w:lineRule="auto"/>
      </w:pPr>
      <w:r w:rsidRPr="00896BC7">
        <w:t>Susan D. Colwell</w:t>
      </w:r>
    </w:p>
    <w:p w:rsidR="00A248EC" w:rsidRPr="00896BC7" w:rsidRDefault="00A248EC" w:rsidP="00A248EC">
      <w:pPr>
        <w:spacing w:line="240" w:lineRule="auto"/>
      </w:pPr>
      <w:r w:rsidRPr="00896BC7">
        <w:t>Administrative Law Judge</w:t>
      </w:r>
    </w:p>
    <w:p w:rsidR="00A248EC" w:rsidRPr="00896BC7" w:rsidRDefault="00A248EC" w:rsidP="00A248EC">
      <w:pPr>
        <w:spacing w:line="240" w:lineRule="auto"/>
      </w:pPr>
    </w:p>
    <w:p w:rsidR="00A248EC" w:rsidRPr="00896BC7" w:rsidRDefault="00A248EC" w:rsidP="00A248EC">
      <w:pPr>
        <w:spacing w:line="240" w:lineRule="auto"/>
      </w:pPr>
    </w:p>
    <w:p w:rsidR="00A248EC" w:rsidRPr="00896BC7" w:rsidRDefault="00A248EC" w:rsidP="00A248EC">
      <w:pPr>
        <w:spacing w:line="240" w:lineRule="auto"/>
        <w:rPr>
          <w:u w:val="single"/>
        </w:rPr>
      </w:pPr>
      <w:r w:rsidRPr="00896BC7">
        <w:rPr>
          <w:u w:val="single"/>
        </w:rPr>
        <w:t>HISTORY OF THE PROCEEDING</w:t>
      </w:r>
    </w:p>
    <w:p w:rsidR="00A248EC" w:rsidRPr="00896BC7" w:rsidRDefault="00A248EC" w:rsidP="00A248EC">
      <w:pPr>
        <w:spacing w:line="240" w:lineRule="auto"/>
        <w:rPr>
          <w:u w:val="single"/>
        </w:rPr>
      </w:pPr>
    </w:p>
    <w:p w:rsidR="00A248EC" w:rsidRPr="00896BC7" w:rsidRDefault="00A248EC" w:rsidP="00896BC7">
      <w:pPr>
        <w:spacing w:line="240" w:lineRule="auto"/>
        <w:rPr>
          <w:u w:val="single"/>
        </w:rPr>
      </w:pPr>
    </w:p>
    <w:p w:rsidR="00A248EC" w:rsidRPr="00896BC7" w:rsidRDefault="00A248EC" w:rsidP="00896BC7">
      <w:pPr>
        <w:jc w:val="left"/>
      </w:pPr>
      <w:r w:rsidRPr="00896BC7">
        <w:tab/>
      </w:r>
      <w:r w:rsidRPr="00896BC7">
        <w:tab/>
        <w:t xml:space="preserve">The purpose of this decision is to </w:t>
      </w:r>
      <w:r w:rsidR="002460F6" w:rsidRPr="00896BC7">
        <w:t xml:space="preserve">dismiss </w:t>
      </w:r>
      <w:r w:rsidR="002313FE" w:rsidRPr="00896BC7">
        <w:t>the</w:t>
      </w:r>
      <w:r w:rsidR="002460F6" w:rsidRPr="00896BC7">
        <w:t xml:space="preserve"> complaint </w:t>
      </w:r>
      <w:r w:rsidR="00DF1CCA" w:rsidRPr="00896BC7">
        <w:t xml:space="preserve">of a customer </w:t>
      </w:r>
      <w:r w:rsidR="002460F6" w:rsidRPr="00896BC7">
        <w:t>seeking placement on a utility's customer assistance program (CAP) where the CAP is not the most advantageous payment plan for the complainant</w:t>
      </w:r>
      <w:r w:rsidR="002313FE" w:rsidRPr="00896BC7">
        <w:t xml:space="preserve"> </w:t>
      </w:r>
      <w:r w:rsidR="000645C8">
        <w:t>and to offer a payment agreement</w:t>
      </w:r>
      <w:r w:rsidR="002460F6" w:rsidRPr="00896BC7">
        <w:t>.</w:t>
      </w:r>
    </w:p>
    <w:p w:rsidR="00A248EC" w:rsidRPr="00896BC7" w:rsidRDefault="00A248EC" w:rsidP="00A248EC">
      <w:pPr>
        <w:jc w:val="left"/>
      </w:pPr>
    </w:p>
    <w:p w:rsidR="00A248EC" w:rsidRPr="00896BC7" w:rsidRDefault="00A248EC" w:rsidP="00A248EC">
      <w:pPr>
        <w:jc w:val="left"/>
      </w:pPr>
      <w:r w:rsidRPr="00896BC7">
        <w:tab/>
      </w:r>
      <w:r w:rsidRPr="00896BC7">
        <w:tab/>
        <w:t xml:space="preserve">On </w:t>
      </w:r>
      <w:r w:rsidR="00A87C68" w:rsidRPr="00896BC7">
        <w:t xml:space="preserve">June 12, 2013, </w:t>
      </w:r>
      <w:proofErr w:type="spellStart"/>
      <w:r w:rsidR="00A87C68" w:rsidRPr="00896BC7">
        <w:t>Kujtim</w:t>
      </w:r>
      <w:proofErr w:type="spellEnd"/>
      <w:r w:rsidR="00A87C68" w:rsidRPr="00896BC7">
        <w:t xml:space="preserve"> </w:t>
      </w:r>
      <w:proofErr w:type="spellStart"/>
      <w:r w:rsidR="00A87C68" w:rsidRPr="00896BC7">
        <w:t>Ballaj</w:t>
      </w:r>
      <w:proofErr w:type="spellEnd"/>
      <w:r w:rsidR="00A87C68" w:rsidRPr="00896BC7">
        <w:t xml:space="preserve"> (Complainant) filed a formal Complaint alleging that Philadelphia Gas Works (PGW or Respondent or Company) had removed him from its </w:t>
      </w:r>
      <w:r w:rsidR="002313FE" w:rsidRPr="00896BC7">
        <w:t>CAP, known as the Customer Responsibility Program (CRP)</w:t>
      </w:r>
      <w:r w:rsidR="00A87C68" w:rsidRPr="00896BC7">
        <w:t xml:space="preserve"> and that he wanted to be re-enrolled and have $525 removed from his bill.</w:t>
      </w:r>
    </w:p>
    <w:p w:rsidR="00291B61" w:rsidRPr="00896BC7" w:rsidRDefault="00291B61" w:rsidP="00A248EC">
      <w:pPr>
        <w:jc w:val="left"/>
      </w:pPr>
    </w:p>
    <w:p w:rsidR="00A87C68" w:rsidRPr="00896BC7" w:rsidRDefault="00291B61" w:rsidP="00A248EC">
      <w:pPr>
        <w:jc w:val="left"/>
      </w:pPr>
      <w:r w:rsidRPr="00896BC7">
        <w:tab/>
      </w:r>
      <w:r w:rsidRPr="00896BC7">
        <w:tab/>
        <w:t>The Complaint was served on July 15, 2013, and o</w:t>
      </w:r>
      <w:r w:rsidR="00A87C68" w:rsidRPr="00896BC7">
        <w:t>n August 4, 2013, PGW filed its Answer denying any wrongdoing.  PGW acknowledged that Complainant had requested that he be placed on the CAP program on November 19, 2012, and again on May 3, 2013, but that his monthly CRP payment would have been higher than a budge</w:t>
      </w:r>
      <w:r w:rsidR="00D07535">
        <w:t>t billing plan payment.  On May 29, </w:t>
      </w:r>
      <w:r w:rsidR="00A87C68" w:rsidRPr="00896BC7">
        <w:t>2013, Complainant asked to be removed from the budget billing plan, and when he was removed, the full balance of $519</w:t>
      </w:r>
      <w:r w:rsidRPr="00896BC7">
        <w:t>.</w:t>
      </w:r>
      <w:r w:rsidR="00A87C68" w:rsidRPr="00896BC7">
        <w:t>80 became due.</w:t>
      </w:r>
    </w:p>
    <w:p w:rsidR="00291B61" w:rsidRPr="00896BC7" w:rsidRDefault="00291B61" w:rsidP="00A248EC">
      <w:pPr>
        <w:jc w:val="left"/>
      </w:pPr>
    </w:p>
    <w:p w:rsidR="00291B61" w:rsidRPr="00896BC7" w:rsidRDefault="00291B61" w:rsidP="00A248EC">
      <w:pPr>
        <w:jc w:val="left"/>
      </w:pPr>
      <w:r w:rsidRPr="00896BC7">
        <w:tab/>
      </w:r>
      <w:r w:rsidRPr="00896BC7">
        <w:tab/>
        <w:t>On August 21, 2013, a telephone hearing notice was issued which scheduled the evidentiary hearing for October 28, 2013, and assigned the matter to me.  I issued a prehearing order on August 27, 2013, which set forth some of the requirements for a formal proceeding before the Commission.</w:t>
      </w:r>
    </w:p>
    <w:p w:rsidR="00291B61" w:rsidRPr="00896BC7" w:rsidRDefault="00291B61" w:rsidP="00A248EC">
      <w:pPr>
        <w:jc w:val="left"/>
      </w:pPr>
      <w:r w:rsidRPr="00896BC7">
        <w:tab/>
      </w:r>
      <w:r w:rsidRPr="00896BC7">
        <w:tab/>
      </w:r>
    </w:p>
    <w:p w:rsidR="00291B61" w:rsidRPr="00896BC7" w:rsidRDefault="00291B61" w:rsidP="00A248EC">
      <w:pPr>
        <w:jc w:val="left"/>
      </w:pPr>
      <w:r w:rsidRPr="00896BC7">
        <w:tab/>
      </w:r>
      <w:r w:rsidRPr="00896BC7">
        <w:tab/>
      </w:r>
      <w:r w:rsidR="00DF1CCA" w:rsidRPr="00896BC7">
        <w:t>The</w:t>
      </w:r>
      <w:r w:rsidRPr="00896BC7">
        <w:t xml:space="preserve"> hearing </w:t>
      </w:r>
      <w:r w:rsidR="00DF1CCA" w:rsidRPr="00896BC7">
        <w:t xml:space="preserve">convened </w:t>
      </w:r>
      <w:r w:rsidRPr="00896BC7">
        <w:t xml:space="preserve">as scheduled.  Complainant represented himself and presented his own testimony and that of his wife.  PGW was represented by Howard </w:t>
      </w:r>
      <w:proofErr w:type="spellStart"/>
      <w:r w:rsidRPr="00896BC7">
        <w:t>Lebofsky</w:t>
      </w:r>
      <w:proofErr w:type="spellEnd"/>
      <w:r w:rsidRPr="00896BC7">
        <w:t>, Esq., who presented one witness, who in turn sponsored four exhibits.  A transcript of 55 pages was generated</w:t>
      </w:r>
      <w:r w:rsidR="002313FE" w:rsidRPr="00896BC7">
        <w:t xml:space="preserve"> and filed on November 13, 2013</w:t>
      </w:r>
      <w:r w:rsidRPr="00896BC7">
        <w:t>.</w:t>
      </w:r>
    </w:p>
    <w:p w:rsidR="00291B61" w:rsidRPr="00896BC7" w:rsidRDefault="00291B61" w:rsidP="00A248EC">
      <w:pPr>
        <w:jc w:val="left"/>
      </w:pPr>
    </w:p>
    <w:p w:rsidR="00291B61" w:rsidRPr="00896BC7" w:rsidRDefault="00291B61" w:rsidP="00A248EC">
      <w:pPr>
        <w:jc w:val="left"/>
      </w:pPr>
      <w:r w:rsidRPr="00896BC7">
        <w:tab/>
      </w:r>
      <w:r w:rsidRPr="00896BC7">
        <w:tab/>
      </w:r>
      <w:r w:rsidR="000645C8">
        <w:t>At the end of the hearing, I</w:t>
      </w:r>
      <w:r w:rsidRPr="00896BC7">
        <w:t xml:space="preserve"> agreed to wait thirty (30) days before issuing an initial decision to give the parties an opportunity for further negotiation.  </w:t>
      </w:r>
      <w:r w:rsidR="006E4B8E" w:rsidRPr="00896BC7">
        <w:t xml:space="preserve">By letter faxed </w:t>
      </w:r>
      <w:r w:rsidR="00DF1CCA" w:rsidRPr="00896BC7">
        <w:t xml:space="preserve">to my office </w:t>
      </w:r>
      <w:r w:rsidR="006E4B8E" w:rsidRPr="00896BC7">
        <w:t>on December 6, 2013, counsel for PGW informed me that the parties have been unable to resolve the matter.  Thirty days have pas</w:t>
      </w:r>
      <w:r w:rsidRPr="00896BC7">
        <w:t xml:space="preserve">sed, </w:t>
      </w:r>
      <w:r w:rsidR="002313FE" w:rsidRPr="00896BC7">
        <w:t xml:space="preserve">the record closed on December 13, 2013, </w:t>
      </w:r>
      <w:r w:rsidR="00DF1CCA" w:rsidRPr="00896BC7">
        <w:t xml:space="preserve">and </w:t>
      </w:r>
      <w:r w:rsidRPr="00896BC7">
        <w:t>the matter is ripe for disposition.</w:t>
      </w:r>
    </w:p>
    <w:p w:rsidR="00291B61" w:rsidRDefault="00291B61" w:rsidP="0052134F">
      <w:pPr>
        <w:spacing w:line="240" w:lineRule="auto"/>
        <w:jc w:val="left"/>
      </w:pPr>
    </w:p>
    <w:p w:rsidR="0052134F" w:rsidRPr="00896BC7" w:rsidRDefault="0052134F" w:rsidP="0052134F">
      <w:pPr>
        <w:spacing w:line="240" w:lineRule="auto"/>
        <w:jc w:val="left"/>
      </w:pPr>
    </w:p>
    <w:p w:rsidR="00291B61" w:rsidRPr="00896BC7" w:rsidRDefault="00291B61" w:rsidP="00291B61">
      <w:pPr>
        <w:rPr>
          <w:u w:val="single"/>
        </w:rPr>
      </w:pPr>
      <w:r w:rsidRPr="00896BC7">
        <w:rPr>
          <w:u w:val="single"/>
        </w:rPr>
        <w:t>FINDINGS OF FACT</w:t>
      </w:r>
    </w:p>
    <w:p w:rsidR="00291B61" w:rsidRPr="00896BC7" w:rsidRDefault="00291B61" w:rsidP="00291B61">
      <w:pPr>
        <w:rPr>
          <w:u w:val="single"/>
        </w:rPr>
      </w:pPr>
    </w:p>
    <w:p w:rsidR="00291B61" w:rsidRPr="00896BC7" w:rsidRDefault="005F73C8" w:rsidP="00291B61">
      <w:pPr>
        <w:jc w:val="left"/>
      </w:pPr>
      <w:r w:rsidRPr="00896BC7">
        <w:tab/>
      </w:r>
      <w:r w:rsidRPr="00896BC7">
        <w:tab/>
        <w:t>1.</w:t>
      </w:r>
      <w:r w:rsidRPr="00896BC7">
        <w:tab/>
        <w:t xml:space="preserve">Complainant is </w:t>
      </w:r>
      <w:proofErr w:type="spellStart"/>
      <w:r w:rsidR="00F0294D" w:rsidRPr="00896BC7">
        <w:t>Kujtim</w:t>
      </w:r>
      <w:proofErr w:type="spellEnd"/>
      <w:r w:rsidR="00F0294D" w:rsidRPr="00896BC7">
        <w:t xml:space="preserve"> </w:t>
      </w:r>
      <w:proofErr w:type="spellStart"/>
      <w:r w:rsidR="00F0294D" w:rsidRPr="00896BC7">
        <w:t>Ballaj</w:t>
      </w:r>
      <w:proofErr w:type="spellEnd"/>
      <w:r w:rsidR="00F0294D" w:rsidRPr="00896BC7">
        <w:t>, 8228</w:t>
      </w:r>
      <w:r w:rsidR="003156D5">
        <w:t xml:space="preserve"> Narvon Street, Philadelphia PA </w:t>
      </w:r>
      <w:r w:rsidR="00F0294D" w:rsidRPr="00896BC7">
        <w:t>19136.</w:t>
      </w:r>
    </w:p>
    <w:p w:rsidR="00F0294D" w:rsidRPr="00896BC7" w:rsidRDefault="00F0294D" w:rsidP="00291B61">
      <w:pPr>
        <w:jc w:val="left"/>
      </w:pPr>
    </w:p>
    <w:p w:rsidR="00F0294D" w:rsidRPr="00896BC7" w:rsidRDefault="00F0294D" w:rsidP="00291B61">
      <w:pPr>
        <w:jc w:val="left"/>
      </w:pPr>
      <w:r w:rsidRPr="00896BC7">
        <w:tab/>
      </w:r>
      <w:r w:rsidRPr="00896BC7">
        <w:tab/>
        <w:t>2.</w:t>
      </w:r>
      <w:r w:rsidRPr="00896BC7">
        <w:tab/>
        <w:t>Respondent is Philadelphia Gas Works, a jurisdictional public utility providing residential gas service in the Commonwealth of Pennsylvania.</w:t>
      </w:r>
    </w:p>
    <w:p w:rsidR="00F0294D" w:rsidRPr="00896BC7" w:rsidRDefault="00F0294D" w:rsidP="00291B61">
      <w:pPr>
        <w:jc w:val="left"/>
      </w:pPr>
    </w:p>
    <w:p w:rsidR="00F0294D" w:rsidRPr="00896BC7" w:rsidRDefault="00F0294D" w:rsidP="00291B61">
      <w:pPr>
        <w:jc w:val="left"/>
      </w:pPr>
      <w:r w:rsidRPr="00896BC7">
        <w:tab/>
      </w:r>
      <w:r w:rsidRPr="00896BC7">
        <w:tab/>
        <w:t>3.</w:t>
      </w:r>
      <w:r w:rsidRPr="00896BC7">
        <w:tab/>
        <w:t xml:space="preserve">Complainant's household is comprised of six people, and only one is employed.  </w:t>
      </w:r>
      <w:proofErr w:type="gramStart"/>
      <w:r w:rsidRPr="00896BC7">
        <w:t>Tr. 8.</w:t>
      </w:r>
      <w:proofErr w:type="gramEnd"/>
    </w:p>
    <w:p w:rsidR="00F0294D" w:rsidRPr="00896BC7" w:rsidRDefault="00F0294D" w:rsidP="00291B61">
      <w:pPr>
        <w:jc w:val="left"/>
      </w:pPr>
    </w:p>
    <w:p w:rsidR="00F0294D" w:rsidRPr="00896BC7" w:rsidRDefault="00F0294D" w:rsidP="00291B61">
      <w:pPr>
        <w:jc w:val="left"/>
      </w:pPr>
      <w:r w:rsidRPr="00896BC7">
        <w:tab/>
      </w:r>
      <w:r w:rsidRPr="00896BC7">
        <w:tab/>
        <w:t>4.</w:t>
      </w:r>
      <w:r w:rsidRPr="00896BC7">
        <w:tab/>
        <w:t xml:space="preserve">Complainant's household is low-income and is receiving help from food stamps and the electric company.  </w:t>
      </w:r>
      <w:proofErr w:type="gramStart"/>
      <w:r w:rsidRPr="00896BC7">
        <w:t>Tr. 11.</w:t>
      </w:r>
      <w:proofErr w:type="gramEnd"/>
    </w:p>
    <w:p w:rsidR="00F0294D" w:rsidRPr="00896BC7" w:rsidRDefault="00F0294D" w:rsidP="00291B61">
      <w:pPr>
        <w:jc w:val="left"/>
      </w:pPr>
    </w:p>
    <w:p w:rsidR="00F0294D" w:rsidRPr="00896BC7" w:rsidRDefault="00F0294D" w:rsidP="00291B61">
      <w:pPr>
        <w:jc w:val="left"/>
      </w:pPr>
      <w:r w:rsidRPr="00896BC7">
        <w:lastRenderedPageBreak/>
        <w:tab/>
      </w:r>
      <w:r w:rsidRPr="00896BC7">
        <w:tab/>
        <w:t>5.</w:t>
      </w:r>
      <w:r w:rsidRPr="00896BC7">
        <w:tab/>
      </w:r>
      <w:r w:rsidR="00C3027D" w:rsidRPr="00896BC7">
        <w:t xml:space="preserve">Cynthia Garner, customer review unit officer for PGW, appeared and testified on behalf of the Respondent.  </w:t>
      </w:r>
      <w:proofErr w:type="gramStart"/>
      <w:r w:rsidR="00C3027D" w:rsidRPr="00896BC7">
        <w:t>Tr. 12.</w:t>
      </w:r>
      <w:proofErr w:type="gramEnd"/>
    </w:p>
    <w:p w:rsidR="00C3027D" w:rsidRPr="00896BC7" w:rsidRDefault="00C3027D" w:rsidP="00291B61">
      <w:pPr>
        <w:jc w:val="left"/>
      </w:pPr>
    </w:p>
    <w:p w:rsidR="00C3027D" w:rsidRPr="00896BC7" w:rsidRDefault="00C3027D" w:rsidP="00291B61">
      <w:pPr>
        <w:jc w:val="left"/>
      </w:pPr>
      <w:r w:rsidRPr="00896BC7">
        <w:tab/>
      </w:r>
      <w:r w:rsidRPr="00896BC7">
        <w:tab/>
        <w:t>6.</w:t>
      </w:r>
      <w:r w:rsidRPr="00896BC7">
        <w:tab/>
        <w:t xml:space="preserve">PGW has consistently told Complainant that he would be overpaying if he were placed on CRP instead of budget billing.  </w:t>
      </w:r>
      <w:proofErr w:type="gramStart"/>
      <w:r w:rsidRPr="00896BC7">
        <w:t>Tr. 13.</w:t>
      </w:r>
      <w:proofErr w:type="gramEnd"/>
    </w:p>
    <w:p w:rsidR="00C3027D" w:rsidRPr="00896BC7" w:rsidRDefault="00C3027D" w:rsidP="00291B61">
      <w:pPr>
        <w:jc w:val="left"/>
      </w:pPr>
    </w:p>
    <w:p w:rsidR="00C3027D" w:rsidRPr="00896BC7" w:rsidRDefault="00C3027D" w:rsidP="00291B61">
      <w:pPr>
        <w:jc w:val="left"/>
      </w:pPr>
      <w:r w:rsidRPr="00896BC7">
        <w:tab/>
      </w:r>
      <w:r w:rsidRPr="00896BC7">
        <w:tab/>
        <w:t>7.</w:t>
      </w:r>
      <w:r w:rsidRPr="00896BC7">
        <w:tab/>
        <w:t xml:space="preserve">PGW Exhibit 1 is the Specific Service Agreement Statement of Account.  </w:t>
      </w:r>
      <w:proofErr w:type="gramStart"/>
      <w:r w:rsidRPr="00896BC7">
        <w:t>Tr. 17.</w:t>
      </w:r>
      <w:proofErr w:type="gramEnd"/>
    </w:p>
    <w:p w:rsidR="00C3027D" w:rsidRPr="00896BC7" w:rsidRDefault="00C3027D" w:rsidP="00291B61">
      <w:pPr>
        <w:jc w:val="left"/>
      </w:pPr>
    </w:p>
    <w:p w:rsidR="00C3027D" w:rsidRPr="00896BC7" w:rsidRDefault="00C3027D" w:rsidP="00291B61">
      <w:pPr>
        <w:jc w:val="left"/>
      </w:pPr>
      <w:r w:rsidRPr="00896BC7">
        <w:tab/>
      </w:r>
      <w:r w:rsidRPr="00896BC7">
        <w:tab/>
        <w:t>8.</w:t>
      </w:r>
      <w:r w:rsidRPr="00896BC7">
        <w:tab/>
      </w:r>
      <w:r w:rsidR="00547203" w:rsidRPr="00896BC7">
        <w:t>PGW Exhibit 1 shows financial activity, billing, payments, readings obtained from the meter reading device, the number of days during the billing cycle, the usage, and heating degree days.  Tr. 18-19.</w:t>
      </w:r>
    </w:p>
    <w:p w:rsidR="00547203" w:rsidRPr="00896BC7" w:rsidRDefault="00547203" w:rsidP="00291B61">
      <w:pPr>
        <w:jc w:val="left"/>
      </w:pPr>
    </w:p>
    <w:p w:rsidR="00547203" w:rsidRPr="00896BC7" w:rsidRDefault="00547203" w:rsidP="00291B61">
      <w:pPr>
        <w:jc w:val="left"/>
      </w:pPr>
      <w:r w:rsidRPr="00896BC7">
        <w:tab/>
      </w:r>
      <w:r w:rsidRPr="00896BC7">
        <w:tab/>
        <w:t>9.</w:t>
      </w:r>
      <w:r w:rsidRPr="00896BC7">
        <w:tab/>
        <w:t>As of December</w:t>
      </w:r>
      <w:r w:rsidR="00252315">
        <w:t>,</w:t>
      </w:r>
      <w:r w:rsidRPr="00896BC7">
        <w:t xml:space="preserve"> 2012, Complainant was in the </w:t>
      </w:r>
      <w:r w:rsidR="00DF1CCA" w:rsidRPr="00896BC7">
        <w:t>E</w:t>
      </w:r>
      <w:r w:rsidRPr="00896BC7">
        <w:t xml:space="preserve">asy </w:t>
      </w:r>
      <w:r w:rsidR="00DF1CCA" w:rsidRPr="00896BC7">
        <w:t>P</w:t>
      </w:r>
      <w:r w:rsidRPr="00896BC7">
        <w:t xml:space="preserve">ay </w:t>
      </w:r>
      <w:r w:rsidR="00DF1CCA" w:rsidRPr="00896BC7">
        <w:t xml:space="preserve">budget billing </w:t>
      </w:r>
      <w:r w:rsidR="00960DC9">
        <w:t xml:space="preserve">program.  </w:t>
      </w:r>
      <w:proofErr w:type="gramStart"/>
      <w:r w:rsidR="00960DC9">
        <w:t>Tr. 19</w:t>
      </w:r>
      <w:r w:rsidRPr="00896BC7">
        <w:t>.</w:t>
      </w:r>
      <w:proofErr w:type="gramEnd"/>
    </w:p>
    <w:p w:rsidR="00547203" w:rsidRPr="00896BC7" w:rsidRDefault="00547203" w:rsidP="00291B61">
      <w:pPr>
        <w:jc w:val="left"/>
      </w:pPr>
    </w:p>
    <w:p w:rsidR="00547203" w:rsidRPr="00896BC7" w:rsidRDefault="00547203" w:rsidP="00291B61">
      <w:pPr>
        <w:jc w:val="left"/>
      </w:pPr>
      <w:r w:rsidRPr="00896BC7">
        <w:tab/>
      </w:r>
      <w:r w:rsidRPr="00896BC7">
        <w:tab/>
        <w:t>10.</w:t>
      </w:r>
      <w:r w:rsidRPr="00896BC7">
        <w:tab/>
        <w:t xml:space="preserve">The terms of the </w:t>
      </w:r>
      <w:r w:rsidR="00CC7DD5" w:rsidRPr="00896BC7">
        <w:t>E</w:t>
      </w:r>
      <w:r w:rsidRPr="00896BC7">
        <w:t xml:space="preserve">asy </w:t>
      </w:r>
      <w:r w:rsidR="00CC7DD5" w:rsidRPr="00896BC7">
        <w:t>P</w:t>
      </w:r>
      <w:r w:rsidRPr="00896BC7">
        <w:t xml:space="preserve">ay agreement </w:t>
      </w:r>
      <w:r w:rsidR="002313FE" w:rsidRPr="00896BC7">
        <w:t>required Complainant</w:t>
      </w:r>
      <w:r w:rsidRPr="00896BC7">
        <w:t xml:space="preserve"> to pay $71.00 each cycle.  </w:t>
      </w:r>
      <w:proofErr w:type="gramStart"/>
      <w:r w:rsidRPr="00896BC7">
        <w:t>Tr. 20.</w:t>
      </w:r>
      <w:proofErr w:type="gramEnd"/>
    </w:p>
    <w:p w:rsidR="00547203" w:rsidRPr="00896BC7" w:rsidRDefault="00547203" w:rsidP="00291B61">
      <w:pPr>
        <w:jc w:val="left"/>
      </w:pPr>
    </w:p>
    <w:p w:rsidR="00547203" w:rsidRPr="00896BC7" w:rsidRDefault="00547203" w:rsidP="00291B61">
      <w:pPr>
        <w:jc w:val="left"/>
      </w:pPr>
      <w:r w:rsidRPr="00896BC7">
        <w:tab/>
      </w:r>
      <w:r w:rsidRPr="00896BC7">
        <w:tab/>
        <w:t>11.</w:t>
      </w:r>
      <w:r w:rsidRPr="00896BC7">
        <w:tab/>
        <w:t xml:space="preserve">Because the </w:t>
      </w:r>
      <w:r w:rsidR="002313FE" w:rsidRPr="00896BC7">
        <w:t xml:space="preserve">household </w:t>
      </w:r>
      <w:r w:rsidRPr="00896BC7">
        <w:t xml:space="preserve">usage exceeded the </w:t>
      </w:r>
      <w:r w:rsidR="002313FE" w:rsidRPr="00896BC7">
        <w:t xml:space="preserve">budget </w:t>
      </w:r>
      <w:r w:rsidRPr="00896BC7">
        <w:t>payment, an arrearage of $51</w:t>
      </w:r>
      <w:r w:rsidR="00CC7DD5" w:rsidRPr="00896BC7">
        <w:t>9</w:t>
      </w:r>
      <w:r w:rsidRPr="00896BC7">
        <w:t>.</w:t>
      </w:r>
      <w:r w:rsidR="00CC7DD5" w:rsidRPr="00896BC7">
        <w:t>80</w:t>
      </w:r>
      <w:r w:rsidRPr="00896BC7">
        <w:t xml:space="preserve"> accrued by </w:t>
      </w:r>
      <w:r w:rsidR="00CC7DD5" w:rsidRPr="00896BC7">
        <w:t>May 30</w:t>
      </w:r>
      <w:r w:rsidRPr="00896BC7">
        <w:t xml:space="preserve">, 2013.  </w:t>
      </w:r>
      <w:proofErr w:type="gramStart"/>
      <w:r w:rsidRPr="00896BC7">
        <w:t>Tr. 20.</w:t>
      </w:r>
      <w:proofErr w:type="gramEnd"/>
    </w:p>
    <w:p w:rsidR="00547203" w:rsidRPr="00896BC7" w:rsidRDefault="00547203" w:rsidP="00291B61">
      <w:pPr>
        <w:jc w:val="left"/>
      </w:pPr>
    </w:p>
    <w:p w:rsidR="00547203" w:rsidRPr="00896BC7" w:rsidRDefault="00547203" w:rsidP="00291B61">
      <w:pPr>
        <w:jc w:val="left"/>
      </w:pPr>
      <w:r w:rsidRPr="00896BC7">
        <w:tab/>
      </w:r>
      <w:r w:rsidRPr="00896BC7">
        <w:tab/>
        <w:t>12.</w:t>
      </w:r>
      <w:r w:rsidRPr="00896BC7">
        <w:tab/>
        <w:t>Enrollment in CRP would freeze the account balance, and with each c</w:t>
      </w:r>
      <w:r w:rsidR="00F04C46">
        <w:t>ycle's timely payment, 1/36th</w:t>
      </w:r>
      <w:r w:rsidRPr="00896BC7">
        <w:t xml:space="preserve"> of the arrearage would be forgiven.  </w:t>
      </w:r>
      <w:proofErr w:type="gramStart"/>
      <w:r w:rsidRPr="00896BC7">
        <w:t>Tr. 20.</w:t>
      </w:r>
      <w:proofErr w:type="gramEnd"/>
    </w:p>
    <w:p w:rsidR="00547203" w:rsidRPr="00896BC7" w:rsidRDefault="00547203" w:rsidP="00291B61">
      <w:pPr>
        <w:jc w:val="left"/>
      </w:pPr>
    </w:p>
    <w:p w:rsidR="00547203" w:rsidRPr="00896BC7" w:rsidRDefault="00547203" w:rsidP="00291B61">
      <w:pPr>
        <w:jc w:val="left"/>
      </w:pPr>
      <w:r w:rsidRPr="00896BC7">
        <w:tab/>
      </w:r>
      <w:r w:rsidRPr="00896BC7">
        <w:tab/>
        <w:t>13.</w:t>
      </w:r>
      <w:r w:rsidRPr="00896BC7">
        <w:tab/>
        <w:t>The CRP payment would be $170</w:t>
      </w:r>
      <w:r w:rsidR="00DF1CCA" w:rsidRPr="00896BC7">
        <w:t>.00 per billing cycle, and the E</w:t>
      </w:r>
      <w:r w:rsidRPr="00896BC7">
        <w:t xml:space="preserve">asy </w:t>
      </w:r>
      <w:r w:rsidR="00DF1CCA" w:rsidRPr="00896BC7">
        <w:t>P</w:t>
      </w:r>
      <w:r w:rsidRPr="00896BC7">
        <w:t xml:space="preserve">ay budget billing </w:t>
      </w:r>
      <w:r w:rsidR="00DF1CCA" w:rsidRPr="00896BC7">
        <w:t xml:space="preserve">payment </w:t>
      </w:r>
      <w:r w:rsidRPr="00896BC7">
        <w:t xml:space="preserve">was $71.00.  </w:t>
      </w:r>
      <w:proofErr w:type="gramStart"/>
      <w:r w:rsidRPr="00896BC7">
        <w:t>Tr. 21.</w:t>
      </w:r>
      <w:proofErr w:type="gramEnd"/>
    </w:p>
    <w:p w:rsidR="00547203" w:rsidRPr="00896BC7" w:rsidRDefault="00547203" w:rsidP="00291B61">
      <w:pPr>
        <w:jc w:val="left"/>
      </w:pPr>
    </w:p>
    <w:p w:rsidR="00547203" w:rsidRPr="00896BC7" w:rsidRDefault="00547203" w:rsidP="00291B61">
      <w:pPr>
        <w:jc w:val="left"/>
      </w:pPr>
      <w:r w:rsidRPr="00896BC7">
        <w:tab/>
      </w:r>
      <w:r w:rsidRPr="00896BC7">
        <w:tab/>
        <w:t>14.</w:t>
      </w:r>
      <w:r w:rsidRPr="00896BC7">
        <w:tab/>
        <w:t xml:space="preserve">PGW Exhibit 2 is the </w:t>
      </w:r>
      <w:r w:rsidR="00DF1CCA" w:rsidRPr="00896BC7">
        <w:t>Easy W</w:t>
      </w:r>
      <w:r w:rsidRPr="00896BC7">
        <w:t xml:space="preserve">ay </w:t>
      </w:r>
      <w:r w:rsidR="00DF1CCA" w:rsidRPr="00896BC7">
        <w:t>B</w:t>
      </w:r>
      <w:r w:rsidR="00F744BF">
        <w:t xml:space="preserve">udget billing arrangement.  </w:t>
      </w:r>
      <w:proofErr w:type="gramStart"/>
      <w:r w:rsidRPr="00896BC7">
        <w:t>Tr. 21.</w:t>
      </w:r>
      <w:proofErr w:type="gramEnd"/>
    </w:p>
    <w:p w:rsidR="00547203" w:rsidRPr="00896BC7" w:rsidRDefault="00547203" w:rsidP="00291B61">
      <w:pPr>
        <w:jc w:val="left"/>
      </w:pPr>
    </w:p>
    <w:p w:rsidR="00547203" w:rsidRPr="00896BC7" w:rsidRDefault="00547203" w:rsidP="00291B61">
      <w:pPr>
        <w:jc w:val="left"/>
      </w:pPr>
      <w:r w:rsidRPr="00896BC7">
        <w:lastRenderedPageBreak/>
        <w:tab/>
      </w:r>
      <w:r w:rsidRPr="00896BC7">
        <w:tab/>
        <w:t>15.</w:t>
      </w:r>
      <w:r w:rsidRPr="00896BC7">
        <w:tab/>
        <w:t>Budget billing is figured by adding twelve consecutive mon</w:t>
      </w:r>
      <w:r w:rsidR="00E77D08" w:rsidRPr="00896BC7">
        <w:t xml:space="preserve">ths of usage and dividing by 12.  </w:t>
      </w:r>
      <w:proofErr w:type="gramStart"/>
      <w:r w:rsidR="00E77D08" w:rsidRPr="00896BC7">
        <w:t>Tr. 22</w:t>
      </w:r>
      <w:r w:rsidR="00F04C46">
        <w:t>; 32</w:t>
      </w:r>
      <w:r w:rsidR="00E77D08" w:rsidRPr="00896BC7">
        <w:t>.</w:t>
      </w:r>
      <w:proofErr w:type="gramEnd"/>
    </w:p>
    <w:p w:rsidR="00E77D08" w:rsidRPr="00896BC7" w:rsidRDefault="00E77D08" w:rsidP="00291B61">
      <w:pPr>
        <w:jc w:val="left"/>
      </w:pPr>
    </w:p>
    <w:p w:rsidR="00E77D08" w:rsidRPr="00896BC7" w:rsidRDefault="00E77D08" w:rsidP="00291B61">
      <w:pPr>
        <w:jc w:val="left"/>
      </w:pPr>
      <w:r w:rsidRPr="00896BC7">
        <w:tab/>
      </w:r>
      <w:r w:rsidRPr="00896BC7">
        <w:tab/>
        <w:t>16.</w:t>
      </w:r>
      <w:r w:rsidRPr="00896BC7">
        <w:tab/>
        <w:t xml:space="preserve">PGW Exhibit 3 is the customer contacts report for the Complainant's account.  </w:t>
      </w:r>
      <w:proofErr w:type="gramStart"/>
      <w:r w:rsidRPr="00896BC7">
        <w:t>Tr. 22.</w:t>
      </w:r>
      <w:proofErr w:type="gramEnd"/>
    </w:p>
    <w:p w:rsidR="00E77D08" w:rsidRPr="00896BC7" w:rsidRDefault="00E77D08" w:rsidP="00291B61">
      <w:pPr>
        <w:jc w:val="left"/>
      </w:pPr>
    </w:p>
    <w:p w:rsidR="00E77D08" w:rsidRPr="00896BC7" w:rsidRDefault="00E77D08" w:rsidP="00291B61">
      <w:pPr>
        <w:jc w:val="left"/>
      </w:pPr>
      <w:r w:rsidRPr="00896BC7">
        <w:tab/>
      </w:r>
      <w:r w:rsidRPr="00896BC7">
        <w:tab/>
        <w:t>17.</w:t>
      </w:r>
      <w:r w:rsidRPr="00896BC7">
        <w:tab/>
        <w:t xml:space="preserve">PGW Exhibit 3 shows that on May 11, 2010, Complainant appeared at a PGW office and was told that a CRP agreement would be $165 per month versus a $56.00 budget amount.  </w:t>
      </w:r>
      <w:proofErr w:type="gramStart"/>
      <w:r w:rsidRPr="00896BC7">
        <w:t>Tr. 23.</w:t>
      </w:r>
      <w:proofErr w:type="gramEnd"/>
    </w:p>
    <w:p w:rsidR="00E77D08" w:rsidRPr="00896BC7" w:rsidRDefault="00E77D08" w:rsidP="00291B61">
      <w:pPr>
        <w:jc w:val="left"/>
      </w:pPr>
    </w:p>
    <w:p w:rsidR="00E77D08" w:rsidRPr="00896BC7" w:rsidRDefault="00E77D08" w:rsidP="00291B61">
      <w:pPr>
        <w:jc w:val="left"/>
      </w:pPr>
      <w:r w:rsidRPr="00896BC7">
        <w:tab/>
      </w:r>
      <w:r w:rsidRPr="00896BC7">
        <w:tab/>
        <w:t>18.</w:t>
      </w:r>
      <w:r w:rsidRPr="00896BC7">
        <w:tab/>
        <w:t xml:space="preserve">PGW Exhibit 3 shows that on March 8, 2011, Complainant appeared at a PGW office to enroll in CRP with a monthly income of $1,716.51 and three members in his </w:t>
      </w:r>
      <w:r w:rsidR="001256FA" w:rsidRPr="00896BC7">
        <w:t>h</w:t>
      </w:r>
      <w:r w:rsidRPr="00896BC7">
        <w:t xml:space="preserve">ousehold.  </w:t>
      </w:r>
      <w:proofErr w:type="gramStart"/>
      <w:r w:rsidRPr="00896BC7">
        <w:t>Tr. 24.</w:t>
      </w:r>
      <w:proofErr w:type="gramEnd"/>
    </w:p>
    <w:p w:rsidR="00E77D08" w:rsidRPr="00896BC7" w:rsidRDefault="00E77D08" w:rsidP="00291B61">
      <w:pPr>
        <w:jc w:val="left"/>
      </w:pPr>
    </w:p>
    <w:p w:rsidR="00E77D08" w:rsidRPr="00896BC7" w:rsidRDefault="00E77D08" w:rsidP="00291B61">
      <w:pPr>
        <w:jc w:val="left"/>
      </w:pPr>
      <w:r w:rsidRPr="00896BC7">
        <w:tab/>
      </w:r>
      <w:r w:rsidRPr="00896BC7">
        <w:tab/>
        <w:t>19.</w:t>
      </w:r>
      <w:r w:rsidRPr="00896BC7">
        <w:tab/>
        <w:t xml:space="preserve">PGW received a PUC informal complaint filed by Complainant on </w:t>
      </w:r>
    </w:p>
    <w:p w:rsidR="00E77D08" w:rsidRPr="00896BC7" w:rsidRDefault="00E77D08" w:rsidP="00291B61">
      <w:pPr>
        <w:jc w:val="left"/>
      </w:pPr>
      <w:r w:rsidRPr="00896BC7">
        <w:t xml:space="preserve">March 8, 2011.  </w:t>
      </w:r>
      <w:proofErr w:type="gramStart"/>
      <w:r w:rsidRPr="00896BC7">
        <w:t>Tr. 24; PGW Exhibit 3.</w:t>
      </w:r>
      <w:proofErr w:type="gramEnd"/>
    </w:p>
    <w:p w:rsidR="00E77D08" w:rsidRPr="00896BC7" w:rsidRDefault="00E77D08" w:rsidP="00291B61">
      <w:pPr>
        <w:jc w:val="left"/>
      </w:pPr>
    </w:p>
    <w:p w:rsidR="00DF1CCA" w:rsidRPr="00896BC7" w:rsidRDefault="00E77D08" w:rsidP="00291B61">
      <w:pPr>
        <w:jc w:val="left"/>
      </w:pPr>
      <w:r w:rsidRPr="00896BC7">
        <w:tab/>
      </w:r>
      <w:r w:rsidRPr="00896BC7">
        <w:tab/>
        <w:t>20.</w:t>
      </w:r>
      <w:r w:rsidRPr="00896BC7">
        <w:tab/>
      </w:r>
      <w:r w:rsidR="00DF1CCA" w:rsidRPr="00896BC7">
        <w:t>The PUC informal complaint did not result in a payment agreement.</w:t>
      </w:r>
    </w:p>
    <w:p w:rsidR="00DF1CCA" w:rsidRPr="00896BC7" w:rsidRDefault="00DF1CCA" w:rsidP="00291B61">
      <w:pPr>
        <w:jc w:val="left"/>
      </w:pPr>
    </w:p>
    <w:p w:rsidR="00E77D08" w:rsidRPr="00896BC7" w:rsidRDefault="00DF1CCA" w:rsidP="00291B61">
      <w:pPr>
        <w:jc w:val="left"/>
      </w:pPr>
      <w:r w:rsidRPr="00896BC7">
        <w:tab/>
      </w:r>
      <w:r w:rsidRPr="00896BC7">
        <w:tab/>
        <w:t>21.</w:t>
      </w:r>
      <w:r w:rsidRPr="00896BC7">
        <w:tab/>
      </w:r>
      <w:r w:rsidR="00E77D08" w:rsidRPr="00896BC7">
        <w:t>PGW's customer review officer removed Complainant from CRP because the CRP amount would have been $176.65 versus a $56.00 budget agreemen</w:t>
      </w:r>
      <w:r w:rsidR="001256FA" w:rsidRPr="00896BC7">
        <w:t>t on March 9, 2011</w:t>
      </w:r>
      <w:r w:rsidR="00E77D08" w:rsidRPr="00896BC7">
        <w:t>.  Tr. 24-25.</w:t>
      </w:r>
    </w:p>
    <w:p w:rsidR="00E77D08" w:rsidRPr="00896BC7" w:rsidRDefault="00E77D08" w:rsidP="00291B61">
      <w:pPr>
        <w:jc w:val="left"/>
      </w:pPr>
    </w:p>
    <w:p w:rsidR="00E77D08" w:rsidRPr="00896BC7" w:rsidRDefault="00E77D08" w:rsidP="00291B61">
      <w:pPr>
        <w:jc w:val="left"/>
      </w:pPr>
      <w:r w:rsidRPr="00896BC7">
        <w:tab/>
      </w:r>
      <w:r w:rsidRPr="00896BC7">
        <w:tab/>
        <w:t>2</w:t>
      </w:r>
      <w:r w:rsidR="00DF1CCA" w:rsidRPr="00896BC7">
        <w:t>2</w:t>
      </w:r>
      <w:r w:rsidRPr="00896BC7">
        <w:t>.</w:t>
      </w:r>
      <w:r w:rsidRPr="00896BC7">
        <w:tab/>
        <w:t>On August 3, 2012, Complainant appeared at a PGW office to apply for CRP, with a mont</w:t>
      </w:r>
      <w:r w:rsidR="001256FA" w:rsidRPr="00896BC7">
        <w:t>h</w:t>
      </w:r>
      <w:r w:rsidRPr="00896BC7">
        <w:t xml:space="preserve">ly income of $1,816.00 and three members in his household.  </w:t>
      </w:r>
      <w:proofErr w:type="gramStart"/>
      <w:r w:rsidRPr="00896BC7">
        <w:t>Tr. 26.</w:t>
      </w:r>
      <w:proofErr w:type="gramEnd"/>
    </w:p>
    <w:p w:rsidR="001256FA" w:rsidRPr="00896BC7" w:rsidRDefault="001256FA" w:rsidP="00291B61">
      <w:pPr>
        <w:jc w:val="left"/>
      </w:pPr>
    </w:p>
    <w:p w:rsidR="001256FA" w:rsidRPr="00896BC7" w:rsidRDefault="001256FA" w:rsidP="00291B61">
      <w:pPr>
        <w:jc w:val="left"/>
      </w:pPr>
      <w:r w:rsidRPr="00896BC7">
        <w:tab/>
      </w:r>
      <w:r w:rsidRPr="00896BC7">
        <w:tab/>
        <w:t>2</w:t>
      </w:r>
      <w:r w:rsidR="00DF1CCA" w:rsidRPr="00896BC7">
        <w:t>3</w:t>
      </w:r>
      <w:r w:rsidRPr="00896BC7">
        <w:t>.</w:t>
      </w:r>
      <w:r w:rsidRPr="00896BC7">
        <w:tab/>
        <w:t xml:space="preserve">Complainant was not placed on CRP on August 3, 2012, because his monthly payments would have been $181.60.  </w:t>
      </w:r>
      <w:proofErr w:type="gramStart"/>
      <w:r w:rsidRPr="00896BC7">
        <w:t>Tr. 26.</w:t>
      </w:r>
      <w:proofErr w:type="gramEnd"/>
    </w:p>
    <w:p w:rsidR="001256FA" w:rsidRPr="00896BC7" w:rsidRDefault="001256FA" w:rsidP="00291B61">
      <w:pPr>
        <w:jc w:val="left"/>
      </w:pPr>
    </w:p>
    <w:p w:rsidR="001256FA" w:rsidRPr="00896BC7" w:rsidRDefault="001256FA" w:rsidP="00291B61">
      <w:pPr>
        <w:jc w:val="left"/>
      </w:pPr>
      <w:r w:rsidRPr="00896BC7">
        <w:tab/>
      </w:r>
      <w:r w:rsidRPr="00896BC7">
        <w:tab/>
        <w:t>2</w:t>
      </w:r>
      <w:r w:rsidR="00DF1CCA" w:rsidRPr="00896BC7">
        <w:t>4</w:t>
      </w:r>
      <w:r w:rsidR="00E77D08" w:rsidRPr="00896BC7">
        <w:t>.</w:t>
      </w:r>
      <w:r w:rsidR="00E77D08" w:rsidRPr="00896BC7">
        <w:tab/>
      </w:r>
      <w:r w:rsidRPr="00896BC7">
        <w:t xml:space="preserve">On November 9, 2012, Complainant appeared at a PGW office to apply for CRP with an income of $1,156.00 monthly, and three occupants in his household.  </w:t>
      </w:r>
      <w:proofErr w:type="gramStart"/>
      <w:r w:rsidRPr="00896BC7">
        <w:t>Tr. 26.</w:t>
      </w:r>
      <w:proofErr w:type="gramEnd"/>
    </w:p>
    <w:p w:rsidR="001256FA" w:rsidRPr="00896BC7" w:rsidRDefault="001256FA" w:rsidP="00291B61">
      <w:pPr>
        <w:jc w:val="left"/>
      </w:pPr>
    </w:p>
    <w:p w:rsidR="001256FA" w:rsidRPr="00896BC7" w:rsidRDefault="001256FA" w:rsidP="00291B61">
      <w:pPr>
        <w:jc w:val="left"/>
      </w:pPr>
      <w:r w:rsidRPr="00896BC7">
        <w:tab/>
      </w:r>
      <w:r w:rsidRPr="00896BC7">
        <w:tab/>
        <w:t>2</w:t>
      </w:r>
      <w:r w:rsidR="00DF1CCA" w:rsidRPr="00896BC7">
        <w:t>5</w:t>
      </w:r>
      <w:r w:rsidRPr="00896BC7">
        <w:t>.</w:t>
      </w:r>
      <w:r w:rsidRPr="00896BC7">
        <w:tab/>
        <w:t xml:space="preserve">On November 9, 2012, Complainant's monthly CRP payment would have been $104.00.  </w:t>
      </w:r>
      <w:proofErr w:type="gramStart"/>
      <w:r w:rsidRPr="00896BC7">
        <w:t>Tr. 26.</w:t>
      </w:r>
      <w:proofErr w:type="gramEnd"/>
    </w:p>
    <w:p w:rsidR="001256FA" w:rsidRPr="00896BC7" w:rsidRDefault="001256FA" w:rsidP="00291B61">
      <w:pPr>
        <w:jc w:val="left"/>
      </w:pPr>
    </w:p>
    <w:p w:rsidR="001256FA" w:rsidRPr="00896BC7" w:rsidRDefault="001256FA" w:rsidP="00291B61">
      <w:pPr>
        <w:jc w:val="left"/>
      </w:pPr>
      <w:r w:rsidRPr="00896BC7">
        <w:tab/>
      </w:r>
      <w:r w:rsidRPr="00896BC7">
        <w:tab/>
        <w:t>2</w:t>
      </w:r>
      <w:r w:rsidR="00DF1CCA" w:rsidRPr="00896BC7">
        <w:t>6</w:t>
      </w:r>
      <w:r w:rsidRPr="00896BC7">
        <w:t>.</w:t>
      </w:r>
      <w:r w:rsidRPr="00896BC7">
        <w:tab/>
        <w:t>On December 24, 2012, Complainant contacted PGW and was placed on the Easy Way Budget</w:t>
      </w:r>
      <w:r w:rsidR="008272EB" w:rsidRPr="00896BC7">
        <w:t xml:space="preserve"> billing program</w:t>
      </w:r>
      <w:r w:rsidRPr="00896BC7">
        <w:t xml:space="preserve">, which was $71.00 per month.  </w:t>
      </w:r>
      <w:proofErr w:type="gramStart"/>
      <w:r w:rsidRPr="00896BC7">
        <w:t>Tr. 26.</w:t>
      </w:r>
      <w:proofErr w:type="gramEnd"/>
    </w:p>
    <w:p w:rsidR="001256FA" w:rsidRPr="00896BC7" w:rsidRDefault="001256FA" w:rsidP="00291B61">
      <w:pPr>
        <w:jc w:val="left"/>
      </w:pPr>
    </w:p>
    <w:p w:rsidR="008272EB" w:rsidRPr="00896BC7" w:rsidRDefault="001256FA" w:rsidP="00291B61">
      <w:pPr>
        <w:jc w:val="left"/>
      </w:pPr>
      <w:r w:rsidRPr="00896BC7">
        <w:tab/>
      </w:r>
      <w:r w:rsidRPr="00896BC7">
        <w:tab/>
        <w:t>2</w:t>
      </w:r>
      <w:r w:rsidR="00DF1CCA" w:rsidRPr="00896BC7">
        <w:t>7</w:t>
      </w:r>
      <w:r w:rsidRPr="00896BC7">
        <w:t>.</w:t>
      </w:r>
      <w:r w:rsidRPr="00896BC7">
        <w:tab/>
        <w:t>On April 29, 2013, Complainant contacted PGW and asked if the budget billing could be lower than the $71.00 and</w:t>
      </w:r>
      <w:r w:rsidR="008272EB" w:rsidRPr="00896BC7">
        <w:t xml:space="preserve"> requested removal from the budget billing program.  </w:t>
      </w:r>
      <w:proofErr w:type="gramStart"/>
      <w:r w:rsidR="008272EB" w:rsidRPr="00896BC7">
        <w:t>Tr. 27.</w:t>
      </w:r>
      <w:proofErr w:type="gramEnd"/>
    </w:p>
    <w:p w:rsidR="008272EB" w:rsidRPr="00896BC7" w:rsidRDefault="008272EB" w:rsidP="002E43C0">
      <w:pPr>
        <w:jc w:val="left"/>
      </w:pPr>
    </w:p>
    <w:p w:rsidR="001256FA" w:rsidRPr="00896BC7" w:rsidRDefault="008272EB" w:rsidP="00291B61">
      <w:pPr>
        <w:jc w:val="left"/>
      </w:pPr>
      <w:r w:rsidRPr="00896BC7">
        <w:tab/>
      </w:r>
      <w:r w:rsidRPr="00896BC7">
        <w:tab/>
        <w:t>28.</w:t>
      </w:r>
      <w:r w:rsidRPr="00896BC7">
        <w:tab/>
        <w:t>Upon his removal from the budget billing program, Complainant</w:t>
      </w:r>
      <w:r w:rsidR="001256FA" w:rsidRPr="00896BC7">
        <w:t xml:space="preserve"> was informed by the PGW customer service representative that he would have to pay the full account balance.  </w:t>
      </w:r>
      <w:proofErr w:type="gramStart"/>
      <w:r w:rsidR="001256FA" w:rsidRPr="00896BC7">
        <w:t>Tr. 27.</w:t>
      </w:r>
      <w:proofErr w:type="gramEnd"/>
    </w:p>
    <w:p w:rsidR="001256FA" w:rsidRPr="00896BC7" w:rsidRDefault="001256FA" w:rsidP="00291B61">
      <w:pPr>
        <w:jc w:val="left"/>
      </w:pPr>
    </w:p>
    <w:p w:rsidR="001256FA" w:rsidRPr="00896BC7" w:rsidRDefault="001256FA" w:rsidP="00291B61">
      <w:pPr>
        <w:jc w:val="left"/>
      </w:pPr>
      <w:r w:rsidRPr="00896BC7">
        <w:tab/>
      </w:r>
      <w:r w:rsidRPr="00896BC7">
        <w:tab/>
        <w:t>2</w:t>
      </w:r>
      <w:r w:rsidR="008272EB" w:rsidRPr="00896BC7">
        <w:t>9</w:t>
      </w:r>
      <w:r w:rsidRPr="00896BC7">
        <w:t>.</w:t>
      </w:r>
      <w:r w:rsidRPr="00896BC7">
        <w:tab/>
        <w:t>PGW received the informal compla</w:t>
      </w:r>
      <w:r w:rsidR="002E43C0">
        <w:t>int filed by Complainant on May 3, </w:t>
      </w:r>
      <w:r w:rsidRPr="00896BC7">
        <w:t xml:space="preserve">2013.  </w:t>
      </w:r>
      <w:proofErr w:type="gramStart"/>
      <w:r w:rsidRPr="00896BC7">
        <w:t>Tr. 27.</w:t>
      </w:r>
      <w:proofErr w:type="gramEnd"/>
    </w:p>
    <w:p w:rsidR="001256FA" w:rsidRPr="00896BC7" w:rsidRDefault="001256FA" w:rsidP="00291B61">
      <w:pPr>
        <w:jc w:val="left"/>
      </w:pPr>
    </w:p>
    <w:p w:rsidR="001256FA" w:rsidRPr="00896BC7" w:rsidRDefault="001256FA" w:rsidP="00291B61">
      <w:pPr>
        <w:jc w:val="left"/>
      </w:pPr>
      <w:r w:rsidRPr="00896BC7">
        <w:tab/>
      </w:r>
      <w:r w:rsidRPr="00896BC7">
        <w:tab/>
      </w:r>
      <w:r w:rsidR="008272EB" w:rsidRPr="00896BC7">
        <w:t>30</w:t>
      </w:r>
      <w:r w:rsidRPr="00896BC7">
        <w:t>.</w:t>
      </w:r>
      <w:r w:rsidRPr="00896BC7">
        <w:tab/>
        <w:t>PGW sent its report back to the Commission's Bureau of Consumer Services</w:t>
      </w:r>
      <w:r w:rsidR="00BE2D3D" w:rsidRPr="00896BC7">
        <w:t xml:space="preserve"> (BCS)</w:t>
      </w:r>
      <w:r w:rsidRPr="00896BC7">
        <w:t xml:space="preserve"> on May 4, 2013.  </w:t>
      </w:r>
      <w:proofErr w:type="gramStart"/>
      <w:r w:rsidRPr="00896BC7">
        <w:t>Tr. 27.</w:t>
      </w:r>
      <w:proofErr w:type="gramEnd"/>
    </w:p>
    <w:p w:rsidR="001256FA" w:rsidRPr="00896BC7" w:rsidRDefault="001256FA" w:rsidP="00291B61">
      <w:pPr>
        <w:jc w:val="left"/>
      </w:pPr>
    </w:p>
    <w:p w:rsidR="00990934" w:rsidRPr="00896BC7" w:rsidRDefault="001256FA" w:rsidP="00291B61">
      <w:pPr>
        <w:jc w:val="left"/>
      </w:pPr>
      <w:r w:rsidRPr="00896BC7">
        <w:tab/>
      </w:r>
      <w:r w:rsidRPr="00896BC7">
        <w:tab/>
      </w:r>
      <w:r w:rsidR="00DF1CCA" w:rsidRPr="00896BC7">
        <w:t>3</w:t>
      </w:r>
      <w:r w:rsidR="008272EB" w:rsidRPr="00896BC7">
        <w:t>1</w:t>
      </w:r>
      <w:r w:rsidRPr="00896BC7">
        <w:t>.</w:t>
      </w:r>
      <w:r w:rsidRPr="00896BC7">
        <w:tab/>
      </w:r>
      <w:r w:rsidR="00990934" w:rsidRPr="00896BC7">
        <w:t xml:space="preserve">PGW Exhibit 3 shows that Complainant's household had an income of $1,790.00 monthly for five occupants.  </w:t>
      </w:r>
      <w:proofErr w:type="gramStart"/>
      <w:r w:rsidR="00990934" w:rsidRPr="00896BC7">
        <w:t>Tr. 27.</w:t>
      </w:r>
      <w:proofErr w:type="gramEnd"/>
    </w:p>
    <w:p w:rsidR="00990934" w:rsidRPr="00896BC7" w:rsidRDefault="00990934" w:rsidP="00291B61">
      <w:pPr>
        <w:jc w:val="left"/>
      </w:pPr>
    </w:p>
    <w:p w:rsidR="00BE2D3D" w:rsidRPr="00896BC7" w:rsidRDefault="00990934" w:rsidP="00291B61">
      <w:pPr>
        <w:jc w:val="left"/>
      </w:pPr>
      <w:r w:rsidRPr="00896BC7">
        <w:tab/>
      </w:r>
      <w:r w:rsidRPr="00896BC7">
        <w:tab/>
        <w:t>3</w:t>
      </w:r>
      <w:r w:rsidR="008272EB" w:rsidRPr="00896BC7">
        <w:t>2</w:t>
      </w:r>
      <w:r w:rsidRPr="00896BC7">
        <w:t>.</w:t>
      </w:r>
      <w:r w:rsidRPr="00896BC7">
        <w:tab/>
      </w:r>
      <w:r w:rsidR="00E77D08" w:rsidRPr="00896BC7">
        <w:t xml:space="preserve">PGW Exhibit 4 is </w:t>
      </w:r>
      <w:r w:rsidR="00BE2D3D" w:rsidRPr="00896BC7">
        <w:t xml:space="preserve">a decision from the Commission's BCS.  </w:t>
      </w:r>
      <w:proofErr w:type="gramStart"/>
      <w:r w:rsidR="00BE2D3D" w:rsidRPr="00896BC7">
        <w:t>Tr. 30.</w:t>
      </w:r>
      <w:proofErr w:type="gramEnd"/>
    </w:p>
    <w:p w:rsidR="00BE2D3D" w:rsidRPr="00896BC7" w:rsidRDefault="00BE2D3D" w:rsidP="00291B61">
      <w:pPr>
        <w:jc w:val="left"/>
      </w:pPr>
    </w:p>
    <w:p w:rsidR="00BE2D3D" w:rsidRPr="00896BC7" w:rsidRDefault="00BE2D3D" w:rsidP="00291B61">
      <w:pPr>
        <w:jc w:val="left"/>
      </w:pPr>
      <w:r w:rsidRPr="00896BC7">
        <w:tab/>
      </w:r>
      <w:r w:rsidRPr="00896BC7">
        <w:tab/>
        <w:t>3</w:t>
      </w:r>
      <w:r w:rsidR="008272EB" w:rsidRPr="00896BC7">
        <w:t>3</w:t>
      </w:r>
      <w:r w:rsidRPr="00896BC7">
        <w:t>.</w:t>
      </w:r>
      <w:r w:rsidRPr="00896BC7">
        <w:tab/>
        <w:t xml:space="preserve">PGW is willing to continue with its present payment plan for Complainant based on the income guidelines versus requiring him to pay the entire account balance.  </w:t>
      </w:r>
      <w:proofErr w:type="gramStart"/>
      <w:r w:rsidRPr="00896BC7">
        <w:t>Tr. 30.</w:t>
      </w:r>
      <w:proofErr w:type="gramEnd"/>
    </w:p>
    <w:p w:rsidR="00BE2D3D" w:rsidRPr="00896BC7" w:rsidRDefault="00BE2D3D" w:rsidP="00291B61">
      <w:pPr>
        <w:jc w:val="left"/>
      </w:pPr>
    </w:p>
    <w:p w:rsidR="00E77D08" w:rsidRPr="00896BC7" w:rsidRDefault="00BE2D3D" w:rsidP="00291B61">
      <w:pPr>
        <w:jc w:val="left"/>
      </w:pPr>
      <w:r w:rsidRPr="00896BC7">
        <w:tab/>
      </w:r>
      <w:r w:rsidRPr="00896BC7">
        <w:tab/>
        <w:t>3</w:t>
      </w:r>
      <w:r w:rsidR="008272EB" w:rsidRPr="00896BC7">
        <w:t>4</w:t>
      </w:r>
      <w:r w:rsidRPr="00896BC7">
        <w:t>.</w:t>
      </w:r>
      <w:r w:rsidRPr="00896BC7">
        <w:tab/>
        <w:t>PGW's Customer Responsibility Program is based solely on income level, not usage, and assesses 8, 9, or 10% of the customer's i</w:t>
      </w:r>
      <w:r w:rsidR="00B47F55">
        <w:t xml:space="preserve">ncome or a minimum of $25.00.  </w:t>
      </w:r>
      <w:proofErr w:type="gramStart"/>
      <w:r w:rsidRPr="00896BC7">
        <w:t>Tr. 31.</w:t>
      </w:r>
      <w:proofErr w:type="gramEnd"/>
    </w:p>
    <w:p w:rsidR="00BE2D3D" w:rsidRPr="00896BC7" w:rsidRDefault="00BE2D3D" w:rsidP="00291B61">
      <w:pPr>
        <w:jc w:val="left"/>
      </w:pPr>
    </w:p>
    <w:p w:rsidR="008272EB" w:rsidRPr="00896BC7" w:rsidRDefault="00BE2D3D" w:rsidP="00291B61">
      <w:pPr>
        <w:jc w:val="left"/>
      </w:pPr>
      <w:r w:rsidRPr="00896BC7">
        <w:tab/>
      </w:r>
      <w:r w:rsidRPr="00896BC7">
        <w:tab/>
        <w:t>3</w:t>
      </w:r>
      <w:r w:rsidR="008272EB" w:rsidRPr="00896BC7">
        <w:t>5</w:t>
      </w:r>
      <w:r w:rsidRPr="00896BC7">
        <w:t>.</w:t>
      </w:r>
      <w:r w:rsidRPr="00896BC7">
        <w:tab/>
        <w:t xml:space="preserve">Complainant's usage is lower than what the CRP </w:t>
      </w:r>
      <w:r w:rsidR="008272EB" w:rsidRPr="00896BC7">
        <w:t>billed amount would cost.</w:t>
      </w:r>
    </w:p>
    <w:p w:rsidR="00CC7DD5" w:rsidRPr="00896BC7" w:rsidRDefault="00CC7DD5" w:rsidP="00291B61">
      <w:pPr>
        <w:jc w:val="left"/>
      </w:pPr>
    </w:p>
    <w:p w:rsidR="00BE2D3D" w:rsidRPr="00896BC7" w:rsidRDefault="00BE2D3D" w:rsidP="00291B61">
      <w:pPr>
        <w:jc w:val="left"/>
      </w:pPr>
      <w:r w:rsidRPr="00896BC7">
        <w:tab/>
      </w:r>
      <w:r w:rsidRPr="00896BC7">
        <w:tab/>
        <w:t>3</w:t>
      </w:r>
      <w:r w:rsidR="008272EB" w:rsidRPr="00896BC7">
        <w:t>6</w:t>
      </w:r>
      <w:r w:rsidRPr="00896BC7">
        <w:t>.</w:t>
      </w:r>
      <w:r w:rsidRPr="00896BC7">
        <w:tab/>
        <w:t xml:space="preserve">Budget billing for Complainant was $82 at the time of the hearing.  </w:t>
      </w:r>
      <w:proofErr w:type="gramStart"/>
      <w:r w:rsidRPr="00896BC7">
        <w:t>Tr. 32.</w:t>
      </w:r>
      <w:proofErr w:type="gramEnd"/>
    </w:p>
    <w:p w:rsidR="00BE2D3D" w:rsidRPr="00896BC7" w:rsidRDefault="00BE2D3D" w:rsidP="00291B61">
      <w:pPr>
        <w:jc w:val="left"/>
      </w:pPr>
    </w:p>
    <w:p w:rsidR="00BE2D3D" w:rsidRPr="00896BC7" w:rsidRDefault="00BE2D3D" w:rsidP="00291B61">
      <w:pPr>
        <w:jc w:val="left"/>
      </w:pPr>
      <w:r w:rsidRPr="00896BC7">
        <w:tab/>
      </w:r>
      <w:r w:rsidRPr="00896BC7">
        <w:tab/>
        <w:t>3</w:t>
      </w:r>
      <w:r w:rsidR="00F04C46">
        <w:t>7</w:t>
      </w:r>
      <w:r w:rsidRPr="00896BC7">
        <w:t>.</w:t>
      </w:r>
      <w:r w:rsidRPr="00896BC7">
        <w:tab/>
        <w:t xml:space="preserve">A customer removed from the Easy Way Budget program is required to pay the outstanding balance in full.  </w:t>
      </w:r>
      <w:proofErr w:type="gramStart"/>
      <w:r w:rsidRPr="00896BC7">
        <w:t>Tr. 33.</w:t>
      </w:r>
      <w:proofErr w:type="gramEnd"/>
    </w:p>
    <w:p w:rsidR="00BE2D3D" w:rsidRPr="00896BC7" w:rsidRDefault="00BE2D3D" w:rsidP="00291B61">
      <w:pPr>
        <w:jc w:val="left"/>
      </w:pPr>
    </w:p>
    <w:p w:rsidR="00BE2D3D" w:rsidRPr="00896BC7" w:rsidRDefault="00BE2D3D" w:rsidP="00291B61">
      <w:pPr>
        <w:jc w:val="left"/>
      </w:pPr>
      <w:r w:rsidRPr="00896BC7">
        <w:tab/>
      </w:r>
      <w:r w:rsidRPr="00896BC7">
        <w:tab/>
        <w:t>3</w:t>
      </w:r>
      <w:r w:rsidR="00F04C46">
        <w:t>8</w:t>
      </w:r>
      <w:r w:rsidRPr="00896BC7">
        <w:t>.</w:t>
      </w:r>
      <w:r w:rsidRPr="00896BC7">
        <w:tab/>
      </w:r>
      <w:r w:rsidR="003638A2" w:rsidRPr="00896BC7">
        <w:t xml:space="preserve">At the time of the hearing, Complainant's CRP payment, based on 9% of his income and six people in his household, would be $144.00 monthly plus $5.00 towards arrears.  </w:t>
      </w:r>
      <w:proofErr w:type="gramStart"/>
      <w:r w:rsidR="00891E1D" w:rsidRPr="00896BC7">
        <w:t>Tr. 43.</w:t>
      </w:r>
      <w:proofErr w:type="gramEnd"/>
    </w:p>
    <w:p w:rsidR="00891E1D" w:rsidRPr="00896BC7" w:rsidRDefault="00891E1D" w:rsidP="00291B61">
      <w:pPr>
        <w:jc w:val="left"/>
      </w:pPr>
    </w:p>
    <w:p w:rsidR="00891E1D" w:rsidRPr="00896BC7" w:rsidRDefault="00891E1D" w:rsidP="00291B61">
      <w:pPr>
        <w:jc w:val="left"/>
      </w:pPr>
      <w:r w:rsidRPr="00896BC7">
        <w:tab/>
      </w:r>
      <w:r w:rsidRPr="00896BC7">
        <w:tab/>
      </w:r>
      <w:r w:rsidR="00F04C46">
        <w:t>39</w:t>
      </w:r>
      <w:r w:rsidRPr="00896BC7">
        <w:t>.</w:t>
      </w:r>
      <w:r w:rsidRPr="00896BC7">
        <w:tab/>
        <w:t>Under a payment agreement for a period of 60 months, Complainant would pay a budget bill of $82.00 plus $9.00 towards arrears per month.  Tr. 43-44.</w:t>
      </w:r>
    </w:p>
    <w:p w:rsidR="00891E1D" w:rsidRPr="00896BC7" w:rsidRDefault="00891E1D" w:rsidP="00291B61">
      <w:pPr>
        <w:jc w:val="left"/>
      </w:pPr>
    </w:p>
    <w:p w:rsidR="00891E1D" w:rsidRPr="00896BC7" w:rsidRDefault="00891E1D" w:rsidP="00291B61">
      <w:pPr>
        <w:jc w:val="left"/>
      </w:pPr>
      <w:r w:rsidRPr="00896BC7">
        <w:tab/>
      </w:r>
      <w:r w:rsidRPr="00896BC7">
        <w:tab/>
      </w:r>
      <w:r w:rsidR="00DF1CCA" w:rsidRPr="00896BC7">
        <w:t>4</w:t>
      </w:r>
      <w:r w:rsidR="00F04C46">
        <w:t>0</w:t>
      </w:r>
      <w:r w:rsidRPr="00896BC7">
        <w:t>.</w:t>
      </w:r>
      <w:r w:rsidRPr="00896BC7">
        <w:tab/>
      </w:r>
      <w:r w:rsidR="00043510" w:rsidRPr="00896BC7">
        <w:t>LIHEAP forms are not available</w:t>
      </w:r>
      <w:r w:rsidR="00DF1CCA" w:rsidRPr="00896BC7">
        <w:t xml:space="preserve"> for mailing </w:t>
      </w:r>
      <w:r w:rsidR="00043510" w:rsidRPr="00896BC7">
        <w:t>from PGW.  Tr. 49-50.</w:t>
      </w:r>
    </w:p>
    <w:p w:rsidR="00043510" w:rsidRPr="00896BC7" w:rsidRDefault="00043510" w:rsidP="00291B61">
      <w:pPr>
        <w:jc w:val="left"/>
      </w:pPr>
    </w:p>
    <w:p w:rsidR="005F73C8" w:rsidRPr="00896BC7" w:rsidRDefault="005F73C8" w:rsidP="005F73C8">
      <w:pPr>
        <w:rPr>
          <w:u w:val="single"/>
        </w:rPr>
      </w:pPr>
      <w:r w:rsidRPr="00896BC7">
        <w:rPr>
          <w:u w:val="single"/>
        </w:rPr>
        <w:t>DISCUSSION</w:t>
      </w:r>
    </w:p>
    <w:p w:rsidR="005F73C8" w:rsidRPr="00896BC7" w:rsidRDefault="005F73C8" w:rsidP="005F73C8">
      <w:pPr>
        <w:rPr>
          <w:u w:val="single"/>
        </w:rPr>
      </w:pPr>
    </w:p>
    <w:p w:rsidR="00A87C68" w:rsidRPr="00896BC7" w:rsidRDefault="005F73C8" w:rsidP="00A248EC">
      <w:pPr>
        <w:jc w:val="left"/>
      </w:pPr>
      <w:r w:rsidRPr="00896BC7">
        <w:tab/>
      </w:r>
      <w:r w:rsidRPr="00896BC7">
        <w:tab/>
        <w:t xml:space="preserve">I note that Complainant began the hearing by protesting that he could not believe that the hearing was by telephone and that it was unacceptable to him.  He expressed that he wanted to see the gas company face-to-face, and that he had papers to give to me.  I explained to him that telephonic hearings were routine because of the size of the Commonwealth, the placement of the Commission's offices, and the number of hearings that occur.  He had been served the hearing notice and the prehearing order two months earlier and had not objected to the hearing during that time.  In addition, he was directed how to submit proposed exhibits in the prehearing order and did not do so.  As the Company was prepared to proceed, and the court reporter was already present and would be paid a fee, there was no reason to reschedule the hearing at that point.  I informed Complainant that an additional hearing would be scheduled if </w:t>
      </w:r>
      <w:r w:rsidRPr="00896BC7">
        <w:lastRenderedPageBreak/>
        <w:t>necessary but that no continuance would be granted at the time of the originally scheduled hearing.</w:t>
      </w:r>
    </w:p>
    <w:p w:rsidR="00795E03" w:rsidRPr="00896BC7" w:rsidRDefault="00795E03" w:rsidP="00A248EC">
      <w:pPr>
        <w:jc w:val="left"/>
      </w:pPr>
    </w:p>
    <w:p w:rsidR="00795E03" w:rsidRPr="00896BC7" w:rsidRDefault="00795E03" w:rsidP="00A248EC">
      <w:pPr>
        <w:jc w:val="left"/>
      </w:pPr>
      <w:r w:rsidRPr="00896BC7">
        <w:tab/>
      </w:r>
      <w:r w:rsidRPr="00896BC7">
        <w:tab/>
        <w:t xml:space="preserve">He did not indicate at any time during the hearing that he had </w:t>
      </w:r>
      <w:r w:rsidR="00CB366B" w:rsidRPr="00896BC7">
        <w:t>documents</w:t>
      </w:r>
      <w:r w:rsidRPr="00896BC7">
        <w:t xml:space="preserve"> that he wished to have admitted into the record.  Rather, his objection during the hearing to the telephonic nature of it was related to his desire to question the PGW witness's veracity to her face instead of over the telephone.  </w:t>
      </w:r>
      <w:r w:rsidR="005B57D6" w:rsidRPr="00896BC7">
        <w:t xml:space="preserve">Complainant's opinion of the PGW witness's credibility </w:t>
      </w:r>
      <w:r w:rsidRPr="00896BC7">
        <w:t xml:space="preserve">was expressed quite </w:t>
      </w:r>
      <w:r w:rsidR="005B57D6" w:rsidRPr="00896BC7">
        <w:t>clearly over the telephone and did not require the scheduling of a second hearing.</w:t>
      </w:r>
    </w:p>
    <w:p w:rsidR="00043510" w:rsidRPr="00896BC7" w:rsidRDefault="00043510" w:rsidP="00A248EC">
      <w:pPr>
        <w:jc w:val="left"/>
      </w:pPr>
    </w:p>
    <w:p w:rsidR="00043510" w:rsidRPr="00896BC7" w:rsidRDefault="00043510" w:rsidP="00A248EC">
      <w:pPr>
        <w:jc w:val="left"/>
      </w:pPr>
      <w:r w:rsidRPr="00896BC7">
        <w:tab/>
      </w:r>
      <w:r w:rsidRPr="00896BC7">
        <w:tab/>
        <w:t>Complainant has a low-income household of six individuals, only one of whom is employed.  With a household income of $1,816.00, he seeks to have his gas account placed on PGW's customer assistance program, called Customer Re</w:t>
      </w:r>
      <w:r w:rsidR="000645C8">
        <w:t>sponsi</w:t>
      </w:r>
      <w:r w:rsidRPr="00896BC7">
        <w:t>bility Program (CRP) in order to receive assistance.  PGW insists that the best program available is its budget billing program.</w:t>
      </w:r>
    </w:p>
    <w:p w:rsidR="00043510" w:rsidRPr="00896BC7" w:rsidRDefault="00043510" w:rsidP="00A248EC">
      <w:pPr>
        <w:jc w:val="left"/>
      </w:pPr>
    </w:p>
    <w:p w:rsidR="00043510" w:rsidRPr="00896BC7" w:rsidRDefault="00043510" w:rsidP="00043510">
      <w:pPr>
        <w:jc w:val="left"/>
      </w:pPr>
      <w:r w:rsidRPr="00896BC7">
        <w:tab/>
      </w:r>
      <w:r w:rsidRPr="00896BC7">
        <w:tab/>
        <w:t xml:space="preserve">The party seeking affirmative relief from the Commission bears the burden of proof.  </w:t>
      </w:r>
      <w:proofErr w:type="gramStart"/>
      <w:r w:rsidRPr="00896BC7">
        <w:t>66 Pa.C.S.</w:t>
      </w:r>
      <w:proofErr w:type="gramEnd"/>
      <w:r w:rsidRPr="00896BC7">
        <w:t xml:space="preserve"> § 332(a).  As a matter of law, a complainant must show that the named utility is responsible or accountable for the problem described in the Complaint in order to prevail.  </w:t>
      </w:r>
      <w:proofErr w:type="gramStart"/>
      <w:r w:rsidRPr="00896BC7">
        <w:rPr>
          <w:i/>
        </w:rPr>
        <w:t xml:space="preserve">Patterson v. Bell Tel. Co. of PA, </w:t>
      </w:r>
      <w:r w:rsidR="00B70273">
        <w:t>72 Pa. PUC</w:t>
      </w:r>
      <w:r w:rsidRPr="00896BC7">
        <w:t xml:space="preserve"> 196 (1990); </w:t>
      </w:r>
      <w:r w:rsidRPr="00896BC7">
        <w:rPr>
          <w:i/>
        </w:rPr>
        <w:t>Feinstein v. Phila.</w:t>
      </w:r>
      <w:proofErr w:type="gramEnd"/>
      <w:r w:rsidRPr="00896BC7">
        <w:rPr>
          <w:i/>
        </w:rPr>
        <w:t xml:space="preserve"> </w:t>
      </w:r>
      <w:proofErr w:type="gramStart"/>
      <w:r w:rsidRPr="00896BC7">
        <w:rPr>
          <w:i/>
        </w:rPr>
        <w:t xml:space="preserve">Suburban Water Co., </w:t>
      </w:r>
      <w:r w:rsidRPr="00896BC7">
        <w:t>50 Pa. PUC 300 (1976).</w:t>
      </w:r>
      <w:proofErr w:type="gramEnd"/>
      <w:r w:rsidRPr="00896BC7">
        <w:t xml:space="preserve">  This must be shown by a p</w:t>
      </w:r>
      <w:r w:rsidR="00D85E62">
        <w:t xml:space="preserve">reponderance of the evidence.  </w:t>
      </w:r>
      <w:proofErr w:type="gramStart"/>
      <w:r w:rsidRPr="00896BC7">
        <w:rPr>
          <w:i/>
        </w:rPr>
        <w:t>Samuel J. Lansberry, Inc. v. Pa. Pub.</w:t>
      </w:r>
      <w:proofErr w:type="gramEnd"/>
      <w:r w:rsidRPr="00896BC7">
        <w:rPr>
          <w:i/>
        </w:rPr>
        <w:t xml:space="preserve"> Util. Comm'n, </w:t>
      </w:r>
      <w:r w:rsidRPr="00896BC7">
        <w:t xml:space="preserve">578 A.2d 600 (1990), </w:t>
      </w:r>
      <w:r w:rsidRPr="00896BC7">
        <w:rPr>
          <w:i/>
        </w:rPr>
        <w:t>alloc, denied</w:t>
      </w:r>
      <w:r w:rsidRPr="00896BC7">
        <w:t xml:space="preserve">, 602 A.2d 863 (1992).  A preponderance of evidence is that which is more convincing, by even the smallest amount, than that presented by the other party.  </w:t>
      </w:r>
      <w:proofErr w:type="gramStart"/>
      <w:r w:rsidRPr="00896BC7">
        <w:rPr>
          <w:i/>
        </w:rPr>
        <w:t>Se-Ling Hosiery v. Margulies,</w:t>
      </w:r>
      <w:r w:rsidRPr="00896BC7">
        <w:t xml:space="preserve"> 70 A.2d 854 (1950).</w:t>
      </w:r>
      <w:proofErr w:type="gramEnd"/>
    </w:p>
    <w:p w:rsidR="00043510" w:rsidRPr="00896BC7" w:rsidRDefault="00043510" w:rsidP="00043510">
      <w:pPr>
        <w:jc w:val="left"/>
      </w:pPr>
    </w:p>
    <w:p w:rsidR="00043510" w:rsidRPr="00896BC7" w:rsidRDefault="00043510" w:rsidP="00043510">
      <w:pPr>
        <w:jc w:val="left"/>
      </w:pPr>
      <w:r w:rsidRPr="00896BC7">
        <w:tab/>
      </w:r>
      <w:r w:rsidRPr="00896BC7">
        <w:tab/>
        <w:t xml:space="preserve">Additionally, any finding of fact necessary to support the Commission's adjudication must be based upon substantial evidence.  </w:t>
      </w:r>
      <w:proofErr w:type="gramStart"/>
      <w:r w:rsidRPr="00896BC7">
        <w:rPr>
          <w:i/>
        </w:rPr>
        <w:t>Mill v. Pa. Pub.</w:t>
      </w:r>
      <w:proofErr w:type="gramEnd"/>
      <w:r w:rsidRPr="00896BC7">
        <w:rPr>
          <w:i/>
        </w:rPr>
        <w:t xml:space="preserve"> </w:t>
      </w:r>
      <w:proofErr w:type="gramStart"/>
      <w:r w:rsidRPr="00896BC7">
        <w:rPr>
          <w:i/>
        </w:rPr>
        <w:t>Util. Comm'n</w:t>
      </w:r>
      <w:r w:rsidR="00B048FF">
        <w:t>, 447 A.2d </w:t>
      </w:r>
      <w:r w:rsidRPr="00896BC7">
        <w:t xml:space="preserve">1100 (Pa.Cmwlth. 1982); </w:t>
      </w:r>
      <w:r w:rsidRPr="00896BC7">
        <w:rPr>
          <w:i/>
        </w:rPr>
        <w:t>Edan Transportation Corp. v. Pa. Pub.</w:t>
      </w:r>
      <w:proofErr w:type="gramEnd"/>
      <w:r w:rsidRPr="00896BC7">
        <w:rPr>
          <w:i/>
        </w:rPr>
        <w:t xml:space="preserve"> </w:t>
      </w:r>
      <w:proofErr w:type="gramStart"/>
      <w:r w:rsidRPr="00896BC7">
        <w:rPr>
          <w:i/>
        </w:rPr>
        <w:t xml:space="preserve">Util. Comm'n, </w:t>
      </w:r>
      <w:r w:rsidRPr="00896BC7">
        <w:t>623 A.2d 6 (Pa. Cmwlth. 1993); 2 Pa.C.S.</w:t>
      </w:r>
      <w:proofErr w:type="gramEnd"/>
      <w:r w:rsidRPr="00896BC7">
        <w:t xml:space="preserve"> § 704.  More is required than a mere trace of evidence or a suspicion of the existence of a fact sought to be established.  </w:t>
      </w:r>
      <w:proofErr w:type="gramStart"/>
      <w:r w:rsidRPr="00896BC7">
        <w:rPr>
          <w:i/>
        </w:rPr>
        <w:t>Norfolk and Western Ry. v. Pa. Pub.</w:t>
      </w:r>
      <w:proofErr w:type="gramEnd"/>
      <w:r w:rsidRPr="00896BC7">
        <w:rPr>
          <w:i/>
        </w:rPr>
        <w:t xml:space="preserve"> </w:t>
      </w:r>
      <w:proofErr w:type="gramStart"/>
      <w:r w:rsidRPr="00896BC7">
        <w:rPr>
          <w:i/>
        </w:rPr>
        <w:t xml:space="preserve">Util. Comm'n, </w:t>
      </w:r>
      <w:r w:rsidRPr="00896BC7">
        <w:t xml:space="preserve">489 Pa. 109, 413 A.2d 1037 (1980); </w:t>
      </w:r>
      <w:r w:rsidRPr="00896BC7">
        <w:rPr>
          <w:i/>
        </w:rPr>
        <w:t xml:space="preserve">Erie Resistor Corp. v. Unemployment </w:t>
      </w:r>
      <w:r w:rsidRPr="00896BC7">
        <w:rPr>
          <w:i/>
        </w:rPr>
        <w:lastRenderedPageBreak/>
        <w:t>Compensation Bd.</w:t>
      </w:r>
      <w:proofErr w:type="gramEnd"/>
      <w:r w:rsidRPr="00896BC7">
        <w:rPr>
          <w:i/>
        </w:rPr>
        <w:t xml:space="preserve"> </w:t>
      </w:r>
      <w:proofErr w:type="gramStart"/>
      <w:r w:rsidRPr="00896BC7">
        <w:rPr>
          <w:i/>
        </w:rPr>
        <w:t xml:space="preserve">Of Review, </w:t>
      </w:r>
      <w:r w:rsidRPr="00896BC7">
        <w:t>166 A.2d 96 (</w:t>
      </w:r>
      <w:proofErr w:type="spellStart"/>
      <w:r w:rsidRPr="00896BC7">
        <w:t>Pa.Super</w:t>
      </w:r>
      <w:proofErr w:type="spellEnd"/>
      <w:r w:rsidRPr="00896BC7">
        <w:t xml:space="preserve">. 1960); </w:t>
      </w:r>
      <w:r w:rsidRPr="00896BC7">
        <w:rPr>
          <w:i/>
        </w:rPr>
        <w:t>Murphy v. Dep't.</w:t>
      </w:r>
      <w:proofErr w:type="gramEnd"/>
      <w:r w:rsidRPr="00896BC7">
        <w:rPr>
          <w:i/>
        </w:rPr>
        <w:t xml:space="preserve"> </w:t>
      </w:r>
      <w:proofErr w:type="gramStart"/>
      <w:r w:rsidRPr="00896BC7">
        <w:rPr>
          <w:i/>
        </w:rPr>
        <w:t>of</w:t>
      </w:r>
      <w:proofErr w:type="gramEnd"/>
      <w:r w:rsidRPr="00896BC7">
        <w:rPr>
          <w:i/>
        </w:rPr>
        <w:t xml:space="preserve"> Public Welfare, White Haven Center, </w:t>
      </w:r>
      <w:r w:rsidRPr="00896BC7">
        <w:t>480 A.2d 382 (Pa. Cmwlth. 1984).</w:t>
      </w:r>
    </w:p>
    <w:p w:rsidR="00043510" w:rsidRPr="00896BC7" w:rsidRDefault="00043510" w:rsidP="00043510">
      <w:pPr>
        <w:jc w:val="left"/>
      </w:pPr>
    </w:p>
    <w:p w:rsidR="00043510" w:rsidRPr="00896BC7" w:rsidRDefault="00043510" w:rsidP="00043510">
      <w:pPr>
        <w:jc w:val="left"/>
      </w:pPr>
      <w:r w:rsidRPr="00896BC7">
        <w:tab/>
      </w:r>
      <w:r w:rsidRPr="00896BC7">
        <w:tab/>
        <w:t xml:space="preserve">The offense must be a violation of the Public Utility Code, the Commission's regulations, or an outstanding order of the Commission.  </w:t>
      </w:r>
      <w:proofErr w:type="gramStart"/>
      <w:r w:rsidRPr="00896BC7">
        <w:t>66 Pa.C.S.</w:t>
      </w:r>
      <w:proofErr w:type="gramEnd"/>
      <w:r w:rsidRPr="00896BC7">
        <w:t xml:space="preserve"> § 701.</w:t>
      </w:r>
    </w:p>
    <w:p w:rsidR="00043510" w:rsidRPr="00896BC7" w:rsidRDefault="00043510" w:rsidP="00043510">
      <w:pPr>
        <w:jc w:val="left"/>
      </w:pPr>
    </w:p>
    <w:p w:rsidR="00561FAA" w:rsidRPr="00896BC7" w:rsidRDefault="00561FAA" w:rsidP="00561FAA">
      <w:pPr>
        <w:jc w:val="left"/>
      </w:pPr>
      <w:r w:rsidRPr="00896BC7">
        <w:tab/>
      </w:r>
      <w:r w:rsidRPr="00896BC7">
        <w:tab/>
        <w:t xml:space="preserve">It is undisputed that Complainant has asked to be placed on the CRP numerous times and that PGW has declined to do so.  Complainant believes that this is an error on the part of PGW and that his account should be placed on the CRP.  He established that </w:t>
      </w:r>
      <w:r w:rsidR="00CB366B" w:rsidRPr="00896BC7">
        <w:t xml:space="preserve">his household is low income and that </w:t>
      </w:r>
      <w:r w:rsidRPr="00896BC7">
        <w:t>he made the request and was denied</w:t>
      </w:r>
      <w:r w:rsidR="00CB366B" w:rsidRPr="00896BC7">
        <w:t>.  Therefore,</w:t>
      </w:r>
      <w:r w:rsidRPr="00896BC7">
        <w:t xml:space="preserve"> the burden of persuasion moved to PGW.</w:t>
      </w:r>
    </w:p>
    <w:p w:rsidR="00561FAA" w:rsidRPr="00896BC7" w:rsidRDefault="00561FAA" w:rsidP="00043510">
      <w:pPr>
        <w:jc w:val="left"/>
      </w:pPr>
    </w:p>
    <w:p w:rsidR="00043510" w:rsidRPr="00896BC7" w:rsidRDefault="00043510" w:rsidP="00043510">
      <w:pPr>
        <w:ind w:firstLine="1440"/>
        <w:jc w:val="left"/>
      </w:pPr>
      <w:r w:rsidRPr="00896BC7">
        <w:t xml:space="preserve">Upon the presentation by the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weight, the Complainant has not satisfied the burden of proof.  The Complainant </w:t>
      </w:r>
      <w:r w:rsidR="00CB366B" w:rsidRPr="00896BC7">
        <w:t>would need</w:t>
      </w:r>
      <w:r w:rsidRPr="00896BC7">
        <w:t xml:space="preserve"> to provide some additional evidence to rebut the evidence of the Respondent. </w:t>
      </w:r>
      <w:r w:rsidRPr="00896BC7">
        <w:rPr>
          <w:iCs/>
        </w:rPr>
        <w:t xml:space="preserve"> </w:t>
      </w:r>
      <w:hyperlink r:id="rId8" w:history="1">
        <w:proofErr w:type="gramStart"/>
        <w:r w:rsidR="000645C8">
          <w:rPr>
            <w:rFonts w:eastAsiaTheme="majorEastAsia"/>
            <w:i/>
            <w:iCs/>
          </w:rPr>
          <w:t>Burleson v. Pa</w:t>
        </w:r>
        <w:r w:rsidR="00CF4243">
          <w:rPr>
            <w:rFonts w:eastAsiaTheme="majorEastAsia"/>
            <w:i/>
            <w:iCs/>
          </w:rPr>
          <w:t>.</w:t>
        </w:r>
        <w:r w:rsidRPr="00896BC7">
          <w:rPr>
            <w:rFonts w:eastAsiaTheme="majorEastAsia"/>
            <w:i/>
            <w:iCs/>
          </w:rPr>
          <w:t xml:space="preserve"> P</w:t>
        </w:r>
        <w:r w:rsidR="000645C8">
          <w:rPr>
            <w:rFonts w:eastAsiaTheme="majorEastAsia"/>
            <w:i/>
            <w:iCs/>
          </w:rPr>
          <w:t>ub.</w:t>
        </w:r>
        <w:proofErr w:type="gramEnd"/>
        <w:r w:rsidR="00CF4243">
          <w:rPr>
            <w:rFonts w:eastAsiaTheme="majorEastAsia"/>
            <w:i/>
            <w:iCs/>
          </w:rPr>
          <w:t xml:space="preserve"> </w:t>
        </w:r>
        <w:r w:rsidRPr="00896BC7">
          <w:rPr>
            <w:rFonts w:eastAsiaTheme="majorEastAsia"/>
            <w:i/>
            <w:iCs/>
          </w:rPr>
          <w:t>U</w:t>
        </w:r>
        <w:r w:rsidR="000645C8">
          <w:rPr>
            <w:rFonts w:eastAsiaTheme="majorEastAsia"/>
            <w:i/>
            <w:iCs/>
          </w:rPr>
          <w:t>til.</w:t>
        </w:r>
        <w:r w:rsidR="00CF4243">
          <w:rPr>
            <w:rFonts w:eastAsiaTheme="majorEastAsia"/>
            <w:i/>
            <w:iCs/>
          </w:rPr>
          <w:t xml:space="preserve"> </w:t>
        </w:r>
        <w:proofErr w:type="spellStart"/>
        <w:r w:rsidRPr="00896BC7">
          <w:rPr>
            <w:rFonts w:eastAsiaTheme="majorEastAsia"/>
            <w:i/>
            <w:iCs/>
          </w:rPr>
          <w:t>C</w:t>
        </w:r>
        <w:r w:rsidR="000645C8">
          <w:rPr>
            <w:rFonts w:eastAsiaTheme="majorEastAsia"/>
            <w:i/>
            <w:iCs/>
          </w:rPr>
          <w:t>omm'n</w:t>
        </w:r>
        <w:proofErr w:type="spellEnd"/>
        <w:r w:rsidRPr="00896BC7">
          <w:rPr>
            <w:rFonts w:eastAsiaTheme="majorEastAsia"/>
            <w:iCs/>
          </w:rPr>
          <w:t xml:space="preserve">, 443 A.2d 1373 (Pa. Cmwlth. 1982), </w:t>
        </w:r>
        <w:proofErr w:type="spellStart"/>
        <w:r w:rsidRPr="00896BC7">
          <w:rPr>
            <w:rFonts w:eastAsiaTheme="majorEastAsia"/>
            <w:i/>
            <w:iCs/>
          </w:rPr>
          <w:t>aff’d</w:t>
        </w:r>
        <w:proofErr w:type="spellEnd"/>
        <w:r w:rsidR="00AD2C8C">
          <w:rPr>
            <w:rFonts w:eastAsiaTheme="majorEastAsia"/>
            <w:iCs/>
          </w:rPr>
          <w:t>, </w:t>
        </w:r>
        <w:r w:rsidRPr="00896BC7">
          <w:rPr>
            <w:rFonts w:eastAsiaTheme="majorEastAsia"/>
            <w:iCs/>
          </w:rPr>
          <w:t>501 Pa. 433, 461 A.2d 1234 (1983).</w:t>
        </w:r>
      </w:hyperlink>
      <w:r w:rsidRPr="00896BC7">
        <w:rPr>
          <w:rFonts w:eastAsiaTheme="majorEastAsia"/>
          <w:iCs/>
        </w:rPr>
        <w:t xml:space="preserve">  </w:t>
      </w:r>
      <w:r w:rsidRPr="00896BC7">
        <w:t xml:space="preserve">While the burden of persuasion may </w:t>
      </w:r>
      <w:r w:rsidRPr="00896BC7">
        <w:rPr>
          <w:rFonts w:eastAsiaTheme="majorEastAsia"/>
        </w:rPr>
        <w:t>shift</w:t>
      </w:r>
      <w:r w:rsidRPr="00896BC7">
        <w:t xml:space="preserve"> back and forth during a proceeding, the </w:t>
      </w:r>
      <w:r w:rsidRPr="00896BC7">
        <w:rPr>
          <w:rFonts w:eastAsiaTheme="majorEastAsia"/>
        </w:rPr>
        <w:t>burden of proof</w:t>
      </w:r>
      <w:r w:rsidRPr="00896BC7">
        <w:t xml:space="preserve"> never </w:t>
      </w:r>
      <w:r w:rsidRPr="00896BC7">
        <w:rPr>
          <w:rFonts w:eastAsiaTheme="majorEastAsia"/>
        </w:rPr>
        <w:t>shifts.  The burden of proof</w:t>
      </w:r>
      <w:r w:rsidRPr="00896BC7">
        <w:t xml:space="preserve"> always remains on the party seeking affirmative relief from the Commission.  </w:t>
      </w:r>
      <w:proofErr w:type="spellStart"/>
      <w:proofErr w:type="gramStart"/>
      <w:r w:rsidRPr="00896BC7">
        <w:rPr>
          <w:i/>
        </w:rPr>
        <w:t>Milkie</w:t>
      </w:r>
      <w:proofErr w:type="spellEnd"/>
      <w:r w:rsidRPr="00896BC7">
        <w:rPr>
          <w:i/>
        </w:rPr>
        <w:t xml:space="preserve"> v. Pa. P</w:t>
      </w:r>
      <w:r w:rsidR="000645C8">
        <w:rPr>
          <w:i/>
        </w:rPr>
        <w:t>ub.</w:t>
      </w:r>
      <w:proofErr w:type="gramEnd"/>
      <w:r w:rsidR="00CF4243">
        <w:rPr>
          <w:i/>
        </w:rPr>
        <w:t xml:space="preserve"> </w:t>
      </w:r>
      <w:proofErr w:type="gramStart"/>
      <w:r w:rsidRPr="00896BC7">
        <w:rPr>
          <w:i/>
        </w:rPr>
        <w:t>U</w:t>
      </w:r>
      <w:r w:rsidR="000645C8">
        <w:rPr>
          <w:i/>
        </w:rPr>
        <w:t>til.</w:t>
      </w:r>
      <w:r w:rsidR="00CF4243">
        <w:rPr>
          <w:i/>
        </w:rPr>
        <w:t xml:space="preserve"> </w:t>
      </w:r>
      <w:proofErr w:type="spellStart"/>
      <w:r w:rsidRPr="00896BC7">
        <w:rPr>
          <w:i/>
        </w:rPr>
        <w:t>C</w:t>
      </w:r>
      <w:r w:rsidR="000645C8">
        <w:rPr>
          <w:i/>
        </w:rPr>
        <w:t>omm'n</w:t>
      </w:r>
      <w:proofErr w:type="spellEnd"/>
      <w:r w:rsidRPr="00896BC7">
        <w:rPr>
          <w:i/>
        </w:rPr>
        <w:t xml:space="preserve">, </w:t>
      </w:r>
      <w:r w:rsidRPr="00896BC7">
        <w:t>768 A.2d 1217 (Pa. Cmwlth. 2001).</w:t>
      </w:r>
      <w:proofErr w:type="gramEnd"/>
    </w:p>
    <w:p w:rsidR="00043510" w:rsidRPr="00896BC7" w:rsidRDefault="00043510" w:rsidP="00C4555F">
      <w:pPr>
        <w:ind w:firstLine="1440"/>
        <w:jc w:val="left"/>
      </w:pPr>
    </w:p>
    <w:p w:rsidR="00043510" w:rsidRPr="00896BC7" w:rsidRDefault="00043510" w:rsidP="00A248EC">
      <w:pPr>
        <w:jc w:val="left"/>
      </w:pPr>
      <w:r w:rsidRPr="00896BC7">
        <w:tab/>
      </w:r>
      <w:r w:rsidRPr="00896BC7">
        <w:tab/>
        <w:t>PGW stands by its actions</w:t>
      </w:r>
      <w:r w:rsidR="00561FAA" w:rsidRPr="00896BC7">
        <w:t xml:space="preserve"> in denying Complainant participation in its CRP program</w:t>
      </w:r>
      <w:r w:rsidRPr="00896BC7">
        <w:t xml:space="preserve"> and provides an explanation for its decision to place Complainant's account on budget billing.</w:t>
      </w:r>
    </w:p>
    <w:p w:rsidR="009E2538" w:rsidRPr="00896BC7" w:rsidRDefault="009E2538" w:rsidP="00A248EC">
      <w:pPr>
        <w:jc w:val="left"/>
      </w:pPr>
    </w:p>
    <w:p w:rsidR="009E2538" w:rsidRPr="00896BC7" w:rsidRDefault="009E2538" w:rsidP="00A248EC">
      <w:pPr>
        <w:jc w:val="left"/>
      </w:pPr>
      <w:r w:rsidRPr="00896BC7">
        <w:tab/>
      </w:r>
      <w:r w:rsidRPr="00896BC7">
        <w:tab/>
      </w:r>
      <w:r w:rsidR="00B5717B" w:rsidRPr="00896BC7">
        <w:t xml:space="preserve">According to PGW records, </w:t>
      </w:r>
      <w:r w:rsidRPr="00896BC7">
        <w:t xml:space="preserve">Complainant asked to be placed on the CRP </w:t>
      </w:r>
      <w:r w:rsidR="00666A0B">
        <w:t>May 11, </w:t>
      </w:r>
      <w:r w:rsidR="00B5717B" w:rsidRPr="00896BC7">
        <w:t xml:space="preserve">2010, March 8, 2011, August 3, 2012, December 24, 2012, and November 9, 2013.  Each time, a PGW representative compared Complainant's costs on CRP versus the Easy Way </w:t>
      </w:r>
      <w:r w:rsidR="00CB366B" w:rsidRPr="00896BC7">
        <w:lastRenderedPageBreak/>
        <w:t>b</w:t>
      </w:r>
      <w:r w:rsidR="00B5717B" w:rsidRPr="00896BC7">
        <w:t>udget billing program and found that both the monthly bills and the overall cost would be lower on the budget billing.  The chart below shows the findings:</w:t>
      </w:r>
    </w:p>
    <w:p w:rsidR="00B5717B" w:rsidRPr="00896BC7" w:rsidRDefault="00B5717B" w:rsidP="004513EA">
      <w:pPr>
        <w:jc w:val="left"/>
      </w:pPr>
    </w:p>
    <w:p w:rsidR="00B5717B" w:rsidRPr="00896BC7" w:rsidRDefault="00AF0B69" w:rsidP="00A248EC">
      <w:pPr>
        <w:jc w:val="left"/>
        <w:rPr>
          <w:b/>
        </w:rPr>
      </w:pPr>
      <w:r w:rsidRPr="00896BC7">
        <w:rPr>
          <w:b/>
        </w:rPr>
        <w:t xml:space="preserve">Date of Inquiry   </w:t>
      </w:r>
      <w:r w:rsidR="00B5717B" w:rsidRPr="00896BC7">
        <w:rPr>
          <w:b/>
        </w:rPr>
        <w:t>Complainant's cost on CRP</w:t>
      </w:r>
      <w:r w:rsidR="00B5717B" w:rsidRPr="00896BC7">
        <w:rPr>
          <w:b/>
        </w:rPr>
        <w:tab/>
        <w:t>Complainant's cost on Budget Billing</w:t>
      </w:r>
    </w:p>
    <w:p w:rsidR="00B5717B" w:rsidRPr="00896BC7" w:rsidRDefault="00B5717B" w:rsidP="00A248EC">
      <w:pPr>
        <w:jc w:val="left"/>
      </w:pPr>
      <w:r w:rsidRPr="00896BC7">
        <w:t>May 11, 2010</w:t>
      </w:r>
      <w:r w:rsidRPr="00896BC7">
        <w:tab/>
      </w:r>
      <w:r w:rsidRPr="00896BC7">
        <w:tab/>
      </w:r>
      <w:r w:rsidRPr="00896BC7">
        <w:tab/>
      </w:r>
      <w:r w:rsidR="00AF0B69" w:rsidRPr="00896BC7">
        <w:t>$165.00</w:t>
      </w:r>
      <w:r w:rsidR="00AF0B69" w:rsidRPr="00896BC7">
        <w:tab/>
      </w:r>
      <w:r w:rsidR="00AF0B69" w:rsidRPr="00896BC7">
        <w:tab/>
      </w:r>
      <w:r w:rsidR="00AF0B69" w:rsidRPr="00896BC7">
        <w:tab/>
      </w:r>
      <w:r w:rsidR="00AF0B69" w:rsidRPr="00896BC7">
        <w:tab/>
      </w:r>
      <w:r w:rsidR="00AF0B69" w:rsidRPr="00896BC7">
        <w:tab/>
        <w:t>$56.00</w:t>
      </w:r>
      <w:r w:rsidR="00AF0B69" w:rsidRPr="00896BC7">
        <w:rPr>
          <w:rStyle w:val="FootnoteReference"/>
        </w:rPr>
        <w:footnoteReference w:id="1"/>
      </w:r>
    </w:p>
    <w:p w:rsidR="00B5717B" w:rsidRPr="00896BC7" w:rsidRDefault="00B5717B" w:rsidP="00A248EC">
      <w:pPr>
        <w:jc w:val="left"/>
      </w:pPr>
      <w:r w:rsidRPr="00896BC7">
        <w:t>March 8, 2011</w:t>
      </w:r>
      <w:r w:rsidR="00AF0B69" w:rsidRPr="00896BC7">
        <w:tab/>
      </w:r>
      <w:r w:rsidR="00AF0B69" w:rsidRPr="00896BC7">
        <w:tab/>
      </w:r>
      <w:r w:rsidR="00AF0B69" w:rsidRPr="00896BC7">
        <w:tab/>
        <w:t>$176.65</w:t>
      </w:r>
      <w:r w:rsidR="00AF0B69" w:rsidRPr="00896BC7">
        <w:tab/>
      </w:r>
      <w:r w:rsidR="00AF0B69" w:rsidRPr="00896BC7">
        <w:tab/>
      </w:r>
      <w:r w:rsidR="00AF0B69" w:rsidRPr="00896BC7">
        <w:tab/>
      </w:r>
      <w:r w:rsidR="00AF0B69" w:rsidRPr="00896BC7">
        <w:tab/>
      </w:r>
      <w:r w:rsidR="00AF0B69" w:rsidRPr="00896BC7">
        <w:tab/>
        <w:t>$56.00</w:t>
      </w:r>
    </w:p>
    <w:p w:rsidR="00AF0B69" w:rsidRPr="00896BC7" w:rsidRDefault="00B5717B" w:rsidP="00A248EC">
      <w:pPr>
        <w:jc w:val="left"/>
      </w:pPr>
      <w:r w:rsidRPr="00896BC7">
        <w:t>August 3, 2012</w:t>
      </w:r>
      <w:r w:rsidR="00AF0B69" w:rsidRPr="00896BC7">
        <w:tab/>
      </w:r>
      <w:r w:rsidR="00AF0B69" w:rsidRPr="00896BC7">
        <w:tab/>
        <w:t>$181.60</w:t>
      </w:r>
      <w:r w:rsidR="00AF0B69" w:rsidRPr="00896BC7">
        <w:tab/>
      </w:r>
      <w:r w:rsidR="00AF0B69" w:rsidRPr="00896BC7">
        <w:tab/>
      </w:r>
      <w:r w:rsidR="00AF0B69" w:rsidRPr="00896BC7">
        <w:tab/>
      </w:r>
      <w:r w:rsidR="00AF0B69" w:rsidRPr="00896BC7">
        <w:tab/>
      </w:r>
      <w:r w:rsidR="00AF0B69" w:rsidRPr="00896BC7">
        <w:tab/>
        <w:t>$104.00</w:t>
      </w:r>
      <w:r w:rsidR="00AF0B69" w:rsidRPr="00896BC7">
        <w:rPr>
          <w:rStyle w:val="FootnoteReference"/>
        </w:rPr>
        <w:footnoteReference w:id="2"/>
      </w:r>
    </w:p>
    <w:p w:rsidR="00B5717B" w:rsidRPr="00896BC7" w:rsidRDefault="00AF0B69" w:rsidP="00A248EC">
      <w:pPr>
        <w:jc w:val="left"/>
      </w:pPr>
      <w:r w:rsidRPr="00896BC7">
        <w:t>November 9, 2012</w:t>
      </w:r>
      <w:r w:rsidRPr="00896BC7">
        <w:tab/>
      </w:r>
      <w:r w:rsidRPr="00896BC7">
        <w:tab/>
        <w:t>$104.00</w:t>
      </w:r>
      <w:r w:rsidR="00F04C46">
        <w:rPr>
          <w:rStyle w:val="FootnoteReference"/>
        </w:rPr>
        <w:footnoteReference w:id="3"/>
      </w:r>
      <w:r w:rsidRPr="00896BC7">
        <w:tab/>
      </w:r>
      <w:r w:rsidRPr="00896BC7">
        <w:tab/>
      </w:r>
      <w:r w:rsidRPr="00896BC7">
        <w:tab/>
      </w:r>
      <w:r w:rsidRPr="00896BC7">
        <w:tab/>
      </w:r>
      <w:r w:rsidR="00CB366B" w:rsidRPr="00896BC7">
        <w:t xml:space="preserve">         </w:t>
      </w:r>
      <w:r w:rsidRPr="00896BC7">
        <w:t>not provided</w:t>
      </w:r>
    </w:p>
    <w:p w:rsidR="000615A9" w:rsidRPr="00896BC7" w:rsidRDefault="00B5717B" w:rsidP="00A248EC">
      <w:pPr>
        <w:jc w:val="left"/>
      </w:pPr>
      <w:r w:rsidRPr="00896BC7">
        <w:t>December 24, 2012</w:t>
      </w:r>
      <w:r w:rsidR="007A020E" w:rsidRPr="00896BC7">
        <w:tab/>
      </w:r>
      <w:r w:rsidR="007A020E" w:rsidRPr="00896BC7">
        <w:tab/>
        <w:t>$170.00</w:t>
      </w:r>
      <w:r w:rsidR="007A020E" w:rsidRPr="00896BC7">
        <w:tab/>
      </w:r>
      <w:r w:rsidR="007A020E" w:rsidRPr="00896BC7">
        <w:tab/>
      </w:r>
      <w:r w:rsidR="007A020E" w:rsidRPr="00896BC7">
        <w:tab/>
      </w:r>
      <w:r w:rsidR="007A020E" w:rsidRPr="00896BC7">
        <w:tab/>
      </w:r>
      <w:r w:rsidR="007A020E" w:rsidRPr="00896BC7">
        <w:tab/>
        <w:t>$71.00</w:t>
      </w:r>
      <w:r w:rsidR="007A020E" w:rsidRPr="00896BC7">
        <w:tab/>
      </w:r>
      <w:r w:rsidR="007A020E" w:rsidRPr="00896BC7">
        <w:tab/>
      </w:r>
    </w:p>
    <w:p w:rsidR="00B5717B" w:rsidRPr="00896BC7" w:rsidRDefault="000615A9" w:rsidP="00A248EC">
      <w:pPr>
        <w:jc w:val="left"/>
      </w:pPr>
      <w:r w:rsidRPr="00896BC7">
        <w:t>May 4, 2013</w:t>
      </w:r>
      <w:r w:rsidRPr="00896BC7">
        <w:tab/>
      </w:r>
      <w:r w:rsidRPr="00896BC7">
        <w:tab/>
      </w:r>
      <w:r w:rsidRPr="00896BC7">
        <w:tab/>
        <w:t>not provided</w:t>
      </w:r>
      <w:r w:rsidRPr="00896BC7">
        <w:tab/>
      </w:r>
      <w:r w:rsidRPr="00896BC7">
        <w:tab/>
      </w:r>
      <w:r w:rsidRPr="00896BC7">
        <w:tab/>
      </w:r>
      <w:r w:rsidRPr="00896BC7">
        <w:tab/>
      </w:r>
      <w:r w:rsidRPr="00896BC7">
        <w:tab/>
        <w:t>$71.00</w:t>
      </w:r>
      <w:r w:rsidRPr="00896BC7">
        <w:rPr>
          <w:rStyle w:val="FootnoteReference"/>
        </w:rPr>
        <w:footnoteReference w:id="4"/>
      </w:r>
      <w:r w:rsidR="007A020E" w:rsidRPr="00896BC7">
        <w:tab/>
      </w:r>
    </w:p>
    <w:p w:rsidR="00B5717B" w:rsidRPr="00896BC7" w:rsidRDefault="007A020E" w:rsidP="004513EA">
      <w:pPr>
        <w:jc w:val="left"/>
      </w:pPr>
      <w:r w:rsidRPr="00896BC7">
        <w:tab/>
      </w:r>
      <w:r w:rsidRPr="00896BC7">
        <w:tab/>
      </w:r>
    </w:p>
    <w:p w:rsidR="007A020E" w:rsidRPr="00896BC7" w:rsidRDefault="00A87C68" w:rsidP="00A248EC">
      <w:pPr>
        <w:jc w:val="left"/>
      </w:pPr>
      <w:r w:rsidRPr="00896BC7">
        <w:tab/>
      </w:r>
      <w:r w:rsidRPr="00896BC7">
        <w:tab/>
      </w:r>
      <w:r w:rsidR="007A020E" w:rsidRPr="00896BC7">
        <w:t xml:space="preserve">Enrollment in CRP freezes a customer's arrearage, and each timely payment of the required amount would forgive 1/36 of the arrearage.  </w:t>
      </w:r>
      <w:proofErr w:type="gramStart"/>
      <w:r w:rsidR="007A020E" w:rsidRPr="00896BC7">
        <w:t>Tr. 20.</w:t>
      </w:r>
      <w:proofErr w:type="gramEnd"/>
      <w:r w:rsidR="000615A9" w:rsidRPr="00896BC7">
        <w:t xml:space="preserve">  The CRP payment is based on 8, 9 or 10% of the customer's income, or a minimum of $25.00.  The payment is figured solely on the income of the customer and does not consider usage.  </w:t>
      </w:r>
      <w:proofErr w:type="gramStart"/>
      <w:r w:rsidR="000615A9" w:rsidRPr="00896BC7">
        <w:t>Tr. 31.</w:t>
      </w:r>
      <w:proofErr w:type="gramEnd"/>
    </w:p>
    <w:p w:rsidR="000615A9" w:rsidRPr="00896BC7" w:rsidRDefault="000615A9" w:rsidP="00A248EC">
      <w:pPr>
        <w:jc w:val="left"/>
      </w:pPr>
    </w:p>
    <w:p w:rsidR="0036471E" w:rsidRPr="00896BC7" w:rsidRDefault="000615A9" w:rsidP="00A248EC">
      <w:pPr>
        <w:jc w:val="left"/>
      </w:pPr>
      <w:r w:rsidRPr="00896BC7">
        <w:tab/>
      </w:r>
      <w:r w:rsidRPr="00896BC7">
        <w:tab/>
        <w:t xml:space="preserve">Therefore, if a customer is conservative and has a low usage, </w:t>
      </w:r>
      <w:r w:rsidR="00A10EE8" w:rsidRPr="00896BC7">
        <w:t xml:space="preserve">the CRP payment may exceed the amount necessary to pay for </w:t>
      </w:r>
      <w:r w:rsidR="00561FAA" w:rsidRPr="00896BC7">
        <w:t xml:space="preserve">actual </w:t>
      </w:r>
      <w:r w:rsidR="00A10EE8" w:rsidRPr="00896BC7">
        <w:t xml:space="preserve">usage.  This is the situation in the present case.  </w:t>
      </w:r>
      <w:r w:rsidR="00561FAA" w:rsidRPr="00896BC7">
        <w:t>Actual usage will fluctuate depending on the weather</w:t>
      </w:r>
      <w:r w:rsidR="0036471E" w:rsidRPr="00896BC7">
        <w:t xml:space="preserve">, which means that the cost of some months' usage might not exceed the CRP payment </w:t>
      </w:r>
      <w:r w:rsidR="00CB366B" w:rsidRPr="00896BC7">
        <w:t xml:space="preserve">that month, </w:t>
      </w:r>
      <w:r w:rsidR="0036471E" w:rsidRPr="00896BC7">
        <w:t>but the cost of some month</w:t>
      </w:r>
      <w:r w:rsidR="00CB366B" w:rsidRPr="00896BC7">
        <w:t>s' usage could be far less than actual usage</w:t>
      </w:r>
      <w:r w:rsidR="0036471E" w:rsidRPr="00896BC7">
        <w:t>.</w:t>
      </w:r>
      <w:r w:rsidR="00CB366B" w:rsidRPr="00896BC7">
        <w:t xml:space="preserve">  The </w:t>
      </w:r>
      <w:r w:rsidR="00FB75DE" w:rsidRPr="00896BC7">
        <w:t xml:space="preserve">cost of </w:t>
      </w:r>
      <w:r w:rsidR="00CB366B" w:rsidRPr="00896BC7">
        <w:t>twelve</w:t>
      </w:r>
      <w:r w:rsidR="00FB75DE" w:rsidRPr="00896BC7">
        <w:t xml:space="preserve"> </w:t>
      </w:r>
      <w:r w:rsidR="00CB366B" w:rsidRPr="00896BC7">
        <w:t>month</w:t>
      </w:r>
      <w:r w:rsidR="00FB75DE" w:rsidRPr="00896BC7">
        <w:t>s'</w:t>
      </w:r>
      <w:r w:rsidR="00CB366B" w:rsidRPr="00896BC7">
        <w:t xml:space="preserve"> total usage</w:t>
      </w:r>
      <w:r w:rsidR="00FB75DE" w:rsidRPr="00896BC7">
        <w:t xml:space="preserve"> for this household is less than the cost of twelve months of CRP payments based on income.</w:t>
      </w:r>
    </w:p>
    <w:p w:rsidR="0036471E" w:rsidRPr="00896BC7" w:rsidRDefault="0036471E" w:rsidP="00A248EC">
      <w:pPr>
        <w:jc w:val="left"/>
      </w:pPr>
    </w:p>
    <w:p w:rsidR="000615A9" w:rsidRPr="00896BC7" w:rsidRDefault="0036471E" w:rsidP="00A248EC">
      <w:pPr>
        <w:jc w:val="left"/>
      </w:pPr>
      <w:r w:rsidRPr="00896BC7">
        <w:tab/>
      </w:r>
      <w:r w:rsidRPr="00896BC7">
        <w:tab/>
        <w:t xml:space="preserve">It is fair to compare the average usage against the CRP payment, as the CRP payment is based solely on income and will not fluctuate unless the household income varies. </w:t>
      </w:r>
      <w:r w:rsidR="005A168D">
        <w:t xml:space="preserve"> </w:t>
      </w:r>
      <w:r w:rsidR="00A10EE8" w:rsidRPr="00896BC7">
        <w:t xml:space="preserve">The </w:t>
      </w:r>
      <w:r w:rsidR="005B57D6" w:rsidRPr="00896BC7">
        <w:t xml:space="preserve">average monthly </w:t>
      </w:r>
      <w:r w:rsidR="00A10EE8" w:rsidRPr="00896BC7">
        <w:t xml:space="preserve">cost to pay </w:t>
      </w:r>
      <w:r w:rsidR="005B57D6" w:rsidRPr="00896BC7">
        <w:t>1/12</w:t>
      </w:r>
      <w:r w:rsidR="005B57D6" w:rsidRPr="00896BC7">
        <w:rPr>
          <w:vertAlign w:val="superscript"/>
        </w:rPr>
        <w:t>th</w:t>
      </w:r>
      <w:r w:rsidR="005B57D6" w:rsidRPr="00896BC7">
        <w:t xml:space="preserve"> of the amount of gas </w:t>
      </w:r>
      <w:r w:rsidR="00A10EE8" w:rsidRPr="00896BC7">
        <w:t xml:space="preserve">consumed by Complainant's </w:t>
      </w:r>
      <w:r w:rsidRPr="00896BC7">
        <w:t>hou</w:t>
      </w:r>
      <w:r w:rsidR="00A10EE8" w:rsidRPr="00896BC7">
        <w:t>sehold</w:t>
      </w:r>
      <w:r w:rsidR="005B57D6" w:rsidRPr="00896BC7">
        <w:t xml:space="preserve"> annually</w:t>
      </w:r>
      <w:r w:rsidR="00A10EE8" w:rsidRPr="00896BC7">
        <w:t xml:space="preserve"> is less than a CRP payment based on the household income and size would </w:t>
      </w:r>
      <w:r w:rsidR="00A10EE8" w:rsidRPr="00896BC7">
        <w:lastRenderedPageBreak/>
        <w:t xml:space="preserve">be.  If PGW placed Complainant on its CRP program, the Complainant would be paying for more gas than his household uses.  </w:t>
      </w:r>
      <w:proofErr w:type="gramStart"/>
      <w:r w:rsidR="00F0647B" w:rsidRPr="00896BC7">
        <w:t>Tr. 31.</w:t>
      </w:r>
      <w:proofErr w:type="gramEnd"/>
    </w:p>
    <w:p w:rsidR="00F0647B" w:rsidRPr="00896BC7" w:rsidRDefault="00F0647B" w:rsidP="00A248EC">
      <w:pPr>
        <w:jc w:val="left"/>
      </w:pPr>
    </w:p>
    <w:p w:rsidR="00F0647B" w:rsidRPr="00896BC7" w:rsidRDefault="00F0647B" w:rsidP="00A248EC">
      <w:pPr>
        <w:jc w:val="left"/>
      </w:pPr>
      <w:r w:rsidRPr="00896BC7">
        <w:tab/>
      </w:r>
      <w:r w:rsidRPr="00896BC7">
        <w:tab/>
        <w:t>Section 1303 of the Public Utility Code requires that "[A]</w:t>
      </w:r>
      <w:proofErr w:type="spellStart"/>
      <w:r w:rsidRPr="00896BC7">
        <w:t>ny</w:t>
      </w:r>
      <w:proofErr w:type="spellEnd"/>
      <w:r w:rsidRPr="00896BC7">
        <w:t xml:space="preserve"> public utility, having more than one rate applicable to service rendered to a patron, shall, after notice of service conditions, compute bills under the rate most advantageous to the patron."  </w:t>
      </w:r>
      <w:proofErr w:type="gramStart"/>
      <w:r w:rsidRPr="00896BC7">
        <w:t>66 Pa.C.S.</w:t>
      </w:r>
      <w:proofErr w:type="gramEnd"/>
      <w:r w:rsidRPr="00896BC7">
        <w:t xml:space="preserve"> § 1303.  This is exactly what PGW did</w:t>
      </w:r>
      <w:r w:rsidR="00FB75DE" w:rsidRPr="00896BC7">
        <w:t>, repeatedly and consistently</w:t>
      </w:r>
      <w:r w:rsidRPr="00896BC7">
        <w:t>.</w:t>
      </w:r>
      <w:r w:rsidR="00FB75DE" w:rsidRPr="00896BC7">
        <w:t xml:space="preserve">  The most advantageous rate for this account is not the CRP, and PGW was correct to not place Complainant on the program.</w:t>
      </w:r>
    </w:p>
    <w:p w:rsidR="00A10EE8" w:rsidRPr="00896BC7" w:rsidRDefault="00A10EE8" w:rsidP="00A248EC">
      <w:pPr>
        <w:jc w:val="left"/>
      </w:pPr>
    </w:p>
    <w:p w:rsidR="00A10EE8" w:rsidRPr="00896BC7" w:rsidRDefault="00A10EE8" w:rsidP="00A248EC">
      <w:pPr>
        <w:jc w:val="left"/>
      </w:pPr>
      <w:r w:rsidRPr="00896BC7">
        <w:tab/>
      </w:r>
      <w:r w:rsidRPr="00896BC7">
        <w:tab/>
      </w:r>
      <w:r w:rsidR="005B57D6" w:rsidRPr="00896BC7">
        <w:t xml:space="preserve">Having established that the CRP program would cost Complainant more than payment of his monthly bill, the analysis looks to other ways to make the gas bill more affordable during months of high usage.  The utility has a budget billing program which spreads the </w:t>
      </w:r>
      <w:r w:rsidR="0036471E" w:rsidRPr="00896BC7">
        <w:t xml:space="preserve">actual </w:t>
      </w:r>
      <w:r w:rsidR="005B57D6" w:rsidRPr="00896BC7">
        <w:t>cost of the gas</w:t>
      </w:r>
      <w:r w:rsidR="0036471E" w:rsidRPr="00896BC7">
        <w:t xml:space="preserve"> consumed</w:t>
      </w:r>
      <w:r w:rsidR="005B57D6" w:rsidRPr="00896BC7">
        <w:t xml:space="preserve"> over a year</w:t>
      </w:r>
      <w:r w:rsidR="0036471E" w:rsidRPr="00896BC7">
        <w:t>, to eliminate the seasonal highs and lows that may make it difficult for a low income household to absorb.  This averaging</w:t>
      </w:r>
      <w:r w:rsidR="005B57D6" w:rsidRPr="00896BC7">
        <w:t xml:space="preserve"> result</w:t>
      </w:r>
      <w:r w:rsidR="0036471E" w:rsidRPr="00896BC7">
        <w:t>s</w:t>
      </w:r>
      <w:r w:rsidR="005B57D6" w:rsidRPr="00896BC7">
        <w:t xml:space="preserve"> in a lower bill during high usage months and a higher bill during low usage months while giving the customer a fairly consistent monthl</w:t>
      </w:r>
      <w:r w:rsidR="0036471E" w:rsidRPr="00896BC7">
        <w:t>y payment to aid in managing his family's finances.</w:t>
      </w:r>
    </w:p>
    <w:p w:rsidR="007A020E" w:rsidRPr="00896BC7" w:rsidRDefault="007A020E" w:rsidP="00A248EC">
      <w:pPr>
        <w:jc w:val="left"/>
      </w:pPr>
    </w:p>
    <w:p w:rsidR="007A020E" w:rsidRPr="00896BC7" w:rsidRDefault="007A020E" w:rsidP="00A248EC">
      <w:pPr>
        <w:jc w:val="left"/>
      </w:pPr>
      <w:r w:rsidRPr="00896BC7">
        <w:tab/>
      </w:r>
      <w:r w:rsidRPr="00896BC7">
        <w:tab/>
        <w:t>The budget program monthly amount is determined by taking one year of usage and d</w:t>
      </w:r>
      <w:r w:rsidR="00AF0B69" w:rsidRPr="00896BC7">
        <w:t>i</w:t>
      </w:r>
      <w:r w:rsidRPr="00896BC7">
        <w:t>viding it by 12</w:t>
      </w:r>
      <w:r w:rsidR="00AF0B69" w:rsidRPr="00896BC7">
        <w:t xml:space="preserve">.  </w:t>
      </w:r>
      <w:proofErr w:type="gramStart"/>
      <w:r w:rsidR="00AF0B69" w:rsidRPr="00896BC7">
        <w:t>Tr. 22.</w:t>
      </w:r>
      <w:proofErr w:type="gramEnd"/>
      <w:r w:rsidR="00AF0B69" w:rsidRPr="00896BC7">
        <w:t xml:space="preserve">  The amount for Complainant's payment on a budget billing plan as of the date of the hearing was $82.00.  </w:t>
      </w:r>
      <w:proofErr w:type="gramStart"/>
      <w:r w:rsidR="00AF0B69" w:rsidRPr="00896BC7">
        <w:t>Tr. 22.</w:t>
      </w:r>
      <w:proofErr w:type="gramEnd"/>
      <w:r w:rsidR="00AF0B69" w:rsidRPr="00896BC7">
        <w:t xml:space="preserve">  </w:t>
      </w:r>
      <w:r w:rsidR="00F0647B" w:rsidRPr="00896BC7">
        <w:t xml:space="preserve">If Complainant agrees to budget billing, he would be billed $82.00 plus a percentage of his arrearage each month.  </w:t>
      </w:r>
      <w:proofErr w:type="gramStart"/>
      <w:r w:rsidR="00F0647B" w:rsidRPr="00896BC7">
        <w:t>Tr. 32.</w:t>
      </w:r>
      <w:proofErr w:type="gramEnd"/>
      <w:r w:rsidR="00F0647B" w:rsidRPr="00896BC7">
        <w:t xml:space="preserve">  The </w:t>
      </w:r>
      <w:r w:rsidR="00223DF6" w:rsidRPr="00896BC7">
        <w:t xml:space="preserve">specific amount may change quarterly when reconciled with actual usage.  </w:t>
      </w:r>
      <w:proofErr w:type="gramStart"/>
      <w:r w:rsidR="00223DF6" w:rsidRPr="00896BC7">
        <w:t>Tr. 33.</w:t>
      </w:r>
      <w:proofErr w:type="gramEnd"/>
    </w:p>
    <w:p w:rsidR="005B57D6" w:rsidRPr="00896BC7" w:rsidRDefault="005B57D6" w:rsidP="00A248EC">
      <w:pPr>
        <w:jc w:val="left"/>
      </w:pPr>
    </w:p>
    <w:p w:rsidR="00F546CC" w:rsidRPr="00896BC7" w:rsidRDefault="005B57D6" w:rsidP="00A248EC">
      <w:pPr>
        <w:jc w:val="left"/>
      </w:pPr>
      <w:r w:rsidRPr="00896BC7">
        <w:tab/>
      </w:r>
      <w:r w:rsidRPr="00896BC7">
        <w:tab/>
        <w:t>Complainant was on</w:t>
      </w:r>
      <w:r w:rsidR="00D54934" w:rsidRPr="00896BC7">
        <w:t xml:space="preserve"> the utility's budget billing plan</w:t>
      </w:r>
      <w:r w:rsidRPr="00896BC7">
        <w:t xml:space="preserve"> </w:t>
      </w:r>
      <w:r w:rsidR="00F546CC" w:rsidRPr="00896BC7">
        <w:t>from December</w:t>
      </w:r>
      <w:r w:rsidR="001E6043">
        <w:t>,</w:t>
      </w:r>
      <w:r w:rsidR="00F546CC" w:rsidRPr="00896BC7">
        <w:t xml:space="preserve"> 2012 until </w:t>
      </w:r>
      <w:r w:rsidRPr="00896BC7">
        <w:t>he requested removal from it</w:t>
      </w:r>
      <w:r w:rsidR="00F546CC" w:rsidRPr="00896BC7">
        <w:t xml:space="preserve"> in April</w:t>
      </w:r>
      <w:r w:rsidR="004D7D11">
        <w:t>,</w:t>
      </w:r>
      <w:r w:rsidR="00F546CC" w:rsidRPr="00896BC7">
        <w:t xml:space="preserve"> 2013</w:t>
      </w:r>
      <w:r w:rsidRPr="00896BC7">
        <w:t xml:space="preserve">.  At that point, his monthly </w:t>
      </w:r>
      <w:r w:rsidR="00F546CC" w:rsidRPr="00896BC7">
        <w:t>budget billing amount</w:t>
      </w:r>
      <w:r w:rsidRPr="00896BC7">
        <w:t xml:space="preserve"> had not paid for the </w:t>
      </w:r>
      <w:r w:rsidR="00D54934" w:rsidRPr="00896BC7">
        <w:t xml:space="preserve">actual </w:t>
      </w:r>
      <w:r w:rsidRPr="00896BC7">
        <w:t>usage, and there was an arrearage of</w:t>
      </w:r>
      <w:r w:rsidR="00F546CC" w:rsidRPr="00896BC7">
        <w:t xml:space="preserve"> over</w:t>
      </w:r>
      <w:r w:rsidRPr="00896BC7">
        <w:t xml:space="preserve"> </w:t>
      </w:r>
      <w:r w:rsidR="00F546CC" w:rsidRPr="00896BC7">
        <w:t>$500</w:t>
      </w:r>
      <w:r w:rsidR="002C6E51" w:rsidRPr="00896BC7">
        <w:t>.00.  If Complainant had stayed on the budget billing plan, this arrearage would have been paid in monthly increments</w:t>
      </w:r>
      <w:r w:rsidR="00D54934" w:rsidRPr="00896BC7">
        <w:t xml:space="preserve"> over the remainder of the year</w:t>
      </w:r>
      <w:r w:rsidR="002C6E51" w:rsidRPr="00896BC7">
        <w:t>.  Removal from the program resulted in the entire arrearage becoming due the next billing cycle.</w:t>
      </w:r>
    </w:p>
    <w:p w:rsidR="00F546CC" w:rsidRPr="00896BC7" w:rsidRDefault="00F546CC" w:rsidP="00A248EC">
      <w:pPr>
        <w:jc w:val="left"/>
      </w:pPr>
    </w:p>
    <w:p w:rsidR="002C6E51" w:rsidRPr="00896BC7" w:rsidRDefault="00F546CC" w:rsidP="00A248EC">
      <w:pPr>
        <w:jc w:val="left"/>
      </w:pPr>
      <w:r w:rsidRPr="00896BC7">
        <w:lastRenderedPageBreak/>
        <w:tab/>
      </w:r>
      <w:r w:rsidRPr="00896BC7">
        <w:tab/>
      </w:r>
      <w:r w:rsidR="002C6E51" w:rsidRPr="00896BC7">
        <w:t>Either</w:t>
      </w:r>
      <w:r w:rsidR="00BB7FF0" w:rsidRPr="00896BC7">
        <w:t xml:space="preserve"> of two plans is more affordable than the CRP for this family:</w:t>
      </w:r>
      <w:r w:rsidR="002C6E51" w:rsidRPr="00896BC7">
        <w:t xml:space="preserve"> </w:t>
      </w:r>
      <w:r w:rsidR="00D54934" w:rsidRPr="00896BC7">
        <w:t xml:space="preserve">payment of actual usage each cycle, or </w:t>
      </w:r>
      <w:r w:rsidR="00BB7FF0" w:rsidRPr="00896BC7">
        <w:t xml:space="preserve">budget billing – the </w:t>
      </w:r>
      <w:r w:rsidR="00D54934" w:rsidRPr="00896BC7">
        <w:t xml:space="preserve">averaging </w:t>
      </w:r>
      <w:r w:rsidR="00BB7FF0" w:rsidRPr="00896BC7">
        <w:t xml:space="preserve">of </w:t>
      </w:r>
      <w:r w:rsidR="00D54934" w:rsidRPr="00896BC7">
        <w:t>the entire year's usage over twelve months and paying for 1/12</w:t>
      </w:r>
      <w:r w:rsidR="00D54934" w:rsidRPr="00896BC7">
        <w:rPr>
          <w:vertAlign w:val="superscript"/>
        </w:rPr>
        <w:t>th</w:t>
      </w:r>
      <w:r w:rsidR="00D54934" w:rsidRPr="00896BC7">
        <w:t xml:space="preserve"> every month</w:t>
      </w:r>
      <w:r w:rsidR="00BB7FF0" w:rsidRPr="00896BC7">
        <w:t>.</w:t>
      </w:r>
    </w:p>
    <w:p w:rsidR="00BB7FF0" w:rsidRPr="00896BC7" w:rsidRDefault="00BB7FF0" w:rsidP="00A248EC">
      <w:pPr>
        <w:jc w:val="left"/>
      </w:pPr>
    </w:p>
    <w:p w:rsidR="00BB7FF0" w:rsidRPr="00896BC7" w:rsidRDefault="002C6E51" w:rsidP="00A248EC">
      <w:pPr>
        <w:jc w:val="left"/>
      </w:pPr>
      <w:r w:rsidRPr="00896BC7">
        <w:tab/>
      </w:r>
      <w:r w:rsidRPr="00896BC7">
        <w:tab/>
        <w:t>PGW indicated that it would be willing to stay with the payment arrangement based on the income guidelines rather than having Complainant pay the full balance.  This would be the most efficient and affordable option for the Complainant.</w:t>
      </w:r>
    </w:p>
    <w:p w:rsidR="00FB75DE" w:rsidRPr="00896BC7" w:rsidRDefault="00FB75DE" w:rsidP="00A248EC">
      <w:pPr>
        <w:jc w:val="left"/>
      </w:pPr>
    </w:p>
    <w:p w:rsidR="00BB7FF0" w:rsidRPr="00896BC7" w:rsidRDefault="00BB7FF0" w:rsidP="00A248EC">
      <w:pPr>
        <w:jc w:val="left"/>
      </w:pPr>
      <w:r w:rsidRPr="00896BC7">
        <w:tab/>
      </w:r>
      <w:r w:rsidRPr="00896BC7">
        <w:tab/>
        <w:t xml:space="preserve">Complainant is eligible for a payment </w:t>
      </w:r>
      <w:r w:rsidR="00724728" w:rsidRPr="00896BC7">
        <w:t>agreement on the outstanding arrearage under the Public Utility Code, 66 Pa.C.S. §</w:t>
      </w:r>
      <w:r w:rsidR="00272732">
        <w:t xml:space="preserve"> </w:t>
      </w:r>
      <w:r w:rsidR="00724728" w:rsidRPr="00896BC7">
        <w:t xml:space="preserve">1405.  As he has not had a prior Commission-ordered payment agreement and his gross monthly household income level does not exceed 150% of the Federal Poverty Guidelines, the length of time for repayment may extend to five years.  </w:t>
      </w:r>
      <w:proofErr w:type="gramStart"/>
      <w:r w:rsidR="00724728" w:rsidRPr="00896BC7">
        <w:t>66 Pa.C.S.</w:t>
      </w:r>
      <w:proofErr w:type="gramEnd"/>
      <w:r w:rsidR="00724728" w:rsidRPr="00896BC7">
        <w:t xml:space="preserve"> § 1405(b</w:t>
      </w:r>
      <w:proofErr w:type="gramStart"/>
      <w:r w:rsidR="00724728" w:rsidRPr="00896BC7">
        <w:t>)(</w:t>
      </w:r>
      <w:proofErr w:type="gramEnd"/>
      <w:r w:rsidR="00724728" w:rsidRPr="00896BC7">
        <w:t>1).  In other words, 1/60</w:t>
      </w:r>
      <w:r w:rsidR="00724728" w:rsidRPr="00896BC7">
        <w:rPr>
          <w:vertAlign w:val="superscript"/>
        </w:rPr>
        <w:t>th</w:t>
      </w:r>
      <w:r w:rsidR="00724728" w:rsidRPr="00896BC7">
        <w:t xml:space="preserve"> of the arrearage will be added to each monthly bill until the arrearage is paid off.  If the Complainant does not make timely monthly payments in full, the payment agreement is </w:t>
      </w:r>
      <w:r w:rsidR="008409D4" w:rsidRPr="00896BC7">
        <w:t>canceled, and the full arrearage would be due immediately.</w:t>
      </w:r>
    </w:p>
    <w:p w:rsidR="008409D4" w:rsidRPr="00896BC7" w:rsidRDefault="008409D4" w:rsidP="00A248EC">
      <w:pPr>
        <w:jc w:val="left"/>
      </w:pPr>
    </w:p>
    <w:p w:rsidR="002C6E51" w:rsidRPr="00896BC7" w:rsidRDefault="008409D4" w:rsidP="00A248EC">
      <w:pPr>
        <w:jc w:val="left"/>
      </w:pPr>
      <w:r w:rsidRPr="00896BC7">
        <w:tab/>
      </w:r>
      <w:r w:rsidRPr="00896BC7">
        <w:tab/>
        <w:t>Complainant is advised that the Commission cannot order a utility to extend more than one payment agreement on the same arrearage.</w:t>
      </w:r>
    </w:p>
    <w:p w:rsidR="008409D4" w:rsidRPr="00896BC7" w:rsidRDefault="008409D4" w:rsidP="00A248EC">
      <w:pPr>
        <w:jc w:val="left"/>
      </w:pPr>
    </w:p>
    <w:p w:rsidR="002C6E51" w:rsidRPr="00896BC7" w:rsidRDefault="002C6E51" w:rsidP="00A248EC">
      <w:pPr>
        <w:jc w:val="left"/>
      </w:pPr>
      <w:r w:rsidRPr="00896BC7">
        <w:tab/>
      </w:r>
      <w:r w:rsidRPr="00896BC7">
        <w:tab/>
        <w:t xml:space="preserve">In addition to the CRP issue, Complainant had two additional issues.  First, </w:t>
      </w:r>
      <w:r w:rsidR="00223DF6" w:rsidRPr="00896BC7">
        <w:t xml:space="preserve">Complainant was angry because he believed that the $71.00 per month </w:t>
      </w:r>
      <w:r w:rsidR="00BB7FF0" w:rsidRPr="00896BC7">
        <w:t>quoted by a PGW representative was</w:t>
      </w:r>
      <w:r w:rsidR="00223DF6" w:rsidRPr="00896BC7">
        <w:t xml:space="preserve"> his total </w:t>
      </w:r>
      <w:r w:rsidR="00FB75DE" w:rsidRPr="00896BC7">
        <w:t>cost</w:t>
      </w:r>
      <w:r w:rsidR="00223DF6" w:rsidRPr="00896BC7">
        <w:t xml:space="preserve">, </w:t>
      </w:r>
      <w:r w:rsidR="000C0883" w:rsidRPr="00896BC7">
        <w:t xml:space="preserve">Tr. 34, </w:t>
      </w:r>
      <w:r w:rsidR="00223DF6" w:rsidRPr="00896BC7">
        <w:t>when the amount billed w</w:t>
      </w:r>
      <w:r w:rsidR="000C0883" w:rsidRPr="00896BC7">
        <w:t>ou</w:t>
      </w:r>
      <w:r w:rsidR="00223DF6" w:rsidRPr="00896BC7">
        <w:t>l</w:t>
      </w:r>
      <w:r w:rsidR="000C0883" w:rsidRPr="00896BC7">
        <w:t>d</w:t>
      </w:r>
      <w:r w:rsidR="00223DF6" w:rsidRPr="00896BC7">
        <w:t xml:space="preserve"> be higher when taxes and sur</w:t>
      </w:r>
      <w:r w:rsidR="0020673D">
        <w:t xml:space="preserve">charges are added to it.  </w:t>
      </w:r>
      <w:r w:rsidR="000C0883" w:rsidRPr="00896BC7">
        <w:t>The amount quoted is only for usage.</w:t>
      </w:r>
    </w:p>
    <w:p w:rsidR="002C6E51" w:rsidRPr="00896BC7" w:rsidRDefault="002C6E51" w:rsidP="00A248EC">
      <w:pPr>
        <w:jc w:val="left"/>
      </w:pPr>
    </w:p>
    <w:p w:rsidR="00223DF6" w:rsidRPr="00896BC7" w:rsidRDefault="002C6E51" w:rsidP="00A248EC">
      <w:pPr>
        <w:jc w:val="left"/>
      </w:pPr>
      <w:r w:rsidRPr="00896BC7">
        <w:tab/>
      </w:r>
      <w:r w:rsidRPr="00896BC7">
        <w:tab/>
        <w:t>Second, Complainant</w:t>
      </w:r>
      <w:r w:rsidR="00795E03" w:rsidRPr="00896BC7">
        <w:t xml:space="preserve"> thought that PGW had either stolen his LIHEAP grant or refused to give him forms so that he could apply for it.  Tr. 47-48.  PGW explained that the forms are available from the county assistance office, or Complainant can go to a PGW office to fill them out or on-line.  For some unexplained reason, PGW stated that they could not forward them to Complainant's house.  </w:t>
      </w:r>
      <w:proofErr w:type="gramStart"/>
      <w:r w:rsidR="00795E03" w:rsidRPr="00896BC7">
        <w:t>Tr. 49.</w:t>
      </w:r>
      <w:proofErr w:type="gramEnd"/>
      <w:r w:rsidR="00795E03" w:rsidRPr="00896BC7">
        <w:t xml:space="preserve">  </w:t>
      </w:r>
      <w:r w:rsidR="00BB7FF0" w:rsidRPr="00896BC7">
        <w:t>As the forms are available elsewhere, and the LIHEAP program is administered by the Commonwealth, not by PGW, there was no duty that was abrogated here.</w:t>
      </w:r>
    </w:p>
    <w:p w:rsidR="002C6E51" w:rsidRPr="00896BC7" w:rsidRDefault="002C6E51" w:rsidP="00A248EC">
      <w:pPr>
        <w:jc w:val="left"/>
      </w:pPr>
    </w:p>
    <w:p w:rsidR="002C6E51" w:rsidRPr="00896BC7" w:rsidRDefault="002C6E51" w:rsidP="00A248EC">
      <w:pPr>
        <w:jc w:val="left"/>
      </w:pPr>
      <w:r w:rsidRPr="00896BC7">
        <w:tab/>
      </w:r>
      <w:r w:rsidRPr="00896BC7">
        <w:tab/>
        <w:t>Accordingly, Complainant has failed to sustain his burden of proving that PGW acted improperly when denying him participation in its CRP</w:t>
      </w:r>
      <w:r w:rsidR="00CE73D9" w:rsidRPr="00896BC7">
        <w:t>, and his Complaint is dismissed</w:t>
      </w:r>
      <w:r w:rsidRPr="00896BC7">
        <w:t xml:space="preserve">.  Complainant is encouraged to file for LIHEAP assistance as soon as possible, and to inform PGW which </w:t>
      </w:r>
      <w:r w:rsidR="00C01C3A" w:rsidRPr="00896BC7">
        <w:t xml:space="preserve">remaining </w:t>
      </w:r>
      <w:r w:rsidRPr="00896BC7">
        <w:t>option he chooses</w:t>
      </w:r>
      <w:r w:rsidR="00C01C3A" w:rsidRPr="00896BC7">
        <w:t xml:space="preserve"> from the two listed below</w:t>
      </w:r>
      <w:r w:rsidRPr="00896BC7">
        <w:t>:</w:t>
      </w:r>
    </w:p>
    <w:p w:rsidR="00BB7FF0" w:rsidRPr="00896BC7" w:rsidRDefault="00BB7FF0" w:rsidP="00CD7259">
      <w:pPr>
        <w:jc w:val="left"/>
      </w:pPr>
    </w:p>
    <w:p w:rsidR="00BB7FF0" w:rsidRPr="00896BC7" w:rsidRDefault="00CD7259" w:rsidP="00BB7FF0">
      <w:pPr>
        <w:spacing w:line="240" w:lineRule="auto"/>
        <w:ind w:left="1440"/>
        <w:jc w:val="left"/>
      </w:pPr>
      <w:r>
        <w:t xml:space="preserve">(1) </w:t>
      </w:r>
      <w:r w:rsidR="008409D4" w:rsidRPr="00896BC7">
        <w:t xml:space="preserve">Complainant will agree to </w:t>
      </w:r>
      <w:r w:rsidR="002C6E51" w:rsidRPr="00896BC7">
        <w:t xml:space="preserve">pay the entire arrearage and </w:t>
      </w:r>
      <w:r w:rsidR="008409D4" w:rsidRPr="00896BC7">
        <w:t xml:space="preserve">be </w:t>
      </w:r>
      <w:r w:rsidR="002C6E51" w:rsidRPr="00896BC7">
        <w:t>bill</w:t>
      </w:r>
      <w:r w:rsidR="008409D4" w:rsidRPr="00896BC7">
        <w:t>ed</w:t>
      </w:r>
      <w:r w:rsidR="002C6E51" w:rsidRPr="00896BC7">
        <w:t xml:space="preserve"> </w:t>
      </w:r>
      <w:r w:rsidR="008409D4" w:rsidRPr="00896BC7">
        <w:t>f</w:t>
      </w:r>
      <w:r w:rsidR="002C6E51" w:rsidRPr="00896BC7">
        <w:t>or actual usage each billing cycle; or</w:t>
      </w:r>
    </w:p>
    <w:p w:rsidR="00C01C3A" w:rsidRPr="00896BC7" w:rsidRDefault="00C01C3A" w:rsidP="00BB7FF0">
      <w:pPr>
        <w:spacing w:line="240" w:lineRule="auto"/>
        <w:ind w:left="1440"/>
        <w:jc w:val="left"/>
      </w:pPr>
    </w:p>
    <w:p w:rsidR="002C6E51" w:rsidRPr="00896BC7" w:rsidRDefault="002C6E51" w:rsidP="00BB7FF0">
      <w:pPr>
        <w:spacing w:line="240" w:lineRule="auto"/>
        <w:ind w:left="1440"/>
        <w:jc w:val="left"/>
      </w:pPr>
      <w:r w:rsidRPr="00896BC7">
        <w:t xml:space="preserve">(2) </w:t>
      </w:r>
      <w:r w:rsidR="008409D4" w:rsidRPr="00896BC7">
        <w:t xml:space="preserve">Complainant will </w:t>
      </w:r>
      <w:r w:rsidR="00CE73D9" w:rsidRPr="00896BC7">
        <w:t>agree to</w:t>
      </w:r>
      <w:r w:rsidRPr="00896BC7">
        <w:t xml:space="preserve"> budget billing for the monthly payment of $82.00 plus 1/60</w:t>
      </w:r>
      <w:r w:rsidRPr="00896BC7">
        <w:rPr>
          <w:vertAlign w:val="superscript"/>
        </w:rPr>
        <w:t>th</w:t>
      </w:r>
      <w:r w:rsidRPr="00896BC7">
        <w:t xml:space="preserve"> of the arrearage each month until the arrearage is paid off (plus taxes and surcharges).</w:t>
      </w:r>
    </w:p>
    <w:p w:rsidR="00FB75DE" w:rsidRPr="00896BC7" w:rsidRDefault="00FB75DE" w:rsidP="00AB7436">
      <w:pPr>
        <w:jc w:val="left"/>
      </w:pPr>
    </w:p>
    <w:p w:rsidR="00FB75DE" w:rsidRPr="00896BC7" w:rsidRDefault="00FB75DE" w:rsidP="00FB75DE">
      <w:pPr>
        <w:jc w:val="left"/>
      </w:pPr>
      <w:r w:rsidRPr="00896BC7">
        <w:tab/>
      </w:r>
      <w:r w:rsidRPr="00896BC7">
        <w:tab/>
        <w:t>Complainant will choose one of these two options and inform the utility within thirty (30) days of the final Commission order in this matter, or the utility may bill the entire arrearage.</w:t>
      </w:r>
    </w:p>
    <w:p w:rsidR="00FB75DE" w:rsidRPr="00896BC7" w:rsidRDefault="00FB75DE" w:rsidP="00CE73D9"/>
    <w:p w:rsidR="00CE73D9" w:rsidRPr="00896BC7" w:rsidRDefault="00CE73D9" w:rsidP="00CE73D9">
      <w:pPr>
        <w:rPr>
          <w:u w:val="single"/>
        </w:rPr>
      </w:pPr>
      <w:r w:rsidRPr="00896BC7">
        <w:rPr>
          <w:u w:val="single"/>
        </w:rPr>
        <w:t>CONCLUSIONS OF LAW</w:t>
      </w:r>
    </w:p>
    <w:p w:rsidR="00CE73D9" w:rsidRPr="00896BC7" w:rsidRDefault="00CE73D9" w:rsidP="00CE73D9">
      <w:pPr>
        <w:rPr>
          <w:u w:val="single"/>
        </w:rPr>
      </w:pPr>
    </w:p>
    <w:p w:rsidR="00CE73D9" w:rsidRPr="00896BC7" w:rsidRDefault="00CE73D9" w:rsidP="00CE73D9">
      <w:pPr>
        <w:jc w:val="left"/>
      </w:pPr>
      <w:r w:rsidRPr="00896BC7">
        <w:tab/>
      </w:r>
      <w:r w:rsidRPr="00896BC7">
        <w:tab/>
        <w:t>1.</w:t>
      </w:r>
      <w:r w:rsidRPr="00896BC7">
        <w:tab/>
        <w:t>The Commission has jurisdiction ove</w:t>
      </w:r>
      <w:r w:rsidR="000645C8">
        <w:t xml:space="preserve">r this matter.  </w:t>
      </w:r>
      <w:proofErr w:type="gramStart"/>
      <w:r w:rsidR="000645C8">
        <w:t>66 Pa.C.S.</w:t>
      </w:r>
      <w:proofErr w:type="gramEnd"/>
      <w:r w:rsidR="000645C8">
        <w:t xml:space="preserve"> § 701</w:t>
      </w:r>
      <w:r w:rsidRPr="00896BC7">
        <w:t>.</w:t>
      </w:r>
    </w:p>
    <w:p w:rsidR="00CE73D9" w:rsidRPr="00896BC7" w:rsidRDefault="00CE73D9" w:rsidP="00CE73D9">
      <w:pPr>
        <w:jc w:val="left"/>
      </w:pPr>
    </w:p>
    <w:p w:rsidR="00CE73D9" w:rsidRPr="00896BC7" w:rsidRDefault="00CE73D9" w:rsidP="00CE73D9">
      <w:pPr>
        <w:jc w:val="left"/>
      </w:pPr>
      <w:r w:rsidRPr="00896BC7">
        <w:tab/>
      </w:r>
      <w:r w:rsidRPr="00896BC7">
        <w:tab/>
        <w:t>2.</w:t>
      </w:r>
      <w:r w:rsidRPr="00896BC7">
        <w:tab/>
        <w:t xml:space="preserve">The party seeking affirmative relief from the Commission bears the burden of proof.  </w:t>
      </w:r>
      <w:proofErr w:type="gramStart"/>
      <w:r w:rsidRPr="00896BC7">
        <w:t>66 Pa.C.S.</w:t>
      </w:r>
      <w:proofErr w:type="gramEnd"/>
      <w:r w:rsidRPr="00896BC7">
        <w:t xml:space="preserve"> § 332(a).  As a matter of law, a complainant must show that the named utility is responsible or accountable for the problem described in the Complaint in order to prevail.  </w:t>
      </w:r>
      <w:proofErr w:type="gramStart"/>
      <w:r w:rsidRPr="00896BC7">
        <w:rPr>
          <w:i/>
        </w:rPr>
        <w:t xml:space="preserve">Patterson v. Bell Tel. Co. of PA, </w:t>
      </w:r>
      <w:r w:rsidR="00AB7436">
        <w:t>72 Pa. PUC</w:t>
      </w:r>
      <w:r w:rsidRPr="00896BC7">
        <w:t xml:space="preserve"> 196 (1990); </w:t>
      </w:r>
      <w:r w:rsidRPr="00896BC7">
        <w:rPr>
          <w:i/>
        </w:rPr>
        <w:t>Feinstein v. Phila.</w:t>
      </w:r>
      <w:proofErr w:type="gramEnd"/>
      <w:r w:rsidRPr="00896BC7">
        <w:rPr>
          <w:i/>
        </w:rPr>
        <w:t xml:space="preserve"> </w:t>
      </w:r>
      <w:proofErr w:type="gramStart"/>
      <w:r w:rsidRPr="00896BC7">
        <w:rPr>
          <w:i/>
        </w:rPr>
        <w:t xml:space="preserve">Suburban Water Co., </w:t>
      </w:r>
      <w:r w:rsidRPr="00896BC7">
        <w:t>50 Pa. PUC 300 (1976).</w:t>
      </w:r>
      <w:proofErr w:type="gramEnd"/>
    </w:p>
    <w:p w:rsidR="00CE73D9" w:rsidRPr="00896BC7" w:rsidRDefault="00CE73D9" w:rsidP="00CE73D9">
      <w:pPr>
        <w:jc w:val="left"/>
      </w:pPr>
    </w:p>
    <w:p w:rsidR="00CE73D9" w:rsidRPr="00896BC7" w:rsidRDefault="00CE73D9" w:rsidP="00CE73D9">
      <w:pPr>
        <w:jc w:val="left"/>
      </w:pPr>
      <w:r w:rsidRPr="00896BC7">
        <w:tab/>
      </w:r>
      <w:r w:rsidRPr="00896BC7">
        <w:tab/>
        <w:t>3.</w:t>
      </w:r>
      <w:r w:rsidRPr="00896BC7">
        <w:tab/>
        <w:t>The burden of proof must be carried by a p</w:t>
      </w:r>
      <w:r w:rsidR="007B56E1">
        <w:t xml:space="preserve">reponderance of the evidence.  </w:t>
      </w:r>
      <w:proofErr w:type="gramStart"/>
      <w:r w:rsidRPr="00896BC7">
        <w:rPr>
          <w:i/>
        </w:rPr>
        <w:t>Samuel J. Lansberry, Inc. v. Pa. Pub.</w:t>
      </w:r>
      <w:proofErr w:type="gramEnd"/>
      <w:r w:rsidRPr="00896BC7">
        <w:rPr>
          <w:i/>
        </w:rPr>
        <w:t xml:space="preserve"> Util. Comm'n, </w:t>
      </w:r>
      <w:r w:rsidRPr="00896BC7">
        <w:t xml:space="preserve">578 A.2d 600 (1990), </w:t>
      </w:r>
      <w:r w:rsidRPr="00896BC7">
        <w:rPr>
          <w:i/>
        </w:rPr>
        <w:t>alloc, denied</w:t>
      </w:r>
      <w:r w:rsidRPr="00896BC7">
        <w:t xml:space="preserve">, 602 A.2d 863 (1992).  A preponderance of evidence is that which is more convincing, by even the smallest amount, than that presented by the other party.  </w:t>
      </w:r>
      <w:proofErr w:type="gramStart"/>
      <w:r w:rsidRPr="00896BC7">
        <w:rPr>
          <w:i/>
        </w:rPr>
        <w:t>Se-Ling Hosiery v. Margulies,</w:t>
      </w:r>
      <w:r w:rsidR="00ED7935">
        <w:t xml:space="preserve"> 70 A.2d </w:t>
      </w:r>
      <w:r w:rsidRPr="00896BC7">
        <w:t>854 (1950).</w:t>
      </w:r>
      <w:proofErr w:type="gramEnd"/>
    </w:p>
    <w:p w:rsidR="00CE73D9" w:rsidRPr="00896BC7" w:rsidRDefault="00CE73D9" w:rsidP="00CE73D9">
      <w:pPr>
        <w:jc w:val="left"/>
      </w:pPr>
    </w:p>
    <w:p w:rsidR="00CE73D9" w:rsidRPr="00896BC7" w:rsidRDefault="00CE73D9" w:rsidP="00CE73D9">
      <w:pPr>
        <w:jc w:val="left"/>
      </w:pPr>
      <w:r w:rsidRPr="00896BC7">
        <w:lastRenderedPageBreak/>
        <w:tab/>
      </w:r>
      <w:r w:rsidRPr="00896BC7">
        <w:tab/>
        <w:t>4.</w:t>
      </w:r>
      <w:r w:rsidRPr="00896BC7">
        <w:tab/>
        <w:t xml:space="preserve">Any finding of fact necessary to support the Commission's adjudication must be based upon substantial evidence.  </w:t>
      </w:r>
      <w:proofErr w:type="gramStart"/>
      <w:r w:rsidRPr="00896BC7">
        <w:rPr>
          <w:i/>
        </w:rPr>
        <w:t>Mill v. Pa. Pub.</w:t>
      </w:r>
      <w:proofErr w:type="gramEnd"/>
      <w:r w:rsidRPr="00896BC7">
        <w:rPr>
          <w:i/>
        </w:rPr>
        <w:t xml:space="preserve"> </w:t>
      </w:r>
      <w:proofErr w:type="gramStart"/>
      <w:r w:rsidRPr="00896BC7">
        <w:rPr>
          <w:i/>
        </w:rPr>
        <w:t>Util. Comm'n</w:t>
      </w:r>
      <w:r w:rsidRPr="00896BC7">
        <w:t xml:space="preserve">, 447 A.2d 1100 (Pa.Cmwlth. 1982); </w:t>
      </w:r>
      <w:r w:rsidRPr="00896BC7">
        <w:rPr>
          <w:i/>
        </w:rPr>
        <w:t>Edan Transportation Corp. v. Pa. Pub.</w:t>
      </w:r>
      <w:proofErr w:type="gramEnd"/>
      <w:r w:rsidRPr="00896BC7">
        <w:rPr>
          <w:i/>
        </w:rPr>
        <w:t xml:space="preserve"> </w:t>
      </w:r>
      <w:proofErr w:type="gramStart"/>
      <w:r w:rsidRPr="00896BC7">
        <w:rPr>
          <w:i/>
        </w:rPr>
        <w:t xml:space="preserve">Util. Comm'n, </w:t>
      </w:r>
      <w:r w:rsidRPr="00896BC7">
        <w:t>623 A.2d 6 (Pa. Cmwlth. 1993); 2 Pa.C.S.</w:t>
      </w:r>
      <w:proofErr w:type="gramEnd"/>
      <w:r w:rsidRPr="00896BC7">
        <w:t xml:space="preserve"> § 704.  More is required than a mere trace of evidence or a suspicion of the existence of a fact sought to be established.  </w:t>
      </w:r>
      <w:proofErr w:type="gramStart"/>
      <w:r w:rsidRPr="00896BC7">
        <w:rPr>
          <w:i/>
        </w:rPr>
        <w:t>Norfolk and Western Ry. v. Pa. Pub.</w:t>
      </w:r>
      <w:proofErr w:type="gramEnd"/>
      <w:r w:rsidRPr="00896BC7">
        <w:rPr>
          <w:i/>
        </w:rPr>
        <w:t xml:space="preserve"> </w:t>
      </w:r>
      <w:proofErr w:type="gramStart"/>
      <w:r w:rsidRPr="00896BC7">
        <w:rPr>
          <w:i/>
        </w:rPr>
        <w:t xml:space="preserve">Util. Comm'n, </w:t>
      </w:r>
      <w:r w:rsidRPr="00896BC7">
        <w:t xml:space="preserve">489 Pa. 109, 413 A.2d 1037 (1980); </w:t>
      </w:r>
      <w:r w:rsidRPr="00896BC7">
        <w:rPr>
          <w:i/>
        </w:rPr>
        <w:t>Erie Resistor Corp. v. Unemployment Compensation Bd.</w:t>
      </w:r>
      <w:proofErr w:type="gramEnd"/>
      <w:r w:rsidRPr="00896BC7">
        <w:rPr>
          <w:i/>
        </w:rPr>
        <w:t xml:space="preserve"> </w:t>
      </w:r>
      <w:proofErr w:type="gramStart"/>
      <w:r w:rsidRPr="00896BC7">
        <w:rPr>
          <w:i/>
        </w:rPr>
        <w:t xml:space="preserve">Of Review, </w:t>
      </w:r>
      <w:r w:rsidRPr="00896BC7">
        <w:t>166 A.2d 96 (</w:t>
      </w:r>
      <w:proofErr w:type="spellStart"/>
      <w:r w:rsidRPr="00896BC7">
        <w:t>Pa.Super</w:t>
      </w:r>
      <w:proofErr w:type="spellEnd"/>
      <w:r w:rsidRPr="00896BC7">
        <w:t xml:space="preserve">. 1960); </w:t>
      </w:r>
      <w:r w:rsidRPr="00896BC7">
        <w:rPr>
          <w:i/>
        </w:rPr>
        <w:t>Murphy v. Dep't.</w:t>
      </w:r>
      <w:proofErr w:type="gramEnd"/>
      <w:r w:rsidRPr="00896BC7">
        <w:rPr>
          <w:i/>
        </w:rPr>
        <w:t xml:space="preserve"> </w:t>
      </w:r>
      <w:proofErr w:type="gramStart"/>
      <w:r w:rsidRPr="00896BC7">
        <w:rPr>
          <w:i/>
        </w:rPr>
        <w:t>of</w:t>
      </w:r>
      <w:proofErr w:type="gramEnd"/>
      <w:r w:rsidRPr="00896BC7">
        <w:rPr>
          <w:i/>
        </w:rPr>
        <w:t xml:space="preserve"> Public Welfare, White Haven Center, </w:t>
      </w:r>
      <w:r w:rsidRPr="00896BC7">
        <w:t>480 A.2d 382 (Pa. Cmwlth. 1984).</w:t>
      </w:r>
    </w:p>
    <w:p w:rsidR="00CE73D9" w:rsidRPr="00896BC7" w:rsidRDefault="00CE73D9" w:rsidP="00CE73D9">
      <w:pPr>
        <w:jc w:val="left"/>
      </w:pPr>
    </w:p>
    <w:p w:rsidR="00CE73D9" w:rsidRPr="00896BC7" w:rsidRDefault="00CE73D9" w:rsidP="00CE73D9">
      <w:pPr>
        <w:jc w:val="left"/>
      </w:pPr>
      <w:r w:rsidRPr="00896BC7">
        <w:tab/>
      </w:r>
      <w:r w:rsidRPr="00896BC7">
        <w:tab/>
        <w:t>5.</w:t>
      </w:r>
      <w:r w:rsidRPr="00896BC7">
        <w:tab/>
        <w:t>The offense must be a violation of the Public Utility Code, the Commission's regulations, or an outstanding order of t</w:t>
      </w:r>
      <w:r w:rsidR="000645C8">
        <w:t xml:space="preserve">he Commission.  </w:t>
      </w:r>
      <w:proofErr w:type="gramStart"/>
      <w:r w:rsidR="000645C8">
        <w:t>66 Pa.C.S.</w:t>
      </w:r>
      <w:proofErr w:type="gramEnd"/>
      <w:r w:rsidR="000645C8">
        <w:t xml:space="preserve"> § 701</w:t>
      </w:r>
      <w:r w:rsidRPr="00896BC7">
        <w:t>.</w:t>
      </w:r>
    </w:p>
    <w:p w:rsidR="00CE73D9" w:rsidRPr="00896BC7" w:rsidRDefault="00CE73D9" w:rsidP="00CE73D9">
      <w:pPr>
        <w:jc w:val="left"/>
      </w:pPr>
    </w:p>
    <w:p w:rsidR="00CE73D9" w:rsidRPr="00896BC7" w:rsidRDefault="00CE73D9" w:rsidP="00CE73D9">
      <w:pPr>
        <w:ind w:firstLine="1440"/>
        <w:jc w:val="left"/>
        <w:rPr>
          <w:rFonts w:eastAsiaTheme="majorEastAsia"/>
          <w:iCs/>
        </w:rPr>
      </w:pPr>
      <w:r w:rsidRPr="00896BC7">
        <w:t>6.</w:t>
      </w:r>
      <w:r w:rsidRPr="00896BC7">
        <w:tab/>
        <w:t>Upon the presentation by t</w:t>
      </w:r>
      <w:bookmarkStart w:id="0" w:name="_GoBack"/>
      <w:bookmarkEnd w:id="0"/>
      <w:r w:rsidRPr="00896BC7">
        <w:t xml:space="preserve">he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896BC7">
        <w:rPr>
          <w:iCs/>
        </w:rPr>
        <w:t xml:space="preserve"> </w:t>
      </w:r>
      <w:hyperlink r:id="rId9" w:history="1">
        <w:proofErr w:type="gramStart"/>
        <w:r w:rsidR="000645C8">
          <w:rPr>
            <w:rFonts w:eastAsiaTheme="majorEastAsia"/>
            <w:i/>
            <w:iCs/>
          </w:rPr>
          <w:t>Burleson v. Pa.</w:t>
        </w:r>
        <w:r w:rsidR="00CF4243">
          <w:rPr>
            <w:rFonts w:eastAsiaTheme="majorEastAsia"/>
            <w:i/>
            <w:iCs/>
          </w:rPr>
          <w:t xml:space="preserve"> </w:t>
        </w:r>
        <w:r w:rsidRPr="00896BC7">
          <w:rPr>
            <w:rFonts w:eastAsiaTheme="majorEastAsia"/>
            <w:i/>
            <w:iCs/>
          </w:rPr>
          <w:t>P</w:t>
        </w:r>
        <w:r w:rsidR="000645C8">
          <w:rPr>
            <w:rFonts w:eastAsiaTheme="majorEastAsia"/>
            <w:i/>
            <w:iCs/>
          </w:rPr>
          <w:t>ub.</w:t>
        </w:r>
        <w:proofErr w:type="gramEnd"/>
        <w:r w:rsidR="00CF4243">
          <w:rPr>
            <w:rFonts w:eastAsiaTheme="majorEastAsia"/>
            <w:i/>
            <w:iCs/>
          </w:rPr>
          <w:t xml:space="preserve"> </w:t>
        </w:r>
        <w:r w:rsidRPr="00896BC7">
          <w:rPr>
            <w:rFonts w:eastAsiaTheme="majorEastAsia"/>
            <w:i/>
            <w:iCs/>
          </w:rPr>
          <w:t>U</w:t>
        </w:r>
        <w:r w:rsidR="000645C8">
          <w:rPr>
            <w:rFonts w:eastAsiaTheme="majorEastAsia"/>
            <w:i/>
            <w:iCs/>
          </w:rPr>
          <w:t>til.</w:t>
        </w:r>
        <w:r w:rsidR="00CF4243">
          <w:rPr>
            <w:rFonts w:eastAsiaTheme="majorEastAsia"/>
            <w:i/>
            <w:iCs/>
          </w:rPr>
          <w:t xml:space="preserve"> </w:t>
        </w:r>
        <w:proofErr w:type="spellStart"/>
        <w:r w:rsidRPr="00896BC7">
          <w:rPr>
            <w:rFonts w:eastAsiaTheme="majorEastAsia"/>
            <w:i/>
            <w:iCs/>
          </w:rPr>
          <w:t>C</w:t>
        </w:r>
        <w:r w:rsidR="000645C8">
          <w:rPr>
            <w:rFonts w:eastAsiaTheme="majorEastAsia"/>
            <w:i/>
            <w:iCs/>
          </w:rPr>
          <w:t>omm'n</w:t>
        </w:r>
        <w:proofErr w:type="spellEnd"/>
        <w:r w:rsidRPr="00896BC7">
          <w:rPr>
            <w:rFonts w:eastAsiaTheme="majorEastAsia"/>
            <w:iCs/>
          </w:rPr>
          <w:t xml:space="preserve">, 443 A.2d 1373 (Pa. Cmwlth. 1982), </w:t>
        </w:r>
        <w:proofErr w:type="spellStart"/>
        <w:r w:rsidRPr="00896BC7">
          <w:rPr>
            <w:rFonts w:eastAsiaTheme="majorEastAsia"/>
            <w:i/>
            <w:iCs/>
          </w:rPr>
          <w:t>aff’d</w:t>
        </w:r>
        <w:proofErr w:type="spellEnd"/>
        <w:r w:rsidRPr="00896BC7">
          <w:rPr>
            <w:rFonts w:eastAsiaTheme="majorEastAsia"/>
            <w:iCs/>
          </w:rPr>
          <w:t>, 501 Pa. 433, 461 A.2d 1234 (1983).</w:t>
        </w:r>
      </w:hyperlink>
    </w:p>
    <w:p w:rsidR="00CE73D9" w:rsidRPr="00896BC7" w:rsidRDefault="00CE73D9" w:rsidP="00CE73D9">
      <w:pPr>
        <w:ind w:firstLine="1440"/>
        <w:jc w:val="left"/>
        <w:rPr>
          <w:rFonts w:eastAsiaTheme="majorEastAsia"/>
          <w:iCs/>
        </w:rPr>
      </w:pPr>
    </w:p>
    <w:p w:rsidR="00CE73D9" w:rsidRPr="00896BC7" w:rsidRDefault="00CE73D9" w:rsidP="00CE73D9">
      <w:pPr>
        <w:ind w:firstLine="1440"/>
        <w:jc w:val="left"/>
      </w:pPr>
      <w:r w:rsidRPr="00896BC7">
        <w:rPr>
          <w:rFonts w:eastAsiaTheme="majorEastAsia"/>
          <w:iCs/>
        </w:rPr>
        <w:t>7.</w:t>
      </w:r>
      <w:r w:rsidRPr="00896BC7">
        <w:rPr>
          <w:rFonts w:eastAsiaTheme="majorEastAsia"/>
          <w:iCs/>
        </w:rPr>
        <w:tab/>
      </w:r>
      <w:r w:rsidRPr="00896BC7">
        <w:t xml:space="preserve">While the burden of persuasion may </w:t>
      </w:r>
      <w:r w:rsidRPr="00896BC7">
        <w:rPr>
          <w:rFonts w:eastAsiaTheme="majorEastAsia"/>
        </w:rPr>
        <w:t>shift</w:t>
      </w:r>
      <w:r w:rsidRPr="00896BC7">
        <w:t xml:space="preserve"> back and forth during a proceeding, the </w:t>
      </w:r>
      <w:r w:rsidRPr="00896BC7">
        <w:rPr>
          <w:rFonts w:eastAsiaTheme="majorEastAsia"/>
        </w:rPr>
        <w:t>burden of proof</w:t>
      </w:r>
      <w:r w:rsidRPr="00896BC7">
        <w:t xml:space="preserve"> never </w:t>
      </w:r>
      <w:r w:rsidRPr="00896BC7">
        <w:rPr>
          <w:rFonts w:eastAsiaTheme="majorEastAsia"/>
        </w:rPr>
        <w:t>shifts.  The burden of proof</w:t>
      </w:r>
      <w:r w:rsidRPr="00896BC7">
        <w:t xml:space="preserve"> always remains on the party seeking affirmative relief from the Commission.  </w:t>
      </w:r>
      <w:proofErr w:type="spellStart"/>
      <w:proofErr w:type="gramStart"/>
      <w:r w:rsidRPr="00896BC7">
        <w:rPr>
          <w:i/>
        </w:rPr>
        <w:t>Milkie</w:t>
      </w:r>
      <w:proofErr w:type="spellEnd"/>
      <w:r w:rsidRPr="00896BC7">
        <w:rPr>
          <w:i/>
        </w:rPr>
        <w:t xml:space="preserve"> v. Pa.</w:t>
      </w:r>
      <w:r w:rsidR="00CF4243">
        <w:rPr>
          <w:i/>
        </w:rPr>
        <w:t xml:space="preserve"> </w:t>
      </w:r>
      <w:r w:rsidRPr="00896BC7">
        <w:rPr>
          <w:i/>
        </w:rPr>
        <w:t>P</w:t>
      </w:r>
      <w:r w:rsidR="000645C8">
        <w:rPr>
          <w:i/>
        </w:rPr>
        <w:t>ub.</w:t>
      </w:r>
      <w:proofErr w:type="gramEnd"/>
      <w:r w:rsidR="00CF4243">
        <w:rPr>
          <w:i/>
        </w:rPr>
        <w:t xml:space="preserve"> </w:t>
      </w:r>
      <w:proofErr w:type="gramStart"/>
      <w:r w:rsidRPr="00896BC7">
        <w:rPr>
          <w:i/>
        </w:rPr>
        <w:t>U</w:t>
      </w:r>
      <w:r w:rsidR="000645C8">
        <w:rPr>
          <w:i/>
        </w:rPr>
        <w:t>til.</w:t>
      </w:r>
      <w:r w:rsidR="00CF4243">
        <w:rPr>
          <w:i/>
        </w:rPr>
        <w:t xml:space="preserve"> </w:t>
      </w:r>
      <w:proofErr w:type="spellStart"/>
      <w:r w:rsidRPr="00896BC7">
        <w:rPr>
          <w:i/>
        </w:rPr>
        <w:t>C</w:t>
      </w:r>
      <w:r w:rsidR="000645C8">
        <w:rPr>
          <w:i/>
        </w:rPr>
        <w:t>omm'n</w:t>
      </w:r>
      <w:proofErr w:type="spellEnd"/>
      <w:r w:rsidRPr="00896BC7">
        <w:rPr>
          <w:i/>
        </w:rPr>
        <w:t xml:space="preserve">, </w:t>
      </w:r>
      <w:r w:rsidRPr="00896BC7">
        <w:t>768 A.2d 1217 (Pa. Cmwlth. 2001).</w:t>
      </w:r>
      <w:proofErr w:type="gramEnd"/>
    </w:p>
    <w:p w:rsidR="00CE73D9" w:rsidRPr="00896BC7" w:rsidRDefault="00CE73D9" w:rsidP="00CE73D9">
      <w:pPr>
        <w:ind w:firstLine="1440"/>
        <w:jc w:val="left"/>
      </w:pPr>
    </w:p>
    <w:p w:rsidR="00CE73D9" w:rsidRPr="00896BC7" w:rsidRDefault="00CE73D9" w:rsidP="00CE73D9">
      <w:pPr>
        <w:ind w:firstLine="1440"/>
        <w:jc w:val="left"/>
      </w:pPr>
      <w:r w:rsidRPr="00896BC7">
        <w:t>8.</w:t>
      </w:r>
      <w:r w:rsidRPr="00896BC7">
        <w:tab/>
        <w:t>Section 1303 of the Public Utility Code requires that "[A]</w:t>
      </w:r>
      <w:proofErr w:type="spellStart"/>
      <w:r w:rsidRPr="00896BC7">
        <w:t>ny</w:t>
      </w:r>
      <w:proofErr w:type="spellEnd"/>
      <w:r w:rsidRPr="00896BC7">
        <w:t xml:space="preserve"> public utility, having more than one rate applicable to service rendered to a patron, shall, after notice of service conditions, compute bills under the rate most advantageous to the patron."  </w:t>
      </w:r>
      <w:proofErr w:type="gramStart"/>
      <w:r w:rsidRPr="00896BC7">
        <w:t>66 Pa.C.S.</w:t>
      </w:r>
      <w:proofErr w:type="gramEnd"/>
      <w:r w:rsidRPr="00896BC7">
        <w:t xml:space="preserve"> § 1303.</w:t>
      </w:r>
    </w:p>
    <w:p w:rsidR="00CE73D9" w:rsidRPr="00896BC7" w:rsidRDefault="00CE73D9" w:rsidP="00CE73D9">
      <w:pPr>
        <w:ind w:firstLine="1440"/>
        <w:jc w:val="left"/>
      </w:pPr>
    </w:p>
    <w:p w:rsidR="00CE73D9" w:rsidRPr="00896BC7" w:rsidRDefault="00CE73D9" w:rsidP="00CE73D9">
      <w:pPr>
        <w:ind w:firstLine="1440"/>
        <w:jc w:val="left"/>
      </w:pPr>
      <w:r w:rsidRPr="00896BC7">
        <w:t>9.</w:t>
      </w:r>
      <w:r w:rsidRPr="00896BC7">
        <w:tab/>
        <w:t>Complainant has failed to prove that Respondent acted improperly.</w:t>
      </w:r>
    </w:p>
    <w:p w:rsidR="008409D4" w:rsidRPr="00896BC7" w:rsidRDefault="008409D4" w:rsidP="00CE73D9">
      <w:pPr>
        <w:ind w:firstLine="1440"/>
        <w:jc w:val="left"/>
      </w:pPr>
    </w:p>
    <w:p w:rsidR="008409D4" w:rsidRPr="00896BC7" w:rsidRDefault="008409D4" w:rsidP="00CE73D9">
      <w:pPr>
        <w:ind w:firstLine="1440"/>
        <w:jc w:val="left"/>
      </w:pPr>
      <w:r w:rsidRPr="00896BC7">
        <w:lastRenderedPageBreak/>
        <w:t>10.</w:t>
      </w:r>
      <w:r w:rsidRPr="00896BC7">
        <w:tab/>
        <w:t>The Commission may extend a payment agreement to a ratepayer on the outstanding arrearage under the Public Utility Code, 66 Pa.C.S. §1405.</w:t>
      </w:r>
    </w:p>
    <w:p w:rsidR="008409D4" w:rsidRPr="00896BC7" w:rsidRDefault="008409D4" w:rsidP="00CE73D9">
      <w:pPr>
        <w:ind w:firstLine="1440"/>
        <w:jc w:val="left"/>
      </w:pPr>
    </w:p>
    <w:p w:rsidR="008409D4" w:rsidRPr="00896BC7" w:rsidRDefault="008409D4" w:rsidP="00CE73D9">
      <w:pPr>
        <w:ind w:firstLine="1440"/>
        <w:jc w:val="left"/>
      </w:pPr>
      <w:r w:rsidRPr="00896BC7">
        <w:t>11.</w:t>
      </w:r>
      <w:r w:rsidRPr="00896BC7">
        <w:tab/>
        <w:t xml:space="preserve">As Complainant has not had a prior Commission-ordered payment agreement and his gross monthly household income level does not exceed 150% of the Federal Poverty Guidelines, the length of time for repayment may extend to five years.  </w:t>
      </w:r>
      <w:proofErr w:type="gramStart"/>
      <w:r w:rsidRPr="00896BC7">
        <w:t>66 Pa.C.S.</w:t>
      </w:r>
      <w:proofErr w:type="gramEnd"/>
      <w:r w:rsidRPr="00896BC7">
        <w:t xml:space="preserve"> </w:t>
      </w:r>
    </w:p>
    <w:p w:rsidR="008409D4" w:rsidRPr="00896BC7" w:rsidRDefault="008409D4" w:rsidP="008409D4">
      <w:pPr>
        <w:jc w:val="left"/>
      </w:pPr>
      <w:r w:rsidRPr="00896BC7">
        <w:t>§ 1405(b</w:t>
      </w:r>
      <w:proofErr w:type="gramStart"/>
      <w:r w:rsidRPr="00896BC7">
        <w:t>)(</w:t>
      </w:r>
      <w:proofErr w:type="gramEnd"/>
      <w:r w:rsidRPr="00896BC7">
        <w:t>1).</w:t>
      </w:r>
    </w:p>
    <w:p w:rsidR="00CE73D9" w:rsidRPr="00896BC7" w:rsidRDefault="00CE73D9" w:rsidP="00CE73D9">
      <w:pPr>
        <w:ind w:firstLine="1440"/>
        <w:jc w:val="left"/>
      </w:pPr>
    </w:p>
    <w:p w:rsidR="00CE73D9" w:rsidRPr="00896BC7" w:rsidRDefault="00CE73D9" w:rsidP="00FB75DE">
      <w:pPr>
        <w:rPr>
          <w:u w:val="single"/>
        </w:rPr>
      </w:pPr>
      <w:r w:rsidRPr="00896BC7">
        <w:rPr>
          <w:u w:val="single"/>
        </w:rPr>
        <w:t>ORDER</w:t>
      </w:r>
    </w:p>
    <w:p w:rsidR="00CE73D9" w:rsidRDefault="00CE73D9" w:rsidP="00BF3291">
      <w:pPr>
        <w:ind w:firstLine="1440"/>
        <w:rPr>
          <w:u w:val="single"/>
        </w:rPr>
      </w:pPr>
    </w:p>
    <w:p w:rsidR="00BF3291" w:rsidRPr="00896BC7" w:rsidRDefault="00BF3291" w:rsidP="00BF3291">
      <w:pPr>
        <w:ind w:firstLine="1440"/>
        <w:rPr>
          <w:u w:val="single"/>
        </w:rPr>
      </w:pPr>
    </w:p>
    <w:p w:rsidR="00CE73D9" w:rsidRPr="00896BC7" w:rsidRDefault="00CE73D9" w:rsidP="00CE73D9">
      <w:pPr>
        <w:ind w:firstLine="1440"/>
        <w:jc w:val="left"/>
      </w:pPr>
      <w:r w:rsidRPr="00896BC7">
        <w:tab/>
        <w:t>THEREFORE,</w:t>
      </w:r>
    </w:p>
    <w:p w:rsidR="00CE73D9" w:rsidRPr="00896BC7" w:rsidRDefault="00CE73D9" w:rsidP="00BF3291">
      <w:pPr>
        <w:ind w:firstLine="1440"/>
        <w:jc w:val="left"/>
      </w:pPr>
    </w:p>
    <w:p w:rsidR="00CE73D9" w:rsidRPr="00896BC7" w:rsidRDefault="00CE73D9" w:rsidP="00CE73D9">
      <w:pPr>
        <w:ind w:firstLine="1440"/>
        <w:jc w:val="left"/>
      </w:pPr>
      <w:r w:rsidRPr="00896BC7">
        <w:tab/>
        <w:t>IT IS ORDERED:</w:t>
      </w:r>
    </w:p>
    <w:p w:rsidR="00CE73D9" w:rsidRPr="00896BC7" w:rsidRDefault="00CE73D9" w:rsidP="00BF3291">
      <w:pPr>
        <w:ind w:firstLine="1440"/>
        <w:jc w:val="left"/>
      </w:pPr>
    </w:p>
    <w:p w:rsidR="00CE73D9" w:rsidRPr="00896BC7" w:rsidRDefault="00CE73D9" w:rsidP="00CE73D9">
      <w:pPr>
        <w:ind w:firstLine="1440"/>
        <w:jc w:val="left"/>
      </w:pPr>
      <w:r w:rsidRPr="00896BC7">
        <w:t>1.</w:t>
      </w:r>
      <w:r w:rsidRPr="00896BC7">
        <w:tab/>
        <w:t xml:space="preserve">That the Complaint filed by </w:t>
      </w:r>
      <w:proofErr w:type="spellStart"/>
      <w:r w:rsidRPr="00896BC7">
        <w:t>Kujtim</w:t>
      </w:r>
      <w:proofErr w:type="spellEnd"/>
      <w:r w:rsidRPr="00896BC7">
        <w:t xml:space="preserve"> </w:t>
      </w:r>
      <w:proofErr w:type="spellStart"/>
      <w:r w:rsidRPr="00896BC7">
        <w:t>Ballaj</w:t>
      </w:r>
      <w:proofErr w:type="spellEnd"/>
      <w:r w:rsidRPr="00896BC7">
        <w:t xml:space="preserve"> against Philadelphia Gas Works at Docket No. C-2013</w:t>
      </w:r>
      <w:r w:rsidR="000645C8">
        <w:t>-</w:t>
      </w:r>
      <w:proofErr w:type="gramStart"/>
      <w:r w:rsidR="000645C8">
        <w:t>2373</w:t>
      </w:r>
      <w:r w:rsidR="002460F6" w:rsidRPr="00896BC7">
        <w:t>601,</w:t>
      </w:r>
      <w:proofErr w:type="gramEnd"/>
      <w:r w:rsidR="002460F6" w:rsidRPr="00896BC7">
        <w:t xml:space="preserve"> is dismissed</w:t>
      </w:r>
      <w:r w:rsidR="008409D4" w:rsidRPr="00896BC7">
        <w:t xml:space="preserve"> insofar as it seeks a finding that the Philadelphia Gas Works acted improperly in refusing enrollment to its customer assistance program</w:t>
      </w:r>
      <w:r w:rsidR="002460F6" w:rsidRPr="00896BC7">
        <w:t>.</w:t>
      </w:r>
    </w:p>
    <w:p w:rsidR="008409D4" w:rsidRPr="00896BC7" w:rsidRDefault="008409D4" w:rsidP="00BF3291">
      <w:pPr>
        <w:ind w:firstLine="1440"/>
        <w:jc w:val="left"/>
      </w:pPr>
    </w:p>
    <w:p w:rsidR="008409D4" w:rsidRPr="00896BC7" w:rsidRDefault="008409D4" w:rsidP="00CE73D9">
      <w:pPr>
        <w:ind w:firstLine="1440"/>
        <w:jc w:val="left"/>
      </w:pPr>
      <w:r w:rsidRPr="00896BC7">
        <w:t>2.</w:t>
      </w:r>
      <w:r w:rsidRPr="00896BC7">
        <w:tab/>
        <w:t xml:space="preserve">That the Complaint filed by </w:t>
      </w:r>
      <w:proofErr w:type="spellStart"/>
      <w:r w:rsidRPr="00896BC7">
        <w:t>Kujtim</w:t>
      </w:r>
      <w:proofErr w:type="spellEnd"/>
      <w:r w:rsidRPr="00896BC7">
        <w:t xml:space="preserve"> </w:t>
      </w:r>
      <w:proofErr w:type="spellStart"/>
      <w:r w:rsidRPr="00896BC7">
        <w:t>Ballaj</w:t>
      </w:r>
      <w:proofErr w:type="spellEnd"/>
      <w:r w:rsidRPr="00896BC7">
        <w:t xml:space="preserve"> against Philadelphia Gas</w:t>
      </w:r>
      <w:r w:rsidR="000645C8">
        <w:t xml:space="preserve"> Works at Docket No. C-2013-2373</w:t>
      </w:r>
      <w:r w:rsidRPr="00896BC7">
        <w:t>601 is granted insofar a</w:t>
      </w:r>
      <w:r w:rsidR="00BF3291">
        <w:t>s it seeks a payment agreement.</w:t>
      </w:r>
    </w:p>
    <w:p w:rsidR="002460F6" w:rsidRPr="00896BC7" w:rsidRDefault="002460F6" w:rsidP="00BF3291">
      <w:pPr>
        <w:ind w:firstLine="1440"/>
        <w:jc w:val="left"/>
      </w:pPr>
    </w:p>
    <w:p w:rsidR="002460F6" w:rsidRDefault="008409D4" w:rsidP="00BF3291">
      <w:pPr>
        <w:ind w:firstLine="1440"/>
        <w:jc w:val="left"/>
      </w:pPr>
      <w:r w:rsidRPr="00896BC7">
        <w:t>3</w:t>
      </w:r>
      <w:r w:rsidR="002460F6" w:rsidRPr="00896BC7">
        <w:t>.</w:t>
      </w:r>
      <w:r w:rsidR="002460F6" w:rsidRPr="00896BC7">
        <w:tab/>
        <w:t xml:space="preserve">That within thirty (30) days of the date of the Commission's final order, </w:t>
      </w:r>
      <w:proofErr w:type="spellStart"/>
      <w:r w:rsidR="002460F6" w:rsidRPr="00896BC7">
        <w:t>Kujtim</w:t>
      </w:r>
      <w:proofErr w:type="spellEnd"/>
      <w:r w:rsidR="002460F6" w:rsidRPr="00896BC7">
        <w:t xml:space="preserve"> </w:t>
      </w:r>
      <w:proofErr w:type="spellStart"/>
      <w:r w:rsidR="002460F6" w:rsidRPr="00896BC7">
        <w:t>Ballaj</w:t>
      </w:r>
      <w:proofErr w:type="spellEnd"/>
      <w:r w:rsidR="002460F6" w:rsidRPr="00896BC7">
        <w:t xml:space="preserve"> shall choose one of the two options listed below and inform Philadelphia Gas Works of his choice</w:t>
      </w:r>
      <w:r w:rsidRPr="00896BC7">
        <w:t xml:space="preserve">. </w:t>
      </w:r>
      <w:r w:rsidR="00BF3291">
        <w:t xml:space="preserve"> </w:t>
      </w:r>
      <w:r w:rsidRPr="00896BC7">
        <w:t>Either</w:t>
      </w:r>
      <w:r w:rsidR="002460F6" w:rsidRPr="00896BC7">
        <w:t>:</w:t>
      </w:r>
    </w:p>
    <w:p w:rsidR="00BF3291" w:rsidRPr="00896BC7" w:rsidRDefault="00BF3291" w:rsidP="00BF3291">
      <w:pPr>
        <w:ind w:firstLine="1440"/>
        <w:jc w:val="left"/>
      </w:pPr>
    </w:p>
    <w:p w:rsidR="002460F6" w:rsidRPr="00896BC7" w:rsidRDefault="00BF3291" w:rsidP="002460F6">
      <w:pPr>
        <w:spacing w:line="240" w:lineRule="auto"/>
        <w:ind w:left="1440"/>
        <w:jc w:val="left"/>
      </w:pPr>
      <w:r>
        <w:t xml:space="preserve">(a) </w:t>
      </w:r>
      <w:proofErr w:type="spellStart"/>
      <w:r w:rsidR="008409D4" w:rsidRPr="00896BC7">
        <w:t>Kujtim</w:t>
      </w:r>
      <w:proofErr w:type="spellEnd"/>
      <w:r w:rsidR="008409D4" w:rsidRPr="00896BC7">
        <w:t xml:space="preserve"> </w:t>
      </w:r>
      <w:proofErr w:type="spellStart"/>
      <w:r w:rsidR="008409D4" w:rsidRPr="00896BC7">
        <w:t>Ballaj</w:t>
      </w:r>
      <w:proofErr w:type="spellEnd"/>
      <w:r w:rsidR="008409D4" w:rsidRPr="00896BC7">
        <w:t xml:space="preserve"> will </w:t>
      </w:r>
      <w:r w:rsidR="002460F6" w:rsidRPr="00896BC7">
        <w:t xml:space="preserve">pay the entire arrearage and </w:t>
      </w:r>
      <w:r w:rsidR="008409D4" w:rsidRPr="00896BC7">
        <w:t xml:space="preserve">be </w:t>
      </w:r>
      <w:r w:rsidR="002460F6" w:rsidRPr="00896BC7">
        <w:t>bill</w:t>
      </w:r>
      <w:r w:rsidR="008409D4" w:rsidRPr="00896BC7">
        <w:t xml:space="preserve">ed </w:t>
      </w:r>
      <w:r w:rsidR="002460F6" w:rsidRPr="00896BC7">
        <w:t xml:space="preserve">for actual usage each billing cycle; or </w:t>
      </w:r>
    </w:p>
    <w:p w:rsidR="002460F6" w:rsidRPr="00896BC7" w:rsidRDefault="002460F6" w:rsidP="002460F6">
      <w:pPr>
        <w:spacing w:line="240" w:lineRule="auto"/>
        <w:ind w:left="1440"/>
        <w:jc w:val="left"/>
      </w:pPr>
    </w:p>
    <w:p w:rsidR="002460F6" w:rsidRPr="00896BC7" w:rsidRDefault="002460F6" w:rsidP="002460F6">
      <w:pPr>
        <w:spacing w:line="240" w:lineRule="auto"/>
        <w:ind w:left="1440"/>
        <w:jc w:val="left"/>
      </w:pPr>
      <w:r w:rsidRPr="00896BC7">
        <w:t xml:space="preserve">(b) </w:t>
      </w:r>
      <w:proofErr w:type="spellStart"/>
      <w:r w:rsidR="008409D4" w:rsidRPr="00896BC7">
        <w:t>Kujtim</w:t>
      </w:r>
      <w:proofErr w:type="spellEnd"/>
      <w:r w:rsidR="008409D4" w:rsidRPr="00896BC7">
        <w:t xml:space="preserve"> </w:t>
      </w:r>
      <w:proofErr w:type="spellStart"/>
      <w:r w:rsidR="008409D4" w:rsidRPr="00896BC7">
        <w:t>Ballaj</w:t>
      </w:r>
      <w:proofErr w:type="spellEnd"/>
      <w:r w:rsidR="008409D4" w:rsidRPr="00896BC7">
        <w:t xml:space="preserve"> </w:t>
      </w:r>
      <w:r w:rsidRPr="00896BC7">
        <w:t>agree</w:t>
      </w:r>
      <w:r w:rsidR="008409D4" w:rsidRPr="00896BC7">
        <w:t>s</w:t>
      </w:r>
      <w:r w:rsidRPr="00896BC7">
        <w:t xml:space="preserve"> to budget billing for </w:t>
      </w:r>
      <w:r w:rsidR="008409D4" w:rsidRPr="00896BC7">
        <w:t>a consistent</w:t>
      </w:r>
      <w:r w:rsidR="006C1C2F">
        <w:t xml:space="preserve"> monthly payment plus </w:t>
      </w:r>
      <w:r w:rsidRPr="00896BC7">
        <w:t>1/60</w:t>
      </w:r>
      <w:r w:rsidRPr="00896BC7">
        <w:rPr>
          <w:vertAlign w:val="superscript"/>
        </w:rPr>
        <w:t>th</w:t>
      </w:r>
      <w:r w:rsidRPr="00896BC7">
        <w:t xml:space="preserve"> of the arrearage each month until the</w:t>
      </w:r>
      <w:r w:rsidR="008409D4" w:rsidRPr="00896BC7">
        <w:t xml:space="preserve"> arrearage is paid off</w:t>
      </w:r>
      <w:r w:rsidRPr="00896BC7">
        <w:t>.</w:t>
      </w:r>
    </w:p>
    <w:p w:rsidR="002460F6" w:rsidRPr="00896BC7" w:rsidRDefault="002460F6" w:rsidP="006C1C2F">
      <w:pPr>
        <w:jc w:val="left"/>
      </w:pPr>
    </w:p>
    <w:p w:rsidR="002460F6" w:rsidRPr="00896BC7" w:rsidRDefault="008409D4" w:rsidP="00CE73D9">
      <w:pPr>
        <w:ind w:firstLine="1440"/>
        <w:jc w:val="left"/>
      </w:pPr>
      <w:r w:rsidRPr="00896BC7">
        <w:lastRenderedPageBreak/>
        <w:t>4</w:t>
      </w:r>
      <w:r w:rsidR="002460F6" w:rsidRPr="00896BC7">
        <w:t>.</w:t>
      </w:r>
      <w:r w:rsidR="002460F6" w:rsidRPr="00896BC7">
        <w:tab/>
        <w:t xml:space="preserve">That if </w:t>
      </w:r>
      <w:proofErr w:type="spellStart"/>
      <w:r w:rsidR="002460F6" w:rsidRPr="00896BC7">
        <w:t>Kujtim</w:t>
      </w:r>
      <w:proofErr w:type="spellEnd"/>
      <w:r w:rsidR="002460F6" w:rsidRPr="00896BC7">
        <w:t xml:space="preserve"> </w:t>
      </w:r>
      <w:proofErr w:type="spellStart"/>
      <w:r w:rsidR="002460F6" w:rsidRPr="00896BC7">
        <w:t>Ballaj</w:t>
      </w:r>
      <w:proofErr w:type="spellEnd"/>
      <w:r w:rsidR="002460F6" w:rsidRPr="00896BC7">
        <w:t xml:space="preserve"> does not inform Philadelphia Gas Works of his choice in Ordering Paragraph 3 within thirty (30) days of the date of the Commission's final order in this matter, Philadelphia Gas Works may place </w:t>
      </w:r>
      <w:proofErr w:type="spellStart"/>
      <w:r w:rsidR="002460F6" w:rsidRPr="00896BC7">
        <w:t>Kujtim</w:t>
      </w:r>
      <w:proofErr w:type="spellEnd"/>
      <w:r w:rsidR="002460F6" w:rsidRPr="00896BC7">
        <w:t xml:space="preserve"> </w:t>
      </w:r>
      <w:proofErr w:type="spellStart"/>
      <w:r w:rsidR="002460F6" w:rsidRPr="00896BC7">
        <w:t>Ballaj</w:t>
      </w:r>
      <w:proofErr w:type="spellEnd"/>
      <w:r w:rsidR="002460F6" w:rsidRPr="00896BC7">
        <w:t xml:space="preserve"> on regular billing and require the payment of the entire arrearage.</w:t>
      </w:r>
    </w:p>
    <w:p w:rsidR="002460F6" w:rsidRPr="00896BC7" w:rsidRDefault="002460F6" w:rsidP="006C1C2F">
      <w:pPr>
        <w:ind w:firstLine="1440"/>
        <w:jc w:val="left"/>
      </w:pPr>
    </w:p>
    <w:p w:rsidR="002460F6" w:rsidRPr="00896BC7" w:rsidRDefault="008409D4" w:rsidP="00CE73D9">
      <w:pPr>
        <w:ind w:firstLine="1440"/>
        <w:jc w:val="left"/>
      </w:pPr>
      <w:r w:rsidRPr="00896BC7">
        <w:t>5</w:t>
      </w:r>
      <w:r w:rsidR="002460F6" w:rsidRPr="00896BC7">
        <w:t>.</w:t>
      </w:r>
      <w:r w:rsidR="002460F6" w:rsidRPr="00896BC7">
        <w:tab/>
        <w:t xml:space="preserve">That the Secretary </w:t>
      </w:r>
      <w:proofErr w:type="gramStart"/>
      <w:r w:rsidR="002460F6" w:rsidRPr="00896BC7">
        <w:t>mark</w:t>
      </w:r>
      <w:proofErr w:type="gramEnd"/>
      <w:r w:rsidR="002460F6" w:rsidRPr="00896BC7">
        <w:t xml:space="preserve"> this docket closed.</w:t>
      </w:r>
    </w:p>
    <w:p w:rsidR="002460F6" w:rsidRDefault="002460F6" w:rsidP="006C1C2F">
      <w:pPr>
        <w:ind w:firstLine="1440"/>
        <w:jc w:val="left"/>
      </w:pPr>
    </w:p>
    <w:p w:rsidR="006C1C2F" w:rsidRPr="00896BC7" w:rsidRDefault="006C1C2F" w:rsidP="006C1C2F">
      <w:pPr>
        <w:ind w:firstLine="1440"/>
        <w:jc w:val="left"/>
      </w:pPr>
    </w:p>
    <w:p w:rsidR="002460F6" w:rsidRPr="00896BC7" w:rsidRDefault="002460F6" w:rsidP="002460F6">
      <w:pPr>
        <w:spacing w:line="240" w:lineRule="auto"/>
        <w:jc w:val="left"/>
      </w:pPr>
      <w:r w:rsidRPr="00896BC7">
        <w:t>Dated:</w:t>
      </w:r>
      <w:r w:rsidRPr="00896BC7">
        <w:tab/>
      </w:r>
      <w:r w:rsidRPr="00896BC7">
        <w:rPr>
          <w:u w:val="single"/>
        </w:rPr>
        <w:t>December 1</w:t>
      </w:r>
      <w:r w:rsidR="00DF1CCA" w:rsidRPr="00896BC7">
        <w:rPr>
          <w:u w:val="single"/>
        </w:rPr>
        <w:t>3</w:t>
      </w:r>
      <w:r w:rsidRPr="00896BC7">
        <w:rPr>
          <w:u w:val="single"/>
        </w:rPr>
        <w:t>, 2013</w:t>
      </w:r>
      <w:r w:rsidRPr="00896BC7">
        <w:tab/>
      </w:r>
      <w:r w:rsidRPr="00896BC7">
        <w:tab/>
      </w:r>
      <w:r w:rsidRPr="00896BC7">
        <w:tab/>
      </w:r>
      <w:r w:rsidRPr="00896BC7">
        <w:tab/>
        <w:t>___</w:t>
      </w:r>
      <w:r w:rsidR="000645C8">
        <w:rPr>
          <w:u w:val="single"/>
        </w:rPr>
        <w:t>/</w:t>
      </w:r>
      <w:r w:rsidR="000645C8">
        <w:rPr>
          <w:rFonts w:ascii="Berlin Sans FB" w:hAnsi="Berlin Sans FB"/>
          <w:u w:val="single"/>
        </w:rPr>
        <w:t>s</w:t>
      </w:r>
      <w:r w:rsidR="000645C8">
        <w:rPr>
          <w:u w:val="single"/>
        </w:rPr>
        <w:t>/</w:t>
      </w:r>
      <w:r w:rsidRPr="00896BC7">
        <w:t>_____________________________</w:t>
      </w:r>
    </w:p>
    <w:p w:rsidR="002460F6" w:rsidRPr="00896BC7" w:rsidRDefault="002460F6" w:rsidP="002460F6">
      <w:pPr>
        <w:spacing w:line="240" w:lineRule="auto"/>
        <w:jc w:val="left"/>
      </w:pPr>
      <w:r w:rsidRPr="00896BC7">
        <w:tab/>
      </w:r>
      <w:r w:rsidRPr="00896BC7">
        <w:tab/>
      </w:r>
      <w:r w:rsidRPr="00896BC7">
        <w:tab/>
      </w:r>
      <w:r w:rsidRPr="00896BC7">
        <w:tab/>
      </w:r>
      <w:r w:rsidRPr="00896BC7">
        <w:tab/>
      </w:r>
      <w:r w:rsidRPr="00896BC7">
        <w:tab/>
      </w:r>
      <w:r w:rsidRPr="00896BC7">
        <w:tab/>
        <w:t>Susan D. Colwell</w:t>
      </w:r>
    </w:p>
    <w:p w:rsidR="002460F6" w:rsidRPr="00896BC7" w:rsidRDefault="002460F6" w:rsidP="002460F6">
      <w:pPr>
        <w:spacing w:line="240" w:lineRule="auto"/>
        <w:jc w:val="left"/>
      </w:pPr>
      <w:r w:rsidRPr="00896BC7">
        <w:tab/>
      </w:r>
      <w:r w:rsidRPr="00896BC7">
        <w:tab/>
      </w:r>
      <w:r w:rsidRPr="00896BC7">
        <w:tab/>
      </w:r>
      <w:r w:rsidRPr="00896BC7">
        <w:tab/>
      </w:r>
      <w:r w:rsidRPr="00896BC7">
        <w:tab/>
      </w:r>
      <w:r w:rsidRPr="00896BC7">
        <w:tab/>
      </w:r>
      <w:r w:rsidRPr="00896BC7">
        <w:tab/>
        <w:t>Administrative Law Judge</w:t>
      </w:r>
      <w:r w:rsidRPr="00896BC7">
        <w:tab/>
      </w:r>
      <w:r w:rsidRPr="00896BC7">
        <w:tab/>
      </w:r>
    </w:p>
    <w:p w:rsidR="00CE73D9" w:rsidRPr="00896BC7" w:rsidRDefault="00CE73D9" w:rsidP="00CE73D9">
      <w:pPr>
        <w:jc w:val="left"/>
      </w:pPr>
    </w:p>
    <w:p w:rsidR="000C0883" w:rsidRPr="00896BC7" w:rsidRDefault="000C0883" w:rsidP="00A248EC">
      <w:pPr>
        <w:jc w:val="left"/>
      </w:pPr>
      <w:r w:rsidRPr="00896BC7">
        <w:tab/>
      </w:r>
      <w:r w:rsidRPr="00896BC7">
        <w:tab/>
      </w:r>
    </w:p>
    <w:p w:rsidR="000615A9" w:rsidRPr="00896BC7" w:rsidRDefault="000615A9" w:rsidP="00A248EC">
      <w:pPr>
        <w:jc w:val="left"/>
      </w:pPr>
    </w:p>
    <w:p w:rsidR="000615A9" w:rsidRPr="00896BC7" w:rsidRDefault="000615A9" w:rsidP="00A248EC">
      <w:pPr>
        <w:jc w:val="left"/>
      </w:pPr>
      <w:r w:rsidRPr="00896BC7">
        <w:tab/>
      </w:r>
      <w:r w:rsidRPr="00896BC7">
        <w:tab/>
        <w:t xml:space="preserve"> </w:t>
      </w:r>
    </w:p>
    <w:sectPr w:rsidR="000615A9" w:rsidRPr="00896BC7" w:rsidSect="002460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71" w:rsidRDefault="00777C71" w:rsidP="00AF0B69">
      <w:pPr>
        <w:spacing w:line="240" w:lineRule="auto"/>
      </w:pPr>
      <w:r>
        <w:separator/>
      </w:r>
    </w:p>
  </w:endnote>
  <w:endnote w:type="continuationSeparator" w:id="0">
    <w:p w:rsidR="00777C71" w:rsidRDefault="00777C71" w:rsidP="00AF0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72515"/>
      <w:docPartObj>
        <w:docPartGallery w:val="Page Numbers (Bottom of Page)"/>
        <w:docPartUnique/>
      </w:docPartObj>
    </w:sdtPr>
    <w:sdtEndPr>
      <w:rPr>
        <w:noProof/>
        <w:sz w:val="20"/>
        <w:szCs w:val="20"/>
      </w:rPr>
    </w:sdtEndPr>
    <w:sdtContent>
      <w:p w:rsidR="002460F6" w:rsidRPr="00252315" w:rsidRDefault="002460F6" w:rsidP="00252315">
        <w:pPr>
          <w:pStyle w:val="Footer"/>
          <w:rPr>
            <w:sz w:val="20"/>
            <w:szCs w:val="20"/>
          </w:rPr>
        </w:pPr>
        <w:r w:rsidRPr="00252315">
          <w:rPr>
            <w:sz w:val="20"/>
            <w:szCs w:val="20"/>
          </w:rPr>
          <w:fldChar w:fldCharType="begin"/>
        </w:r>
        <w:r w:rsidRPr="00252315">
          <w:rPr>
            <w:sz w:val="20"/>
            <w:szCs w:val="20"/>
          </w:rPr>
          <w:instrText xml:space="preserve"> PAGE   \* MERGEFORMAT </w:instrText>
        </w:r>
        <w:r w:rsidRPr="00252315">
          <w:rPr>
            <w:sz w:val="20"/>
            <w:szCs w:val="20"/>
          </w:rPr>
          <w:fldChar w:fldCharType="separate"/>
        </w:r>
        <w:r w:rsidR="00CF4243">
          <w:rPr>
            <w:noProof/>
            <w:sz w:val="20"/>
            <w:szCs w:val="20"/>
          </w:rPr>
          <w:t>14</w:t>
        </w:r>
        <w:r w:rsidRPr="0025231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71" w:rsidRDefault="00777C71" w:rsidP="00AF0B69">
      <w:pPr>
        <w:spacing w:line="240" w:lineRule="auto"/>
      </w:pPr>
      <w:r>
        <w:separator/>
      </w:r>
    </w:p>
  </w:footnote>
  <w:footnote w:type="continuationSeparator" w:id="0">
    <w:p w:rsidR="00777C71" w:rsidRDefault="00777C71" w:rsidP="00AF0B69">
      <w:pPr>
        <w:spacing w:line="240" w:lineRule="auto"/>
      </w:pPr>
      <w:r>
        <w:continuationSeparator/>
      </w:r>
    </w:p>
  </w:footnote>
  <w:footnote w:id="1">
    <w:p w:rsidR="00AF0B69" w:rsidRDefault="00AF0B69" w:rsidP="00AF0B69">
      <w:pPr>
        <w:pStyle w:val="FootnoteText"/>
        <w:jc w:val="left"/>
      </w:pPr>
      <w:r>
        <w:rPr>
          <w:rStyle w:val="FootnoteReference"/>
        </w:rPr>
        <w:footnoteRef/>
      </w:r>
      <w:r>
        <w:t xml:space="preserve"> </w:t>
      </w:r>
      <w:proofErr w:type="gramStart"/>
      <w:r>
        <w:t>Based on a household income of $1,600 and four people in his household.</w:t>
      </w:r>
      <w:proofErr w:type="gramEnd"/>
      <w:r>
        <w:t xml:space="preserve">  </w:t>
      </w:r>
      <w:proofErr w:type="gramStart"/>
      <w:r>
        <w:t>Tr. 23.</w:t>
      </w:r>
      <w:proofErr w:type="gramEnd"/>
    </w:p>
  </w:footnote>
  <w:footnote w:id="2">
    <w:p w:rsidR="00AF0B69" w:rsidRDefault="00AF0B69" w:rsidP="00AF0B69">
      <w:pPr>
        <w:pStyle w:val="FootnoteText"/>
        <w:jc w:val="left"/>
      </w:pPr>
      <w:r>
        <w:rPr>
          <w:rStyle w:val="FootnoteReference"/>
        </w:rPr>
        <w:footnoteRef/>
      </w:r>
      <w:r>
        <w:t xml:space="preserve"> </w:t>
      </w:r>
      <w:proofErr w:type="gramStart"/>
      <w:r>
        <w:t>Based on a household income of $1,816.00 with three people in his household.</w:t>
      </w:r>
      <w:proofErr w:type="gramEnd"/>
      <w:r>
        <w:t xml:space="preserve">  </w:t>
      </w:r>
      <w:proofErr w:type="gramStart"/>
      <w:r>
        <w:t>Tr. 26.</w:t>
      </w:r>
      <w:proofErr w:type="gramEnd"/>
    </w:p>
  </w:footnote>
  <w:footnote w:id="3">
    <w:p w:rsidR="00F04C46" w:rsidRDefault="00F04C46" w:rsidP="00F04C46">
      <w:pPr>
        <w:pStyle w:val="FootnoteText"/>
        <w:jc w:val="left"/>
      </w:pPr>
      <w:r>
        <w:rPr>
          <w:rStyle w:val="FootnoteReference"/>
        </w:rPr>
        <w:footnoteRef/>
      </w:r>
      <w:r>
        <w:t xml:space="preserve"> </w:t>
      </w:r>
      <w:proofErr w:type="gramStart"/>
      <w:r>
        <w:t>Based on an income of $1,156.00 for a household of three people.</w:t>
      </w:r>
      <w:proofErr w:type="gramEnd"/>
      <w:r>
        <w:t xml:space="preserve">  </w:t>
      </w:r>
      <w:proofErr w:type="gramStart"/>
      <w:r>
        <w:t>Tr. 26.</w:t>
      </w:r>
      <w:proofErr w:type="gramEnd"/>
    </w:p>
  </w:footnote>
  <w:footnote w:id="4">
    <w:p w:rsidR="000615A9" w:rsidRDefault="000615A9" w:rsidP="000615A9">
      <w:pPr>
        <w:pStyle w:val="FootnoteText"/>
        <w:jc w:val="left"/>
      </w:pPr>
      <w:r>
        <w:rPr>
          <w:rStyle w:val="FootnoteReference"/>
        </w:rPr>
        <w:footnoteRef/>
      </w:r>
      <w:r>
        <w:t xml:space="preserve"> </w:t>
      </w:r>
      <w:proofErr w:type="gramStart"/>
      <w:r>
        <w:t>Based on an income of $1,790.00 for a household of five people.</w:t>
      </w:r>
      <w:proofErr w:type="gramEnd"/>
      <w:r>
        <w:t xml:space="preserve">  </w:t>
      </w:r>
      <w:proofErr w:type="gramStart"/>
      <w:r>
        <w:t>Tr. 27.</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E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4F5E"/>
    <w:rsid w:val="00035BB8"/>
    <w:rsid w:val="000372C5"/>
    <w:rsid w:val="00037484"/>
    <w:rsid w:val="000377F5"/>
    <w:rsid w:val="00037E0F"/>
    <w:rsid w:val="00040EB6"/>
    <w:rsid w:val="00043510"/>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5A9"/>
    <w:rsid w:val="000634EB"/>
    <w:rsid w:val="00063801"/>
    <w:rsid w:val="000645C8"/>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0883"/>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56FA"/>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3"/>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0FA1"/>
    <w:rsid w:val="002019B1"/>
    <w:rsid w:val="00201E65"/>
    <w:rsid w:val="00205C33"/>
    <w:rsid w:val="0020673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DF6"/>
    <w:rsid w:val="002241D0"/>
    <w:rsid w:val="00224756"/>
    <w:rsid w:val="0022478F"/>
    <w:rsid w:val="00227A4A"/>
    <w:rsid w:val="00230CC6"/>
    <w:rsid w:val="002313FE"/>
    <w:rsid w:val="00231911"/>
    <w:rsid w:val="002337D7"/>
    <w:rsid w:val="00234DEB"/>
    <w:rsid w:val="0023584A"/>
    <w:rsid w:val="00236C44"/>
    <w:rsid w:val="00240343"/>
    <w:rsid w:val="002403E6"/>
    <w:rsid w:val="002422D0"/>
    <w:rsid w:val="00245181"/>
    <w:rsid w:val="002451F7"/>
    <w:rsid w:val="002455CC"/>
    <w:rsid w:val="002460F6"/>
    <w:rsid w:val="00246523"/>
    <w:rsid w:val="0024777B"/>
    <w:rsid w:val="00247CE0"/>
    <w:rsid w:val="002502F2"/>
    <w:rsid w:val="00250571"/>
    <w:rsid w:val="00251E5A"/>
    <w:rsid w:val="00252315"/>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732"/>
    <w:rsid w:val="002748C2"/>
    <w:rsid w:val="002752C3"/>
    <w:rsid w:val="00275659"/>
    <w:rsid w:val="002761E2"/>
    <w:rsid w:val="00277591"/>
    <w:rsid w:val="00283282"/>
    <w:rsid w:val="00283644"/>
    <w:rsid w:val="00284760"/>
    <w:rsid w:val="00286A34"/>
    <w:rsid w:val="002871C2"/>
    <w:rsid w:val="00287CB1"/>
    <w:rsid w:val="0029096F"/>
    <w:rsid w:val="00290AD2"/>
    <w:rsid w:val="00291B61"/>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C6E51"/>
    <w:rsid w:val="002D0E4D"/>
    <w:rsid w:val="002D11F2"/>
    <w:rsid w:val="002D1E71"/>
    <w:rsid w:val="002D29B0"/>
    <w:rsid w:val="002D6B36"/>
    <w:rsid w:val="002D7136"/>
    <w:rsid w:val="002D7978"/>
    <w:rsid w:val="002E2283"/>
    <w:rsid w:val="002E2CAD"/>
    <w:rsid w:val="002E32C2"/>
    <w:rsid w:val="002E43C0"/>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5"/>
    <w:rsid w:val="003156D7"/>
    <w:rsid w:val="00317261"/>
    <w:rsid w:val="0032130D"/>
    <w:rsid w:val="00321DB1"/>
    <w:rsid w:val="00326EEE"/>
    <w:rsid w:val="00326F3E"/>
    <w:rsid w:val="0032755F"/>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8A2"/>
    <w:rsid w:val="003643C9"/>
    <w:rsid w:val="0036471E"/>
    <w:rsid w:val="003657F1"/>
    <w:rsid w:val="00365826"/>
    <w:rsid w:val="00365A2F"/>
    <w:rsid w:val="00365A8C"/>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3EA"/>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8EB"/>
    <w:rsid w:val="004D38F8"/>
    <w:rsid w:val="004D4A68"/>
    <w:rsid w:val="004D5646"/>
    <w:rsid w:val="004D631E"/>
    <w:rsid w:val="004D6D13"/>
    <w:rsid w:val="004D6DCE"/>
    <w:rsid w:val="004D7D11"/>
    <w:rsid w:val="004E1B61"/>
    <w:rsid w:val="004E1FD5"/>
    <w:rsid w:val="004E23ED"/>
    <w:rsid w:val="004E429F"/>
    <w:rsid w:val="004E60E4"/>
    <w:rsid w:val="004E7F98"/>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34F"/>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03"/>
    <w:rsid w:val="005472EC"/>
    <w:rsid w:val="00547C82"/>
    <w:rsid w:val="0055122B"/>
    <w:rsid w:val="00552915"/>
    <w:rsid w:val="005534BD"/>
    <w:rsid w:val="00560097"/>
    <w:rsid w:val="00561FAA"/>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096"/>
    <w:rsid w:val="005A168D"/>
    <w:rsid w:val="005A1839"/>
    <w:rsid w:val="005A2923"/>
    <w:rsid w:val="005A3759"/>
    <w:rsid w:val="005A44D9"/>
    <w:rsid w:val="005A5826"/>
    <w:rsid w:val="005A6ADE"/>
    <w:rsid w:val="005B3D45"/>
    <w:rsid w:val="005B57D6"/>
    <w:rsid w:val="005B78C4"/>
    <w:rsid w:val="005C373B"/>
    <w:rsid w:val="005C3DD2"/>
    <w:rsid w:val="005C4AAA"/>
    <w:rsid w:val="005C610A"/>
    <w:rsid w:val="005D1442"/>
    <w:rsid w:val="005D1922"/>
    <w:rsid w:val="005D2788"/>
    <w:rsid w:val="005D4281"/>
    <w:rsid w:val="005D6E32"/>
    <w:rsid w:val="005E06D4"/>
    <w:rsid w:val="005E1521"/>
    <w:rsid w:val="005E3359"/>
    <w:rsid w:val="005E3768"/>
    <w:rsid w:val="005E448D"/>
    <w:rsid w:val="005F064D"/>
    <w:rsid w:val="005F512E"/>
    <w:rsid w:val="005F5A21"/>
    <w:rsid w:val="005F6A04"/>
    <w:rsid w:val="005F73C8"/>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6A0B"/>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1C2F"/>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B8E"/>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328"/>
    <w:rsid w:val="00704A16"/>
    <w:rsid w:val="00705262"/>
    <w:rsid w:val="00705CA5"/>
    <w:rsid w:val="0070653C"/>
    <w:rsid w:val="00706ED7"/>
    <w:rsid w:val="00710289"/>
    <w:rsid w:val="00713444"/>
    <w:rsid w:val="0071374E"/>
    <w:rsid w:val="00714B6A"/>
    <w:rsid w:val="00716D0A"/>
    <w:rsid w:val="00717AF6"/>
    <w:rsid w:val="00720157"/>
    <w:rsid w:val="00720579"/>
    <w:rsid w:val="0072146D"/>
    <w:rsid w:val="00721ECF"/>
    <w:rsid w:val="00722D13"/>
    <w:rsid w:val="007230FE"/>
    <w:rsid w:val="00724728"/>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77C71"/>
    <w:rsid w:val="00780546"/>
    <w:rsid w:val="00781AFB"/>
    <w:rsid w:val="00782461"/>
    <w:rsid w:val="0078261F"/>
    <w:rsid w:val="007833DA"/>
    <w:rsid w:val="00783492"/>
    <w:rsid w:val="00784522"/>
    <w:rsid w:val="0078470A"/>
    <w:rsid w:val="00784C15"/>
    <w:rsid w:val="0078583D"/>
    <w:rsid w:val="00785939"/>
    <w:rsid w:val="00785D73"/>
    <w:rsid w:val="00786C6E"/>
    <w:rsid w:val="00786FA8"/>
    <w:rsid w:val="00787AF1"/>
    <w:rsid w:val="0079132B"/>
    <w:rsid w:val="0079360E"/>
    <w:rsid w:val="00795245"/>
    <w:rsid w:val="00795E03"/>
    <w:rsid w:val="007969E6"/>
    <w:rsid w:val="00796DA1"/>
    <w:rsid w:val="007A020E"/>
    <w:rsid w:val="007A2C57"/>
    <w:rsid w:val="007A3440"/>
    <w:rsid w:val="007A34B3"/>
    <w:rsid w:val="007A3AF8"/>
    <w:rsid w:val="007B1039"/>
    <w:rsid w:val="007B1644"/>
    <w:rsid w:val="007B33F8"/>
    <w:rsid w:val="007B3B6F"/>
    <w:rsid w:val="007B3F3D"/>
    <w:rsid w:val="007B413B"/>
    <w:rsid w:val="007B4FD7"/>
    <w:rsid w:val="007B5461"/>
    <w:rsid w:val="007B56E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1C9"/>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272EB"/>
    <w:rsid w:val="008307DB"/>
    <w:rsid w:val="00830A48"/>
    <w:rsid w:val="00833331"/>
    <w:rsid w:val="00833C36"/>
    <w:rsid w:val="00834B96"/>
    <w:rsid w:val="00836409"/>
    <w:rsid w:val="00836415"/>
    <w:rsid w:val="00836B47"/>
    <w:rsid w:val="008409D4"/>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1E1D"/>
    <w:rsid w:val="00893901"/>
    <w:rsid w:val="0089667B"/>
    <w:rsid w:val="00896BC7"/>
    <w:rsid w:val="0089728F"/>
    <w:rsid w:val="008A0874"/>
    <w:rsid w:val="008A0FF6"/>
    <w:rsid w:val="008A28F5"/>
    <w:rsid w:val="008A51AD"/>
    <w:rsid w:val="008B1F8C"/>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4C4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2B85"/>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0DC9"/>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602A"/>
    <w:rsid w:val="00987014"/>
    <w:rsid w:val="009871AC"/>
    <w:rsid w:val="00990892"/>
    <w:rsid w:val="00990934"/>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538"/>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EE8"/>
    <w:rsid w:val="00A12531"/>
    <w:rsid w:val="00A13C95"/>
    <w:rsid w:val="00A15615"/>
    <w:rsid w:val="00A1707A"/>
    <w:rsid w:val="00A215E2"/>
    <w:rsid w:val="00A2164F"/>
    <w:rsid w:val="00A23803"/>
    <w:rsid w:val="00A248EC"/>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5EED"/>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C68"/>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B7436"/>
    <w:rsid w:val="00AC0D42"/>
    <w:rsid w:val="00AC2C30"/>
    <w:rsid w:val="00AC350C"/>
    <w:rsid w:val="00AC3558"/>
    <w:rsid w:val="00AC3A1B"/>
    <w:rsid w:val="00AC46EE"/>
    <w:rsid w:val="00AC5254"/>
    <w:rsid w:val="00AC701A"/>
    <w:rsid w:val="00AC74A3"/>
    <w:rsid w:val="00AC7DAD"/>
    <w:rsid w:val="00AD02BB"/>
    <w:rsid w:val="00AD0393"/>
    <w:rsid w:val="00AD11DB"/>
    <w:rsid w:val="00AD2C8C"/>
    <w:rsid w:val="00AD344D"/>
    <w:rsid w:val="00AD3F55"/>
    <w:rsid w:val="00AD49BE"/>
    <w:rsid w:val="00AD4CFD"/>
    <w:rsid w:val="00AD53F5"/>
    <w:rsid w:val="00AD5E7B"/>
    <w:rsid w:val="00AD7989"/>
    <w:rsid w:val="00AE0BFC"/>
    <w:rsid w:val="00AE1A08"/>
    <w:rsid w:val="00AE1BBA"/>
    <w:rsid w:val="00AE4BA3"/>
    <w:rsid w:val="00AE7E8A"/>
    <w:rsid w:val="00AF0B69"/>
    <w:rsid w:val="00AF32D8"/>
    <w:rsid w:val="00AF3F64"/>
    <w:rsid w:val="00AF40CA"/>
    <w:rsid w:val="00AF4C64"/>
    <w:rsid w:val="00AF70FF"/>
    <w:rsid w:val="00B01BE5"/>
    <w:rsid w:val="00B02385"/>
    <w:rsid w:val="00B03878"/>
    <w:rsid w:val="00B048FF"/>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47F55"/>
    <w:rsid w:val="00B55869"/>
    <w:rsid w:val="00B567F1"/>
    <w:rsid w:val="00B569FA"/>
    <w:rsid w:val="00B5717B"/>
    <w:rsid w:val="00B571D3"/>
    <w:rsid w:val="00B60E2D"/>
    <w:rsid w:val="00B635A5"/>
    <w:rsid w:val="00B63BE5"/>
    <w:rsid w:val="00B64CAA"/>
    <w:rsid w:val="00B66D36"/>
    <w:rsid w:val="00B70273"/>
    <w:rsid w:val="00B713E8"/>
    <w:rsid w:val="00B7272B"/>
    <w:rsid w:val="00B732FB"/>
    <w:rsid w:val="00B7342D"/>
    <w:rsid w:val="00B73BCE"/>
    <w:rsid w:val="00B7490A"/>
    <w:rsid w:val="00B752B3"/>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97C0E"/>
    <w:rsid w:val="00BA1322"/>
    <w:rsid w:val="00BA25FD"/>
    <w:rsid w:val="00BA2D85"/>
    <w:rsid w:val="00BA3AA7"/>
    <w:rsid w:val="00BA3C3F"/>
    <w:rsid w:val="00BA5CEA"/>
    <w:rsid w:val="00BA690D"/>
    <w:rsid w:val="00BA7612"/>
    <w:rsid w:val="00BB1D36"/>
    <w:rsid w:val="00BB3631"/>
    <w:rsid w:val="00BB3755"/>
    <w:rsid w:val="00BB3FF6"/>
    <w:rsid w:val="00BB5630"/>
    <w:rsid w:val="00BB6BE1"/>
    <w:rsid w:val="00BB7FF0"/>
    <w:rsid w:val="00BC392E"/>
    <w:rsid w:val="00BC60A6"/>
    <w:rsid w:val="00BC62E0"/>
    <w:rsid w:val="00BC6FBF"/>
    <w:rsid w:val="00BD00D9"/>
    <w:rsid w:val="00BD1886"/>
    <w:rsid w:val="00BD23E3"/>
    <w:rsid w:val="00BD40BC"/>
    <w:rsid w:val="00BD6234"/>
    <w:rsid w:val="00BE0437"/>
    <w:rsid w:val="00BE04F6"/>
    <w:rsid w:val="00BE107D"/>
    <w:rsid w:val="00BE2D3D"/>
    <w:rsid w:val="00BE2D6C"/>
    <w:rsid w:val="00BE4C2B"/>
    <w:rsid w:val="00BE52CA"/>
    <w:rsid w:val="00BE5D1C"/>
    <w:rsid w:val="00BE701E"/>
    <w:rsid w:val="00BE7640"/>
    <w:rsid w:val="00BF0242"/>
    <w:rsid w:val="00BF0AE5"/>
    <w:rsid w:val="00BF144D"/>
    <w:rsid w:val="00BF214A"/>
    <w:rsid w:val="00BF3291"/>
    <w:rsid w:val="00BF377B"/>
    <w:rsid w:val="00BF3E1B"/>
    <w:rsid w:val="00BF635B"/>
    <w:rsid w:val="00BF7D51"/>
    <w:rsid w:val="00C00699"/>
    <w:rsid w:val="00C01975"/>
    <w:rsid w:val="00C01C3A"/>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7D"/>
    <w:rsid w:val="00C3028D"/>
    <w:rsid w:val="00C310B8"/>
    <w:rsid w:val="00C31DBD"/>
    <w:rsid w:val="00C32633"/>
    <w:rsid w:val="00C3305D"/>
    <w:rsid w:val="00C3343C"/>
    <w:rsid w:val="00C3343E"/>
    <w:rsid w:val="00C3643C"/>
    <w:rsid w:val="00C36C29"/>
    <w:rsid w:val="00C41646"/>
    <w:rsid w:val="00C4383B"/>
    <w:rsid w:val="00C4555F"/>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66B"/>
    <w:rsid w:val="00CB3B7D"/>
    <w:rsid w:val="00CB4DC8"/>
    <w:rsid w:val="00CB51F5"/>
    <w:rsid w:val="00CB687E"/>
    <w:rsid w:val="00CC0250"/>
    <w:rsid w:val="00CC074E"/>
    <w:rsid w:val="00CC1659"/>
    <w:rsid w:val="00CC3092"/>
    <w:rsid w:val="00CC30C3"/>
    <w:rsid w:val="00CC363A"/>
    <w:rsid w:val="00CC3D4E"/>
    <w:rsid w:val="00CC4003"/>
    <w:rsid w:val="00CC74BD"/>
    <w:rsid w:val="00CC7DD5"/>
    <w:rsid w:val="00CD0768"/>
    <w:rsid w:val="00CD3CC4"/>
    <w:rsid w:val="00CD7259"/>
    <w:rsid w:val="00CD788F"/>
    <w:rsid w:val="00CE047D"/>
    <w:rsid w:val="00CE1017"/>
    <w:rsid w:val="00CE358A"/>
    <w:rsid w:val="00CE373E"/>
    <w:rsid w:val="00CE43AF"/>
    <w:rsid w:val="00CE577D"/>
    <w:rsid w:val="00CE665D"/>
    <w:rsid w:val="00CE6758"/>
    <w:rsid w:val="00CE73D9"/>
    <w:rsid w:val="00CE7731"/>
    <w:rsid w:val="00CF096F"/>
    <w:rsid w:val="00CF1226"/>
    <w:rsid w:val="00CF329F"/>
    <w:rsid w:val="00CF4243"/>
    <w:rsid w:val="00CF6106"/>
    <w:rsid w:val="00CF6A79"/>
    <w:rsid w:val="00CF73D7"/>
    <w:rsid w:val="00D00AAE"/>
    <w:rsid w:val="00D02D5A"/>
    <w:rsid w:val="00D03B9D"/>
    <w:rsid w:val="00D0498A"/>
    <w:rsid w:val="00D065E6"/>
    <w:rsid w:val="00D06F2D"/>
    <w:rsid w:val="00D07535"/>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934"/>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5E62"/>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1CC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EF8"/>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77D08"/>
    <w:rsid w:val="00E80333"/>
    <w:rsid w:val="00E8107B"/>
    <w:rsid w:val="00E82142"/>
    <w:rsid w:val="00E83629"/>
    <w:rsid w:val="00E838DB"/>
    <w:rsid w:val="00E83F7E"/>
    <w:rsid w:val="00E865F0"/>
    <w:rsid w:val="00E868E7"/>
    <w:rsid w:val="00E92378"/>
    <w:rsid w:val="00E9310C"/>
    <w:rsid w:val="00E93979"/>
    <w:rsid w:val="00E93CD3"/>
    <w:rsid w:val="00E93F61"/>
    <w:rsid w:val="00E9501F"/>
    <w:rsid w:val="00E962BC"/>
    <w:rsid w:val="00E9676A"/>
    <w:rsid w:val="00EA379C"/>
    <w:rsid w:val="00EA4CB5"/>
    <w:rsid w:val="00EA6212"/>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D7935"/>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94D"/>
    <w:rsid w:val="00F02A6F"/>
    <w:rsid w:val="00F030F9"/>
    <w:rsid w:val="00F04308"/>
    <w:rsid w:val="00F04C46"/>
    <w:rsid w:val="00F04C8C"/>
    <w:rsid w:val="00F054DA"/>
    <w:rsid w:val="00F06144"/>
    <w:rsid w:val="00F0647B"/>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682"/>
    <w:rsid w:val="00F43ED1"/>
    <w:rsid w:val="00F44759"/>
    <w:rsid w:val="00F45144"/>
    <w:rsid w:val="00F46284"/>
    <w:rsid w:val="00F4680B"/>
    <w:rsid w:val="00F4734D"/>
    <w:rsid w:val="00F473D4"/>
    <w:rsid w:val="00F47445"/>
    <w:rsid w:val="00F5046F"/>
    <w:rsid w:val="00F5088C"/>
    <w:rsid w:val="00F510AC"/>
    <w:rsid w:val="00F5374F"/>
    <w:rsid w:val="00F545DD"/>
    <w:rsid w:val="00F546CC"/>
    <w:rsid w:val="00F55E69"/>
    <w:rsid w:val="00F579BE"/>
    <w:rsid w:val="00F606F4"/>
    <w:rsid w:val="00F60DF6"/>
    <w:rsid w:val="00F61E12"/>
    <w:rsid w:val="00F626E7"/>
    <w:rsid w:val="00F62D04"/>
    <w:rsid w:val="00F6434A"/>
    <w:rsid w:val="00F70887"/>
    <w:rsid w:val="00F70A7D"/>
    <w:rsid w:val="00F744BF"/>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5DE"/>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5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38"/>
    <w:rPr>
      <w:rFonts w:ascii="Tahoma" w:hAnsi="Tahoma" w:cs="Tahoma"/>
      <w:sz w:val="16"/>
      <w:szCs w:val="16"/>
    </w:rPr>
  </w:style>
  <w:style w:type="paragraph" w:styleId="FootnoteText">
    <w:name w:val="footnote text"/>
    <w:basedOn w:val="Normal"/>
    <w:link w:val="FootnoteTextChar"/>
    <w:uiPriority w:val="99"/>
    <w:semiHidden/>
    <w:unhideWhenUsed/>
    <w:rsid w:val="00AF0B69"/>
    <w:pPr>
      <w:spacing w:line="240" w:lineRule="auto"/>
    </w:pPr>
    <w:rPr>
      <w:sz w:val="20"/>
      <w:szCs w:val="20"/>
    </w:rPr>
  </w:style>
  <w:style w:type="character" w:customStyle="1" w:styleId="FootnoteTextChar">
    <w:name w:val="Footnote Text Char"/>
    <w:basedOn w:val="DefaultParagraphFont"/>
    <w:link w:val="FootnoteText"/>
    <w:uiPriority w:val="99"/>
    <w:semiHidden/>
    <w:rsid w:val="00AF0B69"/>
    <w:rPr>
      <w:sz w:val="20"/>
      <w:szCs w:val="20"/>
    </w:rPr>
  </w:style>
  <w:style w:type="character" w:styleId="FootnoteReference">
    <w:name w:val="footnote reference"/>
    <w:basedOn w:val="DefaultParagraphFont"/>
    <w:uiPriority w:val="99"/>
    <w:semiHidden/>
    <w:unhideWhenUsed/>
    <w:rsid w:val="00AF0B69"/>
    <w:rPr>
      <w:vertAlign w:val="superscript"/>
    </w:rPr>
  </w:style>
  <w:style w:type="paragraph" w:styleId="Header">
    <w:name w:val="header"/>
    <w:basedOn w:val="Normal"/>
    <w:link w:val="HeaderChar"/>
    <w:uiPriority w:val="99"/>
    <w:unhideWhenUsed/>
    <w:rsid w:val="002460F6"/>
    <w:pPr>
      <w:tabs>
        <w:tab w:val="center" w:pos="4680"/>
        <w:tab w:val="right" w:pos="9360"/>
      </w:tabs>
      <w:spacing w:line="240" w:lineRule="auto"/>
    </w:pPr>
  </w:style>
  <w:style w:type="character" w:customStyle="1" w:styleId="HeaderChar">
    <w:name w:val="Header Char"/>
    <w:basedOn w:val="DefaultParagraphFont"/>
    <w:link w:val="Header"/>
    <w:uiPriority w:val="99"/>
    <w:rsid w:val="002460F6"/>
  </w:style>
  <w:style w:type="paragraph" w:styleId="Footer">
    <w:name w:val="footer"/>
    <w:basedOn w:val="Normal"/>
    <w:link w:val="FooterChar"/>
    <w:uiPriority w:val="99"/>
    <w:unhideWhenUsed/>
    <w:rsid w:val="002460F6"/>
    <w:pPr>
      <w:tabs>
        <w:tab w:val="center" w:pos="4680"/>
        <w:tab w:val="right" w:pos="9360"/>
      </w:tabs>
      <w:spacing w:line="240" w:lineRule="auto"/>
    </w:pPr>
  </w:style>
  <w:style w:type="character" w:customStyle="1" w:styleId="FooterChar">
    <w:name w:val="Footer Char"/>
    <w:basedOn w:val="DefaultParagraphFont"/>
    <w:link w:val="Footer"/>
    <w:uiPriority w:val="99"/>
    <w:rsid w:val="002460F6"/>
  </w:style>
  <w:style w:type="paragraph" w:styleId="ListParagraph">
    <w:name w:val="List Paragraph"/>
    <w:basedOn w:val="Normal"/>
    <w:uiPriority w:val="34"/>
    <w:qFormat/>
    <w:rsid w:val="00896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5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38"/>
    <w:rPr>
      <w:rFonts w:ascii="Tahoma" w:hAnsi="Tahoma" w:cs="Tahoma"/>
      <w:sz w:val="16"/>
      <w:szCs w:val="16"/>
    </w:rPr>
  </w:style>
  <w:style w:type="paragraph" w:styleId="FootnoteText">
    <w:name w:val="footnote text"/>
    <w:basedOn w:val="Normal"/>
    <w:link w:val="FootnoteTextChar"/>
    <w:uiPriority w:val="99"/>
    <w:semiHidden/>
    <w:unhideWhenUsed/>
    <w:rsid w:val="00AF0B69"/>
    <w:pPr>
      <w:spacing w:line="240" w:lineRule="auto"/>
    </w:pPr>
    <w:rPr>
      <w:sz w:val="20"/>
      <w:szCs w:val="20"/>
    </w:rPr>
  </w:style>
  <w:style w:type="character" w:customStyle="1" w:styleId="FootnoteTextChar">
    <w:name w:val="Footnote Text Char"/>
    <w:basedOn w:val="DefaultParagraphFont"/>
    <w:link w:val="FootnoteText"/>
    <w:uiPriority w:val="99"/>
    <w:semiHidden/>
    <w:rsid w:val="00AF0B69"/>
    <w:rPr>
      <w:sz w:val="20"/>
      <w:szCs w:val="20"/>
    </w:rPr>
  </w:style>
  <w:style w:type="character" w:styleId="FootnoteReference">
    <w:name w:val="footnote reference"/>
    <w:basedOn w:val="DefaultParagraphFont"/>
    <w:uiPriority w:val="99"/>
    <w:semiHidden/>
    <w:unhideWhenUsed/>
    <w:rsid w:val="00AF0B69"/>
    <w:rPr>
      <w:vertAlign w:val="superscript"/>
    </w:rPr>
  </w:style>
  <w:style w:type="paragraph" w:styleId="Header">
    <w:name w:val="header"/>
    <w:basedOn w:val="Normal"/>
    <w:link w:val="HeaderChar"/>
    <w:uiPriority w:val="99"/>
    <w:unhideWhenUsed/>
    <w:rsid w:val="002460F6"/>
    <w:pPr>
      <w:tabs>
        <w:tab w:val="center" w:pos="4680"/>
        <w:tab w:val="right" w:pos="9360"/>
      </w:tabs>
      <w:spacing w:line="240" w:lineRule="auto"/>
    </w:pPr>
  </w:style>
  <w:style w:type="character" w:customStyle="1" w:styleId="HeaderChar">
    <w:name w:val="Header Char"/>
    <w:basedOn w:val="DefaultParagraphFont"/>
    <w:link w:val="Header"/>
    <w:uiPriority w:val="99"/>
    <w:rsid w:val="002460F6"/>
  </w:style>
  <w:style w:type="paragraph" w:styleId="Footer">
    <w:name w:val="footer"/>
    <w:basedOn w:val="Normal"/>
    <w:link w:val="FooterChar"/>
    <w:uiPriority w:val="99"/>
    <w:unhideWhenUsed/>
    <w:rsid w:val="002460F6"/>
    <w:pPr>
      <w:tabs>
        <w:tab w:val="center" w:pos="4680"/>
        <w:tab w:val="right" w:pos="9360"/>
      </w:tabs>
      <w:spacing w:line="240" w:lineRule="auto"/>
    </w:pPr>
  </w:style>
  <w:style w:type="character" w:customStyle="1" w:styleId="FooterChar">
    <w:name w:val="Footer Char"/>
    <w:basedOn w:val="DefaultParagraphFont"/>
    <w:link w:val="Footer"/>
    <w:uiPriority w:val="99"/>
    <w:rsid w:val="002460F6"/>
  </w:style>
  <w:style w:type="paragraph" w:styleId="ListParagraph">
    <w:name w:val="List Paragraph"/>
    <w:basedOn w:val="Normal"/>
    <w:uiPriority w:val="34"/>
    <w:qFormat/>
    <w:rsid w:val="0089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2EE3-3D0A-4152-8EFC-04ECD34D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Johnson, Jennedy</cp:lastModifiedBy>
  <cp:revision>5</cp:revision>
  <cp:lastPrinted>2013-12-18T13:44:00Z</cp:lastPrinted>
  <dcterms:created xsi:type="dcterms:W3CDTF">2013-12-16T18:16:00Z</dcterms:created>
  <dcterms:modified xsi:type="dcterms:W3CDTF">2013-12-18T19:59:00Z</dcterms:modified>
</cp:coreProperties>
</file>