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700" w:rsidRPr="00011700" w:rsidRDefault="00DA4630" w:rsidP="00DA4630">
      <w:pPr>
        <w:pStyle w:val="NoSpacing"/>
        <w:jc w:val="center"/>
        <w:rPr>
          <w:b/>
          <w:sz w:val="26"/>
          <w:szCs w:val="26"/>
        </w:rPr>
      </w:pPr>
      <w:r w:rsidRPr="00011700">
        <w:rPr>
          <w:b/>
          <w:sz w:val="26"/>
          <w:szCs w:val="26"/>
        </w:rPr>
        <w:t xml:space="preserve">PENNSYLVANIA </w:t>
      </w:r>
    </w:p>
    <w:p w:rsidR="00DA4630" w:rsidRPr="00011700" w:rsidRDefault="00DA4630" w:rsidP="00DA4630">
      <w:pPr>
        <w:pStyle w:val="NoSpacing"/>
        <w:jc w:val="center"/>
        <w:rPr>
          <w:b/>
          <w:sz w:val="26"/>
          <w:szCs w:val="26"/>
        </w:rPr>
      </w:pPr>
      <w:r w:rsidRPr="00011700">
        <w:rPr>
          <w:b/>
          <w:sz w:val="26"/>
          <w:szCs w:val="26"/>
        </w:rPr>
        <w:t>PUBLIC UTLIITY COMMISSION</w:t>
      </w:r>
    </w:p>
    <w:p w:rsidR="00011700" w:rsidRPr="00011700" w:rsidRDefault="00011700" w:rsidP="00DA4630">
      <w:pPr>
        <w:pStyle w:val="NoSpacing"/>
        <w:jc w:val="center"/>
        <w:rPr>
          <w:b/>
          <w:sz w:val="26"/>
          <w:szCs w:val="26"/>
        </w:rPr>
      </w:pPr>
      <w:r w:rsidRPr="00011700">
        <w:rPr>
          <w:b/>
          <w:sz w:val="26"/>
          <w:szCs w:val="26"/>
        </w:rPr>
        <w:t>Harrisburg, PA 17105-3265</w:t>
      </w:r>
    </w:p>
    <w:p w:rsidR="00DA4630" w:rsidRPr="00A851DF" w:rsidRDefault="00DA4630" w:rsidP="00DA4630">
      <w:pPr>
        <w:pStyle w:val="NoSpacing"/>
        <w:jc w:val="center"/>
        <w:rPr>
          <w:sz w:val="26"/>
          <w:szCs w:val="26"/>
        </w:rPr>
      </w:pPr>
    </w:p>
    <w:p w:rsidR="00D945A0" w:rsidRDefault="00D945A0" w:rsidP="00D945A0">
      <w:pPr>
        <w:pStyle w:val="NoSpacing"/>
        <w:ind w:left="4320" w:firstLine="720"/>
        <w:rPr>
          <w:sz w:val="26"/>
          <w:szCs w:val="26"/>
        </w:rPr>
      </w:pPr>
      <w:r>
        <w:rPr>
          <w:sz w:val="26"/>
          <w:szCs w:val="26"/>
        </w:rPr>
        <w:t xml:space="preserve">Public Meeting held </w:t>
      </w:r>
      <w:r w:rsidR="004A6B06">
        <w:rPr>
          <w:sz w:val="26"/>
          <w:szCs w:val="26"/>
        </w:rPr>
        <w:t>December 19</w:t>
      </w:r>
      <w:r>
        <w:rPr>
          <w:sz w:val="26"/>
          <w:szCs w:val="26"/>
        </w:rPr>
        <w:t>, 201</w:t>
      </w:r>
      <w:r w:rsidR="004A6B06">
        <w:rPr>
          <w:sz w:val="26"/>
          <w:szCs w:val="26"/>
        </w:rPr>
        <w:t>3</w:t>
      </w:r>
    </w:p>
    <w:p w:rsidR="00D945A0" w:rsidRDefault="00D945A0" w:rsidP="00D945A0">
      <w:pPr>
        <w:pStyle w:val="NoSpacing"/>
        <w:rPr>
          <w:sz w:val="26"/>
          <w:szCs w:val="26"/>
        </w:rPr>
      </w:pPr>
    </w:p>
    <w:p w:rsidR="00D945A0" w:rsidRDefault="00D945A0" w:rsidP="00D945A0">
      <w:pPr>
        <w:tabs>
          <w:tab w:val="left" w:pos="-720"/>
        </w:tabs>
        <w:suppressAutoHyphens/>
        <w:rPr>
          <w:rFonts w:ascii="Times New Roman" w:hAnsi="Times New Roman"/>
          <w:sz w:val="26"/>
        </w:rPr>
      </w:pPr>
      <w:r>
        <w:rPr>
          <w:rFonts w:ascii="Times New Roman" w:hAnsi="Times New Roman"/>
          <w:sz w:val="26"/>
        </w:rPr>
        <w:t>Commissioners Present:</w:t>
      </w:r>
    </w:p>
    <w:p w:rsidR="00D43521" w:rsidRDefault="00D945A0" w:rsidP="00D43521">
      <w:pPr>
        <w:tabs>
          <w:tab w:val="left" w:pos="-720"/>
        </w:tabs>
        <w:suppressAutoHyphens/>
        <w:spacing w:after="0" w:line="240" w:lineRule="auto"/>
        <w:rPr>
          <w:rFonts w:ascii="Times New Roman" w:hAnsi="Times New Roman"/>
          <w:sz w:val="26"/>
        </w:rPr>
      </w:pPr>
      <w:r>
        <w:rPr>
          <w:rFonts w:ascii="Times New Roman" w:hAnsi="Times New Roman"/>
          <w:sz w:val="26"/>
        </w:rPr>
        <w:tab/>
        <w:t>Robert F. Powelson, Chairman</w:t>
      </w:r>
    </w:p>
    <w:p w:rsidR="00D945A0" w:rsidRDefault="00D43521" w:rsidP="00D43521">
      <w:pPr>
        <w:tabs>
          <w:tab w:val="left" w:pos="-720"/>
        </w:tabs>
        <w:suppressAutoHyphens/>
        <w:spacing w:after="0" w:line="240" w:lineRule="auto"/>
        <w:rPr>
          <w:rFonts w:ascii="Times New Roman" w:hAnsi="Times New Roman"/>
          <w:sz w:val="26"/>
        </w:rPr>
      </w:pPr>
      <w:r>
        <w:rPr>
          <w:rFonts w:ascii="Times New Roman" w:hAnsi="Times New Roman"/>
          <w:sz w:val="26"/>
        </w:rPr>
        <w:tab/>
      </w:r>
      <w:r w:rsidR="00D945A0">
        <w:rPr>
          <w:rFonts w:ascii="Times New Roman" w:hAnsi="Times New Roman"/>
          <w:sz w:val="26"/>
        </w:rPr>
        <w:t>John F. Coleman, Jr., Vice Chairman</w:t>
      </w:r>
    </w:p>
    <w:p w:rsidR="00D945A0" w:rsidRDefault="00D945A0" w:rsidP="00D43521">
      <w:pPr>
        <w:tabs>
          <w:tab w:val="left" w:pos="-720"/>
        </w:tabs>
        <w:suppressAutoHyphens/>
        <w:spacing w:after="0" w:line="240" w:lineRule="auto"/>
        <w:rPr>
          <w:rFonts w:ascii="Times New Roman" w:hAnsi="Times New Roman"/>
          <w:sz w:val="26"/>
        </w:rPr>
      </w:pPr>
      <w:r>
        <w:rPr>
          <w:rFonts w:ascii="Times New Roman" w:hAnsi="Times New Roman"/>
          <w:sz w:val="26"/>
        </w:rPr>
        <w:tab/>
        <w:t>James H. Cawley</w:t>
      </w:r>
    </w:p>
    <w:p w:rsidR="00D945A0" w:rsidRDefault="00D945A0" w:rsidP="00D43521">
      <w:pPr>
        <w:tabs>
          <w:tab w:val="left" w:pos="-720"/>
        </w:tabs>
        <w:suppressAutoHyphens/>
        <w:spacing w:after="0" w:line="240" w:lineRule="auto"/>
        <w:rPr>
          <w:rFonts w:ascii="Times New Roman" w:hAnsi="Times New Roman"/>
          <w:sz w:val="26"/>
        </w:rPr>
      </w:pPr>
      <w:r>
        <w:rPr>
          <w:rFonts w:ascii="Times New Roman" w:hAnsi="Times New Roman"/>
          <w:sz w:val="26"/>
        </w:rPr>
        <w:tab/>
        <w:t>Pamela A. Witmer</w:t>
      </w:r>
    </w:p>
    <w:p w:rsidR="00D945A0" w:rsidRDefault="002E7739" w:rsidP="00D945A0">
      <w:pPr>
        <w:pStyle w:val="NoSpacing"/>
        <w:rPr>
          <w:sz w:val="26"/>
          <w:szCs w:val="26"/>
        </w:rPr>
      </w:pPr>
      <w:r>
        <w:rPr>
          <w:sz w:val="26"/>
          <w:szCs w:val="26"/>
        </w:rPr>
        <w:tab/>
        <w:t xml:space="preserve">Gladys M. Brown </w:t>
      </w:r>
    </w:p>
    <w:p w:rsidR="002E7739" w:rsidRDefault="002E7739" w:rsidP="00D945A0">
      <w:pPr>
        <w:pStyle w:val="NoSpacing"/>
        <w:rPr>
          <w:sz w:val="26"/>
          <w:szCs w:val="26"/>
        </w:rPr>
      </w:pPr>
    </w:p>
    <w:p w:rsidR="002E7739" w:rsidRDefault="002E7739" w:rsidP="00D945A0">
      <w:pPr>
        <w:pStyle w:val="NoSpacing"/>
        <w:rPr>
          <w:sz w:val="26"/>
          <w:szCs w:val="26"/>
        </w:rPr>
      </w:pPr>
    </w:p>
    <w:p w:rsidR="002E7739" w:rsidRPr="002E7739" w:rsidRDefault="002E7739" w:rsidP="002E7739">
      <w:pPr>
        <w:tabs>
          <w:tab w:val="left" w:pos="-720"/>
        </w:tabs>
        <w:suppressAutoHyphens/>
        <w:spacing w:after="0" w:line="240" w:lineRule="auto"/>
        <w:rPr>
          <w:rFonts w:ascii="Times New Roman" w:hAnsi="Times New Roman"/>
          <w:spacing w:val="-3"/>
          <w:sz w:val="26"/>
        </w:rPr>
      </w:pPr>
      <w:r w:rsidRPr="002E7739">
        <w:rPr>
          <w:rFonts w:ascii="Times New Roman" w:hAnsi="Times New Roman"/>
          <w:spacing w:val="-3"/>
          <w:sz w:val="26"/>
        </w:rPr>
        <w:t>Pennsylvania Public Utility Commission</w:t>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Pr>
          <w:rFonts w:ascii="Times New Roman" w:hAnsi="Times New Roman"/>
          <w:spacing w:val="-3"/>
          <w:sz w:val="26"/>
        </w:rPr>
        <w:tab/>
      </w:r>
      <w:r w:rsidRPr="002E7739">
        <w:rPr>
          <w:rFonts w:ascii="Times New Roman" w:hAnsi="Times New Roman"/>
          <w:spacing w:val="-3"/>
          <w:sz w:val="26"/>
        </w:rPr>
        <w:t>R-2013-2355886</w:t>
      </w:r>
    </w:p>
    <w:p w:rsidR="002E7739" w:rsidRPr="002E7739" w:rsidRDefault="002E7739" w:rsidP="002E7739">
      <w:pPr>
        <w:tabs>
          <w:tab w:val="left" w:pos="-720"/>
        </w:tabs>
        <w:suppressAutoHyphens/>
        <w:spacing w:after="0" w:line="240" w:lineRule="auto"/>
        <w:rPr>
          <w:rFonts w:ascii="Times New Roman" w:hAnsi="Times New Roman"/>
          <w:spacing w:val="-3"/>
          <w:sz w:val="26"/>
        </w:rPr>
      </w:pPr>
      <w:r w:rsidRPr="002E7739">
        <w:rPr>
          <w:rFonts w:ascii="Times New Roman" w:hAnsi="Times New Roman"/>
          <w:spacing w:val="-3"/>
          <w:sz w:val="26"/>
        </w:rPr>
        <w:t>Office of Small Business Advocate</w:t>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Pr>
          <w:rFonts w:ascii="Times New Roman" w:hAnsi="Times New Roman"/>
          <w:spacing w:val="-3"/>
          <w:sz w:val="26"/>
        </w:rPr>
        <w:tab/>
      </w:r>
      <w:r w:rsidRPr="002E7739">
        <w:rPr>
          <w:rFonts w:ascii="Times New Roman" w:hAnsi="Times New Roman"/>
          <w:spacing w:val="-3"/>
          <w:sz w:val="26"/>
        </w:rPr>
        <w:t>C-2013-2364669</w:t>
      </w:r>
    </w:p>
    <w:p w:rsidR="002E7739" w:rsidRPr="002E7739" w:rsidRDefault="002E7739" w:rsidP="002E7739">
      <w:pPr>
        <w:tabs>
          <w:tab w:val="left" w:pos="-720"/>
        </w:tabs>
        <w:suppressAutoHyphens/>
        <w:spacing w:after="0" w:line="240" w:lineRule="auto"/>
        <w:rPr>
          <w:rFonts w:ascii="Times New Roman" w:hAnsi="Times New Roman"/>
          <w:spacing w:val="-3"/>
          <w:sz w:val="26"/>
        </w:rPr>
      </w:pPr>
      <w:r w:rsidRPr="002E7739">
        <w:rPr>
          <w:rFonts w:ascii="Times New Roman" w:hAnsi="Times New Roman"/>
          <w:spacing w:val="-3"/>
          <w:sz w:val="26"/>
        </w:rPr>
        <w:t>Office of Consumer Advocate</w:t>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Pr>
          <w:rFonts w:ascii="Times New Roman" w:hAnsi="Times New Roman"/>
          <w:spacing w:val="-3"/>
          <w:sz w:val="26"/>
        </w:rPr>
        <w:tab/>
      </w:r>
      <w:r w:rsidRPr="002E7739">
        <w:rPr>
          <w:rFonts w:ascii="Times New Roman" w:hAnsi="Times New Roman"/>
          <w:spacing w:val="-3"/>
          <w:sz w:val="26"/>
        </w:rPr>
        <w:t>C-2013-2364471</w:t>
      </w:r>
    </w:p>
    <w:p w:rsidR="002E7739" w:rsidRPr="002E7739" w:rsidRDefault="002E7739" w:rsidP="002E7739">
      <w:pPr>
        <w:tabs>
          <w:tab w:val="left" w:pos="-720"/>
        </w:tabs>
        <w:suppressAutoHyphens/>
        <w:spacing w:after="0" w:line="240" w:lineRule="auto"/>
        <w:rPr>
          <w:rFonts w:ascii="Times New Roman" w:hAnsi="Times New Roman"/>
          <w:spacing w:val="-3"/>
          <w:sz w:val="26"/>
        </w:rPr>
      </w:pPr>
      <w:r w:rsidRPr="002E7739">
        <w:rPr>
          <w:rFonts w:ascii="Times New Roman" w:hAnsi="Times New Roman"/>
          <w:spacing w:val="-3"/>
          <w:sz w:val="26"/>
        </w:rPr>
        <w:t>Dawn D. Spielvogel</w:t>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Pr>
          <w:rFonts w:ascii="Times New Roman" w:hAnsi="Times New Roman"/>
          <w:spacing w:val="-3"/>
          <w:sz w:val="26"/>
        </w:rPr>
        <w:tab/>
      </w:r>
      <w:r>
        <w:rPr>
          <w:rFonts w:ascii="Times New Roman" w:hAnsi="Times New Roman"/>
          <w:spacing w:val="-3"/>
          <w:sz w:val="26"/>
        </w:rPr>
        <w:tab/>
      </w:r>
      <w:r w:rsidRPr="002E7739">
        <w:rPr>
          <w:rFonts w:ascii="Times New Roman" w:hAnsi="Times New Roman"/>
          <w:spacing w:val="-3"/>
          <w:sz w:val="26"/>
        </w:rPr>
        <w:t>C-2013-2364680</w:t>
      </w:r>
    </w:p>
    <w:p w:rsidR="002E7739" w:rsidRPr="002E7739" w:rsidRDefault="002E7739" w:rsidP="002E7739">
      <w:pPr>
        <w:tabs>
          <w:tab w:val="left" w:pos="-720"/>
        </w:tabs>
        <w:suppressAutoHyphens/>
        <w:spacing w:after="0" w:line="240" w:lineRule="auto"/>
        <w:rPr>
          <w:rFonts w:ascii="Times New Roman" w:hAnsi="Times New Roman"/>
          <w:spacing w:val="-3"/>
          <w:sz w:val="26"/>
        </w:rPr>
      </w:pPr>
      <w:r w:rsidRPr="002E7739">
        <w:rPr>
          <w:rFonts w:ascii="Times New Roman" w:hAnsi="Times New Roman"/>
          <w:spacing w:val="-3"/>
          <w:sz w:val="26"/>
        </w:rPr>
        <w:t>Charles Glendening</w:t>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Pr>
          <w:rFonts w:ascii="Times New Roman" w:hAnsi="Times New Roman"/>
          <w:spacing w:val="-3"/>
          <w:sz w:val="26"/>
        </w:rPr>
        <w:tab/>
      </w:r>
      <w:r w:rsidRPr="002E7739">
        <w:rPr>
          <w:rFonts w:ascii="Times New Roman" w:hAnsi="Times New Roman"/>
          <w:spacing w:val="-3"/>
          <w:sz w:val="26"/>
        </w:rPr>
        <w:t>C-2013-2369476</w:t>
      </w:r>
    </w:p>
    <w:p w:rsidR="002E7739" w:rsidRPr="002E7739" w:rsidRDefault="002E7739" w:rsidP="002E7739">
      <w:pPr>
        <w:tabs>
          <w:tab w:val="left" w:pos="-720"/>
        </w:tabs>
        <w:suppressAutoHyphens/>
        <w:spacing w:after="0" w:line="240" w:lineRule="auto"/>
        <w:rPr>
          <w:rFonts w:ascii="Times New Roman" w:hAnsi="Times New Roman"/>
          <w:spacing w:val="-3"/>
          <w:sz w:val="26"/>
        </w:rPr>
      </w:pPr>
      <w:r w:rsidRPr="002E7739">
        <w:rPr>
          <w:rFonts w:ascii="Times New Roman" w:hAnsi="Times New Roman"/>
          <w:spacing w:val="-3"/>
          <w:sz w:val="26"/>
        </w:rPr>
        <w:t>Neil Cooper</w:t>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Pr>
          <w:rFonts w:ascii="Times New Roman" w:hAnsi="Times New Roman"/>
          <w:spacing w:val="-3"/>
          <w:sz w:val="26"/>
        </w:rPr>
        <w:tab/>
      </w:r>
      <w:r w:rsidRPr="002E7739">
        <w:rPr>
          <w:rFonts w:ascii="Times New Roman" w:hAnsi="Times New Roman"/>
          <w:spacing w:val="-3"/>
          <w:sz w:val="26"/>
        </w:rPr>
        <w:t>C-2013-2369509</w:t>
      </w:r>
    </w:p>
    <w:p w:rsidR="002E7739" w:rsidRPr="002E7739" w:rsidRDefault="002E7739" w:rsidP="002E7739">
      <w:pPr>
        <w:tabs>
          <w:tab w:val="left" w:pos="-720"/>
        </w:tabs>
        <w:suppressAutoHyphens/>
        <w:spacing w:after="0" w:line="240" w:lineRule="auto"/>
        <w:rPr>
          <w:rFonts w:ascii="Times New Roman" w:hAnsi="Times New Roman"/>
          <w:spacing w:val="-3"/>
          <w:sz w:val="26"/>
        </w:rPr>
      </w:pPr>
      <w:r w:rsidRPr="002E7739">
        <w:rPr>
          <w:rFonts w:ascii="Times New Roman" w:hAnsi="Times New Roman"/>
          <w:spacing w:val="-3"/>
          <w:sz w:val="26"/>
        </w:rPr>
        <w:t>Megan Rummel</w:t>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Pr>
          <w:rFonts w:ascii="Times New Roman" w:hAnsi="Times New Roman"/>
          <w:spacing w:val="-3"/>
          <w:sz w:val="26"/>
        </w:rPr>
        <w:tab/>
      </w:r>
      <w:r w:rsidRPr="002E7739">
        <w:rPr>
          <w:rFonts w:ascii="Times New Roman" w:hAnsi="Times New Roman"/>
          <w:spacing w:val="-3"/>
          <w:sz w:val="26"/>
        </w:rPr>
        <w:t>C-2013-2370635</w:t>
      </w:r>
    </w:p>
    <w:p w:rsidR="002E7739" w:rsidRPr="002E7739" w:rsidRDefault="002E7739" w:rsidP="002E7739">
      <w:pPr>
        <w:tabs>
          <w:tab w:val="left" w:pos="-720"/>
        </w:tabs>
        <w:suppressAutoHyphens/>
        <w:spacing w:after="0" w:line="240" w:lineRule="auto"/>
        <w:rPr>
          <w:rFonts w:ascii="Times New Roman" w:hAnsi="Times New Roman"/>
          <w:spacing w:val="-3"/>
          <w:sz w:val="26"/>
        </w:rPr>
      </w:pPr>
      <w:r w:rsidRPr="002E7739">
        <w:rPr>
          <w:rFonts w:ascii="Times New Roman" w:hAnsi="Times New Roman"/>
          <w:spacing w:val="-3"/>
          <w:sz w:val="26"/>
        </w:rPr>
        <w:t>Susan Hilliard</w:t>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Pr>
          <w:rFonts w:ascii="Times New Roman" w:hAnsi="Times New Roman"/>
          <w:spacing w:val="-3"/>
          <w:sz w:val="26"/>
        </w:rPr>
        <w:tab/>
      </w:r>
      <w:r w:rsidRPr="002E7739">
        <w:rPr>
          <w:rFonts w:ascii="Times New Roman" w:hAnsi="Times New Roman"/>
          <w:spacing w:val="-3"/>
          <w:sz w:val="26"/>
        </w:rPr>
        <w:t>C-2013-2370725</w:t>
      </w:r>
    </w:p>
    <w:p w:rsidR="002E7739" w:rsidRPr="002E7739" w:rsidRDefault="002E7739" w:rsidP="002E7739">
      <w:pPr>
        <w:tabs>
          <w:tab w:val="left" w:pos="-720"/>
        </w:tabs>
        <w:suppressAutoHyphens/>
        <w:spacing w:after="0" w:line="240" w:lineRule="auto"/>
        <w:rPr>
          <w:rFonts w:ascii="Times New Roman" w:hAnsi="Times New Roman"/>
          <w:spacing w:val="-3"/>
          <w:sz w:val="26"/>
        </w:rPr>
      </w:pPr>
      <w:r w:rsidRPr="002E7739">
        <w:rPr>
          <w:rFonts w:ascii="Times New Roman" w:hAnsi="Times New Roman"/>
          <w:spacing w:val="-3"/>
          <w:sz w:val="26"/>
        </w:rPr>
        <w:t>Carol George</w:t>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Pr>
          <w:rFonts w:ascii="Times New Roman" w:hAnsi="Times New Roman"/>
          <w:spacing w:val="-3"/>
          <w:sz w:val="26"/>
        </w:rPr>
        <w:tab/>
      </w:r>
      <w:r w:rsidRPr="002E7739">
        <w:rPr>
          <w:rFonts w:ascii="Times New Roman" w:hAnsi="Times New Roman"/>
          <w:spacing w:val="-3"/>
          <w:sz w:val="26"/>
        </w:rPr>
        <w:t>C-2013-2370736</w:t>
      </w:r>
    </w:p>
    <w:p w:rsidR="002E7739" w:rsidRPr="002E7739" w:rsidRDefault="002E7739" w:rsidP="002E7739">
      <w:pPr>
        <w:tabs>
          <w:tab w:val="left" w:pos="-720"/>
        </w:tabs>
        <w:suppressAutoHyphens/>
        <w:spacing w:after="0" w:line="240" w:lineRule="auto"/>
        <w:rPr>
          <w:rFonts w:ascii="Times New Roman" w:hAnsi="Times New Roman"/>
          <w:spacing w:val="-3"/>
          <w:sz w:val="26"/>
        </w:rPr>
      </w:pPr>
      <w:r w:rsidRPr="002E7739">
        <w:rPr>
          <w:rFonts w:ascii="Times New Roman" w:hAnsi="Times New Roman"/>
          <w:spacing w:val="-3"/>
          <w:sz w:val="26"/>
        </w:rPr>
        <w:t>Kathleen Tack</w:t>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Pr>
          <w:rFonts w:ascii="Times New Roman" w:hAnsi="Times New Roman"/>
          <w:spacing w:val="-3"/>
          <w:sz w:val="26"/>
        </w:rPr>
        <w:tab/>
      </w:r>
      <w:r w:rsidRPr="002E7739">
        <w:rPr>
          <w:rFonts w:ascii="Times New Roman" w:hAnsi="Times New Roman"/>
          <w:spacing w:val="-3"/>
          <w:sz w:val="26"/>
        </w:rPr>
        <w:t>C-2013-2371780</w:t>
      </w:r>
    </w:p>
    <w:p w:rsidR="002E7739" w:rsidRPr="002E7739" w:rsidRDefault="002E7739" w:rsidP="002E7739">
      <w:pPr>
        <w:tabs>
          <w:tab w:val="left" w:pos="-720"/>
        </w:tabs>
        <w:suppressAutoHyphens/>
        <w:spacing w:after="0" w:line="240" w:lineRule="auto"/>
        <w:rPr>
          <w:rFonts w:ascii="Times New Roman" w:hAnsi="Times New Roman"/>
          <w:spacing w:val="-3"/>
          <w:sz w:val="26"/>
        </w:rPr>
      </w:pPr>
      <w:r w:rsidRPr="002E7739">
        <w:rPr>
          <w:rFonts w:ascii="Times New Roman" w:hAnsi="Times New Roman"/>
          <w:sz w:val="26"/>
        </w:rPr>
        <w:t>Lawrence Sumansky</w:t>
      </w:r>
      <w:r w:rsidRPr="002E7739">
        <w:rPr>
          <w:rFonts w:ascii="Times New Roman" w:hAnsi="Times New Roman"/>
          <w:sz w:val="26"/>
        </w:rPr>
        <w:tab/>
      </w:r>
      <w:r w:rsidRPr="002E7739">
        <w:rPr>
          <w:rFonts w:ascii="Times New Roman" w:hAnsi="Times New Roman"/>
          <w:sz w:val="26"/>
        </w:rPr>
        <w:tab/>
      </w:r>
      <w:r w:rsidRPr="002E7739">
        <w:rPr>
          <w:rFonts w:ascii="Times New Roman" w:hAnsi="Times New Roman"/>
          <w:sz w:val="26"/>
        </w:rPr>
        <w:tab/>
      </w:r>
      <w:r w:rsidRPr="002E7739">
        <w:rPr>
          <w:rFonts w:ascii="Times New Roman" w:hAnsi="Times New Roman"/>
          <w:sz w:val="26"/>
        </w:rPr>
        <w:tab/>
      </w:r>
      <w:r w:rsidRPr="002E7739">
        <w:rPr>
          <w:rFonts w:ascii="Times New Roman" w:hAnsi="Times New Roman"/>
          <w:sz w:val="26"/>
        </w:rPr>
        <w:tab/>
      </w:r>
      <w:r w:rsidRPr="002E7739">
        <w:rPr>
          <w:rFonts w:ascii="Times New Roman" w:hAnsi="Times New Roman"/>
          <w:sz w:val="26"/>
        </w:rPr>
        <w:tab/>
      </w:r>
      <w:r>
        <w:rPr>
          <w:rFonts w:ascii="Times New Roman" w:hAnsi="Times New Roman"/>
          <w:sz w:val="26"/>
        </w:rPr>
        <w:tab/>
      </w:r>
      <w:r w:rsidRPr="002E7739">
        <w:rPr>
          <w:rFonts w:ascii="Times New Roman" w:hAnsi="Times New Roman"/>
          <w:spacing w:val="-3"/>
          <w:sz w:val="26"/>
        </w:rPr>
        <w:t>C-2013-2371794</w:t>
      </w:r>
    </w:p>
    <w:p w:rsidR="002E7739" w:rsidRPr="002E7739" w:rsidRDefault="002E7739" w:rsidP="002E7739">
      <w:pPr>
        <w:tabs>
          <w:tab w:val="left" w:pos="-720"/>
        </w:tabs>
        <w:suppressAutoHyphens/>
        <w:spacing w:after="0" w:line="240" w:lineRule="auto"/>
        <w:rPr>
          <w:rFonts w:ascii="Times New Roman" w:hAnsi="Times New Roman"/>
          <w:spacing w:val="-3"/>
          <w:sz w:val="26"/>
        </w:rPr>
      </w:pPr>
      <w:r w:rsidRPr="002E7739">
        <w:rPr>
          <w:rFonts w:ascii="Times New Roman" w:hAnsi="Times New Roman"/>
          <w:spacing w:val="-3"/>
          <w:sz w:val="26"/>
        </w:rPr>
        <w:t>Amy and John Beiler</w:t>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Pr>
          <w:rFonts w:ascii="Times New Roman" w:hAnsi="Times New Roman"/>
          <w:spacing w:val="-3"/>
          <w:sz w:val="26"/>
        </w:rPr>
        <w:tab/>
      </w:r>
      <w:r w:rsidRPr="002E7739">
        <w:rPr>
          <w:rFonts w:ascii="Times New Roman" w:hAnsi="Times New Roman"/>
          <w:spacing w:val="-3"/>
          <w:sz w:val="26"/>
        </w:rPr>
        <w:t>C-2013-2371818</w:t>
      </w:r>
    </w:p>
    <w:p w:rsidR="002E7739" w:rsidRPr="002E7739" w:rsidRDefault="002E7739" w:rsidP="002E7739">
      <w:pPr>
        <w:tabs>
          <w:tab w:val="left" w:pos="-720"/>
        </w:tabs>
        <w:suppressAutoHyphens/>
        <w:spacing w:after="0" w:line="240" w:lineRule="auto"/>
        <w:rPr>
          <w:rFonts w:ascii="Times New Roman" w:hAnsi="Times New Roman"/>
          <w:spacing w:val="-3"/>
          <w:sz w:val="26"/>
        </w:rPr>
      </w:pPr>
      <w:r w:rsidRPr="002E7739">
        <w:rPr>
          <w:rFonts w:ascii="Times New Roman" w:hAnsi="Times New Roman"/>
          <w:spacing w:val="-3"/>
          <w:sz w:val="26"/>
        </w:rPr>
        <w:t>Gertrude Blair</w:t>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Pr>
          <w:rFonts w:ascii="Times New Roman" w:hAnsi="Times New Roman"/>
          <w:spacing w:val="-3"/>
          <w:sz w:val="26"/>
        </w:rPr>
        <w:tab/>
      </w:r>
      <w:r w:rsidRPr="002E7739">
        <w:rPr>
          <w:rFonts w:ascii="Times New Roman" w:hAnsi="Times New Roman"/>
          <w:spacing w:val="-3"/>
          <w:sz w:val="26"/>
        </w:rPr>
        <w:t>C-2013-2372633</w:t>
      </w:r>
    </w:p>
    <w:p w:rsidR="002E7739" w:rsidRPr="002E7739" w:rsidRDefault="002E7739" w:rsidP="002E7739">
      <w:pPr>
        <w:tabs>
          <w:tab w:val="left" w:pos="-720"/>
        </w:tabs>
        <w:suppressAutoHyphens/>
        <w:spacing w:after="0" w:line="240" w:lineRule="auto"/>
        <w:rPr>
          <w:rFonts w:ascii="Times New Roman" w:hAnsi="Times New Roman"/>
          <w:spacing w:val="-3"/>
          <w:sz w:val="26"/>
        </w:rPr>
      </w:pPr>
      <w:r w:rsidRPr="002E7739">
        <w:rPr>
          <w:rFonts w:ascii="Times New Roman" w:hAnsi="Times New Roman"/>
          <w:spacing w:val="-3"/>
          <w:sz w:val="26"/>
        </w:rPr>
        <w:t>Tim Oesterling</w:t>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Pr>
          <w:rFonts w:ascii="Times New Roman" w:hAnsi="Times New Roman"/>
          <w:spacing w:val="-3"/>
          <w:sz w:val="26"/>
        </w:rPr>
        <w:tab/>
      </w:r>
      <w:r w:rsidRPr="002E7739">
        <w:rPr>
          <w:rFonts w:ascii="Times New Roman" w:hAnsi="Times New Roman"/>
          <w:spacing w:val="-3"/>
          <w:sz w:val="26"/>
        </w:rPr>
        <w:t>C-2013-2373589</w:t>
      </w:r>
    </w:p>
    <w:p w:rsidR="002E7739" w:rsidRPr="002E7739" w:rsidRDefault="002E7739" w:rsidP="002E7739">
      <w:pPr>
        <w:tabs>
          <w:tab w:val="left" w:pos="-720"/>
        </w:tabs>
        <w:suppressAutoHyphens/>
        <w:spacing w:after="0" w:line="240" w:lineRule="auto"/>
        <w:rPr>
          <w:rFonts w:ascii="Times New Roman" w:hAnsi="Times New Roman"/>
          <w:spacing w:val="-3"/>
          <w:sz w:val="26"/>
        </w:rPr>
      </w:pP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p>
    <w:p w:rsidR="002E7739" w:rsidRPr="002E7739" w:rsidRDefault="002E7739" w:rsidP="002E7739">
      <w:pPr>
        <w:tabs>
          <w:tab w:val="left" w:pos="-720"/>
        </w:tabs>
        <w:suppressAutoHyphens/>
        <w:spacing w:after="0" w:line="240" w:lineRule="auto"/>
        <w:rPr>
          <w:rFonts w:ascii="Times New Roman" w:hAnsi="Times New Roman"/>
          <w:spacing w:val="-3"/>
          <w:sz w:val="26"/>
        </w:rPr>
      </w:pPr>
      <w:r w:rsidRPr="002E7739">
        <w:rPr>
          <w:rFonts w:ascii="Times New Roman" w:hAnsi="Times New Roman"/>
          <w:spacing w:val="-3"/>
          <w:sz w:val="26"/>
        </w:rPr>
        <w:tab/>
        <w:t>v.</w:t>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p>
    <w:p w:rsidR="002E7739" w:rsidRPr="002E7739" w:rsidRDefault="002E7739" w:rsidP="002E7739">
      <w:pPr>
        <w:tabs>
          <w:tab w:val="left" w:pos="-720"/>
        </w:tabs>
        <w:suppressAutoHyphens/>
        <w:spacing w:after="0" w:line="240" w:lineRule="auto"/>
        <w:rPr>
          <w:rFonts w:ascii="Times New Roman" w:hAnsi="Times New Roman"/>
          <w:spacing w:val="-3"/>
          <w:sz w:val="26"/>
        </w:rPr>
      </w:pP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p>
    <w:p w:rsidR="002E7739" w:rsidRPr="002E7739" w:rsidRDefault="002E7739" w:rsidP="002E7739">
      <w:pPr>
        <w:tabs>
          <w:tab w:val="left" w:pos="-720"/>
        </w:tabs>
        <w:suppressAutoHyphens/>
        <w:spacing w:after="0" w:line="240" w:lineRule="auto"/>
        <w:rPr>
          <w:rFonts w:ascii="Times New Roman" w:hAnsi="Times New Roman"/>
          <w:spacing w:val="-3"/>
          <w:sz w:val="26"/>
        </w:rPr>
      </w:pPr>
      <w:r w:rsidRPr="002E7739">
        <w:rPr>
          <w:rFonts w:ascii="Times New Roman" w:hAnsi="Times New Roman"/>
          <w:spacing w:val="-3"/>
          <w:sz w:val="26"/>
        </w:rPr>
        <w:t>Peoples TWP LLC</w:t>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r w:rsidRPr="002E7739">
        <w:rPr>
          <w:rFonts w:ascii="Times New Roman" w:hAnsi="Times New Roman"/>
          <w:spacing w:val="-3"/>
          <w:sz w:val="26"/>
        </w:rPr>
        <w:tab/>
      </w:r>
    </w:p>
    <w:p w:rsidR="002E7739" w:rsidRPr="002E7739" w:rsidRDefault="002E7739" w:rsidP="002E7739">
      <w:pPr>
        <w:tabs>
          <w:tab w:val="left" w:pos="-720"/>
        </w:tabs>
        <w:suppressAutoHyphens/>
        <w:rPr>
          <w:rFonts w:ascii="Times New Roman" w:hAnsi="Times New Roman"/>
          <w:spacing w:val="-3"/>
          <w:sz w:val="26"/>
        </w:rPr>
      </w:pPr>
    </w:p>
    <w:p w:rsidR="002E7739" w:rsidRPr="002E7739" w:rsidRDefault="002E7739" w:rsidP="00D945A0">
      <w:pPr>
        <w:pStyle w:val="NoSpacing"/>
        <w:rPr>
          <w:sz w:val="26"/>
          <w:szCs w:val="26"/>
        </w:rPr>
      </w:pPr>
    </w:p>
    <w:p w:rsidR="006248C1" w:rsidRDefault="006248C1" w:rsidP="000675EE">
      <w:pPr>
        <w:pStyle w:val="ListParagraph"/>
        <w:ind w:left="0"/>
        <w:jc w:val="center"/>
        <w:rPr>
          <w:b/>
          <w:sz w:val="26"/>
          <w:szCs w:val="26"/>
        </w:rPr>
      </w:pPr>
    </w:p>
    <w:p w:rsidR="006248C1" w:rsidRDefault="006248C1" w:rsidP="000675EE">
      <w:pPr>
        <w:pStyle w:val="ListParagraph"/>
        <w:ind w:left="0"/>
        <w:jc w:val="center"/>
        <w:rPr>
          <w:b/>
          <w:sz w:val="26"/>
          <w:szCs w:val="26"/>
        </w:rPr>
      </w:pPr>
    </w:p>
    <w:p w:rsidR="006248C1" w:rsidRDefault="006248C1" w:rsidP="000675EE">
      <w:pPr>
        <w:pStyle w:val="ListParagraph"/>
        <w:ind w:left="0"/>
        <w:jc w:val="center"/>
        <w:rPr>
          <w:b/>
          <w:sz w:val="26"/>
          <w:szCs w:val="26"/>
        </w:rPr>
      </w:pPr>
    </w:p>
    <w:p w:rsidR="006248C1" w:rsidRDefault="006248C1" w:rsidP="000675EE">
      <w:pPr>
        <w:pStyle w:val="ListParagraph"/>
        <w:ind w:left="0"/>
        <w:jc w:val="center"/>
        <w:rPr>
          <w:b/>
          <w:sz w:val="26"/>
          <w:szCs w:val="26"/>
        </w:rPr>
      </w:pPr>
    </w:p>
    <w:p w:rsidR="006248C1" w:rsidRDefault="006248C1" w:rsidP="000675EE">
      <w:pPr>
        <w:pStyle w:val="ListParagraph"/>
        <w:ind w:left="0"/>
        <w:jc w:val="center"/>
        <w:rPr>
          <w:b/>
          <w:sz w:val="26"/>
          <w:szCs w:val="26"/>
        </w:rPr>
      </w:pPr>
    </w:p>
    <w:p w:rsidR="006248C1" w:rsidRDefault="006248C1" w:rsidP="000675EE">
      <w:pPr>
        <w:pStyle w:val="ListParagraph"/>
        <w:ind w:left="0"/>
        <w:jc w:val="center"/>
        <w:rPr>
          <w:b/>
          <w:sz w:val="26"/>
          <w:szCs w:val="26"/>
        </w:rPr>
      </w:pPr>
    </w:p>
    <w:p w:rsidR="006248C1" w:rsidRDefault="006248C1" w:rsidP="000675EE">
      <w:pPr>
        <w:pStyle w:val="ListParagraph"/>
        <w:ind w:left="0"/>
        <w:jc w:val="center"/>
        <w:rPr>
          <w:b/>
          <w:sz w:val="26"/>
          <w:szCs w:val="26"/>
        </w:rPr>
      </w:pPr>
    </w:p>
    <w:p w:rsidR="00CB38CD" w:rsidRDefault="00CB38CD" w:rsidP="000675EE">
      <w:pPr>
        <w:pStyle w:val="ListParagraph"/>
        <w:ind w:left="0"/>
        <w:jc w:val="center"/>
        <w:rPr>
          <w:b/>
          <w:sz w:val="26"/>
          <w:szCs w:val="26"/>
        </w:rPr>
        <w:sectPr w:rsidR="00CB38CD" w:rsidSect="00CB38CD">
          <w:footerReference w:type="default" r:id="rId9"/>
          <w:pgSz w:w="12240" w:h="15840" w:code="1"/>
          <w:pgMar w:top="1440" w:right="1440" w:bottom="1440" w:left="1440" w:header="720" w:footer="720" w:gutter="0"/>
          <w:pgNumType w:start="0"/>
          <w:cols w:space="720"/>
          <w:titlePg/>
          <w:docGrid w:linePitch="360"/>
        </w:sectPr>
      </w:pPr>
    </w:p>
    <w:p w:rsidR="000675EE" w:rsidRDefault="000675EE" w:rsidP="000675EE">
      <w:pPr>
        <w:pStyle w:val="ListParagraph"/>
        <w:ind w:left="0"/>
        <w:jc w:val="center"/>
        <w:rPr>
          <w:b/>
          <w:sz w:val="26"/>
          <w:szCs w:val="26"/>
        </w:rPr>
      </w:pPr>
      <w:r>
        <w:rPr>
          <w:b/>
          <w:sz w:val="26"/>
          <w:szCs w:val="26"/>
        </w:rPr>
        <w:lastRenderedPageBreak/>
        <w:t>OPINION AND ORDER</w:t>
      </w:r>
    </w:p>
    <w:p w:rsidR="000675EE" w:rsidRPr="00AA1E34" w:rsidRDefault="000675EE" w:rsidP="000675EE">
      <w:pPr>
        <w:pStyle w:val="ListParagraph"/>
        <w:ind w:left="0"/>
        <w:jc w:val="center"/>
        <w:rPr>
          <w:sz w:val="26"/>
          <w:szCs w:val="26"/>
        </w:rPr>
      </w:pPr>
    </w:p>
    <w:p w:rsidR="000675EE" w:rsidRPr="00AA1E34" w:rsidRDefault="000675EE" w:rsidP="000F06E6">
      <w:pPr>
        <w:pStyle w:val="ListParagraph"/>
        <w:ind w:left="0"/>
        <w:rPr>
          <w:sz w:val="26"/>
          <w:szCs w:val="26"/>
        </w:rPr>
      </w:pPr>
    </w:p>
    <w:p w:rsidR="00976791" w:rsidRPr="00AA1E34" w:rsidRDefault="000F06E6" w:rsidP="000F06E6">
      <w:pPr>
        <w:pStyle w:val="ListParagraph"/>
        <w:ind w:left="0"/>
        <w:rPr>
          <w:sz w:val="26"/>
          <w:szCs w:val="26"/>
        </w:rPr>
      </w:pPr>
      <w:r w:rsidRPr="004C023F">
        <w:rPr>
          <w:b/>
          <w:sz w:val="26"/>
          <w:szCs w:val="26"/>
        </w:rPr>
        <w:t>BY THE COMMISSION:</w:t>
      </w:r>
    </w:p>
    <w:p w:rsidR="00976791" w:rsidRPr="004C023F" w:rsidRDefault="00976791" w:rsidP="00497E89">
      <w:pPr>
        <w:pStyle w:val="ListParagraph"/>
        <w:spacing w:line="360" w:lineRule="auto"/>
        <w:ind w:left="0"/>
        <w:rPr>
          <w:sz w:val="26"/>
          <w:szCs w:val="26"/>
        </w:rPr>
      </w:pPr>
    </w:p>
    <w:p w:rsidR="000675EE" w:rsidRDefault="0023407C" w:rsidP="009932E3">
      <w:pPr>
        <w:pStyle w:val="ListParagraph"/>
        <w:spacing w:line="360" w:lineRule="auto"/>
        <w:ind w:left="0"/>
        <w:rPr>
          <w:sz w:val="26"/>
          <w:szCs w:val="26"/>
        </w:rPr>
      </w:pPr>
      <w:r w:rsidRPr="004C023F">
        <w:rPr>
          <w:sz w:val="26"/>
          <w:szCs w:val="26"/>
        </w:rPr>
        <w:tab/>
      </w:r>
      <w:r w:rsidRPr="004C023F">
        <w:rPr>
          <w:sz w:val="26"/>
          <w:szCs w:val="26"/>
        </w:rPr>
        <w:tab/>
      </w:r>
      <w:r w:rsidR="00497E89" w:rsidRPr="004C023F">
        <w:rPr>
          <w:sz w:val="26"/>
          <w:szCs w:val="26"/>
        </w:rPr>
        <w:t>Before the Pennsylvania Public Utility Commission (Commission) for consideration and di</w:t>
      </w:r>
      <w:r w:rsidR="00244934">
        <w:rPr>
          <w:sz w:val="26"/>
          <w:szCs w:val="26"/>
        </w:rPr>
        <w:t>sposition</w:t>
      </w:r>
      <w:r w:rsidR="00E120FE">
        <w:rPr>
          <w:sz w:val="26"/>
          <w:szCs w:val="26"/>
        </w:rPr>
        <w:t xml:space="preserve"> </w:t>
      </w:r>
      <w:r w:rsidR="00713AAD">
        <w:rPr>
          <w:sz w:val="26"/>
          <w:szCs w:val="26"/>
        </w:rPr>
        <w:t xml:space="preserve">are the Exceptions of </w:t>
      </w:r>
      <w:r w:rsidR="00A31CA8">
        <w:rPr>
          <w:sz w:val="26"/>
          <w:szCs w:val="26"/>
        </w:rPr>
        <w:t xml:space="preserve">Ms. </w:t>
      </w:r>
      <w:r w:rsidR="00713AAD">
        <w:rPr>
          <w:sz w:val="26"/>
          <w:szCs w:val="26"/>
        </w:rPr>
        <w:t>Dawn Sp</w:t>
      </w:r>
      <w:r w:rsidR="00A31CA8">
        <w:rPr>
          <w:sz w:val="26"/>
          <w:szCs w:val="26"/>
        </w:rPr>
        <w:t>ielvogel filed on November 18, 2013,</w:t>
      </w:r>
      <w:r w:rsidR="00CC0326">
        <w:rPr>
          <w:rStyle w:val="FootnoteReference"/>
          <w:sz w:val="26"/>
          <w:szCs w:val="26"/>
        </w:rPr>
        <w:footnoteReference w:id="1"/>
      </w:r>
      <w:r w:rsidR="00A31CA8">
        <w:rPr>
          <w:sz w:val="26"/>
          <w:szCs w:val="26"/>
        </w:rPr>
        <w:t xml:space="preserve"> </w:t>
      </w:r>
      <w:r w:rsidR="00713AAD">
        <w:rPr>
          <w:sz w:val="26"/>
          <w:szCs w:val="26"/>
        </w:rPr>
        <w:t xml:space="preserve">to the </w:t>
      </w:r>
      <w:r w:rsidR="000675EE" w:rsidRPr="004C023F">
        <w:rPr>
          <w:sz w:val="26"/>
          <w:szCs w:val="26"/>
        </w:rPr>
        <w:t>Recommended Decision (</w:t>
      </w:r>
      <w:r w:rsidR="000E70B1">
        <w:rPr>
          <w:sz w:val="26"/>
          <w:szCs w:val="26"/>
        </w:rPr>
        <w:t>R</w:t>
      </w:r>
      <w:r w:rsidR="000675EE" w:rsidRPr="004C023F">
        <w:rPr>
          <w:sz w:val="26"/>
          <w:szCs w:val="26"/>
        </w:rPr>
        <w:t>.D.) of Administrative Law Judge (</w:t>
      </w:r>
      <w:r w:rsidR="00F44CFF">
        <w:rPr>
          <w:sz w:val="26"/>
          <w:szCs w:val="26"/>
        </w:rPr>
        <w:t>ALJ</w:t>
      </w:r>
      <w:r w:rsidR="000675EE" w:rsidRPr="004C023F">
        <w:rPr>
          <w:sz w:val="26"/>
          <w:szCs w:val="26"/>
        </w:rPr>
        <w:t xml:space="preserve">) </w:t>
      </w:r>
      <w:r w:rsidR="00A31CA8">
        <w:rPr>
          <w:sz w:val="26"/>
          <w:szCs w:val="26"/>
        </w:rPr>
        <w:t>Katrina L. Dunderdale</w:t>
      </w:r>
      <w:r w:rsidR="000675EE" w:rsidRPr="004C023F">
        <w:rPr>
          <w:sz w:val="26"/>
          <w:szCs w:val="26"/>
        </w:rPr>
        <w:t xml:space="preserve">, issued </w:t>
      </w:r>
      <w:r w:rsidR="000675EE">
        <w:rPr>
          <w:sz w:val="26"/>
          <w:szCs w:val="26"/>
        </w:rPr>
        <w:t xml:space="preserve">on </w:t>
      </w:r>
      <w:r w:rsidR="00A31CA8">
        <w:rPr>
          <w:sz w:val="26"/>
          <w:szCs w:val="26"/>
        </w:rPr>
        <w:t>November 6</w:t>
      </w:r>
      <w:r w:rsidR="000675EE">
        <w:rPr>
          <w:sz w:val="26"/>
          <w:szCs w:val="26"/>
        </w:rPr>
        <w:t>, 201</w:t>
      </w:r>
      <w:r w:rsidR="00A31CA8">
        <w:rPr>
          <w:sz w:val="26"/>
          <w:szCs w:val="26"/>
        </w:rPr>
        <w:t>3</w:t>
      </w:r>
      <w:r w:rsidR="000675EE">
        <w:rPr>
          <w:sz w:val="26"/>
          <w:szCs w:val="26"/>
        </w:rPr>
        <w:t>, relative to the above-captioned general rate increase proceeding.</w:t>
      </w:r>
      <w:r w:rsidR="00E120FE">
        <w:rPr>
          <w:sz w:val="26"/>
          <w:szCs w:val="26"/>
        </w:rPr>
        <w:t xml:space="preserve">  </w:t>
      </w:r>
      <w:r w:rsidR="007E57BC">
        <w:rPr>
          <w:sz w:val="26"/>
          <w:szCs w:val="26"/>
        </w:rPr>
        <w:t xml:space="preserve">Peoples TWP LLC (Peoples TWP or the Company) filed Replies to Exceptions on November 18, 2013.  </w:t>
      </w:r>
    </w:p>
    <w:p w:rsidR="000675EE" w:rsidRDefault="000675EE" w:rsidP="009932E3">
      <w:pPr>
        <w:pStyle w:val="ListParagraph"/>
        <w:spacing w:line="360" w:lineRule="auto"/>
        <w:ind w:left="0"/>
        <w:rPr>
          <w:sz w:val="26"/>
          <w:szCs w:val="26"/>
        </w:rPr>
      </w:pPr>
    </w:p>
    <w:p w:rsidR="00836C47" w:rsidRPr="00CE204B" w:rsidRDefault="000675EE" w:rsidP="00767179">
      <w:pPr>
        <w:pStyle w:val="ListParagraph"/>
        <w:spacing w:line="360" w:lineRule="auto"/>
        <w:ind w:left="0"/>
        <w:jc w:val="center"/>
        <w:rPr>
          <w:b/>
          <w:sz w:val="26"/>
          <w:szCs w:val="26"/>
        </w:rPr>
      </w:pPr>
      <w:r>
        <w:rPr>
          <w:b/>
          <w:sz w:val="26"/>
          <w:szCs w:val="26"/>
        </w:rPr>
        <w:t>I.</w:t>
      </w:r>
      <w:r>
        <w:rPr>
          <w:b/>
          <w:sz w:val="26"/>
          <w:szCs w:val="26"/>
        </w:rPr>
        <w:tab/>
      </w:r>
      <w:r w:rsidR="00976791" w:rsidRPr="00CE204B">
        <w:rPr>
          <w:b/>
          <w:sz w:val="26"/>
          <w:szCs w:val="26"/>
        </w:rPr>
        <w:t>History of the Proceeding</w:t>
      </w:r>
    </w:p>
    <w:p w:rsidR="00CE204B" w:rsidRPr="004C023F" w:rsidRDefault="00CE204B" w:rsidP="009932E3">
      <w:pPr>
        <w:pStyle w:val="ListParagraph"/>
        <w:ind w:left="1080"/>
        <w:jc w:val="center"/>
        <w:rPr>
          <w:sz w:val="26"/>
          <w:szCs w:val="26"/>
        </w:rPr>
      </w:pPr>
    </w:p>
    <w:p w:rsidR="00580396" w:rsidRDefault="000C4001" w:rsidP="009932E3">
      <w:pPr>
        <w:spacing w:after="0" w:line="360" w:lineRule="auto"/>
        <w:rPr>
          <w:rFonts w:ascii="Times New Roman" w:hAnsi="Times New Roman"/>
          <w:sz w:val="26"/>
        </w:rPr>
      </w:pPr>
      <w:r>
        <w:rPr>
          <w:sz w:val="26"/>
          <w:szCs w:val="26"/>
        </w:rPr>
        <w:tab/>
      </w:r>
      <w:r>
        <w:rPr>
          <w:sz w:val="26"/>
          <w:szCs w:val="26"/>
        </w:rPr>
        <w:tab/>
      </w:r>
      <w:r w:rsidRPr="000C4001">
        <w:rPr>
          <w:rFonts w:ascii="Times New Roman" w:hAnsi="Times New Roman"/>
          <w:sz w:val="26"/>
        </w:rPr>
        <w:t>On April 30, 2013, Peoples TWP filed Origi</w:t>
      </w:r>
      <w:r w:rsidR="00BE2308">
        <w:rPr>
          <w:rFonts w:ascii="Times New Roman" w:hAnsi="Times New Roman"/>
          <w:sz w:val="26"/>
        </w:rPr>
        <w:t>nal Tariff Gas – Pa. P.U.C. No. </w:t>
      </w:r>
      <w:r w:rsidRPr="000C4001">
        <w:rPr>
          <w:rFonts w:ascii="Times New Roman" w:hAnsi="Times New Roman"/>
          <w:sz w:val="26"/>
        </w:rPr>
        <w:t>8 (Tariff No. 8)</w:t>
      </w:r>
      <w:r w:rsidR="003971C2">
        <w:rPr>
          <w:rFonts w:ascii="Times New Roman" w:hAnsi="Times New Roman"/>
          <w:sz w:val="26"/>
        </w:rPr>
        <w:t>,</w:t>
      </w:r>
      <w:r w:rsidRPr="000C4001">
        <w:rPr>
          <w:rFonts w:ascii="Times New Roman" w:hAnsi="Times New Roman"/>
          <w:sz w:val="26"/>
        </w:rPr>
        <w:t xml:space="preserve"> containing proposed changes in </w:t>
      </w:r>
      <w:r w:rsidR="00A23E32">
        <w:rPr>
          <w:rFonts w:ascii="Times New Roman" w:hAnsi="Times New Roman"/>
          <w:sz w:val="26"/>
        </w:rPr>
        <w:t xml:space="preserve">rates, </w:t>
      </w:r>
      <w:r w:rsidRPr="000C4001">
        <w:rPr>
          <w:rFonts w:ascii="Times New Roman" w:hAnsi="Times New Roman"/>
          <w:sz w:val="26"/>
        </w:rPr>
        <w:t>rules and regulations designed</w:t>
      </w:r>
      <w:r w:rsidR="00A23E32">
        <w:rPr>
          <w:rFonts w:ascii="Times New Roman" w:hAnsi="Times New Roman"/>
          <w:sz w:val="26"/>
        </w:rPr>
        <w:t>, among other things,</w:t>
      </w:r>
      <w:r w:rsidRPr="000C4001">
        <w:rPr>
          <w:rFonts w:ascii="Times New Roman" w:hAnsi="Times New Roman"/>
          <w:sz w:val="26"/>
        </w:rPr>
        <w:t xml:space="preserve"> to </w:t>
      </w:r>
      <w:r w:rsidR="00A23E32">
        <w:rPr>
          <w:rFonts w:ascii="Times New Roman" w:hAnsi="Times New Roman"/>
          <w:sz w:val="26"/>
        </w:rPr>
        <w:t xml:space="preserve">generate additional annual operating revenues </w:t>
      </w:r>
      <w:r w:rsidRPr="000C4001">
        <w:rPr>
          <w:rFonts w:ascii="Times New Roman" w:hAnsi="Times New Roman"/>
          <w:sz w:val="26"/>
        </w:rPr>
        <w:t>of approximately $18.66 million</w:t>
      </w:r>
      <w:r w:rsidR="00015DA3">
        <w:rPr>
          <w:rFonts w:ascii="Times New Roman" w:hAnsi="Times New Roman"/>
          <w:sz w:val="26"/>
        </w:rPr>
        <w:t xml:space="preserve">, an increase of 22.8%.  The Company’s proposed general rate increase </w:t>
      </w:r>
      <w:r w:rsidR="00B53359">
        <w:rPr>
          <w:rFonts w:ascii="Times New Roman" w:hAnsi="Times New Roman"/>
          <w:sz w:val="26"/>
        </w:rPr>
        <w:t>wa</w:t>
      </w:r>
      <w:r w:rsidR="00015DA3">
        <w:rPr>
          <w:rFonts w:ascii="Times New Roman" w:hAnsi="Times New Roman"/>
          <w:sz w:val="26"/>
        </w:rPr>
        <w:t>s</w:t>
      </w:r>
      <w:r w:rsidRPr="000C4001">
        <w:rPr>
          <w:rFonts w:ascii="Times New Roman" w:hAnsi="Times New Roman"/>
          <w:sz w:val="26"/>
        </w:rPr>
        <w:t xml:space="preserve"> based on pro forma data for a </w:t>
      </w:r>
      <w:r w:rsidR="003971C2">
        <w:rPr>
          <w:rFonts w:ascii="Times New Roman" w:hAnsi="Times New Roman"/>
          <w:sz w:val="26"/>
        </w:rPr>
        <w:t>F</w:t>
      </w:r>
      <w:r w:rsidRPr="000C4001">
        <w:rPr>
          <w:rFonts w:ascii="Times New Roman" w:hAnsi="Times New Roman"/>
          <w:sz w:val="26"/>
        </w:rPr>
        <w:t xml:space="preserve">ully Projected Future Test Year ending January 31, 2015, which request, if granted, would allow Peoples TWP an opportunity to earn an overall rate of return of 7.97%, including an 11.25% return on common equity.  Tariff No. 8 was filed to become effective on June 29, 2013. </w:t>
      </w:r>
    </w:p>
    <w:p w:rsidR="000C4001" w:rsidRPr="000C4001" w:rsidRDefault="000C4001" w:rsidP="009932E3">
      <w:pPr>
        <w:spacing w:after="0" w:line="360" w:lineRule="auto"/>
        <w:rPr>
          <w:rFonts w:ascii="Times New Roman" w:hAnsi="Times New Roman"/>
          <w:sz w:val="26"/>
        </w:rPr>
      </w:pPr>
    </w:p>
    <w:p w:rsidR="00580396" w:rsidRDefault="000C4001" w:rsidP="009932E3">
      <w:pPr>
        <w:spacing w:after="0" w:line="360" w:lineRule="auto"/>
        <w:rPr>
          <w:rFonts w:ascii="Times New Roman" w:hAnsi="Times New Roman"/>
          <w:sz w:val="26"/>
        </w:rPr>
      </w:pPr>
      <w:r w:rsidRPr="000C4001">
        <w:rPr>
          <w:rFonts w:ascii="Times New Roman" w:hAnsi="Times New Roman"/>
          <w:sz w:val="26"/>
        </w:rPr>
        <w:tab/>
      </w:r>
      <w:r w:rsidRPr="000C4001">
        <w:rPr>
          <w:rFonts w:ascii="Times New Roman" w:hAnsi="Times New Roman"/>
          <w:sz w:val="26"/>
        </w:rPr>
        <w:tab/>
      </w:r>
      <w:r w:rsidR="00CA0B3F">
        <w:rPr>
          <w:rFonts w:ascii="Times New Roman" w:hAnsi="Times New Roman"/>
          <w:sz w:val="26"/>
        </w:rPr>
        <w:t xml:space="preserve">On May 16, 2013, the Commission’s Bureau of Investigation and Enforcement (I&amp;E) filed a Notice of Appearance.  </w:t>
      </w:r>
      <w:r w:rsidR="00015DA3">
        <w:rPr>
          <w:rFonts w:ascii="Times New Roman" w:hAnsi="Times New Roman"/>
          <w:sz w:val="26"/>
        </w:rPr>
        <w:t>On May 21, 2013</w:t>
      </w:r>
      <w:r w:rsidR="004B554D">
        <w:rPr>
          <w:rFonts w:ascii="Times New Roman" w:hAnsi="Times New Roman"/>
          <w:sz w:val="26"/>
        </w:rPr>
        <w:t>,</w:t>
      </w:r>
      <w:r w:rsidR="00015DA3">
        <w:rPr>
          <w:rFonts w:ascii="Times New Roman" w:hAnsi="Times New Roman"/>
          <w:sz w:val="26"/>
        </w:rPr>
        <w:t xml:space="preserve"> the </w:t>
      </w:r>
      <w:r w:rsidR="00015DA3" w:rsidRPr="000C4001">
        <w:rPr>
          <w:rFonts w:ascii="Times New Roman" w:hAnsi="Times New Roman"/>
          <w:sz w:val="26"/>
        </w:rPr>
        <w:t>Office of Small Business Advocate (OSBA)</w:t>
      </w:r>
      <w:r w:rsidR="00015DA3">
        <w:rPr>
          <w:rFonts w:ascii="Times New Roman" w:hAnsi="Times New Roman"/>
          <w:sz w:val="26"/>
        </w:rPr>
        <w:t xml:space="preserve"> and the </w:t>
      </w:r>
      <w:r w:rsidR="00015DA3" w:rsidRPr="000C4001">
        <w:rPr>
          <w:rFonts w:ascii="Times New Roman" w:hAnsi="Times New Roman"/>
          <w:sz w:val="26"/>
        </w:rPr>
        <w:t>Office of Consumer Advocate (OCA)</w:t>
      </w:r>
      <w:r w:rsidR="00015DA3">
        <w:rPr>
          <w:rFonts w:ascii="Times New Roman" w:hAnsi="Times New Roman"/>
          <w:sz w:val="26"/>
        </w:rPr>
        <w:t xml:space="preserve"> filed </w:t>
      </w:r>
      <w:r w:rsidR="00CF74B8">
        <w:rPr>
          <w:rFonts w:ascii="Times New Roman" w:hAnsi="Times New Roman"/>
          <w:sz w:val="26"/>
        </w:rPr>
        <w:t>Formal Complaints against the proposed rate increase</w:t>
      </w:r>
      <w:r w:rsidR="00015DA3">
        <w:rPr>
          <w:rFonts w:ascii="Times New Roman" w:hAnsi="Times New Roman"/>
          <w:sz w:val="26"/>
        </w:rPr>
        <w:t>.  In addition, Formal Complaints were filed by</w:t>
      </w:r>
      <w:r w:rsidR="00CF74B8">
        <w:rPr>
          <w:rFonts w:ascii="Times New Roman" w:hAnsi="Times New Roman"/>
          <w:sz w:val="26"/>
        </w:rPr>
        <w:t xml:space="preserve"> the following </w:t>
      </w:r>
      <w:r w:rsidRPr="000C4001">
        <w:rPr>
          <w:rFonts w:ascii="Times New Roman" w:hAnsi="Times New Roman"/>
          <w:sz w:val="26"/>
        </w:rPr>
        <w:t>individual ratepayers:</w:t>
      </w:r>
      <w:r w:rsidR="00E120FE">
        <w:rPr>
          <w:rFonts w:ascii="Times New Roman" w:hAnsi="Times New Roman"/>
          <w:sz w:val="26"/>
        </w:rPr>
        <w:t xml:space="preserve">  </w:t>
      </w:r>
      <w:r w:rsidRPr="000C4001">
        <w:rPr>
          <w:rFonts w:ascii="Times New Roman" w:hAnsi="Times New Roman"/>
          <w:sz w:val="26"/>
        </w:rPr>
        <w:t>Dawn B. Spielvogel</w:t>
      </w:r>
      <w:r w:rsidR="00CF74B8">
        <w:rPr>
          <w:rFonts w:ascii="Times New Roman" w:hAnsi="Times New Roman"/>
          <w:sz w:val="26"/>
        </w:rPr>
        <w:t xml:space="preserve">, </w:t>
      </w:r>
      <w:r w:rsidRPr="000C4001">
        <w:rPr>
          <w:rFonts w:ascii="Times New Roman" w:hAnsi="Times New Roman"/>
          <w:sz w:val="26"/>
        </w:rPr>
        <w:t>Charles Glendening</w:t>
      </w:r>
      <w:r w:rsidR="00CF74B8">
        <w:rPr>
          <w:rFonts w:ascii="Times New Roman" w:hAnsi="Times New Roman"/>
          <w:sz w:val="26"/>
        </w:rPr>
        <w:t xml:space="preserve">, </w:t>
      </w:r>
      <w:r w:rsidRPr="000C4001">
        <w:rPr>
          <w:rFonts w:ascii="Times New Roman" w:hAnsi="Times New Roman"/>
          <w:sz w:val="26"/>
        </w:rPr>
        <w:t xml:space="preserve">Neil </w:t>
      </w:r>
      <w:r w:rsidRPr="000C4001">
        <w:rPr>
          <w:rFonts w:ascii="Times New Roman" w:hAnsi="Times New Roman"/>
          <w:sz w:val="26"/>
        </w:rPr>
        <w:lastRenderedPageBreak/>
        <w:t>Cooper</w:t>
      </w:r>
      <w:r w:rsidR="00CF74B8">
        <w:rPr>
          <w:rFonts w:ascii="Times New Roman" w:hAnsi="Times New Roman"/>
          <w:sz w:val="26"/>
        </w:rPr>
        <w:t xml:space="preserve">, </w:t>
      </w:r>
      <w:r w:rsidRPr="000C4001">
        <w:rPr>
          <w:rFonts w:ascii="Times New Roman" w:hAnsi="Times New Roman"/>
          <w:sz w:val="26"/>
        </w:rPr>
        <w:t>Megan Rummel</w:t>
      </w:r>
      <w:r w:rsidR="00CF74B8">
        <w:rPr>
          <w:rFonts w:ascii="Times New Roman" w:hAnsi="Times New Roman"/>
          <w:sz w:val="26"/>
        </w:rPr>
        <w:t xml:space="preserve">, </w:t>
      </w:r>
      <w:r w:rsidRPr="000C4001">
        <w:rPr>
          <w:rFonts w:ascii="Times New Roman" w:hAnsi="Times New Roman"/>
          <w:sz w:val="26"/>
        </w:rPr>
        <w:t>Susan Hilliard</w:t>
      </w:r>
      <w:r w:rsidR="00CF74B8">
        <w:rPr>
          <w:rFonts w:ascii="Times New Roman" w:hAnsi="Times New Roman"/>
          <w:sz w:val="26"/>
        </w:rPr>
        <w:t xml:space="preserve">, </w:t>
      </w:r>
      <w:r w:rsidRPr="000C4001">
        <w:rPr>
          <w:rFonts w:ascii="Times New Roman" w:hAnsi="Times New Roman"/>
          <w:sz w:val="26"/>
        </w:rPr>
        <w:t>Carol George</w:t>
      </w:r>
      <w:r w:rsidR="00CF74B8">
        <w:rPr>
          <w:rFonts w:ascii="Times New Roman" w:hAnsi="Times New Roman"/>
          <w:sz w:val="26"/>
        </w:rPr>
        <w:t xml:space="preserve">, </w:t>
      </w:r>
      <w:r w:rsidRPr="000C4001">
        <w:rPr>
          <w:rFonts w:ascii="Times New Roman" w:hAnsi="Times New Roman"/>
          <w:sz w:val="26"/>
        </w:rPr>
        <w:t>Kathleen Tack</w:t>
      </w:r>
      <w:r w:rsidR="00CF74B8">
        <w:rPr>
          <w:rFonts w:ascii="Times New Roman" w:hAnsi="Times New Roman"/>
          <w:sz w:val="26"/>
        </w:rPr>
        <w:t xml:space="preserve">, </w:t>
      </w:r>
      <w:r w:rsidRPr="000C4001">
        <w:rPr>
          <w:rFonts w:ascii="Times New Roman" w:hAnsi="Times New Roman"/>
          <w:sz w:val="26"/>
        </w:rPr>
        <w:t>Lawrence Sumansky</w:t>
      </w:r>
      <w:r w:rsidR="00CF74B8">
        <w:rPr>
          <w:rFonts w:ascii="Times New Roman" w:hAnsi="Times New Roman"/>
          <w:sz w:val="26"/>
        </w:rPr>
        <w:t xml:space="preserve">, </w:t>
      </w:r>
      <w:r w:rsidRPr="000C4001">
        <w:rPr>
          <w:rFonts w:ascii="Times New Roman" w:hAnsi="Times New Roman"/>
          <w:sz w:val="26"/>
        </w:rPr>
        <w:t>Amy and John Beiler</w:t>
      </w:r>
      <w:r w:rsidR="00CF74B8">
        <w:rPr>
          <w:rFonts w:ascii="Times New Roman" w:hAnsi="Times New Roman"/>
          <w:sz w:val="26"/>
        </w:rPr>
        <w:t xml:space="preserve">, </w:t>
      </w:r>
      <w:r w:rsidRPr="000C4001">
        <w:rPr>
          <w:rFonts w:ascii="Times New Roman" w:hAnsi="Times New Roman"/>
          <w:sz w:val="26"/>
        </w:rPr>
        <w:t>Gertrude Blair</w:t>
      </w:r>
      <w:r w:rsidR="00CF74B8">
        <w:rPr>
          <w:rFonts w:ascii="Times New Roman" w:hAnsi="Times New Roman"/>
          <w:sz w:val="26"/>
        </w:rPr>
        <w:t>,</w:t>
      </w:r>
      <w:r w:rsidRPr="000C4001">
        <w:rPr>
          <w:rFonts w:ascii="Times New Roman" w:hAnsi="Times New Roman"/>
          <w:sz w:val="26"/>
        </w:rPr>
        <w:t xml:space="preserve"> and</w:t>
      </w:r>
      <w:r w:rsidR="00A361D2">
        <w:rPr>
          <w:rFonts w:ascii="Times New Roman" w:hAnsi="Times New Roman"/>
          <w:sz w:val="26"/>
        </w:rPr>
        <w:t xml:space="preserve"> </w:t>
      </w:r>
      <w:r w:rsidRPr="000C4001">
        <w:rPr>
          <w:rFonts w:ascii="Times New Roman" w:hAnsi="Times New Roman"/>
          <w:sz w:val="26"/>
        </w:rPr>
        <w:t>Tim Oesterling.</w:t>
      </w:r>
    </w:p>
    <w:p w:rsidR="00B53359" w:rsidRDefault="00B53359" w:rsidP="009932E3">
      <w:pPr>
        <w:spacing w:after="0" w:line="360" w:lineRule="auto"/>
        <w:rPr>
          <w:rFonts w:ascii="Times New Roman" w:hAnsi="Times New Roman"/>
          <w:sz w:val="26"/>
        </w:rPr>
      </w:pPr>
    </w:p>
    <w:p w:rsidR="000C4001" w:rsidRDefault="000C4001" w:rsidP="009932E3">
      <w:pPr>
        <w:spacing w:after="0" w:line="360" w:lineRule="auto"/>
        <w:rPr>
          <w:rFonts w:ascii="Times New Roman" w:hAnsi="Times New Roman"/>
          <w:sz w:val="26"/>
        </w:rPr>
      </w:pPr>
      <w:r w:rsidRPr="000C4001">
        <w:rPr>
          <w:rFonts w:ascii="Times New Roman" w:hAnsi="Times New Roman"/>
          <w:sz w:val="26"/>
        </w:rPr>
        <w:tab/>
      </w:r>
      <w:r w:rsidRPr="000C4001">
        <w:rPr>
          <w:rFonts w:ascii="Times New Roman" w:hAnsi="Times New Roman"/>
          <w:sz w:val="26"/>
        </w:rPr>
        <w:tab/>
        <w:t xml:space="preserve">On June 7, 2013, Peoples TWP filed proofs of publication in seven publications within </w:t>
      </w:r>
      <w:r w:rsidR="00010107">
        <w:rPr>
          <w:rFonts w:ascii="Times New Roman" w:hAnsi="Times New Roman"/>
          <w:sz w:val="26"/>
        </w:rPr>
        <w:t>its</w:t>
      </w:r>
      <w:r w:rsidRPr="000C4001">
        <w:rPr>
          <w:rFonts w:ascii="Times New Roman" w:hAnsi="Times New Roman"/>
          <w:sz w:val="26"/>
        </w:rPr>
        <w:t xml:space="preserve"> service </w:t>
      </w:r>
      <w:r w:rsidR="00010107">
        <w:rPr>
          <w:rFonts w:ascii="Times New Roman" w:hAnsi="Times New Roman"/>
          <w:sz w:val="26"/>
        </w:rPr>
        <w:t>territory</w:t>
      </w:r>
      <w:r w:rsidR="00B53359">
        <w:rPr>
          <w:rFonts w:ascii="Times New Roman" w:hAnsi="Times New Roman"/>
          <w:sz w:val="26"/>
        </w:rPr>
        <w:t>,</w:t>
      </w:r>
      <w:r w:rsidRPr="000C4001">
        <w:rPr>
          <w:rFonts w:ascii="Times New Roman" w:hAnsi="Times New Roman"/>
          <w:sz w:val="26"/>
        </w:rPr>
        <w:t xml:space="preserve"> which notified all ratepayers about the requested rate increase.  The publications noted that, if the requested increase was approved, the total bill for a residential customer using 84 Mcf would increase from $79.22 to $101.71 per month, or by 28.4%.  The total bill for a commercial customer using 200 Mcf would increase from $208.53 to $219.77 per month, or by 5.4%.  The total bill for an industrial customer using 3,893 Mcf would increase from $2,951.1</w:t>
      </w:r>
      <w:r w:rsidR="00CB38CD">
        <w:rPr>
          <w:rFonts w:ascii="Times New Roman" w:hAnsi="Times New Roman"/>
          <w:sz w:val="26"/>
        </w:rPr>
        <w:t>0 to $3,052.34 per month, or by </w:t>
      </w:r>
      <w:r w:rsidRPr="000C4001">
        <w:rPr>
          <w:rFonts w:ascii="Times New Roman" w:hAnsi="Times New Roman"/>
          <w:sz w:val="26"/>
        </w:rPr>
        <w:t>3.4%.</w:t>
      </w:r>
    </w:p>
    <w:p w:rsidR="00580396" w:rsidRDefault="00580396" w:rsidP="009932E3">
      <w:pPr>
        <w:spacing w:after="0" w:line="360" w:lineRule="auto"/>
        <w:rPr>
          <w:rFonts w:ascii="Times New Roman" w:hAnsi="Times New Roman"/>
          <w:sz w:val="26"/>
        </w:rPr>
      </w:pPr>
    </w:p>
    <w:p w:rsidR="000C4001" w:rsidRPr="001F0823" w:rsidRDefault="000C4001" w:rsidP="009932E3">
      <w:pPr>
        <w:tabs>
          <w:tab w:val="left" w:pos="1440"/>
        </w:tabs>
        <w:spacing w:after="0" w:line="360" w:lineRule="auto"/>
        <w:ind w:firstLine="720"/>
        <w:rPr>
          <w:rFonts w:ascii="Times New Roman" w:hAnsi="Times New Roman"/>
          <w:sz w:val="26"/>
        </w:rPr>
      </w:pPr>
      <w:r w:rsidRPr="000C4001">
        <w:rPr>
          <w:rFonts w:ascii="Times New Roman" w:hAnsi="Times New Roman"/>
          <w:sz w:val="26"/>
        </w:rPr>
        <w:tab/>
      </w:r>
      <w:r w:rsidR="0025155B">
        <w:rPr>
          <w:rFonts w:ascii="Times New Roman" w:hAnsi="Times New Roman"/>
          <w:sz w:val="26"/>
        </w:rPr>
        <w:t xml:space="preserve">By Order entered </w:t>
      </w:r>
      <w:r w:rsidRPr="000C4001">
        <w:rPr>
          <w:rFonts w:ascii="Times New Roman" w:hAnsi="Times New Roman"/>
          <w:sz w:val="26"/>
        </w:rPr>
        <w:t>June 13, 2013, the Commission</w:t>
      </w:r>
      <w:r w:rsidR="00E120FE">
        <w:rPr>
          <w:rFonts w:ascii="Times New Roman" w:hAnsi="Times New Roman"/>
          <w:sz w:val="26"/>
        </w:rPr>
        <w:t xml:space="preserve"> </w:t>
      </w:r>
      <w:r w:rsidR="00146564">
        <w:rPr>
          <w:rFonts w:ascii="Times New Roman" w:hAnsi="Times New Roman"/>
          <w:sz w:val="26"/>
        </w:rPr>
        <w:t>instituted a formal investigation to determine the lawfulness, justness, and reasonableness of the Company’s existing and proposed rates, rules, and regulations.  Consequently, Tariff No. 8 was s</w:t>
      </w:r>
      <w:r w:rsidRPr="000C4001">
        <w:rPr>
          <w:rFonts w:ascii="Times New Roman" w:hAnsi="Times New Roman"/>
          <w:sz w:val="26"/>
        </w:rPr>
        <w:t>uspended by operation of law, pursuant to 66 Pa.</w:t>
      </w:r>
      <w:r w:rsidR="00B53359">
        <w:rPr>
          <w:rFonts w:ascii="Times New Roman" w:hAnsi="Times New Roman"/>
          <w:sz w:val="26"/>
        </w:rPr>
        <w:t xml:space="preserve"> </w:t>
      </w:r>
      <w:r w:rsidRPr="000C4001">
        <w:rPr>
          <w:rFonts w:ascii="Times New Roman" w:hAnsi="Times New Roman"/>
          <w:sz w:val="26"/>
        </w:rPr>
        <w:t>C.S. § 1308(d), for seven months, or until January 29, 2014</w:t>
      </w:r>
      <w:r w:rsidR="001F0823">
        <w:rPr>
          <w:rFonts w:ascii="Times New Roman" w:hAnsi="Times New Roman"/>
          <w:sz w:val="26"/>
        </w:rPr>
        <w:t>, unless permitted by Commission Order to become effective at an earlier date</w:t>
      </w:r>
      <w:r w:rsidR="00E00BB0">
        <w:rPr>
          <w:rFonts w:ascii="Times New Roman" w:hAnsi="Times New Roman"/>
          <w:sz w:val="26"/>
        </w:rPr>
        <w:t>.</w:t>
      </w:r>
      <w:r w:rsidR="0063173D">
        <w:rPr>
          <w:rFonts w:ascii="Times New Roman" w:hAnsi="Times New Roman"/>
          <w:sz w:val="26"/>
        </w:rPr>
        <w:t xml:space="preserve">  As will be discussed in greater detail herein, the Joint Petitioners request that </w:t>
      </w:r>
      <w:r w:rsidR="00346524">
        <w:rPr>
          <w:rFonts w:ascii="Times New Roman" w:hAnsi="Times New Roman"/>
          <w:sz w:val="26"/>
        </w:rPr>
        <w:t xml:space="preserve">the Commission establish an </w:t>
      </w:r>
      <w:r w:rsidR="00137CA4">
        <w:rPr>
          <w:rFonts w:ascii="Times New Roman" w:hAnsi="Times New Roman"/>
          <w:sz w:val="26"/>
        </w:rPr>
        <w:t xml:space="preserve">earlier </w:t>
      </w:r>
      <w:r w:rsidR="0063173D">
        <w:rPr>
          <w:rFonts w:ascii="Times New Roman" w:hAnsi="Times New Roman"/>
          <w:sz w:val="26"/>
        </w:rPr>
        <w:t xml:space="preserve">effective date of </w:t>
      </w:r>
      <w:r w:rsidR="00346524">
        <w:rPr>
          <w:rFonts w:ascii="Times New Roman" w:hAnsi="Times New Roman"/>
          <w:sz w:val="26"/>
        </w:rPr>
        <w:t>January 1, 2014, for any</w:t>
      </w:r>
      <w:r w:rsidR="0063173D">
        <w:rPr>
          <w:rFonts w:ascii="Times New Roman" w:hAnsi="Times New Roman"/>
          <w:sz w:val="26"/>
        </w:rPr>
        <w:t xml:space="preserve"> new base rates </w:t>
      </w:r>
      <w:r w:rsidR="00346524">
        <w:rPr>
          <w:rFonts w:ascii="Times New Roman" w:hAnsi="Times New Roman"/>
          <w:sz w:val="26"/>
        </w:rPr>
        <w:t>resulting from this proceeding.</w:t>
      </w:r>
    </w:p>
    <w:p w:rsidR="00E00BB0" w:rsidRDefault="00E00BB0" w:rsidP="009932E3">
      <w:pPr>
        <w:spacing w:after="0" w:line="360" w:lineRule="auto"/>
        <w:rPr>
          <w:rFonts w:ascii="Times New Roman" w:hAnsi="Times New Roman"/>
          <w:sz w:val="26"/>
        </w:rPr>
      </w:pPr>
    </w:p>
    <w:p w:rsidR="000C4001" w:rsidRPr="000C4001" w:rsidRDefault="000C4001" w:rsidP="009932E3">
      <w:pPr>
        <w:spacing w:after="0" w:line="360" w:lineRule="auto"/>
        <w:rPr>
          <w:rFonts w:ascii="Times New Roman" w:hAnsi="Times New Roman"/>
          <w:sz w:val="26"/>
        </w:rPr>
      </w:pPr>
      <w:r w:rsidRPr="000C4001">
        <w:rPr>
          <w:rFonts w:ascii="Times New Roman" w:hAnsi="Times New Roman"/>
          <w:sz w:val="26"/>
        </w:rPr>
        <w:tab/>
      </w:r>
      <w:r w:rsidRPr="000C4001">
        <w:rPr>
          <w:rFonts w:ascii="Times New Roman" w:hAnsi="Times New Roman"/>
          <w:sz w:val="26"/>
        </w:rPr>
        <w:tab/>
      </w:r>
      <w:r w:rsidR="00CA0B3F">
        <w:rPr>
          <w:rFonts w:ascii="Times New Roman" w:hAnsi="Times New Roman"/>
          <w:sz w:val="26"/>
        </w:rPr>
        <w:t xml:space="preserve">On July 23, 2013, a public input hearing was held </w:t>
      </w:r>
      <w:r w:rsidRPr="000C4001">
        <w:rPr>
          <w:rFonts w:ascii="Times New Roman" w:hAnsi="Times New Roman"/>
          <w:sz w:val="26"/>
        </w:rPr>
        <w:t>in Butler, Butler County, Pennsylvania.</w:t>
      </w:r>
      <w:r w:rsidR="00D642F9">
        <w:rPr>
          <w:rFonts w:ascii="Times New Roman" w:hAnsi="Times New Roman"/>
          <w:sz w:val="26"/>
        </w:rPr>
        <w:t xml:space="preserve">  Twenty-eight individuals testified during the public input hearing, and a ninety-nine page transcript was generated.  For a summary of the testimony provided during the public input hearing, refer to pages four through eleven o</w:t>
      </w:r>
      <w:r w:rsidR="00CB38CD">
        <w:rPr>
          <w:rFonts w:ascii="Times New Roman" w:hAnsi="Times New Roman"/>
          <w:sz w:val="26"/>
        </w:rPr>
        <w:t xml:space="preserve">f the Recommended Decision. </w:t>
      </w:r>
      <w:r w:rsidR="00D642F9">
        <w:rPr>
          <w:rFonts w:ascii="Times New Roman" w:hAnsi="Times New Roman"/>
          <w:sz w:val="26"/>
        </w:rPr>
        <w:t xml:space="preserve"> </w:t>
      </w:r>
    </w:p>
    <w:p w:rsidR="000C4001" w:rsidRPr="000C4001" w:rsidRDefault="000C4001" w:rsidP="009932E3">
      <w:pPr>
        <w:spacing w:after="0" w:line="360" w:lineRule="auto"/>
        <w:rPr>
          <w:rFonts w:ascii="Times New Roman" w:hAnsi="Times New Roman"/>
          <w:sz w:val="26"/>
        </w:rPr>
      </w:pPr>
    </w:p>
    <w:p w:rsidR="00B53359" w:rsidRDefault="000C4001" w:rsidP="009932E3">
      <w:pPr>
        <w:spacing w:after="0" w:line="360" w:lineRule="auto"/>
        <w:rPr>
          <w:rFonts w:ascii="Times New Roman" w:hAnsi="Times New Roman"/>
          <w:sz w:val="26"/>
        </w:rPr>
      </w:pPr>
      <w:r w:rsidRPr="000C4001">
        <w:rPr>
          <w:rFonts w:ascii="Times New Roman" w:hAnsi="Times New Roman"/>
          <w:sz w:val="26"/>
        </w:rPr>
        <w:tab/>
      </w:r>
      <w:r w:rsidRPr="000C4001">
        <w:rPr>
          <w:rFonts w:ascii="Times New Roman" w:hAnsi="Times New Roman"/>
          <w:sz w:val="26"/>
        </w:rPr>
        <w:tab/>
      </w:r>
      <w:r w:rsidR="004E60F0">
        <w:rPr>
          <w:rFonts w:ascii="Times New Roman" w:hAnsi="Times New Roman"/>
          <w:sz w:val="26"/>
        </w:rPr>
        <w:t>An</w:t>
      </w:r>
      <w:r w:rsidR="00D642F9">
        <w:rPr>
          <w:rFonts w:ascii="Times New Roman" w:hAnsi="Times New Roman"/>
          <w:sz w:val="26"/>
        </w:rPr>
        <w:t xml:space="preserve"> evidentiary hearing w</w:t>
      </w:r>
      <w:r w:rsidR="004E60F0">
        <w:rPr>
          <w:rFonts w:ascii="Times New Roman" w:hAnsi="Times New Roman"/>
          <w:sz w:val="26"/>
        </w:rPr>
        <w:t>as</w:t>
      </w:r>
      <w:r w:rsidR="00D642F9">
        <w:rPr>
          <w:rFonts w:ascii="Times New Roman" w:hAnsi="Times New Roman"/>
          <w:sz w:val="26"/>
        </w:rPr>
        <w:t xml:space="preserve"> conducted on </w:t>
      </w:r>
      <w:r w:rsidRPr="000C4001">
        <w:rPr>
          <w:rFonts w:ascii="Times New Roman" w:hAnsi="Times New Roman"/>
          <w:sz w:val="26"/>
        </w:rPr>
        <w:t xml:space="preserve">September 18, 2013.  </w:t>
      </w:r>
      <w:r w:rsidR="009932E3">
        <w:rPr>
          <w:rFonts w:ascii="Times New Roman" w:hAnsi="Times New Roman"/>
          <w:sz w:val="26"/>
        </w:rPr>
        <w:t>During</w:t>
      </w:r>
      <w:r w:rsidRPr="000C4001">
        <w:rPr>
          <w:rFonts w:ascii="Times New Roman" w:hAnsi="Times New Roman"/>
          <w:sz w:val="26"/>
        </w:rPr>
        <w:t xml:space="preserve"> the hearing, the </w:t>
      </w:r>
      <w:r w:rsidR="00D642F9">
        <w:rPr>
          <w:rFonts w:ascii="Times New Roman" w:hAnsi="Times New Roman"/>
          <w:sz w:val="26"/>
        </w:rPr>
        <w:t>P</w:t>
      </w:r>
      <w:r w:rsidRPr="000C4001">
        <w:rPr>
          <w:rFonts w:ascii="Times New Roman" w:hAnsi="Times New Roman"/>
          <w:sz w:val="26"/>
        </w:rPr>
        <w:t xml:space="preserve">arties submitted written </w:t>
      </w:r>
      <w:r w:rsidR="001805B2">
        <w:rPr>
          <w:rFonts w:ascii="Times New Roman" w:hAnsi="Times New Roman"/>
          <w:sz w:val="26"/>
        </w:rPr>
        <w:t>testimony</w:t>
      </w:r>
      <w:r w:rsidRPr="000C4001">
        <w:rPr>
          <w:rFonts w:ascii="Times New Roman" w:hAnsi="Times New Roman"/>
          <w:sz w:val="26"/>
        </w:rPr>
        <w:t xml:space="preserve"> and exhibits of various witnesses, with </w:t>
      </w:r>
      <w:r w:rsidRPr="000C4001">
        <w:rPr>
          <w:rFonts w:ascii="Times New Roman" w:hAnsi="Times New Roman"/>
          <w:sz w:val="26"/>
        </w:rPr>
        <w:lastRenderedPageBreak/>
        <w:t xml:space="preserve">signed affidavits from each witness, pursuant to an agreement between the </w:t>
      </w:r>
      <w:r w:rsidR="00D642F9">
        <w:rPr>
          <w:rFonts w:ascii="Times New Roman" w:hAnsi="Times New Roman"/>
          <w:sz w:val="26"/>
        </w:rPr>
        <w:t>P</w:t>
      </w:r>
      <w:r w:rsidRPr="000C4001">
        <w:rPr>
          <w:rFonts w:ascii="Times New Roman" w:hAnsi="Times New Roman"/>
          <w:sz w:val="26"/>
        </w:rPr>
        <w:t>arties that cross-examination would not be necessary.  Attachment A to th</w:t>
      </w:r>
      <w:r w:rsidR="00D642F9">
        <w:rPr>
          <w:rFonts w:ascii="Times New Roman" w:hAnsi="Times New Roman"/>
          <w:sz w:val="26"/>
        </w:rPr>
        <w:t>e</w:t>
      </w:r>
      <w:r w:rsidRPr="000C4001">
        <w:rPr>
          <w:rFonts w:ascii="Times New Roman" w:hAnsi="Times New Roman"/>
          <w:sz w:val="26"/>
        </w:rPr>
        <w:t xml:space="preserve"> Recommend</w:t>
      </w:r>
      <w:r w:rsidR="00D642F9">
        <w:rPr>
          <w:rFonts w:ascii="Times New Roman" w:hAnsi="Times New Roman"/>
          <w:sz w:val="26"/>
        </w:rPr>
        <w:t>ed</w:t>
      </w:r>
      <w:r w:rsidR="009932E3">
        <w:rPr>
          <w:rFonts w:ascii="Times New Roman" w:hAnsi="Times New Roman"/>
          <w:sz w:val="26"/>
        </w:rPr>
        <w:t xml:space="preserve"> </w:t>
      </w:r>
      <w:r w:rsidR="00D642F9">
        <w:rPr>
          <w:rFonts w:ascii="Times New Roman" w:hAnsi="Times New Roman"/>
          <w:sz w:val="26"/>
        </w:rPr>
        <w:t xml:space="preserve">Decision </w:t>
      </w:r>
      <w:r w:rsidRPr="000C4001">
        <w:rPr>
          <w:rFonts w:ascii="Times New Roman" w:hAnsi="Times New Roman"/>
          <w:sz w:val="26"/>
        </w:rPr>
        <w:t>lists the written tes</w:t>
      </w:r>
      <w:r w:rsidR="001805B2">
        <w:rPr>
          <w:rFonts w:ascii="Times New Roman" w:hAnsi="Times New Roman"/>
          <w:sz w:val="26"/>
        </w:rPr>
        <w:t>timony</w:t>
      </w:r>
      <w:r w:rsidRPr="000C4001">
        <w:rPr>
          <w:rFonts w:ascii="Times New Roman" w:hAnsi="Times New Roman"/>
          <w:sz w:val="26"/>
        </w:rPr>
        <w:t xml:space="preserve"> and exhibits admitted into the record. </w:t>
      </w:r>
    </w:p>
    <w:p w:rsidR="000C4001" w:rsidRPr="000C4001" w:rsidRDefault="00CB38CD" w:rsidP="009932E3">
      <w:pPr>
        <w:spacing w:after="0" w:line="360" w:lineRule="auto"/>
        <w:rPr>
          <w:rFonts w:ascii="Times New Roman" w:hAnsi="Times New Roman"/>
          <w:sz w:val="26"/>
        </w:rPr>
      </w:pPr>
      <w:r>
        <w:rPr>
          <w:rFonts w:ascii="Times New Roman" w:hAnsi="Times New Roman"/>
          <w:sz w:val="26"/>
        </w:rPr>
        <w:t xml:space="preserve"> </w:t>
      </w:r>
    </w:p>
    <w:p w:rsidR="000C4001" w:rsidRPr="000C4001" w:rsidRDefault="000C4001" w:rsidP="009932E3">
      <w:pPr>
        <w:spacing w:after="0" w:line="360" w:lineRule="auto"/>
        <w:rPr>
          <w:rFonts w:ascii="Times New Roman" w:hAnsi="Times New Roman"/>
          <w:sz w:val="26"/>
        </w:rPr>
      </w:pPr>
      <w:r w:rsidRPr="000C4001">
        <w:rPr>
          <w:rFonts w:ascii="Times New Roman" w:hAnsi="Times New Roman"/>
          <w:sz w:val="26"/>
        </w:rPr>
        <w:tab/>
      </w:r>
      <w:r w:rsidRPr="000C4001">
        <w:rPr>
          <w:rFonts w:ascii="Times New Roman" w:hAnsi="Times New Roman"/>
          <w:sz w:val="26"/>
        </w:rPr>
        <w:tab/>
        <w:t xml:space="preserve">On October 7, 2013, Peoples TWP filed </w:t>
      </w:r>
      <w:r w:rsidR="00420D62">
        <w:rPr>
          <w:rFonts w:ascii="Times New Roman" w:hAnsi="Times New Roman"/>
          <w:sz w:val="26"/>
        </w:rPr>
        <w:t>a</w:t>
      </w:r>
      <w:r w:rsidRPr="000C4001">
        <w:rPr>
          <w:rFonts w:ascii="Times New Roman" w:hAnsi="Times New Roman"/>
          <w:sz w:val="26"/>
        </w:rPr>
        <w:t xml:space="preserve"> Joint Petition for Settlement (Settlement) with the Commission</w:t>
      </w:r>
      <w:r w:rsidR="00B53359">
        <w:rPr>
          <w:rFonts w:ascii="Times New Roman" w:hAnsi="Times New Roman"/>
          <w:sz w:val="26"/>
        </w:rPr>
        <w:t>,</w:t>
      </w:r>
      <w:r w:rsidR="00420D62">
        <w:rPr>
          <w:rFonts w:ascii="Times New Roman" w:hAnsi="Times New Roman"/>
          <w:sz w:val="26"/>
        </w:rPr>
        <w:t xml:space="preserve"> which represented a settlement of all of the issues in this proceeding.  The</w:t>
      </w:r>
      <w:r w:rsidRPr="000C4001">
        <w:rPr>
          <w:rFonts w:ascii="Times New Roman" w:hAnsi="Times New Roman"/>
          <w:sz w:val="26"/>
        </w:rPr>
        <w:t xml:space="preserve"> Settlement was signed by counsel for Peoples TWP, </w:t>
      </w:r>
      <w:r w:rsidR="00420D62">
        <w:rPr>
          <w:rFonts w:ascii="Times New Roman" w:hAnsi="Times New Roman"/>
          <w:sz w:val="26"/>
        </w:rPr>
        <w:t xml:space="preserve">the </w:t>
      </w:r>
      <w:r w:rsidRPr="000C4001">
        <w:rPr>
          <w:rFonts w:ascii="Times New Roman" w:hAnsi="Times New Roman"/>
          <w:sz w:val="26"/>
        </w:rPr>
        <w:t xml:space="preserve">OCA, </w:t>
      </w:r>
      <w:r w:rsidR="00420D62">
        <w:rPr>
          <w:rFonts w:ascii="Times New Roman" w:hAnsi="Times New Roman"/>
          <w:sz w:val="26"/>
        </w:rPr>
        <w:t xml:space="preserve">the </w:t>
      </w:r>
      <w:r w:rsidRPr="000C4001">
        <w:rPr>
          <w:rFonts w:ascii="Times New Roman" w:hAnsi="Times New Roman"/>
          <w:sz w:val="26"/>
        </w:rPr>
        <w:t>OSBA and I</w:t>
      </w:r>
      <w:r w:rsidR="00420D62">
        <w:rPr>
          <w:rFonts w:ascii="Times New Roman" w:hAnsi="Times New Roman"/>
          <w:sz w:val="26"/>
        </w:rPr>
        <w:t>&amp;</w:t>
      </w:r>
      <w:r w:rsidRPr="000C4001">
        <w:rPr>
          <w:rFonts w:ascii="Times New Roman" w:hAnsi="Times New Roman"/>
          <w:sz w:val="26"/>
        </w:rPr>
        <w:t>E</w:t>
      </w:r>
      <w:r w:rsidR="00420D62">
        <w:rPr>
          <w:rFonts w:ascii="Times New Roman" w:hAnsi="Times New Roman"/>
          <w:sz w:val="26"/>
        </w:rPr>
        <w:t xml:space="preserve"> (Joint Petitioners)</w:t>
      </w:r>
      <w:r w:rsidRPr="000C4001">
        <w:rPr>
          <w:rFonts w:ascii="Times New Roman" w:hAnsi="Times New Roman"/>
          <w:sz w:val="26"/>
        </w:rPr>
        <w:t xml:space="preserve">.  The </w:t>
      </w:r>
      <w:r w:rsidR="00420D62">
        <w:rPr>
          <w:rFonts w:ascii="Times New Roman" w:hAnsi="Times New Roman"/>
          <w:sz w:val="26"/>
        </w:rPr>
        <w:t>Settlement</w:t>
      </w:r>
      <w:r w:rsidRPr="000C4001">
        <w:rPr>
          <w:rFonts w:ascii="Times New Roman" w:hAnsi="Times New Roman"/>
          <w:sz w:val="26"/>
        </w:rPr>
        <w:t xml:space="preserve"> included Statements in Support from </w:t>
      </w:r>
      <w:r w:rsidR="00420D62">
        <w:rPr>
          <w:rFonts w:ascii="Times New Roman" w:hAnsi="Times New Roman"/>
          <w:sz w:val="26"/>
        </w:rPr>
        <w:t>each of the Joint Petitioners</w:t>
      </w:r>
      <w:r w:rsidRPr="000C4001">
        <w:rPr>
          <w:rFonts w:ascii="Times New Roman" w:hAnsi="Times New Roman"/>
          <w:sz w:val="26"/>
        </w:rPr>
        <w:t xml:space="preserve">.  Peoples TWP served a copy of the Settlement upon each of the eleven individual Complainants who were non-signatories to the Settlement.  </w:t>
      </w:r>
    </w:p>
    <w:p w:rsidR="000C4001" w:rsidRPr="000C4001" w:rsidRDefault="000C4001" w:rsidP="009932E3">
      <w:pPr>
        <w:spacing w:after="0" w:line="360" w:lineRule="auto"/>
        <w:ind w:firstLine="1440"/>
        <w:rPr>
          <w:rFonts w:ascii="Times New Roman" w:hAnsi="Times New Roman"/>
          <w:sz w:val="26"/>
        </w:rPr>
      </w:pPr>
    </w:p>
    <w:p w:rsidR="000C4001" w:rsidRPr="000C4001" w:rsidRDefault="000C4001" w:rsidP="009932E3">
      <w:pPr>
        <w:spacing w:after="0" w:line="360" w:lineRule="auto"/>
        <w:ind w:firstLine="1440"/>
        <w:rPr>
          <w:rFonts w:ascii="Times New Roman" w:hAnsi="Times New Roman"/>
          <w:spacing w:val="-3"/>
          <w:sz w:val="26"/>
        </w:rPr>
      </w:pPr>
      <w:r w:rsidRPr="000C4001">
        <w:rPr>
          <w:rFonts w:ascii="Times New Roman" w:hAnsi="Times New Roman"/>
          <w:sz w:val="26"/>
        </w:rPr>
        <w:t xml:space="preserve">On October 10, 2013, </w:t>
      </w:r>
      <w:r w:rsidR="00713A41">
        <w:rPr>
          <w:rFonts w:ascii="Times New Roman" w:hAnsi="Times New Roman"/>
          <w:sz w:val="26"/>
        </w:rPr>
        <w:t>ALJ Dunderdale</w:t>
      </w:r>
      <w:r w:rsidRPr="000C4001">
        <w:rPr>
          <w:rFonts w:ascii="Times New Roman" w:hAnsi="Times New Roman"/>
          <w:sz w:val="26"/>
        </w:rPr>
        <w:t xml:space="preserve"> issued a letter which gave each individual </w:t>
      </w:r>
      <w:r w:rsidR="00713A41">
        <w:rPr>
          <w:rFonts w:ascii="Times New Roman" w:hAnsi="Times New Roman"/>
          <w:sz w:val="26"/>
        </w:rPr>
        <w:t>c</w:t>
      </w:r>
      <w:r w:rsidRPr="000C4001">
        <w:rPr>
          <w:rFonts w:ascii="Times New Roman" w:hAnsi="Times New Roman"/>
          <w:sz w:val="26"/>
        </w:rPr>
        <w:t xml:space="preserve">omplainant the option to </w:t>
      </w:r>
      <w:r w:rsidR="00713A41">
        <w:rPr>
          <w:rFonts w:ascii="Times New Roman" w:hAnsi="Times New Roman"/>
          <w:sz w:val="26"/>
        </w:rPr>
        <w:t xml:space="preserve">either </w:t>
      </w:r>
      <w:r w:rsidRPr="000C4001">
        <w:rPr>
          <w:rFonts w:ascii="Times New Roman" w:hAnsi="Times New Roman"/>
          <w:sz w:val="26"/>
        </w:rPr>
        <w:t xml:space="preserve">join in the Settlement or </w:t>
      </w:r>
      <w:r w:rsidR="00713A41">
        <w:rPr>
          <w:rFonts w:ascii="Times New Roman" w:hAnsi="Times New Roman"/>
          <w:sz w:val="26"/>
        </w:rPr>
        <w:t xml:space="preserve">to </w:t>
      </w:r>
      <w:r w:rsidRPr="000C4001">
        <w:rPr>
          <w:rFonts w:ascii="Times New Roman" w:hAnsi="Times New Roman"/>
          <w:sz w:val="26"/>
        </w:rPr>
        <w:t xml:space="preserve">file objections to the Settlement.  Gertrude Blair exercised her option to join in the Settlement.  Dawn Spielvogel filed comments to the Settlement, stating she believed “the Joint Petition for Settlement should be looked at and other provisions, rules and budgets be revisited to make sure there are no further unanswered questions or issues not resolved.”  No other </w:t>
      </w:r>
      <w:r w:rsidRPr="000C4001">
        <w:rPr>
          <w:rFonts w:ascii="Times New Roman" w:hAnsi="Times New Roman"/>
          <w:spacing w:val="-3"/>
          <w:sz w:val="26"/>
        </w:rPr>
        <w:t>objections or comments were received and no other party exercised the option of joining in the Settlement.</w:t>
      </w:r>
    </w:p>
    <w:p w:rsidR="00AB49C7" w:rsidRDefault="00AB49C7" w:rsidP="009932E3">
      <w:pPr>
        <w:tabs>
          <w:tab w:val="left" w:pos="-720"/>
        </w:tabs>
        <w:suppressAutoHyphens/>
        <w:spacing w:after="0" w:line="360" w:lineRule="auto"/>
        <w:ind w:firstLine="1440"/>
        <w:rPr>
          <w:rFonts w:ascii="Times New Roman" w:hAnsi="Times New Roman"/>
          <w:spacing w:val="-3"/>
          <w:sz w:val="26"/>
        </w:rPr>
      </w:pPr>
    </w:p>
    <w:p w:rsidR="000C4001" w:rsidRDefault="000C4001" w:rsidP="009932E3">
      <w:pPr>
        <w:tabs>
          <w:tab w:val="left" w:pos="-720"/>
        </w:tabs>
        <w:suppressAutoHyphens/>
        <w:spacing w:after="0" w:line="360" w:lineRule="auto"/>
        <w:ind w:firstLine="1440"/>
        <w:rPr>
          <w:rFonts w:ascii="Times New Roman" w:hAnsi="Times New Roman"/>
          <w:spacing w:val="-3"/>
          <w:sz w:val="26"/>
        </w:rPr>
      </w:pPr>
      <w:r w:rsidRPr="000C4001">
        <w:rPr>
          <w:rFonts w:ascii="Times New Roman" w:hAnsi="Times New Roman"/>
          <w:spacing w:val="-3"/>
          <w:sz w:val="26"/>
        </w:rPr>
        <w:t xml:space="preserve">The record consists of 156 transcript pages and the above-referenced statements, exhibits, and documents.  The record closed on October 23, 2013.  </w:t>
      </w:r>
    </w:p>
    <w:p w:rsidR="00260F52" w:rsidRDefault="00260F52" w:rsidP="009932E3">
      <w:pPr>
        <w:tabs>
          <w:tab w:val="left" w:pos="-720"/>
        </w:tabs>
        <w:suppressAutoHyphens/>
        <w:spacing w:after="0" w:line="360" w:lineRule="auto"/>
        <w:ind w:firstLine="1440"/>
        <w:rPr>
          <w:rFonts w:ascii="Times New Roman" w:hAnsi="Times New Roman"/>
          <w:spacing w:val="-3"/>
          <w:sz w:val="26"/>
        </w:rPr>
      </w:pPr>
    </w:p>
    <w:p w:rsidR="00767179" w:rsidRDefault="00757BE6" w:rsidP="00767179">
      <w:pPr>
        <w:tabs>
          <w:tab w:val="left" w:pos="-720"/>
        </w:tabs>
        <w:suppressAutoHyphens/>
        <w:spacing w:after="0" w:line="360" w:lineRule="auto"/>
        <w:ind w:firstLine="1440"/>
        <w:rPr>
          <w:rFonts w:ascii="Times New Roman" w:hAnsi="Times New Roman"/>
          <w:sz w:val="26"/>
          <w:szCs w:val="26"/>
        </w:rPr>
      </w:pPr>
      <w:r>
        <w:rPr>
          <w:rFonts w:ascii="Times New Roman" w:hAnsi="Times New Roman"/>
          <w:spacing w:val="-3"/>
          <w:sz w:val="26"/>
        </w:rPr>
        <w:t xml:space="preserve">In the Recommended Decision, issued on November 6, 2013, ALJ Dunderdale approved the Settlement and dismissed the Formal Complaints.  As previously noted, </w:t>
      </w:r>
      <w:r w:rsidRPr="00757BE6">
        <w:rPr>
          <w:rFonts w:ascii="Times New Roman" w:hAnsi="Times New Roman"/>
          <w:sz w:val="26"/>
          <w:szCs w:val="26"/>
        </w:rPr>
        <w:t xml:space="preserve">Ms. </w:t>
      </w:r>
      <w:r>
        <w:rPr>
          <w:rFonts w:ascii="Times New Roman" w:hAnsi="Times New Roman"/>
          <w:sz w:val="26"/>
          <w:szCs w:val="26"/>
        </w:rPr>
        <w:t>S</w:t>
      </w:r>
      <w:r w:rsidRPr="00757BE6">
        <w:rPr>
          <w:rFonts w:ascii="Times New Roman" w:hAnsi="Times New Roman"/>
          <w:sz w:val="26"/>
          <w:szCs w:val="26"/>
        </w:rPr>
        <w:t xml:space="preserve">pielvogel filed </w:t>
      </w:r>
      <w:r>
        <w:rPr>
          <w:rFonts w:ascii="Times New Roman" w:hAnsi="Times New Roman"/>
          <w:sz w:val="26"/>
          <w:szCs w:val="26"/>
        </w:rPr>
        <w:t xml:space="preserve">Exceptions </w:t>
      </w:r>
      <w:r w:rsidRPr="00757BE6">
        <w:rPr>
          <w:rFonts w:ascii="Times New Roman" w:hAnsi="Times New Roman"/>
          <w:sz w:val="26"/>
          <w:szCs w:val="26"/>
        </w:rPr>
        <w:t xml:space="preserve">on November 18, 2013, </w:t>
      </w:r>
      <w:r>
        <w:rPr>
          <w:rFonts w:ascii="Times New Roman" w:hAnsi="Times New Roman"/>
          <w:sz w:val="26"/>
          <w:szCs w:val="26"/>
        </w:rPr>
        <w:t>and</w:t>
      </w:r>
      <w:r w:rsidRPr="00757BE6">
        <w:rPr>
          <w:rFonts w:ascii="Times New Roman" w:hAnsi="Times New Roman"/>
          <w:sz w:val="26"/>
          <w:szCs w:val="26"/>
        </w:rPr>
        <w:t xml:space="preserve"> Peoples TWP filed Replies to Exceptions on November 18, 2013.</w:t>
      </w:r>
      <w:r w:rsidR="00996045">
        <w:rPr>
          <w:rFonts w:ascii="Times New Roman" w:hAnsi="Times New Roman"/>
          <w:sz w:val="26"/>
          <w:szCs w:val="26"/>
        </w:rPr>
        <w:t xml:space="preserve">  Also, on November 18, 2013, I&amp;E filed a letter indicating that it would not be filing Replies to Exceptions and that it stands by the terms and conditions of the Settlement.</w:t>
      </w:r>
    </w:p>
    <w:p w:rsidR="007E3DA9" w:rsidRPr="00767179" w:rsidRDefault="00767179" w:rsidP="00767179">
      <w:pPr>
        <w:widowControl w:val="0"/>
        <w:spacing w:after="0" w:line="360" w:lineRule="auto"/>
        <w:jc w:val="center"/>
        <w:rPr>
          <w:rFonts w:ascii="Times New Roman" w:hAnsi="Times New Roman"/>
          <w:b/>
          <w:sz w:val="26"/>
          <w:szCs w:val="26"/>
        </w:rPr>
      </w:pPr>
      <w:r w:rsidRPr="00767179">
        <w:rPr>
          <w:rFonts w:ascii="Times New Roman" w:hAnsi="Times New Roman"/>
          <w:b/>
          <w:sz w:val="26"/>
          <w:szCs w:val="26"/>
        </w:rPr>
        <w:lastRenderedPageBreak/>
        <w:t>II.</w:t>
      </w:r>
      <w:r w:rsidRPr="00767179">
        <w:rPr>
          <w:rFonts w:ascii="Times New Roman" w:hAnsi="Times New Roman"/>
          <w:b/>
          <w:sz w:val="26"/>
          <w:szCs w:val="26"/>
        </w:rPr>
        <w:tab/>
        <w:t>Description of the Company</w:t>
      </w:r>
    </w:p>
    <w:p w:rsidR="00767179" w:rsidRPr="00767179" w:rsidRDefault="00767179" w:rsidP="00767179">
      <w:pPr>
        <w:widowControl w:val="0"/>
        <w:spacing w:after="0" w:line="360" w:lineRule="auto"/>
        <w:rPr>
          <w:rFonts w:ascii="Times New Roman" w:hAnsi="Times New Roman"/>
          <w:sz w:val="26"/>
          <w:szCs w:val="26"/>
        </w:rPr>
      </w:pPr>
    </w:p>
    <w:p w:rsidR="00767179" w:rsidRDefault="00EB01F2" w:rsidP="00767179">
      <w:pPr>
        <w:pStyle w:val="BodyText"/>
        <w:spacing w:after="0" w:line="360" w:lineRule="auto"/>
        <w:ind w:firstLine="1440"/>
        <w:rPr>
          <w:rFonts w:ascii="Times New Roman" w:hAnsi="Times New Roman"/>
          <w:sz w:val="26"/>
          <w:szCs w:val="24"/>
        </w:rPr>
      </w:pPr>
      <w:r w:rsidRPr="00EB01F2">
        <w:rPr>
          <w:rFonts w:ascii="Times New Roman" w:hAnsi="Times New Roman"/>
          <w:sz w:val="26"/>
          <w:szCs w:val="24"/>
        </w:rPr>
        <w:t xml:space="preserve">Peoples TWP </w:t>
      </w:r>
      <w:r w:rsidRPr="00EB01F2">
        <w:rPr>
          <w:rFonts w:ascii="Times New Roman" w:hAnsi="Times New Roman"/>
          <w:sz w:val="26"/>
        </w:rPr>
        <w:t xml:space="preserve">is a limited liability company </w:t>
      </w:r>
      <w:r>
        <w:rPr>
          <w:rFonts w:ascii="Times New Roman" w:hAnsi="Times New Roman"/>
          <w:sz w:val="26"/>
        </w:rPr>
        <w:t>t</w:t>
      </w:r>
      <w:r w:rsidRPr="00EB01F2">
        <w:rPr>
          <w:rFonts w:ascii="Times New Roman" w:hAnsi="Times New Roman"/>
          <w:sz w:val="26"/>
        </w:rPr>
        <w:t>h</w:t>
      </w:r>
      <w:r>
        <w:rPr>
          <w:rFonts w:ascii="Times New Roman" w:hAnsi="Times New Roman"/>
          <w:sz w:val="26"/>
        </w:rPr>
        <w:t>at</w:t>
      </w:r>
      <w:r w:rsidRPr="00EB01F2">
        <w:rPr>
          <w:rFonts w:ascii="Times New Roman" w:hAnsi="Times New Roman"/>
          <w:sz w:val="26"/>
        </w:rPr>
        <w:t xml:space="preserve"> provides natural gas transmission, distribution</w:t>
      </w:r>
      <w:r>
        <w:rPr>
          <w:rFonts w:ascii="Times New Roman" w:hAnsi="Times New Roman"/>
          <w:sz w:val="26"/>
        </w:rPr>
        <w:t>,</w:t>
      </w:r>
      <w:r w:rsidRPr="00EB01F2">
        <w:rPr>
          <w:rFonts w:ascii="Times New Roman" w:hAnsi="Times New Roman"/>
          <w:sz w:val="26"/>
        </w:rPr>
        <w:t xml:space="preserve"> and supplier of last resort service as a “public utility” and “natural gas distribution company” (NGDC)</w:t>
      </w:r>
      <w:r>
        <w:rPr>
          <w:rFonts w:ascii="Times New Roman" w:hAnsi="Times New Roman"/>
          <w:sz w:val="26"/>
        </w:rPr>
        <w:t>,</w:t>
      </w:r>
      <w:r w:rsidRPr="00EB01F2">
        <w:rPr>
          <w:rFonts w:ascii="Times New Roman" w:hAnsi="Times New Roman"/>
          <w:sz w:val="26"/>
        </w:rPr>
        <w:t xml:space="preserve"> as defined in Sections 102 and 2202 of the Public Utility Code</w:t>
      </w:r>
      <w:r>
        <w:rPr>
          <w:rFonts w:ascii="Times New Roman" w:hAnsi="Times New Roman"/>
          <w:sz w:val="26"/>
        </w:rPr>
        <w:t xml:space="preserve"> (Code)</w:t>
      </w:r>
      <w:r w:rsidRPr="00EB01F2">
        <w:rPr>
          <w:rFonts w:ascii="Times New Roman" w:hAnsi="Times New Roman"/>
          <w:sz w:val="26"/>
        </w:rPr>
        <w:t>, 66 Pa.C.S §§ 102 and 2202</w:t>
      </w:r>
      <w:r>
        <w:rPr>
          <w:rFonts w:ascii="Times New Roman" w:hAnsi="Times New Roman"/>
          <w:sz w:val="26"/>
        </w:rPr>
        <w:t>, respectively</w:t>
      </w:r>
      <w:r w:rsidRPr="00EB01F2">
        <w:rPr>
          <w:rFonts w:ascii="Times New Roman" w:hAnsi="Times New Roman"/>
          <w:sz w:val="26"/>
        </w:rPr>
        <w:t xml:space="preserve">.  </w:t>
      </w:r>
      <w:r>
        <w:rPr>
          <w:rFonts w:ascii="Times New Roman" w:hAnsi="Times New Roman"/>
          <w:sz w:val="26"/>
        </w:rPr>
        <w:t>The Company</w:t>
      </w:r>
      <w:r w:rsidRPr="00EB01F2">
        <w:rPr>
          <w:rFonts w:ascii="Times New Roman" w:hAnsi="Times New Roman"/>
          <w:sz w:val="26"/>
        </w:rPr>
        <w:t xml:space="preserve"> provides natural gas service to approximately 59,045 customers throughout portions of the counties of Allegheny, Armstrong, Beaver, Butler, Clarion, Clearfield, Indiana, Jefferson</w:t>
      </w:r>
      <w:r>
        <w:rPr>
          <w:rFonts w:ascii="Times New Roman" w:hAnsi="Times New Roman"/>
          <w:sz w:val="26"/>
        </w:rPr>
        <w:t>,</w:t>
      </w:r>
      <w:r w:rsidRPr="00EB01F2">
        <w:rPr>
          <w:rFonts w:ascii="Times New Roman" w:hAnsi="Times New Roman"/>
          <w:sz w:val="26"/>
        </w:rPr>
        <w:t xml:space="preserve"> and Westmoreland in western Pennsylvania</w:t>
      </w:r>
      <w:r w:rsidRPr="00EB01F2">
        <w:rPr>
          <w:rFonts w:ascii="Times New Roman" w:hAnsi="Times New Roman"/>
          <w:sz w:val="26"/>
          <w:szCs w:val="24"/>
        </w:rPr>
        <w:t>.</w:t>
      </w:r>
    </w:p>
    <w:p w:rsidR="00086495" w:rsidRDefault="00086495" w:rsidP="00767179">
      <w:pPr>
        <w:pStyle w:val="BodyText"/>
        <w:spacing w:after="0" w:line="360" w:lineRule="auto"/>
        <w:ind w:firstLine="1440"/>
        <w:rPr>
          <w:rFonts w:ascii="Times New Roman" w:hAnsi="Times New Roman"/>
          <w:sz w:val="26"/>
          <w:szCs w:val="24"/>
        </w:rPr>
      </w:pPr>
    </w:p>
    <w:p w:rsidR="00767179" w:rsidRDefault="00086495" w:rsidP="00767179">
      <w:pPr>
        <w:pStyle w:val="BodyText"/>
        <w:spacing w:after="0" w:line="360" w:lineRule="auto"/>
        <w:ind w:firstLine="1440"/>
        <w:rPr>
          <w:rFonts w:ascii="Times New Roman" w:hAnsi="Times New Roman"/>
          <w:sz w:val="26"/>
        </w:rPr>
      </w:pPr>
      <w:r>
        <w:rPr>
          <w:rFonts w:ascii="Times New Roman" w:hAnsi="Times New Roman"/>
          <w:sz w:val="26"/>
        </w:rPr>
        <w:t>By Final Order entered May 23, 2011,</w:t>
      </w:r>
      <w:r w:rsidR="00F0381A" w:rsidRPr="00F0381A">
        <w:rPr>
          <w:rFonts w:ascii="Times New Roman" w:hAnsi="Times New Roman"/>
          <w:sz w:val="26"/>
        </w:rPr>
        <w:t xml:space="preserve"> </w:t>
      </w:r>
      <w:r w:rsidR="00F0381A">
        <w:rPr>
          <w:rFonts w:ascii="Times New Roman" w:hAnsi="Times New Roman"/>
          <w:sz w:val="26"/>
        </w:rPr>
        <w:t>at Docket No. A-2010-2210326,</w:t>
      </w:r>
      <w:r>
        <w:rPr>
          <w:rFonts w:ascii="Times New Roman" w:hAnsi="Times New Roman"/>
          <w:sz w:val="26"/>
        </w:rPr>
        <w:t xml:space="preserve"> the Commission approved the </w:t>
      </w:r>
      <w:r w:rsidRPr="00E23031">
        <w:rPr>
          <w:rFonts w:ascii="Times New Roman" w:hAnsi="Times New Roman"/>
          <w:i/>
          <w:sz w:val="26"/>
        </w:rPr>
        <w:t>Joint Application of T.W. Phillips Gas and Oil Company, TWP INC., and LDC Holdings II LLC, for approval of a change of control of T.W. Phillips Gas and Oil Company from TWP INC. to LDC Holdings II LLC, an indirect subsidiary of Stee</w:t>
      </w:r>
      <w:r w:rsidR="00F0381A">
        <w:rPr>
          <w:rFonts w:ascii="Times New Roman" w:hAnsi="Times New Roman"/>
          <w:i/>
          <w:sz w:val="26"/>
        </w:rPr>
        <w:t>l</w:t>
      </w:r>
      <w:r w:rsidRPr="00E23031">
        <w:rPr>
          <w:rFonts w:ascii="Times New Roman" w:hAnsi="Times New Roman"/>
          <w:i/>
          <w:sz w:val="26"/>
        </w:rPr>
        <w:t>River</w:t>
      </w:r>
      <w:r>
        <w:rPr>
          <w:rFonts w:ascii="Times New Roman" w:hAnsi="Times New Roman"/>
          <w:i/>
          <w:sz w:val="26"/>
        </w:rPr>
        <w:t xml:space="preserve"> </w:t>
      </w:r>
      <w:r w:rsidRPr="00E23031">
        <w:rPr>
          <w:rFonts w:ascii="Times New Roman" w:hAnsi="Times New Roman"/>
          <w:i/>
          <w:sz w:val="26"/>
        </w:rPr>
        <w:t>Infrastucture Fund North America LP</w:t>
      </w:r>
      <w:r>
        <w:rPr>
          <w:rFonts w:ascii="Times New Roman" w:hAnsi="Times New Roman"/>
          <w:sz w:val="26"/>
        </w:rPr>
        <w:t xml:space="preserve">, </w:t>
      </w:r>
      <w:r w:rsidR="00F0381A">
        <w:rPr>
          <w:rFonts w:ascii="Times New Roman" w:hAnsi="Times New Roman"/>
          <w:sz w:val="26"/>
        </w:rPr>
        <w:t xml:space="preserve">as modified by a Settlement Petition filed by the active parties </w:t>
      </w:r>
      <w:r w:rsidR="001C48D9">
        <w:rPr>
          <w:rFonts w:ascii="Times New Roman" w:hAnsi="Times New Roman"/>
          <w:sz w:val="26"/>
        </w:rPr>
        <w:t>to</w:t>
      </w:r>
      <w:r w:rsidR="00F0381A">
        <w:rPr>
          <w:rFonts w:ascii="Times New Roman" w:hAnsi="Times New Roman"/>
          <w:sz w:val="26"/>
        </w:rPr>
        <w:t xml:space="preserve"> that proceeding.  </w:t>
      </w:r>
      <w:r w:rsidR="00AE25B2">
        <w:rPr>
          <w:rFonts w:ascii="Times New Roman" w:hAnsi="Times New Roman"/>
          <w:sz w:val="26"/>
        </w:rPr>
        <w:t xml:space="preserve">In that proceeding, </w:t>
      </w:r>
      <w:r w:rsidR="00AE25B2" w:rsidRPr="00AE25B2">
        <w:rPr>
          <w:rFonts w:ascii="Times New Roman" w:hAnsi="Times New Roman"/>
          <w:sz w:val="26"/>
        </w:rPr>
        <w:t>T.W. Phillips Gas and Oil Company (T.W. Phillips), TWP INC. (TWP)</w:t>
      </w:r>
      <w:r w:rsidR="00AE25B2">
        <w:rPr>
          <w:rFonts w:ascii="Times New Roman" w:hAnsi="Times New Roman"/>
          <w:sz w:val="26"/>
        </w:rPr>
        <w:t>,</w:t>
      </w:r>
      <w:r w:rsidR="00AE25B2" w:rsidRPr="00AE25B2">
        <w:rPr>
          <w:rFonts w:ascii="Times New Roman" w:hAnsi="Times New Roman"/>
          <w:sz w:val="26"/>
        </w:rPr>
        <w:t xml:space="preserve"> and LDC Holdings II LLC (Holdings II) filed a joint application</w:t>
      </w:r>
      <w:r w:rsidR="00AE25B2">
        <w:rPr>
          <w:rFonts w:ascii="Times New Roman" w:hAnsi="Times New Roman"/>
          <w:sz w:val="26"/>
        </w:rPr>
        <w:t>, specifically</w:t>
      </w:r>
      <w:r w:rsidR="00AE25B2" w:rsidRPr="00AE25B2">
        <w:rPr>
          <w:rFonts w:ascii="Times New Roman" w:hAnsi="Times New Roman"/>
          <w:sz w:val="26"/>
        </w:rPr>
        <w:t xml:space="preserve"> requesting that the Commission, pursuant to 66 Pa. C.S. §</w:t>
      </w:r>
      <w:r w:rsidR="00AE25B2">
        <w:rPr>
          <w:rFonts w:ascii="Times New Roman" w:hAnsi="Times New Roman"/>
          <w:sz w:val="26"/>
        </w:rPr>
        <w:t xml:space="preserve"> </w:t>
      </w:r>
      <w:r w:rsidR="00AE25B2" w:rsidRPr="00AE25B2">
        <w:rPr>
          <w:rFonts w:ascii="Times New Roman" w:hAnsi="Times New Roman"/>
          <w:sz w:val="26"/>
        </w:rPr>
        <w:t xml:space="preserve">1102, approve the transfer by sale of 100% of the outstanding common stock of T.W. Phillips, </w:t>
      </w:r>
      <w:r w:rsidR="00AE25B2">
        <w:rPr>
          <w:rFonts w:ascii="Times New Roman" w:hAnsi="Times New Roman"/>
          <w:sz w:val="26"/>
        </w:rPr>
        <w:t>then</w:t>
      </w:r>
      <w:r w:rsidR="00AE25B2" w:rsidRPr="00AE25B2">
        <w:rPr>
          <w:rFonts w:ascii="Times New Roman" w:hAnsi="Times New Roman"/>
          <w:sz w:val="26"/>
        </w:rPr>
        <w:t xml:space="preserve"> owned by TWP</w:t>
      </w:r>
      <w:r w:rsidR="00AE25B2">
        <w:rPr>
          <w:rFonts w:ascii="Times New Roman" w:hAnsi="Times New Roman"/>
          <w:sz w:val="26"/>
        </w:rPr>
        <w:t>,</w:t>
      </w:r>
      <w:r w:rsidR="00AE25B2" w:rsidRPr="00AE25B2">
        <w:rPr>
          <w:rFonts w:ascii="Times New Roman" w:hAnsi="Times New Roman"/>
          <w:sz w:val="26"/>
        </w:rPr>
        <w:t xml:space="preserve"> to Holdings II</w:t>
      </w:r>
      <w:r w:rsidR="00AE25B2" w:rsidRPr="00DC2B32">
        <w:rPr>
          <w:rFonts w:ascii="Times New Roman" w:hAnsi="Times New Roman"/>
        </w:rPr>
        <w:t>.</w:t>
      </w:r>
      <w:r w:rsidR="00AE25B2">
        <w:rPr>
          <w:rFonts w:ascii="Times New Roman" w:hAnsi="Times New Roman"/>
        </w:rPr>
        <w:t xml:space="preserve">  </w:t>
      </w:r>
      <w:r w:rsidR="001C5669">
        <w:rPr>
          <w:rFonts w:ascii="Times New Roman" w:hAnsi="Times New Roman"/>
          <w:sz w:val="26"/>
        </w:rPr>
        <w:t xml:space="preserve">Approval of the transaction resulted in T.W. Phillips being owned and operated by </w:t>
      </w:r>
      <w:r w:rsidR="001C5669" w:rsidRPr="001C5669">
        <w:rPr>
          <w:rFonts w:ascii="Times New Roman" w:hAnsi="Times New Roman"/>
          <w:sz w:val="26"/>
        </w:rPr>
        <w:t>Holdings II</w:t>
      </w:r>
      <w:r w:rsidR="00E817B4">
        <w:rPr>
          <w:rFonts w:ascii="Times New Roman" w:hAnsi="Times New Roman"/>
          <w:sz w:val="26"/>
        </w:rPr>
        <w:t>,</w:t>
      </w:r>
      <w:r w:rsidR="001C5669" w:rsidRPr="001C5669">
        <w:rPr>
          <w:rFonts w:ascii="Times New Roman" w:hAnsi="Times New Roman"/>
          <w:sz w:val="26"/>
        </w:rPr>
        <w:t xml:space="preserve"> and indirectly by SteelRiver.</w:t>
      </w:r>
      <w:r w:rsidR="00CC0792">
        <w:rPr>
          <w:rFonts w:ascii="Times New Roman" w:hAnsi="Times New Roman"/>
          <w:sz w:val="26"/>
        </w:rPr>
        <w:t xml:space="preserve">  As a result of the sale, T.W. Phillips’ name was changed to Peoples TWP LLC, as was reflected in Supplement No. 7 to </w:t>
      </w:r>
      <w:r w:rsidR="00CC0792" w:rsidRPr="000C4001">
        <w:rPr>
          <w:rFonts w:ascii="Times New Roman" w:hAnsi="Times New Roman"/>
          <w:sz w:val="26"/>
        </w:rPr>
        <w:t xml:space="preserve">Tariff Gas – Pa. P.U.C. No. </w:t>
      </w:r>
      <w:r w:rsidR="00CC0792">
        <w:rPr>
          <w:rFonts w:ascii="Times New Roman" w:hAnsi="Times New Roman"/>
          <w:sz w:val="26"/>
        </w:rPr>
        <w:t>7</w:t>
      </w:r>
      <w:r w:rsidR="00BA0876">
        <w:rPr>
          <w:rFonts w:ascii="Times New Roman" w:hAnsi="Times New Roman"/>
          <w:sz w:val="26"/>
        </w:rPr>
        <w:t>, effective June 9, 2011</w:t>
      </w:r>
      <w:r w:rsidR="00CC0792">
        <w:rPr>
          <w:rFonts w:ascii="Times New Roman" w:hAnsi="Times New Roman"/>
          <w:sz w:val="26"/>
        </w:rPr>
        <w:t>.</w:t>
      </w:r>
      <w:r w:rsidR="00BA0876">
        <w:rPr>
          <w:rFonts w:ascii="Times New Roman" w:hAnsi="Times New Roman"/>
          <w:sz w:val="26"/>
        </w:rPr>
        <w:t xml:space="preserve">  </w:t>
      </w:r>
    </w:p>
    <w:p w:rsidR="00E817B4" w:rsidRPr="001C5669" w:rsidRDefault="00E817B4" w:rsidP="00767179">
      <w:pPr>
        <w:pStyle w:val="BodyText"/>
        <w:spacing w:after="0" w:line="360" w:lineRule="auto"/>
        <w:ind w:firstLine="1440"/>
        <w:rPr>
          <w:rFonts w:ascii="Times New Roman" w:hAnsi="Times New Roman"/>
          <w:sz w:val="26"/>
        </w:rPr>
      </w:pPr>
    </w:p>
    <w:p w:rsidR="008F0B29" w:rsidRDefault="008F0B29" w:rsidP="00767179">
      <w:pPr>
        <w:pStyle w:val="BodyText"/>
        <w:spacing w:after="0" w:line="360" w:lineRule="auto"/>
        <w:jc w:val="center"/>
        <w:rPr>
          <w:rFonts w:ascii="Times New Roman" w:hAnsi="Times New Roman"/>
          <w:b/>
          <w:sz w:val="26"/>
          <w:szCs w:val="24"/>
        </w:rPr>
      </w:pPr>
    </w:p>
    <w:p w:rsidR="008F0B29" w:rsidRDefault="008F0B29" w:rsidP="00767179">
      <w:pPr>
        <w:pStyle w:val="BodyText"/>
        <w:spacing w:after="0" w:line="360" w:lineRule="auto"/>
        <w:jc w:val="center"/>
        <w:rPr>
          <w:rFonts w:ascii="Times New Roman" w:hAnsi="Times New Roman"/>
          <w:b/>
          <w:sz w:val="26"/>
          <w:szCs w:val="24"/>
        </w:rPr>
      </w:pPr>
    </w:p>
    <w:p w:rsidR="008F0B29" w:rsidRDefault="008F0B29" w:rsidP="00767179">
      <w:pPr>
        <w:pStyle w:val="BodyText"/>
        <w:spacing w:after="0" w:line="360" w:lineRule="auto"/>
        <w:jc w:val="center"/>
        <w:rPr>
          <w:rFonts w:ascii="Times New Roman" w:hAnsi="Times New Roman"/>
          <w:b/>
          <w:sz w:val="26"/>
          <w:szCs w:val="24"/>
        </w:rPr>
      </w:pPr>
    </w:p>
    <w:p w:rsidR="008F0B29" w:rsidRDefault="008F0B29" w:rsidP="00767179">
      <w:pPr>
        <w:pStyle w:val="BodyText"/>
        <w:spacing w:after="0" w:line="360" w:lineRule="auto"/>
        <w:jc w:val="center"/>
        <w:rPr>
          <w:rFonts w:ascii="Times New Roman" w:hAnsi="Times New Roman"/>
          <w:b/>
          <w:sz w:val="26"/>
          <w:szCs w:val="24"/>
        </w:rPr>
      </w:pPr>
    </w:p>
    <w:p w:rsidR="00767179" w:rsidRPr="00767179" w:rsidRDefault="00767179" w:rsidP="00767179">
      <w:pPr>
        <w:pStyle w:val="BodyText"/>
        <w:spacing w:after="0" w:line="360" w:lineRule="auto"/>
        <w:jc w:val="center"/>
        <w:rPr>
          <w:rFonts w:ascii="Times New Roman" w:hAnsi="Times New Roman"/>
          <w:b/>
          <w:sz w:val="26"/>
          <w:szCs w:val="24"/>
        </w:rPr>
      </w:pPr>
      <w:r w:rsidRPr="00767179">
        <w:rPr>
          <w:rFonts w:ascii="Times New Roman" w:hAnsi="Times New Roman"/>
          <w:b/>
          <w:sz w:val="26"/>
          <w:szCs w:val="24"/>
        </w:rPr>
        <w:lastRenderedPageBreak/>
        <w:t>III.</w:t>
      </w:r>
      <w:r w:rsidRPr="00767179">
        <w:rPr>
          <w:rFonts w:ascii="Times New Roman" w:hAnsi="Times New Roman"/>
          <w:b/>
          <w:sz w:val="26"/>
          <w:szCs w:val="24"/>
        </w:rPr>
        <w:tab/>
        <w:t>Discussion</w:t>
      </w:r>
    </w:p>
    <w:p w:rsidR="00767179" w:rsidRDefault="00767179" w:rsidP="00767179">
      <w:pPr>
        <w:pStyle w:val="BodyText"/>
        <w:spacing w:after="0" w:line="360" w:lineRule="auto"/>
        <w:ind w:firstLine="1440"/>
        <w:rPr>
          <w:rFonts w:ascii="Times New Roman" w:hAnsi="Times New Roman"/>
          <w:sz w:val="26"/>
          <w:szCs w:val="24"/>
        </w:rPr>
      </w:pPr>
    </w:p>
    <w:p w:rsidR="00B65394" w:rsidRPr="00767179" w:rsidRDefault="00261FB1" w:rsidP="00767179">
      <w:pPr>
        <w:pStyle w:val="BodyText"/>
        <w:spacing w:after="0" w:line="360" w:lineRule="auto"/>
        <w:rPr>
          <w:rFonts w:ascii="Times New Roman Bold" w:hAnsi="Times New Roman Bold"/>
          <w:b/>
          <w:color w:val="333333"/>
          <w:sz w:val="26"/>
          <w:szCs w:val="26"/>
        </w:rPr>
      </w:pPr>
      <w:r w:rsidRPr="00767179">
        <w:rPr>
          <w:rFonts w:ascii="Times New Roman Bold" w:hAnsi="Times New Roman Bold"/>
          <w:b/>
          <w:sz w:val="26"/>
          <w:szCs w:val="26"/>
        </w:rPr>
        <w:t>A</w:t>
      </w:r>
      <w:r w:rsidR="0068726F" w:rsidRPr="00767179">
        <w:rPr>
          <w:rFonts w:ascii="Times New Roman Bold" w:hAnsi="Times New Roman Bold"/>
          <w:b/>
          <w:sz w:val="26"/>
          <w:szCs w:val="26"/>
        </w:rPr>
        <w:t>.</w:t>
      </w:r>
      <w:r w:rsidR="0068726F" w:rsidRPr="00767179">
        <w:rPr>
          <w:rFonts w:ascii="Times New Roman Bold" w:hAnsi="Times New Roman Bold"/>
          <w:sz w:val="26"/>
          <w:szCs w:val="26"/>
        </w:rPr>
        <w:tab/>
      </w:r>
      <w:r w:rsidRPr="00767179">
        <w:rPr>
          <w:rFonts w:ascii="Times New Roman Bold" w:hAnsi="Times New Roman Bold"/>
          <w:b/>
          <w:sz w:val="26"/>
          <w:szCs w:val="26"/>
        </w:rPr>
        <w:t xml:space="preserve">Settlement </w:t>
      </w:r>
      <w:r w:rsidR="0047221A" w:rsidRPr="00767179">
        <w:rPr>
          <w:rFonts w:ascii="Times New Roman Bold" w:hAnsi="Times New Roman Bold"/>
          <w:b/>
          <w:bCs/>
          <w:color w:val="333333"/>
          <w:sz w:val="26"/>
          <w:szCs w:val="26"/>
        </w:rPr>
        <w:t>T</w:t>
      </w:r>
      <w:r w:rsidR="008D5FDE" w:rsidRPr="00767179">
        <w:rPr>
          <w:rFonts w:ascii="Times New Roman Bold" w:hAnsi="Times New Roman Bold"/>
          <w:b/>
          <w:bCs/>
          <w:color w:val="333333"/>
          <w:sz w:val="26"/>
          <w:szCs w:val="26"/>
        </w:rPr>
        <w:t>erms and</w:t>
      </w:r>
      <w:r w:rsidR="009932E3" w:rsidRPr="00767179">
        <w:rPr>
          <w:rFonts w:ascii="Times New Roman Bold" w:hAnsi="Times New Roman Bold"/>
          <w:b/>
          <w:bCs/>
          <w:color w:val="333333"/>
          <w:sz w:val="26"/>
          <w:szCs w:val="26"/>
        </w:rPr>
        <w:t xml:space="preserve"> </w:t>
      </w:r>
      <w:r w:rsidR="00B65394" w:rsidRPr="00767179">
        <w:rPr>
          <w:rFonts w:ascii="Times New Roman Bold" w:hAnsi="Times New Roman Bold"/>
          <w:b/>
          <w:bCs/>
          <w:color w:val="333333"/>
          <w:sz w:val="26"/>
          <w:szCs w:val="26"/>
        </w:rPr>
        <w:t>C</w:t>
      </w:r>
      <w:r w:rsidR="008D5FDE" w:rsidRPr="00767179">
        <w:rPr>
          <w:rFonts w:ascii="Times New Roman Bold" w:hAnsi="Times New Roman Bold"/>
          <w:b/>
          <w:bCs/>
          <w:color w:val="333333"/>
          <w:sz w:val="26"/>
          <w:szCs w:val="26"/>
        </w:rPr>
        <w:t>onditions</w:t>
      </w:r>
    </w:p>
    <w:p w:rsidR="00B65394" w:rsidRPr="009C0DE0" w:rsidRDefault="00B65394" w:rsidP="009932E3">
      <w:pPr>
        <w:pStyle w:val="ListParagraph"/>
        <w:spacing w:line="360" w:lineRule="auto"/>
        <w:ind w:left="1080"/>
        <w:rPr>
          <w:color w:val="333333"/>
          <w:sz w:val="26"/>
          <w:szCs w:val="26"/>
          <w:u w:val="single"/>
        </w:rPr>
      </w:pPr>
    </w:p>
    <w:p w:rsidR="0047221A" w:rsidRDefault="0047221A" w:rsidP="009932E3">
      <w:pPr>
        <w:pStyle w:val="ListParagraph"/>
        <w:spacing w:line="360" w:lineRule="auto"/>
        <w:ind w:left="0" w:firstLine="1440"/>
        <w:rPr>
          <w:color w:val="333333"/>
          <w:sz w:val="26"/>
          <w:szCs w:val="26"/>
        </w:rPr>
      </w:pPr>
      <w:r w:rsidRPr="00CD3893">
        <w:rPr>
          <w:sz w:val="26"/>
          <w:szCs w:val="26"/>
        </w:rPr>
        <w:t>The Joint P</w:t>
      </w:r>
      <w:r w:rsidR="001371CA" w:rsidRPr="00CD3893">
        <w:rPr>
          <w:sz w:val="26"/>
          <w:szCs w:val="26"/>
        </w:rPr>
        <w:t>etitioners</w:t>
      </w:r>
      <w:r w:rsidR="009932E3">
        <w:rPr>
          <w:sz w:val="26"/>
          <w:szCs w:val="26"/>
        </w:rPr>
        <w:t xml:space="preserve"> </w:t>
      </w:r>
      <w:r w:rsidR="001371CA" w:rsidRPr="00CD3893">
        <w:rPr>
          <w:sz w:val="26"/>
          <w:szCs w:val="26"/>
        </w:rPr>
        <w:t xml:space="preserve">have </w:t>
      </w:r>
      <w:r w:rsidRPr="00CD3893">
        <w:rPr>
          <w:sz w:val="26"/>
          <w:szCs w:val="26"/>
        </w:rPr>
        <w:t>agree</w:t>
      </w:r>
      <w:r w:rsidR="001371CA" w:rsidRPr="00CD3893">
        <w:rPr>
          <w:sz w:val="26"/>
          <w:szCs w:val="26"/>
        </w:rPr>
        <w:t xml:space="preserve">d to a Settlement regarding all issues in this proceeding.  The </w:t>
      </w:r>
      <w:r w:rsidR="001371CA" w:rsidRPr="00CD3893">
        <w:rPr>
          <w:sz w:val="26"/>
        </w:rPr>
        <w:t xml:space="preserve">Joint </w:t>
      </w:r>
      <w:r w:rsidR="001371CA" w:rsidRPr="001371CA">
        <w:rPr>
          <w:sz w:val="26"/>
        </w:rPr>
        <w:t xml:space="preserve">Petitioners </w:t>
      </w:r>
      <w:r w:rsidR="001371CA">
        <w:rPr>
          <w:sz w:val="26"/>
        </w:rPr>
        <w:t>agreed upon</w:t>
      </w:r>
      <w:r w:rsidR="001371CA" w:rsidRPr="001371CA">
        <w:rPr>
          <w:sz w:val="26"/>
        </w:rPr>
        <w:t xml:space="preserve"> rates designed to produce an additional $13.8 million in annual base rate operating revenues, exclusive of a $2 million annual Acquisition Credit approved by the Commission when approving the acquisition of T</w:t>
      </w:r>
      <w:r w:rsidR="001C48D9">
        <w:rPr>
          <w:sz w:val="26"/>
        </w:rPr>
        <w:t>.</w:t>
      </w:r>
      <w:r w:rsidR="001371CA" w:rsidRPr="001371CA">
        <w:rPr>
          <w:sz w:val="26"/>
        </w:rPr>
        <w:t>W</w:t>
      </w:r>
      <w:r w:rsidR="001C48D9">
        <w:rPr>
          <w:sz w:val="26"/>
        </w:rPr>
        <w:t xml:space="preserve">. </w:t>
      </w:r>
      <w:r w:rsidR="001371CA" w:rsidRPr="001371CA">
        <w:rPr>
          <w:sz w:val="26"/>
        </w:rPr>
        <w:t>P</w:t>
      </w:r>
      <w:r w:rsidR="001C48D9">
        <w:rPr>
          <w:sz w:val="26"/>
        </w:rPr>
        <w:t>hillips</w:t>
      </w:r>
      <w:r w:rsidR="001371CA" w:rsidRPr="001371CA">
        <w:rPr>
          <w:sz w:val="26"/>
        </w:rPr>
        <w:t xml:space="preserve"> by </w:t>
      </w:r>
      <w:r w:rsidR="001C48D9">
        <w:rPr>
          <w:sz w:val="26"/>
        </w:rPr>
        <w:t>Holdi</w:t>
      </w:r>
      <w:r w:rsidR="001371CA" w:rsidRPr="001371CA">
        <w:rPr>
          <w:sz w:val="26"/>
        </w:rPr>
        <w:t>ngs II, at Docket No. A-2010-2210326.</w:t>
      </w:r>
      <w:r w:rsidR="001371CA" w:rsidRPr="001371CA">
        <w:rPr>
          <w:rStyle w:val="FootnoteReference"/>
          <w:sz w:val="26"/>
        </w:rPr>
        <w:footnoteReference w:id="2"/>
      </w:r>
      <w:r w:rsidR="001371CA" w:rsidRPr="001371CA">
        <w:rPr>
          <w:sz w:val="26"/>
        </w:rPr>
        <w:t xml:space="preserve">  Upon the Commission’s approval of the </w:t>
      </w:r>
      <w:r w:rsidR="001371CA">
        <w:rPr>
          <w:sz w:val="26"/>
        </w:rPr>
        <w:t>S</w:t>
      </w:r>
      <w:r w:rsidR="001371CA" w:rsidRPr="001371CA">
        <w:rPr>
          <w:sz w:val="26"/>
        </w:rPr>
        <w:t>ettlement, Peoples TWP w</w:t>
      </w:r>
      <w:r w:rsidR="001371CA">
        <w:rPr>
          <w:sz w:val="26"/>
        </w:rPr>
        <w:t>ould</w:t>
      </w:r>
      <w:r w:rsidR="001371CA" w:rsidRPr="001371CA">
        <w:rPr>
          <w:sz w:val="26"/>
        </w:rPr>
        <w:t xml:space="preserve"> receive an overall </w:t>
      </w:r>
      <w:r w:rsidR="001371CA">
        <w:rPr>
          <w:sz w:val="26"/>
        </w:rPr>
        <w:t>base rate i</w:t>
      </w:r>
      <w:r w:rsidR="001371CA" w:rsidRPr="001371CA">
        <w:rPr>
          <w:sz w:val="26"/>
        </w:rPr>
        <w:t xml:space="preserve">ncrease </w:t>
      </w:r>
      <w:r w:rsidR="001371CA">
        <w:rPr>
          <w:sz w:val="26"/>
        </w:rPr>
        <w:t>of</w:t>
      </w:r>
      <w:r w:rsidR="001371CA" w:rsidRPr="001371CA">
        <w:rPr>
          <w:sz w:val="26"/>
        </w:rPr>
        <w:t xml:space="preserve"> approximat</w:t>
      </w:r>
      <w:r w:rsidR="001371CA">
        <w:rPr>
          <w:sz w:val="26"/>
        </w:rPr>
        <w:t>ely</w:t>
      </w:r>
      <w:r w:rsidR="001371CA" w:rsidRPr="001371CA">
        <w:rPr>
          <w:sz w:val="26"/>
        </w:rPr>
        <w:t xml:space="preserve"> 17%</w:t>
      </w:r>
      <w:r w:rsidR="001371CA">
        <w:rPr>
          <w:sz w:val="26"/>
        </w:rPr>
        <w:t>,</w:t>
      </w:r>
      <w:r w:rsidR="001371CA" w:rsidRPr="001371CA">
        <w:rPr>
          <w:sz w:val="26"/>
        </w:rPr>
        <w:t xml:space="preserve"> instead of the original request for a 23% increase.  Upon the Commission’s approval of the </w:t>
      </w:r>
      <w:r w:rsidR="00B53359">
        <w:rPr>
          <w:sz w:val="26"/>
        </w:rPr>
        <w:t>S</w:t>
      </w:r>
      <w:r w:rsidR="001371CA" w:rsidRPr="001371CA">
        <w:rPr>
          <w:sz w:val="26"/>
        </w:rPr>
        <w:t>ettlement, a monthly bill for the typical residential customer using 84 Mcf of gas per year w</w:t>
      </w:r>
      <w:r w:rsidR="001371CA">
        <w:rPr>
          <w:sz w:val="26"/>
        </w:rPr>
        <w:t>ould</w:t>
      </w:r>
      <w:r w:rsidR="001371CA" w:rsidRPr="001371CA">
        <w:rPr>
          <w:sz w:val="26"/>
        </w:rPr>
        <w:t xml:space="preserve"> increase </w:t>
      </w:r>
      <w:r w:rsidR="001371CA">
        <w:rPr>
          <w:sz w:val="26"/>
        </w:rPr>
        <w:t xml:space="preserve">by </w:t>
      </w:r>
      <w:r w:rsidR="001371CA" w:rsidRPr="001371CA">
        <w:rPr>
          <w:sz w:val="26"/>
        </w:rPr>
        <w:t xml:space="preserve">$15.71, from $79.22 to $94.94, or by 20%, instead of the proposed 28.4% monthly increase of $22.49 as originally proposed in the initial filing.  The </w:t>
      </w:r>
      <w:r w:rsidR="001371CA">
        <w:rPr>
          <w:sz w:val="26"/>
        </w:rPr>
        <w:t xml:space="preserve">proposed </w:t>
      </w:r>
      <w:r w:rsidR="001371CA" w:rsidRPr="001371CA">
        <w:rPr>
          <w:sz w:val="26"/>
        </w:rPr>
        <w:t>overall increase, including the Acquisition Credit, is $11.8 million.</w:t>
      </w:r>
    </w:p>
    <w:p w:rsidR="00F16D66" w:rsidRDefault="00F16D66" w:rsidP="009932E3">
      <w:pPr>
        <w:pStyle w:val="ListParagraph"/>
        <w:spacing w:line="360" w:lineRule="auto"/>
        <w:ind w:left="0" w:firstLine="1440"/>
        <w:rPr>
          <w:color w:val="333333"/>
          <w:sz w:val="26"/>
          <w:szCs w:val="26"/>
        </w:rPr>
      </w:pPr>
    </w:p>
    <w:p w:rsidR="00CD3893" w:rsidRDefault="004F14A6" w:rsidP="009932E3">
      <w:pPr>
        <w:pStyle w:val="ListParagraph"/>
        <w:spacing w:line="360" w:lineRule="auto"/>
        <w:ind w:left="0" w:firstLine="1440"/>
        <w:rPr>
          <w:sz w:val="26"/>
          <w:szCs w:val="26"/>
        </w:rPr>
      </w:pPr>
      <w:r w:rsidRPr="004F14A6">
        <w:rPr>
          <w:sz w:val="26"/>
          <w:szCs w:val="26"/>
        </w:rPr>
        <w:t>The Joint Petitioners</w:t>
      </w:r>
      <w:r>
        <w:rPr>
          <w:sz w:val="26"/>
          <w:szCs w:val="26"/>
        </w:rPr>
        <w:t xml:space="preserve"> submit that the Settlement is in the public interest and</w:t>
      </w:r>
      <w:r w:rsidR="00CD3893">
        <w:rPr>
          <w:sz w:val="26"/>
          <w:szCs w:val="26"/>
        </w:rPr>
        <w:t xml:space="preserve"> request that the Settlement, including the tariff changes in Tariff No. 8, specifically identified in Appendix “B” to the Settlement, be approved.  The specific terms and conditions of the Settlement are as follows:  </w:t>
      </w:r>
    </w:p>
    <w:p w:rsidR="008F0B29" w:rsidRDefault="008F0B29" w:rsidP="009932E3">
      <w:pPr>
        <w:pStyle w:val="ListParagraph"/>
        <w:spacing w:line="360" w:lineRule="auto"/>
        <w:ind w:left="0" w:firstLine="1440"/>
        <w:rPr>
          <w:sz w:val="26"/>
          <w:szCs w:val="26"/>
        </w:rPr>
      </w:pPr>
    </w:p>
    <w:p w:rsidR="008F0B29" w:rsidRDefault="008F0B29" w:rsidP="009932E3">
      <w:pPr>
        <w:pStyle w:val="ListParagraph"/>
        <w:spacing w:line="360" w:lineRule="auto"/>
        <w:ind w:left="0" w:firstLine="1440"/>
        <w:rPr>
          <w:sz w:val="26"/>
          <w:szCs w:val="26"/>
        </w:rPr>
      </w:pPr>
    </w:p>
    <w:p w:rsidR="003E6FA5" w:rsidRDefault="003E6FA5" w:rsidP="009932E3">
      <w:pPr>
        <w:pStyle w:val="ListParagraph"/>
        <w:spacing w:line="360" w:lineRule="auto"/>
        <w:ind w:left="0" w:firstLine="1440"/>
        <w:rPr>
          <w:sz w:val="26"/>
          <w:szCs w:val="26"/>
        </w:rPr>
      </w:pPr>
    </w:p>
    <w:p w:rsidR="003E6FA5" w:rsidRPr="009932E3" w:rsidRDefault="003E6FA5" w:rsidP="009932E3">
      <w:pPr>
        <w:pStyle w:val="ListNumber"/>
        <w:numPr>
          <w:ilvl w:val="0"/>
          <w:numId w:val="0"/>
        </w:numPr>
        <w:spacing w:line="240" w:lineRule="auto"/>
        <w:ind w:left="720" w:firstLine="720"/>
        <w:jc w:val="both"/>
        <w:rPr>
          <w:b/>
          <w:sz w:val="26"/>
        </w:rPr>
      </w:pPr>
      <w:r w:rsidRPr="009932E3">
        <w:rPr>
          <w:b/>
          <w:sz w:val="26"/>
        </w:rPr>
        <w:lastRenderedPageBreak/>
        <w:t>A.</w:t>
      </w:r>
      <w:r w:rsidRPr="009932E3">
        <w:rPr>
          <w:b/>
          <w:sz w:val="26"/>
        </w:rPr>
        <w:tab/>
      </w:r>
      <w:r w:rsidRPr="009932E3">
        <w:rPr>
          <w:rFonts w:ascii="Times New Roman Bold" w:hAnsi="Times New Roman Bold"/>
          <w:b/>
          <w:caps/>
          <w:sz w:val="26"/>
        </w:rPr>
        <w:t>Revenue Requirement</w:t>
      </w:r>
    </w:p>
    <w:p w:rsidR="003E6FA5" w:rsidRDefault="003E6FA5" w:rsidP="009932E3">
      <w:pPr>
        <w:pStyle w:val="ListNumber"/>
        <w:numPr>
          <w:ilvl w:val="0"/>
          <w:numId w:val="0"/>
        </w:numPr>
        <w:spacing w:line="240" w:lineRule="auto"/>
        <w:ind w:firstLine="1440"/>
      </w:pPr>
    </w:p>
    <w:p w:rsidR="003E6FA5" w:rsidRPr="003E6FA5" w:rsidRDefault="003E6FA5" w:rsidP="009932E3">
      <w:pPr>
        <w:pStyle w:val="ListNumber"/>
        <w:numPr>
          <w:ilvl w:val="0"/>
          <w:numId w:val="0"/>
        </w:numPr>
        <w:spacing w:line="240" w:lineRule="auto"/>
        <w:ind w:left="1440" w:right="1440"/>
        <w:rPr>
          <w:sz w:val="26"/>
        </w:rPr>
      </w:pPr>
      <w:r w:rsidRPr="003E6FA5">
        <w:rPr>
          <w:sz w:val="26"/>
        </w:rPr>
        <w:t xml:space="preserve">19. </w:t>
      </w:r>
      <w:r w:rsidRPr="003E6FA5">
        <w:rPr>
          <w:sz w:val="26"/>
        </w:rPr>
        <w:tab/>
        <w:t>Base rates will be designed to produce an increase in annual operating revenues of $13.8 million, exclusive of the Acquisition Credit, based upon the pro forma level of operations for the twelve months ending January 31, 2015.</w:t>
      </w:r>
    </w:p>
    <w:p w:rsidR="003E6FA5" w:rsidRPr="003E6FA5" w:rsidRDefault="003E6FA5" w:rsidP="009932E3">
      <w:pPr>
        <w:pStyle w:val="ListNumber"/>
        <w:numPr>
          <w:ilvl w:val="0"/>
          <w:numId w:val="0"/>
        </w:numPr>
        <w:spacing w:line="240" w:lineRule="auto"/>
        <w:ind w:left="1440" w:right="1440" w:firstLine="1440"/>
        <w:rPr>
          <w:sz w:val="26"/>
        </w:rPr>
      </w:pPr>
    </w:p>
    <w:p w:rsidR="003E6FA5" w:rsidRDefault="003E6FA5" w:rsidP="009932E3">
      <w:pPr>
        <w:pStyle w:val="ListNumber"/>
        <w:numPr>
          <w:ilvl w:val="0"/>
          <w:numId w:val="0"/>
        </w:numPr>
        <w:spacing w:line="240" w:lineRule="auto"/>
        <w:ind w:left="1440" w:right="1440"/>
        <w:rPr>
          <w:sz w:val="26"/>
        </w:rPr>
      </w:pPr>
      <w:r w:rsidRPr="003E6FA5">
        <w:rPr>
          <w:sz w:val="26"/>
        </w:rPr>
        <w:t xml:space="preserve">20. </w:t>
      </w:r>
      <w:r w:rsidRPr="003E6FA5">
        <w:rPr>
          <w:sz w:val="26"/>
        </w:rPr>
        <w:tab/>
        <w:t>The Company will implement the Acquisition Credit by providing base rate credits calculated to result in credits of $2 million per year, until $10 million in credits have been provided in accordance with the terms of the Acquisition Settlement.</w:t>
      </w:r>
    </w:p>
    <w:p w:rsidR="008F0B29" w:rsidRPr="003E6FA5" w:rsidRDefault="008F0B29" w:rsidP="009932E3">
      <w:pPr>
        <w:pStyle w:val="ListNumber"/>
        <w:numPr>
          <w:ilvl w:val="0"/>
          <w:numId w:val="0"/>
        </w:numPr>
        <w:spacing w:line="240" w:lineRule="auto"/>
        <w:ind w:left="1440" w:right="1440"/>
        <w:rPr>
          <w:sz w:val="26"/>
        </w:rPr>
      </w:pPr>
    </w:p>
    <w:p w:rsidR="003E6FA5" w:rsidRPr="003E6FA5" w:rsidRDefault="003E6FA5" w:rsidP="009932E3">
      <w:pPr>
        <w:pStyle w:val="ListNumber"/>
        <w:numPr>
          <w:ilvl w:val="0"/>
          <w:numId w:val="0"/>
        </w:numPr>
        <w:spacing w:line="240" w:lineRule="auto"/>
        <w:ind w:left="1440" w:right="1440"/>
        <w:rPr>
          <w:sz w:val="26"/>
        </w:rPr>
      </w:pPr>
      <w:r>
        <w:rPr>
          <w:sz w:val="26"/>
        </w:rPr>
        <w:t>21.</w:t>
      </w:r>
      <w:r>
        <w:rPr>
          <w:sz w:val="26"/>
        </w:rPr>
        <w:tab/>
      </w:r>
      <w:r w:rsidRPr="003E6FA5">
        <w:rPr>
          <w:sz w:val="26"/>
        </w:rPr>
        <w:t>Rates will be designed on Residential volumes of 4,770,000 Mcf and SGS [Small Gas Service] volumes of 812,549 Mcf.  All other rate design volumes will be the Company’s volumes.</w:t>
      </w:r>
    </w:p>
    <w:p w:rsidR="003E6FA5" w:rsidRPr="003E6FA5" w:rsidRDefault="003E6FA5" w:rsidP="009932E3">
      <w:pPr>
        <w:pStyle w:val="ListNumber"/>
        <w:numPr>
          <w:ilvl w:val="0"/>
          <w:numId w:val="0"/>
        </w:numPr>
        <w:spacing w:line="240" w:lineRule="auto"/>
        <w:ind w:left="1440" w:right="1440"/>
        <w:rPr>
          <w:sz w:val="26"/>
        </w:rPr>
      </w:pPr>
    </w:p>
    <w:p w:rsidR="003E6FA5" w:rsidRPr="003E6FA5" w:rsidRDefault="003E6FA5" w:rsidP="009932E3">
      <w:pPr>
        <w:pStyle w:val="ListNumber"/>
        <w:numPr>
          <w:ilvl w:val="0"/>
          <w:numId w:val="0"/>
        </w:numPr>
        <w:spacing w:line="240" w:lineRule="auto"/>
        <w:ind w:left="1440" w:right="1440"/>
        <w:rPr>
          <w:sz w:val="26"/>
        </w:rPr>
      </w:pPr>
      <w:r>
        <w:rPr>
          <w:sz w:val="26"/>
        </w:rPr>
        <w:t>22.</w:t>
      </w:r>
      <w:r>
        <w:rPr>
          <w:sz w:val="26"/>
        </w:rPr>
        <w:tab/>
      </w:r>
      <w:r w:rsidRPr="003E6FA5">
        <w:rPr>
          <w:sz w:val="26"/>
        </w:rPr>
        <w:t>Commencing with the effective date of new rates resulting from this rate case, Peoples TWP will be permitted to defer the difference between the annual Post-retirement Benefits Other than Pensions (“PBOP”) expense calculated pursuant to FASB [Financial Accounting Standards Board] Accounting Standards Codification (“ASC”) 715 and the annual PBOP cost included in rates in the amount of $391,787 ($489,000 accrual at an expense rate of 80.12%).  Only those amounts attributable to operation and maintenance would be deferred and recognized as a regulatory asset or liability.  The difference will be recorded as a regulatory asset or liability and will be expensed or credited in future rate proceedings over an amortization period to be determined in the next base rate proceeding.  In addition, base rates in this Settlement reflect the amortization of deferred PBOP expenses of $968,638 to be recovered over a two year period, producing an annual amortization amount of $484,319.</w:t>
      </w:r>
    </w:p>
    <w:p w:rsidR="003E6FA5" w:rsidRPr="003E6FA5" w:rsidRDefault="003E6FA5" w:rsidP="009932E3">
      <w:pPr>
        <w:pStyle w:val="ListNumber"/>
        <w:numPr>
          <w:ilvl w:val="0"/>
          <w:numId w:val="0"/>
        </w:numPr>
        <w:spacing w:line="240" w:lineRule="auto"/>
        <w:ind w:left="1440" w:right="1440"/>
        <w:rPr>
          <w:sz w:val="26"/>
        </w:rPr>
      </w:pPr>
    </w:p>
    <w:p w:rsidR="003E6FA5" w:rsidRPr="003E6FA5" w:rsidRDefault="004A2FA3" w:rsidP="009932E3">
      <w:pPr>
        <w:pStyle w:val="ListNumber"/>
        <w:numPr>
          <w:ilvl w:val="0"/>
          <w:numId w:val="0"/>
        </w:numPr>
        <w:spacing w:line="240" w:lineRule="auto"/>
        <w:ind w:left="1440" w:right="1440"/>
        <w:rPr>
          <w:sz w:val="26"/>
        </w:rPr>
      </w:pPr>
      <w:r>
        <w:rPr>
          <w:sz w:val="26"/>
        </w:rPr>
        <w:t>23.</w:t>
      </w:r>
      <w:r>
        <w:rPr>
          <w:sz w:val="26"/>
        </w:rPr>
        <w:tab/>
      </w:r>
      <w:r w:rsidR="003E6FA5" w:rsidRPr="003E6FA5">
        <w:rPr>
          <w:sz w:val="26"/>
        </w:rPr>
        <w:t>The Company will continue to make deposits into PBOP trusts equal to the actuarially determined amounts.  If annual amounts deposited into PBOP trusts, pursuant to the Settlement, exceed allowable income tax deduction limits, any income tax liability will be recorded as negative deferred income taxes, to be added to rate base in future proceedings.</w:t>
      </w:r>
    </w:p>
    <w:p w:rsidR="003E6FA5" w:rsidRPr="003E6FA5" w:rsidRDefault="003E6FA5" w:rsidP="009932E3">
      <w:pPr>
        <w:pStyle w:val="ListParagraph"/>
        <w:ind w:left="1440" w:right="1440"/>
        <w:rPr>
          <w:sz w:val="26"/>
        </w:rPr>
      </w:pPr>
    </w:p>
    <w:p w:rsidR="003E6FA5" w:rsidRPr="003E6FA5" w:rsidRDefault="004A2FA3" w:rsidP="009932E3">
      <w:pPr>
        <w:pStyle w:val="ListNumber"/>
        <w:numPr>
          <w:ilvl w:val="0"/>
          <w:numId w:val="0"/>
        </w:numPr>
        <w:spacing w:line="240" w:lineRule="auto"/>
        <w:ind w:left="1440" w:right="1440"/>
        <w:rPr>
          <w:sz w:val="26"/>
        </w:rPr>
      </w:pPr>
      <w:r>
        <w:rPr>
          <w:sz w:val="26"/>
        </w:rPr>
        <w:lastRenderedPageBreak/>
        <w:t>24.</w:t>
      </w:r>
      <w:r>
        <w:rPr>
          <w:sz w:val="26"/>
        </w:rPr>
        <w:tab/>
      </w:r>
      <w:r w:rsidR="003E6FA5" w:rsidRPr="003E6FA5">
        <w:rPr>
          <w:sz w:val="26"/>
        </w:rPr>
        <w:t>The Company’s request to establish a regulatory asset for the difference between the accrual amount of Post-employment Benefits (life insurance and worker’s compensation costs) included in injuries and damages expenses as governed by ASC 715 and the “pay-as-you-go” amount is approved.  The Company will continue to recover these costs for ratemaking purposes on a pay-as-you-go basis.</w:t>
      </w:r>
    </w:p>
    <w:p w:rsidR="003E6FA5" w:rsidRPr="00423B1B" w:rsidRDefault="003E6FA5" w:rsidP="009932E3">
      <w:pPr>
        <w:pStyle w:val="ListNumber"/>
        <w:numPr>
          <w:ilvl w:val="0"/>
          <w:numId w:val="0"/>
        </w:numPr>
        <w:spacing w:line="240" w:lineRule="auto"/>
      </w:pPr>
    </w:p>
    <w:p w:rsidR="003E6FA5" w:rsidRPr="0025797F" w:rsidRDefault="000F2644" w:rsidP="009932E3">
      <w:pPr>
        <w:pStyle w:val="Heading2"/>
        <w:keepNext w:val="0"/>
        <w:keepLines/>
        <w:numPr>
          <w:ilvl w:val="0"/>
          <w:numId w:val="0"/>
        </w:numPr>
        <w:ind w:left="720" w:firstLine="720"/>
        <w:jc w:val="left"/>
        <w:rPr>
          <w:rFonts w:ascii="Times New Roman Bold" w:hAnsi="Times New Roman Bold"/>
          <w:caps/>
          <w:sz w:val="26"/>
        </w:rPr>
      </w:pPr>
      <w:r w:rsidRPr="0025797F">
        <w:rPr>
          <w:rFonts w:ascii="Times New Roman Bold" w:hAnsi="Times New Roman Bold"/>
          <w:caps/>
          <w:sz w:val="26"/>
        </w:rPr>
        <w:t>B.</w:t>
      </w:r>
      <w:r w:rsidRPr="0025797F">
        <w:rPr>
          <w:rFonts w:ascii="Times New Roman Bold" w:hAnsi="Times New Roman Bold"/>
          <w:caps/>
          <w:sz w:val="26"/>
        </w:rPr>
        <w:tab/>
      </w:r>
      <w:r w:rsidR="003E6FA5" w:rsidRPr="0025797F">
        <w:rPr>
          <w:rFonts w:ascii="Times New Roman Bold" w:hAnsi="Times New Roman Bold"/>
          <w:caps/>
          <w:sz w:val="26"/>
        </w:rPr>
        <w:t>Revenue Allocation and Rate Design</w:t>
      </w:r>
    </w:p>
    <w:p w:rsidR="0025797F" w:rsidRPr="0025797F" w:rsidRDefault="0025797F" w:rsidP="0025797F"/>
    <w:p w:rsidR="003E6FA5" w:rsidRPr="000F2644" w:rsidRDefault="000F2644" w:rsidP="009932E3">
      <w:pPr>
        <w:pStyle w:val="ListNumber"/>
        <w:numPr>
          <w:ilvl w:val="0"/>
          <w:numId w:val="0"/>
        </w:numPr>
        <w:spacing w:line="240" w:lineRule="auto"/>
        <w:ind w:left="1440" w:right="1440"/>
        <w:rPr>
          <w:sz w:val="26"/>
        </w:rPr>
      </w:pPr>
      <w:r>
        <w:rPr>
          <w:sz w:val="26"/>
        </w:rPr>
        <w:t>25.</w:t>
      </w:r>
      <w:r>
        <w:rPr>
          <w:sz w:val="26"/>
        </w:rPr>
        <w:tab/>
      </w:r>
      <w:r w:rsidR="003E6FA5" w:rsidRPr="000F2644">
        <w:rPr>
          <w:sz w:val="26"/>
        </w:rPr>
        <w:t>The Joint Petitioners’ agreements on revenue allocation and rate design, including allocation of the $2</w:t>
      </w:r>
      <w:r w:rsidR="00A779F5">
        <w:rPr>
          <w:sz w:val="26"/>
        </w:rPr>
        <w:t> </w:t>
      </w:r>
      <w:r w:rsidR="003E6FA5" w:rsidRPr="000F2644">
        <w:rPr>
          <w:sz w:val="26"/>
        </w:rPr>
        <w:t>million annual Acquisition Settlement credit and the GPC [Gas Purchase Charge] rate, are reflected in Appendix “A”.  Revenue allocation and rate design reflect a compromise and do not endorse any particular cost of service study or methodology.</w:t>
      </w:r>
    </w:p>
    <w:p w:rsidR="003E6FA5" w:rsidRPr="000F2644" w:rsidRDefault="003E6FA5" w:rsidP="009932E3">
      <w:pPr>
        <w:pStyle w:val="ListNumber"/>
        <w:numPr>
          <w:ilvl w:val="0"/>
          <w:numId w:val="0"/>
        </w:numPr>
        <w:spacing w:line="240" w:lineRule="auto"/>
        <w:ind w:right="1440"/>
        <w:rPr>
          <w:sz w:val="26"/>
        </w:rPr>
      </w:pPr>
    </w:p>
    <w:p w:rsidR="003E6FA5" w:rsidRPr="000F2644" w:rsidRDefault="000645BB" w:rsidP="009932E3">
      <w:pPr>
        <w:pStyle w:val="ListNumber"/>
        <w:numPr>
          <w:ilvl w:val="0"/>
          <w:numId w:val="0"/>
        </w:numPr>
        <w:spacing w:line="240" w:lineRule="auto"/>
        <w:ind w:left="1440" w:right="1440"/>
        <w:rPr>
          <w:sz w:val="26"/>
        </w:rPr>
      </w:pPr>
      <w:r>
        <w:rPr>
          <w:sz w:val="26"/>
        </w:rPr>
        <w:t>26.</w:t>
      </w:r>
      <w:r>
        <w:rPr>
          <w:sz w:val="26"/>
        </w:rPr>
        <w:tab/>
      </w:r>
      <w:r w:rsidR="003E6FA5" w:rsidRPr="000F2644">
        <w:rPr>
          <w:sz w:val="26"/>
        </w:rPr>
        <w:t>The Merchant Function Charge (“MFC”) for Rate RS/RUS retail customers shall be 2.0%.  The MFC for Rate SGS retail customers shall be 0.41%.</w:t>
      </w:r>
    </w:p>
    <w:p w:rsidR="003E6FA5" w:rsidRPr="000F2644" w:rsidRDefault="003E6FA5" w:rsidP="009932E3">
      <w:pPr>
        <w:pStyle w:val="ListNumber"/>
        <w:numPr>
          <w:ilvl w:val="0"/>
          <w:numId w:val="0"/>
        </w:numPr>
        <w:spacing w:line="240" w:lineRule="auto"/>
        <w:ind w:left="1440" w:right="1440"/>
        <w:rPr>
          <w:sz w:val="26"/>
        </w:rPr>
      </w:pPr>
    </w:p>
    <w:p w:rsidR="003E6FA5" w:rsidRPr="000F2644" w:rsidRDefault="000645BB" w:rsidP="009932E3">
      <w:pPr>
        <w:pStyle w:val="ListNumber"/>
        <w:numPr>
          <w:ilvl w:val="0"/>
          <w:numId w:val="0"/>
        </w:numPr>
        <w:spacing w:line="240" w:lineRule="auto"/>
        <w:ind w:left="1440" w:right="1440"/>
        <w:rPr>
          <w:sz w:val="26"/>
        </w:rPr>
      </w:pPr>
      <w:r>
        <w:rPr>
          <w:sz w:val="26"/>
        </w:rPr>
        <w:t>27.</w:t>
      </w:r>
      <w:r>
        <w:rPr>
          <w:sz w:val="26"/>
        </w:rPr>
        <w:tab/>
      </w:r>
      <w:r w:rsidR="003E6FA5" w:rsidRPr="000F2644">
        <w:rPr>
          <w:sz w:val="26"/>
        </w:rPr>
        <w:t>The Company’s proposal to create revised rate classes is adopted.</w:t>
      </w:r>
    </w:p>
    <w:p w:rsidR="003E6FA5" w:rsidRPr="000F2644" w:rsidRDefault="003E6FA5" w:rsidP="009932E3">
      <w:pPr>
        <w:pStyle w:val="ListNumber"/>
        <w:numPr>
          <w:ilvl w:val="0"/>
          <w:numId w:val="0"/>
        </w:numPr>
        <w:spacing w:line="240" w:lineRule="auto"/>
        <w:ind w:right="1440"/>
        <w:rPr>
          <w:sz w:val="26"/>
        </w:rPr>
      </w:pPr>
    </w:p>
    <w:p w:rsidR="003E6FA5" w:rsidRDefault="000645BB" w:rsidP="009932E3">
      <w:pPr>
        <w:pStyle w:val="ListNumber"/>
        <w:numPr>
          <w:ilvl w:val="0"/>
          <w:numId w:val="0"/>
        </w:numPr>
        <w:spacing w:line="240" w:lineRule="auto"/>
        <w:ind w:left="1440" w:right="1440"/>
        <w:rPr>
          <w:sz w:val="26"/>
        </w:rPr>
      </w:pPr>
      <w:r>
        <w:rPr>
          <w:sz w:val="26"/>
        </w:rPr>
        <w:t>28.</w:t>
      </w:r>
      <w:r>
        <w:rPr>
          <w:sz w:val="26"/>
        </w:rPr>
        <w:tab/>
      </w:r>
      <w:r w:rsidR="003E6FA5" w:rsidRPr="000F2644">
        <w:rPr>
          <w:sz w:val="26"/>
        </w:rPr>
        <w:t>The Company’s proposals to establish revised Customer Choice and Gas Transportation Programs are approved, including the Company’s proposals for Priority One Pooling, Non-Priority One Pooling, Local Gas Aggregation Pooling and imbalance/pool-to-pool trading.</w:t>
      </w:r>
    </w:p>
    <w:p w:rsidR="004C1831" w:rsidRPr="000F2644" w:rsidRDefault="004C1831" w:rsidP="009932E3">
      <w:pPr>
        <w:pStyle w:val="ListNumber"/>
        <w:numPr>
          <w:ilvl w:val="0"/>
          <w:numId w:val="0"/>
        </w:numPr>
        <w:spacing w:line="240" w:lineRule="auto"/>
        <w:ind w:left="1440" w:right="1440"/>
        <w:rPr>
          <w:sz w:val="26"/>
        </w:rPr>
      </w:pPr>
    </w:p>
    <w:p w:rsidR="003E6FA5" w:rsidRPr="000F2644" w:rsidRDefault="000645BB" w:rsidP="009932E3">
      <w:pPr>
        <w:pStyle w:val="ListNumber"/>
        <w:numPr>
          <w:ilvl w:val="0"/>
          <w:numId w:val="0"/>
        </w:numPr>
        <w:spacing w:line="240" w:lineRule="auto"/>
        <w:ind w:left="1440" w:right="1440"/>
        <w:rPr>
          <w:sz w:val="26"/>
        </w:rPr>
      </w:pPr>
      <w:r>
        <w:rPr>
          <w:sz w:val="26"/>
        </w:rPr>
        <w:t>29.</w:t>
      </w:r>
      <w:r>
        <w:rPr>
          <w:sz w:val="26"/>
        </w:rPr>
        <w:tab/>
      </w:r>
      <w:r w:rsidR="003E6FA5" w:rsidRPr="000F2644">
        <w:rPr>
          <w:sz w:val="26"/>
        </w:rPr>
        <w:t>The Company’s proposal to eliminate the administrative adder applicable to its Purchase of Receivables (“POR”) program is approved.</w:t>
      </w:r>
    </w:p>
    <w:p w:rsidR="003E6FA5" w:rsidRPr="000F2644" w:rsidRDefault="003E6FA5" w:rsidP="009932E3">
      <w:pPr>
        <w:pStyle w:val="ListNumber"/>
        <w:numPr>
          <w:ilvl w:val="0"/>
          <w:numId w:val="0"/>
        </w:numPr>
        <w:spacing w:line="240" w:lineRule="auto"/>
        <w:ind w:right="1440"/>
        <w:rPr>
          <w:sz w:val="26"/>
        </w:rPr>
      </w:pPr>
    </w:p>
    <w:p w:rsidR="003E6FA5" w:rsidRPr="000F2644" w:rsidRDefault="000645BB" w:rsidP="009932E3">
      <w:pPr>
        <w:pStyle w:val="ListNumber"/>
        <w:numPr>
          <w:ilvl w:val="0"/>
          <w:numId w:val="0"/>
        </w:numPr>
        <w:spacing w:line="240" w:lineRule="auto"/>
        <w:ind w:left="1440" w:right="1440"/>
        <w:rPr>
          <w:sz w:val="26"/>
        </w:rPr>
      </w:pPr>
      <w:r>
        <w:rPr>
          <w:sz w:val="26"/>
        </w:rPr>
        <w:t>30.</w:t>
      </w:r>
      <w:r>
        <w:rPr>
          <w:sz w:val="26"/>
        </w:rPr>
        <w:tab/>
      </w:r>
      <w:r w:rsidR="003E6FA5" w:rsidRPr="000F2644">
        <w:rPr>
          <w:sz w:val="26"/>
        </w:rPr>
        <w:t>Other tariff modifications, not otherwise addressed by this Settlement Proposal, are approved.</w:t>
      </w:r>
    </w:p>
    <w:p w:rsidR="003E6FA5" w:rsidRPr="000F2644" w:rsidRDefault="003E6FA5" w:rsidP="009932E3">
      <w:pPr>
        <w:pStyle w:val="ListNumber"/>
        <w:numPr>
          <w:ilvl w:val="0"/>
          <w:numId w:val="0"/>
        </w:numPr>
        <w:spacing w:line="240" w:lineRule="auto"/>
        <w:ind w:right="1440"/>
        <w:rPr>
          <w:sz w:val="26"/>
        </w:rPr>
      </w:pPr>
    </w:p>
    <w:p w:rsidR="003E6FA5" w:rsidRPr="000F2644" w:rsidRDefault="000645BB" w:rsidP="009932E3">
      <w:pPr>
        <w:pStyle w:val="ListNumber"/>
        <w:numPr>
          <w:ilvl w:val="0"/>
          <w:numId w:val="0"/>
        </w:numPr>
        <w:spacing w:line="240" w:lineRule="auto"/>
        <w:ind w:left="1440" w:right="1440"/>
        <w:rPr>
          <w:sz w:val="26"/>
        </w:rPr>
      </w:pPr>
      <w:r>
        <w:rPr>
          <w:sz w:val="26"/>
        </w:rPr>
        <w:t>31.</w:t>
      </w:r>
      <w:r>
        <w:rPr>
          <w:sz w:val="26"/>
        </w:rPr>
        <w:tab/>
      </w:r>
      <w:r w:rsidR="003E6FA5" w:rsidRPr="000F2644">
        <w:rPr>
          <w:sz w:val="26"/>
        </w:rPr>
        <w:t>The following monthly customer charges are adopted:</w:t>
      </w:r>
    </w:p>
    <w:p w:rsidR="003E6FA5" w:rsidRPr="000F2644" w:rsidRDefault="003E6FA5" w:rsidP="009932E3">
      <w:pPr>
        <w:pStyle w:val="ListNumber"/>
        <w:numPr>
          <w:ilvl w:val="0"/>
          <w:numId w:val="0"/>
        </w:numPr>
        <w:spacing w:line="240" w:lineRule="auto"/>
        <w:ind w:left="720" w:right="1440"/>
        <w:rPr>
          <w:sz w:val="26"/>
        </w:rPr>
      </w:pPr>
    </w:p>
    <w:p w:rsidR="003E6FA5" w:rsidRPr="000F2644" w:rsidRDefault="000645BB" w:rsidP="009932E3">
      <w:pPr>
        <w:spacing w:after="0" w:line="240" w:lineRule="auto"/>
        <w:ind w:left="2160" w:right="1440"/>
        <w:rPr>
          <w:rFonts w:ascii="Times New Roman" w:hAnsi="Times New Roman"/>
          <w:sz w:val="26"/>
        </w:rPr>
      </w:pPr>
      <w:r>
        <w:rPr>
          <w:rFonts w:ascii="Times New Roman" w:hAnsi="Times New Roman"/>
          <w:sz w:val="26"/>
        </w:rPr>
        <w:t xml:space="preserve">(a)  </w:t>
      </w:r>
      <w:r w:rsidR="003E6FA5" w:rsidRPr="000F2644">
        <w:rPr>
          <w:rFonts w:ascii="Times New Roman" w:hAnsi="Times New Roman"/>
          <w:sz w:val="26"/>
        </w:rPr>
        <w:t xml:space="preserve">$15.75 RS Customer Charge </w:t>
      </w:r>
    </w:p>
    <w:p w:rsidR="003E6FA5" w:rsidRPr="000F2644" w:rsidRDefault="000645BB" w:rsidP="009932E3">
      <w:pPr>
        <w:spacing w:after="0" w:line="240" w:lineRule="auto"/>
        <w:ind w:left="2160" w:right="1440"/>
        <w:rPr>
          <w:rFonts w:ascii="Times New Roman" w:hAnsi="Times New Roman"/>
          <w:sz w:val="26"/>
        </w:rPr>
      </w:pPr>
      <w:r>
        <w:rPr>
          <w:rFonts w:ascii="Times New Roman" w:hAnsi="Times New Roman"/>
          <w:sz w:val="26"/>
        </w:rPr>
        <w:t xml:space="preserve">(b)  </w:t>
      </w:r>
      <w:r w:rsidR="003E6FA5" w:rsidRPr="000F2644">
        <w:rPr>
          <w:rFonts w:ascii="Times New Roman" w:hAnsi="Times New Roman"/>
          <w:sz w:val="26"/>
        </w:rPr>
        <w:t xml:space="preserve">$35 SGS-I Customer Charge </w:t>
      </w:r>
    </w:p>
    <w:p w:rsidR="003E6FA5" w:rsidRPr="000F2644" w:rsidRDefault="000645BB" w:rsidP="009932E3">
      <w:pPr>
        <w:spacing w:after="0" w:line="240" w:lineRule="auto"/>
        <w:ind w:left="2160" w:right="1440"/>
        <w:rPr>
          <w:rFonts w:ascii="Times New Roman" w:hAnsi="Times New Roman"/>
          <w:sz w:val="26"/>
        </w:rPr>
      </w:pPr>
      <w:r>
        <w:rPr>
          <w:rFonts w:ascii="Times New Roman" w:hAnsi="Times New Roman"/>
          <w:sz w:val="26"/>
        </w:rPr>
        <w:lastRenderedPageBreak/>
        <w:t xml:space="preserve">(c)  </w:t>
      </w:r>
      <w:r w:rsidR="003E6FA5" w:rsidRPr="000F2644">
        <w:rPr>
          <w:rFonts w:ascii="Times New Roman" w:hAnsi="Times New Roman"/>
          <w:sz w:val="26"/>
        </w:rPr>
        <w:t>$65 SGS-II Customer Charge</w:t>
      </w:r>
    </w:p>
    <w:p w:rsidR="003E6FA5" w:rsidRPr="000F2644" w:rsidRDefault="000645BB" w:rsidP="009932E3">
      <w:pPr>
        <w:spacing w:after="0" w:line="240" w:lineRule="auto"/>
        <w:ind w:left="2160" w:right="1440"/>
        <w:rPr>
          <w:rFonts w:ascii="Times New Roman" w:hAnsi="Times New Roman"/>
          <w:sz w:val="26"/>
        </w:rPr>
      </w:pPr>
      <w:r>
        <w:rPr>
          <w:rFonts w:ascii="Times New Roman" w:hAnsi="Times New Roman"/>
          <w:sz w:val="26"/>
        </w:rPr>
        <w:t xml:space="preserve">(d)  </w:t>
      </w:r>
      <w:r w:rsidR="003E6FA5" w:rsidRPr="000F2644">
        <w:rPr>
          <w:rFonts w:ascii="Times New Roman" w:hAnsi="Times New Roman"/>
          <w:sz w:val="26"/>
        </w:rPr>
        <w:t>$75 MGS-I Customer Charge</w:t>
      </w:r>
    </w:p>
    <w:p w:rsidR="003E6FA5" w:rsidRPr="000F2644" w:rsidRDefault="000645BB" w:rsidP="009932E3">
      <w:pPr>
        <w:spacing w:after="0" w:line="240" w:lineRule="auto"/>
        <w:ind w:left="2160" w:right="1440"/>
        <w:rPr>
          <w:rFonts w:ascii="Times New Roman" w:hAnsi="Times New Roman"/>
          <w:sz w:val="26"/>
        </w:rPr>
      </w:pPr>
      <w:r>
        <w:rPr>
          <w:rFonts w:ascii="Times New Roman" w:hAnsi="Times New Roman"/>
          <w:sz w:val="26"/>
        </w:rPr>
        <w:t xml:space="preserve">(e)  </w:t>
      </w:r>
      <w:r w:rsidR="003E6FA5" w:rsidRPr="000F2644">
        <w:rPr>
          <w:rFonts w:ascii="Times New Roman" w:hAnsi="Times New Roman"/>
          <w:sz w:val="26"/>
        </w:rPr>
        <w:t>$175 MGS-II Customer Charge</w:t>
      </w:r>
    </w:p>
    <w:p w:rsidR="003E6FA5" w:rsidRDefault="000645BB" w:rsidP="009932E3">
      <w:pPr>
        <w:spacing w:after="0" w:line="240" w:lineRule="auto"/>
        <w:ind w:left="2160" w:right="1440"/>
        <w:rPr>
          <w:rFonts w:ascii="Times New Roman" w:hAnsi="Times New Roman"/>
          <w:sz w:val="26"/>
        </w:rPr>
      </w:pPr>
      <w:r>
        <w:rPr>
          <w:rFonts w:ascii="Times New Roman" w:hAnsi="Times New Roman"/>
          <w:sz w:val="26"/>
        </w:rPr>
        <w:t xml:space="preserve">(f)  </w:t>
      </w:r>
      <w:r w:rsidR="003E6FA5" w:rsidRPr="000F2644">
        <w:rPr>
          <w:rFonts w:ascii="Times New Roman" w:hAnsi="Times New Roman"/>
          <w:sz w:val="26"/>
        </w:rPr>
        <w:t xml:space="preserve">LGS customer charges remain as </w:t>
      </w:r>
      <w:r w:rsidR="0091779E">
        <w:rPr>
          <w:rFonts w:ascii="Times New Roman" w:hAnsi="Times New Roman"/>
          <w:sz w:val="26"/>
        </w:rPr>
        <w:t>filed</w:t>
      </w:r>
      <w:r w:rsidR="003E6FA5" w:rsidRPr="000F2644">
        <w:rPr>
          <w:rStyle w:val="FootnoteReference"/>
          <w:rFonts w:ascii="Times New Roman" w:hAnsi="Times New Roman"/>
          <w:sz w:val="26"/>
          <w:szCs w:val="24"/>
        </w:rPr>
        <w:footnoteReference w:id="3"/>
      </w:r>
    </w:p>
    <w:p w:rsidR="0025797F" w:rsidRPr="000F2644" w:rsidRDefault="0025797F" w:rsidP="009932E3">
      <w:pPr>
        <w:spacing w:after="0" w:line="240" w:lineRule="auto"/>
        <w:ind w:left="2160" w:right="1440"/>
        <w:rPr>
          <w:rFonts w:ascii="Times New Roman" w:hAnsi="Times New Roman"/>
          <w:sz w:val="26"/>
        </w:rPr>
      </w:pPr>
    </w:p>
    <w:p w:rsidR="003E6FA5" w:rsidRPr="000F2644" w:rsidRDefault="00B2140C" w:rsidP="009932E3">
      <w:pPr>
        <w:pStyle w:val="ListNumber"/>
        <w:numPr>
          <w:ilvl w:val="0"/>
          <w:numId w:val="0"/>
        </w:numPr>
        <w:spacing w:line="240" w:lineRule="auto"/>
        <w:ind w:left="1440" w:right="1440"/>
        <w:rPr>
          <w:sz w:val="26"/>
        </w:rPr>
      </w:pPr>
      <w:r>
        <w:rPr>
          <w:sz w:val="26"/>
        </w:rPr>
        <w:t>32.</w:t>
      </w:r>
      <w:r>
        <w:rPr>
          <w:sz w:val="26"/>
        </w:rPr>
        <w:tab/>
      </w:r>
      <w:r w:rsidR="003E6FA5" w:rsidRPr="000F2644">
        <w:rPr>
          <w:sz w:val="26"/>
        </w:rPr>
        <w:t xml:space="preserve">Rate NGPV </w:t>
      </w:r>
      <w:r w:rsidR="00B53359" w:rsidRPr="000F2644">
        <w:rPr>
          <w:sz w:val="26"/>
        </w:rPr>
        <w:t xml:space="preserve">[Natural Gas Powered Vehicle] </w:t>
      </w:r>
      <w:r w:rsidR="003E6FA5" w:rsidRPr="000F2644">
        <w:rPr>
          <w:sz w:val="26"/>
        </w:rPr>
        <w:t>will go into effect as proposed by the Company in Peoples TWP Statement No. 13-R.  NGPV customers will be assigned to the SGS or MGS [Manufactured Gas Service] class based upon the normalized annual usage of the customer.  If service under the NGPV rate schedule becomes significant enough, the Company will give consideration to segregating the NGPV customers into their own class for cost allocation and rate design purposes.  The impact of discounts, if any, will be addressed in future rate case proceedings based upon the facts and circumstances of the Cost of Service Study results and the rate design implications of such discounting.  The Company will consider the public policy implications at that time.</w:t>
      </w:r>
    </w:p>
    <w:p w:rsidR="003E6FA5" w:rsidRPr="000F2644" w:rsidRDefault="003E6FA5" w:rsidP="009932E3">
      <w:pPr>
        <w:pStyle w:val="ListNumber"/>
        <w:numPr>
          <w:ilvl w:val="0"/>
          <w:numId w:val="0"/>
        </w:numPr>
        <w:spacing w:line="240" w:lineRule="auto"/>
        <w:ind w:right="1440"/>
        <w:rPr>
          <w:sz w:val="26"/>
        </w:rPr>
      </w:pPr>
    </w:p>
    <w:p w:rsidR="003E6FA5" w:rsidRPr="000F2644" w:rsidRDefault="00B2140C" w:rsidP="009932E3">
      <w:pPr>
        <w:pStyle w:val="ListNumber"/>
        <w:numPr>
          <w:ilvl w:val="0"/>
          <w:numId w:val="0"/>
        </w:numPr>
        <w:spacing w:line="240" w:lineRule="auto"/>
        <w:ind w:left="1440" w:right="1440"/>
        <w:rPr>
          <w:sz w:val="26"/>
        </w:rPr>
      </w:pPr>
      <w:r>
        <w:rPr>
          <w:sz w:val="26"/>
        </w:rPr>
        <w:t>33.</w:t>
      </w:r>
      <w:r>
        <w:rPr>
          <w:sz w:val="26"/>
        </w:rPr>
        <w:tab/>
      </w:r>
      <w:r w:rsidR="003E6FA5" w:rsidRPr="000F2644">
        <w:rPr>
          <w:sz w:val="26"/>
        </w:rPr>
        <w:t>The Company’s proposed rates and revenue increase allocation to the LGS [Large Gas Service] class as set forth in its rebuttal testimony are accepted.</w:t>
      </w:r>
    </w:p>
    <w:p w:rsidR="003E6FA5" w:rsidRDefault="003E6FA5" w:rsidP="009932E3">
      <w:pPr>
        <w:pStyle w:val="ListNumber"/>
        <w:numPr>
          <w:ilvl w:val="0"/>
          <w:numId w:val="0"/>
        </w:numPr>
        <w:spacing w:line="240" w:lineRule="auto"/>
        <w:ind w:left="720" w:right="1440" w:hanging="720"/>
      </w:pPr>
    </w:p>
    <w:p w:rsidR="00DA2579" w:rsidRDefault="00DA2579" w:rsidP="009932E3">
      <w:pPr>
        <w:pStyle w:val="ListNumber"/>
        <w:numPr>
          <w:ilvl w:val="0"/>
          <w:numId w:val="0"/>
        </w:numPr>
        <w:spacing w:line="240" w:lineRule="auto"/>
        <w:ind w:left="720" w:firstLine="720"/>
        <w:rPr>
          <w:rFonts w:ascii="Times New Roman Bold" w:hAnsi="Times New Roman Bold"/>
          <w:b/>
          <w:caps/>
        </w:rPr>
      </w:pPr>
    </w:p>
    <w:p w:rsidR="003E6FA5" w:rsidRDefault="003E6FA5" w:rsidP="009932E3">
      <w:pPr>
        <w:pStyle w:val="ListNumber"/>
        <w:numPr>
          <w:ilvl w:val="0"/>
          <w:numId w:val="0"/>
        </w:numPr>
        <w:spacing w:line="240" w:lineRule="auto"/>
        <w:ind w:left="720" w:firstLine="720"/>
        <w:rPr>
          <w:rFonts w:ascii="Times New Roman Bold" w:hAnsi="Times New Roman Bold"/>
          <w:b/>
          <w:caps/>
        </w:rPr>
      </w:pPr>
      <w:r w:rsidRPr="0066213E">
        <w:rPr>
          <w:rFonts w:ascii="Times New Roman Bold" w:hAnsi="Times New Roman Bold"/>
          <w:b/>
          <w:caps/>
        </w:rPr>
        <w:t xml:space="preserve">C. </w:t>
      </w:r>
      <w:r w:rsidRPr="0066213E">
        <w:rPr>
          <w:rFonts w:ascii="Times New Roman Bold" w:hAnsi="Times New Roman Bold"/>
          <w:b/>
          <w:caps/>
        </w:rPr>
        <w:tab/>
        <w:t>Universal Service and Conservation</w:t>
      </w:r>
    </w:p>
    <w:p w:rsidR="00DA2579" w:rsidRPr="0066213E" w:rsidRDefault="00DA2579" w:rsidP="009932E3">
      <w:pPr>
        <w:pStyle w:val="ListNumber"/>
        <w:numPr>
          <w:ilvl w:val="0"/>
          <w:numId w:val="0"/>
        </w:numPr>
        <w:spacing w:line="240" w:lineRule="auto"/>
        <w:ind w:left="720" w:firstLine="720"/>
        <w:rPr>
          <w:rFonts w:ascii="Times New Roman Bold" w:hAnsi="Times New Roman Bold"/>
          <w:b/>
          <w:caps/>
        </w:rPr>
      </w:pPr>
    </w:p>
    <w:p w:rsidR="003E6FA5" w:rsidRDefault="001A630C" w:rsidP="009932E3">
      <w:pPr>
        <w:spacing w:after="0" w:line="240" w:lineRule="auto"/>
        <w:ind w:left="1440" w:right="1440"/>
        <w:contextualSpacing/>
        <w:rPr>
          <w:rFonts w:ascii="Times New Roman" w:hAnsi="Times New Roman"/>
          <w:sz w:val="26"/>
        </w:rPr>
      </w:pPr>
      <w:r>
        <w:rPr>
          <w:rFonts w:ascii="Times New Roman" w:hAnsi="Times New Roman"/>
          <w:sz w:val="26"/>
        </w:rPr>
        <w:t>34.</w:t>
      </w:r>
      <w:r>
        <w:rPr>
          <w:rFonts w:ascii="Times New Roman" w:hAnsi="Times New Roman"/>
          <w:sz w:val="26"/>
        </w:rPr>
        <w:tab/>
      </w:r>
      <w:r w:rsidR="003E6FA5" w:rsidRPr="009010A7">
        <w:rPr>
          <w:rFonts w:ascii="Times New Roman" w:hAnsi="Times New Roman"/>
          <w:sz w:val="26"/>
        </w:rPr>
        <w:t>The Company’s Energy Help Fund will be revised as follows:</w:t>
      </w:r>
    </w:p>
    <w:p w:rsidR="0025797F" w:rsidRPr="009010A7" w:rsidRDefault="0025797F" w:rsidP="009932E3">
      <w:pPr>
        <w:spacing w:after="0" w:line="240" w:lineRule="auto"/>
        <w:ind w:left="1440" w:right="1440"/>
        <w:contextualSpacing/>
        <w:rPr>
          <w:rFonts w:ascii="Times New Roman" w:hAnsi="Times New Roman"/>
          <w:sz w:val="26"/>
        </w:rPr>
      </w:pPr>
    </w:p>
    <w:p w:rsidR="003E6FA5" w:rsidRPr="009010A7" w:rsidRDefault="001A630C" w:rsidP="009932E3">
      <w:pPr>
        <w:pStyle w:val="ListNumber"/>
        <w:numPr>
          <w:ilvl w:val="0"/>
          <w:numId w:val="0"/>
        </w:numPr>
        <w:spacing w:line="240" w:lineRule="auto"/>
        <w:ind w:left="2880" w:right="1440" w:hanging="720"/>
        <w:rPr>
          <w:sz w:val="26"/>
        </w:rPr>
      </w:pPr>
      <w:r>
        <w:rPr>
          <w:sz w:val="26"/>
        </w:rPr>
        <w:t>a.</w:t>
      </w:r>
      <w:r>
        <w:rPr>
          <w:sz w:val="26"/>
        </w:rPr>
        <w:tab/>
      </w:r>
      <w:r w:rsidR="003E6FA5" w:rsidRPr="009010A7">
        <w:rPr>
          <w:sz w:val="26"/>
        </w:rPr>
        <w:t>The program will be renamed the Customer Assistance Program (“CAP”).</w:t>
      </w:r>
    </w:p>
    <w:p w:rsidR="003E6FA5" w:rsidRPr="009010A7" w:rsidRDefault="003E6FA5" w:rsidP="009932E3">
      <w:pPr>
        <w:pStyle w:val="ListNumber"/>
        <w:numPr>
          <w:ilvl w:val="0"/>
          <w:numId w:val="0"/>
        </w:numPr>
        <w:spacing w:line="240" w:lineRule="auto"/>
        <w:ind w:left="2520" w:right="1440"/>
        <w:rPr>
          <w:sz w:val="26"/>
        </w:rPr>
      </w:pPr>
    </w:p>
    <w:p w:rsidR="003E6FA5" w:rsidRPr="009010A7" w:rsidRDefault="003E6FA5" w:rsidP="009932E3">
      <w:pPr>
        <w:pStyle w:val="ListNumber"/>
        <w:numPr>
          <w:ilvl w:val="0"/>
          <w:numId w:val="0"/>
        </w:numPr>
        <w:spacing w:line="240" w:lineRule="auto"/>
        <w:ind w:left="2880" w:right="1440" w:hanging="720"/>
        <w:rPr>
          <w:sz w:val="26"/>
        </w:rPr>
      </w:pPr>
      <w:r w:rsidRPr="009010A7">
        <w:rPr>
          <w:sz w:val="26"/>
        </w:rPr>
        <w:t>b.</w:t>
      </w:r>
      <w:r w:rsidRPr="009010A7">
        <w:rPr>
          <w:sz w:val="26"/>
        </w:rPr>
        <w:tab/>
        <w:t xml:space="preserve">The arrearage forgiveness credit will be revised to equal 1/36 of the CAP customer’s pre-program arrearage.  The Company agrees to </w:t>
      </w:r>
      <w:r w:rsidRPr="009010A7">
        <w:rPr>
          <w:sz w:val="26"/>
        </w:rPr>
        <w:lastRenderedPageBreak/>
        <w:t>grant arrearage forgiveness as each full month equivalent bill payment is received.</w:t>
      </w:r>
    </w:p>
    <w:p w:rsidR="003E6FA5" w:rsidRPr="009010A7" w:rsidRDefault="003E6FA5" w:rsidP="009932E3">
      <w:pPr>
        <w:pStyle w:val="ListNumber"/>
        <w:numPr>
          <w:ilvl w:val="0"/>
          <w:numId w:val="0"/>
        </w:numPr>
        <w:spacing w:line="240" w:lineRule="auto"/>
        <w:ind w:left="2160" w:right="1440"/>
        <w:rPr>
          <w:sz w:val="26"/>
        </w:rPr>
      </w:pPr>
    </w:p>
    <w:p w:rsidR="003E6FA5" w:rsidRPr="009010A7" w:rsidRDefault="003E6FA5" w:rsidP="009932E3">
      <w:pPr>
        <w:pStyle w:val="ListNumber"/>
        <w:numPr>
          <w:ilvl w:val="0"/>
          <w:numId w:val="0"/>
        </w:numPr>
        <w:spacing w:line="240" w:lineRule="auto"/>
        <w:ind w:left="2880" w:right="1440" w:hanging="720"/>
        <w:rPr>
          <w:sz w:val="26"/>
        </w:rPr>
      </w:pPr>
      <w:r w:rsidRPr="009010A7">
        <w:rPr>
          <w:sz w:val="26"/>
        </w:rPr>
        <w:t>c.</w:t>
      </w:r>
      <w:r w:rsidRPr="009010A7">
        <w:rPr>
          <w:sz w:val="26"/>
        </w:rPr>
        <w:tab/>
        <w:t>CAP customers who receive LIHEAP [Low</w:t>
      </w:r>
      <w:r w:rsidR="005528C6">
        <w:rPr>
          <w:sz w:val="26"/>
        </w:rPr>
        <w:t>-</w:t>
      </w:r>
      <w:r w:rsidRPr="009010A7">
        <w:rPr>
          <w:sz w:val="26"/>
        </w:rPr>
        <w:t xml:space="preserve"> Income H</w:t>
      </w:r>
      <w:r w:rsidR="002171FB">
        <w:rPr>
          <w:sz w:val="26"/>
        </w:rPr>
        <w:t>ome</w:t>
      </w:r>
      <w:r w:rsidRPr="009010A7">
        <w:rPr>
          <w:sz w:val="26"/>
        </w:rPr>
        <w:t xml:space="preserve"> Energy Assistance Program] benefits or are on a fixed income (Social Security, Pension or Disability) will be required to recertify income every two years.  All other CAP customers will be required to recertify income annually.  The Company will contract with Dollar Energy Fund (“DEF”) to perform re-certifications, which are currently conducted in-house.</w:t>
      </w:r>
    </w:p>
    <w:p w:rsidR="003E6FA5" w:rsidRPr="009010A7" w:rsidRDefault="003E6FA5" w:rsidP="009932E3">
      <w:pPr>
        <w:pStyle w:val="ListNumber"/>
        <w:numPr>
          <w:ilvl w:val="0"/>
          <w:numId w:val="0"/>
        </w:numPr>
        <w:spacing w:line="240" w:lineRule="auto"/>
        <w:ind w:left="2880" w:right="1440" w:hanging="720"/>
        <w:rPr>
          <w:sz w:val="26"/>
        </w:rPr>
      </w:pPr>
    </w:p>
    <w:p w:rsidR="003E6FA5" w:rsidRPr="009010A7" w:rsidRDefault="003E6FA5" w:rsidP="009932E3">
      <w:pPr>
        <w:pStyle w:val="ListNumber"/>
        <w:numPr>
          <w:ilvl w:val="0"/>
          <w:numId w:val="0"/>
        </w:numPr>
        <w:spacing w:line="240" w:lineRule="auto"/>
        <w:ind w:left="2880" w:right="1440" w:hanging="720"/>
        <w:rPr>
          <w:sz w:val="26"/>
        </w:rPr>
      </w:pPr>
      <w:r w:rsidRPr="009010A7">
        <w:rPr>
          <w:sz w:val="26"/>
        </w:rPr>
        <w:t>d.</w:t>
      </w:r>
      <w:r w:rsidRPr="009010A7">
        <w:rPr>
          <w:sz w:val="26"/>
        </w:rPr>
        <w:tab/>
        <w:t>Delinquent CAP customers will not be removed from CAP, but will remain in CAP, where they will be subject to active collection and termination.</w:t>
      </w:r>
    </w:p>
    <w:p w:rsidR="003E6FA5" w:rsidRPr="009010A7" w:rsidRDefault="003E6FA5" w:rsidP="009932E3">
      <w:pPr>
        <w:pStyle w:val="ListNumber"/>
        <w:numPr>
          <w:ilvl w:val="0"/>
          <w:numId w:val="0"/>
        </w:numPr>
        <w:spacing w:line="240" w:lineRule="auto"/>
        <w:ind w:left="2160" w:right="1440"/>
        <w:rPr>
          <w:sz w:val="26"/>
        </w:rPr>
      </w:pPr>
    </w:p>
    <w:p w:rsidR="003E6FA5" w:rsidRPr="009010A7" w:rsidRDefault="003E6FA5" w:rsidP="009932E3">
      <w:pPr>
        <w:pStyle w:val="ListNumber"/>
        <w:numPr>
          <w:ilvl w:val="0"/>
          <w:numId w:val="0"/>
        </w:numPr>
        <w:spacing w:line="240" w:lineRule="auto"/>
        <w:ind w:left="2880" w:right="1440" w:hanging="720"/>
        <w:rPr>
          <w:sz w:val="26"/>
        </w:rPr>
      </w:pPr>
      <w:r w:rsidRPr="009010A7">
        <w:rPr>
          <w:sz w:val="26"/>
        </w:rPr>
        <w:t>e.</w:t>
      </w:r>
      <w:r w:rsidRPr="009010A7">
        <w:rPr>
          <w:sz w:val="26"/>
        </w:rPr>
        <w:tab/>
        <w:t>Late payment penalties will not be imposed on CAP customers.</w:t>
      </w:r>
    </w:p>
    <w:p w:rsidR="003E6FA5" w:rsidRPr="009010A7" w:rsidRDefault="003E6FA5" w:rsidP="009932E3">
      <w:pPr>
        <w:pStyle w:val="ListNumber"/>
        <w:numPr>
          <w:ilvl w:val="0"/>
          <w:numId w:val="0"/>
        </w:numPr>
        <w:spacing w:line="240" w:lineRule="auto"/>
        <w:ind w:left="2160" w:right="1440"/>
        <w:rPr>
          <w:sz w:val="26"/>
        </w:rPr>
      </w:pPr>
    </w:p>
    <w:p w:rsidR="003E6FA5" w:rsidRPr="009010A7" w:rsidRDefault="008A0B64" w:rsidP="009932E3">
      <w:pPr>
        <w:pStyle w:val="ListNumber"/>
        <w:numPr>
          <w:ilvl w:val="0"/>
          <w:numId w:val="0"/>
        </w:numPr>
        <w:tabs>
          <w:tab w:val="left" w:pos="1440"/>
        </w:tabs>
        <w:spacing w:line="240" w:lineRule="auto"/>
        <w:ind w:left="1440" w:right="1440"/>
        <w:rPr>
          <w:sz w:val="26"/>
        </w:rPr>
      </w:pPr>
      <w:r>
        <w:rPr>
          <w:sz w:val="26"/>
        </w:rPr>
        <w:t>35.</w:t>
      </w:r>
      <w:r>
        <w:rPr>
          <w:sz w:val="26"/>
        </w:rPr>
        <w:tab/>
      </w:r>
      <w:r w:rsidR="003E6FA5" w:rsidRPr="009010A7">
        <w:rPr>
          <w:sz w:val="26"/>
        </w:rPr>
        <w:t xml:space="preserve">The annual LIURP [Low Income Usage Reduction Program] budget shall be $255,000, with LIURP costs recovered through Rider USP – Universal Service Program.  Nothing contained herein limits the parties’ rights to propose or reject or address additional funding above this level in the current proceeding involving the proposed merger of Peoples and Equitable Gas Company LLC at Docket No. </w:t>
      </w:r>
      <w:r w:rsidR="00FF0F7A">
        <w:rPr>
          <w:sz w:val="26"/>
        </w:rPr>
        <w:br/>
      </w:r>
      <w:r w:rsidR="003E6FA5" w:rsidRPr="009010A7">
        <w:rPr>
          <w:sz w:val="26"/>
        </w:rPr>
        <w:t>A-2013-2353647 or in any other future proceeding.  Up to 20% of the LIURP budget may be used to assist customers whose income is within 151%-200% of the Federal Poverty Level.  Unspent portions of the LIURP budget shall be rolled over to be used in subsequent years.  The annual USP reconciliation reflects actual LIURP spending, and the unspent portion of the budget is reflected in the subsequent year’s budget, which prevents double recovery of LIURP budget amounts.</w:t>
      </w:r>
    </w:p>
    <w:p w:rsidR="003E6FA5" w:rsidRPr="009010A7" w:rsidRDefault="003E6FA5" w:rsidP="009932E3">
      <w:pPr>
        <w:pStyle w:val="ListNumber"/>
        <w:numPr>
          <w:ilvl w:val="0"/>
          <w:numId w:val="0"/>
        </w:numPr>
        <w:tabs>
          <w:tab w:val="left" w:pos="1440"/>
        </w:tabs>
        <w:spacing w:line="240" w:lineRule="auto"/>
        <w:ind w:left="1440" w:right="1440"/>
        <w:rPr>
          <w:sz w:val="26"/>
        </w:rPr>
      </w:pPr>
    </w:p>
    <w:p w:rsidR="003E6FA5" w:rsidRPr="009010A7" w:rsidRDefault="008A0B64" w:rsidP="009932E3">
      <w:pPr>
        <w:pStyle w:val="ListNumber"/>
        <w:numPr>
          <w:ilvl w:val="0"/>
          <w:numId w:val="0"/>
        </w:numPr>
        <w:tabs>
          <w:tab w:val="left" w:pos="1440"/>
        </w:tabs>
        <w:spacing w:line="240" w:lineRule="auto"/>
        <w:ind w:left="1440" w:right="1440"/>
        <w:rPr>
          <w:sz w:val="26"/>
        </w:rPr>
      </w:pPr>
      <w:r>
        <w:rPr>
          <w:sz w:val="26"/>
        </w:rPr>
        <w:t>36.</w:t>
      </w:r>
      <w:r>
        <w:rPr>
          <w:sz w:val="26"/>
        </w:rPr>
        <w:tab/>
      </w:r>
      <w:r w:rsidR="003E6FA5" w:rsidRPr="009010A7">
        <w:rPr>
          <w:sz w:val="26"/>
        </w:rPr>
        <w:t xml:space="preserve">The Company’s proposal to establish an emergency furnace and line repair program is adopted.  The program budget shall be $50,000, and the costs of the program will be recovered through Rider USP.  Parties to this Settlement do </w:t>
      </w:r>
      <w:r w:rsidR="003E6FA5" w:rsidRPr="009010A7">
        <w:rPr>
          <w:sz w:val="26"/>
        </w:rPr>
        <w:lastRenderedPageBreak/>
        <w:t>not waive their right to challenge the continuation of the emergency furnace and line repair program in future proceedings.</w:t>
      </w:r>
    </w:p>
    <w:p w:rsidR="003E6FA5" w:rsidRPr="009010A7" w:rsidRDefault="003E6FA5" w:rsidP="009932E3">
      <w:pPr>
        <w:pStyle w:val="ListNumber"/>
        <w:numPr>
          <w:ilvl w:val="0"/>
          <w:numId w:val="0"/>
        </w:numPr>
        <w:tabs>
          <w:tab w:val="left" w:pos="1440"/>
        </w:tabs>
        <w:spacing w:line="240" w:lineRule="auto"/>
        <w:ind w:left="1440" w:right="1440"/>
        <w:rPr>
          <w:sz w:val="26"/>
        </w:rPr>
      </w:pPr>
    </w:p>
    <w:p w:rsidR="003E6FA5" w:rsidRDefault="00B061D9" w:rsidP="009932E3">
      <w:pPr>
        <w:pStyle w:val="ListNumber"/>
        <w:numPr>
          <w:ilvl w:val="0"/>
          <w:numId w:val="0"/>
        </w:numPr>
        <w:tabs>
          <w:tab w:val="left" w:pos="1440"/>
        </w:tabs>
        <w:spacing w:line="240" w:lineRule="auto"/>
        <w:ind w:left="1440" w:right="1440"/>
        <w:rPr>
          <w:sz w:val="26"/>
        </w:rPr>
      </w:pPr>
      <w:r>
        <w:rPr>
          <w:sz w:val="26"/>
        </w:rPr>
        <w:t>37.</w:t>
      </w:r>
      <w:r>
        <w:rPr>
          <w:sz w:val="26"/>
        </w:rPr>
        <w:tab/>
      </w:r>
      <w:r w:rsidR="003E6FA5" w:rsidRPr="009010A7">
        <w:rPr>
          <w:sz w:val="26"/>
        </w:rPr>
        <w:t>The Company agrees to refresh its “Identity Theft Program” consistent with applicable state and federal law, and agrees to provide a copy to interested parties within six months after the conclusion of these proceedings.</w:t>
      </w:r>
    </w:p>
    <w:p w:rsidR="00D9394A" w:rsidRDefault="00D9394A" w:rsidP="009932E3">
      <w:pPr>
        <w:pStyle w:val="ListNumber"/>
        <w:numPr>
          <w:ilvl w:val="0"/>
          <w:numId w:val="0"/>
        </w:numPr>
        <w:tabs>
          <w:tab w:val="left" w:pos="1440"/>
        </w:tabs>
        <w:spacing w:line="240" w:lineRule="auto"/>
        <w:ind w:left="1440" w:right="1440"/>
        <w:rPr>
          <w:sz w:val="26"/>
        </w:rPr>
      </w:pPr>
    </w:p>
    <w:p w:rsidR="003E6FA5" w:rsidRPr="0025797F" w:rsidRDefault="003E6FA5" w:rsidP="009932E3">
      <w:pPr>
        <w:spacing w:after="0" w:line="240" w:lineRule="auto"/>
        <w:ind w:left="720" w:firstLine="720"/>
        <w:rPr>
          <w:rFonts w:ascii="Times New Roman Bold" w:hAnsi="Times New Roman Bold"/>
          <w:b/>
          <w:caps/>
          <w:sz w:val="26"/>
        </w:rPr>
      </w:pPr>
      <w:r w:rsidRPr="0025797F">
        <w:rPr>
          <w:rFonts w:ascii="Times New Roman" w:hAnsi="Times New Roman"/>
          <w:b/>
          <w:sz w:val="26"/>
        </w:rPr>
        <w:t xml:space="preserve">D. </w:t>
      </w:r>
      <w:r w:rsidRPr="0025797F">
        <w:rPr>
          <w:rFonts w:ascii="Times New Roman" w:hAnsi="Times New Roman"/>
          <w:b/>
          <w:sz w:val="26"/>
        </w:rPr>
        <w:tab/>
      </w:r>
      <w:r w:rsidRPr="0025797F">
        <w:rPr>
          <w:rFonts w:ascii="Times New Roman Bold" w:hAnsi="Times New Roman Bold"/>
          <w:b/>
          <w:caps/>
          <w:sz w:val="26"/>
        </w:rPr>
        <w:t>DSIC-Related Provisions</w:t>
      </w:r>
    </w:p>
    <w:p w:rsidR="00E22B62" w:rsidRPr="00E22B62" w:rsidRDefault="00E22B62" w:rsidP="009932E3">
      <w:pPr>
        <w:spacing w:after="0" w:line="240" w:lineRule="auto"/>
        <w:ind w:left="720" w:firstLine="720"/>
        <w:rPr>
          <w:rFonts w:ascii="Times New Roman" w:hAnsi="Times New Roman"/>
          <w:b/>
          <w:szCs w:val="24"/>
        </w:rPr>
      </w:pPr>
    </w:p>
    <w:p w:rsidR="003E6FA5" w:rsidRPr="00E22B62" w:rsidRDefault="00E22B62" w:rsidP="009932E3">
      <w:pPr>
        <w:pStyle w:val="ListNumber"/>
        <w:numPr>
          <w:ilvl w:val="0"/>
          <w:numId w:val="0"/>
        </w:numPr>
        <w:spacing w:line="240" w:lineRule="auto"/>
        <w:ind w:left="1440" w:right="1440"/>
        <w:rPr>
          <w:sz w:val="26"/>
        </w:rPr>
      </w:pPr>
      <w:r w:rsidRPr="00E22B62">
        <w:rPr>
          <w:sz w:val="26"/>
        </w:rPr>
        <w:t>38.</w:t>
      </w:r>
      <w:r w:rsidRPr="00E22B62">
        <w:rPr>
          <w:sz w:val="26"/>
        </w:rPr>
        <w:tab/>
      </w:r>
      <w:r w:rsidR="003E6FA5" w:rsidRPr="00E22B62">
        <w:rPr>
          <w:sz w:val="26"/>
        </w:rPr>
        <w:t>The DSIC [Distribution System Improvement Charge] for Peoples TWP shall be reset to 0.0% effective with the effective date of settlement rates in this proceeding.</w:t>
      </w:r>
      <w:r w:rsidR="003E6FA5" w:rsidRPr="00E22B62">
        <w:rPr>
          <w:rStyle w:val="FootnoteReference"/>
          <w:sz w:val="26"/>
        </w:rPr>
        <w:footnoteReference w:id="4"/>
      </w:r>
    </w:p>
    <w:p w:rsidR="003E6FA5" w:rsidRPr="00E22B62" w:rsidRDefault="003E6FA5" w:rsidP="009932E3">
      <w:pPr>
        <w:pStyle w:val="ListNumber"/>
        <w:numPr>
          <w:ilvl w:val="0"/>
          <w:numId w:val="0"/>
        </w:numPr>
        <w:spacing w:line="240" w:lineRule="auto"/>
        <w:ind w:left="1440" w:right="1440"/>
        <w:rPr>
          <w:sz w:val="26"/>
        </w:rPr>
      </w:pPr>
    </w:p>
    <w:p w:rsidR="003E6FA5" w:rsidRPr="00E22B62" w:rsidRDefault="00E22B62" w:rsidP="009932E3">
      <w:pPr>
        <w:pStyle w:val="ListNumber"/>
        <w:numPr>
          <w:ilvl w:val="0"/>
          <w:numId w:val="0"/>
        </w:numPr>
        <w:spacing w:line="240" w:lineRule="auto"/>
        <w:ind w:left="1440" w:right="1440"/>
        <w:rPr>
          <w:sz w:val="26"/>
        </w:rPr>
      </w:pPr>
      <w:r w:rsidRPr="00E22B62">
        <w:rPr>
          <w:sz w:val="26"/>
        </w:rPr>
        <w:t>39.</w:t>
      </w:r>
      <w:r w:rsidRPr="00E22B62">
        <w:rPr>
          <w:sz w:val="26"/>
        </w:rPr>
        <w:tab/>
      </w:r>
      <w:r w:rsidR="003E6FA5" w:rsidRPr="00E22B62">
        <w:rPr>
          <w:sz w:val="26"/>
        </w:rPr>
        <w:t>Peoples TWP will be eligible to include plant additions in its DSIC once eligible plant account balances exceed the level projected by Peoples TWP at January 31, 2015.  The foregoing provision is included solely for purposes of calculating the DSIC, and is not determinative for future ratemaking purposes of the projected additions to be included in rate base in a fully projected future test year filing.</w:t>
      </w:r>
    </w:p>
    <w:p w:rsidR="003E6FA5" w:rsidRPr="00E22B62" w:rsidRDefault="003E6FA5" w:rsidP="009932E3">
      <w:pPr>
        <w:pStyle w:val="ListNumber"/>
        <w:numPr>
          <w:ilvl w:val="0"/>
          <w:numId w:val="0"/>
        </w:numPr>
        <w:spacing w:line="240" w:lineRule="auto"/>
        <w:rPr>
          <w:sz w:val="26"/>
        </w:rPr>
      </w:pPr>
    </w:p>
    <w:p w:rsidR="003E6FA5" w:rsidRPr="0025797F" w:rsidRDefault="003E6FA5" w:rsidP="009932E3">
      <w:pPr>
        <w:pStyle w:val="Heading2"/>
        <w:keepLines/>
        <w:numPr>
          <w:ilvl w:val="0"/>
          <w:numId w:val="0"/>
        </w:numPr>
        <w:ind w:left="720" w:firstLine="720"/>
        <w:jc w:val="left"/>
        <w:rPr>
          <w:rFonts w:ascii="Times New Roman Bold" w:hAnsi="Times New Roman Bold"/>
          <w:caps/>
          <w:sz w:val="26"/>
        </w:rPr>
      </w:pPr>
      <w:r w:rsidRPr="0025797F">
        <w:rPr>
          <w:sz w:val="26"/>
        </w:rPr>
        <w:t xml:space="preserve">E. </w:t>
      </w:r>
      <w:r w:rsidRPr="0025797F">
        <w:rPr>
          <w:sz w:val="26"/>
        </w:rPr>
        <w:tab/>
      </w:r>
      <w:r w:rsidRPr="0025797F">
        <w:rPr>
          <w:rFonts w:ascii="Times New Roman Bold" w:hAnsi="Times New Roman Bold"/>
          <w:caps/>
          <w:sz w:val="26"/>
        </w:rPr>
        <w:t>Other Provisions</w:t>
      </w:r>
    </w:p>
    <w:p w:rsidR="0025797F" w:rsidRPr="0025797F" w:rsidRDefault="0025797F" w:rsidP="0025797F">
      <w:pPr>
        <w:spacing w:after="0"/>
      </w:pPr>
    </w:p>
    <w:p w:rsidR="003E6FA5" w:rsidRPr="00E22B62" w:rsidRDefault="00E22B62" w:rsidP="009932E3">
      <w:pPr>
        <w:pStyle w:val="ListNumber"/>
        <w:numPr>
          <w:ilvl w:val="0"/>
          <w:numId w:val="0"/>
        </w:numPr>
        <w:spacing w:line="240" w:lineRule="auto"/>
        <w:ind w:left="1440"/>
        <w:rPr>
          <w:sz w:val="26"/>
        </w:rPr>
      </w:pPr>
      <w:r w:rsidRPr="00E22B62">
        <w:rPr>
          <w:sz w:val="26"/>
        </w:rPr>
        <w:t>40.</w:t>
      </w:r>
      <w:r w:rsidRPr="00E22B62">
        <w:rPr>
          <w:sz w:val="26"/>
        </w:rPr>
        <w:tab/>
      </w:r>
      <w:r w:rsidR="003E6FA5" w:rsidRPr="00E22B62">
        <w:rPr>
          <w:sz w:val="26"/>
        </w:rPr>
        <w:t>The Company agrees to establish more formal documentation of the need for</w:t>
      </w:r>
      <w:r>
        <w:rPr>
          <w:sz w:val="26"/>
        </w:rPr>
        <w:t>, and level of,</w:t>
      </w:r>
      <w:r w:rsidR="003E6FA5" w:rsidRPr="00E22B62">
        <w:rPr>
          <w:sz w:val="26"/>
        </w:rPr>
        <w:t xml:space="preserve"> discounts offered to customers in competitive situations.  The documentation will reflect information available to the Company regarding capital and operating costs for bypass (interstate and local alternatives) or alternative fuels and considered in determining whether to negotiate a discounted rate.  Documentation will identify offers made in negotiations.  Documentation will also identify risks and lost potential revenues if a customer decides to install and use alternative facilities to replace Peoples TWP service in whole or in part.  </w:t>
      </w:r>
    </w:p>
    <w:p w:rsidR="003E6FA5" w:rsidRPr="00E22B62" w:rsidRDefault="003E6FA5" w:rsidP="009932E3">
      <w:pPr>
        <w:pStyle w:val="ListNumber"/>
        <w:numPr>
          <w:ilvl w:val="0"/>
          <w:numId w:val="0"/>
        </w:numPr>
        <w:spacing w:line="240" w:lineRule="auto"/>
        <w:rPr>
          <w:sz w:val="26"/>
        </w:rPr>
      </w:pPr>
    </w:p>
    <w:p w:rsidR="003E6FA5" w:rsidRDefault="00E22B62" w:rsidP="00A779F5">
      <w:pPr>
        <w:pStyle w:val="ListNumber"/>
        <w:numPr>
          <w:ilvl w:val="0"/>
          <w:numId w:val="0"/>
        </w:numPr>
        <w:spacing w:line="240" w:lineRule="auto"/>
        <w:ind w:left="1440"/>
        <w:rPr>
          <w:sz w:val="26"/>
        </w:rPr>
      </w:pPr>
      <w:r>
        <w:rPr>
          <w:sz w:val="26"/>
        </w:rPr>
        <w:t>41.</w:t>
      </w:r>
      <w:r>
        <w:rPr>
          <w:sz w:val="26"/>
        </w:rPr>
        <w:tab/>
      </w:r>
      <w:r w:rsidR="003E6FA5" w:rsidRPr="00E22B62">
        <w:rPr>
          <w:sz w:val="26"/>
        </w:rPr>
        <w:t>On or before May 1, 2014, the Company will provide the Commission’s Bureau of Technical Utility Services (“TUS”), I</w:t>
      </w:r>
      <w:r>
        <w:rPr>
          <w:sz w:val="26"/>
        </w:rPr>
        <w:t>&amp;</w:t>
      </w:r>
      <w:r w:rsidR="003E6FA5" w:rsidRPr="00E22B62">
        <w:rPr>
          <w:sz w:val="26"/>
        </w:rPr>
        <w:t xml:space="preserve">E, OCA </w:t>
      </w:r>
      <w:r w:rsidR="003E6FA5" w:rsidRPr="00E22B62">
        <w:rPr>
          <w:sz w:val="26"/>
        </w:rPr>
        <w:lastRenderedPageBreak/>
        <w:t>and OSBA an update to Peoples TWP Exhibit No. AC-2, which will include actual capital expenditures, plant additions and retirements by month for the twelve months ending Janu</w:t>
      </w:r>
      <w:r w:rsidR="00A779F5">
        <w:rPr>
          <w:sz w:val="26"/>
        </w:rPr>
        <w:t>ary 31, 2014.  On or before May </w:t>
      </w:r>
      <w:r w:rsidR="003E6FA5" w:rsidRPr="00E22B62">
        <w:rPr>
          <w:sz w:val="26"/>
        </w:rPr>
        <w:t xml:space="preserve">1, 2015, the Company will update Exhibit No. AC-2 filed in this proceeding for the twelve months ending January 31, 2015.  In the Company’s next base rate proceeding, the Company will prepare a comparison of its actual expenses and rate base additions for the twelve months ended January 31, 2015 to its projections in this case.  </w:t>
      </w:r>
    </w:p>
    <w:p w:rsidR="00762452" w:rsidRPr="00E22B62" w:rsidRDefault="00762452" w:rsidP="009932E3">
      <w:pPr>
        <w:pStyle w:val="ListNumber"/>
        <w:numPr>
          <w:ilvl w:val="0"/>
          <w:numId w:val="0"/>
        </w:numPr>
        <w:spacing w:line="240" w:lineRule="auto"/>
        <w:ind w:left="1350"/>
        <w:rPr>
          <w:sz w:val="26"/>
        </w:rPr>
      </w:pPr>
    </w:p>
    <w:p w:rsidR="003E6FA5" w:rsidRPr="00E22B62" w:rsidRDefault="00C004F9" w:rsidP="009932E3">
      <w:pPr>
        <w:pStyle w:val="ListNumber"/>
        <w:numPr>
          <w:ilvl w:val="0"/>
          <w:numId w:val="0"/>
        </w:numPr>
        <w:spacing w:line="240" w:lineRule="auto"/>
        <w:ind w:left="1350"/>
        <w:rPr>
          <w:sz w:val="26"/>
        </w:rPr>
      </w:pPr>
      <w:r>
        <w:rPr>
          <w:sz w:val="26"/>
        </w:rPr>
        <w:t>42.</w:t>
      </w:r>
      <w:r w:rsidR="00762452">
        <w:rPr>
          <w:sz w:val="26"/>
        </w:rPr>
        <w:tab/>
      </w:r>
      <w:r w:rsidR="003E6FA5" w:rsidRPr="00E22B62">
        <w:rPr>
          <w:sz w:val="26"/>
        </w:rPr>
        <w:t>The Joint Petitioners will endeavor on a best efforts basis to obtain approval in time for new rates to become effective by January 1, 2014.</w:t>
      </w:r>
      <w:r w:rsidR="003E6FA5" w:rsidRPr="00E22B62">
        <w:rPr>
          <w:rStyle w:val="FootnoteReference"/>
          <w:sz w:val="26"/>
        </w:rPr>
        <w:footnoteReference w:id="5"/>
      </w:r>
    </w:p>
    <w:p w:rsidR="0025797F" w:rsidRDefault="0025797F" w:rsidP="009932E3">
      <w:pPr>
        <w:tabs>
          <w:tab w:val="left" w:pos="-720"/>
        </w:tabs>
        <w:suppressAutoHyphens/>
        <w:spacing w:after="0" w:line="240" w:lineRule="auto"/>
        <w:rPr>
          <w:rFonts w:ascii="Times New Roman" w:hAnsi="Times New Roman"/>
          <w:sz w:val="26"/>
        </w:rPr>
      </w:pPr>
    </w:p>
    <w:p w:rsidR="00762452" w:rsidRDefault="00B578A2" w:rsidP="0075484F">
      <w:pPr>
        <w:tabs>
          <w:tab w:val="left" w:pos="-720"/>
        </w:tabs>
        <w:suppressAutoHyphens/>
        <w:spacing w:after="0" w:line="360" w:lineRule="auto"/>
        <w:rPr>
          <w:rFonts w:ascii="Times New Roman" w:hAnsi="Times New Roman"/>
          <w:sz w:val="26"/>
        </w:rPr>
      </w:pPr>
      <w:r w:rsidRPr="00B578A2">
        <w:rPr>
          <w:rFonts w:ascii="Times New Roman" w:hAnsi="Times New Roman"/>
          <w:sz w:val="26"/>
        </w:rPr>
        <w:t xml:space="preserve">Settlement at </w:t>
      </w:r>
      <w:r>
        <w:rPr>
          <w:rFonts w:ascii="Times New Roman" w:hAnsi="Times New Roman"/>
          <w:sz w:val="26"/>
        </w:rPr>
        <w:t>6-11.</w:t>
      </w:r>
    </w:p>
    <w:p w:rsidR="00762452" w:rsidRDefault="00762452" w:rsidP="0075484F">
      <w:pPr>
        <w:tabs>
          <w:tab w:val="left" w:pos="-720"/>
        </w:tabs>
        <w:suppressAutoHyphens/>
        <w:spacing w:after="0" w:line="360" w:lineRule="auto"/>
        <w:rPr>
          <w:rFonts w:ascii="Times New Roman" w:hAnsi="Times New Roman"/>
          <w:sz w:val="26"/>
        </w:rPr>
      </w:pPr>
    </w:p>
    <w:p w:rsidR="003E6FA5" w:rsidRPr="00B578A2" w:rsidRDefault="00762452" w:rsidP="009932E3">
      <w:pPr>
        <w:tabs>
          <w:tab w:val="left" w:pos="-720"/>
        </w:tabs>
        <w:suppressAutoHyphens/>
        <w:spacing w:after="0"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B472BC">
        <w:rPr>
          <w:rFonts w:ascii="Times New Roman" w:hAnsi="Times New Roman"/>
          <w:sz w:val="26"/>
        </w:rPr>
        <w:t>The Settlement is conditioned upon the Commission’s approval of its terms and conditions</w:t>
      </w:r>
      <w:r w:rsidR="00A96953">
        <w:rPr>
          <w:rFonts w:ascii="Times New Roman" w:hAnsi="Times New Roman"/>
          <w:sz w:val="26"/>
        </w:rPr>
        <w:t>, without modification.  If the Commission modifies the Settlement, any Joint Petitioner may elect to withdraw from the Settlement.</w:t>
      </w:r>
      <w:r w:rsidR="00E73087">
        <w:rPr>
          <w:rFonts w:ascii="Times New Roman" w:hAnsi="Times New Roman"/>
          <w:sz w:val="26"/>
        </w:rPr>
        <w:t xml:space="preserve">  The Settlement also provides that it is made without any admission against, or prejudice to, any position that any Joint Petitioner may adopt in any further litigation in this proceeding.  The Joint Petitioners aver that the Settlement terms and conditions may not be cited as precedent in any future proceeding.  Settlement at 12.</w:t>
      </w:r>
    </w:p>
    <w:p w:rsidR="003E6FA5" w:rsidRDefault="003E6FA5" w:rsidP="0075484F">
      <w:pPr>
        <w:tabs>
          <w:tab w:val="left" w:pos="-720"/>
        </w:tabs>
        <w:suppressAutoHyphens/>
        <w:spacing w:after="0" w:line="360" w:lineRule="auto"/>
        <w:rPr>
          <w:rFonts w:ascii="Times New Roman" w:hAnsi="Times New Roman"/>
        </w:rPr>
      </w:pPr>
    </w:p>
    <w:p w:rsidR="00503DA2" w:rsidRPr="00767179" w:rsidRDefault="004E0392" w:rsidP="009932E3">
      <w:pPr>
        <w:pStyle w:val="Heading3"/>
        <w:keepNext w:val="0"/>
        <w:widowControl w:val="0"/>
        <w:numPr>
          <w:ilvl w:val="0"/>
          <w:numId w:val="0"/>
        </w:numPr>
        <w:rPr>
          <w:color w:val="auto"/>
        </w:rPr>
      </w:pPr>
      <w:r w:rsidRPr="00767179">
        <w:rPr>
          <w:color w:val="auto"/>
        </w:rPr>
        <w:t>B</w:t>
      </w:r>
      <w:r w:rsidR="00AA1E34" w:rsidRPr="00767179">
        <w:rPr>
          <w:color w:val="auto"/>
        </w:rPr>
        <w:t>.</w:t>
      </w:r>
      <w:r w:rsidR="00AA1E34" w:rsidRPr="00767179">
        <w:rPr>
          <w:color w:val="auto"/>
        </w:rPr>
        <w:tab/>
      </w:r>
      <w:r w:rsidR="00503DA2" w:rsidRPr="00767179">
        <w:rPr>
          <w:color w:val="auto"/>
        </w:rPr>
        <w:t>L</w:t>
      </w:r>
      <w:r w:rsidR="00D90143" w:rsidRPr="00767179">
        <w:rPr>
          <w:color w:val="auto"/>
        </w:rPr>
        <w:t xml:space="preserve">egal </w:t>
      </w:r>
      <w:r w:rsidR="00F80E19" w:rsidRPr="00767179">
        <w:rPr>
          <w:rFonts w:ascii="Times New Roman Bold" w:hAnsi="Times New Roman Bold"/>
          <w:color w:val="auto"/>
        </w:rPr>
        <w:t>Standards</w:t>
      </w:r>
    </w:p>
    <w:p w:rsidR="00503DA2" w:rsidRPr="00904274" w:rsidRDefault="00503DA2" w:rsidP="009932E3">
      <w:pPr>
        <w:widowControl w:val="0"/>
        <w:spacing w:after="0" w:line="360" w:lineRule="auto"/>
        <w:rPr>
          <w:rFonts w:ascii="Times New Roman" w:eastAsia="Times New Roman" w:hAnsi="Times New Roman"/>
          <w:color w:val="000000"/>
          <w:sz w:val="26"/>
          <w:szCs w:val="26"/>
        </w:rPr>
      </w:pPr>
    </w:p>
    <w:p w:rsidR="0025797F" w:rsidRDefault="00503DA2" w:rsidP="009932E3">
      <w:pPr>
        <w:spacing w:after="0" w:line="360" w:lineRule="auto"/>
        <w:rPr>
          <w:rFonts w:ascii="Times New Roman" w:eastAsia="Times New Roman" w:hAnsi="Times New Roman"/>
          <w:color w:val="000000"/>
          <w:sz w:val="26"/>
          <w:szCs w:val="26"/>
        </w:rPr>
      </w:pPr>
      <w:r w:rsidRPr="00904274">
        <w:rPr>
          <w:rFonts w:ascii="Times New Roman" w:eastAsia="Times New Roman" w:hAnsi="Times New Roman"/>
          <w:color w:val="000000"/>
          <w:sz w:val="26"/>
          <w:szCs w:val="26"/>
        </w:rPr>
        <w:tab/>
      </w:r>
      <w:r w:rsidRPr="00904274">
        <w:rPr>
          <w:rFonts w:ascii="Times New Roman" w:eastAsia="Times New Roman" w:hAnsi="Times New Roman"/>
          <w:color w:val="000000"/>
          <w:sz w:val="26"/>
          <w:szCs w:val="26"/>
        </w:rPr>
        <w:tab/>
        <w:t xml:space="preserve">The purpose of this investigation is to establish </w:t>
      </w:r>
      <w:r w:rsidRPr="00904274">
        <w:rPr>
          <w:rFonts w:ascii="Times New Roman" w:eastAsia="Times New Roman" w:hAnsi="Times New Roman"/>
          <w:bCs/>
          <w:color w:val="000000"/>
          <w:sz w:val="26"/>
          <w:szCs w:val="26"/>
        </w:rPr>
        <w:t>rates</w:t>
      </w:r>
      <w:r w:rsidRPr="00904274">
        <w:rPr>
          <w:rFonts w:ascii="Times New Roman" w:eastAsia="Times New Roman" w:hAnsi="Times New Roman"/>
          <w:color w:val="000000"/>
          <w:sz w:val="26"/>
          <w:szCs w:val="26"/>
        </w:rPr>
        <w:t xml:space="preserve"> for </w:t>
      </w:r>
      <w:r w:rsidR="00AE4D21">
        <w:rPr>
          <w:rFonts w:ascii="Times New Roman" w:eastAsia="Times New Roman" w:hAnsi="Times New Roman"/>
          <w:color w:val="000000"/>
          <w:sz w:val="26"/>
          <w:szCs w:val="26"/>
        </w:rPr>
        <w:t>Peoples TWP</w:t>
      </w:r>
      <w:r w:rsidRPr="00904274">
        <w:rPr>
          <w:rFonts w:ascii="Times New Roman" w:eastAsia="Times New Roman" w:hAnsi="Times New Roman"/>
          <w:color w:val="000000"/>
          <w:sz w:val="26"/>
          <w:szCs w:val="26"/>
        </w:rPr>
        <w:t xml:space="preserve"> customers which are “just and reasonable” pursuant to Section 1301 of the Code</w:t>
      </w:r>
      <w:r w:rsidR="006932FA">
        <w:rPr>
          <w:rFonts w:ascii="Times New Roman" w:eastAsia="Times New Roman" w:hAnsi="Times New Roman"/>
          <w:color w:val="000000"/>
          <w:sz w:val="26"/>
          <w:szCs w:val="26"/>
        </w:rPr>
        <w:t>,</w:t>
      </w:r>
      <w:r w:rsidRPr="00904274">
        <w:rPr>
          <w:rFonts w:ascii="Times New Roman" w:eastAsia="Times New Roman" w:hAnsi="Times New Roman"/>
          <w:color w:val="000000"/>
          <w:sz w:val="26"/>
          <w:szCs w:val="26"/>
        </w:rPr>
        <w:t xml:space="preserve"> </w:t>
      </w:r>
    </w:p>
    <w:p w:rsidR="00503DA2" w:rsidRPr="00904274" w:rsidRDefault="00503DA2" w:rsidP="009932E3">
      <w:pPr>
        <w:spacing w:after="0" w:line="360" w:lineRule="auto"/>
        <w:rPr>
          <w:rFonts w:ascii="Times New Roman" w:eastAsia="Times New Roman" w:hAnsi="Times New Roman"/>
          <w:color w:val="000000"/>
          <w:sz w:val="26"/>
          <w:szCs w:val="26"/>
        </w:rPr>
      </w:pPr>
      <w:r w:rsidRPr="00904274">
        <w:rPr>
          <w:rFonts w:ascii="Times New Roman" w:eastAsia="Times New Roman" w:hAnsi="Times New Roman"/>
          <w:color w:val="000000"/>
          <w:sz w:val="26"/>
          <w:szCs w:val="26"/>
        </w:rPr>
        <w:t>66 Pa.</w:t>
      </w:r>
      <w:r w:rsidR="0025797F">
        <w:rPr>
          <w:rFonts w:ascii="Times New Roman" w:eastAsia="Times New Roman" w:hAnsi="Times New Roman"/>
          <w:color w:val="000000"/>
          <w:sz w:val="26"/>
          <w:szCs w:val="26"/>
        </w:rPr>
        <w:t xml:space="preserve"> </w:t>
      </w:r>
      <w:r w:rsidR="00362E50">
        <w:rPr>
          <w:rFonts w:ascii="Times New Roman" w:eastAsia="Times New Roman" w:hAnsi="Times New Roman"/>
          <w:color w:val="000000"/>
          <w:sz w:val="26"/>
          <w:szCs w:val="26"/>
        </w:rPr>
        <w:t>C.S. § </w:t>
      </w:r>
      <w:r w:rsidRPr="00904274">
        <w:rPr>
          <w:rFonts w:ascii="Times New Roman" w:eastAsia="Times New Roman" w:hAnsi="Times New Roman"/>
          <w:color w:val="000000"/>
          <w:sz w:val="26"/>
          <w:szCs w:val="26"/>
        </w:rPr>
        <w:t xml:space="preserve">1301.  A public utility seeking a general </w:t>
      </w:r>
      <w:r w:rsidRPr="00904274">
        <w:rPr>
          <w:rFonts w:ascii="Times New Roman" w:eastAsia="Times New Roman" w:hAnsi="Times New Roman"/>
          <w:bCs/>
          <w:color w:val="000000"/>
          <w:sz w:val="26"/>
          <w:szCs w:val="26"/>
        </w:rPr>
        <w:t>rate</w:t>
      </w:r>
      <w:r w:rsidRPr="00904274">
        <w:rPr>
          <w:rFonts w:ascii="Times New Roman" w:eastAsia="Times New Roman" w:hAnsi="Times New Roman"/>
          <w:color w:val="000000"/>
          <w:sz w:val="26"/>
          <w:szCs w:val="26"/>
        </w:rPr>
        <w:t xml:space="preserve"> increase is entitled to an opportunity to earn a fair </w:t>
      </w:r>
      <w:r w:rsidRPr="00904274">
        <w:rPr>
          <w:rFonts w:ascii="Times New Roman" w:eastAsia="Times New Roman" w:hAnsi="Times New Roman"/>
          <w:bCs/>
          <w:color w:val="000000"/>
          <w:sz w:val="26"/>
          <w:szCs w:val="26"/>
        </w:rPr>
        <w:t>rate</w:t>
      </w:r>
      <w:r w:rsidRPr="00904274">
        <w:rPr>
          <w:rFonts w:ascii="Times New Roman" w:eastAsia="Times New Roman" w:hAnsi="Times New Roman"/>
          <w:color w:val="000000"/>
          <w:sz w:val="26"/>
          <w:szCs w:val="26"/>
        </w:rPr>
        <w:t xml:space="preserve"> of return on the value of the property dedicated to public service.  </w:t>
      </w:r>
      <w:r w:rsidR="006A5CEB" w:rsidRPr="00904274">
        <w:rPr>
          <w:rFonts w:ascii="Times New Roman" w:eastAsia="Times New Roman" w:hAnsi="Times New Roman"/>
          <w:i/>
          <w:iCs/>
          <w:color w:val="000000"/>
          <w:sz w:val="26"/>
          <w:szCs w:val="26"/>
        </w:rPr>
        <w:t>Bluefield Water Works and Improvement Co. v. Public Service Comm'n of West Virginia,</w:t>
      </w:r>
      <w:r w:rsidR="006A5CEB" w:rsidRPr="00904274">
        <w:rPr>
          <w:rFonts w:ascii="Times New Roman" w:eastAsia="Times New Roman" w:hAnsi="Times New Roman"/>
          <w:color w:val="000000"/>
          <w:sz w:val="26"/>
          <w:szCs w:val="26"/>
        </w:rPr>
        <w:t xml:space="preserve"> 262 U.S. 679</w:t>
      </w:r>
      <w:r w:rsidR="00C759D4">
        <w:rPr>
          <w:rFonts w:ascii="Times New Roman" w:eastAsia="Times New Roman" w:hAnsi="Times New Roman"/>
          <w:color w:val="000000"/>
          <w:sz w:val="26"/>
          <w:szCs w:val="26"/>
        </w:rPr>
        <w:t>, 690</w:t>
      </w:r>
      <w:r w:rsidR="006A5CEB" w:rsidRPr="00904274">
        <w:rPr>
          <w:rFonts w:ascii="Times New Roman" w:eastAsia="Times New Roman" w:hAnsi="Times New Roman"/>
          <w:color w:val="000000"/>
          <w:sz w:val="26"/>
          <w:szCs w:val="26"/>
        </w:rPr>
        <w:t xml:space="preserve"> (1923)</w:t>
      </w:r>
      <w:r w:rsidR="00C759D4">
        <w:rPr>
          <w:rFonts w:ascii="Times New Roman" w:eastAsia="Times New Roman" w:hAnsi="Times New Roman"/>
          <w:color w:val="000000"/>
          <w:sz w:val="26"/>
          <w:szCs w:val="26"/>
        </w:rPr>
        <w:t>.</w:t>
      </w:r>
      <w:r w:rsidR="0025797F">
        <w:rPr>
          <w:rFonts w:ascii="Times New Roman" w:eastAsia="Times New Roman" w:hAnsi="Times New Roman"/>
          <w:color w:val="000000"/>
          <w:sz w:val="26"/>
          <w:szCs w:val="26"/>
        </w:rPr>
        <w:t xml:space="preserve">  </w:t>
      </w:r>
      <w:r w:rsidRPr="00904274">
        <w:rPr>
          <w:rFonts w:ascii="Times New Roman" w:eastAsia="Times New Roman" w:hAnsi="Times New Roman"/>
          <w:color w:val="000000"/>
          <w:sz w:val="26"/>
          <w:szCs w:val="26"/>
        </w:rPr>
        <w:t xml:space="preserve">In determining what constitutes a fair </w:t>
      </w:r>
      <w:r w:rsidRPr="00904274">
        <w:rPr>
          <w:rFonts w:ascii="Times New Roman" w:eastAsia="Times New Roman" w:hAnsi="Times New Roman"/>
          <w:bCs/>
          <w:color w:val="000000"/>
          <w:sz w:val="26"/>
          <w:szCs w:val="26"/>
        </w:rPr>
        <w:t>rate</w:t>
      </w:r>
      <w:r w:rsidRPr="00904274">
        <w:rPr>
          <w:rFonts w:ascii="Times New Roman" w:eastAsia="Times New Roman" w:hAnsi="Times New Roman"/>
          <w:color w:val="000000"/>
          <w:sz w:val="26"/>
          <w:szCs w:val="26"/>
        </w:rPr>
        <w:t xml:space="preserve"> of return, the Commission is guided by the criteria set forth in </w:t>
      </w:r>
      <w:r w:rsidRPr="00904274">
        <w:rPr>
          <w:rFonts w:ascii="Times New Roman" w:eastAsia="Times New Roman" w:hAnsi="Times New Roman"/>
          <w:i/>
          <w:iCs/>
          <w:color w:val="000000"/>
          <w:sz w:val="26"/>
          <w:szCs w:val="26"/>
        </w:rPr>
        <w:t>Bluefield Water Works</w:t>
      </w:r>
      <w:r w:rsidR="00C759D4">
        <w:rPr>
          <w:rFonts w:ascii="Times New Roman" w:eastAsia="Times New Roman" w:hAnsi="Times New Roman"/>
          <w:i/>
          <w:iCs/>
          <w:color w:val="000000"/>
          <w:sz w:val="26"/>
          <w:szCs w:val="26"/>
        </w:rPr>
        <w:t>, supra,</w:t>
      </w:r>
      <w:r w:rsidRPr="00904274">
        <w:rPr>
          <w:rFonts w:ascii="Times New Roman" w:eastAsia="Times New Roman" w:hAnsi="Times New Roman"/>
          <w:color w:val="000000"/>
          <w:sz w:val="26"/>
          <w:szCs w:val="26"/>
        </w:rPr>
        <w:t xml:space="preserve"> and </w:t>
      </w:r>
      <w:r w:rsidRPr="00904274">
        <w:rPr>
          <w:rFonts w:ascii="Times New Roman" w:eastAsia="Times New Roman" w:hAnsi="Times New Roman"/>
          <w:i/>
          <w:iCs/>
          <w:color w:val="000000"/>
          <w:sz w:val="26"/>
          <w:szCs w:val="26"/>
        </w:rPr>
        <w:lastRenderedPageBreak/>
        <w:t>Federal Power Comm'n v. Hope Natural Gas Co.</w:t>
      </w:r>
      <w:r w:rsidRPr="00904274">
        <w:rPr>
          <w:rFonts w:ascii="Times New Roman" w:eastAsia="Times New Roman" w:hAnsi="Times New Roman"/>
          <w:color w:val="000000"/>
          <w:sz w:val="26"/>
          <w:szCs w:val="26"/>
        </w:rPr>
        <w:t xml:space="preserve">, 320 U.S. 591 (1944). </w:t>
      </w:r>
      <w:r w:rsidR="0025797F">
        <w:rPr>
          <w:rFonts w:ascii="Times New Roman" w:eastAsia="Times New Roman" w:hAnsi="Times New Roman"/>
          <w:color w:val="000000"/>
          <w:sz w:val="26"/>
          <w:szCs w:val="26"/>
        </w:rPr>
        <w:t xml:space="preserve"> </w:t>
      </w:r>
      <w:r w:rsidRPr="00904274">
        <w:rPr>
          <w:rFonts w:ascii="Times New Roman" w:eastAsia="Times New Roman" w:hAnsi="Times New Roman"/>
          <w:color w:val="000000"/>
          <w:sz w:val="26"/>
          <w:szCs w:val="26"/>
        </w:rPr>
        <w:t xml:space="preserve">In </w:t>
      </w:r>
      <w:r w:rsidRPr="00904274">
        <w:rPr>
          <w:rFonts w:ascii="Times New Roman" w:eastAsia="Times New Roman" w:hAnsi="Times New Roman"/>
          <w:i/>
          <w:iCs/>
          <w:color w:val="000000"/>
          <w:sz w:val="26"/>
          <w:szCs w:val="26"/>
        </w:rPr>
        <w:t>Bluefield</w:t>
      </w:r>
      <w:r w:rsidR="006932FA">
        <w:rPr>
          <w:rFonts w:ascii="Times New Roman" w:eastAsia="Times New Roman" w:hAnsi="Times New Roman"/>
          <w:i/>
          <w:iCs/>
          <w:color w:val="000000"/>
          <w:sz w:val="26"/>
          <w:szCs w:val="26"/>
        </w:rPr>
        <w:t>,</w:t>
      </w:r>
      <w:r w:rsidRPr="00904274">
        <w:rPr>
          <w:rFonts w:ascii="Times New Roman" w:eastAsia="Times New Roman" w:hAnsi="Times New Roman"/>
          <w:color w:val="000000"/>
          <w:sz w:val="26"/>
          <w:szCs w:val="26"/>
        </w:rPr>
        <w:t xml:space="preserve"> the United States Supreme Court stated:</w:t>
      </w:r>
    </w:p>
    <w:p w:rsidR="00503DA2" w:rsidRDefault="00503DA2" w:rsidP="009932E3">
      <w:pPr>
        <w:spacing w:after="0" w:line="360" w:lineRule="auto"/>
        <w:rPr>
          <w:rFonts w:ascii="Times New Roman" w:eastAsia="Times New Roman" w:hAnsi="Times New Roman"/>
          <w:color w:val="000000"/>
          <w:sz w:val="26"/>
          <w:szCs w:val="26"/>
        </w:rPr>
      </w:pPr>
    </w:p>
    <w:p w:rsidR="00503DA2" w:rsidRPr="00904274" w:rsidRDefault="00503DA2" w:rsidP="009932E3">
      <w:pPr>
        <w:spacing w:after="0" w:line="240" w:lineRule="auto"/>
        <w:ind w:left="1440" w:right="1440"/>
        <w:rPr>
          <w:rFonts w:ascii="Times New Roman" w:eastAsia="Times New Roman" w:hAnsi="Times New Roman"/>
          <w:color w:val="000000"/>
          <w:sz w:val="26"/>
          <w:szCs w:val="26"/>
        </w:rPr>
      </w:pPr>
      <w:r w:rsidRPr="00904274">
        <w:rPr>
          <w:rFonts w:ascii="Times New Roman" w:eastAsia="Times New Roman" w:hAnsi="Times New Roman"/>
          <w:color w:val="000000"/>
          <w:sz w:val="26"/>
          <w:szCs w:val="26"/>
        </w:rPr>
        <w:t xml:space="preserve">A public utility is entitled to such </w:t>
      </w:r>
      <w:r w:rsidRPr="00904274">
        <w:rPr>
          <w:rFonts w:ascii="Times New Roman" w:eastAsia="Times New Roman" w:hAnsi="Times New Roman"/>
          <w:bCs/>
          <w:color w:val="000000"/>
          <w:sz w:val="26"/>
          <w:szCs w:val="26"/>
        </w:rPr>
        <w:t>rates</w:t>
      </w:r>
      <w:r w:rsidRPr="00904274">
        <w:rPr>
          <w:rFonts w:ascii="Times New Roman" w:eastAsia="Times New Roman" w:hAnsi="Times New Roman"/>
          <w:color w:val="000000"/>
          <w:sz w:val="26"/>
          <w:szCs w:val="26"/>
        </w:rPr>
        <w:t xml:space="preserve">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A </w:t>
      </w:r>
      <w:r w:rsidRPr="00904274">
        <w:rPr>
          <w:rFonts w:ascii="Times New Roman" w:eastAsia="Times New Roman" w:hAnsi="Times New Roman"/>
          <w:bCs/>
          <w:color w:val="000000"/>
          <w:sz w:val="26"/>
          <w:szCs w:val="26"/>
        </w:rPr>
        <w:t>rate</w:t>
      </w:r>
      <w:r w:rsidRPr="00904274">
        <w:rPr>
          <w:rFonts w:ascii="Times New Roman" w:eastAsia="Times New Roman" w:hAnsi="Times New Roman"/>
          <w:color w:val="000000"/>
          <w:sz w:val="26"/>
          <w:szCs w:val="26"/>
        </w:rPr>
        <w:t xml:space="preserve"> of return may be too high or too low by changes affecting opportunities for investment, the money market and business conditions generally.</w:t>
      </w:r>
    </w:p>
    <w:p w:rsidR="00503DA2" w:rsidRPr="00904274" w:rsidRDefault="00503DA2" w:rsidP="009932E3">
      <w:pPr>
        <w:spacing w:after="0" w:line="240" w:lineRule="auto"/>
        <w:ind w:left="1440" w:right="1440"/>
        <w:rPr>
          <w:rFonts w:ascii="Times New Roman" w:eastAsia="Times New Roman" w:hAnsi="Times New Roman"/>
          <w:color w:val="000000"/>
          <w:sz w:val="26"/>
          <w:szCs w:val="26"/>
        </w:rPr>
      </w:pPr>
    </w:p>
    <w:p w:rsidR="00503DA2" w:rsidRPr="00904274" w:rsidRDefault="00503DA2" w:rsidP="0075484F">
      <w:pPr>
        <w:spacing w:after="0" w:line="360" w:lineRule="auto"/>
        <w:rPr>
          <w:rFonts w:ascii="Times New Roman" w:eastAsia="Times New Roman" w:hAnsi="Times New Roman"/>
          <w:color w:val="000000"/>
          <w:sz w:val="26"/>
          <w:szCs w:val="26"/>
        </w:rPr>
      </w:pPr>
      <w:r w:rsidRPr="00904274">
        <w:rPr>
          <w:rFonts w:ascii="Times New Roman" w:eastAsia="Times New Roman" w:hAnsi="Times New Roman"/>
          <w:i/>
          <w:iCs/>
          <w:color w:val="000000"/>
          <w:sz w:val="26"/>
          <w:szCs w:val="26"/>
        </w:rPr>
        <w:t>Bluefield,</w:t>
      </w:r>
      <w:r w:rsidRPr="00904274">
        <w:rPr>
          <w:rFonts w:ascii="Times New Roman" w:eastAsia="Times New Roman" w:hAnsi="Times New Roman"/>
          <w:color w:val="000000"/>
          <w:sz w:val="26"/>
          <w:szCs w:val="26"/>
        </w:rPr>
        <w:t xml:space="preserve"> 262 U.S. at 692-3.</w:t>
      </w:r>
    </w:p>
    <w:p w:rsidR="00503DA2" w:rsidRPr="00904274" w:rsidRDefault="00503DA2" w:rsidP="009932E3">
      <w:pPr>
        <w:spacing w:after="0" w:line="360" w:lineRule="auto"/>
        <w:rPr>
          <w:rFonts w:ascii="Times New Roman" w:eastAsia="Times New Roman" w:hAnsi="Times New Roman"/>
          <w:color w:val="000000"/>
          <w:sz w:val="26"/>
          <w:szCs w:val="26"/>
        </w:rPr>
      </w:pPr>
    </w:p>
    <w:p w:rsidR="00503DA2" w:rsidRPr="00904274" w:rsidRDefault="00503DA2" w:rsidP="009932E3">
      <w:pPr>
        <w:spacing w:after="0" w:line="360" w:lineRule="auto"/>
        <w:rPr>
          <w:rFonts w:ascii="Times New Roman" w:eastAsia="Times New Roman" w:hAnsi="Times New Roman"/>
          <w:color w:val="000000"/>
          <w:sz w:val="26"/>
          <w:szCs w:val="26"/>
        </w:rPr>
      </w:pPr>
      <w:r w:rsidRPr="00904274">
        <w:rPr>
          <w:rFonts w:ascii="Times New Roman" w:eastAsia="Times New Roman" w:hAnsi="Times New Roman"/>
          <w:color w:val="000000"/>
          <w:sz w:val="26"/>
          <w:szCs w:val="26"/>
        </w:rPr>
        <w:tab/>
      </w:r>
      <w:r w:rsidRPr="00904274">
        <w:rPr>
          <w:rFonts w:ascii="Times New Roman" w:eastAsia="Times New Roman" w:hAnsi="Times New Roman"/>
          <w:color w:val="000000"/>
          <w:sz w:val="26"/>
          <w:szCs w:val="26"/>
        </w:rPr>
        <w:tab/>
        <w:t>Commission policy promotes settlements, 52 Pa.</w:t>
      </w:r>
      <w:r w:rsidR="0025797F">
        <w:rPr>
          <w:rFonts w:ascii="Times New Roman" w:eastAsia="Times New Roman" w:hAnsi="Times New Roman"/>
          <w:color w:val="000000"/>
          <w:sz w:val="26"/>
          <w:szCs w:val="26"/>
        </w:rPr>
        <w:t xml:space="preserve"> </w:t>
      </w:r>
      <w:r w:rsidRPr="00904274">
        <w:rPr>
          <w:rFonts w:ascii="Times New Roman" w:eastAsia="Times New Roman" w:hAnsi="Times New Roman"/>
          <w:color w:val="000000"/>
          <w:sz w:val="26"/>
          <w:szCs w:val="26"/>
        </w:rPr>
        <w:t xml:space="preserve">Code §§ 5.231 and 69.401. </w:t>
      </w:r>
      <w:r w:rsidR="0025797F">
        <w:rPr>
          <w:rFonts w:ascii="Times New Roman" w:eastAsia="Times New Roman" w:hAnsi="Times New Roman"/>
          <w:color w:val="000000"/>
          <w:sz w:val="26"/>
          <w:szCs w:val="26"/>
        </w:rPr>
        <w:t xml:space="preserve"> </w:t>
      </w:r>
      <w:r w:rsidRPr="00904274">
        <w:rPr>
          <w:rFonts w:ascii="Times New Roman" w:eastAsia="Times New Roman" w:hAnsi="Times New Roman"/>
          <w:color w:val="000000"/>
          <w:sz w:val="26"/>
          <w:szCs w:val="26"/>
        </w:rPr>
        <w:t>Settlements lessen the time and expense the parties must expend litigating a case and</w:t>
      </w:r>
      <w:r w:rsidR="001E022A">
        <w:rPr>
          <w:rFonts w:ascii="Times New Roman" w:eastAsia="Times New Roman" w:hAnsi="Times New Roman"/>
          <w:color w:val="000000"/>
          <w:sz w:val="26"/>
          <w:szCs w:val="26"/>
        </w:rPr>
        <w:t>,</w:t>
      </w:r>
      <w:r w:rsidRPr="00904274">
        <w:rPr>
          <w:rFonts w:ascii="Times New Roman" w:eastAsia="Times New Roman" w:hAnsi="Times New Roman"/>
          <w:color w:val="000000"/>
          <w:sz w:val="26"/>
          <w:szCs w:val="26"/>
        </w:rPr>
        <w:t xml:space="preserve"> at the same time</w:t>
      </w:r>
      <w:r w:rsidR="001E022A">
        <w:rPr>
          <w:rFonts w:ascii="Times New Roman" w:eastAsia="Times New Roman" w:hAnsi="Times New Roman"/>
          <w:color w:val="000000"/>
          <w:sz w:val="26"/>
          <w:szCs w:val="26"/>
        </w:rPr>
        <w:t>,</w:t>
      </w:r>
      <w:r w:rsidRPr="00904274">
        <w:rPr>
          <w:rFonts w:ascii="Times New Roman" w:eastAsia="Times New Roman" w:hAnsi="Times New Roman"/>
          <w:color w:val="000000"/>
          <w:sz w:val="26"/>
          <w:szCs w:val="26"/>
        </w:rPr>
        <w:t xml:space="preserve"> conserve administrative hearing resources.  The Commission has indicated that settlement results are often preferable to those achieved at the conclusion of a fully litigated proceeding.  52 Pa.</w:t>
      </w:r>
      <w:r w:rsidR="0025797F">
        <w:rPr>
          <w:rFonts w:ascii="Times New Roman" w:eastAsia="Times New Roman" w:hAnsi="Times New Roman"/>
          <w:color w:val="000000"/>
          <w:sz w:val="26"/>
          <w:szCs w:val="26"/>
        </w:rPr>
        <w:t xml:space="preserve"> </w:t>
      </w:r>
      <w:r w:rsidRPr="00904274">
        <w:rPr>
          <w:rFonts w:ascii="Times New Roman" w:eastAsia="Times New Roman" w:hAnsi="Times New Roman"/>
          <w:color w:val="000000"/>
          <w:sz w:val="26"/>
          <w:szCs w:val="26"/>
        </w:rPr>
        <w:t>Code § 69.401.</w:t>
      </w:r>
      <w:r w:rsidR="0025797F">
        <w:rPr>
          <w:rFonts w:ascii="Times New Roman" w:eastAsia="Times New Roman" w:hAnsi="Times New Roman"/>
          <w:color w:val="000000"/>
          <w:sz w:val="26"/>
          <w:szCs w:val="26"/>
        </w:rPr>
        <w:t xml:space="preserve">  </w:t>
      </w:r>
      <w:r w:rsidRPr="00904274">
        <w:rPr>
          <w:rFonts w:ascii="Times New Roman" w:eastAsia="Times New Roman" w:hAnsi="Times New Roman"/>
          <w:bCs/>
          <w:color w:val="000000"/>
          <w:sz w:val="26"/>
          <w:szCs w:val="26"/>
        </w:rPr>
        <w:t>Rate</w:t>
      </w:r>
      <w:r w:rsidRPr="00904274">
        <w:rPr>
          <w:rFonts w:ascii="Times New Roman" w:eastAsia="Times New Roman" w:hAnsi="Times New Roman"/>
          <w:color w:val="000000"/>
          <w:sz w:val="26"/>
          <w:szCs w:val="26"/>
        </w:rPr>
        <w:t xml:space="preserve"> cases are expensive to litigate</w:t>
      </w:r>
      <w:r w:rsidR="001E022A">
        <w:rPr>
          <w:rFonts w:ascii="Times New Roman" w:eastAsia="Times New Roman" w:hAnsi="Times New Roman"/>
          <w:color w:val="000000"/>
          <w:sz w:val="26"/>
          <w:szCs w:val="26"/>
        </w:rPr>
        <w:t>,</w:t>
      </w:r>
      <w:r w:rsidRPr="00904274">
        <w:rPr>
          <w:rFonts w:ascii="Times New Roman" w:eastAsia="Times New Roman" w:hAnsi="Times New Roman"/>
          <w:color w:val="000000"/>
          <w:sz w:val="26"/>
          <w:szCs w:val="26"/>
        </w:rPr>
        <w:t xml:space="preserve"> and the cost of such litigation at a reasonable level is an operating expense recovered in the </w:t>
      </w:r>
      <w:r w:rsidRPr="00904274">
        <w:rPr>
          <w:rFonts w:ascii="Times New Roman" w:eastAsia="Times New Roman" w:hAnsi="Times New Roman"/>
          <w:bCs/>
          <w:color w:val="000000"/>
          <w:sz w:val="26"/>
          <w:szCs w:val="26"/>
        </w:rPr>
        <w:t>rates</w:t>
      </w:r>
      <w:r w:rsidRPr="00904274">
        <w:rPr>
          <w:rFonts w:ascii="Times New Roman" w:eastAsia="Times New Roman" w:hAnsi="Times New Roman"/>
          <w:color w:val="000000"/>
          <w:sz w:val="26"/>
          <w:szCs w:val="26"/>
        </w:rPr>
        <w:t xml:space="preserve"> approved by the Commission. </w:t>
      </w:r>
      <w:r w:rsidR="0025797F">
        <w:rPr>
          <w:rFonts w:ascii="Times New Roman" w:eastAsia="Times New Roman" w:hAnsi="Times New Roman"/>
          <w:color w:val="000000"/>
          <w:sz w:val="26"/>
          <w:szCs w:val="26"/>
        </w:rPr>
        <w:t xml:space="preserve"> </w:t>
      </w:r>
      <w:r w:rsidRPr="00904274">
        <w:rPr>
          <w:rFonts w:ascii="Times New Roman" w:eastAsia="Times New Roman" w:hAnsi="Times New Roman"/>
          <w:color w:val="000000"/>
          <w:sz w:val="26"/>
          <w:szCs w:val="26"/>
        </w:rPr>
        <w:t>This means that a settlement, which allows the parties to avoid the substantial costs of preparing and serving testimony and the cross-examination of witnesses in lengthy hearings, the preparation and service of briefs, reply briefs, exceptions and repl</w:t>
      </w:r>
      <w:r w:rsidR="001E022A">
        <w:rPr>
          <w:rFonts w:ascii="Times New Roman" w:eastAsia="Times New Roman" w:hAnsi="Times New Roman"/>
          <w:color w:val="000000"/>
          <w:sz w:val="26"/>
          <w:szCs w:val="26"/>
        </w:rPr>
        <w:t>ies to</w:t>
      </w:r>
      <w:r w:rsidRPr="00904274">
        <w:rPr>
          <w:rFonts w:ascii="Times New Roman" w:eastAsia="Times New Roman" w:hAnsi="Times New Roman"/>
          <w:color w:val="000000"/>
          <w:sz w:val="26"/>
          <w:szCs w:val="26"/>
        </w:rPr>
        <w:t xml:space="preserve"> exceptions, together with the briefs and reply briefs necessitated by any appeal of the Commission's decision, yields significant </w:t>
      </w:r>
      <w:r w:rsidRPr="00904274">
        <w:rPr>
          <w:rFonts w:ascii="Times New Roman" w:eastAsia="Times New Roman" w:hAnsi="Times New Roman"/>
          <w:color w:val="000000"/>
          <w:sz w:val="26"/>
          <w:szCs w:val="26"/>
        </w:rPr>
        <w:lastRenderedPageBreak/>
        <w:t xml:space="preserve">savings for the company's customers.  </w:t>
      </w:r>
      <w:r w:rsidR="001E022A">
        <w:rPr>
          <w:rFonts w:ascii="Times New Roman" w:eastAsia="Times New Roman" w:hAnsi="Times New Roman"/>
          <w:color w:val="000000"/>
          <w:sz w:val="26"/>
          <w:szCs w:val="26"/>
        </w:rPr>
        <w:t xml:space="preserve">For this and other sound reasons, </w:t>
      </w:r>
      <w:r w:rsidRPr="00904274">
        <w:rPr>
          <w:rFonts w:ascii="Times New Roman" w:eastAsia="Times New Roman" w:hAnsi="Times New Roman"/>
          <w:color w:val="000000"/>
          <w:sz w:val="26"/>
          <w:szCs w:val="26"/>
        </w:rPr>
        <w:t>settlements are encouraged by long-standing Commission policy.</w:t>
      </w:r>
    </w:p>
    <w:p w:rsidR="00503DA2" w:rsidRPr="00904274" w:rsidRDefault="00503DA2" w:rsidP="009932E3">
      <w:pPr>
        <w:spacing w:after="0" w:line="360" w:lineRule="auto"/>
        <w:rPr>
          <w:rFonts w:ascii="Times New Roman" w:eastAsia="Times New Roman" w:hAnsi="Times New Roman"/>
          <w:color w:val="000000"/>
          <w:sz w:val="26"/>
          <w:szCs w:val="26"/>
        </w:rPr>
      </w:pPr>
    </w:p>
    <w:p w:rsidR="00503DA2" w:rsidRDefault="00503DA2" w:rsidP="009932E3">
      <w:pPr>
        <w:spacing w:after="0" w:line="360" w:lineRule="auto"/>
        <w:rPr>
          <w:rFonts w:ascii="Times New Roman" w:eastAsia="Times New Roman" w:hAnsi="Times New Roman"/>
          <w:sz w:val="26"/>
          <w:szCs w:val="26"/>
        </w:rPr>
      </w:pPr>
      <w:r w:rsidRPr="00904274">
        <w:rPr>
          <w:rFonts w:eastAsia="Times New Roman"/>
          <w:color w:val="000000"/>
          <w:sz w:val="26"/>
          <w:szCs w:val="26"/>
        </w:rPr>
        <w:tab/>
      </w:r>
      <w:r w:rsidRPr="00904274">
        <w:rPr>
          <w:rFonts w:eastAsia="Times New Roman"/>
          <w:color w:val="000000"/>
          <w:sz w:val="26"/>
          <w:szCs w:val="26"/>
        </w:rPr>
        <w:tab/>
      </w:r>
      <w:r w:rsidRPr="00904274">
        <w:rPr>
          <w:rFonts w:ascii="Times New Roman" w:eastAsia="Times New Roman" w:hAnsi="Times New Roman"/>
          <w:color w:val="000000"/>
          <w:sz w:val="26"/>
          <w:szCs w:val="26"/>
        </w:rPr>
        <w:t>In order to accept a settlement, the Com</w:t>
      </w:r>
      <w:r w:rsidRPr="00904274">
        <w:rPr>
          <w:rFonts w:ascii="Times New Roman" w:eastAsia="Times New Roman" w:hAnsi="Times New Roman"/>
          <w:sz w:val="26"/>
          <w:szCs w:val="26"/>
        </w:rPr>
        <w:t xml:space="preserve">mission must determine that the proposed terms and conditions are in the public interest.  </w:t>
      </w:r>
      <w:r w:rsidRPr="00904274">
        <w:rPr>
          <w:rFonts w:ascii="Times New Roman" w:eastAsia="Times New Roman" w:hAnsi="Times New Roman"/>
          <w:i/>
          <w:iCs/>
          <w:sz w:val="26"/>
          <w:szCs w:val="26"/>
        </w:rPr>
        <w:t xml:space="preserve">Pa. </w:t>
      </w:r>
      <w:r w:rsidR="009E4DE2">
        <w:rPr>
          <w:rFonts w:ascii="Times New Roman" w:eastAsia="Times New Roman" w:hAnsi="Times New Roman"/>
          <w:i/>
          <w:iCs/>
          <w:sz w:val="26"/>
          <w:szCs w:val="26"/>
        </w:rPr>
        <w:t>PUC</w:t>
      </w:r>
      <w:r w:rsidRPr="00904274">
        <w:rPr>
          <w:rFonts w:ascii="Times New Roman" w:eastAsia="Times New Roman" w:hAnsi="Times New Roman"/>
          <w:i/>
          <w:iCs/>
          <w:sz w:val="26"/>
          <w:szCs w:val="26"/>
        </w:rPr>
        <w:t xml:space="preserve"> v. York Water Co.</w:t>
      </w:r>
      <w:r w:rsidRPr="00904274">
        <w:rPr>
          <w:rFonts w:ascii="Times New Roman" w:eastAsia="Times New Roman" w:hAnsi="Times New Roman"/>
          <w:sz w:val="26"/>
          <w:szCs w:val="26"/>
        </w:rPr>
        <w:t>, Docket No. R-00049165 (Order entered October 4, 2004</w:t>
      </w:r>
      <w:r w:rsidRPr="00904274">
        <w:rPr>
          <w:rFonts w:ascii="Times New Roman" w:eastAsia="Times New Roman" w:hAnsi="Times New Roman"/>
          <w:i/>
          <w:sz w:val="26"/>
          <w:szCs w:val="26"/>
        </w:rPr>
        <w:t xml:space="preserve">); </w:t>
      </w:r>
      <w:r w:rsidRPr="00904274">
        <w:rPr>
          <w:rFonts w:ascii="Times New Roman" w:eastAsia="Times New Roman" w:hAnsi="Times New Roman"/>
          <w:i/>
          <w:iCs/>
          <w:sz w:val="26"/>
          <w:szCs w:val="26"/>
        </w:rPr>
        <w:t>Pa. PUC v. C. S. Water and Sewer Assoc.</w:t>
      </w:r>
      <w:r w:rsidRPr="00904274">
        <w:rPr>
          <w:rFonts w:ascii="Times New Roman" w:eastAsia="Times New Roman" w:hAnsi="Times New Roman"/>
          <w:sz w:val="26"/>
          <w:szCs w:val="26"/>
        </w:rPr>
        <w:t>, 74 Pa. P.U.C. 767 (1991).</w:t>
      </w:r>
    </w:p>
    <w:p w:rsidR="008F0B29" w:rsidRPr="00904274" w:rsidRDefault="008F0B29" w:rsidP="009932E3">
      <w:pPr>
        <w:spacing w:after="0" w:line="360" w:lineRule="auto"/>
        <w:rPr>
          <w:rFonts w:ascii="Times New Roman" w:eastAsia="Times New Roman" w:hAnsi="Times New Roman"/>
          <w:sz w:val="26"/>
          <w:szCs w:val="26"/>
        </w:rPr>
      </w:pPr>
    </w:p>
    <w:p w:rsidR="00503DA2" w:rsidRPr="00353C66" w:rsidRDefault="00353C66" w:rsidP="009932E3">
      <w:pPr>
        <w:keepNext/>
        <w:spacing w:after="0" w:line="360" w:lineRule="auto"/>
        <w:ind w:firstLine="1440"/>
        <w:rPr>
          <w:rFonts w:ascii="Times New Roman" w:eastAsia="Times New Roman" w:hAnsi="Times New Roman"/>
          <w:sz w:val="26"/>
          <w:szCs w:val="26"/>
        </w:rPr>
      </w:pPr>
      <w:r>
        <w:rPr>
          <w:rFonts w:ascii="Times New Roman" w:eastAsia="Times New Roman" w:hAnsi="Times New Roman"/>
          <w:sz w:val="26"/>
          <w:szCs w:val="26"/>
        </w:rPr>
        <w:t xml:space="preserve">With regard to the burden of proof in this matter, </w:t>
      </w:r>
      <w:r w:rsidR="00503DA2" w:rsidRPr="00353C66">
        <w:rPr>
          <w:rFonts w:ascii="Times New Roman" w:eastAsia="Times New Roman" w:hAnsi="Times New Roman"/>
          <w:sz w:val="26"/>
          <w:szCs w:val="26"/>
        </w:rPr>
        <w:t xml:space="preserve">Section 315(a) of the Code </w:t>
      </w:r>
      <w:r>
        <w:rPr>
          <w:rFonts w:ascii="Times New Roman" w:eastAsia="Times New Roman" w:hAnsi="Times New Roman"/>
          <w:sz w:val="26"/>
          <w:szCs w:val="26"/>
        </w:rPr>
        <w:t>provides the</w:t>
      </w:r>
      <w:r w:rsidR="00503DA2" w:rsidRPr="00353C66">
        <w:rPr>
          <w:rFonts w:ascii="Times New Roman" w:eastAsia="Times New Roman" w:hAnsi="Times New Roman"/>
          <w:sz w:val="26"/>
          <w:szCs w:val="26"/>
        </w:rPr>
        <w:t xml:space="preserve"> follow</w:t>
      </w:r>
      <w:r>
        <w:rPr>
          <w:rFonts w:ascii="Times New Roman" w:eastAsia="Times New Roman" w:hAnsi="Times New Roman"/>
          <w:sz w:val="26"/>
          <w:szCs w:val="26"/>
        </w:rPr>
        <w:t>ing</w:t>
      </w:r>
      <w:r w:rsidR="00503DA2" w:rsidRPr="00353C66">
        <w:rPr>
          <w:rFonts w:ascii="Times New Roman" w:eastAsia="Times New Roman" w:hAnsi="Times New Roman"/>
          <w:sz w:val="26"/>
          <w:szCs w:val="26"/>
        </w:rPr>
        <w:t xml:space="preserve">: </w:t>
      </w:r>
    </w:p>
    <w:p w:rsidR="00893354" w:rsidRPr="00353C66" w:rsidRDefault="00893354" w:rsidP="009932E3">
      <w:pPr>
        <w:keepNext/>
        <w:spacing w:after="0" w:line="360" w:lineRule="auto"/>
        <w:ind w:left="720" w:firstLine="720"/>
        <w:rPr>
          <w:rFonts w:ascii="Times New Roman" w:eastAsia="Times New Roman" w:hAnsi="Times New Roman"/>
          <w:sz w:val="26"/>
          <w:szCs w:val="26"/>
        </w:rPr>
      </w:pPr>
    </w:p>
    <w:p w:rsidR="00503DA2" w:rsidRPr="00255559" w:rsidRDefault="00503DA2" w:rsidP="009932E3">
      <w:pPr>
        <w:spacing w:after="0" w:line="360" w:lineRule="auto"/>
        <w:ind w:left="1440" w:right="1440"/>
        <w:rPr>
          <w:rFonts w:ascii="Times New Roman" w:eastAsia="Times New Roman" w:hAnsi="Times New Roman"/>
          <w:b/>
          <w:bCs/>
          <w:sz w:val="26"/>
          <w:szCs w:val="26"/>
        </w:rPr>
      </w:pPr>
      <w:r w:rsidRPr="00255559">
        <w:rPr>
          <w:rFonts w:ascii="Times New Roman" w:eastAsia="Times New Roman" w:hAnsi="Times New Roman"/>
          <w:b/>
          <w:bCs/>
          <w:sz w:val="26"/>
          <w:szCs w:val="26"/>
        </w:rPr>
        <w:t>§ 315. Burden of proof</w:t>
      </w:r>
    </w:p>
    <w:p w:rsidR="00503DA2" w:rsidRPr="00353C66" w:rsidRDefault="00503DA2" w:rsidP="009932E3">
      <w:pPr>
        <w:spacing w:after="0" w:line="240" w:lineRule="auto"/>
        <w:ind w:left="1440" w:right="1440" w:firstLine="720"/>
        <w:rPr>
          <w:rFonts w:ascii="Times New Roman" w:eastAsia="Times New Roman" w:hAnsi="Times New Roman"/>
          <w:sz w:val="26"/>
          <w:szCs w:val="26"/>
        </w:rPr>
      </w:pPr>
      <w:r w:rsidRPr="00353C66">
        <w:rPr>
          <w:rFonts w:ascii="Times New Roman" w:eastAsia="Times New Roman" w:hAnsi="Times New Roman"/>
          <w:sz w:val="26"/>
          <w:szCs w:val="26"/>
        </w:rPr>
        <w:br/>
      </w:r>
      <w:r w:rsidRPr="00255559">
        <w:rPr>
          <w:rFonts w:ascii="Times New Roman" w:eastAsia="Times New Roman" w:hAnsi="Times New Roman"/>
          <w:b/>
          <w:bCs/>
          <w:sz w:val="26"/>
          <w:szCs w:val="26"/>
        </w:rPr>
        <w:t>(a) Reasonableness of rates</w:t>
      </w:r>
      <w:r w:rsidRPr="00353C66">
        <w:rPr>
          <w:rFonts w:ascii="Times New Roman" w:eastAsia="Times New Roman" w:hAnsi="Times New Roman"/>
          <w:bCs/>
          <w:sz w:val="26"/>
          <w:szCs w:val="26"/>
        </w:rPr>
        <w:t>.</w:t>
      </w:r>
      <w:r w:rsidR="00255559">
        <w:rPr>
          <w:rFonts w:ascii="Times New Roman" w:eastAsia="Times New Roman" w:hAnsi="Times New Roman"/>
          <w:sz w:val="26"/>
          <w:szCs w:val="26"/>
        </w:rPr>
        <w:t>—</w:t>
      </w:r>
      <w:r w:rsidRPr="00353C66">
        <w:rPr>
          <w:rFonts w:ascii="Times New Roman" w:eastAsia="Times New Roman" w:hAnsi="Times New Roman"/>
          <w:sz w:val="26"/>
          <w:szCs w:val="26"/>
        </w:rPr>
        <w:t xml:space="preserve">In any proceeding upon the motion of the commission, involving any proposed or existing </w:t>
      </w:r>
      <w:r w:rsidRPr="00353C66">
        <w:rPr>
          <w:rFonts w:ascii="Times New Roman" w:eastAsia="Times New Roman" w:hAnsi="Times New Roman"/>
          <w:bCs/>
          <w:sz w:val="26"/>
          <w:szCs w:val="26"/>
        </w:rPr>
        <w:t>rate</w:t>
      </w:r>
      <w:r w:rsidRPr="00353C66">
        <w:rPr>
          <w:rFonts w:ascii="Times New Roman" w:eastAsia="Times New Roman" w:hAnsi="Times New Roman"/>
          <w:sz w:val="26"/>
          <w:szCs w:val="26"/>
        </w:rPr>
        <w:t xml:space="preserve"> of any public utility, or in any proceedings upon complaint involving any proposed increase in </w:t>
      </w:r>
      <w:r w:rsidRPr="00353C66">
        <w:rPr>
          <w:rFonts w:ascii="Times New Roman" w:eastAsia="Times New Roman" w:hAnsi="Times New Roman"/>
          <w:bCs/>
          <w:sz w:val="26"/>
          <w:szCs w:val="26"/>
        </w:rPr>
        <w:t>rates,</w:t>
      </w:r>
      <w:r w:rsidRPr="00353C66">
        <w:rPr>
          <w:rFonts w:ascii="Times New Roman" w:eastAsia="Times New Roman" w:hAnsi="Times New Roman"/>
          <w:sz w:val="26"/>
          <w:szCs w:val="26"/>
        </w:rPr>
        <w:t xml:space="preserve"> the burden of proof to show that the </w:t>
      </w:r>
      <w:r w:rsidRPr="00353C66">
        <w:rPr>
          <w:rFonts w:ascii="Times New Roman" w:eastAsia="Times New Roman" w:hAnsi="Times New Roman"/>
          <w:bCs/>
          <w:sz w:val="26"/>
          <w:szCs w:val="26"/>
        </w:rPr>
        <w:t>rate</w:t>
      </w:r>
      <w:r w:rsidRPr="00353C66">
        <w:rPr>
          <w:rFonts w:ascii="Times New Roman" w:eastAsia="Times New Roman" w:hAnsi="Times New Roman"/>
          <w:sz w:val="26"/>
          <w:szCs w:val="26"/>
        </w:rPr>
        <w:t xml:space="preserve"> involved is just and reasonable shall be upon the public utility. The commission shall give to the hearing and decision of any such proceeding preference over all other proceedings, and decide the same as speedily as possible.</w:t>
      </w:r>
    </w:p>
    <w:p w:rsidR="00503DA2" w:rsidRPr="00353C66" w:rsidRDefault="00503DA2" w:rsidP="009932E3">
      <w:pPr>
        <w:spacing w:after="0" w:line="360" w:lineRule="auto"/>
        <w:ind w:left="1440" w:right="1440"/>
        <w:rPr>
          <w:rFonts w:ascii="Times New Roman" w:eastAsia="Times New Roman" w:hAnsi="Times New Roman"/>
          <w:sz w:val="26"/>
          <w:szCs w:val="26"/>
        </w:rPr>
      </w:pPr>
    </w:p>
    <w:p w:rsidR="005701E2" w:rsidRDefault="00503DA2" w:rsidP="009932E3">
      <w:pPr>
        <w:pStyle w:val="OutlineL3"/>
        <w:numPr>
          <w:ilvl w:val="0"/>
          <w:numId w:val="0"/>
        </w:numPr>
        <w:tabs>
          <w:tab w:val="clear" w:pos="2160"/>
        </w:tabs>
        <w:spacing w:after="0" w:line="360" w:lineRule="auto"/>
        <w:outlineLvl w:val="9"/>
        <w:rPr>
          <w:sz w:val="26"/>
          <w:szCs w:val="26"/>
        </w:rPr>
      </w:pPr>
      <w:r w:rsidRPr="00353C66">
        <w:rPr>
          <w:sz w:val="26"/>
          <w:szCs w:val="26"/>
        </w:rPr>
        <w:t>66 Pa.</w:t>
      </w:r>
      <w:r w:rsidR="00727946">
        <w:rPr>
          <w:sz w:val="26"/>
          <w:szCs w:val="26"/>
        </w:rPr>
        <w:t xml:space="preserve"> </w:t>
      </w:r>
      <w:r w:rsidRPr="00353C66">
        <w:rPr>
          <w:sz w:val="26"/>
          <w:szCs w:val="26"/>
        </w:rPr>
        <w:t xml:space="preserve">C.S. § 315(a).  Consequently in this proceeding, </w:t>
      </w:r>
      <w:r w:rsidR="00255559">
        <w:rPr>
          <w:sz w:val="26"/>
          <w:szCs w:val="26"/>
        </w:rPr>
        <w:t>Peoples TWP</w:t>
      </w:r>
      <w:r w:rsidRPr="00353C66">
        <w:rPr>
          <w:sz w:val="26"/>
          <w:szCs w:val="26"/>
        </w:rPr>
        <w:t xml:space="preserve"> has the burden to prove that the </w:t>
      </w:r>
      <w:r w:rsidRPr="00353C66">
        <w:rPr>
          <w:bCs/>
          <w:sz w:val="26"/>
          <w:szCs w:val="26"/>
        </w:rPr>
        <w:t>rate</w:t>
      </w:r>
      <w:r w:rsidRPr="00353C66">
        <w:rPr>
          <w:sz w:val="26"/>
          <w:szCs w:val="26"/>
        </w:rPr>
        <w:t xml:space="preserve"> increase it has proposed through the Settlement is just and reasonable.  The </w:t>
      </w:r>
      <w:r w:rsidR="00255559">
        <w:rPr>
          <w:sz w:val="26"/>
          <w:szCs w:val="26"/>
        </w:rPr>
        <w:t>Joint</w:t>
      </w:r>
      <w:r w:rsidRPr="00353C66">
        <w:rPr>
          <w:sz w:val="26"/>
          <w:szCs w:val="26"/>
        </w:rPr>
        <w:t xml:space="preserve"> Pe</w:t>
      </w:r>
      <w:r w:rsidR="00255559">
        <w:rPr>
          <w:sz w:val="26"/>
          <w:szCs w:val="26"/>
        </w:rPr>
        <w:t>titioner</w:t>
      </w:r>
      <w:r w:rsidRPr="00353C66">
        <w:rPr>
          <w:sz w:val="26"/>
          <w:szCs w:val="26"/>
        </w:rPr>
        <w:t xml:space="preserve">s have reached an accord on the issues and claims that arose in this proceeding and submitted a Settlement for Commission review.  In reviewing the Settlement, the question which must be answered is whether </w:t>
      </w:r>
      <w:r w:rsidR="00727946">
        <w:rPr>
          <w:sz w:val="26"/>
          <w:szCs w:val="26"/>
        </w:rPr>
        <w:t>the Settlement</w:t>
      </w:r>
      <w:r w:rsidRPr="00353C66">
        <w:rPr>
          <w:sz w:val="26"/>
          <w:szCs w:val="26"/>
        </w:rPr>
        <w:t xml:space="preserve"> is in the public interest.  The </w:t>
      </w:r>
      <w:r w:rsidR="00255559">
        <w:rPr>
          <w:sz w:val="26"/>
          <w:szCs w:val="26"/>
        </w:rPr>
        <w:t>Joint Petitioners</w:t>
      </w:r>
      <w:r w:rsidRPr="00353C66">
        <w:rPr>
          <w:sz w:val="26"/>
          <w:szCs w:val="26"/>
        </w:rPr>
        <w:t xml:space="preserve"> have the burden to prove that the Settlement is in the public interest.</w:t>
      </w:r>
    </w:p>
    <w:p w:rsidR="008F0B29" w:rsidRDefault="008F0B29" w:rsidP="009932E3">
      <w:pPr>
        <w:pStyle w:val="OutlineL3"/>
        <w:numPr>
          <w:ilvl w:val="0"/>
          <w:numId w:val="0"/>
        </w:numPr>
        <w:tabs>
          <w:tab w:val="clear" w:pos="2160"/>
        </w:tabs>
        <w:spacing w:after="0" w:line="360" w:lineRule="auto"/>
        <w:outlineLvl w:val="9"/>
        <w:rPr>
          <w:sz w:val="26"/>
          <w:szCs w:val="26"/>
        </w:rPr>
      </w:pPr>
    </w:p>
    <w:p w:rsidR="00F80E19" w:rsidRDefault="00F80E19" w:rsidP="009932E3">
      <w:pPr>
        <w:pStyle w:val="OutlineL3"/>
        <w:numPr>
          <w:ilvl w:val="0"/>
          <w:numId w:val="0"/>
        </w:numPr>
        <w:tabs>
          <w:tab w:val="clear" w:pos="2160"/>
        </w:tabs>
        <w:spacing w:after="0" w:line="360" w:lineRule="auto"/>
        <w:outlineLvl w:val="9"/>
        <w:rPr>
          <w:sz w:val="26"/>
          <w:szCs w:val="26"/>
        </w:rPr>
      </w:pPr>
    </w:p>
    <w:p w:rsidR="00F80E19" w:rsidRPr="00F80E19" w:rsidRDefault="00F80E19" w:rsidP="009932E3">
      <w:pPr>
        <w:pStyle w:val="OutlineL3"/>
        <w:numPr>
          <w:ilvl w:val="0"/>
          <w:numId w:val="0"/>
        </w:numPr>
        <w:tabs>
          <w:tab w:val="clear" w:pos="2160"/>
        </w:tabs>
        <w:spacing w:after="0" w:line="360" w:lineRule="auto"/>
        <w:outlineLvl w:val="9"/>
        <w:rPr>
          <w:b/>
          <w:sz w:val="26"/>
          <w:szCs w:val="26"/>
        </w:rPr>
      </w:pPr>
      <w:r w:rsidRPr="00F80E19">
        <w:rPr>
          <w:b/>
          <w:sz w:val="26"/>
          <w:szCs w:val="26"/>
        </w:rPr>
        <w:lastRenderedPageBreak/>
        <w:t>C.</w:t>
      </w:r>
      <w:r w:rsidRPr="00F80E19">
        <w:rPr>
          <w:b/>
          <w:sz w:val="26"/>
          <w:szCs w:val="26"/>
        </w:rPr>
        <w:tab/>
        <w:t xml:space="preserve">Disposition of the Settlement </w:t>
      </w:r>
    </w:p>
    <w:p w:rsidR="00F80E19" w:rsidRDefault="00F80E19" w:rsidP="009932E3">
      <w:pPr>
        <w:pStyle w:val="OutlineL3"/>
        <w:numPr>
          <w:ilvl w:val="0"/>
          <w:numId w:val="0"/>
        </w:numPr>
        <w:tabs>
          <w:tab w:val="clear" w:pos="2160"/>
        </w:tabs>
        <w:spacing w:after="0" w:line="360" w:lineRule="auto"/>
        <w:outlineLvl w:val="9"/>
        <w:rPr>
          <w:sz w:val="26"/>
          <w:szCs w:val="26"/>
        </w:rPr>
      </w:pPr>
    </w:p>
    <w:p w:rsidR="00980834" w:rsidRDefault="00980834" w:rsidP="009932E3">
      <w:pPr>
        <w:pStyle w:val="OutlineL3"/>
        <w:numPr>
          <w:ilvl w:val="0"/>
          <w:numId w:val="0"/>
        </w:numPr>
        <w:tabs>
          <w:tab w:val="clear" w:pos="2160"/>
        </w:tabs>
        <w:spacing w:after="0" w:line="360" w:lineRule="auto"/>
        <w:outlineLvl w:val="9"/>
        <w:rPr>
          <w:sz w:val="26"/>
          <w:szCs w:val="26"/>
        </w:rPr>
      </w:pPr>
      <w:r>
        <w:rPr>
          <w:sz w:val="26"/>
          <w:szCs w:val="26"/>
        </w:rPr>
        <w:tab/>
      </w:r>
      <w:r>
        <w:rPr>
          <w:sz w:val="26"/>
          <w:szCs w:val="26"/>
        </w:rPr>
        <w:tab/>
      </w:r>
      <w:r w:rsidR="00791BDD">
        <w:rPr>
          <w:sz w:val="26"/>
          <w:szCs w:val="26"/>
        </w:rPr>
        <w:t xml:space="preserve">Based on our review of the record in this proceeding, the Settlement, and the </w:t>
      </w:r>
      <w:r w:rsidR="004405CF">
        <w:rPr>
          <w:sz w:val="26"/>
          <w:szCs w:val="26"/>
        </w:rPr>
        <w:t xml:space="preserve">Statements in Support thereof, we find that the </w:t>
      </w:r>
      <w:r w:rsidR="00791BDD">
        <w:rPr>
          <w:sz w:val="26"/>
          <w:szCs w:val="26"/>
        </w:rPr>
        <w:t>proposed terms and conditions are in the public interest</w:t>
      </w:r>
      <w:r w:rsidR="004A71F4">
        <w:rPr>
          <w:sz w:val="26"/>
          <w:szCs w:val="26"/>
        </w:rPr>
        <w:t xml:space="preserve"> and that the Settlement shall be approved without modification</w:t>
      </w:r>
      <w:r w:rsidR="004405CF">
        <w:rPr>
          <w:sz w:val="26"/>
          <w:szCs w:val="26"/>
        </w:rPr>
        <w:t>.  We will discuss specific Settlement terms and con</w:t>
      </w:r>
      <w:r w:rsidR="00CB38CD">
        <w:rPr>
          <w:sz w:val="26"/>
          <w:szCs w:val="26"/>
        </w:rPr>
        <w:t xml:space="preserve">ditions below in more detail. </w:t>
      </w:r>
      <w:r w:rsidR="00F80E19">
        <w:rPr>
          <w:sz w:val="26"/>
          <w:szCs w:val="26"/>
        </w:rPr>
        <w:tab/>
      </w:r>
    </w:p>
    <w:p w:rsidR="00980834" w:rsidRDefault="00980834" w:rsidP="009932E3">
      <w:pPr>
        <w:pStyle w:val="OutlineL3"/>
        <w:numPr>
          <w:ilvl w:val="0"/>
          <w:numId w:val="0"/>
        </w:numPr>
        <w:tabs>
          <w:tab w:val="clear" w:pos="2160"/>
        </w:tabs>
        <w:spacing w:after="0" w:line="360" w:lineRule="auto"/>
        <w:outlineLvl w:val="9"/>
        <w:rPr>
          <w:sz w:val="26"/>
          <w:szCs w:val="26"/>
        </w:rPr>
      </w:pPr>
    </w:p>
    <w:p w:rsidR="00F80E19" w:rsidRPr="00324D8A" w:rsidRDefault="00324D8A" w:rsidP="00A779F5">
      <w:pPr>
        <w:pStyle w:val="OutlineL3"/>
        <w:keepNext/>
        <w:numPr>
          <w:ilvl w:val="0"/>
          <w:numId w:val="0"/>
        </w:numPr>
        <w:tabs>
          <w:tab w:val="clear" w:pos="2160"/>
        </w:tabs>
        <w:spacing w:after="0" w:line="360" w:lineRule="auto"/>
        <w:ind w:firstLine="720"/>
        <w:outlineLvl w:val="9"/>
        <w:rPr>
          <w:b/>
          <w:sz w:val="26"/>
          <w:szCs w:val="26"/>
        </w:rPr>
      </w:pPr>
      <w:r w:rsidRPr="00324D8A">
        <w:rPr>
          <w:b/>
          <w:sz w:val="26"/>
          <w:szCs w:val="26"/>
        </w:rPr>
        <w:t>1.</w:t>
      </w:r>
      <w:r w:rsidRPr="00324D8A">
        <w:rPr>
          <w:b/>
          <w:sz w:val="26"/>
          <w:szCs w:val="26"/>
        </w:rPr>
        <w:tab/>
      </w:r>
      <w:r w:rsidR="00980834">
        <w:rPr>
          <w:b/>
          <w:sz w:val="26"/>
          <w:szCs w:val="26"/>
        </w:rPr>
        <w:t>Revenue Requirement</w:t>
      </w:r>
      <w:r w:rsidR="00F80E19" w:rsidRPr="00324D8A">
        <w:rPr>
          <w:b/>
          <w:sz w:val="26"/>
          <w:szCs w:val="26"/>
        </w:rPr>
        <w:tab/>
      </w:r>
    </w:p>
    <w:p w:rsidR="00F80E19" w:rsidRPr="00353C66" w:rsidRDefault="00F80E19" w:rsidP="00A779F5">
      <w:pPr>
        <w:pStyle w:val="OutlineL3"/>
        <w:keepNext/>
        <w:numPr>
          <w:ilvl w:val="0"/>
          <w:numId w:val="0"/>
        </w:numPr>
        <w:tabs>
          <w:tab w:val="clear" w:pos="2160"/>
        </w:tabs>
        <w:spacing w:after="0" w:line="360" w:lineRule="auto"/>
        <w:outlineLvl w:val="9"/>
        <w:rPr>
          <w:sz w:val="26"/>
          <w:szCs w:val="26"/>
        </w:rPr>
      </w:pPr>
    </w:p>
    <w:p w:rsidR="007D1E75" w:rsidRDefault="00324D8A" w:rsidP="009932E3">
      <w:pPr>
        <w:pStyle w:val="OutlineL3"/>
        <w:widowControl w:val="0"/>
        <w:numPr>
          <w:ilvl w:val="0"/>
          <w:numId w:val="0"/>
        </w:numPr>
        <w:tabs>
          <w:tab w:val="clear" w:pos="2160"/>
        </w:tabs>
        <w:spacing w:after="0" w:line="360" w:lineRule="auto"/>
        <w:outlineLvl w:val="9"/>
        <w:rPr>
          <w:b/>
          <w:sz w:val="26"/>
          <w:szCs w:val="26"/>
        </w:rPr>
      </w:pPr>
      <w:r>
        <w:rPr>
          <w:b/>
          <w:sz w:val="26"/>
          <w:szCs w:val="26"/>
        </w:rPr>
        <w:tab/>
      </w:r>
      <w:r>
        <w:rPr>
          <w:b/>
          <w:sz w:val="26"/>
          <w:szCs w:val="26"/>
        </w:rPr>
        <w:tab/>
      </w:r>
      <w:r w:rsidR="00980834">
        <w:rPr>
          <w:b/>
          <w:sz w:val="26"/>
          <w:szCs w:val="26"/>
        </w:rPr>
        <w:t>a.</w:t>
      </w:r>
      <w:r w:rsidR="00980834">
        <w:rPr>
          <w:b/>
          <w:sz w:val="26"/>
          <w:szCs w:val="26"/>
        </w:rPr>
        <w:tab/>
        <w:t xml:space="preserve">ALJ’s Recommended Decision </w:t>
      </w:r>
    </w:p>
    <w:p w:rsidR="00B4714D" w:rsidRDefault="00B4714D" w:rsidP="009932E3">
      <w:pPr>
        <w:pStyle w:val="OutlineL3"/>
        <w:widowControl w:val="0"/>
        <w:numPr>
          <w:ilvl w:val="0"/>
          <w:numId w:val="0"/>
        </w:numPr>
        <w:tabs>
          <w:tab w:val="clear" w:pos="2160"/>
        </w:tabs>
        <w:spacing w:after="0" w:line="360" w:lineRule="auto"/>
        <w:outlineLvl w:val="9"/>
        <w:rPr>
          <w:b/>
          <w:sz w:val="26"/>
          <w:szCs w:val="26"/>
        </w:rPr>
      </w:pPr>
    </w:p>
    <w:p w:rsidR="001D1154" w:rsidRPr="001D1154" w:rsidRDefault="004405CF" w:rsidP="009932E3">
      <w:pPr>
        <w:spacing w:after="0" w:line="360" w:lineRule="auto"/>
        <w:rPr>
          <w:rFonts w:ascii="Times New Roman" w:hAnsi="Times New Roman"/>
          <w:sz w:val="26"/>
          <w:szCs w:val="24"/>
        </w:rPr>
      </w:pPr>
      <w:r>
        <w:rPr>
          <w:b/>
          <w:sz w:val="26"/>
          <w:szCs w:val="26"/>
        </w:rPr>
        <w:tab/>
      </w:r>
      <w:r>
        <w:rPr>
          <w:b/>
          <w:sz w:val="26"/>
          <w:szCs w:val="26"/>
        </w:rPr>
        <w:tab/>
      </w:r>
      <w:r w:rsidR="001D1154" w:rsidRPr="001D1154">
        <w:rPr>
          <w:rFonts w:ascii="Times New Roman" w:hAnsi="Times New Roman"/>
          <w:sz w:val="26"/>
          <w:szCs w:val="26"/>
        </w:rPr>
        <w:t xml:space="preserve">The ALJ noted that the Joint Petitioners agreed to an increase that, although approximately $5 million less than originally proposed by Peoples TWP, still exceeded the increases in the Company’s recent base rate cases.  Nevertheless, the ALJ concluded that the increase is within the range of possible results, if fully litigated, because $13.8 million is less than </w:t>
      </w:r>
      <w:r w:rsidR="00AD520A">
        <w:rPr>
          <w:rFonts w:ascii="Times New Roman" w:hAnsi="Times New Roman"/>
          <w:sz w:val="26"/>
          <w:szCs w:val="26"/>
        </w:rPr>
        <w:t xml:space="preserve">proposed by </w:t>
      </w:r>
      <w:r w:rsidR="001D1154" w:rsidRPr="001D1154">
        <w:rPr>
          <w:rFonts w:ascii="Times New Roman" w:hAnsi="Times New Roman"/>
          <w:sz w:val="26"/>
          <w:szCs w:val="26"/>
        </w:rPr>
        <w:t>Peoples TWP</w:t>
      </w:r>
      <w:r w:rsidR="00AD520A">
        <w:rPr>
          <w:rFonts w:ascii="Times New Roman" w:hAnsi="Times New Roman"/>
          <w:sz w:val="26"/>
          <w:szCs w:val="26"/>
        </w:rPr>
        <w:t>, but greater than</w:t>
      </w:r>
      <w:r w:rsidR="001D1154" w:rsidRPr="001D1154">
        <w:rPr>
          <w:rFonts w:ascii="Times New Roman" w:hAnsi="Times New Roman"/>
          <w:sz w:val="26"/>
          <w:szCs w:val="26"/>
        </w:rPr>
        <w:t xml:space="preserve"> proposed </w:t>
      </w:r>
      <w:r w:rsidR="00AD520A">
        <w:rPr>
          <w:rFonts w:ascii="Times New Roman" w:hAnsi="Times New Roman"/>
          <w:sz w:val="26"/>
          <w:szCs w:val="26"/>
        </w:rPr>
        <w:t>by I&amp;E and the OCA</w:t>
      </w:r>
      <w:r w:rsidR="001D1154" w:rsidRPr="001D1154">
        <w:rPr>
          <w:rFonts w:ascii="Times New Roman" w:hAnsi="Times New Roman"/>
          <w:sz w:val="26"/>
          <w:szCs w:val="26"/>
        </w:rPr>
        <w:t xml:space="preserve">.  </w:t>
      </w:r>
      <w:r w:rsidR="001D1154">
        <w:rPr>
          <w:rFonts w:ascii="Times New Roman" w:hAnsi="Times New Roman"/>
          <w:sz w:val="26"/>
          <w:szCs w:val="26"/>
        </w:rPr>
        <w:t xml:space="preserve">The ALJ found the </w:t>
      </w:r>
      <w:r w:rsidR="001D1154" w:rsidRPr="001D1154">
        <w:rPr>
          <w:rFonts w:ascii="Times New Roman" w:hAnsi="Times New Roman"/>
          <w:sz w:val="26"/>
          <w:szCs w:val="24"/>
        </w:rPr>
        <w:t xml:space="preserve">amount </w:t>
      </w:r>
      <w:r w:rsidR="001D1154">
        <w:rPr>
          <w:rFonts w:ascii="Times New Roman" w:hAnsi="Times New Roman"/>
          <w:sz w:val="26"/>
          <w:szCs w:val="24"/>
        </w:rPr>
        <w:t xml:space="preserve">to be </w:t>
      </w:r>
      <w:r w:rsidR="001D1154" w:rsidRPr="001D1154">
        <w:rPr>
          <w:rFonts w:ascii="Times New Roman" w:hAnsi="Times New Roman"/>
          <w:sz w:val="26"/>
          <w:szCs w:val="24"/>
        </w:rPr>
        <w:t>reasonable</w:t>
      </w:r>
      <w:r w:rsidR="001D1154">
        <w:rPr>
          <w:rFonts w:ascii="Times New Roman" w:hAnsi="Times New Roman"/>
          <w:sz w:val="26"/>
          <w:szCs w:val="24"/>
        </w:rPr>
        <w:t>, because i</w:t>
      </w:r>
      <w:r w:rsidR="001D1154" w:rsidRPr="001D1154">
        <w:rPr>
          <w:rFonts w:ascii="Times New Roman" w:hAnsi="Times New Roman"/>
          <w:sz w:val="26"/>
          <w:szCs w:val="24"/>
        </w:rPr>
        <w:t xml:space="preserve">t balances the need for </w:t>
      </w:r>
      <w:r w:rsidR="001D1154">
        <w:rPr>
          <w:rFonts w:ascii="Times New Roman" w:hAnsi="Times New Roman"/>
          <w:sz w:val="26"/>
          <w:szCs w:val="24"/>
        </w:rPr>
        <w:t>the Company</w:t>
      </w:r>
      <w:r w:rsidR="001D1154" w:rsidRPr="001D1154">
        <w:rPr>
          <w:rFonts w:ascii="Times New Roman" w:hAnsi="Times New Roman"/>
          <w:sz w:val="26"/>
          <w:szCs w:val="24"/>
        </w:rPr>
        <w:t xml:space="preserve"> to earn a reasonable rate of return, in addition to receiving funds to pay for </w:t>
      </w:r>
      <w:r w:rsidR="001D1154">
        <w:rPr>
          <w:rFonts w:ascii="Times New Roman" w:hAnsi="Times New Roman"/>
          <w:sz w:val="26"/>
          <w:szCs w:val="24"/>
        </w:rPr>
        <w:t>major</w:t>
      </w:r>
      <w:r w:rsidR="001D1154" w:rsidRPr="001D1154">
        <w:rPr>
          <w:rFonts w:ascii="Times New Roman" w:hAnsi="Times New Roman"/>
          <w:sz w:val="26"/>
          <w:szCs w:val="24"/>
        </w:rPr>
        <w:t xml:space="preserve"> improvement</w:t>
      </w:r>
      <w:r w:rsidR="001D1154">
        <w:rPr>
          <w:rFonts w:ascii="Times New Roman" w:hAnsi="Times New Roman"/>
          <w:sz w:val="26"/>
          <w:szCs w:val="24"/>
        </w:rPr>
        <w:t xml:space="preserve"> projects</w:t>
      </w:r>
      <w:r w:rsidR="001D1154" w:rsidRPr="001D1154">
        <w:rPr>
          <w:rFonts w:ascii="Times New Roman" w:hAnsi="Times New Roman"/>
          <w:sz w:val="26"/>
          <w:szCs w:val="24"/>
        </w:rPr>
        <w:t>, against the ratepayers’ need for reasonable rates</w:t>
      </w:r>
      <w:r w:rsidR="001835E0">
        <w:rPr>
          <w:rFonts w:ascii="Times New Roman" w:hAnsi="Times New Roman"/>
          <w:sz w:val="26"/>
          <w:szCs w:val="24"/>
        </w:rPr>
        <w:t xml:space="preserve"> </w:t>
      </w:r>
      <w:r w:rsidR="001D1154" w:rsidRPr="001D1154">
        <w:rPr>
          <w:rFonts w:ascii="Times New Roman" w:hAnsi="Times New Roman"/>
          <w:sz w:val="26"/>
          <w:szCs w:val="24"/>
        </w:rPr>
        <w:t xml:space="preserve">that do not </w:t>
      </w:r>
      <w:r w:rsidR="00D259E5">
        <w:rPr>
          <w:rFonts w:ascii="Times New Roman" w:hAnsi="Times New Roman"/>
          <w:sz w:val="26"/>
          <w:szCs w:val="24"/>
        </w:rPr>
        <w:t>rise</w:t>
      </w:r>
      <w:r w:rsidR="001D1154" w:rsidRPr="001D1154">
        <w:rPr>
          <w:rFonts w:ascii="Times New Roman" w:hAnsi="Times New Roman"/>
          <w:sz w:val="26"/>
          <w:szCs w:val="24"/>
        </w:rPr>
        <w:t xml:space="preserve"> too high or too quickly.</w:t>
      </w:r>
      <w:r w:rsidR="001835E0">
        <w:rPr>
          <w:rFonts w:ascii="Times New Roman" w:hAnsi="Times New Roman"/>
          <w:sz w:val="26"/>
          <w:szCs w:val="24"/>
        </w:rPr>
        <w:t xml:space="preserve">  </w:t>
      </w:r>
      <w:r w:rsidR="00D259E5">
        <w:rPr>
          <w:rFonts w:ascii="Times New Roman" w:hAnsi="Times New Roman"/>
          <w:sz w:val="26"/>
          <w:szCs w:val="24"/>
        </w:rPr>
        <w:t>R.D. at 60.</w:t>
      </w:r>
    </w:p>
    <w:p w:rsidR="00D259E5" w:rsidRDefault="00D259E5" w:rsidP="009932E3">
      <w:pPr>
        <w:spacing w:after="0" w:line="360" w:lineRule="auto"/>
        <w:ind w:firstLine="1440"/>
        <w:rPr>
          <w:rFonts w:ascii="Times New Roman" w:hAnsi="Times New Roman"/>
          <w:sz w:val="26"/>
          <w:szCs w:val="24"/>
        </w:rPr>
      </w:pPr>
    </w:p>
    <w:p w:rsidR="00BE2308" w:rsidRDefault="00D259E5" w:rsidP="009932E3">
      <w:pPr>
        <w:spacing w:after="0" w:line="360" w:lineRule="auto"/>
        <w:ind w:firstLine="1440"/>
        <w:rPr>
          <w:rFonts w:ascii="Times New Roman" w:hAnsi="Times New Roman"/>
          <w:sz w:val="26"/>
          <w:szCs w:val="24"/>
        </w:rPr>
      </w:pPr>
      <w:r>
        <w:rPr>
          <w:rFonts w:ascii="Times New Roman" w:hAnsi="Times New Roman"/>
          <w:sz w:val="26"/>
          <w:szCs w:val="24"/>
        </w:rPr>
        <w:t>The ALJ explained that o</w:t>
      </w:r>
      <w:r w:rsidR="001D1154" w:rsidRPr="001D1154">
        <w:rPr>
          <w:rFonts w:ascii="Times New Roman" w:hAnsi="Times New Roman"/>
          <w:sz w:val="26"/>
          <w:szCs w:val="24"/>
        </w:rPr>
        <w:t>ne reason for th</w:t>
      </w:r>
      <w:r>
        <w:rPr>
          <w:rFonts w:ascii="Times New Roman" w:hAnsi="Times New Roman"/>
          <w:sz w:val="26"/>
          <w:szCs w:val="24"/>
        </w:rPr>
        <w:t>e</w:t>
      </w:r>
      <w:r w:rsidR="001D1154" w:rsidRPr="001D1154">
        <w:rPr>
          <w:rFonts w:ascii="Times New Roman" w:hAnsi="Times New Roman"/>
          <w:sz w:val="26"/>
          <w:szCs w:val="24"/>
        </w:rPr>
        <w:t xml:space="preserve"> increase is </w:t>
      </w:r>
      <w:r>
        <w:rPr>
          <w:rFonts w:ascii="Times New Roman" w:hAnsi="Times New Roman"/>
          <w:sz w:val="26"/>
          <w:szCs w:val="24"/>
        </w:rPr>
        <w:t>that</w:t>
      </w:r>
      <w:r w:rsidR="001D1154" w:rsidRPr="001D1154">
        <w:rPr>
          <w:rFonts w:ascii="Times New Roman" w:hAnsi="Times New Roman"/>
          <w:sz w:val="26"/>
          <w:szCs w:val="24"/>
        </w:rPr>
        <w:t xml:space="preserve"> the Company started using a fully projected future test year (FPFTY), as authorized by Act 11 of 2012</w:t>
      </w:r>
      <w:r>
        <w:rPr>
          <w:rFonts w:ascii="Times New Roman" w:hAnsi="Times New Roman"/>
          <w:sz w:val="26"/>
          <w:szCs w:val="24"/>
        </w:rPr>
        <w:t>,</w:t>
      </w:r>
      <w:r w:rsidR="001835E0">
        <w:rPr>
          <w:rFonts w:ascii="Times New Roman" w:hAnsi="Times New Roman"/>
          <w:sz w:val="26"/>
          <w:szCs w:val="24"/>
        </w:rPr>
        <w:t xml:space="preserve"> which</w:t>
      </w:r>
      <w:r w:rsidR="001D1154" w:rsidRPr="001D1154">
        <w:rPr>
          <w:rFonts w:ascii="Times New Roman" w:hAnsi="Times New Roman"/>
          <w:sz w:val="26"/>
          <w:szCs w:val="24"/>
        </w:rPr>
        <w:t xml:space="preserve"> includes not only the revenue requirement associated with capital inv</w:t>
      </w:r>
      <w:r w:rsidR="00C721B3">
        <w:rPr>
          <w:rFonts w:ascii="Times New Roman" w:hAnsi="Times New Roman"/>
          <w:sz w:val="26"/>
          <w:szCs w:val="24"/>
        </w:rPr>
        <w:t>estments made prior to the rate</w:t>
      </w:r>
      <w:r w:rsidR="001D1154" w:rsidRPr="001D1154">
        <w:rPr>
          <w:rFonts w:ascii="Times New Roman" w:hAnsi="Times New Roman"/>
          <w:sz w:val="26"/>
          <w:szCs w:val="24"/>
        </w:rPr>
        <w:t>s</w:t>
      </w:r>
      <w:r w:rsidR="00C721B3">
        <w:rPr>
          <w:rFonts w:ascii="Times New Roman" w:hAnsi="Times New Roman"/>
          <w:sz w:val="26"/>
          <w:szCs w:val="24"/>
        </w:rPr>
        <w:t>’</w:t>
      </w:r>
      <w:r w:rsidR="001D1154" w:rsidRPr="001D1154">
        <w:rPr>
          <w:rFonts w:ascii="Times New Roman" w:hAnsi="Times New Roman"/>
          <w:sz w:val="26"/>
          <w:szCs w:val="24"/>
        </w:rPr>
        <w:t xml:space="preserve"> effective date but </w:t>
      </w:r>
      <w:r>
        <w:rPr>
          <w:rFonts w:ascii="Times New Roman" w:hAnsi="Times New Roman"/>
          <w:sz w:val="26"/>
          <w:szCs w:val="24"/>
        </w:rPr>
        <w:t>also</w:t>
      </w:r>
      <w:r w:rsidR="001D1154" w:rsidRPr="001D1154">
        <w:rPr>
          <w:rFonts w:ascii="Times New Roman" w:hAnsi="Times New Roman"/>
          <w:sz w:val="26"/>
          <w:szCs w:val="24"/>
        </w:rPr>
        <w:t xml:space="preserve"> the capital investments </w:t>
      </w:r>
      <w:r>
        <w:rPr>
          <w:rFonts w:ascii="Times New Roman" w:hAnsi="Times New Roman"/>
          <w:sz w:val="26"/>
          <w:szCs w:val="24"/>
        </w:rPr>
        <w:t xml:space="preserve">made </w:t>
      </w:r>
      <w:r w:rsidR="001D1154" w:rsidRPr="001D1154">
        <w:rPr>
          <w:rFonts w:ascii="Times New Roman" w:hAnsi="Times New Roman"/>
          <w:sz w:val="26"/>
          <w:szCs w:val="24"/>
        </w:rPr>
        <w:t xml:space="preserve">during the </w:t>
      </w:r>
      <w:r w:rsidR="00BE2308">
        <w:rPr>
          <w:rFonts w:ascii="Times New Roman" w:hAnsi="Times New Roman"/>
          <w:sz w:val="26"/>
          <w:szCs w:val="24"/>
        </w:rPr>
        <w:br w:type="page"/>
      </w:r>
    </w:p>
    <w:p w:rsidR="00D259E5" w:rsidRDefault="001D1154" w:rsidP="00BE2308">
      <w:pPr>
        <w:spacing w:after="0" w:line="360" w:lineRule="auto"/>
        <w:rPr>
          <w:rFonts w:ascii="Times New Roman" w:hAnsi="Times New Roman"/>
          <w:sz w:val="26"/>
          <w:szCs w:val="24"/>
        </w:rPr>
      </w:pPr>
      <w:r w:rsidRPr="001D1154">
        <w:rPr>
          <w:rFonts w:ascii="Times New Roman" w:hAnsi="Times New Roman"/>
          <w:sz w:val="26"/>
          <w:szCs w:val="24"/>
        </w:rPr>
        <w:lastRenderedPageBreak/>
        <w:t>FPFTY, which is January 31, 2015.</w:t>
      </w:r>
      <w:r w:rsidR="00194BC1">
        <w:rPr>
          <w:rStyle w:val="FootnoteReference"/>
          <w:rFonts w:ascii="Times New Roman" w:hAnsi="Times New Roman"/>
          <w:sz w:val="26"/>
          <w:szCs w:val="24"/>
        </w:rPr>
        <w:footnoteReference w:id="6"/>
      </w:r>
      <w:r w:rsidRPr="001D1154">
        <w:rPr>
          <w:rFonts w:ascii="Times New Roman" w:hAnsi="Times New Roman"/>
          <w:sz w:val="26"/>
          <w:szCs w:val="24"/>
        </w:rPr>
        <w:t xml:space="preserve">  In addition, the </w:t>
      </w:r>
      <w:r w:rsidR="00D259E5">
        <w:rPr>
          <w:rFonts w:ascii="Times New Roman" w:hAnsi="Times New Roman"/>
          <w:sz w:val="26"/>
          <w:szCs w:val="24"/>
        </w:rPr>
        <w:t xml:space="preserve">ALJ explained that the </w:t>
      </w:r>
      <w:r w:rsidRPr="001D1154">
        <w:rPr>
          <w:rFonts w:ascii="Times New Roman" w:hAnsi="Times New Roman"/>
          <w:sz w:val="26"/>
          <w:szCs w:val="24"/>
        </w:rPr>
        <w:t>Company needs additional revenues due to a large increase in capital investments as part of the Company’s Smart Modernization Plan</w:t>
      </w:r>
      <w:r w:rsidR="00D259E5">
        <w:rPr>
          <w:rFonts w:ascii="Times New Roman" w:hAnsi="Times New Roman"/>
          <w:sz w:val="26"/>
          <w:szCs w:val="24"/>
        </w:rPr>
        <w:t xml:space="preserve">, which calls for the </w:t>
      </w:r>
      <w:r w:rsidRPr="001D1154">
        <w:rPr>
          <w:rFonts w:ascii="Times New Roman" w:hAnsi="Times New Roman"/>
          <w:sz w:val="26"/>
          <w:szCs w:val="24"/>
        </w:rPr>
        <w:t xml:space="preserve">Company’s bare steel pipes to be replaced within the next </w:t>
      </w:r>
      <w:r w:rsidR="00D259E5">
        <w:rPr>
          <w:rFonts w:ascii="Times New Roman" w:hAnsi="Times New Roman"/>
          <w:sz w:val="26"/>
          <w:szCs w:val="24"/>
        </w:rPr>
        <w:t>twenty</w:t>
      </w:r>
      <w:r w:rsidRPr="001D1154">
        <w:rPr>
          <w:rFonts w:ascii="Times New Roman" w:hAnsi="Times New Roman"/>
          <w:sz w:val="26"/>
          <w:szCs w:val="24"/>
        </w:rPr>
        <w:t xml:space="preserve"> years.</w:t>
      </w:r>
      <w:r w:rsidR="001835E0">
        <w:rPr>
          <w:rFonts w:ascii="Times New Roman" w:hAnsi="Times New Roman"/>
          <w:sz w:val="26"/>
          <w:szCs w:val="24"/>
        </w:rPr>
        <w:t xml:space="preserve">  </w:t>
      </w:r>
      <w:r w:rsidR="00D259E5" w:rsidRPr="00D259E5">
        <w:rPr>
          <w:rFonts w:ascii="Times New Roman" w:hAnsi="Times New Roman"/>
          <w:i/>
          <w:sz w:val="26"/>
          <w:szCs w:val="24"/>
        </w:rPr>
        <w:t>Id</w:t>
      </w:r>
      <w:r w:rsidR="00D259E5">
        <w:rPr>
          <w:rFonts w:ascii="Times New Roman" w:hAnsi="Times New Roman"/>
          <w:sz w:val="26"/>
          <w:szCs w:val="24"/>
        </w:rPr>
        <w:t xml:space="preserve">. </w:t>
      </w:r>
    </w:p>
    <w:p w:rsidR="008F0B29" w:rsidRDefault="008F0B29" w:rsidP="009932E3">
      <w:pPr>
        <w:spacing w:after="0" w:line="360" w:lineRule="auto"/>
        <w:ind w:firstLine="1440"/>
        <w:rPr>
          <w:rFonts w:ascii="Times New Roman" w:hAnsi="Times New Roman"/>
          <w:sz w:val="26"/>
          <w:szCs w:val="24"/>
        </w:rPr>
      </w:pPr>
    </w:p>
    <w:p w:rsidR="00D259E5" w:rsidRPr="001357CF" w:rsidRDefault="001357CF" w:rsidP="009932E3">
      <w:pPr>
        <w:spacing w:after="0" w:line="360" w:lineRule="auto"/>
        <w:ind w:firstLine="1440"/>
        <w:rPr>
          <w:rFonts w:ascii="Times New Roman" w:hAnsi="Times New Roman"/>
          <w:b/>
          <w:sz w:val="26"/>
          <w:szCs w:val="24"/>
        </w:rPr>
      </w:pPr>
      <w:r w:rsidRPr="001357CF">
        <w:rPr>
          <w:rFonts w:ascii="Times New Roman" w:hAnsi="Times New Roman"/>
          <w:b/>
          <w:sz w:val="26"/>
          <w:szCs w:val="24"/>
        </w:rPr>
        <w:t>b.</w:t>
      </w:r>
      <w:r>
        <w:rPr>
          <w:rFonts w:ascii="Times New Roman" w:hAnsi="Times New Roman"/>
          <w:sz w:val="26"/>
          <w:szCs w:val="24"/>
        </w:rPr>
        <w:tab/>
      </w:r>
      <w:r>
        <w:rPr>
          <w:rFonts w:ascii="Times New Roman" w:hAnsi="Times New Roman"/>
          <w:b/>
          <w:sz w:val="26"/>
          <w:szCs w:val="24"/>
        </w:rPr>
        <w:t xml:space="preserve">Disposition </w:t>
      </w:r>
    </w:p>
    <w:p w:rsidR="001357CF" w:rsidRDefault="001357CF" w:rsidP="009932E3">
      <w:pPr>
        <w:spacing w:after="0" w:line="360" w:lineRule="auto"/>
        <w:ind w:firstLine="1440"/>
        <w:rPr>
          <w:rFonts w:ascii="Times New Roman" w:hAnsi="Times New Roman"/>
          <w:sz w:val="26"/>
          <w:szCs w:val="24"/>
        </w:rPr>
      </w:pPr>
    </w:p>
    <w:p w:rsidR="00742DF6" w:rsidRDefault="00CD7C75" w:rsidP="009932E3">
      <w:pPr>
        <w:spacing w:after="0" w:line="360" w:lineRule="auto"/>
        <w:ind w:firstLine="1440"/>
        <w:rPr>
          <w:rFonts w:ascii="Times New Roman" w:hAnsi="Times New Roman"/>
          <w:sz w:val="26"/>
          <w:szCs w:val="24"/>
        </w:rPr>
      </w:pPr>
      <w:r>
        <w:rPr>
          <w:rFonts w:ascii="Times New Roman" w:hAnsi="Times New Roman"/>
          <w:sz w:val="26"/>
          <w:szCs w:val="24"/>
        </w:rPr>
        <w:t xml:space="preserve">We agree with the ALJ that the increase in base rate revenue of $13.8 million agreed upon in </w:t>
      </w:r>
      <w:r w:rsidR="004F4E24">
        <w:rPr>
          <w:rFonts w:ascii="Times New Roman" w:hAnsi="Times New Roman"/>
          <w:sz w:val="26"/>
          <w:szCs w:val="24"/>
        </w:rPr>
        <w:t xml:space="preserve">the </w:t>
      </w:r>
      <w:r>
        <w:rPr>
          <w:rFonts w:ascii="Times New Roman" w:hAnsi="Times New Roman"/>
          <w:sz w:val="26"/>
          <w:szCs w:val="24"/>
        </w:rPr>
        <w:t>Settlement is reasonable, as it is within the range of possible results</w:t>
      </w:r>
      <w:r w:rsidR="00C6157A">
        <w:rPr>
          <w:rFonts w:ascii="Times New Roman" w:hAnsi="Times New Roman"/>
          <w:sz w:val="26"/>
          <w:szCs w:val="24"/>
        </w:rPr>
        <w:t xml:space="preserve"> based on the Company’s proposed increase and the revenue requirements contained in direct testimonies of I&amp;E and the OCA. </w:t>
      </w:r>
      <w:r w:rsidR="009F2213">
        <w:rPr>
          <w:rFonts w:ascii="Times New Roman" w:hAnsi="Times New Roman"/>
          <w:sz w:val="26"/>
          <w:szCs w:val="24"/>
        </w:rPr>
        <w:t xml:space="preserve"> </w:t>
      </w:r>
      <w:r w:rsidR="00C6157A">
        <w:rPr>
          <w:rFonts w:ascii="Times New Roman" w:hAnsi="Times New Roman"/>
          <w:sz w:val="26"/>
          <w:szCs w:val="24"/>
        </w:rPr>
        <w:t xml:space="preserve">Additionally, Peoples TWP stated that it requires additional revenues based on significant capital investments it has made to replace and improve its pipeline infrastructure, consistent with its Smart Modernization Plan.  </w:t>
      </w:r>
      <w:r w:rsidR="000F5FFF" w:rsidRPr="000F5FFF">
        <w:rPr>
          <w:rFonts w:ascii="Times New Roman" w:hAnsi="Times New Roman"/>
          <w:sz w:val="26"/>
          <w:szCs w:val="24"/>
        </w:rPr>
        <w:t>Peoples TWP spent $12.2 million in plant improvements in 2012; has budgeted to spend $17 million in 2013 to replace mains, service</w:t>
      </w:r>
      <w:r w:rsidR="000F5FFF">
        <w:rPr>
          <w:rFonts w:ascii="Times New Roman" w:hAnsi="Times New Roman"/>
          <w:sz w:val="26"/>
          <w:szCs w:val="24"/>
        </w:rPr>
        <w:t>,</w:t>
      </w:r>
      <w:r w:rsidR="000F5FFF" w:rsidRPr="000F5FFF">
        <w:rPr>
          <w:rFonts w:ascii="Times New Roman" w:hAnsi="Times New Roman"/>
          <w:sz w:val="26"/>
          <w:szCs w:val="24"/>
        </w:rPr>
        <w:t xml:space="preserve"> and meters; and projects spending $9.9</w:t>
      </w:r>
      <w:r w:rsidR="000F5FFF">
        <w:rPr>
          <w:rFonts w:ascii="Times New Roman" w:hAnsi="Times New Roman"/>
          <w:sz w:val="26"/>
          <w:szCs w:val="24"/>
        </w:rPr>
        <w:t>4</w:t>
      </w:r>
      <w:r w:rsidR="000F5FFF" w:rsidRPr="000F5FFF">
        <w:rPr>
          <w:rFonts w:ascii="Times New Roman" w:hAnsi="Times New Roman"/>
          <w:sz w:val="26"/>
          <w:szCs w:val="24"/>
        </w:rPr>
        <w:t xml:space="preserve"> million from January 2014 through January 2015 on similar improvement costs.</w:t>
      </w:r>
      <w:r w:rsidR="000F5FFF">
        <w:rPr>
          <w:rFonts w:ascii="Times New Roman" w:hAnsi="Times New Roman"/>
          <w:sz w:val="26"/>
          <w:szCs w:val="24"/>
        </w:rPr>
        <w:t xml:space="preserve">  The Company also stated that it is undertaking other activities relating to pipeline safety and compliance that have increased its operating and maintenance costs, including adding employee resources to undertake damage prevention and implementing programs to enhance corrosion monitoring.  Peoples TWP Statement in Support at 4-5.</w:t>
      </w:r>
      <w:r w:rsidR="009F2213">
        <w:rPr>
          <w:rFonts w:ascii="Times New Roman" w:hAnsi="Times New Roman"/>
          <w:sz w:val="26"/>
          <w:szCs w:val="24"/>
        </w:rPr>
        <w:t xml:space="preserve">  </w:t>
      </w:r>
      <w:r w:rsidR="00656B30">
        <w:rPr>
          <w:rFonts w:ascii="Times New Roman" w:hAnsi="Times New Roman"/>
          <w:sz w:val="26"/>
          <w:szCs w:val="24"/>
        </w:rPr>
        <w:t xml:space="preserve">For these reasons, we find that the </w:t>
      </w:r>
      <w:r w:rsidR="00C6157A">
        <w:rPr>
          <w:rFonts w:ascii="Times New Roman" w:hAnsi="Times New Roman"/>
          <w:sz w:val="26"/>
          <w:szCs w:val="24"/>
        </w:rPr>
        <w:t xml:space="preserve">revenue increase </w:t>
      </w:r>
      <w:r w:rsidR="00656B30">
        <w:rPr>
          <w:rFonts w:ascii="Times New Roman" w:hAnsi="Times New Roman"/>
          <w:sz w:val="26"/>
          <w:szCs w:val="24"/>
        </w:rPr>
        <w:t xml:space="preserve">provides public benefits </w:t>
      </w:r>
      <w:r w:rsidR="00E71909">
        <w:rPr>
          <w:rFonts w:ascii="Times New Roman" w:hAnsi="Times New Roman"/>
          <w:sz w:val="26"/>
          <w:szCs w:val="24"/>
        </w:rPr>
        <w:t>as it will enhance the</w:t>
      </w:r>
      <w:r w:rsidR="00656B30">
        <w:rPr>
          <w:rFonts w:ascii="Times New Roman" w:hAnsi="Times New Roman"/>
          <w:sz w:val="26"/>
          <w:szCs w:val="24"/>
        </w:rPr>
        <w:t xml:space="preserve"> s</w:t>
      </w:r>
      <w:r>
        <w:rPr>
          <w:rFonts w:ascii="Times New Roman" w:hAnsi="Times New Roman"/>
          <w:sz w:val="26"/>
          <w:szCs w:val="24"/>
        </w:rPr>
        <w:t>afe</w:t>
      </w:r>
      <w:r w:rsidR="00E71909">
        <w:rPr>
          <w:rFonts w:ascii="Times New Roman" w:hAnsi="Times New Roman"/>
          <w:sz w:val="26"/>
          <w:szCs w:val="24"/>
        </w:rPr>
        <w:t>ty</w:t>
      </w:r>
      <w:r>
        <w:rPr>
          <w:rFonts w:ascii="Times New Roman" w:hAnsi="Times New Roman"/>
          <w:sz w:val="26"/>
          <w:szCs w:val="24"/>
        </w:rPr>
        <w:t xml:space="preserve"> and reliab</w:t>
      </w:r>
      <w:r w:rsidR="00E71909">
        <w:rPr>
          <w:rFonts w:ascii="Times New Roman" w:hAnsi="Times New Roman"/>
          <w:sz w:val="26"/>
          <w:szCs w:val="24"/>
        </w:rPr>
        <w:t>ility of the</w:t>
      </w:r>
      <w:r>
        <w:rPr>
          <w:rFonts w:ascii="Times New Roman" w:hAnsi="Times New Roman"/>
          <w:sz w:val="26"/>
          <w:szCs w:val="24"/>
        </w:rPr>
        <w:t xml:space="preserve"> service </w:t>
      </w:r>
      <w:r w:rsidR="00E71909">
        <w:rPr>
          <w:rFonts w:ascii="Times New Roman" w:hAnsi="Times New Roman"/>
          <w:sz w:val="26"/>
          <w:szCs w:val="24"/>
        </w:rPr>
        <w:t xml:space="preserve">that </w:t>
      </w:r>
      <w:r w:rsidR="00656B30">
        <w:rPr>
          <w:rFonts w:ascii="Times New Roman" w:hAnsi="Times New Roman"/>
          <w:sz w:val="26"/>
          <w:szCs w:val="24"/>
        </w:rPr>
        <w:t>Peoples TWP</w:t>
      </w:r>
      <w:r w:rsidR="00E71909">
        <w:rPr>
          <w:rFonts w:ascii="Times New Roman" w:hAnsi="Times New Roman"/>
          <w:sz w:val="26"/>
          <w:szCs w:val="24"/>
        </w:rPr>
        <w:t xml:space="preserve"> provides to its</w:t>
      </w:r>
      <w:r w:rsidR="00656B30">
        <w:rPr>
          <w:rFonts w:ascii="Times New Roman" w:hAnsi="Times New Roman"/>
          <w:sz w:val="26"/>
          <w:szCs w:val="24"/>
        </w:rPr>
        <w:t xml:space="preserve"> </w:t>
      </w:r>
      <w:r>
        <w:rPr>
          <w:rFonts w:ascii="Times New Roman" w:hAnsi="Times New Roman"/>
          <w:sz w:val="26"/>
          <w:szCs w:val="24"/>
        </w:rPr>
        <w:t>customers</w:t>
      </w:r>
      <w:r w:rsidR="00656B30">
        <w:rPr>
          <w:rFonts w:ascii="Times New Roman" w:hAnsi="Times New Roman"/>
          <w:sz w:val="26"/>
          <w:szCs w:val="24"/>
        </w:rPr>
        <w:t xml:space="preserve">. </w:t>
      </w:r>
    </w:p>
    <w:p w:rsidR="00B22359" w:rsidRDefault="00656B30" w:rsidP="009932E3">
      <w:pPr>
        <w:spacing w:after="0" w:line="360" w:lineRule="auto"/>
        <w:ind w:firstLine="1440"/>
        <w:rPr>
          <w:rFonts w:ascii="Times New Roman" w:hAnsi="Times New Roman"/>
          <w:sz w:val="26"/>
          <w:szCs w:val="24"/>
        </w:rPr>
      </w:pPr>
      <w:r>
        <w:rPr>
          <w:rFonts w:ascii="Times New Roman" w:hAnsi="Times New Roman"/>
          <w:sz w:val="26"/>
          <w:szCs w:val="24"/>
        </w:rPr>
        <w:t xml:space="preserve"> </w:t>
      </w:r>
    </w:p>
    <w:p w:rsidR="001D1154" w:rsidRPr="001D1154" w:rsidRDefault="00B22359" w:rsidP="009932E3">
      <w:pPr>
        <w:spacing w:after="0" w:line="360" w:lineRule="auto"/>
        <w:ind w:firstLine="1440"/>
        <w:rPr>
          <w:rFonts w:ascii="Times New Roman" w:hAnsi="Times New Roman"/>
          <w:sz w:val="26"/>
          <w:szCs w:val="24"/>
        </w:rPr>
      </w:pPr>
      <w:r>
        <w:rPr>
          <w:rFonts w:ascii="Times New Roman" w:hAnsi="Times New Roman"/>
          <w:sz w:val="26"/>
          <w:szCs w:val="24"/>
        </w:rPr>
        <w:lastRenderedPageBreak/>
        <w:t>We further note that the Settlement provides that the Company will implement the Acquisition Credit</w:t>
      </w:r>
      <w:r w:rsidR="00F23993">
        <w:rPr>
          <w:rFonts w:ascii="Times New Roman" w:hAnsi="Times New Roman"/>
          <w:sz w:val="26"/>
          <w:szCs w:val="24"/>
        </w:rPr>
        <w:t>, pursuant to the Acquisition Settlement at Docket No. A-2010-2210326, by providing base rate credits of $2 million per year to customers over the next five years, until $10 million in credits have been provided.  The OCA points out that the Acquisition Credit will provide the residential class with about $1.7 million per year in credits.  OCA Statement in Support at 4.  We agree with the OCA that residential customers will benefit from this credit through reduced bills during the next five years</w:t>
      </w:r>
      <w:r w:rsidR="00BA0DBE">
        <w:rPr>
          <w:rFonts w:ascii="Times New Roman" w:hAnsi="Times New Roman"/>
          <w:sz w:val="26"/>
          <w:szCs w:val="24"/>
        </w:rPr>
        <w:t>, which</w:t>
      </w:r>
      <w:r w:rsidR="00F23993">
        <w:rPr>
          <w:rFonts w:ascii="Times New Roman" w:hAnsi="Times New Roman"/>
          <w:sz w:val="26"/>
          <w:szCs w:val="24"/>
        </w:rPr>
        <w:t xml:space="preserve"> will lessen the impact of the rate incre</w:t>
      </w:r>
      <w:r w:rsidR="00CB38CD">
        <w:rPr>
          <w:rFonts w:ascii="Times New Roman" w:hAnsi="Times New Roman"/>
          <w:sz w:val="26"/>
          <w:szCs w:val="24"/>
        </w:rPr>
        <w:t xml:space="preserve">ase on residential customers. </w:t>
      </w:r>
    </w:p>
    <w:p w:rsidR="001D1154" w:rsidRDefault="001D1154" w:rsidP="009932E3">
      <w:pPr>
        <w:spacing w:after="0" w:line="360" w:lineRule="auto"/>
        <w:ind w:firstLine="1440"/>
        <w:rPr>
          <w:rFonts w:ascii="Times New Roman" w:hAnsi="Times New Roman"/>
          <w:sz w:val="26"/>
          <w:szCs w:val="24"/>
        </w:rPr>
      </w:pPr>
    </w:p>
    <w:p w:rsidR="00524C5A" w:rsidRPr="00524C5A" w:rsidRDefault="00524C5A" w:rsidP="009932E3">
      <w:pPr>
        <w:spacing w:after="0" w:line="360" w:lineRule="auto"/>
        <w:ind w:firstLine="720"/>
        <w:rPr>
          <w:rFonts w:ascii="Times New Roman" w:hAnsi="Times New Roman"/>
          <w:b/>
          <w:sz w:val="26"/>
          <w:szCs w:val="24"/>
        </w:rPr>
      </w:pPr>
      <w:r w:rsidRPr="00524C5A">
        <w:rPr>
          <w:rFonts w:ascii="Times New Roman" w:hAnsi="Times New Roman"/>
          <w:b/>
          <w:sz w:val="26"/>
          <w:szCs w:val="24"/>
        </w:rPr>
        <w:t>2.</w:t>
      </w:r>
      <w:r w:rsidRPr="00524C5A">
        <w:rPr>
          <w:rFonts w:ascii="Times New Roman" w:hAnsi="Times New Roman"/>
          <w:b/>
          <w:sz w:val="26"/>
          <w:szCs w:val="24"/>
        </w:rPr>
        <w:tab/>
        <w:t xml:space="preserve">Revenue Allocation and Rate Design </w:t>
      </w:r>
    </w:p>
    <w:p w:rsidR="00980834" w:rsidRDefault="00980834" w:rsidP="009932E3">
      <w:pPr>
        <w:pStyle w:val="OutlineL3"/>
        <w:widowControl w:val="0"/>
        <w:numPr>
          <w:ilvl w:val="0"/>
          <w:numId w:val="0"/>
        </w:numPr>
        <w:tabs>
          <w:tab w:val="clear" w:pos="2160"/>
        </w:tabs>
        <w:spacing w:after="0" w:line="360" w:lineRule="auto"/>
        <w:outlineLvl w:val="9"/>
        <w:rPr>
          <w:sz w:val="26"/>
          <w:szCs w:val="26"/>
        </w:rPr>
      </w:pPr>
    </w:p>
    <w:p w:rsidR="000D0FD6" w:rsidRPr="000D0FD6" w:rsidRDefault="000D0FD6" w:rsidP="009932E3">
      <w:pPr>
        <w:pStyle w:val="OutlineL3"/>
        <w:widowControl w:val="0"/>
        <w:numPr>
          <w:ilvl w:val="0"/>
          <w:numId w:val="0"/>
        </w:numPr>
        <w:tabs>
          <w:tab w:val="clear" w:pos="2160"/>
        </w:tabs>
        <w:spacing w:after="0" w:line="360" w:lineRule="auto"/>
        <w:outlineLvl w:val="9"/>
        <w:rPr>
          <w:b/>
          <w:sz w:val="26"/>
          <w:szCs w:val="26"/>
        </w:rPr>
      </w:pPr>
      <w:r>
        <w:rPr>
          <w:sz w:val="26"/>
          <w:szCs w:val="26"/>
        </w:rPr>
        <w:tab/>
      </w:r>
      <w:r>
        <w:rPr>
          <w:sz w:val="26"/>
          <w:szCs w:val="26"/>
        </w:rPr>
        <w:tab/>
      </w:r>
      <w:r w:rsidRPr="000D0FD6">
        <w:rPr>
          <w:b/>
          <w:sz w:val="26"/>
          <w:szCs w:val="26"/>
        </w:rPr>
        <w:t>a.</w:t>
      </w:r>
      <w:r w:rsidRPr="000D0FD6">
        <w:rPr>
          <w:b/>
          <w:sz w:val="26"/>
          <w:szCs w:val="26"/>
        </w:rPr>
        <w:tab/>
        <w:t xml:space="preserve">ALJ’s Recommended Decision </w:t>
      </w:r>
    </w:p>
    <w:p w:rsidR="00980834" w:rsidRDefault="00980834" w:rsidP="009932E3">
      <w:pPr>
        <w:pStyle w:val="OutlineL3"/>
        <w:widowControl w:val="0"/>
        <w:numPr>
          <w:ilvl w:val="0"/>
          <w:numId w:val="0"/>
        </w:numPr>
        <w:tabs>
          <w:tab w:val="clear" w:pos="2160"/>
        </w:tabs>
        <w:spacing w:after="0" w:line="360" w:lineRule="auto"/>
        <w:outlineLvl w:val="9"/>
        <w:rPr>
          <w:b/>
          <w:sz w:val="26"/>
          <w:szCs w:val="26"/>
        </w:rPr>
      </w:pPr>
      <w:r>
        <w:rPr>
          <w:b/>
          <w:sz w:val="26"/>
          <w:szCs w:val="26"/>
        </w:rPr>
        <w:tab/>
      </w:r>
      <w:r>
        <w:rPr>
          <w:b/>
          <w:sz w:val="26"/>
          <w:szCs w:val="26"/>
        </w:rPr>
        <w:tab/>
      </w:r>
    </w:p>
    <w:p w:rsidR="00060A11" w:rsidRPr="00E26044" w:rsidRDefault="002E53F9" w:rsidP="009932E3">
      <w:pPr>
        <w:spacing w:after="0" w:line="360" w:lineRule="auto"/>
        <w:rPr>
          <w:rFonts w:ascii="Times New Roman" w:hAnsi="Times New Roman"/>
          <w:sz w:val="26"/>
          <w:szCs w:val="24"/>
        </w:rPr>
      </w:pPr>
      <w:r>
        <w:rPr>
          <w:b/>
          <w:sz w:val="26"/>
          <w:szCs w:val="26"/>
        </w:rPr>
        <w:tab/>
      </w:r>
      <w:r>
        <w:rPr>
          <w:b/>
          <w:sz w:val="26"/>
          <w:szCs w:val="26"/>
        </w:rPr>
        <w:tab/>
      </w:r>
      <w:r w:rsidR="00E26044" w:rsidRPr="00E26044">
        <w:rPr>
          <w:rFonts w:ascii="Times New Roman" w:hAnsi="Times New Roman"/>
          <w:sz w:val="26"/>
          <w:szCs w:val="26"/>
        </w:rPr>
        <w:t xml:space="preserve">The </w:t>
      </w:r>
      <w:r w:rsidR="00E26044">
        <w:rPr>
          <w:rFonts w:ascii="Times New Roman" w:hAnsi="Times New Roman"/>
          <w:sz w:val="26"/>
          <w:szCs w:val="26"/>
        </w:rPr>
        <w:t>ALJ noted that the Joint Petitioners</w:t>
      </w:r>
      <w:r w:rsidR="00060A11" w:rsidRPr="00E26044">
        <w:rPr>
          <w:rFonts w:ascii="Times New Roman" w:hAnsi="Times New Roman"/>
          <w:sz w:val="26"/>
          <w:szCs w:val="24"/>
        </w:rPr>
        <w:t xml:space="preserve"> propose to </w:t>
      </w:r>
      <w:r w:rsidR="00E26044">
        <w:rPr>
          <w:rFonts w:ascii="Times New Roman" w:hAnsi="Times New Roman"/>
          <w:sz w:val="26"/>
          <w:szCs w:val="24"/>
        </w:rPr>
        <w:t>change</w:t>
      </w:r>
      <w:r w:rsidR="00060A11" w:rsidRPr="00E26044">
        <w:rPr>
          <w:rFonts w:ascii="Times New Roman" w:hAnsi="Times New Roman"/>
          <w:sz w:val="26"/>
          <w:szCs w:val="24"/>
        </w:rPr>
        <w:t xml:space="preserve"> the current rate class structure</w:t>
      </w:r>
      <w:r w:rsidR="00E26044">
        <w:rPr>
          <w:rFonts w:ascii="Times New Roman" w:hAnsi="Times New Roman"/>
          <w:sz w:val="26"/>
          <w:szCs w:val="24"/>
        </w:rPr>
        <w:t xml:space="preserve"> in a manner</w:t>
      </w:r>
      <w:r w:rsidR="002E337E">
        <w:rPr>
          <w:rFonts w:ascii="Times New Roman" w:hAnsi="Times New Roman"/>
          <w:sz w:val="26"/>
          <w:szCs w:val="24"/>
        </w:rPr>
        <w:t xml:space="preserve"> </w:t>
      </w:r>
      <w:r w:rsidR="00E26044">
        <w:rPr>
          <w:rFonts w:ascii="Times New Roman" w:hAnsi="Times New Roman"/>
          <w:sz w:val="26"/>
          <w:szCs w:val="24"/>
        </w:rPr>
        <w:t>t</w:t>
      </w:r>
      <w:r w:rsidR="00060A11" w:rsidRPr="00E26044">
        <w:rPr>
          <w:rFonts w:ascii="Times New Roman" w:hAnsi="Times New Roman"/>
          <w:sz w:val="26"/>
          <w:szCs w:val="24"/>
        </w:rPr>
        <w:t>h</w:t>
      </w:r>
      <w:r w:rsidR="00E26044">
        <w:rPr>
          <w:rFonts w:ascii="Times New Roman" w:hAnsi="Times New Roman"/>
          <w:sz w:val="26"/>
          <w:szCs w:val="24"/>
        </w:rPr>
        <w:t>at</w:t>
      </w:r>
      <w:r w:rsidR="00060A11" w:rsidRPr="00E26044">
        <w:rPr>
          <w:rFonts w:ascii="Times New Roman" w:hAnsi="Times New Roman"/>
          <w:sz w:val="26"/>
          <w:szCs w:val="24"/>
        </w:rPr>
        <w:t xml:space="preserve"> will result in the Company using six volumetric-based rate classes, instead of the ten current non-volumetric rate classes.  </w:t>
      </w:r>
      <w:r w:rsidR="00E26044">
        <w:rPr>
          <w:rFonts w:ascii="Times New Roman" w:hAnsi="Times New Roman"/>
          <w:sz w:val="26"/>
          <w:szCs w:val="24"/>
        </w:rPr>
        <w:t>The ALJ determined that t</w:t>
      </w:r>
      <w:r w:rsidR="00060A11" w:rsidRPr="00E26044">
        <w:rPr>
          <w:rFonts w:ascii="Times New Roman" w:hAnsi="Times New Roman"/>
          <w:sz w:val="26"/>
          <w:szCs w:val="24"/>
        </w:rPr>
        <w:t>he new rate class categories are defined reasonably and should result in simpler</w:t>
      </w:r>
      <w:r w:rsidR="002E337E">
        <w:rPr>
          <w:rFonts w:ascii="Times New Roman" w:hAnsi="Times New Roman"/>
          <w:sz w:val="26"/>
          <w:szCs w:val="24"/>
        </w:rPr>
        <w:t xml:space="preserve"> </w:t>
      </w:r>
      <w:r w:rsidR="00E26044">
        <w:rPr>
          <w:rFonts w:ascii="Times New Roman" w:hAnsi="Times New Roman"/>
          <w:sz w:val="26"/>
          <w:szCs w:val="24"/>
        </w:rPr>
        <w:t xml:space="preserve">and </w:t>
      </w:r>
      <w:r w:rsidR="00060A11" w:rsidRPr="00E26044">
        <w:rPr>
          <w:rFonts w:ascii="Times New Roman" w:hAnsi="Times New Roman"/>
          <w:sz w:val="26"/>
          <w:szCs w:val="24"/>
        </w:rPr>
        <w:t xml:space="preserve">fairer rate classes because the rate classes are grouped together based on usage.  </w:t>
      </w:r>
      <w:r w:rsidR="00E26044">
        <w:rPr>
          <w:rFonts w:ascii="Times New Roman" w:hAnsi="Times New Roman"/>
          <w:sz w:val="26"/>
          <w:szCs w:val="24"/>
        </w:rPr>
        <w:t>The ALJ also noted that s</w:t>
      </w:r>
      <w:r w:rsidR="00060A11" w:rsidRPr="00E26044">
        <w:rPr>
          <w:rFonts w:ascii="Times New Roman" w:hAnsi="Times New Roman"/>
          <w:sz w:val="26"/>
          <w:szCs w:val="24"/>
        </w:rPr>
        <w:t xml:space="preserve">ome changes </w:t>
      </w:r>
      <w:r w:rsidR="00E26044">
        <w:rPr>
          <w:rFonts w:ascii="Times New Roman" w:hAnsi="Times New Roman"/>
          <w:sz w:val="26"/>
          <w:szCs w:val="24"/>
        </w:rPr>
        <w:t>stemmed</w:t>
      </w:r>
      <w:r w:rsidR="00060A11" w:rsidRPr="00E26044">
        <w:rPr>
          <w:rFonts w:ascii="Times New Roman" w:hAnsi="Times New Roman"/>
          <w:sz w:val="26"/>
          <w:szCs w:val="24"/>
        </w:rPr>
        <w:t xml:space="preserve"> from the acquisition of TWP by Peoples and are </w:t>
      </w:r>
      <w:r w:rsidR="00E26044">
        <w:rPr>
          <w:rFonts w:ascii="Times New Roman" w:hAnsi="Times New Roman"/>
          <w:sz w:val="26"/>
          <w:szCs w:val="24"/>
        </w:rPr>
        <w:t>intended</w:t>
      </w:r>
      <w:r w:rsidR="00060A11" w:rsidRPr="00E26044">
        <w:rPr>
          <w:rFonts w:ascii="Times New Roman" w:hAnsi="Times New Roman"/>
          <w:sz w:val="26"/>
          <w:szCs w:val="24"/>
        </w:rPr>
        <w:t xml:space="preserve"> to promote retail natural gas supply competition.  </w:t>
      </w:r>
      <w:r w:rsidR="00E26044">
        <w:rPr>
          <w:rFonts w:ascii="Times New Roman" w:hAnsi="Times New Roman"/>
          <w:sz w:val="26"/>
          <w:szCs w:val="24"/>
        </w:rPr>
        <w:t>The ALJ concluded that a</w:t>
      </w:r>
      <w:r w:rsidR="00060A11" w:rsidRPr="00E26044">
        <w:rPr>
          <w:rFonts w:ascii="Times New Roman" w:hAnsi="Times New Roman"/>
          <w:sz w:val="26"/>
          <w:szCs w:val="24"/>
        </w:rPr>
        <w:t xml:space="preserve"> substantial public benefit should result from the increased competition.</w:t>
      </w:r>
      <w:r w:rsidR="002E337E">
        <w:rPr>
          <w:rFonts w:ascii="Times New Roman" w:hAnsi="Times New Roman"/>
          <w:sz w:val="26"/>
          <w:szCs w:val="24"/>
        </w:rPr>
        <w:t xml:space="preserve">  </w:t>
      </w:r>
      <w:r w:rsidR="00DF58EE">
        <w:rPr>
          <w:rFonts w:ascii="Times New Roman" w:hAnsi="Times New Roman"/>
          <w:sz w:val="26"/>
          <w:szCs w:val="24"/>
        </w:rPr>
        <w:t>R.D. at 61.</w:t>
      </w:r>
    </w:p>
    <w:p w:rsidR="00060A11" w:rsidRPr="00E26044" w:rsidRDefault="00060A11" w:rsidP="009932E3">
      <w:pPr>
        <w:spacing w:after="0" w:line="360" w:lineRule="auto"/>
        <w:rPr>
          <w:rFonts w:ascii="Times New Roman" w:hAnsi="Times New Roman"/>
          <w:sz w:val="26"/>
          <w:szCs w:val="24"/>
        </w:rPr>
      </w:pPr>
    </w:p>
    <w:p w:rsidR="00060A11" w:rsidRPr="00E26044" w:rsidRDefault="00060A11" w:rsidP="009932E3">
      <w:pPr>
        <w:spacing w:after="0" w:line="360" w:lineRule="auto"/>
        <w:rPr>
          <w:rFonts w:ascii="Times New Roman" w:hAnsi="Times New Roman"/>
          <w:sz w:val="26"/>
          <w:szCs w:val="24"/>
        </w:rPr>
      </w:pPr>
      <w:r w:rsidRPr="00E26044">
        <w:rPr>
          <w:rFonts w:ascii="Times New Roman" w:hAnsi="Times New Roman"/>
          <w:sz w:val="26"/>
          <w:szCs w:val="24"/>
        </w:rPr>
        <w:tab/>
      </w:r>
      <w:r w:rsidRPr="00E26044">
        <w:rPr>
          <w:rFonts w:ascii="Times New Roman" w:hAnsi="Times New Roman"/>
          <w:sz w:val="26"/>
          <w:szCs w:val="24"/>
        </w:rPr>
        <w:tab/>
      </w:r>
      <w:r w:rsidR="00DF58EE">
        <w:rPr>
          <w:rFonts w:ascii="Times New Roman" w:hAnsi="Times New Roman"/>
          <w:sz w:val="26"/>
          <w:szCs w:val="24"/>
        </w:rPr>
        <w:t>With respect to the revenue allocation among the customer classes, the ALJ stated that, while the Joint Petitioners were</w:t>
      </w:r>
      <w:r w:rsidRPr="00E26044">
        <w:rPr>
          <w:rFonts w:ascii="Times New Roman" w:hAnsi="Times New Roman"/>
          <w:sz w:val="26"/>
          <w:szCs w:val="24"/>
        </w:rPr>
        <w:t xml:space="preserve"> unable to agree on the specific cost of service study to use, the</w:t>
      </w:r>
      <w:r w:rsidR="00DF58EE">
        <w:rPr>
          <w:rFonts w:ascii="Times New Roman" w:hAnsi="Times New Roman"/>
          <w:sz w:val="26"/>
          <w:szCs w:val="24"/>
        </w:rPr>
        <w:t>y</w:t>
      </w:r>
      <w:r w:rsidRPr="00E26044">
        <w:rPr>
          <w:rFonts w:ascii="Times New Roman" w:hAnsi="Times New Roman"/>
          <w:sz w:val="26"/>
          <w:szCs w:val="24"/>
        </w:rPr>
        <w:t xml:space="preserve"> agreed to an allocation that falls within the various proposals.  </w:t>
      </w:r>
      <w:r w:rsidR="00DF58EE">
        <w:rPr>
          <w:rFonts w:ascii="Times New Roman" w:hAnsi="Times New Roman"/>
          <w:sz w:val="26"/>
          <w:szCs w:val="24"/>
        </w:rPr>
        <w:t xml:space="preserve">The ALJ found that the </w:t>
      </w:r>
      <w:r w:rsidRPr="00E26044">
        <w:rPr>
          <w:rFonts w:ascii="Times New Roman" w:hAnsi="Times New Roman"/>
          <w:sz w:val="26"/>
          <w:szCs w:val="24"/>
        </w:rPr>
        <w:t xml:space="preserve">allocation among the classes </w:t>
      </w:r>
      <w:r w:rsidR="00DF58EE">
        <w:rPr>
          <w:rFonts w:ascii="Times New Roman" w:hAnsi="Times New Roman"/>
          <w:sz w:val="26"/>
          <w:szCs w:val="24"/>
        </w:rPr>
        <w:t xml:space="preserve">was in the public interest because </w:t>
      </w:r>
      <w:r w:rsidRPr="00E26044">
        <w:rPr>
          <w:rFonts w:ascii="Times New Roman" w:hAnsi="Times New Roman"/>
          <w:sz w:val="26"/>
          <w:szCs w:val="24"/>
        </w:rPr>
        <w:t>i</w:t>
      </w:r>
      <w:r w:rsidR="00DF58EE">
        <w:rPr>
          <w:rFonts w:ascii="Times New Roman" w:hAnsi="Times New Roman"/>
          <w:sz w:val="26"/>
          <w:szCs w:val="24"/>
        </w:rPr>
        <w:t>t wa</w:t>
      </w:r>
      <w:r w:rsidRPr="00E26044">
        <w:rPr>
          <w:rFonts w:ascii="Times New Roman" w:hAnsi="Times New Roman"/>
          <w:sz w:val="26"/>
          <w:szCs w:val="24"/>
        </w:rPr>
        <w:t xml:space="preserve">s reasonably done and achieves progress in aligning rates toward the cost of providing natural gas service to </w:t>
      </w:r>
      <w:r w:rsidR="002E337E">
        <w:rPr>
          <w:rFonts w:ascii="Times New Roman" w:hAnsi="Times New Roman"/>
          <w:sz w:val="26"/>
          <w:szCs w:val="24"/>
        </w:rPr>
        <w:t>each</w:t>
      </w:r>
      <w:r w:rsidRPr="00E26044">
        <w:rPr>
          <w:rFonts w:ascii="Times New Roman" w:hAnsi="Times New Roman"/>
          <w:sz w:val="26"/>
          <w:szCs w:val="24"/>
        </w:rPr>
        <w:t xml:space="preserve"> particular class.</w:t>
      </w:r>
      <w:r w:rsidR="002E337E">
        <w:rPr>
          <w:rFonts w:ascii="Times New Roman" w:hAnsi="Times New Roman"/>
          <w:sz w:val="26"/>
          <w:szCs w:val="24"/>
        </w:rPr>
        <w:t xml:space="preserve">  </w:t>
      </w:r>
      <w:r w:rsidR="00DF58EE" w:rsidRPr="00DF58EE">
        <w:rPr>
          <w:rFonts w:ascii="Times New Roman" w:hAnsi="Times New Roman"/>
          <w:i/>
          <w:sz w:val="26"/>
          <w:szCs w:val="24"/>
        </w:rPr>
        <w:t>Id</w:t>
      </w:r>
      <w:r w:rsidR="00DF58EE">
        <w:rPr>
          <w:rFonts w:ascii="Times New Roman" w:hAnsi="Times New Roman"/>
          <w:sz w:val="26"/>
          <w:szCs w:val="24"/>
        </w:rPr>
        <w:t>.</w:t>
      </w:r>
    </w:p>
    <w:p w:rsidR="00060A11" w:rsidRPr="00E26044" w:rsidRDefault="00060A11" w:rsidP="009932E3">
      <w:pPr>
        <w:spacing w:after="0" w:line="360" w:lineRule="auto"/>
        <w:rPr>
          <w:rFonts w:ascii="Times New Roman" w:hAnsi="Times New Roman"/>
          <w:sz w:val="26"/>
          <w:szCs w:val="24"/>
        </w:rPr>
      </w:pPr>
    </w:p>
    <w:p w:rsidR="00060A11" w:rsidRDefault="00060A11" w:rsidP="009932E3">
      <w:pPr>
        <w:spacing w:after="0" w:line="360" w:lineRule="auto"/>
        <w:rPr>
          <w:rFonts w:ascii="Times New Roman" w:hAnsi="Times New Roman"/>
          <w:sz w:val="26"/>
          <w:szCs w:val="24"/>
        </w:rPr>
      </w:pPr>
      <w:r w:rsidRPr="00E26044">
        <w:rPr>
          <w:rFonts w:ascii="Times New Roman" w:hAnsi="Times New Roman"/>
          <w:sz w:val="26"/>
          <w:szCs w:val="24"/>
        </w:rPr>
        <w:lastRenderedPageBreak/>
        <w:tab/>
      </w:r>
      <w:r w:rsidRPr="00E26044">
        <w:rPr>
          <w:rFonts w:ascii="Times New Roman" w:hAnsi="Times New Roman"/>
          <w:sz w:val="26"/>
          <w:szCs w:val="24"/>
        </w:rPr>
        <w:tab/>
      </w:r>
      <w:r w:rsidR="00DF58EE">
        <w:rPr>
          <w:rFonts w:ascii="Times New Roman" w:hAnsi="Times New Roman"/>
          <w:sz w:val="26"/>
          <w:szCs w:val="24"/>
        </w:rPr>
        <w:t>With respect to the rate design, the ALJ determined that t</w:t>
      </w:r>
      <w:r w:rsidRPr="00E26044">
        <w:rPr>
          <w:rFonts w:ascii="Times New Roman" w:hAnsi="Times New Roman"/>
          <w:sz w:val="26"/>
          <w:szCs w:val="24"/>
        </w:rPr>
        <w:t xml:space="preserve">he increased customer charge in the Settlement is a reasonable compromise of </w:t>
      </w:r>
      <w:r w:rsidR="00DF58EE">
        <w:rPr>
          <w:rFonts w:ascii="Times New Roman" w:hAnsi="Times New Roman"/>
          <w:sz w:val="26"/>
          <w:szCs w:val="24"/>
        </w:rPr>
        <w:t>the Joint Petitioners’ positions</w:t>
      </w:r>
      <w:r w:rsidRPr="00E26044">
        <w:rPr>
          <w:rFonts w:ascii="Times New Roman" w:hAnsi="Times New Roman"/>
          <w:sz w:val="26"/>
          <w:szCs w:val="24"/>
        </w:rPr>
        <w:t xml:space="preserve"> and is less than any customer cost calculation presented.  </w:t>
      </w:r>
      <w:r w:rsidR="00DF58EE">
        <w:rPr>
          <w:rFonts w:ascii="Times New Roman" w:hAnsi="Times New Roman"/>
          <w:sz w:val="26"/>
          <w:szCs w:val="24"/>
        </w:rPr>
        <w:t xml:space="preserve">The ALJ noted that </w:t>
      </w:r>
      <w:r w:rsidRPr="00E26044">
        <w:rPr>
          <w:rFonts w:ascii="Times New Roman" w:hAnsi="Times New Roman"/>
          <w:sz w:val="26"/>
          <w:szCs w:val="24"/>
        </w:rPr>
        <w:t xml:space="preserve"> the percentage increase to the Residential customer charge is less than the percentage increase to the Residential delivery rate</w:t>
      </w:r>
      <w:r w:rsidR="00DF58EE">
        <w:rPr>
          <w:rFonts w:ascii="Times New Roman" w:hAnsi="Times New Roman"/>
          <w:sz w:val="26"/>
          <w:szCs w:val="24"/>
        </w:rPr>
        <w:t>, and that, a</w:t>
      </w:r>
      <w:r w:rsidRPr="00E26044">
        <w:rPr>
          <w:rFonts w:ascii="Times New Roman" w:hAnsi="Times New Roman"/>
          <w:sz w:val="26"/>
          <w:szCs w:val="24"/>
        </w:rPr>
        <w:t xml:space="preserve">s a result, a low-use Residential customer will realize a lower than average percentage increase when compared to the residential class as a whole.  </w:t>
      </w:r>
      <w:r w:rsidR="00DF58EE">
        <w:rPr>
          <w:rFonts w:ascii="Times New Roman" w:hAnsi="Times New Roman"/>
          <w:sz w:val="26"/>
          <w:szCs w:val="24"/>
        </w:rPr>
        <w:t>The ALJ concluded that t</w:t>
      </w:r>
      <w:r w:rsidRPr="00E26044">
        <w:rPr>
          <w:rFonts w:ascii="Times New Roman" w:hAnsi="Times New Roman"/>
          <w:sz w:val="26"/>
          <w:szCs w:val="24"/>
        </w:rPr>
        <w:t xml:space="preserve">he customer charges across the various rate classes are reasonable, </w:t>
      </w:r>
      <w:r w:rsidR="002E337E">
        <w:rPr>
          <w:rFonts w:ascii="Times New Roman" w:hAnsi="Times New Roman"/>
          <w:sz w:val="26"/>
          <w:szCs w:val="24"/>
        </w:rPr>
        <w:t xml:space="preserve">are </w:t>
      </w:r>
      <w:r w:rsidRPr="00E26044">
        <w:rPr>
          <w:rFonts w:ascii="Times New Roman" w:hAnsi="Times New Roman"/>
          <w:sz w:val="26"/>
          <w:szCs w:val="24"/>
        </w:rPr>
        <w:t>more closely aligned to the cost of providing the service</w:t>
      </w:r>
      <w:r w:rsidR="00DF58EE">
        <w:rPr>
          <w:rFonts w:ascii="Times New Roman" w:hAnsi="Times New Roman"/>
          <w:sz w:val="26"/>
          <w:szCs w:val="24"/>
        </w:rPr>
        <w:t>,</w:t>
      </w:r>
      <w:r w:rsidRPr="00E26044">
        <w:rPr>
          <w:rFonts w:ascii="Times New Roman" w:hAnsi="Times New Roman"/>
          <w:sz w:val="26"/>
          <w:szCs w:val="24"/>
        </w:rPr>
        <w:t xml:space="preserve"> and </w:t>
      </w:r>
      <w:r w:rsidR="002E337E">
        <w:rPr>
          <w:rFonts w:ascii="Times New Roman" w:hAnsi="Times New Roman"/>
          <w:sz w:val="26"/>
          <w:szCs w:val="24"/>
        </w:rPr>
        <w:t xml:space="preserve">are </w:t>
      </w:r>
      <w:r w:rsidRPr="00E26044">
        <w:rPr>
          <w:rFonts w:ascii="Times New Roman" w:hAnsi="Times New Roman"/>
          <w:sz w:val="26"/>
          <w:szCs w:val="24"/>
        </w:rPr>
        <w:t>in the public interest.</w:t>
      </w:r>
      <w:r w:rsidR="002E337E">
        <w:rPr>
          <w:rFonts w:ascii="Times New Roman" w:hAnsi="Times New Roman"/>
          <w:sz w:val="26"/>
          <w:szCs w:val="24"/>
        </w:rPr>
        <w:t xml:space="preserve">  </w:t>
      </w:r>
      <w:r w:rsidR="00320023" w:rsidRPr="00320023">
        <w:rPr>
          <w:rFonts w:ascii="Times New Roman" w:hAnsi="Times New Roman"/>
          <w:i/>
          <w:sz w:val="26"/>
          <w:szCs w:val="24"/>
        </w:rPr>
        <w:t>Id</w:t>
      </w:r>
      <w:r w:rsidR="00320023">
        <w:rPr>
          <w:rFonts w:ascii="Times New Roman" w:hAnsi="Times New Roman"/>
          <w:sz w:val="26"/>
          <w:szCs w:val="24"/>
        </w:rPr>
        <w:t>.</w:t>
      </w:r>
    </w:p>
    <w:p w:rsidR="008F0B29" w:rsidRDefault="008F0B29" w:rsidP="009932E3">
      <w:pPr>
        <w:spacing w:after="0" w:line="360" w:lineRule="auto"/>
        <w:rPr>
          <w:rFonts w:ascii="Times New Roman" w:hAnsi="Times New Roman"/>
          <w:sz w:val="26"/>
          <w:szCs w:val="24"/>
        </w:rPr>
      </w:pPr>
    </w:p>
    <w:p w:rsidR="00051713" w:rsidRPr="00051713" w:rsidRDefault="00051713" w:rsidP="009932E3">
      <w:pPr>
        <w:spacing w:after="0" w:line="360" w:lineRule="auto"/>
        <w:rPr>
          <w:rFonts w:ascii="Times New Roman" w:hAnsi="Times New Roman"/>
          <w:b/>
          <w:sz w:val="26"/>
          <w:szCs w:val="24"/>
        </w:rPr>
      </w:pPr>
      <w:r>
        <w:rPr>
          <w:rFonts w:ascii="Times New Roman" w:hAnsi="Times New Roman"/>
          <w:sz w:val="26"/>
          <w:szCs w:val="24"/>
        </w:rPr>
        <w:tab/>
      </w:r>
      <w:r>
        <w:rPr>
          <w:rFonts w:ascii="Times New Roman" w:hAnsi="Times New Roman"/>
          <w:sz w:val="26"/>
          <w:szCs w:val="24"/>
        </w:rPr>
        <w:tab/>
      </w:r>
      <w:r w:rsidRPr="00051713">
        <w:rPr>
          <w:rFonts w:ascii="Times New Roman" w:hAnsi="Times New Roman"/>
          <w:b/>
          <w:sz w:val="26"/>
          <w:szCs w:val="24"/>
        </w:rPr>
        <w:t>b.</w:t>
      </w:r>
      <w:r w:rsidRPr="00051713">
        <w:rPr>
          <w:rFonts w:ascii="Times New Roman" w:hAnsi="Times New Roman"/>
          <w:b/>
          <w:sz w:val="26"/>
          <w:szCs w:val="24"/>
        </w:rPr>
        <w:tab/>
        <w:t>Disposition</w:t>
      </w:r>
    </w:p>
    <w:p w:rsidR="00060A11" w:rsidRDefault="00060A11" w:rsidP="009932E3">
      <w:pPr>
        <w:spacing w:after="0" w:line="360" w:lineRule="auto"/>
        <w:rPr>
          <w:rFonts w:ascii="Times New Roman" w:hAnsi="Times New Roman"/>
          <w:sz w:val="26"/>
          <w:szCs w:val="24"/>
        </w:rPr>
      </w:pPr>
      <w:r w:rsidRPr="00E26044">
        <w:rPr>
          <w:rFonts w:ascii="Times New Roman" w:hAnsi="Times New Roman"/>
          <w:sz w:val="26"/>
          <w:szCs w:val="24"/>
        </w:rPr>
        <w:tab/>
      </w:r>
      <w:r w:rsidRPr="00E26044">
        <w:rPr>
          <w:rFonts w:ascii="Times New Roman" w:hAnsi="Times New Roman"/>
          <w:sz w:val="26"/>
          <w:szCs w:val="24"/>
        </w:rPr>
        <w:tab/>
      </w:r>
    </w:p>
    <w:p w:rsidR="00450F32" w:rsidRDefault="00051713" w:rsidP="009932E3">
      <w:pPr>
        <w:spacing w:after="0" w:line="360" w:lineRule="auto"/>
        <w:rPr>
          <w:rFonts w:ascii="Times New Roman" w:hAnsi="Times New Roman"/>
          <w:sz w:val="26"/>
          <w:szCs w:val="24"/>
        </w:rPr>
      </w:pPr>
      <w:r>
        <w:rPr>
          <w:rFonts w:ascii="Times New Roman" w:hAnsi="Times New Roman"/>
          <w:sz w:val="26"/>
          <w:szCs w:val="24"/>
        </w:rPr>
        <w:tab/>
      </w:r>
      <w:r>
        <w:rPr>
          <w:rFonts w:ascii="Times New Roman" w:hAnsi="Times New Roman"/>
          <w:sz w:val="26"/>
          <w:szCs w:val="24"/>
        </w:rPr>
        <w:tab/>
      </w:r>
      <w:r w:rsidR="00C23E57">
        <w:rPr>
          <w:rFonts w:ascii="Times New Roman" w:hAnsi="Times New Roman"/>
          <w:sz w:val="26"/>
          <w:szCs w:val="24"/>
        </w:rPr>
        <w:t xml:space="preserve">As indicated in the Settlement, revenue allocation and rate design reflect a compromise </w:t>
      </w:r>
      <w:r w:rsidR="00295FE5">
        <w:rPr>
          <w:rFonts w:ascii="Times New Roman" w:hAnsi="Times New Roman"/>
          <w:sz w:val="26"/>
          <w:szCs w:val="24"/>
        </w:rPr>
        <w:t>between the Joint Petitioners and do not endorse any particular cost of service study or methodology.</w:t>
      </w:r>
      <w:r w:rsidR="00373B8D">
        <w:rPr>
          <w:rFonts w:ascii="Times New Roman" w:hAnsi="Times New Roman"/>
          <w:sz w:val="26"/>
          <w:szCs w:val="24"/>
        </w:rPr>
        <w:t xml:space="preserve">  </w:t>
      </w:r>
      <w:r w:rsidR="00757FBE">
        <w:rPr>
          <w:rFonts w:ascii="Times New Roman" w:hAnsi="Times New Roman"/>
          <w:sz w:val="26"/>
          <w:szCs w:val="24"/>
        </w:rPr>
        <w:t>We agree with the ALJ’s conclusion that the revenue allocation is reasonable and is within the range of reasonable outcomes that would result from full litigation of this case, given the</w:t>
      </w:r>
      <w:r w:rsidR="00093C84">
        <w:rPr>
          <w:rFonts w:ascii="Times New Roman" w:hAnsi="Times New Roman"/>
          <w:sz w:val="26"/>
          <w:szCs w:val="24"/>
        </w:rPr>
        <w:t xml:space="preserve"> various revenue allocations </w:t>
      </w:r>
      <w:r w:rsidR="002D15AA">
        <w:rPr>
          <w:rFonts w:ascii="Times New Roman" w:hAnsi="Times New Roman"/>
          <w:sz w:val="26"/>
          <w:szCs w:val="24"/>
        </w:rPr>
        <w:t xml:space="preserve">proposed by the Joint Petitioners in this proceeding </w:t>
      </w:r>
      <w:r w:rsidR="00093C84">
        <w:rPr>
          <w:rFonts w:ascii="Times New Roman" w:hAnsi="Times New Roman"/>
          <w:sz w:val="26"/>
          <w:szCs w:val="24"/>
        </w:rPr>
        <w:t>that were based on the results of different cost of service studies.</w:t>
      </w:r>
    </w:p>
    <w:p w:rsidR="00093C84" w:rsidRDefault="00093C84" w:rsidP="009932E3">
      <w:pPr>
        <w:spacing w:after="0" w:line="360" w:lineRule="auto"/>
        <w:rPr>
          <w:rFonts w:ascii="Times New Roman" w:hAnsi="Times New Roman"/>
          <w:sz w:val="26"/>
          <w:szCs w:val="24"/>
        </w:rPr>
      </w:pPr>
    </w:p>
    <w:p w:rsidR="000E624F" w:rsidRDefault="00450F32" w:rsidP="009932E3">
      <w:pPr>
        <w:spacing w:after="0" w:line="360" w:lineRule="auto"/>
        <w:rPr>
          <w:rFonts w:ascii="Times New Roman" w:hAnsi="Times New Roman"/>
          <w:sz w:val="26"/>
          <w:szCs w:val="24"/>
        </w:rPr>
      </w:pPr>
      <w:r>
        <w:rPr>
          <w:rFonts w:ascii="Times New Roman" w:hAnsi="Times New Roman"/>
          <w:sz w:val="26"/>
          <w:szCs w:val="24"/>
        </w:rPr>
        <w:tab/>
      </w:r>
      <w:r>
        <w:rPr>
          <w:rFonts w:ascii="Times New Roman" w:hAnsi="Times New Roman"/>
          <w:sz w:val="26"/>
          <w:szCs w:val="24"/>
        </w:rPr>
        <w:tab/>
        <w:t xml:space="preserve">We also find that the rate design established in the Settlement is reasonable and consistent with sound ratemaking principles.  </w:t>
      </w:r>
      <w:r w:rsidR="00564E87">
        <w:rPr>
          <w:rFonts w:ascii="Times New Roman" w:hAnsi="Times New Roman"/>
          <w:sz w:val="26"/>
          <w:szCs w:val="24"/>
        </w:rPr>
        <w:t xml:space="preserve">During the proceeding, the Joint Petitioners proposed different calculations of customer </w:t>
      </w:r>
      <w:r w:rsidR="00373B8D">
        <w:rPr>
          <w:rFonts w:ascii="Times New Roman" w:hAnsi="Times New Roman"/>
          <w:sz w:val="26"/>
          <w:szCs w:val="24"/>
        </w:rPr>
        <w:t xml:space="preserve">costs </w:t>
      </w:r>
      <w:r w:rsidR="00564E87">
        <w:rPr>
          <w:rFonts w:ascii="Times New Roman" w:hAnsi="Times New Roman"/>
          <w:sz w:val="26"/>
          <w:szCs w:val="24"/>
        </w:rPr>
        <w:t xml:space="preserve">based on their preferred cost of service calculations and other considerations, including gradualism and the effect upon low usage and low income customers.  </w:t>
      </w:r>
      <w:r w:rsidR="009D7956">
        <w:rPr>
          <w:rFonts w:ascii="Times New Roman" w:hAnsi="Times New Roman"/>
          <w:sz w:val="26"/>
          <w:szCs w:val="24"/>
        </w:rPr>
        <w:t xml:space="preserve">With respect to the </w:t>
      </w:r>
      <w:r w:rsidR="00A95A7C">
        <w:rPr>
          <w:rFonts w:ascii="Times New Roman" w:hAnsi="Times New Roman"/>
          <w:sz w:val="26"/>
          <w:szCs w:val="24"/>
        </w:rPr>
        <w:t xml:space="preserve">residential </w:t>
      </w:r>
      <w:r w:rsidR="009D7956">
        <w:rPr>
          <w:rFonts w:ascii="Times New Roman" w:hAnsi="Times New Roman"/>
          <w:sz w:val="26"/>
          <w:szCs w:val="24"/>
        </w:rPr>
        <w:t xml:space="preserve">customer charge increase to $15.75, </w:t>
      </w:r>
      <w:r w:rsidR="00A95A7C">
        <w:rPr>
          <w:rFonts w:ascii="Times New Roman" w:hAnsi="Times New Roman"/>
          <w:sz w:val="26"/>
          <w:szCs w:val="24"/>
        </w:rPr>
        <w:t xml:space="preserve">Peoples TWP proposed a charge of $20 per month, I&amp;E proposed a charge of $16.60 per month, and the OCA proposed a charge of $15.50 per month.  Peoples TWP St. 13-R at 13; I&amp;E St. 3-SR at 28; and OCA St. 3 at 33.  </w:t>
      </w:r>
      <w:r w:rsidR="000E624F">
        <w:rPr>
          <w:rFonts w:ascii="Times New Roman" w:hAnsi="Times New Roman"/>
          <w:sz w:val="26"/>
          <w:szCs w:val="24"/>
        </w:rPr>
        <w:t>T</w:t>
      </w:r>
      <w:r w:rsidR="009D7956">
        <w:rPr>
          <w:rFonts w:ascii="Times New Roman" w:hAnsi="Times New Roman"/>
          <w:sz w:val="26"/>
          <w:szCs w:val="24"/>
        </w:rPr>
        <w:t xml:space="preserve">he OCA avers that this charge reflects significant movement toward customer costs while recognizing </w:t>
      </w:r>
      <w:r w:rsidR="009D7956">
        <w:rPr>
          <w:rFonts w:ascii="Times New Roman" w:hAnsi="Times New Roman"/>
          <w:sz w:val="26"/>
          <w:szCs w:val="24"/>
        </w:rPr>
        <w:lastRenderedPageBreak/>
        <w:t>the need for gradualism and avoiding rate shock.  The OCA also avers that, by not unduly increasing the customer charge and reflecting costs in the commodity charge, customers have an increased incentive to conserve.  OCA Statement in Support at 7.</w:t>
      </w:r>
      <w:r w:rsidR="00670654">
        <w:rPr>
          <w:rFonts w:ascii="Times New Roman" w:hAnsi="Times New Roman"/>
          <w:sz w:val="26"/>
          <w:szCs w:val="24"/>
        </w:rPr>
        <w:t xml:space="preserve">  </w:t>
      </w:r>
    </w:p>
    <w:p w:rsidR="000E624F" w:rsidRDefault="000E624F" w:rsidP="009932E3">
      <w:pPr>
        <w:spacing w:after="0" w:line="360" w:lineRule="auto"/>
        <w:rPr>
          <w:rFonts w:ascii="Times New Roman" w:hAnsi="Times New Roman"/>
          <w:sz w:val="26"/>
          <w:szCs w:val="24"/>
        </w:rPr>
      </w:pPr>
    </w:p>
    <w:p w:rsidR="00450F32" w:rsidRPr="00E26044" w:rsidRDefault="000E624F" w:rsidP="009932E3">
      <w:pPr>
        <w:spacing w:after="0" w:line="360" w:lineRule="auto"/>
        <w:ind w:firstLine="1440"/>
        <w:rPr>
          <w:rFonts w:ascii="Times New Roman" w:hAnsi="Times New Roman"/>
          <w:sz w:val="26"/>
          <w:szCs w:val="24"/>
        </w:rPr>
      </w:pPr>
      <w:r>
        <w:rPr>
          <w:rFonts w:ascii="Times New Roman" w:hAnsi="Times New Roman"/>
          <w:sz w:val="26"/>
          <w:szCs w:val="24"/>
        </w:rPr>
        <w:t xml:space="preserve">With respect to the customer charges agreed upon for the SGS customers, </w:t>
      </w:r>
      <w:r w:rsidR="00926F8E">
        <w:rPr>
          <w:rFonts w:ascii="Times New Roman" w:hAnsi="Times New Roman"/>
          <w:sz w:val="26"/>
          <w:szCs w:val="24"/>
        </w:rPr>
        <w:t xml:space="preserve"> </w:t>
      </w:r>
      <w:r>
        <w:rPr>
          <w:rFonts w:ascii="Times New Roman" w:hAnsi="Times New Roman"/>
          <w:sz w:val="26"/>
          <w:szCs w:val="24"/>
        </w:rPr>
        <w:t xml:space="preserve">as </w:t>
      </w:r>
      <w:r w:rsidR="00926F8E">
        <w:rPr>
          <w:rFonts w:ascii="Times New Roman" w:hAnsi="Times New Roman"/>
          <w:sz w:val="26"/>
          <w:szCs w:val="24"/>
        </w:rPr>
        <w:t>the Company state</w:t>
      </w:r>
      <w:r w:rsidR="00373B8D">
        <w:rPr>
          <w:rFonts w:ascii="Times New Roman" w:hAnsi="Times New Roman"/>
          <w:sz w:val="26"/>
          <w:szCs w:val="24"/>
        </w:rPr>
        <w:t>s</w:t>
      </w:r>
      <w:r>
        <w:rPr>
          <w:rFonts w:ascii="Times New Roman" w:hAnsi="Times New Roman"/>
          <w:sz w:val="26"/>
          <w:szCs w:val="24"/>
        </w:rPr>
        <w:t xml:space="preserve">, </w:t>
      </w:r>
      <w:r w:rsidR="00926F8E">
        <w:rPr>
          <w:rFonts w:ascii="Times New Roman" w:hAnsi="Times New Roman"/>
          <w:sz w:val="26"/>
          <w:szCs w:val="24"/>
        </w:rPr>
        <w:t xml:space="preserve">the customer charge of $35 per month for SGS-I customers under the Settlement is below the Company’s filed proposal of $40 per month and equal to the OSBA’s revised customer charge for those customers.  </w:t>
      </w:r>
      <w:r w:rsidR="00A144BD">
        <w:rPr>
          <w:rFonts w:ascii="Times New Roman" w:hAnsi="Times New Roman"/>
          <w:sz w:val="26"/>
          <w:szCs w:val="24"/>
        </w:rPr>
        <w:t xml:space="preserve">OSBA St. 1-SR at 25; </w:t>
      </w:r>
      <w:r w:rsidR="001C58FD">
        <w:rPr>
          <w:rFonts w:ascii="Times New Roman" w:hAnsi="Times New Roman"/>
          <w:sz w:val="26"/>
          <w:szCs w:val="24"/>
        </w:rPr>
        <w:t xml:space="preserve">Peoples TWP Statement in Support at 14.  </w:t>
      </w:r>
      <w:r w:rsidR="00926F8E">
        <w:rPr>
          <w:rFonts w:ascii="Times New Roman" w:hAnsi="Times New Roman"/>
          <w:sz w:val="26"/>
          <w:szCs w:val="24"/>
        </w:rPr>
        <w:t>The customer charge for SGS-II customers under the Settlement is $65 per month, which is below the Company’s proposal of $7</w:t>
      </w:r>
      <w:r w:rsidR="001C58FD">
        <w:rPr>
          <w:rFonts w:ascii="Times New Roman" w:hAnsi="Times New Roman"/>
          <w:sz w:val="26"/>
          <w:szCs w:val="24"/>
        </w:rPr>
        <w:t>0</w:t>
      </w:r>
      <w:r w:rsidR="00926F8E">
        <w:rPr>
          <w:rFonts w:ascii="Times New Roman" w:hAnsi="Times New Roman"/>
          <w:sz w:val="26"/>
          <w:szCs w:val="24"/>
        </w:rPr>
        <w:t xml:space="preserve"> per month but above the amount of $55 per month in </w:t>
      </w:r>
      <w:r w:rsidR="001E5520">
        <w:rPr>
          <w:rFonts w:ascii="Times New Roman" w:hAnsi="Times New Roman"/>
          <w:sz w:val="26"/>
          <w:szCs w:val="24"/>
        </w:rPr>
        <w:t xml:space="preserve">the </w:t>
      </w:r>
      <w:r w:rsidR="00926F8E">
        <w:rPr>
          <w:rFonts w:ascii="Times New Roman" w:hAnsi="Times New Roman"/>
          <w:sz w:val="26"/>
          <w:szCs w:val="24"/>
        </w:rPr>
        <w:t xml:space="preserve">OSBA’s rebuttal testimony.  </w:t>
      </w:r>
      <w:r w:rsidR="001C58FD" w:rsidRPr="001C58FD">
        <w:rPr>
          <w:rFonts w:ascii="Times New Roman" w:hAnsi="Times New Roman"/>
          <w:i/>
          <w:sz w:val="26"/>
          <w:szCs w:val="24"/>
        </w:rPr>
        <w:t>Id</w:t>
      </w:r>
      <w:r w:rsidR="001C58FD">
        <w:rPr>
          <w:rFonts w:ascii="Times New Roman" w:hAnsi="Times New Roman"/>
          <w:sz w:val="26"/>
          <w:szCs w:val="24"/>
        </w:rPr>
        <w:t xml:space="preserve">.  </w:t>
      </w:r>
      <w:r w:rsidR="005A400D">
        <w:rPr>
          <w:rFonts w:ascii="Times New Roman" w:hAnsi="Times New Roman"/>
          <w:sz w:val="26"/>
          <w:szCs w:val="24"/>
        </w:rPr>
        <w:t xml:space="preserve">With respect to the MGS customer charges under the Settlement, </w:t>
      </w:r>
      <w:r w:rsidR="00926F8E">
        <w:rPr>
          <w:rFonts w:ascii="Times New Roman" w:hAnsi="Times New Roman"/>
          <w:sz w:val="26"/>
          <w:szCs w:val="24"/>
        </w:rPr>
        <w:t>the MGS-I customer charge is $75 per month, and the MGS-II customer charge is $175 per month, both of which are below the Company’s proposals of $80</w:t>
      </w:r>
      <w:r w:rsidR="00564E87">
        <w:rPr>
          <w:rFonts w:ascii="Times New Roman" w:hAnsi="Times New Roman"/>
          <w:sz w:val="26"/>
          <w:szCs w:val="24"/>
        </w:rPr>
        <w:t xml:space="preserve"> and $200 per month, respectively, and above the OSBA’s proposals of $70 and $150 per month, respectively.</w:t>
      </w:r>
      <w:r w:rsidR="00926F8E">
        <w:rPr>
          <w:rFonts w:ascii="Times New Roman" w:hAnsi="Times New Roman"/>
          <w:sz w:val="26"/>
          <w:szCs w:val="24"/>
        </w:rPr>
        <w:t xml:space="preserve">  </w:t>
      </w:r>
      <w:r w:rsidR="001C58FD">
        <w:rPr>
          <w:rFonts w:ascii="Times New Roman" w:hAnsi="Times New Roman"/>
          <w:sz w:val="26"/>
          <w:szCs w:val="24"/>
        </w:rPr>
        <w:t xml:space="preserve">Peoples TWP St. </w:t>
      </w:r>
      <w:r w:rsidR="00CB38CD">
        <w:rPr>
          <w:rFonts w:ascii="Times New Roman" w:hAnsi="Times New Roman"/>
          <w:sz w:val="26"/>
          <w:szCs w:val="24"/>
        </w:rPr>
        <w:t xml:space="preserve">13 at 15; OSBA St. 1-SR at 26. </w:t>
      </w:r>
      <w:r w:rsidR="001C58FD">
        <w:rPr>
          <w:rFonts w:ascii="Times New Roman" w:hAnsi="Times New Roman"/>
          <w:sz w:val="26"/>
          <w:szCs w:val="24"/>
        </w:rPr>
        <w:t xml:space="preserve"> </w:t>
      </w:r>
      <w:r w:rsidR="00670654">
        <w:rPr>
          <w:rFonts w:ascii="Times New Roman" w:hAnsi="Times New Roman"/>
          <w:sz w:val="26"/>
          <w:szCs w:val="24"/>
        </w:rPr>
        <w:t>Based on our review of the various customer charges, we conclude that they reflect a compromise of the Joint Petitioners’ proposals an</w:t>
      </w:r>
      <w:r w:rsidR="00CB38CD">
        <w:rPr>
          <w:rFonts w:ascii="Times New Roman" w:hAnsi="Times New Roman"/>
          <w:sz w:val="26"/>
          <w:szCs w:val="24"/>
        </w:rPr>
        <w:t xml:space="preserve">d are in the public interest.  </w:t>
      </w:r>
    </w:p>
    <w:p w:rsidR="00060A11" w:rsidRPr="00BE2308" w:rsidRDefault="00060A11" w:rsidP="009932E3">
      <w:pPr>
        <w:spacing w:after="0" w:line="360" w:lineRule="auto"/>
        <w:rPr>
          <w:rFonts w:ascii="Times New Roman" w:hAnsi="Times New Roman"/>
          <w:sz w:val="26"/>
          <w:szCs w:val="26"/>
        </w:rPr>
      </w:pPr>
    </w:p>
    <w:p w:rsidR="004055C3" w:rsidRPr="007918C9" w:rsidRDefault="007918C9" w:rsidP="00F87633">
      <w:pPr>
        <w:spacing w:after="0" w:line="360" w:lineRule="auto"/>
        <w:ind w:firstLine="720"/>
        <w:rPr>
          <w:rFonts w:ascii="Times New Roman Bold" w:hAnsi="Times New Roman Bold"/>
          <w:sz w:val="26"/>
          <w:szCs w:val="24"/>
        </w:rPr>
      </w:pPr>
      <w:r w:rsidRPr="007918C9">
        <w:rPr>
          <w:rFonts w:ascii="Times New Roman Bold" w:hAnsi="Times New Roman Bold"/>
          <w:b/>
          <w:sz w:val="26"/>
          <w:szCs w:val="24"/>
        </w:rPr>
        <w:t>3.</w:t>
      </w:r>
      <w:r w:rsidRPr="007918C9">
        <w:rPr>
          <w:rFonts w:ascii="Times New Roman Bold" w:hAnsi="Times New Roman Bold"/>
          <w:b/>
          <w:sz w:val="26"/>
          <w:szCs w:val="24"/>
        </w:rPr>
        <w:tab/>
        <w:t xml:space="preserve">Universal Service and </w:t>
      </w:r>
      <w:r>
        <w:rPr>
          <w:rFonts w:ascii="Times New Roman Bold" w:hAnsi="Times New Roman Bold"/>
          <w:b/>
          <w:sz w:val="26"/>
          <w:szCs w:val="24"/>
        </w:rPr>
        <w:t xml:space="preserve">Conservation </w:t>
      </w:r>
      <w:r w:rsidR="004055C3" w:rsidRPr="007918C9">
        <w:rPr>
          <w:rFonts w:ascii="Times New Roman Bold" w:hAnsi="Times New Roman Bold"/>
          <w:sz w:val="26"/>
          <w:szCs w:val="24"/>
        </w:rPr>
        <w:tab/>
      </w:r>
    </w:p>
    <w:p w:rsidR="007E389F" w:rsidRPr="00BE2308" w:rsidRDefault="007E389F" w:rsidP="009932E3">
      <w:pPr>
        <w:spacing w:after="0" w:line="360" w:lineRule="auto"/>
        <w:rPr>
          <w:rFonts w:ascii="Times New Roman" w:hAnsi="Times New Roman"/>
          <w:sz w:val="26"/>
          <w:szCs w:val="26"/>
        </w:rPr>
      </w:pPr>
    </w:p>
    <w:p w:rsidR="007E389F" w:rsidRDefault="007E389F" w:rsidP="009932E3">
      <w:pPr>
        <w:spacing w:after="0" w:line="360" w:lineRule="auto"/>
        <w:rPr>
          <w:rFonts w:ascii="Times New Roman Bold" w:hAnsi="Times New Roman Bold"/>
          <w:b/>
          <w:sz w:val="26"/>
          <w:szCs w:val="26"/>
        </w:rPr>
      </w:pPr>
      <w:r w:rsidRPr="007E389F">
        <w:rPr>
          <w:rFonts w:ascii="Times New Roman Bold" w:hAnsi="Times New Roman Bold"/>
          <w:b/>
          <w:sz w:val="26"/>
          <w:szCs w:val="26"/>
        </w:rPr>
        <w:tab/>
      </w:r>
      <w:r w:rsidRPr="007E389F">
        <w:rPr>
          <w:rFonts w:ascii="Times New Roman Bold" w:hAnsi="Times New Roman Bold"/>
          <w:b/>
          <w:sz w:val="26"/>
          <w:szCs w:val="26"/>
        </w:rPr>
        <w:tab/>
        <w:t>a.</w:t>
      </w:r>
      <w:r w:rsidRPr="007E389F">
        <w:rPr>
          <w:rFonts w:ascii="Times New Roman Bold" w:hAnsi="Times New Roman Bold"/>
          <w:b/>
          <w:sz w:val="26"/>
          <w:szCs w:val="26"/>
        </w:rPr>
        <w:tab/>
      </w:r>
      <w:r>
        <w:rPr>
          <w:rFonts w:ascii="Times New Roman Bold" w:hAnsi="Times New Roman Bold"/>
          <w:b/>
          <w:sz w:val="26"/>
          <w:szCs w:val="26"/>
        </w:rPr>
        <w:t xml:space="preserve">ALJ’s Recommended Decision </w:t>
      </w:r>
    </w:p>
    <w:p w:rsidR="007E389F" w:rsidRPr="007E389F" w:rsidRDefault="003B1AC2" w:rsidP="009932E3">
      <w:pPr>
        <w:spacing w:after="0" w:line="360" w:lineRule="auto"/>
        <w:rPr>
          <w:rFonts w:ascii="Times New Roman Bold" w:hAnsi="Times New Roman Bold"/>
          <w:b/>
          <w:sz w:val="26"/>
          <w:szCs w:val="26"/>
        </w:rPr>
      </w:pPr>
      <w:r w:rsidRPr="007E389F">
        <w:rPr>
          <w:rFonts w:ascii="Times New Roman Bold" w:hAnsi="Times New Roman Bold"/>
          <w:b/>
          <w:sz w:val="26"/>
          <w:szCs w:val="26"/>
        </w:rPr>
        <w:tab/>
      </w:r>
    </w:p>
    <w:p w:rsidR="008E60D1" w:rsidRDefault="003B1AC2" w:rsidP="009932E3">
      <w:pPr>
        <w:spacing w:after="0" w:line="360" w:lineRule="auto"/>
        <w:rPr>
          <w:rFonts w:ascii="Times New Roman" w:hAnsi="Times New Roman"/>
          <w:sz w:val="26"/>
          <w:szCs w:val="24"/>
        </w:rPr>
      </w:pPr>
      <w:r>
        <w:rPr>
          <w:b/>
          <w:sz w:val="26"/>
          <w:szCs w:val="26"/>
        </w:rPr>
        <w:tab/>
      </w:r>
      <w:r w:rsidR="007E389F">
        <w:rPr>
          <w:b/>
          <w:sz w:val="26"/>
          <w:szCs w:val="26"/>
        </w:rPr>
        <w:tab/>
      </w:r>
      <w:r w:rsidR="007E389F" w:rsidRPr="007E389F">
        <w:rPr>
          <w:rFonts w:ascii="Times New Roman" w:hAnsi="Times New Roman"/>
          <w:sz w:val="26"/>
          <w:szCs w:val="26"/>
        </w:rPr>
        <w:t>The</w:t>
      </w:r>
      <w:r w:rsidR="007E389F">
        <w:rPr>
          <w:b/>
          <w:sz w:val="26"/>
          <w:szCs w:val="26"/>
        </w:rPr>
        <w:t xml:space="preserve"> </w:t>
      </w:r>
      <w:r w:rsidR="007E389F">
        <w:rPr>
          <w:rFonts w:ascii="Times New Roman" w:hAnsi="Times New Roman"/>
          <w:sz w:val="26"/>
          <w:szCs w:val="26"/>
        </w:rPr>
        <w:t xml:space="preserve">ALJ discussed the various changes to the Company’s </w:t>
      </w:r>
      <w:r w:rsidR="007E389F" w:rsidRPr="007E389F">
        <w:rPr>
          <w:rFonts w:ascii="Times New Roman" w:hAnsi="Times New Roman"/>
          <w:sz w:val="26"/>
          <w:szCs w:val="24"/>
        </w:rPr>
        <w:t xml:space="preserve">Universal Service and </w:t>
      </w:r>
      <w:r w:rsidR="00E33190">
        <w:rPr>
          <w:rFonts w:ascii="Times New Roman" w:hAnsi="Times New Roman"/>
          <w:sz w:val="26"/>
          <w:szCs w:val="24"/>
        </w:rPr>
        <w:t>c</w:t>
      </w:r>
      <w:r w:rsidR="007E389F" w:rsidRPr="007E389F">
        <w:rPr>
          <w:rFonts w:ascii="Times New Roman" w:hAnsi="Times New Roman"/>
          <w:sz w:val="26"/>
          <w:szCs w:val="24"/>
        </w:rPr>
        <w:t>onservation programs</w:t>
      </w:r>
      <w:r w:rsidR="007E389F">
        <w:rPr>
          <w:rFonts w:ascii="Times New Roman" w:hAnsi="Times New Roman"/>
          <w:sz w:val="26"/>
          <w:szCs w:val="24"/>
        </w:rPr>
        <w:t xml:space="preserve"> under the Settlement, including </w:t>
      </w:r>
      <w:r w:rsidR="007E389F" w:rsidRPr="007E389F">
        <w:rPr>
          <w:rFonts w:ascii="Times New Roman" w:hAnsi="Times New Roman"/>
          <w:sz w:val="26"/>
          <w:szCs w:val="24"/>
        </w:rPr>
        <w:t xml:space="preserve">forgiving pre-program arrearages over a </w:t>
      </w:r>
      <w:r w:rsidR="007E389F">
        <w:rPr>
          <w:rFonts w:ascii="Times New Roman" w:hAnsi="Times New Roman"/>
          <w:sz w:val="26"/>
          <w:szCs w:val="24"/>
        </w:rPr>
        <w:t>thirty-six m</w:t>
      </w:r>
      <w:r w:rsidR="007E389F" w:rsidRPr="007E389F">
        <w:rPr>
          <w:rFonts w:ascii="Times New Roman" w:hAnsi="Times New Roman"/>
          <w:sz w:val="26"/>
          <w:szCs w:val="24"/>
        </w:rPr>
        <w:t>onth period</w:t>
      </w:r>
      <w:r w:rsidR="007E389F">
        <w:rPr>
          <w:rFonts w:ascii="Times New Roman" w:hAnsi="Times New Roman"/>
          <w:sz w:val="26"/>
          <w:szCs w:val="24"/>
        </w:rPr>
        <w:t xml:space="preserve"> that </w:t>
      </w:r>
      <w:r w:rsidR="007E389F" w:rsidRPr="007E389F">
        <w:rPr>
          <w:rFonts w:ascii="Times New Roman" w:hAnsi="Times New Roman"/>
          <w:sz w:val="26"/>
          <w:szCs w:val="24"/>
        </w:rPr>
        <w:t>will be applied when a CAP customer makes a full monthly CAP payment which brings the CAP payment plan up-to-date</w:t>
      </w:r>
      <w:r w:rsidR="007E389F">
        <w:rPr>
          <w:rFonts w:ascii="Times New Roman" w:hAnsi="Times New Roman"/>
          <w:sz w:val="26"/>
          <w:szCs w:val="24"/>
        </w:rPr>
        <w:t xml:space="preserve">; </w:t>
      </w:r>
      <w:r w:rsidR="006321C2">
        <w:rPr>
          <w:rFonts w:ascii="Times New Roman" w:hAnsi="Times New Roman"/>
          <w:sz w:val="26"/>
          <w:szCs w:val="24"/>
        </w:rPr>
        <w:t>allowing</w:t>
      </w:r>
      <w:r w:rsidR="007E389F" w:rsidRPr="007E389F">
        <w:rPr>
          <w:rFonts w:ascii="Times New Roman" w:hAnsi="Times New Roman"/>
          <w:sz w:val="26"/>
          <w:szCs w:val="24"/>
        </w:rPr>
        <w:t xml:space="preserve"> delinquent CAP customers </w:t>
      </w:r>
      <w:r w:rsidR="006321C2">
        <w:rPr>
          <w:rFonts w:ascii="Times New Roman" w:hAnsi="Times New Roman"/>
          <w:sz w:val="26"/>
          <w:szCs w:val="24"/>
        </w:rPr>
        <w:t>to remain in</w:t>
      </w:r>
      <w:r w:rsidR="007E389F" w:rsidRPr="007E389F">
        <w:rPr>
          <w:rFonts w:ascii="Times New Roman" w:hAnsi="Times New Roman"/>
          <w:sz w:val="26"/>
          <w:szCs w:val="24"/>
        </w:rPr>
        <w:t xml:space="preserve"> CAP </w:t>
      </w:r>
      <w:r w:rsidR="006321C2">
        <w:rPr>
          <w:rFonts w:ascii="Times New Roman" w:hAnsi="Times New Roman"/>
          <w:sz w:val="26"/>
          <w:szCs w:val="24"/>
        </w:rPr>
        <w:t>and</w:t>
      </w:r>
      <w:r w:rsidR="007E389F" w:rsidRPr="007E389F">
        <w:rPr>
          <w:rFonts w:ascii="Times New Roman" w:hAnsi="Times New Roman"/>
          <w:sz w:val="26"/>
          <w:szCs w:val="24"/>
        </w:rPr>
        <w:t xml:space="preserve"> not be subject to late payment penalties</w:t>
      </w:r>
      <w:r w:rsidR="006321C2">
        <w:rPr>
          <w:rFonts w:ascii="Times New Roman" w:hAnsi="Times New Roman"/>
          <w:sz w:val="26"/>
          <w:szCs w:val="24"/>
        </w:rPr>
        <w:t xml:space="preserve">; and </w:t>
      </w:r>
      <w:r w:rsidR="0010676F">
        <w:rPr>
          <w:rFonts w:ascii="Times New Roman" w:hAnsi="Times New Roman"/>
          <w:sz w:val="26"/>
          <w:szCs w:val="24"/>
        </w:rPr>
        <w:t xml:space="preserve">changes </w:t>
      </w:r>
      <w:r w:rsidR="007E389F" w:rsidRPr="007E389F">
        <w:rPr>
          <w:rFonts w:ascii="Times New Roman" w:hAnsi="Times New Roman"/>
          <w:sz w:val="26"/>
          <w:szCs w:val="24"/>
        </w:rPr>
        <w:t xml:space="preserve">to the recertification requirement.  </w:t>
      </w:r>
      <w:r w:rsidR="0010676F">
        <w:rPr>
          <w:rFonts w:ascii="Times New Roman" w:hAnsi="Times New Roman"/>
          <w:sz w:val="26"/>
          <w:szCs w:val="24"/>
        </w:rPr>
        <w:t xml:space="preserve">The ALJ determined </w:t>
      </w:r>
      <w:r w:rsidR="0010676F">
        <w:rPr>
          <w:rFonts w:ascii="Times New Roman" w:hAnsi="Times New Roman"/>
          <w:sz w:val="26"/>
          <w:szCs w:val="24"/>
        </w:rPr>
        <w:lastRenderedPageBreak/>
        <w:t>that t</w:t>
      </w:r>
      <w:r w:rsidR="007E389F" w:rsidRPr="007E389F">
        <w:rPr>
          <w:rFonts w:ascii="Times New Roman" w:hAnsi="Times New Roman"/>
          <w:sz w:val="26"/>
          <w:szCs w:val="24"/>
        </w:rPr>
        <w:t xml:space="preserve">hese changes are in the public interest </w:t>
      </w:r>
      <w:r w:rsidR="0010676F">
        <w:rPr>
          <w:rFonts w:ascii="Times New Roman" w:hAnsi="Times New Roman"/>
          <w:sz w:val="26"/>
          <w:szCs w:val="24"/>
        </w:rPr>
        <w:t xml:space="preserve">because </w:t>
      </w:r>
      <w:r w:rsidR="007E389F" w:rsidRPr="007E389F">
        <w:rPr>
          <w:rFonts w:ascii="Times New Roman" w:hAnsi="Times New Roman"/>
          <w:sz w:val="26"/>
          <w:szCs w:val="24"/>
        </w:rPr>
        <w:t>they improve the Company’s operation of CAP and make it easier for CAP customers to become current on their CAP payment plan</w:t>
      </w:r>
      <w:r w:rsidR="0010676F">
        <w:rPr>
          <w:rFonts w:ascii="Times New Roman" w:hAnsi="Times New Roman"/>
          <w:sz w:val="26"/>
          <w:szCs w:val="24"/>
        </w:rPr>
        <w:t>s</w:t>
      </w:r>
      <w:r w:rsidR="007E389F" w:rsidRPr="007E389F">
        <w:rPr>
          <w:rFonts w:ascii="Times New Roman" w:hAnsi="Times New Roman"/>
          <w:sz w:val="26"/>
          <w:szCs w:val="24"/>
        </w:rPr>
        <w:t xml:space="preserve"> if they happen to fall behind in some of those payments.</w:t>
      </w:r>
      <w:r w:rsidR="0010676F">
        <w:rPr>
          <w:rFonts w:ascii="Times New Roman" w:hAnsi="Times New Roman"/>
          <w:sz w:val="26"/>
          <w:szCs w:val="24"/>
        </w:rPr>
        <w:t xml:space="preserve">  R.D. at 63.</w:t>
      </w:r>
      <w:r w:rsidR="007E389F" w:rsidRPr="007E389F">
        <w:rPr>
          <w:rFonts w:ascii="Times New Roman" w:hAnsi="Times New Roman"/>
          <w:sz w:val="26"/>
          <w:szCs w:val="24"/>
        </w:rPr>
        <w:t xml:space="preserve"> </w:t>
      </w:r>
    </w:p>
    <w:p w:rsidR="007E389F" w:rsidRPr="007E389F" w:rsidRDefault="007E389F" w:rsidP="009932E3">
      <w:pPr>
        <w:spacing w:after="0" w:line="360" w:lineRule="auto"/>
        <w:rPr>
          <w:rFonts w:ascii="Times New Roman" w:hAnsi="Times New Roman"/>
          <w:sz w:val="26"/>
          <w:szCs w:val="24"/>
        </w:rPr>
      </w:pPr>
      <w:r w:rsidRPr="007E389F">
        <w:rPr>
          <w:rFonts w:ascii="Times New Roman" w:hAnsi="Times New Roman"/>
          <w:sz w:val="26"/>
          <w:szCs w:val="24"/>
        </w:rPr>
        <w:t xml:space="preserve"> </w:t>
      </w:r>
    </w:p>
    <w:p w:rsidR="0012075D" w:rsidRDefault="007E389F" w:rsidP="009932E3">
      <w:pPr>
        <w:spacing w:after="0" w:line="360" w:lineRule="auto"/>
        <w:rPr>
          <w:rFonts w:ascii="Times New Roman" w:hAnsi="Times New Roman"/>
          <w:sz w:val="26"/>
          <w:szCs w:val="24"/>
        </w:rPr>
      </w:pPr>
      <w:r w:rsidRPr="007E389F">
        <w:rPr>
          <w:rFonts w:ascii="Times New Roman" w:hAnsi="Times New Roman"/>
          <w:sz w:val="26"/>
          <w:szCs w:val="24"/>
        </w:rPr>
        <w:tab/>
      </w:r>
      <w:r w:rsidRPr="007E389F">
        <w:rPr>
          <w:rFonts w:ascii="Times New Roman" w:hAnsi="Times New Roman"/>
          <w:sz w:val="26"/>
          <w:szCs w:val="24"/>
        </w:rPr>
        <w:tab/>
      </w:r>
      <w:r w:rsidR="0010676F">
        <w:rPr>
          <w:rFonts w:ascii="Times New Roman" w:hAnsi="Times New Roman"/>
          <w:sz w:val="26"/>
          <w:szCs w:val="24"/>
        </w:rPr>
        <w:t>With respect to the provision in t</w:t>
      </w:r>
      <w:r w:rsidRPr="007E389F">
        <w:rPr>
          <w:rFonts w:ascii="Times New Roman" w:hAnsi="Times New Roman"/>
          <w:sz w:val="26"/>
          <w:szCs w:val="24"/>
        </w:rPr>
        <w:t xml:space="preserve">he Settlement </w:t>
      </w:r>
      <w:r w:rsidR="0010676F">
        <w:rPr>
          <w:rFonts w:ascii="Times New Roman" w:hAnsi="Times New Roman"/>
          <w:sz w:val="26"/>
          <w:szCs w:val="24"/>
        </w:rPr>
        <w:t xml:space="preserve">that </w:t>
      </w:r>
      <w:r w:rsidRPr="007E389F">
        <w:rPr>
          <w:rFonts w:ascii="Times New Roman" w:hAnsi="Times New Roman"/>
          <w:sz w:val="26"/>
          <w:szCs w:val="24"/>
        </w:rPr>
        <w:t>calls for increased funding to LIURP</w:t>
      </w:r>
      <w:r w:rsidR="0010676F">
        <w:rPr>
          <w:rFonts w:ascii="Times New Roman" w:hAnsi="Times New Roman"/>
          <w:sz w:val="26"/>
          <w:szCs w:val="24"/>
        </w:rPr>
        <w:t>,</w:t>
      </w:r>
      <w:r w:rsidRPr="007E389F">
        <w:rPr>
          <w:rFonts w:ascii="Times New Roman" w:hAnsi="Times New Roman"/>
          <w:sz w:val="26"/>
          <w:szCs w:val="24"/>
        </w:rPr>
        <w:t xml:space="preserve"> with up to 20% of the LIURP budget being used to help customers with incomes </w:t>
      </w:r>
      <w:r w:rsidR="0010676F">
        <w:rPr>
          <w:rFonts w:ascii="Times New Roman" w:hAnsi="Times New Roman"/>
          <w:sz w:val="26"/>
          <w:szCs w:val="24"/>
        </w:rPr>
        <w:t>between</w:t>
      </w:r>
      <w:r w:rsidRPr="007E389F">
        <w:rPr>
          <w:rFonts w:ascii="Times New Roman" w:hAnsi="Times New Roman"/>
          <w:sz w:val="26"/>
          <w:szCs w:val="24"/>
        </w:rPr>
        <w:t xml:space="preserve"> 15</w:t>
      </w:r>
      <w:r w:rsidR="00F87633">
        <w:rPr>
          <w:rFonts w:ascii="Times New Roman" w:hAnsi="Times New Roman"/>
          <w:sz w:val="26"/>
          <w:szCs w:val="24"/>
        </w:rPr>
        <w:t>1</w:t>
      </w:r>
      <w:r w:rsidRPr="007E389F">
        <w:rPr>
          <w:rFonts w:ascii="Times New Roman" w:hAnsi="Times New Roman"/>
          <w:sz w:val="26"/>
          <w:szCs w:val="24"/>
        </w:rPr>
        <w:t xml:space="preserve">% </w:t>
      </w:r>
      <w:r w:rsidR="00F87633">
        <w:rPr>
          <w:rFonts w:ascii="Times New Roman" w:hAnsi="Times New Roman"/>
          <w:sz w:val="26"/>
          <w:szCs w:val="24"/>
        </w:rPr>
        <w:t xml:space="preserve">and </w:t>
      </w:r>
      <w:r w:rsidRPr="007E389F">
        <w:rPr>
          <w:rFonts w:ascii="Times New Roman" w:hAnsi="Times New Roman"/>
          <w:sz w:val="26"/>
          <w:szCs w:val="24"/>
        </w:rPr>
        <w:t>200% of the Federal Poverty Level</w:t>
      </w:r>
      <w:r w:rsidR="0010676F">
        <w:rPr>
          <w:rFonts w:ascii="Times New Roman" w:hAnsi="Times New Roman"/>
          <w:sz w:val="26"/>
          <w:szCs w:val="24"/>
        </w:rPr>
        <w:t>, the ALJ found that t</w:t>
      </w:r>
      <w:r w:rsidRPr="007E389F">
        <w:rPr>
          <w:rFonts w:ascii="Times New Roman" w:hAnsi="Times New Roman"/>
          <w:sz w:val="26"/>
          <w:szCs w:val="24"/>
        </w:rPr>
        <w:t>his provision is in the public interest</w:t>
      </w:r>
      <w:r w:rsidR="0010676F">
        <w:rPr>
          <w:rFonts w:ascii="Times New Roman" w:hAnsi="Times New Roman"/>
          <w:sz w:val="26"/>
          <w:szCs w:val="24"/>
        </w:rPr>
        <w:t xml:space="preserve"> since</w:t>
      </w:r>
      <w:r w:rsidRPr="007E389F">
        <w:rPr>
          <w:rFonts w:ascii="Times New Roman" w:hAnsi="Times New Roman"/>
          <w:sz w:val="26"/>
          <w:szCs w:val="24"/>
        </w:rPr>
        <w:t xml:space="preserve"> it will aid CAP customers </w:t>
      </w:r>
      <w:r w:rsidR="0010676F">
        <w:rPr>
          <w:rFonts w:ascii="Times New Roman" w:hAnsi="Times New Roman"/>
          <w:sz w:val="26"/>
          <w:szCs w:val="24"/>
        </w:rPr>
        <w:t>and</w:t>
      </w:r>
      <w:r w:rsidRPr="007E389F">
        <w:rPr>
          <w:rFonts w:ascii="Times New Roman" w:hAnsi="Times New Roman"/>
          <w:sz w:val="26"/>
          <w:szCs w:val="24"/>
        </w:rPr>
        <w:t xml:space="preserve"> low-income customers who are not CAP customers.</w:t>
      </w:r>
      <w:r w:rsidR="0010676F">
        <w:rPr>
          <w:rFonts w:ascii="Times New Roman" w:hAnsi="Times New Roman"/>
          <w:sz w:val="26"/>
          <w:szCs w:val="24"/>
        </w:rPr>
        <w:t xml:space="preserve">  Regarding the other changes, such as</w:t>
      </w:r>
      <w:r w:rsidRPr="007E389F">
        <w:rPr>
          <w:rFonts w:ascii="Times New Roman" w:hAnsi="Times New Roman"/>
          <w:sz w:val="26"/>
          <w:szCs w:val="24"/>
        </w:rPr>
        <w:t xml:space="preserve"> the implementation of the Emergency Furnace and Line Repair Program and improvements to refresh </w:t>
      </w:r>
      <w:r w:rsidR="0073597D">
        <w:rPr>
          <w:rFonts w:ascii="Times New Roman" w:hAnsi="Times New Roman"/>
          <w:sz w:val="26"/>
          <w:szCs w:val="24"/>
        </w:rPr>
        <w:t>r</w:t>
      </w:r>
      <w:r w:rsidRPr="007E389F">
        <w:rPr>
          <w:rFonts w:ascii="Times New Roman" w:hAnsi="Times New Roman"/>
          <w:sz w:val="26"/>
          <w:szCs w:val="24"/>
        </w:rPr>
        <w:t>esidential customers’ Personally Identifiable Information (PII) in its Identity Theft Program</w:t>
      </w:r>
      <w:r w:rsidR="0073597D">
        <w:rPr>
          <w:rFonts w:ascii="Times New Roman" w:hAnsi="Times New Roman"/>
          <w:sz w:val="26"/>
          <w:szCs w:val="24"/>
        </w:rPr>
        <w:t>, the ALJ concluded that t</w:t>
      </w:r>
      <w:r w:rsidRPr="007E389F">
        <w:rPr>
          <w:rFonts w:ascii="Times New Roman" w:hAnsi="Times New Roman"/>
          <w:sz w:val="26"/>
          <w:szCs w:val="24"/>
        </w:rPr>
        <w:t>hese provisions are in the public interest because they benefit low-income customers who experience expensive repair bills and protect PII through the Company’s processes as well as through the Company’s vendors’ processes.</w:t>
      </w:r>
      <w:r w:rsidR="0073597D">
        <w:rPr>
          <w:rFonts w:ascii="Times New Roman" w:hAnsi="Times New Roman"/>
          <w:sz w:val="26"/>
          <w:szCs w:val="24"/>
        </w:rPr>
        <w:t xml:space="preserve">  </w:t>
      </w:r>
      <w:r w:rsidR="0073597D" w:rsidRPr="0010676F">
        <w:rPr>
          <w:rFonts w:ascii="Times New Roman" w:hAnsi="Times New Roman"/>
          <w:i/>
          <w:sz w:val="26"/>
          <w:szCs w:val="24"/>
        </w:rPr>
        <w:t>Id</w:t>
      </w:r>
      <w:r w:rsidR="0073597D">
        <w:rPr>
          <w:rFonts w:ascii="Times New Roman" w:hAnsi="Times New Roman"/>
          <w:sz w:val="26"/>
          <w:szCs w:val="24"/>
        </w:rPr>
        <w:t>.</w:t>
      </w:r>
    </w:p>
    <w:p w:rsidR="000305B3" w:rsidRDefault="000305B3" w:rsidP="009932E3">
      <w:pPr>
        <w:spacing w:after="0" w:line="360" w:lineRule="auto"/>
        <w:rPr>
          <w:rFonts w:ascii="Times New Roman" w:hAnsi="Times New Roman"/>
          <w:sz w:val="26"/>
          <w:szCs w:val="24"/>
        </w:rPr>
      </w:pPr>
    </w:p>
    <w:p w:rsidR="000305B3" w:rsidRDefault="0012075D" w:rsidP="00243386">
      <w:pPr>
        <w:spacing w:after="0" w:line="360" w:lineRule="auto"/>
        <w:rPr>
          <w:rFonts w:ascii="Times New Roman" w:hAnsi="Times New Roman"/>
          <w:b/>
          <w:sz w:val="26"/>
          <w:szCs w:val="24"/>
        </w:rPr>
      </w:pPr>
      <w:r>
        <w:rPr>
          <w:rFonts w:ascii="Times New Roman" w:hAnsi="Times New Roman"/>
          <w:sz w:val="26"/>
          <w:szCs w:val="24"/>
        </w:rPr>
        <w:tab/>
      </w:r>
      <w:r>
        <w:rPr>
          <w:rFonts w:ascii="Times New Roman" w:hAnsi="Times New Roman"/>
          <w:sz w:val="26"/>
          <w:szCs w:val="24"/>
        </w:rPr>
        <w:tab/>
      </w:r>
      <w:r w:rsidRPr="0012075D">
        <w:rPr>
          <w:rFonts w:ascii="Times New Roman" w:hAnsi="Times New Roman"/>
          <w:b/>
          <w:sz w:val="26"/>
          <w:szCs w:val="24"/>
        </w:rPr>
        <w:t>b.</w:t>
      </w:r>
      <w:r w:rsidRPr="0012075D">
        <w:rPr>
          <w:rFonts w:ascii="Times New Roman" w:hAnsi="Times New Roman"/>
          <w:b/>
          <w:sz w:val="26"/>
          <w:szCs w:val="24"/>
        </w:rPr>
        <w:tab/>
        <w:t>Disposition</w:t>
      </w:r>
    </w:p>
    <w:p w:rsidR="007E389F" w:rsidRPr="00BE2308" w:rsidRDefault="007E389F" w:rsidP="009932E3">
      <w:pPr>
        <w:spacing w:after="0" w:line="360" w:lineRule="auto"/>
        <w:rPr>
          <w:rFonts w:ascii="Times New Roman" w:hAnsi="Times New Roman"/>
          <w:sz w:val="26"/>
          <w:szCs w:val="24"/>
        </w:rPr>
      </w:pPr>
      <w:r w:rsidRPr="00BE2308">
        <w:rPr>
          <w:rFonts w:ascii="Times New Roman" w:hAnsi="Times New Roman"/>
          <w:sz w:val="26"/>
          <w:szCs w:val="24"/>
        </w:rPr>
        <w:t xml:space="preserve">  </w:t>
      </w:r>
    </w:p>
    <w:p w:rsidR="0012075D" w:rsidRPr="00E33190" w:rsidRDefault="00E33190" w:rsidP="009932E3">
      <w:pPr>
        <w:spacing w:after="0" w:line="360" w:lineRule="auto"/>
        <w:rPr>
          <w:rFonts w:ascii="Times New Roman" w:hAnsi="Times New Roman"/>
          <w:sz w:val="26"/>
          <w:szCs w:val="24"/>
        </w:rPr>
      </w:pPr>
      <w:r>
        <w:rPr>
          <w:rFonts w:ascii="Times New Roman" w:hAnsi="Times New Roman"/>
          <w:b/>
          <w:sz w:val="26"/>
          <w:szCs w:val="24"/>
        </w:rPr>
        <w:tab/>
      </w:r>
      <w:r>
        <w:rPr>
          <w:rFonts w:ascii="Times New Roman" w:hAnsi="Times New Roman"/>
          <w:b/>
          <w:sz w:val="26"/>
          <w:szCs w:val="24"/>
        </w:rPr>
        <w:tab/>
      </w:r>
      <w:r w:rsidRPr="00E33190">
        <w:rPr>
          <w:rFonts w:ascii="Times New Roman" w:hAnsi="Times New Roman"/>
          <w:sz w:val="26"/>
          <w:szCs w:val="24"/>
        </w:rPr>
        <w:t>W</w:t>
      </w:r>
      <w:r>
        <w:rPr>
          <w:rFonts w:ascii="Times New Roman" w:hAnsi="Times New Roman"/>
          <w:sz w:val="26"/>
          <w:szCs w:val="24"/>
        </w:rPr>
        <w:t>e</w:t>
      </w:r>
      <w:r w:rsidRPr="00E33190">
        <w:rPr>
          <w:rFonts w:ascii="Times New Roman" w:hAnsi="Times New Roman"/>
          <w:sz w:val="26"/>
          <w:szCs w:val="24"/>
        </w:rPr>
        <w:t xml:space="preserve"> concur with the ALJ</w:t>
      </w:r>
      <w:r>
        <w:rPr>
          <w:rFonts w:ascii="Times New Roman" w:hAnsi="Times New Roman"/>
          <w:sz w:val="26"/>
          <w:szCs w:val="24"/>
        </w:rPr>
        <w:t>’s determination that the Settlement provisions relating to Universal Service and conservation programs are in the public interest.  Changes to the CAP will help to keep the CAP customers in the program and to keep their bills affordable, which will provide a benefit to both ratepayers and the Company as t</w:t>
      </w:r>
      <w:r w:rsidR="001E5520">
        <w:rPr>
          <w:rFonts w:ascii="Times New Roman" w:hAnsi="Times New Roman"/>
          <w:sz w:val="26"/>
          <w:szCs w:val="24"/>
        </w:rPr>
        <w:t>hose</w:t>
      </w:r>
      <w:r>
        <w:rPr>
          <w:rFonts w:ascii="Times New Roman" w:hAnsi="Times New Roman"/>
          <w:sz w:val="26"/>
          <w:szCs w:val="24"/>
        </w:rPr>
        <w:t xml:space="preserve"> </w:t>
      </w:r>
      <w:r w:rsidR="001E5520">
        <w:rPr>
          <w:rFonts w:ascii="Times New Roman" w:hAnsi="Times New Roman"/>
          <w:sz w:val="26"/>
          <w:szCs w:val="24"/>
        </w:rPr>
        <w:t xml:space="preserve">changes </w:t>
      </w:r>
      <w:r>
        <w:rPr>
          <w:rFonts w:ascii="Times New Roman" w:hAnsi="Times New Roman"/>
          <w:sz w:val="26"/>
          <w:szCs w:val="24"/>
        </w:rPr>
        <w:t>encourage CAP customers to pay their bills.</w:t>
      </w:r>
      <w:r w:rsidR="006347CE">
        <w:rPr>
          <w:rFonts w:ascii="Times New Roman" w:hAnsi="Times New Roman"/>
          <w:sz w:val="26"/>
          <w:szCs w:val="24"/>
        </w:rPr>
        <w:t xml:space="preserve">  Additionally, as the OCA stated, allowing Peoples TWP to use 20% of the LIURP funding for customers with incomes between 151</w:t>
      </w:r>
      <w:r w:rsidR="00FB0BD9">
        <w:rPr>
          <w:rFonts w:ascii="Times New Roman" w:hAnsi="Times New Roman"/>
          <w:sz w:val="26"/>
          <w:szCs w:val="24"/>
        </w:rPr>
        <w:t>%</w:t>
      </w:r>
      <w:r w:rsidR="006347CE">
        <w:rPr>
          <w:rFonts w:ascii="Times New Roman" w:hAnsi="Times New Roman"/>
          <w:sz w:val="26"/>
          <w:szCs w:val="24"/>
        </w:rPr>
        <w:t xml:space="preserve"> and 200% of the Federal Poverty Level ensures that the program is available to additional customers who </w:t>
      </w:r>
      <w:r w:rsidR="00FB0BD9">
        <w:rPr>
          <w:rFonts w:ascii="Times New Roman" w:hAnsi="Times New Roman"/>
          <w:sz w:val="26"/>
          <w:szCs w:val="24"/>
        </w:rPr>
        <w:t>may not be</w:t>
      </w:r>
      <w:r w:rsidR="006347CE">
        <w:rPr>
          <w:rFonts w:ascii="Times New Roman" w:hAnsi="Times New Roman"/>
          <w:sz w:val="26"/>
          <w:szCs w:val="24"/>
        </w:rPr>
        <w:t xml:space="preserve"> able to afford home weatherization measures on their own.  </w:t>
      </w:r>
      <w:r w:rsidR="006347CE" w:rsidRPr="006347CE">
        <w:rPr>
          <w:rFonts w:ascii="Times New Roman" w:hAnsi="Times New Roman"/>
          <w:i/>
          <w:sz w:val="26"/>
          <w:szCs w:val="24"/>
        </w:rPr>
        <w:t>See</w:t>
      </w:r>
      <w:r w:rsidR="006347CE" w:rsidRPr="006347CE">
        <w:rPr>
          <w:rFonts w:ascii="Times New Roman" w:hAnsi="Times New Roman"/>
          <w:sz w:val="26"/>
          <w:szCs w:val="24"/>
        </w:rPr>
        <w:t>,</w:t>
      </w:r>
      <w:r w:rsidR="006347CE">
        <w:rPr>
          <w:rFonts w:ascii="Times New Roman" w:hAnsi="Times New Roman"/>
          <w:sz w:val="26"/>
          <w:szCs w:val="24"/>
        </w:rPr>
        <w:t xml:space="preserve"> OCA Statement in Support at 9.  As the OCA also points out, the benefits of a fund to assist low-income customers in repairing natural gas furnaces is a step toward reducing the use of portable electric space heaters as a primary </w:t>
      </w:r>
      <w:r w:rsidR="006347CE">
        <w:rPr>
          <w:rFonts w:ascii="Times New Roman" w:hAnsi="Times New Roman"/>
          <w:sz w:val="26"/>
          <w:szCs w:val="24"/>
        </w:rPr>
        <w:lastRenderedPageBreak/>
        <w:t>heating source.</w:t>
      </w:r>
      <w:r w:rsidR="0052012D">
        <w:rPr>
          <w:rFonts w:ascii="Times New Roman" w:hAnsi="Times New Roman"/>
          <w:sz w:val="26"/>
          <w:szCs w:val="24"/>
        </w:rPr>
        <w:t xml:space="preserve">  </w:t>
      </w:r>
      <w:r w:rsidR="0052012D" w:rsidRPr="0052012D">
        <w:rPr>
          <w:rFonts w:ascii="Times New Roman" w:hAnsi="Times New Roman"/>
          <w:i/>
          <w:sz w:val="26"/>
          <w:szCs w:val="24"/>
        </w:rPr>
        <w:t>Id</w:t>
      </w:r>
      <w:r w:rsidR="0052012D">
        <w:rPr>
          <w:rFonts w:ascii="Times New Roman" w:hAnsi="Times New Roman"/>
          <w:sz w:val="26"/>
          <w:szCs w:val="24"/>
        </w:rPr>
        <w:t>.</w:t>
      </w:r>
      <w:r w:rsidR="006C3530">
        <w:rPr>
          <w:rFonts w:ascii="Times New Roman" w:hAnsi="Times New Roman"/>
          <w:sz w:val="26"/>
          <w:szCs w:val="24"/>
        </w:rPr>
        <w:t xml:space="preserve">  Further, we agree with the ALJ that the Identity Theft Program is beneficial because it aids the Company in protecting customers from identity theft.  </w:t>
      </w:r>
    </w:p>
    <w:p w:rsidR="008E60D1" w:rsidRDefault="0012075D" w:rsidP="009932E3">
      <w:pPr>
        <w:spacing w:after="0" w:line="360" w:lineRule="auto"/>
        <w:rPr>
          <w:rFonts w:ascii="Times New Roman" w:hAnsi="Times New Roman"/>
          <w:b/>
          <w:sz w:val="26"/>
          <w:szCs w:val="24"/>
        </w:rPr>
      </w:pPr>
      <w:r>
        <w:rPr>
          <w:rFonts w:ascii="Times New Roman" w:hAnsi="Times New Roman"/>
          <w:b/>
          <w:sz w:val="26"/>
          <w:szCs w:val="24"/>
        </w:rPr>
        <w:tab/>
      </w:r>
    </w:p>
    <w:p w:rsidR="00FB0BD9" w:rsidRDefault="008E60D1" w:rsidP="009932E3">
      <w:pPr>
        <w:spacing w:after="0" w:line="360" w:lineRule="auto"/>
        <w:rPr>
          <w:rFonts w:ascii="Times New Roman" w:hAnsi="Times New Roman"/>
          <w:b/>
          <w:sz w:val="26"/>
          <w:szCs w:val="24"/>
        </w:rPr>
      </w:pPr>
      <w:r>
        <w:rPr>
          <w:rFonts w:ascii="Times New Roman" w:hAnsi="Times New Roman"/>
          <w:b/>
          <w:sz w:val="26"/>
          <w:szCs w:val="24"/>
        </w:rPr>
        <w:tab/>
        <w:t>4.</w:t>
      </w:r>
      <w:r>
        <w:rPr>
          <w:rFonts w:ascii="Times New Roman" w:hAnsi="Times New Roman"/>
          <w:b/>
          <w:sz w:val="26"/>
          <w:szCs w:val="24"/>
        </w:rPr>
        <w:tab/>
        <w:t xml:space="preserve">DSIC-Related Provisions </w:t>
      </w:r>
      <w:r>
        <w:rPr>
          <w:rFonts w:ascii="Times New Roman" w:hAnsi="Times New Roman"/>
          <w:b/>
          <w:sz w:val="26"/>
          <w:szCs w:val="24"/>
        </w:rPr>
        <w:tab/>
      </w:r>
    </w:p>
    <w:p w:rsidR="0012075D" w:rsidRPr="0012075D" w:rsidRDefault="0012075D" w:rsidP="009932E3">
      <w:pPr>
        <w:spacing w:after="0" w:line="360" w:lineRule="auto"/>
        <w:rPr>
          <w:rFonts w:ascii="Times New Roman" w:hAnsi="Times New Roman"/>
          <w:b/>
          <w:sz w:val="26"/>
          <w:szCs w:val="24"/>
        </w:rPr>
      </w:pPr>
      <w:r>
        <w:rPr>
          <w:rFonts w:ascii="Times New Roman" w:hAnsi="Times New Roman"/>
          <w:b/>
          <w:sz w:val="26"/>
          <w:szCs w:val="24"/>
        </w:rPr>
        <w:tab/>
      </w:r>
    </w:p>
    <w:p w:rsidR="00EB4E0C" w:rsidRPr="00EB4E0C" w:rsidRDefault="007E389F" w:rsidP="009932E3">
      <w:pPr>
        <w:spacing w:after="0" w:line="360" w:lineRule="auto"/>
        <w:rPr>
          <w:rFonts w:ascii="Times New Roman Bold" w:hAnsi="Times New Roman Bold"/>
          <w:b/>
          <w:sz w:val="26"/>
          <w:szCs w:val="24"/>
        </w:rPr>
      </w:pPr>
      <w:r>
        <w:rPr>
          <w:rFonts w:ascii="Times New Roman" w:hAnsi="Times New Roman"/>
          <w:szCs w:val="24"/>
        </w:rPr>
        <w:tab/>
      </w:r>
      <w:r>
        <w:rPr>
          <w:rFonts w:ascii="Times New Roman" w:hAnsi="Times New Roman"/>
          <w:szCs w:val="24"/>
        </w:rPr>
        <w:tab/>
      </w:r>
      <w:r w:rsidR="00EB4E0C" w:rsidRPr="00EB4E0C">
        <w:rPr>
          <w:rFonts w:ascii="Times New Roman Bold" w:hAnsi="Times New Roman Bold"/>
          <w:b/>
          <w:sz w:val="26"/>
          <w:szCs w:val="24"/>
        </w:rPr>
        <w:t>a.</w:t>
      </w:r>
      <w:r w:rsidR="00EB4E0C" w:rsidRPr="00EB4E0C">
        <w:rPr>
          <w:rFonts w:ascii="Times New Roman Bold" w:hAnsi="Times New Roman Bold"/>
          <w:b/>
          <w:sz w:val="26"/>
          <w:szCs w:val="24"/>
        </w:rPr>
        <w:tab/>
        <w:t>ALJ’s Recommended Decision</w:t>
      </w:r>
    </w:p>
    <w:p w:rsidR="00EB4E0C" w:rsidRDefault="00EB4E0C" w:rsidP="009932E3">
      <w:pPr>
        <w:spacing w:after="0" w:line="360" w:lineRule="auto"/>
        <w:rPr>
          <w:rFonts w:ascii="Times New Roman" w:hAnsi="Times New Roman"/>
          <w:szCs w:val="24"/>
        </w:rPr>
      </w:pPr>
    </w:p>
    <w:p w:rsidR="007E389F" w:rsidRPr="008E60D1" w:rsidRDefault="00514026" w:rsidP="009932E3">
      <w:pPr>
        <w:spacing w:after="0" w:line="360" w:lineRule="auto"/>
        <w:ind w:firstLine="1440"/>
        <w:rPr>
          <w:rFonts w:ascii="Times New Roman" w:hAnsi="Times New Roman"/>
          <w:sz w:val="26"/>
          <w:szCs w:val="24"/>
        </w:rPr>
      </w:pPr>
      <w:r w:rsidRPr="00514026">
        <w:rPr>
          <w:rFonts w:ascii="Times New Roman" w:hAnsi="Times New Roman"/>
          <w:sz w:val="26"/>
          <w:szCs w:val="24"/>
        </w:rPr>
        <w:t xml:space="preserve">With respect to the </w:t>
      </w:r>
      <w:r>
        <w:rPr>
          <w:rFonts w:ascii="Times New Roman" w:hAnsi="Times New Roman"/>
          <w:sz w:val="26"/>
          <w:szCs w:val="24"/>
        </w:rPr>
        <w:t xml:space="preserve">Company’s recovery of costs under the DSIC, the ALJ addressed the concerns of </w:t>
      </w:r>
      <w:r w:rsidR="007E389F" w:rsidRPr="00514026">
        <w:rPr>
          <w:rFonts w:ascii="Times New Roman" w:hAnsi="Times New Roman"/>
          <w:sz w:val="26"/>
          <w:szCs w:val="24"/>
        </w:rPr>
        <w:t xml:space="preserve">witnesses who testified at the public input </w:t>
      </w:r>
      <w:r w:rsidR="00E20085">
        <w:rPr>
          <w:rFonts w:ascii="Times New Roman" w:hAnsi="Times New Roman"/>
          <w:sz w:val="26"/>
          <w:szCs w:val="24"/>
        </w:rPr>
        <w:t xml:space="preserve">hearings </w:t>
      </w:r>
      <w:r>
        <w:rPr>
          <w:rFonts w:ascii="Times New Roman" w:hAnsi="Times New Roman"/>
          <w:sz w:val="26"/>
          <w:szCs w:val="24"/>
        </w:rPr>
        <w:t>about</w:t>
      </w:r>
      <w:r w:rsidR="007E389F" w:rsidRPr="008E60D1">
        <w:rPr>
          <w:rFonts w:ascii="Times New Roman" w:hAnsi="Times New Roman"/>
          <w:sz w:val="26"/>
          <w:szCs w:val="24"/>
        </w:rPr>
        <w:t xml:space="preserve"> whether Peo</w:t>
      </w:r>
      <w:r>
        <w:rPr>
          <w:rFonts w:ascii="Times New Roman" w:hAnsi="Times New Roman"/>
          <w:sz w:val="26"/>
          <w:szCs w:val="24"/>
        </w:rPr>
        <w:t>p</w:t>
      </w:r>
      <w:r w:rsidR="007E389F" w:rsidRPr="008E60D1">
        <w:rPr>
          <w:rFonts w:ascii="Times New Roman" w:hAnsi="Times New Roman"/>
          <w:sz w:val="26"/>
          <w:szCs w:val="24"/>
        </w:rPr>
        <w:t>les TWP was “double-dipping” by requesting increased revenue due to infrastructure replacement within its facilities system when</w:t>
      </w:r>
      <w:r>
        <w:rPr>
          <w:rFonts w:ascii="Times New Roman" w:hAnsi="Times New Roman"/>
          <w:sz w:val="26"/>
          <w:szCs w:val="24"/>
        </w:rPr>
        <w:t xml:space="preserve">: </w:t>
      </w:r>
      <w:r w:rsidR="007E389F" w:rsidRPr="008E60D1">
        <w:rPr>
          <w:rFonts w:ascii="Times New Roman" w:hAnsi="Times New Roman"/>
          <w:sz w:val="26"/>
          <w:szCs w:val="24"/>
        </w:rPr>
        <w:t xml:space="preserve"> (1) DSIC charges already appear in customers’ monthly bills, and (2) Peoples TWP initiated a separate proceeding at Docket No. P</w:t>
      </w:r>
      <w:r w:rsidR="007E389F" w:rsidRPr="008E60D1">
        <w:rPr>
          <w:rFonts w:ascii="Times New Roman" w:hAnsi="Times New Roman"/>
          <w:sz w:val="26"/>
          <w:szCs w:val="24"/>
        </w:rPr>
        <w:noBreakHyphen/>
        <w:t xml:space="preserve">2013-2344595 soon after filing for this base rate increase in which Peoples TWP requests additional sums for infrastructure replacement costs.  </w:t>
      </w:r>
      <w:r w:rsidR="00463362">
        <w:rPr>
          <w:rFonts w:ascii="Times New Roman" w:hAnsi="Times New Roman"/>
          <w:sz w:val="26"/>
          <w:szCs w:val="24"/>
        </w:rPr>
        <w:t>The ALJ agreed with t</w:t>
      </w:r>
      <w:r w:rsidR="007E389F" w:rsidRPr="008E60D1">
        <w:rPr>
          <w:rFonts w:ascii="Times New Roman" w:hAnsi="Times New Roman"/>
          <w:sz w:val="26"/>
          <w:szCs w:val="24"/>
        </w:rPr>
        <w:t>he Company</w:t>
      </w:r>
      <w:r w:rsidR="002220DC">
        <w:rPr>
          <w:rFonts w:ascii="Times New Roman" w:hAnsi="Times New Roman"/>
          <w:sz w:val="26"/>
          <w:szCs w:val="24"/>
        </w:rPr>
        <w:t xml:space="preserve"> </w:t>
      </w:r>
      <w:r w:rsidR="007E389F" w:rsidRPr="008E60D1">
        <w:rPr>
          <w:rFonts w:ascii="Times New Roman" w:hAnsi="Times New Roman"/>
          <w:sz w:val="26"/>
          <w:szCs w:val="24"/>
        </w:rPr>
        <w:t xml:space="preserve">that </w:t>
      </w:r>
      <w:r w:rsidR="002220DC">
        <w:rPr>
          <w:rFonts w:ascii="Times New Roman" w:hAnsi="Times New Roman"/>
          <w:sz w:val="26"/>
          <w:szCs w:val="24"/>
        </w:rPr>
        <w:t>its</w:t>
      </w:r>
      <w:r w:rsidR="007E389F" w:rsidRPr="008E60D1">
        <w:rPr>
          <w:rFonts w:ascii="Times New Roman" w:hAnsi="Times New Roman"/>
          <w:sz w:val="26"/>
          <w:szCs w:val="24"/>
        </w:rPr>
        <w:t xml:space="preserve"> two requests</w:t>
      </w:r>
      <w:r w:rsidR="002220DC">
        <w:rPr>
          <w:rFonts w:ascii="Times New Roman" w:hAnsi="Times New Roman"/>
          <w:sz w:val="26"/>
          <w:szCs w:val="24"/>
        </w:rPr>
        <w:t xml:space="preserve">, </w:t>
      </w:r>
      <w:r w:rsidR="007E389F" w:rsidRPr="008E60D1">
        <w:rPr>
          <w:rFonts w:ascii="Times New Roman" w:hAnsi="Times New Roman"/>
          <w:sz w:val="26"/>
          <w:szCs w:val="24"/>
        </w:rPr>
        <w:t xml:space="preserve">first in the base rate proceeding and then in the DSIC </w:t>
      </w:r>
      <w:r w:rsidR="00E20085">
        <w:rPr>
          <w:rFonts w:ascii="Times New Roman" w:hAnsi="Times New Roman"/>
          <w:sz w:val="26"/>
          <w:szCs w:val="24"/>
        </w:rPr>
        <w:t>P</w:t>
      </w:r>
      <w:r w:rsidR="007E389F" w:rsidRPr="008E60D1">
        <w:rPr>
          <w:rFonts w:ascii="Times New Roman" w:hAnsi="Times New Roman"/>
          <w:sz w:val="26"/>
          <w:szCs w:val="24"/>
        </w:rPr>
        <w:t>roceeding</w:t>
      </w:r>
      <w:r w:rsidR="002220DC">
        <w:rPr>
          <w:rFonts w:ascii="Times New Roman" w:hAnsi="Times New Roman"/>
          <w:sz w:val="26"/>
          <w:szCs w:val="24"/>
        </w:rPr>
        <w:t>,</w:t>
      </w:r>
      <w:r w:rsidR="007E389F" w:rsidRPr="008E60D1">
        <w:rPr>
          <w:rFonts w:ascii="Times New Roman" w:hAnsi="Times New Roman"/>
          <w:sz w:val="26"/>
          <w:szCs w:val="24"/>
        </w:rPr>
        <w:t xml:space="preserve"> </w:t>
      </w:r>
      <w:r w:rsidR="002220DC">
        <w:rPr>
          <w:rFonts w:ascii="Times New Roman" w:hAnsi="Times New Roman"/>
          <w:sz w:val="26"/>
          <w:szCs w:val="24"/>
        </w:rPr>
        <w:t xml:space="preserve"> </w:t>
      </w:r>
      <w:r w:rsidR="007E389F" w:rsidRPr="008E60D1">
        <w:rPr>
          <w:rFonts w:ascii="Times New Roman" w:hAnsi="Times New Roman"/>
          <w:sz w:val="26"/>
          <w:szCs w:val="24"/>
        </w:rPr>
        <w:t xml:space="preserve">are consistent with the </w:t>
      </w:r>
      <w:r w:rsidR="002220DC">
        <w:rPr>
          <w:rFonts w:ascii="Times New Roman" w:hAnsi="Times New Roman"/>
          <w:sz w:val="26"/>
          <w:szCs w:val="24"/>
        </w:rPr>
        <w:t xml:space="preserve">DSIC </w:t>
      </w:r>
      <w:r w:rsidR="007E389F" w:rsidRPr="008E60D1">
        <w:rPr>
          <w:rFonts w:ascii="Times New Roman" w:hAnsi="Times New Roman"/>
          <w:sz w:val="26"/>
          <w:szCs w:val="24"/>
        </w:rPr>
        <w:t xml:space="preserve">structure established by the Legislature and do not constitute double-dipping. </w:t>
      </w:r>
      <w:r w:rsidR="006C0099">
        <w:rPr>
          <w:rFonts w:ascii="Times New Roman" w:hAnsi="Times New Roman"/>
          <w:sz w:val="26"/>
          <w:szCs w:val="24"/>
        </w:rPr>
        <w:t xml:space="preserve"> The ALJ explain</w:t>
      </w:r>
      <w:r w:rsidR="00566C89">
        <w:rPr>
          <w:rFonts w:ascii="Times New Roman" w:hAnsi="Times New Roman"/>
          <w:sz w:val="26"/>
          <w:szCs w:val="24"/>
        </w:rPr>
        <w:t>ed</w:t>
      </w:r>
      <w:r w:rsidR="006C0099">
        <w:rPr>
          <w:rFonts w:ascii="Times New Roman" w:hAnsi="Times New Roman"/>
          <w:sz w:val="26"/>
          <w:szCs w:val="24"/>
        </w:rPr>
        <w:t xml:space="preserve"> that the </w:t>
      </w:r>
      <w:r w:rsidR="007E389F" w:rsidRPr="008E60D1">
        <w:rPr>
          <w:rFonts w:ascii="Times New Roman" w:hAnsi="Times New Roman"/>
          <w:sz w:val="26"/>
          <w:szCs w:val="24"/>
        </w:rPr>
        <w:t xml:space="preserve">Company requests through this base rate proceeding that the costs of replacing one set of facilities be folded into the base rate.  </w:t>
      </w:r>
      <w:r w:rsidR="006C0099">
        <w:rPr>
          <w:rFonts w:ascii="Times New Roman" w:hAnsi="Times New Roman"/>
          <w:sz w:val="26"/>
          <w:szCs w:val="24"/>
        </w:rPr>
        <w:t xml:space="preserve">Upon </w:t>
      </w:r>
      <w:r w:rsidR="007E389F" w:rsidRPr="008E60D1">
        <w:rPr>
          <w:rFonts w:ascii="Times New Roman" w:hAnsi="Times New Roman"/>
          <w:sz w:val="26"/>
          <w:szCs w:val="24"/>
        </w:rPr>
        <w:t>Commission approv</w:t>
      </w:r>
      <w:r w:rsidR="006C0099">
        <w:rPr>
          <w:rFonts w:ascii="Times New Roman" w:hAnsi="Times New Roman"/>
          <w:sz w:val="26"/>
          <w:szCs w:val="24"/>
        </w:rPr>
        <w:t>al of</w:t>
      </w:r>
      <w:r w:rsidR="007E389F" w:rsidRPr="008E60D1">
        <w:rPr>
          <w:rFonts w:ascii="Times New Roman" w:hAnsi="Times New Roman"/>
          <w:sz w:val="26"/>
          <w:szCs w:val="24"/>
        </w:rPr>
        <w:t xml:space="preserve"> the base rate proceeding, the Commission will “reset” the DSIC charge to “zero</w:t>
      </w:r>
      <w:r w:rsidR="00E20085">
        <w:rPr>
          <w:rFonts w:ascii="Times New Roman" w:hAnsi="Times New Roman"/>
          <w:sz w:val="26"/>
          <w:szCs w:val="24"/>
        </w:rPr>
        <w:t>.</w:t>
      </w:r>
      <w:r w:rsidR="007E389F" w:rsidRPr="008E60D1">
        <w:rPr>
          <w:rFonts w:ascii="Times New Roman" w:hAnsi="Times New Roman"/>
          <w:sz w:val="26"/>
          <w:szCs w:val="24"/>
        </w:rPr>
        <w:t xml:space="preserve">”  </w:t>
      </w:r>
      <w:r w:rsidR="006C0099">
        <w:rPr>
          <w:rFonts w:ascii="Times New Roman" w:hAnsi="Times New Roman"/>
          <w:sz w:val="26"/>
          <w:szCs w:val="24"/>
        </w:rPr>
        <w:t>I</w:t>
      </w:r>
      <w:r w:rsidR="007E389F" w:rsidRPr="008E60D1">
        <w:rPr>
          <w:rFonts w:ascii="Times New Roman" w:hAnsi="Times New Roman"/>
          <w:sz w:val="26"/>
          <w:szCs w:val="24"/>
        </w:rPr>
        <w:t xml:space="preserve">n the DSIC </w:t>
      </w:r>
      <w:r w:rsidR="00E20085">
        <w:rPr>
          <w:rFonts w:ascii="Times New Roman" w:hAnsi="Times New Roman"/>
          <w:sz w:val="26"/>
          <w:szCs w:val="24"/>
        </w:rPr>
        <w:t>P</w:t>
      </w:r>
      <w:r w:rsidR="007E389F" w:rsidRPr="008E60D1">
        <w:rPr>
          <w:rFonts w:ascii="Times New Roman" w:hAnsi="Times New Roman"/>
          <w:sz w:val="26"/>
          <w:szCs w:val="24"/>
        </w:rPr>
        <w:t xml:space="preserve">roceeding, the Company will request </w:t>
      </w:r>
      <w:r w:rsidR="006C0099">
        <w:rPr>
          <w:rFonts w:ascii="Times New Roman" w:hAnsi="Times New Roman"/>
          <w:sz w:val="26"/>
          <w:szCs w:val="24"/>
        </w:rPr>
        <w:t xml:space="preserve">that </w:t>
      </w:r>
      <w:r w:rsidR="007E389F" w:rsidRPr="008E60D1">
        <w:rPr>
          <w:rFonts w:ascii="Times New Roman" w:hAnsi="Times New Roman"/>
          <w:sz w:val="26"/>
          <w:szCs w:val="24"/>
        </w:rPr>
        <w:t xml:space="preserve">the Commission reinstitute the DSIC charge into the monthly bills because of the cost of replacing another, different section of facilities.  </w:t>
      </w:r>
      <w:r w:rsidR="006C0099">
        <w:rPr>
          <w:rFonts w:ascii="Times New Roman" w:hAnsi="Times New Roman"/>
          <w:sz w:val="26"/>
          <w:szCs w:val="24"/>
        </w:rPr>
        <w:t xml:space="preserve">The ALJ </w:t>
      </w:r>
      <w:r w:rsidR="00131A96">
        <w:rPr>
          <w:rFonts w:ascii="Times New Roman" w:hAnsi="Times New Roman"/>
          <w:sz w:val="26"/>
          <w:szCs w:val="24"/>
        </w:rPr>
        <w:t>note</w:t>
      </w:r>
      <w:r w:rsidR="00566C89">
        <w:rPr>
          <w:rFonts w:ascii="Times New Roman" w:hAnsi="Times New Roman"/>
          <w:sz w:val="26"/>
          <w:szCs w:val="24"/>
        </w:rPr>
        <w:t>d</w:t>
      </w:r>
      <w:r w:rsidR="006C0099">
        <w:rPr>
          <w:rFonts w:ascii="Times New Roman" w:hAnsi="Times New Roman"/>
          <w:sz w:val="26"/>
          <w:szCs w:val="24"/>
        </w:rPr>
        <w:t xml:space="preserve"> that </w:t>
      </w:r>
      <w:r w:rsidR="007E389F" w:rsidRPr="008E60D1">
        <w:rPr>
          <w:rFonts w:ascii="Times New Roman" w:hAnsi="Times New Roman"/>
          <w:sz w:val="26"/>
          <w:szCs w:val="24"/>
        </w:rPr>
        <w:t xml:space="preserve">the DSIC charge to be absorbed into the base rate was intended to cover the costs of replacing a different set of facilities than the facilities that Peoples TWP </w:t>
      </w:r>
      <w:r w:rsidR="006C0099">
        <w:rPr>
          <w:rFonts w:ascii="Times New Roman" w:hAnsi="Times New Roman"/>
          <w:sz w:val="26"/>
          <w:szCs w:val="24"/>
        </w:rPr>
        <w:t>intends to</w:t>
      </w:r>
      <w:r w:rsidR="007E389F" w:rsidRPr="008E60D1">
        <w:rPr>
          <w:rFonts w:ascii="Times New Roman" w:hAnsi="Times New Roman"/>
          <w:sz w:val="26"/>
          <w:szCs w:val="24"/>
        </w:rPr>
        <w:t xml:space="preserve"> replace with the revenue generated by the new DSIC charge</w:t>
      </w:r>
      <w:r w:rsidR="006C0099">
        <w:rPr>
          <w:rFonts w:ascii="Times New Roman" w:hAnsi="Times New Roman"/>
          <w:sz w:val="26"/>
          <w:szCs w:val="24"/>
        </w:rPr>
        <w:t>.  R.D. at 64.</w:t>
      </w:r>
    </w:p>
    <w:p w:rsidR="007E389F" w:rsidRPr="008E60D1" w:rsidRDefault="007E389F" w:rsidP="009932E3">
      <w:pPr>
        <w:spacing w:after="0" w:line="360" w:lineRule="auto"/>
        <w:rPr>
          <w:rFonts w:ascii="Times New Roman" w:hAnsi="Times New Roman"/>
          <w:sz w:val="26"/>
          <w:szCs w:val="24"/>
        </w:rPr>
      </w:pPr>
    </w:p>
    <w:p w:rsidR="0042103E" w:rsidRDefault="007E389F" w:rsidP="009932E3">
      <w:pPr>
        <w:spacing w:after="0" w:line="360" w:lineRule="auto"/>
        <w:rPr>
          <w:rFonts w:ascii="Times New Roman" w:hAnsi="Times New Roman"/>
          <w:sz w:val="26"/>
          <w:szCs w:val="24"/>
        </w:rPr>
      </w:pPr>
      <w:r w:rsidRPr="008E60D1">
        <w:rPr>
          <w:rFonts w:ascii="Times New Roman" w:hAnsi="Times New Roman"/>
          <w:sz w:val="26"/>
          <w:szCs w:val="24"/>
        </w:rPr>
        <w:tab/>
      </w:r>
      <w:r w:rsidRPr="008E60D1">
        <w:rPr>
          <w:rFonts w:ascii="Times New Roman" w:hAnsi="Times New Roman"/>
          <w:sz w:val="26"/>
          <w:szCs w:val="24"/>
        </w:rPr>
        <w:tab/>
        <w:t xml:space="preserve">The </w:t>
      </w:r>
      <w:r w:rsidR="006C0099">
        <w:rPr>
          <w:rFonts w:ascii="Times New Roman" w:hAnsi="Times New Roman"/>
          <w:sz w:val="26"/>
          <w:szCs w:val="24"/>
        </w:rPr>
        <w:t xml:space="preserve">ALJ </w:t>
      </w:r>
      <w:r w:rsidR="00131A96">
        <w:rPr>
          <w:rFonts w:ascii="Times New Roman" w:hAnsi="Times New Roman"/>
          <w:sz w:val="26"/>
          <w:szCs w:val="24"/>
        </w:rPr>
        <w:t>state</w:t>
      </w:r>
      <w:r w:rsidR="00566C89">
        <w:rPr>
          <w:rFonts w:ascii="Times New Roman" w:hAnsi="Times New Roman"/>
          <w:sz w:val="26"/>
          <w:szCs w:val="24"/>
        </w:rPr>
        <w:t>d</w:t>
      </w:r>
      <w:r w:rsidR="00131A96">
        <w:rPr>
          <w:rFonts w:ascii="Times New Roman" w:hAnsi="Times New Roman"/>
          <w:sz w:val="26"/>
          <w:szCs w:val="24"/>
        </w:rPr>
        <w:t xml:space="preserve"> that the </w:t>
      </w:r>
      <w:r w:rsidRPr="008E60D1">
        <w:rPr>
          <w:rFonts w:ascii="Times New Roman" w:hAnsi="Times New Roman"/>
          <w:sz w:val="26"/>
          <w:szCs w:val="24"/>
        </w:rPr>
        <w:t xml:space="preserve">law does not </w:t>
      </w:r>
      <w:r w:rsidR="000D57DA">
        <w:rPr>
          <w:rFonts w:ascii="Times New Roman" w:hAnsi="Times New Roman"/>
          <w:sz w:val="26"/>
          <w:szCs w:val="24"/>
        </w:rPr>
        <w:t xml:space="preserve">provide </w:t>
      </w:r>
      <w:r w:rsidRPr="008E60D1">
        <w:rPr>
          <w:rFonts w:ascii="Times New Roman" w:hAnsi="Times New Roman"/>
          <w:sz w:val="26"/>
          <w:szCs w:val="24"/>
        </w:rPr>
        <w:t>when a DSIC proceeding may be filed in relation to the filing of a base rate proceeding</w:t>
      </w:r>
      <w:r w:rsidR="00131A96">
        <w:rPr>
          <w:rFonts w:ascii="Times New Roman" w:hAnsi="Times New Roman"/>
          <w:sz w:val="26"/>
          <w:szCs w:val="24"/>
        </w:rPr>
        <w:t xml:space="preserve">, and it does </w:t>
      </w:r>
      <w:r w:rsidRPr="008E60D1">
        <w:rPr>
          <w:rFonts w:ascii="Times New Roman" w:hAnsi="Times New Roman"/>
          <w:sz w:val="26"/>
          <w:szCs w:val="24"/>
        </w:rPr>
        <w:t xml:space="preserve">require a utility to include </w:t>
      </w:r>
      <w:r w:rsidR="00131A96">
        <w:rPr>
          <w:rFonts w:ascii="Times New Roman" w:hAnsi="Times New Roman"/>
          <w:sz w:val="26"/>
          <w:szCs w:val="24"/>
        </w:rPr>
        <w:t xml:space="preserve">all </w:t>
      </w:r>
      <w:r w:rsidRPr="008E60D1">
        <w:rPr>
          <w:rFonts w:ascii="Times New Roman" w:hAnsi="Times New Roman"/>
          <w:sz w:val="26"/>
          <w:szCs w:val="24"/>
        </w:rPr>
        <w:t xml:space="preserve">proposed improvements in either the base rate or the DSIC proceeding.  </w:t>
      </w:r>
      <w:r w:rsidR="00131A96">
        <w:rPr>
          <w:rFonts w:ascii="Times New Roman" w:hAnsi="Times New Roman"/>
          <w:sz w:val="26"/>
          <w:szCs w:val="24"/>
        </w:rPr>
        <w:t xml:space="preserve">The </w:t>
      </w:r>
      <w:r w:rsidR="00131A96">
        <w:rPr>
          <w:rFonts w:ascii="Times New Roman" w:hAnsi="Times New Roman"/>
          <w:sz w:val="26"/>
          <w:szCs w:val="24"/>
        </w:rPr>
        <w:lastRenderedPageBreak/>
        <w:t>ALJ also state</w:t>
      </w:r>
      <w:r w:rsidR="00566C89">
        <w:rPr>
          <w:rFonts w:ascii="Times New Roman" w:hAnsi="Times New Roman"/>
          <w:sz w:val="26"/>
          <w:szCs w:val="24"/>
        </w:rPr>
        <w:t>d</w:t>
      </w:r>
      <w:r w:rsidR="00131A96">
        <w:rPr>
          <w:rFonts w:ascii="Times New Roman" w:hAnsi="Times New Roman"/>
          <w:sz w:val="26"/>
          <w:szCs w:val="24"/>
        </w:rPr>
        <w:t xml:space="preserve"> that, </w:t>
      </w:r>
      <w:r w:rsidRPr="008E60D1">
        <w:rPr>
          <w:rFonts w:ascii="Times New Roman" w:hAnsi="Times New Roman"/>
          <w:sz w:val="26"/>
          <w:szCs w:val="24"/>
        </w:rPr>
        <w:t>by agreeing to provide the statutory parties and TUS with documentation verif</w:t>
      </w:r>
      <w:r w:rsidR="00131A96">
        <w:rPr>
          <w:rFonts w:ascii="Times New Roman" w:hAnsi="Times New Roman"/>
          <w:sz w:val="26"/>
          <w:szCs w:val="24"/>
        </w:rPr>
        <w:t>ying</w:t>
      </w:r>
      <w:r w:rsidRPr="008E60D1">
        <w:rPr>
          <w:rFonts w:ascii="Times New Roman" w:hAnsi="Times New Roman"/>
          <w:sz w:val="26"/>
          <w:szCs w:val="24"/>
        </w:rPr>
        <w:t xml:space="preserve"> </w:t>
      </w:r>
      <w:r w:rsidR="00131A96">
        <w:rPr>
          <w:rFonts w:ascii="Times New Roman" w:hAnsi="Times New Roman"/>
          <w:sz w:val="26"/>
          <w:szCs w:val="24"/>
        </w:rPr>
        <w:t xml:space="preserve">that </w:t>
      </w:r>
      <w:r w:rsidRPr="008E60D1">
        <w:rPr>
          <w:rFonts w:ascii="Times New Roman" w:hAnsi="Times New Roman"/>
          <w:sz w:val="26"/>
          <w:szCs w:val="24"/>
        </w:rPr>
        <w:t xml:space="preserve">the </w:t>
      </w:r>
      <w:r w:rsidR="00131A96">
        <w:rPr>
          <w:rFonts w:ascii="Times New Roman" w:hAnsi="Times New Roman"/>
          <w:sz w:val="26"/>
          <w:szCs w:val="24"/>
        </w:rPr>
        <w:t>amount</w:t>
      </w:r>
      <w:r w:rsidRPr="008E60D1">
        <w:rPr>
          <w:rFonts w:ascii="Times New Roman" w:hAnsi="Times New Roman"/>
          <w:sz w:val="26"/>
          <w:szCs w:val="24"/>
        </w:rPr>
        <w:t>s received for improvements are appropriately applied and result in the improvements proposed, Peoples TWP gives the Commission and</w:t>
      </w:r>
      <w:r w:rsidR="00131A96">
        <w:rPr>
          <w:rFonts w:ascii="Times New Roman" w:hAnsi="Times New Roman"/>
          <w:sz w:val="26"/>
          <w:szCs w:val="24"/>
        </w:rPr>
        <w:t xml:space="preserve"> the</w:t>
      </w:r>
      <w:r w:rsidRPr="008E60D1">
        <w:rPr>
          <w:rFonts w:ascii="Times New Roman" w:hAnsi="Times New Roman"/>
          <w:sz w:val="26"/>
          <w:szCs w:val="24"/>
        </w:rPr>
        <w:t xml:space="preserve"> statutory parties the opportunity to verify that ratepayers’ monies are used only to make the improvements proposed.  </w:t>
      </w:r>
      <w:r w:rsidR="005B19BC">
        <w:rPr>
          <w:rFonts w:ascii="Times New Roman" w:hAnsi="Times New Roman"/>
          <w:sz w:val="26"/>
          <w:szCs w:val="24"/>
        </w:rPr>
        <w:t>The ALJ conclude</w:t>
      </w:r>
      <w:r w:rsidR="00566C89">
        <w:rPr>
          <w:rFonts w:ascii="Times New Roman" w:hAnsi="Times New Roman"/>
          <w:sz w:val="26"/>
          <w:szCs w:val="24"/>
        </w:rPr>
        <w:t>d</w:t>
      </w:r>
      <w:r w:rsidR="005B19BC">
        <w:rPr>
          <w:rFonts w:ascii="Times New Roman" w:hAnsi="Times New Roman"/>
          <w:sz w:val="26"/>
          <w:szCs w:val="24"/>
        </w:rPr>
        <w:t xml:space="preserve"> that t</w:t>
      </w:r>
      <w:r w:rsidRPr="008E60D1">
        <w:rPr>
          <w:rFonts w:ascii="Times New Roman" w:hAnsi="Times New Roman"/>
          <w:sz w:val="26"/>
          <w:szCs w:val="24"/>
        </w:rPr>
        <w:t>he public interest will benefit</w:t>
      </w:r>
      <w:r w:rsidR="005B19BC">
        <w:rPr>
          <w:rFonts w:ascii="Times New Roman" w:hAnsi="Times New Roman"/>
          <w:sz w:val="26"/>
          <w:szCs w:val="24"/>
        </w:rPr>
        <w:t>, as</w:t>
      </w:r>
      <w:r w:rsidRPr="008E60D1">
        <w:rPr>
          <w:rFonts w:ascii="Times New Roman" w:hAnsi="Times New Roman"/>
          <w:sz w:val="26"/>
          <w:szCs w:val="24"/>
        </w:rPr>
        <w:t xml:space="preserve"> </w:t>
      </w:r>
      <w:r w:rsidR="005B19BC">
        <w:rPr>
          <w:rFonts w:ascii="Times New Roman" w:hAnsi="Times New Roman"/>
          <w:sz w:val="26"/>
          <w:szCs w:val="24"/>
        </w:rPr>
        <w:t>r</w:t>
      </w:r>
      <w:r w:rsidRPr="008E60D1">
        <w:rPr>
          <w:rFonts w:ascii="Times New Roman" w:hAnsi="Times New Roman"/>
          <w:sz w:val="26"/>
          <w:szCs w:val="24"/>
        </w:rPr>
        <w:t>eplacing aging infrastructure ensures a safe</w:t>
      </w:r>
      <w:r w:rsidR="00B84145">
        <w:rPr>
          <w:rFonts w:ascii="Times New Roman" w:hAnsi="Times New Roman"/>
          <w:sz w:val="26"/>
          <w:szCs w:val="24"/>
        </w:rPr>
        <w:t>r</w:t>
      </w:r>
      <w:r w:rsidRPr="008E60D1">
        <w:rPr>
          <w:rFonts w:ascii="Times New Roman" w:hAnsi="Times New Roman"/>
          <w:sz w:val="26"/>
          <w:szCs w:val="24"/>
        </w:rPr>
        <w:t xml:space="preserve"> and </w:t>
      </w:r>
      <w:r w:rsidR="00B84145">
        <w:rPr>
          <w:rFonts w:ascii="Times New Roman" w:hAnsi="Times New Roman"/>
          <w:sz w:val="26"/>
          <w:szCs w:val="24"/>
        </w:rPr>
        <w:t xml:space="preserve">more </w:t>
      </w:r>
      <w:r w:rsidRPr="008E60D1">
        <w:rPr>
          <w:rFonts w:ascii="Times New Roman" w:hAnsi="Times New Roman"/>
          <w:sz w:val="26"/>
          <w:szCs w:val="24"/>
        </w:rPr>
        <w:t xml:space="preserve">reliable distribution of natural gas to the Company’s </w:t>
      </w:r>
      <w:r w:rsidR="00B84145">
        <w:rPr>
          <w:rFonts w:ascii="Times New Roman" w:hAnsi="Times New Roman"/>
          <w:sz w:val="26"/>
          <w:szCs w:val="24"/>
        </w:rPr>
        <w:t>customers as well as to</w:t>
      </w:r>
      <w:r w:rsidRPr="008E60D1">
        <w:rPr>
          <w:rFonts w:ascii="Times New Roman" w:hAnsi="Times New Roman"/>
          <w:sz w:val="26"/>
          <w:szCs w:val="24"/>
        </w:rPr>
        <w:t xml:space="preserve"> individuals and businesses located near the Company’s pipelines.</w:t>
      </w:r>
      <w:r w:rsidR="0042103E">
        <w:rPr>
          <w:rFonts w:ascii="Times New Roman" w:hAnsi="Times New Roman"/>
          <w:sz w:val="26"/>
          <w:szCs w:val="24"/>
        </w:rPr>
        <w:t xml:space="preserve">  </w:t>
      </w:r>
      <w:r w:rsidR="0042103E" w:rsidRPr="0042103E">
        <w:rPr>
          <w:rFonts w:ascii="Times New Roman" w:hAnsi="Times New Roman"/>
          <w:i/>
          <w:sz w:val="26"/>
          <w:szCs w:val="24"/>
        </w:rPr>
        <w:t>Id</w:t>
      </w:r>
      <w:r w:rsidR="0042103E">
        <w:rPr>
          <w:rFonts w:ascii="Times New Roman" w:hAnsi="Times New Roman"/>
          <w:sz w:val="26"/>
          <w:szCs w:val="24"/>
        </w:rPr>
        <w:t>. at 65.</w:t>
      </w:r>
    </w:p>
    <w:p w:rsidR="00243386" w:rsidRDefault="00243386" w:rsidP="009932E3">
      <w:pPr>
        <w:spacing w:after="0" w:line="360" w:lineRule="auto"/>
        <w:rPr>
          <w:rFonts w:ascii="Times New Roman" w:hAnsi="Times New Roman"/>
          <w:sz w:val="26"/>
          <w:szCs w:val="24"/>
        </w:rPr>
      </w:pPr>
    </w:p>
    <w:p w:rsidR="00EB4E0C" w:rsidRDefault="0042103E" w:rsidP="009932E3">
      <w:pPr>
        <w:spacing w:after="0" w:line="360" w:lineRule="auto"/>
        <w:rPr>
          <w:rFonts w:ascii="Times New Roman" w:hAnsi="Times New Roman"/>
          <w:b/>
          <w:sz w:val="26"/>
          <w:szCs w:val="24"/>
        </w:rPr>
      </w:pPr>
      <w:r>
        <w:rPr>
          <w:rFonts w:ascii="Times New Roman" w:hAnsi="Times New Roman"/>
          <w:sz w:val="26"/>
          <w:szCs w:val="24"/>
        </w:rPr>
        <w:tab/>
      </w:r>
      <w:r>
        <w:rPr>
          <w:rFonts w:ascii="Times New Roman" w:hAnsi="Times New Roman"/>
          <w:sz w:val="26"/>
          <w:szCs w:val="24"/>
        </w:rPr>
        <w:tab/>
      </w:r>
      <w:r w:rsidR="00EB4E0C">
        <w:rPr>
          <w:rFonts w:ascii="Times New Roman" w:hAnsi="Times New Roman"/>
          <w:b/>
          <w:sz w:val="26"/>
          <w:szCs w:val="24"/>
        </w:rPr>
        <w:t>b.</w:t>
      </w:r>
      <w:r w:rsidR="00EB4E0C">
        <w:rPr>
          <w:rFonts w:ascii="Times New Roman" w:hAnsi="Times New Roman"/>
          <w:b/>
          <w:sz w:val="26"/>
          <w:szCs w:val="24"/>
        </w:rPr>
        <w:tab/>
        <w:t xml:space="preserve">Disposition </w:t>
      </w:r>
    </w:p>
    <w:p w:rsidR="00EB4E0C" w:rsidRDefault="00EB4E0C" w:rsidP="009932E3">
      <w:pPr>
        <w:spacing w:after="0" w:line="360" w:lineRule="auto"/>
        <w:rPr>
          <w:rFonts w:ascii="Times New Roman" w:hAnsi="Times New Roman"/>
          <w:b/>
          <w:sz w:val="26"/>
          <w:szCs w:val="24"/>
        </w:rPr>
      </w:pPr>
    </w:p>
    <w:p w:rsidR="00D77184" w:rsidRDefault="00EB4E0C" w:rsidP="009932E3">
      <w:pPr>
        <w:spacing w:after="0" w:line="360" w:lineRule="auto"/>
        <w:rPr>
          <w:rFonts w:ascii="Times New Roman" w:hAnsi="Times New Roman"/>
          <w:sz w:val="26"/>
          <w:szCs w:val="24"/>
        </w:rPr>
      </w:pPr>
      <w:r>
        <w:rPr>
          <w:rFonts w:ascii="Times New Roman" w:hAnsi="Times New Roman"/>
          <w:b/>
          <w:sz w:val="26"/>
          <w:szCs w:val="24"/>
        </w:rPr>
        <w:tab/>
      </w:r>
      <w:r>
        <w:rPr>
          <w:rFonts w:ascii="Times New Roman" w:hAnsi="Times New Roman"/>
          <w:b/>
          <w:sz w:val="26"/>
          <w:szCs w:val="24"/>
        </w:rPr>
        <w:tab/>
      </w:r>
      <w:r w:rsidR="00477A00" w:rsidRPr="00477A00">
        <w:rPr>
          <w:rFonts w:ascii="Times New Roman" w:hAnsi="Times New Roman"/>
          <w:sz w:val="26"/>
          <w:szCs w:val="24"/>
        </w:rPr>
        <w:t>Upon our review of th</w:t>
      </w:r>
      <w:r w:rsidR="00477A00">
        <w:rPr>
          <w:rFonts w:ascii="Times New Roman" w:hAnsi="Times New Roman"/>
          <w:sz w:val="26"/>
          <w:szCs w:val="24"/>
        </w:rPr>
        <w:t>e</w:t>
      </w:r>
      <w:r w:rsidR="00477A00" w:rsidRPr="00477A00">
        <w:rPr>
          <w:rFonts w:ascii="Times New Roman" w:hAnsi="Times New Roman"/>
          <w:sz w:val="26"/>
          <w:szCs w:val="24"/>
        </w:rPr>
        <w:t xml:space="preserve"> </w:t>
      </w:r>
      <w:r w:rsidR="00477A00">
        <w:rPr>
          <w:rFonts w:ascii="Times New Roman" w:hAnsi="Times New Roman"/>
          <w:sz w:val="26"/>
          <w:szCs w:val="24"/>
        </w:rPr>
        <w:t xml:space="preserve">DSIC </w:t>
      </w:r>
      <w:r w:rsidR="00477A00" w:rsidRPr="00477A00">
        <w:rPr>
          <w:rFonts w:ascii="Times New Roman" w:hAnsi="Times New Roman"/>
          <w:sz w:val="26"/>
          <w:szCs w:val="24"/>
        </w:rPr>
        <w:t>provision</w:t>
      </w:r>
      <w:r w:rsidR="00477A00">
        <w:rPr>
          <w:rFonts w:ascii="Times New Roman" w:hAnsi="Times New Roman"/>
          <w:sz w:val="26"/>
          <w:szCs w:val="24"/>
        </w:rPr>
        <w:t>s</w:t>
      </w:r>
      <w:r w:rsidR="00477A00" w:rsidRPr="00477A00">
        <w:rPr>
          <w:rFonts w:ascii="Times New Roman" w:hAnsi="Times New Roman"/>
          <w:sz w:val="26"/>
          <w:szCs w:val="24"/>
        </w:rPr>
        <w:t xml:space="preserve"> </w:t>
      </w:r>
      <w:r w:rsidR="00477A00">
        <w:rPr>
          <w:rFonts w:ascii="Times New Roman" w:hAnsi="Times New Roman"/>
          <w:sz w:val="26"/>
          <w:szCs w:val="24"/>
        </w:rPr>
        <w:t>in</w:t>
      </w:r>
      <w:r w:rsidR="00477A00" w:rsidRPr="00477A00">
        <w:rPr>
          <w:rFonts w:ascii="Times New Roman" w:hAnsi="Times New Roman"/>
          <w:sz w:val="26"/>
          <w:szCs w:val="24"/>
        </w:rPr>
        <w:t xml:space="preserve"> the</w:t>
      </w:r>
      <w:r w:rsidR="00477A00">
        <w:rPr>
          <w:rFonts w:ascii="Times New Roman" w:hAnsi="Times New Roman"/>
          <w:sz w:val="26"/>
          <w:szCs w:val="24"/>
        </w:rPr>
        <w:t xml:space="preserve"> Settlement, we conclude that they are consistent with the applicable law.  The </w:t>
      </w:r>
      <w:r w:rsidR="002B40FD">
        <w:rPr>
          <w:rFonts w:ascii="Times New Roman" w:hAnsi="Times New Roman"/>
          <w:sz w:val="26"/>
          <w:szCs w:val="24"/>
        </w:rPr>
        <w:t xml:space="preserve">Settlement </w:t>
      </w:r>
      <w:r w:rsidR="00477A00">
        <w:rPr>
          <w:rFonts w:ascii="Times New Roman" w:hAnsi="Times New Roman"/>
          <w:sz w:val="26"/>
          <w:szCs w:val="24"/>
        </w:rPr>
        <w:t>provides that the DSIC for the Company shall be reset to 0.0% upon the effective date of the Settlement rates in this proceeding</w:t>
      </w:r>
      <w:r w:rsidR="002B40FD">
        <w:rPr>
          <w:rFonts w:ascii="Times New Roman" w:hAnsi="Times New Roman"/>
          <w:sz w:val="26"/>
          <w:szCs w:val="24"/>
        </w:rPr>
        <w:t>, which</w:t>
      </w:r>
      <w:r w:rsidR="00477A00">
        <w:rPr>
          <w:rFonts w:ascii="Times New Roman" w:hAnsi="Times New Roman"/>
          <w:sz w:val="26"/>
          <w:szCs w:val="24"/>
        </w:rPr>
        <w:t xml:space="preserve"> is consistent with Section 1358(b)</w:t>
      </w:r>
      <w:r w:rsidR="002D275D">
        <w:rPr>
          <w:rFonts w:ascii="Times New Roman" w:hAnsi="Times New Roman"/>
          <w:sz w:val="26"/>
          <w:szCs w:val="24"/>
        </w:rPr>
        <w:t>(1)</w:t>
      </w:r>
      <w:r w:rsidR="00477A00">
        <w:rPr>
          <w:rFonts w:ascii="Times New Roman" w:hAnsi="Times New Roman"/>
          <w:sz w:val="26"/>
          <w:szCs w:val="24"/>
        </w:rPr>
        <w:t xml:space="preserve"> of the Code, 66 Pa. C.S. </w:t>
      </w:r>
      <w:r w:rsidR="00BE2308">
        <w:rPr>
          <w:rFonts w:ascii="Times New Roman" w:hAnsi="Times New Roman"/>
          <w:sz w:val="26"/>
          <w:szCs w:val="24"/>
        </w:rPr>
        <w:t>§ </w:t>
      </w:r>
      <w:r w:rsidR="00477A00">
        <w:rPr>
          <w:rFonts w:ascii="Times New Roman" w:hAnsi="Times New Roman"/>
          <w:sz w:val="26"/>
          <w:szCs w:val="24"/>
        </w:rPr>
        <w:t>1358(b)</w:t>
      </w:r>
      <w:r w:rsidR="007E334F">
        <w:rPr>
          <w:rFonts w:ascii="Times New Roman" w:hAnsi="Times New Roman"/>
          <w:sz w:val="26"/>
          <w:szCs w:val="24"/>
        </w:rPr>
        <w:t>(1)</w:t>
      </w:r>
      <w:r w:rsidR="00477A00">
        <w:rPr>
          <w:rFonts w:ascii="Times New Roman" w:hAnsi="Times New Roman"/>
          <w:sz w:val="26"/>
          <w:szCs w:val="24"/>
        </w:rPr>
        <w:t>.</w:t>
      </w:r>
      <w:r w:rsidR="00C662E9">
        <w:rPr>
          <w:rStyle w:val="FootnoteReference"/>
          <w:rFonts w:ascii="Times New Roman" w:hAnsi="Times New Roman"/>
          <w:sz w:val="26"/>
          <w:szCs w:val="24"/>
        </w:rPr>
        <w:footnoteReference w:id="7"/>
      </w:r>
      <w:r w:rsidR="002D275D">
        <w:rPr>
          <w:rFonts w:ascii="Times New Roman" w:hAnsi="Times New Roman"/>
          <w:sz w:val="26"/>
          <w:szCs w:val="24"/>
        </w:rPr>
        <w:t xml:space="preserve">  We agree with the ALJ’s analysis and the Company’s explanations that the reset will ensure that there is not a duplication of recovery of plant addition costs in both the DSIC and base rates.  </w:t>
      </w:r>
      <w:r w:rsidR="002D275D" w:rsidRPr="00861331">
        <w:rPr>
          <w:rFonts w:ascii="Times New Roman" w:hAnsi="Times New Roman"/>
          <w:i/>
          <w:sz w:val="26"/>
          <w:szCs w:val="24"/>
        </w:rPr>
        <w:t>See</w:t>
      </w:r>
      <w:r w:rsidR="002D275D">
        <w:rPr>
          <w:rFonts w:ascii="Times New Roman" w:hAnsi="Times New Roman"/>
          <w:sz w:val="26"/>
          <w:szCs w:val="24"/>
        </w:rPr>
        <w:t xml:space="preserve">, Peoples TWP St. 11-R at 15 and Statement in Support at 22.  Moreover, pursuant to Section 1358(b)(2) of the Code, </w:t>
      </w:r>
      <w:r w:rsidR="007E334F">
        <w:rPr>
          <w:rFonts w:ascii="Times New Roman" w:hAnsi="Times New Roman"/>
          <w:sz w:val="26"/>
          <w:szCs w:val="24"/>
        </w:rPr>
        <w:t>66 Pa. C.S. § 1358(b)(2),</w:t>
      </w:r>
      <w:r w:rsidR="007E334F">
        <w:rPr>
          <w:rStyle w:val="FootnoteReference"/>
          <w:rFonts w:ascii="Times New Roman" w:hAnsi="Times New Roman"/>
          <w:sz w:val="26"/>
          <w:szCs w:val="24"/>
        </w:rPr>
        <w:footnoteReference w:id="8"/>
      </w:r>
      <w:r w:rsidR="00DC1456">
        <w:rPr>
          <w:rFonts w:ascii="Times New Roman" w:hAnsi="Times New Roman"/>
          <w:sz w:val="26"/>
          <w:szCs w:val="24"/>
        </w:rPr>
        <w:t xml:space="preserve"> </w:t>
      </w:r>
      <w:r w:rsidR="002D275D">
        <w:rPr>
          <w:rFonts w:ascii="Times New Roman" w:hAnsi="Times New Roman"/>
          <w:sz w:val="26"/>
          <w:szCs w:val="24"/>
        </w:rPr>
        <w:t xml:space="preserve">the Company may reflect in the DSIC calculation DSIC-eligible plant additions not included in base rates.  </w:t>
      </w:r>
      <w:r w:rsidR="00861331">
        <w:rPr>
          <w:rFonts w:ascii="Times New Roman" w:hAnsi="Times New Roman"/>
          <w:sz w:val="26"/>
          <w:szCs w:val="24"/>
        </w:rPr>
        <w:t xml:space="preserve">As such, the Settlement properly provides that, following the effective date of rates in this proceeding, the Company may include plant additions in the </w:t>
      </w:r>
      <w:r w:rsidR="00861331">
        <w:rPr>
          <w:rFonts w:ascii="Times New Roman" w:hAnsi="Times New Roman"/>
          <w:sz w:val="26"/>
          <w:szCs w:val="24"/>
        </w:rPr>
        <w:lastRenderedPageBreak/>
        <w:t xml:space="preserve">DSIC once eligible plant account balances exceed the level projected by the Company at January 31, 2015. </w:t>
      </w:r>
    </w:p>
    <w:p w:rsidR="00D77184" w:rsidRDefault="00D77184" w:rsidP="009932E3">
      <w:pPr>
        <w:spacing w:after="0" w:line="360" w:lineRule="auto"/>
        <w:rPr>
          <w:rFonts w:ascii="Times New Roman" w:hAnsi="Times New Roman"/>
          <w:sz w:val="26"/>
          <w:szCs w:val="24"/>
        </w:rPr>
      </w:pPr>
    </w:p>
    <w:p w:rsidR="007E389F" w:rsidRPr="00D77184" w:rsidRDefault="00D77184" w:rsidP="009932E3">
      <w:pPr>
        <w:spacing w:after="0" w:line="360" w:lineRule="auto"/>
        <w:rPr>
          <w:rFonts w:ascii="Times New Roman" w:hAnsi="Times New Roman"/>
          <w:b/>
          <w:sz w:val="26"/>
          <w:szCs w:val="24"/>
        </w:rPr>
      </w:pPr>
      <w:r>
        <w:rPr>
          <w:rFonts w:ascii="Times New Roman" w:hAnsi="Times New Roman"/>
          <w:sz w:val="26"/>
          <w:szCs w:val="24"/>
        </w:rPr>
        <w:tab/>
      </w:r>
      <w:r w:rsidRPr="00D77184">
        <w:rPr>
          <w:rFonts w:ascii="Times New Roman" w:hAnsi="Times New Roman"/>
          <w:b/>
          <w:sz w:val="26"/>
          <w:szCs w:val="24"/>
        </w:rPr>
        <w:t xml:space="preserve">5. </w:t>
      </w:r>
      <w:r w:rsidRPr="00D77184">
        <w:rPr>
          <w:rFonts w:ascii="Times New Roman" w:hAnsi="Times New Roman"/>
          <w:b/>
          <w:sz w:val="26"/>
          <w:szCs w:val="24"/>
        </w:rPr>
        <w:tab/>
        <w:t>Other Provisions</w:t>
      </w:r>
      <w:r w:rsidR="002D275D" w:rsidRPr="00D77184">
        <w:rPr>
          <w:rFonts w:ascii="Times New Roman" w:hAnsi="Times New Roman"/>
          <w:b/>
          <w:sz w:val="26"/>
          <w:szCs w:val="24"/>
        </w:rPr>
        <w:t xml:space="preserve"> </w:t>
      </w:r>
    </w:p>
    <w:p w:rsidR="007E389F" w:rsidRDefault="007E389F" w:rsidP="009932E3">
      <w:pPr>
        <w:spacing w:after="0" w:line="360" w:lineRule="auto"/>
        <w:rPr>
          <w:rFonts w:ascii="Times New Roman" w:hAnsi="Times New Roman"/>
          <w:sz w:val="26"/>
          <w:szCs w:val="24"/>
        </w:rPr>
      </w:pPr>
    </w:p>
    <w:p w:rsidR="00D77184" w:rsidRPr="00D77184" w:rsidRDefault="00D77184" w:rsidP="009932E3">
      <w:pPr>
        <w:spacing w:after="0" w:line="360" w:lineRule="auto"/>
        <w:rPr>
          <w:rFonts w:ascii="Times New Roman" w:hAnsi="Times New Roman"/>
          <w:b/>
          <w:sz w:val="26"/>
          <w:szCs w:val="24"/>
        </w:rPr>
      </w:pPr>
      <w:r>
        <w:rPr>
          <w:rFonts w:ascii="Times New Roman" w:hAnsi="Times New Roman"/>
          <w:sz w:val="26"/>
          <w:szCs w:val="24"/>
        </w:rPr>
        <w:tab/>
      </w:r>
      <w:r>
        <w:rPr>
          <w:rFonts w:ascii="Times New Roman" w:hAnsi="Times New Roman"/>
          <w:sz w:val="26"/>
          <w:szCs w:val="24"/>
        </w:rPr>
        <w:tab/>
      </w:r>
      <w:r w:rsidRPr="00D77184">
        <w:rPr>
          <w:rFonts w:ascii="Times New Roman" w:hAnsi="Times New Roman"/>
          <w:b/>
          <w:sz w:val="26"/>
          <w:szCs w:val="24"/>
        </w:rPr>
        <w:t>a.</w:t>
      </w:r>
      <w:r w:rsidRPr="00D77184">
        <w:rPr>
          <w:rFonts w:ascii="Times New Roman" w:hAnsi="Times New Roman"/>
          <w:b/>
          <w:sz w:val="26"/>
          <w:szCs w:val="24"/>
        </w:rPr>
        <w:tab/>
        <w:t>ALJ’s Recommended Decision</w:t>
      </w:r>
    </w:p>
    <w:p w:rsidR="00D77184" w:rsidRPr="008E60D1" w:rsidRDefault="00D77184" w:rsidP="009932E3">
      <w:pPr>
        <w:spacing w:after="0" w:line="360" w:lineRule="auto"/>
        <w:rPr>
          <w:rFonts w:ascii="Times New Roman" w:hAnsi="Times New Roman"/>
          <w:sz w:val="26"/>
          <w:szCs w:val="24"/>
        </w:rPr>
      </w:pPr>
    </w:p>
    <w:p w:rsidR="007E389F" w:rsidRPr="00D77184" w:rsidRDefault="007E389F" w:rsidP="009932E3">
      <w:pPr>
        <w:spacing w:after="0" w:line="360" w:lineRule="auto"/>
        <w:rPr>
          <w:rFonts w:ascii="Times New Roman" w:hAnsi="Times New Roman"/>
          <w:sz w:val="26"/>
          <w:szCs w:val="24"/>
        </w:rPr>
      </w:pPr>
      <w:r>
        <w:rPr>
          <w:rFonts w:ascii="Times New Roman" w:hAnsi="Times New Roman"/>
          <w:szCs w:val="24"/>
        </w:rPr>
        <w:tab/>
      </w:r>
      <w:r>
        <w:rPr>
          <w:rFonts w:ascii="Times New Roman" w:hAnsi="Times New Roman"/>
          <w:szCs w:val="24"/>
        </w:rPr>
        <w:tab/>
      </w:r>
      <w:r w:rsidR="00116AE5">
        <w:rPr>
          <w:rFonts w:ascii="Times New Roman" w:hAnsi="Times New Roman"/>
          <w:sz w:val="26"/>
          <w:szCs w:val="24"/>
        </w:rPr>
        <w:t xml:space="preserve">The ALJ addressed various remaining </w:t>
      </w:r>
      <w:r w:rsidRPr="00D77184">
        <w:rPr>
          <w:rFonts w:ascii="Times New Roman" w:hAnsi="Times New Roman"/>
          <w:sz w:val="26"/>
          <w:szCs w:val="24"/>
        </w:rPr>
        <w:t xml:space="preserve">Settlement </w:t>
      </w:r>
      <w:r w:rsidR="00116AE5">
        <w:rPr>
          <w:rFonts w:ascii="Times New Roman" w:hAnsi="Times New Roman"/>
          <w:sz w:val="26"/>
          <w:szCs w:val="24"/>
        </w:rPr>
        <w:t xml:space="preserve">provisions.  First, she addressed the </w:t>
      </w:r>
      <w:r w:rsidRPr="00D77184">
        <w:rPr>
          <w:rFonts w:ascii="Times New Roman" w:hAnsi="Times New Roman"/>
          <w:sz w:val="26"/>
          <w:szCs w:val="24"/>
        </w:rPr>
        <w:t>discounted rate provided to customers who can bypass the Company’s system in order to satisfy the</w:t>
      </w:r>
      <w:r w:rsidR="00116AE5">
        <w:rPr>
          <w:rFonts w:ascii="Times New Roman" w:hAnsi="Times New Roman"/>
          <w:sz w:val="26"/>
          <w:szCs w:val="24"/>
        </w:rPr>
        <w:t>ir</w:t>
      </w:r>
      <w:r w:rsidRPr="00D77184">
        <w:rPr>
          <w:rFonts w:ascii="Times New Roman" w:hAnsi="Times New Roman"/>
          <w:sz w:val="26"/>
          <w:szCs w:val="24"/>
        </w:rPr>
        <w:t xml:space="preserve"> energy needs.  </w:t>
      </w:r>
      <w:r w:rsidR="00F53DF5">
        <w:rPr>
          <w:rFonts w:ascii="Times New Roman" w:hAnsi="Times New Roman"/>
          <w:sz w:val="26"/>
          <w:szCs w:val="24"/>
        </w:rPr>
        <w:t>The ALJ noted that, t</w:t>
      </w:r>
      <w:r w:rsidRPr="00D77184">
        <w:rPr>
          <w:rFonts w:ascii="Times New Roman" w:hAnsi="Times New Roman"/>
          <w:sz w:val="26"/>
          <w:szCs w:val="24"/>
        </w:rPr>
        <w:t xml:space="preserve">hrough the Settlement, Peoples TWP agrees to provide more formal documentation </w:t>
      </w:r>
      <w:r w:rsidR="00F53DF5">
        <w:rPr>
          <w:rFonts w:ascii="Times New Roman" w:hAnsi="Times New Roman"/>
          <w:sz w:val="26"/>
          <w:szCs w:val="24"/>
        </w:rPr>
        <w:t>regarding</w:t>
      </w:r>
      <w:r w:rsidRPr="00D77184">
        <w:rPr>
          <w:rFonts w:ascii="Times New Roman" w:hAnsi="Times New Roman"/>
          <w:sz w:val="26"/>
          <w:szCs w:val="24"/>
        </w:rPr>
        <w:t xml:space="preserve"> the need for discounts and the level of discounts offered to customers in a competitive situation.  </w:t>
      </w:r>
      <w:r w:rsidR="00F53DF5">
        <w:rPr>
          <w:rFonts w:ascii="Times New Roman" w:hAnsi="Times New Roman"/>
          <w:sz w:val="26"/>
          <w:szCs w:val="24"/>
        </w:rPr>
        <w:t>The ALJ found that t</w:t>
      </w:r>
      <w:r w:rsidRPr="00D77184">
        <w:rPr>
          <w:rFonts w:ascii="Times New Roman" w:hAnsi="Times New Roman"/>
          <w:sz w:val="26"/>
          <w:szCs w:val="24"/>
        </w:rPr>
        <w:t xml:space="preserve">his documentation will permit the other Joint Petitioners to see how the Company balances the competing demands of rate maximization against revenue retention.  </w:t>
      </w:r>
      <w:r w:rsidR="00F53DF5">
        <w:rPr>
          <w:rFonts w:ascii="Times New Roman" w:hAnsi="Times New Roman"/>
          <w:sz w:val="26"/>
          <w:szCs w:val="24"/>
        </w:rPr>
        <w:t>The ALJ determined that t</w:t>
      </w:r>
      <w:r w:rsidRPr="00D77184">
        <w:rPr>
          <w:rFonts w:ascii="Times New Roman" w:hAnsi="Times New Roman"/>
          <w:sz w:val="26"/>
          <w:szCs w:val="24"/>
        </w:rPr>
        <w:t xml:space="preserve">his provision is a compromise of the </w:t>
      </w:r>
      <w:r w:rsidR="00F53DF5">
        <w:rPr>
          <w:rFonts w:ascii="Times New Roman" w:hAnsi="Times New Roman"/>
          <w:sz w:val="26"/>
          <w:szCs w:val="24"/>
        </w:rPr>
        <w:t xml:space="preserve">Joint Petitioners’ </w:t>
      </w:r>
      <w:r w:rsidRPr="00D77184">
        <w:rPr>
          <w:rFonts w:ascii="Times New Roman" w:hAnsi="Times New Roman"/>
          <w:sz w:val="26"/>
          <w:szCs w:val="24"/>
        </w:rPr>
        <w:t xml:space="preserve">positions and, as such, </w:t>
      </w:r>
      <w:r w:rsidR="00F53DF5">
        <w:rPr>
          <w:rFonts w:ascii="Times New Roman" w:hAnsi="Times New Roman"/>
          <w:sz w:val="26"/>
          <w:szCs w:val="24"/>
        </w:rPr>
        <w:t>reflects</w:t>
      </w:r>
      <w:r w:rsidRPr="00D77184">
        <w:rPr>
          <w:rFonts w:ascii="Times New Roman" w:hAnsi="Times New Roman"/>
          <w:sz w:val="26"/>
          <w:szCs w:val="24"/>
        </w:rPr>
        <w:t xml:space="preserve"> the public interest.</w:t>
      </w:r>
      <w:r w:rsidR="00342FEB">
        <w:rPr>
          <w:rFonts w:ascii="Times New Roman" w:hAnsi="Times New Roman"/>
          <w:sz w:val="26"/>
          <w:szCs w:val="24"/>
        </w:rPr>
        <w:t xml:space="preserve">  R.D. at 65. </w:t>
      </w:r>
    </w:p>
    <w:p w:rsidR="007E389F" w:rsidRPr="00D77184" w:rsidRDefault="007E389F" w:rsidP="009932E3">
      <w:pPr>
        <w:spacing w:after="0" w:line="360" w:lineRule="auto"/>
        <w:rPr>
          <w:rFonts w:ascii="Times New Roman" w:hAnsi="Times New Roman"/>
          <w:sz w:val="26"/>
          <w:szCs w:val="24"/>
        </w:rPr>
      </w:pPr>
    </w:p>
    <w:p w:rsidR="007E389F" w:rsidRPr="00D77184" w:rsidRDefault="00342FEB" w:rsidP="009932E3">
      <w:pPr>
        <w:spacing w:after="0" w:line="360" w:lineRule="auto"/>
        <w:ind w:firstLine="1440"/>
        <w:rPr>
          <w:rFonts w:ascii="Times New Roman" w:hAnsi="Times New Roman"/>
          <w:sz w:val="26"/>
          <w:szCs w:val="24"/>
        </w:rPr>
      </w:pPr>
      <w:r>
        <w:rPr>
          <w:rFonts w:ascii="Times New Roman" w:hAnsi="Times New Roman"/>
          <w:sz w:val="26"/>
          <w:szCs w:val="24"/>
        </w:rPr>
        <w:t xml:space="preserve">Second, the ALJ addressed the </w:t>
      </w:r>
      <w:r w:rsidR="007E389F" w:rsidRPr="00D77184">
        <w:rPr>
          <w:rFonts w:ascii="Times New Roman" w:hAnsi="Times New Roman"/>
          <w:sz w:val="26"/>
          <w:szCs w:val="24"/>
        </w:rPr>
        <w:t>Settlement require</w:t>
      </w:r>
      <w:r>
        <w:rPr>
          <w:rFonts w:ascii="Times New Roman" w:hAnsi="Times New Roman"/>
          <w:sz w:val="26"/>
          <w:szCs w:val="24"/>
        </w:rPr>
        <w:t>ment that</w:t>
      </w:r>
      <w:r w:rsidR="007E389F" w:rsidRPr="00D77184">
        <w:rPr>
          <w:rFonts w:ascii="Times New Roman" w:hAnsi="Times New Roman"/>
          <w:sz w:val="26"/>
          <w:szCs w:val="24"/>
        </w:rPr>
        <w:t xml:space="preserve"> the Company report its future expenditures and allow the Commission to compare projected investments to actual investments.  This reporting will be provided to </w:t>
      </w:r>
      <w:r w:rsidR="00B169AF">
        <w:rPr>
          <w:rFonts w:ascii="Times New Roman" w:hAnsi="Times New Roman"/>
          <w:sz w:val="26"/>
          <w:szCs w:val="24"/>
        </w:rPr>
        <w:t>T</w:t>
      </w:r>
      <w:r w:rsidR="007E389F" w:rsidRPr="00D77184">
        <w:rPr>
          <w:rFonts w:ascii="Times New Roman" w:hAnsi="Times New Roman"/>
          <w:sz w:val="26"/>
          <w:szCs w:val="24"/>
        </w:rPr>
        <w:t xml:space="preserve">US, </w:t>
      </w:r>
      <w:r w:rsidR="00B169AF">
        <w:rPr>
          <w:rFonts w:ascii="Times New Roman" w:hAnsi="Times New Roman"/>
          <w:sz w:val="26"/>
          <w:szCs w:val="24"/>
        </w:rPr>
        <w:t>I&amp;E</w:t>
      </w:r>
      <w:r w:rsidR="007E389F" w:rsidRPr="00D77184">
        <w:rPr>
          <w:rFonts w:ascii="Times New Roman" w:hAnsi="Times New Roman"/>
          <w:sz w:val="26"/>
          <w:szCs w:val="24"/>
        </w:rPr>
        <w:t xml:space="preserve">, </w:t>
      </w:r>
      <w:r w:rsidR="00B169AF">
        <w:rPr>
          <w:rFonts w:ascii="Times New Roman" w:hAnsi="Times New Roman"/>
          <w:sz w:val="26"/>
          <w:szCs w:val="24"/>
        </w:rPr>
        <w:t xml:space="preserve">the </w:t>
      </w:r>
      <w:r w:rsidR="007E389F" w:rsidRPr="00D77184">
        <w:rPr>
          <w:rFonts w:ascii="Times New Roman" w:hAnsi="Times New Roman"/>
          <w:sz w:val="26"/>
          <w:szCs w:val="24"/>
        </w:rPr>
        <w:t>OCA</w:t>
      </w:r>
      <w:r w:rsidR="00B169AF">
        <w:rPr>
          <w:rFonts w:ascii="Times New Roman" w:hAnsi="Times New Roman"/>
          <w:sz w:val="26"/>
          <w:szCs w:val="24"/>
        </w:rPr>
        <w:t>, and the</w:t>
      </w:r>
      <w:r w:rsidR="007E389F" w:rsidRPr="00D77184">
        <w:rPr>
          <w:rFonts w:ascii="Times New Roman" w:hAnsi="Times New Roman"/>
          <w:sz w:val="26"/>
          <w:szCs w:val="24"/>
        </w:rPr>
        <w:t xml:space="preserve"> OSBA on or before May 1, 2014, and t</w:t>
      </w:r>
      <w:r w:rsidR="00B169AF">
        <w:rPr>
          <w:rFonts w:ascii="Times New Roman" w:hAnsi="Times New Roman"/>
          <w:sz w:val="26"/>
          <w:szCs w:val="24"/>
        </w:rPr>
        <w:t xml:space="preserve">he Company will </w:t>
      </w:r>
      <w:r w:rsidR="007E389F" w:rsidRPr="00D77184">
        <w:rPr>
          <w:rFonts w:ascii="Times New Roman" w:hAnsi="Times New Roman"/>
          <w:sz w:val="26"/>
          <w:szCs w:val="24"/>
        </w:rPr>
        <w:t xml:space="preserve">file a further report on or before May 1, 2015.  </w:t>
      </w:r>
      <w:r w:rsidR="00B169AF">
        <w:rPr>
          <w:rFonts w:ascii="Times New Roman" w:hAnsi="Times New Roman"/>
          <w:sz w:val="26"/>
          <w:szCs w:val="24"/>
        </w:rPr>
        <w:t>T</w:t>
      </w:r>
      <w:r w:rsidR="007E389F" w:rsidRPr="00D77184">
        <w:rPr>
          <w:rFonts w:ascii="Times New Roman" w:hAnsi="Times New Roman"/>
          <w:sz w:val="26"/>
          <w:szCs w:val="24"/>
        </w:rPr>
        <w:t xml:space="preserve">he Company </w:t>
      </w:r>
      <w:r w:rsidR="00B169AF">
        <w:rPr>
          <w:rFonts w:ascii="Times New Roman" w:hAnsi="Times New Roman"/>
          <w:sz w:val="26"/>
          <w:szCs w:val="24"/>
        </w:rPr>
        <w:t>will also</w:t>
      </w:r>
      <w:r w:rsidR="007E389F" w:rsidRPr="00D77184">
        <w:rPr>
          <w:rFonts w:ascii="Times New Roman" w:hAnsi="Times New Roman"/>
          <w:sz w:val="26"/>
          <w:szCs w:val="24"/>
        </w:rPr>
        <w:t xml:space="preserve"> provide a comparison of actual expenses and rate base additions when it files its next base rate proceeding.  Th</w:t>
      </w:r>
      <w:r w:rsidR="00B169AF">
        <w:rPr>
          <w:rFonts w:ascii="Times New Roman" w:hAnsi="Times New Roman"/>
          <w:sz w:val="26"/>
          <w:szCs w:val="24"/>
        </w:rPr>
        <w:t>e ALJ determined that this</w:t>
      </w:r>
      <w:r w:rsidR="007E389F" w:rsidRPr="00D77184">
        <w:rPr>
          <w:rFonts w:ascii="Times New Roman" w:hAnsi="Times New Roman"/>
          <w:sz w:val="26"/>
          <w:szCs w:val="24"/>
        </w:rPr>
        <w:t xml:space="preserve"> provision is in the public interest</w:t>
      </w:r>
      <w:r w:rsidR="00B169AF">
        <w:rPr>
          <w:rFonts w:ascii="Times New Roman" w:hAnsi="Times New Roman"/>
          <w:sz w:val="26"/>
          <w:szCs w:val="24"/>
        </w:rPr>
        <w:t>, because i</w:t>
      </w:r>
      <w:r w:rsidR="007E389F" w:rsidRPr="00D77184">
        <w:rPr>
          <w:rFonts w:ascii="Times New Roman" w:hAnsi="Times New Roman"/>
          <w:sz w:val="26"/>
          <w:szCs w:val="24"/>
        </w:rPr>
        <w:t xml:space="preserve">t will provide factual assurance to the Commission, </w:t>
      </w:r>
      <w:r w:rsidR="00B169AF">
        <w:rPr>
          <w:rFonts w:ascii="Times New Roman" w:hAnsi="Times New Roman"/>
          <w:sz w:val="26"/>
          <w:szCs w:val="24"/>
        </w:rPr>
        <w:t xml:space="preserve">to </w:t>
      </w:r>
      <w:r w:rsidR="007E389F" w:rsidRPr="00D77184">
        <w:rPr>
          <w:rFonts w:ascii="Times New Roman" w:hAnsi="Times New Roman"/>
          <w:sz w:val="26"/>
          <w:szCs w:val="24"/>
        </w:rPr>
        <w:t>the Joint Petitioners and, indirectly, to the Company’s ratepayers</w:t>
      </w:r>
      <w:r w:rsidR="006F3138">
        <w:rPr>
          <w:rFonts w:ascii="Times New Roman" w:hAnsi="Times New Roman"/>
          <w:sz w:val="26"/>
          <w:szCs w:val="24"/>
        </w:rPr>
        <w:t>,</w:t>
      </w:r>
      <w:r w:rsidR="007E389F" w:rsidRPr="00D77184">
        <w:rPr>
          <w:rFonts w:ascii="Times New Roman" w:hAnsi="Times New Roman"/>
          <w:sz w:val="26"/>
          <w:szCs w:val="24"/>
        </w:rPr>
        <w:t xml:space="preserve"> that the costs paid for through the base rate increase are appropriately and reasonably applied to cover improvement costs.</w:t>
      </w:r>
      <w:r w:rsidR="00B169AF">
        <w:rPr>
          <w:rFonts w:ascii="Times New Roman" w:hAnsi="Times New Roman"/>
          <w:sz w:val="26"/>
          <w:szCs w:val="24"/>
        </w:rPr>
        <w:t xml:space="preserve">  </w:t>
      </w:r>
      <w:r w:rsidR="00B169AF" w:rsidRPr="00B169AF">
        <w:rPr>
          <w:rFonts w:ascii="Times New Roman" w:hAnsi="Times New Roman"/>
          <w:i/>
          <w:sz w:val="26"/>
          <w:szCs w:val="24"/>
        </w:rPr>
        <w:t>Id</w:t>
      </w:r>
      <w:r w:rsidR="00B169AF">
        <w:rPr>
          <w:rFonts w:ascii="Times New Roman" w:hAnsi="Times New Roman"/>
          <w:sz w:val="26"/>
          <w:szCs w:val="24"/>
        </w:rPr>
        <w:t xml:space="preserve">. at 65-66.  </w:t>
      </w:r>
    </w:p>
    <w:p w:rsidR="007E389F" w:rsidRPr="00D77184" w:rsidRDefault="007E389F" w:rsidP="009932E3">
      <w:pPr>
        <w:spacing w:after="0" w:line="360" w:lineRule="auto"/>
        <w:ind w:firstLine="1440"/>
        <w:rPr>
          <w:rFonts w:ascii="Times New Roman" w:hAnsi="Times New Roman"/>
          <w:sz w:val="26"/>
          <w:szCs w:val="24"/>
        </w:rPr>
      </w:pPr>
    </w:p>
    <w:p w:rsidR="007E389F" w:rsidRPr="00D77184" w:rsidRDefault="002E18D7" w:rsidP="009932E3">
      <w:pPr>
        <w:spacing w:after="0" w:line="360" w:lineRule="auto"/>
        <w:ind w:firstLine="1440"/>
        <w:rPr>
          <w:rFonts w:ascii="Times New Roman" w:hAnsi="Times New Roman"/>
          <w:sz w:val="26"/>
          <w:szCs w:val="24"/>
        </w:rPr>
      </w:pPr>
      <w:r>
        <w:rPr>
          <w:rFonts w:ascii="Times New Roman" w:hAnsi="Times New Roman"/>
          <w:sz w:val="26"/>
          <w:szCs w:val="24"/>
        </w:rPr>
        <w:lastRenderedPageBreak/>
        <w:t xml:space="preserve">Finally, the ALJ addressed the </w:t>
      </w:r>
      <w:r w:rsidR="007E389F" w:rsidRPr="00D77184">
        <w:rPr>
          <w:rFonts w:ascii="Times New Roman" w:hAnsi="Times New Roman"/>
          <w:sz w:val="26"/>
          <w:szCs w:val="24"/>
        </w:rPr>
        <w:t>Joint Petitioners</w:t>
      </w:r>
      <w:r>
        <w:rPr>
          <w:rFonts w:ascii="Times New Roman" w:hAnsi="Times New Roman"/>
          <w:sz w:val="26"/>
          <w:szCs w:val="24"/>
        </w:rPr>
        <w:t>’</w:t>
      </w:r>
      <w:r w:rsidR="007E389F" w:rsidRPr="00D77184">
        <w:rPr>
          <w:rFonts w:ascii="Times New Roman" w:hAnsi="Times New Roman"/>
          <w:sz w:val="26"/>
          <w:szCs w:val="24"/>
        </w:rPr>
        <w:t xml:space="preserve"> request </w:t>
      </w:r>
      <w:r>
        <w:rPr>
          <w:rFonts w:ascii="Times New Roman" w:hAnsi="Times New Roman"/>
          <w:sz w:val="26"/>
          <w:szCs w:val="24"/>
        </w:rPr>
        <w:t xml:space="preserve">that </w:t>
      </w:r>
      <w:r w:rsidR="007E389F" w:rsidRPr="00D77184">
        <w:rPr>
          <w:rFonts w:ascii="Times New Roman" w:hAnsi="Times New Roman"/>
          <w:sz w:val="26"/>
          <w:szCs w:val="24"/>
        </w:rPr>
        <w:t>the Commission move up the effective date of the new base rates from January 29, 2014</w:t>
      </w:r>
      <w:r>
        <w:rPr>
          <w:rFonts w:ascii="Times New Roman" w:hAnsi="Times New Roman"/>
          <w:sz w:val="26"/>
          <w:szCs w:val="24"/>
        </w:rPr>
        <w:t>,</w:t>
      </w:r>
      <w:r w:rsidR="007E389F" w:rsidRPr="00D77184">
        <w:rPr>
          <w:rFonts w:ascii="Times New Roman" w:hAnsi="Times New Roman"/>
          <w:sz w:val="26"/>
          <w:szCs w:val="24"/>
        </w:rPr>
        <w:t xml:space="preserve"> to January 1, 2014, if possible.  Th</w:t>
      </w:r>
      <w:r>
        <w:rPr>
          <w:rFonts w:ascii="Times New Roman" w:hAnsi="Times New Roman"/>
          <w:sz w:val="26"/>
          <w:szCs w:val="24"/>
        </w:rPr>
        <w:t>e ALJ found that this</w:t>
      </w:r>
      <w:r w:rsidR="007E389F" w:rsidRPr="00D77184">
        <w:rPr>
          <w:rFonts w:ascii="Times New Roman" w:hAnsi="Times New Roman"/>
          <w:sz w:val="26"/>
          <w:szCs w:val="24"/>
        </w:rPr>
        <w:t xml:space="preserve"> provision was the result of compromise by the </w:t>
      </w:r>
      <w:r>
        <w:rPr>
          <w:rFonts w:ascii="Times New Roman" w:hAnsi="Times New Roman"/>
          <w:sz w:val="26"/>
          <w:szCs w:val="24"/>
        </w:rPr>
        <w:t>Joint Petitioners</w:t>
      </w:r>
      <w:r w:rsidR="007E389F" w:rsidRPr="00D77184">
        <w:rPr>
          <w:rFonts w:ascii="Times New Roman" w:hAnsi="Times New Roman"/>
          <w:sz w:val="26"/>
          <w:szCs w:val="24"/>
        </w:rPr>
        <w:t xml:space="preserve"> and is consistent with the Acquisition Settlement in which Peoples TWP agreed not to increase base rates prior to January 1, 2014.  </w:t>
      </w:r>
    </w:p>
    <w:p w:rsidR="007E389F" w:rsidRPr="00D77184" w:rsidRDefault="007E389F" w:rsidP="009932E3">
      <w:pPr>
        <w:spacing w:after="0" w:line="360" w:lineRule="auto"/>
        <w:rPr>
          <w:rFonts w:ascii="Times New Roman" w:hAnsi="Times New Roman"/>
          <w:sz w:val="26"/>
          <w:szCs w:val="24"/>
        </w:rPr>
      </w:pPr>
    </w:p>
    <w:p w:rsidR="00DA2579" w:rsidRPr="00DA2579" w:rsidRDefault="00DA2579" w:rsidP="009932E3">
      <w:pPr>
        <w:tabs>
          <w:tab w:val="left" w:pos="1440"/>
        </w:tabs>
        <w:spacing w:after="0" w:line="360" w:lineRule="auto"/>
        <w:ind w:firstLine="720"/>
        <w:rPr>
          <w:rFonts w:ascii="Times New Roman" w:hAnsi="Times New Roman"/>
          <w:b/>
          <w:sz w:val="26"/>
          <w:szCs w:val="24"/>
        </w:rPr>
      </w:pPr>
      <w:r>
        <w:rPr>
          <w:rFonts w:ascii="Times New Roman" w:hAnsi="Times New Roman"/>
          <w:sz w:val="26"/>
          <w:szCs w:val="24"/>
        </w:rPr>
        <w:tab/>
      </w:r>
      <w:r w:rsidRPr="00DA2579">
        <w:rPr>
          <w:rFonts w:ascii="Times New Roman" w:hAnsi="Times New Roman"/>
          <w:b/>
          <w:sz w:val="26"/>
          <w:szCs w:val="24"/>
        </w:rPr>
        <w:t>b.</w:t>
      </w:r>
      <w:r w:rsidRPr="00DA2579">
        <w:rPr>
          <w:rFonts w:ascii="Times New Roman" w:hAnsi="Times New Roman"/>
          <w:b/>
          <w:sz w:val="26"/>
          <w:szCs w:val="24"/>
        </w:rPr>
        <w:tab/>
        <w:t>Disposition</w:t>
      </w:r>
    </w:p>
    <w:p w:rsidR="00DA2579" w:rsidRDefault="007E389F" w:rsidP="009932E3">
      <w:pPr>
        <w:tabs>
          <w:tab w:val="left" w:pos="1440"/>
        </w:tabs>
        <w:spacing w:after="0" w:line="360" w:lineRule="auto"/>
        <w:ind w:firstLine="720"/>
        <w:rPr>
          <w:rFonts w:ascii="Times New Roman" w:hAnsi="Times New Roman"/>
          <w:sz w:val="26"/>
          <w:szCs w:val="24"/>
        </w:rPr>
      </w:pPr>
      <w:r w:rsidRPr="00D77184">
        <w:rPr>
          <w:rFonts w:ascii="Times New Roman" w:hAnsi="Times New Roman"/>
          <w:sz w:val="26"/>
          <w:szCs w:val="24"/>
        </w:rPr>
        <w:tab/>
      </w:r>
    </w:p>
    <w:p w:rsidR="007E389F" w:rsidRPr="00D77184" w:rsidRDefault="00DA2579" w:rsidP="009932E3">
      <w:pPr>
        <w:tabs>
          <w:tab w:val="left" w:pos="1440"/>
        </w:tabs>
        <w:spacing w:after="0" w:line="360" w:lineRule="auto"/>
        <w:ind w:firstLine="720"/>
        <w:rPr>
          <w:rFonts w:ascii="Times New Roman" w:hAnsi="Times New Roman"/>
          <w:sz w:val="26"/>
          <w:szCs w:val="24"/>
        </w:rPr>
      </w:pPr>
      <w:r>
        <w:rPr>
          <w:rFonts w:ascii="Times New Roman" w:hAnsi="Times New Roman"/>
          <w:sz w:val="26"/>
          <w:szCs w:val="24"/>
        </w:rPr>
        <w:tab/>
      </w:r>
      <w:r w:rsidR="002E18D7">
        <w:rPr>
          <w:rFonts w:ascii="Times New Roman" w:hAnsi="Times New Roman"/>
          <w:sz w:val="26"/>
          <w:szCs w:val="24"/>
        </w:rPr>
        <w:t>As a whole, we agree with the ALJ and find that these provisions, along with the other provisions of the Settlement, are in the public interest</w:t>
      </w:r>
      <w:r w:rsidR="00DC1456">
        <w:rPr>
          <w:rFonts w:ascii="Times New Roman" w:hAnsi="Times New Roman"/>
          <w:sz w:val="26"/>
          <w:szCs w:val="24"/>
        </w:rPr>
        <w:t xml:space="preserve"> and are consistent with our policy reasons for promoting settlements</w:t>
      </w:r>
      <w:r w:rsidR="002E18D7">
        <w:rPr>
          <w:rFonts w:ascii="Times New Roman" w:hAnsi="Times New Roman"/>
          <w:sz w:val="26"/>
          <w:szCs w:val="24"/>
        </w:rPr>
        <w:t>.  We note that</w:t>
      </w:r>
      <w:r w:rsidR="0069766F">
        <w:rPr>
          <w:rFonts w:ascii="Times New Roman" w:hAnsi="Times New Roman"/>
          <w:sz w:val="26"/>
          <w:szCs w:val="24"/>
        </w:rPr>
        <w:t>,</w:t>
      </w:r>
      <w:r w:rsidR="002E18D7">
        <w:rPr>
          <w:rFonts w:ascii="Times New Roman" w:hAnsi="Times New Roman"/>
          <w:sz w:val="26"/>
          <w:szCs w:val="24"/>
        </w:rPr>
        <w:t xml:space="preserve"> </w:t>
      </w:r>
      <w:r w:rsidR="0069766F" w:rsidRPr="000C4001">
        <w:rPr>
          <w:rFonts w:ascii="Times New Roman" w:hAnsi="Times New Roman"/>
          <w:sz w:val="26"/>
        </w:rPr>
        <w:t xml:space="preserve">pursuant to </w:t>
      </w:r>
      <w:r w:rsidR="0069766F">
        <w:rPr>
          <w:rFonts w:ascii="Times New Roman" w:hAnsi="Times New Roman"/>
          <w:sz w:val="26"/>
        </w:rPr>
        <w:t xml:space="preserve">Section 1308(d) of the Code, </w:t>
      </w:r>
      <w:r w:rsidR="0069766F" w:rsidRPr="000C4001">
        <w:rPr>
          <w:rFonts w:ascii="Times New Roman" w:hAnsi="Times New Roman"/>
          <w:sz w:val="26"/>
        </w:rPr>
        <w:t>66 Pa.</w:t>
      </w:r>
      <w:r w:rsidR="00CB0074">
        <w:rPr>
          <w:rFonts w:ascii="Times New Roman" w:hAnsi="Times New Roman"/>
          <w:sz w:val="26"/>
        </w:rPr>
        <w:t xml:space="preserve"> </w:t>
      </w:r>
      <w:r w:rsidR="0069766F" w:rsidRPr="000C4001">
        <w:rPr>
          <w:rFonts w:ascii="Times New Roman" w:hAnsi="Times New Roman"/>
          <w:sz w:val="26"/>
        </w:rPr>
        <w:t xml:space="preserve">C.S. § 1308(d), </w:t>
      </w:r>
      <w:r w:rsidR="0069766F">
        <w:rPr>
          <w:rFonts w:ascii="Times New Roman" w:hAnsi="Times New Roman"/>
          <w:sz w:val="26"/>
        </w:rPr>
        <w:t>we have the authority to permit the base rate increase to become effective prior to</w:t>
      </w:r>
      <w:r w:rsidR="0069766F" w:rsidRPr="000C4001">
        <w:rPr>
          <w:rFonts w:ascii="Times New Roman" w:hAnsi="Times New Roman"/>
          <w:sz w:val="26"/>
        </w:rPr>
        <w:t xml:space="preserve"> January 29, 2014</w:t>
      </w:r>
      <w:r w:rsidR="0069766F">
        <w:rPr>
          <w:rFonts w:ascii="Times New Roman" w:hAnsi="Times New Roman"/>
          <w:sz w:val="26"/>
        </w:rPr>
        <w:t>.</w:t>
      </w:r>
      <w:r w:rsidR="0020119B">
        <w:rPr>
          <w:rFonts w:ascii="Times New Roman" w:hAnsi="Times New Roman"/>
          <w:sz w:val="26"/>
        </w:rPr>
        <w:t xml:space="preserve">  In light of the Joint Petitioners’ compromise in this proceeding and the Acquisition Settlement agreement that Peoples TWP could not increase its rates prior to January 1, 2014, we conclude that permitting January 1, 2014, to be the </w:t>
      </w:r>
      <w:r w:rsidR="0020119B" w:rsidRPr="00D77184">
        <w:rPr>
          <w:rFonts w:ascii="Times New Roman" w:hAnsi="Times New Roman"/>
          <w:sz w:val="26"/>
          <w:szCs w:val="24"/>
        </w:rPr>
        <w:t>effective date of the new base rates</w:t>
      </w:r>
      <w:r w:rsidR="0020119B">
        <w:rPr>
          <w:rFonts w:ascii="Times New Roman" w:hAnsi="Times New Roman"/>
          <w:sz w:val="26"/>
          <w:szCs w:val="24"/>
        </w:rPr>
        <w:t xml:space="preserve"> is </w:t>
      </w:r>
      <w:r w:rsidR="004F123E">
        <w:rPr>
          <w:rFonts w:ascii="Times New Roman" w:hAnsi="Times New Roman"/>
          <w:sz w:val="26"/>
          <w:szCs w:val="24"/>
        </w:rPr>
        <w:t>appropriate in this case</w:t>
      </w:r>
      <w:r w:rsidR="0020119B">
        <w:rPr>
          <w:rFonts w:ascii="Times New Roman" w:hAnsi="Times New Roman"/>
          <w:sz w:val="26"/>
          <w:szCs w:val="24"/>
        </w:rPr>
        <w:t>.</w:t>
      </w:r>
      <w:r w:rsidR="005D7B18">
        <w:rPr>
          <w:rFonts w:ascii="Times New Roman" w:hAnsi="Times New Roman"/>
          <w:sz w:val="26"/>
          <w:szCs w:val="24"/>
        </w:rPr>
        <w:t xml:space="preserve">  For all of the reasons set forth above, we shall approve the Settlement without modification. </w:t>
      </w:r>
      <w:r w:rsidR="00CB38CD">
        <w:rPr>
          <w:rFonts w:ascii="Times New Roman" w:hAnsi="Times New Roman"/>
          <w:sz w:val="26"/>
          <w:szCs w:val="24"/>
        </w:rPr>
        <w:t xml:space="preserve"> </w:t>
      </w:r>
    </w:p>
    <w:p w:rsidR="002E53F9" w:rsidRPr="00D77184" w:rsidRDefault="002E53F9" w:rsidP="009932E3">
      <w:pPr>
        <w:pStyle w:val="OutlineL3"/>
        <w:widowControl w:val="0"/>
        <w:numPr>
          <w:ilvl w:val="0"/>
          <w:numId w:val="0"/>
        </w:numPr>
        <w:tabs>
          <w:tab w:val="clear" w:pos="2160"/>
        </w:tabs>
        <w:spacing w:after="0" w:line="360" w:lineRule="auto"/>
        <w:outlineLvl w:val="9"/>
        <w:rPr>
          <w:sz w:val="26"/>
          <w:szCs w:val="26"/>
        </w:rPr>
      </w:pPr>
    </w:p>
    <w:p w:rsidR="007D1E75" w:rsidRPr="007D1E75" w:rsidRDefault="005D7B18" w:rsidP="007D1E75">
      <w:pPr>
        <w:spacing w:after="0" w:line="360" w:lineRule="auto"/>
        <w:rPr>
          <w:rFonts w:ascii="Times New Roman" w:eastAsiaTheme="minorHAnsi" w:hAnsi="Times New Roman"/>
          <w:b/>
          <w:sz w:val="26"/>
          <w:szCs w:val="26"/>
        </w:rPr>
      </w:pPr>
      <w:r>
        <w:rPr>
          <w:rFonts w:ascii="Times New Roman" w:eastAsiaTheme="minorHAnsi" w:hAnsi="Times New Roman"/>
          <w:b/>
          <w:sz w:val="26"/>
          <w:szCs w:val="26"/>
        </w:rPr>
        <w:t>D.</w:t>
      </w:r>
      <w:r>
        <w:rPr>
          <w:rFonts w:ascii="Times New Roman" w:eastAsiaTheme="minorHAnsi" w:hAnsi="Times New Roman"/>
          <w:b/>
          <w:sz w:val="26"/>
          <w:szCs w:val="26"/>
        </w:rPr>
        <w:tab/>
      </w:r>
      <w:r w:rsidR="007D1E75" w:rsidRPr="007D1E75">
        <w:rPr>
          <w:rFonts w:ascii="Times New Roman" w:eastAsiaTheme="minorHAnsi" w:hAnsi="Times New Roman"/>
          <w:b/>
          <w:sz w:val="26"/>
          <w:szCs w:val="26"/>
        </w:rPr>
        <w:t>Exceptions and Replies</w:t>
      </w:r>
    </w:p>
    <w:p w:rsidR="003F3CD5" w:rsidRDefault="003F3CD5" w:rsidP="007D1E75">
      <w:pPr>
        <w:spacing w:after="0" w:line="360" w:lineRule="auto"/>
        <w:rPr>
          <w:rFonts w:ascii="Times New Roman" w:eastAsia="Times New Roman" w:hAnsi="Times New Roman"/>
          <w:sz w:val="26"/>
          <w:szCs w:val="26"/>
        </w:rPr>
      </w:pPr>
    </w:p>
    <w:p w:rsidR="007D1E75" w:rsidRDefault="003F3CD5" w:rsidP="003F3CD5">
      <w:pPr>
        <w:spacing w:after="0" w:line="360" w:lineRule="auto"/>
        <w:ind w:firstLine="720"/>
        <w:rPr>
          <w:rFonts w:ascii="Times New Roman" w:eastAsia="Times New Roman" w:hAnsi="Times New Roman"/>
          <w:color w:val="000000"/>
          <w:sz w:val="26"/>
          <w:szCs w:val="26"/>
          <w:u w:val="single"/>
        </w:rPr>
      </w:pPr>
      <w:r>
        <w:rPr>
          <w:rFonts w:ascii="Times New Roman" w:eastAsia="Times New Roman" w:hAnsi="Times New Roman"/>
          <w:sz w:val="26"/>
          <w:szCs w:val="26"/>
        </w:rPr>
        <w:tab/>
      </w:r>
      <w:r w:rsidRPr="00F00BD7">
        <w:rPr>
          <w:rFonts w:ascii="Times New Roman" w:eastAsia="Times New Roman" w:hAnsi="Times New Roman"/>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Pr="00F00BD7">
          <w:rPr>
            <w:rFonts w:ascii="Times New Roman" w:eastAsia="Times New Roman" w:hAnsi="Times New Roman"/>
            <w:i/>
            <w:iCs/>
            <w:color w:val="000000"/>
            <w:sz w:val="26"/>
            <w:szCs w:val="26"/>
          </w:rPr>
          <w:t xml:space="preserve">Consolidated Rail Corp. v. Pa. PUC, </w:t>
        </w:r>
        <w:r w:rsidRPr="00F00BD7">
          <w:rPr>
            <w:rFonts w:ascii="Times New Roman" w:eastAsia="Times New Roman" w:hAnsi="Times New Roman"/>
            <w:color w:val="000000"/>
            <w:sz w:val="26"/>
            <w:szCs w:val="26"/>
            <w:u w:val="single"/>
          </w:rPr>
          <w:t>625 A.2d 741 (Pa. Cmwlth. 1993);</w:t>
        </w:r>
      </w:hyperlink>
      <w:r w:rsidRPr="00F00BD7">
        <w:rPr>
          <w:rFonts w:ascii="Times New Roman" w:eastAsia="Times New Roman" w:hAnsi="Times New Roman"/>
          <w:color w:val="000000"/>
          <w:sz w:val="26"/>
          <w:szCs w:val="26"/>
        </w:rPr>
        <w:t xml:space="preserve"> </w:t>
      </w:r>
      <w:r w:rsidRPr="00F00BD7">
        <w:rPr>
          <w:rFonts w:ascii="Times New Roman" w:eastAsia="Times New Roman" w:hAnsi="Times New Roman"/>
          <w:i/>
          <w:color w:val="000000"/>
          <w:sz w:val="26"/>
          <w:szCs w:val="26"/>
        </w:rPr>
        <w:t xml:space="preserve">also </w:t>
      </w:r>
      <w:r w:rsidRPr="00F00BD7">
        <w:rPr>
          <w:rFonts w:ascii="Times New Roman" w:eastAsia="Times New Roman" w:hAnsi="Times New Roman"/>
          <w:i/>
          <w:iCs/>
          <w:color w:val="000000"/>
          <w:sz w:val="26"/>
          <w:szCs w:val="26"/>
        </w:rPr>
        <w:t xml:space="preserve">see, generally, </w:t>
      </w:r>
      <w:hyperlink r:id="rId11" w:history="1">
        <w:r w:rsidRPr="00F00BD7">
          <w:rPr>
            <w:rFonts w:ascii="Times New Roman" w:eastAsia="Times New Roman" w:hAnsi="Times New Roman"/>
            <w:i/>
            <w:iCs/>
            <w:color w:val="000000"/>
            <w:sz w:val="26"/>
            <w:szCs w:val="26"/>
          </w:rPr>
          <w:t>University of Pennsylvania v. Pa. PUC</w:t>
        </w:r>
        <w:r w:rsidRPr="00F00BD7">
          <w:rPr>
            <w:rFonts w:ascii="Times New Roman" w:eastAsia="Times New Roman" w:hAnsi="Times New Roman"/>
            <w:color w:val="000000"/>
            <w:sz w:val="26"/>
            <w:szCs w:val="26"/>
            <w:u w:val="single"/>
          </w:rPr>
          <w:t>, 485 A.2d 1217 (Pa. Cmwlth. 1984).</w:t>
        </w:r>
      </w:hyperlink>
    </w:p>
    <w:p w:rsidR="008F0B29" w:rsidRDefault="008F0B29" w:rsidP="003F3CD5">
      <w:pPr>
        <w:spacing w:after="0" w:line="360" w:lineRule="auto"/>
        <w:ind w:firstLine="720"/>
        <w:rPr>
          <w:rFonts w:ascii="Times New Roman" w:eastAsia="Times New Roman" w:hAnsi="Times New Roman"/>
          <w:color w:val="000000"/>
          <w:sz w:val="26"/>
          <w:szCs w:val="26"/>
        </w:rPr>
      </w:pPr>
    </w:p>
    <w:p w:rsidR="003F3CD5" w:rsidRPr="007D1E75" w:rsidRDefault="003F3CD5" w:rsidP="007D1E75">
      <w:pPr>
        <w:spacing w:after="0" w:line="360" w:lineRule="auto"/>
        <w:rPr>
          <w:rFonts w:ascii="Times New Roman" w:eastAsiaTheme="minorHAnsi" w:hAnsi="Times New Roman"/>
          <w:b/>
          <w:sz w:val="26"/>
          <w:szCs w:val="26"/>
        </w:rPr>
      </w:pPr>
    </w:p>
    <w:p w:rsidR="00520D0A" w:rsidRDefault="00520D0A" w:rsidP="007D1E75">
      <w:pPr>
        <w:spacing w:after="0" w:line="360" w:lineRule="auto"/>
        <w:rPr>
          <w:rFonts w:ascii="Times New Roman" w:eastAsiaTheme="minorHAnsi" w:hAnsi="Times New Roman"/>
          <w:b/>
          <w:sz w:val="26"/>
          <w:szCs w:val="26"/>
        </w:rPr>
      </w:pPr>
      <w:r>
        <w:rPr>
          <w:rFonts w:ascii="Times New Roman" w:eastAsiaTheme="minorHAnsi" w:hAnsi="Times New Roman"/>
          <w:b/>
          <w:sz w:val="26"/>
          <w:szCs w:val="26"/>
        </w:rPr>
        <w:lastRenderedPageBreak/>
        <w:tab/>
        <w:t>1.</w:t>
      </w:r>
      <w:r>
        <w:rPr>
          <w:rFonts w:ascii="Times New Roman" w:eastAsiaTheme="minorHAnsi" w:hAnsi="Times New Roman"/>
          <w:b/>
          <w:sz w:val="26"/>
          <w:szCs w:val="26"/>
        </w:rPr>
        <w:tab/>
        <w:t xml:space="preserve">Timeliness of the Exceptions Filing </w:t>
      </w:r>
    </w:p>
    <w:p w:rsidR="00F00BD7" w:rsidRDefault="00F00BD7" w:rsidP="007D1E75">
      <w:pPr>
        <w:spacing w:after="0" w:line="360" w:lineRule="auto"/>
        <w:rPr>
          <w:rFonts w:ascii="Times New Roman" w:eastAsia="Times New Roman" w:hAnsi="Times New Roman"/>
          <w:sz w:val="26"/>
          <w:szCs w:val="26"/>
        </w:rPr>
      </w:pPr>
    </w:p>
    <w:p w:rsidR="00394CA8" w:rsidRDefault="00F00BD7" w:rsidP="003F3CD5">
      <w:pPr>
        <w:spacing w:after="0" w:line="360" w:lineRule="auto"/>
        <w:ind w:firstLine="720"/>
        <w:rPr>
          <w:rFonts w:ascii="Times New Roman" w:eastAsiaTheme="minorHAnsi" w:hAnsi="Times New Roman"/>
          <w:b/>
          <w:sz w:val="26"/>
          <w:szCs w:val="26"/>
        </w:rPr>
      </w:pPr>
      <w:r>
        <w:rPr>
          <w:rFonts w:ascii="Times New Roman" w:eastAsia="Times New Roman" w:hAnsi="Times New Roman"/>
          <w:sz w:val="26"/>
          <w:szCs w:val="26"/>
        </w:rPr>
        <w:tab/>
      </w:r>
      <w:r w:rsidR="00394CA8">
        <w:rPr>
          <w:rFonts w:ascii="Times New Roman" w:eastAsiaTheme="minorHAnsi" w:hAnsi="Times New Roman"/>
          <w:b/>
          <w:sz w:val="26"/>
          <w:szCs w:val="26"/>
        </w:rPr>
        <w:t>a.</w:t>
      </w:r>
      <w:r w:rsidR="00394CA8">
        <w:rPr>
          <w:rFonts w:ascii="Times New Roman" w:eastAsiaTheme="minorHAnsi" w:hAnsi="Times New Roman"/>
          <w:b/>
          <w:sz w:val="26"/>
          <w:szCs w:val="26"/>
        </w:rPr>
        <w:tab/>
        <w:t xml:space="preserve">Positions of the Parties </w:t>
      </w:r>
    </w:p>
    <w:p w:rsidR="00394CA8" w:rsidRDefault="00394CA8" w:rsidP="007D1E75">
      <w:pPr>
        <w:spacing w:after="0" w:line="360" w:lineRule="auto"/>
        <w:rPr>
          <w:rFonts w:ascii="Times New Roman" w:eastAsiaTheme="minorHAnsi" w:hAnsi="Times New Roman"/>
          <w:b/>
          <w:sz w:val="26"/>
          <w:szCs w:val="26"/>
        </w:rPr>
      </w:pPr>
    </w:p>
    <w:p w:rsidR="007A1CA8" w:rsidRDefault="00394CA8" w:rsidP="00F00BD7">
      <w:pPr>
        <w:spacing w:after="0" w:line="360" w:lineRule="auto"/>
        <w:rPr>
          <w:rFonts w:ascii="Times New Roman" w:eastAsiaTheme="minorHAnsi" w:hAnsi="Times New Roman"/>
          <w:sz w:val="26"/>
          <w:szCs w:val="26"/>
        </w:rPr>
      </w:pPr>
      <w:r>
        <w:rPr>
          <w:rFonts w:ascii="Times New Roman" w:eastAsiaTheme="minorHAnsi" w:hAnsi="Times New Roman"/>
          <w:b/>
          <w:sz w:val="26"/>
          <w:szCs w:val="26"/>
        </w:rPr>
        <w:tab/>
      </w:r>
      <w:r w:rsidR="00F00BD7">
        <w:rPr>
          <w:rFonts w:ascii="Times New Roman" w:eastAsia="Times New Roman" w:hAnsi="Times New Roman"/>
          <w:sz w:val="26"/>
          <w:szCs w:val="26"/>
        </w:rPr>
        <w:tab/>
      </w:r>
      <w:r w:rsidR="00C9635E">
        <w:rPr>
          <w:rFonts w:ascii="Times New Roman" w:eastAsiaTheme="minorHAnsi" w:hAnsi="Times New Roman"/>
          <w:sz w:val="26"/>
          <w:szCs w:val="26"/>
        </w:rPr>
        <w:t xml:space="preserve">In her Exceptions, Ms. Spielvogel states that she did not receive the Recommended Decision until November 13, 2013.  She avers that </w:t>
      </w:r>
      <w:r w:rsidR="007A1CA8">
        <w:rPr>
          <w:rFonts w:ascii="Times New Roman" w:eastAsiaTheme="minorHAnsi" w:hAnsi="Times New Roman"/>
          <w:sz w:val="26"/>
          <w:szCs w:val="26"/>
        </w:rPr>
        <w:t xml:space="preserve">she was not home when </w:t>
      </w:r>
      <w:r w:rsidR="00C9635E">
        <w:rPr>
          <w:rFonts w:ascii="Times New Roman" w:eastAsiaTheme="minorHAnsi" w:hAnsi="Times New Roman"/>
          <w:sz w:val="26"/>
          <w:szCs w:val="26"/>
        </w:rPr>
        <w:t xml:space="preserve">she received the certified mail receipt on </w:t>
      </w:r>
      <w:r w:rsidR="007A1CA8">
        <w:rPr>
          <w:rFonts w:ascii="Times New Roman" w:eastAsiaTheme="minorHAnsi" w:hAnsi="Times New Roman"/>
          <w:sz w:val="26"/>
          <w:szCs w:val="26"/>
        </w:rPr>
        <w:t xml:space="preserve">Saturday, </w:t>
      </w:r>
      <w:r w:rsidR="00C9635E">
        <w:rPr>
          <w:rFonts w:ascii="Times New Roman" w:eastAsiaTheme="minorHAnsi" w:hAnsi="Times New Roman"/>
          <w:sz w:val="26"/>
          <w:szCs w:val="26"/>
        </w:rPr>
        <w:t>November 9, 2013</w:t>
      </w:r>
      <w:r w:rsidR="007A1CA8">
        <w:rPr>
          <w:rFonts w:ascii="Times New Roman" w:eastAsiaTheme="minorHAnsi" w:hAnsi="Times New Roman"/>
          <w:sz w:val="26"/>
          <w:szCs w:val="26"/>
        </w:rPr>
        <w:t>,</w:t>
      </w:r>
      <w:r w:rsidR="00C9635E">
        <w:rPr>
          <w:rFonts w:ascii="Times New Roman" w:eastAsiaTheme="minorHAnsi" w:hAnsi="Times New Roman"/>
          <w:sz w:val="26"/>
          <w:szCs w:val="26"/>
        </w:rPr>
        <w:t xml:space="preserve"> and that the</w:t>
      </w:r>
      <w:r w:rsidR="007A1CA8">
        <w:rPr>
          <w:rFonts w:ascii="Times New Roman" w:eastAsiaTheme="minorHAnsi" w:hAnsi="Times New Roman"/>
          <w:sz w:val="26"/>
          <w:szCs w:val="26"/>
        </w:rPr>
        <w:t xml:space="preserve"> United States Post Office was closed on Monday, November 11, 2013, in observance of Veterans Day.  She also avers that the Post Office could not find the certified mail on Tuesday, November 12, 2013, but that the mail containing the Recommended Decision was delivered to her home on Wednesday, November 13, 2013.  Ms. Spielvogel explains that, for these reasons, she filed the Exceptions </w:t>
      </w:r>
      <w:r w:rsidR="00A25938">
        <w:rPr>
          <w:rFonts w:ascii="Times New Roman" w:eastAsiaTheme="minorHAnsi" w:hAnsi="Times New Roman"/>
          <w:sz w:val="26"/>
          <w:szCs w:val="26"/>
        </w:rPr>
        <w:t>after the November 13, 2013 deadline</w:t>
      </w:r>
      <w:r w:rsidR="007A1CA8">
        <w:rPr>
          <w:rFonts w:ascii="Times New Roman" w:eastAsiaTheme="minorHAnsi" w:hAnsi="Times New Roman"/>
          <w:sz w:val="26"/>
          <w:szCs w:val="26"/>
        </w:rPr>
        <w:t xml:space="preserve">.  Exc. at 1.  </w:t>
      </w:r>
    </w:p>
    <w:p w:rsidR="007A1CA8" w:rsidRDefault="007A1CA8" w:rsidP="007D1E75">
      <w:pPr>
        <w:spacing w:after="0" w:line="360" w:lineRule="auto"/>
        <w:rPr>
          <w:rFonts w:ascii="Times New Roman" w:eastAsiaTheme="minorHAnsi" w:hAnsi="Times New Roman"/>
          <w:sz w:val="26"/>
          <w:szCs w:val="26"/>
        </w:rPr>
      </w:pPr>
    </w:p>
    <w:p w:rsidR="00520D0A" w:rsidRDefault="007A1CA8" w:rsidP="007D1E75">
      <w:pPr>
        <w:spacing w:after="0" w:line="360" w:lineRule="auto"/>
        <w:rPr>
          <w:rFonts w:ascii="Times New Roman" w:eastAsiaTheme="minorHAnsi" w:hAnsi="Times New Roman"/>
          <w:b/>
          <w:sz w:val="26"/>
          <w:szCs w:val="26"/>
        </w:rPr>
      </w:pPr>
      <w:r>
        <w:rPr>
          <w:rFonts w:ascii="Times New Roman" w:eastAsiaTheme="minorHAnsi" w:hAnsi="Times New Roman"/>
          <w:sz w:val="26"/>
          <w:szCs w:val="26"/>
        </w:rPr>
        <w:tab/>
      </w:r>
      <w:r>
        <w:rPr>
          <w:rFonts w:ascii="Times New Roman" w:eastAsiaTheme="minorHAnsi" w:hAnsi="Times New Roman"/>
          <w:sz w:val="26"/>
          <w:szCs w:val="26"/>
        </w:rPr>
        <w:tab/>
        <w:t xml:space="preserve">In its Replies to Exceptions, </w:t>
      </w:r>
      <w:r w:rsidR="00DD484E">
        <w:rPr>
          <w:rFonts w:ascii="Times New Roman" w:eastAsiaTheme="minorHAnsi" w:hAnsi="Times New Roman"/>
          <w:sz w:val="26"/>
          <w:szCs w:val="26"/>
        </w:rPr>
        <w:t>Peoples TWP notes that the November 6, 2013 Secretarial Letter attached to the issued Recommended Decision informed the Parties that Exceptions were required to be filed with the Commission and served on all Parties by November 13, 2013.  Peoples TWP states that Ms.</w:t>
      </w:r>
      <w:r w:rsidR="00DD484E" w:rsidRPr="00DD484E">
        <w:rPr>
          <w:rFonts w:ascii="Times New Roman" w:eastAsiaTheme="minorHAnsi" w:hAnsi="Times New Roman"/>
          <w:sz w:val="26"/>
          <w:szCs w:val="26"/>
        </w:rPr>
        <w:t xml:space="preserve"> </w:t>
      </w:r>
      <w:r w:rsidR="00DD484E">
        <w:rPr>
          <w:rFonts w:ascii="Times New Roman" w:eastAsiaTheme="minorHAnsi" w:hAnsi="Times New Roman"/>
          <w:sz w:val="26"/>
          <w:szCs w:val="26"/>
        </w:rPr>
        <w:t xml:space="preserve">Spielvogel’s Exceptions were dated November 13, 2013, but were </w:t>
      </w:r>
      <w:r w:rsidR="00323A35">
        <w:rPr>
          <w:rFonts w:ascii="Times New Roman" w:eastAsiaTheme="minorHAnsi" w:hAnsi="Times New Roman"/>
          <w:sz w:val="26"/>
          <w:szCs w:val="26"/>
        </w:rPr>
        <w:t xml:space="preserve">not </w:t>
      </w:r>
      <w:r w:rsidR="00DD484E">
        <w:rPr>
          <w:rFonts w:ascii="Times New Roman" w:eastAsiaTheme="minorHAnsi" w:hAnsi="Times New Roman"/>
          <w:sz w:val="26"/>
          <w:szCs w:val="26"/>
        </w:rPr>
        <w:t xml:space="preserve">served on the Company </w:t>
      </w:r>
      <w:r w:rsidR="00323A35">
        <w:rPr>
          <w:rFonts w:ascii="Times New Roman" w:eastAsiaTheme="minorHAnsi" w:hAnsi="Times New Roman"/>
          <w:sz w:val="26"/>
          <w:szCs w:val="26"/>
        </w:rPr>
        <w:t>until</w:t>
      </w:r>
      <w:r w:rsidR="00DD484E">
        <w:rPr>
          <w:rFonts w:ascii="Times New Roman" w:eastAsiaTheme="minorHAnsi" w:hAnsi="Times New Roman"/>
          <w:sz w:val="26"/>
          <w:szCs w:val="26"/>
        </w:rPr>
        <w:t xml:space="preserve"> November 15, 2013.  Peoples TWP indicates that it cannot confirm that the Exceptions were timely filed, and if they were not timely filed, the Exceptions should be dismissed.  R. Exc. at 1.</w:t>
      </w:r>
      <w:r w:rsidR="00C9635E">
        <w:rPr>
          <w:rFonts w:ascii="Times New Roman" w:eastAsiaTheme="minorHAnsi" w:hAnsi="Times New Roman"/>
          <w:sz w:val="26"/>
          <w:szCs w:val="26"/>
        </w:rPr>
        <w:t xml:space="preserve"> </w:t>
      </w:r>
      <w:r w:rsidR="00520D0A">
        <w:rPr>
          <w:rFonts w:ascii="Times New Roman" w:eastAsiaTheme="minorHAnsi" w:hAnsi="Times New Roman"/>
          <w:b/>
          <w:sz w:val="26"/>
          <w:szCs w:val="26"/>
        </w:rPr>
        <w:t xml:space="preserve"> </w:t>
      </w:r>
      <w:r w:rsidR="007D1E75" w:rsidRPr="007D1E75">
        <w:rPr>
          <w:rFonts w:ascii="Times New Roman" w:eastAsiaTheme="minorHAnsi" w:hAnsi="Times New Roman"/>
          <w:b/>
          <w:sz w:val="26"/>
          <w:szCs w:val="26"/>
        </w:rPr>
        <w:tab/>
      </w:r>
    </w:p>
    <w:p w:rsidR="00520D0A" w:rsidRDefault="00520D0A" w:rsidP="007D1E75">
      <w:pPr>
        <w:spacing w:after="0" w:line="360" w:lineRule="auto"/>
        <w:rPr>
          <w:rFonts w:ascii="Times New Roman" w:eastAsiaTheme="minorHAnsi" w:hAnsi="Times New Roman"/>
          <w:b/>
          <w:sz w:val="26"/>
          <w:szCs w:val="26"/>
        </w:rPr>
      </w:pPr>
    </w:p>
    <w:p w:rsidR="00600FEE" w:rsidRDefault="00600FEE" w:rsidP="007D1E75">
      <w:pPr>
        <w:spacing w:after="0" w:line="360" w:lineRule="auto"/>
        <w:rPr>
          <w:rFonts w:ascii="Times New Roman" w:eastAsiaTheme="minorHAnsi" w:hAnsi="Times New Roman"/>
          <w:b/>
          <w:sz w:val="26"/>
          <w:szCs w:val="26"/>
        </w:rPr>
      </w:pPr>
      <w:r>
        <w:rPr>
          <w:rFonts w:ascii="Times New Roman" w:eastAsiaTheme="minorHAnsi" w:hAnsi="Times New Roman"/>
          <w:b/>
          <w:sz w:val="26"/>
          <w:szCs w:val="26"/>
        </w:rPr>
        <w:tab/>
      </w:r>
      <w:r>
        <w:rPr>
          <w:rFonts w:ascii="Times New Roman" w:eastAsiaTheme="minorHAnsi" w:hAnsi="Times New Roman"/>
          <w:b/>
          <w:sz w:val="26"/>
          <w:szCs w:val="26"/>
        </w:rPr>
        <w:tab/>
      </w:r>
      <w:r w:rsidR="00323A35">
        <w:rPr>
          <w:rFonts w:ascii="Times New Roman" w:eastAsiaTheme="minorHAnsi" w:hAnsi="Times New Roman"/>
          <w:b/>
          <w:sz w:val="26"/>
          <w:szCs w:val="26"/>
        </w:rPr>
        <w:t>b.</w:t>
      </w:r>
      <w:r w:rsidR="00323A35">
        <w:rPr>
          <w:rFonts w:ascii="Times New Roman" w:eastAsiaTheme="minorHAnsi" w:hAnsi="Times New Roman"/>
          <w:b/>
          <w:sz w:val="26"/>
          <w:szCs w:val="26"/>
        </w:rPr>
        <w:tab/>
        <w:t xml:space="preserve">Disposition </w:t>
      </w:r>
    </w:p>
    <w:p w:rsidR="00323A35" w:rsidRDefault="00323A35" w:rsidP="007D1E75">
      <w:pPr>
        <w:spacing w:after="0" w:line="360" w:lineRule="auto"/>
        <w:rPr>
          <w:rFonts w:ascii="Times New Roman" w:eastAsiaTheme="minorHAnsi" w:hAnsi="Times New Roman"/>
          <w:b/>
          <w:sz w:val="26"/>
          <w:szCs w:val="26"/>
        </w:rPr>
      </w:pPr>
    </w:p>
    <w:p w:rsidR="00323A35" w:rsidRPr="00020132" w:rsidRDefault="00323A35" w:rsidP="007D1E75">
      <w:pPr>
        <w:spacing w:after="0" w:line="360" w:lineRule="auto"/>
        <w:rPr>
          <w:rFonts w:ascii="Times New Roman" w:eastAsiaTheme="minorHAnsi" w:hAnsi="Times New Roman"/>
          <w:sz w:val="26"/>
          <w:szCs w:val="26"/>
        </w:rPr>
      </w:pPr>
      <w:r>
        <w:rPr>
          <w:rFonts w:ascii="Times New Roman" w:eastAsiaTheme="minorHAnsi" w:hAnsi="Times New Roman"/>
          <w:b/>
          <w:sz w:val="26"/>
          <w:szCs w:val="26"/>
        </w:rPr>
        <w:tab/>
      </w:r>
      <w:r>
        <w:rPr>
          <w:rFonts w:ascii="Times New Roman" w:eastAsiaTheme="minorHAnsi" w:hAnsi="Times New Roman"/>
          <w:b/>
          <w:sz w:val="26"/>
          <w:szCs w:val="26"/>
        </w:rPr>
        <w:tab/>
      </w:r>
      <w:r w:rsidR="00BF3384">
        <w:rPr>
          <w:rFonts w:ascii="Times New Roman" w:eastAsiaTheme="minorHAnsi" w:hAnsi="Times New Roman"/>
          <w:sz w:val="26"/>
          <w:szCs w:val="26"/>
        </w:rPr>
        <w:t>Although Ms. Spielvogel Exceptions were dated the same day she allegedly received the Recommended Decision, o</w:t>
      </w:r>
      <w:r w:rsidR="00020132">
        <w:rPr>
          <w:rFonts w:ascii="Times New Roman" w:eastAsiaTheme="minorHAnsi" w:hAnsi="Times New Roman"/>
          <w:sz w:val="26"/>
          <w:szCs w:val="26"/>
        </w:rPr>
        <w:t>ur records indicate that Ms.</w:t>
      </w:r>
      <w:r w:rsidR="00020132" w:rsidRPr="00020132">
        <w:rPr>
          <w:rFonts w:ascii="Times New Roman" w:eastAsiaTheme="minorHAnsi" w:hAnsi="Times New Roman"/>
          <w:sz w:val="26"/>
          <w:szCs w:val="26"/>
        </w:rPr>
        <w:t xml:space="preserve"> </w:t>
      </w:r>
      <w:r w:rsidR="00020132">
        <w:rPr>
          <w:rFonts w:ascii="Times New Roman" w:eastAsiaTheme="minorHAnsi" w:hAnsi="Times New Roman"/>
          <w:sz w:val="26"/>
          <w:szCs w:val="26"/>
        </w:rPr>
        <w:t xml:space="preserve">Spielvogel’s Exceptions </w:t>
      </w:r>
      <w:r w:rsidR="00303EF0">
        <w:rPr>
          <w:rFonts w:ascii="Times New Roman" w:eastAsiaTheme="minorHAnsi" w:hAnsi="Times New Roman"/>
          <w:sz w:val="26"/>
          <w:szCs w:val="26"/>
        </w:rPr>
        <w:t xml:space="preserve">were </w:t>
      </w:r>
      <w:r w:rsidR="00BF3384">
        <w:rPr>
          <w:rFonts w:ascii="Times New Roman" w:eastAsiaTheme="minorHAnsi" w:hAnsi="Times New Roman"/>
          <w:sz w:val="26"/>
          <w:szCs w:val="26"/>
        </w:rPr>
        <w:t xml:space="preserve">not filed within the meaning of 52 Pa. Code § 1.11 </w:t>
      </w:r>
      <w:r w:rsidR="00152F28">
        <w:rPr>
          <w:rFonts w:ascii="Times New Roman" w:eastAsiaTheme="minorHAnsi" w:hAnsi="Times New Roman"/>
          <w:sz w:val="26"/>
          <w:szCs w:val="26"/>
        </w:rPr>
        <w:t xml:space="preserve">until November 18, 2013.  </w:t>
      </w:r>
      <w:r w:rsidR="000428D9">
        <w:rPr>
          <w:rFonts w:ascii="Times New Roman" w:eastAsiaTheme="minorHAnsi" w:hAnsi="Times New Roman"/>
          <w:sz w:val="26"/>
          <w:szCs w:val="26"/>
        </w:rPr>
        <w:t xml:space="preserve">Nevertheless, we believe that it is appropriate to consider the Exceptions under the circumstances in this case in order to secure a just, speedy, and inexpensive </w:t>
      </w:r>
      <w:r w:rsidR="000428D9">
        <w:rPr>
          <w:rFonts w:ascii="Times New Roman" w:eastAsiaTheme="minorHAnsi" w:hAnsi="Times New Roman"/>
          <w:sz w:val="26"/>
          <w:szCs w:val="26"/>
        </w:rPr>
        <w:lastRenderedPageBreak/>
        <w:t xml:space="preserve">determination in this proceeding.  </w:t>
      </w:r>
      <w:r w:rsidR="000428D9" w:rsidRPr="000428D9">
        <w:rPr>
          <w:rFonts w:ascii="Times New Roman" w:eastAsiaTheme="minorHAnsi" w:hAnsi="Times New Roman"/>
          <w:i/>
          <w:sz w:val="26"/>
          <w:szCs w:val="26"/>
        </w:rPr>
        <w:t>See</w:t>
      </w:r>
      <w:r w:rsidR="000428D9">
        <w:rPr>
          <w:rFonts w:ascii="Times New Roman" w:eastAsiaTheme="minorHAnsi" w:hAnsi="Times New Roman"/>
          <w:sz w:val="26"/>
          <w:szCs w:val="26"/>
        </w:rPr>
        <w:t xml:space="preserve">, 52 Pa. Code § 1.2(a).  </w:t>
      </w:r>
      <w:r w:rsidR="00BF3384">
        <w:rPr>
          <w:rFonts w:ascii="Times New Roman" w:eastAsiaTheme="minorHAnsi" w:hAnsi="Times New Roman"/>
          <w:sz w:val="26"/>
          <w:szCs w:val="26"/>
        </w:rPr>
        <w:t xml:space="preserve">Additionally, the Commission has authority, pursuant to 52 Pa. Code § 1.15(a), to extend a deadline upon motion made after the expiration of a specified period, where reasonable grounds are shown for the Party’s failure to meet the deadline.  </w:t>
      </w:r>
      <w:r w:rsidR="00390535">
        <w:rPr>
          <w:rFonts w:ascii="Times New Roman" w:eastAsiaTheme="minorHAnsi" w:hAnsi="Times New Roman"/>
          <w:sz w:val="26"/>
          <w:szCs w:val="26"/>
        </w:rPr>
        <w:t>We fin</w:t>
      </w:r>
      <w:r w:rsidR="003F3CD5">
        <w:rPr>
          <w:rFonts w:ascii="Times New Roman" w:eastAsiaTheme="minorHAnsi" w:hAnsi="Times New Roman"/>
          <w:sz w:val="26"/>
          <w:szCs w:val="26"/>
        </w:rPr>
        <w:t>d significant the fact that Ms. </w:t>
      </w:r>
      <w:r w:rsidR="00390535">
        <w:rPr>
          <w:rFonts w:ascii="Times New Roman" w:eastAsiaTheme="minorHAnsi" w:hAnsi="Times New Roman"/>
          <w:sz w:val="26"/>
          <w:szCs w:val="26"/>
        </w:rPr>
        <w:t xml:space="preserve">Spielvogel is appearing as a </w:t>
      </w:r>
      <w:r w:rsidR="00390535" w:rsidRPr="00390535">
        <w:rPr>
          <w:rFonts w:ascii="Times New Roman" w:eastAsiaTheme="minorHAnsi" w:hAnsi="Times New Roman"/>
          <w:i/>
          <w:sz w:val="26"/>
          <w:szCs w:val="26"/>
        </w:rPr>
        <w:t xml:space="preserve">pro se </w:t>
      </w:r>
      <w:r w:rsidR="00390535" w:rsidRPr="00DA2579">
        <w:rPr>
          <w:rFonts w:ascii="Times New Roman" w:eastAsiaTheme="minorHAnsi" w:hAnsi="Times New Roman"/>
          <w:sz w:val="26"/>
          <w:szCs w:val="26"/>
        </w:rPr>
        <w:t>complainant</w:t>
      </w:r>
      <w:r w:rsidR="00390535">
        <w:rPr>
          <w:rFonts w:ascii="Times New Roman" w:eastAsiaTheme="minorHAnsi" w:hAnsi="Times New Roman"/>
          <w:sz w:val="26"/>
          <w:szCs w:val="26"/>
        </w:rPr>
        <w:t xml:space="preserve"> in this proceeding, and she has offered a </w:t>
      </w:r>
      <w:r w:rsidR="00BF3384">
        <w:rPr>
          <w:rFonts w:ascii="Times New Roman" w:eastAsiaTheme="minorHAnsi" w:hAnsi="Times New Roman"/>
          <w:sz w:val="26"/>
          <w:szCs w:val="26"/>
        </w:rPr>
        <w:t xml:space="preserve">reasonable </w:t>
      </w:r>
      <w:r w:rsidR="00390535">
        <w:rPr>
          <w:rFonts w:ascii="Times New Roman" w:eastAsiaTheme="minorHAnsi" w:hAnsi="Times New Roman"/>
          <w:sz w:val="26"/>
          <w:szCs w:val="26"/>
        </w:rPr>
        <w:t xml:space="preserve">explanation for the late filing.  </w:t>
      </w:r>
    </w:p>
    <w:p w:rsidR="00600FEE" w:rsidRDefault="00600FEE" w:rsidP="007D1E75">
      <w:pPr>
        <w:spacing w:after="0" w:line="360" w:lineRule="auto"/>
        <w:rPr>
          <w:rFonts w:ascii="Times New Roman" w:eastAsiaTheme="minorHAnsi" w:hAnsi="Times New Roman"/>
          <w:b/>
          <w:sz w:val="26"/>
          <w:szCs w:val="26"/>
        </w:rPr>
      </w:pPr>
    </w:p>
    <w:p w:rsidR="007D1E75" w:rsidRPr="007D1E75" w:rsidRDefault="00B5278E" w:rsidP="003F3CD5">
      <w:pPr>
        <w:keepNext/>
        <w:spacing w:after="0" w:line="360" w:lineRule="auto"/>
        <w:ind w:firstLine="720"/>
        <w:rPr>
          <w:rFonts w:ascii="Times New Roman" w:eastAsiaTheme="minorHAnsi" w:hAnsi="Times New Roman"/>
          <w:b/>
          <w:sz w:val="26"/>
          <w:szCs w:val="26"/>
        </w:rPr>
      </w:pPr>
      <w:r>
        <w:rPr>
          <w:rFonts w:ascii="Times New Roman" w:eastAsiaTheme="minorHAnsi" w:hAnsi="Times New Roman"/>
          <w:b/>
          <w:sz w:val="26"/>
          <w:szCs w:val="26"/>
        </w:rPr>
        <w:t>2</w:t>
      </w:r>
      <w:r w:rsidR="007D1E75" w:rsidRPr="007D1E75">
        <w:rPr>
          <w:rFonts w:ascii="Times New Roman" w:eastAsiaTheme="minorHAnsi" w:hAnsi="Times New Roman"/>
          <w:b/>
          <w:sz w:val="26"/>
          <w:szCs w:val="26"/>
        </w:rPr>
        <w:t>.</w:t>
      </w:r>
      <w:r w:rsidR="007D1E75" w:rsidRPr="007D1E75">
        <w:rPr>
          <w:rFonts w:ascii="Times New Roman" w:eastAsiaTheme="minorHAnsi" w:hAnsi="Times New Roman"/>
          <w:b/>
          <w:sz w:val="26"/>
          <w:szCs w:val="26"/>
        </w:rPr>
        <w:tab/>
        <w:t>Acquisition of T.W. Phillips</w:t>
      </w:r>
      <w:r w:rsidR="007D1E75" w:rsidRPr="007D1E75">
        <w:rPr>
          <w:rFonts w:ascii="Times New Roman" w:eastAsiaTheme="minorHAnsi" w:hAnsi="Times New Roman"/>
          <w:b/>
          <w:sz w:val="26"/>
          <w:szCs w:val="26"/>
        </w:rPr>
        <w:tab/>
      </w:r>
    </w:p>
    <w:p w:rsidR="007D1E75" w:rsidRDefault="00B5278E" w:rsidP="003F3CD5">
      <w:pPr>
        <w:keepNext/>
        <w:spacing w:after="0" w:line="360" w:lineRule="auto"/>
        <w:rPr>
          <w:rFonts w:ascii="Times New Roman" w:eastAsiaTheme="minorHAnsi" w:hAnsi="Times New Roman"/>
          <w:b/>
          <w:sz w:val="26"/>
          <w:szCs w:val="26"/>
        </w:rPr>
      </w:pPr>
      <w:r>
        <w:rPr>
          <w:rFonts w:ascii="Times New Roman" w:eastAsiaTheme="minorHAnsi" w:hAnsi="Times New Roman"/>
          <w:b/>
          <w:sz w:val="26"/>
          <w:szCs w:val="26"/>
        </w:rPr>
        <w:tab/>
      </w:r>
      <w:r>
        <w:rPr>
          <w:rFonts w:ascii="Times New Roman" w:eastAsiaTheme="minorHAnsi" w:hAnsi="Times New Roman"/>
          <w:b/>
          <w:sz w:val="26"/>
          <w:szCs w:val="26"/>
        </w:rPr>
        <w:tab/>
      </w:r>
    </w:p>
    <w:p w:rsidR="00B5278E" w:rsidRPr="007D1E75" w:rsidRDefault="00B5278E" w:rsidP="003F3CD5">
      <w:pPr>
        <w:keepNext/>
        <w:spacing w:after="0" w:line="360" w:lineRule="auto"/>
        <w:rPr>
          <w:rFonts w:ascii="Times New Roman" w:eastAsiaTheme="minorHAnsi" w:hAnsi="Times New Roman"/>
          <w:b/>
          <w:sz w:val="26"/>
          <w:szCs w:val="26"/>
        </w:rPr>
      </w:pPr>
      <w:r>
        <w:rPr>
          <w:rFonts w:ascii="Times New Roman" w:eastAsiaTheme="minorHAnsi" w:hAnsi="Times New Roman"/>
          <w:b/>
          <w:sz w:val="26"/>
          <w:szCs w:val="26"/>
        </w:rPr>
        <w:tab/>
      </w:r>
      <w:r>
        <w:rPr>
          <w:rFonts w:ascii="Times New Roman" w:eastAsiaTheme="minorHAnsi" w:hAnsi="Times New Roman"/>
          <w:b/>
          <w:sz w:val="26"/>
          <w:szCs w:val="26"/>
        </w:rPr>
        <w:tab/>
        <w:t>a.</w:t>
      </w:r>
      <w:r>
        <w:rPr>
          <w:rFonts w:ascii="Times New Roman" w:eastAsiaTheme="minorHAnsi" w:hAnsi="Times New Roman"/>
          <w:b/>
          <w:sz w:val="26"/>
          <w:szCs w:val="26"/>
        </w:rPr>
        <w:tab/>
        <w:t xml:space="preserve">Positions of the Parties  </w:t>
      </w:r>
    </w:p>
    <w:p w:rsidR="00B5278E" w:rsidRDefault="007D1E75" w:rsidP="003F3CD5">
      <w:pPr>
        <w:keepNext/>
        <w:spacing w:after="0" w:line="360" w:lineRule="auto"/>
        <w:rPr>
          <w:rFonts w:ascii="Times New Roman" w:eastAsiaTheme="minorHAnsi" w:hAnsi="Times New Roman"/>
          <w:sz w:val="26"/>
          <w:szCs w:val="26"/>
        </w:rPr>
      </w:pPr>
      <w:r w:rsidRPr="007D1E75">
        <w:rPr>
          <w:rFonts w:ascii="Times New Roman" w:eastAsiaTheme="minorHAnsi" w:hAnsi="Times New Roman"/>
          <w:sz w:val="26"/>
          <w:szCs w:val="26"/>
        </w:rPr>
        <w:tab/>
      </w:r>
      <w:r w:rsidRPr="007D1E75">
        <w:rPr>
          <w:rFonts w:ascii="Times New Roman" w:eastAsiaTheme="minorHAnsi" w:hAnsi="Times New Roman"/>
          <w:sz w:val="26"/>
          <w:szCs w:val="26"/>
        </w:rPr>
        <w:tab/>
      </w:r>
    </w:p>
    <w:p w:rsidR="007D1E75" w:rsidRPr="007D1E75" w:rsidRDefault="007D1E75" w:rsidP="00B5278E">
      <w:pPr>
        <w:spacing w:after="0" w:line="360" w:lineRule="auto"/>
        <w:ind w:firstLine="1440"/>
        <w:rPr>
          <w:rFonts w:ascii="Times New Roman" w:eastAsiaTheme="minorHAnsi" w:hAnsi="Times New Roman"/>
          <w:sz w:val="26"/>
          <w:szCs w:val="26"/>
        </w:rPr>
      </w:pPr>
      <w:r w:rsidRPr="007D1E75">
        <w:rPr>
          <w:rFonts w:ascii="Times New Roman" w:eastAsiaTheme="minorHAnsi" w:hAnsi="Times New Roman"/>
          <w:sz w:val="26"/>
          <w:szCs w:val="26"/>
        </w:rPr>
        <w:t>In her first Exception, Ms. Spielvogel asserts that Peoples TWP</w:t>
      </w:r>
      <w:r w:rsidR="001448CA">
        <w:rPr>
          <w:rFonts w:ascii="Times New Roman" w:eastAsiaTheme="minorHAnsi" w:hAnsi="Times New Roman"/>
          <w:sz w:val="26"/>
          <w:szCs w:val="26"/>
        </w:rPr>
        <w:t>’s customers</w:t>
      </w:r>
      <w:r w:rsidRPr="007D1E75">
        <w:rPr>
          <w:rFonts w:ascii="Times New Roman" w:eastAsiaTheme="minorHAnsi" w:hAnsi="Times New Roman"/>
          <w:sz w:val="26"/>
          <w:szCs w:val="26"/>
        </w:rPr>
        <w:t xml:space="preserve"> are </w:t>
      </w:r>
      <w:r w:rsidR="001448CA">
        <w:rPr>
          <w:rFonts w:ascii="Times New Roman" w:eastAsiaTheme="minorHAnsi" w:hAnsi="Times New Roman"/>
          <w:sz w:val="26"/>
          <w:szCs w:val="26"/>
        </w:rPr>
        <w:t>being</w:t>
      </w:r>
      <w:r w:rsidRPr="007D1E75">
        <w:rPr>
          <w:rFonts w:ascii="Times New Roman" w:eastAsiaTheme="minorHAnsi" w:hAnsi="Times New Roman"/>
          <w:sz w:val="26"/>
          <w:szCs w:val="26"/>
        </w:rPr>
        <w:t xml:space="preserve"> punished by a rate increase because </w:t>
      </w:r>
      <w:r w:rsidR="006666CF">
        <w:rPr>
          <w:rFonts w:ascii="Times New Roman" w:eastAsiaTheme="minorHAnsi" w:hAnsi="Times New Roman"/>
          <w:sz w:val="26"/>
          <w:szCs w:val="26"/>
        </w:rPr>
        <w:t>Holdings II</w:t>
      </w:r>
      <w:r w:rsidRPr="007D1E75">
        <w:rPr>
          <w:rFonts w:ascii="Times New Roman" w:eastAsiaTheme="minorHAnsi" w:hAnsi="Times New Roman"/>
          <w:sz w:val="26"/>
          <w:szCs w:val="26"/>
        </w:rPr>
        <w:t xml:space="preserve"> Company did not do its due diligence before purchasing T.W. Phillips.  She </w:t>
      </w:r>
      <w:r w:rsidR="001448CA">
        <w:rPr>
          <w:rFonts w:ascii="Times New Roman" w:eastAsiaTheme="minorHAnsi" w:hAnsi="Times New Roman"/>
          <w:sz w:val="26"/>
          <w:szCs w:val="26"/>
        </w:rPr>
        <w:t>aver</w:t>
      </w:r>
      <w:r w:rsidRPr="007D1E75">
        <w:rPr>
          <w:rFonts w:ascii="Times New Roman" w:eastAsiaTheme="minorHAnsi" w:hAnsi="Times New Roman"/>
          <w:sz w:val="26"/>
          <w:szCs w:val="26"/>
        </w:rPr>
        <w:t xml:space="preserve">s that </w:t>
      </w:r>
      <w:r w:rsidR="006666CF">
        <w:rPr>
          <w:rFonts w:ascii="Times New Roman" w:eastAsiaTheme="minorHAnsi" w:hAnsi="Times New Roman"/>
          <w:sz w:val="26"/>
          <w:szCs w:val="26"/>
        </w:rPr>
        <w:t>Holdings II</w:t>
      </w:r>
      <w:r w:rsidR="001448CA">
        <w:rPr>
          <w:rFonts w:ascii="Times New Roman" w:eastAsiaTheme="minorHAnsi" w:hAnsi="Times New Roman"/>
          <w:sz w:val="26"/>
          <w:szCs w:val="26"/>
        </w:rPr>
        <w:t xml:space="preserve"> </w:t>
      </w:r>
      <w:r w:rsidRPr="007D1E75">
        <w:rPr>
          <w:rFonts w:ascii="Times New Roman" w:eastAsiaTheme="minorHAnsi" w:hAnsi="Times New Roman"/>
          <w:sz w:val="26"/>
          <w:szCs w:val="26"/>
        </w:rPr>
        <w:t xml:space="preserve">should have been more diligent </w:t>
      </w:r>
      <w:r w:rsidR="001448CA">
        <w:rPr>
          <w:rFonts w:ascii="Times New Roman" w:eastAsiaTheme="minorHAnsi" w:hAnsi="Times New Roman"/>
          <w:sz w:val="26"/>
          <w:szCs w:val="26"/>
        </w:rPr>
        <w:t>regarding</w:t>
      </w:r>
      <w:r w:rsidRPr="007D1E75">
        <w:rPr>
          <w:rFonts w:ascii="Times New Roman" w:eastAsiaTheme="minorHAnsi" w:hAnsi="Times New Roman"/>
          <w:sz w:val="26"/>
          <w:szCs w:val="26"/>
        </w:rPr>
        <w:t xml:space="preserve"> the condition of the pipes, infrastructure</w:t>
      </w:r>
      <w:r w:rsidR="001448CA">
        <w:rPr>
          <w:rFonts w:ascii="Times New Roman" w:eastAsiaTheme="minorHAnsi" w:hAnsi="Times New Roman"/>
          <w:sz w:val="26"/>
          <w:szCs w:val="26"/>
        </w:rPr>
        <w:t>,</w:t>
      </w:r>
      <w:r w:rsidRPr="007D1E75">
        <w:rPr>
          <w:rFonts w:ascii="Times New Roman" w:eastAsiaTheme="minorHAnsi" w:hAnsi="Times New Roman"/>
          <w:sz w:val="26"/>
          <w:szCs w:val="26"/>
        </w:rPr>
        <w:t xml:space="preserve"> and billing department of T.W. Phillips before purchasing th</w:t>
      </w:r>
      <w:r w:rsidR="001448CA">
        <w:rPr>
          <w:rFonts w:ascii="Times New Roman" w:eastAsiaTheme="minorHAnsi" w:hAnsi="Times New Roman"/>
          <w:sz w:val="26"/>
          <w:szCs w:val="26"/>
        </w:rPr>
        <w:t>at</w:t>
      </w:r>
      <w:r w:rsidRPr="007D1E75">
        <w:rPr>
          <w:rFonts w:ascii="Times New Roman" w:eastAsiaTheme="minorHAnsi" w:hAnsi="Times New Roman"/>
          <w:sz w:val="26"/>
          <w:szCs w:val="26"/>
        </w:rPr>
        <w:t xml:space="preserve"> utility.  Exc. at 1.</w:t>
      </w:r>
    </w:p>
    <w:p w:rsidR="007D1E75" w:rsidRPr="007D1E75" w:rsidRDefault="007D1E75" w:rsidP="007D1E75">
      <w:pPr>
        <w:spacing w:after="0" w:line="360" w:lineRule="auto"/>
        <w:rPr>
          <w:rFonts w:ascii="Times New Roman" w:eastAsiaTheme="minorHAnsi" w:hAnsi="Times New Roman"/>
          <w:sz w:val="26"/>
          <w:szCs w:val="26"/>
        </w:rPr>
      </w:pPr>
    </w:p>
    <w:p w:rsidR="007D1E75" w:rsidRPr="007D1E75" w:rsidRDefault="007D1E75" w:rsidP="007D1E75">
      <w:pPr>
        <w:spacing w:after="0" w:line="360" w:lineRule="auto"/>
        <w:rPr>
          <w:rFonts w:ascii="Times New Roman" w:eastAsiaTheme="minorHAnsi" w:hAnsi="Times New Roman"/>
          <w:sz w:val="26"/>
          <w:szCs w:val="26"/>
        </w:rPr>
      </w:pPr>
      <w:r w:rsidRPr="007D1E75">
        <w:rPr>
          <w:rFonts w:ascii="Times New Roman" w:eastAsiaTheme="minorHAnsi" w:hAnsi="Times New Roman"/>
          <w:sz w:val="26"/>
          <w:szCs w:val="26"/>
        </w:rPr>
        <w:tab/>
      </w:r>
      <w:r w:rsidRPr="007D1E75">
        <w:rPr>
          <w:rFonts w:ascii="Times New Roman" w:eastAsiaTheme="minorHAnsi" w:hAnsi="Times New Roman"/>
          <w:sz w:val="26"/>
          <w:szCs w:val="26"/>
        </w:rPr>
        <w:tab/>
        <w:t>In reply, Peoples TWP notes that no active party to these proceedings raised a general objection to the acquisition of T</w:t>
      </w:r>
      <w:r w:rsidR="00FD5380">
        <w:rPr>
          <w:rFonts w:ascii="Times New Roman" w:eastAsiaTheme="minorHAnsi" w:hAnsi="Times New Roman"/>
          <w:sz w:val="26"/>
          <w:szCs w:val="26"/>
        </w:rPr>
        <w:t>.</w:t>
      </w:r>
      <w:r w:rsidRPr="007D1E75">
        <w:rPr>
          <w:rFonts w:ascii="Times New Roman" w:eastAsiaTheme="minorHAnsi" w:hAnsi="Times New Roman"/>
          <w:sz w:val="26"/>
          <w:szCs w:val="26"/>
        </w:rPr>
        <w:t>W</w:t>
      </w:r>
      <w:r w:rsidR="00FD5380">
        <w:rPr>
          <w:rFonts w:ascii="Times New Roman" w:eastAsiaTheme="minorHAnsi" w:hAnsi="Times New Roman"/>
          <w:sz w:val="26"/>
          <w:szCs w:val="26"/>
        </w:rPr>
        <w:t xml:space="preserve">. </w:t>
      </w:r>
      <w:r w:rsidRPr="007D1E75">
        <w:rPr>
          <w:rFonts w:ascii="Times New Roman" w:eastAsiaTheme="minorHAnsi" w:hAnsi="Times New Roman"/>
          <w:sz w:val="26"/>
          <w:szCs w:val="26"/>
        </w:rPr>
        <w:t>P</w:t>
      </w:r>
      <w:r w:rsidR="00FD5380">
        <w:rPr>
          <w:rFonts w:ascii="Times New Roman" w:eastAsiaTheme="minorHAnsi" w:hAnsi="Times New Roman"/>
          <w:sz w:val="26"/>
          <w:szCs w:val="26"/>
        </w:rPr>
        <w:t>hillips</w:t>
      </w:r>
      <w:r w:rsidRPr="007D1E75">
        <w:rPr>
          <w:rFonts w:ascii="Times New Roman" w:eastAsiaTheme="minorHAnsi" w:hAnsi="Times New Roman"/>
          <w:sz w:val="26"/>
          <w:szCs w:val="26"/>
        </w:rPr>
        <w:t xml:space="preserve"> by </w:t>
      </w:r>
      <w:r w:rsidR="00D77E8F">
        <w:rPr>
          <w:rFonts w:ascii="Times New Roman" w:eastAsiaTheme="minorHAnsi" w:hAnsi="Times New Roman"/>
          <w:sz w:val="26"/>
          <w:szCs w:val="26"/>
        </w:rPr>
        <w:t>Holdings II</w:t>
      </w:r>
      <w:r w:rsidRPr="007D1E75">
        <w:rPr>
          <w:rFonts w:ascii="Times New Roman" w:eastAsiaTheme="minorHAnsi" w:hAnsi="Times New Roman"/>
          <w:sz w:val="26"/>
          <w:szCs w:val="26"/>
        </w:rPr>
        <w:t xml:space="preserve"> and that th</w:t>
      </w:r>
      <w:r w:rsidR="00D77E8F">
        <w:rPr>
          <w:rFonts w:ascii="Times New Roman" w:eastAsiaTheme="minorHAnsi" w:hAnsi="Times New Roman"/>
          <w:sz w:val="26"/>
          <w:szCs w:val="26"/>
        </w:rPr>
        <w:t>e</w:t>
      </w:r>
      <w:r w:rsidRPr="007D1E75">
        <w:rPr>
          <w:rFonts w:ascii="Times New Roman" w:eastAsiaTheme="minorHAnsi" w:hAnsi="Times New Roman"/>
          <w:sz w:val="26"/>
          <w:szCs w:val="26"/>
        </w:rPr>
        <w:t xml:space="preserve"> acquisition was approved by Commission Order entered May 23, 2011, at Docket No.</w:t>
      </w:r>
      <w:r w:rsidR="003F3CD5">
        <w:rPr>
          <w:rFonts w:ascii="Times New Roman" w:eastAsiaTheme="minorHAnsi" w:hAnsi="Times New Roman"/>
          <w:sz w:val="26"/>
          <w:szCs w:val="26"/>
        </w:rPr>
        <w:t xml:space="preserve"> A</w:t>
      </w:r>
      <w:r w:rsidR="003F3CD5">
        <w:rPr>
          <w:rFonts w:ascii="Times New Roman" w:eastAsiaTheme="minorHAnsi" w:hAnsi="Times New Roman"/>
          <w:sz w:val="26"/>
          <w:szCs w:val="26"/>
        </w:rPr>
        <w:noBreakHyphen/>
      </w:r>
      <w:r w:rsidRPr="007D1E75">
        <w:rPr>
          <w:rFonts w:ascii="Times New Roman" w:eastAsiaTheme="minorHAnsi" w:hAnsi="Times New Roman"/>
          <w:sz w:val="26"/>
          <w:szCs w:val="26"/>
        </w:rPr>
        <w:t xml:space="preserve">2010-2210326.  According to the Company, this is not </w:t>
      </w:r>
      <w:r w:rsidR="00D77E8F">
        <w:rPr>
          <w:rFonts w:ascii="Times New Roman" w:eastAsiaTheme="minorHAnsi" w:hAnsi="Times New Roman"/>
          <w:sz w:val="26"/>
          <w:szCs w:val="26"/>
        </w:rPr>
        <w:t>the</w:t>
      </w:r>
      <w:r w:rsidRPr="007D1E75">
        <w:rPr>
          <w:rFonts w:ascii="Times New Roman" w:eastAsiaTheme="minorHAnsi" w:hAnsi="Times New Roman"/>
          <w:sz w:val="26"/>
          <w:szCs w:val="26"/>
        </w:rPr>
        <w:t xml:space="preserve"> proper proceeding </w:t>
      </w:r>
      <w:r w:rsidR="00D77E8F">
        <w:rPr>
          <w:rFonts w:ascii="Times New Roman" w:eastAsiaTheme="minorHAnsi" w:hAnsi="Times New Roman"/>
          <w:sz w:val="26"/>
          <w:szCs w:val="26"/>
        </w:rPr>
        <w:t>in which to now</w:t>
      </w:r>
      <w:r w:rsidRPr="007D1E75">
        <w:rPr>
          <w:rFonts w:ascii="Times New Roman" w:eastAsiaTheme="minorHAnsi" w:hAnsi="Times New Roman"/>
          <w:sz w:val="26"/>
          <w:szCs w:val="26"/>
        </w:rPr>
        <w:t xml:space="preserve"> challenge that acquisition.  The Company s</w:t>
      </w:r>
      <w:r w:rsidR="00D77E8F">
        <w:rPr>
          <w:rFonts w:ascii="Times New Roman" w:eastAsiaTheme="minorHAnsi" w:hAnsi="Times New Roman"/>
          <w:sz w:val="26"/>
          <w:szCs w:val="26"/>
        </w:rPr>
        <w:t>tates</w:t>
      </w:r>
      <w:r w:rsidRPr="007D1E75">
        <w:rPr>
          <w:rFonts w:ascii="Times New Roman" w:eastAsiaTheme="minorHAnsi" w:hAnsi="Times New Roman"/>
          <w:sz w:val="26"/>
          <w:szCs w:val="26"/>
        </w:rPr>
        <w:t xml:space="preserve"> that this acquisition provided access to capital needed to undertake necessary improvements to the Peoples TWP system so that the Company can provide safe and reliable service.  R. Exc. at 3-4.</w:t>
      </w:r>
    </w:p>
    <w:p w:rsidR="007D1E75" w:rsidRPr="007D1E75" w:rsidRDefault="007D1E75" w:rsidP="007D1E75">
      <w:pPr>
        <w:spacing w:after="0" w:line="360" w:lineRule="auto"/>
        <w:rPr>
          <w:rFonts w:ascii="Times New Roman" w:eastAsiaTheme="minorHAnsi" w:hAnsi="Times New Roman"/>
          <w:sz w:val="26"/>
          <w:szCs w:val="26"/>
        </w:rPr>
      </w:pPr>
    </w:p>
    <w:p w:rsidR="007D1E75" w:rsidRPr="007D1E75" w:rsidRDefault="007D1E75" w:rsidP="007D1E75">
      <w:pPr>
        <w:spacing w:after="0" w:line="360" w:lineRule="auto"/>
        <w:rPr>
          <w:rFonts w:ascii="Times New Roman" w:eastAsiaTheme="minorHAnsi" w:hAnsi="Times New Roman"/>
          <w:b/>
          <w:sz w:val="26"/>
          <w:szCs w:val="26"/>
        </w:rPr>
      </w:pPr>
      <w:r w:rsidRPr="007D1E75">
        <w:rPr>
          <w:rFonts w:ascii="Times New Roman" w:eastAsiaTheme="minorHAnsi" w:hAnsi="Times New Roman"/>
          <w:sz w:val="26"/>
          <w:szCs w:val="26"/>
        </w:rPr>
        <w:tab/>
      </w:r>
      <w:r w:rsidRPr="007D1E75">
        <w:rPr>
          <w:rFonts w:ascii="Times New Roman" w:eastAsiaTheme="minorHAnsi" w:hAnsi="Times New Roman"/>
          <w:sz w:val="26"/>
          <w:szCs w:val="26"/>
        </w:rPr>
        <w:tab/>
      </w:r>
      <w:r w:rsidR="00B55804" w:rsidRPr="00B55804">
        <w:rPr>
          <w:rFonts w:ascii="Times New Roman" w:eastAsiaTheme="minorHAnsi" w:hAnsi="Times New Roman"/>
          <w:b/>
          <w:sz w:val="26"/>
          <w:szCs w:val="26"/>
        </w:rPr>
        <w:t>b.</w:t>
      </w:r>
      <w:r w:rsidR="00B55804">
        <w:rPr>
          <w:rFonts w:ascii="Times New Roman" w:eastAsiaTheme="minorHAnsi" w:hAnsi="Times New Roman"/>
          <w:sz w:val="26"/>
          <w:szCs w:val="26"/>
        </w:rPr>
        <w:tab/>
      </w:r>
      <w:r w:rsidRPr="007D1E75">
        <w:rPr>
          <w:rFonts w:ascii="Times New Roman" w:eastAsiaTheme="minorHAnsi" w:hAnsi="Times New Roman"/>
          <w:b/>
          <w:sz w:val="26"/>
          <w:szCs w:val="26"/>
        </w:rPr>
        <w:t>Disposition</w:t>
      </w:r>
    </w:p>
    <w:p w:rsidR="007D1E75" w:rsidRPr="007D1E75" w:rsidRDefault="007D1E75" w:rsidP="007D1E75">
      <w:pPr>
        <w:spacing w:after="0" w:line="360" w:lineRule="auto"/>
        <w:rPr>
          <w:rFonts w:ascii="Times New Roman" w:eastAsiaTheme="minorHAnsi" w:hAnsi="Times New Roman"/>
          <w:b/>
          <w:sz w:val="26"/>
          <w:szCs w:val="26"/>
        </w:rPr>
      </w:pPr>
    </w:p>
    <w:p w:rsidR="007D1E75" w:rsidRPr="007D1E75" w:rsidRDefault="007D1E75" w:rsidP="007D1E75">
      <w:pPr>
        <w:spacing w:after="0" w:line="360" w:lineRule="auto"/>
        <w:rPr>
          <w:rFonts w:ascii="Times New Roman" w:eastAsiaTheme="minorHAnsi" w:hAnsi="Times New Roman"/>
          <w:sz w:val="26"/>
          <w:szCs w:val="26"/>
        </w:rPr>
      </w:pPr>
      <w:r w:rsidRPr="007D1E75">
        <w:rPr>
          <w:rFonts w:ascii="Times New Roman" w:eastAsiaTheme="minorHAnsi" w:hAnsi="Times New Roman"/>
          <w:b/>
          <w:sz w:val="26"/>
          <w:szCs w:val="26"/>
        </w:rPr>
        <w:tab/>
      </w:r>
      <w:r w:rsidRPr="007D1E75">
        <w:rPr>
          <w:rFonts w:ascii="Times New Roman" w:eastAsiaTheme="minorHAnsi" w:hAnsi="Times New Roman"/>
          <w:b/>
          <w:sz w:val="26"/>
          <w:szCs w:val="26"/>
        </w:rPr>
        <w:tab/>
      </w:r>
      <w:r w:rsidRPr="007D1E75">
        <w:rPr>
          <w:rFonts w:ascii="Times New Roman" w:eastAsiaTheme="minorHAnsi" w:hAnsi="Times New Roman"/>
          <w:sz w:val="26"/>
          <w:szCs w:val="26"/>
        </w:rPr>
        <w:t xml:space="preserve">We shall deny this Exception.  We </w:t>
      </w:r>
      <w:r w:rsidR="000C39B9">
        <w:rPr>
          <w:rFonts w:ascii="Times New Roman" w:eastAsiaTheme="minorHAnsi" w:hAnsi="Times New Roman"/>
          <w:sz w:val="26"/>
          <w:szCs w:val="26"/>
        </w:rPr>
        <w:t xml:space="preserve">concur with </w:t>
      </w:r>
      <w:r w:rsidRPr="007D1E75">
        <w:rPr>
          <w:rFonts w:ascii="Times New Roman" w:eastAsiaTheme="minorHAnsi" w:hAnsi="Times New Roman"/>
          <w:sz w:val="26"/>
          <w:szCs w:val="26"/>
        </w:rPr>
        <w:t>Peoples TWP that</w:t>
      </w:r>
      <w:r w:rsidR="00FE3490">
        <w:rPr>
          <w:rFonts w:ascii="Times New Roman" w:eastAsiaTheme="minorHAnsi" w:hAnsi="Times New Roman"/>
          <w:sz w:val="26"/>
          <w:szCs w:val="26"/>
        </w:rPr>
        <w:t>, because the Commission previously approved</w:t>
      </w:r>
      <w:r w:rsidRPr="007D1E75">
        <w:rPr>
          <w:rFonts w:ascii="Times New Roman" w:eastAsiaTheme="minorHAnsi" w:hAnsi="Times New Roman"/>
          <w:sz w:val="26"/>
          <w:szCs w:val="26"/>
        </w:rPr>
        <w:t xml:space="preserve"> the acquisition of T.W. Phillips by </w:t>
      </w:r>
      <w:r w:rsidR="00FD5380">
        <w:rPr>
          <w:rFonts w:ascii="Times New Roman" w:eastAsiaTheme="minorHAnsi" w:hAnsi="Times New Roman"/>
          <w:sz w:val="26"/>
          <w:szCs w:val="26"/>
        </w:rPr>
        <w:t>Holdings II</w:t>
      </w:r>
      <w:r w:rsidR="00FE3490">
        <w:rPr>
          <w:rFonts w:ascii="Times New Roman" w:eastAsiaTheme="minorHAnsi" w:hAnsi="Times New Roman"/>
          <w:sz w:val="26"/>
          <w:szCs w:val="26"/>
        </w:rPr>
        <w:t>,</w:t>
      </w:r>
      <w:r w:rsidRPr="007D1E75">
        <w:rPr>
          <w:rFonts w:ascii="Times New Roman" w:eastAsiaTheme="minorHAnsi" w:hAnsi="Times New Roman"/>
          <w:sz w:val="26"/>
          <w:szCs w:val="26"/>
        </w:rPr>
        <w:t xml:space="preserve"> </w:t>
      </w:r>
      <w:r w:rsidR="00FD5380">
        <w:rPr>
          <w:rFonts w:ascii="Times New Roman" w:eastAsiaTheme="minorHAnsi" w:hAnsi="Times New Roman"/>
          <w:sz w:val="26"/>
          <w:szCs w:val="26"/>
        </w:rPr>
        <w:t>th</w:t>
      </w:r>
      <w:r w:rsidRPr="007D1E75">
        <w:rPr>
          <w:rFonts w:ascii="Times New Roman" w:eastAsiaTheme="minorHAnsi" w:hAnsi="Times New Roman"/>
          <w:sz w:val="26"/>
          <w:szCs w:val="26"/>
        </w:rPr>
        <w:t xml:space="preserve">is </w:t>
      </w:r>
      <w:r w:rsidRPr="007D1E75">
        <w:rPr>
          <w:rFonts w:ascii="Times New Roman" w:eastAsiaTheme="minorHAnsi" w:hAnsi="Times New Roman"/>
          <w:sz w:val="26"/>
          <w:szCs w:val="26"/>
        </w:rPr>
        <w:lastRenderedPageBreak/>
        <w:t xml:space="preserve">general rate increase proceeding is not the proper proceeding </w:t>
      </w:r>
      <w:r w:rsidR="00FE3490">
        <w:rPr>
          <w:rFonts w:ascii="Times New Roman" w:eastAsiaTheme="minorHAnsi" w:hAnsi="Times New Roman"/>
          <w:sz w:val="26"/>
          <w:szCs w:val="26"/>
        </w:rPr>
        <w:t xml:space="preserve">in which to </w:t>
      </w:r>
      <w:r w:rsidRPr="007D1E75">
        <w:rPr>
          <w:rFonts w:ascii="Times New Roman" w:eastAsiaTheme="minorHAnsi" w:hAnsi="Times New Roman"/>
          <w:sz w:val="26"/>
          <w:szCs w:val="26"/>
        </w:rPr>
        <w:t>challenge th</w:t>
      </w:r>
      <w:r w:rsidR="00FE3490">
        <w:rPr>
          <w:rFonts w:ascii="Times New Roman" w:eastAsiaTheme="minorHAnsi" w:hAnsi="Times New Roman"/>
          <w:sz w:val="26"/>
          <w:szCs w:val="26"/>
        </w:rPr>
        <w:t>at</w:t>
      </w:r>
      <w:r w:rsidRPr="007D1E75">
        <w:rPr>
          <w:rFonts w:ascii="Times New Roman" w:eastAsiaTheme="minorHAnsi" w:hAnsi="Times New Roman"/>
          <w:sz w:val="26"/>
          <w:szCs w:val="26"/>
        </w:rPr>
        <w:t xml:space="preserve"> acquisition.  </w:t>
      </w:r>
      <w:r w:rsidR="003730C2">
        <w:rPr>
          <w:rFonts w:ascii="Times New Roman" w:eastAsiaTheme="minorHAnsi" w:hAnsi="Times New Roman"/>
          <w:sz w:val="26"/>
          <w:szCs w:val="26"/>
        </w:rPr>
        <w:t xml:space="preserve">Any challenges to the acquisition </w:t>
      </w:r>
      <w:r w:rsidR="008F7A28">
        <w:rPr>
          <w:rFonts w:ascii="Times New Roman" w:eastAsiaTheme="minorHAnsi" w:hAnsi="Times New Roman"/>
          <w:sz w:val="26"/>
          <w:szCs w:val="26"/>
        </w:rPr>
        <w:t>w</w:t>
      </w:r>
      <w:r w:rsidR="003730C2">
        <w:rPr>
          <w:rFonts w:ascii="Times New Roman" w:eastAsiaTheme="minorHAnsi" w:hAnsi="Times New Roman"/>
          <w:sz w:val="26"/>
          <w:szCs w:val="26"/>
        </w:rPr>
        <w:t xml:space="preserve">ould have </w:t>
      </w:r>
      <w:r w:rsidR="008F7A28">
        <w:rPr>
          <w:rFonts w:ascii="Times New Roman" w:eastAsiaTheme="minorHAnsi" w:hAnsi="Times New Roman"/>
          <w:sz w:val="26"/>
          <w:szCs w:val="26"/>
        </w:rPr>
        <w:t xml:space="preserve">had to be </w:t>
      </w:r>
      <w:r w:rsidR="003730C2">
        <w:rPr>
          <w:rFonts w:ascii="Times New Roman" w:eastAsiaTheme="minorHAnsi" w:hAnsi="Times New Roman"/>
          <w:sz w:val="26"/>
          <w:szCs w:val="26"/>
        </w:rPr>
        <w:t>properly raised within the context of the acquisition proceeding</w:t>
      </w:r>
      <w:r w:rsidR="008F7A28">
        <w:rPr>
          <w:rFonts w:ascii="Times New Roman" w:eastAsiaTheme="minorHAnsi" w:hAnsi="Times New Roman"/>
          <w:sz w:val="26"/>
          <w:szCs w:val="26"/>
        </w:rPr>
        <w:t xml:space="preserve">.  </w:t>
      </w:r>
      <w:r w:rsidRPr="007D1E75">
        <w:rPr>
          <w:rFonts w:ascii="Times New Roman" w:eastAsiaTheme="minorHAnsi" w:hAnsi="Times New Roman"/>
          <w:sz w:val="26"/>
          <w:szCs w:val="26"/>
        </w:rPr>
        <w:t>Based upon our review of the record, th</w:t>
      </w:r>
      <w:r w:rsidR="008F7A28">
        <w:rPr>
          <w:rFonts w:ascii="Times New Roman" w:eastAsiaTheme="minorHAnsi" w:hAnsi="Times New Roman"/>
          <w:sz w:val="26"/>
          <w:szCs w:val="26"/>
        </w:rPr>
        <w:t>e</w:t>
      </w:r>
      <w:r w:rsidRPr="007D1E75">
        <w:rPr>
          <w:rFonts w:ascii="Times New Roman" w:eastAsiaTheme="minorHAnsi" w:hAnsi="Times New Roman"/>
          <w:sz w:val="26"/>
          <w:szCs w:val="26"/>
        </w:rPr>
        <w:t xml:space="preserve"> increased revenues were necessary to fund the planned increase in capital investments</w:t>
      </w:r>
      <w:r w:rsidR="008F7A28">
        <w:rPr>
          <w:rFonts w:ascii="Times New Roman" w:eastAsiaTheme="minorHAnsi" w:hAnsi="Times New Roman"/>
          <w:sz w:val="26"/>
          <w:szCs w:val="26"/>
        </w:rPr>
        <w:t>, regardless of</w:t>
      </w:r>
      <w:r w:rsidRPr="007D1E75">
        <w:rPr>
          <w:rFonts w:ascii="Times New Roman" w:eastAsiaTheme="minorHAnsi" w:hAnsi="Times New Roman"/>
          <w:sz w:val="26"/>
          <w:szCs w:val="26"/>
        </w:rPr>
        <w:t xml:space="preserve"> whether th</w:t>
      </w:r>
      <w:r w:rsidR="008F7A28">
        <w:rPr>
          <w:rFonts w:ascii="Times New Roman" w:eastAsiaTheme="minorHAnsi" w:hAnsi="Times New Roman"/>
          <w:sz w:val="26"/>
          <w:szCs w:val="26"/>
        </w:rPr>
        <w:t>e</w:t>
      </w:r>
      <w:r w:rsidR="00913583">
        <w:rPr>
          <w:rFonts w:ascii="Times New Roman" w:eastAsiaTheme="minorHAnsi" w:hAnsi="Times New Roman"/>
          <w:sz w:val="26"/>
          <w:szCs w:val="26"/>
        </w:rPr>
        <w:t xml:space="preserve"> system</w:t>
      </w:r>
      <w:r w:rsidRPr="007D1E75">
        <w:rPr>
          <w:rFonts w:ascii="Times New Roman" w:eastAsiaTheme="minorHAnsi" w:hAnsi="Times New Roman"/>
          <w:sz w:val="26"/>
          <w:szCs w:val="26"/>
        </w:rPr>
        <w:t xml:space="preserve"> w</w:t>
      </w:r>
      <w:r w:rsidR="008F7A28">
        <w:rPr>
          <w:rFonts w:ascii="Times New Roman" w:eastAsiaTheme="minorHAnsi" w:hAnsi="Times New Roman"/>
          <w:sz w:val="26"/>
          <w:szCs w:val="26"/>
        </w:rPr>
        <w:t>as</w:t>
      </w:r>
      <w:r w:rsidRPr="007D1E75">
        <w:rPr>
          <w:rFonts w:ascii="Times New Roman" w:eastAsiaTheme="minorHAnsi" w:hAnsi="Times New Roman"/>
          <w:sz w:val="26"/>
          <w:szCs w:val="26"/>
        </w:rPr>
        <w:t xml:space="preserve"> acquired by </w:t>
      </w:r>
      <w:r w:rsidR="009C7C80">
        <w:rPr>
          <w:rFonts w:ascii="Times New Roman" w:eastAsiaTheme="minorHAnsi" w:hAnsi="Times New Roman"/>
          <w:sz w:val="26"/>
          <w:szCs w:val="26"/>
        </w:rPr>
        <w:t>Holdings II</w:t>
      </w:r>
      <w:r w:rsidR="008F7A28">
        <w:rPr>
          <w:rFonts w:ascii="Times New Roman" w:eastAsiaTheme="minorHAnsi" w:hAnsi="Times New Roman"/>
          <w:sz w:val="26"/>
          <w:szCs w:val="26"/>
        </w:rPr>
        <w:t xml:space="preserve"> </w:t>
      </w:r>
      <w:r w:rsidRPr="007D1E75">
        <w:rPr>
          <w:rFonts w:ascii="Times New Roman" w:eastAsiaTheme="minorHAnsi" w:hAnsi="Times New Roman"/>
          <w:sz w:val="26"/>
          <w:szCs w:val="26"/>
        </w:rPr>
        <w:t>or had remained under the control of the prior owners.</w:t>
      </w:r>
      <w:r w:rsidR="008F7A28">
        <w:rPr>
          <w:rFonts w:ascii="Times New Roman" w:eastAsiaTheme="minorHAnsi" w:hAnsi="Times New Roman"/>
          <w:sz w:val="26"/>
          <w:szCs w:val="26"/>
        </w:rPr>
        <w:t xml:space="preserve">  </w:t>
      </w:r>
    </w:p>
    <w:p w:rsidR="007D1E75" w:rsidRPr="007D1E75" w:rsidRDefault="007D1E75" w:rsidP="007D1E75">
      <w:pPr>
        <w:spacing w:after="0" w:line="360" w:lineRule="auto"/>
        <w:rPr>
          <w:rFonts w:ascii="Times New Roman" w:eastAsiaTheme="minorHAnsi" w:hAnsi="Times New Roman"/>
          <w:sz w:val="26"/>
          <w:szCs w:val="26"/>
        </w:rPr>
      </w:pPr>
    </w:p>
    <w:p w:rsidR="007D1E75" w:rsidRDefault="007D1E75" w:rsidP="007D1E75">
      <w:pPr>
        <w:spacing w:after="0" w:line="360" w:lineRule="auto"/>
        <w:rPr>
          <w:rFonts w:ascii="Times New Roman" w:eastAsiaTheme="minorHAnsi" w:hAnsi="Times New Roman"/>
          <w:b/>
          <w:sz w:val="26"/>
          <w:szCs w:val="26"/>
        </w:rPr>
      </w:pPr>
      <w:r w:rsidRPr="007D1E75">
        <w:rPr>
          <w:rFonts w:ascii="Times New Roman" w:eastAsiaTheme="minorHAnsi" w:hAnsi="Times New Roman"/>
          <w:b/>
          <w:sz w:val="26"/>
          <w:szCs w:val="26"/>
        </w:rPr>
        <w:tab/>
      </w:r>
      <w:r w:rsidR="00593FAB">
        <w:rPr>
          <w:rFonts w:ascii="Times New Roman" w:eastAsiaTheme="minorHAnsi" w:hAnsi="Times New Roman"/>
          <w:b/>
          <w:sz w:val="26"/>
          <w:szCs w:val="26"/>
        </w:rPr>
        <w:t>3</w:t>
      </w:r>
      <w:r w:rsidRPr="007D1E75">
        <w:rPr>
          <w:rFonts w:ascii="Times New Roman" w:eastAsiaTheme="minorHAnsi" w:hAnsi="Times New Roman"/>
          <w:b/>
          <w:sz w:val="26"/>
          <w:szCs w:val="26"/>
        </w:rPr>
        <w:t>.</w:t>
      </w:r>
      <w:r w:rsidRPr="007D1E75">
        <w:rPr>
          <w:rFonts w:ascii="Times New Roman" w:eastAsiaTheme="minorHAnsi" w:hAnsi="Times New Roman"/>
          <w:b/>
          <w:sz w:val="26"/>
          <w:szCs w:val="26"/>
        </w:rPr>
        <w:tab/>
        <w:t>Budget Billing</w:t>
      </w:r>
    </w:p>
    <w:p w:rsidR="00593FAB" w:rsidRDefault="00593FAB" w:rsidP="007D1E75">
      <w:pPr>
        <w:spacing w:after="0" w:line="360" w:lineRule="auto"/>
        <w:rPr>
          <w:rFonts w:ascii="Times New Roman" w:eastAsiaTheme="minorHAnsi" w:hAnsi="Times New Roman"/>
          <w:b/>
          <w:sz w:val="26"/>
          <w:szCs w:val="26"/>
        </w:rPr>
      </w:pPr>
    </w:p>
    <w:p w:rsidR="00593FAB" w:rsidRPr="007D1E75" w:rsidRDefault="00593FAB" w:rsidP="007D1E75">
      <w:pPr>
        <w:spacing w:after="0" w:line="360" w:lineRule="auto"/>
        <w:rPr>
          <w:rFonts w:ascii="Times New Roman" w:eastAsiaTheme="minorHAnsi" w:hAnsi="Times New Roman"/>
          <w:sz w:val="26"/>
          <w:szCs w:val="26"/>
        </w:rPr>
      </w:pPr>
      <w:r>
        <w:rPr>
          <w:rFonts w:ascii="Times New Roman" w:eastAsiaTheme="minorHAnsi" w:hAnsi="Times New Roman"/>
          <w:b/>
          <w:sz w:val="26"/>
          <w:szCs w:val="26"/>
        </w:rPr>
        <w:tab/>
      </w:r>
      <w:r>
        <w:rPr>
          <w:rFonts w:ascii="Times New Roman" w:eastAsiaTheme="minorHAnsi" w:hAnsi="Times New Roman"/>
          <w:b/>
          <w:sz w:val="26"/>
          <w:szCs w:val="26"/>
        </w:rPr>
        <w:tab/>
        <w:t>a.</w:t>
      </w:r>
      <w:r>
        <w:rPr>
          <w:rFonts w:ascii="Times New Roman" w:eastAsiaTheme="minorHAnsi" w:hAnsi="Times New Roman"/>
          <w:b/>
          <w:sz w:val="26"/>
          <w:szCs w:val="26"/>
        </w:rPr>
        <w:tab/>
        <w:t xml:space="preserve">Positions of the Parties </w:t>
      </w:r>
    </w:p>
    <w:p w:rsidR="007D1E75" w:rsidRPr="007D1E75" w:rsidRDefault="007D1E75" w:rsidP="007D1E75">
      <w:pPr>
        <w:spacing w:after="0" w:line="360" w:lineRule="auto"/>
        <w:rPr>
          <w:rFonts w:ascii="Times New Roman" w:eastAsiaTheme="minorHAnsi" w:hAnsi="Times New Roman"/>
          <w:sz w:val="26"/>
          <w:szCs w:val="26"/>
        </w:rPr>
      </w:pPr>
    </w:p>
    <w:p w:rsidR="007D1E75" w:rsidRPr="007D1E75" w:rsidRDefault="007D1E75" w:rsidP="007D1E75">
      <w:pPr>
        <w:spacing w:after="0" w:line="360" w:lineRule="auto"/>
        <w:rPr>
          <w:rFonts w:ascii="Times New Roman" w:eastAsiaTheme="minorHAnsi" w:hAnsi="Times New Roman"/>
          <w:sz w:val="26"/>
          <w:szCs w:val="26"/>
        </w:rPr>
      </w:pPr>
      <w:r w:rsidRPr="007D1E75">
        <w:rPr>
          <w:rFonts w:ascii="Times New Roman" w:eastAsiaTheme="minorHAnsi" w:hAnsi="Times New Roman"/>
          <w:sz w:val="26"/>
          <w:szCs w:val="26"/>
        </w:rPr>
        <w:tab/>
      </w:r>
      <w:r w:rsidRPr="007D1E75">
        <w:rPr>
          <w:rFonts w:ascii="Times New Roman" w:eastAsiaTheme="minorHAnsi" w:hAnsi="Times New Roman"/>
          <w:sz w:val="26"/>
          <w:szCs w:val="26"/>
        </w:rPr>
        <w:tab/>
        <w:t xml:space="preserve">Next, Ms. Spielvogel states that it is </w:t>
      </w:r>
      <w:r w:rsidR="00F06BCC">
        <w:rPr>
          <w:rFonts w:ascii="Times New Roman" w:eastAsiaTheme="minorHAnsi" w:hAnsi="Times New Roman"/>
          <w:sz w:val="26"/>
          <w:szCs w:val="26"/>
        </w:rPr>
        <w:t>un</w:t>
      </w:r>
      <w:r w:rsidRPr="007D1E75">
        <w:rPr>
          <w:rFonts w:ascii="Times New Roman" w:eastAsiaTheme="minorHAnsi" w:hAnsi="Times New Roman"/>
          <w:sz w:val="26"/>
          <w:szCs w:val="26"/>
        </w:rPr>
        <w:t>fair that customer</w:t>
      </w:r>
      <w:r w:rsidR="00F06BCC">
        <w:rPr>
          <w:rFonts w:ascii="Times New Roman" w:eastAsiaTheme="minorHAnsi" w:hAnsi="Times New Roman"/>
          <w:sz w:val="26"/>
          <w:szCs w:val="26"/>
        </w:rPr>
        <w:t>s</w:t>
      </w:r>
      <w:r w:rsidRPr="007D1E75">
        <w:rPr>
          <w:rFonts w:ascii="Times New Roman" w:eastAsiaTheme="minorHAnsi" w:hAnsi="Times New Roman"/>
          <w:sz w:val="26"/>
          <w:szCs w:val="26"/>
        </w:rPr>
        <w:t xml:space="preserve"> </w:t>
      </w:r>
      <w:r w:rsidR="00F06BCC">
        <w:rPr>
          <w:rFonts w:ascii="Times New Roman" w:eastAsiaTheme="minorHAnsi" w:hAnsi="Times New Roman"/>
          <w:sz w:val="26"/>
          <w:szCs w:val="26"/>
        </w:rPr>
        <w:t xml:space="preserve">are required to ensure that their monthly </w:t>
      </w:r>
      <w:r w:rsidRPr="007D1E75">
        <w:rPr>
          <w:rFonts w:ascii="Times New Roman" w:eastAsiaTheme="minorHAnsi" w:hAnsi="Times New Roman"/>
          <w:sz w:val="26"/>
          <w:szCs w:val="26"/>
        </w:rPr>
        <w:t>pa</w:t>
      </w:r>
      <w:r w:rsidR="00F06BCC">
        <w:rPr>
          <w:rFonts w:ascii="Times New Roman" w:eastAsiaTheme="minorHAnsi" w:hAnsi="Times New Roman"/>
          <w:sz w:val="26"/>
          <w:szCs w:val="26"/>
        </w:rPr>
        <w:t>yments are</w:t>
      </w:r>
      <w:r w:rsidRPr="007D1E75">
        <w:rPr>
          <w:rFonts w:ascii="Times New Roman" w:eastAsiaTheme="minorHAnsi" w:hAnsi="Times New Roman"/>
          <w:sz w:val="26"/>
          <w:szCs w:val="26"/>
        </w:rPr>
        <w:t xml:space="preserve"> correctly applied to their account</w:t>
      </w:r>
      <w:r w:rsidR="00F06BCC">
        <w:rPr>
          <w:rFonts w:ascii="Times New Roman" w:eastAsiaTheme="minorHAnsi" w:hAnsi="Times New Roman"/>
          <w:sz w:val="26"/>
          <w:szCs w:val="26"/>
        </w:rPr>
        <w:t>s</w:t>
      </w:r>
      <w:r w:rsidRPr="007D1E75">
        <w:rPr>
          <w:rFonts w:ascii="Times New Roman" w:eastAsiaTheme="minorHAnsi" w:hAnsi="Times New Roman"/>
          <w:sz w:val="26"/>
          <w:szCs w:val="26"/>
        </w:rPr>
        <w:t xml:space="preserve"> e</w:t>
      </w:r>
      <w:r w:rsidR="00F06BCC">
        <w:rPr>
          <w:rFonts w:ascii="Times New Roman" w:eastAsiaTheme="minorHAnsi" w:hAnsi="Times New Roman"/>
          <w:sz w:val="26"/>
          <w:szCs w:val="26"/>
        </w:rPr>
        <w:t>ach</w:t>
      </w:r>
      <w:r w:rsidRPr="007D1E75">
        <w:rPr>
          <w:rFonts w:ascii="Times New Roman" w:eastAsiaTheme="minorHAnsi" w:hAnsi="Times New Roman"/>
          <w:sz w:val="26"/>
          <w:szCs w:val="26"/>
        </w:rPr>
        <w:t xml:space="preserve"> month.  She </w:t>
      </w:r>
      <w:r w:rsidR="00F06BCC">
        <w:rPr>
          <w:rFonts w:ascii="Times New Roman" w:eastAsiaTheme="minorHAnsi" w:hAnsi="Times New Roman"/>
          <w:sz w:val="26"/>
          <w:szCs w:val="26"/>
        </w:rPr>
        <w:t>also generally questions the accuracy of the Company’s monthly billing statements</w:t>
      </w:r>
      <w:r w:rsidRPr="007D1E75">
        <w:rPr>
          <w:rFonts w:ascii="Times New Roman" w:eastAsiaTheme="minorHAnsi" w:hAnsi="Times New Roman"/>
          <w:sz w:val="26"/>
          <w:szCs w:val="26"/>
        </w:rPr>
        <w:t>.  Exc. at 1.</w:t>
      </w:r>
    </w:p>
    <w:p w:rsidR="007D1E75" w:rsidRPr="007D1E75" w:rsidRDefault="007D1E75" w:rsidP="007D1E75">
      <w:pPr>
        <w:spacing w:after="0" w:line="360" w:lineRule="auto"/>
        <w:rPr>
          <w:rFonts w:ascii="Times New Roman" w:eastAsiaTheme="minorHAnsi" w:hAnsi="Times New Roman"/>
          <w:sz w:val="26"/>
          <w:szCs w:val="26"/>
        </w:rPr>
      </w:pPr>
    </w:p>
    <w:p w:rsidR="007D1E75" w:rsidRPr="007D1E75" w:rsidRDefault="007D1E75" w:rsidP="007D1E75">
      <w:pPr>
        <w:spacing w:after="0" w:line="360" w:lineRule="auto"/>
        <w:rPr>
          <w:rFonts w:ascii="Times New Roman" w:eastAsiaTheme="minorHAnsi" w:hAnsi="Times New Roman"/>
          <w:sz w:val="26"/>
          <w:szCs w:val="26"/>
        </w:rPr>
      </w:pPr>
      <w:r w:rsidRPr="007D1E75">
        <w:rPr>
          <w:rFonts w:ascii="Times New Roman" w:eastAsiaTheme="minorHAnsi" w:hAnsi="Times New Roman"/>
          <w:sz w:val="26"/>
          <w:szCs w:val="26"/>
        </w:rPr>
        <w:tab/>
      </w:r>
      <w:r w:rsidRPr="007D1E75">
        <w:rPr>
          <w:rFonts w:ascii="Times New Roman" w:eastAsiaTheme="minorHAnsi" w:hAnsi="Times New Roman"/>
          <w:sz w:val="26"/>
          <w:szCs w:val="26"/>
        </w:rPr>
        <w:tab/>
        <w:t>In its Repl</w:t>
      </w:r>
      <w:r w:rsidR="00F06BCC">
        <w:rPr>
          <w:rFonts w:ascii="Times New Roman" w:eastAsiaTheme="minorHAnsi" w:hAnsi="Times New Roman"/>
          <w:sz w:val="26"/>
          <w:szCs w:val="26"/>
        </w:rPr>
        <w:t>ies to</w:t>
      </w:r>
      <w:r w:rsidRPr="007D1E75">
        <w:rPr>
          <w:rFonts w:ascii="Times New Roman" w:eastAsiaTheme="minorHAnsi" w:hAnsi="Times New Roman"/>
          <w:sz w:val="26"/>
          <w:szCs w:val="26"/>
        </w:rPr>
        <w:t xml:space="preserve"> Exceptions, the Company notes that</w:t>
      </w:r>
      <w:r w:rsidR="00F06BCC">
        <w:rPr>
          <w:rFonts w:ascii="Times New Roman" w:eastAsiaTheme="minorHAnsi" w:hAnsi="Times New Roman"/>
          <w:sz w:val="26"/>
          <w:szCs w:val="26"/>
        </w:rPr>
        <w:t>, in her comments to the Settlement,</w:t>
      </w:r>
      <w:r w:rsidRPr="007D1E75">
        <w:rPr>
          <w:rFonts w:ascii="Times New Roman" w:eastAsiaTheme="minorHAnsi" w:hAnsi="Times New Roman"/>
          <w:sz w:val="26"/>
          <w:szCs w:val="26"/>
        </w:rPr>
        <w:t xml:space="preserve"> Ms. Spielvogel previously raised a concern </w:t>
      </w:r>
      <w:r w:rsidR="00F06BCC">
        <w:rPr>
          <w:rFonts w:ascii="Times New Roman" w:eastAsiaTheme="minorHAnsi" w:hAnsi="Times New Roman"/>
          <w:sz w:val="26"/>
          <w:szCs w:val="26"/>
        </w:rPr>
        <w:t>about</w:t>
      </w:r>
      <w:r w:rsidRPr="007D1E75">
        <w:rPr>
          <w:rFonts w:ascii="Times New Roman" w:eastAsiaTheme="minorHAnsi" w:hAnsi="Times New Roman"/>
          <w:sz w:val="26"/>
          <w:szCs w:val="26"/>
        </w:rPr>
        <w:t xml:space="preserve"> the Company’s budget payment amounts.  </w:t>
      </w:r>
      <w:r w:rsidR="005C422A">
        <w:rPr>
          <w:rFonts w:ascii="Times New Roman" w:eastAsiaTheme="minorHAnsi" w:hAnsi="Times New Roman"/>
          <w:sz w:val="26"/>
          <w:szCs w:val="26"/>
        </w:rPr>
        <w:t xml:space="preserve">According to </w:t>
      </w:r>
      <w:r w:rsidRPr="007D1E75">
        <w:rPr>
          <w:rFonts w:ascii="Times New Roman" w:eastAsiaTheme="minorHAnsi" w:hAnsi="Times New Roman"/>
          <w:sz w:val="26"/>
          <w:szCs w:val="26"/>
        </w:rPr>
        <w:t>Peoples TWP</w:t>
      </w:r>
      <w:r w:rsidR="005C422A">
        <w:rPr>
          <w:rFonts w:ascii="Times New Roman" w:eastAsiaTheme="minorHAnsi" w:hAnsi="Times New Roman"/>
          <w:sz w:val="26"/>
          <w:szCs w:val="26"/>
        </w:rPr>
        <w:t>,</w:t>
      </w:r>
      <w:r w:rsidRPr="007D1E75">
        <w:rPr>
          <w:rFonts w:ascii="Times New Roman" w:eastAsiaTheme="minorHAnsi" w:hAnsi="Times New Roman"/>
          <w:sz w:val="26"/>
          <w:szCs w:val="26"/>
        </w:rPr>
        <w:t xml:space="preserve"> just prior to the July 2013 public input hearing, it initiated a required automated quarterly budget review process in its current billing system.  </w:t>
      </w:r>
      <w:r w:rsidR="00F06BCC">
        <w:rPr>
          <w:rFonts w:ascii="Times New Roman" w:eastAsiaTheme="minorHAnsi" w:hAnsi="Times New Roman"/>
          <w:sz w:val="26"/>
          <w:szCs w:val="26"/>
        </w:rPr>
        <w:t>The Company explains that, a</w:t>
      </w:r>
      <w:r w:rsidRPr="007D1E75">
        <w:rPr>
          <w:rFonts w:ascii="Times New Roman" w:eastAsiaTheme="minorHAnsi" w:hAnsi="Times New Roman"/>
          <w:sz w:val="26"/>
          <w:szCs w:val="26"/>
        </w:rPr>
        <w:t>fter the public input hearing</w:t>
      </w:r>
      <w:r w:rsidR="00F06BCC">
        <w:rPr>
          <w:rFonts w:ascii="Times New Roman" w:eastAsiaTheme="minorHAnsi" w:hAnsi="Times New Roman"/>
          <w:sz w:val="26"/>
          <w:szCs w:val="26"/>
        </w:rPr>
        <w:t>,</w:t>
      </w:r>
      <w:r w:rsidRPr="007D1E75">
        <w:rPr>
          <w:rFonts w:ascii="Times New Roman" w:eastAsiaTheme="minorHAnsi" w:hAnsi="Times New Roman"/>
          <w:sz w:val="26"/>
          <w:szCs w:val="26"/>
        </w:rPr>
        <w:t xml:space="preserve"> </w:t>
      </w:r>
      <w:r w:rsidR="00F06BCC">
        <w:rPr>
          <w:rFonts w:ascii="Times New Roman" w:eastAsiaTheme="minorHAnsi" w:hAnsi="Times New Roman"/>
          <w:sz w:val="26"/>
          <w:szCs w:val="26"/>
        </w:rPr>
        <w:t>it</w:t>
      </w:r>
      <w:r w:rsidRPr="007D1E75">
        <w:rPr>
          <w:rFonts w:ascii="Times New Roman" w:eastAsiaTheme="minorHAnsi" w:hAnsi="Times New Roman"/>
          <w:sz w:val="26"/>
          <w:szCs w:val="26"/>
        </w:rPr>
        <w:t xml:space="preserve"> investigated the concerns raised by its customers </w:t>
      </w:r>
      <w:r w:rsidR="00F06BCC">
        <w:rPr>
          <w:rFonts w:ascii="Times New Roman" w:eastAsiaTheme="minorHAnsi" w:hAnsi="Times New Roman"/>
          <w:sz w:val="26"/>
          <w:szCs w:val="26"/>
        </w:rPr>
        <w:t xml:space="preserve">during the public input hearing </w:t>
      </w:r>
      <w:r w:rsidRPr="007D1E75">
        <w:rPr>
          <w:rFonts w:ascii="Times New Roman" w:eastAsiaTheme="minorHAnsi" w:hAnsi="Times New Roman"/>
          <w:sz w:val="26"/>
          <w:szCs w:val="26"/>
        </w:rPr>
        <w:t>by manually reviewing the budget bills for customers.  As a result, the Company identified a system error in the automated update of budget bills and adjusted customer payment amounts for future bills.  Additionally, the Company stated that it will convert to a new and proven billing system in January 2014</w:t>
      </w:r>
      <w:r w:rsidR="00FD1F98">
        <w:rPr>
          <w:rFonts w:ascii="Times New Roman" w:eastAsiaTheme="minorHAnsi" w:hAnsi="Times New Roman"/>
          <w:sz w:val="26"/>
          <w:szCs w:val="26"/>
        </w:rPr>
        <w:t>,</w:t>
      </w:r>
      <w:r w:rsidRPr="007D1E75">
        <w:rPr>
          <w:rFonts w:ascii="Times New Roman" w:eastAsiaTheme="minorHAnsi" w:hAnsi="Times New Roman"/>
          <w:sz w:val="26"/>
          <w:szCs w:val="26"/>
        </w:rPr>
        <w:t xml:space="preserve"> </w:t>
      </w:r>
      <w:r w:rsidR="00FD1F98">
        <w:rPr>
          <w:rFonts w:ascii="Times New Roman" w:eastAsiaTheme="minorHAnsi" w:hAnsi="Times New Roman"/>
          <w:sz w:val="26"/>
          <w:szCs w:val="26"/>
        </w:rPr>
        <w:t>which</w:t>
      </w:r>
      <w:r w:rsidRPr="007D1E75">
        <w:rPr>
          <w:rFonts w:ascii="Times New Roman" w:eastAsiaTheme="minorHAnsi" w:hAnsi="Times New Roman"/>
          <w:sz w:val="26"/>
          <w:szCs w:val="26"/>
        </w:rPr>
        <w:t xml:space="preserve"> is currently used by the Peoples Natural Gas Company</w:t>
      </w:r>
      <w:r w:rsidR="00FD1F98">
        <w:rPr>
          <w:rFonts w:ascii="Times New Roman" w:eastAsiaTheme="minorHAnsi" w:hAnsi="Times New Roman"/>
          <w:sz w:val="26"/>
          <w:szCs w:val="26"/>
        </w:rPr>
        <w:t xml:space="preserve"> LLC</w:t>
      </w:r>
      <w:r w:rsidRPr="007D1E75">
        <w:rPr>
          <w:rFonts w:ascii="Times New Roman" w:eastAsiaTheme="minorHAnsi" w:hAnsi="Times New Roman"/>
          <w:sz w:val="26"/>
          <w:szCs w:val="26"/>
        </w:rPr>
        <w:t xml:space="preserve">, and it will no longer employ the automated quarterly process using the old system.  Peoples TWP avers that Ms. Spielvogel has presented no evidence </w:t>
      </w:r>
      <w:r w:rsidRPr="007D1E75">
        <w:rPr>
          <w:rFonts w:ascii="Times New Roman" w:eastAsiaTheme="minorHAnsi" w:hAnsi="Times New Roman"/>
          <w:sz w:val="26"/>
          <w:szCs w:val="26"/>
        </w:rPr>
        <w:lastRenderedPageBreak/>
        <w:t xml:space="preserve">challenging the Company’s response to the concerns raised </w:t>
      </w:r>
      <w:r w:rsidR="00FD1F98">
        <w:rPr>
          <w:rFonts w:ascii="Times New Roman" w:eastAsiaTheme="minorHAnsi" w:hAnsi="Times New Roman"/>
          <w:sz w:val="26"/>
          <w:szCs w:val="26"/>
        </w:rPr>
        <w:t xml:space="preserve">by other ratepayers </w:t>
      </w:r>
      <w:r w:rsidRPr="007D1E75">
        <w:rPr>
          <w:rFonts w:ascii="Times New Roman" w:eastAsiaTheme="minorHAnsi" w:hAnsi="Times New Roman"/>
          <w:sz w:val="26"/>
          <w:szCs w:val="26"/>
        </w:rPr>
        <w:t>relative to its budget bills.</w:t>
      </w:r>
      <w:r w:rsidR="00FD1F98">
        <w:rPr>
          <w:rFonts w:ascii="Times New Roman" w:eastAsiaTheme="minorHAnsi" w:hAnsi="Times New Roman"/>
          <w:sz w:val="26"/>
          <w:szCs w:val="26"/>
        </w:rPr>
        <w:t xml:space="preserve">  R. Exc. at 5.</w:t>
      </w:r>
    </w:p>
    <w:p w:rsidR="007D1E75" w:rsidRPr="007D1E75" w:rsidRDefault="007D1E75" w:rsidP="007D1E75">
      <w:pPr>
        <w:spacing w:after="0" w:line="360" w:lineRule="auto"/>
        <w:rPr>
          <w:rFonts w:ascii="Times New Roman" w:eastAsiaTheme="minorHAnsi" w:hAnsi="Times New Roman"/>
          <w:sz w:val="26"/>
          <w:szCs w:val="26"/>
        </w:rPr>
      </w:pPr>
    </w:p>
    <w:p w:rsidR="007D1E75" w:rsidRPr="007D1E75" w:rsidRDefault="007D1E75" w:rsidP="007D1E75">
      <w:pPr>
        <w:spacing w:after="0" w:line="360" w:lineRule="auto"/>
        <w:rPr>
          <w:rFonts w:ascii="Times New Roman" w:eastAsiaTheme="minorHAnsi" w:hAnsi="Times New Roman"/>
          <w:b/>
          <w:sz w:val="26"/>
          <w:szCs w:val="26"/>
        </w:rPr>
      </w:pPr>
      <w:r w:rsidRPr="007D1E75">
        <w:rPr>
          <w:rFonts w:ascii="Times New Roman" w:eastAsiaTheme="minorHAnsi" w:hAnsi="Times New Roman"/>
          <w:sz w:val="26"/>
          <w:szCs w:val="26"/>
        </w:rPr>
        <w:tab/>
      </w:r>
      <w:r w:rsidRPr="007D1E75">
        <w:rPr>
          <w:rFonts w:ascii="Times New Roman" w:eastAsiaTheme="minorHAnsi" w:hAnsi="Times New Roman"/>
          <w:sz w:val="26"/>
          <w:szCs w:val="26"/>
        </w:rPr>
        <w:tab/>
      </w:r>
      <w:r w:rsidR="00593FAB" w:rsidRPr="00593FAB">
        <w:rPr>
          <w:rFonts w:ascii="Times New Roman" w:eastAsiaTheme="minorHAnsi" w:hAnsi="Times New Roman"/>
          <w:b/>
          <w:sz w:val="26"/>
          <w:szCs w:val="26"/>
        </w:rPr>
        <w:t>b.</w:t>
      </w:r>
      <w:r w:rsidR="00593FAB">
        <w:rPr>
          <w:rFonts w:ascii="Times New Roman" w:eastAsiaTheme="minorHAnsi" w:hAnsi="Times New Roman"/>
          <w:sz w:val="26"/>
          <w:szCs w:val="26"/>
        </w:rPr>
        <w:tab/>
      </w:r>
      <w:r w:rsidRPr="007D1E75">
        <w:rPr>
          <w:rFonts w:ascii="Times New Roman" w:eastAsiaTheme="minorHAnsi" w:hAnsi="Times New Roman"/>
          <w:b/>
          <w:sz w:val="26"/>
          <w:szCs w:val="26"/>
        </w:rPr>
        <w:t>Disposition</w:t>
      </w:r>
    </w:p>
    <w:p w:rsidR="007D1E75" w:rsidRPr="007D1E75" w:rsidRDefault="007D1E75" w:rsidP="007D1E75">
      <w:pPr>
        <w:spacing w:after="0" w:line="360" w:lineRule="auto"/>
        <w:rPr>
          <w:rFonts w:ascii="Times New Roman" w:eastAsiaTheme="minorHAnsi" w:hAnsi="Times New Roman"/>
          <w:b/>
          <w:sz w:val="26"/>
          <w:szCs w:val="26"/>
        </w:rPr>
      </w:pPr>
    </w:p>
    <w:p w:rsidR="007D1E75" w:rsidRPr="007D1E75" w:rsidRDefault="007D1E75" w:rsidP="007D1E75">
      <w:pPr>
        <w:spacing w:after="0" w:line="360" w:lineRule="auto"/>
        <w:rPr>
          <w:rFonts w:ascii="Times New Roman" w:eastAsiaTheme="minorHAnsi" w:hAnsi="Times New Roman"/>
          <w:sz w:val="26"/>
          <w:szCs w:val="26"/>
        </w:rPr>
      </w:pPr>
      <w:r w:rsidRPr="007D1E75">
        <w:rPr>
          <w:rFonts w:ascii="Times New Roman" w:eastAsiaTheme="minorHAnsi" w:hAnsi="Times New Roman"/>
          <w:b/>
          <w:sz w:val="26"/>
          <w:szCs w:val="26"/>
        </w:rPr>
        <w:tab/>
      </w:r>
      <w:r w:rsidRPr="007D1E75">
        <w:rPr>
          <w:rFonts w:ascii="Times New Roman" w:eastAsiaTheme="minorHAnsi" w:hAnsi="Times New Roman"/>
          <w:b/>
          <w:sz w:val="26"/>
          <w:szCs w:val="26"/>
        </w:rPr>
        <w:tab/>
      </w:r>
      <w:r w:rsidRPr="007D1E75">
        <w:rPr>
          <w:rFonts w:ascii="Times New Roman" w:eastAsiaTheme="minorHAnsi" w:hAnsi="Times New Roman"/>
          <w:sz w:val="26"/>
          <w:szCs w:val="26"/>
        </w:rPr>
        <w:t xml:space="preserve">Based upon </w:t>
      </w:r>
      <w:r w:rsidR="00881151">
        <w:rPr>
          <w:rFonts w:ascii="Times New Roman" w:eastAsiaTheme="minorHAnsi" w:hAnsi="Times New Roman"/>
          <w:sz w:val="26"/>
          <w:szCs w:val="26"/>
        </w:rPr>
        <w:t xml:space="preserve">our review of </w:t>
      </w:r>
      <w:r w:rsidRPr="007D1E75">
        <w:rPr>
          <w:rFonts w:ascii="Times New Roman" w:eastAsiaTheme="minorHAnsi" w:hAnsi="Times New Roman"/>
          <w:sz w:val="26"/>
          <w:szCs w:val="26"/>
        </w:rPr>
        <w:t>the record, we conclude that Peoples TWP  appropriately responded to th</w:t>
      </w:r>
      <w:r w:rsidR="00881151">
        <w:rPr>
          <w:rFonts w:ascii="Times New Roman" w:eastAsiaTheme="minorHAnsi" w:hAnsi="Times New Roman"/>
          <w:sz w:val="26"/>
          <w:szCs w:val="26"/>
        </w:rPr>
        <w:t>e</w:t>
      </w:r>
      <w:r w:rsidRPr="007D1E75">
        <w:rPr>
          <w:rFonts w:ascii="Times New Roman" w:eastAsiaTheme="minorHAnsi" w:hAnsi="Times New Roman"/>
          <w:sz w:val="26"/>
          <w:szCs w:val="26"/>
        </w:rPr>
        <w:t xml:space="preserve"> concern</w:t>
      </w:r>
      <w:r w:rsidR="00881151">
        <w:rPr>
          <w:rFonts w:ascii="Times New Roman" w:eastAsiaTheme="minorHAnsi" w:hAnsi="Times New Roman"/>
          <w:sz w:val="26"/>
          <w:szCs w:val="26"/>
        </w:rPr>
        <w:t>s</w:t>
      </w:r>
      <w:r w:rsidRPr="007D1E75">
        <w:rPr>
          <w:rFonts w:ascii="Times New Roman" w:eastAsiaTheme="minorHAnsi" w:hAnsi="Times New Roman"/>
          <w:sz w:val="26"/>
          <w:szCs w:val="26"/>
        </w:rPr>
        <w:t xml:space="preserve"> expressed by its customers</w:t>
      </w:r>
      <w:r w:rsidR="00881151">
        <w:rPr>
          <w:rFonts w:ascii="Times New Roman" w:eastAsiaTheme="minorHAnsi" w:hAnsi="Times New Roman"/>
          <w:sz w:val="26"/>
          <w:szCs w:val="26"/>
        </w:rPr>
        <w:t xml:space="preserve"> in relation to its budget billing practices</w:t>
      </w:r>
      <w:r w:rsidRPr="007D1E75">
        <w:rPr>
          <w:rFonts w:ascii="Times New Roman" w:eastAsiaTheme="minorHAnsi" w:hAnsi="Times New Roman"/>
          <w:sz w:val="26"/>
          <w:szCs w:val="26"/>
        </w:rPr>
        <w:t xml:space="preserve">.  Peoples TWP investigated this situation and discovered a system error in the automated update of budget bills for customers.  It appears that the Company then adjusted customer payment amounts for future bills and that it will convert to a new and improved billing system in January of 2014 that will not include the defective automated quarterly process of its current system.  </w:t>
      </w:r>
      <w:r w:rsidR="00881151">
        <w:rPr>
          <w:rFonts w:ascii="Times New Roman" w:eastAsiaTheme="minorHAnsi" w:hAnsi="Times New Roman"/>
          <w:sz w:val="26"/>
          <w:szCs w:val="26"/>
        </w:rPr>
        <w:t>For these reasons,</w:t>
      </w:r>
      <w:r w:rsidRPr="007D1E75">
        <w:rPr>
          <w:rFonts w:ascii="Times New Roman" w:eastAsiaTheme="minorHAnsi" w:hAnsi="Times New Roman"/>
          <w:sz w:val="26"/>
          <w:szCs w:val="26"/>
        </w:rPr>
        <w:t xml:space="preserve"> we </w:t>
      </w:r>
      <w:r w:rsidR="00881151">
        <w:rPr>
          <w:rFonts w:ascii="Times New Roman" w:eastAsiaTheme="minorHAnsi" w:hAnsi="Times New Roman"/>
          <w:sz w:val="26"/>
          <w:szCs w:val="26"/>
        </w:rPr>
        <w:t>shall</w:t>
      </w:r>
      <w:r w:rsidRPr="007D1E75">
        <w:rPr>
          <w:rFonts w:ascii="Times New Roman" w:eastAsiaTheme="minorHAnsi" w:hAnsi="Times New Roman"/>
          <w:sz w:val="26"/>
          <w:szCs w:val="26"/>
        </w:rPr>
        <w:t xml:space="preserve"> deny this Exception.</w:t>
      </w:r>
    </w:p>
    <w:p w:rsidR="007D1E75" w:rsidRPr="007D1E75" w:rsidRDefault="007D1E75" w:rsidP="007D1E75">
      <w:pPr>
        <w:spacing w:after="0" w:line="360" w:lineRule="auto"/>
        <w:rPr>
          <w:rFonts w:ascii="Times New Roman" w:eastAsiaTheme="minorHAnsi" w:hAnsi="Times New Roman"/>
          <w:sz w:val="26"/>
          <w:szCs w:val="26"/>
        </w:rPr>
      </w:pPr>
    </w:p>
    <w:p w:rsidR="007D1E75" w:rsidRPr="007D1E75" w:rsidRDefault="007D1E75" w:rsidP="007D1E75">
      <w:pPr>
        <w:spacing w:after="0" w:line="360" w:lineRule="auto"/>
        <w:rPr>
          <w:rFonts w:ascii="Times New Roman" w:eastAsiaTheme="minorHAnsi" w:hAnsi="Times New Roman"/>
          <w:sz w:val="26"/>
          <w:szCs w:val="26"/>
        </w:rPr>
      </w:pPr>
      <w:r w:rsidRPr="007D1E75">
        <w:rPr>
          <w:rFonts w:ascii="Times New Roman" w:eastAsiaTheme="minorHAnsi" w:hAnsi="Times New Roman"/>
          <w:sz w:val="26"/>
          <w:szCs w:val="26"/>
        </w:rPr>
        <w:tab/>
      </w:r>
      <w:r w:rsidR="00C124EF" w:rsidRPr="00C124EF">
        <w:rPr>
          <w:rFonts w:ascii="Times New Roman" w:eastAsiaTheme="minorHAnsi" w:hAnsi="Times New Roman"/>
          <w:b/>
          <w:sz w:val="26"/>
          <w:szCs w:val="26"/>
        </w:rPr>
        <w:t>4</w:t>
      </w:r>
      <w:r w:rsidRPr="00C124EF">
        <w:rPr>
          <w:rFonts w:ascii="Times New Roman" w:eastAsiaTheme="minorHAnsi" w:hAnsi="Times New Roman"/>
          <w:b/>
          <w:sz w:val="26"/>
          <w:szCs w:val="26"/>
        </w:rPr>
        <w:t>.</w:t>
      </w:r>
      <w:r w:rsidRPr="007D1E75">
        <w:rPr>
          <w:rFonts w:ascii="Times New Roman" w:eastAsiaTheme="minorHAnsi" w:hAnsi="Times New Roman"/>
          <w:b/>
          <w:sz w:val="26"/>
          <w:szCs w:val="26"/>
        </w:rPr>
        <w:tab/>
        <w:t>The “Black Box” Settlement</w:t>
      </w:r>
    </w:p>
    <w:p w:rsidR="007D1E75" w:rsidRDefault="007D1E75" w:rsidP="007D1E75">
      <w:pPr>
        <w:spacing w:after="0" w:line="360" w:lineRule="auto"/>
        <w:rPr>
          <w:rFonts w:ascii="Times New Roman" w:eastAsiaTheme="minorHAnsi" w:hAnsi="Times New Roman"/>
          <w:sz w:val="26"/>
          <w:szCs w:val="26"/>
        </w:rPr>
      </w:pPr>
    </w:p>
    <w:p w:rsidR="00C124EF" w:rsidRPr="00C124EF" w:rsidRDefault="00C124EF" w:rsidP="007D1E75">
      <w:pPr>
        <w:spacing w:after="0" w:line="360" w:lineRule="auto"/>
        <w:rPr>
          <w:rFonts w:ascii="Times New Roman" w:eastAsiaTheme="minorHAnsi" w:hAnsi="Times New Roman"/>
          <w:b/>
          <w:sz w:val="26"/>
          <w:szCs w:val="26"/>
        </w:rPr>
      </w:pPr>
      <w:r>
        <w:rPr>
          <w:rFonts w:ascii="Times New Roman" w:eastAsiaTheme="minorHAnsi" w:hAnsi="Times New Roman"/>
          <w:sz w:val="26"/>
          <w:szCs w:val="26"/>
        </w:rPr>
        <w:tab/>
      </w:r>
      <w:r>
        <w:rPr>
          <w:rFonts w:ascii="Times New Roman" w:eastAsiaTheme="minorHAnsi" w:hAnsi="Times New Roman"/>
          <w:sz w:val="26"/>
          <w:szCs w:val="26"/>
        </w:rPr>
        <w:tab/>
      </w:r>
      <w:r w:rsidRPr="00C124EF">
        <w:rPr>
          <w:rFonts w:ascii="Times New Roman" w:eastAsiaTheme="minorHAnsi" w:hAnsi="Times New Roman"/>
          <w:b/>
          <w:sz w:val="26"/>
          <w:szCs w:val="26"/>
        </w:rPr>
        <w:t>a.</w:t>
      </w:r>
      <w:r w:rsidRPr="00C124EF">
        <w:rPr>
          <w:rFonts w:ascii="Times New Roman" w:eastAsiaTheme="minorHAnsi" w:hAnsi="Times New Roman"/>
          <w:b/>
          <w:sz w:val="26"/>
          <w:szCs w:val="26"/>
        </w:rPr>
        <w:tab/>
        <w:t>Positions of the Parties</w:t>
      </w:r>
    </w:p>
    <w:p w:rsidR="00C124EF" w:rsidRDefault="007D1E75" w:rsidP="007D1E75">
      <w:pPr>
        <w:spacing w:after="0" w:line="360" w:lineRule="auto"/>
        <w:rPr>
          <w:rFonts w:ascii="Times New Roman" w:eastAsiaTheme="minorHAnsi" w:hAnsi="Times New Roman"/>
          <w:sz w:val="26"/>
          <w:szCs w:val="26"/>
        </w:rPr>
      </w:pPr>
      <w:r w:rsidRPr="007D1E75">
        <w:rPr>
          <w:rFonts w:ascii="Times New Roman" w:eastAsiaTheme="minorHAnsi" w:hAnsi="Times New Roman"/>
          <w:sz w:val="26"/>
          <w:szCs w:val="26"/>
        </w:rPr>
        <w:tab/>
      </w:r>
      <w:r w:rsidRPr="007D1E75">
        <w:rPr>
          <w:rFonts w:ascii="Times New Roman" w:eastAsiaTheme="minorHAnsi" w:hAnsi="Times New Roman"/>
          <w:sz w:val="26"/>
          <w:szCs w:val="26"/>
        </w:rPr>
        <w:tab/>
      </w:r>
    </w:p>
    <w:p w:rsidR="007D1E75" w:rsidRPr="007D1E75" w:rsidRDefault="007D1E75" w:rsidP="00C124EF">
      <w:pPr>
        <w:spacing w:after="0" w:line="360" w:lineRule="auto"/>
        <w:ind w:firstLine="1440"/>
        <w:rPr>
          <w:rFonts w:ascii="Times New Roman" w:eastAsiaTheme="minorHAnsi" w:hAnsi="Times New Roman"/>
          <w:sz w:val="26"/>
          <w:szCs w:val="26"/>
        </w:rPr>
      </w:pPr>
      <w:r w:rsidRPr="007D1E75">
        <w:rPr>
          <w:rFonts w:ascii="Times New Roman" w:eastAsiaTheme="minorHAnsi" w:hAnsi="Times New Roman"/>
          <w:sz w:val="26"/>
          <w:szCs w:val="26"/>
        </w:rPr>
        <w:t>Next, Ms. Spielvogel a</w:t>
      </w:r>
      <w:r w:rsidR="00C124EF">
        <w:rPr>
          <w:rFonts w:ascii="Times New Roman" w:eastAsiaTheme="minorHAnsi" w:hAnsi="Times New Roman"/>
          <w:sz w:val="26"/>
          <w:szCs w:val="26"/>
        </w:rPr>
        <w:t>vers</w:t>
      </w:r>
      <w:r w:rsidRPr="007D1E75">
        <w:rPr>
          <w:rFonts w:ascii="Times New Roman" w:eastAsiaTheme="minorHAnsi" w:hAnsi="Times New Roman"/>
          <w:sz w:val="26"/>
          <w:szCs w:val="26"/>
        </w:rPr>
        <w:t xml:space="preserve"> that she does not agree with the “black box” nature of the Settlement.  She </w:t>
      </w:r>
      <w:r w:rsidR="00C124EF">
        <w:rPr>
          <w:rFonts w:ascii="Times New Roman" w:eastAsiaTheme="minorHAnsi" w:hAnsi="Times New Roman"/>
          <w:sz w:val="26"/>
          <w:szCs w:val="26"/>
        </w:rPr>
        <w:t>believes tha</w:t>
      </w:r>
      <w:r w:rsidRPr="007D1E75">
        <w:rPr>
          <w:rFonts w:ascii="Times New Roman" w:eastAsiaTheme="minorHAnsi" w:hAnsi="Times New Roman"/>
          <w:sz w:val="26"/>
          <w:szCs w:val="26"/>
        </w:rPr>
        <w:t xml:space="preserve">t the Settlement should provide specifically which adjustments are allowed or disallowed and </w:t>
      </w:r>
      <w:r w:rsidR="00C124EF">
        <w:rPr>
          <w:rFonts w:ascii="Times New Roman" w:eastAsiaTheme="minorHAnsi" w:hAnsi="Times New Roman"/>
          <w:sz w:val="26"/>
          <w:szCs w:val="26"/>
        </w:rPr>
        <w:t>explain</w:t>
      </w:r>
      <w:r w:rsidRPr="007D1E75">
        <w:rPr>
          <w:rFonts w:ascii="Times New Roman" w:eastAsiaTheme="minorHAnsi" w:hAnsi="Times New Roman"/>
          <w:sz w:val="26"/>
          <w:szCs w:val="26"/>
        </w:rPr>
        <w:t xml:space="preserve"> these adjustments in detail.  Exc. at 2.</w:t>
      </w:r>
    </w:p>
    <w:p w:rsidR="007D1E75" w:rsidRPr="007D1E75" w:rsidRDefault="007D1E75" w:rsidP="007D1E75">
      <w:pPr>
        <w:spacing w:after="0" w:line="360" w:lineRule="auto"/>
        <w:rPr>
          <w:rFonts w:ascii="Times New Roman" w:eastAsiaTheme="minorHAnsi" w:hAnsi="Times New Roman"/>
          <w:sz w:val="26"/>
          <w:szCs w:val="26"/>
        </w:rPr>
      </w:pPr>
    </w:p>
    <w:p w:rsidR="007D1E75" w:rsidRPr="007D1E75" w:rsidRDefault="007D1E75" w:rsidP="007D1E75">
      <w:pPr>
        <w:spacing w:after="0" w:line="360" w:lineRule="auto"/>
        <w:rPr>
          <w:rFonts w:ascii="Times New Roman" w:eastAsiaTheme="minorHAnsi" w:hAnsi="Times New Roman"/>
          <w:sz w:val="26"/>
          <w:szCs w:val="26"/>
        </w:rPr>
      </w:pPr>
      <w:r w:rsidRPr="007D1E75">
        <w:rPr>
          <w:rFonts w:ascii="Times New Roman" w:eastAsiaTheme="minorHAnsi" w:hAnsi="Times New Roman"/>
          <w:sz w:val="26"/>
          <w:szCs w:val="26"/>
        </w:rPr>
        <w:tab/>
      </w:r>
      <w:r w:rsidRPr="007D1E75">
        <w:rPr>
          <w:rFonts w:ascii="Times New Roman" w:eastAsiaTheme="minorHAnsi" w:hAnsi="Times New Roman"/>
          <w:sz w:val="26"/>
          <w:szCs w:val="26"/>
        </w:rPr>
        <w:tab/>
        <w:t>In reply, Peoples TWP s</w:t>
      </w:r>
      <w:r w:rsidR="00C124EF">
        <w:rPr>
          <w:rFonts w:ascii="Times New Roman" w:eastAsiaTheme="minorHAnsi" w:hAnsi="Times New Roman"/>
          <w:sz w:val="26"/>
          <w:szCs w:val="26"/>
        </w:rPr>
        <w:t>tates</w:t>
      </w:r>
      <w:r w:rsidRPr="007D1E75">
        <w:rPr>
          <w:rFonts w:ascii="Times New Roman" w:eastAsiaTheme="minorHAnsi" w:hAnsi="Times New Roman"/>
          <w:sz w:val="26"/>
          <w:szCs w:val="26"/>
        </w:rPr>
        <w:t xml:space="preserve"> that the Commission’s </w:t>
      </w:r>
      <w:r w:rsidR="00C124EF">
        <w:rPr>
          <w:rFonts w:ascii="Times New Roman" w:eastAsiaTheme="minorHAnsi" w:hAnsi="Times New Roman"/>
          <w:sz w:val="26"/>
          <w:szCs w:val="26"/>
        </w:rPr>
        <w:t>R</w:t>
      </w:r>
      <w:r w:rsidRPr="007D1E75">
        <w:rPr>
          <w:rFonts w:ascii="Times New Roman" w:eastAsiaTheme="minorHAnsi" w:hAnsi="Times New Roman"/>
          <w:sz w:val="26"/>
          <w:szCs w:val="26"/>
        </w:rPr>
        <w:t>egulations encourage and promote settlements</w:t>
      </w:r>
      <w:r w:rsidR="00BF7051">
        <w:rPr>
          <w:rFonts w:ascii="Times New Roman" w:eastAsiaTheme="minorHAnsi" w:hAnsi="Times New Roman"/>
          <w:sz w:val="26"/>
          <w:szCs w:val="26"/>
        </w:rPr>
        <w:t>.  The Company further argues</w:t>
      </w:r>
      <w:r w:rsidRPr="007D1E75">
        <w:rPr>
          <w:rFonts w:ascii="Times New Roman" w:eastAsiaTheme="minorHAnsi" w:hAnsi="Times New Roman"/>
          <w:sz w:val="26"/>
          <w:szCs w:val="26"/>
        </w:rPr>
        <w:t xml:space="preserve"> that “black box” settlements</w:t>
      </w:r>
      <w:r w:rsidR="00C124EF">
        <w:rPr>
          <w:rFonts w:ascii="Times New Roman" w:eastAsiaTheme="minorHAnsi" w:hAnsi="Times New Roman"/>
          <w:sz w:val="26"/>
          <w:szCs w:val="26"/>
        </w:rPr>
        <w:t>,</w:t>
      </w:r>
      <w:r w:rsidRPr="007D1E75">
        <w:rPr>
          <w:rFonts w:ascii="Times New Roman" w:eastAsiaTheme="minorHAnsi" w:hAnsi="Times New Roman"/>
          <w:sz w:val="26"/>
          <w:szCs w:val="26"/>
        </w:rPr>
        <w:t xml:space="preserve"> which do not specify allowed adjustments</w:t>
      </w:r>
      <w:r w:rsidR="0004786D">
        <w:rPr>
          <w:rFonts w:ascii="Times New Roman" w:eastAsiaTheme="minorHAnsi" w:hAnsi="Times New Roman"/>
          <w:sz w:val="26"/>
          <w:szCs w:val="26"/>
        </w:rPr>
        <w:t>,</w:t>
      </w:r>
      <w:r w:rsidRPr="007D1E75">
        <w:rPr>
          <w:rFonts w:ascii="Times New Roman" w:eastAsiaTheme="minorHAnsi" w:hAnsi="Times New Roman"/>
          <w:sz w:val="26"/>
          <w:szCs w:val="26"/>
        </w:rPr>
        <w:t xml:space="preserve"> are common before the Commission and are necessary in order to facilitate agreements between parties.  </w:t>
      </w:r>
      <w:r w:rsidR="0004786D">
        <w:rPr>
          <w:rFonts w:ascii="Times New Roman" w:eastAsiaTheme="minorHAnsi" w:hAnsi="Times New Roman"/>
          <w:sz w:val="26"/>
          <w:szCs w:val="26"/>
        </w:rPr>
        <w:t>The Company avers that, a</w:t>
      </w:r>
      <w:r w:rsidRPr="007D1E75">
        <w:rPr>
          <w:rFonts w:ascii="Times New Roman" w:eastAsiaTheme="minorHAnsi" w:hAnsi="Times New Roman"/>
          <w:sz w:val="26"/>
          <w:szCs w:val="26"/>
        </w:rPr>
        <w:t>bsent the use of “black box</w:t>
      </w:r>
      <w:r w:rsidR="0004786D">
        <w:rPr>
          <w:rFonts w:ascii="Times New Roman" w:eastAsiaTheme="minorHAnsi" w:hAnsi="Times New Roman"/>
          <w:sz w:val="26"/>
          <w:szCs w:val="26"/>
        </w:rPr>
        <w:t>”</w:t>
      </w:r>
      <w:r w:rsidRPr="007D1E75">
        <w:rPr>
          <w:rFonts w:ascii="Times New Roman" w:eastAsiaTheme="minorHAnsi" w:hAnsi="Times New Roman"/>
          <w:sz w:val="26"/>
          <w:szCs w:val="26"/>
        </w:rPr>
        <w:t xml:space="preserve"> settlements, it is unlikely that parties would be able to achieve settlements on such issues as a specific return on equity.  R. Exc. at 6.</w:t>
      </w:r>
    </w:p>
    <w:p w:rsidR="007D1E75" w:rsidRPr="007D1E75" w:rsidRDefault="007D1E75" w:rsidP="007D1E75">
      <w:pPr>
        <w:spacing w:after="0" w:line="360" w:lineRule="auto"/>
        <w:rPr>
          <w:rFonts w:ascii="Times New Roman" w:eastAsiaTheme="minorHAnsi" w:hAnsi="Times New Roman"/>
          <w:sz w:val="26"/>
          <w:szCs w:val="26"/>
        </w:rPr>
      </w:pPr>
      <w:r w:rsidRPr="007D1E75">
        <w:rPr>
          <w:rFonts w:ascii="Times New Roman" w:eastAsiaTheme="minorHAnsi" w:hAnsi="Times New Roman"/>
          <w:sz w:val="26"/>
          <w:szCs w:val="26"/>
        </w:rPr>
        <w:lastRenderedPageBreak/>
        <w:tab/>
      </w:r>
      <w:r w:rsidRPr="007D1E75">
        <w:rPr>
          <w:rFonts w:ascii="Times New Roman" w:eastAsiaTheme="minorHAnsi" w:hAnsi="Times New Roman"/>
          <w:sz w:val="26"/>
          <w:szCs w:val="26"/>
        </w:rPr>
        <w:tab/>
      </w:r>
      <w:r w:rsidR="0004786D" w:rsidRPr="0004786D">
        <w:rPr>
          <w:rFonts w:ascii="Times New Roman" w:eastAsiaTheme="minorHAnsi" w:hAnsi="Times New Roman"/>
          <w:b/>
          <w:sz w:val="26"/>
          <w:szCs w:val="26"/>
        </w:rPr>
        <w:t>b.</w:t>
      </w:r>
      <w:r w:rsidR="0004786D">
        <w:rPr>
          <w:rFonts w:ascii="Times New Roman" w:eastAsiaTheme="minorHAnsi" w:hAnsi="Times New Roman"/>
          <w:sz w:val="26"/>
          <w:szCs w:val="26"/>
        </w:rPr>
        <w:tab/>
      </w:r>
      <w:r w:rsidRPr="007D1E75">
        <w:rPr>
          <w:rFonts w:ascii="Times New Roman" w:eastAsiaTheme="minorHAnsi" w:hAnsi="Times New Roman"/>
          <w:b/>
          <w:sz w:val="26"/>
          <w:szCs w:val="26"/>
        </w:rPr>
        <w:t>Disposition</w:t>
      </w:r>
    </w:p>
    <w:p w:rsidR="007D1E75" w:rsidRPr="007D1E75" w:rsidRDefault="007D1E75" w:rsidP="007D1E75">
      <w:pPr>
        <w:spacing w:after="0" w:line="360" w:lineRule="auto"/>
        <w:rPr>
          <w:rFonts w:ascii="Times New Roman" w:eastAsiaTheme="minorHAnsi" w:hAnsi="Times New Roman"/>
          <w:sz w:val="26"/>
          <w:szCs w:val="26"/>
        </w:rPr>
      </w:pPr>
    </w:p>
    <w:p w:rsidR="007D1E75" w:rsidRDefault="007D1E75" w:rsidP="007D1E75">
      <w:pPr>
        <w:spacing w:after="0" w:line="360" w:lineRule="auto"/>
        <w:rPr>
          <w:rFonts w:ascii="Times New Roman" w:eastAsiaTheme="minorHAnsi" w:hAnsi="Times New Roman"/>
          <w:sz w:val="26"/>
          <w:szCs w:val="26"/>
        </w:rPr>
      </w:pPr>
      <w:r w:rsidRPr="007D1E75">
        <w:rPr>
          <w:rFonts w:ascii="Times New Roman" w:eastAsiaTheme="minorHAnsi" w:hAnsi="Times New Roman"/>
          <w:sz w:val="26"/>
          <w:szCs w:val="26"/>
        </w:rPr>
        <w:tab/>
      </w:r>
      <w:r w:rsidRPr="007D1E75">
        <w:rPr>
          <w:rFonts w:ascii="Times New Roman" w:eastAsiaTheme="minorHAnsi" w:hAnsi="Times New Roman"/>
          <w:sz w:val="26"/>
          <w:szCs w:val="26"/>
        </w:rPr>
        <w:tab/>
        <w:t>We have historically permitted the u</w:t>
      </w:r>
      <w:r w:rsidR="00477122">
        <w:rPr>
          <w:rFonts w:ascii="Times New Roman" w:eastAsiaTheme="minorHAnsi" w:hAnsi="Times New Roman"/>
          <w:sz w:val="26"/>
          <w:szCs w:val="26"/>
        </w:rPr>
        <w:t>se</w:t>
      </w:r>
      <w:r w:rsidRPr="007D1E75">
        <w:rPr>
          <w:rFonts w:ascii="Times New Roman" w:eastAsiaTheme="minorHAnsi" w:hAnsi="Times New Roman"/>
          <w:sz w:val="26"/>
          <w:szCs w:val="26"/>
        </w:rPr>
        <w:t xml:space="preserve"> of “black box” settlements </w:t>
      </w:r>
      <w:r w:rsidR="00051D65">
        <w:rPr>
          <w:rFonts w:ascii="Times New Roman" w:eastAsiaTheme="minorHAnsi" w:hAnsi="Times New Roman"/>
          <w:sz w:val="26"/>
          <w:szCs w:val="26"/>
        </w:rPr>
        <w:t xml:space="preserve">as a means of </w:t>
      </w:r>
      <w:r w:rsidRPr="007D1E75">
        <w:rPr>
          <w:rFonts w:ascii="Times New Roman" w:eastAsiaTheme="minorHAnsi" w:hAnsi="Times New Roman"/>
          <w:sz w:val="26"/>
          <w:szCs w:val="26"/>
        </w:rPr>
        <w:t>promot</w:t>
      </w:r>
      <w:r w:rsidR="00051D65">
        <w:rPr>
          <w:rFonts w:ascii="Times New Roman" w:eastAsiaTheme="minorHAnsi" w:hAnsi="Times New Roman"/>
          <w:sz w:val="26"/>
          <w:szCs w:val="26"/>
        </w:rPr>
        <w:t>ing</w:t>
      </w:r>
      <w:r w:rsidRPr="007D1E75">
        <w:rPr>
          <w:rFonts w:ascii="Times New Roman" w:eastAsiaTheme="minorHAnsi" w:hAnsi="Times New Roman"/>
          <w:sz w:val="26"/>
          <w:szCs w:val="26"/>
        </w:rPr>
        <w:t xml:space="preserve"> settlement among the </w:t>
      </w:r>
      <w:r w:rsidR="009F6F31">
        <w:rPr>
          <w:rFonts w:ascii="Times New Roman" w:eastAsiaTheme="minorHAnsi" w:hAnsi="Times New Roman"/>
          <w:sz w:val="26"/>
          <w:szCs w:val="26"/>
        </w:rPr>
        <w:t>p</w:t>
      </w:r>
      <w:r w:rsidRPr="007D1E75">
        <w:rPr>
          <w:rFonts w:ascii="Times New Roman" w:eastAsiaTheme="minorHAnsi" w:hAnsi="Times New Roman"/>
          <w:sz w:val="26"/>
          <w:szCs w:val="26"/>
        </w:rPr>
        <w:t xml:space="preserve">arties </w:t>
      </w:r>
      <w:r w:rsidR="00051D65">
        <w:rPr>
          <w:rFonts w:ascii="Times New Roman" w:eastAsiaTheme="minorHAnsi" w:hAnsi="Times New Roman"/>
          <w:sz w:val="26"/>
          <w:szCs w:val="26"/>
        </w:rPr>
        <w:t>in</w:t>
      </w:r>
      <w:r w:rsidRPr="007D1E75">
        <w:rPr>
          <w:rFonts w:ascii="Times New Roman" w:eastAsiaTheme="minorHAnsi" w:hAnsi="Times New Roman"/>
          <w:sz w:val="26"/>
          <w:szCs w:val="26"/>
        </w:rPr>
        <w:t xml:space="preserve"> contentious base rate proceedings.  </w:t>
      </w:r>
      <w:r w:rsidR="00C91DF5" w:rsidRPr="00B835E7">
        <w:rPr>
          <w:rFonts w:ascii="Times New Roman" w:eastAsiaTheme="minorHAnsi" w:hAnsi="Times New Roman"/>
          <w:i/>
          <w:sz w:val="26"/>
          <w:szCs w:val="26"/>
        </w:rPr>
        <w:t>See</w:t>
      </w:r>
      <w:r w:rsidR="00C91DF5">
        <w:rPr>
          <w:rFonts w:ascii="Times New Roman" w:eastAsiaTheme="minorHAnsi" w:hAnsi="Times New Roman"/>
          <w:sz w:val="26"/>
          <w:szCs w:val="26"/>
        </w:rPr>
        <w:t xml:space="preserve">, </w:t>
      </w:r>
      <w:r w:rsidR="00477122" w:rsidRPr="00B835E7">
        <w:rPr>
          <w:rFonts w:ascii="Times New Roman" w:eastAsiaTheme="minorHAnsi" w:hAnsi="Times New Roman"/>
          <w:i/>
          <w:sz w:val="26"/>
          <w:szCs w:val="26"/>
        </w:rPr>
        <w:t>Pa. PUC v. Wellsboro Electric Co</w:t>
      </w:r>
      <w:r w:rsidR="00477122">
        <w:rPr>
          <w:rFonts w:ascii="Times New Roman" w:eastAsiaTheme="minorHAnsi" w:hAnsi="Times New Roman"/>
          <w:sz w:val="26"/>
          <w:szCs w:val="26"/>
        </w:rPr>
        <w:t>., Docket No. R-2010-2172662 (Final Order entered</w:t>
      </w:r>
      <w:r w:rsidR="00080AD5">
        <w:rPr>
          <w:rFonts w:ascii="Times New Roman" w:eastAsiaTheme="minorHAnsi" w:hAnsi="Times New Roman"/>
          <w:sz w:val="26"/>
          <w:szCs w:val="26"/>
        </w:rPr>
        <w:t xml:space="preserve"> January 13, 2011)</w:t>
      </w:r>
      <w:r w:rsidR="00477122">
        <w:rPr>
          <w:rFonts w:ascii="Times New Roman" w:eastAsiaTheme="minorHAnsi" w:hAnsi="Times New Roman"/>
          <w:sz w:val="26"/>
          <w:szCs w:val="26"/>
        </w:rPr>
        <w:t xml:space="preserve">; </w:t>
      </w:r>
      <w:r w:rsidR="00477122" w:rsidRPr="00B835E7">
        <w:rPr>
          <w:rFonts w:ascii="Times New Roman" w:eastAsiaTheme="minorHAnsi" w:hAnsi="Times New Roman"/>
          <w:i/>
          <w:sz w:val="26"/>
          <w:szCs w:val="26"/>
        </w:rPr>
        <w:t>Pa. PUC v. Citizens’ Electric Co. of Lewisburg, PA</w:t>
      </w:r>
      <w:r w:rsidR="00477122">
        <w:rPr>
          <w:rFonts w:ascii="Times New Roman" w:eastAsiaTheme="minorHAnsi" w:hAnsi="Times New Roman"/>
          <w:sz w:val="26"/>
          <w:szCs w:val="26"/>
        </w:rPr>
        <w:t xml:space="preserve">, Docket No. R-2010-2172665 (Final Order entered </w:t>
      </w:r>
      <w:r w:rsidR="004E4040">
        <w:rPr>
          <w:rFonts w:ascii="Times New Roman" w:eastAsiaTheme="minorHAnsi" w:hAnsi="Times New Roman"/>
          <w:sz w:val="26"/>
          <w:szCs w:val="26"/>
        </w:rPr>
        <w:t>January 13, 2011)</w:t>
      </w:r>
      <w:r w:rsidR="00B835E7">
        <w:rPr>
          <w:rFonts w:ascii="Times New Roman" w:eastAsiaTheme="minorHAnsi" w:hAnsi="Times New Roman"/>
          <w:sz w:val="26"/>
          <w:szCs w:val="26"/>
        </w:rPr>
        <w:t>.</w:t>
      </w:r>
      <w:r w:rsidR="00477122">
        <w:rPr>
          <w:rFonts w:ascii="Times New Roman" w:eastAsiaTheme="minorHAnsi" w:hAnsi="Times New Roman"/>
          <w:sz w:val="26"/>
          <w:szCs w:val="26"/>
        </w:rPr>
        <w:t xml:space="preserve">  </w:t>
      </w:r>
      <w:r w:rsidR="00051D65">
        <w:rPr>
          <w:rFonts w:ascii="Times New Roman" w:eastAsiaTheme="minorHAnsi" w:hAnsi="Times New Roman"/>
          <w:sz w:val="26"/>
          <w:szCs w:val="26"/>
        </w:rPr>
        <w:t>Settlement of rate cases saves a significant amount of time and expense for customers, companies, and the Commission and often results in alternatives that may not have been realized during the litigation process.</w:t>
      </w:r>
      <w:r w:rsidR="00AA0768">
        <w:rPr>
          <w:rFonts w:ascii="Times New Roman" w:eastAsiaTheme="minorHAnsi" w:hAnsi="Times New Roman"/>
          <w:sz w:val="26"/>
          <w:szCs w:val="26"/>
        </w:rPr>
        <w:t xml:space="preserve">  Determining a company’s revenue requirement is a calculation involving many complex and interrelated adjustments that affect expenses, </w:t>
      </w:r>
      <w:r w:rsidR="004C0E79">
        <w:rPr>
          <w:rFonts w:ascii="Times New Roman" w:eastAsiaTheme="minorHAnsi" w:hAnsi="Times New Roman"/>
          <w:sz w:val="26"/>
          <w:szCs w:val="26"/>
        </w:rPr>
        <w:t xml:space="preserve">depreciation, </w:t>
      </w:r>
      <w:r w:rsidR="00AA0768">
        <w:rPr>
          <w:rFonts w:ascii="Times New Roman" w:eastAsiaTheme="minorHAnsi" w:hAnsi="Times New Roman"/>
          <w:sz w:val="26"/>
          <w:szCs w:val="26"/>
        </w:rPr>
        <w:t xml:space="preserve">rate base, </w:t>
      </w:r>
      <w:r w:rsidR="004C0E79">
        <w:rPr>
          <w:rFonts w:ascii="Times New Roman" w:eastAsiaTheme="minorHAnsi" w:hAnsi="Times New Roman"/>
          <w:sz w:val="26"/>
          <w:szCs w:val="26"/>
        </w:rPr>
        <w:t xml:space="preserve">taxes </w:t>
      </w:r>
      <w:r w:rsidR="00AA0768">
        <w:rPr>
          <w:rFonts w:ascii="Times New Roman" w:eastAsiaTheme="minorHAnsi" w:hAnsi="Times New Roman"/>
          <w:sz w:val="26"/>
          <w:szCs w:val="26"/>
        </w:rPr>
        <w:t>and the company’s cost of capital.  Reaching an agreement between various parties on each component of a rate increase can be difficult and impractical in many cases.</w:t>
      </w:r>
      <w:r w:rsidR="00B835E7">
        <w:rPr>
          <w:rFonts w:ascii="Times New Roman" w:eastAsiaTheme="minorHAnsi" w:hAnsi="Times New Roman"/>
          <w:sz w:val="26"/>
          <w:szCs w:val="26"/>
        </w:rPr>
        <w:t xml:space="preserve">  For these reasons, we support the use of a “black box” settlement in this proceeding and, accordingly, deny this Exception.</w:t>
      </w:r>
      <w:r w:rsidR="00AA0768">
        <w:rPr>
          <w:rFonts w:ascii="Times New Roman" w:eastAsiaTheme="minorHAnsi" w:hAnsi="Times New Roman"/>
          <w:sz w:val="26"/>
          <w:szCs w:val="26"/>
        </w:rPr>
        <w:t xml:space="preserve">  </w:t>
      </w:r>
    </w:p>
    <w:p w:rsidR="00AA0768" w:rsidRPr="007D1E75" w:rsidRDefault="00AA0768" w:rsidP="007D1E75">
      <w:pPr>
        <w:spacing w:after="0" w:line="360" w:lineRule="auto"/>
        <w:rPr>
          <w:rFonts w:ascii="Times New Roman" w:eastAsiaTheme="minorHAnsi" w:hAnsi="Times New Roman"/>
          <w:sz w:val="26"/>
          <w:szCs w:val="26"/>
        </w:rPr>
      </w:pPr>
    </w:p>
    <w:p w:rsidR="007D1E75" w:rsidRPr="007D1E75" w:rsidRDefault="00936EC5" w:rsidP="0075484F">
      <w:pPr>
        <w:spacing w:after="0" w:line="360" w:lineRule="auto"/>
        <w:ind w:firstLine="720"/>
        <w:rPr>
          <w:rFonts w:ascii="Times New Roman" w:eastAsiaTheme="minorHAnsi" w:hAnsi="Times New Roman"/>
          <w:b/>
          <w:sz w:val="26"/>
          <w:szCs w:val="26"/>
        </w:rPr>
      </w:pPr>
      <w:r w:rsidRPr="00936EC5">
        <w:rPr>
          <w:rFonts w:ascii="Times New Roman" w:eastAsiaTheme="minorHAnsi" w:hAnsi="Times New Roman"/>
          <w:b/>
          <w:sz w:val="26"/>
          <w:szCs w:val="26"/>
        </w:rPr>
        <w:t>5</w:t>
      </w:r>
      <w:r w:rsidR="007D1E75" w:rsidRPr="00936EC5">
        <w:rPr>
          <w:rFonts w:ascii="Times New Roman" w:eastAsiaTheme="minorHAnsi" w:hAnsi="Times New Roman"/>
          <w:b/>
          <w:sz w:val="26"/>
          <w:szCs w:val="26"/>
        </w:rPr>
        <w:t>.</w:t>
      </w:r>
      <w:r w:rsidR="007D1E75" w:rsidRPr="007D1E75">
        <w:rPr>
          <w:rFonts w:ascii="Times New Roman" w:eastAsiaTheme="minorHAnsi" w:hAnsi="Times New Roman"/>
          <w:b/>
          <w:sz w:val="26"/>
          <w:szCs w:val="26"/>
        </w:rPr>
        <w:tab/>
        <w:t>Revenue Allocation</w:t>
      </w:r>
    </w:p>
    <w:p w:rsidR="007D1E75" w:rsidRDefault="007D1E75" w:rsidP="007D1E75">
      <w:pPr>
        <w:spacing w:after="0" w:line="360" w:lineRule="auto"/>
        <w:rPr>
          <w:rFonts w:ascii="Times New Roman" w:eastAsiaTheme="minorHAnsi" w:hAnsi="Times New Roman"/>
          <w:sz w:val="26"/>
          <w:szCs w:val="26"/>
        </w:rPr>
      </w:pPr>
    </w:p>
    <w:p w:rsidR="00936EC5" w:rsidRPr="00936EC5" w:rsidRDefault="00936EC5" w:rsidP="007D1E75">
      <w:pPr>
        <w:spacing w:after="0" w:line="360" w:lineRule="auto"/>
        <w:rPr>
          <w:rFonts w:ascii="Times New Roman" w:eastAsiaTheme="minorHAnsi" w:hAnsi="Times New Roman"/>
          <w:b/>
          <w:sz w:val="26"/>
          <w:szCs w:val="26"/>
        </w:rPr>
      </w:pPr>
      <w:r>
        <w:rPr>
          <w:rFonts w:ascii="Times New Roman" w:eastAsiaTheme="minorHAnsi" w:hAnsi="Times New Roman"/>
          <w:sz w:val="26"/>
          <w:szCs w:val="26"/>
        </w:rPr>
        <w:tab/>
      </w:r>
      <w:r>
        <w:rPr>
          <w:rFonts w:ascii="Times New Roman" w:eastAsiaTheme="minorHAnsi" w:hAnsi="Times New Roman"/>
          <w:sz w:val="26"/>
          <w:szCs w:val="26"/>
        </w:rPr>
        <w:tab/>
      </w:r>
      <w:r w:rsidRPr="00936EC5">
        <w:rPr>
          <w:rFonts w:ascii="Times New Roman" w:eastAsiaTheme="minorHAnsi" w:hAnsi="Times New Roman"/>
          <w:b/>
          <w:sz w:val="26"/>
          <w:szCs w:val="26"/>
        </w:rPr>
        <w:t>a.</w:t>
      </w:r>
      <w:r w:rsidRPr="00936EC5">
        <w:rPr>
          <w:rFonts w:ascii="Times New Roman" w:eastAsiaTheme="minorHAnsi" w:hAnsi="Times New Roman"/>
          <w:b/>
          <w:sz w:val="26"/>
          <w:szCs w:val="26"/>
        </w:rPr>
        <w:tab/>
        <w:t xml:space="preserve">Positions of the Parties </w:t>
      </w:r>
    </w:p>
    <w:p w:rsidR="00936EC5" w:rsidRPr="007D1E75" w:rsidRDefault="00936EC5" w:rsidP="007D1E75">
      <w:pPr>
        <w:spacing w:after="0" w:line="360" w:lineRule="auto"/>
        <w:rPr>
          <w:rFonts w:ascii="Times New Roman" w:eastAsiaTheme="minorHAnsi" w:hAnsi="Times New Roman"/>
          <w:sz w:val="26"/>
          <w:szCs w:val="26"/>
        </w:rPr>
      </w:pPr>
    </w:p>
    <w:p w:rsidR="007D1E75" w:rsidRPr="007D1E75" w:rsidRDefault="007D1E75" w:rsidP="007D1E75">
      <w:pPr>
        <w:spacing w:after="0" w:line="360" w:lineRule="auto"/>
        <w:rPr>
          <w:rFonts w:ascii="Times New Roman" w:eastAsiaTheme="minorHAnsi" w:hAnsi="Times New Roman"/>
          <w:sz w:val="26"/>
          <w:szCs w:val="26"/>
        </w:rPr>
      </w:pPr>
      <w:r w:rsidRPr="007D1E75">
        <w:rPr>
          <w:rFonts w:ascii="Times New Roman" w:eastAsiaTheme="minorHAnsi" w:hAnsi="Times New Roman"/>
          <w:sz w:val="26"/>
          <w:szCs w:val="26"/>
        </w:rPr>
        <w:tab/>
      </w:r>
      <w:r w:rsidRPr="007D1E75">
        <w:rPr>
          <w:rFonts w:ascii="Times New Roman" w:eastAsiaTheme="minorHAnsi" w:hAnsi="Times New Roman"/>
          <w:sz w:val="26"/>
          <w:szCs w:val="26"/>
        </w:rPr>
        <w:tab/>
        <w:t xml:space="preserve">In her next Exception, Ms. Spielvogel </w:t>
      </w:r>
      <w:r w:rsidR="00936EC5">
        <w:rPr>
          <w:rFonts w:ascii="Times New Roman" w:eastAsiaTheme="minorHAnsi" w:hAnsi="Times New Roman"/>
          <w:sz w:val="26"/>
          <w:szCs w:val="26"/>
        </w:rPr>
        <w:t>avers</w:t>
      </w:r>
      <w:r w:rsidRPr="007D1E75">
        <w:rPr>
          <w:rFonts w:ascii="Times New Roman" w:eastAsiaTheme="minorHAnsi" w:hAnsi="Times New Roman"/>
          <w:sz w:val="26"/>
          <w:szCs w:val="26"/>
        </w:rPr>
        <w:t xml:space="preserve"> that the class revenue allocation </w:t>
      </w:r>
      <w:r w:rsidR="00936EC5">
        <w:rPr>
          <w:rFonts w:ascii="Times New Roman" w:eastAsiaTheme="minorHAnsi" w:hAnsi="Times New Roman"/>
          <w:sz w:val="26"/>
          <w:szCs w:val="26"/>
        </w:rPr>
        <w:t xml:space="preserve">agreed to by the Joint Petitioners </w:t>
      </w:r>
      <w:r w:rsidRPr="007D1E75">
        <w:rPr>
          <w:rFonts w:ascii="Times New Roman" w:eastAsiaTheme="minorHAnsi" w:hAnsi="Times New Roman"/>
          <w:sz w:val="26"/>
          <w:szCs w:val="26"/>
        </w:rPr>
        <w:t>was not clearly defined and that there is a disparity in the cost of service calculation between Peoples TWP, the OCA</w:t>
      </w:r>
      <w:r w:rsidR="00936EC5">
        <w:rPr>
          <w:rFonts w:ascii="Times New Roman" w:eastAsiaTheme="minorHAnsi" w:hAnsi="Times New Roman"/>
          <w:sz w:val="26"/>
          <w:szCs w:val="26"/>
        </w:rPr>
        <w:t>,</w:t>
      </w:r>
      <w:r w:rsidRPr="007D1E75">
        <w:rPr>
          <w:rFonts w:ascii="Times New Roman" w:eastAsiaTheme="minorHAnsi" w:hAnsi="Times New Roman"/>
          <w:sz w:val="26"/>
          <w:szCs w:val="26"/>
        </w:rPr>
        <w:t xml:space="preserve"> and the OSBA.  Exc. at 2.</w:t>
      </w:r>
    </w:p>
    <w:p w:rsidR="007D1E75" w:rsidRPr="007D1E75" w:rsidRDefault="007D1E75" w:rsidP="007D1E75">
      <w:pPr>
        <w:spacing w:after="0" w:line="360" w:lineRule="auto"/>
        <w:rPr>
          <w:rFonts w:ascii="Times New Roman" w:eastAsiaTheme="minorHAnsi" w:hAnsi="Times New Roman"/>
          <w:sz w:val="26"/>
          <w:szCs w:val="26"/>
        </w:rPr>
      </w:pPr>
    </w:p>
    <w:p w:rsidR="007D1E75" w:rsidRPr="007D1E75" w:rsidRDefault="007D1E75" w:rsidP="007D1E75">
      <w:pPr>
        <w:spacing w:after="0" w:line="360" w:lineRule="auto"/>
        <w:rPr>
          <w:rFonts w:ascii="Times New Roman" w:eastAsiaTheme="minorHAnsi" w:hAnsi="Times New Roman"/>
          <w:sz w:val="26"/>
          <w:szCs w:val="26"/>
        </w:rPr>
      </w:pPr>
      <w:r w:rsidRPr="007D1E75">
        <w:rPr>
          <w:rFonts w:ascii="Times New Roman" w:eastAsiaTheme="minorHAnsi" w:hAnsi="Times New Roman"/>
          <w:sz w:val="26"/>
          <w:szCs w:val="26"/>
        </w:rPr>
        <w:tab/>
      </w:r>
      <w:r w:rsidRPr="007D1E75">
        <w:rPr>
          <w:rFonts w:ascii="Times New Roman" w:eastAsiaTheme="minorHAnsi" w:hAnsi="Times New Roman"/>
          <w:sz w:val="26"/>
          <w:szCs w:val="26"/>
        </w:rPr>
        <w:tab/>
        <w:t xml:space="preserve">Peoples TWP replies that Ms. Spielvogel has neither presented nor cited </w:t>
      </w:r>
      <w:r w:rsidR="007C4525">
        <w:rPr>
          <w:rFonts w:ascii="Times New Roman" w:eastAsiaTheme="minorHAnsi" w:hAnsi="Times New Roman"/>
          <w:sz w:val="26"/>
          <w:szCs w:val="26"/>
        </w:rPr>
        <w:t xml:space="preserve">to </w:t>
      </w:r>
      <w:r w:rsidRPr="007D1E75">
        <w:rPr>
          <w:rFonts w:ascii="Times New Roman" w:eastAsiaTheme="minorHAnsi" w:hAnsi="Times New Roman"/>
          <w:sz w:val="26"/>
          <w:szCs w:val="26"/>
        </w:rPr>
        <w:t>any record evidence in this proceeding regarding cost of service or revenue allocation to support he</w:t>
      </w:r>
      <w:r w:rsidR="007C4525">
        <w:rPr>
          <w:rFonts w:ascii="Times New Roman" w:eastAsiaTheme="minorHAnsi" w:hAnsi="Times New Roman"/>
          <w:sz w:val="26"/>
          <w:szCs w:val="26"/>
        </w:rPr>
        <w:t>r</w:t>
      </w:r>
      <w:r w:rsidRPr="007D1E75">
        <w:rPr>
          <w:rFonts w:ascii="Times New Roman" w:eastAsiaTheme="minorHAnsi" w:hAnsi="Times New Roman"/>
          <w:sz w:val="26"/>
          <w:szCs w:val="26"/>
        </w:rPr>
        <w:t xml:space="preserve"> statements.  According to the Company, the Joint Petitioners have agreed to a revenue allocation that represents a compromise of their respective litigation positions, </w:t>
      </w:r>
      <w:r w:rsidRPr="007D1E75">
        <w:rPr>
          <w:rFonts w:ascii="Times New Roman" w:eastAsiaTheme="minorHAnsi" w:hAnsi="Times New Roman"/>
          <w:sz w:val="26"/>
          <w:szCs w:val="26"/>
        </w:rPr>
        <w:lastRenderedPageBreak/>
        <w:t>and this agreement is clearly defined.  Peoples TWP explains that</w:t>
      </w:r>
      <w:r w:rsidR="007C4525">
        <w:rPr>
          <w:rFonts w:ascii="Times New Roman" w:eastAsiaTheme="minorHAnsi" w:hAnsi="Times New Roman"/>
          <w:sz w:val="26"/>
          <w:szCs w:val="26"/>
        </w:rPr>
        <w:t>,</w:t>
      </w:r>
      <w:r w:rsidRPr="007D1E75">
        <w:rPr>
          <w:rFonts w:ascii="Times New Roman" w:eastAsiaTheme="minorHAnsi" w:hAnsi="Times New Roman"/>
          <w:sz w:val="26"/>
          <w:szCs w:val="26"/>
        </w:rPr>
        <w:t xml:space="preserve"> due to the “black box” nature of the Settlement, it is not possible to precisely calculate the extent to which the Settlement moves the rates closer to cost of service for all of the Joint Petitioners.  However, Peoples TWP avers that it is clear that the Settlement revenue allocation is well within the range of the various allocations proposed by the Joint Petitioners and is reasonable.  R. Exc. at 7.</w:t>
      </w:r>
    </w:p>
    <w:p w:rsidR="007D1E75" w:rsidRPr="007D1E75" w:rsidRDefault="007D1E75" w:rsidP="007D1E75">
      <w:pPr>
        <w:spacing w:after="0" w:line="360" w:lineRule="auto"/>
        <w:rPr>
          <w:rFonts w:ascii="Times New Roman" w:eastAsiaTheme="minorHAnsi" w:hAnsi="Times New Roman"/>
          <w:sz w:val="26"/>
          <w:szCs w:val="26"/>
        </w:rPr>
      </w:pPr>
    </w:p>
    <w:p w:rsidR="007D1E75" w:rsidRPr="007D1E75" w:rsidRDefault="007D1E75" w:rsidP="007D1E75">
      <w:pPr>
        <w:spacing w:after="0" w:line="360" w:lineRule="auto"/>
        <w:rPr>
          <w:rFonts w:ascii="Times New Roman" w:eastAsiaTheme="minorHAnsi" w:hAnsi="Times New Roman"/>
          <w:b/>
          <w:sz w:val="26"/>
          <w:szCs w:val="26"/>
        </w:rPr>
      </w:pPr>
      <w:r w:rsidRPr="007D1E75">
        <w:rPr>
          <w:rFonts w:ascii="Times New Roman" w:eastAsiaTheme="minorHAnsi" w:hAnsi="Times New Roman"/>
          <w:sz w:val="26"/>
          <w:szCs w:val="26"/>
        </w:rPr>
        <w:tab/>
      </w:r>
      <w:r w:rsidRPr="007D1E75">
        <w:rPr>
          <w:rFonts w:ascii="Times New Roman" w:eastAsiaTheme="minorHAnsi" w:hAnsi="Times New Roman"/>
          <w:sz w:val="26"/>
          <w:szCs w:val="26"/>
        </w:rPr>
        <w:tab/>
      </w:r>
      <w:r w:rsidR="007C4525" w:rsidRPr="007C4525">
        <w:rPr>
          <w:rFonts w:ascii="Times New Roman" w:eastAsiaTheme="minorHAnsi" w:hAnsi="Times New Roman"/>
          <w:b/>
          <w:sz w:val="26"/>
          <w:szCs w:val="26"/>
        </w:rPr>
        <w:t>b.</w:t>
      </w:r>
      <w:r w:rsidR="007C4525">
        <w:rPr>
          <w:rFonts w:ascii="Times New Roman" w:eastAsiaTheme="minorHAnsi" w:hAnsi="Times New Roman"/>
          <w:sz w:val="26"/>
          <w:szCs w:val="26"/>
        </w:rPr>
        <w:tab/>
      </w:r>
      <w:r w:rsidRPr="007D1E75">
        <w:rPr>
          <w:rFonts w:ascii="Times New Roman" w:eastAsiaTheme="minorHAnsi" w:hAnsi="Times New Roman"/>
          <w:b/>
          <w:sz w:val="26"/>
          <w:szCs w:val="26"/>
        </w:rPr>
        <w:t>Disposition</w:t>
      </w:r>
    </w:p>
    <w:p w:rsidR="007D1E75" w:rsidRPr="007D1E75" w:rsidRDefault="007D1E75" w:rsidP="007D1E75">
      <w:pPr>
        <w:spacing w:after="0" w:line="360" w:lineRule="auto"/>
        <w:rPr>
          <w:rFonts w:ascii="Times New Roman" w:eastAsiaTheme="minorHAnsi" w:hAnsi="Times New Roman"/>
          <w:b/>
          <w:sz w:val="26"/>
          <w:szCs w:val="26"/>
        </w:rPr>
      </w:pPr>
    </w:p>
    <w:p w:rsidR="007D1E75" w:rsidRPr="007D1E75" w:rsidRDefault="007D1E75" w:rsidP="007D1E75">
      <w:pPr>
        <w:spacing w:after="0" w:line="360" w:lineRule="auto"/>
        <w:rPr>
          <w:rFonts w:ascii="Times New Roman" w:eastAsiaTheme="minorHAnsi" w:hAnsi="Times New Roman"/>
          <w:sz w:val="26"/>
          <w:szCs w:val="26"/>
        </w:rPr>
      </w:pPr>
      <w:r w:rsidRPr="007D1E75">
        <w:rPr>
          <w:rFonts w:ascii="Times New Roman" w:eastAsiaTheme="minorHAnsi" w:hAnsi="Times New Roman"/>
          <w:b/>
          <w:sz w:val="26"/>
          <w:szCs w:val="26"/>
        </w:rPr>
        <w:tab/>
      </w:r>
      <w:r w:rsidRPr="007D1E75">
        <w:rPr>
          <w:rFonts w:ascii="Times New Roman" w:eastAsiaTheme="minorHAnsi" w:hAnsi="Times New Roman"/>
          <w:b/>
          <w:sz w:val="26"/>
          <w:szCs w:val="26"/>
        </w:rPr>
        <w:tab/>
      </w:r>
      <w:r w:rsidRPr="007D1E75">
        <w:rPr>
          <w:rFonts w:ascii="Times New Roman" w:eastAsiaTheme="minorHAnsi" w:hAnsi="Times New Roman"/>
          <w:sz w:val="26"/>
          <w:szCs w:val="26"/>
        </w:rPr>
        <w:t>We find that Ms. Spielvogel’s Exception</w:t>
      </w:r>
      <w:r w:rsidR="007C4525">
        <w:rPr>
          <w:rFonts w:ascii="Times New Roman" w:eastAsiaTheme="minorHAnsi" w:hAnsi="Times New Roman"/>
          <w:sz w:val="26"/>
          <w:szCs w:val="26"/>
        </w:rPr>
        <w:t xml:space="preserve"> </w:t>
      </w:r>
      <w:r w:rsidRPr="007D1E75">
        <w:rPr>
          <w:rFonts w:ascii="Times New Roman" w:eastAsiaTheme="minorHAnsi" w:hAnsi="Times New Roman"/>
          <w:sz w:val="26"/>
          <w:szCs w:val="26"/>
        </w:rPr>
        <w:t xml:space="preserve">is without merit and should be rejected.  The allocation of the allowable revenue increase is often one of the most contentious issues in a utility rate increase proceeding, so there is </w:t>
      </w:r>
      <w:r w:rsidR="007C4525">
        <w:rPr>
          <w:rFonts w:ascii="Times New Roman" w:eastAsiaTheme="minorHAnsi" w:hAnsi="Times New Roman"/>
          <w:sz w:val="26"/>
          <w:szCs w:val="26"/>
        </w:rPr>
        <w:t xml:space="preserve">often </w:t>
      </w:r>
      <w:r w:rsidRPr="007D1E75">
        <w:rPr>
          <w:rFonts w:ascii="Times New Roman" w:eastAsiaTheme="minorHAnsi" w:hAnsi="Times New Roman"/>
          <w:sz w:val="26"/>
          <w:szCs w:val="26"/>
        </w:rPr>
        <w:t xml:space="preserve">a disparity in the various Parties’ positions.  However, the agreed upon allocation </w:t>
      </w:r>
      <w:r w:rsidR="007C4525">
        <w:rPr>
          <w:rFonts w:ascii="Times New Roman" w:eastAsiaTheme="minorHAnsi" w:hAnsi="Times New Roman"/>
          <w:sz w:val="26"/>
          <w:szCs w:val="26"/>
        </w:rPr>
        <w:t>set forth in</w:t>
      </w:r>
      <w:r w:rsidRPr="007D1E75">
        <w:rPr>
          <w:rFonts w:ascii="Times New Roman" w:eastAsiaTheme="minorHAnsi" w:hAnsi="Times New Roman"/>
          <w:sz w:val="26"/>
          <w:szCs w:val="26"/>
        </w:rPr>
        <w:t xml:space="preserve"> the Settlement represents a compromise of the respective positions of the Parties who </w:t>
      </w:r>
      <w:r w:rsidR="007C4525">
        <w:rPr>
          <w:rFonts w:ascii="Times New Roman" w:eastAsiaTheme="minorHAnsi" w:hAnsi="Times New Roman"/>
          <w:sz w:val="26"/>
          <w:szCs w:val="26"/>
        </w:rPr>
        <w:t>presented</w:t>
      </w:r>
      <w:r w:rsidRPr="007D1E75">
        <w:rPr>
          <w:rFonts w:ascii="Times New Roman" w:eastAsiaTheme="minorHAnsi" w:hAnsi="Times New Roman"/>
          <w:sz w:val="26"/>
          <w:szCs w:val="26"/>
        </w:rPr>
        <w:t xml:space="preserve"> a position on this issue during the course of this </w:t>
      </w:r>
      <w:r w:rsidR="007C4525">
        <w:rPr>
          <w:rFonts w:ascii="Times New Roman" w:eastAsiaTheme="minorHAnsi" w:hAnsi="Times New Roman"/>
          <w:sz w:val="26"/>
          <w:szCs w:val="26"/>
        </w:rPr>
        <w:t>proceeding</w:t>
      </w:r>
      <w:r w:rsidRPr="007D1E75">
        <w:rPr>
          <w:rFonts w:ascii="Times New Roman" w:eastAsiaTheme="minorHAnsi" w:hAnsi="Times New Roman"/>
          <w:sz w:val="26"/>
          <w:szCs w:val="26"/>
        </w:rPr>
        <w:t>.  We conclude that the agreed upon revenue allocation is within the range of the various proposals, is reasonable</w:t>
      </w:r>
      <w:r w:rsidR="001012B5">
        <w:rPr>
          <w:rFonts w:ascii="Times New Roman" w:eastAsiaTheme="minorHAnsi" w:hAnsi="Times New Roman"/>
          <w:sz w:val="26"/>
          <w:szCs w:val="26"/>
        </w:rPr>
        <w:t xml:space="preserve"> and in the public interest</w:t>
      </w:r>
      <w:r w:rsidR="007C4525">
        <w:rPr>
          <w:rFonts w:ascii="Times New Roman" w:eastAsiaTheme="minorHAnsi" w:hAnsi="Times New Roman"/>
          <w:sz w:val="26"/>
          <w:szCs w:val="26"/>
        </w:rPr>
        <w:t>,</w:t>
      </w:r>
      <w:r w:rsidR="00CB38CD">
        <w:rPr>
          <w:rFonts w:ascii="Times New Roman" w:eastAsiaTheme="minorHAnsi" w:hAnsi="Times New Roman"/>
          <w:sz w:val="26"/>
          <w:szCs w:val="26"/>
        </w:rPr>
        <w:t xml:space="preserve"> and should be approved.  </w:t>
      </w:r>
    </w:p>
    <w:p w:rsidR="007D1E75" w:rsidRPr="007D1E75" w:rsidRDefault="007D1E75" w:rsidP="007D1E75">
      <w:pPr>
        <w:spacing w:after="0" w:line="360" w:lineRule="auto"/>
        <w:rPr>
          <w:rFonts w:ascii="Times New Roman" w:eastAsiaTheme="minorHAnsi" w:hAnsi="Times New Roman"/>
          <w:sz w:val="26"/>
          <w:szCs w:val="26"/>
        </w:rPr>
      </w:pPr>
    </w:p>
    <w:p w:rsidR="007D1E75" w:rsidRPr="007D1E75" w:rsidRDefault="007D1E75" w:rsidP="007D1E75">
      <w:pPr>
        <w:spacing w:after="0" w:line="360" w:lineRule="auto"/>
        <w:rPr>
          <w:rFonts w:ascii="Times New Roman" w:eastAsiaTheme="minorHAnsi" w:hAnsi="Times New Roman"/>
          <w:b/>
          <w:sz w:val="26"/>
          <w:szCs w:val="26"/>
        </w:rPr>
      </w:pPr>
      <w:r w:rsidRPr="007D1E75">
        <w:rPr>
          <w:rFonts w:ascii="Times New Roman" w:eastAsiaTheme="minorHAnsi" w:hAnsi="Times New Roman"/>
          <w:sz w:val="26"/>
          <w:szCs w:val="26"/>
        </w:rPr>
        <w:tab/>
      </w:r>
      <w:r w:rsidR="009923CD" w:rsidRPr="009923CD">
        <w:rPr>
          <w:rFonts w:ascii="Times New Roman" w:eastAsiaTheme="minorHAnsi" w:hAnsi="Times New Roman"/>
          <w:b/>
          <w:sz w:val="26"/>
          <w:szCs w:val="26"/>
        </w:rPr>
        <w:t>6</w:t>
      </w:r>
      <w:r w:rsidRPr="009923CD">
        <w:rPr>
          <w:rFonts w:ascii="Times New Roman" w:eastAsiaTheme="minorHAnsi" w:hAnsi="Times New Roman"/>
          <w:b/>
          <w:sz w:val="26"/>
          <w:szCs w:val="26"/>
        </w:rPr>
        <w:t>.</w:t>
      </w:r>
      <w:r w:rsidRPr="007D1E75">
        <w:rPr>
          <w:rFonts w:ascii="Times New Roman" w:eastAsiaTheme="minorHAnsi" w:hAnsi="Times New Roman"/>
          <w:b/>
          <w:sz w:val="26"/>
          <w:szCs w:val="26"/>
        </w:rPr>
        <w:tab/>
        <w:t>Rate NGPV</w:t>
      </w:r>
    </w:p>
    <w:p w:rsidR="007D1E75" w:rsidRDefault="007D1E75" w:rsidP="007D1E75">
      <w:pPr>
        <w:spacing w:after="0" w:line="360" w:lineRule="auto"/>
        <w:rPr>
          <w:rFonts w:ascii="Times New Roman" w:eastAsiaTheme="minorHAnsi" w:hAnsi="Times New Roman"/>
          <w:sz w:val="26"/>
          <w:szCs w:val="26"/>
        </w:rPr>
      </w:pPr>
    </w:p>
    <w:p w:rsidR="00AE1925" w:rsidRPr="00AE1925" w:rsidRDefault="00AE1925" w:rsidP="007D1E75">
      <w:pPr>
        <w:spacing w:after="0" w:line="360" w:lineRule="auto"/>
        <w:rPr>
          <w:rFonts w:ascii="Times New Roman" w:eastAsiaTheme="minorHAnsi" w:hAnsi="Times New Roman"/>
          <w:b/>
          <w:sz w:val="26"/>
          <w:szCs w:val="26"/>
        </w:rPr>
      </w:pPr>
      <w:r>
        <w:rPr>
          <w:rFonts w:ascii="Times New Roman" w:eastAsiaTheme="minorHAnsi" w:hAnsi="Times New Roman"/>
          <w:sz w:val="26"/>
          <w:szCs w:val="26"/>
        </w:rPr>
        <w:tab/>
      </w:r>
      <w:r>
        <w:rPr>
          <w:rFonts w:ascii="Times New Roman" w:eastAsiaTheme="minorHAnsi" w:hAnsi="Times New Roman"/>
          <w:sz w:val="26"/>
          <w:szCs w:val="26"/>
        </w:rPr>
        <w:tab/>
      </w:r>
      <w:r w:rsidRPr="00AE1925">
        <w:rPr>
          <w:rFonts w:ascii="Times New Roman" w:eastAsiaTheme="minorHAnsi" w:hAnsi="Times New Roman"/>
          <w:b/>
          <w:sz w:val="26"/>
          <w:szCs w:val="26"/>
        </w:rPr>
        <w:t>a.</w:t>
      </w:r>
      <w:r w:rsidRPr="00AE1925">
        <w:rPr>
          <w:rFonts w:ascii="Times New Roman" w:eastAsiaTheme="minorHAnsi" w:hAnsi="Times New Roman"/>
          <w:b/>
          <w:sz w:val="26"/>
          <w:szCs w:val="26"/>
        </w:rPr>
        <w:tab/>
        <w:t xml:space="preserve">Positions of the Parties </w:t>
      </w:r>
      <w:r w:rsidRPr="00AE1925">
        <w:rPr>
          <w:rFonts w:ascii="Times New Roman" w:eastAsiaTheme="minorHAnsi" w:hAnsi="Times New Roman"/>
          <w:b/>
          <w:sz w:val="26"/>
          <w:szCs w:val="26"/>
        </w:rPr>
        <w:tab/>
      </w:r>
    </w:p>
    <w:p w:rsidR="00AE1925" w:rsidRPr="00AE1925" w:rsidRDefault="00AE1925" w:rsidP="007D1E75">
      <w:pPr>
        <w:spacing w:after="0" w:line="360" w:lineRule="auto"/>
        <w:rPr>
          <w:rFonts w:ascii="Times New Roman" w:eastAsiaTheme="minorHAnsi" w:hAnsi="Times New Roman"/>
          <w:b/>
          <w:sz w:val="26"/>
          <w:szCs w:val="26"/>
        </w:rPr>
      </w:pPr>
    </w:p>
    <w:p w:rsidR="007D1E75" w:rsidRPr="007D1E75" w:rsidRDefault="007D1E75" w:rsidP="007D1E75">
      <w:pPr>
        <w:spacing w:after="0" w:line="360" w:lineRule="auto"/>
        <w:ind w:firstLine="1440"/>
        <w:rPr>
          <w:rFonts w:ascii="Times New Roman" w:eastAsiaTheme="minorHAnsi" w:hAnsi="Times New Roman"/>
          <w:sz w:val="26"/>
          <w:szCs w:val="26"/>
        </w:rPr>
      </w:pPr>
      <w:r w:rsidRPr="007D1E75">
        <w:rPr>
          <w:rFonts w:ascii="Times New Roman" w:eastAsiaTheme="minorHAnsi" w:hAnsi="Times New Roman"/>
          <w:sz w:val="26"/>
          <w:szCs w:val="26"/>
        </w:rPr>
        <w:t xml:space="preserve">Next, Ms. Spielvogel asserts that rate NGPV is not needed </w:t>
      </w:r>
      <w:r w:rsidR="00AE1925">
        <w:rPr>
          <w:rFonts w:ascii="Times New Roman" w:eastAsiaTheme="minorHAnsi" w:hAnsi="Times New Roman"/>
          <w:sz w:val="26"/>
          <w:szCs w:val="26"/>
        </w:rPr>
        <w:t>because</w:t>
      </w:r>
      <w:r w:rsidRPr="007D1E75">
        <w:rPr>
          <w:rFonts w:ascii="Times New Roman" w:eastAsiaTheme="minorHAnsi" w:hAnsi="Times New Roman"/>
          <w:sz w:val="26"/>
          <w:szCs w:val="26"/>
        </w:rPr>
        <w:t xml:space="preserve"> Peoples TWP has a commercial rate now and a new rate is unnecessary.  She opines that private competition will drive gas prices.  Exc. at 2.</w:t>
      </w:r>
    </w:p>
    <w:p w:rsidR="007D1E75" w:rsidRPr="007D1E75" w:rsidRDefault="007D1E75" w:rsidP="007D1E75">
      <w:pPr>
        <w:spacing w:after="0" w:line="360" w:lineRule="auto"/>
        <w:rPr>
          <w:rFonts w:ascii="Times New Roman" w:eastAsiaTheme="minorHAnsi" w:hAnsi="Times New Roman"/>
          <w:sz w:val="26"/>
          <w:szCs w:val="26"/>
        </w:rPr>
      </w:pPr>
    </w:p>
    <w:p w:rsidR="007D1E75" w:rsidRPr="007D1E75" w:rsidRDefault="007D1E75" w:rsidP="007D1E75">
      <w:pPr>
        <w:spacing w:after="0" w:line="360" w:lineRule="auto"/>
        <w:rPr>
          <w:rFonts w:ascii="Times New Roman" w:eastAsiaTheme="minorHAnsi" w:hAnsi="Times New Roman"/>
          <w:sz w:val="26"/>
          <w:szCs w:val="26"/>
        </w:rPr>
      </w:pPr>
      <w:r w:rsidRPr="007D1E75">
        <w:rPr>
          <w:rFonts w:ascii="Times New Roman" w:eastAsiaTheme="minorHAnsi" w:hAnsi="Times New Roman"/>
          <w:sz w:val="26"/>
          <w:szCs w:val="26"/>
        </w:rPr>
        <w:tab/>
      </w:r>
      <w:r w:rsidRPr="007D1E75">
        <w:rPr>
          <w:rFonts w:ascii="Times New Roman" w:eastAsiaTheme="minorHAnsi" w:hAnsi="Times New Roman"/>
          <w:sz w:val="26"/>
          <w:szCs w:val="26"/>
        </w:rPr>
        <w:tab/>
        <w:t xml:space="preserve">In reply, Peoples TWP states that no </w:t>
      </w:r>
      <w:r w:rsidR="001012B5">
        <w:rPr>
          <w:rFonts w:ascii="Times New Roman" w:eastAsiaTheme="minorHAnsi" w:hAnsi="Times New Roman"/>
          <w:sz w:val="26"/>
          <w:szCs w:val="26"/>
        </w:rPr>
        <w:t>P</w:t>
      </w:r>
      <w:r w:rsidRPr="007D1E75">
        <w:rPr>
          <w:rFonts w:ascii="Times New Roman" w:eastAsiaTheme="minorHAnsi" w:hAnsi="Times New Roman"/>
          <w:sz w:val="26"/>
          <w:szCs w:val="26"/>
        </w:rPr>
        <w:t xml:space="preserve">arty opposed the Rate NGPV proposal and that Ms. Spielvogel has not presented any evidence to support her position.  According to Peoples TWP, the proposed Rate NGPV contains terms unique to public </w:t>
      </w:r>
      <w:r w:rsidRPr="007D1E75">
        <w:rPr>
          <w:rFonts w:ascii="Times New Roman" w:eastAsiaTheme="minorHAnsi" w:hAnsi="Times New Roman"/>
          <w:sz w:val="26"/>
          <w:szCs w:val="26"/>
        </w:rPr>
        <w:lastRenderedPageBreak/>
        <w:t>natural gas fueling station service that are not contained within the current SGS and MGS tariffs.  Furthermore, Peoples TWP asserts that the Settlement adopts a compromise that provides for the Company to assign Rate NGPV customers to existing Rates SGS and MGS, as applicable based upon volumetric usage, for class cost of service purposes.  Finally, Peoples TWP avers that this rate will encourage construction of new natural gas fueling stations.  R. Exc. at 8.</w:t>
      </w:r>
    </w:p>
    <w:p w:rsidR="007D1E75" w:rsidRPr="007D1E75" w:rsidRDefault="007D1E75" w:rsidP="007D1E75">
      <w:pPr>
        <w:spacing w:after="0" w:line="360" w:lineRule="auto"/>
        <w:rPr>
          <w:rFonts w:ascii="Times New Roman" w:eastAsiaTheme="minorHAnsi" w:hAnsi="Times New Roman"/>
          <w:sz w:val="26"/>
          <w:szCs w:val="26"/>
        </w:rPr>
      </w:pPr>
    </w:p>
    <w:p w:rsidR="007D1E75" w:rsidRPr="007D1E75" w:rsidRDefault="007D1E75" w:rsidP="007D1E75">
      <w:pPr>
        <w:spacing w:after="0" w:line="360" w:lineRule="auto"/>
        <w:rPr>
          <w:rFonts w:ascii="Times New Roman" w:eastAsiaTheme="minorHAnsi" w:hAnsi="Times New Roman"/>
          <w:b/>
          <w:sz w:val="26"/>
          <w:szCs w:val="26"/>
        </w:rPr>
      </w:pPr>
      <w:r w:rsidRPr="007D1E75">
        <w:rPr>
          <w:rFonts w:ascii="Times New Roman" w:eastAsiaTheme="minorHAnsi" w:hAnsi="Times New Roman"/>
          <w:sz w:val="26"/>
          <w:szCs w:val="26"/>
        </w:rPr>
        <w:tab/>
      </w:r>
      <w:r w:rsidRPr="007D1E75">
        <w:rPr>
          <w:rFonts w:ascii="Times New Roman" w:eastAsiaTheme="minorHAnsi" w:hAnsi="Times New Roman"/>
          <w:sz w:val="26"/>
          <w:szCs w:val="26"/>
        </w:rPr>
        <w:tab/>
      </w:r>
      <w:r w:rsidR="00AE1925" w:rsidRPr="00AE1925">
        <w:rPr>
          <w:rFonts w:ascii="Times New Roman" w:eastAsiaTheme="minorHAnsi" w:hAnsi="Times New Roman"/>
          <w:b/>
          <w:sz w:val="26"/>
          <w:szCs w:val="26"/>
        </w:rPr>
        <w:t>b.</w:t>
      </w:r>
      <w:r w:rsidR="00AE1925">
        <w:rPr>
          <w:rFonts w:ascii="Times New Roman" w:eastAsiaTheme="minorHAnsi" w:hAnsi="Times New Roman"/>
          <w:sz w:val="26"/>
          <w:szCs w:val="26"/>
        </w:rPr>
        <w:tab/>
      </w:r>
      <w:r w:rsidRPr="007D1E75">
        <w:rPr>
          <w:rFonts w:ascii="Times New Roman" w:eastAsiaTheme="minorHAnsi" w:hAnsi="Times New Roman"/>
          <w:b/>
          <w:sz w:val="26"/>
          <w:szCs w:val="26"/>
        </w:rPr>
        <w:t>Disposition</w:t>
      </w:r>
    </w:p>
    <w:p w:rsidR="007D1E75" w:rsidRPr="007D1E75" w:rsidRDefault="007D1E75" w:rsidP="007D1E75">
      <w:pPr>
        <w:spacing w:after="0" w:line="360" w:lineRule="auto"/>
        <w:rPr>
          <w:rFonts w:ascii="Times New Roman" w:eastAsiaTheme="minorHAnsi" w:hAnsi="Times New Roman"/>
          <w:b/>
          <w:sz w:val="26"/>
          <w:szCs w:val="26"/>
        </w:rPr>
      </w:pPr>
    </w:p>
    <w:p w:rsidR="007D1E75" w:rsidRPr="007D1E75" w:rsidRDefault="007D1E75" w:rsidP="007D1E75">
      <w:pPr>
        <w:spacing w:after="0" w:line="360" w:lineRule="auto"/>
        <w:rPr>
          <w:rFonts w:ascii="Times New Roman" w:eastAsiaTheme="minorHAnsi" w:hAnsi="Times New Roman"/>
          <w:sz w:val="26"/>
          <w:szCs w:val="26"/>
        </w:rPr>
      </w:pPr>
      <w:r w:rsidRPr="007D1E75">
        <w:rPr>
          <w:rFonts w:ascii="Times New Roman" w:eastAsiaTheme="minorHAnsi" w:hAnsi="Times New Roman"/>
          <w:b/>
          <w:sz w:val="26"/>
          <w:szCs w:val="26"/>
        </w:rPr>
        <w:tab/>
      </w:r>
      <w:r w:rsidRPr="007D1E75">
        <w:rPr>
          <w:rFonts w:ascii="Times New Roman" w:eastAsiaTheme="minorHAnsi" w:hAnsi="Times New Roman"/>
          <w:b/>
          <w:sz w:val="26"/>
          <w:szCs w:val="26"/>
        </w:rPr>
        <w:tab/>
      </w:r>
      <w:r w:rsidRPr="007D1E75">
        <w:rPr>
          <w:rFonts w:ascii="Times New Roman" w:eastAsiaTheme="minorHAnsi" w:hAnsi="Times New Roman"/>
          <w:sz w:val="26"/>
          <w:szCs w:val="26"/>
        </w:rPr>
        <w:t xml:space="preserve">We find that Ms. Spielvogel’s Exception in this instance is without merit and should be rejected.  Based upon our review of the record, no </w:t>
      </w:r>
      <w:r w:rsidR="001012B5">
        <w:rPr>
          <w:rFonts w:ascii="Times New Roman" w:eastAsiaTheme="minorHAnsi" w:hAnsi="Times New Roman"/>
          <w:sz w:val="26"/>
          <w:szCs w:val="26"/>
        </w:rPr>
        <w:t>P</w:t>
      </w:r>
      <w:r w:rsidRPr="007D1E75">
        <w:rPr>
          <w:rFonts w:ascii="Times New Roman" w:eastAsiaTheme="minorHAnsi" w:hAnsi="Times New Roman"/>
          <w:sz w:val="26"/>
          <w:szCs w:val="26"/>
        </w:rPr>
        <w:t>arty opposed the Rate NGPV proposal.  The only concern expressed with regard to this rate proposal was the OCA’s concern</w:t>
      </w:r>
      <w:r w:rsidR="00411F7A">
        <w:rPr>
          <w:rFonts w:ascii="Times New Roman" w:eastAsiaTheme="minorHAnsi" w:hAnsi="Times New Roman"/>
          <w:sz w:val="26"/>
          <w:szCs w:val="26"/>
        </w:rPr>
        <w:t xml:space="preserve"> regarding </w:t>
      </w:r>
      <w:r w:rsidRPr="007D1E75">
        <w:rPr>
          <w:rFonts w:ascii="Times New Roman" w:eastAsiaTheme="minorHAnsi" w:hAnsi="Times New Roman"/>
          <w:sz w:val="26"/>
          <w:szCs w:val="26"/>
        </w:rPr>
        <w:t xml:space="preserve">the treatment of potential rate discounts associated with this rate offering in future proceedings.  </w:t>
      </w:r>
      <w:r w:rsidR="003D711C">
        <w:rPr>
          <w:rFonts w:ascii="Times New Roman" w:eastAsiaTheme="minorHAnsi" w:hAnsi="Times New Roman"/>
          <w:sz w:val="26"/>
          <w:szCs w:val="26"/>
        </w:rPr>
        <w:t xml:space="preserve">OCA St. 3 at 39.  </w:t>
      </w:r>
      <w:r w:rsidRPr="007D1E75">
        <w:rPr>
          <w:rFonts w:ascii="Times New Roman" w:eastAsiaTheme="minorHAnsi" w:hAnsi="Times New Roman"/>
          <w:sz w:val="26"/>
          <w:szCs w:val="26"/>
        </w:rPr>
        <w:t xml:space="preserve">As a result, a compromise was adopted which provides that Rate NGPV customers would be placed into the prior Rate SGS or MGS class, as applicable, based upon volumetric usage of the individual customer.  The issue of the impact of any discounting would be addressed in future rate case proceedings. </w:t>
      </w:r>
      <w:r w:rsidR="005D0474">
        <w:rPr>
          <w:rFonts w:ascii="Times New Roman" w:eastAsiaTheme="minorHAnsi" w:hAnsi="Times New Roman"/>
          <w:sz w:val="26"/>
          <w:szCs w:val="26"/>
        </w:rPr>
        <w:t xml:space="preserve"> </w:t>
      </w:r>
      <w:r w:rsidRPr="007D1E75">
        <w:rPr>
          <w:rFonts w:ascii="Times New Roman" w:eastAsiaTheme="minorHAnsi" w:hAnsi="Times New Roman"/>
          <w:sz w:val="26"/>
          <w:szCs w:val="26"/>
        </w:rPr>
        <w:t xml:space="preserve">We note that this rate schedule is being proposed by the Company to encourage construction of new natural gas stations in an area of </w:t>
      </w:r>
      <w:r w:rsidR="005D0474">
        <w:rPr>
          <w:rFonts w:ascii="Times New Roman" w:eastAsiaTheme="minorHAnsi" w:hAnsi="Times New Roman"/>
          <w:sz w:val="26"/>
          <w:szCs w:val="26"/>
        </w:rPr>
        <w:t>Pennsylvania</w:t>
      </w:r>
      <w:r w:rsidRPr="007D1E75">
        <w:rPr>
          <w:rFonts w:ascii="Times New Roman" w:eastAsiaTheme="minorHAnsi" w:hAnsi="Times New Roman"/>
          <w:sz w:val="26"/>
          <w:szCs w:val="26"/>
        </w:rPr>
        <w:t xml:space="preserve"> that has been experiencing extensive development of unconventional natural gas deposits.  We find the compromise within this Settlement reasonable and in the public interest, with the understanding that potential discounting and allocation issues should await future proceedings.  Accordingly, we shall deny this Exception.</w:t>
      </w:r>
    </w:p>
    <w:p w:rsidR="007D1E75" w:rsidRPr="007D1E75" w:rsidRDefault="007D1E75" w:rsidP="007D1E75">
      <w:pPr>
        <w:spacing w:after="0" w:line="360" w:lineRule="auto"/>
        <w:rPr>
          <w:rFonts w:ascii="Times New Roman" w:eastAsiaTheme="minorHAnsi" w:hAnsi="Times New Roman"/>
          <w:sz w:val="26"/>
          <w:szCs w:val="26"/>
        </w:rPr>
      </w:pPr>
    </w:p>
    <w:p w:rsidR="006B3D39" w:rsidRDefault="007D1E75" w:rsidP="006B3D39">
      <w:pPr>
        <w:spacing w:after="0" w:line="360" w:lineRule="auto"/>
        <w:rPr>
          <w:rFonts w:ascii="Times New Roman" w:eastAsiaTheme="minorHAnsi" w:hAnsi="Times New Roman"/>
          <w:sz w:val="26"/>
          <w:szCs w:val="26"/>
        </w:rPr>
      </w:pPr>
      <w:r w:rsidRPr="007D1E75">
        <w:rPr>
          <w:rFonts w:ascii="Times New Roman" w:eastAsiaTheme="minorHAnsi" w:hAnsi="Times New Roman"/>
          <w:sz w:val="26"/>
          <w:szCs w:val="26"/>
        </w:rPr>
        <w:tab/>
      </w:r>
    </w:p>
    <w:p w:rsidR="006B3D39" w:rsidRDefault="006B3D39" w:rsidP="006B3D39">
      <w:pPr>
        <w:spacing w:after="0" w:line="360" w:lineRule="auto"/>
        <w:rPr>
          <w:rFonts w:ascii="Times New Roman" w:eastAsiaTheme="minorHAnsi" w:hAnsi="Times New Roman"/>
          <w:sz w:val="26"/>
          <w:szCs w:val="26"/>
        </w:rPr>
      </w:pPr>
    </w:p>
    <w:p w:rsidR="006B3D39" w:rsidRDefault="006B3D39" w:rsidP="006B3D39">
      <w:pPr>
        <w:spacing w:after="0" w:line="360" w:lineRule="auto"/>
        <w:rPr>
          <w:rFonts w:ascii="Times New Roman" w:eastAsiaTheme="minorHAnsi" w:hAnsi="Times New Roman"/>
          <w:sz w:val="26"/>
          <w:szCs w:val="26"/>
        </w:rPr>
      </w:pPr>
    </w:p>
    <w:p w:rsidR="006B3D39" w:rsidRDefault="006B3D39" w:rsidP="006B3D39">
      <w:pPr>
        <w:spacing w:after="0" w:line="360" w:lineRule="auto"/>
        <w:rPr>
          <w:rFonts w:ascii="Times New Roman" w:eastAsiaTheme="minorHAnsi" w:hAnsi="Times New Roman"/>
          <w:sz w:val="26"/>
          <w:szCs w:val="26"/>
        </w:rPr>
      </w:pPr>
    </w:p>
    <w:p w:rsidR="006B3D39" w:rsidRDefault="006B3D39" w:rsidP="006B3D39">
      <w:pPr>
        <w:spacing w:after="0" w:line="360" w:lineRule="auto"/>
        <w:rPr>
          <w:rFonts w:ascii="Times New Roman" w:eastAsiaTheme="minorHAnsi" w:hAnsi="Times New Roman"/>
          <w:sz w:val="26"/>
          <w:szCs w:val="26"/>
        </w:rPr>
      </w:pPr>
    </w:p>
    <w:p w:rsidR="007D1E75" w:rsidRPr="007D1E75" w:rsidRDefault="00E5634E" w:rsidP="006B3D39">
      <w:pPr>
        <w:spacing w:after="0" w:line="360" w:lineRule="auto"/>
        <w:ind w:firstLine="720"/>
        <w:rPr>
          <w:rFonts w:ascii="Times New Roman" w:eastAsiaTheme="minorHAnsi" w:hAnsi="Times New Roman"/>
          <w:b/>
          <w:sz w:val="26"/>
          <w:szCs w:val="26"/>
        </w:rPr>
      </w:pPr>
      <w:r w:rsidRPr="00E5634E">
        <w:rPr>
          <w:rFonts w:ascii="Times New Roman" w:eastAsiaTheme="minorHAnsi" w:hAnsi="Times New Roman"/>
          <w:b/>
          <w:sz w:val="26"/>
          <w:szCs w:val="26"/>
        </w:rPr>
        <w:lastRenderedPageBreak/>
        <w:t>7</w:t>
      </w:r>
      <w:r w:rsidR="007D1E75" w:rsidRPr="00E5634E">
        <w:rPr>
          <w:rFonts w:ascii="Times New Roman" w:eastAsiaTheme="minorHAnsi" w:hAnsi="Times New Roman"/>
          <w:b/>
          <w:sz w:val="26"/>
          <w:szCs w:val="26"/>
        </w:rPr>
        <w:t>.</w:t>
      </w:r>
      <w:r w:rsidR="007D1E75" w:rsidRPr="007D1E75">
        <w:rPr>
          <w:rFonts w:ascii="Times New Roman" w:eastAsiaTheme="minorHAnsi" w:hAnsi="Times New Roman"/>
          <w:b/>
          <w:sz w:val="26"/>
          <w:szCs w:val="26"/>
        </w:rPr>
        <w:tab/>
        <w:t>Delay of the DSIC</w:t>
      </w:r>
    </w:p>
    <w:p w:rsidR="007D1E75" w:rsidRDefault="007D1E75" w:rsidP="007D1E75">
      <w:pPr>
        <w:spacing w:after="0" w:line="360" w:lineRule="auto"/>
        <w:rPr>
          <w:rFonts w:ascii="Times New Roman" w:eastAsiaTheme="minorHAnsi" w:hAnsi="Times New Roman"/>
          <w:b/>
          <w:sz w:val="26"/>
          <w:szCs w:val="26"/>
        </w:rPr>
      </w:pPr>
      <w:r w:rsidRPr="007D1E75">
        <w:rPr>
          <w:rFonts w:ascii="Times New Roman" w:eastAsiaTheme="minorHAnsi" w:hAnsi="Times New Roman"/>
          <w:b/>
          <w:sz w:val="26"/>
          <w:szCs w:val="26"/>
        </w:rPr>
        <w:tab/>
      </w:r>
      <w:r w:rsidRPr="007D1E75">
        <w:rPr>
          <w:rFonts w:ascii="Times New Roman" w:eastAsiaTheme="minorHAnsi" w:hAnsi="Times New Roman"/>
          <w:b/>
          <w:sz w:val="26"/>
          <w:szCs w:val="26"/>
        </w:rPr>
        <w:tab/>
      </w:r>
    </w:p>
    <w:p w:rsidR="00C854D7" w:rsidRDefault="00E5634E" w:rsidP="007D1E75">
      <w:pPr>
        <w:spacing w:after="0" w:line="360" w:lineRule="auto"/>
        <w:rPr>
          <w:rFonts w:ascii="Times New Roman" w:eastAsiaTheme="minorHAnsi" w:hAnsi="Times New Roman"/>
          <w:b/>
          <w:sz w:val="26"/>
          <w:szCs w:val="26"/>
        </w:rPr>
      </w:pPr>
      <w:r>
        <w:rPr>
          <w:rFonts w:ascii="Times New Roman" w:eastAsiaTheme="minorHAnsi" w:hAnsi="Times New Roman"/>
          <w:b/>
          <w:sz w:val="26"/>
          <w:szCs w:val="26"/>
        </w:rPr>
        <w:tab/>
      </w:r>
      <w:r>
        <w:rPr>
          <w:rFonts w:ascii="Times New Roman" w:eastAsiaTheme="minorHAnsi" w:hAnsi="Times New Roman"/>
          <w:b/>
          <w:sz w:val="26"/>
          <w:szCs w:val="26"/>
        </w:rPr>
        <w:tab/>
        <w:t>a.</w:t>
      </w:r>
      <w:r>
        <w:rPr>
          <w:rFonts w:ascii="Times New Roman" w:eastAsiaTheme="minorHAnsi" w:hAnsi="Times New Roman"/>
          <w:b/>
          <w:sz w:val="26"/>
          <w:szCs w:val="26"/>
        </w:rPr>
        <w:tab/>
        <w:t>Positions of the Parties</w:t>
      </w:r>
    </w:p>
    <w:p w:rsidR="00E5634E" w:rsidRDefault="00E5634E" w:rsidP="007D1E75">
      <w:pPr>
        <w:spacing w:after="0" w:line="360" w:lineRule="auto"/>
        <w:rPr>
          <w:rFonts w:ascii="Times New Roman" w:eastAsiaTheme="minorHAnsi" w:hAnsi="Times New Roman"/>
          <w:b/>
          <w:sz w:val="26"/>
          <w:szCs w:val="26"/>
        </w:rPr>
      </w:pPr>
      <w:r>
        <w:rPr>
          <w:rFonts w:ascii="Times New Roman" w:eastAsiaTheme="minorHAnsi" w:hAnsi="Times New Roman"/>
          <w:b/>
          <w:sz w:val="26"/>
          <w:szCs w:val="26"/>
        </w:rPr>
        <w:t xml:space="preserve"> </w:t>
      </w:r>
      <w:r>
        <w:rPr>
          <w:rFonts w:ascii="Times New Roman" w:eastAsiaTheme="minorHAnsi" w:hAnsi="Times New Roman"/>
          <w:b/>
          <w:sz w:val="26"/>
          <w:szCs w:val="26"/>
        </w:rPr>
        <w:tab/>
      </w:r>
      <w:r>
        <w:rPr>
          <w:rFonts w:ascii="Times New Roman" w:eastAsiaTheme="minorHAnsi" w:hAnsi="Times New Roman"/>
          <w:b/>
          <w:sz w:val="26"/>
          <w:szCs w:val="26"/>
        </w:rPr>
        <w:tab/>
      </w:r>
    </w:p>
    <w:p w:rsidR="007D1E75" w:rsidRPr="007D1E75" w:rsidRDefault="007D1E75" w:rsidP="007D1E75">
      <w:pPr>
        <w:spacing w:after="0" w:line="360" w:lineRule="auto"/>
        <w:rPr>
          <w:rFonts w:ascii="Times New Roman" w:eastAsiaTheme="minorHAnsi" w:hAnsi="Times New Roman"/>
          <w:sz w:val="26"/>
          <w:szCs w:val="26"/>
        </w:rPr>
      </w:pPr>
      <w:r w:rsidRPr="007D1E75">
        <w:rPr>
          <w:rFonts w:ascii="Times New Roman" w:eastAsiaTheme="minorHAnsi" w:hAnsi="Times New Roman"/>
          <w:sz w:val="26"/>
          <w:szCs w:val="26"/>
        </w:rPr>
        <w:tab/>
      </w:r>
      <w:r w:rsidRPr="007D1E75">
        <w:rPr>
          <w:rFonts w:ascii="Times New Roman" w:eastAsiaTheme="minorHAnsi" w:hAnsi="Times New Roman"/>
          <w:sz w:val="26"/>
          <w:szCs w:val="26"/>
        </w:rPr>
        <w:tab/>
        <w:t>Ms. Spielvogel maintains that the DSIC should be delayed a minimum of two years because the allowance of a seventeen percent rate increase for the Company eliminates the need for such a charge.  Exc. at 2.</w:t>
      </w:r>
    </w:p>
    <w:p w:rsidR="007D1E75" w:rsidRPr="007D1E75" w:rsidRDefault="007D1E75" w:rsidP="007D1E75">
      <w:pPr>
        <w:spacing w:after="0" w:line="360" w:lineRule="auto"/>
        <w:rPr>
          <w:rFonts w:ascii="Times New Roman" w:eastAsiaTheme="minorHAnsi" w:hAnsi="Times New Roman"/>
          <w:sz w:val="26"/>
          <w:szCs w:val="26"/>
        </w:rPr>
      </w:pPr>
    </w:p>
    <w:p w:rsidR="007D1E75" w:rsidRPr="007D1E75" w:rsidRDefault="007D1E75" w:rsidP="007D1E75">
      <w:pPr>
        <w:spacing w:after="0" w:line="360" w:lineRule="auto"/>
        <w:rPr>
          <w:rFonts w:ascii="Times New Roman" w:eastAsiaTheme="minorHAnsi" w:hAnsi="Times New Roman"/>
          <w:sz w:val="26"/>
          <w:szCs w:val="26"/>
        </w:rPr>
      </w:pPr>
      <w:r w:rsidRPr="007D1E75">
        <w:rPr>
          <w:rFonts w:ascii="Times New Roman" w:eastAsiaTheme="minorHAnsi" w:hAnsi="Times New Roman"/>
          <w:sz w:val="26"/>
          <w:szCs w:val="26"/>
        </w:rPr>
        <w:tab/>
      </w:r>
      <w:r w:rsidRPr="007D1E75">
        <w:rPr>
          <w:rFonts w:ascii="Times New Roman" w:eastAsiaTheme="minorHAnsi" w:hAnsi="Times New Roman"/>
          <w:sz w:val="26"/>
          <w:szCs w:val="26"/>
        </w:rPr>
        <w:tab/>
        <w:t>In re</w:t>
      </w:r>
      <w:r w:rsidR="00121F2C">
        <w:rPr>
          <w:rFonts w:ascii="Times New Roman" w:eastAsiaTheme="minorHAnsi" w:hAnsi="Times New Roman"/>
          <w:sz w:val="26"/>
          <w:szCs w:val="26"/>
        </w:rPr>
        <w:t>sponse,</w:t>
      </w:r>
      <w:r w:rsidRPr="007D1E75">
        <w:rPr>
          <w:rFonts w:ascii="Times New Roman" w:eastAsiaTheme="minorHAnsi" w:hAnsi="Times New Roman"/>
          <w:sz w:val="26"/>
          <w:szCs w:val="26"/>
        </w:rPr>
        <w:t xml:space="preserve"> Peoples TWP avers that Ms. Spielvogel’s Exception is contrary to law and should be rejected.  </w:t>
      </w:r>
      <w:r w:rsidR="0087450D">
        <w:rPr>
          <w:rFonts w:ascii="Times New Roman" w:eastAsiaTheme="minorHAnsi" w:hAnsi="Times New Roman"/>
          <w:sz w:val="26"/>
          <w:szCs w:val="26"/>
        </w:rPr>
        <w:t xml:space="preserve">Exc. at 9.  </w:t>
      </w:r>
      <w:r w:rsidRPr="007D1E75">
        <w:rPr>
          <w:rFonts w:ascii="Times New Roman" w:eastAsiaTheme="minorHAnsi" w:hAnsi="Times New Roman"/>
          <w:sz w:val="26"/>
          <w:szCs w:val="26"/>
        </w:rPr>
        <w:t xml:space="preserve">The Company states that this request is contrary to Section 1358(b)(2) of the </w:t>
      </w:r>
      <w:r w:rsidR="00121F2C">
        <w:rPr>
          <w:rFonts w:ascii="Times New Roman" w:eastAsiaTheme="minorHAnsi" w:hAnsi="Times New Roman"/>
          <w:sz w:val="26"/>
          <w:szCs w:val="26"/>
        </w:rPr>
        <w:t>C</w:t>
      </w:r>
      <w:r w:rsidRPr="007D1E75">
        <w:rPr>
          <w:rFonts w:ascii="Times New Roman" w:eastAsiaTheme="minorHAnsi" w:hAnsi="Times New Roman"/>
          <w:sz w:val="26"/>
          <w:szCs w:val="26"/>
        </w:rPr>
        <w:t xml:space="preserve">ode, 66 Pa. C.S. § 1358(b)(2), which provides </w:t>
      </w:r>
      <w:r w:rsidR="00121F2C">
        <w:rPr>
          <w:rFonts w:ascii="Times New Roman" w:eastAsiaTheme="minorHAnsi" w:hAnsi="Times New Roman"/>
          <w:sz w:val="26"/>
          <w:szCs w:val="26"/>
        </w:rPr>
        <w:t>as follows</w:t>
      </w:r>
      <w:r w:rsidRPr="007D1E75">
        <w:rPr>
          <w:rFonts w:ascii="Times New Roman" w:eastAsiaTheme="minorHAnsi" w:hAnsi="Times New Roman"/>
          <w:sz w:val="26"/>
          <w:szCs w:val="26"/>
        </w:rPr>
        <w:t>:</w:t>
      </w:r>
    </w:p>
    <w:p w:rsidR="007D1E75" w:rsidRPr="007D1E75" w:rsidRDefault="007D1E75" w:rsidP="007D1E75">
      <w:pPr>
        <w:spacing w:after="0" w:line="360" w:lineRule="auto"/>
        <w:rPr>
          <w:rFonts w:ascii="Times New Roman" w:eastAsiaTheme="minorHAnsi" w:hAnsi="Times New Roman"/>
          <w:sz w:val="26"/>
          <w:szCs w:val="26"/>
        </w:rPr>
      </w:pPr>
    </w:p>
    <w:p w:rsidR="007D1E75" w:rsidRPr="007D1E75" w:rsidRDefault="00153091" w:rsidP="007D1E75">
      <w:pPr>
        <w:spacing w:after="0" w:line="240" w:lineRule="auto"/>
        <w:ind w:left="1440" w:right="1440"/>
        <w:rPr>
          <w:rFonts w:ascii="Times New Roman" w:eastAsiaTheme="minorHAnsi" w:hAnsi="Times New Roman"/>
          <w:sz w:val="26"/>
          <w:szCs w:val="26"/>
        </w:rPr>
      </w:pPr>
      <w:r>
        <w:rPr>
          <w:rFonts w:ascii="Times New Roman" w:eastAsiaTheme="minorHAnsi" w:hAnsi="Times New Roman"/>
          <w:sz w:val="26"/>
          <w:szCs w:val="26"/>
        </w:rPr>
        <w:t>A</w:t>
      </w:r>
      <w:r w:rsidR="007D1E75" w:rsidRPr="007D1E75">
        <w:rPr>
          <w:rFonts w:ascii="Times New Roman" w:eastAsiaTheme="minorHAnsi" w:hAnsi="Times New Roman"/>
          <w:sz w:val="26"/>
          <w:szCs w:val="26"/>
        </w:rPr>
        <w:t>fter the reset date under paragraph (1), only the fixed costs of new eligible property that have not previously been reflected in the utility’s rate base shall be reflected in the quarterly updates of the [DSIC].</w:t>
      </w:r>
    </w:p>
    <w:p w:rsidR="007D1E75" w:rsidRPr="007D1E75" w:rsidRDefault="007D1E75" w:rsidP="007D1E75">
      <w:pPr>
        <w:spacing w:after="0" w:line="240" w:lineRule="auto"/>
        <w:ind w:left="1440" w:right="1440"/>
        <w:rPr>
          <w:rFonts w:ascii="Times New Roman" w:eastAsiaTheme="minorHAnsi" w:hAnsi="Times New Roman"/>
          <w:sz w:val="26"/>
          <w:szCs w:val="26"/>
        </w:rPr>
      </w:pPr>
    </w:p>
    <w:p w:rsidR="007D1E75" w:rsidRPr="007D1E75" w:rsidRDefault="007D1E75" w:rsidP="00153091">
      <w:pPr>
        <w:spacing w:after="0" w:line="360" w:lineRule="auto"/>
        <w:rPr>
          <w:rFonts w:ascii="Times New Roman" w:eastAsiaTheme="minorHAnsi" w:hAnsi="Times New Roman"/>
          <w:sz w:val="26"/>
          <w:szCs w:val="26"/>
        </w:rPr>
      </w:pPr>
      <w:r w:rsidRPr="007D1E75">
        <w:rPr>
          <w:rFonts w:ascii="Times New Roman" w:eastAsiaTheme="minorHAnsi" w:hAnsi="Times New Roman"/>
          <w:sz w:val="26"/>
          <w:szCs w:val="26"/>
        </w:rPr>
        <w:t xml:space="preserve">Pursuant to this </w:t>
      </w:r>
      <w:r w:rsidR="00153091">
        <w:rPr>
          <w:rFonts w:ascii="Times New Roman" w:eastAsiaTheme="minorHAnsi" w:hAnsi="Times New Roman"/>
          <w:sz w:val="26"/>
          <w:szCs w:val="26"/>
        </w:rPr>
        <w:t>section</w:t>
      </w:r>
      <w:r w:rsidRPr="007D1E75">
        <w:rPr>
          <w:rFonts w:ascii="Times New Roman" w:eastAsiaTheme="minorHAnsi" w:hAnsi="Times New Roman"/>
          <w:sz w:val="26"/>
          <w:szCs w:val="26"/>
        </w:rPr>
        <w:t xml:space="preserve">, Peoples TWP </w:t>
      </w:r>
      <w:r w:rsidR="00153091">
        <w:rPr>
          <w:rFonts w:ascii="Times New Roman" w:eastAsiaTheme="minorHAnsi" w:hAnsi="Times New Roman"/>
          <w:sz w:val="26"/>
          <w:szCs w:val="26"/>
        </w:rPr>
        <w:t>aver</w:t>
      </w:r>
      <w:r w:rsidRPr="007D1E75">
        <w:rPr>
          <w:rFonts w:ascii="Times New Roman" w:eastAsiaTheme="minorHAnsi" w:hAnsi="Times New Roman"/>
          <w:sz w:val="26"/>
          <w:szCs w:val="26"/>
        </w:rPr>
        <w:t xml:space="preserve">s that DSIC-eligible plant additions not included in base rates may be reflected in the DSIC calculation.  According to Peoples TWP, following the effective date of rates in this proceeding, it will be eligible to include plant additions in the DSIC once eligible balances exceed the levels projected by the Company at January 31, 2015.  Peoples TWP </w:t>
      </w:r>
      <w:r w:rsidR="00153091">
        <w:rPr>
          <w:rFonts w:ascii="Times New Roman" w:eastAsiaTheme="minorHAnsi" w:hAnsi="Times New Roman"/>
          <w:sz w:val="26"/>
          <w:szCs w:val="26"/>
        </w:rPr>
        <w:t>asserts</w:t>
      </w:r>
      <w:r w:rsidRPr="007D1E75">
        <w:rPr>
          <w:rFonts w:ascii="Times New Roman" w:eastAsiaTheme="minorHAnsi" w:hAnsi="Times New Roman"/>
          <w:sz w:val="26"/>
          <w:szCs w:val="26"/>
        </w:rPr>
        <w:t xml:space="preserve"> that Ms. Spielvogel’s proposal would delay the operation of the DSIC for an additional year, in clear contravention of the statute and the Settlement.  R. Exc. at 8-9.</w:t>
      </w:r>
    </w:p>
    <w:p w:rsidR="007D1E75" w:rsidRPr="007D1E75" w:rsidRDefault="007D1E75" w:rsidP="007D1E75">
      <w:pPr>
        <w:spacing w:after="0" w:line="360" w:lineRule="auto"/>
        <w:rPr>
          <w:rFonts w:ascii="Times New Roman" w:eastAsiaTheme="minorHAnsi" w:hAnsi="Times New Roman"/>
          <w:sz w:val="26"/>
          <w:szCs w:val="26"/>
        </w:rPr>
      </w:pPr>
    </w:p>
    <w:p w:rsidR="007D1E75" w:rsidRDefault="007D1E75" w:rsidP="007D1E75">
      <w:pPr>
        <w:spacing w:after="0" w:line="360" w:lineRule="auto"/>
        <w:rPr>
          <w:rFonts w:ascii="Times New Roman" w:eastAsiaTheme="minorHAnsi" w:hAnsi="Times New Roman"/>
          <w:b/>
          <w:sz w:val="26"/>
          <w:szCs w:val="26"/>
        </w:rPr>
      </w:pPr>
      <w:r w:rsidRPr="007D1E75">
        <w:rPr>
          <w:rFonts w:ascii="Times New Roman" w:eastAsiaTheme="minorHAnsi" w:hAnsi="Times New Roman"/>
          <w:sz w:val="26"/>
          <w:szCs w:val="26"/>
        </w:rPr>
        <w:tab/>
      </w:r>
      <w:r w:rsidRPr="007D1E75">
        <w:rPr>
          <w:rFonts w:ascii="Times New Roman" w:eastAsiaTheme="minorHAnsi" w:hAnsi="Times New Roman"/>
          <w:sz w:val="26"/>
          <w:szCs w:val="26"/>
        </w:rPr>
        <w:tab/>
      </w:r>
      <w:r w:rsidR="00767179" w:rsidRPr="00767179">
        <w:rPr>
          <w:rFonts w:ascii="Times New Roman" w:eastAsiaTheme="minorHAnsi" w:hAnsi="Times New Roman"/>
          <w:b/>
          <w:sz w:val="26"/>
          <w:szCs w:val="26"/>
        </w:rPr>
        <w:t>b.</w:t>
      </w:r>
      <w:r w:rsidR="00767179">
        <w:rPr>
          <w:rFonts w:ascii="Times New Roman" w:eastAsiaTheme="minorHAnsi" w:hAnsi="Times New Roman"/>
          <w:sz w:val="26"/>
          <w:szCs w:val="26"/>
        </w:rPr>
        <w:tab/>
      </w:r>
      <w:r w:rsidRPr="007D1E75">
        <w:rPr>
          <w:rFonts w:ascii="Times New Roman" w:eastAsiaTheme="minorHAnsi" w:hAnsi="Times New Roman"/>
          <w:b/>
          <w:sz w:val="26"/>
          <w:szCs w:val="26"/>
        </w:rPr>
        <w:t>Disposition</w:t>
      </w:r>
    </w:p>
    <w:p w:rsidR="00153091" w:rsidRPr="007D1E75" w:rsidRDefault="00153091" w:rsidP="007D1E75">
      <w:pPr>
        <w:spacing w:after="0" w:line="360" w:lineRule="auto"/>
        <w:rPr>
          <w:rFonts w:ascii="Times New Roman" w:eastAsiaTheme="minorHAnsi" w:hAnsi="Times New Roman"/>
          <w:b/>
          <w:sz w:val="26"/>
          <w:szCs w:val="26"/>
        </w:rPr>
      </w:pPr>
    </w:p>
    <w:p w:rsidR="007D1E75" w:rsidRDefault="007D1E75" w:rsidP="007D1E75">
      <w:pPr>
        <w:spacing w:after="0" w:line="360" w:lineRule="auto"/>
        <w:rPr>
          <w:rFonts w:ascii="Times New Roman" w:eastAsiaTheme="minorHAnsi" w:hAnsi="Times New Roman"/>
          <w:sz w:val="26"/>
          <w:szCs w:val="26"/>
        </w:rPr>
      </w:pPr>
      <w:r w:rsidRPr="007D1E75">
        <w:rPr>
          <w:rFonts w:ascii="Times New Roman" w:eastAsiaTheme="minorHAnsi" w:hAnsi="Times New Roman"/>
          <w:b/>
          <w:sz w:val="26"/>
          <w:szCs w:val="26"/>
        </w:rPr>
        <w:tab/>
      </w:r>
      <w:r w:rsidRPr="007D1E75">
        <w:rPr>
          <w:rFonts w:ascii="Times New Roman" w:eastAsiaTheme="minorHAnsi" w:hAnsi="Times New Roman"/>
          <w:b/>
          <w:sz w:val="26"/>
          <w:szCs w:val="26"/>
        </w:rPr>
        <w:tab/>
      </w:r>
      <w:r w:rsidRPr="007D1E75">
        <w:rPr>
          <w:rFonts w:ascii="Times New Roman" w:eastAsiaTheme="minorHAnsi" w:hAnsi="Times New Roman"/>
          <w:sz w:val="26"/>
          <w:szCs w:val="26"/>
        </w:rPr>
        <w:t>We shall reject this Exception</w:t>
      </w:r>
      <w:r w:rsidR="00950872">
        <w:rPr>
          <w:rFonts w:ascii="Times New Roman" w:eastAsiaTheme="minorHAnsi" w:hAnsi="Times New Roman"/>
          <w:sz w:val="26"/>
          <w:szCs w:val="26"/>
        </w:rPr>
        <w:t>,</w:t>
      </w:r>
      <w:r w:rsidRPr="007D1E75">
        <w:rPr>
          <w:rFonts w:ascii="Times New Roman" w:eastAsiaTheme="minorHAnsi" w:hAnsi="Times New Roman"/>
          <w:sz w:val="26"/>
          <w:szCs w:val="26"/>
        </w:rPr>
        <w:t xml:space="preserve"> as we </w:t>
      </w:r>
      <w:r w:rsidR="00CF5634">
        <w:rPr>
          <w:rFonts w:ascii="Times New Roman" w:eastAsiaTheme="minorHAnsi" w:hAnsi="Times New Roman"/>
          <w:sz w:val="26"/>
          <w:szCs w:val="26"/>
        </w:rPr>
        <w:t xml:space="preserve">agree with </w:t>
      </w:r>
      <w:r w:rsidRPr="007D1E75">
        <w:rPr>
          <w:rFonts w:ascii="Times New Roman" w:eastAsiaTheme="minorHAnsi" w:hAnsi="Times New Roman"/>
          <w:sz w:val="26"/>
          <w:szCs w:val="26"/>
        </w:rPr>
        <w:t xml:space="preserve">Peoples TWP’s </w:t>
      </w:r>
      <w:r w:rsidR="00950872">
        <w:rPr>
          <w:rFonts w:ascii="Times New Roman" w:eastAsiaTheme="minorHAnsi" w:hAnsi="Times New Roman"/>
          <w:sz w:val="26"/>
          <w:szCs w:val="26"/>
        </w:rPr>
        <w:t>posi</w:t>
      </w:r>
      <w:r w:rsidRPr="007D1E75">
        <w:rPr>
          <w:rFonts w:ascii="Times New Roman" w:eastAsiaTheme="minorHAnsi" w:hAnsi="Times New Roman"/>
          <w:sz w:val="26"/>
          <w:szCs w:val="26"/>
        </w:rPr>
        <w:t xml:space="preserve">tion that this Exception is contrary to </w:t>
      </w:r>
      <w:r w:rsidR="00CF5634">
        <w:rPr>
          <w:rFonts w:ascii="Times New Roman" w:eastAsiaTheme="minorHAnsi" w:hAnsi="Times New Roman"/>
          <w:sz w:val="26"/>
          <w:szCs w:val="26"/>
        </w:rPr>
        <w:t>the Code</w:t>
      </w:r>
      <w:r w:rsidRPr="007D1E75">
        <w:rPr>
          <w:rFonts w:ascii="Times New Roman" w:eastAsiaTheme="minorHAnsi" w:hAnsi="Times New Roman"/>
          <w:sz w:val="26"/>
          <w:szCs w:val="26"/>
        </w:rPr>
        <w:t xml:space="preserve">.  Ms. Spielvogel’s proposal </w:t>
      </w:r>
      <w:r w:rsidR="00950872">
        <w:rPr>
          <w:rFonts w:ascii="Times New Roman" w:eastAsiaTheme="minorHAnsi" w:hAnsi="Times New Roman"/>
          <w:sz w:val="26"/>
          <w:szCs w:val="26"/>
        </w:rPr>
        <w:t>reflects</w:t>
      </w:r>
      <w:r w:rsidRPr="007D1E75">
        <w:rPr>
          <w:rFonts w:ascii="Times New Roman" w:eastAsiaTheme="minorHAnsi" w:hAnsi="Times New Roman"/>
          <w:sz w:val="26"/>
          <w:szCs w:val="26"/>
        </w:rPr>
        <w:t xml:space="preserve"> a </w:t>
      </w:r>
      <w:r w:rsidRPr="007D1E75">
        <w:rPr>
          <w:rFonts w:ascii="Times New Roman" w:eastAsiaTheme="minorHAnsi" w:hAnsi="Times New Roman"/>
          <w:sz w:val="26"/>
          <w:szCs w:val="26"/>
        </w:rPr>
        <w:lastRenderedPageBreak/>
        <w:t>fundamental misunderstanding of the operation of the DSIC and disregards the various regulatory safeguards and reporting requirements emb</w:t>
      </w:r>
      <w:r w:rsidR="00CB38CD">
        <w:rPr>
          <w:rFonts w:ascii="Times New Roman" w:eastAsiaTheme="minorHAnsi" w:hAnsi="Times New Roman"/>
          <w:sz w:val="26"/>
          <w:szCs w:val="26"/>
        </w:rPr>
        <w:t xml:space="preserve">odied within DSIC procedures.  </w:t>
      </w:r>
    </w:p>
    <w:p w:rsidR="007D1E75" w:rsidRPr="007D1E75" w:rsidRDefault="007D1E75" w:rsidP="007D1E75">
      <w:pPr>
        <w:spacing w:after="0" w:line="360" w:lineRule="auto"/>
        <w:rPr>
          <w:rFonts w:ascii="Times New Roman" w:eastAsiaTheme="minorHAnsi" w:hAnsi="Times New Roman"/>
          <w:sz w:val="26"/>
          <w:szCs w:val="26"/>
        </w:rPr>
      </w:pPr>
    </w:p>
    <w:p w:rsidR="007D1E75" w:rsidRPr="007D1E75" w:rsidRDefault="007D1E75" w:rsidP="007D1E75">
      <w:pPr>
        <w:spacing w:after="0" w:line="360" w:lineRule="auto"/>
        <w:rPr>
          <w:rFonts w:ascii="Times New Roman" w:eastAsiaTheme="minorHAnsi" w:hAnsi="Times New Roman"/>
          <w:sz w:val="26"/>
          <w:szCs w:val="26"/>
        </w:rPr>
      </w:pPr>
      <w:r w:rsidRPr="007D1E75">
        <w:rPr>
          <w:rFonts w:ascii="Times New Roman" w:eastAsiaTheme="minorHAnsi" w:hAnsi="Times New Roman"/>
          <w:sz w:val="26"/>
          <w:szCs w:val="26"/>
        </w:rPr>
        <w:tab/>
      </w:r>
      <w:r w:rsidR="000A73D9">
        <w:rPr>
          <w:rFonts w:ascii="Times New Roman" w:eastAsiaTheme="minorHAnsi" w:hAnsi="Times New Roman"/>
          <w:b/>
          <w:sz w:val="26"/>
          <w:szCs w:val="26"/>
        </w:rPr>
        <w:t>8</w:t>
      </w:r>
      <w:r w:rsidRPr="007D1E75">
        <w:rPr>
          <w:rFonts w:ascii="Times New Roman" w:eastAsiaTheme="minorHAnsi" w:hAnsi="Times New Roman"/>
          <w:b/>
          <w:sz w:val="26"/>
          <w:szCs w:val="26"/>
        </w:rPr>
        <w:t>.</w:t>
      </w:r>
      <w:r w:rsidRPr="007D1E75">
        <w:rPr>
          <w:rFonts w:ascii="Times New Roman" w:eastAsiaTheme="minorHAnsi" w:hAnsi="Times New Roman"/>
          <w:b/>
          <w:sz w:val="26"/>
          <w:szCs w:val="26"/>
        </w:rPr>
        <w:tab/>
        <w:t>Plant Investment Reports</w:t>
      </w:r>
    </w:p>
    <w:p w:rsidR="007D1E75" w:rsidRDefault="007D1E75" w:rsidP="007D1E75">
      <w:pPr>
        <w:spacing w:after="0" w:line="360" w:lineRule="auto"/>
        <w:rPr>
          <w:rFonts w:ascii="Times New Roman" w:eastAsiaTheme="minorHAnsi" w:hAnsi="Times New Roman"/>
          <w:sz w:val="26"/>
          <w:szCs w:val="26"/>
        </w:rPr>
      </w:pPr>
    </w:p>
    <w:p w:rsidR="001168BE" w:rsidRPr="001168BE" w:rsidRDefault="001168BE" w:rsidP="007D1E75">
      <w:pPr>
        <w:spacing w:after="0" w:line="360" w:lineRule="auto"/>
        <w:rPr>
          <w:rFonts w:ascii="Times New Roman" w:eastAsiaTheme="minorHAnsi" w:hAnsi="Times New Roman"/>
          <w:b/>
          <w:sz w:val="26"/>
          <w:szCs w:val="26"/>
        </w:rPr>
      </w:pPr>
      <w:r>
        <w:rPr>
          <w:rFonts w:ascii="Times New Roman" w:eastAsiaTheme="minorHAnsi" w:hAnsi="Times New Roman"/>
          <w:sz w:val="26"/>
          <w:szCs w:val="26"/>
        </w:rPr>
        <w:tab/>
      </w:r>
      <w:r>
        <w:rPr>
          <w:rFonts w:ascii="Times New Roman" w:eastAsiaTheme="minorHAnsi" w:hAnsi="Times New Roman"/>
          <w:sz w:val="26"/>
          <w:szCs w:val="26"/>
        </w:rPr>
        <w:tab/>
      </w:r>
      <w:r w:rsidRPr="001168BE">
        <w:rPr>
          <w:rFonts w:ascii="Times New Roman" w:eastAsiaTheme="minorHAnsi" w:hAnsi="Times New Roman"/>
          <w:b/>
          <w:sz w:val="26"/>
          <w:szCs w:val="26"/>
        </w:rPr>
        <w:t>a.</w:t>
      </w:r>
      <w:r w:rsidRPr="001168BE">
        <w:rPr>
          <w:rFonts w:ascii="Times New Roman" w:eastAsiaTheme="minorHAnsi" w:hAnsi="Times New Roman"/>
          <w:b/>
          <w:sz w:val="26"/>
          <w:szCs w:val="26"/>
        </w:rPr>
        <w:tab/>
        <w:t xml:space="preserve">Positions of the Parties </w:t>
      </w:r>
    </w:p>
    <w:p w:rsidR="001168BE" w:rsidRDefault="007D1E75" w:rsidP="007D1E75">
      <w:pPr>
        <w:spacing w:after="0" w:line="360" w:lineRule="auto"/>
        <w:rPr>
          <w:rFonts w:ascii="Times New Roman" w:eastAsiaTheme="minorHAnsi" w:hAnsi="Times New Roman"/>
          <w:sz w:val="26"/>
          <w:szCs w:val="26"/>
        </w:rPr>
      </w:pPr>
      <w:r w:rsidRPr="007D1E75">
        <w:rPr>
          <w:rFonts w:ascii="Times New Roman" w:eastAsiaTheme="minorHAnsi" w:hAnsi="Times New Roman"/>
          <w:sz w:val="26"/>
          <w:szCs w:val="26"/>
        </w:rPr>
        <w:tab/>
      </w:r>
      <w:r w:rsidRPr="007D1E75">
        <w:rPr>
          <w:rFonts w:ascii="Times New Roman" w:eastAsiaTheme="minorHAnsi" w:hAnsi="Times New Roman"/>
          <w:sz w:val="26"/>
          <w:szCs w:val="26"/>
        </w:rPr>
        <w:tab/>
      </w:r>
    </w:p>
    <w:p w:rsidR="007D1E75" w:rsidRPr="007D1E75" w:rsidRDefault="007D1E75" w:rsidP="001168BE">
      <w:pPr>
        <w:spacing w:after="0" w:line="360" w:lineRule="auto"/>
        <w:ind w:firstLine="1440"/>
        <w:rPr>
          <w:rFonts w:ascii="Times New Roman" w:eastAsiaTheme="minorHAnsi" w:hAnsi="Times New Roman"/>
          <w:sz w:val="26"/>
          <w:szCs w:val="26"/>
        </w:rPr>
      </w:pPr>
      <w:r w:rsidRPr="007D1E75">
        <w:rPr>
          <w:rFonts w:ascii="Times New Roman" w:eastAsiaTheme="minorHAnsi" w:hAnsi="Times New Roman"/>
          <w:sz w:val="26"/>
          <w:szCs w:val="26"/>
        </w:rPr>
        <w:t xml:space="preserve">Next, Ms. Spielvogel requests that reports on plant investments be sent to </w:t>
      </w:r>
      <w:r w:rsidR="001C3CD4">
        <w:rPr>
          <w:rFonts w:ascii="Times New Roman" w:eastAsiaTheme="minorHAnsi" w:hAnsi="Times New Roman"/>
          <w:sz w:val="26"/>
          <w:szCs w:val="26"/>
        </w:rPr>
        <w:t>“</w:t>
      </w:r>
      <w:r w:rsidR="001168BE">
        <w:rPr>
          <w:rFonts w:ascii="Times New Roman" w:eastAsiaTheme="minorHAnsi" w:hAnsi="Times New Roman"/>
          <w:sz w:val="26"/>
          <w:szCs w:val="26"/>
        </w:rPr>
        <w:t>t</w:t>
      </w:r>
      <w:r w:rsidRPr="007D1E75">
        <w:rPr>
          <w:rFonts w:ascii="Times New Roman" w:eastAsiaTheme="minorHAnsi" w:hAnsi="Times New Roman"/>
          <w:sz w:val="26"/>
          <w:szCs w:val="26"/>
        </w:rPr>
        <w:t>h</w:t>
      </w:r>
      <w:r w:rsidR="001168BE">
        <w:rPr>
          <w:rFonts w:ascii="Times New Roman" w:eastAsiaTheme="minorHAnsi" w:hAnsi="Times New Roman"/>
          <w:sz w:val="26"/>
          <w:szCs w:val="26"/>
        </w:rPr>
        <w:t>e</w:t>
      </w:r>
      <w:r w:rsidRPr="007D1E75">
        <w:rPr>
          <w:rFonts w:ascii="Times New Roman" w:eastAsiaTheme="minorHAnsi" w:hAnsi="Times New Roman"/>
          <w:sz w:val="26"/>
          <w:szCs w:val="26"/>
        </w:rPr>
        <w:t xml:space="preserve"> customer.</w:t>
      </w:r>
      <w:r w:rsidR="001C3CD4">
        <w:rPr>
          <w:rFonts w:ascii="Times New Roman" w:eastAsiaTheme="minorHAnsi" w:hAnsi="Times New Roman"/>
          <w:sz w:val="26"/>
          <w:szCs w:val="26"/>
        </w:rPr>
        <w:t>”</w:t>
      </w:r>
      <w:r w:rsidRPr="007D1E75">
        <w:rPr>
          <w:rFonts w:ascii="Times New Roman" w:eastAsiaTheme="minorHAnsi" w:hAnsi="Times New Roman"/>
          <w:sz w:val="26"/>
          <w:szCs w:val="26"/>
        </w:rPr>
        <w:t xml:space="preserve">  Exc. at 2.</w:t>
      </w:r>
    </w:p>
    <w:p w:rsidR="007D1E75" w:rsidRPr="007D1E75" w:rsidRDefault="007D1E75" w:rsidP="007D1E75">
      <w:pPr>
        <w:spacing w:after="0" w:line="360" w:lineRule="auto"/>
        <w:rPr>
          <w:rFonts w:ascii="Times New Roman" w:eastAsiaTheme="minorHAnsi" w:hAnsi="Times New Roman"/>
          <w:sz w:val="26"/>
          <w:szCs w:val="26"/>
        </w:rPr>
      </w:pPr>
    </w:p>
    <w:p w:rsidR="007D1E75" w:rsidRDefault="007D1E75" w:rsidP="007D1E75">
      <w:pPr>
        <w:spacing w:after="0" w:line="360" w:lineRule="auto"/>
        <w:rPr>
          <w:rFonts w:ascii="Times New Roman" w:eastAsiaTheme="minorHAnsi" w:hAnsi="Times New Roman"/>
          <w:sz w:val="26"/>
          <w:szCs w:val="26"/>
        </w:rPr>
      </w:pPr>
      <w:r w:rsidRPr="007D1E75">
        <w:rPr>
          <w:rFonts w:ascii="Times New Roman" w:eastAsiaTheme="minorHAnsi" w:hAnsi="Times New Roman"/>
          <w:sz w:val="26"/>
          <w:szCs w:val="26"/>
        </w:rPr>
        <w:tab/>
      </w:r>
      <w:r w:rsidRPr="007D1E75">
        <w:rPr>
          <w:rFonts w:ascii="Times New Roman" w:eastAsiaTheme="minorHAnsi" w:hAnsi="Times New Roman"/>
          <w:sz w:val="26"/>
          <w:szCs w:val="26"/>
        </w:rPr>
        <w:tab/>
        <w:t>Peoples TWP replies that</w:t>
      </w:r>
      <w:r w:rsidR="001C3CD4">
        <w:rPr>
          <w:rFonts w:ascii="Times New Roman" w:eastAsiaTheme="minorHAnsi" w:hAnsi="Times New Roman"/>
          <w:sz w:val="26"/>
          <w:szCs w:val="26"/>
        </w:rPr>
        <w:t>,</w:t>
      </w:r>
      <w:r w:rsidRPr="007D1E75">
        <w:rPr>
          <w:rFonts w:ascii="Times New Roman" w:eastAsiaTheme="minorHAnsi" w:hAnsi="Times New Roman"/>
          <w:sz w:val="26"/>
          <w:szCs w:val="26"/>
        </w:rPr>
        <w:t xml:space="preserve"> it appears that this request is related to Paragraph 41 of the Settlement, which provides that the Company is to provide the Commission staff and the Joint Petitioners with updates relative to </w:t>
      </w:r>
      <w:r w:rsidR="001C3CD4">
        <w:rPr>
          <w:rFonts w:ascii="Times New Roman" w:eastAsiaTheme="minorHAnsi" w:hAnsi="Times New Roman"/>
          <w:sz w:val="26"/>
          <w:szCs w:val="26"/>
        </w:rPr>
        <w:t>the Company’s</w:t>
      </w:r>
      <w:r w:rsidRPr="007D1E75">
        <w:rPr>
          <w:rFonts w:ascii="Times New Roman" w:eastAsiaTheme="minorHAnsi" w:hAnsi="Times New Roman"/>
          <w:sz w:val="26"/>
          <w:szCs w:val="26"/>
        </w:rPr>
        <w:t xml:space="preserve"> actual capital expenditures, plant additions</w:t>
      </w:r>
      <w:r w:rsidR="009D3228">
        <w:rPr>
          <w:rFonts w:ascii="Times New Roman" w:eastAsiaTheme="minorHAnsi" w:hAnsi="Times New Roman"/>
          <w:sz w:val="26"/>
          <w:szCs w:val="26"/>
        </w:rPr>
        <w:t>,</w:t>
      </w:r>
      <w:r w:rsidRPr="007D1E75">
        <w:rPr>
          <w:rFonts w:ascii="Times New Roman" w:eastAsiaTheme="minorHAnsi" w:hAnsi="Times New Roman"/>
          <w:sz w:val="26"/>
          <w:szCs w:val="26"/>
        </w:rPr>
        <w:t xml:space="preserve"> and retirements.  Peoples TWP explains that</w:t>
      </w:r>
      <w:r w:rsidR="006767B5">
        <w:rPr>
          <w:rFonts w:ascii="Times New Roman" w:eastAsiaTheme="minorHAnsi" w:hAnsi="Times New Roman"/>
          <w:sz w:val="26"/>
          <w:szCs w:val="26"/>
        </w:rPr>
        <w:t>,</w:t>
      </w:r>
      <w:r w:rsidRPr="007D1E75">
        <w:rPr>
          <w:rFonts w:ascii="Times New Roman" w:eastAsiaTheme="minorHAnsi" w:hAnsi="Times New Roman"/>
          <w:sz w:val="26"/>
          <w:szCs w:val="26"/>
        </w:rPr>
        <w:t xml:space="preserve"> under this provision of the Settlement, on or before May 1, 2014, the Company will provide T</w:t>
      </w:r>
      <w:r w:rsidR="006767B5">
        <w:rPr>
          <w:rFonts w:ascii="Times New Roman" w:eastAsiaTheme="minorHAnsi" w:hAnsi="Times New Roman"/>
          <w:sz w:val="26"/>
          <w:szCs w:val="26"/>
        </w:rPr>
        <w:t>U</w:t>
      </w:r>
      <w:r w:rsidRPr="007D1E75">
        <w:rPr>
          <w:rFonts w:ascii="Times New Roman" w:eastAsiaTheme="minorHAnsi" w:hAnsi="Times New Roman"/>
          <w:sz w:val="26"/>
          <w:szCs w:val="26"/>
        </w:rPr>
        <w:t>S, I&amp;E, the OCA</w:t>
      </w:r>
      <w:r w:rsidR="006767B5">
        <w:rPr>
          <w:rFonts w:ascii="Times New Roman" w:eastAsiaTheme="minorHAnsi" w:hAnsi="Times New Roman"/>
          <w:sz w:val="26"/>
          <w:szCs w:val="26"/>
        </w:rPr>
        <w:t>,</w:t>
      </w:r>
      <w:r w:rsidRPr="007D1E75">
        <w:rPr>
          <w:rFonts w:ascii="Times New Roman" w:eastAsiaTheme="minorHAnsi" w:hAnsi="Times New Roman"/>
          <w:sz w:val="26"/>
          <w:szCs w:val="26"/>
        </w:rPr>
        <w:t xml:space="preserve"> and the OSBA with updates to Peoples TWP Exhibit No. AC-2.  Peoples TWP states that</w:t>
      </w:r>
      <w:r w:rsidR="006767B5">
        <w:rPr>
          <w:rFonts w:ascii="Times New Roman" w:eastAsiaTheme="minorHAnsi" w:hAnsi="Times New Roman"/>
          <w:sz w:val="26"/>
          <w:szCs w:val="26"/>
        </w:rPr>
        <w:t>,</w:t>
      </w:r>
      <w:r w:rsidRPr="007D1E75">
        <w:rPr>
          <w:rFonts w:ascii="Times New Roman" w:eastAsiaTheme="minorHAnsi" w:hAnsi="Times New Roman"/>
          <w:sz w:val="26"/>
          <w:szCs w:val="26"/>
        </w:rPr>
        <w:t xml:space="preserve"> as part of </w:t>
      </w:r>
      <w:r w:rsidR="006767B5">
        <w:rPr>
          <w:rFonts w:ascii="Times New Roman" w:eastAsiaTheme="minorHAnsi" w:hAnsi="Times New Roman"/>
          <w:sz w:val="26"/>
          <w:szCs w:val="26"/>
        </w:rPr>
        <w:t>it</w:t>
      </w:r>
      <w:r w:rsidRPr="007D1E75">
        <w:rPr>
          <w:rFonts w:ascii="Times New Roman" w:eastAsiaTheme="minorHAnsi" w:hAnsi="Times New Roman"/>
          <w:sz w:val="26"/>
          <w:szCs w:val="26"/>
        </w:rPr>
        <w:t xml:space="preserve">s next base rate proceeding, it will </w:t>
      </w:r>
      <w:r w:rsidR="006767B5">
        <w:rPr>
          <w:rFonts w:ascii="Times New Roman" w:eastAsiaTheme="minorHAnsi" w:hAnsi="Times New Roman"/>
          <w:sz w:val="26"/>
          <w:szCs w:val="26"/>
        </w:rPr>
        <w:t xml:space="preserve">also </w:t>
      </w:r>
      <w:r w:rsidRPr="007D1E75">
        <w:rPr>
          <w:rFonts w:ascii="Times New Roman" w:eastAsiaTheme="minorHAnsi" w:hAnsi="Times New Roman"/>
          <w:sz w:val="26"/>
          <w:szCs w:val="26"/>
        </w:rPr>
        <w:t>prepare a comparison of its actual expenses and rate base additions for the twelve months ended January 31, 2015, to its projections in this case.  According to Peoples TWP, Ms. Spielvogel has presented no evidence in this proceeding relative to the use of the fully projected future test year provision</w:t>
      </w:r>
      <w:r w:rsidR="006767B5">
        <w:rPr>
          <w:rFonts w:ascii="Times New Roman" w:eastAsiaTheme="minorHAnsi" w:hAnsi="Times New Roman"/>
          <w:sz w:val="26"/>
          <w:szCs w:val="26"/>
        </w:rPr>
        <w:t>s</w:t>
      </w:r>
      <w:r w:rsidRPr="007D1E75">
        <w:rPr>
          <w:rFonts w:ascii="Times New Roman" w:eastAsiaTheme="minorHAnsi" w:hAnsi="Times New Roman"/>
          <w:sz w:val="26"/>
          <w:szCs w:val="26"/>
        </w:rPr>
        <w:t xml:space="preserve"> of Act 11 of 2012 and </w:t>
      </w:r>
      <w:r w:rsidR="006767B5">
        <w:rPr>
          <w:rFonts w:ascii="Times New Roman" w:eastAsiaTheme="minorHAnsi" w:hAnsi="Times New Roman"/>
          <w:sz w:val="26"/>
          <w:szCs w:val="26"/>
        </w:rPr>
        <w:t>did</w:t>
      </w:r>
      <w:r w:rsidRPr="007D1E75">
        <w:rPr>
          <w:rFonts w:ascii="Times New Roman" w:eastAsiaTheme="minorHAnsi" w:hAnsi="Times New Roman"/>
          <w:sz w:val="26"/>
          <w:szCs w:val="26"/>
        </w:rPr>
        <w:t xml:space="preserve"> not request to receive such information prior to the filing of the Settlement.  Peoples TWP avers that</w:t>
      </w:r>
      <w:r w:rsidR="006767B5">
        <w:rPr>
          <w:rFonts w:ascii="Times New Roman" w:eastAsiaTheme="minorHAnsi" w:hAnsi="Times New Roman"/>
          <w:sz w:val="26"/>
          <w:szCs w:val="26"/>
        </w:rPr>
        <w:t>,</w:t>
      </w:r>
      <w:r w:rsidRPr="007D1E75">
        <w:rPr>
          <w:rFonts w:ascii="Times New Roman" w:eastAsiaTheme="minorHAnsi" w:hAnsi="Times New Roman"/>
          <w:sz w:val="26"/>
          <w:szCs w:val="26"/>
        </w:rPr>
        <w:t xml:space="preserve"> as the Company’s reports under this provision of the Settlement will be filed with the Commission, the reports will be available to the public.  Therefore, </w:t>
      </w:r>
      <w:r w:rsidR="006767B5">
        <w:rPr>
          <w:rFonts w:ascii="Times New Roman" w:eastAsiaTheme="minorHAnsi" w:hAnsi="Times New Roman"/>
          <w:sz w:val="26"/>
          <w:szCs w:val="26"/>
        </w:rPr>
        <w:t>the Company</w:t>
      </w:r>
      <w:r w:rsidRPr="007D1E75">
        <w:rPr>
          <w:rFonts w:ascii="Times New Roman" w:eastAsiaTheme="minorHAnsi" w:hAnsi="Times New Roman"/>
          <w:sz w:val="26"/>
          <w:szCs w:val="26"/>
        </w:rPr>
        <w:t xml:space="preserve"> opines that service of the reports should not be expanded to include inactive parties to this proceeding.  R. Exc. at 9-10. </w:t>
      </w:r>
    </w:p>
    <w:p w:rsidR="00C854D7" w:rsidRDefault="00C854D7" w:rsidP="007D1E75">
      <w:pPr>
        <w:spacing w:after="0" w:line="360" w:lineRule="auto"/>
        <w:rPr>
          <w:rFonts w:ascii="Times New Roman" w:eastAsiaTheme="minorHAnsi" w:hAnsi="Times New Roman"/>
          <w:sz w:val="26"/>
          <w:szCs w:val="26"/>
        </w:rPr>
      </w:pPr>
    </w:p>
    <w:p w:rsidR="00C854D7" w:rsidRDefault="00C854D7" w:rsidP="007D1E75">
      <w:pPr>
        <w:spacing w:after="0" w:line="360" w:lineRule="auto"/>
        <w:rPr>
          <w:rFonts w:ascii="Times New Roman" w:eastAsiaTheme="minorHAnsi" w:hAnsi="Times New Roman"/>
          <w:sz w:val="26"/>
          <w:szCs w:val="26"/>
        </w:rPr>
      </w:pPr>
    </w:p>
    <w:p w:rsidR="00C854D7" w:rsidRPr="007D1E75" w:rsidRDefault="00C854D7" w:rsidP="007D1E75">
      <w:pPr>
        <w:spacing w:after="0" w:line="360" w:lineRule="auto"/>
        <w:rPr>
          <w:rFonts w:ascii="Times New Roman" w:eastAsiaTheme="minorHAnsi" w:hAnsi="Times New Roman"/>
          <w:sz w:val="26"/>
          <w:szCs w:val="26"/>
        </w:rPr>
      </w:pPr>
    </w:p>
    <w:p w:rsidR="007D1E75" w:rsidRPr="007D1E75" w:rsidRDefault="007D1E75" w:rsidP="007D1E75">
      <w:pPr>
        <w:spacing w:after="0" w:line="360" w:lineRule="auto"/>
        <w:rPr>
          <w:rFonts w:ascii="Times New Roman" w:eastAsiaTheme="minorHAnsi" w:hAnsi="Times New Roman"/>
          <w:sz w:val="26"/>
          <w:szCs w:val="26"/>
        </w:rPr>
      </w:pPr>
    </w:p>
    <w:p w:rsidR="007D1E75" w:rsidRDefault="007D1E75" w:rsidP="007D1E75">
      <w:pPr>
        <w:spacing w:after="0" w:line="360" w:lineRule="auto"/>
        <w:rPr>
          <w:rFonts w:ascii="Times New Roman" w:eastAsiaTheme="minorHAnsi" w:hAnsi="Times New Roman"/>
          <w:b/>
          <w:sz w:val="26"/>
          <w:szCs w:val="26"/>
        </w:rPr>
      </w:pPr>
      <w:r w:rsidRPr="007D1E75">
        <w:rPr>
          <w:rFonts w:ascii="Times New Roman" w:eastAsiaTheme="minorHAnsi" w:hAnsi="Times New Roman"/>
          <w:sz w:val="26"/>
          <w:szCs w:val="26"/>
        </w:rPr>
        <w:lastRenderedPageBreak/>
        <w:tab/>
      </w:r>
      <w:r w:rsidRPr="007D1E75">
        <w:rPr>
          <w:rFonts w:ascii="Times New Roman" w:eastAsiaTheme="minorHAnsi" w:hAnsi="Times New Roman"/>
          <w:sz w:val="26"/>
          <w:szCs w:val="26"/>
        </w:rPr>
        <w:tab/>
      </w:r>
      <w:r w:rsidR="001168BE" w:rsidRPr="001168BE">
        <w:rPr>
          <w:rFonts w:ascii="Times New Roman" w:eastAsiaTheme="minorHAnsi" w:hAnsi="Times New Roman"/>
          <w:b/>
          <w:sz w:val="26"/>
          <w:szCs w:val="26"/>
        </w:rPr>
        <w:t>b.</w:t>
      </w:r>
      <w:r w:rsidR="001168BE">
        <w:rPr>
          <w:rFonts w:ascii="Times New Roman" w:eastAsiaTheme="minorHAnsi" w:hAnsi="Times New Roman"/>
          <w:sz w:val="26"/>
          <w:szCs w:val="26"/>
        </w:rPr>
        <w:tab/>
      </w:r>
      <w:r w:rsidRPr="007D1E75">
        <w:rPr>
          <w:rFonts w:ascii="Times New Roman" w:eastAsiaTheme="minorHAnsi" w:hAnsi="Times New Roman"/>
          <w:b/>
          <w:sz w:val="26"/>
          <w:szCs w:val="26"/>
        </w:rPr>
        <w:t>Disposition</w:t>
      </w:r>
    </w:p>
    <w:p w:rsidR="008011EC" w:rsidRPr="007D1E75" w:rsidRDefault="008011EC" w:rsidP="007D1E75">
      <w:pPr>
        <w:spacing w:after="0" w:line="360" w:lineRule="auto"/>
        <w:rPr>
          <w:rFonts w:ascii="Times New Roman" w:eastAsiaTheme="minorHAnsi" w:hAnsi="Times New Roman"/>
          <w:b/>
          <w:sz w:val="26"/>
          <w:szCs w:val="26"/>
        </w:rPr>
      </w:pPr>
    </w:p>
    <w:p w:rsidR="00544F7A" w:rsidRDefault="007D1E75" w:rsidP="007D1E75">
      <w:pPr>
        <w:spacing w:after="0" w:line="360" w:lineRule="auto"/>
        <w:rPr>
          <w:rFonts w:ascii="Times New Roman" w:eastAsiaTheme="minorHAnsi" w:hAnsi="Times New Roman"/>
          <w:sz w:val="26"/>
          <w:szCs w:val="26"/>
        </w:rPr>
      </w:pPr>
      <w:r w:rsidRPr="007D1E75">
        <w:rPr>
          <w:rFonts w:ascii="Times New Roman" w:eastAsiaTheme="minorHAnsi" w:hAnsi="Times New Roman"/>
          <w:b/>
          <w:sz w:val="26"/>
          <w:szCs w:val="26"/>
        </w:rPr>
        <w:tab/>
      </w:r>
      <w:r w:rsidRPr="007D1E75">
        <w:rPr>
          <w:rFonts w:ascii="Times New Roman" w:eastAsiaTheme="minorHAnsi" w:hAnsi="Times New Roman"/>
          <w:b/>
          <w:sz w:val="26"/>
          <w:szCs w:val="26"/>
        </w:rPr>
        <w:tab/>
      </w:r>
      <w:r w:rsidR="00B663F4" w:rsidRPr="00B663F4">
        <w:rPr>
          <w:rFonts w:ascii="Times New Roman" w:eastAsiaTheme="minorHAnsi" w:hAnsi="Times New Roman"/>
          <w:sz w:val="26"/>
          <w:szCs w:val="26"/>
        </w:rPr>
        <w:t>While it is not entirely clear whether</w:t>
      </w:r>
      <w:r w:rsidR="00B663F4">
        <w:rPr>
          <w:rFonts w:ascii="Times New Roman" w:eastAsiaTheme="minorHAnsi" w:hAnsi="Times New Roman"/>
          <w:b/>
          <w:sz w:val="26"/>
          <w:szCs w:val="26"/>
        </w:rPr>
        <w:t xml:space="preserve"> </w:t>
      </w:r>
      <w:r w:rsidR="00B663F4" w:rsidRPr="00B663F4">
        <w:rPr>
          <w:rFonts w:ascii="Times New Roman" w:eastAsiaTheme="minorHAnsi" w:hAnsi="Times New Roman"/>
          <w:sz w:val="26"/>
          <w:szCs w:val="26"/>
        </w:rPr>
        <w:t>Ms.</w:t>
      </w:r>
      <w:r w:rsidR="00B663F4">
        <w:rPr>
          <w:rFonts w:ascii="Times New Roman" w:eastAsiaTheme="minorHAnsi" w:hAnsi="Times New Roman"/>
          <w:b/>
          <w:sz w:val="26"/>
          <w:szCs w:val="26"/>
        </w:rPr>
        <w:t xml:space="preserve"> </w:t>
      </w:r>
      <w:r w:rsidR="00B663F4">
        <w:rPr>
          <w:rFonts w:ascii="Times New Roman" w:eastAsiaTheme="minorHAnsi" w:hAnsi="Times New Roman"/>
          <w:sz w:val="26"/>
          <w:szCs w:val="26"/>
        </w:rPr>
        <w:t>Spielvogel is requesting that just she, or that all customers</w:t>
      </w:r>
      <w:r w:rsidR="000B2552">
        <w:rPr>
          <w:rFonts w:ascii="Times New Roman" w:eastAsiaTheme="minorHAnsi" w:hAnsi="Times New Roman"/>
          <w:sz w:val="26"/>
          <w:szCs w:val="26"/>
        </w:rPr>
        <w:t>,</w:t>
      </w:r>
      <w:r w:rsidR="00B663F4">
        <w:rPr>
          <w:rFonts w:ascii="Times New Roman" w:eastAsiaTheme="minorHAnsi" w:hAnsi="Times New Roman"/>
          <w:sz w:val="26"/>
          <w:szCs w:val="26"/>
        </w:rPr>
        <w:t xml:space="preserve"> receive a copy of the reports required by Section 41 of the Settlement, we have determined not to </w:t>
      </w:r>
      <w:r w:rsidRPr="007D1E75">
        <w:rPr>
          <w:rFonts w:ascii="Times New Roman" w:eastAsiaTheme="minorHAnsi" w:hAnsi="Times New Roman"/>
          <w:sz w:val="26"/>
          <w:szCs w:val="26"/>
        </w:rPr>
        <w:t xml:space="preserve">expand the service of the </w:t>
      </w:r>
      <w:r w:rsidR="00B663F4">
        <w:rPr>
          <w:rFonts w:ascii="Times New Roman" w:eastAsiaTheme="minorHAnsi" w:hAnsi="Times New Roman"/>
          <w:sz w:val="26"/>
          <w:szCs w:val="26"/>
        </w:rPr>
        <w:t xml:space="preserve">delineated </w:t>
      </w:r>
      <w:r w:rsidRPr="007D1E75">
        <w:rPr>
          <w:rFonts w:ascii="Times New Roman" w:eastAsiaTheme="minorHAnsi" w:hAnsi="Times New Roman"/>
          <w:sz w:val="26"/>
          <w:szCs w:val="26"/>
        </w:rPr>
        <w:t>reports.</w:t>
      </w:r>
      <w:r w:rsidR="00B663F4">
        <w:rPr>
          <w:rFonts w:ascii="Times New Roman" w:eastAsiaTheme="minorHAnsi" w:hAnsi="Times New Roman"/>
          <w:sz w:val="26"/>
          <w:szCs w:val="26"/>
        </w:rPr>
        <w:t xml:space="preserve">  Although it can be inferred that these reports will be filed with the Commission’s Secretary’s Bureau, in addition to being served on </w:t>
      </w:r>
      <w:r w:rsidR="00544F7A">
        <w:rPr>
          <w:rFonts w:ascii="Times New Roman" w:eastAsiaTheme="minorHAnsi" w:hAnsi="Times New Roman"/>
          <w:sz w:val="26"/>
          <w:szCs w:val="26"/>
        </w:rPr>
        <w:t xml:space="preserve">TUS, I&amp;E, the OCA, and the OSBA, we clarify herein that these reports shall be filed with the Secretary’s Bureau.  This process will ensure that the reports are available to Ms. Spielvogel and the public in general and will eliminate the need to unduly broaden the service of the reports.  </w:t>
      </w:r>
    </w:p>
    <w:p w:rsidR="007D1E75" w:rsidRPr="007D1E75" w:rsidRDefault="00544F7A" w:rsidP="007D1E75">
      <w:pPr>
        <w:spacing w:after="0" w:line="360" w:lineRule="auto"/>
        <w:rPr>
          <w:rFonts w:ascii="Times New Roman" w:eastAsiaTheme="minorHAnsi" w:hAnsi="Times New Roman"/>
          <w:sz w:val="26"/>
          <w:szCs w:val="26"/>
        </w:rPr>
      </w:pPr>
      <w:r>
        <w:rPr>
          <w:rFonts w:ascii="Times New Roman" w:eastAsiaTheme="minorHAnsi" w:hAnsi="Times New Roman"/>
          <w:sz w:val="26"/>
          <w:szCs w:val="26"/>
        </w:rPr>
        <w:t xml:space="preserve"> </w:t>
      </w:r>
      <w:r w:rsidR="00B663F4">
        <w:rPr>
          <w:rFonts w:ascii="Times New Roman" w:eastAsiaTheme="minorHAnsi" w:hAnsi="Times New Roman"/>
          <w:sz w:val="26"/>
          <w:szCs w:val="26"/>
        </w:rPr>
        <w:t xml:space="preserve"> </w:t>
      </w:r>
    </w:p>
    <w:p w:rsidR="007D1E75" w:rsidRPr="007D1E75" w:rsidRDefault="007D1E75" w:rsidP="00E46C22">
      <w:pPr>
        <w:keepNext/>
        <w:spacing w:after="0" w:line="360" w:lineRule="auto"/>
        <w:rPr>
          <w:rFonts w:ascii="Times New Roman" w:eastAsiaTheme="minorHAnsi" w:hAnsi="Times New Roman"/>
          <w:sz w:val="26"/>
          <w:szCs w:val="26"/>
        </w:rPr>
      </w:pPr>
      <w:r w:rsidRPr="007D1E75">
        <w:rPr>
          <w:rFonts w:ascii="Times New Roman" w:eastAsiaTheme="minorHAnsi" w:hAnsi="Times New Roman"/>
          <w:sz w:val="26"/>
          <w:szCs w:val="26"/>
        </w:rPr>
        <w:tab/>
      </w:r>
      <w:r w:rsidR="00406C54">
        <w:rPr>
          <w:rFonts w:ascii="Times New Roman" w:eastAsiaTheme="minorHAnsi" w:hAnsi="Times New Roman"/>
          <w:b/>
          <w:sz w:val="26"/>
          <w:szCs w:val="26"/>
        </w:rPr>
        <w:t>9</w:t>
      </w:r>
      <w:r w:rsidRPr="007D1E75">
        <w:rPr>
          <w:rFonts w:ascii="Times New Roman" w:eastAsiaTheme="minorHAnsi" w:hAnsi="Times New Roman"/>
          <w:b/>
          <w:sz w:val="26"/>
          <w:szCs w:val="26"/>
        </w:rPr>
        <w:t>.</w:t>
      </w:r>
      <w:r w:rsidRPr="007D1E75">
        <w:rPr>
          <w:rFonts w:ascii="Times New Roman" w:eastAsiaTheme="minorHAnsi" w:hAnsi="Times New Roman"/>
          <w:b/>
          <w:sz w:val="26"/>
          <w:szCs w:val="26"/>
        </w:rPr>
        <w:tab/>
        <w:t>Delayed Effective Date</w:t>
      </w:r>
    </w:p>
    <w:p w:rsidR="007D1E75" w:rsidRPr="007D1E75" w:rsidRDefault="007D1E75" w:rsidP="00E46C22">
      <w:pPr>
        <w:keepNext/>
        <w:spacing w:after="0" w:line="360" w:lineRule="auto"/>
        <w:rPr>
          <w:rFonts w:ascii="Times New Roman" w:eastAsiaTheme="minorHAnsi" w:hAnsi="Times New Roman"/>
          <w:sz w:val="26"/>
          <w:szCs w:val="26"/>
        </w:rPr>
      </w:pPr>
    </w:p>
    <w:p w:rsidR="00022DFF" w:rsidRPr="00022DFF" w:rsidRDefault="00022DFF" w:rsidP="007D1E75">
      <w:pPr>
        <w:spacing w:after="0" w:line="360" w:lineRule="auto"/>
        <w:rPr>
          <w:rFonts w:ascii="Times New Roman" w:eastAsiaTheme="minorHAnsi" w:hAnsi="Times New Roman"/>
          <w:b/>
          <w:sz w:val="26"/>
          <w:szCs w:val="26"/>
        </w:rPr>
      </w:pPr>
      <w:r>
        <w:rPr>
          <w:rFonts w:ascii="Times New Roman" w:eastAsiaTheme="minorHAnsi" w:hAnsi="Times New Roman"/>
          <w:sz w:val="26"/>
          <w:szCs w:val="26"/>
        </w:rPr>
        <w:tab/>
      </w:r>
      <w:r>
        <w:rPr>
          <w:rFonts w:ascii="Times New Roman" w:eastAsiaTheme="minorHAnsi" w:hAnsi="Times New Roman"/>
          <w:sz w:val="26"/>
          <w:szCs w:val="26"/>
        </w:rPr>
        <w:tab/>
      </w:r>
      <w:r w:rsidRPr="00022DFF">
        <w:rPr>
          <w:rFonts w:ascii="Times New Roman" w:eastAsiaTheme="minorHAnsi" w:hAnsi="Times New Roman"/>
          <w:b/>
          <w:sz w:val="26"/>
          <w:szCs w:val="26"/>
        </w:rPr>
        <w:t>a.</w:t>
      </w:r>
      <w:r w:rsidRPr="00022DFF">
        <w:rPr>
          <w:rFonts w:ascii="Times New Roman" w:eastAsiaTheme="minorHAnsi" w:hAnsi="Times New Roman"/>
          <w:b/>
          <w:sz w:val="26"/>
          <w:szCs w:val="26"/>
        </w:rPr>
        <w:tab/>
        <w:t xml:space="preserve">Positions of the Parties </w:t>
      </w:r>
      <w:r w:rsidR="007D1E75" w:rsidRPr="00022DFF">
        <w:rPr>
          <w:rFonts w:ascii="Times New Roman" w:eastAsiaTheme="minorHAnsi" w:hAnsi="Times New Roman"/>
          <w:b/>
          <w:sz w:val="26"/>
          <w:szCs w:val="26"/>
        </w:rPr>
        <w:tab/>
      </w:r>
    </w:p>
    <w:p w:rsidR="00022DFF" w:rsidRDefault="007D1E75" w:rsidP="007D1E75">
      <w:pPr>
        <w:spacing w:after="0" w:line="360" w:lineRule="auto"/>
        <w:rPr>
          <w:rFonts w:ascii="Times New Roman" w:eastAsiaTheme="minorHAnsi" w:hAnsi="Times New Roman"/>
          <w:sz w:val="26"/>
          <w:szCs w:val="26"/>
        </w:rPr>
      </w:pPr>
      <w:r w:rsidRPr="007D1E75">
        <w:rPr>
          <w:rFonts w:ascii="Times New Roman" w:eastAsiaTheme="minorHAnsi" w:hAnsi="Times New Roman"/>
          <w:sz w:val="26"/>
          <w:szCs w:val="26"/>
        </w:rPr>
        <w:tab/>
      </w:r>
    </w:p>
    <w:p w:rsidR="007D1E75" w:rsidRPr="007D1E75" w:rsidRDefault="007D1E75" w:rsidP="00022DFF">
      <w:pPr>
        <w:spacing w:after="0" w:line="360" w:lineRule="auto"/>
        <w:ind w:firstLine="1440"/>
        <w:rPr>
          <w:rFonts w:ascii="Times New Roman" w:eastAsiaTheme="minorHAnsi" w:hAnsi="Times New Roman"/>
          <w:sz w:val="26"/>
          <w:szCs w:val="26"/>
        </w:rPr>
      </w:pPr>
      <w:r w:rsidRPr="007D1E75">
        <w:rPr>
          <w:rFonts w:ascii="Times New Roman" w:eastAsiaTheme="minorHAnsi" w:hAnsi="Times New Roman"/>
          <w:sz w:val="26"/>
          <w:szCs w:val="26"/>
        </w:rPr>
        <w:t>Lastly, Ms. Spielvogel avers that the allowed rate increase s</w:t>
      </w:r>
      <w:r w:rsidR="002A6B84">
        <w:rPr>
          <w:rFonts w:ascii="Times New Roman" w:eastAsiaTheme="minorHAnsi" w:hAnsi="Times New Roman"/>
          <w:sz w:val="26"/>
          <w:szCs w:val="26"/>
        </w:rPr>
        <w:t xml:space="preserve">hould be delayed until March </w:t>
      </w:r>
      <w:r w:rsidRPr="007D1E75">
        <w:rPr>
          <w:rFonts w:ascii="Times New Roman" w:eastAsiaTheme="minorHAnsi" w:hAnsi="Times New Roman"/>
          <w:sz w:val="26"/>
          <w:szCs w:val="26"/>
        </w:rPr>
        <w:t>2014 to allow customers to look for alternatives to the use of natural gas, such as solar, geothermal, wood</w:t>
      </w:r>
      <w:r w:rsidR="00022DFF">
        <w:rPr>
          <w:rFonts w:ascii="Times New Roman" w:eastAsiaTheme="minorHAnsi" w:hAnsi="Times New Roman"/>
          <w:sz w:val="26"/>
          <w:szCs w:val="26"/>
        </w:rPr>
        <w:t>,</w:t>
      </w:r>
      <w:r w:rsidRPr="007D1E75">
        <w:rPr>
          <w:rFonts w:ascii="Times New Roman" w:eastAsiaTheme="minorHAnsi" w:hAnsi="Times New Roman"/>
          <w:sz w:val="26"/>
          <w:szCs w:val="26"/>
        </w:rPr>
        <w:t xml:space="preserve"> or coal.  Exc. at 2.</w:t>
      </w:r>
    </w:p>
    <w:p w:rsidR="007D1E75" w:rsidRPr="007D1E75" w:rsidRDefault="007D1E75" w:rsidP="007D1E75">
      <w:pPr>
        <w:spacing w:after="0" w:line="360" w:lineRule="auto"/>
        <w:rPr>
          <w:rFonts w:ascii="Times New Roman" w:eastAsiaTheme="minorHAnsi" w:hAnsi="Times New Roman"/>
          <w:sz w:val="26"/>
          <w:szCs w:val="26"/>
        </w:rPr>
      </w:pPr>
    </w:p>
    <w:p w:rsidR="007D1E75" w:rsidRDefault="00022DFF" w:rsidP="00022DFF">
      <w:pPr>
        <w:spacing w:after="0" w:line="360" w:lineRule="auto"/>
        <w:rPr>
          <w:rFonts w:ascii="Times New Roman" w:eastAsiaTheme="minorHAnsi" w:hAnsi="Times New Roman"/>
          <w:sz w:val="26"/>
          <w:szCs w:val="26"/>
        </w:rPr>
      </w:pPr>
      <w:r>
        <w:rPr>
          <w:rFonts w:ascii="Times New Roman" w:eastAsiaTheme="minorHAnsi" w:hAnsi="Times New Roman"/>
          <w:sz w:val="26"/>
          <w:szCs w:val="26"/>
        </w:rPr>
        <w:tab/>
      </w:r>
      <w:r>
        <w:rPr>
          <w:rFonts w:ascii="Times New Roman" w:eastAsiaTheme="minorHAnsi" w:hAnsi="Times New Roman"/>
          <w:sz w:val="26"/>
          <w:szCs w:val="26"/>
        </w:rPr>
        <w:tab/>
      </w:r>
      <w:r w:rsidR="007D1E75" w:rsidRPr="007D1E75">
        <w:rPr>
          <w:rFonts w:ascii="Times New Roman" w:eastAsiaTheme="minorHAnsi" w:hAnsi="Times New Roman"/>
          <w:sz w:val="26"/>
          <w:szCs w:val="26"/>
        </w:rPr>
        <w:t xml:space="preserve">Peoples TWP replies that the Settlement was crafted by the </w:t>
      </w:r>
      <w:r>
        <w:rPr>
          <w:rFonts w:ascii="Times New Roman" w:eastAsiaTheme="minorHAnsi" w:hAnsi="Times New Roman"/>
          <w:sz w:val="26"/>
          <w:szCs w:val="26"/>
        </w:rPr>
        <w:t>Joint Petitioners</w:t>
      </w:r>
      <w:r w:rsidR="007D1E75" w:rsidRPr="007D1E75">
        <w:rPr>
          <w:rFonts w:ascii="Times New Roman" w:eastAsiaTheme="minorHAnsi" w:hAnsi="Times New Roman"/>
          <w:sz w:val="26"/>
          <w:szCs w:val="26"/>
        </w:rPr>
        <w:t xml:space="preserve"> as a whole</w:t>
      </w:r>
      <w:r>
        <w:rPr>
          <w:rFonts w:ascii="Times New Roman" w:eastAsiaTheme="minorHAnsi" w:hAnsi="Times New Roman"/>
          <w:sz w:val="26"/>
          <w:szCs w:val="26"/>
        </w:rPr>
        <w:t>,</w:t>
      </w:r>
      <w:r w:rsidR="007D1E75" w:rsidRPr="007D1E75">
        <w:rPr>
          <w:rFonts w:ascii="Times New Roman" w:eastAsiaTheme="minorHAnsi" w:hAnsi="Times New Roman"/>
          <w:sz w:val="26"/>
          <w:szCs w:val="26"/>
        </w:rPr>
        <w:t xml:space="preserve"> with one of the provisions allow</w:t>
      </w:r>
      <w:r>
        <w:rPr>
          <w:rFonts w:ascii="Times New Roman" w:eastAsiaTheme="minorHAnsi" w:hAnsi="Times New Roman"/>
          <w:sz w:val="26"/>
          <w:szCs w:val="26"/>
        </w:rPr>
        <w:t>ing</w:t>
      </w:r>
      <w:r w:rsidR="007D1E75" w:rsidRPr="007D1E75">
        <w:rPr>
          <w:rFonts w:ascii="Times New Roman" w:eastAsiaTheme="minorHAnsi" w:hAnsi="Times New Roman"/>
          <w:sz w:val="26"/>
          <w:szCs w:val="26"/>
        </w:rPr>
        <w:t xml:space="preserve"> an earlier effective date.  Peoples TWP explains that this provision was an important consideration for the Company to agree to the amount of the </w:t>
      </w:r>
      <w:r>
        <w:rPr>
          <w:rFonts w:ascii="Times New Roman" w:eastAsiaTheme="minorHAnsi" w:hAnsi="Times New Roman"/>
          <w:sz w:val="26"/>
          <w:szCs w:val="26"/>
        </w:rPr>
        <w:t>S</w:t>
      </w:r>
      <w:r w:rsidR="007D1E75" w:rsidRPr="007D1E75">
        <w:rPr>
          <w:rFonts w:ascii="Times New Roman" w:eastAsiaTheme="minorHAnsi" w:hAnsi="Times New Roman"/>
          <w:sz w:val="26"/>
          <w:szCs w:val="26"/>
        </w:rPr>
        <w:t xml:space="preserve">ettlement revenue increase, which </w:t>
      </w:r>
      <w:r>
        <w:rPr>
          <w:rFonts w:ascii="Times New Roman" w:eastAsiaTheme="minorHAnsi" w:hAnsi="Times New Roman"/>
          <w:sz w:val="26"/>
          <w:szCs w:val="26"/>
        </w:rPr>
        <w:t>is</w:t>
      </w:r>
      <w:r w:rsidR="007D1E75" w:rsidRPr="007D1E75">
        <w:rPr>
          <w:rFonts w:ascii="Times New Roman" w:eastAsiaTheme="minorHAnsi" w:hAnsi="Times New Roman"/>
          <w:sz w:val="26"/>
          <w:szCs w:val="26"/>
        </w:rPr>
        <w:t xml:space="preserve"> less than the Company’s request.  </w:t>
      </w:r>
      <w:r>
        <w:rPr>
          <w:rFonts w:ascii="Times New Roman" w:eastAsiaTheme="minorHAnsi" w:hAnsi="Times New Roman"/>
          <w:sz w:val="26"/>
          <w:szCs w:val="26"/>
        </w:rPr>
        <w:t>Additionally</w:t>
      </w:r>
      <w:r w:rsidR="007D1E75" w:rsidRPr="007D1E75">
        <w:rPr>
          <w:rFonts w:ascii="Times New Roman" w:eastAsiaTheme="minorHAnsi" w:hAnsi="Times New Roman"/>
          <w:sz w:val="26"/>
          <w:szCs w:val="26"/>
        </w:rPr>
        <w:t>, Peoples TWP notes that Ms. Spielvogel’s request to delay the effective date of the Company’s proposed gene</w:t>
      </w:r>
      <w:r w:rsidR="009F7CAC">
        <w:rPr>
          <w:rFonts w:ascii="Times New Roman" w:eastAsiaTheme="minorHAnsi" w:hAnsi="Times New Roman"/>
          <w:sz w:val="26"/>
          <w:szCs w:val="26"/>
        </w:rPr>
        <w:t>ral rate increase until March</w:t>
      </w:r>
      <w:r w:rsidR="007D1E75" w:rsidRPr="007D1E75">
        <w:rPr>
          <w:rFonts w:ascii="Times New Roman" w:eastAsiaTheme="minorHAnsi" w:hAnsi="Times New Roman"/>
          <w:sz w:val="26"/>
          <w:szCs w:val="26"/>
        </w:rPr>
        <w:t xml:space="preserve"> 2014 exceeds the maximum suspension period permitted by law under Section 1308(d) of the Code, 66 Pa. C.S. § 130</w:t>
      </w:r>
      <w:r>
        <w:rPr>
          <w:rFonts w:ascii="Times New Roman" w:eastAsiaTheme="minorHAnsi" w:hAnsi="Times New Roman"/>
          <w:sz w:val="26"/>
          <w:szCs w:val="26"/>
        </w:rPr>
        <w:t>8</w:t>
      </w:r>
      <w:r w:rsidR="007D1E75" w:rsidRPr="007D1E75">
        <w:rPr>
          <w:rFonts w:ascii="Times New Roman" w:eastAsiaTheme="minorHAnsi" w:hAnsi="Times New Roman"/>
          <w:sz w:val="26"/>
          <w:szCs w:val="26"/>
        </w:rPr>
        <w:t>(d).  R. Exc. at 10.</w:t>
      </w:r>
    </w:p>
    <w:p w:rsidR="00C854D7" w:rsidRPr="007D1E75" w:rsidRDefault="00C854D7" w:rsidP="00022DFF">
      <w:pPr>
        <w:spacing w:after="0" w:line="360" w:lineRule="auto"/>
        <w:rPr>
          <w:rFonts w:ascii="Times New Roman" w:eastAsiaTheme="minorHAnsi" w:hAnsi="Times New Roman"/>
          <w:sz w:val="26"/>
          <w:szCs w:val="26"/>
        </w:rPr>
      </w:pPr>
    </w:p>
    <w:p w:rsidR="007D1E75" w:rsidRPr="007D1E75" w:rsidRDefault="007D1E75" w:rsidP="007D1E75">
      <w:pPr>
        <w:spacing w:after="0" w:line="360" w:lineRule="auto"/>
        <w:rPr>
          <w:rFonts w:ascii="Times New Roman" w:eastAsiaTheme="minorHAnsi" w:hAnsi="Times New Roman"/>
          <w:sz w:val="26"/>
          <w:szCs w:val="26"/>
        </w:rPr>
      </w:pPr>
    </w:p>
    <w:p w:rsidR="007D1E75" w:rsidRPr="007D1E75" w:rsidRDefault="007D1E75" w:rsidP="007D1E75">
      <w:pPr>
        <w:spacing w:after="0" w:line="360" w:lineRule="auto"/>
        <w:rPr>
          <w:rFonts w:ascii="Times New Roman" w:eastAsiaTheme="minorHAnsi" w:hAnsi="Times New Roman"/>
          <w:b/>
          <w:sz w:val="26"/>
          <w:szCs w:val="26"/>
        </w:rPr>
      </w:pPr>
      <w:r w:rsidRPr="007D1E75">
        <w:rPr>
          <w:rFonts w:ascii="Times New Roman" w:eastAsiaTheme="minorHAnsi" w:hAnsi="Times New Roman"/>
          <w:sz w:val="26"/>
          <w:szCs w:val="26"/>
        </w:rPr>
        <w:lastRenderedPageBreak/>
        <w:tab/>
      </w:r>
      <w:r w:rsidRPr="007D1E75">
        <w:rPr>
          <w:rFonts w:ascii="Times New Roman" w:eastAsiaTheme="minorHAnsi" w:hAnsi="Times New Roman"/>
          <w:sz w:val="26"/>
          <w:szCs w:val="26"/>
        </w:rPr>
        <w:tab/>
      </w:r>
      <w:r w:rsidR="00022DFF" w:rsidRPr="00022DFF">
        <w:rPr>
          <w:rFonts w:ascii="Times New Roman" w:eastAsiaTheme="minorHAnsi" w:hAnsi="Times New Roman"/>
          <w:b/>
          <w:sz w:val="26"/>
          <w:szCs w:val="26"/>
        </w:rPr>
        <w:t>b.</w:t>
      </w:r>
      <w:r w:rsidR="00022DFF">
        <w:rPr>
          <w:rFonts w:ascii="Times New Roman" w:eastAsiaTheme="minorHAnsi" w:hAnsi="Times New Roman"/>
          <w:sz w:val="26"/>
          <w:szCs w:val="26"/>
        </w:rPr>
        <w:tab/>
      </w:r>
      <w:r w:rsidRPr="007D1E75">
        <w:rPr>
          <w:rFonts w:ascii="Times New Roman" w:eastAsiaTheme="minorHAnsi" w:hAnsi="Times New Roman"/>
          <w:b/>
          <w:sz w:val="26"/>
          <w:szCs w:val="26"/>
        </w:rPr>
        <w:t>Disposition</w:t>
      </w:r>
    </w:p>
    <w:p w:rsidR="007D1E75" w:rsidRPr="007D1E75" w:rsidRDefault="007D1E75" w:rsidP="007D1E75">
      <w:pPr>
        <w:spacing w:after="0" w:line="360" w:lineRule="auto"/>
        <w:rPr>
          <w:rFonts w:ascii="Times New Roman" w:eastAsiaTheme="minorHAnsi" w:hAnsi="Times New Roman"/>
          <w:b/>
          <w:sz w:val="26"/>
          <w:szCs w:val="26"/>
        </w:rPr>
      </w:pPr>
    </w:p>
    <w:p w:rsidR="007D1E75" w:rsidRPr="007D1E75" w:rsidRDefault="007D1E75" w:rsidP="007D1E75">
      <w:pPr>
        <w:spacing w:after="0" w:line="360" w:lineRule="auto"/>
        <w:rPr>
          <w:rFonts w:ascii="Times New Roman" w:eastAsiaTheme="minorHAnsi" w:hAnsi="Times New Roman"/>
          <w:sz w:val="26"/>
          <w:szCs w:val="26"/>
        </w:rPr>
      </w:pPr>
      <w:r w:rsidRPr="007D1E75">
        <w:rPr>
          <w:rFonts w:ascii="Times New Roman" w:eastAsiaTheme="minorHAnsi" w:hAnsi="Times New Roman"/>
          <w:b/>
          <w:sz w:val="26"/>
          <w:szCs w:val="26"/>
        </w:rPr>
        <w:tab/>
      </w:r>
      <w:r w:rsidRPr="007D1E75">
        <w:rPr>
          <w:rFonts w:ascii="Times New Roman" w:eastAsiaTheme="minorHAnsi" w:hAnsi="Times New Roman"/>
          <w:b/>
          <w:sz w:val="26"/>
          <w:szCs w:val="26"/>
        </w:rPr>
        <w:tab/>
      </w:r>
      <w:r w:rsidR="000B2552" w:rsidRPr="000B2552">
        <w:rPr>
          <w:rFonts w:ascii="Times New Roman" w:eastAsiaTheme="minorHAnsi" w:hAnsi="Times New Roman"/>
          <w:sz w:val="26"/>
          <w:szCs w:val="26"/>
        </w:rPr>
        <w:t xml:space="preserve">We do not have the legal authority </w:t>
      </w:r>
      <w:r w:rsidR="000B2552">
        <w:rPr>
          <w:rFonts w:ascii="Times New Roman" w:eastAsiaTheme="minorHAnsi" w:hAnsi="Times New Roman"/>
          <w:sz w:val="26"/>
          <w:szCs w:val="26"/>
        </w:rPr>
        <w:t xml:space="preserve">to delay the effective date of </w:t>
      </w:r>
      <w:r w:rsidRPr="007D1E75">
        <w:rPr>
          <w:rFonts w:ascii="Times New Roman" w:eastAsiaTheme="minorHAnsi" w:hAnsi="Times New Roman"/>
          <w:sz w:val="26"/>
          <w:szCs w:val="26"/>
        </w:rPr>
        <w:t>Peoples TWP</w:t>
      </w:r>
      <w:r w:rsidR="000B2552">
        <w:rPr>
          <w:rFonts w:ascii="Times New Roman" w:eastAsiaTheme="minorHAnsi" w:hAnsi="Times New Roman"/>
          <w:sz w:val="26"/>
          <w:szCs w:val="26"/>
        </w:rPr>
        <w:t>’s proposed gener</w:t>
      </w:r>
      <w:r w:rsidR="00112F58">
        <w:rPr>
          <w:rFonts w:ascii="Times New Roman" w:eastAsiaTheme="minorHAnsi" w:hAnsi="Times New Roman"/>
          <w:sz w:val="26"/>
          <w:szCs w:val="26"/>
        </w:rPr>
        <w:t xml:space="preserve">al rate increase until March </w:t>
      </w:r>
      <w:r w:rsidR="000B2552">
        <w:rPr>
          <w:rFonts w:ascii="Times New Roman" w:eastAsiaTheme="minorHAnsi" w:hAnsi="Times New Roman"/>
          <w:sz w:val="26"/>
          <w:szCs w:val="26"/>
        </w:rPr>
        <w:t xml:space="preserve">2014.  The Company </w:t>
      </w:r>
      <w:r w:rsidRPr="007D1E75">
        <w:rPr>
          <w:rFonts w:ascii="Times New Roman" w:eastAsiaTheme="minorHAnsi" w:hAnsi="Times New Roman"/>
          <w:sz w:val="26"/>
          <w:szCs w:val="26"/>
        </w:rPr>
        <w:t xml:space="preserve">filed this rate increase request on April 30, 2013, with a proposed effective date of June 29, 2013.  </w:t>
      </w:r>
      <w:r w:rsidR="000B2552">
        <w:rPr>
          <w:rFonts w:ascii="Times New Roman" w:eastAsiaTheme="minorHAnsi" w:hAnsi="Times New Roman"/>
          <w:sz w:val="26"/>
          <w:szCs w:val="26"/>
        </w:rPr>
        <w:t>The</w:t>
      </w:r>
      <w:r w:rsidRPr="007D1E75">
        <w:rPr>
          <w:rFonts w:ascii="Times New Roman" w:eastAsiaTheme="minorHAnsi" w:hAnsi="Times New Roman"/>
          <w:sz w:val="26"/>
          <w:szCs w:val="26"/>
        </w:rPr>
        <w:t xml:space="preserve"> rate request was suspended by operation of law, pursuant to </w:t>
      </w:r>
      <w:r w:rsidR="000B2552">
        <w:rPr>
          <w:rFonts w:ascii="Times New Roman" w:eastAsiaTheme="minorHAnsi" w:hAnsi="Times New Roman"/>
          <w:sz w:val="26"/>
          <w:szCs w:val="26"/>
        </w:rPr>
        <w:t xml:space="preserve">Section 1308(d) of the Code, </w:t>
      </w:r>
      <w:r w:rsidRPr="007D1E75">
        <w:rPr>
          <w:rFonts w:ascii="Times New Roman" w:eastAsiaTheme="minorHAnsi" w:hAnsi="Times New Roman"/>
          <w:sz w:val="26"/>
          <w:szCs w:val="26"/>
        </w:rPr>
        <w:t xml:space="preserve">66 Pa. C.S. § 1308(d), for seven months, or until January 29, 2014.  </w:t>
      </w:r>
      <w:r w:rsidR="000B2552">
        <w:rPr>
          <w:rFonts w:ascii="Times New Roman" w:eastAsiaTheme="minorHAnsi" w:hAnsi="Times New Roman"/>
          <w:sz w:val="26"/>
          <w:szCs w:val="26"/>
        </w:rPr>
        <w:t xml:space="preserve">Seven months is the maximum suspension period permitted under Section 1308(d), and therefore, we do not </w:t>
      </w:r>
      <w:r w:rsidRPr="007D1E75">
        <w:rPr>
          <w:rFonts w:ascii="Times New Roman" w:eastAsiaTheme="minorHAnsi" w:hAnsi="Times New Roman"/>
          <w:sz w:val="26"/>
          <w:szCs w:val="26"/>
        </w:rPr>
        <w:t xml:space="preserve">have the authority to further suspend Peoples </w:t>
      </w:r>
      <w:r w:rsidR="00A77027">
        <w:rPr>
          <w:rFonts w:ascii="Times New Roman" w:eastAsiaTheme="minorHAnsi" w:hAnsi="Times New Roman"/>
          <w:sz w:val="26"/>
          <w:szCs w:val="26"/>
        </w:rPr>
        <w:t xml:space="preserve">TWP’s rate increase to March </w:t>
      </w:r>
      <w:r w:rsidRPr="007D1E75">
        <w:rPr>
          <w:rFonts w:ascii="Times New Roman" w:eastAsiaTheme="minorHAnsi" w:hAnsi="Times New Roman"/>
          <w:sz w:val="26"/>
          <w:szCs w:val="26"/>
        </w:rPr>
        <w:t xml:space="preserve">2014.  Accordingly, this Exception </w:t>
      </w:r>
      <w:r w:rsidR="00C97D1E">
        <w:rPr>
          <w:rFonts w:ascii="Times New Roman" w:eastAsiaTheme="minorHAnsi" w:hAnsi="Times New Roman"/>
          <w:sz w:val="26"/>
          <w:szCs w:val="26"/>
        </w:rPr>
        <w:t>is</w:t>
      </w:r>
      <w:r w:rsidRPr="007D1E75">
        <w:rPr>
          <w:rFonts w:ascii="Times New Roman" w:eastAsiaTheme="minorHAnsi" w:hAnsi="Times New Roman"/>
          <w:sz w:val="26"/>
          <w:szCs w:val="26"/>
        </w:rPr>
        <w:t xml:space="preserve"> denied.</w:t>
      </w:r>
    </w:p>
    <w:p w:rsidR="007D1E75" w:rsidRPr="007D1E75" w:rsidRDefault="007D1E75" w:rsidP="007D1E75">
      <w:pPr>
        <w:rPr>
          <w:rFonts w:ascii="Times New Roman" w:eastAsiaTheme="minorHAnsi" w:hAnsi="Times New Roman"/>
          <w:b/>
          <w:sz w:val="26"/>
          <w:szCs w:val="26"/>
        </w:rPr>
      </w:pPr>
    </w:p>
    <w:p w:rsidR="00537D7F" w:rsidRPr="00767179" w:rsidRDefault="00767179" w:rsidP="00E46C22">
      <w:pPr>
        <w:keepNext/>
        <w:widowControl w:val="0"/>
        <w:spacing w:line="360" w:lineRule="auto"/>
        <w:jc w:val="center"/>
        <w:rPr>
          <w:rFonts w:ascii="Times New Roman Bold" w:hAnsi="Times New Roman Bold"/>
          <w:b/>
          <w:sz w:val="26"/>
          <w:szCs w:val="26"/>
        </w:rPr>
      </w:pPr>
      <w:r w:rsidRPr="00767179">
        <w:rPr>
          <w:rFonts w:ascii="Times New Roman Bold" w:hAnsi="Times New Roman Bold"/>
          <w:b/>
          <w:sz w:val="26"/>
          <w:szCs w:val="26"/>
        </w:rPr>
        <w:t>IV.</w:t>
      </w:r>
      <w:r w:rsidRPr="00767179">
        <w:rPr>
          <w:rFonts w:ascii="Times New Roman Bold" w:hAnsi="Times New Roman Bold"/>
          <w:b/>
          <w:sz w:val="26"/>
          <w:szCs w:val="26"/>
        </w:rPr>
        <w:tab/>
      </w:r>
      <w:r w:rsidR="00537D7F" w:rsidRPr="00767179">
        <w:rPr>
          <w:rFonts w:ascii="Times New Roman Bold" w:hAnsi="Times New Roman Bold"/>
          <w:b/>
          <w:sz w:val="26"/>
          <w:szCs w:val="26"/>
        </w:rPr>
        <w:t>Conclusion</w:t>
      </w:r>
    </w:p>
    <w:p w:rsidR="00537D7F" w:rsidRDefault="00537D7F" w:rsidP="00845F2B">
      <w:pPr>
        <w:spacing w:after="0" w:line="360" w:lineRule="auto"/>
        <w:rPr>
          <w:rFonts w:ascii="Times New Roman" w:eastAsia="Times New Roman" w:hAnsi="Times New Roman"/>
          <w:color w:val="000000"/>
          <w:sz w:val="26"/>
          <w:szCs w:val="26"/>
        </w:rPr>
      </w:pPr>
    </w:p>
    <w:p w:rsidR="00B03E19" w:rsidRDefault="00357564" w:rsidP="0075484F">
      <w:pPr>
        <w:tabs>
          <w:tab w:val="left" w:pos="-720"/>
        </w:tabs>
        <w:suppressAutoHyphens/>
        <w:spacing w:after="0" w:line="360" w:lineRule="auto"/>
        <w:ind w:firstLine="1440"/>
        <w:rPr>
          <w:rFonts w:ascii="Times New Roman" w:hAnsi="Times New Roman"/>
          <w:spacing w:val="-3"/>
          <w:sz w:val="26"/>
        </w:rPr>
      </w:pPr>
      <w:r w:rsidRPr="00357564">
        <w:rPr>
          <w:rFonts w:ascii="Times New Roman" w:hAnsi="Times New Roman"/>
          <w:spacing w:val="-3"/>
          <w:sz w:val="26"/>
        </w:rPr>
        <w:t>We have reviewed the record as developed in thi</w:t>
      </w:r>
      <w:r w:rsidR="00AA5088">
        <w:rPr>
          <w:rFonts w:ascii="Times New Roman" w:hAnsi="Times New Roman"/>
          <w:spacing w:val="-3"/>
          <w:sz w:val="26"/>
        </w:rPr>
        <w:t>s proceeding, including the ALJ</w:t>
      </w:r>
      <w:r w:rsidR="002221DC">
        <w:rPr>
          <w:rFonts w:ascii="Times New Roman" w:hAnsi="Times New Roman"/>
          <w:spacing w:val="-3"/>
          <w:sz w:val="26"/>
        </w:rPr>
        <w:t>’</w:t>
      </w:r>
      <w:r w:rsidR="00767179">
        <w:rPr>
          <w:rFonts w:ascii="Times New Roman" w:hAnsi="Times New Roman"/>
          <w:spacing w:val="-3"/>
          <w:sz w:val="26"/>
        </w:rPr>
        <w:t>s</w:t>
      </w:r>
      <w:r w:rsidRPr="00357564">
        <w:rPr>
          <w:rFonts w:ascii="Times New Roman" w:hAnsi="Times New Roman"/>
          <w:spacing w:val="-3"/>
          <w:sz w:val="26"/>
        </w:rPr>
        <w:t xml:space="preserve"> Recommended Decision and the Exceptions filed thereto.  The Company requested an overall revenue increase of $</w:t>
      </w:r>
      <w:r w:rsidR="00DD4BC2">
        <w:rPr>
          <w:rFonts w:ascii="Times New Roman" w:hAnsi="Times New Roman"/>
          <w:spacing w:val="-3"/>
          <w:sz w:val="26"/>
        </w:rPr>
        <w:t>18.66</w:t>
      </w:r>
      <w:r w:rsidR="00842B15">
        <w:rPr>
          <w:rFonts w:ascii="Times New Roman" w:hAnsi="Times New Roman"/>
          <w:spacing w:val="-3"/>
          <w:sz w:val="26"/>
        </w:rPr>
        <w:t xml:space="preserve"> million, or </w:t>
      </w:r>
      <w:r w:rsidR="00DD4BC2">
        <w:rPr>
          <w:rFonts w:ascii="Times New Roman" w:hAnsi="Times New Roman"/>
          <w:spacing w:val="-3"/>
          <w:sz w:val="26"/>
        </w:rPr>
        <w:t>22.8</w:t>
      </w:r>
      <w:r w:rsidRPr="00357564">
        <w:rPr>
          <w:rFonts w:ascii="Times New Roman" w:hAnsi="Times New Roman"/>
          <w:spacing w:val="-3"/>
          <w:sz w:val="26"/>
        </w:rPr>
        <w:t>%.  The ALJ recommended that the Commission adopt the Settlement</w:t>
      </w:r>
      <w:r w:rsidR="00DD4BC2">
        <w:rPr>
          <w:rFonts w:ascii="Times New Roman" w:hAnsi="Times New Roman"/>
          <w:spacing w:val="-3"/>
          <w:sz w:val="26"/>
        </w:rPr>
        <w:t xml:space="preserve">, which </w:t>
      </w:r>
      <w:r w:rsidRPr="00357564">
        <w:rPr>
          <w:rFonts w:ascii="Times New Roman" w:hAnsi="Times New Roman"/>
          <w:spacing w:val="-3"/>
          <w:sz w:val="26"/>
        </w:rPr>
        <w:t>would result in the Company receiving a stipulated increase in annual revenues of</w:t>
      </w:r>
      <w:r w:rsidR="00DD4BC2">
        <w:rPr>
          <w:rFonts w:ascii="Times New Roman" w:hAnsi="Times New Roman"/>
          <w:spacing w:val="-3"/>
          <w:sz w:val="26"/>
        </w:rPr>
        <w:t xml:space="preserve"> </w:t>
      </w:r>
      <w:r w:rsidRPr="00357564">
        <w:rPr>
          <w:rFonts w:ascii="Times New Roman" w:hAnsi="Times New Roman"/>
          <w:spacing w:val="-3"/>
          <w:sz w:val="26"/>
        </w:rPr>
        <w:t>$</w:t>
      </w:r>
      <w:r w:rsidR="00BE6ED3">
        <w:rPr>
          <w:rFonts w:ascii="Times New Roman" w:hAnsi="Times New Roman"/>
          <w:spacing w:val="-3"/>
          <w:sz w:val="26"/>
        </w:rPr>
        <w:t>13.8</w:t>
      </w:r>
      <w:r w:rsidR="004665C7">
        <w:rPr>
          <w:rFonts w:ascii="Times New Roman" w:hAnsi="Times New Roman"/>
          <w:spacing w:val="-3"/>
          <w:sz w:val="26"/>
        </w:rPr>
        <w:t xml:space="preserve"> million</w:t>
      </w:r>
      <w:r w:rsidRPr="00357564">
        <w:rPr>
          <w:rFonts w:ascii="Times New Roman" w:hAnsi="Times New Roman"/>
          <w:spacing w:val="-3"/>
          <w:sz w:val="26"/>
        </w:rPr>
        <w:t xml:space="preserve">, </w:t>
      </w:r>
      <w:r w:rsidR="00BE6ED3">
        <w:rPr>
          <w:rFonts w:ascii="Times New Roman" w:hAnsi="Times New Roman"/>
          <w:spacing w:val="-3"/>
          <w:sz w:val="26"/>
        </w:rPr>
        <w:t xml:space="preserve">exclusive of the Acquisition Credit, </w:t>
      </w:r>
      <w:r w:rsidRPr="00357564">
        <w:rPr>
          <w:rFonts w:ascii="Times New Roman" w:hAnsi="Times New Roman"/>
          <w:spacing w:val="-3"/>
          <w:sz w:val="26"/>
        </w:rPr>
        <w:t xml:space="preserve">without specific identification of adjustments.  The ALJ further recommended that the Company be authorized to file </w:t>
      </w:r>
      <w:r w:rsidR="00BE6ED3">
        <w:rPr>
          <w:rFonts w:ascii="Times New Roman" w:hAnsi="Times New Roman"/>
          <w:spacing w:val="-3"/>
          <w:sz w:val="26"/>
        </w:rPr>
        <w:t>the</w:t>
      </w:r>
      <w:r w:rsidRPr="00357564">
        <w:rPr>
          <w:rFonts w:ascii="Times New Roman" w:hAnsi="Times New Roman"/>
          <w:spacing w:val="-3"/>
          <w:sz w:val="26"/>
        </w:rPr>
        <w:t xml:space="preserve"> tariff supplement attached as Appendix “</w:t>
      </w:r>
      <w:r w:rsidR="00BE6ED3">
        <w:rPr>
          <w:rFonts w:ascii="Times New Roman" w:hAnsi="Times New Roman"/>
          <w:spacing w:val="-3"/>
          <w:sz w:val="26"/>
        </w:rPr>
        <w:t>B</w:t>
      </w:r>
      <w:r w:rsidRPr="00357564">
        <w:rPr>
          <w:rFonts w:ascii="Times New Roman" w:hAnsi="Times New Roman"/>
          <w:spacing w:val="-3"/>
          <w:sz w:val="26"/>
        </w:rPr>
        <w:t>” to the Settlement to become effective on one day’s notice, following the entry of the instan</w:t>
      </w:r>
      <w:r w:rsidR="00CD53F0">
        <w:rPr>
          <w:rFonts w:ascii="Times New Roman" w:hAnsi="Times New Roman"/>
          <w:spacing w:val="-3"/>
          <w:sz w:val="26"/>
        </w:rPr>
        <w:t>t Opinion and Order</w:t>
      </w:r>
      <w:r w:rsidR="00BE6ED3">
        <w:rPr>
          <w:rFonts w:ascii="Times New Roman" w:hAnsi="Times New Roman"/>
          <w:spacing w:val="-3"/>
          <w:sz w:val="26"/>
        </w:rPr>
        <w:t xml:space="preserve"> for service rendered on and after January 1, 2014.  R.D. at 67.</w:t>
      </w:r>
    </w:p>
    <w:p w:rsidR="00357564" w:rsidRPr="00357564" w:rsidRDefault="00CD53F0" w:rsidP="0075484F">
      <w:pPr>
        <w:tabs>
          <w:tab w:val="left" w:pos="-720"/>
        </w:tabs>
        <w:suppressAutoHyphens/>
        <w:spacing w:after="0" w:line="360" w:lineRule="auto"/>
        <w:ind w:firstLine="1440"/>
        <w:rPr>
          <w:rFonts w:ascii="Times New Roman" w:hAnsi="Times New Roman"/>
          <w:spacing w:val="-3"/>
          <w:sz w:val="26"/>
        </w:rPr>
      </w:pPr>
      <w:r>
        <w:rPr>
          <w:rFonts w:ascii="Times New Roman" w:hAnsi="Times New Roman"/>
          <w:spacing w:val="-3"/>
          <w:sz w:val="26"/>
        </w:rPr>
        <w:t xml:space="preserve">  </w:t>
      </w:r>
    </w:p>
    <w:p w:rsidR="00B53E8B" w:rsidRDefault="00357564" w:rsidP="0075484F">
      <w:pPr>
        <w:tabs>
          <w:tab w:val="left" w:pos="-720"/>
        </w:tabs>
        <w:suppressAutoHyphens/>
        <w:spacing w:after="0" w:line="360" w:lineRule="auto"/>
        <w:ind w:firstLine="1440"/>
        <w:rPr>
          <w:rFonts w:ascii="Times New Roman" w:hAnsi="Times New Roman"/>
          <w:b/>
          <w:spacing w:val="-3"/>
          <w:sz w:val="26"/>
          <w:szCs w:val="26"/>
        </w:rPr>
      </w:pPr>
      <w:r w:rsidRPr="00067490">
        <w:rPr>
          <w:rFonts w:ascii="Times New Roman" w:hAnsi="Times New Roman"/>
          <w:spacing w:val="-3"/>
          <w:sz w:val="26"/>
          <w:szCs w:val="26"/>
        </w:rPr>
        <w:t>Based on our review, evaluation</w:t>
      </w:r>
      <w:r w:rsidR="00BE6ED3">
        <w:rPr>
          <w:rFonts w:ascii="Times New Roman" w:hAnsi="Times New Roman"/>
          <w:spacing w:val="-3"/>
          <w:sz w:val="26"/>
          <w:szCs w:val="26"/>
        </w:rPr>
        <w:t>,</w:t>
      </w:r>
      <w:r w:rsidRPr="00067490">
        <w:rPr>
          <w:rFonts w:ascii="Times New Roman" w:hAnsi="Times New Roman"/>
          <w:spacing w:val="-3"/>
          <w:sz w:val="26"/>
          <w:szCs w:val="26"/>
        </w:rPr>
        <w:t xml:space="preserve"> and analysis of the record e</w:t>
      </w:r>
      <w:r w:rsidR="00AA5088">
        <w:rPr>
          <w:rFonts w:ascii="Times New Roman" w:hAnsi="Times New Roman"/>
          <w:spacing w:val="-3"/>
          <w:sz w:val="26"/>
          <w:szCs w:val="26"/>
        </w:rPr>
        <w:t xml:space="preserve">vidence, </w:t>
      </w:r>
      <w:r w:rsidR="000F64CB">
        <w:rPr>
          <w:rFonts w:ascii="Times New Roman" w:hAnsi="Times New Roman"/>
          <w:spacing w:val="-3"/>
          <w:sz w:val="26"/>
          <w:szCs w:val="26"/>
        </w:rPr>
        <w:t>we find that the Settl</w:t>
      </w:r>
      <w:r w:rsidR="008D6CDB">
        <w:rPr>
          <w:rFonts w:ascii="Times New Roman" w:hAnsi="Times New Roman"/>
          <w:spacing w:val="-3"/>
          <w:sz w:val="26"/>
          <w:szCs w:val="26"/>
        </w:rPr>
        <w:t>ement is in the public interest.</w:t>
      </w:r>
      <w:r w:rsidR="000F64CB">
        <w:rPr>
          <w:rFonts w:ascii="Times New Roman" w:hAnsi="Times New Roman"/>
          <w:spacing w:val="-3"/>
          <w:sz w:val="26"/>
          <w:szCs w:val="26"/>
        </w:rPr>
        <w:t xml:space="preserve">  Consequently, </w:t>
      </w:r>
      <w:r w:rsidR="00AA5088">
        <w:rPr>
          <w:rFonts w:ascii="Times New Roman" w:hAnsi="Times New Roman"/>
          <w:spacing w:val="-3"/>
          <w:sz w:val="26"/>
          <w:szCs w:val="26"/>
        </w:rPr>
        <w:t>we shall adopt the ALJ</w:t>
      </w:r>
      <w:r w:rsidR="002221DC">
        <w:rPr>
          <w:rFonts w:ascii="Times New Roman" w:hAnsi="Times New Roman"/>
          <w:spacing w:val="-3"/>
          <w:sz w:val="26"/>
          <w:szCs w:val="26"/>
        </w:rPr>
        <w:t>’</w:t>
      </w:r>
      <w:r w:rsidR="00BE6ED3">
        <w:rPr>
          <w:rFonts w:ascii="Times New Roman" w:hAnsi="Times New Roman"/>
          <w:spacing w:val="-3"/>
          <w:sz w:val="26"/>
          <w:szCs w:val="26"/>
        </w:rPr>
        <w:t>s</w:t>
      </w:r>
      <w:r w:rsidRPr="00067490">
        <w:rPr>
          <w:rFonts w:ascii="Times New Roman" w:hAnsi="Times New Roman"/>
          <w:spacing w:val="-3"/>
          <w:sz w:val="26"/>
          <w:szCs w:val="26"/>
        </w:rPr>
        <w:t xml:space="preserve"> recommendations, consistent with this Opinion and Order.  The resulting all</w:t>
      </w:r>
      <w:r w:rsidR="001607BF" w:rsidRPr="00067490">
        <w:rPr>
          <w:rFonts w:ascii="Times New Roman" w:hAnsi="Times New Roman"/>
          <w:spacing w:val="-3"/>
          <w:sz w:val="26"/>
          <w:szCs w:val="26"/>
        </w:rPr>
        <w:t xml:space="preserve">owable </w:t>
      </w:r>
      <w:r w:rsidR="00F153F6">
        <w:rPr>
          <w:rFonts w:ascii="Times New Roman" w:hAnsi="Times New Roman"/>
          <w:spacing w:val="-3"/>
          <w:sz w:val="26"/>
          <w:szCs w:val="26"/>
        </w:rPr>
        <w:t xml:space="preserve">annual </w:t>
      </w:r>
      <w:r w:rsidR="001607BF" w:rsidRPr="00067490">
        <w:rPr>
          <w:rFonts w:ascii="Times New Roman" w:hAnsi="Times New Roman"/>
          <w:spacing w:val="-3"/>
          <w:sz w:val="26"/>
          <w:szCs w:val="26"/>
        </w:rPr>
        <w:t>revenue increase is $</w:t>
      </w:r>
      <w:r w:rsidR="00BE6ED3">
        <w:rPr>
          <w:rFonts w:ascii="Times New Roman" w:hAnsi="Times New Roman"/>
          <w:spacing w:val="-3"/>
          <w:sz w:val="26"/>
          <w:szCs w:val="26"/>
        </w:rPr>
        <w:t>13.8</w:t>
      </w:r>
      <w:r w:rsidR="004665C7">
        <w:rPr>
          <w:rFonts w:ascii="Times New Roman" w:hAnsi="Times New Roman"/>
          <w:spacing w:val="-3"/>
          <w:sz w:val="26"/>
          <w:szCs w:val="26"/>
        </w:rPr>
        <w:t xml:space="preserve"> </w:t>
      </w:r>
      <w:r w:rsidR="00AA5088">
        <w:rPr>
          <w:rFonts w:ascii="Times New Roman" w:hAnsi="Times New Roman"/>
          <w:spacing w:val="-3"/>
          <w:sz w:val="26"/>
          <w:szCs w:val="26"/>
        </w:rPr>
        <w:t>million</w:t>
      </w:r>
      <w:r w:rsidR="00BE6ED3">
        <w:rPr>
          <w:rFonts w:ascii="Times New Roman" w:hAnsi="Times New Roman"/>
          <w:spacing w:val="-3"/>
          <w:sz w:val="26"/>
          <w:szCs w:val="26"/>
        </w:rPr>
        <w:t>,</w:t>
      </w:r>
      <w:r w:rsidR="00AA5088">
        <w:rPr>
          <w:rFonts w:ascii="Times New Roman" w:hAnsi="Times New Roman"/>
          <w:spacing w:val="-3"/>
          <w:sz w:val="26"/>
          <w:szCs w:val="26"/>
        </w:rPr>
        <w:t xml:space="preserve"> or a </w:t>
      </w:r>
      <w:r w:rsidR="00BE6ED3">
        <w:rPr>
          <w:rFonts w:ascii="Times New Roman" w:hAnsi="Times New Roman"/>
          <w:spacing w:val="-3"/>
          <w:sz w:val="26"/>
          <w:szCs w:val="26"/>
        </w:rPr>
        <w:t>17</w:t>
      </w:r>
      <w:r w:rsidRPr="00067490">
        <w:rPr>
          <w:rFonts w:ascii="Times New Roman" w:hAnsi="Times New Roman"/>
          <w:spacing w:val="-3"/>
          <w:sz w:val="26"/>
          <w:szCs w:val="26"/>
        </w:rPr>
        <w:t>% increase</w:t>
      </w:r>
      <w:r w:rsidR="005F1840">
        <w:rPr>
          <w:rFonts w:ascii="Times New Roman" w:hAnsi="Times New Roman"/>
          <w:spacing w:val="-3"/>
          <w:sz w:val="26"/>
          <w:szCs w:val="26"/>
        </w:rPr>
        <w:t xml:space="preserve"> in revenues</w:t>
      </w:r>
      <w:r w:rsidRPr="00067490">
        <w:rPr>
          <w:rFonts w:ascii="Times New Roman" w:hAnsi="Times New Roman"/>
          <w:spacing w:val="-3"/>
          <w:sz w:val="26"/>
          <w:szCs w:val="26"/>
        </w:rPr>
        <w:t xml:space="preserve">.  </w:t>
      </w:r>
      <w:r w:rsidR="001607BF" w:rsidRPr="00067490">
        <w:rPr>
          <w:rFonts w:ascii="Times New Roman" w:hAnsi="Times New Roman"/>
          <w:spacing w:val="-3"/>
          <w:sz w:val="26"/>
          <w:szCs w:val="26"/>
        </w:rPr>
        <w:t xml:space="preserve">The Exceptions </w:t>
      </w:r>
      <w:r w:rsidR="00E46C22">
        <w:rPr>
          <w:rFonts w:ascii="Times New Roman" w:hAnsi="Times New Roman"/>
          <w:spacing w:val="-3"/>
          <w:sz w:val="26"/>
          <w:szCs w:val="26"/>
        </w:rPr>
        <w:t>filed by Ms. </w:t>
      </w:r>
      <w:r w:rsidR="00BE6ED3" w:rsidRPr="007D1E75">
        <w:rPr>
          <w:rFonts w:ascii="Times New Roman" w:eastAsiaTheme="minorHAnsi" w:hAnsi="Times New Roman"/>
          <w:sz w:val="26"/>
          <w:szCs w:val="26"/>
        </w:rPr>
        <w:t>Spielvogel</w:t>
      </w:r>
      <w:r w:rsidR="00BE6ED3">
        <w:rPr>
          <w:rFonts w:ascii="Times New Roman" w:eastAsiaTheme="minorHAnsi" w:hAnsi="Times New Roman"/>
          <w:sz w:val="26"/>
          <w:szCs w:val="26"/>
        </w:rPr>
        <w:t xml:space="preserve"> are denied</w:t>
      </w:r>
      <w:r w:rsidR="009C367C">
        <w:rPr>
          <w:rFonts w:ascii="Times New Roman" w:hAnsi="Times New Roman"/>
          <w:spacing w:val="-3"/>
          <w:sz w:val="26"/>
          <w:szCs w:val="26"/>
        </w:rPr>
        <w:t xml:space="preserve">, </w:t>
      </w:r>
      <w:r w:rsidR="009C367C" w:rsidRPr="001C311E">
        <w:rPr>
          <w:rFonts w:ascii="Times New Roman" w:hAnsi="Times New Roman"/>
          <w:spacing w:val="-3"/>
          <w:sz w:val="26"/>
          <w:szCs w:val="26"/>
        </w:rPr>
        <w:t>consistent with</w:t>
      </w:r>
      <w:r w:rsidR="009C367C">
        <w:rPr>
          <w:rFonts w:ascii="Times New Roman" w:hAnsi="Times New Roman"/>
          <w:spacing w:val="-3"/>
          <w:sz w:val="26"/>
          <w:szCs w:val="26"/>
        </w:rPr>
        <w:t xml:space="preserve"> this Opinion and Order</w:t>
      </w:r>
      <w:r w:rsidRPr="00067490">
        <w:rPr>
          <w:rFonts w:ascii="Times New Roman" w:hAnsi="Times New Roman"/>
          <w:spacing w:val="-3"/>
          <w:sz w:val="26"/>
          <w:szCs w:val="26"/>
        </w:rPr>
        <w:t xml:space="preserve">; </w:t>
      </w:r>
      <w:r w:rsidR="00BE6ED3" w:rsidRPr="00BE6ED3">
        <w:rPr>
          <w:rFonts w:ascii="Times New Roman" w:hAnsi="Times New Roman"/>
          <w:b/>
          <w:spacing w:val="-3"/>
          <w:sz w:val="26"/>
          <w:szCs w:val="26"/>
        </w:rPr>
        <w:t>T</w:t>
      </w:r>
      <w:r w:rsidRPr="00067490">
        <w:rPr>
          <w:rFonts w:ascii="Times New Roman" w:hAnsi="Times New Roman"/>
          <w:b/>
          <w:spacing w:val="-3"/>
          <w:sz w:val="26"/>
          <w:szCs w:val="26"/>
        </w:rPr>
        <w:t>HEREFORE;</w:t>
      </w:r>
    </w:p>
    <w:p w:rsidR="00B53E8B" w:rsidRPr="00067490" w:rsidRDefault="0047221A" w:rsidP="00BE6ED3">
      <w:pPr>
        <w:pStyle w:val="NoSpacing"/>
        <w:spacing w:line="360" w:lineRule="auto"/>
        <w:ind w:left="720" w:firstLine="720"/>
        <w:rPr>
          <w:b/>
          <w:color w:val="333333"/>
          <w:sz w:val="26"/>
          <w:szCs w:val="26"/>
        </w:rPr>
      </w:pPr>
      <w:r w:rsidRPr="00067490">
        <w:rPr>
          <w:b/>
          <w:color w:val="333333"/>
          <w:sz w:val="26"/>
          <w:szCs w:val="26"/>
        </w:rPr>
        <w:lastRenderedPageBreak/>
        <w:t xml:space="preserve">IT IS </w:t>
      </w:r>
      <w:r w:rsidR="00C57E0A" w:rsidRPr="00067490">
        <w:rPr>
          <w:b/>
          <w:color w:val="333333"/>
          <w:sz w:val="26"/>
          <w:szCs w:val="26"/>
        </w:rPr>
        <w:t>ORDERED</w:t>
      </w:r>
      <w:r w:rsidRPr="00067490">
        <w:rPr>
          <w:b/>
          <w:color w:val="333333"/>
          <w:sz w:val="26"/>
          <w:szCs w:val="26"/>
        </w:rPr>
        <w:t>:</w:t>
      </w:r>
    </w:p>
    <w:p w:rsidR="00C57E0A" w:rsidRPr="00845F2B" w:rsidRDefault="00C57E0A" w:rsidP="001C311E">
      <w:pPr>
        <w:pStyle w:val="NoSpacing"/>
        <w:spacing w:line="360" w:lineRule="auto"/>
        <w:ind w:left="720"/>
        <w:rPr>
          <w:b/>
          <w:color w:val="333333"/>
          <w:sz w:val="26"/>
          <w:szCs w:val="26"/>
        </w:rPr>
      </w:pPr>
    </w:p>
    <w:p w:rsidR="00C57E0A" w:rsidRPr="001C311E" w:rsidRDefault="00C57E0A" w:rsidP="001C311E">
      <w:pPr>
        <w:pStyle w:val="NoSpacing"/>
        <w:spacing w:line="360" w:lineRule="auto"/>
        <w:ind w:firstLine="1440"/>
        <w:rPr>
          <w:spacing w:val="-3"/>
          <w:sz w:val="26"/>
          <w:szCs w:val="26"/>
        </w:rPr>
      </w:pPr>
      <w:r w:rsidRPr="001C311E">
        <w:rPr>
          <w:spacing w:val="-3"/>
          <w:sz w:val="26"/>
          <w:szCs w:val="26"/>
        </w:rPr>
        <w:t xml:space="preserve">1. </w:t>
      </w:r>
      <w:r w:rsidRPr="001C311E">
        <w:rPr>
          <w:spacing w:val="-3"/>
          <w:sz w:val="26"/>
          <w:szCs w:val="26"/>
        </w:rPr>
        <w:tab/>
        <w:t xml:space="preserve">That the Exceptions filed by </w:t>
      </w:r>
      <w:r w:rsidR="00B3666D">
        <w:rPr>
          <w:sz w:val="26"/>
          <w:szCs w:val="26"/>
        </w:rPr>
        <w:t xml:space="preserve">Ms. Dawn Spielvogel on November 18, 2013, to the </w:t>
      </w:r>
      <w:r w:rsidR="00B3666D" w:rsidRPr="004C023F">
        <w:rPr>
          <w:sz w:val="26"/>
          <w:szCs w:val="26"/>
        </w:rPr>
        <w:t xml:space="preserve">Recommended Decision of Administrative Law Judge </w:t>
      </w:r>
      <w:r w:rsidR="00B3666D">
        <w:rPr>
          <w:sz w:val="26"/>
          <w:szCs w:val="26"/>
        </w:rPr>
        <w:t>Katrina L. Dunderdale</w:t>
      </w:r>
      <w:r w:rsidRPr="001C311E">
        <w:rPr>
          <w:spacing w:val="-3"/>
          <w:sz w:val="26"/>
          <w:szCs w:val="26"/>
        </w:rPr>
        <w:t xml:space="preserve"> are</w:t>
      </w:r>
      <w:r w:rsidR="00992092" w:rsidRPr="001C311E">
        <w:rPr>
          <w:spacing w:val="-3"/>
          <w:sz w:val="26"/>
          <w:szCs w:val="26"/>
        </w:rPr>
        <w:t xml:space="preserve"> d</w:t>
      </w:r>
      <w:r w:rsidR="00B3666D">
        <w:rPr>
          <w:spacing w:val="-3"/>
          <w:sz w:val="26"/>
          <w:szCs w:val="26"/>
        </w:rPr>
        <w:t>enied</w:t>
      </w:r>
      <w:r w:rsidR="00992092" w:rsidRPr="001C311E">
        <w:rPr>
          <w:spacing w:val="-3"/>
          <w:sz w:val="26"/>
          <w:szCs w:val="26"/>
        </w:rPr>
        <w:t>.</w:t>
      </w:r>
    </w:p>
    <w:p w:rsidR="00FA6B88" w:rsidRPr="001C311E" w:rsidRDefault="00FA6B88" w:rsidP="001C311E">
      <w:pPr>
        <w:pStyle w:val="NoSpacing"/>
        <w:spacing w:line="360" w:lineRule="auto"/>
        <w:ind w:firstLine="1440"/>
        <w:rPr>
          <w:spacing w:val="-3"/>
          <w:sz w:val="26"/>
          <w:szCs w:val="26"/>
        </w:rPr>
      </w:pPr>
    </w:p>
    <w:p w:rsidR="00067490" w:rsidRPr="001C311E" w:rsidRDefault="00067490" w:rsidP="001C311E">
      <w:pPr>
        <w:pStyle w:val="NoSpacing"/>
        <w:spacing w:line="360" w:lineRule="auto"/>
        <w:rPr>
          <w:spacing w:val="-3"/>
          <w:sz w:val="26"/>
          <w:szCs w:val="26"/>
        </w:rPr>
      </w:pPr>
      <w:r w:rsidRPr="001C311E">
        <w:rPr>
          <w:spacing w:val="-3"/>
          <w:sz w:val="26"/>
          <w:szCs w:val="26"/>
        </w:rPr>
        <w:tab/>
      </w:r>
      <w:r w:rsidR="00FA6B88" w:rsidRPr="001C311E">
        <w:rPr>
          <w:spacing w:val="-3"/>
          <w:sz w:val="26"/>
          <w:szCs w:val="26"/>
        </w:rPr>
        <w:tab/>
      </w:r>
      <w:r w:rsidR="00B3666D">
        <w:rPr>
          <w:spacing w:val="-3"/>
          <w:sz w:val="26"/>
          <w:szCs w:val="26"/>
        </w:rPr>
        <w:t>2</w:t>
      </w:r>
      <w:r w:rsidRPr="001C311E">
        <w:rPr>
          <w:spacing w:val="-3"/>
          <w:sz w:val="26"/>
          <w:szCs w:val="26"/>
        </w:rPr>
        <w:t>.</w:t>
      </w:r>
      <w:r w:rsidRPr="001C311E">
        <w:rPr>
          <w:spacing w:val="-3"/>
          <w:sz w:val="26"/>
          <w:szCs w:val="26"/>
        </w:rPr>
        <w:tab/>
        <w:t xml:space="preserve">That the Recommended Decision of Administrative Law </w:t>
      </w:r>
      <w:r w:rsidR="00B3666D" w:rsidRPr="004C023F">
        <w:rPr>
          <w:sz w:val="26"/>
          <w:szCs w:val="26"/>
        </w:rPr>
        <w:t xml:space="preserve">Judge </w:t>
      </w:r>
      <w:r w:rsidR="00B3666D">
        <w:rPr>
          <w:sz w:val="26"/>
          <w:szCs w:val="26"/>
        </w:rPr>
        <w:t>Katrina L. Dunderdale</w:t>
      </w:r>
      <w:r w:rsidR="00B3666D" w:rsidRPr="004C023F">
        <w:rPr>
          <w:sz w:val="26"/>
          <w:szCs w:val="26"/>
        </w:rPr>
        <w:t xml:space="preserve">, issued </w:t>
      </w:r>
      <w:r w:rsidR="00B3666D">
        <w:rPr>
          <w:sz w:val="26"/>
          <w:szCs w:val="26"/>
        </w:rPr>
        <w:t>on November 6, 2013,</w:t>
      </w:r>
      <w:r w:rsidRPr="001C311E">
        <w:rPr>
          <w:spacing w:val="-3"/>
          <w:sz w:val="26"/>
          <w:szCs w:val="26"/>
        </w:rPr>
        <w:t xml:space="preserve"> is adopted, consistent with this Opinion and Order.</w:t>
      </w:r>
    </w:p>
    <w:p w:rsidR="00067490" w:rsidRPr="001C311E" w:rsidRDefault="00067490" w:rsidP="001C311E">
      <w:pPr>
        <w:pStyle w:val="NoSpacing"/>
        <w:spacing w:line="360" w:lineRule="auto"/>
        <w:ind w:left="720" w:hanging="720"/>
        <w:rPr>
          <w:spacing w:val="-3"/>
          <w:sz w:val="26"/>
          <w:szCs w:val="26"/>
        </w:rPr>
      </w:pPr>
    </w:p>
    <w:p w:rsidR="00B53E8B" w:rsidRPr="001C311E" w:rsidRDefault="00F176AD" w:rsidP="001C311E">
      <w:pPr>
        <w:pStyle w:val="NoSpacing"/>
        <w:spacing w:line="360" w:lineRule="auto"/>
        <w:ind w:firstLine="1440"/>
        <w:rPr>
          <w:spacing w:val="-3"/>
          <w:sz w:val="26"/>
          <w:szCs w:val="26"/>
        </w:rPr>
      </w:pPr>
      <w:r>
        <w:rPr>
          <w:spacing w:val="-3"/>
          <w:sz w:val="26"/>
          <w:szCs w:val="26"/>
        </w:rPr>
        <w:t>3</w:t>
      </w:r>
      <w:r w:rsidR="0047221A" w:rsidRPr="001C311E">
        <w:rPr>
          <w:spacing w:val="-3"/>
          <w:sz w:val="26"/>
          <w:szCs w:val="26"/>
        </w:rPr>
        <w:t xml:space="preserve">. </w:t>
      </w:r>
      <w:r w:rsidR="00B53E8B" w:rsidRPr="001C311E">
        <w:rPr>
          <w:spacing w:val="-3"/>
          <w:sz w:val="26"/>
          <w:szCs w:val="26"/>
        </w:rPr>
        <w:tab/>
      </w:r>
      <w:r w:rsidR="0047221A" w:rsidRPr="001C311E">
        <w:rPr>
          <w:spacing w:val="-3"/>
          <w:sz w:val="26"/>
          <w:szCs w:val="26"/>
        </w:rPr>
        <w:t xml:space="preserve">That </w:t>
      </w:r>
      <w:r>
        <w:rPr>
          <w:spacing w:val="-3"/>
          <w:sz w:val="26"/>
          <w:szCs w:val="26"/>
        </w:rPr>
        <w:t>Peoples TWP LLC</w:t>
      </w:r>
      <w:r w:rsidR="0047221A" w:rsidRPr="001C311E">
        <w:rPr>
          <w:spacing w:val="-3"/>
          <w:sz w:val="26"/>
          <w:szCs w:val="26"/>
        </w:rPr>
        <w:t xml:space="preserve"> shall not place into effect the rates, rules, and regulations contained in </w:t>
      </w:r>
      <w:r w:rsidRPr="000C4001">
        <w:rPr>
          <w:sz w:val="26"/>
        </w:rPr>
        <w:t xml:space="preserve">Original Tariff Gas – Pa. P.U.C. No. 8 </w:t>
      </w:r>
      <w:r w:rsidR="0047221A" w:rsidRPr="001C311E">
        <w:rPr>
          <w:spacing w:val="-3"/>
          <w:sz w:val="26"/>
          <w:szCs w:val="26"/>
        </w:rPr>
        <w:t xml:space="preserve">as filed on </w:t>
      </w:r>
      <w:r>
        <w:rPr>
          <w:spacing w:val="-3"/>
          <w:sz w:val="26"/>
          <w:szCs w:val="26"/>
        </w:rPr>
        <w:t>April 30</w:t>
      </w:r>
      <w:r w:rsidR="00E300A7" w:rsidRPr="001C311E">
        <w:rPr>
          <w:spacing w:val="-3"/>
          <w:sz w:val="26"/>
          <w:szCs w:val="26"/>
        </w:rPr>
        <w:t>, 201</w:t>
      </w:r>
      <w:r>
        <w:rPr>
          <w:spacing w:val="-3"/>
          <w:sz w:val="26"/>
          <w:szCs w:val="26"/>
        </w:rPr>
        <w:t>3</w:t>
      </w:r>
      <w:r w:rsidR="0047221A" w:rsidRPr="001C311E">
        <w:rPr>
          <w:spacing w:val="-3"/>
          <w:sz w:val="26"/>
          <w:szCs w:val="26"/>
        </w:rPr>
        <w:t>, the same having been found to be unjust, unreasonable, and therefore, unlawful.</w:t>
      </w:r>
    </w:p>
    <w:p w:rsidR="00B53E8B" w:rsidRPr="001C311E" w:rsidRDefault="00B53E8B" w:rsidP="001C311E">
      <w:pPr>
        <w:pStyle w:val="NoSpacing"/>
        <w:spacing w:line="360" w:lineRule="auto"/>
        <w:ind w:firstLine="1440"/>
        <w:rPr>
          <w:spacing w:val="-3"/>
          <w:sz w:val="26"/>
          <w:szCs w:val="26"/>
        </w:rPr>
      </w:pPr>
    </w:p>
    <w:p w:rsidR="00B53E8B" w:rsidRPr="001C311E" w:rsidRDefault="00F176AD" w:rsidP="001C311E">
      <w:pPr>
        <w:pStyle w:val="NoSpacing"/>
        <w:spacing w:line="360" w:lineRule="auto"/>
        <w:ind w:firstLine="1440"/>
        <w:rPr>
          <w:spacing w:val="-3"/>
          <w:sz w:val="26"/>
          <w:szCs w:val="26"/>
        </w:rPr>
      </w:pPr>
      <w:r>
        <w:rPr>
          <w:spacing w:val="-3"/>
          <w:sz w:val="26"/>
          <w:szCs w:val="26"/>
        </w:rPr>
        <w:t>4</w:t>
      </w:r>
      <w:r w:rsidR="0047221A" w:rsidRPr="001C311E">
        <w:rPr>
          <w:spacing w:val="-3"/>
          <w:sz w:val="26"/>
          <w:szCs w:val="26"/>
        </w:rPr>
        <w:t xml:space="preserve">. </w:t>
      </w:r>
      <w:r w:rsidR="00B53E8B" w:rsidRPr="001C311E">
        <w:rPr>
          <w:spacing w:val="-3"/>
          <w:sz w:val="26"/>
          <w:szCs w:val="26"/>
        </w:rPr>
        <w:tab/>
      </w:r>
      <w:r w:rsidR="0047221A" w:rsidRPr="001C311E">
        <w:rPr>
          <w:spacing w:val="-3"/>
          <w:sz w:val="26"/>
          <w:szCs w:val="26"/>
        </w:rPr>
        <w:t>That the rates, terms</w:t>
      </w:r>
      <w:r>
        <w:rPr>
          <w:spacing w:val="-3"/>
          <w:sz w:val="26"/>
          <w:szCs w:val="26"/>
        </w:rPr>
        <w:t>,</w:t>
      </w:r>
      <w:r w:rsidR="0047221A" w:rsidRPr="001C311E">
        <w:rPr>
          <w:spacing w:val="-3"/>
          <w:sz w:val="26"/>
          <w:szCs w:val="26"/>
        </w:rPr>
        <w:t xml:space="preserve"> and conditions contained in the Joint </w:t>
      </w:r>
      <w:r>
        <w:rPr>
          <w:spacing w:val="-3"/>
          <w:sz w:val="26"/>
          <w:szCs w:val="26"/>
        </w:rPr>
        <w:t xml:space="preserve">Petition for </w:t>
      </w:r>
      <w:r w:rsidR="0047221A" w:rsidRPr="001C311E">
        <w:rPr>
          <w:spacing w:val="-3"/>
          <w:sz w:val="26"/>
          <w:szCs w:val="26"/>
        </w:rPr>
        <w:t xml:space="preserve">Settlement filed by </w:t>
      </w:r>
      <w:r w:rsidRPr="000C4001">
        <w:rPr>
          <w:sz w:val="26"/>
        </w:rPr>
        <w:t>Peoples TWP</w:t>
      </w:r>
      <w:r>
        <w:rPr>
          <w:sz w:val="26"/>
        </w:rPr>
        <w:t xml:space="preserve"> LLC</w:t>
      </w:r>
      <w:r w:rsidRPr="000C4001">
        <w:rPr>
          <w:sz w:val="26"/>
        </w:rPr>
        <w:t xml:space="preserve">, </w:t>
      </w:r>
      <w:r>
        <w:rPr>
          <w:sz w:val="26"/>
        </w:rPr>
        <w:t xml:space="preserve">the </w:t>
      </w:r>
      <w:r w:rsidRPr="000C4001">
        <w:rPr>
          <w:sz w:val="26"/>
        </w:rPr>
        <w:t>O</w:t>
      </w:r>
      <w:r>
        <w:rPr>
          <w:sz w:val="26"/>
        </w:rPr>
        <w:t xml:space="preserve">ffice of </w:t>
      </w:r>
      <w:r w:rsidRPr="000C4001">
        <w:rPr>
          <w:sz w:val="26"/>
        </w:rPr>
        <w:t>C</w:t>
      </w:r>
      <w:r>
        <w:rPr>
          <w:sz w:val="26"/>
        </w:rPr>
        <w:t xml:space="preserve">onsumer </w:t>
      </w:r>
      <w:r w:rsidRPr="000C4001">
        <w:rPr>
          <w:sz w:val="26"/>
        </w:rPr>
        <w:t>A</w:t>
      </w:r>
      <w:r>
        <w:rPr>
          <w:sz w:val="26"/>
        </w:rPr>
        <w:t>dvocate</w:t>
      </w:r>
      <w:r w:rsidRPr="000C4001">
        <w:rPr>
          <w:sz w:val="26"/>
        </w:rPr>
        <w:t xml:space="preserve">, </w:t>
      </w:r>
      <w:r>
        <w:rPr>
          <w:sz w:val="26"/>
        </w:rPr>
        <w:t xml:space="preserve">the </w:t>
      </w:r>
      <w:r w:rsidRPr="000C4001">
        <w:rPr>
          <w:sz w:val="26"/>
        </w:rPr>
        <w:t>O</w:t>
      </w:r>
      <w:r>
        <w:rPr>
          <w:sz w:val="26"/>
        </w:rPr>
        <w:t xml:space="preserve">ffice of </w:t>
      </w:r>
      <w:r w:rsidRPr="000C4001">
        <w:rPr>
          <w:sz w:val="26"/>
        </w:rPr>
        <w:t>S</w:t>
      </w:r>
      <w:r>
        <w:rPr>
          <w:sz w:val="26"/>
        </w:rPr>
        <w:t xml:space="preserve">mall </w:t>
      </w:r>
      <w:r w:rsidRPr="000C4001">
        <w:rPr>
          <w:sz w:val="26"/>
        </w:rPr>
        <w:t>B</w:t>
      </w:r>
      <w:r>
        <w:rPr>
          <w:sz w:val="26"/>
        </w:rPr>
        <w:t xml:space="preserve">usiness </w:t>
      </w:r>
      <w:r w:rsidRPr="000C4001">
        <w:rPr>
          <w:sz w:val="26"/>
        </w:rPr>
        <w:t>A</w:t>
      </w:r>
      <w:r>
        <w:rPr>
          <w:sz w:val="26"/>
        </w:rPr>
        <w:t>dvocate,</w:t>
      </w:r>
      <w:r w:rsidRPr="000C4001">
        <w:rPr>
          <w:sz w:val="26"/>
        </w:rPr>
        <w:t xml:space="preserve"> and </w:t>
      </w:r>
      <w:r>
        <w:rPr>
          <w:sz w:val="26"/>
        </w:rPr>
        <w:t xml:space="preserve">the Bureau of </w:t>
      </w:r>
      <w:r w:rsidRPr="000C4001">
        <w:rPr>
          <w:sz w:val="26"/>
        </w:rPr>
        <w:t>I</w:t>
      </w:r>
      <w:r>
        <w:rPr>
          <w:sz w:val="26"/>
        </w:rPr>
        <w:t xml:space="preserve">nvestigation and </w:t>
      </w:r>
      <w:r w:rsidRPr="000C4001">
        <w:rPr>
          <w:sz w:val="26"/>
        </w:rPr>
        <w:t>E</w:t>
      </w:r>
      <w:r>
        <w:rPr>
          <w:sz w:val="26"/>
        </w:rPr>
        <w:t>nforcement</w:t>
      </w:r>
      <w:r w:rsidR="001A63E2" w:rsidRPr="001C311E">
        <w:rPr>
          <w:spacing w:val="-3"/>
          <w:sz w:val="26"/>
          <w:szCs w:val="26"/>
        </w:rPr>
        <w:t xml:space="preserve"> </w:t>
      </w:r>
      <w:r>
        <w:rPr>
          <w:spacing w:val="-3"/>
          <w:sz w:val="26"/>
          <w:szCs w:val="26"/>
        </w:rPr>
        <w:t>on October 7</w:t>
      </w:r>
      <w:r w:rsidR="001A63E2" w:rsidRPr="001C311E">
        <w:rPr>
          <w:spacing w:val="-3"/>
          <w:sz w:val="26"/>
          <w:szCs w:val="26"/>
        </w:rPr>
        <w:t>, 201</w:t>
      </w:r>
      <w:r>
        <w:rPr>
          <w:spacing w:val="-3"/>
          <w:sz w:val="26"/>
          <w:szCs w:val="26"/>
        </w:rPr>
        <w:t>3</w:t>
      </w:r>
      <w:r w:rsidR="001A63E2" w:rsidRPr="001C311E">
        <w:rPr>
          <w:spacing w:val="-3"/>
          <w:sz w:val="26"/>
          <w:szCs w:val="26"/>
        </w:rPr>
        <w:t xml:space="preserve">, </w:t>
      </w:r>
      <w:r w:rsidR="0047221A" w:rsidRPr="001C311E">
        <w:rPr>
          <w:spacing w:val="-3"/>
          <w:sz w:val="26"/>
          <w:szCs w:val="26"/>
        </w:rPr>
        <w:t>be approved and adopted consistent with the discussion contained herein.</w:t>
      </w:r>
    </w:p>
    <w:p w:rsidR="00AE37F3" w:rsidRPr="001C311E" w:rsidRDefault="00AE37F3" w:rsidP="001C311E">
      <w:pPr>
        <w:pStyle w:val="NoSpacing"/>
        <w:spacing w:line="360" w:lineRule="auto"/>
        <w:ind w:firstLine="1440"/>
        <w:rPr>
          <w:spacing w:val="-3"/>
          <w:sz w:val="26"/>
          <w:szCs w:val="26"/>
        </w:rPr>
      </w:pPr>
    </w:p>
    <w:p w:rsidR="00B53E8B" w:rsidRPr="001C311E" w:rsidRDefault="00706ADF" w:rsidP="001C311E">
      <w:pPr>
        <w:pStyle w:val="NoSpacing"/>
        <w:spacing w:line="360" w:lineRule="auto"/>
        <w:ind w:firstLine="1440"/>
        <w:rPr>
          <w:spacing w:val="-3"/>
          <w:sz w:val="26"/>
          <w:szCs w:val="26"/>
        </w:rPr>
      </w:pPr>
      <w:r>
        <w:rPr>
          <w:spacing w:val="-3"/>
          <w:sz w:val="26"/>
          <w:szCs w:val="26"/>
        </w:rPr>
        <w:t>5</w:t>
      </w:r>
      <w:r w:rsidR="0047221A" w:rsidRPr="001C311E">
        <w:rPr>
          <w:spacing w:val="-3"/>
          <w:sz w:val="26"/>
          <w:szCs w:val="26"/>
        </w:rPr>
        <w:t xml:space="preserve">. </w:t>
      </w:r>
      <w:r w:rsidR="00EC6C6C" w:rsidRPr="001C311E">
        <w:rPr>
          <w:spacing w:val="-3"/>
          <w:sz w:val="26"/>
          <w:szCs w:val="26"/>
        </w:rPr>
        <w:tab/>
      </w:r>
      <w:r w:rsidR="0047221A" w:rsidRPr="001C311E">
        <w:rPr>
          <w:spacing w:val="-3"/>
          <w:sz w:val="26"/>
          <w:szCs w:val="26"/>
        </w:rPr>
        <w:t>That</w:t>
      </w:r>
      <w:r w:rsidR="00FE093D">
        <w:rPr>
          <w:spacing w:val="-3"/>
          <w:sz w:val="26"/>
          <w:szCs w:val="26"/>
        </w:rPr>
        <w:t>,</w:t>
      </w:r>
      <w:r w:rsidR="0047221A" w:rsidRPr="001C311E">
        <w:rPr>
          <w:spacing w:val="-3"/>
          <w:sz w:val="26"/>
          <w:szCs w:val="26"/>
        </w:rPr>
        <w:t xml:space="preserve"> </w:t>
      </w:r>
      <w:r w:rsidR="00AE37F3" w:rsidRPr="001C311E">
        <w:rPr>
          <w:spacing w:val="-3"/>
          <w:sz w:val="26"/>
          <w:szCs w:val="26"/>
        </w:rPr>
        <w:t xml:space="preserve">upon entry of the instant Opinion and Order, </w:t>
      </w:r>
      <w:r w:rsidR="00C77A35">
        <w:rPr>
          <w:spacing w:val="-3"/>
          <w:sz w:val="26"/>
          <w:szCs w:val="26"/>
        </w:rPr>
        <w:t xml:space="preserve">Peoples TWP LLC </w:t>
      </w:r>
      <w:r w:rsidR="00AE37F3" w:rsidRPr="001C311E">
        <w:rPr>
          <w:spacing w:val="-3"/>
          <w:sz w:val="26"/>
          <w:szCs w:val="26"/>
        </w:rPr>
        <w:t xml:space="preserve">shall </w:t>
      </w:r>
      <w:r w:rsidR="0047221A" w:rsidRPr="001C311E">
        <w:rPr>
          <w:spacing w:val="-3"/>
          <w:sz w:val="26"/>
          <w:szCs w:val="26"/>
        </w:rPr>
        <w:t xml:space="preserve">file a tariff supplement in substantially the same form as that attached as Appendix </w:t>
      </w:r>
      <w:r w:rsidR="00B53E8B" w:rsidRPr="001C311E">
        <w:rPr>
          <w:spacing w:val="-3"/>
          <w:sz w:val="26"/>
          <w:szCs w:val="26"/>
        </w:rPr>
        <w:t>“</w:t>
      </w:r>
      <w:r w:rsidR="00C77A35">
        <w:rPr>
          <w:spacing w:val="-3"/>
          <w:sz w:val="26"/>
          <w:szCs w:val="26"/>
        </w:rPr>
        <w:t>B</w:t>
      </w:r>
      <w:r w:rsidR="00B53E8B" w:rsidRPr="001C311E">
        <w:rPr>
          <w:spacing w:val="-3"/>
          <w:sz w:val="26"/>
          <w:szCs w:val="26"/>
        </w:rPr>
        <w:t>”</w:t>
      </w:r>
      <w:r w:rsidR="0047221A" w:rsidRPr="001C311E">
        <w:rPr>
          <w:spacing w:val="-3"/>
          <w:sz w:val="26"/>
          <w:szCs w:val="26"/>
        </w:rPr>
        <w:t xml:space="preserve"> to the Joint Petition </w:t>
      </w:r>
      <w:r w:rsidR="00C77A35">
        <w:rPr>
          <w:spacing w:val="-3"/>
          <w:sz w:val="26"/>
          <w:szCs w:val="26"/>
        </w:rPr>
        <w:t>for Settlement</w:t>
      </w:r>
      <w:r w:rsidR="002E0744" w:rsidRPr="001C311E">
        <w:rPr>
          <w:spacing w:val="-3"/>
          <w:sz w:val="26"/>
          <w:szCs w:val="26"/>
        </w:rPr>
        <w:t>,</w:t>
      </w:r>
      <w:r w:rsidR="0047221A" w:rsidRPr="001C311E">
        <w:rPr>
          <w:spacing w:val="-3"/>
          <w:sz w:val="26"/>
          <w:szCs w:val="26"/>
        </w:rPr>
        <w:t xml:space="preserve"> at Docket No. </w:t>
      </w:r>
      <w:r w:rsidR="00E300A7" w:rsidRPr="001C311E">
        <w:rPr>
          <w:spacing w:val="-3"/>
          <w:sz w:val="26"/>
          <w:szCs w:val="26"/>
        </w:rPr>
        <w:t>R</w:t>
      </w:r>
      <w:r w:rsidR="001C311E">
        <w:rPr>
          <w:spacing w:val="-3"/>
          <w:sz w:val="26"/>
          <w:szCs w:val="26"/>
        </w:rPr>
        <w:noBreakHyphen/>
      </w:r>
      <w:r w:rsidR="00E300A7" w:rsidRPr="001C311E">
        <w:rPr>
          <w:spacing w:val="-3"/>
          <w:sz w:val="26"/>
          <w:szCs w:val="26"/>
        </w:rPr>
        <w:t>201</w:t>
      </w:r>
      <w:r w:rsidR="00C77A35">
        <w:rPr>
          <w:spacing w:val="-3"/>
          <w:sz w:val="26"/>
          <w:szCs w:val="26"/>
        </w:rPr>
        <w:t>3</w:t>
      </w:r>
      <w:r w:rsidR="00E300A7" w:rsidRPr="001C311E">
        <w:rPr>
          <w:spacing w:val="-3"/>
          <w:sz w:val="26"/>
          <w:szCs w:val="26"/>
        </w:rPr>
        <w:t>-</w:t>
      </w:r>
      <w:r w:rsidR="00C77A35">
        <w:rPr>
          <w:spacing w:val="-3"/>
          <w:sz w:val="26"/>
          <w:szCs w:val="26"/>
        </w:rPr>
        <w:t>2355886</w:t>
      </w:r>
      <w:r w:rsidR="002E0744" w:rsidRPr="001C311E">
        <w:rPr>
          <w:spacing w:val="-3"/>
          <w:sz w:val="26"/>
          <w:szCs w:val="26"/>
        </w:rPr>
        <w:t>,</w:t>
      </w:r>
      <w:r w:rsidR="0047221A" w:rsidRPr="001C311E">
        <w:rPr>
          <w:spacing w:val="-3"/>
          <w:sz w:val="26"/>
          <w:szCs w:val="26"/>
        </w:rPr>
        <w:t xml:space="preserve"> reflecting the rates, rules, and regulations</w:t>
      </w:r>
      <w:r w:rsidR="002E0744" w:rsidRPr="001C311E">
        <w:rPr>
          <w:spacing w:val="-3"/>
          <w:sz w:val="26"/>
          <w:szCs w:val="26"/>
        </w:rPr>
        <w:t xml:space="preserve"> therein,</w:t>
      </w:r>
      <w:r w:rsidR="0047221A" w:rsidRPr="001C311E">
        <w:rPr>
          <w:spacing w:val="-3"/>
          <w:sz w:val="26"/>
          <w:szCs w:val="26"/>
        </w:rPr>
        <w:t xml:space="preserve"> to become effective upon one day's notice</w:t>
      </w:r>
      <w:r w:rsidR="00C77A35">
        <w:rPr>
          <w:spacing w:val="-3"/>
          <w:sz w:val="26"/>
          <w:szCs w:val="26"/>
        </w:rPr>
        <w:t xml:space="preserve"> for service on and after January 1, 2014</w:t>
      </w:r>
      <w:r w:rsidR="0047221A" w:rsidRPr="001C311E">
        <w:rPr>
          <w:spacing w:val="-3"/>
          <w:sz w:val="26"/>
          <w:szCs w:val="26"/>
        </w:rPr>
        <w:t>, consistent with the discussion contained herein.</w:t>
      </w:r>
    </w:p>
    <w:p w:rsidR="00B53E8B" w:rsidRPr="001C311E" w:rsidRDefault="00B53E8B" w:rsidP="001C311E">
      <w:pPr>
        <w:pStyle w:val="NoSpacing"/>
        <w:spacing w:line="360" w:lineRule="auto"/>
        <w:ind w:firstLine="1440"/>
        <w:rPr>
          <w:spacing w:val="-3"/>
          <w:sz w:val="26"/>
          <w:szCs w:val="26"/>
        </w:rPr>
      </w:pPr>
    </w:p>
    <w:p w:rsidR="00423FB5" w:rsidRDefault="00706ADF" w:rsidP="001C311E">
      <w:pPr>
        <w:pStyle w:val="NoSpacing"/>
        <w:spacing w:line="360" w:lineRule="auto"/>
        <w:ind w:firstLine="1440"/>
        <w:rPr>
          <w:spacing w:val="-3"/>
          <w:sz w:val="26"/>
          <w:szCs w:val="26"/>
        </w:rPr>
      </w:pPr>
      <w:r>
        <w:rPr>
          <w:spacing w:val="-3"/>
          <w:sz w:val="26"/>
          <w:szCs w:val="26"/>
        </w:rPr>
        <w:t>6</w:t>
      </w:r>
      <w:r w:rsidR="00423FB5">
        <w:rPr>
          <w:spacing w:val="-3"/>
          <w:sz w:val="26"/>
          <w:szCs w:val="26"/>
        </w:rPr>
        <w:t>.</w:t>
      </w:r>
      <w:r w:rsidR="00423FB5">
        <w:rPr>
          <w:spacing w:val="-3"/>
          <w:sz w:val="26"/>
          <w:szCs w:val="26"/>
        </w:rPr>
        <w:tab/>
        <w:t>That Peoples TWP LLC shall allocate the authorized increase in operating revenue to each customer class</w:t>
      </w:r>
      <w:r w:rsidR="00781631">
        <w:rPr>
          <w:spacing w:val="-3"/>
          <w:sz w:val="26"/>
          <w:szCs w:val="26"/>
        </w:rPr>
        <w:t xml:space="preserve"> and shall implement the rate </w:t>
      </w:r>
      <w:r w:rsidR="008B3EF0">
        <w:rPr>
          <w:spacing w:val="-3"/>
          <w:sz w:val="26"/>
          <w:szCs w:val="26"/>
        </w:rPr>
        <w:t>design as</w:t>
      </w:r>
      <w:r w:rsidR="00781631">
        <w:rPr>
          <w:spacing w:val="-3"/>
          <w:sz w:val="26"/>
          <w:szCs w:val="26"/>
        </w:rPr>
        <w:t xml:space="preserve"> set forth in Appendix “A” to the Joint Petition for Settlement.</w:t>
      </w:r>
      <w:r w:rsidR="00423FB5">
        <w:rPr>
          <w:spacing w:val="-3"/>
          <w:sz w:val="26"/>
          <w:szCs w:val="26"/>
        </w:rPr>
        <w:tab/>
      </w:r>
    </w:p>
    <w:p w:rsidR="00423FB5" w:rsidRDefault="00423FB5" w:rsidP="001C311E">
      <w:pPr>
        <w:pStyle w:val="NoSpacing"/>
        <w:spacing w:line="360" w:lineRule="auto"/>
        <w:ind w:firstLine="1440"/>
        <w:rPr>
          <w:spacing w:val="-3"/>
          <w:sz w:val="26"/>
          <w:szCs w:val="26"/>
        </w:rPr>
      </w:pPr>
    </w:p>
    <w:p w:rsidR="00AB3749" w:rsidRDefault="00706ADF" w:rsidP="001C311E">
      <w:pPr>
        <w:pStyle w:val="NoSpacing"/>
        <w:spacing w:line="360" w:lineRule="auto"/>
        <w:ind w:firstLine="1440"/>
        <w:rPr>
          <w:spacing w:val="-3"/>
          <w:sz w:val="26"/>
          <w:szCs w:val="26"/>
        </w:rPr>
      </w:pPr>
      <w:r>
        <w:rPr>
          <w:spacing w:val="-3"/>
          <w:sz w:val="26"/>
          <w:szCs w:val="26"/>
        </w:rPr>
        <w:lastRenderedPageBreak/>
        <w:t>7</w:t>
      </w:r>
      <w:r w:rsidR="00AB3749">
        <w:rPr>
          <w:spacing w:val="-3"/>
          <w:sz w:val="26"/>
          <w:szCs w:val="26"/>
        </w:rPr>
        <w:t>.</w:t>
      </w:r>
      <w:r w:rsidR="00AB3749">
        <w:rPr>
          <w:spacing w:val="-3"/>
          <w:sz w:val="26"/>
          <w:szCs w:val="26"/>
        </w:rPr>
        <w:tab/>
        <w:t xml:space="preserve">That the Formal Complaints filed by </w:t>
      </w:r>
      <w:r w:rsidR="00E46C22">
        <w:rPr>
          <w:spacing w:val="-3"/>
          <w:sz w:val="26"/>
          <w:szCs w:val="26"/>
        </w:rPr>
        <w:t>the Office of Consumer Advocate </w:t>
      </w:r>
      <w:r w:rsidR="00AB3749">
        <w:rPr>
          <w:spacing w:val="-3"/>
          <w:sz w:val="26"/>
          <w:szCs w:val="26"/>
        </w:rPr>
        <w:t>and the Office of Small Business Advocate at Docket</w:t>
      </w:r>
      <w:r w:rsidR="00E46C22">
        <w:rPr>
          <w:spacing w:val="-3"/>
          <w:sz w:val="26"/>
          <w:szCs w:val="26"/>
        </w:rPr>
        <w:t xml:space="preserve"> Nos. C-2013-2364471 and C</w:t>
      </w:r>
      <w:r w:rsidR="00E46C22">
        <w:rPr>
          <w:spacing w:val="-3"/>
          <w:sz w:val="26"/>
          <w:szCs w:val="26"/>
        </w:rPr>
        <w:noBreakHyphen/>
        <w:t>2013</w:t>
      </w:r>
      <w:r w:rsidR="00E46C22">
        <w:rPr>
          <w:spacing w:val="-3"/>
          <w:sz w:val="26"/>
          <w:szCs w:val="26"/>
        </w:rPr>
        <w:noBreakHyphen/>
      </w:r>
      <w:r w:rsidR="00AB3749">
        <w:rPr>
          <w:spacing w:val="-3"/>
          <w:sz w:val="26"/>
          <w:szCs w:val="26"/>
        </w:rPr>
        <w:t xml:space="preserve">2364669, respectively, are dismissed, consistent with this Opinion and Order. </w:t>
      </w:r>
    </w:p>
    <w:p w:rsidR="00A8762E" w:rsidRDefault="00A8762E" w:rsidP="001C311E">
      <w:pPr>
        <w:pStyle w:val="NoSpacing"/>
        <w:spacing w:line="360" w:lineRule="auto"/>
        <w:ind w:firstLine="1440"/>
        <w:rPr>
          <w:spacing w:val="-3"/>
          <w:sz w:val="26"/>
          <w:szCs w:val="26"/>
        </w:rPr>
      </w:pPr>
    </w:p>
    <w:p w:rsidR="00732965" w:rsidRPr="00732965" w:rsidRDefault="00706ADF" w:rsidP="00732965">
      <w:pPr>
        <w:spacing w:after="0" w:line="360" w:lineRule="auto"/>
        <w:ind w:firstLine="1440"/>
        <w:rPr>
          <w:rFonts w:ascii="Times New Roman" w:hAnsi="Times New Roman"/>
          <w:sz w:val="26"/>
        </w:rPr>
      </w:pPr>
      <w:r>
        <w:rPr>
          <w:rFonts w:ascii="Times New Roman" w:hAnsi="Times New Roman"/>
          <w:spacing w:val="-3"/>
          <w:sz w:val="26"/>
          <w:szCs w:val="26"/>
        </w:rPr>
        <w:t>8</w:t>
      </w:r>
      <w:r w:rsidR="00A8762E" w:rsidRPr="00732965">
        <w:rPr>
          <w:rFonts w:ascii="Times New Roman" w:hAnsi="Times New Roman"/>
          <w:spacing w:val="-3"/>
          <w:sz w:val="26"/>
          <w:szCs w:val="26"/>
        </w:rPr>
        <w:t>.</w:t>
      </w:r>
      <w:r w:rsidR="00A8762E" w:rsidRPr="00732965">
        <w:rPr>
          <w:rFonts w:ascii="Times New Roman" w:hAnsi="Times New Roman"/>
          <w:spacing w:val="-3"/>
          <w:sz w:val="26"/>
          <w:szCs w:val="26"/>
        </w:rPr>
        <w:tab/>
        <w:t xml:space="preserve">That the Formal Complaints filed by </w:t>
      </w:r>
      <w:r w:rsidR="00732965" w:rsidRPr="00732965">
        <w:rPr>
          <w:rFonts w:ascii="Times New Roman" w:hAnsi="Times New Roman"/>
          <w:sz w:val="26"/>
        </w:rPr>
        <w:t>Dawn B. Spielvogel</w:t>
      </w:r>
      <w:r w:rsidR="00703E3A">
        <w:rPr>
          <w:rFonts w:ascii="Times New Roman" w:hAnsi="Times New Roman"/>
          <w:sz w:val="26"/>
        </w:rPr>
        <w:t xml:space="preserve"> </w:t>
      </w:r>
      <w:r w:rsidR="00732965" w:rsidRPr="00732965">
        <w:rPr>
          <w:rFonts w:ascii="Times New Roman" w:hAnsi="Times New Roman"/>
          <w:sz w:val="26"/>
        </w:rPr>
        <w:t xml:space="preserve">, Charles Glendening, Neil Cooper, Megan Rummel, Susan Hilliard, Carol George, Kathleen Tack, Lawrence Sumansky, Amy and John Beiler, Gertrude Blair, </w:t>
      </w:r>
      <w:r w:rsidR="00D14AEE" w:rsidRPr="00732965">
        <w:rPr>
          <w:rFonts w:ascii="Times New Roman" w:hAnsi="Times New Roman"/>
          <w:sz w:val="26"/>
        </w:rPr>
        <w:t>and Tim</w:t>
      </w:r>
      <w:r w:rsidR="00732965" w:rsidRPr="00732965">
        <w:rPr>
          <w:rFonts w:ascii="Times New Roman" w:hAnsi="Times New Roman"/>
          <w:sz w:val="26"/>
        </w:rPr>
        <w:t xml:space="preserve"> Oesterling</w:t>
      </w:r>
      <w:r w:rsidR="00732965">
        <w:rPr>
          <w:rFonts w:ascii="Times New Roman" w:hAnsi="Times New Roman"/>
          <w:sz w:val="26"/>
        </w:rPr>
        <w:t xml:space="preserve"> are dismissed, consistent with this Opinion and Order</w:t>
      </w:r>
      <w:r w:rsidR="00732965" w:rsidRPr="00732965">
        <w:rPr>
          <w:rFonts w:ascii="Times New Roman" w:hAnsi="Times New Roman"/>
          <w:sz w:val="26"/>
        </w:rPr>
        <w:t>.</w:t>
      </w:r>
      <w:r w:rsidR="00732965">
        <w:rPr>
          <w:rFonts w:ascii="Times New Roman" w:hAnsi="Times New Roman"/>
          <w:sz w:val="26"/>
        </w:rPr>
        <w:t xml:space="preserve">  </w:t>
      </w:r>
    </w:p>
    <w:p w:rsidR="00FA22E4" w:rsidRDefault="00FA22E4" w:rsidP="001C311E">
      <w:pPr>
        <w:pStyle w:val="NoSpacing"/>
        <w:spacing w:line="360" w:lineRule="auto"/>
        <w:ind w:firstLine="1440"/>
        <w:rPr>
          <w:spacing w:val="-3"/>
          <w:sz w:val="26"/>
          <w:szCs w:val="26"/>
        </w:rPr>
      </w:pPr>
    </w:p>
    <w:p w:rsidR="00A8762E" w:rsidRDefault="00706ADF" w:rsidP="001C311E">
      <w:pPr>
        <w:pStyle w:val="NoSpacing"/>
        <w:spacing w:line="360" w:lineRule="auto"/>
        <w:ind w:firstLine="1440"/>
        <w:rPr>
          <w:spacing w:val="-3"/>
          <w:sz w:val="26"/>
          <w:szCs w:val="26"/>
        </w:rPr>
      </w:pPr>
      <w:r>
        <w:rPr>
          <w:spacing w:val="-3"/>
          <w:sz w:val="26"/>
          <w:szCs w:val="26"/>
        </w:rPr>
        <w:t>9</w:t>
      </w:r>
      <w:r w:rsidR="009B60D1">
        <w:rPr>
          <w:spacing w:val="-3"/>
          <w:sz w:val="26"/>
          <w:szCs w:val="26"/>
        </w:rPr>
        <w:t>.</w:t>
      </w:r>
      <w:r w:rsidR="009B60D1">
        <w:rPr>
          <w:spacing w:val="-3"/>
          <w:sz w:val="26"/>
          <w:szCs w:val="26"/>
        </w:rPr>
        <w:tab/>
      </w:r>
      <w:r w:rsidR="00D61A56">
        <w:rPr>
          <w:spacing w:val="-3"/>
          <w:sz w:val="26"/>
          <w:szCs w:val="26"/>
        </w:rPr>
        <w:t xml:space="preserve">That, on or before May 1, 2014, Peoples TWP LLC shall file with the Commission’s Secretary’s Bureau and provide to the Commission’s Bureau of Technical Utility Services, the Bureau of Investigation and Enforcement, the Office of Consumer Advocate, and the Office of Small Business Advocate an update to Peoples TWP LLC Exhibit No. AC-2, which will include capital expenditures, plant additions, and retirements for the twelve months ending January 31, 2014.  </w:t>
      </w:r>
    </w:p>
    <w:p w:rsidR="00D61A56" w:rsidRDefault="00D61A56" w:rsidP="001C311E">
      <w:pPr>
        <w:pStyle w:val="NoSpacing"/>
        <w:spacing w:line="360" w:lineRule="auto"/>
        <w:ind w:firstLine="1440"/>
        <w:rPr>
          <w:spacing w:val="-3"/>
          <w:sz w:val="26"/>
          <w:szCs w:val="26"/>
        </w:rPr>
      </w:pPr>
    </w:p>
    <w:p w:rsidR="00EB64FF" w:rsidRDefault="00EB64FF" w:rsidP="00EB64FF">
      <w:pPr>
        <w:pStyle w:val="NoSpacing"/>
        <w:spacing w:line="360" w:lineRule="auto"/>
        <w:ind w:firstLine="1440"/>
        <w:rPr>
          <w:spacing w:val="-3"/>
          <w:sz w:val="26"/>
          <w:szCs w:val="26"/>
        </w:rPr>
      </w:pPr>
      <w:r>
        <w:rPr>
          <w:spacing w:val="-3"/>
          <w:sz w:val="26"/>
          <w:szCs w:val="26"/>
        </w:rPr>
        <w:t>1</w:t>
      </w:r>
      <w:r w:rsidR="00706ADF">
        <w:rPr>
          <w:spacing w:val="-3"/>
          <w:sz w:val="26"/>
          <w:szCs w:val="26"/>
        </w:rPr>
        <w:t>0</w:t>
      </w:r>
      <w:r>
        <w:rPr>
          <w:spacing w:val="-3"/>
          <w:sz w:val="26"/>
          <w:szCs w:val="26"/>
        </w:rPr>
        <w:t>.</w:t>
      </w:r>
      <w:r>
        <w:rPr>
          <w:spacing w:val="-3"/>
          <w:sz w:val="26"/>
          <w:szCs w:val="26"/>
        </w:rPr>
        <w:tab/>
        <w:t xml:space="preserve">That, on or before May 1, 2015, Peoples TWP LLC shall file with the Commission’s Secretary’s Bureau and provide to the Commission’s Bureau of Technical Utility Services, the Bureau of Investigation and Enforcement, the Office of Consumer Advocate, and the Office of Small Business Advocate an update to Peoples TWP LLC Exhibit No. AC-2, which will include capital expenditures, plant additions, and retirements for the twelve months ending January 31, 2015.  </w:t>
      </w:r>
    </w:p>
    <w:p w:rsidR="00EB64FF" w:rsidRDefault="00EB64FF" w:rsidP="001C311E">
      <w:pPr>
        <w:pStyle w:val="NoSpacing"/>
        <w:spacing w:line="360" w:lineRule="auto"/>
        <w:ind w:firstLine="1440"/>
        <w:rPr>
          <w:spacing w:val="-3"/>
          <w:sz w:val="26"/>
          <w:szCs w:val="26"/>
        </w:rPr>
      </w:pPr>
    </w:p>
    <w:p w:rsidR="00C854D7" w:rsidRDefault="00C854D7" w:rsidP="001C311E">
      <w:pPr>
        <w:pStyle w:val="NoSpacing"/>
        <w:spacing w:line="360" w:lineRule="auto"/>
        <w:ind w:firstLine="1440"/>
        <w:rPr>
          <w:spacing w:val="-3"/>
          <w:sz w:val="26"/>
          <w:szCs w:val="26"/>
        </w:rPr>
      </w:pPr>
    </w:p>
    <w:p w:rsidR="00C854D7" w:rsidRDefault="00C854D7" w:rsidP="001C311E">
      <w:pPr>
        <w:pStyle w:val="NoSpacing"/>
        <w:spacing w:line="360" w:lineRule="auto"/>
        <w:ind w:firstLine="1440"/>
        <w:rPr>
          <w:spacing w:val="-3"/>
          <w:sz w:val="26"/>
          <w:szCs w:val="26"/>
        </w:rPr>
      </w:pPr>
    </w:p>
    <w:p w:rsidR="00C854D7" w:rsidRDefault="00C854D7" w:rsidP="001C311E">
      <w:pPr>
        <w:pStyle w:val="NoSpacing"/>
        <w:spacing w:line="360" w:lineRule="auto"/>
        <w:ind w:firstLine="1440"/>
        <w:rPr>
          <w:spacing w:val="-3"/>
          <w:sz w:val="26"/>
          <w:szCs w:val="26"/>
        </w:rPr>
      </w:pPr>
    </w:p>
    <w:p w:rsidR="00C854D7" w:rsidRDefault="00C854D7" w:rsidP="001C311E">
      <w:pPr>
        <w:pStyle w:val="NoSpacing"/>
        <w:spacing w:line="360" w:lineRule="auto"/>
        <w:ind w:firstLine="1440"/>
        <w:rPr>
          <w:spacing w:val="-3"/>
          <w:sz w:val="26"/>
          <w:szCs w:val="26"/>
        </w:rPr>
      </w:pPr>
    </w:p>
    <w:p w:rsidR="00C854D7" w:rsidRDefault="00C854D7" w:rsidP="001C311E">
      <w:pPr>
        <w:pStyle w:val="NoSpacing"/>
        <w:spacing w:line="360" w:lineRule="auto"/>
        <w:ind w:firstLine="1440"/>
        <w:rPr>
          <w:spacing w:val="-3"/>
          <w:sz w:val="26"/>
          <w:szCs w:val="26"/>
        </w:rPr>
      </w:pPr>
    </w:p>
    <w:p w:rsidR="00B25970" w:rsidRPr="001C311E" w:rsidRDefault="00374586" w:rsidP="001C311E">
      <w:pPr>
        <w:pStyle w:val="NoSpacing"/>
        <w:spacing w:line="360" w:lineRule="auto"/>
        <w:ind w:firstLine="1440"/>
        <w:rPr>
          <w:spacing w:val="-3"/>
          <w:sz w:val="26"/>
          <w:szCs w:val="26"/>
        </w:rPr>
      </w:pPr>
      <w:r>
        <w:rPr>
          <w:spacing w:val="-3"/>
          <w:sz w:val="26"/>
          <w:szCs w:val="26"/>
        </w:rPr>
        <w:lastRenderedPageBreak/>
        <w:t>1</w:t>
      </w:r>
      <w:r w:rsidR="00542F03">
        <w:rPr>
          <w:spacing w:val="-3"/>
          <w:sz w:val="26"/>
          <w:szCs w:val="26"/>
        </w:rPr>
        <w:t>1</w:t>
      </w:r>
      <w:r>
        <w:rPr>
          <w:spacing w:val="-3"/>
          <w:sz w:val="26"/>
          <w:szCs w:val="26"/>
        </w:rPr>
        <w:t>.</w:t>
      </w:r>
      <w:r>
        <w:rPr>
          <w:spacing w:val="-3"/>
          <w:sz w:val="26"/>
          <w:szCs w:val="26"/>
        </w:rPr>
        <w:tab/>
        <w:t xml:space="preserve">That, upon Commission approval of the tariff revisions filed by Peoples TWP LLC, </w:t>
      </w:r>
      <w:r w:rsidR="0070190B">
        <w:rPr>
          <w:spacing w:val="-3"/>
          <w:sz w:val="26"/>
          <w:szCs w:val="26"/>
        </w:rPr>
        <w:t>and upon compliance with the filing requ</w:t>
      </w:r>
      <w:r w:rsidR="00D14AEE">
        <w:rPr>
          <w:spacing w:val="-3"/>
          <w:sz w:val="26"/>
          <w:szCs w:val="26"/>
        </w:rPr>
        <w:t>irements set forth in Ordering </w:t>
      </w:r>
      <w:r w:rsidR="0070190B">
        <w:rPr>
          <w:spacing w:val="-3"/>
          <w:sz w:val="26"/>
          <w:szCs w:val="26"/>
        </w:rPr>
        <w:t>Paragraphs 9 and 10 of this Opinion and Order,</w:t>
      </w:r>
      <w:r w:rsidR="00706ADF">
        <w:rPr>
          <w:spacing w:val="-3"/>
          <w:sz w:val="26"/>
          <w:szCs w:val="26"/>
        </w:rPr>
        <w:t xml:space="preserve"> </w:t>
      </w:r>
      <w:r w:rsidR="0047221A" w:rsidRPr="001C311E">
        <w:rPr>
          <w:spacing w:val="-3"/>
          <w:sz w:val="26"/>
          <w:szCs w:val="26"/>
        </w:rPr>
        <w:t xml:space="preserve">the investigation at Docket </w:t>
      </w:r>
      <w:r w:rsidR="002E0744" w:rsidRPr="001C311E">
        <w:rPr>
          <w:spacing w:val="-3"/>
          <w:sz w:val="26"/>
          <w:szCs w:val="26"/>
        </w:rPr>
        <w:t xml:space="preserve">No. </w:t>
      </w:r>
      <w:r w:rsidR="00D14AEE">
        <w:rPr>
          <w:spacing w:val="-3"/>
          <w:sz w:val="26"/>
          <w:szCs w:val="26"/>
        </w:rPr>
        <w:t>R</w:t>
      </w:r>
      <w:r w:rsidR="00D14AEE">
        <w:rPr>
          <w:spacing w:val="-3"/>
          <w:sz w:val="26"/>
          <w:szCs w:val="26"/>
        </w:rPr>
        <w:noBreakHyphen/>
      </w:r>
      <w:r w:rsidR="00E300A7" w:rsidRPr="001C311E">
        <w:rPr>
          <w:spacing w:val="-3"/>
          <w:sz w:val="26"/>
          <w:szCs w:val="26"/>
        </w:rPr>
        <w:t>201</w:t>
      </w:r>
      <w:r>
        <w:rPr>
          <w:spacing w:val="-3"/>
          <w:sz w:val="26"/>
          <w:szCs w:val="26"/>
        </w:rPr>
        <w:t>3</w:t>
      </w:r>
      <w:r w:rsidR="00D14AEE">
        <w:rPr>
          <w:spacing w:val="-3"/>
          <w:sz w:val="26"/>
          <w:szCs w:val="26"/>
        </w:rPr>
        <w:noBreakHyphen/>
      </w:r>
      <w:r>
        <w:rPr>
          <w:spacing w:val="-3"/>
          <w:sz w:val="26"/>
          <w:szCs w:val="26"/>
        </w:rPr>
        <w:t xml:space="preserve">2355886 </w:t>
      </w:r>
      <w:r w:rsidR="00626130" w:rsidRPr="001C311E">
        <w:rPr>
          <w:spacing w:val="-3"/>
          <w:sz w:val="26"/>
          <w:szCs w:val="26"/>
        </w:rPr>
        <w:t xml:space="preserve">shall </w:t>
      </w:r>
      <w:r w:rsidR="0047221A" w:rsidRPr="001C311E">
        <w:rPr>
          <w:spacing w:val="-3"/>
          <w:sz w:val="26"/>
          <w:szCs w:val="26"/>
        </w:rPr>
        <w:t>be marked closed.</w:t>
      </w:r>
    </w:p>
    <w:p w:rsidR="00B53E8B" w:rsidRPr="001C311E" w:rsidRDefault="00F73852" w:rsidP="001C311E">
      <w:pPr>
        <w:pStyle w:val="NoSpacing"/>
        <w:spacing w:line="360" w:lineRule="auto"/>
        <w:ind w:firstLine="1440"/>
        <w:rPr>
          <w:spacing w:val="-3"/>
          <w:sz w:val="26"/>
          <w:szCs w:val="26"/>
        </w:rPr>
      </w:pPr>
      <w:bookmarkStart w:id="0" w:name="_GoBack"/>
      <w:r>
        <w:rPr>
          <w:noProof/>
        </w:rPr>
        <w:drawing>
          <wp:anchor distT="0" distB="0" distL="114300" distR="114300" simplePos="0" relativeHeight="251659264" behindDoc="1" locked="0" layoutInCell="1" allowOverlap="1" wp14:anchorId="35C6F550" wp14:editId="2CBDDCD9">
            <wp:simplePos x="0" y="0"/>
            <wp:positionH relativeFrom="column">
              <wp:posOffset>3025140</wp:posOffset>
            </wp:positionH>
            <wp:positionV relativeFrom="paragraph">
              <wp:posOffset>226695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6345BA" w:rsidRPr="001C311E" w:rsidRDefault="006345BA" w:rsidP="00A307BF">
      <w:pPr>
        <w:pStyle w:val="ListParagraph"/>
        <w:spacing w:line="360" w:lineRule="auto"/>
        <w:ind w:left="0"/>
        <w:rPr>
          <w:spacing w:val="-3"/>
          <w:sz w:val="26"/>
          <w:szCs w:val="26"/>
        </w:rPr>
      </w:pPr>
      <w:r w:rsidRPr="001C311E">
        <w:rPr>
          <w:spacing w:val="-3"/>
          <w:sz w:val="26"/>
          <w:szCs w:val="26"/>
        </w:rPr>
        <w:tab/>
      </w:r>
      <w:r w:rsidRPr="001C311E">
        <w:rPr>
          <w:spacing w:val="-3"/>
          <w:sz w:val="26"/>
          <w:szCs w:val="26"/>
        </w:rPr>
        <w:tab/>
      </w:r>
      <w:r w:rsidRPr="001C311E">
        <w:rPr>
          <w:spacing w:val="-3"/>
          <w:sz w:val="26"/>
          <w:szCs w:val="26"/>
        </w:rPr>
        <w:tab/>
      </w:r>
      <w:r w:rsidRPr="001C311E">
        <w:rPr>
          <w:spacing w:val="-3"/>
          <w:sz w:val="26"/>
          <w:szCs w:val="26"/>
        </w:rPr>
        <w:tab/>
      </w:r>
      <w:r w:rsidRPr="001C311E">
        <w:rPr>
          <w:spacing w:val="-3"/>
          <w:sz w:val="26"/>
          <w:szCs w:val="26"/>
        </w:rPr>
        <w:tab/>
      </w:r>
      <w:r w:rsidRPr="001C311E">
        <w:rPr>
          <w:spacing w:val="-3"/>
          <w:sz w:val="26"/>
          <w:szCs w:val="26"/>
        </w:rPr>
        <w:tab/>
      </w:r>
      <w:r w:rsidRPr="001C311E">
        <w:rPr>
          <w:spacing w:val="-3"/>
          <w:sz w:val="26"/>
          <w:szCs w:val="26"/>
        </w:rPr>
        <w:tab/>
        <w:t>BY THE COMMISSION,</w:t>
      </w:r>
    </w:p>
    <w:p w:rsidR="007C1AE9" w:rsidRPr="001C311E" w:rsidRDefault="007C1AE9" w:rsidP="001C311E">
      <w:pPr>
        <w:widowControl w:val="0"/>
        <w:tabs>
          <w:tab w:val="left" w:pos="-720"/>
        </w:tabs>
        <w:suppressAutoHyphens/>
        <w:spacing w:line="360" w:lineRule="auto"/>
        <w:rPr>
          <w:rFonts w:ascii="Times New Roman" w:hAnsi="Times New Roman"/>
          <w:spacing w:val="-3"/>
          <w:sz w:val="26"/>
          <w:szCs w:val="26"/>
        </w:rPr>
      </w:pPr>
    </w:p>
    <w:p w:rsidR="006345BA" w:rsidRPr="001C311E" w:rsidRDefault="006345BA" w:rsidP="001C311E">
      <w:pPr>
        <w:widowControl w:val="0"/>
        <w:tabs>
          <w:tab w:val="left" w:pos="-720"/>
        </w:tabs>
        <w:suppressAutoHyphens/>
        <w:spacing w:after="0" w:line="360" w:lineRule="auto"/>
        <w:rPr>
          <w:rFonts w:ascii="Times New Roman" w:hAnsi="Times New Roman"/>
          <w:spacing w:val="-3"/>
          <w:sz w:val="26"/>
          <w:szCs w:val="26"/>
        </w:rPr>
      </w:pPr>
      <w:r w:rsidRPr="001C311E">
        <w:rPr>
          <w:rFonts w:ascii="Times New Roman" w:hAnsi="Times New Roman"/>
          <w:spacing w:val="-3"/>
          <w:sz w:val="26"/>
          <w:szCs w:val="26"/>
        </w:rPr>
        <w:tab/>
      </w:r>
      <w:r w:rsidRPr="001C311E">
        <w:rPr>
          <w:rFonts w:ascii="Times New Roman" w:hAnsi="Times New Roman"/>
          <w:spacing w:val="-3"/>
          <w:sz w:val="26"/>
          <w:szCs w:val="26"/>
        </w:rPr>
        <w:tab/>
      </w:r>
      <w:r w:rsidRPr="001C311E">
        <w:rPr>
          <w:rFonts w:ascii="Times New Roman" w:hAnsi="Times New Roman"/>
          <w:spacing w:val="-3"/>
          <w:sz w:val="26"/>
          <w:szCs w:val="26"/>
        </w:rPr>
        <w:tab/>
      </w:r>
      <w:r w:rsidRPr="001C311E">
        <w:rPr>
          <w:rFonts w:ascii="Times New Roman" w:hAnsi="Times New Roman"/>
          <w:spacing w:val="-3"/>
          <w:sz w:val="26"/>
          <w:szCs w:val="26"/>
        </w:rPr>
        <w:tab/>
      </w:r>
      <w:r w:rsidRPr="001C311E">
        <w:rPr>
          <w:rFonts w:ascii="Times New Roman" w:hAnsi="Times New Roman"/>
          <w:spacing w:val="-3"/>
          <w:sz w:val="26"/>
          <w:szCs w:val="26"/>
        </w:rPr>
        <w:tab/>
      </w:r>
      <w:r w:rsidRPr="001C311E">
        <w:rPr>
          <w:rFonts w:ascii="Times New Roman" w:hAnsi="Times New Roman"/>
          <w:spacing w:val="-3"/>
          <w:sz w:val="26"/>
          <w:szCs w:val="26"/>
        </w:rPr>
        <w:tab/>
      </w:r>
      <w:r w:rsidRPr="001C311E">
        <w:rPr>
          <w:rFonts w:ascii="Times New Roman" w:hAnsi="Times New Roman"/>
          <w:spacing w:val="-3"/>
          <w:sz w:val="26"/>
          <w:szCs w:val="26"/>
        </w:rPr>
        <w:tab/>
        <w:t>Rosemary Chiavetta</w:t>
      </w:r>
    </w:p>
    <w:p w:rsidR="006345BA" w:rsidRPr="001C311E" w:rsidRDefault="006345BA" w:rsidP="001C311E">
      <w:pPr>
        <w:widowControl w:val="0"/>
        <w:tabs>
          <w:tab w:val="left" w:pos="-720"/>
        </w:tabs>
        <w:suppressAutoHyphens/>
        <w:spacing w:after="0" w:line="360" w:lineRule="auto"/>
        <w:rPr>
          <w:rFonts w:ascii="Times New Roman" w:hAnsi="Times New Roman"/>
          <w:spacing w:val="-3"/>
          <w:sz w:val="26"/>
          <w:szCs w:val="26"/>
        </w:rPr>
      </w:pPr>
      <w:r w:rsidRPr="001C311E">
        <w:rPr>
          <w:rFonts w:ascii="Times New Roman" w:hAnsi="Times New Roman"/>
          <w:spacing w:val="-3"/>
          <w:sz w:val="26"/>
          <w:szCs w:val="26"/>
        </w:rPr>
        <w:tab/>
      </w:r>
      <w:r w:rsidRPr="001C311E">
        <w:rPr>
          <w:rFonts w:ascii="Times New Roman" w:hAnsi="Times New Roman"/>
          <w:spacing w:val="-3"/>
          <w:sz w:val="26"/>
          <w:szCs w:val="26"/>
        </w:rPr>
        <w:tab/>
      </w:r>
      <w:r w:rsidRPr="001C311E">
        <w:rPr>
          <w:rFonts w:ascii="Times New Roman" w:hAnsi="Times New Roman"/>
          <w:spacing w:val="-3"/>
          <w:sz w:val="26"/>
          <w:szCs w:val="26"/>
        </w:rPr>
        <w:tab/>
      </w:r>
      <w:r w:rsidRPr="001C311E">
        <w:rPr>
          <w:rFonts w:ascii="Times New Roman" w:hAnsi="Times New Roman"/>
          <w:spacing w:val="-3"/>
          <w:sz w:val="26"/>
          <w:szCs w:val="26"/>
        </w:rPr>
        <w:tab/>
      </w:r>
      <w:r w:rsidRPr="001C311E">
        <w:rPr>
          <w:rFonts w:ascii="Times New Roman" w:hAnsi="Times New Roman"/>
          <w:spacing w:val="-3"/>
          <w:sz w:val="26"/>
          <w:szCs w:val="26"/>
        </w:rPr>
        <w:tab/>
      </w:r>
      <w:r w:rsidRPr="001C311E">
        <w:rPr>
          <w:rFonts w:ascii="Times New Roman" w:hAnsi="Times New Roman"/>
          <w:spacing w:val="-3"/>
          <w:sz w:val="26"/>
          <w:szCs w:val="26"/>
        </w:rPr>
        <w:tab/>
      </w:r>
      <w:r w:rsidRPr="001C311E">
        <w:rPr>
          <w:rFonts w:ascii="Times New Roman" w:hAnsi="Times New Roman"/>
          <w:spacing w:val="-3"/>
          <w:sz w:val="26"/>
          <w:szCs w:val="26"/>
        </w:rPr>
        <w:tab/>
        <w:t>Secretary</w:t>
      </w:r>
    </w:p>
    <w:p w:rsidR="006345BA" w:rsidRPr="001C311E" w:rsidRDefault="006345BA" w:rsidP="001C311E">
      <w:pPr>
        <w:widowControl w:val="0"/>
        <w:tabs>
          <w:tab w:val="left" w:pos="-720"/>
        </w:tabs>
        <w:suppressAutoHyphens/>
        <w:spacing w:line="360" w:lineRule="auto"/>
        <w:rPr>
          <w:rFonts w:ascii="Times New Roman" w:hAnsi="Times New Roman"/>
          <w:spacing w:val="-3"/>
          <w:sz w:val="26"/>
          <w:szCs w:val="26"/>
        </w:rPr>
      </w:pPr>
    </w:p>
    <w:p w:rsidR="006345BA" w:rsidRPr="001C311E" w:rsidRDefault="006345BA" w:rsidP="001C311E">
      <w:pPr>
        <w:pStyle w:val="BodyText3"/>
        <w:widowControl w:val="0"/>
        <w:tabs>
          <w:tab w:val="left" w:pos="-720"/>
        </w:tabs>
        <w:suppressAutoHyphens/>
        <w:rPr>
          <w:spacing w:val="-3"/>
        </w:rPr>
      </w:pPr>
      <w:r w:rsidRPr="001C311E">
        <w:rPr>
          <w:spacing w:val="-3"/>
        </w:rPr>
        <w:t>(SEAL)</w:t>
      </w:r>
    </w:p>
    <w:p w:rsidR="006345BA" w:rsidRPr="001C311E" w:rsidRDefault="006345BA" w:rsidP="001C311E">
      <w:pPr>
        <w:widowControl w:val="0"/>
        <w:tabs>
          <w:tab w:val="left" w:pos="-720"/>
        </w:tabs>
        <w:suppressAutoHyphens/>
        <w:spacing w:after="0" w:line="360" w:lineRule="auto"/>
        <w:rPr>
          <w:rFonts w:ascii="Times New Roman" w:hAnsi="Times New Roman"/>
          <w:spacing w:val="-3"/>
          <w:sz w:val="26"/>
          <w:szCs w:val="26"/>
        </w:rPr>
      </w:pPr>
      <w:r w:rsidRPr="001C311E">
        <w:rPr>
          <w:rFonts w:ascii="Times New Roman" w:hAnsi="Times New Roman"/>
          <w:spacing w:val="-3"/>
          <w:sz w:val="26"/>
          <w:szCs w:val="26"/>
        </w:rPr>
        <w:t xml:space="preserve">ORDER ADOPTED:  </w:t>
      </w:r>
      <w:r w:rsidR="00A307BF">
        <w:rPr>
          <w:rFonts w:ascii="Times New Roman" w:hAnsi="Times New Roman"/>
          <w:spacing w:val="-3"/>
          <w:sz w:val="26"/>
          <w:szCs w:val="26"/>
        </w:rPr>
        <w:t>December 19, 2013</w:t>
      </w:r>
    </w:p>
    <w:p w:rsidR="00DC4297" w:rsidRPr="001C311E" w:rsidRDefault="006345BA" w:rsidP="001C311E">
      <w:pPr>
        <w:pStyle w:val="BodyText3"/>
        <w:widowControl w:val="0"/>
        <w:tabs>
          <w:tab w:val="left" w:pos="-720"/>
        </w:tabs>
        <w:suppressAutoHyphens/>
        <w:rPr>
          <w:spacing w:val="-3"/>
        </w:rPr>
      </w:pPr>
      <w:r w:rsidRPr="001C311E">
        <w:rPr>
          <w:spacing w:val="-3"/>
        </w:rPr>
        <w:t>ORDER ENTERED:</w:t>
      </w:r>
      <w:r w:rsidR="008E312F">
        <w:rPr>
          <w:spacing w:val="-3"/>
        </w:rPr>
        <w:t xml:space="preserve">  </w:t>
      </w:r>
      <w:r w:rsidR="00F73852">
        <w:rPr>
          <w:spacing w:val="-3"/>
        </w:rPr>
        <w:t>December 19, 2013</w:t>
      </w:r>
    </w:p>
    <w:sectPr w:rsidR="00DC4297" w:rsidRPr="001C311E" w:rsidSect="00CB38CD">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FDC" w:rsidRDefault="00AC0FDC" w:rsidP="00DD03CC">
      <w:pPr>
        <w:spacing w:after="0" w:line="240" w:lineRule="auto"/>
      </w:pPr>
      <w:r>
        <w:separator/>
      </w:r>
    </w:p>
  </w:endnote>
  <w:endnote w:type="continuationSeparator" w:id="0">
    <w:p w:rsidR="00AC0FDC" w:rsidRDefault="00AC0FDC" w:rsidP="00DD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6A7" w:rsidRPr="005466EC" w:rsidRDefault="007346A7">
    <w:pPr>
      <w:pStyle w:val="Footer"/>
      <w:jc w:val="center"/>
      <w:rPr>
        <w:rFonts w:ascii="Times New Roman" w:hAnsi="Times New Roman"/>
        <w:sz w:val="26"/>
        <w:szCs w:val="26"/>
      </w:rPr>
    </w:pPr>
    <w:r w:rsidRPr="005466EC">
      <w:rPr>
        <w:rFonts w:ascii="Times New Roman" w:hAnsi="Times New Roman"/>
        <w:sz w:val="26"/>
        <w:szCs w:val="26"/>
      </w:rPr>
      <w:fldChar w:fldCharType="begin"/>
    </w:r>
    <w:r w:rsidRPr="005466EC">
      <w:rPr>
        <w:rFonts w:ascii="Times New Roman" w:hAnsi="Times New Roman"/>
        <w:sz w:val="26"/>
        <w:szCs w:val="26"/>
      </w:rPr>
      <w:instrText xml:space="preserve"> PAGE   \* MERGEFORMAT </w:instrText>
    </w:r>
    <w:r w:rsidRPr="005466EC">
      <w:rPr>
        <w:rFonts w:ascii="Times New Roman" w:hAnsi="Times New Roman"/>
        <w:sz w:val="26"/>
        <w:szCs w:val="26"/>
      </w:rPr>
      <w:fldChar w:fldCharType="separate"/>
    </w:r>
    <w:r w:rsidR="00F73852">
      <w:rPr>
        <w:rFonts w:ascii="Times New Roman" w:hAnsi="Times New Roman"/>
        <w:noProof/>
        <w:sz w:val="26"/>
        <w:szCs w:val="26"/>
      </w:rPr>
      <w:t>37</w:t>
    </w:r>
    <w:r w:rsidRPr="005466EC">
      <w:rPr>
        <w:rFonts w:ascii="Times New Roman" w:hAnsi="Times New Roman"/>
        <w:noProof/>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FDC" w:rsidRDefault="00AC0FDC" w:rsidP="00DD03CC">
      <w:pPr>
        <w:spacing w:after="0" w:line="240" w:lineRule="auto"/>
      </w:pPr>
      <w:r>
        <w:separator/>
      </w:r>
    </w:p>
  </w:footnote>
  <w:footnote w:type="continuationSeparator" w:id="0">
    <w:p w:rsidR="00AC0FDC" w:rsidRDefault="00AC0FDC" w:rsidP="00DD03CC">
      <w:pPr>
        <w:spacing w:after="0" w:line="240" w:lineRule="auto"/>
      </w:pPr>
      <w:r>
        <w:continuationSeparator/>
      </w:r>
    </w:p>
  </w:footnote>
  <w:footnote w:id="1">
    <w:p w:rsidR="007346A7" w:rsidRPr="00F87633" w:rsidRDefault="007346A7" w:rsidP="00F87633">
      <w:pPr>
        <w:pStyle w:val="FootnoteText"/>
        <w:ind w:firstLine="720"/>
        <w:rPr>
          <w:rFonts w:ascii="Times New Roman" w:hAnsi="Times New Roman"/>
          <w:sz w:val="26"/>
          <w:szCs w:val="26"/>
        </w:rPr>
      </w:pPr>
      <w:r w:rsidRPr="00F87633">
        <w:rPr>
          <w:rStyle w:val="FootnoteReference"/>
          <w:rFonts w:ascii="Times New Roman" w:hAnsi="Times New Roman"/>
          <w:sz w:val="26"/>
          <w:szCs w:val="26"/>
        </w:rPr>
        <w:footnoteRef/>
      </w:r>
      <w:r w:rsidRPr="00F87633">
        <w:rPr>
          <w:rFonts w:ascii="Times New Roman" w:hAnsi="Times New Roman"/>
          <w:sz w:val="26"/>
          <w:szCs w:val="26"/>
        </w:rPr>
        <w:t xml:space="preserve"> </w:t>
      </w:r>
      <w:r w:rsidRPr="00F87633">
        <w:rPr>
          <w:rFonts w:ascii="Times New Roman" w:hAnsi="Times New Roman"/>
          <w:sz w:val="26"/>
          <w:szCs w:val="26"/>
        </w:rPr>
        <w:tab/>
        <w:t>As discussed in detail</w:t>
      </w:r>
      <w:r w:rsidR="00561494">
        <w:rPr>
          <w:rFonts w:ascii="Times New Roman" w:hAnsi="Times New Roman"/>
          <w:sz w:val="26"/>
          <w:szCs w:val="26"/>
        </w:rPr>
        <w:t>,</w:t>
      </w:r>
      <w:r w:rsidRPr="00F87633">
        <w:rPr>
          <w:rFonts w:ascii="Times New Roman" w:hAnsi="Times New Roman"/>
          <w:sz w:val="26"/>
          <w:szCs w:val="26"/>
        </w:rPr>
        <w:t xml:space="preserve"> </w:t>
      </w:r>
      <w:r w:rsidRPr="00F87633">
        <w:rPr>
          <w:rFonts w:ascii="Times New Roman" w:hAnsi="Times New Roman"/>
          <w:i/>
          <w:sz w:val="26"/>
          <w:szCs w:val="26"/>
        </w:rPr>
        <w:t>infra</w:t>
      </w:r>
      <w:r w:rsidRPr="00F87633">
        <w:rPr>
          <w:rFonts w:ascii="Times New Roman" w:hAnsi="Times New Roman"/>
          <w:sz w:val="26"/>
          <w:szCs w:val="26"/>
        </w:rPr>
        <w:t>, the Exceptions were not timely filed, but we will consider them herein.</w:t>
      </w:r>
    </w:p>
  </w:footnote>
  <w:footnote w:id="2">
    <w:p w:rsidR="007346A7" w:rsidRPr="001371CA" w:rsidRDefault="007346A7" w:rsidP="00E23031">
      <w:pPr>
        <w:tabs>
          <w:tab w:val="left" w:pos="-720"/>
        </w:tabs>
        <w:suppressAutoHyphens/>
        <w:rPr>
          <w:rFonts w:ascii="Times New Roman" w:hAnsi="Times New Roman"/>
          <w:sz w:val="26"/>
        </w:rPr>
      </w:pPr>
      <w:r>
        <w:tab/>
      </w:r>
      <w:r w:rsidRPr="001371CA">
        <w:rPr>
          <w:rStyle w:val="FootnoteReference"/>
          <w:rFonts w:ascii="Times New Roman" w:hAnsi="Times New Roman"/>
          <w:sz w:val="26"/>
        </w:rPr>
        <w:footnoteRef/>
      </w:r>
      <w:r w:rsidRPr="001371CA">
        <w:rPr>
          <w:rFonts w:ascii="Times New Roman" w:hAnsi="Times New Roman"/>
          <w:sz w:val="26"/>
        </w:rPr>
        <w:tab/>
      </w:r>
      <w:r w:rsidRPr="00E23031">
        <w:rPr>
          <w:rFonts w:ascii="Times New Roman" w:hAnsi="Times New Roman"/>
          <w:i/>
          <w:sz w:val="26"/>
        </w:rPr>
        <w:t>Joint Application of T.W. Phillips Gas and Oil Company, TWP INC., and LDC Holdings II LLC, for approval of a change of control of T.W. Phillips Gas and Oil Company from TWP INC. to LDC Holdings II LLC, an indirect subsidiary of SteelRiverInfrastucture Fund North America LP</w:t>
      </w:r>
      <w:r>
        <w:rPr>
          <w:rFonts w:ascii="Times New Roman" w:hAnsi="Times New Roman"/>
          <w:sz w:val="26"/>
        </w:rPr>
        <w:t>, Docket No. A-2010-2210326 (Order entered May 23, 2011)</w:t>
      </w:r>
      <w:r w:rsidRPr="001371CA">
        <w:rPr>
          <w:rFonts w:ascii="Times New Roman" w:hAnsi="Times New Roman"/>
          <w:sz w:val="26"/>
        </w:rPr>
        <w:t>.</w:t>
      </w:r>
    </w:p>
  </w:footnote>
  <w:footnote w:id="3">
    <w:p w:rsidR="007346A7" w:rsidRPr="0091779E" w:rsidRDefault="007346A7" w:rsidP="0025797F">
      <w:pPr>
        <w:pStyle w:val="PlainText"/>
        <w:ind w:firstLine="720"/>
      </w:pPr>
      <w:r w:rsidRPr="0091779E">
        <w:rPr>
          <w:rStyle w:val="FootnoteReference"/>
        </w:rPr>
        <w:footnoteRef/>
      </w:r>
      <w:r w:rsidRPr="00C52A6C">
        <w:rPr>
          <w:sz w:val="20"/>
        </w:rPr>
        <w:tab/>
      </w:r>
      <w:r w:rsidRPr="0091779E">
        <w:t xml:space="preserve">The LGS charges are specified in Appendix </w:t>
      </w:r>
      <w:r>
        <w:t>“</w:t>
      </w:r>
      <w:r w:rsidRPr="0091779E">
        <w:t>A</w:t>
      </w:r>
      <w:r>
        <w:t>”</w:t>
      </w:r>
      <w:r w:rsidRPr="0091779E">
        <w:t xml:space="preserve"> to the Settlement.  Those monthly charges are as follows:  LGS I – 25,000 Mcf through 49,999 Mcf annual usage - $800; LGS I – 50,000 Mcf through 99,999 Mcf annual usage - $1,500; LGS II – 100,000 Mcf through 199,999 Mcf annual usage - $5,000; and</w:t>
      </w:r>
      <w:r>
        <w:t xml:space="preserve"> </w:t>
      </w:r>
      <w:r w:rsidRPr="0091779E">
        <w:t>LGS II – greater than 199,999 Mcf annual usage - $7,500.</w:t>
      </w:r>
    </w:p>
    <w:p w:rsidR="007346A7" w:rsidRPr="0091779E" w:rsidRDefault="007346A7" w:rsidP="003E6FA5">
      <w:pPr>
        <w:pStyle w:val="FootnoteText"/>
        <w:rPr>
          <w:sz w:val="26"/>
        </w:rPr>
      </w:pPr>
    </w:p>
  </w:footnote>
  <w:footnote w:id="4">
    <w:p w:rsidR="007346A7" w:rsidRPr="00C004F9" w:rsidRDefault="007346A7" w:rsidP="003E6FA5">
      <w:pPr>
        <w:pStyle w:val="FootnoteText"/>
        <w:rPr>
          <w:rFonts w:ascii="Times New Roman" w:hAnsi="Times New Roman"/>
          <w:sz w:val="26"/>
        </w:rPr>
      </w:pPr>
      <w:r>
        <w:tab/>
      </w:r>
      <w:r w:rsidRPr="00C004F9">
        <w:rPr>
          <w:rStyle w:val="FootnoteReference"/>
          <w:rFonts w:ascii="Times New Roman" w:hAnsi="Times New Roman"/>
          <w:sz w:val="26"/>
        </w:rPr>
        <w:footnoteRef/>
      </w:r>
      <w:r w:rsidRPr="00C004F9">
        <w:rPr>
          <w:rFonts w:ascii="Times New Roman" w:hAnsi="Times New Roman"/>
          <w:sz w:val="26"/>
        </w:rPr>
        <w:tab/>
        <w:t>The DSIC was not filed as part of Tariff No. 8, but was subsequently permitted to go into effect, subject to the outcome of the pending proceeding at Docket No. P-2013-2344595</w:t>
      </w:r>
      <w:r>
        <w:rPr>
          <w:rFonts w:ascii="Times New Roman" w:hAnsi="Times New Roman"/>
          <w:sz w:val="26"/>
        </w:rPr>
        <w:t xml:space="preserve"> (DSIC Proceeding)</w:t>
      </w:r>
      <w:r w:rsidRPr="00C004F9">
        <w:rPr>
          <w:rFonts w:ascii="Times New Roman" w:hAnsi="Times New Roman"/>
          <w:sz w:val="26"/>
        </w:rPr>
        <w:t>.  As part of the compliance filing at the conclusion of this proceeding, DSIC provisions will be included, with the DSIC rate set at 0%.</w:t>
      </w:r>
    </w:p>
  </w:footnote>
  <w:footnote w:id="5">
    <w:p w:rsidR="007346A7" w:rsidRPr="00C004F9" w:rsidRDefault="007346A7" w:rsidP="003E6FA5">
      <w:pPr>
        <w:pStyle w:val="FootnoteText"/>
        <w:rPr>
          <w:rFonts w:ascii="Times New Roman" w:hAnsi="Times New Roman"/>
          <w:sz w:val="26"/>
        </w:rPr>
      </w:pPr>
      <w:r>
        <w:tab/>
      </w:r>
      <w:r w:rsidRPr="00C004F9">
        <w:rPr>
          <w:rStyle w:val="FootnoteReference"/>
          <w:rFonts w:ascii="Times New Roman" w:hAnsi="Times New Roman"/>
          <w:sz w:val="26"/>
        </w:rPr>
        <w:footnoteRef/>
      </w:r>
      <w:r w:rsidRPr="00C004F9">
        <w:rPr>
          <w:rFonts w:ascii="Times New Roman" w:hAnsi="Times New Roman"/>
          <w:sz w:val="26"/>
        </w:rPr>
        <w:tab/>
        <w:t>Pursuant to Paragraph 28 of the Acquisition Settlement, the Company has agreed not to increase base rates prior to January 1, 2014.</w:t>
      </w:r>
    </w:p>
  </w:footnote>
  <w:footnote w:id="6">
    <w:p w:rsidR="007346A7" w:rsidRPr="00BE2308" w:rsidRDefault="007346A7" w:rsidP="00BE2308">
      <w:pPr>
        <w:pStyle w:val="p3"/>
        <w:keepNext/>
        <w:widowControl/>
        <w:tabs>
          <w:tab w:val="clear" w:pos="204"/>
        </w:tabs>
        <w:ind w:firstLine="720"/>
        <w:rPr>
          <w:sz w:val="26"/>
          <w:szCs w:val="26"/>
        </w:rPr>
      </w:pPr>
      <w:r w:rsidRPr="00E15A7F">
        <w:rPr>
          <w:rStyle w:val="FootnoteReference"/>
          <w:sz w:val="26"/>
        </w:rPr>
        <w:footnoteRef/>
      </w:r>
      <w:r w:rsidRPr="00E15A7F">
        <w:rPr>
          <w:sz w:val="26"/>
        </w:rPr>
        <w:t xml:space="preserve"> </w:t>
      </w:r>
      <w:r w:rsidRPr="00E15A7F">
        <w:rPr>
          <w:sz w:val="26"/>
        </w:rPr>
        <w:tab/>
      </w:r>
      <w:r w:rsidRPr="00E15A7F">
        <w:rPr>
          <w:sz w:val="26"/>
          <w:szCs w:val="26"/>
        </w:rPr>
        <w:t xml:space="preserve">With the enactment of Act 11, the burden of proof standard for utilities in rate proceedings </w:t>
      </w:r>
      <w:r>
        <w:rPr>
          <w:sz w:val="26"/>
          <w:szCs w:val="26"/>
        </w:rPr>
        <w:t>was</w:t>
      </w:r>
      <w:r w:rsidRPr="00E15A7F">
        <w:rPr>
          <w:sz w:val="26"/>
          <w:szCs w:val="26"/>
        </w:rPr>
        <w:t xml:space="preserve"> amended to permit use of either a future test year or a “fully-projected future test year” in rate cases.  The fully</w:t>
      </w:r>
      <w:r w:rsidRPr="00E15A7F">
        <w:rPr>
          <w:sz w:val="26"/>
          <w:szCs w:val="26"/>
        </w:rPr>
        <w:noBreakHyphen/>
        <w:t xml:space="preserve">projected </w:t>
      </w:r>
      <w:r w:rsidR="00F87633">
        <w:rPr>
          <w:sz w:val="26"/>
          <w:szCs w:val="26"/>
        </w:rPr>
        <w:t xml:space="preserve">future </w:t>
      </w:r>
      <w:r w:rsidRPr="00E15A7F">
        <w:rPr>
          <w:sz w:val="26"/>
          <w:szCs w:val="26"/>
        </w:rPr>
        <w:t xml:space="preserve">test year is defined as the </w:t>
      </w:r>
      <w:r>
        <w:rPr>
          <w:sz w:val="26"/>
          <w:szCs w:val="26"/>
        </w:rPr>
        <w:t>twelve</w:t>
      </w:r>
      <w:r w:rsidRPr="00E15A7F">
        <w:rPr>
          <w:sz w:val="26"/>
          <w:szCs w:val="26"/>
        </w:rPr>
        <w:t>-month period that begins with the first month that the new rates will be placed into effect, after application of the full suspension period permitted under Section 1308(d)</w:t>
      </w:r>
      <w:r>
        <w:rPr>
          <w:sz w:val="26"/>
          <w:szCs w:val="26"/>
        </w:rPr>
        <w:t xml:space="preserve"> of the Code,</w:t>
      </w:r>
      <w:r w:rsidRPr="00E15A7F">
        <w:rPr>
          <w:sz w:val="26"/>
          <w:szCs w:val="26"/>
        </w:rPr>
        <w:t xml:space="preserve"> 66 Pa. C.S. § 1308(d).  Under this approach, the risks associated with regulatory lag will be substantially reduced</w:t>
      </w:r>
      <w:r>
        <w:rPr>
          <w:sz w:val="26"/>
          <w:szCs w:val="26"/>
        </w:rPr>
        <w:t>,</w:t>
      </w:r>
      <w:r w:rsidRPr="00E15A7F">
        <w:rPr>
          <w:sz w:val="26"/>
          <w:szCs w:val="26"/>
        </w:rPr>
        <w:t xml:space="preserve"> because the new rates will be consistent with the test year used to establish those rates for at least the first year.</w:t>
      </w:r>
    </w:p>
  </w:footnote>
  <w:footnote w:id="7">
    <w:p w:rsidR="007346A7" w:rsidRPr="00C662E9" w:rsidRDefault="007346A7" w:rsidP="00C662E9">
      <w:pPr>
        <w:pStyle w:val="FootnoteText"/>
        <w:ind w:firstLine="720"/>
        <w:rPr>
          <w:rFonts w:ascii="Times New Roman" w:hAnsi="Times New Roman"/>
          <w:sz w:val="26"/>
        </w:rPr>
      </w:pPr>
      <w:r w:rsidRPr="00C662E9">
        <w:rPr>
          <w:rStyle w:val="FootnoteReference"/>
          <w:rFonts w:ascii="Times New Roman" w:hAnsi="Times New Roman"/>
          <w:sz w:val="26"/>
        </w:rPr>
        <w:footnoteRef/>
      </w:r>
      <w:r w:rsidRPr="00C662E9">
        <w:rPr>
          <w:rFonts w:ascii="Times New Roman" w:hAnsi="Times New Roman"/>
          <w:sz w:val="26"/>
        </w:rPr>
        <w:t xml:space="preserve"> </w:t>
      </w:r>
      <w:r w:rsidRPr="00C662E9">
        <w:rPr>
          <w:rFonts w:ascii="Times New Roman" w:hAnsi="Times New Roman"/>
          <w:sz w:val="26"/>
        </w:rPr>
        <w:tab/>
        <w:t xml:space="preserve">Section </w:t>
      </w:r>
      <w:r>
        <w:rPr>
          <w:rFonts w:ascii="Times New Roman" w:hAnsi="Times New Roman"/>
          <w:sz w:val="26"/>
        </w:rPr>
        <w:t>1358(b)(1) of the Code provides the following:  “The distribution system improvement charge shall be reset at zero as of the effective date of new base rates that provide for prospective recovery of the annual costs previously recovered under the distribution</w:t>
      </w:r>
      <w:r w:rsidR="00CB38CD">
        <w:rPr>
          <w:rFonts w:ascii="Times New Roman" w:hAnsi="Times New Roman"/>
          <w:sz w:val="26"/>
        </w:rPr>
        <w:t xml:space="preserve"> system improvement charge.”  </w:t>
      </w:r>
    </w:p>
  </w:footnote>
  <w:footnote w:id="8">
    <w:p w:rsidR="007346A7" w:rsidRPr="007E334F" w:rsidRDefault="007346A7" w:rsidP="007E334F">
      <w:pPr>
        <w:pStyle w:val="FootnoteText"/>
        <w:ind w:firstLine="720"/>
        <w:rPr>
          <w:rFonts w:ascii="Times New Roman" w:hAnsi="Times New Roman"/>
          <w:sz w:val="26"/>
        </w:rPr>
      </w:pPr>
      <w:r w:rsidRPr="007E334F">
        <w:rPr>
          <w:rStyle w:val="FootnoteReference"/>
          <w:rFonts w:ascii="Times New Roman" w:hAnsi="Times New Roman"/>
          <w:sz w:val="26"/>
        </w:rPr>
        <w:footnoteRef/>
      </w:r>
      <w:r w:rsidRPr="007E334F">
        <w:rPr>
          <w:rFonts w:ascii="Times New Roman" w:hAnsi="Times New Roman"/>
          <w:sz w:val="26"/>
        </w:rPr>
        <w:t xml:space="preserve"> </w:t>
      </w:r>
      <w:r w:rsidRPr="007E334F">
        <w:rPr>
          <w:rFonts w:ascii="Times New Roman" w:hAnsi="Times New Roman"/>
          <w:sz w:val="26"/>
        </w:rPr>
        <w:tab/>
      </w:r>
      <w:r>
        <w:rPr>
          <w:rFonts w:ascii="Times New Roman" w:hAnsi="Times New Roman"/>
          <w:sz w:val="26"/>
        </w:rPr>
        <w:t xml:space="preserve">Section 1358(b)(2) of the Code states as follows:  “After the reset date under paragraph (1), only the fixed costs of the new eligible property that have not previously been reflected in the utility’s rate base shall be reflected in the quarterly updates of the distribution system improvement charge.”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03231D2"/>
    <w:lvl w:ilvl="0">
      <w:start w:val="1"/>
      <w:numFmt w:val="decimal"/>
      <w:pStyle w:val="ListNumber"/>
      <w:lvlText w:val="%1."/>
      <w:lvlJc w:val="left"/>
      <w:pPr>
        <w:tabs>
          <w:tab w:val="num" w:pos="360"/>
        </w:tabs>
        <w:ind w:left="360" w:hanging="360"/>
      </w:pPr>
    </w:lvl>
  </w:abstractNum>
  <w:abstractNum w:abstractNumId="1">
    <w:nsid w:val="03771271"/>
    <w:multiLevelType w:val="hybridMultilevel"/>
    <w:tmpl w:val="CB700D26"/>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4D220A2"/>
    <w:multiLevelType w:val="hybridMultilevel"/>
    <w:tmpl w:val="B8644E9A"/>
    <w:lvl w:ilvl="0" w:tplc="251E3EE2">
      <w:start w:val="100"/>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8B5F94"/>
    <w:multiLevelType w:val="multilevel"/>
    <w:tmpl w:val="7D1C1788"/>
    <w:lvl w:ilvl="0">
      <w:start w:val="2"/>
      <w:numFmt w:val="upperRoman"/>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8"/>
      <w:numFmt w:val="decimal"/>
      <w:lvlText w:val="%2."/>
      <w:lvlJc w:val="left"/>
      <w:pPr>
        <w:tabs>
          <w:tab w:val="num" w:pos="1440"/>
        </w:tabs>
        <w:ind w:left="0" w:firstLine="720"/>
      </w:pPr>
      <w:rPr>
        <w:b w:val="0"/>
        <w:i w:val="0"/>
        <w:caps w:val="0"/>
        <w:strike w:val="0"/>
        <w:dstrike w:val="0"/>
        <w:sz w:val="24"/>
        <w:u w:val="none"/>
        <w:effect w:val="none"/>
      </w:rPr>
    </w:lvl>
    <w:lvl w:ilvl="2">
      <w:start w:val="13"/>
      <w:numFmt w:val="lowerLetter"/>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4">
    <w:nsid w:val="07FD1FB5"/>
    <w:multiLevelType w:val="hybridMultilevel"/>
    <w:tmpl w:val="8820B05E"/>
    <w:lvl w:ilvl="0" w:tplc="6706F2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99B436A"/>
    <w:multiLevelType w:val="hybridMultilevel"/>
    <w:tmpl w:val="0414DD4E"/>
    <w:lvl w:ilvl="0" w:tplc="09541E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D30295"/>
    <w:multiLevelType w:val="multilevel"/>
    <w:tmpl w:val="D8F0150E"/>
    <w:lvl w:ilvl="0">
      <w:start w:val="3"/>
      <w:numFmt w:val="upperRoman"/>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10"/>
      <w:numFmt w:val="decimal"/>
      <w:lvlText w:val="%2."/>
      <w:lvlJc w:val="left"/>
      <w:pPr>
        <w:tabs>
          <w:tab w:val="num" w:pos="1440"/>
        </w:tabs>
        <w:ind w:left="0" w:firstLine="720"/>
      </w:pPr>
      <w:rPr>
        <w:b w:val="0"/>
        <w:i w:val="0"/>
        <w:caps w:val="0"/>
        <w:strike w:val="0"/>
        <w:dstrike w:val="0"/>
        <w:sz w:val="24"/>
        <w:u w:val="none"/>
        <w:effect w:val="none"/>
      </w:rPr>
    </w:lvl>
    <w:lvl w:ilvl="2">
      <w:start w:val="1"/>
      <w:numFmt w:val="lowerLetter"/>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7">
    <w:nsid w:val="09FF1DDB"/>
    <w:multiLevelType w:val="hybridMultilevel"/>
    <w:tmpl w:val="424A8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074710"/>
    <w:multiLevelType w:val="hybridMultilevel"/>
    <w:tmpl w:val="257EA23E"/>
    <w:lvl w:ilvl="0" w:tplc="85881FA4">
      <w:start w:val="2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72765C0"/>
    <w:multiLevelType w:val="hybridMultilevel"/>
    <w:tmpl w:val="B1EA0BA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5D70D4"/>
    <w:multiLevelType w:val="hybridMultilevel"/>
    <w:tmpl w:val="0414DD4E"/>
    <w:lvl w:ilvl="0" w:tplc="09541E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FA253F"/>
    <w:multiLevelType w:val="hybridMultilevel"/>
    <w:tmpl w:val="E94CA96C"/>
    <w:lvl w:ilvl="0" w:tplc="B086AE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5432AC4"/>
    <w:multiLevelType w:val="hybridMultilevel"/>
    <w:tmpl w:val="6A965890"/>
    <w:lvl w:ilvl="0" w:tplc="0C9ABD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66F1A1D"/>
    <w:multiLevelType w:val="hybridMultilevel"/>
    <w:tmpl w:val="50AC26F2"/>
    <w:lvl w:ilvl="0" w:tplc="ADFAF2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738487D"/>
    <w:multiLevelType w:val="multilevel"/>
    <w:tmpl w:val="027477E0"/>
    <w:lvl w:ilvl="0">
      <w:start w:val="2"/>
      <w:numFmt w:val="upperRoman"/>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7"/>
      <w:numFmt w:val="decimal"/>
      <w:lvlText w:val="%2."/>
      <w:lvlJc w:val="left"/>
      <w:pPr>
        <w:tabs>
          <w:tab w:val="num" w:pos="1440"/>
        </w:tabs>
        <w:ind w:left="0" w:firstLine="720"/>
      </w:pPr>
      <w:rPr>
        <w:rFonts w:hint="default"/>
        <w:b w:val="0"/>
        <w:i w:val="0"/>
        <w:caps w:val="0"/>
        <w:strike w:val="0"/>
        <w:dstrike w:val="0"/>
        <w:sz w:val="24"/>
        <w:u w:val="none"/>
        <w:effect w:val="none"/>
      </w:rPr>
    </w:lvl>
    <w:lvl w:ilvl="2">
      <w:start w:val="12"/>
      <w:numFmt w:val="lowerLetter"/>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15">
    <w:nsid w:val="28A63581"/>
    <w:multiLevelType w:val="hybridMultilevel"/>
    <w:tmpl w:val="562A08EA"/>
    <w:lvl w:ilvl="0" w:tplc="DBA03332">
      <w:start w:val="500"/>
      <w:numFmt w:val="upperRoman"/>
      <w:lvlText w:val="%1."/>
      <w:lvlJc w:val="left"/>
      <w:pPr>
        <w:ind w:left="1080" w:hanging="72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E50E27"/>
    <w:multiLevelType w:val="multilevel"/>
    <w:tmpl w:val="3E2A6580"/>
    <w:lvl w:ilvl="0">
      <w:start w:val="2"/>
      <w:numFmt w:val="upperRoman"/>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1"/>
      <w:numFmt w:val="decimal"/>
      <w:lvlText w:val="%2."/>
      <w:lvlJc w:val="left"/>
      <w:pPr>
        <w:tabs>
          <w:tab w:val="num" w:pos="1440"/>
        </w:tabs>
        <w:ind w:left="0" w:firstLine="720"/>
      </w:pPr>
      <w:rPr>
        <w:b w:val="0"/>
        <w:i w:val="0"/>
        <w:caps w:val="0"/>
        <w:strike w:val="0"/>
        <w:dstrike w:val="0"/>
        <w:sz w:val="24"/>
        <w:u w:val="none"/>
        <w:effect w:val="none"/>
      </w:rPr>
    </w:lvl>
    <w:lvl w:ilvl="2">
      <w:start w:val="13"/>
      <w:numFmt w:val="lowerLetter"/>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17">
    <w:nsid w:val="295B50D8"/>
    <w:multiLevelType w:val="multilevel"/>
    <w:tmpl w:val="51A6A95E"/>
    <w:lvl w:ilvl="0">
      <w:start w:val="1"/>
      <w:numFmt w:val="upperLetter"/>
      <w:lvlText w:val="%1."/>
      <w:lvlJc w:val="left"/>
      <w:pPr>
        <w:tabs>
          <w:tab w:val="num" w:pos="1440"/>
        </w:tabs>
        <w:ind w:left="720" w:firstLine="720"/>
      </w:pPr>
      <w:rPr>
        <w:rFonts w:ascii="Times New Roman" w:eastAsia="Times New Roman" w:hAnsi="Times New Roman" w:cs="Times New Roman"/>
      </w:rPr>
    </w:lvl>
    <w:lvl w:ilvl="1">
      <w:start w:val="1"/>
      <w:numFmt w:val="lowerLetter"/>
      <w:lvlText w:val="(%2)"/>
      <w:lvlJc w:val="left"/>
      <w:pPr>
        <w:tabs>
          <w:tab w:val="num" w:pos="2160"/>
        </w:tabs>
        <w:ind w:left="2520" w:hanging="360"/>
      </w:pPr>
      <w:rPr>
        <w:rFonts w:hint="default"/>
      </w:rPr>
    </w:lvl>
    <w:lvl w:ilvl="2">
      <w:start w:val="1"/>
      <w:numFmt w:val="lowerRoman"/>
      <w:lvlText w:val="(%3)"/>
      <w:lvlJc w:val="left"/>
      <w:pPr>
        <w:tabs>
          <w:tab w:val="num" w:pos="2880"/>
        </w:tabs>
        <w:ind w:left="324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nsid w:val="2C7001CF"/>
    <w:multiLevelType w:val="multilevel"/>
    <w:tmpl w:val="39F6E2BE"/>
    <w:lvl w:ilvl="0">
      <w:start w:val="2"/>
      <w:numFmt w:val="upperRoman"/>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7"/>
      <w:numFmt w:val="decimal"/>
      <w:lvlText w:val="%2."/>
      <w:lvlJc w:val="left"/>
      <w:pPr>
        <w:tabs>
          <w:tab w:val="num" w:pos="1440"/>
        </w:tabs>
        <w:ind w:left="0" w:firstLine="720"/>
      </w:pPr>
      <w:rPr>
        <w:b w:val="0"/>
        <w:i w:val="0"/>
        <w:caps w:val="0"/>
        <w:strike w:val="0"/>
        <w:dstrike w:val="0"/>
        <w:sz w:val="24"/>
        <w:u w:val="none"/>
        <w:effect w:val="none"/>
      </w:rPr>
    </w:lvl>
    <w:lvl w:ilvl="2">
      <w:start w:val="1"/>
      <w:numFmt w:val="lowerLetter"/>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19">
    <w:nsid w:val="38F41842"/>
    <w:multiLevelType w:val="hybridMultilevel"/>
    <w:tmpl w:val="929AAE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3D232A3D"/>
    <w:multiLevelType w:val="hybridMultilevel"/>
    <w:tmpl w:val="5D70FE20"/>
    <w:lvl w:ilvl="0" w:tplc="CE1C8A9E">
      <w:start w:val="1"/>
      <w:numFmt w:val="lowerLetter"/>
      <w:lvlText w:val="%1."/>
      <w:lvlJc w:val="left"/>
      <w:pPr>
        <w:ind w:left="1800" w:hanging="360"/>
      </w:pPr>
      <w:rPr>
        <w:rFonts w:ascii="Times New Roman Bold" w:hAnsi="Times New Roman Bold"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EA73FAE"/>
    <w:multiLevelType w:val="hybridMultilevel"/>
    <w:tmpl w:val="2C646A3E"/>
    <w:lvl w:ilvl="0" w:tplc="5A36334C">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F267F8"/>
    <w:multiLevelType w:val="multilevel"/>
    <w:tmpl w:val="C624DF8E"/>
    <w:lvl w:ilvl="0">
      <w:start w:val="2"/>
      <w:numFmt w:val="upperRoman"/>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1"/>
      <w:numFmt w:val="decimal"/>
      <w:lvlText w:val="(%2)"/>
      <w:lvlJc w:val="left"/>
      <w:pPr>
        <w:tabs>
          <w:tab w:val="num" w:pos="3060"/>
        </w:tabs>
        <w:ind w:left="1620" w:firstLine="720"/>
      </w:pPr>
      <w:rPr>
        <w:b w:val="0"/>
        <w:i w:val="0"/>
        <w:caps w:val="0"/>
        <w:strike w:val="0"/>
        <w:dstrike w:val="0"/>
        <w:sz w:val="24"/>
        <w:u w:val="none"/>
        <w:effect w:val="none"/>
      </w:rPr>
    </w:lvl>
    <w:lvl w:ilvl="2">
      <w:start w:val="1"/>
      <w:numFmt w:val="lowerLetter"/>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23">
    <w:nsid w:val="4ACB214C"/>
    <w:multiLevelType w:val="hybridMultilevel"/>
    <w:tmpl w:val="21FE909C"/>
    <w:lvl w:ilvl="0" w:tplc="0409000F">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4">
    <w:nsid w:val="520B244E"/>
    <w:multiLevelType w:val="hybridMultilevel"/>
    <w:tmpl w:val="DBFA9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AF659C"/>
    <w:multiLevelType w:val="hybridMultilevel"/>
    <w:tmpl w:val="2E445B0E"/>
    <w:lvl w:ilvl="0" w:tplc="08482866">
      <w:start w:val="1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B42415"/>
    <w:multiLevelType w:val="hybridMultilevel"/>
    <w:tmpl w:val="180E282E"/>
    <w:lvl w:ilvl="0" w:tplc="C23ADEC0">
      <w:start w:val="1"/>
      <w:numFmt w:val="lowerRoman"/>
      <w:lvlText w:val="%1."/>
      <w:lvlJc w:val="left"/>
      <w:pPr>
        <w:ind w:left="2448" w:hanging="720"/>
      </w:pPr>
      <w:rPr>
        <w:rFonts w:eastAsia="Times New Roman" w:hint="default"/>
        <w:b w:val="0"/>
        <w:color w:val="333333"/>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7">
    <w:nsid w:val="567051C9"/>
    <w:multiLevelType w:val="hybridMultilevel"/>
    <w:tmpl w:val="E662EADE"/>
    <w:lvl w:ilvl="0" w:tplc="F4226166">
      <w:start w:val="1"/>
      <w:numFmt w:val="upperLetter"/>
      <w:pStyle w:val="Heading3"/>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851F9C"/>
    <w:multiLevelType w:val="hybridMultilevel"/>
    <w:tmpl w:val="957E6A12"/>
    <w:lvl w:ilvl="0" w:tplc="E02A66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A320C45"/>
    <w:multiLevelType w:val="hybridMultilevel"/>
    <w:tmpl w:val="888C021C"/>
    <w:lvl w:ilvl="0" w:tplc="6038E3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F520E8D"/>
    <w:multiLevelType w:val="hybridMultilevel"/>
    <w:tmpl w:val="F5380052"/>
    <w:lvl w:ilvl="0" w:tplc="C4DE324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2134D21"/>
    <w:multiLevelType w:val="hybridMultilevel"/>
    <w:tmpl w:val="6D46751E"/>
    <w:lvl w:ilvl="0" w:tplc="AA5C3932">
      <w:start w:val="5"/>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B237DC"/>
    <w:multiLevelType w:val="hybridMultilevel"/>
    <w:tmpl w:val="B50077FE"/>
    <w:lvl w:ilvl="0" w:tplc="0F84B704">
      <w:start w:val="5"/>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62E4D9E"/>
    <w:multiLevelType w:val="multilevel"/>
    <w:tmpl w:val="E33AA964"/>
    <w:lvl w:ilvl="0">
      <w:start w:val="2"/>
      <w:numFmt w:val="upperRoman"/>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9"/>
      <w:numFmt w:val="decimal"/>
      <w:lvlText w:val="%2."/>
      <w:lvlJc w:val="left"/>
      <w:pPr>
        <w:tabs>
          <w:tab w:val="num" w:pos="1440"/>
        </w:tabs>
        <w:ind w:left="0" w:firstLine="720"/>
      </w:pPr>
      <w:rPr>
        <w:b w:val="0"/>
        <w:i w:val="0"/>
        <w:caps w:val="0"/>
        <w:strike w:val="0"/>
        <w:dstrike w:val="0"/>
        <w:sz w:val="24"/>
        <w:u w:val="none"/>
        <w:effect w:val="none"/>
      </w:rPr>
    </w:lvl>
    <w:lvl w:ilvl="2">
      <w:start w:val="1"/>
      <w:numFmt w:val="lowerLetter"/>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34">
    <w:nsid w:val="68572A18"/>
    <w:multiLevelType w:val="hybridMultilevel"/>
    <w:tmpl w:val="14648AB2"/>
    <w:lvl w:ilvl="0" w:tplc="3BCC4D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6C7609"/>
    <w:multiLevelType w:val="hybridMultilevel"/>
    <w:tmpl w:val="C5D4FDF4"/>
    <w:lvl w:ilvl="0" w:tplc="9F2E3970">
      <w:start w:val="1"/>
      <w:numFmt w:val="upperLetter"/>
      <w:lvlText w:val="%1."/>
      <w:lvlJc w:val="left"/>
      <w:pPr>
        <w:ind w:left="270" w:hanging="360"/>
      </w:pPr>
      <w:rPr>
        <w:rFonts w:hint="default"/>
        <w:u w:val="none"/>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6">
    <w:nsid w:val="74AA7830"/>
    <w:multiLevelType w:val="hybridMultilevel"/>
    <w:tmpl w:val="FAA8B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C918BD"/>
    <w:multiLevelType w:val="hybridMultilevel"/>
    <w:tmpl w:val="7C263EF0"/>
    <w:lvl w:ilvl="0" w:tplc="901C0D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4F11BB1"/>
    <w:multiLevelType w:val="hybridMultilevel"/>
    <w:tmpl w:val="E08E29B4"/>
    <w:lvl w:ilvl="0" w:tplc="6CF0AC2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778925F2"/>
    <w:multiLevelType w:val="hybridMultilevel"/>
    <w:tmpl w:val="1A849D3C"/>
    <w:lvl w:ilvl="0" w:tplc="1CF2EF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81517A8"/>
    <w:multiLevelType w:val="hybridMultilevel"/>
    <w:tmpl w:val="12800150"/>
    <w:lvl w:ilvl="0" w:tplc="E59C46AE">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7"/>
  </w:num>
  <w:num w:numId="3">
    <w:abstractNumId w:val="24"/>
  </w:num>
  <w:num w:numId="4">
    <w:abstractNumId w:val="28"/>
  </w:num>
  <w:num w:numId="5">
    <w:abstractNumId w:val="1"/>
  </w:num>
  <w:num w:numId="6">
    <w:abstractNumId w:val="23"/>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1"/>
  </w:num>
  <w:num w:numId="10">
    <w:abstractNumId w:val="30"/>
  </w:num>
  <w:num w:numId="11">
    <w:abstractNumId w:val="32"/>
  </w:num>
  <w:num w:numId="12">
    <w:abstractNumId w:val="31"/>
  </w:num>
  <w:num w:numId="13">
    <w:abstractNumId w:val="12"/>
  </w:num>
  <w:num w:numId="14">
    <w:abstractNumId w:val="21"/>
  </w:num>
  <w:num w:numId="15">
    <w:abstractNumId w:val="9"/>
  </w:num>
  <w:num w:numId="16">
    <w:abstractNumId w:val="40"/>
  </w:num>
  <w:num w:numId="17">
    <w:abstractNumId w:val="26"/>
  </w:num>
  <w:num w:numId="18">
    <w:abstractNumId w:val="4"/>
  </w:num>
  <w:num w:numId="19">
    <w:abstractNumId w:val="29"/>
  </w:num>
  <w:num w:numId="20">
    <w:abstractNumId w:val="27"/>
  </w:num>
  <w:num w:numId="21">
    <w:abstractNumId w:val="18"/>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2"/>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2"/>
    </w:lvlOverride>
    <w:lvlOverride w:ilvl="1">
      <w:startOverride w:val="8"/>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13"/>
  </w:num>
  <w:num w:numId="29">
    <w:abstractNumId w:val="10"/>
  </w:num>
  <w:num w:numId="30">
    <w:abstractNumId w:val="39"/>
  </w:num>
  <w:num w:numId="31">
    <w:abstractNumId w:val="15"/>
  </w:num>
  <w:num w:numId="32">
    <w:abstractNumId w:val="25"/>
  </w:num>
  <w:num w:numId="33">
    <w:abstractNumId w:val="2"/>
  </w:num>
  <w:num w:numId="34">
    <w:abstractNumId w:val="5"/>
  </w:num>
  <w:num w:numId="35">
    <w:abstractNumId w:val="37"/>
  </w:num>
  <w:num w:numId="36">
    <w:abstractNumId w:val="14"/>
  </w:num>
  <w:num w:numId="37">
    <w:abstractNumId w:val="0"/>
  </w:num>
  <w:num w:numId="38">
    <w:abstractNumId w:val="17"/>
  </w:num>
  <w:num w:numId="39">
    <w:abstractNumId w:val="8"/>
  </w:num>
  <w:num w:numId="40">
    <w:abstractNumId w:val="35"/>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630"/>
    <w:rsid w:val="00010107"/>
    <w:rsid w:val="00011700"/>
    <w:rsid w:val="00014464"/>
    <w:rsid w:val="00015DA3"/>
    <w:rsid w:val="00017272"/>
    <w:rsid w:val="00020132"/>
    <w:rsid w:val="000206CB"/>
    <w:rsid w:val="00022DFF"/>
    <w:rsid w:val="000230DC"/>
    <w:rsid w:val="0002499E"/>
    <w:rsid w:val="000305B3"/>
    <w:rsid w:val="000308C0"/>
    <w:rsid w:val="000428D9"/>
    <w:rsid w:val="000472F6"/>
    <w:rsid w:val="0004786D"/>
    <w:rsid w:val="00051713"/>
    <w:rsid w:val="00051D65"/>
    <w:rsid w:val="00060A11"/>
    <w:rsid w:val="00063976"/>
    <w:rsid w:val="000645BB"/>
    <w:rsid w:val="00066E24"/>
    <w:rsid w:val="00067490"/>
    <w:rsid w:val="000675EE"/>
    <w:rsid w:val="000729DB"/>
    <w:rsid w:val="000756F7"/>
    <w:rsid w:val="00080508"/>
    <w:rsid w:val="00080AD5"/>
    <w:rsid w:val="00086495"/>
    <w:rsid w:val="00086CF2"/>
    <w:rsid w:val="00092467"/>
    <w:rsid w:val="00093C84"/>
    <w:rsid w:val="000A5AB9"/>
    <w:rsid w:val="000A6D30"/>
    <w:rsid w:val="000A73D9"/>
    <w:rsid w:val="000B161C"/>
    <w:rsid w:val="000B2552"/>
    <w:rsid w:val="000B28C3"/>
    <w:rsid w:val="000B2ABA"/>
    <w:rsid w:val="000B41A5"/>
    <w:rsid w:val="000B4678"/>
    <w:rsid w:val="000B4A07"/>
    <w:rsid w:val="000B52B1"/>
    <w:rsid w:val="000B6131"/>
    <w:rsid w:val="000B692E"/>
    <w:rsid w:val="000B6BF3"/>
    <w:rsid w:val="000C39B9"/>
    <w:rsid w:val="000C4001"/>
    <w:rsid w:val="000D0FD6"/>
    <w:rsid w:val="000D57DA"/>
    <w:rsid w:val="000D6055"/>
    <w:rsid w:val="000E389C"/>
    <w:rsid w:val="000E624F"/>
    <w:rsid w:val="000E70B1"/>
    <w:rsid w:val="000F06E6"/>
    <w:rsid w:val="000F07A9"/>
    <w:rsid w:val="000F1810"/>
    <w:rsid w:val="000F2644"/>
    <w:rsid w:val="000F46EC"/>
    <w:rsid w:val="000F5BDD"/>
    <w:rsid w:val="000F5FFF"/>
    <w:rsid w:val="000F6117"/>
    <w:rsid w:val="000F64CB"/>
    <w:rsid w:val="000F6DED"/>
    <w:rsid w:val="001012B5"/>
    <w:rsid w:val="0010676F"/>
    <w:rsid w:val="00106EA6"/>
    <w:rsid w:val="00112333"/>
    <w:rsid w:val="00112F58"/>
    <w:rsid w:val="001132DA"/>
    <w:rsid w:val="00113BC1"/>
    <w:rsid w:val="001168BE"/>
    <w:rsid w:val="00116AE5"/>
    <w:rsid w:val="00120504"/>
    <w:rsid w:val="0012075D"/>
    <w:rsid w:val="00121F2C"/>
    <w:rsid w:val="00122E17"/>
    <w:rsid w:val="001268FD"/>
    <w:rsid w:val="00126ECD"/>
    <w:rsid w:val="00131A96"/>
    <w:rsid w:val="00134973"/>
    <w:rsid w:val="001357CF"/>
    <w:rsid w:val="00135824"/>
    <w:rsid w:val="00135D70"/>
    <w:rsid w:val="001371CA"/>
    <w:rsid w:val="00137CA4"/>
    <w:rsid w:val="001404FC"/>
    <w:rsid w:val="001409B0"/>
    <w:rsid w:val="001448CA"/>
    <w:rsid w:val="00146564"/>
    <w:rsid w:val="00146FB3"/>
    <w:rsid w:val="001501A4"/>
    <w:rsid w:val="00152F28"/>
    <w:rsid w:val="00153091"/>
    <w:rsid w:val="001607BF"/>
    <w:rsid w:val="00162362"/>
    <w:rsid w:val="0016388D"/>
    <w:rsid w:val="0016789A"/>
    <w:rsid w:val="001726F1"/>
    <w:rsid w:val="00173319"/>
    <w:rsid w:val="00173867"/>
    <w:rsid w:val="001739A7"/>
    <w:rsid w:val="00177C0C"/>
    <w:rsid w:val="001805B2"/>
    <w:rsid w:val="00180C15"/>
    <w:rsid w:val="00182443"/>
    <w:rsid w:val="001835E0"/>
    <w:rsid w:val="001845B2"/>
    <w:rsid w:val="0018538A"/>
    <w:rsid w:val="001858E8"/>
    <w:rsid w:val="00185EFE"/>
    <w:rsid w:val="00192B67"/>
    <w:rsid w:val="00194BC1"/>
    <w:rsid w:val="00196775"/>
    <w:rsid w:val="001A17F8"/>
    <w:rsid w:val="001A1A57"/>
    <w:rsid w:val="001A630C"/>
    <w:rsid w:val="001A63E2"/>
    <w:rsid w:val="001B5AE1"/>
    <w:rsid w:val="001C180A"/>
    <w:rsid w:val="001C311E"/>
    <w:rsid w:val="001C3CD4"/>
    <w:rsid w:val="001C48D9"/>
    <w:rsid w:val="001C5669"/>
    <w:rsid w:val="001C58FD"/>
    <w:rsid w:val="001C68D6"/>
    <w:rsid w:val="001C7FA1"/>
    <w:rsid w:val="001D1154"/>
    <w:rsid w:val="001E022A"/>
    <w:rsid w:val="001E2E66"/>
    <w:rsid w:val="001E5520"/>
    <w:rsid w:val="001E5878"/>
    <w:rsid w:val="001E5FF8"/>
    <w:rsid w:val="001E6FB2"/>
    <w:rsid w:val="001F0823"/>
    <w:rsid w:val="001F423D"/>
    <w:rsid w:val="001F5583"/>
    <w:rsid w:val="00200D06"/>
    <w:rsid w:val="0020119B"/>
    <w:rsid w:val="002031C9"/>
    <w:rsid w:val="00205C55"/>
    <w:rsid w:val="002103B9"/>
    <w:rsid w:val="00212C6C"/>
    <w:rsid w:val="002171FB"/>
    <w:rsid w:val="002220DC"/>
    <w:rsid w:val="002221DC"/>
    <w:rsid w:val="002259A1"/>
    <w:rsid w:val="00227D07"/>
    <w:rsid w:val="00230843"/>
    <w:rsid w:val="00233511"/>
    <w:rsid w:val="0023407C"/>
    <w:rsid w:val="00235AD5"/>
    <w:rsid w:val="00236B78"/>
    <w:rsid w:val="00240A74"/>
    <w:rsid w:val="00240D7E"/>
    <w:rsid w:val="00241432"/>
    <w:rsid w:val="00243386"/>
    <w:rsid w:val="00244934"/>
    <w:rsid w:val="002451DD"/>
    <w:rsid w:val="00246F3F"/>
    <w:rsid w:val="00247C5C"/>
    <w:rsid w:val="0025155B"/>
    <w:rsid w:val="00251F8F"/>
    <w:rsid w:val="00255559"/>
    <w:rsid w:val="0025797F"/>
    <w:rsid w:val="002609EE"/>
    <w:rsid w:val="00260F52"/>
    <w:rsid w:val="00261FB1"/>
    <w:rsid w:val="002670F1"/>
    <w:rsid w:val="00274253"/>
    <w:rsid w:val="002755DE"/>
    <w:rsid w:val="00281278"/>
    <w:rsid w:val="00283323"/>
    <w:rsid w:val="00283732"/>
    <w:rsid w:val="002878D2"/>
    <w:rsid w:val="002942AD"/>
    <w:rsid w:val="00295FE5"/>
    <w:rsid w:val="00297269"/>
    <w:rsid w:val="002A6B84"/>
    <w:rsid w:val="002B172B"/>
    <w:rsid w:val="002B40FD"/>
    <w:rsid w:val="002B51A2"/>
    <w:rsid w:val="002B6627"/>
    <w:rsid w:val="002C0751"/>
    <w:rsid w:val="002C09F1"/>
    <w:rsid w:val="002C429A"/>
    <w:rsid w:val="002C4445"/>
    <w:rsid w:val="002C4670"/>
    <w:rsid w:val="002C6652"/>
    <w:rsid w:val="002C7CC1"/>
    <w:rsid w:val="002D15AA"/>
    <w:rsid w:val="002D242A"/>
    <w:rsid w:val="002D275D"/>
    <w:rsid w:val="002D6337"/>
    <w:rsid w:val="002E0744"/>
    <w:rsid w:val="002E18D7"/>
    <w:rsid w:val="002E337E"/>
    <w:rsid w:val="002E3D5E"/>
    <w:rsid w:val="002E53F9"/>
    <w:rsid w:val="002E6532"/>
    <w:rsid w:val="002E706C"/>
    <w:rsid w:val="002E7739"/>
    <w:rsid w:val="002F096F"/>
    <w:rsid w:val="002F20B2"/>
    <w:rsid w:val="002F2AEA"/>
    <w:rsid w:val="002F3C11"/>
    <w:rsid w:val="002F419A"/>
    <w:rsid w:val="002F4F18"/>
    <w:rsid w:val="002F6330"/>
    <w:rsid w:val="002F6C97"/>
    <w:rsid w:val="00301BB3"/>
    <w:rsid w:val="00302C34"/>
    <w:rsid w:val="00303EF0"/>
    <w:rsid w:val="003068F7"/>
    <w:rsid w:val="003074E3"/>
    <w:rsid w:val="003107C4"/>
    <w:rsid w:val="00320023"/>
    <w:rsid w:val="00321F88"/>
    <w:rsid w:val="00322EC1"/>
    <w:rsid w:val="0032301C"/>
    <w:rsid w:val="00323A35"/>
    <w:rsid w:val="0032437A"/>
    <w:rsid w:val="00324D8A"/>
    <w:rsid w:val="00326D43"/>
    <w:rsid w:val="00335AA7"/>
    <w:rsid w:val="003362C2"/>
    <w:rsid w:val="003429E6"/>
    <w:rsid w:val="00342FEB"/>
    <w:rsid w:val="00346524"/>
    <w:rsid w:val="003472CD"/>
    <w:rsid w:val="00353C66"/>
    <w:rsid w:val="00354960"/>
    <w:rsid w:val="003559CA"/>
    <w:rsid w:val="00356D66"/>
    <w:rsid w:val="00357564"/>
    <w:rsid w:val="00361B5F"/>
    <w:rsid w:val="003622E9"/>
    <w:rsid w:val="003629E4"/>
    <w:rsid w:val="00362E50"/>
    <w:rsid w:val="003660C4"/>
    <w:rsid w:val="00367F85"/>
    <w:rsid w:val="0037072F"/>
    <w:rsid w:val="0037235D"/>
    <w:rsid w:val="00372503"/>
    <w:rsid w:val="003730C2"/>
    <w:rsid w:val="00373B8D"/>
    <w:rsid w:val="00374586"/>
    <w:rsid w:val="00375DB4"/>
    <w:rsid w:val="00376CE0"/>
    <w:rsid w:val="00377AE5"/>
    <w:rsid w:val="00380355"/>
    <w:rsid w:val="00382B9B"/>
    <w:rsid w:val="00383900"/>
    <w:rsid w:val="003869D4"/>
    <w:rsid w:val="00390535"/>
    <w:rsid w:val="00394302"/>
    <w:rsid w:val="00394797"/>
    <w:rsid w:val="00394CA8"/>
    <w:rsid w:val="003971C2"/>
    <w:rsid w:val="003A1EEA"/>
    <w:rsid w:val="003A5F97"/>
    <w:rsid w:val="003B0D34"/>
    <w:rsid w:val="003B1AC2"/>
    <w:rsid w:val="003C10EC"/>
    <w:rsid w:val="003C2773"/>
    <w:rsid w:val="003C2FC0"/>
    <w:rsid w:val="003C3458"/>
    <w:rsid w:val="003C525A"/>
    <w:rsid w:val="003D0160"/>
    <w:rsid w:val="003D05D0"/>
    <w:rsid w:val="003D1286"/>
    <w:rsid w:val="003D2471"/>
    <w:rsid w:val="003D4003"/>
    <w:rsid w:val="003D431B"/>
    <w:rsid w:val="003D569D"/>
    <w:rsid w:val="003D56FF"/>
    <w:rsid w:val="003D711C"/>
    <w:rsid w:val="003E2171"/>
    <w:rsid w:val="003E2935"/>
    <w:rsid w:val="003E587B"/>
    <w:rsid w:val="003E6FA5"/>
    <w:rsid w:val="003F250D"/>
    <w:rsid w:val="003F3CD5"/>
    <w:rsid w:val="003F6255"/>
    <w:rsid w:val="003F6CA2"/>
    <w:rsid w:val="003F6DB5"/>
    <w:rsid w:val="003F7C14"/>
    <w:rsid w:val="004055C3"/>
    <w:rsid w:val="00406C54"/>
    <w:rsid w:val="0041041C"/>
    <w:rsid w:val="00411F7A"/>
    <w:rsid w:val="00413F99"/>
    <w:rsid w:val="00415EA9"/>
    <w:rsid w:val="00420D62"/>
    <w:rsid w:val="0042103E"/>
    <w:rsid w:val="004235D4"/>
    <w:rsid w:val="00423FB5"/>
    <w:rsid w:val="004240EB"/>
    <w:rsid w:val="00424276"/>
    <w:rsid w:val="00425998"/>
    <w:rsid w:val="00432543"/>
    <w:rsid w:val="0043258C"/>
    <w:rsid w:val="00437EB9"/>
    <w:rsid w:val="004405CF"/>
    <w:rsid w:val="00440D73"/>
    <w:rsid w:val="004416A2"/>
    <w:rsid w:val="004417AC"/>
    <w:rsid w:val="004427F7"/>
    <w:rsid w:val="00450F32"/>
    <w:rsid w:val="00452C3F"/>
    <w:rsid w:val="00454315"/>
    <w:rsid w:val="00455E73"/>
    <w:rsid w:val="00462468"/>
    <w:rsid w:val="00462690"/>
    <w:rsid w:val="00463362"/>
    <w:rsid w:val="004633C8"/>
    <w:rsid w:val="00463433"/>
    <w:rsid w:val="0046417C"/>
    <w:rsid w:val="00465C1A"/>
    <w:rsid w:val="004665C7"/>
    <w:rsid w:val="004711FA"/>
    <w:rsid w:val="0047221A"/>
    <w:rsid w:val="00475AF7"/>
    <w:rsid w:val="00477122"/>
    <w:rsid w:val="0047723D"/>
    <w:rsid w:val="004772C7"/>
    <w:rsid w:val="00477A00"/>
    <w:rsid w:val="00483E94"/>
    <w:rsid w:val="00490F01"/>
    <w:rsid w:val="0049263E"/>
    <w:rsid w:val="00494266"/>
    <w:rsid w:val="004949F6"/>
    <w:rsid w:val="004952FE"/>
    <w:rsid w:val="00497E89"/>
    <w:rsid w:val="004A09E3"/>
    <w:rsid w:val="004A2FA3"/>
    <w:rsid w:val="004A6B06"/>
    <w:rsid w:val="004A71F4"/>
    <w:rsid w:val="004B45DD"/>
    <w:rsid w:val="004B554D"/>
    <w:rsid w:val="004B5B19"/>
    <w:rsid w:val="004B6498"/>
    <w:rsid w:val="004B7DD3"/>
    <w:rsid w:val="004C023F"/>
    <w:rsid w:val="004C0E79"/>
    <w:rsid w:val="004C1831"/>
    <w:rsid w:val="004C3F79"/>
    <w:rsid w:val="004C5127"/>
    <w:rsid w:val="004D3D92"/>
    <w:rsid w:val="004D3E30"/>
    <w:rsid w:val="004D6054"/>
    <w:rsid w:val="004D6C24"/>
    <w:rsid w:val="004E0392"/>
    <w:rsid w:val="004E06A5"/>
    <w:rsid w:val="004E152D"/>
    <w:rsid w:val="004E3196"/>
    <w:rsid w:val="004E4040"/>
    <w:rsid w:val="004E60F0"/>
    <w:rsid w:val="004F123E"/>
    <w:rsid w:val="004F14A6"/>
    <w:rsid w:val="004F4640"/>
    <w:rsid w:val="004F4E24"/>
    <w:rsid w:val="004F7C7A"/>
    <w:rsid w:val="00502115"/>
    <w:rsid w:val="00503DA2"/>
    <w:rsid w:val="00510E5A"/>
    <w:rsid w:val="00512EB7"/>
    <w:rsid w:val="00513F90"/>
    <w:rsid w:val="00514026"/>
    <w:rsid w:val="00515D42"/>
    <w:rsid w:val="0052012D"/>
    <w:rsid w:val="00520D0A"/>
    <w:rsid w:val="00524C5A"/>
    <w:rsid w:val="005301D1"/>
    <w:rsid w:val="0053617F"/>
    <w:rsid w:val="00537D7F"/>
    <w:rsid w:val="00542973"/>
    <w:rsid w:val="00542F03"/>
    <w:rsid w:val="00544F7A"/>
    <w:rsid w:val="005466EC"/>
    <w:rsid w:val="00547900"/>
    <w:rsid w:val="00551C5C"/>
    <w:rsid w:val="005528C6"/>
    <w:rsid w:val="005528F2"/>
    <w:rsid w:val="00555F0A"/>
    <w:rsid w:val="0056027D"/>
    <w:rsid w:val="00561494"/>
    <w:rsid w:val="00562FB4"/>
    <w:rsid w:val="00564E87"/>
    <w:rsid w:val="005650DE"/>
    <w:rsid w:val="00566333"/>
    <w:rsid w:val="00566AEC"/>
    <w:rsid w:val="00566C89"/>
    <w:rsid w:val="005701E2"/>
    <w:rsid w:val="00570E2D"/>
    <w:rsid w:val="00571741"/>
    <w:rsid w:val="0057668E"/>
    <w:rsid w:val="00580396"/>
    <w:rsid w:val="00581713"/>
    <w:rsid w:val="00583262"/>
    <w:rsid w:val="00583349"/>
    <w:rsid w:val="00585D4D"/>
    <w:rsid w:val="00593FAB"/>
    <w:rsid w:val="0059660B"/>
    <w:rsid w:val="00597FA0"/>
    <w:rsid w:val="005A3F0A"/>
    <w:rsid w:val="005A400D"/>
    <w:rsid w:val="005B19BC"/>
    <w:rsid w:val="005B3518"/>
    <w:rsid w:val="005B3A8B"/>
    <w:rsid w:val="005B4B82"/>
    <w:rsid w:val="005B5B09"/>
    <w:rsid w:val="005C422A"/>
    <w:rsid w:val="005C4B9C"/>
    <w:rsid w:val="005C5DF2"/>
    <w:rsid w:val="005D0474"/>
    <w:rsid w:val="005D1033"/>
    <w:rsid w:val="005D1AFF"/>
    <w:rsid w:val="005D2049"/>
    <w:rsid w:val="005D4AE3"/>
    <w:rsid w:val="005D4B67"/>
    <w:rsid w:val="005D7B18"/>
    <w:rsid w:val="005E30DB"/>
    <w:rsid w:val="005E6253"/>
    <w:rsid w:val="005F1840"/>
    <w:rsid w:val="005F456B"/>
    <w:rsid w:val="005F6060"/>
    <w:rsid w:val="00600FEE"/>
    <w:rsid w:val="006122A1"/>
    <w:rsid w:val="006139B1"/>
    <w:rsid w:val="0061757D"/>
    <w:rsid w:val="00621F5A"/>
    <w:rsid w:val="00623C99"/>
    <w:rsid w:val="006244D1"/>
    <w:rsid w:val="006248C1"/>
    <w:rsid w:val="00626130"/>
    <w:rsid w:val="00631021"/>
    <w:rsid w:val="0063173D"/>
    <w:rsid w:val="00631B41"/>
    <w:rsid w:val="006321C2"/>
    <w:rsid w:val="006345BA"/>
    <w:rsid w:val="0063474B"/>
    <w:rsid w:val="006347CE"/>
    <w:rsid w:val="006351B4"/>
    <w:rsid w:val="00636FBB"/>
    <w:rsid w:val="00644719"/>
    <w:rsid w:val="006470ED"/>
    <w:rsid w:val="00650C7D"/>
    <w:rsid w:val="006537A5"/>
    <w:rsid w:val="00656B30"/>
    <w:rsid w:val="00656CCF"/>
    <w:rsid w:val="0066213E"/>
    <w:rsid w:val="006623BC"/>
    <w:rsid w:val="00665A1E"/>
    <w:rsid w:val="006666CF"/>
    <w:rsid w:val="00667393"/>
    <w:rsid w:val="00670654"/>
    <w:rsid w:val="00675B1B"/>
    <w:rsid w:val="006767B5"/>
    <w:rsid w:val="006772E3"/>
    <w:rsid w:val="00680F50"/>
    <w:rsid w:val="0068726F"/>
    <w:rsid w:val="00691A00"/>
    <w:rsid w:val="006932FA"/>
    <w:rsid w:val="006945C1"/>
    <w:rsid w:val="0069766F"/>
    <w:rsid w:val="006979DF"/>
    <w:rsid w:val="006A09C4"/>
    <w:rsid w:val="006A1F8C"/>
    <w:rsid w:val="006A46C9"/>
    <w:rsid w:val="006A5CEB"/>
    <w:rsid w:val="006A66D5"/>
    <w:rsid w:val="006A730F"/>
    <w:rsid w:val="006B2E86"/>
    <w:rsid w:val="006B3D39"/>
    <w:rsid w:val="006B6448"/>
    <w:rsid w:val="006B6A12"/>
    <w:rsid w:val="006B7155"/>
    <w:rsid w:val="006C0099"/>
    <w:rsid w:val="006C0EB0"/>
    <w:rsid w:val="006C3530"/>
    <w:rsid w:val="006C4414"/>
    <w:rsid w:val="006C6D60"/>
    <w:rsid w:val="006D4CB1"/>
    <w:rsid w:val="006D70A9"/>
    <w:rsid w:val="006E3DA2"/>
    <w:rsid w:val="006E6E60"/>
    <w:rsid w:val="006F21DB"/>
    <w:rsid w:val="006F303C"/>
    <w:rsid w:val="006F3138"/>
    <w:rsid w:val="006F35A0"/>
    <w:rsid w:val="006F6C7C"/>
    <w:rsid w:val="0070190B"/>
    <w:rsid w:val="00703E3A"/>
    <w:rsid w:val="007068FF"/>
    <w:rsid w:val="00706ADF"/>
    <w:rsid w:val="007070AF"/>
    <w:rsid w:val="00710EFA"/>
    <w:rsid w:val="00711E43"/>
    <w:rsid w:val="00713A41"/>
    <w:rsid w:val="00713AAD"/>
    <w:rsid w:val="00716A07"/>
    <w:rsid w:val="00720133"/>
    <w:rsid w:val="007204E9"/>
    <w:rsid w:val="00720F08"/>
    <w:rsid w:val="007238BE"/>
    <w:rsid w:val="00727946"/>
    <w:rsid w:val="007279AA"/>
    <w:rsid w:val="00732965"/>
    <w:rsid w:val="00732C49"/>
    <w:rsid w:val="00733665"/>
    <w:rsid w:val="00734598"/>
    <w:rsid w:val="007346A7"/>
    <w:rsid w:val="0073497D"/>
    <w:rsid w:val="0073597D"/>
    <w:rsid w:val="00742DF6"/>
    <w:rsid w:val="00744535"/>
    <w:rsid w:val="007450A4"/>
    <w:rsid w:val="00745554"/>
    <w:rsid w:val="0075126F"/>
    <w:rsid w:val="0075484F"/>
    <w:rsid w:val="0075759E"/>
    <w:rsid w:val="00757BE6"/>
    <w:rsid w:val="00757FBE"/>
    <w:rsid w:val="00762452"/>
    <w:rsid w:val="0076311F"/>
    <w:rsid w:val="00765744"/>
    <w:rsid w:val="00765FFD"/>
    <w:rsid w:val="00767179"/>
    <w:rsid w:val="00774635"/>
    <w:rsid w:val="00776B34"/>
    <w:rsid w:val="00781631"/>
    <w:rsid w:val="00781FB2"/>
    <w:rsid w:val="00784691"/>
    <w:rsid w:val="007850E7"/>
    <w:rsid w:val="007858E0"/>
    <w:rsid w:val="00786E60"/>
    <w:rsid w:val="0079044B"/>
    <w:rsid w:val="007918C9"/>
    <w:rsid w:val="00791BDD"/>
    <w:rsid w:val="00797026"/>
    <w:rsid w:val="007A0F21"/>
    <w:rsid w:val="007A1355"/>
    <w:rsid w:val="007A1CA8"/>
    <w:rsid w:val="007A738C"/>
    <w:rsid w:val="007A7D51"/>
    <w:rsid w:val="007B0EDE"/>
    <w:rsid w:val="007B190E"/>
    <w:rsid w:val="007C0B0F"/>
    <w:rsid w:val="007C1AE9"/>
    <w:rsid w:val="007C4525"/>
    <w:rsid w:val="007C72B0"/>
    <w:rsid w:val="007D1E75"/>
    <w:rsid w:val="007D6C19"/>
    <w:rsid w:val="007E334F"/>
    <w:rsid w:val="007E389F"/>
    <w:rsid w:val="007E3DA9"/>
    <w:rsid w:val="007E57BC"/>
    <w:rsid w:val="007E6293"/>
    <w:rsid w:val="007E674F"/>
    <w:rsid w:val="007F1BF5"/>
    <w:rsid w:val="007F6078"/>
    <w:rsid w:val="007F7930"/>
    <w:rsid w:val="008011EC"/>
    <w:rsid w:val="00804D66"/>
    <w:rsid w:val="0080633A"/>
    <w:rsid w:val="00806578"/>
    <w:rsid w:val="00810D4E"/>
    <w:rsid w:val="00826661"/>
    <w:rsid w:val="0083213C"/>
    <w:rsid w:val="00832788"/>
    <w:rsid w:val="008365E0"/>
    <w:rsid w:val="00836C47"/>
    <w:rsid w:val="00842B15"/>
    <w:rsid w:val="00842B38"/>
    <w:rsid w:val="00843A2B"/>
    <w:rsid w:val="00845F2B"/>
    <w:rsid w:val="00852971"/>
    <w:rsid w:val="00853F9A"/>
    <w:rsid w:val="00854427"/>
    <w:rsid w:val="00856553"/>
    <w:rsid w:val="00861331"/>
    <w:rsid w:val="0087450D"/>
    <w:rsid w:val="00881151"/>
    <w:rsid w:val="00882AF1"/>
    <w:rsid w:val="0088310D"/>
    <w:rsid w:val="00886AED"/>
    <w:rsid w:val="00893354"/>
    <w:rsid w:val="008A0B64"/>
    <w:rsid w:val="008B0799"/>
    <w:rsid w:val="008B3EF0"/>
    <w:rsid w:val="008B7711"/>
    <w:rsid w:val="008C18E2"/>
    <w:rsid w:val="008C1AAF"/>
    <w:rsid w:val="008C3C94"/>
    <w:rsid w:val="008C4098"/>
    <w:rsid w:val="008C48CC"/>
    <w:rsid w:val="008C6829"/>
    <w:rsid w:val="008C6ACD"/>
    <w:rsid w:val="008D25CD"/>
    <w:rsid w:val="008D5FDE"/>
    <w:rsid w:val="008D6CDB"/>
    <w:rsid w:val="008E0EA7"/>
    <w:rsid w:val="008E1023"/>
    <w:rsid w:val="008E312F"/>
    <w:rsid w:val="008E60D1"/>
    <w:rsid w:val="008F0B29"/>
    <w:rsid w:val="008F1273"/>
    <w:rsid w:val="008F235A"/>
    <w:rsid w:val="008F34A7"/>
    <w:rsid w:val="008F5061"/>
    <w:rsid w:val="008F7A28"/>
    <w:rsid w:val="009010A7"/>
    <w:rsid w:val="00904274"/>
    <w:rsid w:val="0091206F"/>
    <w:rsid w:val="009124D5"/>
    <w:rsid w:val="009134AB"/>
    <w:rsid w:val="00913583"/>
    <w:rsid w:val="00915352"/>
    <w:rsid w:val="009158FD"/>
    <w:rsid w:val="0091702B"/>
    <w:rsid w:val="0091779E"/>
    <w:rsid w:val="00920EF3"/>
    <w:rsid w:val="00926F8E"/>
    <w:rsid w:val="00930EF2"/>
    <w:rsid w:val="00934B8B"/>
    <w:rsid w:val="00936EC5"/>
    <w:rsid w:val="00937C09"/>
    <w:rsid w:val="00944CF6"/>
    <w:rsid w:val="00950872"/>
    <w:rsid w:val="009511F8"/>
    <w:rsid w:val="00952DA8"/>
    <w:rsid w:val="00954042"/>
    <w:rsid w:val="009551DF"/>
    <w:rsid w:val="00964BCF"/>
    <w:rsid w:val="009655FD"/>
    <w:rsid w:val="0096709D"/>
    <w:rsid w:val="00967A0B"/>
    <w:rsid w:val="00976791"/>
    <w:rsid w:val="009775F1"/>
    <w:rsid w:val="00980834"/>
    <w:rsid w:val="00983309"/>
    <w:rsid w:val="00987A09"/>
    <w:rsid w:val="00992092"/>
    <w:rsid w:val="00992393"/>
    <w:rsid w:val="009923CD"/>
    <w:rsid w:val="009932E3"/>
    <w:rsid w:val="00994D7F"/>
    <w:rsid w:val="00996045"/>
    <w:rsid w:val="009970BD"/>
    <w:rsid w:val="009A09B2"/>
    <w:rsid w:val="009A6842"/>
    <w:rsid w:val="009B60D1"/>
    <w:rsid w:val="009B6478"/>
    <w:rsid w:val="009B6E3A"/>
    <w:rsid w:val="009C0DE0"/>
    <w:rsid w:val="009C367C"/>
    <w:rsid w:val="009C7C80"/>
    <w:rsid w:val="009D3228"/>
    <w:rsid w:val="009D42FD"/>
    <w:rsid w:val="009D7956"/>
    <w:rsid w:val="009E0C18"/>
    <w:rsid w:val="009E2773"/>
    <w:rsid w:val="009E2B9B"/>
    <w:rsid w:val="009E4DE2"/>
    <w:rsid w:val="009F2213"/>
    <w:rsid w:val="009F275B"/>
    <w:rsid w:val="009F5515"/>
    <w:rsid w:val="009F5F22"/>
    <w:rsid w:val="009F6F31"/>
    <w:rsid w:val="009F7CAC"/>
    <w:rsid w:val="009F7ECF"/>
    <w:rsid w:val="00A0036D"/>
    <w:rsid w:val="00A0086B"/>
    <w:rsid w:val="00A00BC0"/>
    <w:rsid w:val="00A06511"/>
    <w:rsid w:val="00A144BD"/>
    <w:rsid w:val="00A1658B"/>
    <w:rsid w:val="00A22A16"/>
    <w:rsid w:val="00A23E32"/>
    <w:rsid w:val="00A25938"/>
    <w:rsid w:val="00A26C9D"/>
    <w:rsid w:val="00A307BF"/>
    <w:rsid w:val="00A30CAA"/>
    <w:rsid w:val="00A31CA8"/>
    <w:rsid w:val="00A32702"/>
    <w:rsid w:val="00A361D2"/>
    <w:rsid w:val="00A41D91"/>
    <w:rsid w:val="00A53C54"/>
    <w:rsid w:val="00A549B4"/>
    <w:rsid w:val="00A56428"/>
    <w:rsid w:val="00A57ADA"/>
    <w:rsid w:val="00A60553"/>
    <w:rsid w:val="00A65F2A"/>
    <w:rsid w:val="00A7002C"/>
    <w:rsid w:val="00A72D8B"/>
    <w:rsid w:val="00A73361"/>
    <w:rsid w:val="00A73D35"/>
    <w:rsid w:val="00A77027"/>
    <w:rsid w:val="00A779F5"/>
    <w:rsid w:val="00A851DF"/>
    <w:rsid w:val="00A8762E"/>
    <w:rsid w:val="00A90E10"/>
    <w:rsid w:val="00A92D58"/>
    <w:rsid w:val="00A932B7"/>
    <w:rsid w:val="00A94EBF"/>
    <w:rsid w:val="00A95A7C"/>
    <w:rsid w:val="00A9614F"/>
    <w:rsid w:val="00A96953"/>
    <w:rsid w:val="00A96D8B"/>
    <w:rsid w:val="00A96DBD"/>
    <w:rsid w:val="00AA0768"/>
    <w:rsid w:val="00AA1E34"/>
    <w:rsid w:val="00AA4672"/>
    <w:rsid w:val="00AA5088"/>
    <w:rsid w:val="00AA7EC8"/>
    <w:rsid w:val="00AA7EC9"/>
    <w:rsid w:val="00AB3749"/>
    <w:rsid w:val="00AB4676"/>
    <w:rsid w:val="00AB49C7"/>
    <w:rsid w:val="00AB73D6"/>
    <w:rsid w:val="00AC0FDC"/>
    <w:rsid w:val="00AC142B"/>
    <w:rsid w:val="00AC46F2"/>
    <w:rsid w:val="00AD483D"/>
    <w:rsid w:val="00AD520A"/>
    <w:rsid w:val="00AD715A"/>
    <w:rsid w:val="00AE1925"/>
    <w:rsid w:val="00AE25B2"/>
    <w:rsid w:val="00AE33BB"/>
    <w:rsid w:val="00AE37F3"/>
    <w:rsid w:val="00AE4448"/>
    <w:rsid w:val="00AE4D21"/>
    <w:rsid w:val="00AF2CC8"/>
    <w:rsid w:val="00AF5AE6"/>
    <w:rsid w:val="00AF5F44"/>
    <w:rsid w:val="00AF7570"/>
    <w:rsid w:val="00B03E19"/>
    <w:rsid w:val="00B05A8B"/>
    <w:rsid w:val="00B061D9"/>
    <w:rsid w:val="00B11764"/>
    <w:rsid w:val="00B169AF"/>
    <w:rsid w:val="00B2140C"/>
    <w:rsid w:val="00B22359"/>
    <w:rsid w:val="00B22843"/>
    <w:rsid w:val="00B23C2C"/>
    <w:rsid w:val="00B2448C"/>
    <w:rsid w:val="00B249C8"/>
    <w:rsid w:val="00B25970"/>
    <w:rsid w:val="00B26F32"/>
    <w:rsid w:val="00B3077E"/>
    <w:rsid w:val="00B315B2"/>
    <w:rsid w:val="00B31FF8"/>
    <w:rsid w:val="00B3340B"/>
    <w:rsid w:val="00B340D5"/>
    <w:rsid w:val="00B34848"/>
    <w:rsid w:val="00B3666D"/>
    <w:rsid w:val="00B42182"/>
    <w:rsid w:val="00B438B1"/>
    <w:rsid w:val="00B4714D"/>
    <w:rsid w:val="00B472BC"/>
    <w:rsid w:val="00B5278E"/>
    <w:rsid w:val="00B53359"/>
    <w:rsid w:val="00B53E8B"/>
    <w:rsid w:val="00B55543"/>
    <w:rsid w:val="00B55804"/>
    <w:rsid w:val="00B5702F"/>
    <w:rsid w:val="00B578A2"/>
    <w:rsid w:val="00B61D84"/>
    <w:rsid w:val="00B65394"/>
    <w:rsid w:val="00B663F4"/>
    <w:rsid w:val="00B73C48"/>
    <w:rsid w:val="00B74FB4"/>
    <w:rsid w:val="00B7574F"/>
    <w:rsid w:val="00B831E5"/>
    <w:rsid w:val="00B835E7"/>
    <w:rsid w:val="00B84145"/>
    <w:rsid w:val="00B843DD"/>
    <w:rsid w:val="00B84E82"/>
    <w:rsid w:val="00B876FF"/>
    <w:rsid w:val="00B92C78"/>
    <w:rsid w:val="00BA0876"/>
    <w:rsid w:val="00BA0DBE"/>
    <w:rsid w:val="00BA7876"/>
    <w:rsid w:val="00BB0560"/>
    <w:rsid w:val="00BB1A00"/>
    <w:rsid w:val="00BB30E5"/>
    <w:rsid w:val="00BB3532"/>
    <w:rsid w:val="00BC12CC"/>
    <w:rsid w:val="00BC1E28"/>
    <w:rsid w:val="00BC2F7E"/>
    <w:rsid w:val="00BC6F16"/>
    <w:rsid w:val="00BD32F8"/>
    <w:rsid w:val="00BD477B"/>
    <w:rsid w:val="00BD5EF7"/>
    <w:rsid w:val="00BD66F5"/>
    <w:rsid w:val="00BD6BDA"/>
    <w:rsid w:val="00BD7CDF"/>
    <w:rsid w:val="00BE2308"/>
    <w:rsid w:val="00BE533D"/>
    <w:rsid w:val="00BE5980"/>
    <w:rsid w:val="00BE6ED3"/>
    <w:rsid w:val="00BF0F33"/>
    <w:rsid w:val="00BF3384"/>
    <w:rsid w:val="00BF4C4E"/>
    <w:rsid w:val="00BF62AC"/>
    <w:rsid w:val="00BF657E"/>
    <w:rsid w:val="00BF7051"/>
    <w:rsid w:val="00C004F9"/>
    <w:rsid w:val="00C027D4"/>
    <w:rsid w:val="00C03CF4"/>
    <w:rsid w:val="00C058FE"/>
    <w:rsid w:val="00C05A1E"/>
    <w:rsid w:val="00C07AE9"/>
    <w:rsid w:val="00C124EF"/>
    <w:rsid w:val="00C1706D"/>
    <w:rsid w:val="00C218A5"/>
    <w:rsid w:val="00C23108"/>
    <w:rsid w:val="00C23E57"/>
    <w:rsid w:val="00C3000F"/>
    <w:rsid w:val="00C31FB1"/>
    <w:rsid w:val="00C46EF1"/>
    <w:rsid w:val="00C53AB2"/>
    <w:rsid w:val="00C553FA"/>
    <w:rsid w:val="00C57E0A"/>
    <w:rsid w:val="00C60CD2"/>
    <w:rsid w:val="00C6157A"/>
    <w:rsid w:val="00C631C0"/>
    <w:rsid w:val="00C662E9"/>
    <w:rsid w:val="00C6754F"/>
    <w:rsid w:val="00C67B6F"/>
    <w:rsid w:val="00C7077C"/>
    <w:rsid w:val="00C721B3"/>
    <w:rsid w:val="00C759D4"/>
    <w:rsid w:val="00C77A35"/>
    <w:rsid w:val="00C81FCB"/>
    <w:rsid w:val="00C82284"/>
    <w:rsid w:val="00C84DBB"/>
    <w:rsid w:val="00C8546A"/>
    <w:rsid w:val="00C854D7"/>
    <w:rsid w:val="00C91DF5"/>
    <w:rsid w:val="00C937D3"/>
    <w:rsid w:val="00C9635E"/>
    <w:rsid w:val="00C97D1E"/>
    <w:rsid w:val="00CA0342"/>
    <w:rsid w:val="00CA0B3F"/>
    <w:rsid w:val="00CA2883"/>
    <w:rsid w:val="00CA47F1"/>
    <w:rsid w:val="00CB0074"/>
    <w:rsid w:val="00CB31F4"/>
    <w:rsid w:val="00CB38CD"/>
    <w:rsid w:val="00CB3AAE"/>
    <w:rsid w:val="00CB7112"/>
    <w:rsid w:val="00CC0326"/>
    <w:rsid w:val="00CC0792"/>
    <w:rsid w:val="00CC227E"/>
    <w:rsid w:val="00CC7805"/>
    <w:rsid w:val="00CD0F09"/>
    <w:rsid w:val="00CD3893"/>
    <w:rsid w:val="00CD4372"/>
    <w:rsid w:val="00CD53F0"/>
    <w:rsid w:val="00CD7C75"/>
    <w:rsid w:val="00CE0106"/>
    <w:rsid w:val="00CE204B"/>
    <w:rsid w:val="00CF5634"/>
    <w:rsid w:val="00CF74B8"/>
    <w:rsid w:val="00CF7FA8"/>
    <w:rsid w:val="00D012F4"/>
    <w:rsid w:val="00D01740"/>
    <w:rsid w:val="00D024BD"/>
    <w:rsid w:val="00D0663A"/>
    <w:rsid w:val="00D07AA8"/>
    <w:rsid w:val="00D131D0"/>
    <w:rsid w:val="00D14AEE"/>
    <w:rsid w:val="00D1737C"/>
    <w:rsid w:val="00D22513"/>
    <w:rsid w:val="00D25258"/>
    <w:rsid w:val="00D259E5"/>
    <w:rsid w:val="00D26D8E"/>
    <w:rsid w:val="00D32661"/>
    <w:rsid w:val="00D3298F"/>
    <w:rsid w:val="00D330D3"/>
    <w:rsid w:val="00D36F16"/>
    <w:rsid w:val="00D374B8"/>
    <w:rsid w:val="00D43521"/>
    <w:rsid w:val="00D43F50"/>
    <w:rsid w:val="00D45133"/>
    <w:rsid w:val="00D509CC"/>
    <w:rsid w:val="00D5120A"/>
    <w:rsid w:val="00D53D2E"/>
    <w:rsid w:val="00D549D3"/>
    <w:rsid w:val="00D54BFA"/>
    <w:rsid w:val="00D61824"/>
    <w:rsid w:val="00D61A56"/>
    <w:rsid w:val="00D63AD4"/>
    <w:rsid w:val="00D642F9"/>
    <w:rsid w:val="00D67396"/>
    <w:rsid w:val="00D72032"/>
    <w:rsid w:val="00D7215C"/>
    <w:rsid w:val="00D72BA0"/>
    <w:rsid w:val="00D73DFD"/>
    <w:rsid w:val="00D769BB"/>
    <w:rsid w:val="00D77184"/>
    <w:rsid w:val="00D77253"/>
    <w:rsid w:val="00D77E8F"/>
    <w:rsid w:val="00D84D7E"/>
    <w:rsid w:val="00D9011D"/>
    <w:rsid w:val="00D90143"/>
    <w:rsid w:val="00D925D1"/>
    <w:rsid w:val="00D9394A"/>
    <w:rsid w:val="00D93BA6"/>
    <w:rsid w:val="00D945A0"/>
    <w:rsid w:val="00D95832"/>
    <w:rsid w:val="00DA2579"/>
    <w:rsid w:val="00DA4630"/>
    <w:rsid w:val="00DA5913"/>
    <w:rsid w:val="00DA6F26"/>
    <w:rsid w:val="00DB494D"/>
    <w:rsid w:val="00DB655E"/>
    <w:rsid w:val="00DB6DAF"/>
    <w:rsid w:val="00DB7198"/>
    <w:rsid w:val="00DB7EB6"/>
    <w:rsid w:val="00DC0332"/>
    <w:rsid w:val="00DC1456"/>
    <w:rsid w:val="00DC4297"/>
    <w:rsid w:val="00DC7866"/>
    <w:rsid w:val="00DD03CC"/>
    <w:rsid w:val="00DD484E"/>
    <w:rsid w:val="00DD4BC2"/>
    <w:rsid w:val="00DE0266"/>
    <w:rsid w:val="00DE1FE1"/>
    <w:rsid w:val="00DE48E9"/>
    <w:rsid w:val="00DF0C8F"/>
    <w:rsid w:val="00DF2ED6"/>
    <w:rsid w:val="00DF3287"/>
    <w:rsid w:val="00DF4752"/>
    <w:rsid w:val="00DF58EE"/>
    <w:rsid w:val="00E00BB0"/>
    <w:rsid w:val="00E00BB5"/>
    <w:rsid w:val="00E03B8F"/>
    <w:rsid w:val="00E03D55"/>
    <w:rsid w:val="00E042B6"/>
    <w:rsid w:val="00E049D5"/>
    <w:rsid w:val="00E06AEF"/>
    <w:rsid w:val="00E06D30"/>
    <w:rsid w:val="00E105C2"/>
    <w:rsid w:val="00E11D87"/>
    <w:rsid w:val="00E120FE"/>
    <w:rsid w:val="00E15A7F"/>
    <w:rsid w:val="00E20085"/>
    <w:rsid w:val="00E22B62"/>
    <w:rsid w:val="00E23031"/>
    <w:rsid w:val="00E26044"/>
    <w:rsid w:val="00E300A7"/>
    <w:rsid w:val="00E31034"/>
    <w:rsid w:val="00E31624"/>
    <w:rsid w:val="00E32A90"/>
    <w:rsid w:val="00E33190"/>
    <w:rsid w:val="00E35585"/>
    <w:rsid w:val="00E37C1E"/>
    <w:rsid w:val="00E46C22"/>
    <w:rsid w:val="00E528B9"/>
    <w:rsid w:val="00E53520"/>
    <w:rsid w:val="00E54AE5"/>
    <w:rsid w:val="00E55ED1"/>
    <w:rsid w:val="00E5634E"/>
    <w:rsid w:val="00E600CB"/>
    <w:rsid w:val="00E62FB1"/>
    <w:rsid w:val="00E63060"/>
    <w:rsid w:val="00E71909"/>
    <w:rsid w:val="00E722D1"/>
    <w:rsid w:val="00E73087"/>
    <w:rsid w:val="00E75EF3"/>
    <w:rsid w:val="00E817B4"/>
    <w:rsid w:val="00E81CD9"/>
    <w:rsid w:val="00E87756"/>
    <w:rsid w:val="00E95C21"/>
    <w:rsid w:val="00E96B4F"/>
    <w:rsid w:val="00EA27C1"/>
    <w:rsid w:val="00EA581B"/>
    <w:rsid w:val="00EB01F2"/>
    <w:rsid w:val="00EB06BC"/>
    <w:rsid w:val="00EB1186"/>
    <w:rsid w:val="00EB4C1C"/>
    <w:rsid w:val="00EB4E0C"/>
    <w:rsid w:val="00EB5A0B"/>
    <w:rsid w:val="00EB64FF"/>
    <w:rsid w:val="00EC0FBC"/>
    <w:rsid w:val="00EC446B"/>
    <w:rsid w:val="00EC6C6C"/>
    <w:rsid w:val="00ED1566"/>
    <w:rsid w:val="00ED3AF7"/>
    <w:rsid w:val="00ED78E8"/>
    <w:rsid w:val="00EE0F67"/>
    <w:rsid w:val="00EE44E5"/>
    <w:rsid w:val="00EE49E3"/>
    <w:rsid w:val="00EE5DC5"/>
    <w:rsid w:val="00EE7320"/>
    <w:rsid w:val="00EF1640"/>
    <w:rsid w:val="00EF2748"/>
    <w:rsid w:val="00EF5D00"/>
    <w:rsid w:val="00F0062B"/>
    <w:rsid w:val="00F007C8"/>
    <w:rsid w:val="00F00BD7"/>
    <w:rsid w:val="00F02BC5"/>
    <w:rsid w:val="00F0381A"/>
    <w:rsid w:val="00F06648"/>
    <w:rsid w:val="00F06BCC"/>
    <w:rsid w:val="00F14D68"/>
    <w:rsid w:val="00F150B3"/>
    <w:rsid w:val="00F151EB"/>
    <w:rsid w:val="00F153F6"/>
    <w:rsid w:val="00F16D66"/>
    <w:rsid w:val="00F176AD"/>
    <w:rsid w:val="00F21C53"/>
    <w:rsid w:val="00F222BE"/>
    <w:rsid w:val="00F22E9F"/>
    <w:rsid w:val="00F23993"/>
    <w:rsid w:val="00F24D01"/>
    <w:rsid w:val="00F25F62"/>
    <w:rsid w:val="00F2616D"/>
    <w:rsid w:val="00F26D54"/>
    <w:rsid w:val="00F328D6"/>
    <w:rsid w:val="00F3443B"/>
    <w:rsid w:val="00F36547"/>
    <w:rsid w:val="00F41F0D"/>
    <w:rsid w:val="00F44CFF"/>
    <w:rsid w:val="00F44F0C"/>
    <w:rsid w:val="00F4539A"/>
    <w:rsid w:val="00F50A1E"/>
    <w:rsid w:val="00F52663"/>
    <w:rsid w:val="00F53DF5"/>
    <w:rsid w:val="00F65C49"/>
    <w:rsid w:val="00F73852"/>
    <w:rsid w:val="00F80E19"/>
    <w:rsid w:val="00F8117B"/>
    <w:rsid w:val="00F83021"/>
    <w:rsid w:val="00F860A3"/>
    <w:rsid w:val="00F86808"/>
    <w:rsid w:val="00F86EE4"/>
    <w:rsid w:val="00F87633"/>
    <w:rsid w:val="00F87F5B"/>
    <w:rsid w:val="00F91D75"/>
    <w:rsid w:val="00F92E4E"/>
    <w:rsid w:val="00FA22E4"/>
    <w:rsid w:val="00FA6B88"/>
    <w:rsid w:val="00FB0BD9"/>
    <w:rsid w:val="00FB1471"/>
    <w:rsid w:val="00FB6A74"/>
    <w:rsid w:val="00FD1F98"/>
    <w:rsid w:val="00FD32AD"/>
    <w:rsid w:val="00FD5380"/>
    <w:rsid w:val="00FD61F8"/>
    <w:rsid w:val="00FD7833"/>
    <w:rsid w:val="00FD7D5F"/>
    <w:rsid w:val="00FE093D"/>
    <w:rsid w:val="00FE0A6E"/>
    <w:rsid w:val="00FE17FA"/>
    <w:rsid w:val="00FE26B8"/>
    <w:rsid w:val="00FE3490"/>
    <w:rsid w:val="00FE34CF"/>
    <w:rsid w:val="00FF04B2"/>
    <w:rsid w:val="00FF0F7A"/>
    <w:rsid w:val="00FF363C"/>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A851DF"/>
    <w:pPr>
      <w:keepNext/>
      <w:jc w:val="center"/>
      <w:outlineLvl w:val="0"/>
    </w:pPr>
    <w:rPr>
      <w:rFonts w:ascii="Times New Roman" w:hAnsi="Times New Roman"/>
      <w:b/>
      <w:sz w:val="26"/>
      <w:szCs w:val="26"/>
    </w:rPr>
  </w:style>
  <w:style w:type="paragraph" w:styleId="Heading2">
    <w:name w:val="heading 2"/>
    <w:basedOn w:val="Normal"/>
    <w:next w:val="Normal"/>
    <w:link w:val="Heading2Char"/>
    <w:uiPriority w:val="9"/>
    <w:unhideWhenUsed/>
    <w:qFormat/>
    <w:rsid w:val="004C023F"/>
    <w:pPr>
      <w:keepNext/>
      <w:numPr>
        <w:numId w:val="14"/>
      </w:numPr>
      <w:spacing w:after="0" w:line="240" w:lineRule="auto"/>
      <w:jc w:val="center"/>
      <w:outlineLvl w:val="1"/>
    </w:pPr>
    <w:rPr>
      <w:rFonts w:ascii="Times New Roman" w:hAnsi="Times New Roman"/>
      <w:b/>
      <w:sz w:val="24"/>
      <w:szCs w:val="24"/>
    </w:rPr>
  </w:style>
  <w:style w:type="paragraph" w:styleId="Heading3">
    <w:name w:val="heading 3"/>
    <w:basedOn w:val="Normal"/>
    <w:next w:val="Normal"/>
    <w:link w:val="Heading3Char"/>
    <w:uiPriority w:val="9"/>
    <w:unhideWhenUsed/>
    <w:qFormat/>
    <w:rsid w:val="00904274"/>
    <w:pPr>
      <w:keepNext/>
      <w:numPr>
        <w:numId w:val="20"/>
      </w:numPr>
      <w:spacing w:after="0" w:line="360" w:lineRule="auto"/>
      <w:ind w:hanging="720"/>
      <w:outlineLvl w:val="2"/>
    </w:pPr>
    <w:rPr>
      <w:rFonts w:ascii="Times New Roman" w:eastAsia="Times New Roman" w:hAnsi="Times New Roman"/>
      <w:b/>
      <w:bCs/>
      <w:color w:val="333333"/>
      <w:sz w:val="26"/>
      <w:szCs w:val="26"/>
    </w:rPr>
  </w:style>
  <w:style w:type="paragraph" w:styleId="Heading4">
    <w:name w:val="heading 4"/>
    <w:basedOn w:val="Normal"/>
    <w:next w:val="Normal"/>
    <w:link w:val="Heading4Char"/>
    <w:uiPriority w:val="9"/>
    <w:unhideWhenUsed/>
    <w:qFormat/>
    <w:rsid w:val="00A30CAA"/>
    <w:pPr>
      <w:keepNext/>
      <w:spacing w:after="0" w:line="360" w:lineRule="auto"/>
      <w:ind w:left="360"/>
      <w:jc w:val="center"/>
      <w:outlineLvl w:val="3"/>
    </w:pPr>
    <w:rPr>
      <w:rFonts w:ascii="Times New Roman" w:eastAsia="Times New Roman" w:hAnsi="Times New Roman"/>
      <w:b/>
      <w:color w:val="333333"/>
      <w:sz w:val="26"/>
      <w:szCs w:val="26"/>
    </w:rPr>
  </w:style>
  <w:style w:type="paragraph" w:styleId="Heading5">
    <w:name w:val="heading 5"/>
    <w:basedOn w:val="Normal"/>
    <w:next w:val="Normal"/>
    <w:link w:val="Heading5Char"/>
    <w:uiPriority w:val="9"/>
    <w:semiHidden/>
    <w:unhideWhenUsed/>
    <w:qFormat/>
    <w:rsid w:val="0047723D"/>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7723D"/>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630"/>
    <w:rPr>
      <w:rFonts w:ascii="Times New Roman" w:hAnsi="Times New Roman"/>
      <w:sz w:val="24"/>
      <w:szCs w:val="22"/>
    </w:rPr>
  </w:style>
  <w:style w:type="character" w:styleId="Hyperlink">
    <w:name w:val="Hyperlink"/>
    <w:uiPriority w:val="99"/>
    <w:semiHidden/>
    <w:unhideWhenUsed/>
    <w:rsid w:val="00DA4630"/>
    <w:rPr>
      <w:strike w:val="0"/>
      <w:dstrike w:val="0"/>
      <w:color w:val="004B91"/>
      <w:u w:val="none"/>
      <w:effect w:val="none"/>
    </w:rPr>
  </w:style>
  <w:style w:type="paragraph" w:styleId="ListParagraph">
    <w:name w:val="List Paragraph"/>
    <w:basedOn w:val="Normal"/>
    <w:qFormat/>
    <w:rsid w:val="00DA4630"/>
    <w:pPr>
      <w:spacing w:after="0" w:line="240" w:lineRule="auto"/>
      <w:ind w:left="720"/>
    </w:pPr>
    <w:rPr>
      <w:rFonts w:ascii="Times New Roman" w:eastAsia="Times New Roman" w:hAnsi="Times New Roman"/>
      <w:sz w:val="24"/>
      <w:szCs w:val="24"/>
    </w:rPr>
  </w:style>
  <w:style w:type="character" w:styleId="Strong">
    <w:name w:val="Strong"/>
    <w:uiPriority w:val="22"/>
    <w:qFormat/>
    <w:rsid w:val="00297269"/>
    <w:rPr>
      <w:b/>
      <w:bCs/>
    </w:rPr>
  </w:style>
  <w:style w:type="paragraph" w:styleId="Header">
    <w:name w:val="header"/>
    <w:basedOn w:val="Normal"/>
    <w:link w:val="HeaderChar"/>
    <w:uiPriority w:val="99"/>
    <w:unhideWhenUsed/>
    <w:rsid w:val="00DD0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3CC"/>
  </w:style>
  <w:style w:type="paragraph" w:styleId="Footer">
    <w:name w:val="footer"/>
    <w:basedOn w:val="Normal"/>
    <w:link w:val="FooterChar"/>
    <w:uiPriority w:val="99"/>
    <w:unhideWhenUsed/>
    <w:rsid w:val="00DD0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3CC"/>
  </w:style>
  <w:style w:type="paragraph" w:styleId="BalloonText">
    <w:name w:val="Balloon Text"/>
    <w:basedOn w:val="Normal"/>
    <w:link w:val="BalloonTextChar"/>
    <w:uiPriority w:val="99"/>
    <w:semiHidden/>
    <w:unhideWhenUsed/>
    <w:rsid w:val="00A53C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3C54"/>
    <w:rPr>
      <w:rFonts w:ascii="Tahoma" w:hAnsi="Tahoma" w:cs="Tahoma"/>
      <w:sz w:val="16"/>
      <w:szCs w:val="16"/>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
    <w:basedOn w:val="Normal"/>
    <w:link w:val="FootnoteTextChar"/>
    <w:uiPriority w:val="99"/>
    <w:unhideWhenUsed/>
    <w:rsid w:val="00B22843"/>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link w:val="FootnoteText"/>
    <w:rsid w:val="00B22843"/>
    <w:rPr>
      <w:sz w:val="20"/>
      <w:szCs w:val="20"/>
    </w:rPr>
  </w:style>
  <w:style w:type="character" w:styleId="FootnoteReference">
    <w:name w:val="footnote reference"/>
    <w:aliases w:val="o"/>
    <w:unhideWhenUsed/>
    <w:rsid w:val="00B22843"/>
    <w:rPr>
      <w:vertAlign w:val="superscript"/>
    </w:rPr>
  </w:style>
  <w:style w:type="character" w:customStyle="1" w:styleId="pmterms11">
    <w:name w:val="pmterms11"/>
    <w:rsid w:val="0047221A"/>
    <w:rPr>
      <w:b/>
      <w:bCs/>
      <w:i w:val="0"/>
      <w:iCs w:val="0"/>
      <w:color w:val="000000"/>
    </w:rPr>
  </w:style>
  <w:style w:type="character" w:customStyle="1" w:styleId="term1">
    <w:name w:val="term1"/>
    <w:rsid w:val="0047221A"/>
    <w:rPr>
      <w:b/>
      <w:bCs/>
    </w:rPr>
  </w:style>
  <w:style w:type="paragraph" w:customStyle="1" w:styleId="OutlineL2">
    <w:name w:val="Outline_L2"/>
    <w:basedOn w:val="Normal"/>
    <w:rsid w:val="0047221A"/>
    <w:pPr>
      <w:numPr>
        <w:ilvl w:val="1"/>
      </w:numPr>
      <w:tabs>
        <w:tab w:val="num" w:pos="720"/>
        <w:tab w:val="num" w:pos="1440"/>
      </w:tabs>
      <w:spacing w:after="240" w:line="480" w:lineRule="auto"/>
      <w:ind w:firstLine="720"/>
      <w:outlineLvl w:val="1"/>
    </w:pPr>
    <w:rPr>
      <w:rFonts w:ascii="Times New Roman" w:eastAsia="Times New Roman" w:hAnsi="Times New Roman"/>
      <w:sz w:val="24"/>
      <w:szCs w:val="20"/>
    </w:rPr>
  </w:style>
  <w:style w:type="paragraph" w:customStyle="1" w:styleId="Normal2">
    <w:name w:val="Normal 2"/>
    <w:basedOn w:val="Normal"/>
    <w:rsid w:val="0047221A"/>
    <w:pPr>
      <w:spacing w:after="240" w:line="240" w:lineRule="auto"/>
      <w:ind w:left="1440" w:firstLine="720"/>
    </w:pPr>
    <w:rPr>
      <w:rFonts w:ascii="Times New Roman" w:hAnsi="Times New Roman"/>
      <w:sz w:val="24"/>
    </w:rPr>
  </w:style>
  <w:style w:type="paragraph" w:customStyle="1" w:styleId="OutlineL3">
    <w:name w:val="Outline_L3"/>
    <w:basedOn w:val="OutlineL2"/>
    <w:rsid w:val="0047221A"/>
    <w:pPr>
      <w:numPr>
        <w:ilvl w:val="2"/>
      </w:numPr>
      <w:tabs>
        <w:tab w:val="clear" w:pos="1440"/>
        <w:tab w:val="num" w:pos="720"/>
        <w:tab w:val="num" w:pos="2160"/>
      </w:tabs>
      <w:spacing w:after="120"/>
      <w:ind w:firstLine="1440"/>
      <w:outlineLvl w:val="2"/>
    </w:pPr>
  </w:style>
  <w:style w:type="paragraph" w:customStyle="1" w:styleId="OutlineL4">
    <w:name w:val="Outline_L4"/>
    <w:basedOn w:val="OutlineL3"/>
    <w:rsid w:val="0047221A"/>
    <w:pPr>
      <w:numPr>
        <w:ilvl w:val="3"/>
      </w:numPr>
      <w:tabs>
        <w:tab w:val="clear" w:pos="2160"/>
        <w:tab w:val="num" w:pos="720"/>
        <w:tab w:val="num" w:pos="2880"/>
      </w:tabs>
      <w:ind w:firstLine="2160"/>
      <w:outlineLvl w:val="3"/>
    </w:pPr>
  </w:style>
  <w:style w:type="character" w:styleId="CommentReference">
    <w:name w:val="annotation reference"/>
    <w:uiPriority w:val="99"/>
    <w:semiHidden/>
    <w:unhideWhenUsed/>
    <w:rsid w:val="0047221A"/>
    <w:rPr>
      <w:sz w:val="16"/>
      <w:szCs w:val="16"/>
    </w:rPr>
  </w:style>
  <w:style w:type="paragraph" w:styleId="CommentText">
    <w:name w:val="annotation text"/>
    <w:basedOn w:val="Normal"/>
    <w:link w:val="CommentTextChar"/>
    <w:uiPriority w:val="99"/>
    <w:semiHidden/>
    <w:unhideWhenUsed/>
    <w:rsid w:val="0047221A"/>
    <w:pPr>
      <w:spacing w:line="240" w:lineRule="auto"/>
    </w:pPr>
    <w:rPr>
      <w:sz w:val="20"/>
      <w:szCs w:val="20"/>
    </w:rPr>
  </w:style>
  <w:style w:type="character" w:customStyle="1" w:styleId="CommentTextChar">
    <w:name w:val="Comment Text Char"/>
    <w:link w:val="CommentText"/>
    <w:uiPriority w:val="99"/>
    <w:semiHidden/>
    <w:rsid w:val="0047221A"/>
    <w:rPr>
      <w:sz w:val="20"/>
      <w:szCs w:val="20"/>
    </w:rPr>
  </w:style>
  <w:style w:type="paragraph" w:customStyle="1" w:styleId="boldpara">
    <w:name w:val="bold para"/>
    <w:basedOn w:val="Normal"/>
    <w:link w:val="boldparaChar"/>
    <w:qFormat/>
    <w:rsid w:val="003D05D0"/>
    <w:pPr>
      <w:spacing w:after="0" w:line="480" w:lineRule="auto"/>
      <w:ind w:firstLine="720"/>
    </w:pPr>
    <w:rPr>
      <w:rFonts w:ascii="Times New Roman" w:eastAsia="Times New Roman" w:hAnsi="Times New Roman"/>
      <w:sz w:val="24"/>
      <w:szCs w:val="24"/>
    </w:rPr>
  </w:style>
  <w:style w:type="character" w:customStyle="1" w:styleId="boldparaChar">
    <w:name w:val="bold para Char"/>
    <w:link w:val="boldpara"/>
    <w:rsid w:val="003D05D0"/>
    <w:rPr>
      <w:rFonts w:ascii="Times New Roman" w:eastAsia="Times New Roman" w:hAnsi="Times New Roman" w:cs="Times New Roman"/>
      <w:sz w:val="24"/>
      <w:szCs w:val="24"/>
    </w:rPr>
  </w:style>
  <w:style w:type="paragraph" w:customStyle="1" w:styleId="OutlineL1">
    <w:name w:val="Outline_L1"/>
    <w:basedOn w:val="Normal"/>
    <w:next w:val="BodyText"/>
    <w:rsid w:val="002C4670"/>
    <w:pPr>
      <w:tabs>
        <w:tab w:val="num" w:pos="720"/>
      </w:tabs>
      <w:spacing w:after="240" w:line="240" w:lineRule="auto"/>
      <w:jc w:val="center"/>
      <w:outlineLvl w:val="0"/>
    </w:pPr>
    <w:rPr>
      <w:rFonts w:ascii="Times New Roman" w:eastAsia="Times New Roman" w:hAnsi="Times New Roman"/>
      <w:b/>
      <w:caps/>
      <w:sz w:val="24"/>
      <w:szCs w:val="20"/>
    </w:rPr>
  </w:style>
  <w:style w:type="paragraph" w:styleId="BodyText">
    <w:name w:val="Body Text"/>
    <w:basedOn w:val="Normal"/>
    <w:link w:val="BodyTextChar"/>
    <w:uiPriority w:val="99"/>
    <w:unhideWhenUsed/>
    <w:rsid w:val="002C4670"/>
    <w:pPr>
      <w:spacing w:after="120"/>
    </w:pPr>
  </w:style>
  <w:style w:type="character" w:customStyle="1" w:styleId="BodyTextChar">
    <w:name w:val="Body Text Char"/>
    <w:link w:val="BodyText"/>
    <w:uiPriority w:val="99"/>
    <w:rsid w:val="002C4670"/>
    <w:rPr>
      <w:sz w:val="22"/>
      <w:szCs w:val="22"/>
    </w:rPr>
  </w:style>
  <w:style w:type="paragraph" w:styleId="BodyText2">
    <w:name w:val="Body Text 2"/>
    <w:basedOn w:val="Normal"/>
    <w:link w:val="BodyText2Char"/>
    <w:uiPriority w:val="99"/>
    <w:unhideWhenUsed/>
    <w:rsid w:val="00F83021"/>
    <w:pPr>
      <w:spacing w:after="0" w:line="360" w:lineRule="auto"/>
    </w:pPr>
    <w:rPr>
      <w:rFonts w:ascii="Times New Roman" w:hAnsi="Times New Roman"/>
      <w:sz w:val="24"/>
      <w:szCs w:val="24"/>
    </w:rPr>
  </w:style>
  <w:style w:type="character" w:customStyle="1" w:styleId="BodyText2Char">
    <w:name w:val="Body Text 2 Char"/>
    <w:link w:val="BodyText2"/>
    <w:uiPriority w:val="99"/>
    <w:rsid w:val="00F83021"/>
    <w:rPr>
      <w:rFonts w:ascii="Times New Roman" w:hAnsi="Times New Roman"/>
      <w:sz w:val="24"/>
      <w:szCs w:val="24"/>
    </w:rPr>
  </w:style>
  <w:style w:type="character" w:customStyle="1" w:styleId="Heading1Char">
    <w:name w:val="Heading 1 Char"/>
    <w:link w:val="Heading1"/>
    <w:uiPriority w:val="9"/>
    <w:rsid w:val="00A851DF"/>
    <w:rPr>
      <w:rFonts w:ascii="Times New Roman" w:hAnsi="Times New Roman"/>
      <w:b/>
      <w:sz w:val="26"/>
      <w:szCs w:val="26"/>
    </w:rPr>
  </w:style>
  <w:style w:type="character" w:customStyle="1" w:styleId="Heading2Char">
    <w:name w:val="Heading 2 Char"/>
    <w:link w:val="Heading2"/>
    <w:uiPriority w:val="9"/>
    <w:rsid w:val="004C023F"/>
    <w:rPr>
      <w:rFonts w:ascii="Times New Roman" w:hAnsi="Times New Roman"/>
      <w:b/>
      <w:sz w:val="24"/>
      <w:szCs w:val="24"/>
    </w:rPr>
  </w:style>
  <w:style w:type="character" w:customStyle="1" w:styleId="Heading3Char">
    <w:name w:val="Heading 3 Char"/>
    <w:link w:val="Heading3"/>
    <w:uiPriority w:val="9"/>
    <w:rsid w:val="00904274"/>
    <w:rPr>
      <w:rFonts w:ascii="Times New Roman" w:eastAsia="Times New Roman" w:hAnsi="Times New Roman"/>
      <w:b/>
      <w:bCs/>
      <w:color w:val="333333"/>
      <w:sz w:val="26"/>
      <w:szCs w:val="26"/>
    </w:rPr>
  </w:style>
  <w:style w:type="character" w:customStyle="1" w:styleId="Heading4Char">
    <w:name w:val="Heading 4 Char"/>
    <w:link w:val="Heading4"/>
    <w:uiPriority w:val="9"/>
    <w:rsid w:val="00A30CAA"/>
    <w:rPr>
      <w:rFonts w:ascii="Times New Roman" w:eastAsia="Times New Roman" w:hAnsi="Times New Roman"/>
      <w:b/>
      <w:color w:val="333333"/>
      <w:sz w:val="26"/>
      <w:szCs w:val="26"/>
    </w:rPr>
  </w:style>
  <w:style w:type="paragraph" w:styleId="BodyText3">
    <w:name w:val="Body Text 3"/>
    <w:basedOn w:val="Normal"/>
    <w:link w:val="BodyText3Char"/>
    <w:uiPriority w:val="99"/>
    <w:unhideWhenUsed/>
    <w:rsid w:val="006E3DA2"/>
    <w:pPr>
      <w:spacing w:after="0" w:line="360" w:lineRule="auto"/>
    </w:pPr>
    <w:rPr>
      <w:rFonts w:ascii="Times New Roman" w:hAnsi="Times New Roman"/>
      <w:sz w:val="26"/>
      <w:szCs w:val="26"/>
    </w:rPr>
  </w:style>
  <w:style w:type="character" w:customStyle="1" w:styleId="BodyText3Char">
    <w:name w:val="Body Text 3 Char"/>
    <w:link w:val="BodyText3"/>
    <w:uiPriority w:val="99"/>
    <w:rsid w:val="006E3DA2"/>
    <w:rPr>
      <w:rFonts w:ascii="Times New Roman" w:hAnsi="Times New Roman"/>
      <w:sz w:val="26"/>
      <w:szCs w:val="26"/>
    </w:rPr>
  </w:style>
  <w:style w:type="character" w:customStyle="1" w:styleId="Heading5Char">
    <w:name w:val="Heading 5 Char"/>
    <w:link w:val="Heading5"/>
    <w:uiPriority w:val="9"/>
    <w:semiHidden/>
    <w:rsid w:val="0047723D"/>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7723D"/>
    <w:rPr>
      <w:rFonts w:ascii="Calibri" w:eastAsia="Times New Roman" w:hAnsi="Calibri" w:cs="Times New Roman"/>
      <w:b/>
      <w:bCs/>
      <w:sz w:val="22"/>
      <w:szCs w:val="22"/>
    </w:rPr>
  </w:style>
  <w:style w:type="character" w:customStyle="1" w:styleId="FootnoteTextChar3">
    <w:name w:val="Footnote Text Char3"/>
    <w:aliases w:val="Footnote Text Char1 Char2,Footnote Text Char Char Char2,Footnote Text Char1 Char Char Char2,Footnote Text Char Char Char Char Char2,Footnote Text Char1 Char Char Char Char Char2,Footnote Text Char Char Char Char Char Char Char2"/>
    <w:basedOn w:val="DefaultParagraphFont"/>
    <w:semiHidden/>
    <w:rsid w:val="001371CA"/>
    <w:rPr>
      <w:sz w:val="24"/>
    </w:rPr>
  </w:style>
  <w:style w:type="paragraph" w:styleId="PlainText">
    <w:name w:val="Plain Text"/>
    <w:basedOn w:val="Normal"/>
    <w:link w:val="PlainTextChar"/>
    <w:uiPriority w:val="99"/>
    <w:rsid w:val="003E6FA5"/>
    <w:pPr>
      <w:spacing w:after="0" w:line="240" w:lineRule="auto"/>
      <w:ind w:firstLine="1440"/>
    </w:pPr>
    <w:rPr>
      <w:rFonts w:ascii="Times New Roman" w:eastAsia="Times New Roman" w:hAnsi="Times New Roman"/>
      <w:sz w:val="26"/>
      <w:szCs w:val="20"/>
    </w:rPr>
  </w:style>
  <w:style w:type="character" w:customStyle="1" w:styleId="PlainTextChar">
    <w:name w:val="Plain Text Char"/>
    <w:basedOn w:val="DefaultParagraphFont"/>
    <w:link w:val="PlainText"/>
    <w:uiPriority w:val="99"/>
    <w:rsid w:val="003E6FA5"/>
    <w:rPr>
      <w:rFonts w:ascii="Times New Roman" w:eastAsia="Times New Roman" w:hAnsi="Times New Roman"/>
      <w:sz w:val="26"/>
    </w:rPr>
  </w:style>
  <w:style w:type="paragraph" w:styleId="ListNumber">
    <w:name w:val="List Number"/>
    <w:basedOn w:val="Normal"/>
    <w:rsid w:val="003E6FA5"/>
    <w:pPr>
      <w:numPr>
        <w:numId w:val="37"/>
      </w:numPr>
      <w:tabs>
        <w:tab w:val="clear" w:pos="360"/>
      </w:tabs>
      <w:spacing w:after="0" w:line="480" w:lineRule="auto"/>
      <w:ind w:left="0" w:firstLine="720"/>
    </w:pPr>
    <w:rPr>
      <w:rFonts w:ascii="Times New Roman" w:eastAsia="Times New Roman" w:hAnsi="Times New Roman"/>
      <w:sz w:val="24"/>
      <w:szCs w:val="24"/>
    </w:rPr>
  </w:style>
  <w:style w:type="paragraph" w:customStyle="1" w:styleId="p3">
    <w:name w:val="p3"/>
    <w:basedOn w:val="Normal"/>
    <w:rsid w:val="00E15A7F"/>
    <w:pPr>
      <w:widowControl w:val="0"/>
      <w:tabs>
        <w:tab w:val="left" w:pos="204"/>
      </w:tabs>
      <w:autoSpaceDE w:val="0"/>
      <w:autoSpaceDN w:val="0"/>
      <w:adjustRightInd w:val="0"/>
      <w:spacing w:after="0" w:line="240" w:lineRule="auto"/>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6F3138"/>
    <w:rPr>
      <w:b/>
      <w:bCs/>
    </w:rPr>
  </w:style>
  <w:style w:type="character" w:customStyle="1" w:styleId="CommentSubjectChar">
    <w:name w:val="Comment Subject Char"/>
    <w:basedOn w:val="CommentTextChar"/>
    <w:link w:val="CommentSubject"/>
    <w:uiPriority w:val="99"/>
    <w:semiHidden/>
    <w:rsid w:val="006F3138"/>
    <w:rPr>
      <w:b/>
      <w:bCs/>
      <w:sz w:val="20"/>
      <w:szCs w:val="20"/>
    </w:rPr>
  </w:style>
  <w:style w:type="paragraph" w:styleId="Revision">
    <w:name w:val="Revision"/>
    <w:hidden/>
    <w:uiPriority w:val="99"/>
    <w:semiHidden/>
    <w:rsid w:val="006F313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A851DF"/>
    <w:pPr>
      <w:keepNext/>
      <w:jc w:val="center"/>
      <w:outlineLvl w:val="0"/>
    </w:pPr>
    <w:rPr>
      <w:rFonts w:ascii="Times New Roman" w:hAnsi="Times New Roman"/>
      <w:b/>
      <w:sz w:val="26"/>
      <w:szCs w:val="26"/>
    </w:rPr>
  </w:style>
  <w:style w:type="paragraph" w:styleId="Heading2">
    <w:name w:val="heading 2"/>
    <w:basedOn w:val="Normal"/>
    <w:next w:val="Normal"/>
    <w:link w:val="Heading2Char"/>
    <w:uiPriority w:val="9"/>
    <w:unhideWhenUsed/>
    <w:qFormat/>
    <w:rsid w:val="004C023F"/>
    <w:pPr>
      <w:keepNext/>
      <w:numPr>
        <w:numId w:val="14"/>
      </w:numPr>
      <w:spacing w:after="0" w:line="240" w:lineRule="auto"/>
      <w:jc w:val="center"/>
      <w:outlineLvl w:val="1"/>
    </w:pPr>
    <w:rPr>
      <w:rFonts w:ascii="Times New Roman" w:hAnsi="Times New Roman"/>
      <w:b/>
      <w:sz w:val="24"/>
      <w:szCs w:val="24"/>
    </w:rPr>
  </w:style>
  <w:style w:type="paragraph" w:styleId="Heading3">
    <w:name w:val="heading 3"/>
    <w:basedOn w:val="Normal"/>
    <w:next w:val="Normal"/>
    <w:link w:val="Heading3Char"/>
    <w:uiPriority w:val="9"/>
    <w:unhideWhenUsed/>
    <w:qFormat/>
    <w:rsid w:val="00904274"/>
    <w:pPr>
      <w:keepNext/>
      <w:numPr>
        <w:numId w:val="20"/>
      </w:numPr>
      <w:spacing w:after="0" w:line="360" w:lineRule="auto"/>
      <w:ind w:hanging="720"/>
      <w:outlineLvl w:val="2"/>
    </w:pPr>
    <w:rPr>
      <w:rFonts w:ascii="Times New Roman" w:eastAsia="Times New Roman" w:hAnsi="Times New Roman"/>
      <w:b/>
      <w:bCs/>
      <w:color w:val="333333"/>
      <w:sz w:val="26"/>
      <w:szCs w:val="26"/>
    </w:rPr>
  </w:style>
  <w:style w:type="paragraph" w:styleId="Heading4">
    <w:name w:val="heading 4"/>
    <w:basedOn w:val="Normal"/>
    <w:next w:val="Normal"/>
    <w:link w:val="Heading4Char"/>
    <w:uiPriority w:val="9"/>
    <w:unhideWhenUsed/>
    <w:qFormat/>
    <w:rsid w:val="00A30CAA"/>
    <w:pPr>
      <w:keepNext/>
      <w:spacing w:after="0" w:line="360" w:lineRule="auto"/>
      <w:ind w:left="360"/>
      <w:jc w:val="center"/>
      <w:outlineLvl w:val="3"/>
    </w:pPr>
    <w:rPr>
      <w:rFonts w:ascii="Times New Roman" w:eastAsia="Times New Roman" w:hAnsi="Times New Roman"/>
      <w:b/>
      <w:color w:val="333333"/>
      <w:sz w:val="26"/>
      <w:szCs w:val="26"/>
    </w:rPr>
  </w:style>
  <w:style w:type="paragraph" w:styleId="Heading5">
    <w:name w:val="heading 5"/>
    <w:basedOn w:val="Normal"/>
    <w:next w:val="Normal"/>
    <w:link w:val="Heading5Char"/>
    <w:uiPriority w:val="9"/>
    <w:semiHidden/>
    <w:unhideWhenUsed/>
    <w:qFormat/>
    <w:rsid w:val="0047723D"/>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7723D"/>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630"/>
    <w:rPr>
      <w:rFonts w:ascii="Times New Roman" w:hAnsi="Times New Roman"/>
      <w:sz w:val="24"/>
      <w:szCs w:val="22"/>
    </w:rPr>
  </w:style>
  <w:style w:type="character" w:styleId="Hyperlink">
    <w:name w:val="Hyperlink"/>
    <w:uiPriority w:val="99"/>
    <w:semiHidden/>
    <w:unhideWhenUsed/>
    <w:rsid w:val="00DA4630"/>
    <w:rPr>
      <w:strike w:val="0"/>
      <w:dstrike w:val="0"/>
      <w:color w:val="004B91"/>
      <w:u w:val="none"/>
      <w:effect w:val="none"/>
    </w:rPr>
  </w:style>
  <w:style w:type="paragraph" w:styleId="ListParagraph">
    <w:name w:val="List Paragraph"/>
    <w:basedOn w:val="Normal"/>
    <w:qFormat/>
    <w:rsid w:val="00DA4630"/>
    <w:pPr>
      <w:spacing w:after="0" w:line="240" w:lineRule="auto"/>
      <w:ind w:left="720"/>
    </w:pPr>
    <w:rPr>
      <w:rFonts w:ascii="Times New Roman" w:eastAsia="Times New Roman" w:hAnsi="Times New Roman"/>
      <w:sz w:val="24"/>
      <w:szCs w:val="24"/>
    </w:rPr>
  </w:style>
  <w:style w:type="character" w:styleId="Strong">
    <w:name w:val="Strong"/>
    <w:uiPriority w:val="22"/>
    <w:qFormat/>
    <w:rsid w:val="00297269"/>
    <w:rPr>
      <w:b/>
      <w:bCs/>
    </w:rPr>
  </w:style>
  <w:style w:type="paragraph" w:styleId="Header">
    <w:name w:val="header"/>
    <w:basedOn w:val="Normal"/>
    <w:link w:val="HeaderChar"/>
    <w:uiPriority w:val="99"/>
    <w:unhideWhenUsed/>
    <w:rsid w:val="00DD0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3CC"/>
  </w:style>
  <w:style w:type="paragraph" w:styleId="Footer">
    <w:name w:val="footer"/>
    <w:basedOn w:val="Normal"/>
    <w:link w:val="FooterChar"/>
    <w:uiPriority w:val="99"/>
    <w:unhideWhenUsed/>
    <w:rsid w:val="00DD0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3CC"/>
  </w:style>
  <w:style w:type="paragraph" w:styleId="BalloonText">
    <w:name w:val="Balloon Text"/>
    <w:basedOn w:val="Normal"/>
    <w:link w:val="BalloonTextChar"/>
    <w:uiPriority w:val="99"/>
    <w:semiHidden/>
    <w:unhideWhenUsed/>
    <w:rsid w:val="00A53C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3C54"/>
    <w:rPr>
      <w:rFonts w:ascii="Tahoma" w:hAnsi="Tahoma" w:cs="Tahoma"/>
      <w:sz w:val="16"/>
      <w:szCs w:val="16"/>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
    <w:basedOn w:val="Normal"/>
    <w:link w:val="FootnoteTextChar"/>
    <w:uiPriority w:val="99"/>
    <w:unhideWhenUsed/>
    <w:rsid w:val="00B22843"/>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link w:val="FootnoteText"/>
    <w:rsid w:val="00B22843"/>
    <w:rPr>
      <w:sz w:val="20"/>
      <w:szCs w:val="20"/>
    </w:rPr>
  </w:style>
  <w:style w:type="character" w:styleId="FootnoteReference">
    <w:name w:val="footnote reference"/>
    <w:aliases w:val="o"/>
    <w:unhideWhenUsed/>
    <w:rsid w:val="00B22843"/>
    <w:rPr>
      <w:vertAlign w:val="superscript"/>
    </w:rPr>
  </w:style>
  <w:style w:type="character" w:customStyle="1" w:styleId="pmterms11">
    <w:name w:val="pmterms11"/>
    <w:rsid w:val="0047221A"/>
    <w:rPr>
      <w:b/>
      <w:bCs/>
      <w:i w:val="0"/>
      <w:iCs w:val="0"/>
      <w:color w:val="000000"/>
    </w:rPr>
  </w:style>
  <w:style w:type="character" w:customStyle="1" w:styleId="term1">
    <w:name w:val="term1"/>
    <w:rsid w:val="0047221A"/>
    <w:rPr>
      <w:b/>
      <w:bCs/>
    </w:rPr>
  </w:style>
  <w:style w:type="paragraph" w:customStyle="1" w:styleId="OutlineL2">
    <w:name w:val="Outline_L2"/>
    <w:basedOn w:val="Normal"/>
    <w:rsid w:val="0047221A"/>
    <w:pPr>
      <w:numPr>
        <w:ilvl w:val="1"/>
      </w:numPr>
      <w:tabs>
        <w:tab w:val="num" w:pos="720"/>
        <w:tab w:val="num" w:pos="1440"/>
      </w:tabs>
      <w:spacing w:after="240" w:line="480" w:lineRule="auto"/>
      <w:ind w:firstLine="720"/>
      <w:outlineLvl w:val="1"/>
    </w:pPr>
    <w:rPr>
      <w:rFonts w:ascii="Times New Roman" w:eastAsia="Times New Roman" w:hAnsi="Times New Roman"/>
      <w:sz w:val="24"/>
      <w:szCs w:val="20"/>
    </w:rPr>
  </w:style>
  <w:style w:type="paragraph" w:customStyle="1" w:styleId="Normal2">
    <w:name w:val="Normal 2"/>
    <w:basedOn w:val="Normal"/>
    <w:rsid w:val="0047221A"/>
    <w:pPr>
      <w:spacing w:after="240" w:line="240" w:lineRule="auto"/>
      <w:ind w:left="1440" w:firstLine="720"/>
    </w:pPr>
    <w:rPr>
      <w:rFonts w:ascii="Times New Roman" w:hAnsi="Times New Roman"/>
      <w:sz w:val="24"/>
    </w:rPr>
  </w:style>
  <w:style w:type="paragraph" w:customStyle="1" w:styleId="OutlineL3">
    <w:name w:val="Outline_L3"/>
    <w:basedOn w:val="OutlineL2"/>
    <w:rsid w:val="0047221A"/>
    <w:pPr>
      <w:numPr>
        <w:ilvl w:val="2"/>
      </w:numPr>
      <w:tabs>
        <w:tab w:val="clear" w:pos="1440"/>
        <w:tab w:val="num" w:pos="720"/>
        <w:tab w:val="num" w:pos="2160"/>
      </w:tabs>
      <w:spacing w:after="120"/>
      <w:ind w:firstLine="1440"/>
      <w:outlineLvl w:val="2"/>
    </w:pPr>
  </w:style>
  <w:style w:type="paragraph" w:customStyle="1" w:styleId="OutlineL4">
    <w:name w:val="Outline_L4"/>
    <w:basedOn w:val="OutlineL3"/>
    <w:rsid w:val="0047221A"/>
    <w:pPr>
      <w:numPr>
        <w:ilvl w:val="3"/>
      </w:numPr>
      <w:tabs>
        <w:tab w:val="clear" w:pos="2160"/>
        <w:tab w:val="num" w:pos="720"/>
        <w:tab w:val="num" w:pos="2880"/>
      </w:tabs>
      <w:ind w:firstLine="2160"/>
      <w:outlineLvl w:val="3"/>
    </w:pPr>
  </w:style>
  <w:style w:type="character" w:styleId="CommentReference">
    <w:name w:val="annotation reference"/>
    <w:uiPriority w:val="99"/>
    <w:semiHidden/>
    <w:unhideWhenUsed/>
    <w:rsid w:val="0047221A"/>
    <w:rPr>
      <w:sz w:val="16"/>
      <w:szCs w:val="16"/>
    </w:rPr>
  </w:style>
  <w:style w:type="paragraph" w:styleId="CommentText">
    <w:name w:val="annotation text"/>
    <w:basedOn w:val="Normal"/>
    <w:link w:val="CommentTextChar"/>
    <w:uiPriority w:val="99"/>
    <w:semiHidden/>
    <w:unhideWhenUsed/>
    <w:rsid w:val="0047221A"/>
    <w:pPr>
      <w:spacing w:line="240" w:lineRule="auto"/>
    </w:pPr>
    <w:rPr>
      <w:sz w:val="20"/>
      <w:szCs w:val="20"/>
    </w:rPr>
  </w:style>
  <w:style w:type="character" w:customStyle="1" w:styleId="CommentTextChar">
    <w:name w:val="Comment Text Char"/>
    <w:link w:val="CommentText"/>
    <w:uiPriority w:val="99"/>
    <w:semiHidden/>
    <w:rsid w:val="0047221A"/>
    <w:rPr>
      <w:sz w:val="20"/>
      <w:szCs w:val="20"/>
    </w:rPr>
  </w:style>
  <w:style w:type="paragraph" w:customStyle="1" w:styleId="boldpara">
    <w:name w:val="bold para"/>
    <w:basedOn w:val="Normal"/>
    <w:link w:val="boldparaChar"/>
    <w:qFormat/>
    <w:rsid w:val="003D05D0"/>
    <w:pPr>
      <w:spacing w:after="0" w:line="480" w:lineRule="auto"/>
      <w:ind w:firstLine="720"/>
    </w:pPr>
    <w:rPr>
      <w:rFonts w:ascii="Times New Roman" w:eastAsia="Times New Roman" w:hAnsi="Times New Roman"/>
      <w:sz w:val="24"/>
      <w:szCs w:val="24"/>
    </w:rPr>
  </w:style>
  <w:style w:type="character" w:customStyle="1" w:styleId="boldparaChar">
    <w:name w:val="bold para Char"/>
    <w:link w:val="boldpara"/>
    <w:rsid w:val="003D05D0"/>
    <w:rPr>
      <w:rFonts w:ascii="Times New Roman" w:eastAsia="Times New Roman" w:hAnsi="Times New Roman" w:cs="Times New Roman"/>
      <w:sz w:val="24"/>
      <w:szCs w:val="24"/>
    </w:rPr>
  </w:style>
  <w:style w:type="paragraph" w:customStyle="1" w:styleId="OutlineL1">
    <w:name w:val="Outline_L1"/>
    <w:basedOn w:val="Normal"/>
    <w:next w:val="BodyText"/>
    <w:rsid w:val="002C4670"/>
    <w:pPr>
      <w:tabs>
        <w:tab w:val="num" w:pos="720"/>
      </w:tabs>
      <w:spacing w:after="240" w:line="240" w:lineRule="auto"/>
      <w:jc w:val="center"/>
      <w:outlineLvl w:val="0"/>
    </w:pPr>
    <w:rPr>
      <w:rFonts w:ascii="Times New Roman" w:eastAsia="Times New Roman" w:hAnsi="Times New Roman"/>
      <w:b/>
      <w:caps/>
      <w:sz w:val="24"/>
      <w:szCs w:val="20"/>
    </w:rPr>
  </w:style>
  <w:style w:type="paragraph" w:styleId="BodyText">
    <w:name w:val="Body Text"/>
    <w:basedOn w:val="Normal"/>
    <w:link w:val="BodyTextChar"/>
    <w:uiPriority w:val="99"/>
    <w:unhideWhenUsed/>
    <w:rsid w:val="002C4670"/>
    <w:pPr>
      <w:spacing w:after="120"/>
    </w:pPr>
  </w:style>
  <w:style w:type="character" w:customStyle="1" w:styleId="BodyTextChar">
    <w:name w:val="Body Text Char"/>
    <w:link w:val="BodyText"/>
    <w:uiPriority w:val="99"/>
    <w:rsid w:val="002C4670"/>
    <w:rPr>
      <w:sz w:val="22"/>
      <w:szCs w:val="22"/>
    </w:rPr>
  </w:style>
  <w:style w:type="paragraph" w:styleId="BodyText2">
    <w:name w:val="Body Text 2"/>
    <w:basedOn w:val="Normal"/>
    <w:link w:val="BodyText2Char"/>
    <w:uiPriority w:val="99"/>
    <w:unhideWhenUsed/>
    <w:rsid w:val="00F83021"/>
    <w:pPr>
      <w:spacing w:after="0" w:line="360" w:lineRule="auto"/>
    </w:pPr>
    <w:rPr>
      <w:rFonts w:ascii="Times New Roman" w:hAnsi="Times New Roman"/>
      <w:sz w:val="24"/>
      <w:szCs w:val="24"/>
    </w:rPr>
  </w:style>
  <w:style w:type="character" w:customStyle="1" w:styleId="BodyText2Char">
    <w:name w:val="Body Text 2 Char"/>
    <w:link w:val="BodyText2"/>
    <w:uiPriority w:val="99"/>
    <w:rsid w:val="00F83021"/>
    <w:rPr>
      <w:rFonts w:ascii="Times New Roman" w:hAnsi="Times New Roman"/>
      <w:sz w:val="24"/>
      <w:szCs w:val="24"/>
    </w:rPr>
  </w:style>
  <w:style w:type="character" w:customStyle="1" w:styleId="Heading1Char">
    <w:name w:val="Heading 1 Char"/>
    <w:link w:val="Heading1"/>
    <w:uiPriority w:val="9"/>
    <w:rsid w:val="00A851DF"/>
    <w:rPr>
      <w:rFonts w:ascii="Times New Roman" w:hAnsi="Times New Roman"/>
      <w:b/>
      <w:sz w:val="26"/>
      <w:szCs w:val="26"/>
    </w:rPr>
  </w:style>
  <w:style w:type="character" w:customStyle="1" w:styleId="Heading2Char">
    <w:name w:val="Heading 2 Char"/>
    <w:link w:val="Heading2"/>
    <w:uiPriority w:val="9"/>
    <w:rsid w:val="004C023F"/>
    <w:rPr>
      <w:rFonts w:ascii="Times New Roman" w:hAnsi="Times New Roman"/>
      <w:b/>
      <w:sz w:val="24"/>
      <w:szCs w:val="24"/>
    </w:rPr>
  </w:style>
  <w:style w:type="character" w:customStyle="1" w:styleId="Heading3Char">
    <w:name w:val="Heading 3 Char"/>
    <w:link w:val="Heading3"/>
    <w:uiPriority w:val="9"/>
    <w:rsid w:val="00904274"/>
    <w:rPr>
      <w:rFonts w:ascii="Times New Roman" w:eastAsia="Times New Roman" w:hAnsi="Times New Roman"/>
      <w:b/>
      <w:bCs/>
      <w:color w:val="333333"/>
      <w:sz w:val="26"/>
      <w:szCs w:val="26"/>
    </w:rPr>
  </w:style>
  <w:style w:type="character" w:customStyle="1" w:styleId="Heading4Char">
    <w:name w:val="Heading 4 Char"/>
    <w:link w:val="Heading4"/>
    <w:uiPriority w:val="9"/>
    <w:rsid w:val="00A30CAA"/>
    <w:rPr>
      <w:rFonts w:ascii="Times New Roman" w:eastAsia="Times New Roman" w:hAnsi="Times New Roman"/>
      <w:b/>
      <w:color w:val="333333"/>
      <w:sz w:val="26"/>
      <w:szCs w:val="26"/>
    </w:rPr>
  </w:style>
  <w:style w:type="paragraph" w:styleId="BodyText3">
    <w:name w:val="Body Text 3"/>
    <w:basedOn w:val="Normal"/>
    <w:link w:val="BodyText3Char"/>
    <w:uiPriority w:val="99"/>
    <w:unhideWhenUsed/>
    <w:rsid w:val="006E3DA2"/>
    <w:pPr>
      <w:spacing w:after="0" w:line="360" w:lineRule="auto"/>
    </w:pPr>
    <w:rPr>
      <w:rFonts w:ascii="Times New Roman" w:hAnsi="Times New Roman"/>
      <w:sz w:val="26"/>
      <w:szCs w:val="26"/>
    </w:rPr>
  </w:style>
  <w:style w:type="character" w:customStyle="1" w:styleId="BodyText3Char">
    <w:name w:val="Body Text 3 Char"/>
    <w:link w:val="BodyText3"/>
    <w:uiPriority w:val="99"/>
    <w:rsid w:val="006E3DA2"/>
    <w:rPr>
      <w:rFonts w:ascii="Times New Roman" w:hAnsi="Times New Roman"/>
      <w:sz w:val="26"/>
      <w:szCs w:val="26"/>
    </w:rPr>
  </w:style>
  <w:style w:type="character" w:customStyle="1" w:styleId="Heading5Char">
    <w:name w:val="Heading 5 Char"/>
    <w:link w:val="Heading5"/>
    <w:uiPriority w:val="9"/>
    <w:semiHidden/>
    <w:rsid w:val="0047723D"/>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7723D"/>
    <w:rPr>
      <w:rFonts w:ascii="Calibri" w:eastAsia="Times New Roman" w:hAnsi="Calibri" w:cs="Times New Roman"/>
      <w:b/>
      <w:bCs/>
      <w:sz w:val="22"/>
      <w:szCs w:val="22"/>
    </w:rPr>
  </w:style>
  <w:style w:type="character" w:customStyle="1" w:styleId="FootnoteTextChar3">
    <w:name w:val="Footnote Text Char3"/>
    <w:aliases w:val="Footnote Text Char1 Char2,Footnote Text Char Char Char2,Footnote Text Char1 Char Char Char2,Footnote Text Char Char Char Char Char2,Footnote Text Char1 Char Char Char Char Char2,Footnote Text Char Char Char Char Char Char Char2"/>
    <w:basedOn w:val="DefaultParagraphFont"/>
    <w:semiHidden/>
    <w:rsid w:val="001371CA"/>
    <w:rPr>
      <w:sz w:val="24"/>
    </w:rPr>
  </w:style>
  <w:style w:type="paragraph" w:styleId="PlainText">
    <w:name w:val="Plain Text"/>
    <w:basedOn w:val="Normal"/>
    <w:link w:val="PlainTextChar"/>
    <w:uiPriority w:val="99"/>
    <w:rsid w:val="003E6FA5"/>
    <w:pPr>
      <w:spacing w:after="0" w:line="240" w:lineRule="auto"/>
      <w:ind w:firstLine="1440"/>
    </w:pPr>
    <w:rPr>
      <w:rFonts w:ascii="Times New Roman" w:eastAsia="Times New Roman" w:hAnsi="Times New Roman"/>
      <w:sz w:val="26"/>
      <w:szCs w:val="20"/>
    </w:rPr>
  </w:style>
  <w:style w:type="character" w:customStyle="1" w:styleId="PlainTextChar">
    <w:name w:val="Plain Text Char"/>
    <w:basedOn w:val="DefaultParagraphFont"/>
    <w:link w:val="PlainText"/>
    <w:uiPriority w:val="99"/>
    <w:rsid w:val="003E6FA5"/>
    <w:rPr>
      <w:rFonts w:ascii="Times New Roman" w:eastAsia="Times New Roman" w:hAnsi="Times New Roman"/>
      <w:sz w:val="26"/>
    </w:rPr>
  </w:style>
  <w:style w:type="paragraph" w:styleId="ListNumber">
    <w:name w:val="List Number"/>
    <w:basedOn w:val="Normal"/>
    <w:rsid w:val="003E6FA5"/>
    <w:pPr>
      <w:numPr>
        <w:numId w:val="37"/>
      </w:numPr>
      <w:tabs>
        <w:tab w:val="clear" w:pos="360"/>
      </w:tabs>
      <w:spacing w:after="0" w:line="480" w:lineRule="auto"/>
      <w:ind w:left="0" w:firstLine="720"/>
    </w:pPr>
    <w:rPr>
      <w:rFonts w:ascii="Times New Roman" w:eastAsia="Times New Roman" w:hAnsi="Times New Roman"/>
      <w:sz w:val="24"/>
      <w:szCs w:val="24"/>
    </w:rPr>
  </w:style>
  <w:style w:type="paragraph" w:customStyle="1" w:styleId="p3">
    <w:name w:val="p3"/>
    <w:basedOn w:val="Normal"/>
    <w:rsid w:val="00E15A7F"/>
    <w:pPr>
      <w:widowControl w:val="0"/>
      <w:tabs>
        <w:tab w:val="left" w:pos="204"/>
      </w:tabs>
      <w:autoSpaceDE w:val="0"/>
      <w:autoSpaceDN w:val="0"/>
      <w:adjustRightInd w:val="0"/>
      <w:spacing w:after="0" w:line="240" w:lineRule="auto"/>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6F3138"/>
    <w:rPr>
      <w:b/>
      <w:bCs/>
    </w:rPr>
  </w:style>
  <w:style w:type="character" w:customStyle="1" w:styleId="CommentSubjectChar">
    <w:name w:val="Comment Subject Char"/>
    <w:basedOn w:val="CommentTextChar"/>
    <w:link w:val="CommentSubject"/>
    <w:uiPriority w:val="99"/>
    <w:semiHidden/>
    <w:rsid w:val="006F3138"/>
    <w:rPr>
      <w:b/>
      <w:bCs/>
      <w:sz w:val="20"/>
      <w:szCs w:val="20"/>
    </w:rPr>
  </w:style>
  <w:style w:type="paragraph" w:styleId="Revision">
    <w:name w:val="Revision"/>
    <w:hidden/>
    <w:uiPriority w:val="99"/>
    <w:semiHidden/>
    <w:rsid w:val="006F313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830073">
      <w:bodyDiv w:val="1"/>
      <w:marLeft w:val="0"/>
      <w:marRight w:val="0"/>
      <w:marTop w:val="0"/>
      <w:marBottom w:val="0"/>
      <w:divBdr>
        <w:top w:val="none" w:sz="0" w:space="0" w:color="auto"/>
        <w:left w:val="none" w:sz="0" w:space="0" w:color="auto"/>
        <w:bottom w:val="none" w:sz="0" w:space="0" w:color="auto"/>
        <w:right w:val="none" w:sz="0" w:space="0" w:color="auto"/>
      </w:divBdr>
    </w:div>
    <w:div w:id="798299523">
      <w:bodyDiv w:val="1"/>
      <w:marLeft w:val="0"/>
      <w:marRight w:val="0"/>
      <w:marTop w:val="0"/>
      <w:marBottom w:val="0"/>
      <w:divBdr>
        <w:top w:val="none" w:sz="0" w:space="0" w:color="auto"/>
        <w:left w:val="none" w:sz="0" w:space="0" w:color="auto"/>
        <w:bottom w:val="none" w:sz="0" w:space="0" w:color="auto"/>
        <w:right w:val="none" w:sz="0" w:space="0" w:color="auto"/>
      </w:divBdr>
    </w:div>
    <w:div w:id="18750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870FC-A1EB-43D0-B9EB-82F593CE7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38</Pages>
  <Words>9608</Words>
  <Characters>54769</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Farner, Joyce</cp:lastModifiedBy>
  <cp:revision>12</cp:revision>
  <cp:lastPrinted>2013-12-19T12:45:00Z</cp:lastPrinted>
  <dcterms:created xsi:type="dcterms:W3CDTF">2013-12-16T20:29:00Z</dcterms:created>
  <dcterms:modified xsi:type="dcterms:W3CDTF">2013-12-19T12:47:00Z</dcterms:modified>
</cp:coreProperties>
</file>