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00" w:rsidRPr="00A5340C" w:rsidRDefault="00DA4630" w:rsidP="00DA4630">
      <w:pPr>
        <w:pStyle w:val="NoSpacing"/>
        <w:jc w:val="center"/>
        <w:rPr>
          <w:b/>
          <w:sz w:val="26"/>
          <w:szCs w:val="26"/>
        </w:rPr>
      </w:pPr>
      <w:r w:rsidRPr="00A5340C">
        <w:rPr>
          <w:b/>
          <w:sz w:val="26"/>
          <w:szCs w:val="26"/>
        </w:rPr>
        <w:t xml:space="preserve">PENNSYLVANIA </w:t>
      </w:r>
    </w:p>
    <w:p w:rsidR="00DA4630" w:rsidRPr="00A5340C" w:rsidRDefault="00DA4630" w:rsidP="00DA4630">
      <w:pPr>
        <w:pStyle w:val="NoSpacing"/>
        <w:jc w:val="center"/>
        <w:rPr>
          <w:b/>
          <w:sz w:val="26"/>
          <w:szCs w:val="26"/>
        </w:rPr>
      </w:pPr>
      <w:r w:rsidRPr="00A5340C">
        <w:rPr>
          <w:b/>
          <w:sz w:val="26"/>
          <w:szCs w:val="26"/>
        </w:rPr>
        <w:t>PUBLIC UTLIITY COMMISSION</w:t>
      </w:r>
    </w:p>
    <w:p w:rsidR="00011700" w:rsidRPr="00A5340C" w:rsidRDefault="00011700" w:rsidP="00DA4630">
      <w:pPr>
        <w:pStyle w:val="NoSpacing"/>
        <w:jc w:val="center"/>
        <w:rPr>
          <w:b/>
          <w:sz w:val="26"/>
          <w:szCs w:val="26"/>
        </w:rPr>
      </w:pPr>
      <w:r w:rsidRPr="00A5340C">
        <w:rPr>
          <w:b/>
          <w:sz w:val="26"/>
          <w:szCs w:val="26"/>
        </w:rPr>
        <w:t>Harrisburg, PA 17105-3265</w:t>
      </w:r>
    </w:p>
    <w:p w:rsidR="00DA4630" w:rsidRPr="00A5340C" w:rsidRDefault="00DA4630" w:rsidP="00DA4630">
      <w:pPr>
        <w:pStyle w:val="NoSpacing"/>
        <w:jc w:val="center"/>
        <w:rPr>
          <w:sz w:val="26"/>
          <w:szCs w:val="26"/>
        </w:rPr>
      </w:pPr>
    </w:p>
    <w:p w:rsidR="00D945A0" w:rsidRPr="00A5340C" w:rsidRDefault="00D945A0" w:rsidP="00D945A0">
      <w:pPr>
        <w:pStyle w:val="NoSpacing"/>
        <w:ind w:left="4320" w:firstLine="720"/>
        <w:rPr>
          <w:sz w:val="26"/>
          <w:szCs w:val="26"/>
        </w:rPr>
      </w:pPr>
      <w:r w:rsidRPr="00A5340C">
        <w:rPr>
          <w:sz w:val="26"/>
          <w:szCs w:val="26"/>
        </w:rPr>
        <w:t xml:space="preserve">Public Meeting held </w:t>
      </w:r>
      <w:r w:rsidR="00E76FEE" w:rsidRPr="00A5340C">
        <w:rPr>
          <w:sz w:val="26"/>
          <w:szCs w:val="26"/>
        </w:rPr>
        <w:t>December 19, 2013</w:t>
      </w:r>
      <w:r w:rsidRPr="00A5340C">
        <w:rPr>
          <w:sz w:val="26"/>
          <w:szCs w:val="26"/>
        </w:rPr>
        <w:t xml:space="preserve"> </w:t>
      </w:r>
    </w:p>
    <w:p w:rsidR="00D945A0" w:rsidRPr="00A5340C" w:rsidRDefault="00D945A0" w:rsidP="00D945A0">
      <w:pPr>
        <w:pStyle w:val="NoSpacing"/>
        <w:rPr>
          <w:sz w:val="26"/>
          <w:szCs w:val="26"/>
        </w:rPr>
      </w:pPr>
    </w:p>
    <w:p w:rsidR="00D945A0" w:rsidRPr="00A5340C" w:rsidRDefault="00D945A0" w:rsidP="00D945A0">
      <w:pPr>
        <w:pStyle w:val="NoSpacing"/>
        <w:rPr>
          <w:sz w:val="26"/>
          <w:szCs w:val="26"/>
        </w:rPr>
      </w:pPr>
    </w:p>
    <w:p w:rsidR="00D945A0" w:rsidRPr="00A5340C" w:rsidRDefault="00D945A0" w:rsidP="00D945A0">
      <w:pPr>
        <w:tabs>
          <w:tab w:val="left" w:pos="-720"/>
        </w:tabs>
        <w:suppressAutoHyphens/>
        <w:rPr>
          <w:rFonts w:ascii="Times New Roman" w:hAnsi="Times New Roman"/>
          <w:sz w:val="26"/>
          <w:szCs w:val="26"/>
        </w:rPr>
      </w:pPr>
      <w:r w:rsidRPr="00A5340C">
        <w:rPr>
          <w:rFonts w:ascii="Times New Roman" w:hAnsi="Times New Roman"/>
          <w:sz w:val="26"/>
          <w:szCs w:val="26"/>
        </w:rPr>
        <w:t>Commissioners Present:</w:t>
      </w:r>
    </w:p>
    <w:p w:rsidR="00ED1566" w:rsidRPr="00A5340C" w:rsidRDefault="00ED1566" w:rsidP="00D43521">
      <w:pPr>
        <w:tabs>
          <w:tab w:val="left" w:pos="-720"/>
        </w:tabs>
        <w:suppressAutoHyphens/>
        <w:spacing w:after="0" w:line="240" w:lineRule="auto"/>
        <w:rPr>
          <w:rFonts w:ascii="Times New Roman" w:hAnsi="Times New Roman"/>
          <w:sz w:val="26"/>
          <w:szCs w:val="26"/>
        </w:rPr>
      </w:pPr>
    </w:p>
    <w:p w:rsidR="00D43521" w:rsidRPr="00A5340C" w:rsidRDefault="00D945A0" w:rsidP="00D43521">
      <w:pPr>
        <w:tabs>
          <w:tab w:val="left" w:pos="-720"/>
        </w:tabs>
        <w:suppressAutoHyphens/>
        <w:spacing w:after="0" w:line="240" w:lineRule="auto"/>
        <w:rPr>
          <w:rFonts w:ascii="Times New Roman" w:hAnsi="Times New Roman"/>
          <w:sz w:val="26"/>
          <w:szCs w:val="26"/>
        </w:rPr>
      </w:pPr>
      <w:r w:rsidRPr="00A5340C">
        <w:rPr>
          <w:rFonts w:ascii="Times New Roman" w:hAnsi="Times New Roman"/>
          <w:sz w:val="26"/>
          <w:szCs w:val="26"/>
        </w:rPr>
        <w:tab/>
        <w:t>Robert F. Powelson, Chairman</w:t>
      </w:r>
      <w:r w:rsidR="0005278B">
        <w:rPr>
          <w:rFonts w:ascii="Times New Roman" w:hAnsi="Times New Roman"/>
          <w:sz w:val="26"/>
          <w:szCs w:val="26"/>
        </w:rPr>
        <w:t>, Statement</w:t>
      </w:r>
    </w:p>
    <w:p w:rsidR="00D945A0" w:rsidRPr="00A5340C" w:rsidRDefault="00D43521" w:rsidP="00D43521">
      <w:pPr>
        <w:tabs>
          <w:tab w:val="left" w:pos="-720"/>
        </w:tabs>
        <w:suppressAutoHyphens/>
        <w:spacing w:after="0" w:line="240" w:lineRule="auto"/>
        <w:rPr>
          <w:rFonts w:ascii="Times New Roman" w:hAnsi="Times New Roman"/>
          <w:sz w:val="26"/>
          <w:szCs w:val="26"/>
        </w:rPr>
      </w:pPr>
      <w:r w:rsidRPr="00A5340C">
        <w:rPr>
          <w:rFonts w:ascii="Times New Roman" w:hAnsi="Times New Roman"/>
          <w:sz w:val="26"/>
          <w:szCs w:val="26"/>
        </w:rPr>
        <w:tab/>
      </w:r>
      <w:r w:rsidR="00D945A0" w:rsidRPr="00A5340C">
        <w:rPr>
          <w:rFonts w:ascii="Times New Roman" w:hAnsi="Times New Roman"/>
          <w:sz w:val="26"/>
          <w:szCs w:val="26"/>
        </w:rPr>
        <w:t>John F. Coleman, Jr., Vice Chairman</w:t>
      </w:r>
    </w:p>
    <w:p w:rsidR="00D945A0" w:rsidRPr="00A5340C" w:rsidRDefault="00D945A0" w:rsidP="00D43521">
      <w:pPr>
        <w:tabs>
          <w:tab w:val="left" w:pos="-720"/>
        </w:tabs>
        <w:suppressAutoHyphens/>
        <w:spacing w:after="0" w:line="240" w:lineRule="auto"/>
        <w:rPr>
          <w:rFonts w:ascii="Times New Roman" w:hAnsi="Times New Roman"/>
          <w:sz w:val="26"/>
          <w:szCs w:val="26"/>
        </w:rPr>
      </w:pPr>
      <w:r w:rsidRPr="00A5340C">
        <w:rPr>
          <w:rFonts w:ascii="Times New Roman" w:hAnsi="Times New Roman"/>
          <w:sz w:val="26"/>
          <w:szCs w:val="26"/>
        </w:rPr>
        <w:tab/>
        <w:t>James H. Cawley</w:t>
      </w:r>
    </w:p>
    <w:p w:rsidR="00D945A0" w:rsidRPr="00A5340C" w:rsidRDefault="00D945A0" w:rsidP="00D43521">
      <w:pPr>
        <w:tabs>
          <w:tab w:val="left" w:pos="-720"/>
        </w:tabs>
        <w:suppressAutoHyphens/>
        <w:spacing w:after="0" w:line="240" w:lineRule="auto"/>
        <w:rPr>
          <w:rFonts w:ascii="Times New Roman" w:hAnsi="Times New Roman"/>
          <w:sz w:val="26"/>
          <w:szCs w:val="26"/>
        </w:rPr>
      </w:pPr>
      <w:r w:rsidRPr="00A5340C">
        <w:rPr>
          <w:rFonts w:ascii="Times New Roman" w:hAnsi="Times New Roman"/>
          <w:sz w:val="26"/>
          <w:szCs w:val="26"/>
        </w:rPr>
        <w:tab/>
        <w:t>Pamela A. Witmer</w:t>
      </w:r>
    </w:p>
    <w:p w:rsidR="00E76FEE" w:rsidRPr="00A5340C" w:rsidRDefault="00E76FEE" w:rsidP="00D43521">
      <w:pPr>
        <w:tabs>
          <w:tab w:val="left" w:pos="-720"/>
        </w:tabs>
        <w:suppressAutoHyphens/>
        <w:spacing w:after="0" w:line="240" w:lineRule="auto"/>
        <w:rPr>
          <w:rFonts w:ascii="Times New Roman" w:hAnsi="Times New Roman"/>
          <w:sz w:val="26"/>
          <w:szCs w:val="26"/>
        </w:rPr>
      </w:pPr>
      <w:r w:rsidRPr="00A5340C">
        <w:rPr>
          <w:rFonts w:ascii="Times New Roman" w:hAnsi="Times New Roman"/>
          <w:sz w:val="26"/>
          <w:szCs w:val="26"/>
        </w:rPr>
        <w:tab/>
        <w:t>Gladys M. Brown</w:t>
      </w:r>
    </w:p>
    <w:p w:rsidR="00D945A0" w:rsidRPr="00A5340C" w:rsidRDefault="00D945A0" w:rsidP="00D945A0">
      <w:pPr>
        <w:pStyle w:val="NoSpacing"/>
        <w:rPr>
          <w:sz w:val="26"/>
          <w:szCs w:val="26"/>
        </w:rPr>
      </w:pPr>
    </w:p>
    <w:p w:rsidR="00DA4630" w:rsidRPr="00A5340C" w:rsidRDefault="00DA4630" w:rsidP="00DA4630">
      <w:pPr>
        <w:pStyle w:val="NoSpacing"/>
        <w:rPr>
          <w:sz w:val="26"/>
          <w:szCs w:val="26"/>
        </w:rPr>
      </w:pPr>
      <w:r w:rsidRPr="00A5340C">
        <w:rPr>
          <w:sz w:val="26"/>
          <w:szCs w:val="26"/>
        </w:rPr>
        <w:t>Pennsylvan</w:t>
      </w:r>
      <w:r w:rsidR="00A851DF" w:rsidRPr="00A5340C">
        <w:rPr>
          <w:sz w:val="26"/>
          <w:szCs w:val="26"/>
        </w:rPr>
        <w:t xml:space="preserve">ia Public Utility Commission </w:t>
      </w:r>
      <w:r w:rsidR="00A851DF" w:rsidRPr="00A5340C">
        <w:rPr>
          <w:sz w:val="26"/>
          <w:szCs w:val="26"/>
        </w:rPr>
        <w:tab/>
      </w:r>
      <w:r w:rsidR="00A851DF" w:rsidRPr="00A5340C">
        <w:rPr>
          <w:sz w:val="26"/>
          <w:szCs w:val="26"/>
        </w:rPr>
        <w:tab/>
      </w:r>
      <w:r w:rsidR="00E76FEE" w:rsidRPr="00A5340C">
        <w:rPr>
          <w:sz w:val="26"/>
          <w:szCs w:val="26"/>
        </w:rPr>
        <w:tab/>
      </w:r>
      <w:r w:rsidR="00E76FEE" w:rsidRPr="00A5340C">
        <w:rPr>
          <w:sz w:val="26"/>
          <w:szCs w:val="26"/>
        </w:rPr>
        <w:tab/>
        <w:t>R-2013-2355276</w:t>
      </w:r>
    </w:p>
    <w:p w:rsidR="00DA4630" w:rsidRPr="00A5340C" w:rsidRDefault="00A851DF" w:rsidP="00DA4630">
      <w:pPr>
        <w:pStyle w:val="NoSpacing"/>
        <w:rPr>
          <w:sz w:val="26"/>
          <w:szCs w:val="26"/>
        </w:rPr>
      </w:pPr>
      <w:r w:rsidRPr="00A5340C">
        <w:rPr>
          <w:sz w:val="26"/>
          <w:szCs w:val="26"/>
        </w:rPr>
        <w:t>Office of Consumer Advocate</w:t>
      </w:r>
      <w:r w:rsidRPr="00A5340C">
        <w:rPr>
          <w:sz w:val="26"/>
          <w:szCs w:val="26"/>
        </w:rPr>
        <w:tab/>
      </w:r>
      <w:r w:rsidRPr="00A5340C">
        <w:rPr>
          <w:sz w:val="26"/>
          <w:szCs w:val="26"/>
        </w:rPr>
        <w:tab/>
      </w:r>
      <w:r w:rsidRPr="00A5340C">
        <w:rPr>
          <w:sz w:val="26"/>
          <w:szCs w:val="26"/>
        </w:rPr>
        <w:tab/>
      </w:r>
      <w:r w:rsidR="00E76FEE" w:rsidRPr="00A5340C">
        <w:rPr>
          <w:sz w:val="26"/>
          <w:szCs w:val="26"/>
        </w:rPr>
        <w:tab/>
      </w:r>
      <w:r w:rsidR="00E76FEE" w:rsidRPr="00A5340C">
        <w:rPr>
          <w:sz w:val="26"/>
          <w:szCs w:val="26"/>
        </w:rPr>
        <w:tab/>
        <w:t>C-2013-2362470</w:t>
      </w:r>
    </w:p>
    <w:p w:rsidR="00DA4630" w:rsidRPr="00A5340C" w:rsidRDefault="00DA4630" w:rsidP="00DA4630">
      <w:pPr>
        <w:pStyle w:val="NoSpacing"/>
        <w:rPr>
          <w:sz w:val="26"/>
          <w:szCs w:val="26"/>
        </w:rPr>
      </w:pPr>
      <w:r w:rsidRPr="00A5340C">
        <w:rPr>
          <w:sz w:val="26"/>
          <w:szCs w:val="26"/>
        </w:rPr>
        <w:t>Offic</w:t>
      </w:r>
      <w:r w:rsidR="00A851DF" w:rsidRPr="00A5340C">
        <w:rPr>
          <w:sz w:val="26"/>
          <w:szCs w:val="26"/>
        </w:rPr>
        <w:t>e of Small Business Advocate</w:t>
      </w:r>
      <w:r w:rsidR="00A851DF" w:rsidRPr="00A5340C">
        <w:rPr>
          <w:sz w:val="26"/>
          <w:szCs w:val="26"/>
        </w:rPr>
        <w:tab/>
      </w:r>
      <w:r w:rsidR="00A851DF" w:rsidRPr="00A5340C">
        <w:rPr>
          <w:sz w:val="26"/>
          <w:szCs w:val="26"/>
        </w:rPr>
        <w:tab/>
      </w:r>
      <w:r w:rsidR="00E76FEE" w:rsidRPr="00A5340C">
        <w:rPr>
          <w:sz w:val="26"/>
          <w:szCs w:val="26"/>
        </w:rPr>
        <w:tab/>
      </w:r>
      <w:r w:rsidR="00E76FEE" w:rsidRPr="00A5340C">
        <w:rPr>
          <w:sz w:val="26"/>
          <w:szCs w:val="26"/>
        </w:rPr>
        <w:tab/>
        <w:t>C-2013-2364641</w:t>
      </w:r>
    </w:p>
    <w:p w:rsidR="00DA4630" w:rsidRPr="00A5340C" w:rsidRDefault="00E76FEE" w:rsidP="00DA4630">
      <w:pPr>
        <w:pStyle w:val="NoSpacing"/>
        <w:rPr>
          <w:sz w:val="26"/>
          <w:szCs w:val="26"/>
        </w:rPr>
      </w:pPr>
      <w:r w:rsidRPr="00A5340C">
        <w:rPr>
          <w:sz w:val="26"/>
          <w:szCs w:val="26"/>
        </w:rPr>
        <w:t>Brian L. Casper</w:t>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Pr="00A5340C">
        <w:rPr>
          <w:sz w:val="26"/>
          <w:szCs w:val="26"/>
        </w:rPr>
        <w:tab/>
      </w:r>
      <w:r w:rsidRPr="00A5340C">
        <w:rPr>
          <w:sz w:val="26"/>
          <w:szCs w:val="26"/>
        </w:rPr>
        <w:tab/>
        <w:t>C-2013-2364664</w:t>
      </w:r>
    </w:p>
    <w:p w:rsidR="00DA4630" w:rsidRPr="00A5340C" w:rsidRDefault="00A86DA4" w:rsidP="00DA4630">
      <w:pPr>
        <w:pStyle w:val="NoSpacing"/>
        <w:rPr>
          <w:sz w:val="26"/>
          <w:szCs w:val="26"/>
        </w:rPr>
      </w:pPr>
      <w:r w:rsidRPr="00A5340C">
        <w:rPr>
          <w:sz w:val="26"/>
          <w:szCs w:val="26"/>
        </w:rPr>
        <w:t xml:space="preserve">Dawn B. </w:t>
      </w:r>
      <w:proofErr w:type="spellStart"/>
      <w:r w:rsidRPr="00A5340C">
        <w:rPr>
          <w:sz w:val="26"/>
          <w:szCs w:val="26"/>
        </w:rPr>
        <w:t>Spielvogel</w:t>
      </w:r>
      <w:proofErr w:type="spellEnd"/>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Pr="00A5340C">
        <w:rPr>
          <w:sz w:val="26"/>
          <w:szCs w:val="26"/>
        </w:rPr>
        <w:tab/>
        <w:t>C-2013</w:t>
      </w:r>
      <w:r w:rsidR="00DA4630" w:rsidRPr="00A5340C">
        <w:rPr>
          <w:sz w:val="26"/>
          <w:szCs w:val="26"/>
        </w:rPr>
        <w:t>-2</w:t>
      </w:r>
      <w:r w:rsidRPr="00A5340C">
        <w:rPr>
          <w:sz w:val="26"/>
          <w:szCs w:val="26"/>
        </w:rPr>
        <w:t>364692</w:t>
      </w:r>
    </w:p>
    <w:p w:rsidR="00DA4630" w:rsidRPr="00A5340C" w:rsidRDefault="00A86DA4" w:rsidP="00DA4630">
      <w:pPr>
        <w:pStyle w:val="NoSpacing"/>
        <w:rPr>
          <w:sz w:val="26"/>
          <w:szCs w:val="26"/>
        </w:rPr>
      </w:pPr>
      <w:r w:rsidRPr="00A5340C">
        <w:rPr>
          <w:sz w:val="26"/>
          <w:szCs w:val="26"/>
        </w:rPr>
        <w:t xml:space="preserve">Robert </w:t>
      </w:r>
      <w:proofErr w:type="spellStart"/>
      <w:r w:rsidRPr="00A5340C">
        <w:rPr>
          <w:sz w:val="26"/>
          <w:szCs w:val="26"/>
        </w:rPr>
        <w:t>Redinger</w:t>
      </w:r>
      <w:proofErr w:type="spellEnd"/>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Pr="00A5340C">
        <w:rPr>
          <w:sz w:val="26"/>
          <w:szCs w:val="26"/>
        </w:rPr>
        <w:tab/>
        <w:t>C-2013</w:t>
      </w:r>
      <w:r w:rsidR="00DA4630" w:rsidRPr="00A5340C">
        <w:rPr>
          <w:sz w:val="26"/>
          <w:szCs w:val="26"/>
        </w:rPr>
        <w:t>-2</w:t>
      </w:r>
      <w:r w:rsidRPr="00A5340C">
        <w:rPr>
          <w:sz w:val="26"/>
          <w:szCs w:val="26"/>
        </w:rPr>
        <w:t>364773</w:t>
      </w:r>
    </w:p>
    <w:p w:rsidR="00DA4630" w:rsidRPr="00A5340C" w:rsidRDefault="00A86DA4" w:rsidP="00DA4630">
      <w:pPr>
        <w:pStyle w:val="NoSpacing"/>
        <w:rPr>
          <w:sz w:val="26"/>
          <w:szCs w:val="26"/>
        </w:rPr>
      </w:pPr>
      <w:r w:rsidRPr="00A5340C">
        <w:rPr>
          <w:sz w:val="26"/>
          <w:szCs w:val="26"/>
        </w:rPr>
        <w:t>Rita Sherman</w:t>
      </w:r>
      <w:r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Pr="00A5340C">
        <w:rPr>
          <w:sz w:val="26"/>
          <w:szCs w:val="26"/>
        </w:rPr>
        <w:tab/>
      </w:r>
      <w:r w:rsidRPr="00A5340C">
        <w:rPr>
          <w:sz w:val="26"/>
          <w:szCs w:val="26"/>
        </w:rPr>
        <w:tab/>
        <w:t>C-2013</w:t>
      </w:r>
      <w:r w:rsidR="00DA4630" w:rsidRPr="00A5340C">
        <w:rPr>
          <w:sz w:val="26"/>
          <w:szCs w:val="26"/>
        </w:rPr>
        <w:t>-2</w:t>
      </w:r>
      <w:r w:rsidRPr="00A5340C">
        <w:rPr>
          <w:sz w:val="26"/>
          <w:szCs w:val="26"/>
        </w:rPr>
        <w:t>366095</w:t>
      </w:r>
    </w:p>
    <w:p w:rsidR="00DA4630" w:rsidRPr="00A5340C" w:rsidRDefault="00A86DA4" w:rsidP="00DA4630">
      <w:pPr>
        <w:pStyle w:val="NoSpacing"/>
        <w:rPr>
          <w:sz w:val="26"/>
          <w:szCs w:val="26"/>
        </w:rPr>
      </w:pPr>
      <w:r w:rsidRPr="00A5340C">
        <w:rPr>
          <w:sz w:val="26"/>
          <w:szCs w:val="26"/>
        </w:rPr>
        <w:t xml:space="preserve">Guy &amp; </w:t>
      </w:r>
      <w:proofErr w:type="spellStart"/>
      <w:r w:rsidRPr="00A5340C">
        <w:rPr>
          <w:sz w:val="26"/>
          <w:szCs w:val="26"/>
        </w:rPr>
        <w:t>Nedra</w:t>
      </w:r>
      <w:proofErr w:type="spellEnd"/>
      <w:r w:rsidRPr="00A5340C">
        <w:rPr>
          <w:sz w:val="26"/>
          <w:szCs w:val="26"/>
        </w:rPr>
        <w:t xml:space="preserve"> Visconti</w:t>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Pr="00A5340C">
        <w:rPr>
          <w:sz w:val="26"/>
          <w:szCs w:val="26"/>
        </w:rPr>
        <w:tab/>
      </w:r>
      <w:r w:rsidRPr="00A5340C">
        <w:rPr>
          <w:sz w:val="26"/>
          <w:szCs w:val="26"/>
        </w:rPr>
        <w:tab/>
        <w:t>C-2013</w:t>
      </w:r>
      <w:r w:rsidR="00DA4630" w:rsidRPr="00A5340C">
        <w:rPr>
          <w:sz w:val="26"/>
          <w:szCs w:val="26"/>
        </w:rPr>
        <w:t>-2</w:t>
      </w:r>
      <w:r w:rsidRPr="00A5340C">
        <w:rPr>
          <w:sz w:val="26"/>
          <w:szCs w:val="26"/>
        </w:rPr>
        <w:t>367036</w:t>
      </w:r>
    </w:p>
    <w:p w:rsidR="00DA4630" w:rsidRPr="00A5340C" w:rsidRDefault="00A86DA4" w:rsidP="00DA4630">
      <w:pPr>
        <w:pStyle w:val="NoSpacing"/>
        <w:rPr>
          <w:sz w:val="26"/>
          <w:szCs w:val="26"/>
        </w:rPr>
      </w:pPr>
      <w:r w:rsidRPr="00A5340C">
        <w:rPr>
          <w:sz w:val="26"/>
          <w:szCs w:val="26"/>
        </w:rPr>
        <w:t xml:space="preserve">Russell </w:t>
      </w:r>
      <w:proofErr w:type="spellStart"/>
      <w:r w:rsidRPr="00A5340C">
        <w:rPr>
          <w:sz w:val="26"/>
          <w:szCs w:val="26"/>
        </w:rPr>
        <w:t>Vankoughnet</w:t>
      </w:r>
      <w:proofErr w:type="spellEnd"/>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Pr="00A5340C">
        <w:rPr>
          <w:sz w:val="26"/>
          <w:szCs w:val="26"/>
        </w:rPr>
        <w:tab/>
      </w:r>
      <w:r w:rsidRPr="00A5340C">
        <w:rPr>
          <w:sz w:val="26"/>
          <w:szCs w:val="26"/>
        </w:rPr>
        <w:tab/>
        <w:t>C-2013</w:t>
      </w:r>
      <w:r w:rsidR="00DA4630" w:rsidRPr="00A5340C">
        <w:rPr>
          <w:sz w:val="26"/>
          <w:szCs w:val="26"/>
        </w:rPr>
        <w:t>-2</w:t>
      </w:r>
      <w:r w:rsidRPr="00A5340C">
        <w:rPr>
          <w:sz w:val="26"/>
          <w:szCs w:val="26"/>
        </w:rPr>
        <w:t>367041</w:t>
      </w:r>
    </w:p>
    <w:p w:rsidR="00DA4630" w:rsidRPr="00A5340C" w:rsidRDefault="00A86DA4" w:rsidP="00DA4630">
      <w:pPr>
        <w:pStyle w:val="NoSpacing"/>
        <w:rPr>
          <w:sz w:val="26"/>
          <w:szCs w:val="26"/>
        </w:rPr>
      </w:pPr>
      <w:r w:rsidRPr="00A5340C">
        <w:rPr>
          <w:sz w:val="26"/>
          <w:szCs w:val="26"/>
        </w:rPr>
        <w:t>Doris Miller</w:t>
      </w:r>
      <w:r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Pr="00A5340C">
        <w:rPr>
          <w:sz w:val="26"/>
          <w:szCs w:val="26"/>
        </w:rPr>
        <w:tab/>
      </w:r>
      <w:r w:rsidRPr="00A5340C">
        <w:rPr>
          <w:sz w:val="26"/>
          <w:szCs w:val="26"/>
        </w:rPr>
        <w:tab/>
        <w:t>C-2013</w:t>
      </w:r>
      <w:r w:rsidR="00DA4630" w:rsidRPr="00A5340C">
        <w:rPr>
          <w:sz w:val="26"/>
          <w:szCs w:val="26"/>
        </w:rPr>
        <w:t>-2</w:t>
      </w:r>
      <w:r w:rsidRPr="00A5340C">
        <w:rPr>
          <w:sz w:val="26"/>
          <w:szCs w:val="26"/>
        </w:rPr>
        <w:t>369063</w:t>
      </w:r>
    </w:p>
    <w:p w:rsidR="00DA4630" w:rsidRPr="00A5340C" w:rsidRDefault="00A86DA4" w:rsidP="00DA4630">
      <w:pPr>
        <w:pStyle w:val="NoSpacing"/>
        <w:rPr>
          <w:sz w:val="26"/>
          <w:szCs w:val="26"/>
        </w:rPr>
      </w:pPr>
      <w:r w:rsidRPr="00A5340C">
        <w:rPr>
          <w:sz w:val="26"/>
          <w:szCs w:val="26"/>
        </w:rPr>
        <w:t xml:space="preserve">Jon &amp; Dorothy </w:t>
      </w:r>
      <w:proofErr w:type="spellStart"/>
      <w:r w:rsidRPr="00A5340C">
        <w:rPr>
          <w:sz w:val="26"/>
          <w:szCs w:val="26"/>
        </w:rPr>
        <w:t>Pichelman</w:t>
      </w:r>
      <w:proofErr w:type="spellEnd"/>
      <w:r w:rsidR="00A851DF" w:rsidRPr="00A5340C">
        <w:rPr>
          <w:sz w:val="26"/>
          <w:szCs w:val="26"/>
        </w:rPr>
        <w:tab/>
      </w:r>
      <w:r w:rsidR="00A851DF" w:rsidRPr="00A5340C">
        <w:rPr>
          <w:sz w:val="26"/>
          <w:szCs w:val="26"/>
        </w:rPr>
        <w:tab/>
      </w:r>
      <w:r w:rsidR="00A851DF" w:rsidRPr="00A5340C">
        <w:rPr>
          <w:sz w:val="26"/>
          <w:szCs w:val="26"/>
        </w:rPr>
        <w:tab/>
      </w:r>
      <w:r w:rsidR="00DA4630" w:rsidRPr="00A5340C">
        <w:rPr>
          <w:sz w:val="26"/>
          <w:szCs w:val="26"/>
        </w:rPr>
        <w:tab/>
      </w:r>
      <w:r w:rsidR="00DA4630" w:rsidRPr="00A5340C">
        <w:rPr>
          <w:sz w:val="26"/>
          <w:szCs w:val="26"/>
        </w:rPr>
        <w:tab/>
      </w:r>
      <w:r w:rsidRPr="00A5340C">
        <w:rPr>
          <w:sz w:val="26"/>
          <w:szCs w:val="26"/>
        </w:rPr>
        <w:tab/>
        <w:t>C-2013</w:t>
      </w:r>
      <w:r w:rsidR="00DA4630" w:rsidRPr="00A5340C">
        <w:rPr>
          <w:sz w:val="26"/>
          <w:szCs w:val="26"/>
        </w:rPr>
        <w:t>-2</w:t>
      </w:r>
      <w:r w:rsidRPr="00A5340C">
        <w:rPr>
          <w:sz w:val="26"/>
          <w:szCs w:val="26"/>
        </w:rPr>
        <w:t>369095</w:t>
      </w:r>
    </w:p>
    <w:p w:rsidR="00DA4630" w:rsidRPr="00A5340C" w:rsidRDefault="00A86DA4" w:rsidP="00DA4630">
      <w:pPr>
        <w:pStyle w:val="NoSpacing"/>
        <w:rPr>
          <w:sz w:val="26"/>
          <w:szCs w:val="26"/>
        </w:rPr>
      </w:pPr>
      <w:r w:rsidRPr="00A5340C">
        <w:rPr>
          <w:sz w:val="26"/>
          <w:szCs w:val="26"/>
        </w:rPr>
        <w:t>Jane Neufeld</w:t>
      </w:r>
      <w:r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DA4630" w:rsidRPr="00A5340C">
        <w:rPr>
          <w:sz w:val="26"/>
          <w:szCs w:val="26"/>
        </w:rPr>
        <w:tab/>
      </w:r>
      <w:r w:rsidR="00DA4630" w:rsidRPr="00A5340C">
        <w:rPr>
          <w:sz w:val="26"/>
          <w:szCs w:val="26"/>
        </w:rPr>
        <w:tab/>
        <w:t>C-201</w:t>
      </w:r>
      <w:r w:rsidRPr="00A5340C">
        <w:rPr>
          <w:sz w:val="26"/>
          <w:szCs w:val="26"/>
        </w:rPr>
        <w:t>3</w:t>
      </w:r>
      <w:r w:rsidR="00DA4630" w:rsidRPr="00A5340C">
        <w:rPr>
          <w:sz w:val="26"/>
          <w:szCs w:val="26"/>
        </w:rPr>
        <w:t>-</w:t>
      </w:r>
      <w:r w:rsidRPr="00A5340C">
        <w:rPr>
          <w:sz w:val="26"/>
          <w:szCs w:val="26"/>
        </w:rPr>
        <w:t>2369464</w:t>
      </w:r>
    </w:p>
    <w:p w:rsidR="00DA4630" w:rsidRPr="00A5340C" w:rsidRDefault="00A86DA4" w:rsidP="00DA4630">
      <w:pPr>
        <w:pStyle w:val="NoSpacing"/>
        <w:rPr>
          <w:sz w:val="26"/>
          <w:szCs w:val="26"/>
        </w:rPr>
      </w:pPr>
      <w:r w:rsidRPr="00A5340C">
        <w:rPr>
          <w:sz w:val="26"/>
          <w:szCs w:val="26"/>
        </w:rPr>
        <w:t xml:space="preserve">Georgia L. </w:t>
      </w:r>
      <w:proofErr w:type="spellStart"/>
      <w:r w:rsidRPr="00A5340C">
        <w:rPr>
          <w:sz w:val="26"/>
          <w:szCs w:val="26"/>
        </w:rPr>
        <w:t>Dicko</w:t>
      </w:r>
      <w:proofErr w:type="spellEnd"/>
      <w:r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DA4630" w:rsidRPr="00A5340C">
        <w:rPr>
          <w:sz w:val="26"/>
          <w:szCs w:val="26"/>
        </w:rPr>
        <w:tab/>
      </w:r>
      <w:r w:rsidR="00DA4630" w:rsidRPr="00A5340C">
        <w:rPr>
          <w:sz w:val="26"/>
          <w:szCs w:val="26"/>
        </w:rPr>
        <w:tab/>
        <w:t>C-201</w:t>
      </w:r>
      <w:r w:rsidRPr="00A5340C">
        <w:rPr>
          <w:sz w:val="26"/>
          <w:szCs w:val="26"/>
        </w:rPr>
        <w:t>3</w:t>
      </w:r>
      <w:r w:rsidR="00DA4630" w:rsidRPr="00A5340C">
        <w:rPr>
          <w:sz w:val="26"/>
          <w:szCs w:val="26"/>
        </w:rPr>
        <w:t>-</w:t>
      </w:r>
      <w:r w:rsidRPr="00A5340C">
        <w:rPr>
          <w:sz w:val="26"/>
          <w:szCs w:val="26"/>
        </w:rPr>
        <w:t>2369925</w:t>
      </w:r>
    </w:p>
    <w:p w:rsidR="00DA4630" w:rsidRPr="00A5340C" w:rsidRDefault="00A86DA4" w:rsidP="00DA4630">
      <w:pPr>
        <w:pStyle w:val="NoSpacing"/>
        <w:rPr>
          <w:sz w:val="26"/>
          <w:szCs w:val="26"/>
        </w:rPr>
      </w:pPr>
      <w:r w:rsidRPr="00A5340C">
        <w:rPr>
          <w:sz w:val="26"/>
          <w:szCs w:val="26"/>
        </w:rPr>
        <w:t>Carly J. Dunn</w:t>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Pr="00A5340C">
        <w:rPr>
          <w:sz w:val="26"/>
          <w:szCs w:val="26"/>
        </w:rPr>
        <w:tab/>
      </w:r>
      <w:r w:rsidRPr="00A5340C">
        <w:rPr>
          <w:sz w:val="26"/>
          <w:szCs w:val="26"/>
        </w:rPr>
        <w:tab/>
        <w:t>C-2013</w:t>
      </w:r>
      <w:r w:rsidR="00DA4630" w:rsidRPr="00A5340C">
        <w:rPr>
          <w:sz w:val="26"/>
          <w:szCs w:val="26"/>
        </w:rPr>
        <w:t>-</w:t>
      </w:r>
      <w:r w:rsidRPr="00A5340C">
        <w:rPr>
          <w:sz w:val="26"/>
          <w:szCs w:val="26"/>
        </w:rPr>
        <w:t>2370649</w:t>
      </w:r>
    </w:p>
    <w:p w:rsidR="00DA4630" w:rsidRPr="00A5340C" w:rsidRDefault="00A86DA4" w:rsidP="00DA4630">
      <w:pPr>
        <w:pStyle w:val="NoSpacing"/>
        <w:rPr>
          <w:sz w:val="26"/>
          <w:szCs w:val="26"/>
        </w:rPr>
      </w:pPr>
      <w:r w:rsidRPr="00A5340C">
        <w:rPr>
          <w:sz w:val="26"/>
          <w:szCs w:val="26"/>
        </w:rPr>
        <w:t xml:space="preserve">William B. </w:t>
      </w:r>
      <w:proofErr w:type="spellStart"/>
      <w:r w:rsidRPr="00A5340C">
        <w:rPr>
          <w:sz w:val="26"/>
          <w:szCs w:val="26"/>
        </w:rPr>
        <w:t>Kazimer</w:t>
      </w:r>
      <w:proofErr w:type="spellEnd"/>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Pr="00A5340C">
        <w:rPr>
          <w:sz w:val="26"/>
          <w:szCs w:val="26"/>
        </w:rPr>
        <w:tab/>
      </w:r>
      <w:r w:rsidRPr="00A5340C">
        <w:rPr>
          <w:sz w:val="26"/>
          <w:szCs w:val="26"/>
        </w:rPr>
        <w:tab/>
        <w:t>C-2013</w:t>
      </w:r>
      <w:r w:rsidR="00DA4630" w:rsidRPr="00A5340C">
        <w:rPr>
          <w:sz w:val="26"/>
          <w:szCs w:val="26"/>
        </w:rPr>
        <w:t>-2</w:t>
      </w:r>
      <w:r w:rsidRPr="00A5340C">
        <w:rPr>
          <w:sz w:val="26"/>
          <w:szCs w:val="26"/>
        </w:rPr>
        <w:t>372396</w:t>
      </w:r>
    </w:p>
    <w:p w:rsidR="00DA4630" w:rsidRPr="00A5340C" w:rsidRDefault="00A86DA4" w:rsidP="00DA4630">
      <w:pPr>
        <w:pStyle w:val="NoSpacing"/>
        <w:rPr>
          <w:sz w:val="26"/>
          <w:szCs w:val="26"/>
        </w:rPr>
      </w:pPr>
      <w:r w:rsidRPr="00A5340C">
        <w:rPr>
          <w:sz w:val="26"/>
          <w:szCs w:val="26"/>
        </w:rPr>
        <w:t xml:space="preserve">S. Stockton </w:t>
      </w:r>
      <w:proofErr w:type="spellStart"/>
      <w:r w:rsidRPr="00A5340C">
        <w:rPr>
          <w:sz w:val="26"/>
          <w:szCs w:val="26"/>
        </w:rPr>
        <w:t>Alloway</w:t>
      </w:r>
      <w:proofErr w:type="spellEnd"/>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Pr="00A5340C">
        <w:rPr>
          <w:sz w:val="26"/>
          <w:szCs w:val="26"/>
        </w:rPr>
        <w:tab/>
      </w:r>
      <w:r w:rsidRPr="00A5340C">
        <w:rPr>
          <w:sz w:val="26"/>
          <w:szCs w:val="26"/>
        </w:rPr>
        <w:tab/>
        <w:t>C-2013</w:t>
      </w:r>
      <w:r w:rsidR="00DA4630" w:rsidRPr="00A5340C">
        <w:rPr>
          <w:sz w:val="26"/>
          <w:szCs w:val="26"/>
        </w:rPr>
        <w:t>-</w:t>
      </w:r>
      <w:r w:rsidRPr="00A5340C">
        <w:rPr>
          <w:sz w:val="26"/>
          <w:szCs w:val="26"/>
        </w:rPr>
        <w:t>2366239</w:t>
      </w:r>
    </w:p>
    <w:p w:rsidR="00DA4630" w:rsidRPr="00A5340C" w:rsidRDefault="00A86DA4" w:rsidP="00DA4630">
      <w:pPr>
        <w:pStyle w:val="NoSpacing"/>
        <w:rPr>
          <w:sz w:val="26"/>
          <w:szCs w:val="26"/>
        </w:rPr>
      </w:pPr>
      <w:r w:rsidRPr="00A5340C">
        <w:rPr>
          <w:sz w:val="26"/>
          <w:szCs w:val="26"/>
        </w:rPr>
        <w:t xml:space="preserve">Thad </w:t>
      </w:r>
      <w:proofErr w:type="spellStart"/>
      <w:r w:rsidRPr="00A5340C">
        <w:rPr>
          <w:sz w:val="26"/>
          <w:szCs w:val="26"/>
        </w:rPr>
        <w:t>Shirey</w:t>
      </w:r>
      <w:proofErr w:type="spellEnd"/>
      <w:r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Pr="00A5340C">
        <w:rPr>
          <w:sz w:val="26"/>
          <w:szCs w:val="26"/>
        </w:rPr>
        <w:tab/>
      </w:r>
      <w:r w:rsidRPr="00A5340C">
        <w:rPr>
          <w:sz w:val="26"/>
          <w:szCs w:val="26"/>
        </w:rPr>
        <w:tab/>
        <w:t>C-2013</w:t>
      </w:r>
      <w:r w:rsidR="00DA4630" w:rsidRPr="00A5340C">
        <w:rPr>
          <w:sz w:val="26"/>
          <w:szCs w:val="26"/>
        </w:rPr>
        <w:t>-2</w:t>
      </w:r>
      <w:r w:rsidRPr="00A5340C">
        <w:rPr>
          <w:sz w:val="26"/>
          <w:szCs w:val="26"/>
        </w:rPr>
        <w:t>372641</w:t>
      </w:r>
    </w:p>
    <w:p w:rsidR="00DA4630" w:rsidRPr="00A5340C" w:rsidRDefault="00A86DA4" w:rsidP="00DA4630">
      <w:pPr>
        <w:pStyle w:val="NoSpacing"/>
        <w:rPr>
          <w:sz w:val="26"/>
          <w:szCs w:val="26"/>
        </w:rPr>
      </w:pPr>
      <w:r w:rsidRPr="00A5340C">
        <w:rPr>
          <w:sz w:val="26"/>
          <w:szCs w:val="26"/>
        </w:rPr>
        <w:t xml:space="preserve">Paul </w:t>
      </w:r>
      <w:proofErr w:type="spellStart"/>
      <w:r w:rsidRPr="00A5340C">
        <w:rPr>
          <w:sz w:val="26"/>
          <w:szCs w:val="26"/>
        </w:rPr>
        <w:t>Trizonis</w:t>
      </w:r>
      <w:proofErr w:type="spellEnd"/>
      <w:r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00A851DF" w:rsidRPr="00A5340C">
        <w:rPr>
          <w:sz w:val="26"/>
          <w:szCs w:val="26"/>
        </w:rPr>
        <w:tab/>
      </w:r>
      <w:r w:rsidRPr="00A5340C">
        <w:rPr>
          <w:sz w:val="26"/>
          <w:szCs w:val="26"/>
        </w:rPr>
        <w:tab/>
      </w:r>
      <w:r w:rsidRPr="00A5340C">
        <w:rPr>
          <w:sz w:val="26"/>
          <w:szCs w:val="26"/>
        </w:rPr>
        <w:tab/>
        <w:t>C-2013</w:t>
      </w:r>
      <w:r w:rsidR="00DA4630" w:rsidRPr="00A5340C">
        <w:rPr>
          <w:sz w:val="26"/>
          <w:szCs w:val="26"/>
        </w:rPr>
        <w:t>-</w:t>
      </w:r>
      <w:r w:rsidRPr="00A5340C">
        <w:rPr>
          <w:sz w:val="26"/>
          <w:szCs w:val="26"/>
        </w:rPr>
        <w:t>2379466</w:t>
      </w:r>
    </w:p>
    <w:p w:rsidR="00DA4630" w:rsidRPr="00A5340C" w:rsidRDefault="00A851DF" w:rsidP="00DA4630">
      <w:pPr>
        <w:pStyle w:val="NoSpacing"/>
        <w:rPr>
          <w:sz w:val="26"/>
          <w:szCs w:val="26"/>
        </w:rPr>
      </w:pPr>
      <w:r w:rsidRPr="00A5340C">
        <w:rPr>
          <w:sz w:val="26"/>
          <w:szCs w:val="26"/>
        </w:rPr>
        <w:tab/>
      </w:r>
      <w:r w:rsidRPr="00A5340C">
        <w:rPr>
          <w:sz w:val="26"/>
          <w:szCs w:val="26"/>
        </w:rPr>
        <w:tab/>
      </w:r>
      <w:r w:rsidRPr="00A5340C">
        <w:rPr>
          <w:sz w:val="26"/>
          <w:szCs w:val="26"/>
        </w:rPr>
        <w:tab/>
      </w:r>
      <w:r w:rsidRPr="00A5340C">
        <w:rPr>
          <w:sz w:val="26"/>
          <w:szCs w:val="26"/>
        </w:rPr>
        <w:tab/>
      </w:r>
      <w:r w:rsidRPr="00A5340C">
        <w:rPr>
          <w:sz w:val="26"/>
          <w:szCs w:val="26"/>
        </w:rPr>
        <w:tab/>
      </w:r>
      <w:r w:rsidRPr="00A5340C">
        <w:rPr>
          <w:sz w:val="26"/>
          <w:szCs w:val="26"/>
        </w:rPr>
        <w:tab/>
      </w:r>
      <w:r w:rsidRPr="00A5340C">
        <w:rPr>
          <w:sz w:val="26"/>
          <w:szCs w:val="26"/>
        </w:rPr>
        <w:tab/>
      </w:r>
    </w:p>
    <w:p w:rsidR="00DA4630" w:rsidRPr="00A5340C" w:rsidRDefault="00A851DF" w:rsidP="00DA4630">
      <w:pPr>
        <w:pStyle w:val="NoSpacing"/>
        <w:rPr>
          <w:sz w:val="26"/>
          <w:szCs w:val="26"/>
        </w:rPr>
      </w:pPr>
      <w:r w:rsidRPr="00A5340C">
        <w:rPr>
          <w:sz w:val="26"/>
          <w:szCs w:val="26"/>
        </w:rPr>
        <w:tab/>
      </w:r>
      <w:proofErr w:type="gramStart"/>
      <w:r w:rsidRPr="00A5340C">
        <w:rPr>
          <w:sz w:val="26"/>
          <w:szCs w:val="26"/>
        </w:rPr>
        <w:t>v</w:t>
      </w:r>
      <w:proofErr w:type="gramEnd"/>
      <w:r w:rsidRPr="00A5340C">
        <w:rPr>
          <w:sz w:val="26"/>
          <w:szCs w:val="26"/>
        </w:rPr>
        <w:t>.</w:t>
      </w:r>
      <w:r w:rsidRPr="00A5340C">
        <w:rPr>
          <w:sz w:val="26"/>
          <w:szCs w:val="26"/>
        </w:rPr>
        <w:tab/>
      </w:r>
      <w:r w:rsidRPr="00A5340C">
        <w:rPr>
          <w:sz w:val="26"/>
          <w:szCs w:val="26"/>
        </w:rPr>
        <w:tab/>
      </w:r>
      <w:r w:rsidRPr="00A5340C">
        <w:rPr>
          <w:sz w:val="26"/>
          <w:szCs w:val="26"/>
        </w:rPr>
        <w:tab/>
      </w:r>
      <w:r w:rsidRPr="00A5340C">
        <w:rPr>
          <w:sz w:val="26"/>
          <w:szCs w:val="26"/>
        </w:rPr>
        <w:tab/>
      </w:r>
      <w:r w:rsidRPr="00A5340C">
        <w:rPr>
          <w:sz w:val="26"/>
          <w:szCs w:val="26"/>
        </w:rPr>
        <w:tab/>
      </w:r>
      <w:r w:rsidRPr="00A5340C">
        <w:rPr>
          <w:sz w:val="26"/>
          <w:szCs w:val="26"/>
        </w:rPr>
        <w:tab/>
      </w:r>
    </w:p>
    <w:p w:rsidR="00DA4630" w:rsidRPr="00A5340C" w:rsidRDefault="00A851DF" w:rsidP="00DA4630">
      <w:pPr>
        <w:pStyle w:val="NoSpacing"/>
        <w:rPr>
          <w:sz w:val="26"/>
          <w:szCs w:val="26"/>
        </w:rPr>
      </w:pPr>
      <w:r w:rsidRPr="00A5340C">
        <w:rPr>
          <w:sz w:val="26"/>
          <w:szCs w:val="26"/>
        </w:rPr>
        <w:tab/>
      </w:r>
      <w:r w:rsidRPr="00A5340C">
        <w:rPr>
          <w:sz w:val="26"/>
          <w:szCs w:val="26"/>
        </w:rPr>
        <w:tab/>
      </w:r>
      <w:r w:rsidRPr="00A5340C">
        <w:rPr>
          <w:sz w:val="26"/>
          <w:szCs w:val="26"/>
        </w:rPr>
        <w:tab/>
      </w:r>
      <w:r w:rsidRPr="00A5340C">
        <w:rPr>
          <w:sz w:val="26"/>
          <w:szCs w:val="26"/>
        </w:rPr>
        <w:tab/>
      </w:r>
      <w:r w:rsidRPr="00A5340C">
        <w:rPr>
          <w:sz w:val="26"/>
          <w:szCs w:val="26"/>
        </w:rPr>
        <w:tab/>
      </w:r>
      <w:r w:rsidRPr="00A5340C">
        <w:rPr>
          <w:sz w:val="26"/>
          <w:szCs w:val="26"/>
        </w:rPr>
        <w:tab/>
      </w:r>
      <w:r w:rsidRPr="00A5340C">
        <w:rPr>
          <w:sz w:val="26"/>
          <w:szCs w:val="26"/>
        </w:rPr>
        <w:tab/>
      </w:r>
    </w:p>
    <w:p w:rsidR="005F628E" w:rsidRPr="00A5340C" w:rsidRDefault="00A86DA4" w:rsidP="00AA1E34">
      <w:pPr>
        <w:pStyle w:val="NoSpacing"/>
        <w:rPr>
          <w:sz w:val="26"/>
          <w:szCs w:val="26"/>
        </w:rPr>
      </w:pPr>
      <w:r w:rsidRPr="00A5340C">
        <w:rPr>
          <w:sz w:val="26"/>
          <w:szCs w:val="26"/>
        </w:rPr>
        <w:t>Pennsylvania-American Water Company</w:t>
      </w:r>
    </w:p>
    <w:p w:rsidR="005F628E" w:rsidRPr="00A5340C" w:rsidRDefault="005F628E">
      <w:pPr>
        <w:spacing w:after="0" w:line="240" w:lineRule="auto"/>
        <w:rPr>
          <w:rFonts w:ascii="Times New Roman" w:hAnsi="Times New Roman"/>
          <w:sz w:val="26"/>
          <w:szCs w:val="26"/>
        </w:rPr>
      </w:pPr>
      <w:r w:rsidRPr="00A5340C">
        <w:rPr>
          <w:rFonts w:ascii="Times New Roman" w:hAnsi="Times New Roman"/>
          <w:sz w:val="26"/>
          <w:szCs w:val="26"/>
        </w:rPr>
        <w:br w:type="page"/>
      </w:r>
    </w:p>
    <w:p w:rsidR="00011700" w:rsidRPr="00A5340C" w:rsidRDefault="00A851DF" w:rsidP="00AA1E34">
      <w:pPr>
        <w:pStyle w:val="NoSpacing"/>
        <w:rPr>
          <w:b/>
          <w:sz w:val="26"/>
          <w:szCs w:val="26"/>
        </w:rPr>
      </w:pPr>
      <w:r w:rsidRPr="00A5340C">
        <w:rPr>
          <w:sz w:val="26"/>
          <w:szCs w:val="26"/>
        </w:rPr>
        <w:lastRenderedPageBreak/>
        <w:tab/>
      </w:r>
      <w:r w:rsidRPr="00A5340C">
        <w:rPr>
          <w:sz w:val="26"/>
          <w:szCs w:val="26"/>
        </w:rPr>
        <w:tab/>
      </w:r>
      <w:r w:rsidRPr="00A5340C">
        <w:rPr>
          <w:sz w:val="26"/>
          <w:szCs w:val="26"/>
        </w:rPr>
        <w:tab/>
      </w:r>
      <w:r w:rsidRPr="00A5340C">
        <w:rPr>
          <w:sz w:val="26"/>
          <w:szCs w:val="26"/>
        </w:rPr>
        <w:tab/>
      </w:r>
    </w:p>
    <w:p w:rsidR="000675EE" w:rsidRPr="00A5340C" w:rsidRDefault="000675EE" w:rsidP="000675EE">
      <w:pPr>
        <w:pStyle w:val="ListParagraph"/>
        <w:ind w:left="0"/>
        <w:jc w:val="center"/>
        <w:rPr>
          <w:b/>
          <w:sz w:val="26"/>
          <w:szCs w:val="26"/>
        </w:rPr>
      </w:pPr>
      <w:r w:rsidRPr="00A5340C">
        <w:rPr>
          <w:b/>
          <w:sz w:val="26"/>
          <w:szCs w:val="26"/>
        </w:rPr>
        <w:t>OPINION AND ORDER</w:t>
      </w:r>
    </w:p>
    <w:p w:rsidR="000675EE" w:rsidRPr="00A5340C" w:rsidRDefault="000675EE" w:rsidP="000675EE">
      <w:pPr>
        <w:pStyle w:val="ListParagraph"/>
        <w:ind w:left="0"/>
        <w:jc w:val="center"/>
        <w:rPr>
          <w:sz w:val="26"/>
          <w:szCs w:val="26"/>
        </w:rPr>
      </w:pPr>
    </w:p>
    <w:p w:rsidR="000675EE" w:rsidRPr="00A5340C" w:rsidRDefault="000675EE" w:rsidP="000F06E6">
      <w:pPr>
        <w:pStyle w:val="ListParagraph"/>
        <w:ind w:left="0"/>
        <w:rPr>
          <w:sz w:val="26"/>
          <w:szCs w:val="26"/>
        </w:rPr>
      </w:pPr>
    </w:p>
    <w:p w:rsidR="00976791" w:rsidRPr="00A5340C" w:rsidRDefault="000F06E6" w:rsidP="000F06E6">
      <w:pPr>
        <w:pStyle w:val="ListParagraph"/>
        <w:ind w:left="0"/>
        <w:rPr>
          <w:sz w:val="26"/>
          <w:szCs w:val="26"/>
        </w:rPr>
      </w:pPr>
      <w:r w:rsidRPr="00A5340C">
        <w:rPr>
          <w:b/>
          <w:sz w:val="26"/>
          <w:szCs w:val="26"/>
        </w:rPr>
        <w:t>BY THE COMMISSION:</w:t>
      </w:r>
    </w:p>
    <w:p w:rsidR="00976791" w:rsidRPr="00A5340C" w:rsidRDefault="00976791" w:rsidP="00497E89">
      <w:pPr>
        <w:pStyle w:val="ListParagraph"/>
        <w:spacing w:line="360" w:lineRule="auto"/>
        <w:ind w:left="0"/>
        <w:rPr>
          <w:sz w:val="26"/>
          <w:szCs w:val="26"/>
        </w:rPr>
      </w:pPr>
    </w:p>
    <w:p w:rsidR="0023407C" w:rsidRPr="00A5340C" w:rsidRDefault="0023407C" w:rsidP="00AA1E34">
      <w:pPr>
        <w:pStyle w:val="ListParagraph"/>
        <w:spacing w:line="360" w:lineRule="auto"/>
        <w:ind w:left="0"/>
        <w:rPr>
          <w:sz w:val="26"/>
          <w:szCs w:val="26"/>
        </w:rPr>
      </w:pPr>
      <w:r w:rsidRPr="00A5340C">
        <w:rPr>
          <w:sz w:val="26"/>
          <w:szCs w:val="26"/>
        </w:rPr>
        <w:tab/>
      </w:r>
      <w:r w:rsidRPr="00A5340C">
        <w:rPr>
          <w:sz w:val="26"/>
          <w:szCs w:val="26"/>
        </w:rPr>
        <w:tab/>
      </w:r>
      <w:r w:rsidR="00497E89" w:rsidRPr="00A5340C">
        <w:rPr>
          <w:sz w:val="26"/>
          <w:szCs w:val="26"/>
        </w:rPr>
        <w:t>Before the Pennsylvania Public Utility Commission (Commission) for consideration and di</w:t>
      </w:r>
      <w:r w:rsidR="00244934" w:rsidRPr="00A5340C">
        <w:rPr>
          <w:sz w:val="26"/>
          <w:szCs w:val="26"/>
        </w:rPr>
        <w:t>sposition</w:t>
      </w:r>
      <w:r w:rsidR="000675EE" w:rsidRPr="00A5340C">
        <w:rPr>
          <w:sz w:val="26"/>
          <w:szCs w:val="26"/>
        </w:rPr>
        <w:t xml:space="preserve"> </w:t>
      </w:r>
      <w:r w:rsidR="00055623">
        <w:rPr>
          <w:sz w:val="26"/>
          <w:szCs w:val="26"/>
        </w:rPr>
        <w:t xml:space="preserve">are the Exceptions of the </w:t>
      </w:r>
      <w:r w:rsidR="00055623" w:rsidRPr="00A5340C">
        <w:rPr>
          <w:sz w:val="26"/>
          <w:szCs w:val="26"/>
        </w:rPr>
        <w:t xml:space="preserve">Pittsburgh Water and Sewer Authority (PWSA), an intervening party, and </w:t>
      </w:r>
      <w:r w:rsidR="00055623">
        <w:rPr>
          <w:sz w:val="26"/>
          <w:szCs w:val="26"/>
        </w:rPr>
        <w:t xml:space="preserve">Formal Complainant </w:t>
      </w:r>
      <w:r w:rsidR="00055623" w:rsidRPr="00A5340C">
        <w:rPr>
          <w:sz w:val="26"/>
          <w:szCs w:val="26"/>
        </w:rPr>
        <w:t xml:space="preserve">William B. </w:t>
      </w:r>
      <w:proofErr w:type="spellStart"/>
      <w:r w:rsidR="00055623" w:rsidRPr="00A5340C">
        <w:rPr>
          <w:sz w:val="26"/>
          <w:szCs w:val="26"/>
        </w:rPr>
        <w:t>Kazimer</w:t>
      </w:r>
      <w:proofErr w:type="spellEnd"/>
      <w:r w:rsidR="00055623" w:rsidRPr="00A5340C">
        <w:rPr>
          <w:sz w:val="26"/>
          <w:szCs w:val="26"/>
        </w:rPr>
        <w:t xml:space="preserve"> (Mr. </w:t>
      </w:r>
      <w:proofErr w:type="spellStart"/>
      <w:r w:rsidR="00055623" w:rsidRPr="00A5340C">
        <w:rPr>
          <w:sz w:val="26"/>
          <w:szCs w:val="26"/>
        </w:rPr>
        <w:t>Kazimer</w:t>
      </w:r>
      <w:proofErr w:type="spellEnd"/>
      <w:r w:rsidR="00055623" w:rsidRPr="00A5340C">
        <w:rPr>
          <w:sz w:val="26"/>
          <w:szCs w:val="26"/>
        </w:rPr>
        <w:t>)</w:t>
      </w:r>
      <w:r w:rsidR="00055623">
        <w:rPr>
          <w:sz w:val="26"/>
          <w:szCs w:val="26"/>
        </w:rPr>
        <w:t xml:space="preserve">, filed </w:t>
      </w:r>
      <w:r w:rsidR="00055623" w:rsidRPr="00A5340C">
        <w:rPr>
          <w:sz w:val="26"/>
          <w:szCs w:val="26"/>
        </w:rPr>
        <w:t>on November 18, 2013</w:t>
      </w:r>
      <w:r w:rsidR="00055623">
        <w:rPr>
          <w:sz w:val="26"/>
          <w:szCs w:val="26"/>
        </w:rPr>
        <w:t>,</w:t>
      </w:r>
      <w:r w:rsidR="00055623" w:rsidRPr="00A5340C">
        <w:rPr>
          <w:sz w:val="26"/>
          <w:szCs w:val="26"/>
        </w:rPr>
        <w:t xml:space="preserve"> </w:t>
      </w:r>
      <w:r w:rsidR="00055623">
        <w:rPr>
          <w:sz w:val="26"/>
          <w:szCs w:val="26"/>
        </w:rPr>
        <w:t>to</w:t>
      </w:r>
      <w:r w:rsidR="000675EE" w:rsidRPr="00A5340C">
        <w:rPr>
          <w:sz w:val="26"/>
          <w:szCs w:val="26"/>
        </w:rPr>
        <w:t xml:space="preserve"> the Recommended Decision (</w:t>
      </w:r>
      <w:r w:rsidR="000E70B1" w:rsidRPr="00A5340C">
        <w:rPr>
          <w:sz w:val="26"/>
          <w:szCs w:val="26"/>
        </w:rPr>
        <w:t>R</w:t>
      </w:r>
      <w:r w:rsidR="000675EE" w:rsidRPr="00A5340C">
        <w:rPr>
          <w:sz w:val="26"/>
          <w:szCs w:val="26"/>
        </w:rPr>
        <w:t>.D.) of Administrative Law Judges (</w:t>
      </w:r>
      <w:r w:rsidR="00F44CFF" w:rsidRPr="00A5340C">
        <w:rPr>
          <w:sz w:val="26"/>
          <w:szCs w:val="26"/>
        </w:rPr>
        <w:t>ALJs</w:t>
      </w:r>
      <w:r w:rsidR="000675EE" w:rsidRPr="00A5340C">
        <w:rPr>
          <w:sz w:val="26"/>
          <w:szCs w:val="26"/>
        </w:rPr>
        <w:t xml:space="preserve">) Angela T. Jones and Darlene D. Heep, issued on </w:t>
      </w:r>
      <w:r w:rsidR="005F628E" w:rsidRPr="00A5340C">
        <w:rPr>
          <w:sz w:val="26"/>
          <w:szCs w:val="26"/>
        </w:rPr>
        <w:t>November 8, 2013</w:t>
      </w:r>
      <w:r w:rsidR="000675EE" w:rsidRPr="00A5340C">
        <w:rPr>
          <w:sz w:val="26"/>
          <w:szCs w:val="26"/>
        </w:rPr>
        <w:t xml:space="preserve">, </w:t>
      </w:r>
      <w:r w:rsidR="00055623">
        <w:rPr>
          <w:sz w:val="26"/>
          <w:szCs w:val="26"/>
        </w:rPr>
        <w:t>in which the ALJs recommended approval of the Joint Petition for Settlement of Rate Investigation (Settlement).</w:t>
      </w:r>
      <w:r w:rsidR="00055623">
        <w:rPr>
          <w:rStyle w:val="FootnoteReference"/>
          <w:sz w:val="26"/>
          <w:szCs w:val="26"/>
        </w:rPr>
        <w:footnoteReference w:id="2"/>
      </w:r>
      <w:r w:rsidR="00055623">
        <w:rPr>
          <w:sz w:val="26"/>
          <w:szCs w:val="26"/>
        </w:rPr>
        <w:t xml:space="preserve">  </w:t>
      </w:r>
      <w:r w:rsidR="00DD468B" w:rsidRPr="00A5340C">
        <w:rPr>
          <w:spacing w:val="-3"/>
          <w:sz w:val="26"/>
          <w:szCs w:val="26"/>
        </w:rPr>
        <w:t>On November 26, 2013, Pennsylvania-American Water Company (PAWC</w:t>
      </w:r>
      <w:r w:rsidR="0050577E" w:rsidRPr="00A5340C">
        <w:rPr>
          <w:spacing w:val="-3"/>
          <w:sz w:val="26"/>
          <w:szCs w:val="26"/>
        </w:rPr>
        <w:t xml:space="preserve"> or the Company</w:t>
      </w:r>
      <w:r w:rsidR="00DD468B" w:rsidRPr="00A5340C">
        <w:rPr>
          <w:spacing w:val="-3"/>
          <w:sz w:val="26"/>
          <w:szCs w:val="26"/>
        </w:rPr>
        <w:t xml:space="preserve">) filed </w:t>
      </w:r>
      <w:r w:rsidR="0018538A" w:rsidRPr="00A5340C">
        <w:rPr>
          <w:sz w:val="26"/>
          <w:szCs w:val="26"/>
        </w:rPr>
        <w:t xml:space="preserve">Replies to Exceptions.  </w:t>
      </w:r>
    </w:p>
    <w:p w:rsidR="00F8117B" w:rsidRPr="00A5340C" w:rsidRDefault="00F8117B" w:rsidP="00497E89">
      <w:pPr>
        <w:pStyle w:val="ListParagraph"/>
        <w:spacing w:line="360" w:lineRule="auto"/>
        <w:ind w:left="0"/>
        <w:rPr>
          <w:sz w:val="26"/>
          <w:szCs w:val="26"/>
        </w:rPr>
      </w:pPr>
    </w:p>
    <w:p w:rsidR="00836C47" w:rsidRPr="00A5340C" w:rsidRDefault="000675EE" w:rsidP="00A0036D">
      <w:pPr>
        <w:pStyle w:val="ListParagraph"/>
        <w:ind w:left="0"/>
        <w:jc w:val="center"/>
        <w:rPr>
          <w:b/>
          <w:sz w:val="26"/>
          <w:szCs w:val="26"/>
        </w:rPr>
      </w:pPr>
      <w:r w:rsidRPr="00A5340C">
        <w:rPr>
          <w:b/>
          <w:sz w:val="26"/>
          <w:szCs w:val="26"/>
        </w:rPr>
        <w:t>I.</w:t>
      </w:r>
      <w:r w:rsidRPr="00A5340C">
        <w:rPr>
          <w:b/>
          <w:sz w:val="26"/>
          <w:szCs w:val="26"/>
        </w:rPr>
        <w:tab/>
      </w:r>
      <w:r w:rsidR="00976791" w:rsidRPr="00A5340C">
        <w:rPr>
          <w:b/>
          <w:sz w:val="26"/>
          <w:szCs w:val="26"/>
        </w:rPr>
        <w:t>History of the Proceeding</w:t>
      </w:r>
      <w:r w:rsidR="00055623">
        <w:rPr>
          <w:rStyle w:val="FootnoteReference"/>
          <w:b/>
          <w:sz w:val="26"/>
          <w:szCs w:val="26"/>
        </w:rPr>
        <w:footnoteReference w:id="3"/>
      </w:r>
    </w:p>
    <w:p w:rsidR="00CE204B" w:rsidRPr="00A5340C" w:rsidRDefault="00CE204B" w:rsidP="000F06E6">
      <w:pPr>
        <w:pStyle w:val="ListParagraph"/>
        <w:ind w:left="1080"/>
        <w:jc w:val="center"/>
        <w:rPr>
          <w:sz w:val="26"/>
          <w:szCs w:val="26"/>
        </w:rPr>
      </w:pPr>
    </w:p>
    <w:p w:rsidR="00836C47" w:rsidRPr="00A5340C" w:rsidRDefault="00836C47" w:rsidP="000F5BDD">
      <w:pPr>
        <w:pStyle w:val="ListParagraph"/>
        <w:ind w:left="1080"/>
        <w:rPr>
          <w:sz w:val="26"/>
          <w:szCs w:val="26"/>
          <w:u w:val="single"/>
        </w:rPr>
      </w:pPr>
    </w:p>
    <w:p w:rsidR="00ED1566" w:rsidRPr="00A5340C" w:rsidRDefault="00DA4630" w:rsidP="000F5BDD">
      <w:pPr>
        <w:spacing w:after="0" w:line="360" w:lineRule="auto"/>
        <w:ind w:firstLine="1440"/>
        <w:rPr>
          <w:rFonts w:ascii="Times New Roman" w:hAnsi="Times New Roman"/>
          <w:sz w:val="26"/>
          <w:szCs w:val="26"/>
        </w:rPr>
      </w:pPr>
      <w:r w:rsidRPr="00A5340C">
        <w:rPr>
          <w:rFonts w:ascii="Times New Roman" w:hAnsi="Times New Roman"/>
          <w:sz w:val="26"/>
          <w:szCs w:val="26"/>
        </w:rPr>
        <w:t xml:space="preserve">On </w:t>
      </w:r>
      <w:r w:rsidR="0050577E" w:rsidRPr="00A5340C">
        <w:rPr>
          <w:rFonts w:ascii="Times New Roman" w:hAnsi="Times New Roman"/>
          <w:sz w:val="26"/>
          <w:szCs w:val="26"/>
        </w:rPr>
        <w:t>April 30, 2013</w:t>
      </w:r>
      <w:r w:rsidR="00F8117B" w:rsidRPr="00A5340C">
        <w:rPr>
          <w:rFonts w:ascii="Times New Roman" w:hAnsi="Times New Roman"/>
          <w:sz w:val="26"/>
          <w:szCs w:val="26"/>
        </w:rPr>
        <w:t>,</w:t>
      </w:r>
      <w:r w:rsidR="00D509CC" w:rsidRPr="00A5340C">
        <w:rPr>
          <w:rFonts w:ascii="Times New Roman" w:hAnsi="Times New Roman"/>
          <w:sz w:val="26"/>
          <w:szCs w:val="26"/>
        </w:rPr>
        <w:t xml:space="preserve"> the</w:t>
      </w:r>
      <w:r w:rsidR="00F8117B" w:rsidRPr="00A5340C">
        <w:rPr>
          <w:rFonts w:ascii="Times New Roman" w:hAnsi="Times New Roman"/>
          <w:sz w:val="26"/>
          <w:szCs w:val="26"/>
        </w:rPr>
        <w:t xml:space="preserve"> Company</w:t>
      </w:r>
      <w:r w:rsidRPr="00A5340C">
        <w:rPr>
          <w:rFonts w:ascii="Times New Roman" w:hAnsi="Times New Roman"/>
          <w:sz w:val="26"/>
          <w:szCs w:val="26"/>
        </w:rPr>
        <w:t xml:space="preserve"> filed with the </w:t>
      </w:r>
      <w:r w:rsidR="00F8117B" w:rsidRPr="00A5340C">
        <w:rPr>
          <w:rFonts w:ascii="Times New Roman" w:hAnsi="Times New Roman"/>
          <w:sz w:val="26"/>
          <w:szCs w:val="26"/>
        </w:rPr>
        <w:t>Commission</w:t>
      </w:r>
      <w:r w:rsidRPr="00A5340C">
        <w:rPr>
          <w:rFonts w:ascii="Times New Roman" w:hAnsi="Times New Roman"/>
          <w:sz w:val="26"/>
          <w:szCs w:val="26"/>
        </w:rPr>
        <w:t xml:space="preserve"> Supplement No. </w:t>
      </w:r>
      <w:r w:rsidR="0050577E" w:rsidRPr="00A5340C">
        <w:rPr>
          <w:rFonts w:ascii="Times New Roman" w:hAnsi="Times New Roman"/>
          <w:sz w:val="26"/>
          <w:szCs w:val="26"/>
        </w:rPr>
        <w:t>279</w:t>
      </w:r>
      <w:r w:rsidRPr="00A5340C">
        <w:rPr>
          <w:rFonts w:ascii="Times New Roman" w:hAnsi="Times New Roman"/>
          <w:sz w:val="26"/>
          <w:szCs w:val="26"/>
        </w:rPr>
        <w:t xml:space="preserve"> t</w:t>
      </w:r>
      <w:r w:rsidR="00842B15" w:rsidRPr="00A5340C">
        <w:rPr>
          <w:rFonts w:ascii="Times New Roman" w:hAnsi="Times New Roman"/>
          <w:sz w:val="26"/>
          <w:szCs w:val="26"/>
        </w:rPr>
        <w:t>o Tariff Water – Pa. P.U.C. No. </w:t>
      </w:r>
      <w:r w:rsidR="0050577E" w:rsidRPr="00A5340C">
        <w:rPr>
          <w:rFonts w:ascii="Times New Roman" w:hAnsi="Times New Roman"/>
          <w:sz w:val="26"/>
          <w:szCs w:val="26"/>
        </w:rPr>
        <w:t>4 and Original Tariff Wastewater Pa. P.U.C</w:t>
      </w:r>
      <w:r w:rsidRPr="00A5340C">
        <w:rPr>
          <w:rFonts w:ascii="Times New Roman" w:hAnsi="Times New Roman"/>
          <w:sz w:val="26"/>
          <w:szCs w:val="26"/>
        </w:rPr>
        <w:t xml:space="preserve">.  </w:t>
      </w:r>
      <w:r w:rsidR="0050577E" w:rsidRPr="00A5340C">
        <w:rPr>
          <w:rFonts w:ascii="Times New Roman" w:hAnsi="Times New Roman"/>
          <w:sz w:val="26"/>
          <w:szCs w:val="26"/>
        </w:rPr>
        <w:t xml:space="preserve">No. </w:t>
      </w:r>
      <w:r w:rsidRPr="00A5340C">
        <w:rPr>
          <w:rFonts w:ascii="Times New Roman" w:hAnsi="Times New Roman"/>
          <w:sz w:val="26"/>
          <w:szCs w:val="26"/>
        </w:rPr>
        <w:t xml:space="preserve">15 </w:t>
      </w:r>
      <w:r w:rsidR="0050577E" w:rsidRPr="00A5340C">
        <w:rPr>
          <w:rFonts w:ascii="Times New Roman" w:hAnsi="Times New Roman"/>
          <w:sz w:val="26"/>
          <w:szCs w:val="26"/>
        </w:rPr>
        <w:t xml:space="preserve">providing for </w:t>
      </w:r>
      <w:r w:rsidRPr="00A5340C">
        <w:rPr>
          <w:rFonts w:ascii="Times New Roman" w:hAnsi="Times New Roman"/>
          <w:sz w:val="26"/>
          <w:szCs w:val="26"/>
        </w:rPr>
        <w:t xml:space="preserve">an </w:t>
      </w:r>
      <w:r w:rsidR="0050577E" w:rsidRPr="00A5340C">
        <w:rPr>
          <w:rFonts w:ascii="Times New Roman" w:hAnsi="Times New Roman"/>
          <w:sz w:val="26"/>
          <w:szCs w:val="26"/>
        </w:rPr>
        <w:t>i</w:t>
      </w:r>
      <w:r w:rsidRPr="00A5340C">
        <w:rPr>
          <w:rFonts w:ascii="Times New Roman" w:hAnsi="Times New Roman"/>
          <w:sz w:val="26"/>
          <w:szCs w:val="26"/>
        </w:rPr>
        <w:t xml:space="preserve">ncrease </w:t>
      </w:r>
      <w:r w:rsidR="00162A1E" w:rsidRPr="00A5340C">
        <w:rPr>
          <w:rFonts w:ascii="Times New Roman" w:hAnsi="Times New Roman"/>
          <w:sz w:val="26"/>
          <w:szCs w:val="26"/>
        </w:rPr>
        <w:t xml:space="preserve">in </w:t>
      </w:r>
      <w:r w:rsidRPr="00A5340C">
        <w:rPr>
          <w:rFonts w:ascii="Times New Roman" w:hAnsi="Times New Roman"/>
          <w:sz w:val="26"/>
          <w:szCs w:val="26"/>
        </w:rPr>
        <w:t xml:space="preserve">water </w:t>
      </w:r>
      <w:r w:rsidR="00162A1E" w:rsidRPr="00A5340C">
        <w:rPr>
          <w:rFonts w:ascii="Times New Roman" w:hAnsi="Times New Roman"/>
          <w:sz w:val="26"/>
          <w:szCs w:val="26"/>
        </w:rPr>
        <w:t xml:space="preserve">and wastewater rates based on a net operating revenue increase of </w:t>
      </w:r>
      <w:r w:rsidRPr="00A5340C">
        <w:rPr>
          <w:rFonts w:ascii="Times New Roman" w:hAnsi="Times New Roman"/>
          <w:sz w:val="26"/>
          <w:szCs w:val="26"/>
        </w:rPr>
        <w:t>$</w:t>
      </w:r>
      <w:r w:rsidR="00162A1E" w:rsidRPr="00A5340C">
        <w:rPr>
          <w:rFonts w:ascii="Times New Roman" w:hAnsi="Times New Roman"/>
          <w:sz w:val="26"/>
          <w:szCs w:val="26"/>
        </w:rPr>
        <w:t>5</w:t>
      </w:r>
      <w:r w:rsidRPr="00A5340C">
        <w:rPr>
          <w:rFonts w:ascii="Times New Roman" w:hAnsi="Times New Roman"/>
          <w:sz w:val="26"/>
          <w:szCs w:val="26"/>
        </w:rPr>
        <w:t xml:space="preserve">8.6 million or approximately </w:t>
      </w:r>
      <w:r w:rsidR="00162A1E" w:rsidRPr="00A5340C">
        <w:rPr>
          <w:rFonts w:ascii="Times New Roman" w:hAnsi="Times New Roman"/>
          <w:sz w:val="26"/>
          <w:szCs w:val="26"/>
        </w:rPr>
        <w:t>10.1</w:t>
      </w:r>
      <w:r w:rsidRPr="00A5340C">
        <w:rPr>
          <w:rFonts w:ascii="Times New Roman" w:hAnsi="Times New Roman"/>
          <w:sz w:val="26"/>
          <w:szCs w:val="26"/>
        </w:rPr>
        <w:t>% over the</w:t>
      </w:r>
      <w:r w:rsidR="00055623">
        <w:rPr>
          <w:rFonts w:ascii="Times New Roman" w:hAnsi="Times New Roman"/>
          <w:sz w:val="26"/>
          <w:szCs w:val="26"/>
        </w:rPr>
        <w:t xml:space="preserve"> pro forma</w:t>
      </w:r>
      <w:r w:rsidRPr="00A5340C">
        <w:rPr>
          <w:rFonts w:ascii="Times New Roman" w:hAnsi="Times New Roman"/>
          <w:sz w:val="26"/>
          <w:szCs w:val="26"/>
        </w:rPr>
        <w:t xml:space="preserve"> </w:t>
      </w:r>
      <w:r w:rsidR="00162A1E" w:rsidRPr="00A5340C">
        <w:rPr>
          <w:rFonts w:ascii="Times New Roman" w:hAnsi="Times New Roman"/>
          <w:sz w:val="26"/>
          <w:szCs w:val="26"/>
        </w:rPr>
        <w:t xml:space="preserve">present </w:t>
      </w:r>
      <w:r w:rsidR="00055623">
        <w:rPr>
          <w:rFonts w:ascii="Times New Roman" w:hAnsi="Times New Roman"/>
          <w:sz w:val="26"/>
          <w:szCs w:val="26"/>
        </w:rPr>
        <w:t xml:space="preserve">annual </w:t>
      </w:r>
      <w:r w:rsidR="00162A1E" w:rsidRPr="00A5340C">
        <w:rPr>
          <w:rFonts w:ascii="Times New Roman" w:hAnsi="Times New Roman"/>
          <w:sz w:val="26"/>
          <w:szCs w:val="26"/>
        </w:rPr>
        <w:t xml:space="preserve">rates of </w:t>
      </w:r>
      <w:r w:rsidR="00055623">
        <w:rPr>
          <w:rFonts w:ascii="Times New Roman" w:hAnsi="Times New Roman"/>
          <w:sz w:val="26"/>
          <w:szCs w:val="26"/>
        </w:rPr>
        <w:t>$578.6 million</w:t>
      </w:r>
      <w:r w:rsidR="00162A1E" w:rsidRPr="00A5340C">
        <w:rPr>
          <w:rFonts w:ascii="Times New Roman" w:hAnsi="Times New Roman"/>
          <w:sz w:val="26"/>
          <w:szCs w:val="26"/>
        </w:rPr>
        <w:t>.  The tariffs w</w:t>
      </w:r>
      <w:r w:rsidR="004E4B6A">
        <w:rPr>
          <w:rFonts w:ascii="Times New Roman" w:hAnsi="Times New Roman"/>
          <w:sz w:val="26"/>
          <w:szCs w:val="26"/>
        </w:rPr>
        <w:t>ere to become effective on June</w:t>
      </w:r>
      <w:r w:rsidR="00162A1E" w:rsidRPr="00A5340C">
        <w:rPr>
          <w:rFonts w:ascii="Times New Roman" w:hAnsi="Times New Roman"/>
          <w:sz w:val="26"/>
          <w:szCs w:val="26"/>
        </w:rPr>
        <w:t xml:space="preserve"> 29, 2013</w:t>
      </w:r>
      <w:r w:rsidRPr="00A5340C">
        <w:rPr>
          <w:rFonts w:ascii="Times New Roman" w:hAnsi="Times New Roman"/>
          <w:sz w:val="26"/>
          <w:szCs w:val="26"/>
        </w:rPr>
        <w:t xml:space="preserve">.  </w:t>
      </w:r>
    </w:p>
    <w:p w:rsidR="00ED1566" w:rsidRPr="00A5340C" w:rsidRDefault="00ED1566" w:rsidP="000F5BDD">
      <w:pPr>
        <w:spacing w:after="0" w:line="360" w:lineRule="auto"/>
        <w:ind w:firstLine="1440"/>
        <w:rPr>
          <w:rFonts w:ascii="Times New Roman" w:hAnsi="Times New Roman"/>
          <w:sz w:val="26"/>
          <w:szCs w:val="26"/>
        </w:rPr>
      </w:pPr>
    </w:p>
    <w:p w:rsidR="00DA4630" w:rsidRPr="00A5340C" w:rsidRDefault="00DA4630" w:rsidP="000F5BDD">
      <w:pPr>
        <w:spacing w:after="0" w:line="360" w:lineRule="auto"/>
        <w:ind w:firstLine="1440"/>
        <w:rPr>
          <w:rFonts w:ascii="Times New Roman" w:hAnsi="Times New Roman"/>
          <w:sz w:val="26"/>
          <w:szCs w:val="26"/>
        </w:rPr>
      </w:pPr>
      <w:r w:rsidRPr="00A5340C">
        <w:rPr>
          <w:rFonts w:ascii="Times New Roman" w:hAnsi="Times New Roman"/>
          <w:sz w:val="26"/>
          <w:szCs w:val="26"/>
        </w:rPr>
        <w:t xml:space="preserve">By Order </w:t>
      </w:r>
      <w:r w:rsidR="00162A1E" w:rsidRPr="00A5340C">
        <w:rPr>
          <w:rFonts w:ascii="Times New Roman" w:hAnsi="Times New Roman"/>
          <w:sz w:val="26"/>
          <w:szCs w:val="26"/>
        </w:rPr>
        <w:t>entered June 13, 2013</w:t>
      </w:r>
      <w:r w:rsidRPr="00A5340C">
        <w:rPr>
          <w:rFonts w:ascii="Times New Roman" w:hAnsi="Times New Roman"/>
          <w:sz w:val="26"/>
          <w:szCs w:val="26"/>
        </w:rPr>
        <w:t xml:space="preserve">, the Commission </w:t>
      </w:r>
      <w:r w:rsidR="00162A1E" w:rsidRPr="00A5340C">
        <w:rPr>
          <w:rFonts w:ascii="Times New Roman" w:hAnsi="Times New Roman"/>
          <w:sz w:val="26"/>
          <w:szCs w:val="26"/>
        </w:rPr>
        <w:t xml:space="preserve">suspended the effective date of the tariffs until January 29, 2014, or until the Commission rules otherwise.  In </w:t>
      </w:r>
      <w:r w:rsidR="00162A1E" w:rsidRPr="00A5340C">
        <w:rPr>
          <w:rFonts w:ascii="Times New Roman" w:hAnsi="Times New Roman"/>
          <w:sz w:val="26"/>
          <w:szCs w:val="26"/>
        </w:rPr>
        <w:lastRenderedPageBreak/>
        <w:t xml:space="preserve">addition, the Commission </w:t>
      </w:r>
      <w:r w:rsidRPr="00A5340C">
        <w:rPr>
          <w:rFonts w:ascii="Times New Roman" w:hAnsi="Times New Roman"/>
          <w:sz w:val="26"/>
          <w:szCs w:val="26"/>
        </w:rPr>
        <w:t xml:space="preserve">instituted a formal investigation to determine the lawfulness, justness and reasonableness of </w:t>
      </w:r>
      <w:r w:rsidR="00D36D89" w:rsidRPr="00A5340C">
        <w:rPr>
          <w:rFonts w:ascii="Times New Roman" w:hAnsi="Times New Roman"/>
          <w:sz w:val="26"/>
          <w:szCs w:val="26"/>
        </w:rPr>
        <w:t>PAWC</w:t>
      </w:r>
      <w:r w:rsidR="00836C47" w:rsidRPr="00A5340C">
        <w:rPr>
          <w:rFonts w:ascii="Times New Roman" w:hAnsi="Times New Roman"/>
          <w:sz w:val="26"/>
          <w:szCs w:val="26"/>
        </w:rPr>
        <w:t>’</w:t>
      </w:r>
      <w:r w:rsidRPr="00A5340C">
        <w:rPr>
          <w:rFonts w:ascii="Times New Roman" w:hAnsi="Times New Roman"/>
          <w:sz w:val="26"/>
          <w:szCs w:val="26"/>
        </w:rPr>
        <w:t>s existing and proposed rates, rules and regulations</w:t>
      </w:r>
      <w:r w:rsidR="00055623">
        <w:rPr>
          <w:rFonts w:ascii="Times New Roman" w:hAnsi="Times New Roman"/>
          <w:sz w:val="26"/>
          <w:szCs w:val="26"/>
        </w:rPr>
        <w:t>.</w:t>
      </w:r>
      <w:r w:rsidRPr="00A5340C">
        <w:rPr>
          <w:rFonts w:ascii="Times New Roman" w:hAnsi="Times New Roman"/>
          <w:sz w:val="26"/>
          <w:szCs w:val="26"/>
        </w:rPr>
        <w:t xml:space="preserve"> </w:t>
      </w:r>
    </w:p>
    <w:p w:rsidR="00DA4630" w:rsidRPr="00A5340C" w:rsidRDefault="00DA4630" w:rsidP="000F5BDD">
      <w:pPr>
        <w:spacing w:after="0" w:line="360" w:lineRule="auto"/>
        <w:rPr>
          <w:rFonts w:ascii="Times New Roman" w:hAnsi="Times New Roman"/>
          <w:sz w:val="26"/>
          <w:szCs w:val="26"/>
        </w:rPr>
      </w:pPr>
    </w:p>
    <w:p w:rsidR="00DA4630" w:rsidRPr="004E4B6A" w:rsidRDefault="00DA4630" w:rsidP="004E4B6A">
      <w:pPr>
        <w:spacing w:after="0" w:line="360" w:lineRule="auto"/>
        <w:rPr>
          <w:rFonts w:ascii="Times New Roman" w:hAnsi="Times New Roman"/>
          <w:sz w:val="26"/>
          <w:szCs w:val="26"/>
        </w:rPr>
      </w:pPr>
      <w:r w:rsidRPr="00A5340C">
        <w:rPr>
          <w:rFonts w:ascii="Times New Roman" w:hAnsi="Times New Roman"/>
          <w:sz w:val="26"/>
          <w:szCs w:val="26"/>
        </w:rPr>
        <w:tab/>
      </w:r>
      <w:r w:rsidRPr="00A5340C">
        <w:rPr>
          <w:rFonts w:ascii="Times New Roman" w:hAnsi="Times New Roman"/>
          <w:sz w:val="26"/>
          <w:szCs w:val="26"/>
        </w:rPr>
        <w:tab/>
      </w:r>
      <w:r w:rsidR="00ED1566" w:rsidRPr="00A5340C">
        <w:rPr>
          <w:rFonts w:ascii="Times New Roman" w:hAnsi="Times New Roman"/>
          <w:sz w:val="26"/>
          <w:szCs w:val="26"/>
        </w:rPr>
        <w:t xml:space="preserve">The case was assigned to </w:t>
      </w:r>
      <w:r w:rsidR="00E4036C" w:rsidRPr="00A5340C">
        <w:rPr>
          <w:rFonts w:ascii="Times New Roman" w:hAnsi="Times New Roman"/>
          <w:sz w:val="26"/>
          <w:szCs w:val="26"/>
        </w:rPr>
        <w:t>ALJs Jones and Heep</w:t>
      </w:r>
      <w:r w:rsidR="00ED1566" w:rsidRPr="00A5340C">
        <w:rPr>
          <w:rFonts w:ascii="Times New Roman" w:hAnsi="Times New Roman"/>
          <w:sz w:val="26"/>
          <w:szCs w:val="26"/>
        </w:rPr>
        <w:t xml:space="preserve"> for </w:t>
      </w:r>
      <w:r w:rsidR="00CA389C">
        <w:rPr>
          <w:rFonts w:ascii="Times New Roman" w:hAnsi="Times New Roman"/>
          <w:sz w:val="26"/>
          <w:szCs w:val="26"/>
        </w:rPr>
        <w:t xml:space="preserve">the </w:t>
      </w:r>
      <w:r w:rsidR="00ED1566" w:rsidRPr="00A5340C">
        <w:rPr>
          <w:rFonts w:ascii="Times New Roman" w:hAnsi="Times New Roman"/>
          <w:sz w:val="26"/>
          <w:szCs w:val="26"/>
        </w:rPr>
        <w:t xml:space="preserve">prompt scheduling of hearings and for the issuance of a Recommended Decision.  </w:t>
      </w:r>
      <w:r w:rsidR="00D36F16" w:rsidRPr="00A5340C">
        <w:rPr>
          <w:rFonts w:ascii="Times New Roman" w:hAnsi="Times New Roman"/>
          <w:sz w:val="26"/>
          <w:szCs w:val="26"/>
        </w:rPr>
        <w:t>T</w:t>
      </w:r>
      <w:r w:rsidRPr="00A5340C">
        <w:rPr>
          <w:rFonts w:ascii="Times New Roman" w:hAnsi="Times New Roman"/>
          <w:sz w:val="26"/>
          <w:szCs w:val="26"/>
        </w:rPr>
        <w:t>he</w:t>
      </w:r>
      <w:r w:rsidR="00597FA0" w:rsidRPr="00A5340C">
        <w:rPr>
          <w:rFonts w:ascii="Times New Roman" w:hAnsi="Times New Roman"/>
          <w:sz w:val="26"/>
          <w:szCs w:val="26"/>
        </w:rPr>
        <w:t xml:space="preserve"> Commission received </w:t>
      </w:r>
      <w:r w:rsidR="00B24059" w:rsidRPr="00A5340C">
        <w:rPr>
          <w:rFonts w:ascii="Times New Roman" w:hAnsi="Times New Roman"/>
          <w:sz w:val="26"/>
          <w:szCs w:val="26"/>
        </w:rPr>
        <w:t>seventeen</w:t>
      </w:r>
      <w:r w:rsidR="00597FA0" w:rsidRPr="00A5340C">
        <w:rPr>
          <w:rFonts w:ascii="Times New Roman" w:hAnsi="Times New Roman"/>
          <w:sz w:val="26"/>
          <w:szCs w:val="26"/>
        </w:rPr>
        <w:t xml:space="preserve"> F</w:t>
      </w:r>
      <w:r w:rsidR="00E05556">
        <w:rPr>
          <w:rFonts w:ascii="Times New Roman" w:hAnsi="Times New Roman"/>
          <w:sz w:val="26"/>
          <w:szCs w:val="26"/>
        </w:rPr>
        <w:t xml:space="preserve">ormal Complaints. </w:t>
      </w:r>
      <w:r w:rsidR="004E4B6A">
        <w:rPr>
          <w:rFonts w:ascii="Times New Roman" w:hAnsi="Times New Roman"/>
          <w:sz w:val="26"/>
          <w:szCs w:val="26"/>
        </w:rPr>
        <w:t xml:space="preserve"> O</w:t>
      </w:r>
      <w:r w:rsidR="004E4B6A" w:rsidRPr="00A5340C">
        <w:rPr>
          <w:rFonts w:ascii="Times New Roman" w:hAnsi="Times New Roman"/>
          <w:sz w:val="26"/>
          <w:szCs w:val="26"/>
        </w:rPr>
        <w:t>n June 27, 2013</w:t>
      </w:r>
      <w:r w:rsidR="004E4B6A">
        <w:rPr>
          <w:rFonts w:ascii="Times New Roman" w:hAnsi="Times New Roman"/>
          <w:sz w:val="26"/>
          <w:szCs w:val="26"/>
        </w:rPr>
        <w:t>, ALJ Jones convened a Prehearing Conference</w:t>
      </w:r>
      <w:r w:rsidRPr="00A5340C">
        <w:rPr>
          <w:rFonts w:ascii="Times New Roman" w:hAnsi="Times New Roman"/>
          <w:sz w:val="26"/>
          <w:szCs w:val="26"/>
        </w:rPr>
        <w:t xml:space="preserve">.  </w:t>
      </w:r>
      <w:r w:rsidR="00F24D01" w:rsidRPr="00A5340C">
        <w:rPr>
          <w:rFonts w:ascii="Times New Roman" w:hAnsi="Times New Roman"/>
          <w:spacing w:val="-3"/>
          <w:sz w:val="26"/>
          <w:szCs w:val="26"/>
        </w:rPr>
        <w:t>The following P</w:t>
      </w:r>
      <w:r w:rsidRPr="00A5340C">
        <w:rPr>
          <w:rFonts w:ascii="Times New Roman" w:hAnsi="Times New Roman"/>
          <w:spacing w:val="-3"/>
          <w:sz w:val="26"/>
          <w:szCs w:val="26"/>
        </w:rPr>
        <w:t>arties were present and</w:t>
      </w:r>
      <w:r w:rsidR="00CA389C">
        <w:rPr>
          <w:rFonts w:ascii="Times New Roman" w:hAnsi="Times New Roman"/>
          <w:spacing w:val="-3"/>
          <w:sz w:val="26"/>
          <w:szCs w:val="26"/>
        </w:rPr>
        <w:t>/</w:t>
      </w:r>
      <w:r w:rsidR="004E4B6A">
        <w:rPr>
          <w:rFonts w:ascii="Times New Roman" w:hAnsi="Times New Roman"/>
          <w:spacing w:val="-3"/>
          <w:sz w:val="26"/>
          <w:szCs w:val="26"/>
        </w:rPr>
        <w:t xml:space="preserve">or </w:t>
      </w:r>
      <w:r w:rsidRPr="00A5340C">
        <w:rPr>
          <w:rFonts w:ascii="Times New Roman" w:hAnsi="Times New Roman"/>
          <w:spacing w:val="-3"/>
          <w:sz w:val="26"/>
          <w:szCs w:val="26"/>
        </w:rPr>
        <w:t>participat</w:t>
      </w:r>
      <w:r w:rsidR="00F24D01" w:rsidRPr="00A5340C">
        <w:rPr>
          <w:rFonts w:ascii="Times New Roman" w:hAnsi="Times New Roman"/>
          <w:spacing w:val="-3"/>
          <w:sz w:val="26"/>
          <w:szCs w:val="26"/>
        </w:rPr>
        <w:t xml:space="preserve">ed </w:t>
      </w:r>
      <w:r w:rsidRPr="00A5340C">
        <w:rPr>
          <w:rFonts w:ascii="Times New Roman" w:hAnsi="Times New Roman"/>
          <w:spacing w:val="-3"/>
          <w:sz w:val="26"/>
          <w:szCs w:val="26"/>
        </w:rPr>
        <w:t xml:space="preserve">telephonically </w:t>
      </w:r>
      <w:r w:rsidR="004E4B6A">
        <w:rPr>
          <w:rFonts w:ascii="Times New Roman" w:hAnsi="Times New Roman"/>
          <w:spacing w:val="-3"/>
          <w:sz w:val="26"/>
          <w:szCs w:val="26"/>
        </w:rPr>
        <w:t>in the Prehearing Conference</w:t>
      </w:r>
      <w:r w:rsidRPr="00A5340C">
        <w:rPr>
          <w:rFonts w:ascii="Times New Roman" w:hAnsi="Times New Roman"/>
          <w:spacing w:val="-3"/>
          <w:sz w:val="26"/>
          <w:szCs w:val="26"/>
        </w:rPr>
        <w:t>:</w:t>
      </w:r>
      <w:r w:rsidR="00D32661" w:rsidRPr="00A5340C">
        <w:rPr>
          <w:rFonts w:ascii="Times New Roman" w:hAnsi="Times New Roman"/>
          <w:spacing w:val="-3"/>
          <w:sz w:val="26"/>
          <w:szCs w:val="26"/>
        </w:rPr>
        <w:t xml:space="preserve">  </w:t>
      </w:r>
      <w:r w:rsidR="00E4036C" w:rsidRPr="00A5340C">
        <w:rPr>
          <w:rFonts w:ascii="Times New Roman" w:hAnsi="Times New Roman"/>
          <w:spacing w:val="-3"/>
          <w:sz w:val="26"/>
          <w:szCs w:val="26"/>
        </w:rPr>
        <w:t>PAWC</w:t>
      </w:r>
      <w:r w:rsidR="00CA389C">
        <w:rPr>
          <w:rFonts w:ascii="Times New Roman" w:hAnsi="Times New Roman"/>
          <w:spacing w:val="-3"/>
          <w:sz w:val="26"/>
          <w:szCs w:val="26"/>
        </w:rPr>
        <w:t>;</w:t>
      </w:r>
      <w:r w:rsidR="00D32661" w:rsidRPr="00A5340C">
        <w:rPr>
          <w:rFonts w:ascii="Times New Roman" w:hAnsi="Times New Roman"/>
          <w:spacing w:val="-3"/>
          <w:sz w:val="26"/>
          <w:szCs w:val="26"/>
        </w:rPr>
        <w:t xml:space="preserve"> </w:t>
      </w:r>
      <w:r w:rsidR="00E4036C" w:rsidRPr="00A5340C">
        <w:rPr>
          <w:rFonts w:ascii="Times New Roman" w:hAnsi="Times New Roman"/>
          <w:spacing w:val="-3"/>
          <w:sz w:val="26"/>
          <w:szCs w:val="26"/>
        </w:rPr>
        <w:t>the Commission</w:t>
      </w:r>
      <w:r w:rsidR="004E4B6A">
        <w:rPr>
          <w:rFonts w:ascii="Times New Roman" w:hAnsi="Times New Roman"/>
          <w:spacing w:val="-3"/>
          <w:sz w:val="26"/>
          <w:szCs w:val="26"/>
        </w:rPr>
        <w:t>’s</w:t>
      </w:r>
      <w:r w:rsidR="00E4036C" w:rsidRPr="00A5340C">
        <w:rPr>
          <w:rFonts w:ascii="Times New Roman" w:hAnsi="Times New Roman"/>
          <w:spacing w:val="-3"/>
          <w:sz w:val="26"/>
          <w:szCs w:val="26"/>
        </w:rPr>
        <w:t xml:space="preserve"> Bureau of Investigation and Enforcement (</w:t>
      </w:r>
      <w:r w:rsidR="00D32661" w:rsidRPr="00A5340C">
        <w:rPr>
          <w:rFonts w:ascii="Times New Roman" w:hAnsi="Times New Roman"/>
          <w:spacing w:val="-3"/>
          <w:sz w:val="26"/>
          <w:szCs w:val="26"/>
        </w:rPr>
        <w:t>I&amp;E</w:t>
      </w:r>
      <w:r w:rsidR="00E4036C" w:rsidRPr="00A5340C">
        <w:rPr>
          <w:rFonts w:ascii="Times New Roman" w:hAnsi="Times New Roman"/>
          <w:spacing w:val="-3"/>
          <w:sz w:val="26"/>
          <w:szCs w:val="26"/>
        </w:rPr>
        <w:t>)</w:t>
      </w:r>
      <w:r w:rsidR="00CA389C">
        <w:rPr>
          <w:rFonts w:ascii="Times New Roman" w:hAnsi="Times New Roman"/>
          <w:spacing w:val="-3"/>
          <w:sz w:val="26"/>
          <w:szCs w:val="26"/>
        </w:rPr>
        <w:t>;</w:t>
      </w:r>
      <w:r w:rsidR="00F8117B" w:rsidRPr="00A5340C">
        <w:rPr>
          <w:rFonts w:ascii="Times New Roman" w:hAnsi="Times New Roman"/>
          <w:spacing w:val="-3"/>
          <w:sz w:val="26"/>
          <w:szCs w:val="26"/>
        </w:rPr>
        <w:t xml:space="preserve"> the </w:t>
      </w:r>
      <w:r w:rsidR="00D32661" w:rsidRPr="00A5340C">
        <w:rPr>
          <w:rFonts w:ascii="Times New Roman" w:hAnsi="Times New Roman"/>
          <w:spacing w:val="-3"/>
          <w:sz w:val="26"/>
          <w:szCs w:val="26"/>
        </w:rPr>
        <w:t>O</w:t>
      </w:r>
      <w:r w:rsidR="00E4036C" w:rsidRPr="00A5340C">
        <w:rPr>
          <w:rFonts w:ascii="Times New Roman" w:hAnsi="Times New Roman"/>
          <w:spacing w:val="-3"/>
          <w:sz w:val="26"/>
          <w:szCs w:val="26"/>
        </w:rPr>
        <w:t>ffice of Consumer Advocate (O</w:t>
      </w:r>
      <w:r w:rsidR="00D32661" w:rsidRPr="00A5340C">
        <w:rPr>
          <w:rFonts w:ascii="Times New Roman" w:hAnsi="Times New Roman"/>
          <w:spacing w:val="-3"/>
          <w:sz w:val="26"/>
          <w:szCs w:val="26"/>
        </w:rPr>
        <w:t>CA</w:t>
      </w:r>
      <w:r w:rsidR="00E4036C" w:rsidRPr="00A5340C">
        <w:rPr>
          <w:rFonts w:ascii="Times New Roman" w:hAnsi="Times New Roman"/>
          <w:spacing w:val="-3"/>
          <w:sz w:val="26"/>
          <w:szCs w:val="26"/>
        </w:rPr>
        <w:t>)</w:t>
      </w:r>
      <w:r w:rsidR="00CA389C">
        <w:rPr>
          <w:rFonts w:ascii="Times New Roman" w:hAnsi="Times New Roman"/>
          <w:spacing w:val="-3"/>
          <w:sz w:val="26"/>
          <w:szCs w:val="26"/>
        </w:rPr>
        <w:t>;</w:t>
      </w:r>
      <w:r w:rsidR="0018538A" w:rsidRPr="00A5340C">
        <w:rPr>
          <w:rFonts w:ascii="Times New Roman" w:hAnsi="Times New Roman"/>
          <w:spacing w:val="-3"/>
          <w:sz w:val="26"/>
          <w:szCs w:val="26"/>
        </w:rPr>
        <w:t xml:space="preserve"> the O</w:t>
      </w:r>
      <w:r w:rsidR="00E4036C" w:rsidRPr="00A5340C">
        <w:rPr>
          <w:rFonts w:ascii="Times New Roman" w:hAnsi="Times New Roman"/>
          <w:spacing w:val="-3"/>
          <w:sz w:val="26"/>
          <w:szCs w:val="26"/>
        </w:rPr>
        <w:t>ffice of Small  Business Advocate (O</w:t>
      </w:r>
      <w:r w:rsidR="0018538A" w:rsidRPr="00A5340C">
        <w:rPr>
          <w:rFonts w:ascii="Times New Roman" w:hAnsi="Times New Roman"/>
          <w:spacing w:val="-3"/>
          <w:sz w:val="26"/>
          <w:szCs w:val="26"/>
        </w:rPr>
        <w:t>SBA</w:t>
      </w:r>
      <w:r w:rsidR="00E4036C" w:rsidRPr="00A5340C">
        <w:rPr>
          <w:rFonts w:ascii="Times New Roman" w:hAnsi="Times New Roman"/>
          <w:spacing w:val="-3"/>
          <w:sz w:val="26"/>
          <w:szCs w:val="26"/>
        </w:rPr>
        <w:t>)</w:t>
      </w:r>
      <w:r w:rsidR="00CA389C">
        <w:rPr>
          <w:rFonts w:ascii="Times New Roman" w:hAnsi="Times New Roman"/>
          <w:spacing w:val="-3"/>
          <w:sz w:val="26"/>
          <w:szCs w:val="26"/>
        </w:rPr>
        <w:t>;</w:t>
      </w:r>
      <w:r w:rsidR="0018538A" w:rsidRPr="00A5340C">
        <w:rPr>
          <w:rFonts w:ascii="Times New Roman" w:hAnsi="Times New Roman"/>
          <w:spacing w:val="-3"/>
          <w:sz w:val="26"/>
          <w:szCs w:val="26"/>
        </w:rPr>
        <w:t xml:space="preserve"> </w:t>
      </w:r>
      <w:r w:rsidR="00E4036C" w:rsidRPr="00A5340C">
        <w:rPr>
          <w:rFonts w:ascii="Times New Roman" w:hAnsi="Times New Roman"/>
          <w:spacing w:val="-3"/>
          <w:sz w:val="26"/>
          <w:szCs w:val="26"/>
        </w:rPr>
        <w:t>United States Steel Corporation (US Steel)</w:t>
      </w:r>
      <w:r w:rsidR="00CA389C">
        <w:rPr>
          <w:rFonts w:ascii="Times New Roman" w:hAnsi="Times New Roman"/>
          <w:spacing w:val="-3"/>
          <w:sz w:val="26"/>
          <w:szCs w:val="26"/>
        </w:rPr>
        <w:t>;</w:t>
      </w:r>
      <w:r w:rsidR="00E4036C" w:rsidRPr="00A5340C">
        <w:rPr>
          <w:rFonts w:ascii="Times New Roman" w:hAnsi="Times New Roman"/>
          <w:spacing w:val="-3"/>
          <w:sz w:val="26"/>
          <w:szCs w:val="26"/>
        </w:rPr>
        <w:t xml:space="preserve"> the Commission on Economic Opportunity (CEO)</w:t>
      </w:r>
      <w:r w:rsidR="00CA389C">
        <w:rPr>
          <w:rFonts w:ascii="Times New Roman" w:hAnsi="Times New Roman"/>
          <w:spacing w:val="-3"/>
          <w:sz w:val="26"/>
          <w:szCs w:val="26"/>
        </w:rPr>
        <w:t>;</w:t>
      </w:r>
      <w:r w:rsidR="00E4036C" w:rsidRPr="00A5340C">
        <w:rPr>
          <w:rFonts w:ascii="Times New Roman" w:hAnsi="Times New Roman"/>
          <w:spacing w:val="-3"/>
          <w:sz w:val="26"/>
          <w:szCs w:val="26"/>
        </w:rPr>
        <w:t xml:space="preserve"> PWSA</w:t>
      </w:r>
      <w:r w:rsidR="00CA389C">
        <w:rPr>
          <w:rFonts w:ascii="Times New Roman" w:hAnsi="Times New Roman"/>
          <w:spacing w:val="-3"/>
          <w:sz w:val="26"/>
          <w:szCs w:val="26"/>
        </w:rPr>
        <w:t>;</w:t>
      </w:r>
      <w:r w:rsidR="00E4036C" w:rsidRPr="00A5340C">
        <w:rPr>
          <w:rFonts w:ascii="Times New Roman" w:hAnsi="Times New Roman"/>
          <w:spacing w:val="-3"/>
          <w:sz w:val="26"/>
          <w:szCs w:val="26"/>
        </w:rPr>
        <w:t xml:space="preserve"> Doris Miller</w:t>
      </w:r>
      <w:r w:rsidR="004B7DD3" w:rsidRPr="00A5340C">
        <w:rPr>
          <w:rFonts w:ascii="Times New Roman" w:hAnsi="Times New Roman"/>
          <w:spacing w:val="-3"/>
          <w:sz w:val="26"/>
          <w:szCs w:val="26"/>
        </w:rPr>
        <w:t>,</w:t>
      </w:r>
      <w:r w:rsidR="00F24D01" w:rsidRPr="00A5340C">
        <w:rPr>
          <w:rFonts w:ascii="Times New Roman" w:hAnsi="Times New Roman"/>
          <w:spacing w:val="-3"/>
          <w:sz w:val="26"/>
          <w:szCs w:val="26"/>
        </w:rPr>
        <w:t xml:space="preserve"> </w:t>
      </w:r>
      <w:r w:rsidR="00F0062B" w:rsidRPr="00A5340C">
        <w:rPr>
          <w:rFonts w:ascii="Times New Roman" w:hAnsi="Times New Roman"/>
          <w:i/>
          <w:spacing w:val="-3"/>
          <w:sz w:val="26"/>
          <w:szCs w:val="26"/>
        </w:rPr>
        <w:t>p</w:t>
      </w:r>
      <w:r w:rsidR="00F8117B" w:rsidRPr="00A5340C">
        <w:rPr>
          <w:rFonts w:ascii="Times New Roman" w:hAnsi="Times New Roman"/>
          <w:i/>
          <w:spacing w:val="-3"/>
          <w:sz w:val="26"/>
          <w:szCs w:val="26"/>
        </w:rPr>
        <w:t>ro</w:t>
      </w:r>
      <w:r w:rsidR="00F0062B" w:rsidRPr="00A5340C">
        <w:rPr>
          <w:rFonts w:ascii="Times New Roman" w:hAnsi="Times New Roman"/>
          <w:i/>
          <w:spacing w:val="-3"/>
          <w:sz w:val="26"/>
          <w:szCs w:val="26"/>
        </w:rPr>
        <w:t xml:space="preserve"> s</w:t>
      </w:r>
      <w:r w:rsidR="00F8117B" w:rsidRPr="00A5340C">
        <w:rPr>
          <w:rFonts w:ascii="Times New Roman" w:hAnsi="Times New Roman"/>
          <w:i/>
          <w:spacing w:val="-3"/>
          <w:sz w:val="26"/>
          <w:szCs w:val="26"/>
        </w:rPr>
        <w:t>e</w:t>
      </w:r>
      <w:r w:rsidR="004B7DD3" w:rsidRPr="00A5340C">
        <w:rPr>
          <w:rFonts w:ascii="Times New Roman" w:hAnsi="Times New Roman"/>
          <w:spacing w:val="-3"/>
          <w:sz w:val="26"/>
          <w:szCs w:val="26"/>
        </w:rPr>
        <w:t xml:space="preserve"> C</w:t>
      </w:r>
      <w:r w:rsidR="00F24D01" w:rsidRPr="00A5340C">
        <w:rPr>
          <w:rFonts w:ascii="Times New Roman" w:hAnsi="Times New Roman"/>
          <w:spacing w:val="-3"/>
          <w:sz w:val="26"/>
          <w:szCs w:val="26"/>
        </w:rPr>
        <w:t>omplainant</w:t>
      </w:r>
      <w:r w:rsidR="00CA389C">
        <w:rPr>
          <w:rFonts w:ascii="Times New Roman" w:hAnsi="Times New Roman"/>
          <w:spacing w:val="-3"/>
          <w:sz w:val="26"/>
          <w:szCs w:val="26"/>
        </w:rPr>
        <w:t>;</w:t>
      </w:r>
      <w:r w:rsidR="00F24D01" w:rsidRPr="00A5340C">
        <w:rPr>
          <w:rFonts w:ascii="Times New Roman" w:hAnsi="Times New Roman"/>
          <w:spacing w:val="-3"/>
          <w:sz w:val="26"/>
          <w:szCs w:val="26"/>
        </w:rPr>
        <w:t xml:space="preserve"> </w:t>
      </w:r>
      <w:r w:rsidR="00E4036C" w:rsidRPr="00A5340C">
        <w:rPr>
          <w:rFonts w:ascii="Times New Roman" w:hAnsi="Times New Roman"/>
          <w:spacing w:val="-3"/>
          <w:sz w:val="26"/>
          <w:szCs w:val="26"/>
        </w:rPr>
        <w:t xml:space="preserve">and </w:t>
      </w:r>
      <w:r w:rsidR="00054792">
        <w:rPr>
          <w:rFonts w:ascii="Times New Roman" w:hAnsi="Times New Roman"/>
          <w:spacing w:val="-3"/>
          <w:sz w:val="26"/>
          <w:szCs w:val="26"/>
        </w:rPr>
        <w:t>Jane Neuf</w:t>
      </w:r>
      <w:r w:rsidR="005F7B49" w:rsidRPr="00A5340C">
        <w:rPr>
          <w:rFonts w:ascii="Times New Roman" w:hAnsi="Times New Roman"/>
          <w:spacing w:val="-3"/>
          <w:sz w:val="26"/>
          <w:szCs w:val="26"/>
        </w:rPr>
        <w:t xml:space="preserve">eld, </w:t>
      </w:r>
      <w:r w:rsidR="005F7B49" w:rsidRPr="00A5340C">
        <w:rPr>
          <w:rFonts w:ascii="Times New Roman" w:hAnsi="Times New Roman"/>
          <w:i/>
          <w:spacing w:val="-3"/>
          <w:sz w:val="26"/>
          <w:szCs w:val="26"/>
        </w:rPr>
        <w:t xml:space="preserve">pro se </w:t>
      </w:r>
      <w:r w:rsidR="005F7B49" w:rsidRPr="00A5340C">
        <w:rPr>
          <w:rFonts w:ascii="Times New Roman" w:hAnsi="Times New Roman"/>
          <w:spacing w:val="-3"/>
          <w:sz w:val="26"/>
          <w:szCs w:val="26"/>
        </w:rPr>
        <w:t>Complainant.</w:t>
      </w:r>
      <w:r w:rsidR="00536D0E" w:rsidRPr="00A5340C">
        <w:rPr>
          <w:rStyle w:val="FootnoteReference"/>
          <w:rFonts w:ascii="Times New Roman" w:hAnsi="Times New Roman"/>
          <w:spacing w:val="-3"/>
          <w:sz w:val="26"/>
          <w:szCs w:val="26"/>
        </w:rPr>
        <w:footnoteReference w:id="4"/>
      </w:r>
      <w:r w:rsidR="00536D0E" w:rsidRPr="00A5340C">
        <w:rPr>
          <w:rFonts w:ascii="Times New Roman" w:hAnsi="Times New Roman"/>
          <w:spacing w:val="-3"/>
          <w:sz w:val="26"/>
          <w:szCs w:val="26"/>
        </w:rPr>
        <w:t xml:space="preserve">  </w:t>
      </w:r>
      <w:r w:rsidR="00F24D01" w:rsidRPr="00A5340C">
        <w:rPr>
          <w:rFonts w:ascii="Times New Roman" w:hAnsi="Times New Roman"/>
          <w:spacing w:val="-3"/>
          <w:sz w:val="26"/>
          <w:szCs w:val="26"/>
        </w:rPr>
        <w:t>The above listed P</w:t>
      </w:r>
      <w:r w:rsidRPr="00A5340C">
        <w:rPr>
          <w:rFonts w:ascii="Times New Roman" w:hAnsi="Times New Roman"/>
          <w:spacing w:val="-3"/>
          <w:sz w:val="26"/>
          <w:szCs w:val="26"/>
        </w:rPr>
        <w:t xml:space="preserve">arties </w:t>
      </w:r>
      <w:r w:rsidR="00B7201F" w:rsidRPr="00A5340C">
        <w:rPr>
          <w:rFonts w:ascii="Times New Roman" w:hAnsi="Times New Roman"/>
          <w:spacing w:val="-3"/>
          <w:sz w:val="26"/>
          <w:szCs w:val="26"/>
        </w:rPr>
        <w:t>were</w:t>
      </w:r>
      <w:r w:rsidRPr="00A5340C">
        <w:rPr>
          <w:rFonts w:ascii="Times New Roman" w:hAnsi="Times New Roman"/>
          <w:spacing w:val="-3"/>
          <w:sz w:val="26"/>
          <w:szCs w:val="26"/>
        </w:rPr>
        <w:t xml:space="preserve"> active participants.  </w:t>
      </w:r>
      <w:r w:rsidR="00B7201F" w:rsidRPr="00A5340C">
        <w:rPr>
          <w:rFonts w:ascii="Times New Roman" w:hAnsi="Times New Roman"/>
          <w:spacing w:val="-3"/>
          <w:sz w:val="26"/>
          <w:szCs w:val="26"/>
        </w:rPr>
        <w:t>All the other C</w:t>
      </w:r>
      <w:r w:rsidRPr="00A5340C">
        <w:rPr>
          <w:rFonts w:ascii="Times New Roman" w:hAnsi="Times New Roman"/>
          <w:spacing w:val="-3"/>
          <w:sz w:val="26"/>
          <w:szCs w:val="26"/>
        </w:rPr>
        <w:t xml:space="preserve">omplainants </w:t>
      </w:r>
      <w:r w:rsidR="00B7201F" w:rsidRPr="00A5340C">
        <w:rPr>
          <w:rFonts w:ascii="Times New Roman" w:hAnsi="Times New Roman"/>
          <w:spacing w:val="-3"/>
          <w:sz w:val="26"/>
          <w:szCs w:val="26"/>
        </w:rPr>
        <w:t>were</w:t>
      </w:r>
      <w:r w:rsidRPr="00A5340C">
        <w:rPr>
          <w:rFonts w:ascii="Times New Roman" w:hAnsi="Times New Roman"/>
          <w:spacing w:val="-3"/>
          <w:sz w:val="26"/>
          <w:szCs w:val="26"/>
        </w:rPr>
        <w:t xml:space="preserve"> inactive participants as </w:t>
      </w:r>
      <w:r w:rsidR="00536D0E" w:rsidRPr="00A5340C">
        <w:rPr>
          <w:rFonts w:ascii="Times New Roman" w:hAnsi="Times New Roman"/>
          <w:spacing w:val="-3"/>
          <w:sz w:val="26"/>
          <w:szCs w:val="26"/>
        </w:rPr>
        <w:t xml:space="preserve">defined in </w:t>
      </w:r>
      <w:r w:rsidRPr="00A5340C">
        <w:rPr>
          <w:rFonts w:ascii="Times New Roman" w:hAnsi="Times New Roman"/>
          <w:spacing w:val="-3"/>
          <w:sz w:val="26"/>
          <w:szCs w:val="26"/>
        </w:rPr>
        <w:t>Prehearing Conference Order</w:t>
      </w:r>
      <w:r w:rsidR="00536D0E" w:rsidRPr="00A5340C">
        <w:rPr>
          <w:rFonts w:ascii="Times New Roman" w:hAnsi="Times New Roman"/>
          <w:spacing w:val="-3"/>
          <w:sz w:val="26"/>
          <w:szCs w:val="26"/>
        </w:rPr>
        <w:t xml:space="preserve"> #3 dated July 2, 2013</w:t>
      </w:r>
      <w:r w:rsidRPr="00A5340C">
        <w:rPr>
          <w:rFonts w:ascii="Times New Roman" w:hAnsi="Times New Roman"/>
          <w:spacing w:val="-3"/>
          <w:sz w:val="26"/>
          <w:szCs w:val="26"/>
        </w:rPr>
        <w:t>.</w:t>
      </w:r>
    </w:p>
    <w:p w:rsidR="001C68D6" w:rsidRPr="00A5340C" w:rsidRDefault="001C68D6" w:rsidP="000F5BDD">
      <w:pPr>
        <w:tabs>
          <w:tab w:val="left" w:pos="-720"/>
        </w:tabs>
        <w:suppressAutoHyphens/>
        <w:spacing w:after="0" w:line="360" w:lineRule="auto"/>
        <w:rPr>
          <w:rFonts w:ascii="Times New Roman" w:hAnsi="Times New Roman"/>
          <w:spacing w:val="-3"/>
          <w:sz w:val="26"/>
          <w:szCs w:val="26"/>
        </w:rPr>
      </w:pPr>
    </w:p>
    <w:p w:rsidR="005E6253" w:rsidRPr="00A5340C" w:rsidRDefault="00DA4630" w:rsidP="000F5BDD">
      <w:pPr>
        <w:tabs>
          <w:tab w:val="left" w:pos="1440"/>
          <w:tab w:val="left" w:pos="9360"/>
        </w:tabs>
        <w:spacing w:after="0" w:line="360" w:lineRule="auto"/>
        <w:rPr>
          <w:rFonts w:ascii="Times New Roman" w:hAnsi="Times New Roman"/>
          <w:sz w:val="26"/>
          <w:szCs w:val="26"/>
        </w:rPr>
      </w:pPr>
      <w:r w:rsidRPr="00A5340C">
        <w:rPr>
          <w:rFonts w:ascii="Times New Roman" w:hAnsi="Times New Roman"/>
          <w:sz w:val="26"/>
          <w:szCs w:val="26"/>
        </w:rPr>
        <w:tab/>
        <w:t xml:space="preserve">During the Prehearing </w:t>
      </w:r>
      <w:r w:rsidR="00570E2D" w:rsidRPr="00A5340C">
        <w:rPr>
          <w:rFonts w:ascii="Times New Roman" w:hAnsi="Times New Roman"/>
          <w:sz w:val="26"/>
          <w:szCs w:val="26"/>
        </w:rPr>
        <w:t>C</w:t>
      </w:r>
      <w:r w:rsidR="009E2773" w:rsidRPr="00A5340C">
        <w:rPr>
          <w:rFonts w:ascii="Times New Roman" w:hAnsi="Times New Roman"/>
          <w:sz w:val="26"/>
          <w:szCs w:val="26"/>
        </w:rPr>
        <w:t xml:space="preserve">onference, </w:t>
      </w:r>
      <w:r w:rsidRPr="00A5340C">
        <w:rPr>
          <w:rFonts w:ascii="Times New Roman" w:hAnsi="Times New Roman"/>
          <w:sz w:val="26"/>
          <w:szCs w:val="26"/>
        </w:rPr>
        <w:t xml:space="preserve">a schedule was set for </w:t>
      </w:r>
      <w:r w:rsidR="009E2773" w:rsidRPr="00A5340C">
        <w:rPr>
          <w:rFonts w:ascii="Times New Roman" w:hAnsi="Times New Roman"/>
          <w:sz w:val="26"/>
          <w:szCs w:val="26"/>
        </w:rPr>
        <w:t xml:space="preserve">public input </w:t>
      </w:r>
      <w:r w:rsidRPr="00A5340C">
        <w:rPr>
          <w:rFonts w:ascii="Times New Roman" w:hAnsi="Times New Roman"/>
          <w:sz w:val="26"/>
          <w:szCs w:val="26"/>
        </w:rPr>
        <w:t>hearings and forma</w:t>
      </w:r>
      <w:r w:rsidR="00F24D01" w:rsidRPr="00A5340C">
        <w:rPr>
          <w:rFonts w:ascii="Times New Roman" w:hAnsi="Times New Roman"/>
          <w:sz w:val="26"/>
          <w:szCs w:val="26"/>
        </w:rPr>
        <w:t>l testimony by the P</w:t>
      </w:r>
      <w:r w:rsidRPr="00A5340C">
        <w:rPr>
          <w:rFonts w:ascii="Times New Roman" w:hAnsi="Times New Roman"/>
          <w:sz w:val="26"/>
          <w:szCs w:val="26"/>
        </w:rPr>
        <w:t>arties</w:t>
      </w:r>
      <w:r w:rsidR="00D36F16" w:rsidRPr="00A5340C">
        <w:rPr>
          <w:rFonts w:ascii="Times New Roman" w:hAnsi="Times New Roman"/>
          <w:sz w:val="26"/>
          <w:szCs w:val="26"/>
        </w:rPr>
        <w:t xml:space="preserve">.  </w:t>
      </w:r>
      <w:r w:rsidRPr="00A5340C">
        <w:rPr>
          <w:rFonts w:ascii="Times New Roman" w:hAnsi="Times New Roman"/>
          <w:sz w:val="26"/>
          <w:szCs w:val="26"/>
        </w:rPr>
        <w:t xml:space="preserve">The first public input hearing was held on </w:t>
      </w:r>
      <w:r w:rsidR="00536D0E" w:rsidRPr="00A5340C">
        <w:rPr>
          <w:rFonts w:ascii="Times New Roman" w:hAnsi="Times New Roman"/>
          <w:sz w:val="26"/>
          <w:szCs w:val="26"/>
        </w:rPr>
        <w:t>July 22, 2013</w:t>
      </w:r>
      <w:r w:rsidR="005E6253" w:rsidRPr="00A5340C">
        <w:rPr>
          <w:rFonts w:ascii="Times New Roman" w:hAnsi="Times New Roman"/>
          <w:sz w:val="26"/>
          <w:szCs w:val="26"/>
        </w:rPr>
        <w:t>,</w:t>
      </w:r>
      <w:r w:rsidRPr="00A5340C">
        <w:rPr>
          <w:rFonts w:ascii="Times New Roman" w:hAnsi="Times New Roman"/>
          <w:sz w:val="26"/>
          <w:szCs w:val="26"/>
        </w:rPr>
        <w:t xml:space="preserve"> in </w:t>
      </w:r>
      <w:r w:rsidR="00536D0E" w:rsidRPr="00A5340C">
        <w:rPr>
          <w:rFonts w:ascii="Times New Roman" w:hAnsi="Times New Roman"/>
          <w:sz w:val="26"/>
          <w:szCs w:val="26"/>
        </w:rPr>
        <w:t>Pittsburgh</w:t>
      </w:r>
      <w:r w:rsidRPr="00A5340C">
        <w:rPr>
          <w:rFonts w:ascii="Times New Roman" w:hAnsi="Times New Roman"/>
          <w:sz w:val="26"/>
          <w:szCs w:val="26"/>
        </w:rPr>
        <w:t xml:space="preserve"> at the </w:t>
      </w:r>
      <w:proofErr w:type="spellStart"/>
      <w:r w:rsidR="00536D0E" w:rsidRPr="00A5340C">
        <w:rPr>
          <w:rFonts w:ascii="Times New Roman" w:hAnsi="Times New Roman"/>
          <w:sz w:val="26"/>
          <w:szCs w:val="26"/>
        </w:rPr>
        <w:t>Shaler</w:t>
      </w:r>
      <w:proofErr w:type="spellEnd"/>
      <w:r w:rsidR="00536D0E" w:rsidRPr="00A5340C">
        <w:rPr>
          <w:rFonts w:ascii="Times New Roman" w:hAnsi="Times New Roman"/>
          <w:sz w:val="26"/>
          <w:szCs w:val="26"/>
        </w:rPr>
        <w:t xml:space="preserve"> Vista Volunteer Fire Department.</w:t>
      </w:r>
      <w:r w:rsidR="00F24D01" w:rsidRPr="00A5340C">
        <w:rPr>
          <w:rFonts w:ascii="Times New Roman" w:hAnsi="Times New Roman"/>
          <w:sz w:val="26"/>
          <w:szCs w:val="26"/>
        </w:rPr>
        <w:t xml:space="preserve">  </w:t>
      </w:r>
      <w:r w:rsidR="00536D0E" w:rsidRPr="00A5340C">
        <w:rPr>
          <w:rFonts w:ascii="Times New Roman" w:hAnsi="Times New Roman"/>
          <w:sz w:val="26"/>
          <w:szCs w:val="26"/>
        </w:rPr>
        <w:t>On July 23, 2013, a second p</w:t>
      </w:r>
      <w:r w:rsidRPr="00A5340C">
        <w:rPr>
          <w:rFonts w:ascii="Times New Roman" w:hAnsi="Times New Roman"/>
          <w:sz w:val="26"/>
          <w:szCs w:val="26"/>
        </w:rPr>
        <w:t xml:space="preserve">ublic input hearing was held </w:t>
      </w:r>
      <w:r w:rsidR="009E6CB9" w:rsidRPr="00A5340C">
        <w:rPr>
          <w:rFonts w:ascii="Times New Roman" w:hAnsi="Times New Roman"/>
          <w:sz w:val="26"/>
          <w:szCs w:val="26"/>
        </w:rPr>
        <w:t>in Washington, Pennsylvania at the Washington County Fair and Expo Center</w:t>
      </w:r>
      <w:r w:rsidRPr="00A5340C">
        <w:rPr>
          <w:rFonts w:ascii="Times New Roman" w:hAnsi="Times New Roman"/>
          <w:sz w:val="26"/>
          <w:szCs w:val="26"/>
        </w:rPr>
        <w:t xml:space="preserve">.  The third </w:t>
      </w:r>
      <w:r w:rsidR="00667393" w:rsidRPr="00A5340C">
        <w:rPr>
          <w:rFonts w:ascii="Times New Roman" w:hAnsi="Times New Roman"/>
          <w:sz w:val="26"/>
          <w:szCs w:val="26"/>
        </w:rPr>
        <w:t xml:space="preserve">public input hearing </w:t>
      </w:r>
      <w:r w:rsidRPr="00A5340C">
        <w:rPr>
          <w:rFonts w:ascii="Times New Roman" w:hAnsi="Times New Roman"/>
          <w:sz w:val="26"/>
          <w:szCs w:val="26"/>
        </w:rPr>
        <w:t xml:space="preserve">was </w:t>
      </w:r>
      <w:r w:rsidR="00F24D01" w:rsidRPr="00A5340C">
        <w:rPr>
          <w:rFonts w:ascii="Times New Roman" w:hAnsi="Times New Roman"/>
          <w:sz w:val="26"/>
          <w:szCs w:val="26"/>
        </w:rPr>
        <w:t xml:space="preserve">held </w:t>
      </w:r>
      <w:r w:rsidR="009E6CB9" w:rsidRPr="00A5340C">
        <w:rPr>
          <w:rFonts w:ascii="Times New Roman" w:hAnsi="Times New Roman"/>
          <w:sz w:val="26"/>
          <w:szCs w:val="26"/>
        </w:rPr>
        <w:t xml:space="preserve">on July 31, 2013, in Camp Hill, Pennsylvania at the Camp Hill Borough Building.  </w:t>
      </w:r>
      <w:r w:rsidRPr="00A5340C">
        <w:rPr>
          <w:rFonts w:ascii="Times New Roman" w:hAnsi="Times New Roman"/>
          <w:sz w:val="26"/>
          <w:szCs w:val="26"/>
        </w:rPr>
        <w:t xml:space="preserve">The fourth </w:t>
      </w:r>
      <w:r w:rsidR="00667393" w:rsidRPr="00A5340C">
        <w:rPr>
          <w:rFonts w:ascii="Times New Roman" w:hAnsi="Times New Roman"/>
          <w:sz w:val="26"/>
          <w:szCs w:val="26"/>
        </w:rPr>
        <w:t>public input hearing</w:t>
      </w:r>
      <w:r w:rsidRPr="00A5340C">
        <w:rPr>
          <w:rFonts w:ascii="Times New Roman" w:hAnsi="Times New Roman"/>
          <w:sz w:val="26"/>
          <w:szCs w:val="26"/>
        </w:rPr>
        <w:t xml:space="preserve"> was </w:t>
      </w:r>
      <w:r w:rsidR="00F24D01" w:rsidRPr="00A5340C">
        <w:rPr>
          <w:rFonts w:ascii="Times New Roman" w:hAnsi="Times New Roman"/>
          <w:sz w:val="26"/>
          <w:szCs w:val="26"/>
        </w:rPr>
        <w:t xml:space="preserve">held </w:t>
      </w:r>
      <w:r w:rsidRPr="00A5340C">
        <w:rPr>
          <w:rFonts w:ascii="Times New Roman" w:hAnsi="Times New Roman"/>
          <w:sz w:val="26"/>
          <w:szCs w:val="26"/>
        </w:rPr>
        <w:t xml:space="preserve">on </w:t>
      </w:r>
      <w:r w:rsidR="009E6CB9" w:rsidRPr="00A5340C">
        <w:rPr>
          <w:rFonts w:ascii="Times New Roman" w:hAnsi="Times New Roman"/>
          <w:sz w:val="26"/>
          <w:szCs w:val="26"/>
        </w:rPr>
        <w:t xml:space="preserve">August 6, 2013, in Scranton, Pennsylvania at the Scranton State Office Building.  </w:t>
      </w:r>
      <w:r w:rsidRPr="00A5340C">
        <w:rPr>
          <w:rFonts w:ascii="Times New Roman" w:hAnsi="Times New Roman"/>
          <w:sz w:val="26"/>
          <w:szCs w:val="26"/>
        </w:rPr>
        <w:t xml:space="preserve">The fifth public input </w:t>
      </w:r>
      <w:r w:rsidR="00667393" w:rsidRPr="00A5340C">
        <w:rPr>
          <w:rFonts w:ascii="Times New Roman" w:hAnsi="Times New Roman"/>
          <w:sz w:val="26"/>
          <w:szCs w:val="26"/>
        </w:rPr>
        <w:t xml:space="preserve">hearing </w:t>
      </w:r>
      <w:r w:rsidR="007F6078" w:rsidRPr="00A5340C">
        <w:rPr>
          <w:rFonts w:ascii="Times New Roman" w:hAnsi="Times New Roman"/>
          <w:sz w:val="26"/>
          <w:szCs w:val="26"/>
        </w:rPr>
        <w:t>was held</w:t>
      </w:r>
      <w:r w:rsidRPr="00A5340C">
        <w:rPr>
          <w:rFonts w:ascii="Times New Roman" w:hAnsi="Times New Roman"/>
          <w:sz w:val="26"/>
          <w:szCs w:val="26"/>
        </w:rPr>
        <w:t xml:space="preserve"> at the </w:t>
      </w:r>
      <w:r w:rsidR="009E6CB9" w:rsidRPr="00A5340C">
        <w:rPr>
          <w:rFonts w:ascii="Times New Roman" w:hAnsi="Times New Roman"/>
          <w:sz w:val="26"/>
          <w:szCs w:val="26"/>
        </w:rPr>
        <w:t>Stroudsburg Area School District Auditorium in Stroud</w:t>
      </w:r>
      <w:r w:rsidR="00E05556">
        <w:rPr>
          <w:rFonts w:ascii="Times New Roman" w:hAnsi="Times New Roman"/>
          <w:sz w:val="26"/>
          <w:szCs w:val="26"/>
        </w:rPr>
        <w:t>sburg, Pennsylvania.  On August </w:t>
      </w:r>
      <w:r w:rsidR="009E6CB9" w:rsidRPr="00A5340C">
        <w:rPr>
          <w:rFonts w:ascii="Times New Roman" w:hAnsi="Times New Roman"/>
          <w:sz w:val="26"/>
          <w:szCs w:val="26"/>
        </w:rPr>
        <w:t xml:space="preserve">7, 2013, a sixth public input hearing was held in the Exeter Community Library </w:t>
      </w:r>
      <w:r w:rsidR="009E6CB9" w:rsidRPr="00A5340C">
        <w:rPr>
          <w:rFonts w:ascii="Times New Roman" w:hAnsi="Times New Roman"/>
          <w:sz w:val="26"/>
          <w:szCs w:val="26"/>
        </w:rPr>
        <w:lastRenderedPageBreak/>
        <w:t xml:space="preserve">in Reading, Pennsylvania.  The seventh and final public input hearing was held on August 8, 2013, in the East </w:t>
      </w:r>
      <w:proofErr w:type="spellStart"/>
      <w:r w:rsidR="009E6CB9" w:rsidRPr="00A5340C">
        <w:rPr>
          <w:rFonts w:ascii="Times New Roman" w:hAnsi="Times New Roman"/>
          <w:sz w:val="26"/>
          <w:szCs w:val="26"/>
        </w:rPr>
        <w:t>Fallowfield</w:t>
      </w:r>
      <w:proofErr w:type="spellEnd"/>
      <w:r w:rsidR="009E6CB9" w:rsidRPr="00A5340C">
        <w:rPr>
          <w:rFonts w:ascii="Times New Roman" w:hAnsi="Times New Roman"/>
          <w:sz w:val="26"/>
          <w:szCs w:val="26"/>
        </w:rPr>
        <w:t xml:space="preserve"> Township Building in West Chester, Pennsylvania.  </w:t>
      </w:r>
    </w:p>
    <w:p w:rsidR="00667393" w:rsidRPr="00A5340C" w:rsidRDefault="00DA4630" w:rsidP="000F5BDD">
      <w:pPr>
        <w:tabs>
          <w:tab w:val="left" w:pos="1440"/>
          <w:tab w:val="left" w:pos="9360"/>
        </w:tabs>
        <w:spacing w:after="0" w:line="360" w:lineRule="auto"/>
        <w:rPr>
          <w:rFonts w:ascii="Times New Roman" w:hAnsi="Times New Roman"/>
          <w:b/>
          <w:sz w:val="26"/>
          <w:szCs w:val="26"/>
        </w:rPr>
      </w:pPr>
      <w:r w:rsidRPr="00A5340C">
        <w:rPr>
          <w:rFonts w:ascii="Times New Roman" w:hAnsi="Times New Roman"/>
          <w:sz w:val="26"/>
          <w:szCs w:val="26"/>
        </w:rPr>
        <w:tab/>
      </w:r>
    </w:p>
    <w:p w:rsidR="005A3F0A" w:rsidRPr="00A5340C" w:rsidRDefault="00667393" w:rsidP="000F5BDD">
      <w:pPr>
        <w:pStyle w:val="NoSpacing"/>
        <w:spacing w:line="360" w:lineRule="auto"/>
        <w:rPr>
          <w:sz w:val="26"/>
          <w:szCs w:val="26"/>
        </w:rPr>
      </w:pPr>
      <w:r w:rsidRPr="00A5340C">
        <w:rPr>
          <w:sz w:val="26"/>
          <w:szCs w:val="26"/>
        </w:rPr>
        <w:tab/>
      </w:r>
      <w:r w:rsidR="005A3F0A" w:rsidRPr="00A5340C">
        <w:rPr>
          <w:sz w:val="26"/>
          <w:szCs w:val="26"/>
        </w:rPr>
        <w:tab/>
      </w:r>
      <w:r w:rsidR="00AC4149" w:rsidRPr="00A5340C">
        <w:rPr>
          <w:sz w:val="26"/>
          <w:szCs w:val="26"/>
        </w:rPr>
        <w:t xml:space="preserve">On September 16, 2013, </w:t>
      </w:r>
      <w:r w:rsidR="00FB6595" w:rsidRPr="00A5340C">
        <w:rPr>
          <w:sz w:val="26"/>
          <w:szCs w:val="26"/>
        </w:rPr>
        <w:t>the P</w:t>
      </w:r>
      <w:r w:rsidR="00AC4149" w:rsidRPr="00A5340C">
        <w:rPr>
          <w:sz w:val="26"/>
          <w:szCs w:val="26"/>
        </w:rPr>
        <w:t xml:space="preserve">arties represented by counsel notified the ALJs that a settlement in principle had been reached.  On October 18, 2013, </w:t>
      </w:r>
      <w:r w:rsidR="00055623">
        <w:rPr>
          <w:sz w:val="26"/>
          <w:szCs w:val="26"/>
        </w:rPr>
        <w:t>the following Parties filed the Settlement:</w:t>
      </w:r>
      <w:r w:rsidR="00AC4149" w:rsidRPr="00A5340C">
        <w:rPr>
          <w:sz w:val="26"/>
          <w:szCs w:val="26"/>
        </w:rPr>
        <w:t xml:space="preserve"> PAWC, I&amp;E, OCA, OSBA, CEO and PAWLUG</w:t>
      </w:r>
      <w:r w:rsidR="00A5675B">
        <w:rPr>
          <w:sz w:val="26"/>
          <w:szCs w:val="26"/>
        </w:rPr>
        <w:t xml:space="preserve"> (Joint Petitioners)</w:t>
      </w:r>
      <w:r w:rsidR="00AC4149" w:rsidRPr="00A5340C">
        <w:rPr>
          <w:sz w:val="26"/>
          <w:szCs w:val="26"/>
        </w:rPr>
        <w:t xml:space="preserve">. </w:t>
      </w:r>
      <w:r w:rsidR="00055623">
        <w:rPr>
          <w:sz w:val="26"/>
          <w:szCs w:val="26"/>
        </w:rPr>
        <w:t xml:space="preserve"> </w:t>
      </w:r>
      <w:r w:rsidR="00AC4149" w:rsidRPr="00A5340C">
        <w:rPr>
          <w:sz w:val="26"/>
          <w:szCs w:val="26"/>
        </w:rPr>
        <w:t xml:space="preserve">Also on October 18, 2013, PWSA and </w:t>
      </w:r>
      <w:r w:rsidR="00AC4149" w:rsidRPr="00A5340C">
        <w:rPr>
          <w:i/>
          <w:sz w:val="26"/>
          <w:szCs w:val="26"/>
        </w:rPr>
        <w:t xml:space="preserve">pro se </w:t>
      </w:r>
      <w:r w:rsidR="00AC4149" w:rsidRPr="00A5340C">
        <w:rPr>
          <w:sz w:val="26"/>
          <w:szCs w:val="26"/>
        </w:rPr>
        <w:t>Complainants Neufeld and Miller submitted statements of non-opposition</w:t>
      </w:r>
      <w:r w:rsidR="000C65F9">
        <w:rPr>
          <w:sz w:val="26"/>
          <w:szCs w:val="26"/>
        </w:rPr>
        <w:t xml:space="preserve"> to the Settlement</w:t>
      </w:r>
      <w:r w:rsidR="00AC4149" w:rsidRPr="00A5340C">
        <w:rPr>
          <w:sz w:val="26"/>
          <w:szCs w:val="26"/>
        </w:rPr>
        <w:t xml:space="preserve">.  On October 24, 2013, US Steel </w:t>
      </w:r>
      <w:r w:rsidR="00FB6595" w:rsidRPr="00A5340C">
        <w:rPr>
          <w:sz w:val="26"/>
          <w:szCs w:val="26"/>
        </w:rPr>
        <w:t xml:space="preserve">filed a letter of non-opposition to </w:t>
      </w:r>
      <w:r w:rsidR="00055623">
        <w:rPr>
          <w:sz w:val="26"/>
          <w:szCs w:val="26"/>
        </w:rPr>
        <w:t xml:space="preserve">the </w:t>
      </w:r>
      <w:r w:rsidR="00FB6595" w:rsidRPr="00A5340C">
        <w:rPr>
          <w:sz w:val="26"/>
          <w:szCs w:val="26"/>
        </w:rPr>
        <w:t xml:space="preserve">Settlement. </w:t>
      </w:r>
    </w:p>
    <w:p w:rsidR="00667393" w:rsidRPr="00A5340C" w:rsidRDefault="00667393" w:rsidP="000F5BDD">
      <w:pPr>
        <w:pStyle w:val="NoSpacing"/>
        <w:spacing w:line="360" w:lineRule="auto"/>
        <w:rPr>
          <w:sz w:val="26"/>
          <w:szCs w:val="26"/>
        </w:rPr>
      </w:pPr>
    </w:p>
    <w:p w:rsidR="00D925D1" w:rsidRPr="00A5340C" w:rsidRDefault="00322EC1" w:rsidP="00FB6595">
      <w:pPr>
        <w:pStyle w:val="NoSpacing"/>
        <w:spacing w:line="360" w:lineRule="auto"/>
        <w:rPr>
          <w:sz w:val="26"/>
          <w:szCs w:val="26"/>
        </w:rPr>
      </w:pPr>
      <w:r w:rsidRPr="00A5340C">
        <w:rPr>
          <w:sz w:val="26"/>
          <w:szCs w:val="26"/>
        </w:rPr>
        <w:tab/>
      </w:r>
      <w:r w:rsidR="007E3DA9" w:rsidRPr="00A5340C">
        <w:rPr>
          <w:sz w:val="26"/>
          <w:szCs w:val="26"/>
        </w:rPr>
        <w:tab/>
      </w:r>
      <w:r w:rsidR="000C65F9">
        <w:rPr>
          <w:sz w:val="26"/>
          <w:szCs w:val="26"/>
        </w:rPr>
        <w:t>The n</w:t>
      </w:r>
      <w:r w:rsidR="00631B41" w:rsidRPr="00A5340C">
        <w:rPr>
          <w:sz w:val="26"/>
          <w:szCs w:val="26"/>
        </w:rPr>
        <w:t>on-signatory</w:t>
      </w:r>
      <w:r w:rsidR="00FB6595" w:rsidRPr="00A5340C">
        <w:rPr>
          <w:sz w:val="26"/>
          <w:szCs w:val="26"/>
        </w:rPr>
        <w:t>, inactive Parties</w:t>
      </w:r>
      <w:r w:rsidR="00D925D1" w:rsidRPr="00A5340C">
        <w:rPr>
          <w:sz w:val="26"/>
          <w:szCs w:val="26"/>
        </w:rPr>
        <w:t xml:space="preserve"> </w:t>
      </w:r>
      <w:r w:rsidR="00631B41" w:rsidRPr="00A5340C">
        <w:rPr>
          <w:sz w:val="26"/>
          <w:szCs w:val="26"/>
        </w:rPr>
        <w:t xml:space="preserve">were </w:t>
      </w:r>
      <w:r w:rsidR="00D925D1" w:rsidRPr="00A5340C">
        <w:rPr>
          <w:sz w:val="26"/>
          <w:szCs w:val="26"/>
        </w:rPr>
        <w:t xml:space="preserve">also </w:t>
      </w:r>
      <w:r w:rsidR="002F6330" w:rsidRPr="00A5340C">
        <w:rPr>
          <w:sz w:val="26"/>
          <w:szCs w:val="26"/>
        </w:rPr>
        <w:t>notified of the proposed S</w:t>
      </w:r>
      <w:r w:rsidR="00631B41" w:rsidRPr="00A5340C">
        <w:rPr>
          <w:sz w:val="26"/>
          <w:szCs w:val="26"/>
        </w:rPr>
        <w:t xml:space="preserve">ettlement by </w:t>
      </w:r>
      <w:r w:rsidR="00D925D1" w:rsidRPr="00A5340C">
        <w:rPr>
          <w:sz w:val="26"/>
          <w:szCs w:val="26"/>
        </w:rPr>
        <w:t xml:space="preserve">a </w:t>
      </w:r>
      <w:r w:rsidR="00FB6595" w:rsidRPr="00A5340C">
        <w:rPr>
          <w:sz w:val="26"/>
          <w:szCs w:val="26"/>
        </w:rPr>
        <w:t>l</w:t>
      </w:r>
      <w:r w:rsidR="00631B41" w:rsidRPr="00A5340C">
        <w:rPr>
          <w:sz w:val="26"/>
          <w:szCs w:val="26"/>
        </w:rPr>
        <w:t xml:space="preserve">etter from </w:t>
      </w:r>
      <w:r w:rsidR="00AF2CC8" w:rsidRPr="00A5340C">
        <w:rPr>
          <w:sz w:val="26"/>
          <w:szCs w:val="26"/>
        </w:rPr>
        <w:t xml:space="preserve">the </w:t>
      </w:r>
      <w:r w:rsidR="00631B41" w:rsidRPr="00A5340C">
        <w:rPr>
          <w:sz w:val="26"/>
          <w:szCs w:val="26"/>
        </w:rPr>
        <w:t xml:space="preserve">OCA.  </w:t>
      </w:r>
      <w:r w:rsidR="00D925D1" w:rsidRPr="00A5340C">
        <w:rPr>
          <w:sz w:val="26"/>
          <w:szCs w:val="26"/>
        </w:rPr>
        <w:t>I</w:t>
      </w:r>
      <w:r w:rsidR="00FB6595" w:rsidRPr="00A5340C">
        <w:rPr>
          <w:sz w:val="26"/>
          <w:szCs w:val="26"/>
        </w:rPr>
        <w:t>n that l</w:t>
      </w:r>
      <w:r w:rsidR="00D925D1" w:rsidRPr="00A5340C">
        <w:rPr>
          <w:sz w:val="26"/>
          <w:szCs w:val="26"/>
        </w:rPr>
        <w:t xml:space="preserve">etter, </w:t>
      </w:r>
      <w:r w:rsidR="00AF2CC8" w:rsidRPr="00A5340C">
        <w:rPr>
          <w:sz w:val="26"/>
          <w:szCs w:val="26"/>
        </w:rPr>
        <w:t>the P</w:t>
      </w:r>
      <w:r w:rsidR="00D925D1" w:rsidRPr="00A5340C">
        <w:rPr>
          <w:sz w:val="26"/>
          <w:szCs w:val="26"/>
        </w:rPr>
        <w:t xml:space="preserve">arties were </w:t>
      </w:r>
      <w:r w:rsidR="00F92E4E" w:rsidRPr="00A5340C">
        <w:rPr>
          <w:sz w:val="26"/>
          <w:szCs w:val="26"/>
        </w:rPr>
        <w:t xml:space="preserve">notified that </w:t>
      </w:r>
      <w:r w:rsidR="00D925D1" w:rsidRPr="00A5340C">
        <w:rPr>
          <w:sz w:val="26"/>
          <w:szCs w:val="26"/>
        </w:rPr>
        <w:t>a</w:t>
      </w:r>
      <w:r w:rsidR="00A96DBD" w:rsidRPr="00A5340C">
        <w:rPr>
          <w:sz w:val="26"/>
          <w:szCs w:val="26"/>
        </w:rPr>
        <w:t xml:space="preserve">ccess to the </w:t>
      </w:r>
      <w:r w:rsidR="00FB6595" w:rsidRPr="00A5340C">
        <w:rPr>
          <w:sz w:val="26"/>
          <w:szCs w:val="26"/>
        </w:rPr>
        <w:t xml:space="preserve">Joint </w:t>
      </w:r>
      <w:r w:rsidR="00A96DBD" w:rsidRPr="00A5340C">
        <w:rPr>
          <w:sz w:val="26"/>
          <w:szCs w:val="26"/>
        </w:rPr>
        <w:t>S</w:t>
      </w:r>
      <w:r w:rsidR="00F92E4E" w:rsidRPr="00A5340C">
        <w:rPr>
          <w:sz w:val="26"/>
          <w:szCs w:val="26"/>
        </w:rPr>
        <w:t xml:space="preserve">ettlement was </w:t>
      </w:r>
      <w:r w:rsidR="00FB6595" w:rsidRPr="00A5340C">
        <w:rPr>
          <w:sz w:val="26"/>
          <w:szCs w:val="26"/>
        </w:rPr>
        <w:t xml:space="preserve">available </w:t>
      </w:r>
      <w:r w:rsidR="00F92E4E" w:rsidRPr="00A5340C">
        <w:rPr>
          <w:sz w:val="26"/>
          <w:szCs w:val="26"/>
        </w:rPr>
        <w:t xml:space="preserve">through an internet website.  </w:t>
      </w:r>
      <w:r w:rsidR="00A96DBD" w:rsidRPr="00A5340C">
        <w:rPr>
          <w:sz w:val="26"/>
          <w:szCs w:val="26"/>
        </w:rPr>
        <w:t xml:space="preserve">The </w:t>
      </w:r>
      <w:r w:rsidR="00FB6595" w:rsidRPr="00A5340C">
        <w:rPr>
          <w:sz w:val="26"/>
          <w:szCs w:val="26"/>
        </w:rPr>
        <w:t>l</w:t>
      </w:r>
      <w:r w:rsidR="00631B41" w:rsidRPr="00A5340C">
        <w:rPr>
          <w:sz w:val="26"/>
          <w:szCs w:val="26"/>
        </w:rPr>
        <w:t>etter also provi</w:t>
      </w:r>
      <w:r w:rsidR="00A96DBD" w:rsidRPr="00A5340C">
        <w:rPr>
          <w:sz w:val="26"/>
          <w:szCs w:val="26"/>
        </w:rPr>
        <w:t>ded a form through which the P</w:t>
      </w:r>
      <w:r w:rsidR="00631B41" w:rsidRPr="00A5340C">
        <w:rPr>
          <w:sz w:val="26"/>
          <w:szCs w:val="26"/>
        </w:rPr>
        <w:t>arties could indi</w:t>
      </w:r>
      <w:r w:rsidR="002F6330" w:rsidRPr="00A5340C">
        <w:rPr>
          <w:sz w:val="26"/>
          <w:szCs w:val="26"/>
        </w:rPr>
        <w:t>cate whether they accepted the S</w:t>
      </w:r>
      <w:r w:rsidR="00631B41" w:rsidRPr="00A5340C">
        <w:rPr>
          <w:sz w:val="26"/>
          <w:szCs w:val="26"/>
        </w:rPr>
        <w:t xml:space="preserve">ettlement, opposed the </w:t>
      </w:r>
      <w:r w:rsidR="002F6330" w:rsidRPr="00A5340C">
        <w:rPr>
          <w:sz w:val="26"/>
          <w:szCs w:val="26"/>
        </w:rPr>
        <w:t>S</w:t>
      </w:r>
      <w:r w:rsidR="00631B41" w:rsidRPr="00A5340C">
        <w:rPr>
          <w:sz w:val="26"/>
          <w:szCs w:val="26"/>
        </w:rPr>
        <w:t xml:space="preserve">ettlement or had no position.  </w:t>
      </w:r>
    </w:p>
    <w:p w:rsidR="007E3DA9" w:rsidRPr="00A5340C" w:rsidRDefault="007E3DA9" w:rsidP="000F5BDD">
      <w:pPr>
        <w:spacing w:after="0" w:line="360" w:lineRule="auto"/>
        <w:rPr>
          <w:rFonts w:ascii="Times New Roman" w:hAnsi="Times New Roman"/>
          <w:sz w:val="26"/>
          <w:szCs w:val="26"/>
        </w:rPr>
      </w:pPr>
    </w:p>
    <w:p w:rsidR="00113BC1" w:rsidRPr="00A5340C" w:rsidRDefault="00BC6F16" w:rsidP="00B42182">
      <w:pPr>
        <w:spacing w:after="0" w:line="360" w:lineRule="auto"/>
        <w:rPr>
          <w:rFonts w:ascii="Times New Roman" w:hAnsi="Times New Roman"/>
          <w:sz w:val="26"/>
          <w:szCs w:val="26"/>
        </w:rPr>
      </w:pPr>
      <w:r w:rsidRPr="00A5340C">
        <w:rPr>
          <w:rFonts w:ascii="Times New Roman" w:hAnsi="Times New Roman"/>
          <w:sz w:val="26"/>
          <w:szCs w:val="26"/>
        </w:rPr>
        <w:tab/>
      </w:r>
      <w:r w:rsidR="00113BC1" w:rsidRPr="00A5340C">
        <w:rPr>
          <w:rFonts w:ascii="Times New Roman" w:hAnsi="Times New Roman"/>
          <w:sz w:val="26"/>
          <w:szCs w:val="26"/>
        </w:rPr>
        <w:tab/>
      </w:r>
      <w:r w:rsidR="00C924A9" w:rsidRPr="00A5340C">
        <w:rPr>
          <w:rFonts w:ascii="Times New Roman" w:hAnsi="Times New Roman"/>
          <w:sz w:val="26"/>
          <w:szCs w:val="26"/>
        </w:rPr>
        <w:t xml:space="preserve">Dawn </w:t>
      </w:r>
      <w:proofErr w:type="spellStart"/>
      <w:r w:rsidR="00C924A9" w:rsidRPr="00A5340C">
        <w:rPr>
          <w:rFonts w:ascii="Times New Roman" w:hAnsi="Times New Roman"/>
          <w:sz w:val="26"/>
          <w:szCs w:val="26"/>
        </w:rPr>
        <w:t>Spielvogel</w:t>
      </w:r>
      <w:proofErr w:type="spellEnd"/>
      <w:r w:rsidR="00C924A9" w:rsidRPr="00A5340C">
        <w:rPr>
          <w:rFonts w:ascii="Times New Roman" w:hAnsi="Times New Roman"/>
          <w:sz w:val="26"/>
          <w:szCs w:val="26"/>
        </w:rPr>
        <w:t xml:space="preserve">, an inactive participant, supported the Settlement.  The following parties chose to oppose the Settlement:  S. Stockton </w:t>
      </w:r>
      <w:proofErr w:type="spellStart"/>
      <w:r w:rsidR="00C924A9" w:rsidRPr="00A5340C">
        <w:rPr>
          <w:rFonts w:ascii="Times New Roman" w:hAnsi="Times New Roman"/>
          <w:sz w:val="26"/>
          <w:szCs w:val="26"/>
        </w:rPr>
        <w:t>Alloway</w:t>
      </w:r>
      <w:proofErr w:type="spellEnd"/>
      <w:r w:rsidR="00C924A9" w:rsidRPr="00A5340C">
        <w:rPr>
          <w:rFonts w:ascii="Times New Roman" w:hAnsi="Times New Roman"/>
          <w:sz w:val="26"/>
          <w:szCs w:val="26"/>
        </w:rPr>
        <w:t>,</w:t>
      </w:r>
      <w:r w:rsidR="00E05556">
        <w:rPr>
          <w:rFonts w:ascii="Times New Roman" w:hAnsi="Times New Roman"/>
          <w:sz w:val="26"/>
          <w:szCs w:val="26"/>
        </w:rPr>
        <w:t xml:space="preserve"> Mr. </w:t>
      </w:r>
      <w:proofErr w:type="spellStart"/>
      <w:r w:rsidR="00E05556">
        <w:rPr>
          <w:rFonts w:ascii="Times New Roman" w:hAnsi="Times New Roman"/>
          <w:sz w:val="26"/>
          <w:szCs w:val="26"/>
        </w:rPr>
        <w:t>Kazimer</w:t>
      </w:r>
      <w:proofErr w:type="spellEnd"/>
      <w:r w:rsidR="00E05556">
        <w:rPr>
          <w:rFonts w:ascii="Times New Roman" w:hAnsi="Times New Roman"/>
          <w:sz w:val="26"/>
          <w:szCs w:val="26"/>
        </w:rPr>
        <w:t xml:space="preserve">, and Thad </w:t>
      </w:r>
      <w:proofErr w:type="spellStart"/>
      <w:r w:rsidR="00E05556">
        <w:rPr>
          <w:rFonts w:ascii="Times New Roman" w:hAnsi="Times New Roman"/>
          <w:sz w:val="26"/>
          <w:szCs w:val="26"/>
        </w:rPr>
        <w:t>Shirey</w:t>
      </w:r>
      <w:proofErr w:type="spellEnd"/>
      <w:r w:rsidR="00E05556">
        <w:rPr>
          <w:rFonts w:ascii="Times New Roman" w:hAnsi="Times New Roman"/>
          <w:sz w:val="26"/>
          <w:szCs w:val="26"/>
        </w:rPr>
        <w:t xml:space="preserve">. </w:t>
      </w:r>
    </w:p>
    <w:p w:rsidR="00B42182" w:rsidRPr="00A5340C" w:rsidRDefault="00B42182" w:rsidP="00F83021">
      <w:pPr>
        <w:widowControl w:val="0"/>
        <w:spacing w:after="0" w:line="360" w:lineRule="auto"/>
        <w:rPr>
          <w:rFonts w:ascii="Times New Roman" w:hAnsi="Times New Roman"/>
          <w:sz w:val="26"/>
          <w:szCs w:val="26"/>
        </w:rPr>
      </w:pPr>
    </w:p>
    <w:p w:rsidR="00AD715A" w:rsidRPr="00A5340C" w:rsidRDefault="00F83021" w:rsidP="004E4B6A">
      <w:pPr>
        <w:pStyle w:val="BodyText2"/>
        <w:widowControl w:val="0"/>
        <w:rPr>
          <w:sz w:val="26"/>
          <w:szCs w:val="26"/>
        </w:rPr>
      </w:pPr>
      <w:r w:rsidRPr="00A5340C">
        <w:rPr>
          <w:sz w:val="26"/>
          <w:szCs w:val="26"/>
        </w:rPr>
        <w:tab/>
      </w:r>
      <w:r w:rsidRPr="00A5340C">
        <w:rPr>
          <w:sz w:val="26"/>
          <w:szCs w:val="26"/>
        </w:rPr>
        <w:tab/>
      </w:r>
      <w:r w:rsidR="00FB1471" w:rsidRPr="00A5340C">
        <w:rPr>
          <w:sz w:val="26"/>
          <w:szCs w:val="26"/>
        </w:rPr>
        <w:t xml:space="preserve">The record </w:t>
      </w:r>
      <w:r w:rsidR="00055623">
        <w:rPr>
          <w:sz w:val="26"/>
          <w:szCs w:val="26"/>
        </w:rPr>
        <w:t xml:space="preserve">was </w:t>
      </w:r>
      <w:r w:rsidR="00FB1471" w:rsidRPr="00A5340C">
        <w:rPr>
          <w:sz w:val="26"/>
          <w:szCs w:val="26"/>
        </w:rPr>
        <w:t xml:space="preserve">closed on </w:t>
      </w:r>
      <w:r w:rsidR="00B7201F" w:rsidRPr="00A5340C">
        <w:rPr>
          <w:sz w:val="26"/>
          <w:szCs w:val="26"/>
        </w:rPr>
        <w:t>October 28, 2013</w:t>
      </w:r>
      <w:r w:rsidR="0037072F" w:rsidRPr="00A5340C">
        <w:rPr>
          <w:sz w:val="26"/>
          <w:szCs w:val="26"/>
        </w:rPr>
        <w:t xml:space="preserve">. </w:t>
      </w:r>
    </w:p>
    <w:p w:rsidR="00A932B7" w:rsidRPr="00A5340C" w:rsidRDefault="00A932B7" w:rsidP="000F5BDD">
      <w:pPr>
        <w:pStyle w:val="NoSpacing"/>
        <w:spacing w:line="360" w:lineRule="auto"/>
        <w:rPr>
          <w:sz w:val="26"/>
          <w:szCs w:val="26"/>
        </w:rPr>
      </w:pPr>
    </w:p>
    <w:p w:rsidR="000C65F9" w:rsidRDefault="00623C99" w:rsidP="00795B15">
      <w:pPr>
        <w:suppressAutoHyphens/>
        <w:spacing w:after="0" w:line="360" w:lineRule="auto"/>
        <w:ind w:firstLine="1440"/>
        <w:rPr>
          <w:rFonts w:ascii="Times New Roman" w:hAnsi="Times New Roman"/>
          <w:sz w:val="26"/>
          <w:szCs w:val="26"/>
        </w:rPr>
      </w:pPr>
      <w:r w:rsidRPr="00A5340C">
        <w:rPr>
          <w:rFonts w:ascii="Times New Roman" w:hAnsi="Times New Roman"/>
          <w:sz w:val="26"/>
          <w:szCs w:val="26"/>
        </w:rPr>
        <w:t xml:space="preserve">In </w:t>
      </w:r>
      <w:r w:rsidR="00FD7833" w:rsidRPr="00A5340C">
        <w:rPr>
          <w:rFonts w:ascii="Times New Roman" w:hAnsi="Times New Roman"/>
          <w:sz w:val="26"/>
          <w:szCs w:val="26"/>
        </w:rPr>
        <w:t>thei</w:t>
      </w:r>
      <w:r w:rsidRPr="00A5340C">
        <w:rPr>
          <w:rFonts w:ascii="Times New Roman" w:hAnsi="Times New Roman"/>
          <w:sz w:val="26"/>
          <w:szCs w:val="26"/>
        </w:rPr>
        <w:t>r Recommended Decision</w:t>
      </w:r>
      <w:r w:rsidR="0001206E">
        <w:rPr>
          <w:rFonts w:ascii="Times New Roman" w:hAnsi="Times New Roman"/>
          <w:sz w:val="26"/>
          <w:szCs w:val="26"/>
        </w:rPr>
        <w:t>,</w:t>
      </w:r>
      <w:r w:rsidR="000C65F9">
        <w:rPr>
          <w:rFonts w:ascii="Times New Roman" w:hAnsi="Times New Roman"/>
          <w:sz w:val="26"/>
          <w:szCs w:val="26"/>
        </w:rPr>
        <w:t xml:space="preserve"> issued on November 8, 2013</w:t>
      </w:r>
      <w:r w:rsidRPr="00A5340C">
        <w:rPr>
          <w:rFonts w:ascii="Times New Roman" w:hAnsi="Times New Roman"/>
          <w:sz w:val="26"/>
          <w:szCs w:val="26"/>
        </w:rPr>
        <w:t xml:space="preserve">, the </w:t>
      </w:r>
      <w:r w:rsidR="00CA47F1" w:rsidRPr="00A5340C">
        <w:rPr>
          <w:rFonts w:ascii="Times New Roman" w:hAnsi="Times New Roman"/>
          <w:sz w:val="26"/>
          <w:szCs w:val="26"/>
        </w:rPr>
        <w:t>ALJs</w:t>
      </w:r>
      <w:r w:rsidRPr="00A5340C">
        <w:rPr>
          <w:rFonts w:ascii="Times New Roman" w:hAnsi="Times New Roman"/>
          <w:sz w:val="26"/>
          <w:szCs w:val="26"/>
        </w:rPr>
        <w:t xml:space="preserve"> found, </w:t>
      </w:r>
      <w:r w:rsidRPr="00A5340C">
        <w:rPr>
          <w:rFonts w:ascii="Times New Roman" w:hAnsi="Times New Roman"/>
          <w:i/>
          <w:sz w:val="26"/>
          <w:szCs w:val="26"/>
        </w:rPr>
        <w:t>inter alia</w:t>
      </w:r>
      <w:r w:rsidRPr="00A5340C">
        <w:rPr>
          <w:rFonts w:ascii="Times New Roman" w:hAnsi="Times New Roman"/>
          <w:sz w:val="26"/>
          <w:szCs w:val="26"/>
        </w:rPr>
        <w:t xml:space="preserve">, that the Settlement submitted by the Joint Parties is just and reasonable and should be approved.  The </w:t>
      </w:r>
      <w:r w:rsidR="00CA47F1" w:rsidRPr="00A5340C">
        <w:rPr>
          <w:rFonts w:ascii="Times New Roman" w:hAnsi="Times New Roman"/>
          <w:sz w:val="26"/>
          <w:szCs w:val="26"/>
        </w:rPr>
        <w:t>ALJs</w:t>
      </w:r>
      <w:r w:rsidRPr="00A5340C">
        <w:rPr>
          <w:rFonts w:ascii="Times New Roman" w:hAnsi="Times New Roman"/>
          <w:sz w:val="26"/>
          <w:szCs w:val="26"/>
        </w:rPr>
        <w:t xml:space="preserve"> further found that, upon the Commission’s approval of the Settlement, the Company will receive a stipulated</w:t>
      </w:r>
      <w:r w:rsidR="006F35A0" w:rsidRPr="00A5340C">
        <w:rPr>
          <w:rFonts w:ascii="Times New Roman" w:hAnsi="Times New Roman"/>
          <w:sz w:val="26"/>
          <w:szCs w:val="26"/>
        </w:rPr>
        <w:t xml:space="preserve"> increase in annual revenues of $</w:t>
      </w:r>
      <w:r w:rsidR="00B7201F" w:rsidRPr="00A5340C">
        <w:rPr>
          <w:rFonts w:ascii="Times New Roman" w:hAnsi="Times New Roman"/>
          <w:sz w:val="26"/>
          <w:szCs w:val="26"/>
        </w:rPr>
        <w:t>26</w:t>
      </w:r>
      <w:r w:rsidRPr="00A5340C">
        <w:rPr>
          <w:rFonts w:ascii="Times New Roman" w:hAnsi="Times New Roman"/>
          <w:sz w:val="26"/>
          <w:szCs w:val="26"/>
        </w:rPr>
        <w:t xml:space="preserve"> million, in lieu of the Company’s original base</w:t>
      </w:r>
      <w:r w:rsidR="006F35A0" w:rsidRPr="00A5340C">
        <w:rPr>
          <w:rFonts w:ascii="Times New Roman" w:hAnsi="Times New Roman"/>
          <w:sz w:val="26"/>
          <w:szCs w:val="26"/>
        </w:rPr>
        <w:t xml:space="preserve"> rate increase request </w:t>
      </w:r>
      <w:r w:rsidR="0001206E">
        <w:rPr>
          <w:rFonts w:ascii="Times New Roman" w:hAnsi="Times New Roman"/>
          <w:sz w:val="26"/>
          <w:szCs w:val="26"/>
        </w:rPr>
        <w:t>of</w:t>
      </w:r>
      <w:r w:rsidR="006F35A0" w:rsidRPr="00A5340C">
        <w:rPr>
          <w:rFonts w:ascii="Times New Roman" w:hAnsi="Times New Roman"/>
          <w:sz w:val="26"/>
          <w:szCs w:val="26"/>
        </w:rPr>
        <w:t xml:space="preserve"> $</w:t>
      </w:r>
      <w:r w:rsidR="00B7201F" w:rsidRPr="00A5340C">
        <w:rPr>
          <w:rFonts w:ascii="Times New Roman" w:hAnsi="Times New Roman"/>
          <w:sz w:val="26"/>
          <w:szCs w:val="26"/>
        </w:rPr>
        <w:t>58.6</w:t>
      </w:r>
      <w:r w:rsidR="006F35A0" w:rsidRPr="00A5340C">
        <w:rPr>
          <w:rFonts w:ascii="Times New Roman" w:hAnsi="Times New Roman"/>
          <w:sz w:val="26"/>
          <w:szCs w:val="26"/>
        </w:rPr>
        <w:t xml:space="preserve"> million</w:t>
      </w:r>
      <w:r w:rsidR="00B7201F" w:rsidRPr="00A5340C">
        <w:rPr>
          <w:rFonts w:ascii="Times New Roman" w:hAnsi="Times New Roman"/>
          <w:sz w:val="26"/>
          <w:szCs w:val="26"/>
        </w:rPr>
        <w:t xml:space="preserve">, </w:t>
      </w:r>
      <w:r w:rsidR="00784C2A" w:rsidRPr="00A5340C">
        <w:rPr>
          <w:rFonts w:ascii="Times New Roman" w:hAnsi="Times New Roman"/>
          <w:sz w:val="26"/>
          <w:szCs w:val="26"/>
        </w:rPr>
        <w:lastRenderedPageBreak/>
        <w:t>which</w:t>
      </w:r>
      <w:r w:rsidR="00B7201F" w:rsidRPr="00A5340C">
        <w:rPr>
          <w:rFonts w:ascii="Times New Roman" w:hAnsi="Times New Roman"/>
          <w:sz w:val="26"/>
          <w:szCs w:val="26"/>
        </w:rPr>
        <w:t xml:space="preserve"> </w:t>
      </w:r>
      <w:r w:rsidR="0001206E">
        <w:rPr>
          <w:rFonts w:ascii="Times New Roman" w:hAnsi="Times New Roman"/>
          <w:sz w:val="26"/>
          <w:szCs w:val="26"/>
        </w:rPr>
        <w:t xml:space="preserve">will </w:t>
      </w:r>
      <w:r w:rsidR="00B7201F" w:rsidRPr="00A5340C">
        <w:rPr>
          <w:rFonts w:ascii="Times New Roman" w:hAnsi="Times New Roman"/>
          <w:sz w:val="26"/>
          <w:szCs w:val="26"/>
        </w:rPr>
        <w:t>produce approximately $604.6 million in total annual combined water and wastewater revenue</w:t>
      </w:r>
      <w:r w:rsidR="006F35A0" w:rsidRPr="00A5340C">
        <w:rPr>
          <w:rFonts w:ascii="Times New Roman" w:hAnsi="Times New Roman"/>
          <w:sz w:val="26"/>
          <w:szCs w:val="26"/>
        </w:rPr>
        <w:t xml:space="preserve">.  R.D. at </w:t>
      </w:r>
      <w:r w:rsidR="00B7201F" w:rsidRPr="00A5340C">
        <w:rPr>
          <w:rFonts w:ascii="Times New Roman" w:hAnsi="Times New Roman"/>
          <w:sz w:val="26"/>
          <w:szCs w:val="26"/>
        </w:rPr>
        <w:t>48-49</w:t>
      </w:r>
      <w:r w:rsidRPr="00A5340C">
        <w:rPr>
          <w:rFonts w:ascii="Times New Roman" w:hAnsi="Times New Roman"/>
          <w:sz w:val="26"/>
          <w:szCs w:val="26"/>
        </w:rPr>
        <w:t xml:space="preserve">.  </w:t>
      </w:r>
    </w:p>
    <w:p w:rsidR="000C65F9" w:rsidRDefault="000C65F9" w:rsidP="00795B15">
      <w:pPr>
        <w:suppressAutoHyphens/>
        <w:spacing w:after="0" w:line="360" w:lineRule="auto"/>
        <w:ind w:firstLine="1440"/>
        <w:rPr>
          <w:rFonts w:ascii="Times New Roman" w:hAnsi="Times New Roman"/>
          <w:sz w:val="26"/>
          <w:szCs w:val="26"/>
        </w:rPr>
      </w:pPr>
    </w:p>
    <w:p w:rsidR="00623C99" w:rsidRPr="00A5340C" w:rsidRDefault="00FD7833" w:rsidP="00795B15">
      <w:pPr>
        <w:suppressAutoHyphens/>
        <w:spacing w:after="0" w:line="360" w:lineRule="auto"/>
        <w:ind w:firstLine="1440"/>
        <w:rPr>
          <w:rFonts w:ascii="Times New Roman" w:hAnsi="Times New Roman"/>
          <w:sz w:val="26"/>
          <w:szCs w:val="26"/>
        </w:rPr>
      </w:pPr>
      <w:r w:rsidRPr="00A5340C">
        <w:rPr>
          <w:rFonts w:ascii="Times New Roman" w:hAnsi="Times New Roman"/>
          <w:sz w:val="26"/>
          <w:szCs w:val="26"/>
        </w:rPr>
        <w:t xml:space="preserve">Exceptions </w:t>
      </w:r>
      <w:r w:rsidR="00623C99" w:rsidRPr="00A5340C">
        <w:rPr>
          <w:rFonts w:ascii="Times New Roman" w:hAnsi="Times New Roman"/>
          <w:sz w:val="26"/>
          <w:szCs w:val="26"/>
        </w:rPr>
        <w:t xml:space="preserve">to the Recommended Decision were filed as above noted.  </w:t>
      </w:r>
      <w:r w:rsidR="000C65F9">
        <w:rPr>
          <w:rFonts w:ascii="Times New Roman" w:hAnsi="Times New Roman"/>
          <w:sz w:val="26"/>
          <w:szCs w:val="26"/>
        </w:rPr>
        <w:t xml:space="preserve">For the reasons stated below, we shall deny </w:t>
      </w:r>
      <w:r w:rsidR="007F04AD">
        <w:rPr>
          <w:rFonts w:ascii="Times New Roman" w:hAnsi="Times New Roman"/>
          <w:sz w:val="26"/>
          <w:szCs w:val="26"/>
        </w:rPr>
        <w:t>PWSA’s</w:t>
      </w:r>
      <w:r w:rsidR="000C65F9">
        <w:rPr>
          <w:rFonts w:ascii="Times New Roman" w:hAnsi="Times New Roman"/>
          <w:sz w:val="26"/>
          <w:szCs w:val="26"/>
        </w:rPr>
        <w:t xml:space="preserve"> Exceptions,</w:t>
      </w:r>
      <w:r w:rsidR="007F04AD">
        <w:rPr>
          <w:rFonts w:ascii="Times New Roman" w:hAnsi="Times New Roman"/>
          <w:sz w:val="26"/>
          <w:szCs w:val="26"/>
        </w:rPr>
        <w:t xml:space="preserve"> in part, and gra</w:t>
      </w:r>
      <w:r w:rsidR="00054792">
        <w:rPr>
          <w:rFonts w:ascii="Times New Roman" w:hAnsi="Times New Roman"/>
          <w:sz w:val="26"/>
          <w:szCs w:val="26"/>
        </w:rPr>
        <w:t>nt them in part</w:t>
      </w:r>
      <w:r w:rsidR="0001206E">
        <w:rPr>
          <w:rFonts w:ascii="Times New Roman" w:hAnsi="Times New Roman"/>
          <w:sz w:val="26"/>
          <w:szCs w:val="26"/>
        </w:rPr>
        <w:t>;</w:t>
      </w:r>
      <w:r w:rsidR="00054792">
        <w:rPr>
          <w:rFonts w:ascii="Times New Roman" w:hAnsi="Times New Roman"/>
          <w:sz w:val="26"/>
          <w:szCs w:val="26"/>
        </w:rPr>
        <w:t xml:space="preserve"> deny Mr. </w:t>
      </w:r>
      <w:proofErr w:type="spellStart"/>
      <w:r w:rsidR="00054792">
        <w:rPr>
          <w:rFonts w:ascii="Times New Roman" w:hAnsi="Times New Roman"/>
          <w:sz w:val="26"/>
          <w:szCs w:val="26"/>
        </w:rPr>
        <w:t>Kazim</w:t>
      </w:r>
      <w:r w:rsidR="007F04AD">
        <w:rPr>
          <w:rFonts w:ascii="Times New Roman" w:hAnsi="Times New Roman"/>
          <w:sz w:val="26"/>
          <w:szCs w:val="26"/>
        </w:rPr>
        <w:t>er’s</w:t>
      </w:r>
      <w:proofErr w:type="spellEnd"/>
      <w:r w:rsidR="007F04AD">
        <w:rPr>
          <w:rFonts w:ascii="Times New Roman" w:hAnsi="Times New Roman"/>
          <w:sz w:val="26"/>
          <w:szCs w:val="26"/>
        </w:rPr>
        <w:t xml:space="preserve"> Exceptions</w:t>
      </w:r>
      <w:r w:rsidR="0001206E">
        <w:rPr>
          <w:rFonts w:ascii="Times New Roman" w:hAnsi="Times New Roman"/>
          <w:sz w:val="26"/>
          <w:szCs w:val="26"/>
        </w:rPr>
        <w:t>;</w:t>
      </w:r>
      <w:r w:rsidR="000C65F9">
        <w:rPr>
          <w:rFonts w:ascii="Times New Roman" w:hAnsi="Times New Roman"/>
          <w:sz w:val="26"/>
          <w:szCs w:val="26"/>
        </w:rPr>
        <w:t xml:space="preserve"> </w:t>
      </w:r>
      <w:r w:rsidR="0001206E" w:rsidRPr="00A5340C">
        <w:rPr>
          <w:rFonts w:ascii="Times New Roman" w:hAnsi="Times New Roman"/>
          <w:sz w:val="26"/>
          <w:szCs w:val="26"/>
        </w:rPr>
        <w:t>approv</w:t>
      </w:r>
      <w:r w:rsidR="0001206E">
        <w:rPr>
          <w:rFonts w:ascii="Times New Roman" w:hAnsi="Times New Roman"/>
          <w:sz w:val="26"/>
          <w:szCs w:val="26"/>
        </w:rPr>
        <w:t>e</w:t>
      </w:r>
      <w:r w:rsidR="0001206E" w:rsidRPr="00A5340C">
        <w:rPr>
          <w:rFonts w:ascii="Times New Roman" w:hAnsi="Times New Roman"/>
          <w:sz w:val="26"/>
          <w:szCs w:val="26"/>
        </w:rPr>
        <w:t xml:space="preserve"> the Settlement</w:t>
      </w:r>
      <w:r w:rsidR="0001206E">
        <w:rPr>
          <w:rFonts w:ascii="Times New Roman" w:hAnsi="Times New Roman"/>
          <w:sz w:val="26"/>
          <w:szCs w:val="26"/>
        </w:rPr>
        <w:t xml:space="preserve">; and </w:t>
      </w:r>
      <w:r w:rsidR="000C65F9">
        <w:rPr>
          <w:rFonts w:ascii="Times New Roman" w:hAnsi="Times New Roman"/>
          <w:sz w:val="26"/>
          <w:szCs w:val="26"/>
        </w:rPr>
        <w:t xml:space="preserve">adopt the </w:t>
      </w:r>
      <w:r w:rsidR="00BA7876" w:rsidRPr="00A5340C">
        <w:rPr>
          <w:rFonts w:ascii="Times New Roman" w:hAnsi="Times New Roman"/>
          <w:sz w:val="26"/>
          <w:szCs w:val="26"/>
        </w:rPr>
        <w:t>ALJs</w:t>
      </w:r>
      <w:r w:rsidR="0001206E">
        <w:rPr>
          <w:rFonts w:ascii="Times New Roman" w:hAnsi="Times New Roman"/>
          <w:sz w:val="26"/>
          <w:szCs w:val="26"/>
        </w:rPr>
        <w:t>’</w:t>
      </w:r>
      <w:r w:rsidR="00623C99" w:rsidRPr="00A5340C">
        <w:rPr>
          <w:rFonts w:ascii="Times New Roman" w:hAnsi="Times New Roman"/>
          <w:sz w:val="26"/>
          <w:szCs w:val="26"/>
        </w:rPr>
        <w:t xml:space="preserve"> Recommended Decision, </w:t>
      </w:r>
      <w:r w:rsidR="003A1257">
        <w:rPr>
          <w:rFonts w:ascii="Times New Roman" w:hAnsi="Times New Roman"/>
          <w:sz w:val="26"/>
          <w:szCs w:val="26"/>
        </w:rPr>
        <w:t xml:space="preserve">as modified, </w:t>
      </w:r>
      <w:r w:rsidR="00623C99" w:rsidRPr="00A5340C">
        <w:rPr>
          <w:rFonts w:ascii="Times New Roman" w:hAnsi="Times New Roman"/>
          <w:sz w:val="26"/>
          <w:szCs w:val="26"/>
        </w:rPr>
        <w:t>consistent with this</w:t>
      </w:r>
      <w:r w:rsidR="000C65F9">
        <w:rPr>
          <w:rFonts w:ascii="Times New Roman" w:hAnsi="Times New Roman"/>
          <w:sz w:val="26"/>
          <w:szCs w:val="26"/>
        </w:rPr>
        <w:t xml:space="preserve"> Opinion and Order</w:t>
      </w:r>
      <w:r w:rsidR="00E74B54">
        <w:rPr>
          <w:rFonts w:ascii="Times New Roman" w:hAnsi="Times New Roman"/>
          <w:sz w:val="26"/>
          <w:szCs w:val="26"/>
        </w:rPr>
        <w:t>.</w:t>
      </w:r>
    </w:p>
    <w:p w:rsidR="003D56FF" w:rsidRPr="00A5340C" w:rsidRDefault="003D56FF" w:rsidP="006E3DA2">
      <w:pPr>
        <w:pStyle w:val="NoSpacing"/>
        <w:widowControl w:val="0"/>
        <w:spacing w:line="360" w:lineRule="auto"/>
        <w:rPr>
          <w:sz w:val="26"/>
          <w:szCs w:val="26"/>
        </w:rPr>
      </w:pPr>
    </w:p>
    <w:p w:rsidR="00631B41" w:rsidRPr="00A5340C" w:rsidRDefault="00537D7F" w:rsidP="009962E1">
      <w:pPr>
        <w:pStyle w:val="Heading2"/>
        <w:keepNext w:val="0"/>
        <w:widowControl w:val="0"/>
        <w:numPr>
          <w:ilvl w:val="0"/>
          <w:numId w:val="35"/>
        </w:numPr>
        <w:spacing w:line="360" w:lineRule="auto"/>
        <w:ind w:left="0" w:firstLine="0"/>
        <w:rPr>
          <w:sz w:val="26"/>
          <w:szCs w:val="26"/>
        </w:rPr>
      </w:pPr>
      <w:r w:rsidRPr="00A5340C">
        <w:rPr>
          <w:sz w:val="26"/>
          <w:szCs w:val="26"/>
        </w:rPr>
        <w:t>Description of the Company</w:t>
      </w:r>
    </w:p>
    <w:p w:rsidR="007E3DA9" w:rsidRPr="00A5340C" w:rsidRDefault="007E3DA9" w:rsidP="00BA7876">
      <w:pPr>
        <w:widowControl w:val="0"/>
        <w:spacing w:after="0" w:line="360" w:lineRule="auto"/>
        <w:jc w:val="center"/>
        <w:rPr>
          <w:rFonts w:ascii="Times New Roman" w:hAnsi="Times New Roman"/>
          <w:sz w:val="26"/>
          <w:szCs w:val="26"/>
          <w:u w:val="single"/>
        </w:rPr>
      </w:pPr>
    </w:p>
    <w:p w:rsidR="00921291" w:rsidRPr="00A5340C" w:rsidRDefault="00921291" w:rsidP="00921291">
      <w:pPr>
        <w:spacing w:after="0" w:line="360" w:lineRule="auto"/>
        <w:ind w:firstLine="1440"/>
        <w:rPr>
          <w:rFonts w:ascii="Times New Roman" w:hAnsi="Times New Roman"/>
          <w:sz w:val="26"/>
          <w:szCs w:val="26"/>
        </w:rPr>
      </w:pPr>
      <w:r w:rsidRPr="00A5340C">
        <w:rPr>
          <w:rFonts w:ascii="Times New Roman" w:hAnsi="Times New Roman"/>
          <w:sz w:val="26"/>
          <w:szCs w:val="26"/>
        </w:rPr>
        <w:t xml:space="preserve">PAWC </w:t>
      </w:r>
      <w:r w:rsidRPr="00E3353B">
        <w:rPr>
          <w:rFonts w:ascii="Times New Roman" w:hAnsi="Times New Roman"/>
          <w:sz w:val="26"/>
          <w:szCs w:val="26"/>
        </w:rPr>
        <w:t xml:space="preserve">is an investor-owned company and a subsidiary of American Water Works Company, Inc.  </w:t>
      </w:r>
    </w:p>
    <w:p w:rsidR="00921291" w:rsidRPr="00A5340C" w:rsidRDefault="00921291" w:rsidP="00921291">
      <w:pPr>
        <w:spacing w:after="0" w:line="360" w:lineRule="auto"/>
        <w:ind w:firstLine="1440"/>
        <w:rPr>
          <w:rFonts w:ascii="Times New Roman" w:hAnsi="Times New Roman"/>
          <w:sz w:val="26"/>
          <w:szCs w:val="26"/>
        </w:rPr>
      </w:pPr>
    </w:p>
    <w:p w:rsidR="00833FE4" w:rsidRDefault="00921291" w:rsidP="004E4B6A">
      <w:pPr>
        <w:spacing w:after="0" w:line="360" w:lineRule="auto"/>
        <w:ind w:firstLine="1440"/>
        <w:rPr>
          <w:rFonts w:ascii="Times New Roman" w:hAnsi="Times New Roman"/>
          <w:sz w:val="26"/>
          <w:szCs w:val="26"/>
        </w:rPr>
      </w:pPr>
      <w:r w:rsidRPr="00A5340C">
        <w:rPr>
          <w:rFonts w:ascii="Times New Roman" w:hAnsi="Times New Roman"/>
          <w:sz w:val="26"/>
          <w:szCs w:val="26"/>
        </w:rPr>
        <w:t>The Company</w:t>
      </w:r>
      <w:r w:rsidR="00E3353B" w:rsidRPr="00E3353B">
        <w:rPr>
          <w:rFonts w:ascii="Times New Roman" w:hAnsi="Times New Roman"/>
          <w:sz w:val="26"/>
          <w:szCs w:val="26"/>
        </w:rPr>
        <w:t xml:space="preserve"> </w:t>
      </w:r>
      <w:r w:rsidR="00E3353B" w:rsidRPr="00A5340C">
        <w:rPr>
          <w:rFonts w:ascii="Times New Roman" w:hAnsi="Times New Roman"/>
          <w:sz w:val="26"/>
          <w:szCs w:val="26"/>
        </w:rPr>
        <w:t xml:space="preserve">provides water service to over 641,000 customers.  It serves all or portions of the following </w:t>
      </w:r>
      <w:r w:rsidR="00573F7D">
        <w:rPr>
          <w:rFonts w:ascii="Times New Roman" w:hAnsi="Times New Roman"/>
          <w:sz w:val="26"/>
          <w:szCs w:val="26"/>
        </w:rPr>
        <w:t>thirty-six</w:t>
      </w:r>
      <w:r w:rsidR="00E3353B" w:rsidRPr="00A5340C">
        <w:rPr>
          <w:rFonts w:ascii="Times New Roman" w:hAnsi="Times New Roman"/>
          <w:sz w:val="26"/>
          <w:szCs w:val="26"/>
        </w:rPr>
        <w:t xml:space="preserve"> counties:  Adams, Allegheny, Armstrong, Beaver, Berks, Bucks, Butler, Centre, Chester, Clarion, Clearfield, Clinton, Columbia, Cumberland, Dauphin, Fayette, Indiana, Jefferson, Lackawanna, Lancaster, Lawrence, Lebanon, Luzerne, McKean, Monroe, Montgomery, Northampton, Northumberland, Pike, Schuylkill, Susquehanna, Union, Washington, Warren, Wayne and York.  In addition, PAWC provides wastewater service to the following counties totaling over 17,000 customers:  Chester, Clarion, Monroe, Pike and Washington.</w:t>
      </w:r>
      <w:r w:rsidR="00E05556">
        <w:rPr>
          <w:rFonts w:ascii="Times New Roman" w:hAnsi="Times New Roman"/>
          <w:sz w:val="26"/>
          <w:szCs w:val="26"/>
        </w:rPr>
        <w:t xml:space="preserve">  </w:t>
      </w:r>
    </w:p>
    <w:p w:rsidR="004E4B6A" w:rsidRPr="00A5340C" w:rsidRDefault="004E4B6A" w:rsidP="004E4B6A">
      <w:pPr>
        <w:spacing w:after="0" w:line="360" w:lineRule="auto"/>
        <w:ind w:firstLine="1440"/>
        <w:rPr>
          <w:rFonts w:ascii="Times New Roman" w:eastAsia="Times New Roman" w:hAnsi="Times New Roman"/>
          <w:b/>
          <w:sz w:val="26"/>
          <w:szCs w:val="26"/>
        </w:rPr>
      </w:pPr>
    </w:p>
    <w:p w:rsidR="004E4B6A" w:rsidRDefault="004E4B6A">
      <w:pPr>
        <w:spacing w:after="0" w:line="240" w:lineRule="auto"/>
        <w:rPr>
          <w:rFonts w:ascii="Times New Roman" w:eastAsia="Times New Roman" w:hAnsi="Times New Roman"/>
          <w:b/>
          <w:sz w:val="26"/>
          <w:szCs w:val="26"/>
        </w:rPr>
      </w:pPr>
      <w:r>
        <w:rPr>
          <w:b/>
          <w:sz w:val="26"/>
          <w:szCs w:val="26"/>
        </w:rPr>
        <w:br w:type="page"/>
      </w:r>
    </w:p>
    <w:p w:rsidR="00297269" w:rsidRPr="00A5340C" w:rsidRDefault="00537D7F" w:rsidP="00804D66">
      <w:pPr>
        <w:pStyle w:val="ListParagraph"/>
        <w:numPr>
          <w:ilvl w:val="0"/>
          <w:numId w:val="35"/>
        </w:numPr>
        <w:spacing w:line="360" w:lineRule="auto"/>
        <w:ind w:left="720"/>
        <w:jc w:val="center"/>
        <w:rPr>
          <w:b/>
          <w:sz w:val="26"/>
          <w:szCs w:val="26"/>
        </w:rPr>
      </w:pPr>
      <w:r w:rsidRPr="00A5340C">
        <w:rPr>
          <w:b/>
          <w:sz w:val="26"/>
          <w:szCs w:val="26"/>
        </w:rPr>
        <w:lastRenderedPageBreak/>
        <w:t>Discussion</w:t>
      </w:r>
    </w:p>
    <w:p w:rsidR="001C180A" w:rsidRPr="00A5340C" w:rsidRDefault="005F6060" w:rsidP="001C180A">
      <w:pPr>
        <w:pStyle w:val="ListParagraph"/>
        <w:spacing w:line="360" w:lineRule="auto"/>
        <w:ind w:left="0" w:firstLine="720"/>
        <w:rPr>
          <w:sz w:val="26"/>
          <w:szCs w:val="26"/>
        </w:rPr>
      </w:pPr>
      <w:r w:rsidRPr="00A5340C">
        <w:rPr>
          <w:sz w:val="26"/>
          <w:szCs w:val="26"/>
        </w:rPr>
        <w:t xml:space="preserve"> </w:t>
      </w:r>
    </w:p>
    <w:p w:rsidR="00297269" w:rsidRDefault="00297269" w:rsidP="000F5BDD">
      <w:pPr>
        <w:pStyle w:val="ListParagraph"/>
        <w:numPr>
          <w:ilvl w:val="0"/>
          <w:numId w:val="2"/>
        </w:numPr>
        <w:spacing w:line="360" w:lineRule="auto"/>
        <w:ind w:hanging="720"/>
        <w:rPr>
          <w:b/>
          <w:sz w:val="26"/>
          <w:szCs w:val="26"/>
        </w:rPr>
      </w:pPr>
      <w:r w:rsidRPr="00A5340C">
        <w:rPr>
          <w:b/>
          <w:sz w:val="26"/>
          <w:szCs w:val="26"/>
        </w:rPr>
        <w:t>Public Input Hearing</w:t>
      </w:r>
      <w:r w:rsidR="003D56FF" w:rsidRPr="00A5340C">
        <w:rPr>
          <w:b/>
          <w:sz w:val="26"/>
          <w:szCs w:val="26"/>
        </w:rPr>
        <w:t>s</w:t>
      </w:r>
    </w:p>
    <w:p w:rsidR="004E4B6A" w:rsidRPr="00A5340C" w:rsidRDefault="004E4B6A" w:rsidP="004E4B6A">
      <w:pPr>
        <w:pStyle w:val="ListParagraph"/>
        <w:spacing w:line="360" w:lineRule="auto"/>
        <w:rPr>
          <w:b/>
          <w:sz w:val="26"/>
          <w:szCs w:val="26"/>
        </w:rPr>
      </w:pPr>
    </w:p>
    <w:p w:rsidR="00B3077E" w:rsidRPr="00A5340C" w:rsidRDefault="005F6060" w:rsidP="005F6060">
      <w:pPr>
        <w:pStyle w:val="ListParagraph"/>
        <w:spacing w:line="360" w:lineRule="auto"/>
        <w:ind w:left="0"/>
        <w:rPr>
          <w:sz w:val="26"/>
          <w:szCs w:val="26"/>
        </w:rPr>
      </w:pPr>
      <w:r w:rsidRPr="00A5340C">
        <w:rPr>
          <w:sz w:val="26"/>
          <w:szCs w:val="26"/>
        </w:rPr>
        <w:tab/>
      </w:r>
      <w:r w:rsidR="004E4B6A">
        <w:rPr>
          <w:sz w:val="26"/>
          <w:szCs w:val="26"/>
        </w:rPr>
        <w:tab/>
      </w:r>
      <w:r w:rsidR="00B3077E" w:rsidRPr="00A5340C">
        <w:rPr>
          <w:sz w:val="26"/>
          <w:szCs w:val="26"/>
        </w:rPr>
        <w:t xml:space="preserve">The dates and locations of the public input hearings have been described above.  A sampling of the testimony </w:t>
      </w:r>
      <w:r w:rsidR="004E4B6A">
        <w:rPr>
          <w:sz w:val="26"/>
          <w:szCs w:val="26"/>
        </w:rPr>
        <w:t>is</w:t>
      </w:r>
      <w:r w:rsidR="00B3077E" w:rsidRPr="00A5340C">
        <w:rPr>
          <w:sz w:val="26"/>
          <w:szCs w:val="26"/>
        </w:rPr>
        <w:t xml:space="preserve"> provided</w:t>
      </w:r>
      <w:r w:rsidR="004E4B6A">
        <w:rPr>
          <w:sz w:val="26"/>
          <w:szCs w:val="26"/>
        </w:rPr>
        <w:t xml:space="preserve"> below</w:t>
      </w:r>
      <w:r w:rsidR="00B3077E" w:rsidRPr="00A5340C">
        <w:rPr>
          <w:sz w:val="26"/>
          <w:szCs w:val="26"/>
        </w:rPr>
        <w:t>.</w:t>
      </w:r>
      <w:r w:rsidR="00B3077E" w:rsidRPr="00A5340C">
        <w:rPr>
          <w:rStyle w:val="FootnoteReference"/>
          <w:sz w:val="26"/>
          <w:szCs w:val="26"/>
        </w:rPr>
        <w:footnoteReference w:id="5"/>
      </w:r>
      <w:r w:rsidR="00B3077E" w:rsidRPr="00A5340C">
        <w:rPr>
          <w:sz w:val="26"/>
          <w:szCs w:val="26"/>
        </w:rPr>
        <w:t xml:space="preserve"> </w:t>
      </w:r>
    </w:p>
    <w:p w:rsidR="005F6060" w:rsidRPr="00A5340C" w:rsidRDefault="005F6060" w:rsidP="00A0036D">
      <w:pPr>
        <w:spacing w:after="0" w:line="360" w:lineRule="auto"/>
        <w:ind w:firstLine="720"/>
        <w:rPr>
          <w:rFonts w:ascii="Times New Roman" w:hAnsi="Times New Roman"/>
          <w:sz w:val="26"/>
          <w:szCs w:val="26"/>
        </w:rPr>
      </w:pPr>
    </w:p>
    <w:p w:rsidR="00A0036D" w:rsidRPr="00A5340C" w:rsidRDefault="005F6060" w:rsidP="005F6060">
      <w:pPr>
        <w:pStyle w:val="BodyText3"/>
      </w:pPr>
      <w:r w:rsidRPr="00A5340C">
        <w:tab/>
      </w:r>
      <w:r w:rsidRPr="00A5340C">
        <w:tab/>
      </w:r>
      <w:r w:rsidR="00B3077E" w:rsidRPr="00A5340C">
        <w:t>Some testimony concerned</w:t>
      </w:r>
      <w:r w:rsidR="000F1810" w:rsidRPr="00A5340C">
        <w:t xml:space="preserve"> </w:t>
      </w:r>
      <w:r w:rsidR="00A24CD8" w:rsidRPr="00A5340C">
        <w:t>requests for PAWC to extend water service to various communities</w:t>
      </w:r>
      <w:r w:rsidR="000F1810" w:rsidRPr="00A5340C">
        <w:t xml:space="preserve">.  For example, </w:t>
      </w:r>
      <w:r w:rsidR="00A0036D" w:rsidRPr="00A5340C">
        <w:t xml:space="preserve">Ms. </w:t>
      </w:r>
      <w:r w:rsidR="00A24CD8" w:rsidRPr="00A5340C">
        <w:t>Elizabeth Cowden, a supervisor in Cecil Township in Washington County,</w:t>
      </w:r>
      <w:r w:rsidR="00A0036D" w:rsidRPr="00A5340C">
        <w:t xml:space="preserve"> testified that </w:t>
      </w:r>
      <w:r w:rsidR="00A24CD8" w:rsidRPr="00A5340C">
        <w:t>her community is</w:t>
      </w:r>
      <w:r w:rsidR="0015450E">
        <w:t xml:space="preserve"> </w:t>
      </w:r>
      <w:r w:rsidR="00A24CD8" w:rsidRPr="00A5340C">
        <w:t xml:space="preserve">growing </w:t>
      </w:r>
      <w:r w:rsidR="00FF61CD">
        <w:t xml:space="preserve">fast </w:t>
      </w:r>
      <w:r w:rsidR="00A24CD8" w:rsidRPr="00A5340C">
        <w:t xml:space="preserve">and many areas </w:t>
      </w:r>
      <w:r w:rsidR="000B4C4A">
        <w:t xml:space="preserve">are </w:t>
      </w:r>
      <w:r w:rsidR="00A24CD8" w:rsidRPr="00A5340C">
        <w:t>without water service</w:t>
      </w:r>
      <w:r w:rsidR="00BD486F" w:rsidRPr="00A5340C">
        <w:t xml:space="preserve"> </w:t>
      </w:r>
      <w:r w:rsidR="0013635D" w:rsidRPr="00A5340C">
        <w:t xml:space="preserve">but </w:t>
      </w:r>
      <w:r w:rsidR="00BD486F" w:rsidRPr="00A5340C">
        <w:t>would like</w:t>
      </w:r>
      <w:r w:rsidR="000B4C4A">
        <w:t xml:space="preserve"> to receive</w:t>
      </w:r>
      <w:r w:rsidR="00BD486F" w:rsidRPr="00A5340C">
        <w:t xml:space="preserve"> public water service.  She also testified that many private wells are</w:t>
      </w:r>
      <w:r w:rsidR="00E05556">
        <w:t xml:space="preserve"> contaminated.  Tr. at 80-85. </w:t>
      </w:r>
      <w:r w:rsidR="00A0036D" w:rsidRPr="00A5340C">
        <w:t xml:space="preserve"> </w:t>
      </w:r>
    </w:p>
    <w:p w:rsidR="00A0036D" w:rsidRPr="00A5340C" w:rsidRDefault="00A0036D" w:rsidP="000F5BDD">
      <w:pPr>
        <w:spacing w:after="0" w:line="360" w:lineRule="auto"/>
        <w:rPr>
          <w:rFonts w:ascii="Times New Roman" w:hAnsi="Times New Roman"/>
          <w:sz w:val="26"/>
          <w:szCs w:val="26"/>
        </w:rPr>
      </w:pPr>
    </w:p>
    <w:p w:rsidR="00057078" w:rsidRDefault="00014464" w:rsidP="00A5340C">
      <w:pPr>
        <w:spacing w:after="0" w:line="360" w:lineRule="auto"/>
        <w:rPr>
          <w:rFonts w:ascii="Times New Roman" w:hAnsi="Times New Roman"/>
          <w:sz w:val="26"/>
          <w:szCs w:val="26"/>
        </w:rPr>
      </w:pPr>
      <w:r w:rsidRPr="00A5340C">
        <w:rPr>
          <w:rFonts w:ascii="Times New Roman" w:hAnsi="Times New Roman"/>
          <w:sz w:val="26"/>
          <w:szCs w:val="26"/>
        </w:rPr>
        <w:tab/>
      </w:r>
      <w:r w:rsidRPr="00A5340C">
        <w:rPr>
          <w:rFonts w:ascii="Times New Roman" w:hAnsi="Times New Roman"/>
          <w:sz w:val="26"/>
          <w:szCs w:val="26"/>
        </w:rPr>
        <w:tab/>
        <w:t>In addition, some witnesses challenged the rate increase,</w:t>
      </w:r>
      <w:r w:rsidR="00BD486F" w:rsidRPr="00A5340C">
        <w:rPr>
          <w:rFonts w:ascii="Times New Roman" w:hAnsi="Times New Roman"/>
          <w:sz w:val="26"/>
          <w:szCs w:val="26"/>
        </w:rPr>
        <w:t xml:space="preserve"> particularly the shifting of a portion of the wastewater cost of service to the entire customer base. </w:t>
      </w:r>
      <w:r w:rsidRPr="00A5340C">
        <w:rPr>
          <w:rFonts w:ascii="Times New Roman" w:hAnsi="Times New Roman"/>
          <w:sz w:val="26"/>
          <w:szCs w:val="26"/>
        </w:rPr>
        <w:t xml:space="preserve"> </w:t>
      </w:r>
      <w:r w:rsidR="00F14212" w:rsidRPr="00A5340C">
        <w:rPr>
          <w:rFonts w:ascii="Times New Roman" w:hAnsi="Times New Roman"/>
          <w:sz w:val="26"/>
          <w:szCs w:val="26"/>
        </w:rPr>
        <w:t xml:space="preserve">For example, Mr. Phillip </w:t>
      </w:r>
      <w:r w:rsidR="00057078">
        <w:rPr>
          <w:rFonts w:ascii="Times New Roman" w:hAnsi="Times New Roman"/>
          <w:sz w:val="26"/>
          <w:szCs w:val="26"/>
        </w:rPr>
        <w:t xml:space="preserve">B. </w:t>
      </w:r>
      <w:proofErr w:type="spellStart"/>
      <w:r w:rsidR="00F14212" w:rsidRPr="00A5340C">
        <w:rPr>
          <w:rFonts w:ascii="Times New Roman" w:hAnsi="Times New Roman"/>
          <w:sz w:val="26"/>
          <w:szCs w:val="26"/>
        </w:rPr>
        <w:t>Volmer</w:t>
      </w:r>
      <w:proofErr w:type="spellEnd"/>
      <w:r w:rsidR="00F14212" w:rsidRPr="00A5340C">
        <w:rPr>
          <w:rFonts w:ascii="Times New Roman" w:hAnsi="Times New Roman"/>
          <w:sz w:val="26"/>
          <w:szCs w:val="26"/>
        </w:rPr>
        <w:t xml:space="preserve"> explained that the Borough of Camp Hill </w:t>
      </w:r>
      <w:r w:rsidR="0013635D" w:rsidRPr="00A5340C">
        <w:rPr>
          <w:rFonts w:ascii="Times New Roman" w:hAnsi="Times New Roman"/>
          <w:sz w:val="26"/>
          <w:szCs w:val="26"/>
        </w:rPr>
        <w:t>operates</w:t>
      </w:r>
      <w:r w:rsidR="00F14212" w:rsidRPr="00A5340C">
        <w:rPr>
          <w:rFonts w:ascii="Times New Roman" w:hAnsi="Times New Roman"/>
          <w:sz w:val="26"/>
          <w:szCs w:val="26"/>
        </w:rPr>
        <w:t xml:space="preserve"> the sewer system</w:t>
      </w:r>
      <w:r w:rsidR="00573F7D">
        <w:rPr>
          <w:rFonts w:ascii="Times New Roman" w:hAnsi="Times New Roman"/>
          <w:sz w:val="26"/>
          <w:szCs w:val="26"/>
        </w:rPr>
        <w:t xml:space="preserve"> in his community</w:t>
      </w:r>
      <w:r w:rsidR="00F14212" w:rsidRPr="00A5340C">
        <w:rPr>
          <w:rFonts w:ascii="Times New Roman" w:hAnsi="Times New Roman"/>
          <w:sz w:val="26"/>
          <w:szCs w:val="26"/>
        </w:rPr>
        <w:t xml:space="preserve"> and PAWC is not involved</w:t>
      </w:r>
      <w:r w:rsidR="000B4C4A">
        <w:rPr>
          <w:rFonts w:ascii="Times New Roman" w:hAnsi="Times New Roman"/>
          <w:sz w:val="26"/>
          <w:szCs w:val="26"/>
        </w:rPr>
        <w:t xml:space="preserve"> with such service</w:t>
      </w:r>
      <w:r w:rsidR="00F14212" w:rsidRPr="00A5340C">
        <w:rPr>
          <w:rFonts w:ascii="Times New Roman" w:hAnsi="Times New Roman"/>
          <w:sz w:val="26"/>
          <w:szCs w:val="26"/>
        </w:rPr>
        <w:t xml:space="preserve">.  He objected to paying for a sewer system for others while continuing to pay a sewer bill to his borough.  </w:t>
      </w:r>
      <w:r w:rsidR="00057078">
        <w:rPr>
          <w:rFonts w:ascii="Times New Roman" w:hAnsi="Times New Roman"/>
          <w:sz w:val="26"/>
          <w:szCs w:val="26"/>
        </w:rPr>
        <w:t>Tr. at 220-221.</w:t>
      </w:r>
    </w:p>
    <w:p w:rsidR="00057078" w:rsidRDefault="00057078" w:rsidP="00A5340C">
      <w:pPr>
        <w:spacing w:after="0" w:line="360" w:lineRule="auto"/>
        <w:rPr>
          <w:rFonts w:ascii="Times New Roman" w:hAnsi="Times New Roman"/>
          <w:sz w:val="26"/>
          <w:szCs w:val="26"/>
        </w:rPr>
      </w:pPr>
    </w:p>
    <w:p w:rsidR="00EF09E7" w:rsidRDefault="00934B8B" w:rsidP="00057078">
      <w:pPr>
        <w:spacing w:after="0" w:line="360" w:lineRule="auto"/>
        <w:ind w:firstLine="1440"/>
        <w:rPr>
          <w:rFonts w:ascii="Times New Roman" w:hAnsi="Times New Roman"/>
          <w:sz w:val="26"/>
          <w:szCs w:val="26"/>
        </w:rPr>
      </w:pPr>
      <w:r w:rsidRPr="00A5340C">
        <w:rPr>
          <w:rFonts w:ascii="Times New Roman" w:hAnsi="Times New Roman"/>
          <w:sz w:val="26"/>
          <w:szCs w:val="26"/>
        </w:rPr>
        <w:t>Representative</w:t>
      </w:r>
      <w:r w:rsidR="00F14212" w:rsidRPr="00A5340C">
        <w:rPr>
          <w:rFonts w:ascii="Times New Roman" w:hAnsi="Times New Roman"/>
          <w:sz w:val="26"/>
          <w:szCs w:val="26"/>
        </w:rPr>
        <w:t>s</w:t>
      </w:r>
      <w:r w:rsidRPr="00A5340C">
        <w:rPr>
          <w:rFonts w:ascii="Times New Roman" w:hAnsi="Times New Roman"/>
          <w:sz w:val="26"/>
          <w:szCs w:val="26"/>
        </w:rPr>
        <w:t xml:space="preserve"> </w:t>
      </w:r>
      <w:r w:rsidR="00BD486F" w:rsidRPr="00A5340C">
        <w:rPr>
          <w:rFonts w:ascii="Times New Roman" w:hAnsi="Times New Roman"/>
          <w:sz w:val="26"/>
          <w:szCs w:val="26"/>
        </w:rPr>
        <w:t>Kevin Haggerty of the 112</w:t>
      </w:r>
      <w:r w:rsidRPr="00A5340C">
        <w:rPr>
          <w:rFonts w:ascii="Times New Roman" w:hAnsi="Times New Roman"/>
          <w:sz w:val="26"/>
          <w:szCs w:val="26"/>
          <w:vertAlign w:val="superscript"/>
        </w:rPr>
        <w:t>th</w:t>
      </w:r>
      <w:r w:rsidRPr="00A5340C">
        <w:rPr>
          <w:rFonts w:ascii="Times New Roman" w:hAnsi="Times New Roman"/>
          <w:sz w:val="26"/>
          <w:szCs w:val="26"/>
        </w:rPr>
        <w:t xml:space="preserve"> District in Pennsylvania </w:t>
      </w:r>
      <w:r w:rsidR="00F14212" w:rsidRPr="00A5340C">
        <w:rPr>
          <w:rFonts w:ascii="Times New Roman" w:hAnsi="Times New Roman"/>
          <w:sz w:val="26"/>
          <w:szCs w:val="26"/>
        </w:rPr>
        <w:t>and Martin Flynn of the 113</w:t>
      </w:r>
      <w:r w:rsidR="00F14212" w:rsidRPr="00A5340C">
        <w:rPr>
          <w:rFonts w:ascii="Times New Roman" w:hAnsi="Times New Roman"/>
          <w:sz w:val="26"/>
          <w:szCs w:val="26"/>
          <w:vertAlign w:val="superscript"/>
        </w:rPr>
        <w:t>th</w:t>
      </w:r>
      <w:r w:rsidR="00F14212" w:rsidRPr="00A5340C">
        <w:rPr>
          <w:rFonts w:ascii="Times New Roman" w:hAnsi="Times New Roman"/>
          <w:sz w:val="26"/>
          <w:szCs w:val="26"/>
        </w:rPr>
        <w:t xml:space="preserve"> District expressed concerns about the impact on families which have some of the lowest incomes in the state and are least able to afford </w:t>
      </w:r>
      <w:r w:rsidR="00573F7D">
        <w:rPr>
          <w:rFonts w:ascii="Times New Roman" w:hAnsi="Times New Roman"/>
          <w:sz w:val="26"/>
          <w:szCs w:val="26"/>
        </w:rPr>
        <w:t>the proposed rate increase</w:t>
      </w:r>
      <w:r w:rsidR="00F14212" w:rsidRPr="00A5340C">
        <w:rPr>
          <w:rFonts w:ascii="Times New Roman" w:hAnsi="Times New Roman"/>
          <w:sz w:val="26"/>
          <w:szCs w:val="26"/>
        </w:rPr>
        <w:t>.  Furthermore, Representative Flynn noted that</w:t>
      </w:r>
      <w:r w:rsidR="00FF61CD">
        <w:rPr>
          <w:rFonts w:ascii="Times New Roman" w:hAnsi="Times New Roman"/>
          <w:sz w:val="26"/>
          <w:szCs w:val="26"/>
        </w:rPr>
        <w:t>,</w:t>
      </w:r>
      <w:r w:rsidR="00F14212" w:rsidRPr="00A5340C">
        <w:rPr>
          <w:rFonts w:ascii="Times New Roman" w:hAnsi="Times New Roman"/>
          <w:sz w:val="26"/>
          <w:szCs w:val="26"/>
        </w:rPr>
        <w:t xml:space="preserve"> based on public reports of the Company’s profits, PAWC could pay for necessary infrastructure improvements using </w:t>
      </w:r>
      <w:r w:rsidR="00F14212" w:rsidRPr="00A5340C">
        <w:rPr>
          <w:rFonts w:ascii="Times New Roman" w:hAnsi="Times New Roman"/>
          <w:sz w:val="26"/>
          <w:szCs w:val="26"/>
        </w:rPr>
        <w:lastRenderedPageBreak/>
        <w:t>other capital methods</w:t>
      </w:r>
      <w:r w:rsidR="0013635D" w:rsidRPr="00A5340C">
        <w:rPr>
          <w:rFonts w:ascii="Times New Roman" w:hAnsi="Times New Roman"/>
          <w:sz w:val="26"/>
          <w:szCs w:val="26"/>
        </w:rPr>
        <w:t xml:space="preserve"> </w:t>
      </w:r>
      <w:r w:rsidR="00F14212" w:rsidRPr="00A5340C">
        <w:rPr>
          <w:rFonts w:ascii="Times New Roman" w:hAnsi="Times New Roman"/>
          <w:sz w:val="26"/>
          <w:szCs w:val="26"/>
        </w:rPr>
        <w:t xml:space="preserve">such as </w:t>
      </w:r>
      <w:r w:rsidR="003B7511" w:rsidRPr="00A5340C">
        <w:rPr>
          <w:rFonts w:ascii="Times New Roman" w:hAnsi="Times New Roman"/>
          <w:sz w:val="26"/>
          <w:szCs w:val="26"/>
        </w:rPr>
        <w:t xml:space="preserve">utilizing </w:t>
      </w:r>
      <w:r w:rsidR="00F14212" w:rsidRPr="00A5340C">
        <w:rPr>
          <w:rFonts w:ascii="Times New Roman" w:hAnsi="Times New Roman"/>
          <w:sz w:val="26"/>
          <w:szCs w:val="26"/>
        </w:rPr>
        <w:t>the increased profit</w:t>
      </w:r>
      <w:r w:rsidR="00A5340C">
        <w:rPr>
          <w:rFonts w:ascii="Times New Roman" w:hAnsi="Times New Roman"/>
          <w:sz w:val="26"/>
          <w:szCs w:val="26"/>
        </w:rPr>
        <w:t xml:space="preserve">s of the Company.  </w:t>
      </w:r>
      <w:r w:rsidR="00F14212" w:rsidRPr="00A5340C">
        <w:rPr>
          <w:rFonts w:ascii="Times New Roman" w:hAnsi="Times New Roman"/>
          <w:sz w:val="26"/>
          <w:szCs w:val="26"/>
        </w:rPr>
        <w:t>Tr. at 248-254.</w:t>
      </w:r>
      <w:r w:rsidR="003B7511" w:rsidRPr="00A5340C">
        <w:rPr>
          <w:rStyle w:val="FootnoteReference"/>
          <w:rFonts w:ascii="Times New Roman" w:hAnsi="Times New Roman"/>
          <w:sz w:val="26"/>
          <w:szCs w:val="26"/>
        </w:rPr>
        <w:footnoteReference w:id="6"/>
      </w:r>
    </w:p>
    <w:p w:rsidR="005F1E6A" w:rsidRDefault="005F1E6A" w:rsidP="00A5340C">
      <w:pPr>
        <w:spacing w:after="0" w:line="360" w:lineRule="auto"/>
        <w:rPr>
          <w:rFonts w:ascii="Times New Roman" w:hAnsi="Times New Roman"/>
          <w:sz w:val="26"/>
          <w:szCs w:val="26"/>
        </w:rPr>
      </w:pPr>
    </w:p>
    <w:p w:rsidR="005F1E6A" w:rsidRPr="00A5340C" w:rsidRDefault="005F1E6A" w:rsidP="00A5340C">
      <w:pPr>
        <w:spacing w:after="0"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Mr. Thomas </w:t>
      </w:r>
      <w:proofErr w:type="spellStart"/>
      <w:r>
        <w:rPr>
          <w:rFonts w:ascii="Times New Roman" w:hAnsi="Times New Roman"/>
          <w:sz w:val="26"/>
          <w:szCs w:val="26"/>
        </w:rPr>
        <w:t>Gombar</w:t>
      </w:r>
      <w:proofErr w:type="spellEnd"/>
      <w:r>
        <w:rPr>
          <w:rFonts w:ascii="Times New Roman" w:hAnsi="Times New Roman"/>
          <w:sz w:val="26"/>
          <w:szCs w:val="26"/>
        </w:rPr>
        <w:t xml:space="preserve">, District Director for State Senator Judy </w:t>
      </w:r>
      <w:proofErr w:type="spellStart"/>
      <w:r>
        <w:rPr>
          <w:rFonts w:ascii="Times New Roman" w:hAnsi="Times New Roman"/>
          <w:sz w:val="26"/>
          <w:szCs w:val="26"/>
        </w:rPr>
        <w:t>Schwank</w:t>
      </w:r>
      <w:proofErr w:type="spellEnd"/>
      <w:r>
        <w:rPr>
          <w:rFonts w:ascii="Times New Roman" w:hAnsi="Times New Roman"/>
          <w:sz w:val="26"/>
          <w:szCs w:val="26"/>
        </w:rPr>
        <w:t xml:space="preserve">, </w:t>
      </w:r>
      <w:r w:rsidR="00577AE6">
        <w:rPr>
          <w:rFonts w:ascii="Times New Roman" w:hAnsi="Times New Roman"/>
          <w:sz w:val="26"/>
          <w:szCs w:val="26"/>
        </w:rPr>
        <w:t xml:space="preserve">introduced written remarks on behalf of Senator </w:t>
      </w:r>
      <w:proofErr w:type="spellStart"/>
      <w:r w:rsidR="00577AE6">
        <w:rPr>
          <w:rFonts w:ascii="Times New Roman" w:hAnsi="Times New Roman"/>
          <w:sz w:val="26"/>
          <w:szCs w:val="26"/>
        </w:rPr>
        <w:t>Schwank</w:t>
      </w:r>
      <w:proofErr w:type="spellEnd"/>
      <w:r w:rsidR="00577AE6">
        <w:rPr>
          <w:rFonts w:ascii="Times New Roman" w:hAnsi="Times New Roman"/>
          <w:sz w:val="26"/>
          <w:szCs w:val="26"/>
        </w:rPr>
        <w:t xml:space="preserve">.  </w:t>
      </w:r>
      <w:r w:rsidR="009F5C6F">
        <w:rPr>
          <w:rFonts w:ascii="Times New Roman" w:hAnsi="Times New Roman"/>
          <w:sz w:val="26"/>
          <w:szCs w:val="26"/>
        </w:rPr>
        <w:t xml:space="preserve">In her written comments, Senator </w:t>
      </w:r>
      <w:proofErr w:type="spellStart"/>
      <w:r w:rsidR="009F5C6F">
        <w:rPr>
          <w:rFonts w:ascii="Times New Roman" w:hAnsi="Times New Roman"/>
          <w:sz w:val="26"/>
          <w:szCs w:val="26"/>
        </w:rPr>
        <w:t>Schwank</w:t>
      </w:r>
      <w:proofErr w:type="spellEnd"/>
      <w:r w:rsidR="009F5C6F">
        <w:rPr>
          <w:rFonts w:ascii="Times New Roman" w:hAnsi="Times New Roman"/>
          <w:sz w:val="26"/>
          <w:szCs w:val="26"/>
        </w:rPr>
        <w:t xml:space="preserve"> stated</w:t>
      </w:r>
      <w:r>
        <w:rPr>
          <w:rFonts w:ascii="Times New Roman" w:hAnsi="Times New Roman"/>
          <w:sz w:val="26"/>
          <w:szCs w:val="26"/>
        </w:rPr>
        <w:t xml:space="preserve"> that PAWC was granted a rate increase only two years ago</w:t>
      </w:r>
      <w:r w:rsidR="009F5C6F">
        <w:rPr>
          <w:rFonts w:ascii="Times New Roman" w:hAnsi="Times New Roman"/>
          <w:sz w:val="26"/>
          <w:szCs w:val="26"/>
        </w:rPr>
        <w:t xml:space="preserve"> and expressed concerns about the impact</w:t>
      </w:r>
      <w:r w:rsidR="004E4B6A">
        <w:rPr>
          <w:rFonts w:ascii="Times New Roman" w:hAnsi="Times New Roman"/>
          <w:sz w:val="26"/>
          <w:szCs w:val="26"/>
        </w:rPr>
        <w:t xml:space="preserve"> of the requested increase</w:t>
      </w:r>
      <w:r w:rsidR="009F5C6F">
        <w:rPr>
          <w:rFonts w:ascii="Times New Roman" w:hAnsi="Times New Roman"/>
          <w:sz w:val="26"/>
          <w:szCs w:val="26"/>
        </w:rPr>
        <w:t xml:space="preserve"> on senior citizens and person</w:t>
      </w:r>
      <w:r w:rsidR="004E4B6A">
        <w:rPr>
          <w:rFonts w:ascii="Times New Roman" w:hAnsi="Times New Roman"/>
          <w:sz w:val="26"/>
          <w:szCs w:val="26"/>
        </w:rPr>
        <w:t>s</w:t>
      </w:r>
      <w:r w:rsidR="009F5C6F">
        <w:rPr>
          <w:rFonts w:ascii="Times New Roman" w:hAnsi="Times New Roman"/>
          <w:sz w:val="26"/>
          <w:szCs w:val="26"/>
        </w:rPr>
        <w:t xml:space="preserve"> on fixed income</w:t>
      </w:r>
      <w:r w:rsidR="004E4B6A">
        <w:rPr>
          <w:rFonts w:ascii="Times New Roman" w:hAnsi="Times New Roman"/>
          <w:sz w:val="26"/>
          <w:szCs w:val="26"/>
        </w:rPr>
        <w:t>s</w:t>
      </w:r>
      <w:r w:rsidR="009F5C6F">
        <w:rPr>
          <w:rFonts w:ascii="Times New Roman" w:hAnsi="Times New Roman"/>
          <w:sz w:val="26"/>
          <w:szCs w:val="26"/>
        </w:rPr>
        <w:t xml:space="preserve">.  She also asserted that the increase will put small businesses at a competitive disadvantage.  Tr. at 351-352.  </w:t>
      </w:r>
    </w:p>
    <w:p w:rsidR="00EF09E7" w:rsidRPr="00A5340C" w:rsidRDefault="00EF09E7" w:rsidP="00BD486F">
      <w:pPr>
        <w:pStyle w:val="ListParagraph"/>
        <w:spacing w:line="360" w:lineRule="auto"/>
        <w:ind w:left="0"/>
        <w:rPr>
          <w:sz w:val="26"/>
          <w:szCs w:val="26"/>
        </w:rPr>
      </w:pPr>
    </w:p>
    <w:p w:rsidR="00EF09E7" w:rsidRPr="00A5340C" w:rsidRDefault="00EF09E7" w:rsidP="00BD486F">
      <w:pPr>
        <w:pStyle w:val="ListParagraph"/>
        <w:spacing w:line="360" w:lineRule="auto"/>
        <w:ind w:left="0"/>
        <w:rPr>
          <w:sz w:val="26"/>
          <w:szCs w:val="26"/>
        </w:rPr>
      </w:pPr>
      <w:r w:rsidRPr="00A5340C">
        <w:rPr>
          <w:sz w:val="26"/>
          <w:szCs w:val="26"/>
        </w:rPr>
        <w:tab/>
      </w:r>
      <w:r w:rsidRPr="00A5340C">
        <w:rPr>
          <w:sz w:val="26"/>
          <w:szCs w:val="26"/>
        </w:rPr>
        <w:tab/>
        <w:t>Additional testimony pertained to requests for clarification of the increase.  Formal Complainant Jane Neufeld acknowledged that PAWC had purchased the previous water supplier and made improvements</w:t>
      </w:r>
      <w:r w:rsidR="00356D66" w:rsidRPr="00A5340C">
        <w:rPr>
          <w:sz w:val="26"/>
          <w:szCs w:val="26"/>
        </w:rPr>
        <w:t xml:space="preserve"> </w:t>
      </w:r>
      <w:r w:rsidR="009F5C6F">
        <w:rPr>
          <w:sz w:val="26"/>
          <w:szCs w:val="26"/>
        </w:rPr>
        <w:t xml:space="preserve">to the prior system </w:t>
      </w:r>
      <w:r w:rsidRPr="00A5340C">
        <w:rPr>
          <w:sz w:val="26"/>
          <w:szCs w:val="26"/>
        </w:rPr>
        <w:t>and that a rate increase was to be expected.  However, she noted that one rate is not appropriate for all communities</w:t>
      </w:r>
      <w:r w:rsidR="005D38D1">
        <w:rPr>
          <w:sz w:val="26"/>
          <w:szCs w:val="26"/>
        </w:rPr>
        <w:t>,</w:t>
      </w:r>
      <w:r w:rsidRPr="00A5340C">
        <w:rPr>
          <w:sz w:val="26"/>
          <w:szCs w:val="26"/>
        </w:rPr>
        <w:t xml:space="preserve"> explaining that </w:t>
      </w:r>
      <w:r w:rsidR="005F1E6A">
        <w:rPr>
          <w:sz w:val="26"/>
          <w:szCs w:val="26"/>
        </w:rPr>
        <w:t xml:space="preserve">the consolidation of different areas of Pennsylvania into fewer payment zones would cause some people to experience significant monthly rate increases.  </w:t>
      </w:r>
      <w:r w:rsidR="00E05556">
        <w:rPr>
          <w:sz w:val="26"/>
          <w:szCs w:val="26"/>
        </w:rPr>
        <w:t>Tr. at </w:t>
      </w:r>
      <w:r w:rsidRPr="00A5340C">
        <w:rPr>
          <w:sz w:val="26"/>
          <w:szCs w:val="26"/>
        </w:rPr>
        <w:t xml:space="preserve">318-328.  </w:t>
      </w:r>
    </w:p>
    <w:p w:rsidR="00EF09E7" w:rsidRPr="00A5340C" w:rsidRDefault="00EF09E7" w:rsidP="00BD486F">
      <w:pPr>
        <w:pStyle w:val="ListParagraph"/>
        <w:spacing w:line="360" w:lineRule="auto"/>
        <w:ind w:left="0"/>
        <w:rPr>
          <w:sz w:val="26"/>
          <w:szCs w:val="26"/>
        </w:rPr>
      </w:pPr>
    </w:p>
    <w:p w:rsidR="0078393D" w:rsidRDefault="00EF09E7" w:rsidP="00BD486F">
      <w:pPr>
        <w:pStyle w:val="ListParagraph"/>
        <w:spacing w:line="360" w:lineRule="auto"/>
        <w:ind w:left="0"/>
        <w:rPr>
          <w:sz w:val="26"/>
          <w:szCs w:val="26"/>
        </w:rPr>
      </w:pPr>
      <w:r w:rsidRPr="00A5340C">
        <w:rPr>
          <w:sz w:val="26"/>
          <w:szCs w:val="26"/>
        </w:rPr>
        <w:tab/>
      </w:r>
      <w:r w:rsidRPr="00A5340C">
        <w:rPr>
          <w:sz w:val="26"/>
          <w:szCs w:val="26"/>
        </w:rPr>
        <w:tab/>
        <w:t xml:space="preserve">Some </w:t>
      </w:r>
      <w:r w:rsidR="005D38D1">
        <w:rPr>
          <w:sz w:val="26"/>
          <w:szCs w:val="26"/>
        </w:rPr>
        <w:t>witnesses</w:t>
      </w:r>
      <w:r w:rsidR="005F1E6A">
        <w:rPr>
          <w:sz w:val="26"/>
          <w:szCs w:val="26"/>
        </w:rPr>
        <w:t xml:space="preserve"> </w:t>
      </w:r>
      <w:r w:rsidR="002A0D5D" w:rsidRPr="00A5340C">
        <w:rPr>
          <w:sz w:val="26"/>
          <w:szCs w:val="26"/>
        </w:rPr>
        <w:t xml:space="preserve">spoke of </w:t>
      </w:r>
      <w:r w:rsidRPr="00A5340C">
        <w:rPr>
          <w:sz w:val="26"/>
          <w:szCs w:val="26"/>
        </w:rPr>
        <w:t xml:space="preserve">civic </w:t>
      </w:r>
      <w:r w:rsidR="002A0D5D" w:rsidRPr="00A5340C">
        <w:rPr>
          <w:sz w:val="26"/>
          <w:szCs w:val="26"/>
        </w:rPr>
        <w:t>organization</w:t>
      </w:r>
      <w:r w:rsidR="005D38D1">
        <w:rPr>
          <w:sz w:val="26"/>
          <w:szCs w:val="26"/>
        </w:rPr>
        <w:t>s’</w:t>
      </w:r>
      <w:r w:rsidR="002A0D5D" w:rsidRPr="00A5340C">
        <w:rPr>
          <w:sz w:val="26"/>
          <w:szCs w:val="26"/>
        </w:rPr>
        <w:t xml:space="preserve"> </w:t>
      </w:r>
      <w:r w:rsidRPr="00A5340C">
        <w:rPr>
          <w:sz w:val="26"/>
          <w:szCs w:val="26"/>
        </w:rPr>
        <w:t xml:space="preserve">support </w:t>
      </w:r>
      <w:r w:rsidR="002A0D5D" w:rsidRPr="00A5340C">
        <w:rPr>
          <w:sz w:val="26"/>
          <w:szCs w:val="26"/>
        </w:rPr>
        <w:t xml:space="preserve">for the Company, while others expressed concerns </w:t>
      </w:r>
      <w:r w:rsidR="005D38D1">
        <w:rPr>
          <w:sz w:val="26"/>
          <w:szCs w:val="26"/>
        </w:rPr>
        <w:t>about</w:t>
      </w:r>
      <w:r w:rsidR="002A0D5D" w:rsidRPr="00A5340C">
        <w:rPr>
          <w:sz w:val="26"/>
          <w:szCs w:val="26"/>
        </w:rPr>
        <w:t xml:space="preserve"> odor, discolored water, and customer and communications problems.  For example, State Senator Andrew </w:t>
      </w:r>
      <w:proofErr w:type="spellStart"/>
      <w:r w:rsidR="002A0D5D" w:rsidRPr="00A5340C">
        <w:rPr>
          <w:sz w:val="26"/>
          <w:szCs w:val="26"/>
        </w:rPr>
        <w:t>Dinniman</w:t>
      </w:r>
      <w:proofErr w:type="spellEnd"/>
      <w:r w:rsidR="002A0D5D" w:rsidRPr="00A5340C">
        <w:rPr>
          <w:sz w:val="26"/>
          <w:szCs w:val="26"/>
        </w:rPr>
        <w:t xml:space="preserve"> testified that there are problems with odor from PAWC facilities and the water provided is often discolored.  </w:t>
      </w:r>
      <w:r w:rsidR="0078393D">
        <w:rPr>
          <w:sz w:val="26"/>
          <w:szCs w:val="26"/>
        </w:rPr>
        <w:t>Tr. at 421-423.</w:t>
      </w:r>
    </w:p>
    <w:p w:rsidR="0078393D" w:rsidRDefault="0078393D" w:rsidP="00BD486F">
      <w:pPr>
        <w:pStyle w:val="ListParagraph"/>
        <w:spacing w:line="360" w:lineRule="auto"/>
        <w:ind w:left="0"/>
        <w:rPr>
          <w:sz w:val="26"/>
          <w:szCs w:val="26"/>
        </w:rPr>
      </w:pPr>
    </w:p>
    <w:p w:rsidR="00934B8B" w:rsidRPr="00A5340C" w:rsidRDefault="0078393D" w:rsidP="00BD486F">
      <w:pPr>
        <w:pStyle w:val="ListParagraph"/>
        <w:spacing w:line="360" w:lineRule="auto"/>
        <w:ind w:left="0"/>
        <w:rPr>
          <w:sz w:val="26"/>
          <w:szCs w:val="26"/>
        </w:rPr>
      </w:pPr>
      <w:r>
        <w:rPr>
          <w:sz w:val="26"/>
          <w:szCs w:val="26"/>
        </w:rPr>
        <w:lastRenderedPageBreak/>
        <w:tab/>
      </w:r>
      <w:r>
        <w:rPr>
          <w:sz w:val="26"/>
          <w:szCs w:val="26"/>
        </w:rPr>
        <w:tab/>
      </w:r>
      <w:r w:rsidR="002A0D5D" w:rsidRPr="00A5340C">
        <w:rPr>
          <w:sz w:val="26"/>
          <w:szCs w:val="26"/>
        </w:rPr>
        <w:t xml:space="preserve">In addition, Senator </w:t>
      </w:r>
      <w:proofErr w:type="spellStart"/>
      <w:r w:rsidR="002A0D5D" w:rsidRPr="00A5340C">
        <w:rPr>
          <w:sz w:val="26"/>
          <w:szCs w:val="26"/>
        </w:rPr>
        <w:t>Dinniman</w:t>
      </w:r>
      <w:proofErr w:type="spellEnd"/>
      <w:r w:rsidR="002A0D5D" w:rsidRPr="00A5340C">
        <w:rPr>
          <w:sz w:val="26"/>
          <w:szCs w:val="26"/>
        </w:rPr>
        <w:t xml:space="preserve"> asserted that residents in his district have already paid significant increases in their water rates, maintaining that PAWC is seeking a rate </w:t>
      </w:r>
      <w:r w:rsidR="00573F7D">
        <w:rPr>
          <w:sz w:val="26"/>
          <w:szCs w:val="26"/>
        </w:rPr>
        <w:t>sixty-two percent</w:t>
      </w:r>
      <w:r w:rsidR="002A0D5D" w:rsidRPr="00A5340C">
        <w:rPr>
          <w:sz w:val="26"/>
          <w:szCs w:val="26"/>
        </w:rPr>
        <w:t xml:space="preserve"> higher than </w:t>
      </w:r>
      <w:r w:rsidR="00FC130D" w:rsidRPr="00A5340C">
        <w:rPr>
          <w:sz w:val="26"/>
          <w:szCs w:val="26"/>
        </w:rPr>
        <w:t xml:space="preserve">the </w:t>
      </w:r>
      <w:r w:rsidR="00EE27B3">
        <w:rPr>
          <w:sz w:val="26"/>
          <w:szCs w:val="26"/>
        </w:rPr>
        <w:t xml:space="preserve">rate </w:t>
      </w:r>
      <w:r w:rsidR="00FC130D" w:rsidRPr="00A5340C">
        <w:rPr>
          <w:sz w:val="26"/>
          <w:szCs w:val="26"/>
        </w:rPr>
        <w:t>charged rate</w:t>
      </w:r>
      <w:r w:rsidR="002A0D5D" w:rsidRPr="00A5340C">
        <w:rPr>
          <w:sz w:val="26"/>
          <w:szCs w:val="26"/>
        </w:rPr>
        <w:t xml:space="preserve"> in 2007.  </w:t>
      </w:r>
      <w:r w:rsidR="00B36E0F" w:rsidRPr="00A5340C">
        <w:rPr>
          <w:sz w:val="26"/>
          <w:szCs w:val="26"/>
        </w:rPr>
        <w:t xml:space="preserve">Furthermore, Senator </w:t>
      </w:r>
      <w:proofErr w:type="spellStart"/>
      <w:r w:rsidR="00B36E0F" w:rsidRPr="00A5340C">
        <w:rPr>
          <w:sz w:val="26"/>
          <w:szCs w:val="26"/>
        </w:rPr>
        <w:t>Dinniman</w:t>
      </w:r>
      <w:proofErr w:type="spellEnd"/>
      <w:r w:rsidR="00B36E0F" w:rsidRPr="00A5340C">
        <w:rPr>
          <w:sz w:val="26"/>
          <w:szCs w:val="26"/>
        </w:rPr>
        <w:t xml:space="preserve"> asked for assurance that a $9.9 million low</w:t>
      </w:r>
      <w:r w:rsidR="00EE27B3">
        <w:rPr>
          <w:sz w:val="26"/>
          <w:szCs w:val="26"/>
        </w:rPr>
        <w:t>-</w:t>
      </w:r>
      <w:r w:rsidR="00B36E0F" w:rsidRPr="00A5340C">
        <w:rPr>
          <w:sz w:val="26"/>
          <w:szCs w:val="26"/>
        </w:rPr>
        <w:t xml:space="preserve">interest loan PAWC received form the Pennsylvania Infrastructure </w:t>
      </w:r>
      <w:r w:rsidR="00EE27B3">
        <w:rPr>
          <w:sz w:val="26"/>
          <w:szCs w:val="26"/>
        </w:rPr>
        <w:t xml:space="preserve">Investment </w:t>
      </w:r>
      <w:r w:rsidR="00B36E0F" w:rsidRPr="00A5340C">
        <w:rPr>
          <w:sz w:val="26"/>
          <w:szCs w:val="26"/>
        </w:rPr>
        <w:t xml:space="preserve">Authority to upgrade the </w:t>
      </w:r>
      <w:r w:rsidR="00573F7D">
        <w:rPr>
          <w:sz w:val="26"/>
          <w:szCs w:val="26"/>
        </w:rPr>
        <w:t>Rock Run water treatment center</w:t>
      </w:r>
      <w:r w:rsidR="00B36E0F" w:rsidRPr="00A5340C">
        <w:rPr>
          <w:sz w:val="26"/>
          <w:szCs w:val="26"/>
        </w:rPr>
        <w:t xml:space="preserve"> is taken into consideration when determining the rate.  Finally, Senator </w:t>
      </w:r>
      <w:proofErr w:type="spellStart"/>
      <w:r w:rsidR="00B36E0F" w:rsidRPr="00A5340C">
        <w:rPr>
          <w:sz w:val="26"/>
          <w:szCs w:val="26"/>
        </w:rPr>
        <w:t>Dinniman</w:t>
      </w:r>
      <w:proofErr w:type="spellEnd"/>
      <w:r w:rsidR="00B36E0F" w:rsidRPr="00A5340C">
        <w:rPr>
          <w:sz w:val="26"/>
          <w:szCs w:val="26"/>
        </w:rPr>
        <w:t xml:space="preserve"> stated that he considered the</w:t>
      </w:r>
      <w:r w:rsidR="00573F7D">
        <w:rPr>
          <w:sz w:val="26"/>
          <w:szCs w:val="26"/>
        </w:rPr>
        <w:t xml:space="preserve"> eleven percent</w:t>
      </w:r>
      <w:r w:rsidR="00B36E0F" w:rsidRPr="00A5340C">
        <w:rPr>
          <w:sz w:val="26"/>
          <w:szCs w:val="26"/>
        </w:rPr>
        <w:t xml:space="preserve"> overall rate of return to be too high and maintained that an expected or traditional rate of return is about 8.68%.  Accordingly, he calculated that the difference </w:t>
      </w:r>
      <w:r w:rsidR="000173D6" w:rsidRPr="00A5340C">
        <w:rPr>
          <w:sz w:val="26"/>
          <w:szCs w:val="26"/>
        </w:rPr>
        <w:t xml:space="preserve">in the expected and traditional rates </w:t>
      </w:r>
      <w:r w:rsidR="00B36E0F" w:rsidRPr="00A5340C">
        <w:rPr>
          <w:sz w:val="26"/>
          <w:szCs w:val="26"/>
        </w:rPr>
        <w:t>is equal to $47 million</w:t>
      </w:r>
      <w:r w:rsidR="00EE27B3">
        <w:rPr>
          <w:sz w:val="26"/>
          <w:szCs w:val="26"/>
        </w:rPr>
        <w:t>,</w:t>
      </w:r>
      <w:r w:rsidR="00B36E0F" w:rsidRPr="00A5340C">
        <w:rPr>
          <w:sz w:val="26"/>
          <w:szCs w:val="26"/>
        </w:rPr>
        <w:t xml:space="preserve"> which could be used to reduc</w:t>
      </w:r>
      <w:r w:rsidR="00573F7D">
        <w:rPr>
          <w:sz w:val="26"/>
          <w:szCs w:val="26"/>
        </w:rPr>
        <w:t xml:space="preserve">e water and wastewater bills.  </w:t>
      </w:r>
      <w:r>
        <w:rPr>
          <w:sz w:val="26"/>
          <w:szCs w:val="26"/>
        </w:rPr>
        <w:t>Tr. 419-421.</w:t>
      </w:r>
    </w:p>
    <w:p w:rsidR="00413F99" w:rsidRPr="00A5340C" w:rsidRDefault="00413F99" w:rsidP="004C023F">
      <w:pPr>
        <w:pStyle w:val="ListParagraph"/>
        <w:spacing w:line="360" w:lineRule="auto"/>
        <w:rPr>
          <w:sz w:val="26"/>
          <w:szCs w:val="26"/>
        </w:rPr>
      </w:pPr>
    </w:p>
    <w:p w:rsidR="00B65394" w:rsidRPr="00A5340C" w:rsidRDefault="0068726F" w:rsidP="0068726F">
      <w:pPr>
        <w:pStyle w:val="ListParagraph"/>
        <w:spacing w:line="360" w:lineRule="auto"/>
        <w:ind w:left="0"/>
        <w:rPr>
          <w:b/>
          <w:color w:val="333333"/>
          <w:sz w:val="26"/>
          <w:szCs w:val="26"/>
        </w:rPr>
      </w:pPr>
      <w:r w:rsidRPr="00A5340C">
        <w:rPr>
          <w:b/>
          <w:sz w:val="26"/>
          <w:szCs w:val="26"/>
        </w:rPr>
        <w:t>B.</w:t>
      </w:r>
      <w:r w:rsidRPr="00A5340C">
        <w:rPr>
          <w:sz w:val="26"/>
          <w:szCs w:val="26"/>
        </w:rPr>
        <w:tab/>
      </w:r>
      <w:r w:rsidR="0047221A" w:rsidRPr="00A5340C">
        <w:rPr>
          <w:b/>
          <w:bCs/>
          <w:color w:val="333333"/>
          <w:sz w:val="26"/>
          <w:szCs w:val="26"/>
        </w:rPr>
        <w:t>T</w:t>
      </w:r>
      <w:r w:rsidR="008D5FDE" w:rsidRPr="00A5340C">
        <w:rPr>
          <w:b/>
          <w:bCs/>
          <w:color w:val="333333"/>
          <w:sz w:val="26"/>
          <w:szCs w:val="26"/>
        </w:rPr>
        <w:t>erms and</w:t>
      </w:r>
      <w:r w:rsidR="0047221A" w:rsidRPr="00A5340C">
        <w:rPr>
          <w:b/>
          <w:bCs/>
          <w:color w:val="333333"/>
          <w:sz w:val="26"/>
          <w:szCs w:val="26"/>
        </w:rPr>
        <w:t xml:space="preserve"> </w:t>
      </w:r>
      <w:r w:rsidR="00B65394" w:rsidRPr="00A5340C">
        <w:rPr>
          <w:b/>
          <w:bCs/>
          <w:color w:val="333333"/>
          <w:sz w:val="26"/>
          <w:szCs w:val="26"/>
        </w:rPr>
        <w:t>C</w:t>
      </w:r>
      <w:r w:rsidR="008D5FDE" w:rsidRPr="00A5340C">
        <w:rPr>
          <w:b/>
          <w:bCs/>
          <w:color w:val="333333"/>
          <w:sz w:val="26"/>
          <w:szCs w:val="26"/>
        </w:rPr>
        <w:t>onditions</w:t>
      </w:r>
      <w:r w:rsidR="0047221A" w:rsidRPr="00A5340C">
        <w:rPr>
          <w:b/>
          <w:bCs/>
          <w:color w:val="333333"/>
          <w:sz w:val="26"/>
          <w:szCs w:val="26"/>
        </w:rPr>
        <w:t xml:space="preserve"> </w:t>
      </w:r>
      <w:r w:rsidR="008D5FDE" w:rsidRPr="00A5340C">
        <w:rPr>
          <w:b/>
          <w:bCs/>
          <w:color w:val="333333"/>
          <w:sz w:val="26"/>
          <w:szCs w:val="26"/>
        </w:rPr>
        <w:t>of</w:t>
      </w:r>
      <w:r w:rsidR="0047221A" w:rsidRPr="00A5340C">
        <w:rPr>
          <w:b/>
          <w:bCs/>
          <w:color w:val="333333"/>
          <w:sz w:val="26"/>
          <w:szCs w:val="26"/>
        </w:rPr>
        <w:t xml:space="preserve"> </w:t>
      </w:r>
      <w:r w:rsidR="008D5FDE" w:rsidRPr="00A5340C">
        <w:rPr>
          <w:b/>
          <w:bCs/>
          <w:color w:val="333333"/>
          <w:sz w:val="26"/>
          <w:szCs w:val="26"/>
        </w:rPr>
        <w:t>the</w:t>
      </w:r>
      <w:r w:rsidR="0047221A" w:rsidRPr="00A5340C">
        <w:rPr>
          <w:b/>
          <w:bCs/>
          <w:color w:val="333333"/>
          <w:sz w:val="26"/>
          <w:szCs w:val="26"/>
        </w:rPr>
        <w:t xml:space="preserve"> J</w:t>
      </w:r>
      <w:r w:rsidR="008D5FDE" w:rsidRPr="00A5340C">
        <w:rPr>
          <w:b/>
          <w:bCs/>
          <w:color w:val="333333"/>
          <w:sz w:val="26"/>
          <w:szCs w:val="26"/>
        </w:rPr>
        <w:t>oint</w:t>
      </w:r>
      <w:r w:rsidR="0047221A" w:rsidRPr="00A5340C">
        <w:rPr>
          <w:b/>
          <w:bCs/>
          <w:color w:val="333333"/>
          <w:sz w:val="26"/>
          <w:szCs w:val="26"/>
        </w:rPr>
        <w:t xml:space="preserve"> S</w:t>
      </w:r>
      <w:r w:rsidR="008D5FDE" w:rsidRPr="00A5340C">
        <w:rPr>
          <w:b/>
          <w:bCs/>
          <w:color w:val="333333"/>
          <w:sz w:val="26"/>
          <w:szCs w:val="26"/>
        </w:rPr>
        <w:t>ettlement</w:t>
      </w:r>
    </w:p>
    <w:p w:rsidR="00B65394" w:rsidRPr="00A5340C" w:rsidRDefault="00B65394" w:rsidP="000F5BDD">
      <w:pPr>
        <w:pStyle w:val="ListParagraph"/>
        <w:spacing w:line="360" w:lineRule="auto"/>
        <w:ind w:left="1080"/>
        <w:rPr>
          <w:color w:val="333333"/>
          <w:sz w:val="26"/>
          <w:szCs w:val="26"/>
          <w:u w:val="single"/>
        </w:rPr>
      </w:pPr>
    </w:p>
    <w:p w:rsidR="0047221A" w:rsidRPr="00A5340C" w:rsidRDefault="0047221A" w:rsidP="000F5BDD">
      <w:pPr>
        <w:pStyle w:val="ListParagraph"/>
        <w:spacing w:line="360" w:lineRule="auto"/>
        <w:ind w:left="0" w:firstLine="1440"/>
        <w:rPr>
          <w:color w:val="333333"/>
          <w:sz w:val="26"/>
          <w:szCs w:val="26"/>
        </w:rPr>
      </w:pPr>
      <w:r w:rsidRPr="00A5340C">
        <w:rPr>
          <w:color w:val="333333"/>
          <w:sz w:val="26"/>
          <w:szCs w:val="26"/>
        </w:rPr>
        <w:t>The Joint P</w:t>
      </w:r>
      <w:r w:rsidR="00573F7D">
        <w:rPr>
          <w:color w:val="333333"/>
          <w:sz w:val="26"/>
          <w:szCs w:val="26"/>
        </w:rPr>
        <w:t>etitioners</w:t>
      </w:r>
      <w:r w:rsidRPr="00A5340C">
        <w:rPr>
          <w:color w:val="333333"/>
          <w:sz w:val="26"/>
          <w:szCs w:val="26"/>
        </w:rPr>
        <w:t xml:space="preserve"> agree to the following pertinent terms and conditions </w:t>
      </w:r>
      <w:r w:rsidR="00573F7D">
        <w:rPr>
          <w:color w:val="333333"/>
          <w:sz w:val="26"/>
          <w:szCs w:val="26"/>
        </w:rPr>
        <w:t>regarding</w:t>
      </w:r>
      <w:r w:rsidRPr="00A5340C">
        <w:rPr>
          <w:color w:val="333333"/>
          <w:sz w:val="26"/>
          <w:szCs w:val="26"/>
        </w:rPr>
        <w:t xml:space="preserve"> </w:t>
      </w:r>
      <w:r w:rsidR="0078393D">
        <w:rPr>
          <w:bCs/>
          <w:color w:val="333333"/>
          <w:sz w:val="26"/>
          <w:szCs w:val="26"/>
        </w:rPr>
        <w:t>PAWC</w:t>
      </w:r>
      <w:r w:rsidR="00BC6F16" w:rsidRPr="00A5340C">
        <w:rPr>
          <w:bCs/>
          <w:color w:val="333333"/>
          <w:sz w:val="26"/>
          <w:szCs w:val="26"/>
        </w:rPr>
        <w:t>’</w:t>
      </w:r>
      <w:r w:rsidRPr="00A5340C">
        <w:rPr>
          <w:bCs/>
          <w:color w:val="333333"/>
          <w:sz w:val="26"/>
          <w:szCs w:val="26"/>
        </w:rPr>
        <w:t>s</w:t>
      </w:r>
      <w:r w:rsidRPr="00A5340C">
        <w:rPr>
          <w:color w:val="333333"/>
          <w:sz w:val="26"/>
          <w:szCs w:val="26"/>
        </w:rPr>
        <w:t xml:space="preserve"> proposed </w:t>
      </w:r>
      <w:r w:rsidRPr="00A5340C">
        <w:rPr>
          <w:bCs/>
          <w:color w:val="333333"/>
          <w:sz w:val="26"/>
          <w:szCs w:val="26"/>
        </w:rPr>
        <w:t>rate</w:t>
      </w:r>
      <w:r w:rsidRPr="00A5340C">
        <w:rPr>
          <w:color w:val="333333"/>
          <w:sz w:val="26"/>
          <w:szCs w:val="26"/>
        </w:rPr>
        <w:t xml:space="preserve"> increase</w:t>
      </w:r>
      <w:r w:rsidR="00573F7D">
        <w:rPr>
          <w:color w:val="333333"/>
          <w:sz w:val="26"/>
          <w:szCs w:val="26"/>
        </w:rPr>
        <w:t xml:space="preserve"> as reflected in Paragraph No. 8 of the Settlement:</w:t>
      </w:r>
    </w:p>
    <w:p w:rsidR="00F25F62" w:rsidRPr="00A5340C" w:rsidRDefault="00F25F62" w:rsidP="000F5BDD">
      <w:pPr>
        <w:pStyle w:val="ListParagraph"/>
        <w:spacing w:line="360" w:lineRule="auto"/>
        <w:ind w:left="0" w:firstLine="1440"/>
        <w:rPr>
          <w:color w:val="333333"/>
          <w:sz w:val="26"/>
          <w:szCs w:val="26"/>
        </w:rPr>
      </w:pPr>
    </w:p>
    <w:p w:rsidR="00516A96" w:rsidRDefault="00516A96" w:rsidP="009B35DF">
      <w:pPr>
        <w:numPr>
          <w:ilvl w:val="2"/>
          <w:numId w:val="37"/>
        </w:numPr>
        <w:spacing w:after="120" w:line="240" w:lineRule="auto"/>
        <w:ind w:left="1440" w:right="1440" w:firstLine="720"/>
        <w:outlineLvl w:val="2"/>
        <w:rPr>
          <w:rFonts w:ascii="Times New Roman" w:eastAsia="Times New Roman" w:hAnsi="Times New Roman"/>
          <w:sz w:val="26"/>
          <w:szCs w:val="26"/>
        </w:rPr>
      </w:pPr>
      <w:r w:rsidRPr="00516A96">
        <w:rPr>
          <w:rFonts w:ascii="Times New Roman" w:eastAsia="Times New Roman" w:hAnsi="Times New Roman"/>
          <w:sz w:val="26"/>
          <w:szCs w:val="26"/>
        </w:rPr>
        <w:t xml:space="preserve">Upon the Commission’s approval of this Settlement, but no earlier than January 1, 2014 (see </w:t>
      </w:r>
      <w:r>
        <w:rPr>
          <w:rFonts w:ascii="Times New Roman" w:eastAsia="Times New Roman" w:hAnsi="Times New Roman"/>
          <w:sz w:val="26"/>
          <w:szCs w:val="26"/>
        </w:rPr>
        <w:t>8</w:t>
      </w:r>
      <w:r w:rsidRPr="00516A96">
        <w:rPr>
          <w:rFonts w:ascii="Times New Roman" w:eastAsia="Times New Roman" w:hAnsi="Times New Roman"/>
          <w:sz w:val="26"/>
          <w:szCs w:val="26"/>
        </w:rPr>
        <w:t>.d. below), PAWC will be permitted to charge the rates for water service set forth in the proposed Tariff Supplement annexed hereto as Appendix A and the rates for wastewater service set forth in the proposed Original Tariff annexed hereto as Appendix B (hereafter, the Settlement Rates).</w:t>
      </w:r>
      <w:r w:rsidR="001F4CF9">
        <w:rPr>
          <w:rStyle w:val="FootnoteReference"/>
          <w:rFonts w:ascii="Times New Roman" w:eastAsia="Times New Roman" w:hAnsi="Times New Roman"/>
          <w:sz w:val="26"/>
          <w:szCs w:val="26"/>
        </w:rPr>
        <w:footnoteReference w:id="7"/>
      </w:r>
      <w:r w:rsidRPr="00516A96">
        <w:rPr>
          <w:rFonts w:ascii="Times New Roman" w:eastAsia="Times New Roman" w:hAnsi="Times New Roman"/>
          <w:sz w:val="26"/>
          <w:szCs w:val="26"/>
        </w:rPr>
        <w:t xml:space="preserve">  The Settlement Rates are designed to produce additional annual operating revenue of $26 million, as shown on the proof of revenues annexed hereto as Appendix C.  The Water Tariff Supplement set forth in Appendix A and the Wastewater </w:t>
      </w:r>
      <w:r w:rsidRPr="00516A96">
        <w:rPr>
          <w:rFonts w:ascii="Times New Roman" w:eastAsia="Times New Roman" w:hAnsi="Times New Roman"/>
          <w:sz w:val="26"/>
          <w:szCs w:val="26"/>
        </w:rPr>
        <w:lastRenderedPageBreak/>
        <w:t>Original Tariff set forth in Appendix B have been reviewed by the Joint Petitioners and comply with the terms of the Settlement.  The Settlement Rates are designed to produce approximately $604.6 million in total annual combined water and wastewater revenue (including Other Revenue) as shown in Appendix C, Schedule A, column 8.</w:t>
      </w:r>
    </w:p>
    <w:p w:rsidR="00B86437" w:rsidRPr="00516A96" w:rsidRDefault="00B86437" w:rsidP="00B86437">
      <w:pPr>
        <w:spacing w:after="120" w:line="240" w:lineRule="auto"/>
        <w:ind w:left="2160" w:right="1440"/>
        <w:outlineLvl w:val="2"/>
        <w:rPr>
          <w:rFonts w:ascii="Times New Roman" w:eastAsia="Times New Roman" w:hAnsi="Times New Roman"/>
          <w:sz w:val="26"/>
          <w:szCs w:val="26"/>
        </w:rPr>
      </w:pPr>
    </w:p>
    <w:p w:rsidR="00516A96" w:rsidRDefault="00516A96" w:rsidP="009B35DF">
      <w:pPr>
        <w:numPr>
          <w:ilvl w:val="2"/>
          <w:numId w:val="37"/>
        </w:numPr>
        <w:spacing w:after="120" w:line="240" w:lineRule="auto"/>
        <w:ind w:left="1440" w:right="1440" w:firstLine="720"/>
        <w:outlineLvl w:val="2"/>
        <w:rPr>
          <w:rFonts w:ascii="Times New Roman" w:eastAsia="Times New Roman" w:hAnsi="Times New Roman"/>
          <w:sz w:val="26"/>
          <w:szCs w:val="26"/>
        </w:rPr>
      </w:pPr>
      <w:r w:rsidRPr="00516A96">
        <w:rPr>
          <w:rFonts w:ascii="Times New Roman" w:eastAsia="Times New Roman" w:hAnsi="Times New Roman"/>
          <w:sz w:val="26"/>
          <w:szCs w:val="26"/>
        </w:rPr>
        <w:t>The Joint Petitioners agree that the Company’s originally filed pro forma present rate revenue level has been used to establish the Settlement Rates.  The Joint Petitioners specifically agree that this provision is for the purposes of settlement for this case only and is not determinative of any party’s position in future cases.</w:t>
      </w:r>
    </w:p>
    <w:p w:rsidR="00B86437" w:rsidRPr="00516A96" w:rsidRDefault="00B86437" w:rsidP="00B86437">
      <w:pPr>
        <w:spacing w:after="120" w:line="240" w:lineRule="auto"/>
        <w:ind w:right="1440"/>
        <w:outlineLvl w:val="2"/>
        <w:rPr>
          <w:rFonts w:ascii="Times New Roman" w:eastAsia="Times New Roman" w:hAnsi="Times New Roman"/>
          <w:sz w:val="26"/>
          <w:szCs w:val="26"/>
        </w:rPr>
      </w:pPr>
    </w:p>
    <w:p w:rsidR="00516A96" w:rsidRDefault="00516A96" w:rsidP="009B35DF">
      <w:pPr>
        <w:numPr>
          <w:ilvl w:val="2"/>
          <w:numId w:val="37"/>
        </w:numPr>
        <w:spacing w:after="120" w:line="240" w:lineRule="auto"/>
        <w:ind w:left="1440" w:right="1440" w:firstLine="720"/>
        <w:outlineLvl w:val="2"/>
        <w:rPr>
          <w:rFonts w:ascii="Times New Roman" w:eastAsia="Times New Roman" w:hAnsi="Times New Roman"/>
          <w:sz w:val="26"/>
          <w:szCs w:val="26"/>
        </w:rPr>
      </w:pPr>
      <w:r w:rsidRPr="00516A96">
        <w:rPr>
          <w:rFonts w:ascii="Times New Roman" w:eastAsia="Times New Roman" w:hAnsi="Times New Roman"/>
          <w:sz w:val="26"/>
          <w:szCs w:val="26"/>
        </w:rPr>
        <w:t xml:space="preserve">The Commission previously approved wastewater rate increases to become effective on January 1, 2011, 2012, 2013, and 2014 for the Company’s Coatesville wastewater operations (Docket No. R-2010-2166212), Claysville wastewater operations (Docket No. </w:t>
      </w:r>
      <w:r w:rsidR="00205975">
        <w:rPr>
          <w:rFonts w:ascii="Times New Roman" w:eastAsia="Times New Roman" w:hAnsi="Times New Roman"/>
          <w:sz w:val="26"/>
          <w:szCs w:val="26"/>
        </w:rPr>
        <w:br/>
      </w:r>
      <w:r w:rsidRPr="00516A96">
        <w:rPr>
          <w:rFonts w:ascii="Times New Roman" w:eastAsia="Times New Roman" w:hAnsi="Times New Roman"/>
          <w:sz w:val="26"/>
          <w:szCs w:val="26"/>
        </w:rPr>
        <w:t>R-2010-2166210) and Northeast wastewater operations (Docket No. R-2010-2166214), as part of a rate phase-in.  The rates to become effective on January 1, 2014 were to remain in effect through the years 2014, 2015, and 2016.  On January 1, 2017, the aforementioned wastewater rates were to be reduced to those in effect on January 1, 2013.  As a result of the combination of the water and wastewater revenue requirements reflected in the Settlement, water customers will be allocated $7.8 million of the deferred increases to the Coatesville, Claysville and Northeast wastewater customers, to be recovered by an increase in the water revenue requirement of $2.6 million per year in each of the years 2014, 2015, and 2016.  On January 1, 2017, Zone 1 water rates will be reduced by the following amounts to remove that $2.6 million from rates:  (i) $0.0073 per 100 gallons for the Residential customer class; (2) $0.0035 per 100 gallons for the Commercial customer class; and (3) $0.0054 per 100 gallons for the Other Public Authority customer class.  Additionally, as part of this Settlement, the previously-approved wastewater rate increases noted in this subsection scheduled to take effect on January 1, 2014 for Coatesville, Claysville and Northeast will not occur.</w:t>
      </w:r>
    </w:p>
    <w:p w:rsidR="00516A96" w:rsidRDefault="00516A96" w:rsidP="009B35DF">
      <w:pPr>
        <w:numPr>
          <w:ilvl w:val="2"/>
          <w:numId w:val="37"/>
        </w:numPr>
        <w:spacing w:after="120" w:line="240" w:lineRule="auto"/>
        <w:ind w:left="1440" w:right="1440" w:firstLine="720"/>
        <w:outlineLvl w:val="2"/>
        <w:rPr>
          <w:rFonts w:ascii="Times New Roman" w:eastAsia="Times New Roman" w:hAnsi="Times New Roman"/>
          <w:sz w:val="26"/>
          <w:szCs w:val="26"/>
        </w:rPr>
      </w:pPr>
      <w:r w:rsidRPr="00516A96">
        <w:rPr>
          <w:rFonts w:ascii="Times New Roman" w:eastAsia="Times New Roman" w:hAnsi="Times New Roman"/>
          <w:sz w:val="26"/>
          <w:szCs w:val="26"/>
        </w:rPr>
        <w:lastRenderedPageBreak/>
        <w:t xml:space="preserve">The Joint Petitioners agree to exercise their best efforts to obtain approval of this Settlement by the Commission on or before December 19, 2013, and the implementation of the Settlement Rates on January 1, 2014.  Upon the entry of a Commission Order approving this </w:t>
      </w:r>
      <w:r w:rsidR="00CA2BBF">
        <w:rPr>
          <w:rFonts w:ascii="Times New Roman" w:eastAsia="Times New Roman" w:hAnsi="Times New Roman"/>
          <w:sz w:val="26"/>
          <w:szCs w:val="26"/>
        </w:rPr>
        <w:t>[Settlement]</w:t>
      </w:r>
      <w:r w:rsidRPr="00516A96">
        <w:rPr>
          <w:rFonts w:ascii="Times New Roman" w:eastAsia="Times New Roman" w:hAnsi="Times New Roman"/>
          <w:sz w:val="26"/>
          <w:szCs w:val="26"/>
        </w:rPr>
        <w:t>, the Company will be permitted to file a tariff supplement for water service, in the form attached hereto as Appendix A, and a tariff for wastewater service, in the form attached hereto as Appendix B, to become effective upon less than statutory notice on January 1, 2014.</w:t>
      </w:r>
    </w:p>
    <w:p w:rsidR="0008065F" w:rsidRPr="00516A96" w:rsidRDefault="0008065F" w:rsidP="0008065F">
      <w:pPr>
        <w:spacing w:after="120" w:line="240" w:lineRule="auto"/>
        <w:ind w:right="1440"/>
        <w:outlineLvl w:val="2"/>
        <w:rPr>
          <w:rFonts w:ascii="Times New Roman" w:eastAsia="Times New Roman" w:hAnsi="Times New Roman"/>
          <w:sz w:val="26"/>
          <w:szCs w:val="26"/>
        </w:rPr>
      </w:pPr>
    </w:p>
    <w:p w:rsidR="00516A96" w:rsidRDefault="00516A96" w:rsidP="009B35DF">
      <w:pPr>
        <w:numPr>
          <w:ilvl w:val="2"/>
          <w:numId w:val="37"/>
        </w:numPr>
        <w:spacing w:after="120" w:line="240" w:lineRule="auto"/>
        <w:ind w:left="1440" w:right="1440" w:firstLine="720"/>
        <w:outlineLvl w:val="2"/>
        <w:rPr>
          <w:rFonts w:ascii="Times New Roman" w:eastAsia="Times New Roman" w:hAnsi="Times New Roman"/>
          <w:sz w:val="26"/>
          <w:szCs w:val="26"/>
        </w:rPr>
      </w:pPr>
      <w:r w:rsidRPr="00516A96">
        <w:rPr>
          <w:rFonts w:ascii="Times New Roman" w:eastAsia="Times New Roman" w:hAnsi="Times New Roman"/>
          <w:sz w:val="26"/>
          <w:szCs w:val="26"/>
        </w:rPr>
        <w:t>PAWC will not file for another general rate increase under Section 1308(d) of the Public Utility Code for its water operations, Pocono wastewater operations, Clarion wastewater operations or Clean Treatment wastewater operations prior to March 31, 2016.</w:t>
      </w:r>
      <w:r w:rsidRPr="00516A96">
        <w:rPr>
          <w:rFonts w:ascii="Times New Roman" w:eastAsia="Times New Roman" w:hAnsi="Times New Roman"/>
          <w:sz w:val="26"/>
          <w:szCs w:val="26"/>
          <w:vertAlign w:val="superscript"/>
        </w:rPr>
        <w:footnoteReference w:id="8"/>
      </w:r>
      <w:r w:rsidRPr="00516A96">
        <w:rPr>
          <w:rFonts w:ascii="Times New Roman" w:eastAsia="Times New Roman" w:hAnsi="Times New Roman"/>
          <w:sz w:val="26"/>
          <w:szCs w:val="26"/>
        </w:rPr>
        <w:t xml:space="preserve">  However, if a legislative body or administrative agency, including the Commission, orders or enacts fundamental changes in policy or statutes which directly and substantially affect the Company’s rates, this Settlement shall not prevent the Company from filing tariffs or tariff supplements to the extent necessitated by such action.</w:t>
      </w:r>
    </w:p>
    <w:p w:rsidR="0008065F" w:rsidRPr="00516A96" w:rsidRDefault="0008065F" w:rsidP="0008065F">
      <w:pPr>
        <w:spacing w:after="120" w:line="240" w:lineRule="auto"/>
        <w:ind w:right="1440"/>
        <w:outlineLvl w:val="2"/>
        <w:rPr>
          <w:rFonts w:ascii="Times New Roman" w:eastAsia="Times New Roman" w:hAnsi="Times New Roman"/>
          <w:sz w:val="26"/>
          <w:szCs w:val="26"/>
        </w:rPr>
      </w:pPr>
    </w:p>
    <w:p w:rsidR="00516A96" w:rsidRDefault="00516A96" w:rsidP="009B35DF">
      <w:pPr>
        <w:numPr>
          <w:ilvl w:val="2"/>
          <w:numId w:val="37"/>
        </w:numPr>
        <w:spacing w:after="120" w:line="240" w:lineRule="auto"/>
        <w:ind w:left="1440" w:right="1440" w:firstLine="720"/>
        <w:outlineLvl w:val="2"/>
        <w:rPr>
          <w:rFonts w:ascii="Times New Roman" w:eastAsia="Times New Roman" w:hAnsi="Times New Roman"/>
          <w:sz w:val="26"/>
          <w:szCs w:val="26"/>
        </w:rPr>
      </w:pPr>
      <w:r w:rsidRPr="00516A96">
        <w:rPr>
          <w:rFonts w:ascii="Times New Roman" w:eastAsia="Times New Roman" w:hAnsi="Times New Roman"/>
          <w:sz w:val="26"/>
          <w:szCs w:val="26"/>
        </w:rPr>
        <w:t>The Joint Petitioners acknowledge and agree that the Company will use the depreciation rates set forth in PAWC Exhibit Nos. 10-C, 10-F and 10-I to calculate the depreciation expense it records on its regulated books of account.  This provision is included solely for the purpose of recording annual and accrued depreciation in PAWC’s regulated books of account and is not determinative of depreciation rates or depreciation expense for future ratemaking purposes.</w:t>
      </w:r>
    </w:p>
    <w:p w:rsidR="0008065F" w:rsidRPr="00516A96" w:rsidRDefault="0008065F" w:rsidP="0008065F">
      <w:pPr>
        <w:spacing w:after="120" w:line="240" w:lineRule="auto"/>
        <w:ind w:right="1440"/>
        <w:outlineLvl w:val="2"/>
        <w:rPr>
          <w:rFonts w:ascii="Times New Roman" w:eastAsia="Times New Roman" w:hAnsi="Times New Roman"/>
          <w:sz w:val="26"/>
          <w:szCs w:val="26"/>
        </w:rPr>
      </w:pPr>
    </w:p>
    <w:p w:rsidR="00516A96" w:rsidRDefault="00516A96" w:rsidP="009B35DF">
      <w:pPr>
        <w:numPr>
          <w:ilvl w:val="2"/>
          <w:numId w:val="37"/>
        </w:numPr>
        <w:tabs>
          <w:tab w:val="left" w:pos="720"/>
        </w:tabs>
        <w:spacing w:after="120" w:line="240" w:lineRule="auto"/>
        <w:ind w:left="1440" w:right="1440" w:firstLine="720"/>
        <w:outlineLvl w:val="2"/>
        <w:rPr>
          <w:rFonts w:ascii="Times New Roman" w:eastAsia="Times New Roman" w:hAnsi="Times New Roman"/>
          <w:sz w:val="26"/>
          <w:szCs w:val="26"/>
        </w:rPr>
      </w:pPr>
      <w:r w:rsidRPr="00516A96">
        <w:rPr>
          <w:rFonts w:ascii="Times New Roman" w:eastAsia="Times New Roman" w:hAnsi="Times New Roman"/>
          <w:sz w:val="26"/>
          <w:szCs w:val="26"/>
        </w:rPr>
        <w:lastRenderedPageBreak/>
        <w:t xml:space="preserve">The Joint Petitioners agree that the Settlement Rates reflect the amortizations set forth in Appendix D to the </w:t>
      </w:r>
      <w:r w:rsidR="00CA2BBF">
        <w:rPr>
          <w:rFonts w:ascii="Times New Roman" w:eastAsia="Times New Roman" w:hAnsi="Times New Roman"/>
          <w:sz w:val="26"/>
          <w:szCs w:val="26"/>
        </w:rPr>
        <w:t>[Settlement]</w:t>
      </w:r>
      <w:r w:rsidRPr="00516A96">
        <w:rPr>
          <w:rFonts w:ascii="Times New Roman" w:eastAsia="Times New Roman" w:hAnsi="Times New Roman"/>
          <w:sz w:val="26"/>
          <w:szCs w:val="26"/>
        </w:rPr>
        <w:t xml:space="preserve">, which includes amortizations of the acquisition adjustments that PAWC recorded in connection with its acquisition of the water utility assets of the Lake </w:t>
      </w:r>
      <w:proofErr w:type="spellStart"/>
      <w:r w:rsidRPr="00516A96">
        <w:rPr>
          <w:rFonts w:ascii="Times New Roman" w:eastAsia="Times New Roman" w:hAnsi="Times New Roman"/>
          <w:sz w:val="26"/>
          <w:szCs w:val="26"/>
        </w:rPr>
        <w:t>Spangenberg</w:t>
      </w:r>
      <w:proofErr w:type="spellEnd"/>
      <w:r w:rsidRPr="00516A96">
        <w:rPr>
          <w:rFonts w:ascii="Times New Roman" w:eastAsia="Times New Roman" w:hAnsi="Times New Roman"/>
          <w:sz w:val="26"/>
          <w:szCs w:val="26"/>
        </w:rPr>
        <w:t xml:space="preserve"> Water Company, Ha Ra Corporation (</w:t>
      </w:r>
      <w:proofErr w:type="spellStart"/>
      <w:r w:rsidRPr="00516A96">
        <w:rPr>
          <w:rFonts w:ascii="Times New Roman" w:eastAsia="Times New Roman" w:hAnsi="Times New Roman"/>
          <w:sz w:val="26"/>
          <w:szCs w:val="26"/>
        </w:rPr>
        <w:t>Fernwood</w:t>
      </w:r>
      <w:proofErr w:type="spellEnd"/>
      <w:r w:rsidRPr="00516A96">
        <w:rPr>
          <w:rFonts w:ascii="Times New Roman" w:eastAsia="Times New Roman" w:hAnsi="Times New Roman"/>
          <w:sz w:val="26"/>
          <w:szCs w:val="26"/>
        </w:rPr>
        <w:t xml:space="preserve"> Community Water System), </w:t>
      </w:r>
      <w:proofErr w:type="spellStart"/>
      <w:r w:rsidRPr="00516A96">
        <w:rPr>
          <w:rFonts w:ascii="Times New Roman" w:eastAsia="Times New Roman" w:hAnsi="Times New Roman"/>
          <w:sz w:val="26"/>
          <w:szCs w:val="26"/>
        </w:rPr>
        <w:t>Olwen</w:t>
      </w:r>
      <w:proofErr w:type="spellEnd"/>
      <w:r w:rsidRPr="00516A96">
        <w:rPr>
          <w:rFonts w:ascii="Times New Roman" w:eastAsia="Times New Roman" w:hAnsi="Times New Roman"/>
          <w:sz w:val="26"/>
          <w:szCs w:val="26"/>
        </w:rPr>
        <w:t xml:space="preserve"> Heights Water Service Company, Inc., North Fayette County Municipal Authority, Wildcat Park Corporation and Indian Rocks Property Owners Association, Inc.  The parties agree that a ten (10) year amortization period shall be employed for settlement purposes.  All parties retain their right to review and make recommendations regarding ratemaking treatment to be accorded the Company’s pending acquisition of the Paint Township Municipal Water Authority in PAWC’s next base rate proceeding.</w:t>
      </w:r>
    </w:p>
    <w:p w:rsidR="0008065F" w:rsidRPr="00516A96" w:rsidRDefault="0008065F" w:rsidP="0008065F">
      <w:pPr>
        <w:tabs>
          <w:tab w:val="left" w:pos="720"/>
        </w:tabs>
        <w:spacing w:after="120" w:line="240" w:lineRule="auto"/>
        <w:ind w:right="1440"/>
        <w:outlineLvl w:val="2"/>
        <w:rPr>
          <w:rFonts w:ascii="Times New Roman" w:eastAsia="Times New Roman" w:hAnsi="Times New Roman"/>
          <w:sz w:val="26"/>
          <w:szCs w:val="26"/>
        </w:rPr>
      </w:pPr>
    </w:p>
    <w:p w:rsidR="00516A96" w:rsidRDefault="00516A96" w:rsidP="009B35DF">
      <w:pPr>
        <w:numPr>
          <w:ilvl w:val="2"/>
          <w:numId w:val="37"/>
        </w:numPr>
        <w:tabs>
          <w:tab w:val="left" w:pos="720"/>
        </w:tabs>
        <w:spacing w:after="120" w:line="240" w:lineRule="auto"/>
        <w:ind w:left="1440" w:right="1440" w:firstLine="720"/>
        <w:outlineLvl w:val="2"/>
        <w:rPr>
          <w:rFonts w:ascii="Times New Roman" w:eastAsia="Times New Roman" w:hAnsi="Times New Roman"/>
          <w:sz w:val="26"/>
          <w:szCs w:val="26"/>
        </w:rPr>
      </w:pPr>
      <w:r w:rsidRPr="00516A96">
        <w:rPr>
          <w:rFonts w:ascii="Times New Roman" w:eastAsia="Times New Roman" w:hAnsi="Times New Roman"/>
          <w:sz w:val="26"/>
          <w:szCs w:val="26"/>
        </w:rPr>
        <w:t>As part of the comprehensive Settlement of this case, the Joint Petitioners agree that, for purposes of determining the revenue requirement in this case, all capitalized repairs deductions claimed on a tax return have been normalized for ratemaking purposes and the appropriate related amount of tax effect of those deductions has been reflected as Accumulated Deferred Income Taxes as a reduction to PAWC’s rate base.</w:t>
      </w:r>
    </w:p>
    <w:p w:rsidR="0008065F" w:rsidRPr="00516A96" w:rsidRDefault="0008065F" w:rsidP="0008065F">
      <w:pPr>
        <w:tabs>
          <w:tab w:val="left" w:pos="720"/>
        </w:tabs>
        <w:spacing w:after="120" w:line="240" w:lineRule="auto"/>
        <w:ind w:right="1440"/>
        <w:outlineLvl w:val="2"/>
        <w:rPr>
          <w:rFonts w:ascii="Times New Roman" w:eastAsia="Times New Roman" w:hAnsi="Times New Roman"/>
          <w:sz w:val="26"/>
          <w:szCs w:val="26"/>
        </w:rPr>
      </w:pPr>
    </w:p>
    <w:p w:rsidR="00516A96" w:rsidRDefault="00516A96" w:rsidP="009B35DF">
      <w:pPr>
        <w:numPr>
          <w:ilvl w:val="2"/>
          <w:numId w:val="37"/>
        </w:numPr>
        <w:spacing w:after="120" w:line="240" w:lineRule="auto"/>
        <w:ind w:left="1440" w:right="1440" w:firstLine="720"/>
        <w:outlineLvl w:val="2"/>
        <w:rPr>
          <w:rFonts w:ascii="Times New Roman" w:eastAsia="Times New Roman" w:hAnsi="Times New Roman"/>
          <w:sz w:val="26"/>
          <w:szCs w:val="26"/>
        </w:rPr>
      </w:pPr>
      <w:r w:rsidRPr="00516A96">
        <w:rPr>
          <w:rFonts w:ascii="Times New Roman" w:eastAsia="Times New Roman" w:hAnsi="Times New Roman"/>
          <w:sz w:val="26"/>
          <w:szCs w:val="26"/>
        </w:rPr>
        <w:t>The low income customer charge discount for water customers will be increased from 65% to 80%, as reflected in the Settlement Rates.</w:t>
      </w:r>
    </w:p>
    <w:p w:rsidR="0008065F" w:rsidRPr="00516A96" w:rsidRDefault="0008065F" w:rsidP="0008065F">
      <w:pPr>
        <w:spacing w:after="120" w:line="240" w:lineRule="auto"/>
        <w:ind w:right="1440"/>
        <w:outlineLvl w:val="2"/>
        <w:rPr>
          <w:rFonts w:ascii="Times New Roman" w:eastAsia="Times New Roman" w:hAnsi="Times New Roman"/>
          <w:sz w:val="26"/>
          <w:szCs w:val="26"/>
        </w:rPr>
      </w:pPr>
    </w:p>
    <w:p w:rsidR="00516A96" w:rsidRDefault="00516A96" w:rsidP="009B35DF">
      <w:pPr>
        <w:numPr>
          <w:ilvl w:val="2"/>
          <w:numId w:val="37"/>
        </w:numPr>
        <w:spacing w:after="120" w:line="240" w:lineRule="auto"/>
        <w:ind w:left="1440" w:right="1440" w:firstLine="720"/>
        <w:outlineLvl w:val="2"/>
        <w:rPr>
          <w:rFonts w:ascii="Times New Roman" w:eastAsia="Times New Roman" w:hAnsi="Times New Roman"/>
          <w:sz w:val="26"/>
          <w:szCs w:val="26"/>
        </w:rPr>
      </w:pPr>
      <w:r w:rsidRPr="00516A96">
        <w:rPr>
          <w:rFonts w:ascii="Times New Roman" w:eastAsia="Times New Roman" w:hAnsi="Times New Roman"/>
          <w:sz w:val="26"/>
          <w:szCs w:val="26"/>
        </w:rPr>
        <w:t xml:space="preserve">The Company’s annual contribution to its hardship grant program will be increased from its current level of $250,000 to $300,000 and, in accordance with current </w:t>
      </w:r>
      <w:proofErr w:type="gramStart"/>
      <w:r w:rsidRPr="00516A96">
        <w:rPr>
          <w:rFonts w:ascii="Times New Roman" w:eastAsia="Times New Roman" w:hAnsi="Times New Roman"/>
          <w:sz w:val="26"/>
          <w:szCs w:val="26"/>
        </w:rPr>
        <w:t>practice,</w:t>
      </w:r>
      <w:proofErr w:type="gramEnd"/>
      <w:r w:rsidRPr="00516A96">
        <w:rPr>
          <w:rFonts w:ascii="Times New Roman" w:eastAsia="Times New Roman" w:hAnsi="Times New Roman"/>
          <w:sz w:val="26"/>
          <w:szCs w:val="26"/>
        </w:rPr>
        <w:t xml:space="preserve"> such contribution will be recorded as a “below the line” expense and will not be claimed by PAWC for recovery in its rates.  This term of the Settlement is set forth for information purposes, and the Commission’s approval of this term is not requested.</w:t>
      </w:r>
    </w:p>
    <w:p w:rsidR="0008065F" w:rsidRPr="00516A96" w:rsidRDefault="0008065F" w:rsidP="0008065F">
      <w:pPr>
        <w:spacing w:after="120" w:line="240" w:lineRule="auto"/>
        <w:ind w:right="1440"/>
        <w:outlineLvl w:val="2"/>
        <w:rPr>
          <w:rFonts w:ascii="Times New Roman" w:eastAsia="Times New Roman" w:hAnsi="Times New Roman"/>
          <w:sz w:val="26"/>
          <w:szCs w:val="26"/>
        </w:rPr>
      </w:pPr>
    </w:p>
    <w:p w:rsidR="00516A96" w:rsidRDefault="00516A96" w:rsidP="009B35DF">
      <w:pPr>
        <w:numPr>
          <w:ilvl w:val="2"/>
          <w:numId w:val="37"/>
        </w:numPr>
        <w:spacing w:after="120" w:line="240" w:lineRule="auto"/>
        <w:ind w:left="1440" w:right="1440" w:firstLine="720"/>
        <w:outlineLvl w:val="2"/>
        <w:rPr>
          <w:rFonts w:ascii="Times New Roman" w:eastAsia="Times New Roman" w:hAnsi="Times New Roman"/>
          <w:sz w:val="26"/>
          <w:szCs w:val="26"/>
        </w:rPr>
      </w:pPr>
      <w:r w:rsidRPr="00516A96">
        <w:rPr>
          <w:rFonts w:ascii="Times New Roman" w:eastAsia="Times New Roman" w:hAnsi="Times New Roman"/>
          <w:sz w:val="26"/>
          <w:szCs w:val="26"/>
        </w:rPr>
        <w:t xml:space="preserve">With regard to service-related issues and concerns expressed at the public input hearings held in Exeter </w:t>
      </w:r>
      <w:r w:rsidRPr="00516A96">
        <w:rPr>
          <w:rFonts w:ascii="Times New Roman" w:eastAsia="Times New Roman" w:hAnsi="Times New Roman"/>
          <w:sz w:val="26"/>
          <w:szCs w:val="26"/>
        </w:rPr>
        <w:lastRenderedPageBreak/>
        <w:t xml:space="preserve">Township (Reading) and East </w:t>
      </w:r>
      <w:proofErr w:type="spellStart"/>
      <w:r w:rsidRPr="00516A96">
        <w:rPr>
          <w:rFonts w:ascii="Times New Roman" w:eastAsia="Times New Roman" w:hAnsi="Times New Roman"/>
          <w:sz w:val="26"/>
          <w:szCs w:val="26"/>
        </w:rPr>
        <w:t>Fallowfield</w:t>
      </w:r>
      <w:proofErr w:type="spellEnd"/>
      <w:r w:rsidRPr="00516A96">
        <w:rPr>
          <w:rFonts w:ascii="Times New Roman" w:eastAsia="Times New Roman" w:hAnsi="Times New Roman"/>
          <w:sz w:val="26"/>
          <w:szCs w:val="26"/>
        </w:rPr>
        <w:t xml:space="preserve"> Township (Coatesville):</w:t>
      </w:r>
    </w:p>
    <w:p w:rsidR="00E05556" w:rsidRPr="00516A96" w:rsidRDefault="00E05556" w:rsidP="00E05556">
      <w:pPr>
        <w:spacing w:after="120" w:line="240" w:lineRule="auto"/>
        <w:ind w:right="1440"/>
        <w:outlineLvl w:val="2"/>
        <w:rPr>
          <w:rFonts w:ascii="Times New Roman" w:eastAsia="Times New Roman" w:hAnsi="Times New Roman"/>
          <w:sz w:val="26"/>
          <w:szCs w:val="26"/>
        </w:rPr>
      </w:pPr>
    </w:p>
    <w:p w:rsidR="00516A96" w:rsidRDefault="00516A96" w:rsidP="009B35DF">
      <w:pPr>
        <w:numPr>
          <w:ilvl w:val="3"/>
          <w:numId w:val="37"/>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The Company has already taken the action summarized in Appendix E-1 annexed hereto with respect to the single service-related concern expressed at the Exeter Township (Reading) public input hearing;</w:t>
      </w:r>
    </w:p>
    <w:p w:rsidR="0008065F" w:rsidRPr="00516A96" w:rsidRDefault="0008065F" w:rsidP="0008065F">
      <w:pPr>
        <w:spacing w:after="120" w:line="240" w:lineRule="auto"/>
        <w:ind w:left="2880" w:right="1440"/>
        <w:outlineLvl w:val="3"/>
        <w:rPr>
          <w:rFonts w:ascii="Times New Roman" w:eastAsia="Times New Roman" w:hAnsi="Times New Roman"/>
          <w:sz w:val="26"/>
          <w:szCs w:val="26"/>
        </w:rPr>
      </w:pPr>
    </w:p>
    <w:p w:rsidR="00516A96" w:rsidRDefault="00516A96" w:rsidP="009B35DF">
      <w:pPr>
        <w:numPr>
          <w:ilvl w:val="3"/>
          <w:numId w:val="37"/>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 xml:space="preserve">The Company has already taken the action summarized in Appendix E-2 annexed hereto with respect to service-related issues and concerns expressed at the East </w:t>
      </w:r>
      <w:proofErr w:type="spellStart"/>
      <w:r w:rsidRPr="00516A96">
        <w:rPr>
          <w:rFonts w:ascii="Times New Roman" w:eastAsia="Times New Roman" w:hAnsi="Times New Roman"/>
          <w:sz w:val="26"/>
          <w:szCs w:val="26"/>
        </w:rPr>
        <w:t>Fallowfield</w:t>
      </w:r>
      <w:proofErr w:type="spellEnd"/>
      <w:r w:rsidRPr="00516A96">
        <w:rPr>
          <w:rFonts w:ascii="Times New Roman" w:eastAsia="Times New Roman" w:hAnsi="Times New Roman"/>
          <w:sz w:val="26"/>
          <w:szCs w:val="26"/>
        </w:rPr>
        <w:t xml:space="preserve"> Township (Coatesville) public input hearing and agrees to take such appropriate further action as summarized in Appendix E-3;</w:t>
      </w:r>
    </w:p>
    <w:p w:rsidR="0008065F" w:rsidRPr="00516A96" w:rsidRDefault="0008065F" w:rsidP="0008065F">
      <w:pPr>
        <w:spacing w:after="120" w:line="240" w:lineRule="auto"/>
        <w:ind w:right="1440"/>
        <w:outlineLvl w:val="3"/>
        <w:rPr>
          <w:rFonts w:ascii="Times New Roman" w:eastAsia="Times New Roman" w:hAnsi="Times New Roman"/>
          <w:sz w:val="26"/>
          <w:szCs w:val="26"/>
        </w:rPr>
      </w:pPr>
    </w:p>
    <w:p w:rsidR="00516A96" w:rsidRDefault="00516A96" w:rsidP="009B35DF">
      <w:pPr>
        <w:numPr>
          <w:ilvl w:val="3"/>
          <w:numId w:val="37"/>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The Company agrees to conduct semi-annual information sessions for customers of its Coatesville water and wastewater operations, in the manner more fully set forth in Appendix E-3 annexed hereto.</w:t>
      </w:r>
    </w:p>
    <w:p w:rsidR="0008065F" w:rsidRPr="00516A96" w:rsidRDefault="0008065F" w:rsidP="0008065F">
      <w:pPr>
        <w:spacing w:after="120" w:line="240" w:lineRule="auto"/>
        <w:ind w:right="1440"/>
        <w:outlineLvl w:val="3"/>
        <w:rPr>
          <w:rFonts w:ascii="Times New Roman" w:eastAsia="Times New Roman" w:hAnsi="Times New Roman"/>
          <w:sz w:val="26"/>
          <w:szCs w:val="26"/>
        </w:rPr>
      </w:pPr>
    </w:p>
    <w:p w:rsidR="00516A96" w:rsidRDefault="0008065F" w:rsidP="00195504">
      <w:pPr>
        <w:spacing w:after="120" w:line="240" w:lineRule="auto"/>
        <w:ind w:left="1440" w:right="1440" w:firstLine="720"/>
        <w:outlineLvl w:val="2"/>
        <w:rPr>
          <w:rFonts w:ascii="Times New Roman" w:eastAsia="Times New Roman" w:hAnsi="Times New Roman"/>
          <w:sz w:val="26"/>
          <w:szCs w:val="26"/>
        </w:rPr>
      </w:pPr>
      <w:r>
        <w:rPr>
          <w:rFonts w:ascii="Times New Roman" w:eastAsia="Times New Roman" w:hAnsi="Times New Roman"/>
          <w:sz w:val="26"/>
          <w:szCs w:val="26"/>
        </w:rPr>
        <w:t>l)</w:t>
      </w:r>
      <w:r>
        <w:rPr>
          <w:rFonts w:ascii="Times New Roman" w:eastAsia="Times New Roman" w:hAnsi="Times New Roman"/>
          <w:sz w:val="26"/>
          <w:szCs w:val="26"/>
        </w:rPr>
        <w:tab/>
      </w:r>
      <w:r w:rsidR="00516A96" w:rsidRPr="00516A96">
        <w:rPr>
          <w:rFonts w:ascii="Times New Roman" w:eastAsia="Times New Roman" w:hAnsi="Times New Roman"/>
          <w:sz w:val="26"/>
          <w:szCs w:val="26"/>
        </w:rPr>
        <w:t>The Company agrees to invest $10 million to construct water main extensions under and pursuant to Rule 27.1(F) of its water tariff, which authorizes main extensions to be installed without customer contributions subject to Commission approval in order to address health and safety concerns.  The Company’s investment will be used to install the water main extensions identified in Appendix F annexed hereto.  If the $10 million investment to which the Company is committing is not fully expended on the aforementioned main extensions, the Company will work with the OCA and other interested parties to identify such additional main extensions in Washington County that satisfy the criteria of Tariff Rule 27.1(F) and will use such remaining committed investment to construct such main extensions under and pursuant to Tariff Rule 27.1.  With respect to the foregoing commitments, the following terms and conditions also apply:</w:t>
      </w:r>
    </w:p>
    <w:p w:rsidR="0008065F" w:rsidRPr="00516A96" w:rsidRDefault="0008065F" w:rsidP="0008065F">
      <w:pPr>
        <w:spacing w:after="120" w:line="240" w:lineRule="auto"/>
        <w:ind w:left="1440" w:right="1440"/>
        <w:outlineLvl w:val="2"/>
        <w:rPr>
          <w:rFonts w:ascii="Times New Roman" w:eastAsia="Times New Roman" w:hAnsi="Times New Roman"/>
          <w:sz w:val="26"/>
          <w:szCs w:val="26"/>
        </w:rPr>
      </w:pPr>
    </w:p>
    <w:p w:rsidR="00516A96" w:rsidRDefault="00516A96" w:rsidP="009B35DF">
      <w:pPr>
        <w:numPr>
          <w:ilvl w:val="3"/>
          <w:numId w:val="38"/>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 xml:space="preserve">The Company and the OCA will work together to establish a reasonable timeframe for the </w:t>
      </w:r>
      <w:r w:rsidRPr="00516A96">
        <w:rPr>
          <w:rFonts w:ascii="Times New Roman" w:eastAsia="Times New Roman" w:hAnsi="Times New Roman"/>
          <w:sz w:val="26"/>
          <w:szCs w:val="26"/>
        </w:rPr>
        <w:lastRenderedPageBreak/>
        <w:t>completion of the projects that are within the scope of the Company’s committed investment once the specifications for such projects are known;</w:t>
      </w:r>
    </w:p>
    <w:p w:rsidR="00E05556" w:rsidRPr="00516A96" w:rsidRDefault="00E05556" w:rsidP="00E05556">
      <w:pPr>
        <w:spacing w:after="120" w:line="240" w:lineRule="auto"/>
        <w:ind w:left="1440" w:right="1440"/>
        <w:outlineLvl w:val="3"/>
        <w:rPr>
          <w:rFonts w:ascii="Times New Roman" w:eastAsia="Times New Roman" w:hAnsi="Times New Roman"/>
          <w:sz w:val="26"/>
          <w:szCs w:val="26"/>
        </w:rPr>
      </w:pPr>
    </w:p>
    <w:p w:rsidR="00516A96" w:rsidRDefault="00516A96" w:rsidP="009B35DF">
      <w:pPr>
        <w:numPr>
          <w:ilvl w:val="3"/>
          <w:numId w:val="37"/>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The Company shall apply least-cost principles in designing and constructing the main extensions that are within the scope of its commitments in this Settlement;</w:t>
      </w:r>
    </w:p>
    <w:p w:rsidR="0008065F" w:rsidRPr="00516A96" w:rsidRDefault="0008065F" w:rsidP="0008065F">
      <w:pPr>
        <w:spacing w:after="120" w:line="240" w:lineRule="auto"/>
        <w:ind w:left="2880" w:right="1440"/>
        <w:outlineLvl w:val="3"/>
        <w:rPr>
          <w:rFonts w:ascii="Times New Roman" w:eastAsia="Times New Roman" w:hAnsi="Times New Roman"/>
          <w:sz w:val="26"/>
          <w:szCs w:val="26"/>
        </w:rPr>
      </w:pPr>
    </w:p>
    <w:p w:rsidR="00516A96" w:rsidRDefault="00516A96" w:rsidP="009B35DF">
      <w:pPr>
        <w:numPr>
          <w:ilvl w:val="3"/>
          <w:numId w:val="37"/>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 xml:space="preserve">The Commission’s approval of this </w:t>
      </w:r>
      <w:r w:rsidR="00CA2BBF">
        <w:rPr>
          <w:rFonts w:ascii="Times New Roman" w:eastAsia="Times New Roman" w:hAnsi="Times New Roman"/>
          <w:sz w:val="26"/>
          <w:szCs w:val="26"/>
        </w:rPr>
        <w:t>[Settlement]</w:t>
      </w:r>
      <w:r w:rsidRPr="00516A96">
        <w:rPr>
          <w:rFonts w:ascii="Times New Roman" w:eastAsia="Times New Roman" w:hAnsi="Times New Roman"/>
          <w:sz w:val="26"/>
          <w:szCs w:val="26"/>
        </w:rPr>
        <w:t xml:space="preserve"> Petition will constitute the approval required under Tariff Rule 27.1(F) to construct the projects identified in Appendix F.  Based upon the Commission’s approval of the construction of the main extensions identified in Appendix F, the Joint Petitioners agree not to contest the inclusion in rate base of the capital costs associated with the construction of those extensions.  </w:t>
      </w:r>
    </w:p>
    <w:p w:rsidR="0008065F" w:rsidRPr="00516A96" w:rsidRDefault="0008065F" w:rsidP="0008065F">
      <w:pPr>
        <w:spacing w:after="120" w:line="240" w:lineRule="auto"/>
        <w:ind w:right="1440"/>
        <w:outlineLvl w:val="3"/>
        <w:rPr>
          <w:rFonts w:ascii="Times New Roman" w:eastAsia="Times New Roman" w:hAnsi="Times New Roman"/>
          <w:sz w:val="26"/>
          <w:szCs w:val="26"/>
        </w:rPr>
      </w:pPr>
    </w:p>
    <w:p w:rsidR="00516A96" w:rsidRDefault="00516A96" w:rsidP="009B35DF">
      <w:pPr>
        <w:numPr>
          <w:ilvl w:val="3"/>
          <w:numId w:val="37"/>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PAWC agrees to continue to use its best efforts to apply for grants from applicable local municipalities and to receive contributions from other sources, such as from Marcellus Shale drilling companies, in order to mitigate the cost for the main extension projects identified in Appendix F.  To the extent any grants are received, they will not diminish the Company’s commitment to invest $10 million for main extensions that meet the criteria of Tariff Rule 27.1(F) but, instead, will enable the Company to fund additional projects under Tariff Rule 27.1(F).</w:t>
      </w:r>
    </w:p>
    <w:p w:rsidR="00195504" w:rsidRPr="00516A96" w:rsidRDefault="00195504" w:rsidP="00195504">
      <w:pPr>
        <w:spacing w:after="120" w:line="240" w:lineRule="auto"/>
        <w:ind w:right="1440"/>
        <w:outlineLvl w:val="3"/>
        <w:rPr>
          <w:rFonts w:ascii="Times New Roman" w:eastAsia="Times New Roman" w:hAnsi="Times New Roman"/>
          <w:sz w:val="26"/>
          <w:szCs w:val="26"/>
        </w:rPr>
      </w:pPr>
    </w:p>
    <w:p w:rsidR="00516A96" w:rsidRDefault="00516A96" w:rsidP="009B35DF">
      <w:pPr>
        <w:numPr>
          <w:ilvl w:val="3"/>
          <w:numId w:val="37"/>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The Joint Petitioners agree that the provisions set forth in this subparagraph l. and Appendix F are not precedential as to conditions that might validate the application of Tariff Rule 27.1(F) in the future and shall not be cited as such in any subsequent proceeding.</w:t>
      </w:r>
    </w:p>
    <w:p w:rsidR="00195504" w:rsidRPr="00516A96" w:rsidRDefault="00195504" w:rsidP="00195504">
      <w:pPr>
        <w:spacing w:after="120" w:line="240" w:lineRule="auto"/>
        <w:ind w:right="1440"/>
        <w:outlineLvl w:val="3"/>
        <w:rPr>
          <w:rFonts w:ascii="Times New Roman" w:eastAsia="Times New Roman" w:hAnsi="Times New Roman"/>
          <w:sz w:val="26"/>
          <w:szCs w:val="26"/>
        </w:rPr>
      </w:pPr>
    </w:p>
    <w:p w:rsidR="00516A96" w:rsidRDefault="00516A96" w:rsidP="00195504">
      <w:pPr>
        <w:pStyle w:val="ListParagraph"/>
        <w:numPr>
          <w:ilvl w:val="0"/>
          <w:numId w:val="41"/>
        </w:numPr>
        <w:spacing w:after="120"/>
        <w:ind w:left="1440" w:right="1440" w:firstLine="720"/>
        <w:outlineLvl w:val="2"/>
        <w:rPr>
          <w:sz w:val="26"/>
          <w:szCs w:val="26"/>
        </w:rPr>
      </w:pPr>
      <w:r w:rsidRPr="00195504">
        <w:rPr>
          <w:sz w:val="26"/>
          <w:szCs w:val="26"/>
        </w:rPr>
        <w:t xml:space="preserve">The Company agrees to work with I&amp;E, OCA and OSBA to refine its existing process for systematic evaluation of main extension requests to ameliorate, by the application of Tariff Rule 27.1(F), documented health and </w:t>
      </w:r>
      <w:r w:rsidRPr="00195504">
        <w:rPr>
          <w:sz w:val="26"/>
          <w:szCs w:val="26"/>
        </w:rPr>
        <w:lastRenderedPageBreak/>
        <w:t>safety problems that exist within its service territory because of the inadequate quantity or quality of property owners’ individual well water supplies.</w:t>
      </w:r>
    </w:p>
    <w:p w:rsidR="00E05556" w:rsidRPr="00195504" w:rsidRDefault="00E05556" w:rsidP="00E05556">
      <w:pPr>
        <w:pStyle w:val="ListParagraph"/>
        <w:spacing w:after="120"/>
        <w:ind w:left="2160" w:right="1440"/>
        <w:outlineLvl w:val="2"/>
        <w:rPr>
          <w:sz w:val="26"/>
          <w:szCs w:val="26"/>
        </w:rPr>
      </w:pPr>
    </w:p>
    <w:p w:rsidR="00516A96" w:rsidRDefault="00516A96" w:rsidP="00195504">
      <w:pPr>
        <w:pStyle w:val="ListParagraph"/>
        <w:numPr>
          <w:ilvl w:val="0"/>
          <w:numId w:val="41"/>
        </w:numPr>
        <w:spacing w:after="120"/>
        <w:ind w:left="1440" w:right="1440" w:firstLine="720"/>
        <w:outlineLvl w:val="2"/>
        <w:rPr>
          <w:sz w:val="26"/>
          <w:szCs w:val="26"/>
        </w:rPr>
      </w:pPr>
      <w:r w:rsidRPr="00195504">
        <w:rPr>
          <w:sz w:val="26"/>
          <w:szCs w:val="26"/>
        </w:rPr>
        <w:t>As part of this Settlement, the Company has agreed to provide the Commission’s Bureau of Technical Utility Services (“TUS”), the I&amp;E, OCA and OSBA, on or before April 30, 2014, an update to PAWC Exhibit No. 3-C, pages 3-10, which will include actual plant additions and retirements by month for the twelve months ending December 31, 2013.  On or before October 31, 2014, PAWC will update Exhibit No. 3-C, page 3-10 for the twelve months ending June 30, 2014.  In PAWC’s next base rate proceeding, the Company will prepare and submit a comparison of its actual expenses and rate base additions for the twelve months ended December 31, 2014 to its projections in this case.  However, it is recognized by the Joint Petitioners that this is a black box settlement that is a compromise of the Joint Petitioners’ positions on various issues.</w:t>
      </w:r>
    </w:p>
    <w:p w:rsidR="00195504" w:rsidRDefault="00195504" w:rsidP="00195504">
      <w:pPr>
        <w:pStyle w:val="ListParagraph"/>
        <w:spacing w:after="120"/>
        <w:ind w:left="2160" w:right="1440"/>
        <w:outlineLvl w:val="2"/>
        <w:rPr>
          <w:sz w:val="26"/>
          <w:szCs w:val="26"/>
        </w:rPr>
      </w:pPr>
    </w:p>
    <w:p w:rsidR="00516A96" w:rsidRDefault="00516A96" w:rsidP="00195504">
      <w:pPr>
        <w:pStyle w:val="ListParagraph"/>
        <w:numPr>
          <w:ilvl w:val="0"/>
          <w:numId w:val="41"/>
        </w:numPr>
        <w:spacing w:after="120"/>
        <w:ind w:left="1440" w:right="1440" w:firstLine="720"/>
        <w:outlineLvl w:val="2"/>
        <w:rPr>
          <w:sz w:val="26"/>
          <w:szCs w:val="26"/>
        </w:rPr>
      </w:pPr>
      <w:r w:rsidRPr="00195504">
        <w:rPr>
          <w:sz w:val="26"/>
          <w:szCs w:val="26"/>
        </w:rPr>
        <w:t xml:space="preserve">The Company will not implement a Distribution System Improvement Charge (DSIC) during the calendar year ending December 31, 2014.  The first DSIC in 2015 will be effective no earlier than April 1, 2015 based on DSIC-eligible expenditures during January and February 2015.  In any event, the Company will not begin to impose a DSIC until the balances of DSIC-eligible accounts, net of plant funded with customer advances and customer contributions, exceed the December 31, 2014 levels of investment in plant additions projected by PAWC in this case.  This provision relates solely to the calculation of DSIC during the time that the Settlement Rates are in effect and is not determinative for future ratemaking purposes of the projected plant additions to be included in rate base in a fully projected future test year filing. </w:t>
      </w:r>
    </w:p>
    <w:p w:rsidR="00195504" w:rsidRPr="00195504" w:rsidRDefault="00195504" w:rsidP="00195504">
      <w:pPr>
        <w:pStyle w:val="ListParagraph"/>
        <w:rPr>
          <w:sz w:val="26"/>
          <w:szCs w:val="26"/>
        </w:rPr>
      </w:pPr>
    </w:p>
    <w:p w:rsidR="00516A96" w:rsidRDefault="00516A96" w:rsidP="00195504">
      <w:pPr>
        <w:pStyle w:val="ListParagraph"/>
        <w:numPr>
          <w:ilvl w:val="0"/>
          <w:numId w:val="41"/>
        </w:numPr>
        <w:spacing w:after="120"/>
        <w:ind w:left="1440" w:right="1440" w:firstLine="720"/>
        <w:outlineLvl w:val="2"/>
        <w:rPr>
          <w:sz w:val="26"/>
          <w:szCs w:val="26"/>
        </w:rPr>
      </w:pPr>
      <w:r w:rsidRPr="00195504">
        <w:rPr>
          <w:sz w:val="26"/>
          <w:szCs w:val="26"/>
        </w:rPr>
        <w:t xml:space="preserve">The Settlement Rates set forth in Appendix A reflect the Joint Petitioners’ agreement with regard to water </w:t>
      </w:r>
      <w:r w:rsidRPr="00195504">
        <w:rPr>
          <w:sz w:val="26"/>
          <w:szCs w:val="26"/>
        </w:rPr>
        <w:lastRenderedPageBreak/>
        <w:t>rate structure, rate design and the distribution of the increase in revenues in this case, as follows:</w:t>
      </w:r>
      <w:r w:rsidRPr="00195504">
        <w:rPr>
          <w:sz w:val="26"/>
          <w:szCs w:val="26"/>
          <w:vertAlign w:val="superscript"/>
        </w:rPr>
        <w:footnoteReference w:id="9"/>
      </w:r>
    </w:p>
    <w:p w:rsidR="00054792" w:rsidRPr="00195504" w:rsidRDefault="00054792" w:rsidP="00054792">
      <w:pPr>
        <w:pStyle w:val="ListParagraph"/>
        <w:spacing w:after="120"/>
        <w:ind w:left="2160" w:right="1440"/>
        <w:outlineLvl w:val="2"/>
        <w:rPr>
          <w:sz w:val="26"/>
          <w:szCs w:val="26"/>
        </w:rPr>
      </w:pPr>
    </w:p>
    <w:p w:rsidR="00516A96" w:rsidRDefault="00516A96" w:rsidP="00104D72">
      <w:pPr>
        <w:numPr>
          <w:ilvl w:val="3"/>
          <w:numId w:val="39"/>
        </w:numPr>
        <w:spacing w:after="120" w:line="240" w:lineRule="auto"/>
        <w:ind w:left="1440" w:right="153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The Rate Zone 1 5/8-inch customer charge for all customer classes except Industrial and Other Water Utilities will be $15.00 per month.  The same percentage increase as that for 5/8 inch meters will be applied to the customer charges for all other meter sizes and classes of customers in Rate Zone 1.</w:t>
      </w:r>
    </w:p>
    <w:p w:rsidR="00345102" w:rsidRPr="00516A96" w:rsidRDefault="00345102" w:rsidP="00345102">
      <w:pPr>
        <w:spacing w:after="120" w:line="240" w:lineRule="auto"/>
        <w:ind w:left="2880"/>
        <w:outlineLvl w:val="3"/>
        <w:rPr>
          <w:rFonts w:ascii="Times New Roman" w:eastAsia="Times New Roman" w:hAnsi="Times New Roman"/>
          <w:sz w:val="26"/>
          <w:szCs w:val="26"/>
        </w:rPr>
      </w:pPr>
    </w:p>
    <w:p w:rsidR="00516A96" w:rsidRDefault="00516A96" w:rsidP="00104D72">
      <w:pPr>
        <w:pStyle w:val="ListParagraph"/>
        <w:numPr>
          <w:ilvl w:val="3"/>
          <w:numId w:val="39"/>
        </w:numPr>
        <w:spacing w:after="120"/>
        <w:ind w:left="1440" w:right="1440" w:firstLine="1440"/>
        <w:outlineLvl w:val="3"/>
        <w:rPr>
          <w:sz w:val="26"/>
          <w:szCs w:val="26"/>
        </w:rPr>
      </w:pPr>
      <w:r w:rsidRPr="00195504">
        <w:rPr>
          <w:sz w:val="26"/>
          <w:szCs w:val="26"/>
        </w:rPr>
        <w:t xml:space="preserve">Rate Zones 36, 43, 45, 48 and 49 are being consolidated with Rate Zone 1 under the Settlement Rates. </w:t>
      </w:r>
    </w:p>
    <w:p w:rsidR="00104D72" w:rsidRPr="00104D72" w:rsidRDefault="00104D72" w:rsidP="00104D72">
      <w:pPr>
        <w:spacing w:after="120"/>
        <w:outlineLvl w:val="3"/>
        <w:rPr>
          <w:sz w:val="26"/>
          <w:szCs w:val="26"/>
        </w:rPr>
      </w:pPr>
    </w:p>
    <w:p w:rsidR="00516A96" w:rsidRDefault="00516A96" w:rsidP="00104D72">
      <w:pPr>
        <w:numPr>
          <w:ilvl w:val="3"/>
          <w:numId w:val="39"/>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For Rate Zone 40, the OCA’s proposal as set forth in OCA Statement No. 3 (page 34) has been adopted with one modification, which establishes a consumption charge of $0.5350 per hundred gallons.</w:t>
      </w:r>
    </w:p>
    <w:p w:rsidR="00104D72" w:rsidRPr="00516A96" w:rsidRDefault="00104D72" w:rsidP="00104D72">
      <w:pPr>
        <w:spacing w:after="120" w:line="240" w:lineRule="auto"/>
        <w:outlineLvl w:val="3"/>
        <w:rPr>
          <w:rFonts w:ascii="Times New Roman" w:eastAsia="Times New Roman" w:hAnsi="Times New Roman"/>
          <w:sz w:val="26"/>
          <w:szCs w:val="26"/>
        </w:rPr>
      </w:pPr>
    </w:p>
    <w:p w:rsidR="00516A96" w:rsidRDefault="00516A96" w:rsidP="00104D72">
      <w:pPr>
        <w:numPr>
          <w:ilvl w:val="3"/>
          <w:numId w:val="39"/>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For Rate Zone 41, the customer charges have been equalized with Rate Zone 1 and the residential usage charge will be $0.7100 per 100 gallons.</w:t>
      </w:r>
    </w:p>
    <w:p w:rsidR="00104D72" w:rsidRPr="00516A96" w:rsidRDefault="00104D72" w:rsidP="00104D72">
      <w:pPr>
        <w:spacing w:after="120" w:line="240" w:lineRule="auto"/>
        <w:ind w:right="1440"/>
        <w:outlineLvl w:val="3"/>
        <w:rPr>
          <w:rFonts w:ascii="Times New Roman" w:eastAsia="Times New Roman" w:hAnsi="Times New Roman"/>
          <w:sz w:val="26"/>
          <w:szCs w:val="26"/>
        </w:rPr>
      </w:pPr>
    </w:p>
    <w:p w:rsidR="00516A96" w:rsidRDefault="00516A96" w:rsidP="00104D72">
      <w:pPr>
        <w:numPr>
          <w:ilvl w:val="3"/>
          <w:numId w:val="39"/>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For Rate Zone 44, the OCA’s proposal as set forth in OCA Statement No. 3 (pages 36-37) has been adopted.</w:t>
      </w:r>
    </w:p>
    <w:p w:rsidR="00104D72" w:rsidRPr="00516A96" w:rsidRDefault="00104D72" w:rsidP="00104D72">
      <w:pPr>
        <w:spacing w:after="120" w:line="240" w:lineRule="auto"/>
        <w:ind w:right="1440"/>
        <w:outlineLvl w:val="3"/>
        <w:rPr>
          <w:rFonts w:ascii="Times New Roman" w:eastAsia="Times New Roman" w:hAnsi="Times New Roman"/>
          <w:sz w:val="26"/>
          <w:szCs w:val="26"/>
        </w:rPr>
      </w:pPr>
    </w:p>
    <w:p w:rsidR="00516A96" w:rsidRDefault="00516A96" w:rsidP="00104D72">
      <w:pPr>
        <w:numPr>
          <w:ilvl w:val="3"/>
          <w:numId w:val="39"/>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 xml:space="preserve">For Rate Zone 46 Winter, the I&amp;E’s proposal as set forth in I&amp;E Statement No. 4 (pages 53-55) has been adopted with one modification, which establishes a </w:t>
      </w:r>
      <w:r w:rsidRPr="00516A96">
        <w:rPr>
          <w:rFonts w:ascii="Times New Roman" w:eastAsia="Times New Roman" w:hAnsi="Times New Roman"/>
          <w:sz w:val="26"/>
          <w:szCs w:val="26"/>
        </w:rPr>
        <w:lastRenderedPageBreak/>
        <w:t>consumption charge of $0.7100 per hundred gallons after meters are installed.</w:t>
      </w:r>
    </w:p>
    <w:p w:rsidR="0071309D" w:rsidRPr="00516A96" w:rsidRDefault="0071309D" w:rsidP="0071309D">
      <w:pPr>
        <w:spacing w:after="120" w:line="240" w:lineRule="auto"/>
        <w:ind w:right="1440"/>
        <w:outlineLvl w:val="3"/>
        <w:rPr>
          <w:rFonts w:ascii="Times New Roman" w:eastAsia="Times New Roman" w:hAnsi="Times New Roman"/>
          <w:sz w:val="26"/>
          <w:szCs w:val="26"/>
        </w:rPr>
      </w:pPr>
    </w:p>
    <w:p w:rsidR="00516A96" w:rsidRDefault="0071309D" w:rsidP="0071309D">
      <w:pPr>
        <w:numPr>
          <w:ilvl w:val="3"/>
          <w:numId w:val="39"/>
        </w:numPr>
        <w:spacing w:after="120" w:line="240" w:lineRule="auto"/>
        <w:ind w:left="1440" w:right="1440" w:firstLine="1440"/>
        <w:outlineLvl w:val="3"/>
        <w:rPr>
          <w:rFonts w:ascii="Times New Roman" w:eastAsia="Times New Roman" w:hAnsi="Times New Roman"/>
          <w:sz w:val="26"/>
          <w:szCs w:val="26"/>
        </w:rPr>
      </w:pPr>
      <w:r>
        <w:rPr>
          <w:rFonts w:ascii="Times New Roman" w:eastAsia="Times New Roman" w:hAnsi="Times New Roman"/>
          <w:sz w:val="26"/>
          <w:szCs w:val="26"/>
        </w:rPr>
        <w:t xml:space="preserve">For Rate Zone 46 Summer, the I&amp;E’s proposal as set forth in </w:t>
      </w:r>
      <w:r w:rsidR="00516A96" w:rsidRPr="00516A96">
        <w:rPr>
          <w:rFonts w:ascii="Times New Roman" w:eastAsia="Times New Roman" w:hAnsi="Times New Roman"/>
          <w:sz w:val="26"/>
          <w:szCs w:val="26"/>
        </w:rPr>
        <w:t>I&amp;E Statement No. 4 (pages 53-55) has been adopted with one modification, which establishes a consumption charge of $0.7100 per hundred gallons after meters are installed.</w:t>
      </w:r>
    </w:p>
    <w:p w:rsidR="00E05556" w:rsidRPr="00516A96" w:rsidRDefault="00E05556" w:rsidP="00E05556">
      <w:pPr>
        <w:spacing w:after="120" w:line="240" w:lineRule="auto"/>
        <w:ind w:right="1440"/>
        <w:outlineLvl w:val="3"/>
        <w:rPr>
          <w:rFonts w:ascii="Times New Roman" w:eastAsia="Times New Roman" w:hAnsi="Times New Roman"/>
          <w:sz w:val="26"/>
          <w:szCs w:val="26"/>
        </w:rPr>
      </w:pPr>
    </w:p>
    <w:p w:rsidR="00516A96" w:rsidRDefault="00516A96" w:rsidP="00B54443">
      <w:pPr>
        <w:numPr>
          <w:ilvl w:val="3"/>
          <w:numId w:val="39"/>
        </w:numPr>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sz w:val="26"/>
          <w:szCs w:val="26"/>
        </w:rPr>
        <w:t>For Rate Zone 47, the customer charges have been equalized with Rate Zone 1.  The residential usage charge for the first usage block will be $0.6200 per 100 gallons.  The residential usage charge for the second usage block will be $0.5000 per 100 gallons.</w:t>
      </w:r>
    </w:p>
    <w:p w:rsidR="0071309D" w:rsidRPr="00516A96" w:rsidRDefault="0071309D" w:rsidP="0071309D">
      <w:pPr>
        <w:spacing w:after="120" w:line="240" w:lineRule="auto"/>
        <w:ind w:left="2880"/>
        <w:outlineLvl w:val="3"/>
        <w:rPr>
          <w:rFonts w:ascii="Times New Roman" w:eastAsia="Times New Roman" w:hAnsi="Times New Roman"/>
          <w:sz w:val="26"/>
          <w:szCs w:val="26"/>
        </w:rPr>
      </w:pPr>
    </w:p>
    <w:p w:rsidR="0071309D" w:rsidRDefault="00516A96" w:rsidP="00B54443">
      <w:pPr>
        <w:pStyle w:val="ListParagraph"/>
        <w:numPr>
          <w:ilvl w:val="0"/>
          <w:numId w:val="41"/>
        </w:numPr>
        <w:spacing w:after="120"/>
        <w:ind w:left="1440" w:right="1440" w:firstLine="720"/>
        <w:outlineLvl w:val="2"/>
        <w:rPr>
          <w:sz w:val="26"/>
          <w:szCs w:val="26"/>
        </w:rPr>
      </w:pPr>
      <w:r w:rsidRPr="0071309D">
        <w:rPr>
          <w:sz w:val="26"/>
          <w:szCs w:val="26"/>
        </w:rPr>
        <w:t>The Settlement Rates set forth in Appendix B reflect the Joint Petitioners’ agreement with regard to wastewater rate structure, rate design and the distribution of the increase in revenues in this case.  A description of the impact of the Settlement Rates on an average Residential class customer in each of the Company’s wastewater operations is set forth below.</w:t>
      </w:r>
      <w:r w:rsidRPr="0071309D">
        <w:rPr>
          <w:sz w:val="26"/>
          <w:szCs w:val="26"/>
          <w:vertAlign w:val="superscript"/>
        </w:rPr>
        <w:footnoteReference w:id="10"/>
      </w:r>
    </w:p>
    <w:p w:rsidR="0071309D" w:rsidRPr="0071309D" w:rsidRDefault="0071309D" w:rsidP="0071309D">
      <w:pPr>
        <w:pStyle w:val="ListParagraph"/>
        <w:spacing w:after="120"/>
        <w:ind w:left="2160"/>
        <w:outlineLvl w:val="2"/>
        <w:rPr>
          <w:sz w:val="26"/>
          <w:szCs w:val="26"/>
        </w:rPr>
      </w:pPr>
    </w:p>
    <w:p w:rsidR="00516A96" w:rsidRDefault="00516A96" w:rsidP="00B54443">
      <w:pPr>
        <w:pStyle w:val="ListParagraph"/>
        <w:numPr>
          <w:ilvl w:val="3"/>
          <w:numId w:val="41"/>
        </w:numPr>
        <w:spacing w:after="120"/>
        <w:ind w:left="1440" w:right="1440" w:firstLine="1440"/>
        <w:outlineLvl w:val="3"/>
        <w:rPr>
          <w:sz w:val="26"/>
          <w:szCs w:val="26"/>
        </w:rPr>
      </w:pPr>
      <w:r w:rsidRPr="00B54443">
        <w:rPr>
          <w:b/>
          <w:sz w:val="26"/>
          <w:szCs w:val="26"/>
        </w:rPr>
        <w:t>Coatesville</w:t>
      </w:r>
      <w:r w:rsidRPr="0071309D">
        <w:rPr>
          <w:sz w:val="26"/>
          <w:szCs w:val="26"/>
        </w:rPr>
        <w:t>: Under the Settlement Rates, an average residential customer’s monthly bill will decrease by 13.3% to $58.50.  There will be no change in the existing rates for the Commercial, Industrial and Municipal customer classes.</w:t>
      </w:r>
      <w:r w:rsidRPr="00B54443">
        <w:rPr>
          <w:sz w:val="26"/>
          <w:szCs w:val="26"/>
          <w:vertAlign w:val="superscript"/>
        </w:rPr>
        <w:footnoteReference w:id="11"/>
      </w:r>
    </w:p>
    <w:p w:rsidR="00B54443" w:rsidRPr="0071309D" w:rsidRDefault="00B54443" w:rsidP="00B54443">
      <w:pPr>
        <w:pStyle w:val="ListParagraph"/>
        <w:spacing w:after="120"/>
        <w:ind w:left="2880"/>
        <w:outlineLvl w:val="3"/>
        <w:rPr>
          <w:sz w:val="26"/>
          <w:szCs w:val="26"/>
        </w:rPr>
      </w:pPr>
    </w:p>
    <w:p w:rsidR="00516A96" w:rsidRDefault="00516A96" w:rsidP="00B54443">
      <w:pPr>
        <w:numPr>
          <w:ilvl w:val="3"/>
          <w:numId w:val="41"/>
        </w:numPr>
        <w:tabs>
          <w:tab w:val="num" w:pos="2880"/>
        </w:tabs>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b/>
          <w:sz w:val="26"/>
          <w:szCs w:val="26"/>
        </w:rPr>
        <w:t>Claysville</w:t>
      </w:r>
      <w:r w:rsidRPr="00516A96">
        <w:rPr>
          <w:rFonts w:ascii="Times New Roman" w:eastAsia="Times New Roman" w:hAnsi="Times New Roman"/>
          <w:sz w:val="26"/>
          <w:szCs w:val="26"/>
        </w:rPr>
        <w:t xml:space="preserve">:  Under the Settlement Rates, an average residential customer’s monthly bill will decrease </w:t>
      </w:r>
      <w:r w:rsidRPr="00516A96">
        <w:rPr>
          <w:rFonts w:ascii="Times New Roman" w:eastAsia="Times New Roman" w:hAnsi="Times New Roman"/>
          <w:sz w:val="26"/>
          <w:szCs w:val="26"/>
        </w:rPr>
        <w:lastRenderedPageBreak/>
        <w:t>by 36.0% to $58.50.  The rates for the Commercial and Municipal customer classes will be the same as the existing Coatesville wastewater operation’s rates for those classes.  (There are no Industrial customers on the Claysville wastewater system.)</w:t>
      </w:r>
    </w:p>
    <w:p w:rsidR="00B54443" w:rsidRPr="00516A96" w:rsidRDefault="00B54443" w:rsidP="00B54443">
      <w:pPr>
        <w:spacing w:after="120" w:line="240" w:lineRule="auto"/>
        <w:ind w:right="1440"/>
        <w:outlineLvl w:val="3"/>
        <w:rPr>
          <w:rFonts w:ascii="Times New Roman" w:eastAsia="Times New Roman" w:hAnsi="Times New Roman"/>
          <w:sz w:val="26"/>
          <w:szCs w:val="26"/>
        </w:rPr>
      </w:pPr>
    </w:p>
    <w:p w:rsidR="00516A96" w:rsidRDefault="00516A96" w:rsidP="00B54443">
      <w:pPr>
        <w:numPr>
          <w:ilvl w:val="3"/>
          <w:numId w:val="41"/>
        </w:numPr>
        <w:tabs>
          <w:tab w:val="num" w:pos="2880"/>
        </w:tabs>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b/>
          <w:sz w:val="26"/>
          <w:szCs w:val="26"/>
        </w:rPr>
        <w:t>Northeast</w:t>
      </w:r>
      <w:r w:rsidRPr="00516A96">
        <w:rPr>
          <w:rFonts w:ascii="Times New Roman" w:eastAsia="Times New Roman" w:hAnsi="Times New Roman"/>
          <w:sz w:val="26"/>
          <w:szCs w:val="26"/>
        </w:rPr>
        <w:t>:  Under the Settlement Rates, an average residential customer’s monthly bill will remain at $58.50 because the Settlement Rates are the same as the existing rates for Northeast.</w:t>
      </w:r>
    </w:p>
    <w:p w:rsidR="00054792" w:rsidRPr="00516A96" w:rsidRDefault="00054792" w:rsidP="00054792">
      <w:pPr>
        <w:spacing w:after="120" w:line="240" w:lineRule="auto"/>
        <w:ind w:right="1440"/>
        <w:outlineLvl w:val="3"/>
        <w:rPr>
          <w:rFonts w:ascii="Times New Roman" w:eastAsia="Times New Roman" w:hAnsi="Times New Roman"/>
          <w:sz w:val="26"/>
          <w:szCs w:val="26"/>
        </w:rPr>
      </w:pPr>
    </w:p>
    <w:p w:rsidR="00516A96" w:rsidRDefault="00516A96" w:rsidP="00B54443">
      <w:pPr>
        <w:numPr>
          <w:ilvl w:val="3"/>
          <w:numId w:val="41"/>
        </w:numPr>
        <w:tabs>
          <w:tab w:val="num" w:pos="2880"/>
        </w:tabs>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b/>
          <w:sz w:val="26"/>
          <w:szCs w:val="26"/>
        </w:rPr>
        <w:t>Clarion</w:t>
      </w:r>
      <w:r w:rsidRPr="00516A96">
        <w:rPr>
          <w:rFonts w:ascii="Times New Roman" w:eastAsia="Times New Roman" w:hAnsi="Times New Roman"/>
          <w:sz w:val="26"/>
          <w:szCs w:val="26"/>
        </w:rPr>
        <w:t>:  The Company’s proposed rates as set forth on PAWC Exhibit No. 11-B, Schedule 14, are the Settlement Rates.  The Settlement Rates will result in an average residential customer monthly bill of $47.63, or an increase over existing rates of 36.9%.</w:t>
      </w:r>
    </w:p>
    <w:p w:rsidR="00B54443" w:rsidRPr="00516A96" w:rsidRDefault="00B54443" w:rsidP="00B54443">
      <w:pPr>
        <w:spacing w:after="120" w:line="240" w:lineRule="auto"/>
        <w:ind w:left="1440"/>
        <w:outlineLvl w:val="3"/>
        <w:rPr>
          <w:rFonts w:ascii="Times New Roman" w:eastAsia="Times New Roman" w:hAnsi="Times New Roman"/>
          <w:sz w:val="26"/>
          <w:szCs w:val="26"/>
        </w:rPr>
      </w:pPr>
    </w:p>
    <w:p w:rsidR="00516A96" w:rsidRDefault="00516A96" w:rsidP="00FA44EE">
      <w:pPr>
        <w:numPr>
          <w:ilvl w:val="3"/>
          <w:numId w:val="41"/>
        </w:numPr>
        <w:tabs>
          <w:tab w:val="num" w:pos="2880"/>
        </w:tabs>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b/>
          <w:sz w:val="26"/>
          <w:szCs w:val="26"/>
        </w:rPr>
        <w:t>Pocono</w:t>
      </w:r>
      <w:r w:rsidRPr="00516A96">
        <w:rPr>
          <w:rFonts w:ascii="Times New Roman" w:eastAsia="Times New Roman" w:hAnsi="Times New Roman"/>
          <w:sz w:val="26"/>
          <w:szCs w:val="26"/>
        </w:rPr>
        <w:t>:  Customers will be converted from flat rates to metered rates.  The Settlement Rates for Pocono are the same as the Settlement Rates for Clarion.  An average residential customer’s monthly bill will decrease by 6.6% to $47.63.</w:t>
      </w:r>
    </w:p>
    <w:p w:rsidR="00FA44EE" w:rsidRPr="00516A96" w:rsidRDefault="00FA44EE" w:rsidP="00FA44EE">
      <w:pPr>
        <w:spacing w:after="120" w:line="240" w:lineRule="auto"/>
        <w:ind w:right="1440"/>
        <w:outlineLvl w:val="3"/>
        <w:rPr>
          <w:rFonts w:ascii="Times New Roman" w:eastAsia="Times New Roman" w:hAnsi="Times New Roman"/>
          <w:sz w:val="26"/>
          <w:szCs w:val="26"/>
        </w:rPr>
      </w:pPr>
    </w:p>
    <w:p w:rsidR="00516A96" w:rsidRDefault="00516A96" w:rsidP="00FA44EE">
      <w:pPr>
        <w:numPr>
          <w:ilvl w:val="3"/>
          <w:numId w:val="41"/>
        </w:numPr>
        <w:tabs>
          <w:tab w:val="num" w:pos="2880"/>
        </w:tabs>
        <w:spacing w:after="12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b/>
          <w:sz w:val="26"/>
          <w:szCs w:val="26"/>
        </w:rPr>
        <w:t>Clean Treatment</w:t>
      </w:r>
      <w:r w:rsidRPr="00516A96">
        <w:rPr>
          <w:rFonts w:ascii="Times New Roman" w:eastAsia="Times New Roman" w:hAnsi="Times New Roman"/>
          <w:sz w:val="26"/>
          <w:szCs w:val="26"/>
        </w:rPr>
        <w:t>:  An average residential customer’s monthly bill will decrease by 13.97% to $58.50.  The rates for the Commercial customer class will be the same as the existing Coatesville wastewater operation’s rates for that class.  (There are no Municipal or Industrial customers on the Clean Treatment wastewater system.)</w:t>
      </w:r>
    </w:p>
    <w:p w:rsidR="00FA44EE" w:rsidRPr="00516A96" w:rsidRDefault="00FA44EE" w:rsidP="00FA44EE">
      <w:pPr>
        <w:spacing w:after="120" w:line="240" w:lineRule="auto"/>
        <w:ind w:right="1440"/>
        <w:outlineLvl w:val="3"/>
        <w:rPr>
          <w:rFonts w:ascii="Times New Roman" w:eastAsia="Times New Roman" w:hAnsi="Times New Roman"/>
          <w:sz w:val="26"/>
          <w:szCs w:val="26"/>
        </w:rPr>
      </w:pPr>
    </w:p>
    <w:p w:rsidR="00516A96" w:rsidRPr="00516A96" w:rsidRDefault="00516A96" w:rsidP="00FA44EE">
      <w:pPr>
        <w:numPr>
          <w:ilvl w:val="3"/>
          <w:numId w:val="41"/>
        </w:numPr>
        <w:tabs>
          <w:tab w:val="left" w:pos="720"/>
          <w:tab w:val="num" w:pos="2880"/>
        </w:tabs>
        <w:spacing w:after="0" w:line="240" w:lineRule="auto"/>
        <w:ind w:left="1440" w:right="1440" w:firstLine="1440"/>
        <w:outlineLvl w:val="3"/>
        <w:rPr>
          <w:rFonts w:ascii="Times New Roman" w:eastAsia="Times New Roman" w:hAnsi="Times New Roman"/>
          <w:sz w:val="26"/>
          <w:szCs w:val="26"/>
        </w:rPr>
      </w:pPr>
      <w:r w:rsidRPr="00516A96">
        <w:rPr>
          <w:rFonts w:ascii="Times New Roman" w:eastAsia="Times New Roman" w:hAnsi="Times New Roman"/>
          <w:b/>
          <w:sz w:val="26"/>
          <w:szCs w:val="26"/>
        </w:rPr>
        <w:t>Combined Water and Wastewater Revenue Requirement</w:t>
      </w:r>
      <w:r w:rsidRPr="00516A96">
        <w:rPr>
          <w:rFonts w:ascii="Times New Roman" w:eastAsia="Times New Roman" w:hAnsi="Times New Roman"/>
          <w:sz w:val="26"/>
          <w:szCs w:val="26"/>
        </w:rPr>
        <w:t>:  Pursuant to Section 1311(c) of the Public Utility Code and the Commission’s Implementation Order in Docket No. R-2013-23565276, under the Settlement Rates a portion of the wastewater revenue requirement totaling $5,411,134 is being allocated to water customers, as shown in Appendix G (</w:t>
      </w:r>
      <w:r w:rsidRPr="00516A96">
        <w:rPr>
          <w:rFonts w:ascii="Times New Roman" w:eastAsia="Times New Roman" w:hAnsi="Times New Roman"/>
          <w:i/>
          <w:sz w:val="26"/>
          <w:szCs w:val="26"/>
        </w:rPr>
        <w:t>see</w:t>
      </w:r>
      <w:r w:rsidRPr="00516A96">
        <w:rPr>
          <w:rFonts w:ascii="Times New Roman" w:eastAsia="Times New Roman" w:hAnsi="Times New Roman"/>
          <w:sz w:val="26"/>
          <w:szCs w:val="26"/>
        </w:rPr>
        <w:t xml:space="preserve"> column 10, line 34).</w:t>
      </w:r>
    </w:p>
    <w:p w:rsidR="00054792" w:rsidRDefault="00054792">
      <w:pPr>
        <w:spacing w:after="0" w:line="240" w:lineRule="auto"/>
        <w:rPr>
          <w:rFonts w:ascii="Times New Roman" w:eastAsia="Times New Roman" w:hAnsi="Times New Roman"/>
          <w:b/>
          <w:bCs/>
          <w:color w:val="333333"/>
          <w:sz w:val="26"/>
          <w:szCs w:val="26"/>
        </w:rPr>
      </w:pPr>
    </w:p>
    <w:p w:rsidR="004F4149" w:rsidRDefault="004F4149" w:rsidP="004F4149">
      <w:pPr>
        <w:spacing w:after="0" w:line="360" w:lineRule="auto"/>
        <w:ind w:firstLine="1440"/>
        <w:rPr>
          <w:rFonts w:ascii="Times New Roman" w:eastAsia="Times New Roman" w:hAnsi="Times New Roman"/>
          <w:bCs/>
          <w:color w:val="333333"/>
          <w:sz w:val="26"/>
          <w:szCs w:val="26"/>
        </w:rPr>
      </w:pPr>
      <w:r>
        <w:rPr>
          <w:rFonts w:ascii="Times New Roman" w:eastAsia="Times New Roman" w:hAnsi="Times New Roman"/>
          <w:bCs/>
          <w:color w:val="333333"/>
          <w:sz w:val="26"/>
          <w:szCs w:val="26"/>
        </w:rPr>
        <w:lastRenderedPageBreak/>
        <w:t xml:space="preserve">We note that </w:t>
      </w:r>
      <w:r w:rsidRPr="00BC3ED7">
        <w:rPr>
          <w:rFonts w:ascii="Times New Roman" w:hAnsi="Times New Roman"/>
          <w:color w:val="333333"/>
          <w:sz w:val="26"/>
          <w:szCs w:val="26"/>
        </w:rPr>
        <w:t>Paragraph No. 8 of the Settlement</w:t>
      </w:r>
      <w:r>
        <w:rPr>
          <w:rFonts w:ascii="Times New Roman" w:eastAsia="Times New Roman" w:hAnsi="Times New Roman"/>
          <w:bCs/>
          <w:color w:val="333333"/>
          <w:sz w:val="26"/>
          <w:szCs w:val="26"/>
        </w:rPr>
        <w:t xml:space="preserve"> does not provide an average increase in the water rates for each zone of service.  Upon review of the revenue schedules attached to the Settlement, we provide the following summary</w:t>
      </w:r>
      <w:r w:rsidR="0085595F">
        <w:rPr>
          <w:rFonts w:ascii="Times New Roman" w:eastAsia="Times New Roman" w:hAnsi="Times New Roman"/>
          <w:bCs/>
          <w:color w:val="333333"/>
          <w:sz w:val="26"/>
          <w:szCs w:val="26"/>
        </w:rPr>
        <w:t xml:space="preserve"> of the </w:t>
      </w:r>
      <w:r w:rsidR="00C81F94">
        <w:rPr>
          <w:rFonts w:ascii="Times New Roman" w:eastAsia="Times New Roman" w:hAnsi="Times New Roman"/>
          <w:bCs/>
          <w:color w:val="333333"/>
          <w:sz w:val="26"/>
          <w:szCs w:val="26"/>
        </w:rPr>
        <w:t xml:space="preserve">possible </w:t>
      </w:r>
      <w:r w:rsidR="0085595F">
        <w:rPr>
          <w:rFonts w:ascii="Times New Roman" w:eastAsia="Times New Roman" w:hAnsi="Times New Roman"/>
          <w:bCs/>
          <w:color w:val="333333"/>
          <w:sz w:val="26"/>
          <w:szCs w:val="26"/>
        </w:rPr>
        <w:t>impact on residential water service customers</w:t>
      </w:r>
      <w:r>
        <w:rPr>
          <w:rFonts w:ascii="Times New Roman" w:eastAsia="Times New Roman" w:hAnsi="Times New Roman"/>
          <w:bCs/>
          <w:color w:val="333333"/>
          <w:sz w:val="26"/>
          <w:szCs w:val="26"/>
        </w:rPr>
        <w:t xml:space="preserve">: </w:t>
      </w:r>
    </w:p>
    <w:p w:rsidR="0076381A" w:rsidRDefault="0076381A" w:rsidP="004F4149">
      <w:pPr>
        <w:spacing w:after="0" w:line="360" w:lineRule="auto"/>
        <w:ind w:firstLine="1440"/>
        <w:rPr>
          <w:rFonts w:ascii="Times New Roman" w:eastAsia="Times New Roman" w:hAnsi="Times New Roman"/>
          <w:bCs/>
          <w:color w:val="333333"/>
          <w:sz w:val="26"/>
          <w:szCs w:val="26"/>
        </w:rPr>
      </w:pPr>
    </w:p>
    <w:tbl>
      <w:tblPr>
        <w:tblW w:w="9350" w:type="dxa"/>
        <w:tblInd w:w="93" w:type="dxa"/>
        <w:tblLook w:val="04A0" w:firstRow="1" w:lastRow="0" w:firstColumn="1" w:lastColumn="0" w:noHBand="0" w:noVBand="1"/>
      </w:tblPr>
      <w:tblGrid>
        <w:gridCol w:w="3443"/>
        <w:gridCol w:w="1510"/>
        <w:gridCol w:w="1056"/>
        <w:gridCol w:w="1244"/>
        <w:gridCol w:w="1003"/>
        <w:gridCol w:w="1094"/>
      </w:tblGrid>
      <w:tr w:rsidR="0076381A" w:rsidRPr="0076381A" w:rsidTr="00DC0054">
        <w:trPr>
          <w:trHeight w:val="330"/>
        </w:trPr>
        <w:tc>
          <w:tcPr>
            <w:tcW w:w="9350" w:type="dxa"/>
            <w:gridSpan w:val="6"/>
            <w:tcBorders>
              <w:top w:val="nil"/>
              <w:left w:val="nil"/>
              <w:bottom w:val="nil"/>
              <w:right w:val="nil"/>
            </w:tcBorders>
            <w:shd w:val="clear" w:color="auto" w:fill="auto"/>
            <w:noWrap/>
            <w:vAlign w:val="bottom"/>
            <w:hideMark/>
          </w:tcPr>
          <w:p w:rsidR="0076381A" w:rsidRPr="0076381A" w:rsidRDefault="003F04D3" w:rsidP="0076381A">
            <w:pPr>
              <w:spacing w:after="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 xml:space="preserve">Comparison of Monthly </w:t>
            </w:r>
            <w:r w:rsidR="0076381A" w:rsidRPr="0076381A">
              <w:rPr>
                <w:rFonts w:ascii="Times New Roman" w:eastAsia="Times New Roman" w:hAnsi="Times New Roman"/>
                <w:b/>
                <w:bCs/>
                <w:color w:val="000000"/>
                <w:sz w:val="26"/>
                <w:szCs w:val="26"/>
              </w:rPr>
              <w:t>Residential Bills at Present and Settlement Rates</w:t>
            </w:r>
          </w:p>
        </w:tc>
      </w:tr>
      <w:tr w:rsidR="0076381A" w:rsidRPr="0076381A" w:rsidTr="00DC0054">
        <w:trPr>
          <w:trHeight w:val="330"/>
        </w:trPr>
        <w:tc>
          <w:tcPr>
            <w:tcW w:w="9350" w:type="dxa"/>
            <w:gridSpan w:val="6"/>
            <w:tcBorders>
              <w:top w:val="nil"/>
              <w:left w:val="nil"/>
              <w:bottom w:val="nil"/>
              <w:right w:val="nil"/>
            </w:tcBorders>
            <w:shd w:val="clear" w:color="auto" w:fill="auto"/>
            <w:noWrap/>
            <w:vAlign w:val="bottom"/>
            <w:hideMark/>
          </w:tcPr>
          <w:p w:rsidR="0076381A" w:rsidRPr="0076381A" w:rsidRDefault="0076381A" w:rsidP="0076381A">
            <w:pPr>
              <w:spacing w:after="0" w:line="240" w:lineRule="auto"/>
              <w:jc w:val="center"/>
              <w:rPr>
                <w:rFonts w:ascii="Times New Roman" w:eastAsia="Times New Roman" w:hAnsi="Times New Roman"/>
                <w:color w:val="000000"/>
                <w:sz w:val="26"/>
                <w:szCs w:val="26"/>
              </w:rPr>
            </w:pPr>
            <w:r w:rsidRPr="0076381A">
              <w:rPr>
                <w:rFonts w:ascii="Times New Roman" w:eastAsia="Times New Roman" w:hAnsi="Times New Roman"/>
                <w:color w:val="000000"/>
                <w:sz w:val="26"/>
                <w:szCs w:val="26"/>
              </w:rPr>
              <w:t>5/8 Inch Meter</w:t>
            </w:r>
          </w:p>
        </w:tc>
      </w:tr>
      <w:tr w:rsidR="0076381A" w:rsidRPr="0076381A" w:rsidTr="00DC0054">
        <w:trPr>
          <w:trHeight w:val="345"/>
        </w:trPr>
        <w:tc>
          <w:tcPr>
            <w:tcW w:w="344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jc w:val="center"/>
              <w:rPr>
                <w:rFonts w:eastAsia="Times New Roman"/>
                <w:color w:val="000000"/>
                <w:sz w:val="26"/>
                <w:szCs w:val="26"/>
              </w:rPr>
            </w:pPr>
          </w:p>
        </w:tc>
        <w:tc>
          <w:tcPr>
            <w:tcW w:w="1510"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jc w:val="center"/>
              <w:rPr>
                <w:rFonts w:eastAsia="Times New Roman"/>
                <w:color w:val="000000"/>
              </w:rPr>
            </w:pPr>
          </w:p>
        </w:tc>
        <w:tc>
          <w:tcPr>
            <w:tcW w:w="1056"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jc w:val="center"/>
              <w:rPr>
                <w:rFonts w:eastAsia="Times New Roman"/>
                <w:color w:val="000000"/>
              </w:rPr>
            </w:pP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jc w:val="center"/>
              <w:rPr>
                <w:rFonts w:eastAsia="Times New Roman"/>
                <w:color w:val="000000"/>
              </w:rPr>
            </w:pPr>
          </w:p>
        </w:tc>
        <w:tc>
          <w:tcPr>
            <w:tcW w:w="100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jc w:val="center"/>
              <w:rPr>
                <w:rFonts w:eastAsia="Times New Roman"/>
                <w:color w:val="000000"/>
              </w:rPr>
            </w:pPr>
          </w:p>
        </w:tc>
        <w:tc>
          <w:tcPr>
            <w:tcW w:w="109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jc w:val="center"/>
              <w:rPr>
                <w:rFonts w:eastAsia="Times New Roman"/>
                <w:color w:val="000000"/>
              </w:rPr>
            </w:pPr>
          </w:p>
        </w:tc>
      </w:tr>
      <w:tr w:rsidR="0076381A" w:rsidRPr="0076381A" w:rsidTr="00DC0054">
        <w:trPr>
          <w:trHeight w:val="300"/>
        </w:trPr>
        <w:tc>
          <w:tcPr>
            <w:tcW w:w="344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510"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056"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00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09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r>
      <w:tr w:rsidR="0076381A" w:rsidRPr="0076381A" w:rsidTr="00DC0054">
        <w:trPr>
          <w:trHeight w:val="945"/>
        </w:trPr>
        <w:tc>
          <w:tcPr>
            <w:tcW w:w="3443" w:type="dxa"/>
            <w:tcBorders>
              <w:top w:val="nil"/>
              <w:left w:val="nil"/>
              <w:bottom w:val="nil"/>
              <w:right w:val="nil"/>
            </w:tcBorders>
            <w:shd w:val="clear" w:color="auto" w:fill="auto"/>
            <w:noWrap/>
            <w:vAlign w:val="center"/>
            <w:hideMark/>
          </w:tcPr>
          <w:p w:rsidR="0076381A" w:rsidRPr="0076381A" w:rsidRDefault="0076381A" w:rsidP="0076381A">
            <w:pPr>
              <w:spacing w:after="0" w:line="240" w:lineRule="auto"/>
              <w:jc w:val="center"/>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Zone</w:t>
            </w:r>
          </w:p>
        </w:tc>
        <w:tc>
          <w:tcPr>
            <w:tcW w:w="1510" w:type="dxa"/>
            <w:tcBorders>
              <w:top w:val="nil"/>
              <w:left w:val="nil"/>
              <w:bottom w:val="nil"/>
              <w:right w:val="nil"/>
            </w:tcBorders>
            <w:shd w:val="clear" w:color="auto" w:fill="auto"/>
            <w:vAlign w:val="center"/>
            <w:hideMark/>
          </w:tcPr>
          <w:p w:rsidR="0076381A" w:rsidRPr="0076381A" w:rsidRDefault="00C01A67" w:rsidP="00C01A6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Typical</w:t>
            </w:r>
            <w:r w:rsidR="0076381A" w:rsidRPr="0076381A">
              <w:rPr>
                <w:rFonts w:ascii="Times New Roman" w:eastAsia="Times New Roman" w:hAnsi="Times New Roman"/>
                <w:color w:val="000000"/>
                <w:sz w:val="24"/>
                <w:szCs w:val="24"/>
              </w:rPr>
              <w:t xml:space="preserve"> Consumption </w:t>
            </w:r>
          </w:p>
        </w:tc>
        <w:tc>
          <w:tcPr>
            <w:tcW w:w="1056" w:type="dxa"/>
            <w:tcBorders>
              <w:top w:val="nil"/>
              <w:left w:val="nil"/>
              <w:bottom w:val="nil"/>
              <w:right w:val="nil"/>
            </w:tcBorders>
            <w:shd w:val="clear" w:color="auto" w:fill="auto"/>
            <w:vAlign w:val="center"/>
            <w:hideMark/>
          </w:tcPr>
          <w:p w:rsidR="0076381A" w:rsidRPr="0076381A" w:rsidRDefault="0076381A" w:rsidP="0076381A">
            <w:pPr>
              <w:spacing w:after="0" w:line="240" w:lineRule="auto"/>
              <w:jc w:val="center"/>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Present Rates</w:t>
            </w:r>
          </w:p>
        </w:tc>
        <w:tc>
          <w:tcPr>
            <w:tcW w:w="1244" w:type="dxa"/>
            <w:tcBorders>
              <w:top w:val="nil"/>
              <w:left w:val="nil"/>
              <w:bottom w:val="nil"/>
              <w:right w:val="nil"/>
            </w:tcBorders>
            <w:shd w:val="clear" w:color="auto" w:fill="auto"/>
            <w:vAlign w:val="center"/>
            <w:hideMark/>
          </w:tcPr>
          <w:p w:rsidR="0076381A" w:rsidRPr="0076381A" w:rsidRDefault="0076381A" w:rsidP="0076381A">
            <w:pPr>
              <w:spacing w:after="0" w:line="240" w:lineRule="auto"/>
              <w:jc w:val="center"/>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Settlement Rates</w:t>
            </w:r>
          </w:p>
        </w:tc>
        <w:tc>
          <w:tcPr>
            <w:tcW w:w="2097" w:type="dxa"/>
            <w:gridSpan w:val="2"/>
            <w:tcBorders>
              <w:top w:val="nil"/>
              <w:left w:val="nil"/>
              <w:bottom w:val="nil"/>
              <w:right w:val="nil"/>
            </w:tcBorders>
            <w:shd w:val="clear" w:color="auto" w:fill="auto"/>
            <w:noWrap/>
            <w:vAlign w:val="center"/>
            <w:hideMark/>
          </w:tcPr>
          <w:p w:rsidR="0076381A" w:rsidRPr="0076381A" w:rsidRDefault="0076381A" w:rsidP="0076381A">
            <w:pPr>
              <w:spacing w:after="0" w:line="240" w:lineRule="auto"/>
              <w:jc w:val="center"/>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Increase</w:t>
            </w:r>
          </w:p>
        </w:tc>
      </w:tr>
      <w:tr w:rsidR="0076381A" w:rsidRPr="0076381A" w:rsidTr="00DC0054">
        <w:trPr>
          <w:trHeight w:val="402"/>
        </w:trPr>
        <w:tc>
          <w:tcPr>
            <w:tcW w:w="3443" w:type="dxa"/>
            <w:tcBorders>
              <w:top w:val="nil"/>
              <w:left w:val="nil"/>
              <w:bottom w:val="single" w:sz="4" w:space="0" w:color="auto"/>
              <w:right w:val="nil"/>
            </w:tcBorders>
            <w:shd w:val="clear" w:color="auto" w:fill="auto"/>
            <w:noWrap/>
            <w:vAlign w:val="center"/>
            <w:hideMark/>
          </w:tcPr>
          <w:p w:rsidR="0076381A" w:rsidRPr="0076381A" w:rsidRDefault="0076381A" w:rsidP="0076381A">
            <w:pPr>
              <w:spacing w:after="0" w:line="240" w:lineRule="auto"/>
              <w:jc w:val="center"/>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 </w:t>
            </w:r>
          </w:p>
        </w:tc>
        <w:tc>
          <w:tcPr>
            <w:tcW w:w="1510" w:type="dxa"/>
            <w:tcBorders>
              <w:top w:val="nil"/>
              <w:left w:val="nil"/>
              <w:bottom w:val="single" w:sz="4" w:space="0" w:color="auto"/>
              <w:right w:val="nil"/>
            </w:tcBorders>
            <w:shd w:val="clear" w:color="auto" w:fill="auto"/>
            <w:noWrap/>
            <w:vAlign w:val="center"/>
            <w:hideMark/>
          </w:tcPr>
          <w:p w:rsidR="0076381A" w:rsidRPr="0076381A" w:rsidRDefault="0076381A" w:rsidP="00DC0054">
            <w:pPr>
              <w:spacing w:after="0" w:line="240" w:lineRule="auto"/>
              <w:rPr>
                <w:rFonts w:ascii="Times New Roman" w:eastAsia="Times New Roman" w:hAnsi="Times New Roman"/>
                <w:color w:val="000000"/>
                <w:sz w:val="24"/>
                <w:szCs w:val="24"/>
              </w:rPr>
            </w:pPr>
          </w:p>
        </w:tc>
        <w:tc>
          <w:tcPr>
            <w:tcW w:w="1056" w:type="dxa"/>
            <w:tcBorders>
              <w:top w:val="nil"/>
              <w:left w:val="nil"/>
              <w:bottom w:val="single" w:sz="4" w:space="0" w:color="auto"/>
              <w:right w:val="nil"/>
            </w:tcBorders>
            <w:shd w:val="clear" w:color="auto" w:fill="auto"/>
            <w:noWrap/>
            <w:vAlign w:val="center"/>
            <w:hideMark/>
          </w:tcPr>
          <w:p w:rsidR="0076381A" w:rsidRPr="0076381A" w:rsidRDefault="0076381A" w:rsidP="0076381A">
            <w:pPr>
              <w:spacing w:after="0" w:line="240" w:lineRule="auto"/>
              <w:jc w:val="center"/>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 </w:t>
            </w:r>
          </w:p>
        </w:tc>
        <w:tc>
          <w:tcPr>
            <w:tcW w:w="1244" w:type="dxa"/>
            <w:tcBorders>
              <w:top w:val="nil"/>
              <w:left w:val="nil"/>
              <w:bottom w:val="single" w:sz="4" w:space="0" w:color="auto"/>
              <w:right w:val="nil"/>
            </w:tcBorders>
            <w:shd w:val="clear" w:color="auto" w:fill="auto"/>
            <w:noWrap/>
            <w:vAlign w:val="center"/>
            <w:hideMark/>
          </w:tcPr>
          <w:p w:rsidR="0076381A" w:rsidRPr="0076381A" w:rsidRDefault="0076381A" w:rsidP="0076381A">
            <w:pPr>
              <w:spacing w:after="0" w:line="240" w:lineRule="auto"/>
              <w:jc w:val="center"/>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 </w:t>
            </w:r>
          </w:p>
        </w:tc>
        <w:tc>
          <w:tcPr>
            <w:tcW w:w="1003" w:type="dxa"/>
            <w:tcBorders>
              <w:top w:val="nil"/>
              <w:left w:val="nil"/>
              <w:bottom w:val="single" w:sz="4" w:space="0" w:color="auto"/>
              <w:right w:val="nil"/>
            </w:tcBorders>
            <w:shd w:val="clear" w:color="auto" w:fill="auto"/>
            <w:noWrap/>
            <w:vAlign w:val="center"/>
            <w:hideMark/>
          </w:tcPr>
          <w:p w:rsidR="0076381A" w:rsidRPr="0076381A" w:rsidRDefault="0076381A" w:rsidP="0076381A">
            <w:pPr>
              <w:spacing w:after="0" w:line="240" w:lineRule="auto"/>
              <w:jc w:val="center"/>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Amount</w:t>
            </w:r>
          </w:p>
        </w:tc>
        <w:tc>
          <w:tcPr>
            <w:tcW w:w="1094" w:type="dxa"/>
            <w:tcBorders>
              <w:top w:val="nil"/>
              <w:left w:val="nil"/>
              <w:bottom w:val="single" w:sz="4" w:space="0" w:color="auto"/>
              <w:right w:val="nil"/>
            </w:tcBorders>
            <w:shd w:val="clear" w:color="auto" w:fill="auto"/>
            <w:noWrap/>
            <w:vAlign w:val="center"/>
            <w:hideMark/>
          </w:tcPr>
          <w:p w:rsidR="0076381A" w:rsidRPr="0076381A" w:rsidRDefault="0076381A" w:rsidP="0076381A">
            <w:pPr>
              <w:spacing w:after="0" w:line="240" w:lineRule="auto"/>
              <w:jc w:val="center"/>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Percent</w:t>
            </w: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Zone  1 - PWAC*</w:t>
            </w:r>
          </w:p>
        </w:tc>
        <w:tc>
          <w:tcPr>
            <w:tcW w:w="1510"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ind w:firstLineChars="200" w:firstLine="480"/>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3,960</w:t>
            </w:r>
          </w:p>
        </w:tc>
        <w:tc>
          <w:tcPr>
            <w:tcW w:w="1056" w:type="dxa"/>
            <w:tcBorders>
              <w:top w:val="nil"/>
              <w:left w:val="nil"/>
              <w:bottom w:val="nil"/>
              <w:right w:val="nil"/>
            </w:tcBorders>
            <w:shd w:val="clear" w:color="auto" w:fill="auto"/>
            <w:noWrap/>
            <w:vAlign w:val="bottom"/>
            <w:hideMark/>
          </w:tcPr>
          <w:p w:rsidR="0076381A" w:rsidRPr="0076381A" w:rsidRDefault="00DC0054" w:rsidP="00DC0054">
            <w:pPr>
              <w:spacing w:after="0" w:line="240" w:lineRule="auto"/>
              <w:ind w:firstLineChars="100" w:firstLine="24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6381A" w:rsidRPr="0076381A">
              <w:rPr>
                <w:rFonts w:ascii="Times New Roman" w:eastAsia="Times New Roman" w:hAnsi="Times New Roman"/>
                <w:color w:val="000000"/>
                <w:sz w:val="24"/>
                <w:szCs w:val="24"/>
              </w:rPr>
              <w:t>$52.52</w:t>
            </w: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$55.45</w:t>
            </w:r>
          </w:p>
        </w:tc>
        <w:tc>
          <w:tcPr>
            <w:tcW w:w="100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$2.93</w:t>
            </w:r>
          </w:p>
        </w:tc>
        <w:tc>
          <w:tcPr>
            <w:tcW w:w="109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5.58%</w:t>
            </w: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DC0054" w:rsidRDefault="00DC0054" w:rsidP="0076381A">
            <w:pPr>
              <w:spacing w:after="0" w:line="240" w:lineRule="auto"/>
              <w:rPr>
                <w:rFonts w:ascii="Times New Roman" w:eastAsia="Times New Roman" w:hAnsi="Times New Roman"/>
                <w:color w:val="000000"/>
                <w:sz w:val="24"/>
                <w:szCs w:val="24"/>
              </w:rPr>
            </w:pPr>
          </w:p>
          <w:p w:rsidR="0076381A" w:rsidRPr="0076381A" w:rsidRDefault="0076381A" w:rsidP="0076381A">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 xml:space="preserve">Zone 40 - </w:t>
            </w:r>
            <w:proofErr w:type="spellStart"/>
            <w:r w:rsidRPr="0076381A">
              <w:rPr>
                <w:rFonts w:ascii="Times New Roman" w:eastAsia="Times New Roman" w:hAnsi="Times New Roman"/>
                <w:color w:val="000000"/>
                <w:sz w:val="24"/>
                <w:szCs w:val="24"/>
              </w:rPr>
              <w:t>Nittany</w:t>
            </w:r>
            <w:proofErr w:type="spellEnd"/>
          </w:p>
        </w:tc>
        <w:tc>
          <w:tcPr>
            <w:tcW w:w="1510"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ind w:firstLineChars="200" w:firstLine="480"/>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3,960</w:t>
            </w:r>
          </w:p>
        </w:tc>
        <w:tc>
          <w:tcPr>
            <w:tcW w:w="1056"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$23.84</w:t>
            </w: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$32.69</w:t>
            </w:r>
          </w:p>
        </w:tc>
        <w:tc>
          <w:tcPr>
            <w:tcW w:w="100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$8.85</w:t>
            </w:r>
          </w:p>
        </w:tc>
        <w:tc>
          <w:tcPr>
            <w:tcW w:w="1094"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37.12%</w:t>
            </w: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Zone 41 - Sutton Hills*</w:t>
            </w:r>
          </w:p>
        </w:tc>
        <w:tc>
          <w:tcPr>
            <w:tcW w:w="1510"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ind w:firstLineChars="200" w:firstLine="480"/>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3,960</w:t>
            </w:r>
          </w:p>
        </w:tc>
        <w:tc>
          <w:tcPr>
            <w:tcW w:w="1056"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$31.21</w:t>
            </w: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$43.12</w:t>
            </w:r>
          </w:p>
        </w:tc>
        <w:tc>
          <w:tcPr>
            <w:tcW w:w="1003"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$11.91</w:t>
            </w:r>
          </w:p>
        </w:tc>
        <w:tc>
          <w:tcPr>
            <w:tcW w:w="1094" w:type="dxa"/>
            <w:tcBorders>
              <w:top w:val="nil"/>
              <w:left w:val="nil"/>
              <w:bottom w:val="nil"/>
              <w:right w:val="nil"/>
            </w:tcBorders>
            <w:shd w:val="clear" w:color="auto" w:fill="auto"/>
            <w:noWrap/>
            <w:vAlign w:val="bottom"/>
            <w:hideMark/>
          </w:tcPr>
          <w:p w:rsidR="0076381A" w:rsidRPr="0076381A" w:rsidRDefault="00DC0054" w:rsidP="00DC0054">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6381A" w:rsidRPr="0076381A">
              <w:rPr>
                <w:rFonts w:ascii="Times New Roman" w:eastAsia="Times New Roman" w:hAnsi="Times New Roman"/>
                <w:color w:val="000000"/>
                <w:sz w:val="24"/>
                <w:szCs w:val="24"/>
              </w:rPr>
              <w:t>38.16%</w:t>
            </w: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DC0054" w:rsidRDefault="00DC0054" w:rsidP="0076381A">
            <w:pPr>
              <w:spacing w:after="0" w:line="240" w:lineRule="auto"/>
              <w:rPr>
                <w:rFonts w:ascii="Times New Roman" w:eastAsia="Times New Roman" w:hAnsi="Times New Roman"/>
                <w:color w:val="000000"/>
                <w:sz w:val="24"/>
                <w:szCs w:val="24"/>
              </w:rPr>
            </w:pPr>
          </w:p>
          <w:p w:rsidR="0076381A" w:rsidRPr="0076381A" w:rsidRDefault="0076381A" w:rsidP="0076381A">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Zone 43 - Acquisitions*</w:t>
            </w:r>
          </w:p>
        </w:tc>
        <w:tc>
          <w:tcPr>
            <w:tcW w:w="1510"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ind w:firstLineChars="200" w:firstLine="480"/>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3,960</w:t>
            </w:r>
          </w:p>
        </w:tc>
        <w:tc>
          <w:tcPr>
            <w:tcW w:w="1056"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$46.66</w:t>
            </w: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$55.45</w:t>
            </w:r>
          </w:p>
        </w:tc>
        <w:tc>
          <w:tcPr>
            <w:tcW w:w="100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$8.79</w:t>
            </w:r>
          </w:p>
        </w:tc>
        <w:tc>
          <w:tcPr>
            <w:tcW w:w="1094"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18.84%</w:t>
            </w: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DC0054" w:rsidRDefault="00DC0054" w:rsidP="0076381A">
            <w:pPr>
              <w:spacing w:after="0" w:line="240" w:lineRule="auto"/>
              <w:rPr>
                <w:rFonts w:ascii="Times New Roman" w:eastAsia="Times New Roman" w:hAnsi="Times New Roman"/>
                <w:color w:val="000000"/>
                <w:sz w:val="24"/>
                <w:szCs w:val="24"/>
              </w:rPr>
            </w:pPr>
          </w:p>
          <w:p w:rsidR="0076381A" w:rsidRPr="0076381A" w:rsidRDefault="0076381A" w:rsidP="0076381A">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Zone 44 - Wildcat</w:t>
            </w:r>
          </w:p>
        </w:tc>
        <w:tc>
          <w:tcPr>
            <w:tcW w:w="1510"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ind w:firstLineChars="200" w:firstLine="480"/>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3,960</w:t>
            </w:r>
          </w:p>
        </w:tc>
        <w:tc>
          <w:tcPr>
            <w:tcW w:w="1056"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$45.94</w:t>
            </w: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$49.79</w:t>
            </w:r>
          </w:p>
        </w:tc>
        <w:tc>
          <w:tcPr>
            <w:tcW w:w="100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$3.85</w:t>
            </w:r>
          </w:p>
        </w:tc>
        <w:tc>
          <w:tcPr>
            <w:tcW w:w="109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8.38%</w:t>
            </w: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DC0054" w:rsidRDefault="00DC0054" w:rsidP="0076381A">
            <w:pPr>
              <w:spacing w:after="0" w:line="240" w:lineRule="auto"/>
              <w:rPr>
                <w:rFonts w:ascii="Times New Roman" w:eastAsia="Times New Roman" w:hAnsi="Times New Roman"/>
                <w:color w:val="000000"/>
                <w:sz w:val="24"/>
                <w:szCs w:val="24"/>
              </w:rPr>
            </w:pPr>
          </w:p>
          <w:p w:rsidR="0076381A" w:rsidRPr="0076381A" w:rsidRDefault="0076381A" w:rsidP="0076381A">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 xml:space="preserve">Zone 45 - Lake </w:t>
            </w:r>
            <w:proofErr w:type="spellStart"/>
            <w:r w:rsidRPr="0076381A">
              <w:rPr>
                <w:rFonts w:ascii="Times New Roman" w:eastAsia="Times New Roman" w:hAnsi="Times New Roman"/>
                <w:color w:val="000000"/>
                <w:sz w:val="24"/>
                <w:szCs w:val="24"/>
              </w:rPr>
              <w:t>Spangenberg</w:t>
            </w:r>
            <w:proofErr w:type="spellEnd"/>
          </w:p>
        </w:tc>
        <w:tc>
          <w:tcPr>
            <w:tcW w:w="1510"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ind w:firstLineChars="200" w:firstLine="480"/>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3,960</w:t>
            </w:r>
          </w:p>
        </w:tc>
        <w:tc>
          <w:tcPr>
            <w:tcW w:w="1056"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$47.07</w:t>
            </w: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$55.45</w:t>
            </w:r>
          </w:p>
        </w:tc>
        <w:tc>
          <w:tcPr>
            <w:tcW w:w="100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$8.38</w:t>
            </w:r>
          </w:p>
        </w:tc>
        <w:tc>
          <w:tcPr>
            <w:tcW w:w="1094"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17.80%</w:t>
            </w: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F76F32" w:rsidRDefault="00F76F32" w:rsidP="0076381A">
            <w:pPr>
              <w:spacing w:after="0" w:line="240" w:lineRule="auto"/>
              <w:rPr>
                <w:rFonts w:ascii="Times New Roman" w:eastAsia="Times New Roman" w:hAnsi="Times New Roman"/>
                <w:color w:val="000000"/>
                <w:sz w:val="24"/>
                <w:szCs w:val="24"/>
              </w:rPr>
            </w:pPr>
          </w:p>
          <w:p w:rsidR="0076381A" w:rsidRPr="0076381A" w:rsidRDefault="0076381A" w:rsidP="0076381A">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 xml:space="preserve">Zone 47 -  </w:t>
            </w:r>
            <w:proofErr w:type="spellStart"/>
            <w:r w:rsidRPr="0076381A">
              <w:rPr>
                <w:rFonts w:ascii="Times New Roman" w:eastAsia="Times New Roman" w:hAnsi="Times New Roman"/>
                <w:color w:val="000000"/>
                <w:sz w:val="24"/>
                <w:szCs w:val="24"/>
              </w:rPr>
              <w:t>Balsinger</w:t>
            </w:r>
            <w:proofErr w:type="spellEnd"/>
          </w:p>
        </w:tc>
        <w:tc>
          <w:tcPr>
            <w:tcW w:w="1510"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ind w:firstLineChars="200" w:firstLine="480"/>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3,960</w:t>
            </w:r>
          </w:p>
        </w:tc>
        <w:tc>
          <w:tcPr>
            <w:tcW w:w="1056"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$28.40</w:t>
            </w: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$39.55</w:t>
            </w:r>
          </w:p>
        </w:tc>
        <w:tc>
          <w:tcPr>
            <w:tcW w:w="1003" w:type="dxa"/>
            <w:tcBorders>
              <w:top w:val="nil"/>
              <w:left w:val="nil"/>
              <w:bottom w:val="nil"/>
              <w:right w:val="nil"/>
            </w:tcBorders>
            <w:shd w:val="clear" w:color="auto" w:fill="auto"/>
            <w:noWrap/>
            <w:vAlign w:val="bottom"/>
            <w:hideMark/>
          </w:tcPr>
          <w:p w:rsidR="0076381A" w:rsidRPr="0076381A" w:rsidRDefault="0076381A" w:rsidP="00DC0054">
            <w:pPr>
              <w:spacing w:after="0" w:line="240" w:lineRule="auto"/>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$11.15</w:t>
            </w:r>
          </w:p>
        </w:tc>
        <w:tc>
          <w:tcPr>
            <w:tcW w:w="1094"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39.26%</w:t>
            </w: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F76F32" w:rsidRDefault="00F76F32" w:rsidP="0076381A">
            <w:pPr>
              <w:spacing w:after="0" w:line="240" w:lineRule="auto"/>
              <w:rPr>
                <w:rFonts w:ascii="Times New Roman" w:eastAsia="Times New Roman" w:hAnsi="Times New Roman"/>
                <w:color w:val="000000"/>
                <w:sz w:val="24"/>
                <w:szCs w:val="24"/>
              </w:rPr>
            </w:pPr>
          </w:p>
          <w:p w:rsidR="0076381A" w:rsidRPr="0076381A" w:rsidRDefault="00DC0054" w:rsidP="0076381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Zone 48 - All Seasons (</w:t>
            </w:r>
            <w:r w:rsidR="0076381A" w:rsidRPr="0076381A">
              <w:rPr>
                <w:rFonts w:ascii="Times New Roman" w:eastAsia="Times New Roman" w:hAnsi="Times New Roman"/>
                <w:color w:val="000000"/>
                <w:sz w:val="24"/>
                <w:szCs w:val="24"/>
              </w:rPr>
              <w:t>Winter</w:t>
            </w:r>
            <w:r>
              <w:rPr>
                <w:rFonts w:ascii="Times New Roman" w:eastAsia="Times New Roman" w:hAnsi="Times New Roman"/>
                <w:color w:val="000000"/>
                <w:sz w:val="24"/>
                <w:szCs w:val="24"/>
              </w:rPr>
              <w:t>)</w:t>
            </w:r>
          </w:p>
        </w:tc>
        <w:tc>
          <w:tcPr>
            <w:tcW w:w="1510"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ind w:firstLineChars="200" w:firstLine="480"/>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3,960</w:t>
            </w:r>
          </w:p>
        </w:tc>
        <w:tc>
          <w:tcPr>
            <w:tcW w:w="1056"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$27.50</w:t>
            </w: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$41.87</w:t>
            </w:r>
          </w:p>
        </w:tc>
        <w:tc>
          <w:tcPr>
            <w:tcW w:w="1003"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$14.37</w:t>
            </w:r>
          </w:p>
        </w:tc>
        <w:tc>
          <w:tcPr>
            <w:tcW w:w="1094"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52.25%</w:t>
            </w: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F76F32" w:rsidRDefault="00F76F32" w:rsidP="0076381A">
            <w:pPr>
              <w:spacing w:after="0" w:line="240" w:lineRule="auto"/>
              <w:rPr>
                <w:rFonts w:ascii="Times New Roman" w:eastAsia="Times New Roman" w:hAnsi="Times New Roman"/>
                <w:color w:val="000000"/>
                <w:sz w:val="24"/>
                <w:szCs w:val="24"/>
              </w:rPr>
            </w:pPr>
          </w:p>
          <w:p w:rsidR="0076381A" w:rsidRPr="0076381A" w:rsidRDefault="00DC0054" w:rsidP="0076381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Zone 48 - All Seasons (</w:t>
            </w:r>
            <w:r w:rsidR="0076381A" w:rsidRPr="0076381A">
              <w:rPr>
                <w:rFonts w:ascii="Times New Roman" w:eastAsia="Times New Roman" w:hAnsi="Times New Roman"/>
                <w:color w:val="000000"/>
                <w:sz w:val="24"/>
                <w:szCs w:val="24"/>
              </w:rPr>
              <w:t>Summer</w:t>
            </w:r>
            <w:r>
              <w:rPr>
                <w:rFonts w:ascii="Times New Roman" w:eastAsia="Times New Roman" w:hAnsi="Times New Roman"/>
                <w:color w:val="000000"/>
                <w:sz w:val="24"/>
                <w:szCs w:val="24"/>
              </w:rPr>
              <w:t>)</w:t>
            </w:r>
          </w:p>
        </w:tc>
        <w:tc>
          <w:tcPr>
            <w:tcW w:w="1510"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ind w:firstLineChars="200" w:firstLine="480"/>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3,960</w:t>
            </w:r>
          </w:p>
        </w:tc>
        <w:tc>
          <w:tcPr>
            <w:tcW w:w="1056"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$18.33</w:t>
            </w: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$41.87</w:t>
            </w:r>
          </w:p>
        </w:tc>
        <w:tc>
          <w:tcPr>
            <w:tcW w:w="1003"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$23.54</w:t>
            </w:r>
          </w:p>
        </w:tc>
        <w:tc>
          <w:tcPr>
            <w:tcW w:w="1094"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128.42%</w:t>
            </w: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F76F32" w:rsidRDefault="00F76F32" w:rsidP="0076381A">
            <w:pPr>
              <w:spacing w:after="0" w:line="240" w:lineRule="auto"/>
              <w:rPr>
                <w:rFonts w:ascii="Times New Roman" w:eastAsia="Times New Roman" w:hAnsi="Times New Roman"/>
                <w:color w:val="000000"/>
                <w:sz w:val="24"/>
                <w:szCs w:val="24"/>
              </w:rPr>
            </w:pPr>
          </w:p>
          <w:p w:rsidR="0076381A" w:rsidRPr="0076381A" w:rsidRDefault="0076381A" w:rsidP="0076381A">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Zone 48 - Springfield</w:t>
            </w:r>
          </w:p>
        </w:tc>
        <w:tc>
          <w:tcPr>
            <w:tcW w:w="1510"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ind w:firstLineChars="200" w:firstLine="480"/>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3,960</w:t>
            </w:r>
          </w:p>
        </w:tc>
        <w:tc>
          <w:tcPr>
            <w:tcW w:w="1056"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$46.22</w:t>
            </w: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$55.45</w:t>
            </w:r>
          </w:p>
        </w:tc>
        <w:tc>
          <w:tcPr>
            <w:tcW w:w="100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$9.23</w:t>
            </w:r>
          </w:p>
        </w:tc>
        <w:tc>
          <w:tcPr>
            <w:tcW w:w="1094"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19.97%</w:t>
            </w: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F76F32" w:rsidRDefault="00F76F32" w:rsidP="0076381A">
            <w:pPr>
              <w:spacing w:after="0" w:line="240" w:lineRule="auto"/>
              <w:rPr>
                <w:rFonts w:ascii="Times New Roman" w:eastAsia="Times New Roman" w:hAnsi="Times New Roman"/>
                <w:color w:val="000000"/>
                <w:sz w:val="24"/>
                <w:szCs w:val="24"/>
              </w:rPr>
            </w:pPr>
          </w:p>
          <w:p w:rsidR="0076381A" w:rsidRPr="0076381A" w:rsidRDefault="0076381A" w:rsidP="0076381A">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 xml:space="preserve">Zone 49 - </w:t>
            </w:r>
            <w:proofErr w:type="spellStart"/>
            <w:r w:rsidRPr="0076381A">
              <w:rPr>
                <w:rFonts w:ascii="Times New Roman" w:eastAsia="Times New Roman" w:hAnsi="Times New Roman"/>
                <w:color w:val="000000"/>
                <w:sz w:val="24"/>
                <w:szCs w:val="24"/>
              </w:rPr>
              <w:t>Olwen</w:t>
            </w:r>
            <w:proofErr w:type="spellEnd"/>
            <w:r w:rsidRPr="0076381A">
              <w:rPr>
                <w:rFonts w:ascii="Times New Roman" w:eastAsia="Times New Roman" w:hAnsi="Times New Roman"/>
                <w:color w:val="000000"/>
                <w:sz w:val="24"/>
                <w:szCs w:val="24"/>
              </w:rPr>
              <w:t xml:space="preserve"> Heights</w:t>
            </w:r>
          </w:p>
        </w:tc>
        <w:tc>
          <w:tcPr>
            <w:tcW w:w="1510"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ind w:firstLineChars="200" w:firstLine="480"/>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3,960</w:t>
            </w:r>
          </w:p>
        </w:tc>
        <w:tc>
          <w:tcPr>
            <w:tcW w:w="1056"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$44.10</w:t>
            </w: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$55.45</w:t>
            </w:r>
          </w:p>
        </w:tc>
        <w:tc>
          <w:tcPr>
            <w:tcW w:w="1003"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$11.35</w:t>
            </w:r>
          </w:p>
        </w:tc>
        <w:tc>
          <w:tcPr>
            <w:tcW w:w="1094" w:type="dxa"/>
            <w:tcBorders>
              <w:top w:val="nil"/>
              <w:left w:val="nil"/>
              <w:bottom w:val="nil"/>
              <w:right w:val="nil"/>
            </w:tcBorders>
            <w:shd w:val="clear" w:color="auto" w:fill="auto"/>
            <w:noWrap/>
            <w:vAlign w:val="bottom"/>
            <w:hideMark/>
          </w:tcPr>
          <w:p w:rsidR="0076381A" w:rsidRPr="0076381A" w:rsidRDefault="0076381A" w:rsidP="00F76F32">
            <w:pPr>
              <w:spacing w:after="0" w:line="240" w:lineRule="auto"/>
              <w:jc w:val="right"/>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25.74%</w:t>
            </w: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sz w:val="24"/>
                <w:szCs w:val="24"/>
              </w:rPr>
            </w:pPr>
          </w:p>
        </w:tc>
        <w:tc>
          <w:tcPr>
            <w:tcW w:w="1510"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200" w:firstLine="480"/>
              <w:jc w:val="right"/>
              <w:rPr>
                <w:rFonts w:eastAsia="Times New Roman"/>
                <w:color w:val="000000"/>
                <w:sz w:val="24"/>
                <w:szCs w:val="24"/>
              </w:rPr>
            </w:pPr>
          </w:p>
        </w:tc>
        <w:tc>
          <w:tcPr>
            <w:tcW w:w="1056"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200" w:firstLine="480"/>
              <w:jc w:val="right"/>
              <w:rPr>
                <w:rFonts w:eastAsia="Times New Roman"/>
                <w:color w:val="000000"/>
                <w:sz w:val="24"/>
                <w:szCs w:val="24"/>
              </w:rPr>
            </w:pP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200" w:firstLine="480"/>
              <w:jc w:val="right"/>
              <w:rPr>
                <w:rFonts w:eastAsia="Times New Roman"/>
                <w:color w:val="000000"/>
                <w:sz w:val="24"/>
                <w:szCs w:val="24"/>
              </w:rPr>
            </w:pPr>
          </w:p>
        </w:tc>
        <w:tc>
          <w:tcPr>
            <w:tcW w:w="100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eastAsia="Times New Roman"/>
                <w:color w:val="000000"/>
                <w:sz w:val="24"/>
                <w:szCs w:val="24"/>
              </w:rPr>
            </w:pPr>
          </w:p>
        </w:tc>
        <w:tc>
          <w:tcPr>
            <w:tcW w:w="109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eastAsia="Times New Roman"/>
                <w:color w:val="000000"/>
                <w:sz w:val="24"/>
                <w:szCs w:val="24"/>
              </w:rPr>
            </w:pPr>
          </w:p>
        </w:tc>
      </w:tr>
      <w:tr w:rsidR="0076381A" w:rsidRPr="0076381A" w:rsidTr="00DC0054">
        <w:trPr>
          <w:trHeight w:val="315"/>
        </w:trPr>
        <w:tc>
          <w:tcPr>
            <w:tcW w:w="344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sz w:val="24"/>
                <w:szCs w:val="24"/>
              </w:rPr>
            </w:pPr>
          </w:p>
        </w:tc>
        <w:tc>
          <w:tcPr>
            <w:tcW w:w="1510"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200" w:firstLine="480"/>
              <w:jc w:val="right"/>
              <w:rPr>
                <w:rFonts w:eastAsia="Times New Roman"/>
                <w:color w:val="000000"/>
                <w:sz w:val="24"/>
                <w:szCs w:val="24"/>
              </w:rPr>
            </w:pPr>
          </w:p>
        </w:tc>
        <w:tc>
          <w:tcPr>
            <w:tcW w:w="1056"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200" w:firstLine="480"/>
              <w:jc w:val="right"/>
              <w:rPr>
                <w:rFonts w:eastAsia="Times New Roman"/>
                <w:color w:val="000000"/>
                <w:sz w:val="24"/>
                <w:szCs w:val="24"/>
              </w:rPr>
            </w:pP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200" w:firstLine="480"/>
              <w:jc w:val="right"/>
              <w:rPr>
                <w:rFonts w:eastAsia="Times New Roman"/>
                <w:color w:val="000000"/>
                <w:sz w:val="24"/>
                <w:szCs w:val="24"/>
              </w:rPr>
            </w:pPr>
          </w:p>
        </w:tc>
        <w:tc>
          <w:tcPr>
            <w:tcW w:w="100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eastAsia="Times New Roman"/>
                <w:color w:val="000000"/>
                <w:sz w:val="24"/>
                <w:szCs w:val="24"/>
              </w:rPr>
            </w:pPr>
          </w:p>
        </w:tc>
        <w:tc>
          <w:tcPr>
            <w:tcW w:w="109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eastAsia="Times New Roman"/>
                <w:color w:val="000000"/>
                <w:sz w:val="24"/>
                <w:szCs w:val="24"/>
              </w:rPr>
            </w:pPr>
          </w:p>
        </w:tc>
      </w:tr>
      <w:tr w:rsidR="0076381A" w:rsidRPr="0076381A" w:rsidTr="00DC0054">
        <w:trPr>
          <w:trHeight w:val="315"/>
        </w:trPr>
        <w:tc>
          <w:tcPr>
            <w:tcW w:w="8256" w:type="dxa"/>
            <w:gridSpan w:val="5"/>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ascii="Times New Roman" w:eastAsia="Times New Roman" w:hAnsi="Times New Roman"/>
                <w:color w:val="000000"/>
                <w:sz w:val="24"/>
                <w:szCs w:val="24"/>
              </w:rPr>
            </w:pPr>
            <w:r w:rsidRPr="0076381A">
              <w:rPr>
                <w:rFonts w:ascii="Times New Roman" w:eastAsia="Times New Roman" w:hAnsi="Times New Roman"/>
                <w:color w:val="000000"/>
                <w:sz w:val="24"/>
                <w:szCs w:val="24"/>
              </w:rPr>
              <w:t>* Present Rates include 5.82% DSIC and -0.15% State Tax Assessment Surcharge.</w:t>
            </w:r>
          </w:p>
        </w:tc>
        <w:tc>
          <w:tcPr>
            <w:tcW w:w="109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ind w:firstLineChars="100" w:firstLine="240"/>
              <w:jc w:val="right"/>
              <w:rPr>
                <w:rFonts w:eastAsia="Times New Roman"/>
                <w:color w:val="000000"/>
                <w:sz w:val="24"/>
                <w:szCs w:val="24"/>
              </w:rPr>
            </w:pPr>
          </w:p>
        </w:tc>
      </w:tr>
      <w:tr w:rsidR="0076381A" w:rsidRPr="0076381A" w:rsidTr="00DC0054">
        <w:trPr>
          <w:trHeight w:val="300"/>
        </w:trPr>
        <w:tc>
          <w:tcPr>
            <w:tcW w:w="344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510"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056"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00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09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r>
      <w:tr w:rsidR="0076381A" w:rsidRPr="0076381A" w:rsidTr="00DC0054">
        <w:trPr>
          <w:trHeight w:val="315"/>
        </w:trPr>
        <w:tc>
          <w:tcPr>
            <w:tcW w:w="4953" w:type="dxa"/>
            <w:gridSpan w:val="2"/>
            <w:tcBorders>
              <w:top w:val="nil"/>
              <w:left w:val="nil"/>
              <w:bottom w:val="nil"/>
              <w:right w:val="nil"/>
            </w:tcBorders>
            <w:shd w:val="clear" w:color="auto" w:fill="auto"/>
            <w:noWrap/>
            <w:vAlign w:val="bottom"/>
            <w:hideMark/>
          </w:tcPr>
          <w:p w:rsidR="0076381A" w:rsidRPr="00F76F32" w:rsidRDefault="0076381A" w:rsidP="0076381A">
            <w:pPr>
              <w:spacing w:after="0" w:line="240" w:lineRule="auto"/>
              <w:rPr>
                <w:rFonts w:ascii="Times New Roman" w:eastAsia="Times New Roman" w:hAnsi="Times New Roman"/>
                <w:color w:val="000000"/>
                <w:sz w:val="26"/>
                <w:szCs w:val="26"/>
              </w:rPr>
            </w:pPr>
            <w:r w:rsidRPr="00F76F32">
              <w:rPr>
                <w:rFonts w:ascii="Times New Roman" w:eastAsia="Times New Roman" w:hAnsi="Times New Roman"/>
                <w:color w:val="000000"/>
                <w:sz w:val="26"/>
                <w:szCs w:val="26"/>
              </w:rPr>
              <w:t>Settlement, Appendix C, Schedule 9, at 1-11.</w:t>
            </w:r>
          </w:p>
        </w:tc>
        <w:tc>
          <w:tcPr>
            <w:tcW w:w="1056"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24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003"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c>
          <w:tcPr>
            <w:tcW w:w="1094" w:type="dxa"/>
            <w:tcBorders>
              <w:top w:val="nil"/>
              <w:left w:val="nil"/>
              <w:bottom w:val="nil"/>
              <w:right w:val="nil"/>
            </w:tcBorders>
            <w:shd w:val="clear" w:color="auto" w:fill="auto"/>
            <w:noWrap/>
            <w:vAlign w:val="bottom"/>
            <w:hideMark/>
          </w:tcPr>
          <w:p w:rsidR="0076381A" w:rsidRPr="0076381A" w:rsidRDefault="0076381A" w:rsidP="0076381A">
            <w:pPr>
              <w:spacing w:after="0" w:line="240" w:lineRule="auto"/>
              <w:rPr>
                <w:rFonts w:eastAsia="Times New Roman"/>
                <w:color w:val="000000"/>
              </w:rPr>
            </w:pPr>
          </w:p>
        </w:tc>
      </w:tr>
    </w:tbl>
    <w:p w:rsidR="0076381A" w:rsidRDefault="0076381A" w:rsidP="0076381A">
      <w:pPr>
        <w:spacing w:after="0" w:line="360" w:lineRule="auto"/>
        <w:rPr>
          <w:rFonts w:ascii="Times New Roman" w:eastAsia="Times New Roman" w:hAnsi="Times New Roman"/>
          <w:bCs/>
          <w:color w:val="333333"/>
          <w:sz w:val="26"/>
          <w:szCs w:val="26"/>
        </w:rPr>
      </w:pPr>
    </w:p>
    <w:p w:rsidR="00503DA2" w:rsidRPr="00A5340C" w:rsidRDefault="006932FA" w:rsidP="00AA1E34">
      <w:pPr>
        <w:pStyle w:val="Heading3"/>
        <w:keepNext w:val="0"/>
        <w:widowControl w:val="0"/>
        <w:numPr>
          <w:ilvl w:val="0"/>
          <w:numId w:val="0"/>
        </w:numPr>
        <w:rPr>
          <w:color w:val="000000"/>
        </w:rPr>
      </w:pPr>
      <w:r w:rsidRPr="00A5340C">
        <w:lastRenderedPageBreak/>
        <w:t>C</w:t>
      </w:r>
      <w:r w:rsidR="00AA1E34" w:rsidRPr="00A5340C">
        <w:t>.</w:t>
      </w:r>
      <w:r w:rsidR="00AA1E34" w:rsidRPr="00A5340C">
        <w:tab/>
      </w:r>
      <w:r w:rsidR="00503DA2" w:rsidRPr="00A5340C">
        <w:t>Applicable Law</w:t>
      </w:r>
    </w:p>
    <w:p w:rsidR="00503DA2" w:rsidRPr="00A5340C" w:rsidRDefault="00503DA2" w:rsidP="00AA1E34">
      <w:pPr>
        <w:widowControl w:val="0"/>
        <w:spacing w:after="0" w:line="360" w:lineRule="auto"/>
        <w:rPr>
          <w:rFonts w:ascii="Times New Roman" w:eastAsia="Times New Roman" w:hAnsi="Times New Roman"/>
          <w:color w:val="000000"/>
          <w:sz w:val="26"/>
          <w:szCs w:val="26"/>
        </w:rPr>
      </w:pPr>
    </w:p>
    <w:p w:rsidR="0000023B" w:rsidRPr="0000023B" w:rsidRDefault="00503DA2" w:rsidP="00FD075D">
      <w:pPr>
        <w:spacing w:line="360" w:lineRule="auto"/>
        <w:rPr>
          <w:rFonts w:ascii="Times New Roman" w:eastAsia="Times New Roman" w:hAnsi="Times New Roman"/>
          <w:sz w:val="26"/>
          <w:szCs w:val="26"/>
        </w:rPr>
      </w:pPr>
      <w:r w:rsidRPr="00A5340C">
        <w:rPr>
          <w:rFonts w:ascii="Times New Roman" w:eastAsia="Times New Roman" w:hAnsi="Times New Roman"/>
          <w:color w:val="000000"/>
          <w:sz w:val="26"/>
          <w:szCs w:val="26"/>
        </w:rPr>
        <w:tab/>
      </w:r>
      <w:r w:rsidRPr="00A5340C">
        <w:rPr>
          <w:rFonts w:ascii="Times New Roman" w:eastAsia="Times New Roman" w:hAnsi="Times New Roman"/>
          <w:color w:val="000000"/>
          <w:sz w:val="26"/>
          <w:szCs w:val="26"/>
        </w:rPr>
        <w:tab/>
        <w:t xml:space="preserve">The purpose of this investigation is to establish </w:t>
      </w:r>
      <w:r w:rsidRPr="00A5340C">
        <w:rPr>
          <w:rFonts w:ascii="Times New Roman" w:eastAsia="Times New Roman" w:hAnsi="Times New Roman"/>
          <w:bCs/>
          <w:color w:val="000000"/>
          <w:sz w:val="26"/>
          <w:szCs w:val="26"/>
        </w:rPr>
        <w:t>rates</w:t>
      </w:r>
      <w:r w:rsidRPr="00A5340C">
        <w:rPr>
          <w:rFonts w:ascii="Times New Roman" w:eastAsia="Times New Roman" w:hAnsi="Times New Roman"/>
          <w:color w:val="000000"/>
          <w:sz w:val="26"/>
          <w:szCs w:val="26"/>
        </w:rPr>
        <w:t xml:space="preserve"> for </w:t>
      </w:r>
      <w:r w:rsidR="0000023B">
        <w:rPr>
          <w:rFonts w:ascii="Times New Roman" w:eastAsia="Times New Roman" w:hAnsi="Times New Roman"/>
          <w:bCs/>
          <w:color w:val="000000"/>
          <w:sz w:val="26"/>
          <w:szCs w:val="26"/>
        </w:rPr>
        <w:t>PAWC</w:t>
      </w:r>
      <w:r w:rsidRPr="00A5340C">
        <w:rPr>
          <w:rFonts w:ascii="Times New Roman" w:eastAsia="Times New Roman" w:hAnsi="Times New Roman"/>
          <w:color w:val="000000"/>
          <w:sz w:val="26"/>
          <w:szCs w:val="26"/>
        </w:rPr>
        <w:t xml:space="preserve"> customers which are “just and reasonable” pursuant to Section 1301 of the </w:t>
      </w:r>
      <w:r w:rsidR="006310C1">
        <w:rPr>
          <w:rFonts w:ascii="Times New Roman" w:eastAsia="Times New Roman" w:hAnsi="Times New Roman"/>
          <w:color w:val="000000"/>
          <w:sz w:val="26"/>
          <w:szCs w:val="26"/>
        </w:rPr>
        <w:t xml:space="preserve">Public Utility </w:t>
      </w:r>
      <w:r w:rsidRPr="00A5340C">
        <w:rPr>
          <w:rFonts w:ascii="Times New Roman" w:eastAsia="Times New Roman" w:hAnsi="Times New Roman"/>
          <w:color w:val="000000"/>
          <w:sz w:val="26"/>
          <w:szCs w:val="26"/>
        </w:rPr>
        <w:t>Code</w:t>
      </w:r>
      <w:r w:rsidR="006310C1">
        <w:rPr>
          <w:rFonts w:ascii="Times New Roman" w:eastAsia="Times New Roman" w:hAnsi="Times New Roman"/>
          <w:color w:val="000000"/>
          <w:sz w:val="26"/>
          <w:szCs w:val="26"/>
        </w:rPr>
        <w:t xml:space="preserve"> (Code)</w:t>
      </w:r>
      <w:r w:rsidR="006932FA" w:rsidRPr="00A5340C">
        <w:rPr>
          <w:rFonts w:ascii="Times New Roman" w:eastAsia="Times New Roman" w:hAnsi="Times New Roman"/>
          <w:color w:val="000000"/>
          <w:sz w:val="26"/>
          <w:szCs w:val="26"/>
        </w:rPr>
        <w:t>,</w:t>
      </w:r>
      <w:r w:rsidRPr="00A5340C">
        <w:rPr>
          <w:rFonts w:ascii="Times New Roman" w:eastAsia="Times New Roman" w:hAnsi="Times New Roman"/>
          <w:color w:val="000000"/>
          <w:sz w:val="26"/>
          <w:szCs w:val="26"/>
        </w:rPr>
        <w:t xml:space="preserve"> 66 Pa.</w:t>
      </w:r>
      <w:r w:rsidR="006932FA" w:rsidRPr="00A5340C">
        <w:rPr>
          <w:rFonts w:ascii="Times New Roman" w:eastAsia="Times New Roman" w:hAnsi="Times New Roman"/>
          <w:color w:val="000000"/>
          <w:sz w:val="26"/>
          <w:szCs w:val="26"/>
        </w:rPr>
        <w:t xml:space="preserve"> </w:t>
      </w:r>
      <w:r w:rsidR="00362E50" w:rsidRPr="00A5340C">
        <w:rPr>
          <w:rFonts w:ascii="Times New Roman" w:eastAsia="Times New Roman" w:hAnsi="Times New Roman"/>
          <w:color w:val="000000"/>
          <w:sz w:val="26"/>
          <w:szCs w:val="26"/>
        </w:rPr>
        <w:t>C.S. § </w:t>
      </w:r>
      <w:r w:rsidRPr="00A5340C">
        <w:rPr>
          <w:rFonts w:ascii="Times New Roman" w:eastAsia="Times New Roman" w:hAnsi="Times New Roman"/>
          <w:color w:val="000000"/>
          <w:sz w:val="26"/>
          <w:szCs w:val="26"/>
        </w:rPr>
        <w:t xml:space="preserve">1301.  </w:t>
      </w:r>
      <w:r w:rsidR="0000023B">
        <w:rPr>
          <w:rFonts w:ascii="Times New Roman" w:eastAsia="Times New Roman" w:hAnsi="Times New Roman"/>
          <w:sz w:val="26"/>
          <w:szCs w:val="26"/>
        </w:rPr>
        <w:t>T</w:t>
      </w:r>
      <w:r w:rsidR="0000023B" w:rsidRPr="0000023B">
        <w:rPr>
          <w:rFonts w:ascii="Times New Roman" w:eastAsia="Times New Roman" w:hAnsi="Times New Roman"/>
          <w:sz w:val="26"/>
          <w:szCs w:val="26"/>
        </w:rPr>
        <w:t xml:space="preserve">his Commission possesses a great deal of flexibility in </w:t>
      </w:r>
      <w:r w:rsidR="00BD76D2">
        <w:rPr>
          <w:rFonts w:ascii="Times New Roman" w:eastAsia="Times New Roman" w:hAnsi="Times New Roman"/>
          <w:sz w:val="26"/>
          <w:szCs w:val="26"/>
        </w:rPr>
        <w:t>the</w:t>
      </w:r>
      <w:r w:rsidR="0000023B" w:rsidRPr="0000023B">
        <w:rPr>
          <w:rFonts w:ascii="Times New Roman" w:eastAsia="Times New Roman" w:hAnsi="Times New Roman"/>
          <w:sz w:val="26"/>
          <w:szCs w:val="26"/>
        </w:rPr>
        <w:t xml:space="preserve"> ratemaking function. </w:t>
      </w:r>
    </w:p>
    <w:p w:rsidR="0015450E" w:rsidRDefault="0000023B" w:rsidP="00FD075D">
      <w:pPr>
        <w:spacing w:line="240" w:lineRule="auto"/>
        <w:ind w:left="1440" w:right="1440"/>
        <w:rPr>
          <w:rFonts w:ascii="Times New Roman" w:eastAsia="Times New Roman" w:hAnsi="Times New Roman"/>
          <w:sz w:val="26"/>
          <w:szCs w:val="26"/>
        </w:rPr>
      </w:pPr>
      <w:r w:rsidRPr="0000023B">
        <w:rPr>
          <w:rFonts w:ascii="Times New Roman" w:eastAsia="Times New Roman" w:hAnsi="Times New Roman"/>
          <w:sz w:val="26"/>
          <w:szCs w:val="26"/>
        </w:rPr>
        <w:t xml:space="preserve">In determining just and reasonable rates, the </w:t>
      </w:r>
      <w:r w:rsidR="00FD075D" w:rsidRPr="00FD075D">
        <w:rPr>
          <w:rFonts w:ascii="Times New Roman" w:eastAsia="Times New Roman" w:hAnsi="Times New Roman"/>
          <w:sz w:val="26"/>
          <w:szCs w:val="26"/>
        </w:rPr>
        <w:t>[Commission]</w:t>
      </w:r>
      <w:r w:rsidRPr="0000023B">
        <w:rPr>
          <w:rFonts w:ascii="Times New Roman" w:eastAsia="Times New Roman" w:hAnsi="Times New Roman"/>
          <w:sz w:val="26"/>
          <w:szCs w:val="26"/>
        </w:rPr>
        <w:t xml:space="preserve"> has discretion to determine the proper balance between interests of ratepayers and utilities. </w:t>
      </w:r>
      <w:r w:rsidR="0064716B">
        <w:rPr>
          <w:rFonts w:ascii="Times New Roman" w:eastAsia="Times New Roman" w:hAnsi="Times New Roman"/>
          <w:sz w:val="26"/>
          <w:szCs w:val="26"/>
        </w:rPr>
        <w:t xml:space="preserve"> </w:t>
      </w:r>
      <w:hyperlink r:id="rId11" w:history="1">
        <w:r w:rsidRPr="0064716B">
          <w:rPr>
            <w:rFonts w:ascii="Times New Roman" w:eastAsia="Times New Roman" w:hAnsi="Times New Roman"/>
            <w:i/>
            <w:sz w:val="26"/>
            <w:szCs w:val="26"/>
          </w:rPr>
          <w:t>Pennsylvania Public Utility Commission v. Philadelphia Electric Co.</w:t>
        </w:r>
        <w:r w:rsidRPr="0000023B">
          <w:rPr>
            <w:rFonts w:ascii="Times New Roman" w:eastAsia="Times New Roman" w:hAnsi="Times New Roman"/>
            <w:sz w:val="26"/>
            <w:szCs w:val="26"/>
          </w:rPr>
          <w:t>, 522 Pa. 338, 342-43, 561 A.2d 1224</w:t>
        </w:r>
        <w:r w:rsidR="00715CDD">
          <w:rPr>
            <w:rFonts w:ascii="Times New Roman" w:eastAsia="Times New Roman" w:hAnsi="Times New Roman"/>
            <w:sz w:val="26"/>
            <w:szCs w:val="26"/>
          </w:rPr>
          <w:t>, 1226</w:t>
        </w:r>
        <w:r w:rsidRPr="0000023B">
          <w:rPr>
            <w:rFonts w:ascii="Times New Roman" w:eastAsia="Times New Roman" w:hAnsi="Times New Roman"/>
            <w:sz w:val="26"/>
            <w:szCs w:val="26"/>
          </w:rPr>
          <w:t xml:space="preserve"> (1989)</w:t>
        </w:r>
      </w:hyperlink>
      <w:r w:rsidRPr="0000023B">
        <w:rPr>
          <w:rFonts w:ascii="Times New Roman" w:eastAsia="Times New Roman" w:hAnsi="Times New Roman"/>
          <w:sz w:val="26"/>
          <w:szCs w:val="26"/>
        </w:rPr>
        <w:t xml:space="preserve">. </w:t>
      </w:r>
      <w:r w:rsidR="0064716B">
        <w:rPr>
          <w:rFonts w:ascii="Times New Roman" w:eastAsia="Times New Roman" w:hAnsi="Times New Roman"/>
          <w:sz w:val="26"/>
          <w:szCs w:val="26"/>
        </w:rPr>
        <w:t xml:space="preserve"> </w:t>
      </w:r>
      <w:r w:rsidRPr="0000023B">
        <w:rPr>
          <w:rFonts w:ascii="Times New Roman" w:eastAsia="Times New Roman" w:hAnsi="Times New Roman"/>
          <w:sz w:val="26"/>
          <w:szCs w:val="26"/>
        </w:rPr>
        <w:t xml:space="preserve">As this Court stated in </w:t>
      </w:r>
      <w:hyperlink r:id="rId12" w:anchor="co_pp_sp_162_1219" w:history="1">
        <w:r w:rsidRPr="0000023B">
          <w:rPr>
            <w:rFonts w:ascii="Times New Roman" w:eastAsia="Times New Roman" w:hAnsi="Times New Roman"/>
            <w:bCs/>
            <w:i/>
            <w:sz w:val="26"/>
            <w:szCs w:val="26"/>
          </w:rPr>
          <w:t>Pennsylvania Public Utility Commission v. Pennsylvania Gas and Water Co.</w:t>
        </w:r>
        <w:r w:rsidRPr="0000023B">
          <w:rPr>
            <w:rFonts w:ascii="Times New Roman" w:eastAsia="Times New Roman" w:hAnsi="Times New Roman"/>
            <w:bCs/>
            <w:sz w:val="26"/>
            <w:szCs w:val="26"/>
          </w:rPr>
          <w:t>, 492 Pa. 326, 337, 424 A.2d 1213, 1219 (1980)</w:t>
        </w:r>
      </w:hyperlink>
      <w:r w:rsidRPr="0000023B">
        <w:rPr>
          <w:rFonts w:ascii="Times New Roman" w:eastAsia="Times New Roman" w:hAnsi="Times New Roman"/>
          <w:sz w:val="26"/>
          <w:szCs w:val="26"/>
        </w:rPr>
        <w:t xml:space="preserve">, cert. denied, </w:t>
      </w:r>
      <w:hyperlink r:id="rId13" w:history="1">
        <w:r w:rsidRPr="0000023B">
          <w:rPr>
            <w:rFonts w:ascii="Times New Roman" w:eastAsia="Times New Roman" w:hAnsi="Times New Roman"/>
            <w:sz w:val="26"/>
            <w:szCs w:val="26"/>
          </w:rPr>
          <w:t xml:space="preserve">454 U.S. 824, 102 </w:t>
        </w:r>
        <w:proofErr w:type="spellStart"/>
        <w:r w:rsidRPr="0000023B">
          <w:rPr>
            <w:rFonts w:ascii="Times New Roman" w:eastAsia="Times New Roman" w:hAnsi="Times New Roman"/>
            <w:sz w:val="26"/>
            <w:szCs w:val="26"/>
          </w:rPr>
          <w:t>S.Ct</w:t>
        </w:r>
        <w:proofErr w:type="spellEnd"/>
        <w:r w:rsidRPr="0000023B">
          <w:rPr>
            <w:rFonts w:ascii="Times New Roman" w:eastAsia="Times New Roman" w:hAnsi="Times New Roman"/>
            <w:sz w:val="26"/>
            <w:szCs w:val="26"/>
          </w:rPr>
          <w:t>. 112, 70 L.Ed.2d 97 (1981)</w:t>
        </w:r>
      </w:hyperlink>
      <w:r w:rsidR="0015450E">
        <w:rPr>
          <w:rFonts w:ascii="Times New Roman" w:eastAsia="Times New Roman" w:hAnsi="Times New Roman"/>
          <w:sz w:val="26"/>
          <w:szCs w:val="26"/>
        </w:rPr>
        <w:t>,</w:t>
      </w:r>
      <w:r w:rsidR="0064716B">
        <w:rPr>
          <w:rFonts w:ascii="Times New Roman" w:eastAsia="Times New Roman" w:hAnsi="Times New Roman"/>
          <w:sz w:val="26"/>
          <w:szCs w:val="26"/>
        </w:rPr>
        <w:t xml:space="preserve"> </w:t>
      </w:r>
    </w:p>
    <w:p w:rsidR="00FD075D" w:rsidRPr="00FD075D" w:rsidRDefault="0015450E" w:rsidP="00143BA7">
      <w:pPr>
        <w:spacing w:line="240" w:lineRule="auto"/>
        <w:ind w:left="2160" w:right="1440"/>
        <w:rPr>
          <w:rFonts w:ascii="Times New Roman" w:eastAsia="Times New Roman" w:hAnsi="Times New Roman"/>
          <w:color w:val="252525"/>
          <w:sz w:val="26"/>
          <w:szCs w:val="26"/>
        </w:rPr>
      </w:pPr>
      <w:r>
        <w:rPr>
          <w:rFonts w:ascii="Times New Roman" w:eastAsia="Times New Roman" w:hAnsi="Times New Roman"/>
          <w:sz w:val="26"/>
          <w:szCs w:val="26"/>
        </w:rPr>
        <w:t>T</w:t>
      </w:r>
      <w:r w:rsidR="00FD075D" w:rsidRPr="00FD075D">
        <w:rPr>
          <w:rFonts w:ascii="Times New Roman" w:eastAsia="Times New Roman" w:hAnsi="Times New Roman"/>
          <w:sz w:val="26"/>
          <w:szCs w:val="26"/>
        </w:rPr>
        <w:t>here is ample authority for the proposition that the power to fix “just and reasonable” rates imports a flexibility in the exercise of a complicated regulatory function by a specialized decision-making body and that the term “just and reasonable” was not intended to confine the ambit of regulatory discretion to an absolute or mathematical formulation but rather to confer upon the regulatory body the power to make and apply policy concerning the appropriate balance between prices charged to utility customers and returns on capital to utility investors consonant with constitutional protections applicable to both.</w:t>
      </w:r>
      <w:r w:rsidR="00E05556" w:rsidRPr="00FD075D">
        <w:rPr>
          <w:rFonts w:ascii="Times New Roman" w:eastAsia="Times New Roman" w:hAnsi="Times New Roman"/>
          <w:color w:val="252525"/>
          <w:sz w:val="26"/>
          <w:szCs w:val="26"/>
        </w:rPr>
        <w:t xml:space="preserve"> </w:t>
      </w:r>
    </w:p>
    <w:p w:rsidR="00FD075D" w:rsidRPr="0000023B" w:rsidRDefault="00FD075D" w:rsidP="00FD075D">
      <w:pPr>
        <w:spacing w:after="100" w:line="240" w:lineRule="auto"/>
        <w:ind w:left="1440" w:right="1440"/>
        <w:rPr>
          <w:rFonts w:ascii="Times New Roman" w:eastAsia="Times New Roman" w:hAnsi="Times New Roman"/>
          <w:sz w:val="26"/>
          <w:szCs w:val="26"/>
        </w:rPr>
      </w:pPr>
    </w:p>
    <w:p w:rsidR="00503DA2" w:rsidRDefault="00C77779" w:rsidP="00503DA2">
      <w:pPr>
        <w:spacing w:after="0" w:line="360" w:lineRule="auto"/>
        <w:rPr>
          <w:rFonts w:ascii="Times New Roman" w:eastAsia="Times New Roman" w:hAnsi="Times New Roman"/>
          <w:sz w:val="26"/>
          <w:szCs w:val="26"/>
        </w:rPr>
      </w:pPr>
      <w:hyperlink r:id="rId14" w:history="1">
        <w:proofErr w:type="spellStart"/>
        <w:r w:rsidR="00FD075D" w:rsidRPr="00FD075D">
          <w:rPr>
            <w:rFonts w:ascii="Times New Roman" w:eastAsia="Times New Roman" w:hAnsi="Times New Roman"/>
            <w:i/>
            <w:sz w:val="26"/>
            <w:szCs w:val="26"/>
          </w:rPr>
          <w:t>Popowsky</w:t>
        </w:r>
        <w:proofErr w:type="spellEnd"/>
        <w:r w:rsidR="00FD075D" w:rsidRPr="00FD075D">
          <w:rPr>
            <w:rFonts w:ascii="Times New Roman" w:eastAsia="Times New Roman" w:hAnsi="Times New Roman"/>
            <w:i/>
            <w:sz w:val="26"/>
            <w:szCs w:val="26"/>
          </w:rPr>
          <w:t xml:space="preserve"> v. Pa.</w:t>
        </w:r>
        <w:r w:rsidR="00FD075D">
          <w:rPr>
            <w:rFonts w:ascii="Times New Roman" w:eastAsia="Times New Roman" w:hAnsi="Times New Roman"/>
            <w:i/>
            <w:sz w:val="26"/>
            <w:szCs w:val="26"/>
          </w:rPr>
          <w:t xml:space="preserve"> </w:t>
        </w:r>
        <w:r w:rsidR="00FD075D" w:rsidRPr="00FD075D">
          <w:rPr>
            <w:rFonts w:ascii="Times New Roman" w:eastAsia="Times New Roman" w:hAnsi="Times New Roman"/>
            <w:i/>
            <w:sz w:val="26"/>
            <w:szCs w:val="26"/>
          </w:rPr>
          <w:t>PUC</w:t>
        </w:r>
        <w:r w:rsidR="00FD075D" w:rsidRPr="0000023B">
          <w:rPr>
            <w:rFonts w:ascii="Times New Roman" w:eastAsia="Times New Roman" w:hAnsi="Times New Roman"/>
            <w:sz w:val="26"/>
            <w:szCs w:val="26"/>
          </w:rPr>
          <w:t xml:space="preserve">, 542 Pa. 99, </w:t>
        </w:r>
        <w:r w:rsidR="00FD075D">
          <w:rPr>
            <w:rFonts w:ascii="Times New Roman" w:eastAsia="Times New Roman" w:hAnsi="Times New Roman"/>
            <w:sz w:val="26"/>
            <w:szCs w:val="26"/>
          </w:rPr>
          <w:t xml:space="preserve">108, </w:t>
        </w:r>
        <w:r w:rsidR="00FD075D" w:rsidRPr="0000023B">
          <w:rPr>
            <w:rFonts w:ascii="Times New Roman" w:eastAsia="Times New Roman" w:hAnsi="Times New Roman"/>
            <w:sz w:val="26"/>
            <w:szCs w:val="26"/>
          </w:rPr>
          <w:t>665 A.2d 808</w:t>
        </w:r>
        <w:r w:rsidR="00FD075D">
          <w:rPr>
            <w:rFonts w:ascii="Times New Roman" w:eastAsia="Times New Roman" w:hAnsi="Times New Roman"/>
            <w:sz w:val="26"/>
            <w:szCs w:val="26"/>
          </w:rPr>
          <w:t>, 812</w:t>
        </w:r>
        <w:r w:rsidR="00FD075D" w:rsidRPr="0000023B">
          <w:rPr>
            <w:rFonts w:ascii="Times New Roman" w:eastAsia="Times New Roman" w:hAnsi="Times New Roman"/>
            <w:sz w:val="26"/>
            <w:szCs w:val="26"/>
          </w:rPr>
          <w:t xml:space="preserve"> (1995)</w:t>
        </w:r>
      </w:hyperlink>
      <w:r w:rsidR="00FD075D">
        <w:rPr>
          <w:rFonts w:ascii="Times New Roman" w:eastAsia="Times New Roman" w:hAnsi="Times New Roman"/>
          <w:sz w:val="26"/>
          <w:szCs w:val="26"/>
        </w:rPr>
        <w:t>.</w:t>
      </w:r>
    </w:p>
    <w:p w:rsidR="00FD075D" w:rsidRPr="00A5340C" w:rsidRDefault="00FD075D" w:rsidP="00503DA2">
      <w:pPr>
        <w:spacing w:after="0" w:line="360" w:lineRule="auto"/>
        <w:rPr>
          <w:rFonts w:ascii="Times New Roman" w:eastAsia="Times New Roman" w:hAnsi="Times New Roman"/>
          <w:color w:val="000000"/>
          <w:sz w:val="26"/>
          <w:szCs w:val="26"/>
        </w:rPr>
      </w:pPr>
    </w:p>
    <w:p w:rsidR="00503DA2" w:rsidRPr="00A5340C" w:rsidRDefault="00503DA2" w:rsidP="00503DA2">
      <w:pPr>
        <w:spacing w:after="0" w:line="360" w:lineRule="auto"/>
        <w:rPr>
          <w:rFonts w:ascii="Times New Roman" w:eastAsia="Times New Roman" w:hAnsi="Times New Roman"/>
          <w:color w:val="000000"/>
          <w:sz w:val="26"/>
          <w:szCs w:val="26"/>
        </w:rPr>
      </w:pPr>
      <w:r w:rsidRPr="00A5340C">
        <w:rPr>
          <w:rFonts w:ascii="Times New Roman" w:eastAsia="Times New Roman" w:hAnsi="Times New Roman"/>
          <w:color w:val="000000"/>
          <w:sz w:val="26"/>
          <w:szCs w:val="26"/>
        </w:rPr>
        <w:tab/>
      </w:r>
      <w:r w:rsidRPr="00A5340C">
        <w:rPr>
          <w:rFonts w:ascii="Times New Roman" w:eastAsia="Times New Roman" w:hAnsi="Times New Roman"/>
          <w:color w:val="000000"/>
          <w:sz w:val="26"/>
          <w:szCs w:val="26"/>
        </w:rPr>
        <w:tab/>
        <w:t xml:space="preserve">Commission policy promotes settlements, 52 Pa. Code §§ 5.231 and 69.401. </w:t>
      </w:r>
      <w:r w:rsidR="00673CBF">
        <w:rPr>
          <w:rFonts w:ascii="Times New Roman" w:eastAsia="Times New Roman" w:hAnsi="Times New Roman"/>
          <w:color w:val="000000"/>
          <w:sz w:val="26"/>
          <w:szCs w:val="26"/>
        </w:rPr>
        <w:t xml:space="preserve"> </w:t>
      </w:r>
      <w:r w:rsidRPr="00A5340C">
        <w:rPr>
          <w:rFonts w:ascii="Times New Roman" w:eastAsia="Times New Roman" w:hAnsi="Times New Roman"/>
          <w:color w:val="000000"/>
          <w:sz w:val="26"/>
          <w:szCs w:val="26"/>
        </w:rPr>
        <w:t xml:space="preserve">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  52 Pa. Code § 69.401.  </w:t>
      </w:r>
      <w:r w:rsidRPr="00A5340C">
        <w:rPr>
          <w:rFonts w:ascii="Times New Roman" w:eastAsia="Times New Roman" w:hAnsi="Times New Roman"/>
          <w:bCs/>
          <w:color w:val="000000"/>
          <w:sz w:val="26"/>
          <w:szCs w:val="26"/>
        </w:rPr>
        <w:t>Rate</w:t>
      </w:r>
      <w:r w:rsidRPr="00A5340C">
        <w:rPr>
          <w:rFonts w:ascii="Times New Roman" w:eastAsia="Times New Roman" w:hAnsi="Times New Roman"/>
          <w:color w:val="000000"/>
          <w:sz w:val="26"/>
          <w:szCs w:val="26"/>
        </w:rPr>
        <w:t xml:space="preserve"> cases are expensive to litigate </w:t>
      </w:r>
      <w:r w:rsidRPr="00A5340C">
        <w:rPr>
          <w:rFonts w:ascii="Times New Roman" w:eastAsia="Times New Roman" w:hAnsi="Times New Roman"/>
          <w:color w:val="000000"/>
          <w:sz w:val="26"/>
          <w:szCs w:val="26"/>
        </w:rPr>
        <w:lastRenderedPageBreak/>
        <w:t xml:space="preserve">and the cost of such litigation at a reasonable level is an operating expense recovered in the </w:t>
      </w:r>
      <w:r w:rsidRPr="00A5340C">
        <w:rPr>
          <w:rFonts w:ascii="Times New Roman" w:eastAsia="Times New Roman" w:hAnsi="Times New Roman"/>
          <w:bCs/>
          <w:color w:val="000000"/>
          <w:sz w:val="26"/>
          <w:szCs w:val="26"/>
        </w:rPr>
        <w:t>rates</w:t>
      </w:r>
      <w:r w:rsidR="002C0FD8">
        <w:rPr>
          <w:rFonts w:ascii="Times New Roman" w:eastAsia="Times New Roman" w:hAnsi="Times New Roman"/>
          <w:color w:val="000000"/>
          <w:sz w:val="26"/>
          <w:szCs w:val="26"/>
        </w:rPr>
        <w:t xml:space="preserve"> approved by the Commission.  </w:t>
      </w:r>
      <w:r w:rsidRPr="00A5340C">
        <w:rPr>
          <w:rFonts w:ascii="Times New Roman" w:eastAsia="Times New Roman" w:hAnsi="Times New Roman"/>
          <w:color w:val="000000"/>
          <w:sz w:val="26"/>
          <w:szCs w:val="26"/>
        </w:rPr>
        <w:t>This means that a settlement, which allows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savings for the company's customers.  That is one reason why settlements are encouraged by long-standing Commission policy.</w:t>
      </w:r>
    </w:p>
    <w:p w:rsidR="00503DA2" w:rsidRPr="00A5340C" w:rsidRDefault="00503DA2" w:rsidP="00503DA2">
      <w:pPr>
        <w:spacing w:after="0" w:line="360" w:lineRule="auto"/>
        <w:rPr>
          <w:rFonts w:ascii="Times New Roman" w:eastAsia="Times New Roman" w:hAnsi="Times New Roman"/>
          <w:color w:val="000000"/>
          <w:sz w:val="26"/>
          <w:szCs w:val="26"/>
        </w:rPr>
      </w:pPr>
    </w:p>
    <w:p w:rsidR="00503DA2" w:rsidRPr="00E05556" w:rsidRDefault="00503DA2" w:rsidP="00503DA2">
      <w:pPr>
        <w:spacing w:after="0" w:line="360" w:lineRule="auto"/>
        <w:rPr>
          <w:rFonts w:ascii="Times New Roman" w:eastAsia="Times New Roman" w:hAnsi="Times New Roman"/>
          <w:sz w:val="26"/>
          <w:szCs w:val="26"/>
        </w:rPr>
      </w:pPr>
      <w:r w:rsidRPr="00A5340C">
        <w:rPr>
          <w:rFonts w:ascii="Times New Roman" w:eastAsia="Times New Roman" w:hAnsi="Times New Roman"/>
          <w:color w:val="000000"/>
          <w:sz w:val="26"/>
          <w:szCs w:val="26"/>
        </w:rPr>
        <w:tab/>
      </w:r>
      <w:r w:rsidRPr="00A5340C">
        <w:rPr>
          <w:rFonts w:ascii="Times New Roman" w:eastAsia="Times New Roman" w:hAnsi="Times New Roman"/>
          <w:color w:val="000000"/>
          <w:sz w:val="26"/>
          <w:szCs w:val="26"/>
        </w:rPr>
        <w:tab/>
        <w:t>In order to accept a settlement, the Com</w:t>
      </w:r>
      <w:r w:rsidRPr="00A5340C">
        <w:rPr>
          <w:rFonts w:ascii="Times New Roman" w:eastAsia="Times New Roman" w:hAnsi="Times New Roman"/>
          <w:sz w:val="26"/>
          <w:szCs w:val="26"/>
        </w:rPr>
        <w:t xml:space="preserve">mission must determine that the proposed terms and conditions are in the public interest.  </w:t>
      </w:r>
      <w:r w:rsidRPr="00A5340C">
        <w:rPr>
          <w:rFonts w:ascii="Times New Roman" w:eastAsia="Times New Roman" w:hAnsi="Times New Roman"/>
          <w:i/>
          <w:iCs/>
          <w:sz w:val="26"/>
          <w:szCs w:val="26"/>
        </w:rPr>
        <w:t xml:space="preserve">Pa. </w:t>
      </w:r>
      <w:r w:rsidR="004E4A0A">
        <w:rPr>
          <w:rFonts w:ascii="Times New Roman" w:eastAsia="Times New Roman" w:hAnsi="Times New Roman"/>
          <w:i/>
          <w:iCs/>
          <w:sz w:val="26"/>
          <w:szCs w:val="26"/>
        </w:rPr>
        <w:t>PUC</w:t>
      </w:r>
      <w:r w:rsidRPr="00A5340C">
        <w:rPr>
          <w:rFonts w:ascii="Times New Roman" w:eastAsia="Times New Roman" w:hAnsi="Times New Roman"/>
          <w:i/>
          <w:iCs/>
          <w:sz w:val="26"/>
          <w:szCs w:val="26"/>
        </w:rPr>
        <w:t xml:space="preserve"> v. </w:t>
      </w:r>
      <w:r w:rsidR="004E4A0A">
        <w:rPr>
          <w:rFonts w:ascii="Times New Roman" w:eastAsia="Times New Roman" w:hAnsi="Times New Roman"/>
          <w:i/>
          <w:iCs/>
          <w:sz w:val="26"/>
          <w:szCs w:val="26"/>
        </w:rPr>
        <w:t>Philadelphia Gas Works</w:t>
      </w:r>
      <w:r w:rsidRPr="00A5340C">
        <w:rPr>
          <w:rFonts w:ascii="Times New Roman" w:eastAsia="Times New Roman" w:hAnsi="Times New Roman"/>
          <w:sz w:val="26"/>
          <w:szCs w:val="26"/>
        </w:rPr>
        <w:t xml:space="preserve">, </w:t>
      </w:r>
      <w:r w:rsidRPr="00E05556">
        <w:rPr>
          <w:rFonts w:ascii="Times New Roman" w:eastAsia="Times New Roman" w:hAnsi="Times New Roman"/>
          <w:sz w:val="26"/>
          <w:szCs w:val="26"/>
        </w:rPr>
        <w:t xml:space="preserve">Docket No. </w:t>
      </w:r>
      <w:r w:rsidR="004E4A0A" w:rsidRPr="00E05556">
        <w:rPr>
          <w:rFonts w:ascii="Times New Roman" w:eastAsia="Times New Roman" w:hAnsi="Times New Roman"/>
          <w:sz w:val="26"/>
          <w:szCs w:val="26"/>
        </w:rPr>
        <w:t>M-00031768</w:t>
      </w:r>
      <w:r w:rsidRPr="00E05556">
        <w:rPr>
          <w:rFonts w:ascii="Times New Roman" w:eastAsia="Times New Roman" w:hAnsi="Times New Roman"/>
          <w:sz w:val="26"/>
          <w:szCs w:val="26"/>
        </w:rPr>
        <w:t xml:space="preserve"> (Order entered </w:t>
      </w:r>
      <w:r w:rsidR="004E4A0A" w:rsidRPr="00E05556">
        <w:rPr>
          <w:rFonts w:ascii="Times New Roman" w:eastAsia="Times New Roman" w:hAnsi="Times New Roman"/>
          <w:sz w:val="26"/>
          <w:szCs w:val="26"/>
        </w:rPr>
        <w:t>January 7</w:t>
      </w:r>
      <w:r w:rsidRPr="00E05556">
        <w:rPr>
          <w:rFonts w:ascii="Times New Roman" w:eastAsia="Times New Roman" w:hAnsi="Times New Roman"/>
          <w:sz w:val="26"/>
          <w:szCs w:val="26"/>
        </w:rPr>
        <w:t>, 2004</w:t>
      </w:r>
      <w:r w:rsidR="00715CDD" w:rsidRPr="00E05556">
        <w:rPr>
          <w:rFonts w:ascii="Times New Roman" w:eastAsia="Times New Roman" w:hAnsi="Times New Roman"/>
          <w:sz w:val="26"/>
          <w:szCs w:val="26"/>
        </w:rPr>
        <w:t>)</w:t>
      </w:r>
      <w:r w:rsidRPr="00E05556">
        <w:rPr>
          <w:rFonts w:ascii="Times New Roman" w:eastAsia="Times New Roman" w:hAnsi="Times New Roman"/>
          <w:sz w:val="26"/>
          <w:szCs w:val="26"/>
        </w:rPr>
        <w:t>.</w:t>
      </w:r>
      <w:r w:rsidRPr="00E05556">
        <w:rPr>
          <w:rFonts w:ascii="Times New Roman" w:eastAsia="Times New Roman" w:hAnsi="Times New Roman"/>
          <w:sz w:val="26"/>
          <w:szCs w:val="26"/>
        </w:rPr>
        <w:br/>
      </w:r>
    </w:p>
    <w:p w:rsidR="00503DA2" w:rsidRPr="00E05556" w:rsidRDefault="00503DA2" w:rsidP="00503DA2">
      <w:pPr>
        <w:keepNext/>
        <w:spacing w:after="0" w:line="360" w:lineRule="auto"/>
        <w:ind w:left="720" w:firstLine="720"/>
        <w:rPr>
          <w:rFonts w:ascii="Times New Roman" w:eastAsia="Times New Roman" w:hAnsi="Times New Roman"/>
          <w:sz w:val="26"/>
          <w:szCs w:val="26"/>
        </w:rPr>
      </w:pPr>
      <w:r w:rsidRPr="00E05556">
        <w:rPr>
          <w:rFonts w:ascii="Times New Roman" w:eastAsia="Times New Roman" w:hAnsi="Times New Roman"/>
          <w:sz w:val="26"/>
          <w:szCs w:val="26"/>
        </w:rPr>
        <w:t xml:space="preserve">Section 315(a) of the Code reads as follows: </w:t>
      </w:r>
    </w:p>
    <w:p w:rsidR="00893354" w:rsidRPr="00E05556" w:rsidRDefault="00893354" w:rsidP="00503DA2">
      <w:pPr>
        <w:keepNext/>
        <w:spacing w:after="0" w:line="360" w:lineRule="auto"/>
        <w:ind w:left="720" w:firstLine="720"/>
        <w:rPr>
          <w:rFonts w:ascii="Times New Roman" w:eastAsia="Times New Roman" w:hAnsi="Times New Roman"/>
          <w:sz w:val="26"/>
          <w:szCs w:val="26"/>
        </w:rPr>
      </w:pPr>
    </w:p>
    <w:p w:rsidR="00503DA2" w:rsidRPr="00E05556" w:rsidRDefault="00503DA2" w:rsidP="00503DA2">
      <w:pPr>
        <w:spacing w:after="0" w:line="360" w:lineRule="auto"/>
        <w:ind w:left="1440" w:right="1440"/>
        <w:rPr>
          <w:rFonts w:ascii="Times New Roman" w:eastAsia="Times New Roman" w:hAnsi="Times New Roman"/>
          <w:bCs/>
          <w:sz w:val="26"/>
          <w:szCs w:val="26"/>
        </w:rPr>
      </w:pPr>
      <w:r w:rsidRPr="00E05556">
        <w:rPr>
          <w:rFonts w:ascii="Times New Roman" w:eastAsia="Times New Roman" w:hAnsi="Times New Roman"/>
          <w:bCs/>
          <w:sz w:val="26"/>
          <w:szCs w:val="26"/>
        </w:rPr>
        <w:t>§ 315. Burden of proof</w:t>
      </w:r>
    </w:p>
    <w:p w:rsidR="00503DA2" w:rsidRPr="00E05556" w:rsidRDefault="00503DA2" w:rsidP="00503DA2">
      <w:pPr>
        <w:spacing w:after="0" w:line="240" w:lineRule="auto"/>
        <w:ind w:left="1440" w:right="1440"/>
        <w:rPr>
          <w:rFonts w:ascii="Times New Roman" w:eastAsia="Times New Roman" w:hAnsi="Times New Roman"/>
          <w:sz w:val="26"/>
          <w:szCs w:val="26"/>
        </w:rPr>
      </w:pPr>
      <w:r w:rsidRPr="00E05556">
        <w:rPr>
          <w:rFonts w:ascii="Times New Roman" w:eastAsia="Times New Roman" w:hAnsi="Times New Roman"/>
          <w:sz w:val="26"/>
          <w:szCs w:val="26"/>
        </w:rPr>
        <w:br/>
      </w:r>
      <w:r w:rsidRPr="00E05556">
        <w:rPr>
          <w:rFonts w:ascii="Times New Roman" w:eastAsia="Times New Roman" w:hAnsi="Times New Roman"/>
          <w:bCs/>
          <w:sz w:val="26"/>
          <w:szCs w:val="26"/>
        </w:rPr>
        <w:t>(a) Reasonableness of rates.</w:t>
      </w:r>
      <w:r w:rsidRPr="00E05556">
        <w:rPr>
          <w:rFonts w:ascii="Times New Roman" w:eastAsia="Times New Roman" w:hAnsi="Times New Roman"/>
          <w:sz w:val="26"/>
          <w:szCs w:val="26"/>
        </w:rPr>
        <w:t xml:space="preserve">--In any proceeding upon the motion of the commission, involving any proposed or existing </w:t>
      </w:r>
      <w:r w:rsidRPr="00E05556">
        <w:rPr>
          <w:rFonts w:ascii="Times New Roman" w:eastAsia="Times New Roman" w:hAnsi="Times New Roman"/>
          <w:bCs/>
          <w:sz w:val="26"/>
          <w:szCs w:val="26"/>
        </w:rPr>
        <w:t>rate</w:t>
      </w:r>
      <w:r w:rsidRPr="00E05556">
        <w:rPr>
          <w:rFonts w:ascii="Times New Roman" w:eastAsia="Times New Roman" w:hAnsi="Times New Roman"/>
          <w:sz w:val="26"/>
          <w:szCs w:val="26"/>
        </w:rPr>
        <w:t xml:space="preserve"> of any public utility, or in any proceedings upon complaint involving any proposed increase in </w:t>
      </w:r>
      <w:r w:rsidRPr="00E05556">
        <w:rPr>
          <w:rFonts w:ascii="Times New Roman" w:eastAsia="Times New Roman" w:hAnsi="Times New Roman"/>
          <w:bCs/>
          <w:sz w:val="26"/>
          <w:szCs w:val="26"/>
        </w:rPr>
        <w:t>rates,</w:t>
      </w:r>
      <w:r w:rsidRPr="00E05556">
        <w:rPr>
          <w:rFonts w:ascii="Times New Roman" w:eastAsia="Times New Roman" w:hAnsi="Times New Roman"/>
          <w:sz w:val="26"/>
          <w:szCs w:val="26"/>
        </w:rPr>
        <w:t xml:space="preserve"> the burden of proof to show that the </w:t>
      </w:r>
      <w:r w:rsidRPr="00E05556">
        <w:rPr>
          <w:rFonts w:ascii="Times New Roman" w:eastAsia="Times New Roman" w:hAnsi="Times New Roman"/>
          <w:bCs/>
          <w:sz w:val="26"/>
          <w:szCs w:val="26"/>
        </w:rPr>
        <w:t>rate</w:t>
      </w:r>
      <w:r w:rsidRPr="00E05556">
        <w:rPr>
          <w:rFonts w:ascii="Times New Roman" w:eastAsia="Times New Roman" w:hAnsi="Times New Roman"/>
          <w:sz w:val="26"/>
          <w:szCs w:val="26"/>
        </w:rPr>
        <w:t xml:space="preserve"> involved is just and reasonable shall be upon the public  utility. The commission shall give to the hearing and decision of any such proceeding preference over all other proceedings, and decide the same as speedily as possible.</w:t>
      </w:r>
    </w:p>
    <w:p w:rsidR="00503DA2" w:rsidRPr="00E05556" w:rsidRDefault="00503DA2" w:rsidP="00E05556">
      <w:pPr>
        <w:spacing w:after="0" w:line="360" w:lineRule="auto"/>
        <w:ind w:left="1440" w:right="1440"/>
        <w:rPr>
          <w:rFonts w:ascii="Times New Roman" w:eastAsia="Times New Roman" w:hAnsi="Times New Roman"/>
          <w:sz w:val="26"/>
          <w:szCs w:val="26"/>
        </w:rPr>
      </w:pPr>
    </w:p>
    <w:p w:rsidR="005701E2" w:rsidRPr="00E05556" w:rsidRDefault="00503DA2" w:rsidP="00503DA2">
      <w:pPr>
        <w:pStyle w:val="OutlineL3"/>
        <w:numPr>
          <w:ilvl w:val="0"/>
          <w:numId w:val="0"/>
        </w:numPr>
        <w:tabs>
          <w:tab w:val="clear" w:pos="2160"/>
        </w:tabs>
        <w:spacing w:after="0" w:line="360" w:lineRule="auto"/>
        <w:outlineLvl w:val="9"/>
        <w:rPr>
          <w:sz w:val="26"/>
          <w:szCs w:val="26"/>
        </w:rPr>
      </w:pPr>
      <w:r w:rsidRPr="00E05556">
        <w:rPr>
          <w:sz w:val="26"/>
          <w:szCs w:val="26"/>
        </w:rPr>
        <w:t>66 Pa.</w:t>
      </w:r>
      <w:r w:rsidR="00797026" w:rsidRPr="00E05556">
        <w:rPr>
          <w:sz w:val="26"/>
          <w:szCs w:val="26"/>
        </w:rPr>
        <w:t xml:space="preserve"> </w:t>
      </w:r>
      <w:r w:rsidRPr="00E05556">
        <w:rPr>
          <w:sz w:val="26"/>
          <w:szCs w:val="26"/>
        </w:rPr>
        <w:t xml:space="preserve">C.S. § 315(a).  Consequently in this proceeding, </w:t>
      </w:r>
      <w:r w:rsidR="002C0FD8" w:rsidRPr="00E05556">
        <w:rPr>
          <w:bCs/>
          <w:sz w:val="26"/>
          <w:szCs w:val="26"/>
        </w:rPr>
        <w:t>PAWC</w:t>
      </w:r>
      <w:r w:rsidRPr="00E05556">
        <w:rPr>
          <w:sz w:val="26"/>
          <w:szCs w:val="26"/>
        </w:rPr>
        <w:t xml:space="preserve"> has the burden to prove that the </w:t>
      </w:r>
      <w:r w:rsidRPr="00E05556">
        <w:rPr>
          <w:bCs/>
          <w:sz w:val="26"/>
          <w:szCs w:val="26"/>
        </w:rPr>
        <w:t>rate</w:t>
      </w:r>
      <w:r w:rsidRPr="00E05556">
        <w:rPr>
          <w:sz w:val="26"/>
          <w:szCs w:val="26"/>
        </w:rPr>
        <w:t xml:space="preserve"> increase it has proposed through the Settlement is just and reasonable.  The </w:t>
      </w:r>
      <w:r w:rsidR="006C03BE" w:rsidRPr="00E05556">
        <w:rPr>
          <w:sz w:val="26"/>
          <w:szCs w:val="26"/>
        </w:rPr>
        <w:t>Joint Petitioners</w:t>
      </w:r>
      <w:r w:rsidRPr="00E05556">
        <w:rPr>
          <w:sz w:val="26"/>
          <w:szCs w:val="26"/>
        </w:rPr>
        <w:t xml:space="preserve"> have reached an accord on the issues and claims that arose in this proceeding and submitted a Settlement for Commission review.  In reviewing the </w:t>
      </w:r>
      <w:r w:rsidRPr="00E05556">
        <w:rPr>
          <w:sz w:val="26"/>
          <w:szCs w:val="26"/>
        </w:rPr>
        <w:lastRenderedPageBreak/>
        <w:t xml:space="preserve">Settlement, the question which must be answered is whether it is in the public interest.  The </w:t>
      </w:r>
      <w:r w:rsidR="006C03BE" w:rsidRPr="00E05556">
        <w:rPr>
          <w:sz w:val="26"/>
          <w:szCs w:val="26"/>
        </w:rPr>
        <w:t>Joint Petitioners</w:t>
      </w:r>
      <w:r w:rsidRPr="00E05556">
        <w:rPr>
          <w:sz w:val="26"/>
          <w:szCs w:val="26"/>
        </w:rPr>
        <w:t xml:space="preserve"> have the burden to prove that the Settlement is in the public interest.</w:t>
      </w:r>
    </w:p>
    <w:p w:rsidR="00DF57FB" w:rsidRPr="00E05556" w:rsidRDefault="00DF57FB" w:rsidP="00503DA2">
      <w:pPr>
        <w:pStyle w:val="OutlineL3"/>
        <w:numPr>
          <w:ilvl w:val="0"/>
          <w:numId w:val="0"/>
        </w:numPr>
        <w:tabs>
          <w:tab w:val="clear" w:pos="2160"/>
        </w:tabs>
        <w:spacing w:after="0" w:line="360" w:lineRule="auto"/>
        <w:outlineLvl w:val="9"/>
        <w:rPr>
          <w:sz w:val="26"/>
          <w:szCs w:val="26"/>
        </w:rPr>
      </w:pPr>
    </w:p>
    <w:p w:rsidR="00DF57FB" w:rsidRPr="00A5340C" w:rsidRDefault="00DF57FB" w:rsidP="00503DA2">
      <w:pPr>
        <w:pStyle w:val="OutlineL3"/>
        <w:numPr>
          <w:ilvl w:val="0"/>
          <w:numId w:val="0"/>
        </w:numPr>
        <w:tabs>
          <w:tab w:val="clear" w:pos="2160"/>
        </w:tabs>
        <w:spacing w:after="0" w:line="360" w:lineRule="auto"/>
        <w:outlineLvl w:val="9"/>
        <w:rPr>
          <w:sz w:val="26"/>
          <w:szCs w:val="26"/>
        </w:rPr>
      </w:pPr>
      <w:r w:rsidRPr="00E05556">
        <w:rPr>
          <w:sz w:val="26"/>
          <w:szCs w:val="26"/>
        </w:rPr>
        <w:tab/>
      </w:r>
      <w:r w:rsidRPr="00E05556">
        <w:rPr>
          <w:sz w:val="26"/>
          <w:szCs w:val="26"/>
        </w:rPr>
        <w:tab/>
      </w:r>
      <w:r w:rsidR="0098266E" w:rsidRPr="00E05556">
        <w:rPr>
          <w:sz w:val="26"/>
          <w:szCs w:val="26"/>
        </w:rPr>
        <w:t xml:space="preserve">Before addressing the Exceptions, we note that any issue or Exception that we do not specifically address shall be deemed to have been duly considered and </w:t>
      </w:r>
      <w:r w:rsidR="0098266E" w:rsidRPr="0098266E">
        <w:rPr>
          <w:sz w:val="26"/>
          <w:szCs w:val="26"/>
        </w:rPr>
        <w:t xml:space="preserve">denied without further discussion.  The Commission is not required to consider expressly or at length each contention or argument raised by the parties.  </w:t>
      </w:r>
      <w:hyperlink r:id="rId15" w:history="1">
        <w:r w:rsidR="0098266E" w:rsidRPr="0098266E">
          <w:rPr>
            <w:i/>
            <w:iCs/>
            <w:color w:val="000000"/>
            <w:sz w:val="26"/>
            <w:szCs w:val="26"/>
          </w:rPr>
          <w:t xml:space="preserve">Consolidated Rail Corp. v. Pa. PUC, </w:t>
        </w:r>
        <w:r w:rsidR="0098266E" w:rsidRPr="0098266E">
          <w:rPr>
            <w:color w:val="000000"/>
            <w:sz w:val="26"/>
            <w:szCs w:val="26"/>
          </w:rPr>
          <w:t xml:space="preserve">625 A.2d 741 (Pa. </w:t>
        </w:r>
        <w:proofErr w:type="spellStart"/>
        <w:r w:rsidR="0098266E" w:rsidRPr="0098266E">
          <w:rPr>
            <w:color w:val="000000"/>
            <w:sz w:val="26"/>
            <w:szCs w:val="26"/>
          </w:rPr>
          <w:t>Cmwlth</w:t>
        </w:r>
        <w:proofErr w:type="spellEnd"/>
        <w:r w:rsidR="0098266E" w:rsidRPr="0098266E">
          <w:rPr>
            <w:color w:val="000000"/>
            <w:sz w:val="26"/>
            <w:szCs w:val="26"/>
          </w:rPr>
          <w:t>. 1993);</w:t>
        </w:r>
      </w:hyperlink>
      <w:r w:rsidR="0098266E" w:rsidRPr="0098266E">
        <w:rPr>
          <w:color w:val="000000"/>
          <w:sz w:val="26"/>
          <w:szCs w:val="26"/>
        </w:rPr>
        <w:t xml:space="preserve"> </w:t>
      </w:r>
      <w:r w:rsidR="0098266E" w:rsidRPr="0098266E">
        <w:rPr>
          <w:i/>
          <w:color w:val="000000"/>
          <w:sz w:val="26"/>
          <w:szCs w:val="26"/>
        </w:rPr>
        <w:t xml:space="preserve">also </w:t>
      </w:r>
      <w:r w:rsidR="0098266E" w:rsidRPr="0098266E">
        <w:rPr>
          <w:i/>
          <w:iCs/>
          <w:color w:val="000000"/>
          <w:sz w:val="26"/>
          <w:szCs w:val="26"/>
        </w:rPr>
        <w:t xml:space="preserve">see, generally, </w:t>
      </w:r>
      <w:hyperlink r:id="rId16" w:history="1">
        <w:r w:rsidR="0098266E" w:rsidRPr="0098266E">
          <w:rPr>
            <w:i/>
            <w:iCs/>
            <w:color w:val="000000"/>
            <w:sz w:val="26"/>
            <w:szCs w:val="26"/>
          </w:rPr>
          <w:t>University of Pennsylvania v. Pa. PUC</w:t>
        </w:r>
        <w:r w:rsidR="0098266E" w:rsidRPr="0098266E">
          <w:rPr>
            <w:color w:val="000000"/>
            <w:sz w:val="26"/>
            <w:szCs w:val="26"/>
          </w:rPr>
          <w:t xml:space="preserve">, 485 A.2d 1217 (Pa. </w:t>
        </w:r>
        <w:proofErr w:type="spellStart"/>
        <w:r w:rsidR="0098266E" w:rsidRPr="0098266E">
          <w:rPr>
            <w:color w:val="000000"/>
            <w:sz w:val="26"/>
            <w:szCs w:val="26"/>
          </w:rPr>
          <w:t>Cmwlth</w:t>
        </w:r>
        <w:proofErr w:type="spellEnd"/>
        <w:r w:rsidR="0098266E" w:rsidRPr="0098266E">
          <w:rPr>
            <w:color w:val="000000"/>
            <w:sz w:val="26"/>
            <w:szCs w:val="26"/>
          </w:rPr>
          <w:t>. 1984).</w:t>
        </w:r>
      </w:hyperlink>
    </w:p>
    <w:p w:rsidR="00797026" w:rsidRPr="00A5340C" w:rsidRDefault="00797026" w:rsidP="00B5702F">
      <w:pPr>
        <w:pStyle w:val="OutlineL3"/>
        <w:widowControl w:val="0"/>
        <w:numPr>
          <w:ilvl w:val="0"/>
          <w:numId w:val="0"/>
        </w:numPr>
        <w:tabs>
          <w:tab w:val="clear" w:pos="2160"/>
        </w:tabs>
        <w:spacing w:after="0" w:line="360" w:lineRule="auto"/>
        <w:outlineLvl w:val="9"/>
        <w:rPr>
          <w:b/>
          <w:sz w:val="26"/>
          <w:szCs w:val="26"/>
        </w:rPr>
      </w:pPr>
    </w:p>
    <w:p w:rsidR="0047723D" w:rsidRDefault="00797026" w:rsidP="000C6105">
      <w:pPr>
        <w:pStyle w:val="OutlineL3"/>
        <w:keepNext/>
        <w:widowControl w:val="0"/>
        <w:numPr>
          <w:ilvl w:val="0"/>
          <w:numId w:val="0"/>
        </w:numPr>
        <w:tabs>
          <w:tab w:val="clear" w:pos="2160"/>
        </w:tabs>
        <w:spacing w:after="0" w:line="360" w:lineRule="auto"/>
        <w:outlineLvl w:val="9"/>
        <w:rPr>
          <w:b/>
          <w:sz w:val="26"/>
          <w:szCs w:val="26"/>
        </w:rPr>
      </w:pPr>
      <w:r w:rsidRPr="00A5340C">
        <w:rPr>
          <w:b/>
          <w:sz w:val="26"/>
          <w:szCs w:val="26"/>
        </w:rPr>
        <w:t>D</w:t>
      </w:r>
      <w:r w:rsidR="0047723D" w:rsidRPr="00A5340C">
        <w:rPr>
          <w:b/>
          <w:sz w:val="26"/>
          <w:szCs w:val="26"/>
        </w:rPr>
        <w:t>.</w:t>
      </w:r>
      <w:r w:rsidR="0047723D" w:rsidRPr="00A5340C">
        <w:rPr>
          <w:b/>
          <w:sz w:val="26"/>
          <w:szCs w:val="26"/>
        </w:rPr>
        <w:tab/>
      </w:r>
      <w:r w:rsidR="00A5675B">
        <w:rPr>
          <w:b/>
          <w:sz w:val="26"/>
          <w:szCs w:val="26"/>
        </w:rPr>
        <w:t>Public Interest Considerations</w:t>
      </w:r>
    </w:p>
    <w:p w:rsidR="0098266E" w:rsidRDefault="0098266E" w:rsidP="000C6105">
      <w:pPr>
        <w:pStyle w:val="OutlineL3"/>
        <w:keepNext/>
        <w:widowControl w:val="0"/>
        <w:numPr>
          <w:ilvl w:val="0"/>
          <w:numId w:val="0"/>
        </w:numPr>
        <w:tabs>
          <w:tab w:val="clear" w:pos="2160"/>
        </w:tabs>
        <w:spacing w:after="0" w:line="360" w:lineRule="auto"/>
        <w:outlineLvl w:val="9"/>
        <w:rPr>
          <w:b/>
          <w:sz w:val="26"/>
          <w:szCs w:val="26"/>
        </w:rPr>
      </w:pPr>
    </w:p>
    <w:p w:rsidR="002D1B25" w:rsidRPr="000E640C" w:rsidRDefault="00A5675B" w:rsidP="002037F1">
      <w:pPr>
        <w:pStyle w:val="OutlineL3"/>
        <w:widowControl w:val="0"/>
        <w:numPr>
          <w:ilvl w:val="0"/>
          <w:numId w:val="0"/>
        </w:numPr>
        <w:tabs>
          <w:tab w:val="clear" w:pos="2160"/>
        </w:tabs>
        <w:spacing w:after="0" w:line="360" w:lineRule="auto"/>
        <w:outlineLvl w:val="9"/>
        <w:rPr>
          <w:sz w:val="26"/>
          <w:szCs w:val="26"/>
        </w:rPr>
      </w:pPr>
      <w:r>
        <w:rPr>
          <w:sz w:val="26"/>
          <w:szCs w:val="26"/>
        </w:rPr>
        <w:tab/>
      </w:r>
      <w:r>
        <w:rPr>
          <w:sz w:val="26"/>
          <w:szCs w:val="26"/>
        </w:rPr>
        <w:tab/>
        <w:t xml:space="preserve">The Joint Petitioners attached Statements of Support to </w:t>
      </w:r>
      <w:r w:rsidR="006C03BE">
        <w:rPr>
          <w:sz w:val="26"/>
          <w:szCs w:val="26"/>
        </w:rPr>
        <w:t>the Settlement</w:t>
      </w:r>
      <w:r>
        <w:rPr>
          <w:sz w:val="26"/>
          <w:szCs w:val="26"/>
        </w:rPr>
        <w:t xml:space="preserve"> setting forth the bases upon which they believe that the Settlement is fair, just, reasonable, non-discriminatory, </w:t>
      </w:r>
      <w:proofErr w:type="gramStart"/>
      <w:r w:rsidR="00054792">
        <w:rPr>
          <w:sz w:val="26"/>
          <w:szCs w:val="26"/>
        </w:rPr>
        <w:t>lawful</w:t>
      </w:r>
      <w:proofErr w:type="gramEnd"/>
      <w:r>
        <w:rPr>
          <w:sz w:val="26"/>
          <w:szCs w:val="26"/>
        </w:rPr>
        <w:t xml:space="preserve"> and in the public interest.  </w:t>
      </w:r>
      <w:r w:rsidR="006C03BE">
        <w:rPr>
          <w:sz w:val="26"/>
          <w:szCs w:val="26"/>
        </w:rPr>
        <w:t>Settlement</w:t>
      </w:r>
      <w:r>
        <w:rPr>
          <w:sz w:val="26"/>
          <w:szCs w:val="26"/>
        </w:rPr>
        <w:t xml:space="preserve"> at 15.  In </w:t>
      </w:r>
      <w:r w:rsidR="000210BC">
        <w:rPr>
          <w:sz w:val="26"/>
          <w:szCs w:val="26"/>
        </w:rPr>
        <w:t>particular</w:t>
      </w:r>
      <w:r>
        <w:rPr>
          <w:sz w:val="26"/>
          <w:szCs w:val="26"/>
        </w:rPr>
        <w:t xml:space="preserve">, the Joint Petitioners argue that the Settlement is in the public interest for the following </w:t>
      </w:r>
      <w:r w:rsidR="003D4BE8">
        <w:rPr>
          <w:sz w:val="26"/>
          <w:szCs w:val="26"/>
        </w:rPr>
        <w:t xml:space="preserve">four </w:t>
      </w:r>
      <w:r>
        <w:rPr>
          <w:sz w:val="26"/>
          <w:szCs w:val="26"/>
        </w:rPr>
        <w:t>reasons</w:t>
      </w:r>
      <w:r w:rsidR="000E640C">
        <w:rPr>
          <w:sz w:val="26"/>
          <w:szCs w:val="26"/>
        </w:rPr>
        <w:t>.  First, t</w:t>
      </w:r>
      <w:r>
        <w:rPr>
          <w:sz w:val="26"/>
          <w:szCs w:val="26"/>
        </w:rPr>
        <w:t>he Settlement provides for an increase in annual operating revenue of $26 million, or 4.5%, which is lower than the original</w:t>
      </w:r>
      <w:r w:rsidR="00576CC1">
        <w:rPr>
          <w:sz w:val="26"/>
          <w:szCs w:val="26"/>
        </w:rPr>
        <w:t>ly</w:t>
      </w:r>
      <w:r>
        <w:rPr>
          <w:sz w:val="26"/>
          <w:szCs w:val="26"/>
        </w:rPr>
        <w:t xml:space="preserve"> requested increase of $58.6 million, or 10.1%.  </w:t>
      </w:r>
      <w:r w:rsidR="000E640C">
        <w:rPr>
          <w:sz w:val="26"/>
          <w:szCs w:val="26"/>
        </w:rPr>
        <w:t xml:space="preserve">Second, </w:t>
      </w:r>
      <w:r w:rsidR="000E640C" w:rsidRPr="000E640C">
        <w:rPr>
          <w:sz w:val="26"/>
          <w:szCs w:val="26"/>
        </w:rPr>
        <w:t>a</w:t>
      </w:r>
      <w:r w:rsidR="00576CC1" w:rsidRPr="000E640C">
        <w:rPr>
          <w:sz w:val="26"/>
          <w:szCs w:val="26"/>
        </w:rPr>
        <w:t>pproval of the Settlement will avoid the need for further administrative proceedings and possibly appellate proceedings at significant cost to the Joint Petitioners, other parties, and the Company’s customers.</w:t>
      </w:r>
      <w:r w:rsidR="000E640C" w:rsidRPr="001F4CF9">
        <w:rPr>
          <w:sz w:val="26"/>
          <w:szCs w:val="26"/>
        </w:rPr>
        <w:t xml:space="preserve">  Third, </w:t>
      </w:r>
      <w:r w:rsidR="00ED6BA8">
        <w:rPr>
          <w:sz w:val="26"/>
          <w:szCs w:val="26"/>
        </w:rPr>
        <w:t xml:space="preserve">the </w:t>
      </w:r>
    </w:p>
    <w:p w:rsidR="002D1B25" w:rsidRDefault="00576CC1" w:rsidP="00E05556">
      <w:pPr>
        <w:pStyle w:val="OutlineL3"/>
        <w:widowControl w:val="0"/>
        <w:numPr>
          <w:ilvl w:val="0"/>
          <w:numId w:val="0"/>
        </w:numPr>
        <w:tabs>
          <w:tab w:val="clear" w:pos="2160"/>
        </w:tabs>
        <w:spacing w:after="0" w:line="360" w:lineRule="auto"/>
        <w:outlineLvl w:val="9"/>
        <w:rPr>
          <w:sz w:val="26"/>
          <w:szCs w:val="26"/>
        </w:rPr>
      </w:pPr>
      <w:r w:rsidRPr="000E640C">
        <w:rPr>
          <w:sz w:val="26"/>
          <w:szCs w:val="26"/>
        </w:rPr>
        <w:t>Settlement Rates will allocate the agreed</w:t>
      </w:r>
      <w:r w:rsidR="003D4BE8">
        <w:rPr>
          <w:sz w:val="26"/>
          <w:szCs w:val="26"/>
        </w:rPr>
        <w:t>-</w:t>
      </w:r>
      <w:r w:rsidR="00CB61F2" w:rsidRPr="000E640C">
        <w:rPr>
          <w:sz w:val="26"/>
          <w:szCs w:val="26"/>
        </w:rPr>
        <w:t xml:space="preserve">upon </w:t>
      </w:r>
      <w:r w:rsidRPr="000E640C">
        <w:rPr>
          <w:sz w:val="26"/>
          <w:szCs w:val="26"/>
        </w:rPr>
        <w:t xml:space="preserve">combined water and wastewater revenue requirement to each rate zone and customer class in a reasonable manner considering the positions of the Parties regarding rate structure and cost.  </w:t>
      </w:r>
      <w:r w:rsidR="000E640C" w:rsidRPr="001F4CF9">
        <w:rPr>
          <w:sz w:val="26"/>
          <w:szCs w:val="26"/>
        </w:rPr>
        <w:t xml:space="preserve">Fourth, </w:t>
      </w:r>
      <w:r w:rsidR="00DB0BB0">
        <w:rPr>
          <w:sz w:val="26"/>
          <w:szCs w:val="26"/>
        </w:rPr>
        <w:t xml:space="preserve">the Settlement implements Section 1311(c) of the Code, 66 Pa. C.S. § 1311(c), in a fair manner to all </w:t>
      </w:r>
      <w:r w:rsidR="00DB0BB0">
        <w:rPr>
          <w:sz w:val="26"/>
          <w:szCs w:val="26"/>
        </w:rPr>
        <w:lastRenderedPageBreak/>
        <w:t>customers.</w:t>
      </w:r>
      <w:r w:rsidR="00DB0BB0">
        <w:rPr>
          <w:rStyle w:val="FootnoteReference"/>
          <w:sz w:val="26"/>
          <w:szCs w:val="26"/>
        </w:rPr>
        <w:footnoteReference w:id="12"/>
      </w:r>
      <w:r w:rsidR="00DB0BB0">
        <w:rPr>
          <w:sz w:val="26"/>
          <w:szCs w:val="26"/>
        </w:rPr>
        <w:t xml:space="preserve">  According to the Joint Petitioners, the Settlement avoids wastewater increases scheduled for Janu</w:t>
      </w:r>
      <w:r w:rsidR="00986000">
        <w:rPr>
          <w:sz w:val="26"/>
          <w:szCs w:val="26"/>
        </w:rPr>
        <w:t>ary 1, 2014, and</w:t>
      </w:r>
      <w:r w:rsidR="00DB0BB0">
        <w:rPr>
          <w:sz w:val="26"/>
          <w:szCs w:val="26"/>
        </w:rPr>
        <w:t xml:space="preserve"> results in wastewater rates that are substantially lower than they would have been under stand-alone wastewater requirement calculations.</w:t>
      </w:r>
      <w:r w:rsidR="00992890">
        <w:rPr>
          <w:rStyle w:val="FootnoteReference"/>
          <w:sz w:val="26"/>
          <w:szCs w:val="26"/>
        </w:rPr>
        <w:footnoteReference w:id="13"/>
      </w:r>
      <w:r w:rsidR="00E05556">
        <w:rPr>
          <w:sz w:val="26"/>
          <w:szCs w:val="26"/>
        </w:rPr>
        <w:t xml:space="preserve">  </w:t>
      </w:r>
      <w:r>
        <w:rPr>
          <w:sz w:val="26"/>
          <w:szCs w:val="26"/>
        </w:rPr>
        <w:t xml:space="preserve"> </w:t>
      </w:r>
      <w:r w:rsidR="00ED6BA8">
        <w:rPr>
          <w:sz w:val="26"/>
          <w:szCs w:val="26"/>
        </w:rPr>
        <w:t xml:space="preserve"> </w:t>
      </w:r>
      <w:r w:rsidR="00CA2BBF">
        <w:rPr>
          <w:sz w:val="26"/>
          <w:szCs w:val="26"/>
        </w:rPr>
        <w:t>Settlement</w:t>
      </w:r>
      <w:r w:rsidR="002D1B25">
        <w:rPr>
          <w:sz w:val="26"/>
          <w:szCs w:val="26"/>
        </w:rPr>
        <w:t xml:space="preserve"> at 15.</w:t>
      </w:r>
    </w:p>
    <w:p w:rsidR="002D1B25" w:rsidRDefault="002D1B25" w:rsidP="002D1B25">
      <w:pPr>
        <w:pStyle w:val="OutlineL3"/>
        <w:widowControl w:val="0"/>
        <w:tabs>
          <w:tab w:val="clear" w:pos="720"/>
          <w:tab w:val="num" w:pos="0"/>
        </w:tabs>
        <w:spacing w:after="0" w:line="360" w:lineRule="auto"/>
        <w:ind w:firstLine="0"/>
        <w:rPr>
          <w:sz w:val="26"/>
          <w:szCs w:val="26"/>
        </w:rPr>
      </w:pPr>
    </w:p>
    <w:p w:rsidR="00986000" w:rsidRDefault="00986000" w:rsidP="00795B15">
      <w:pPr>
        <w:pStyle w:val="OutlineL3"/>
        <w:widowControl w:val="0"/>
        <w:tabs>
          <w:tab w:val="clear" w:pos="720"/>
          <w:tab w:val="clear" w:pos="2160"/>
          <w:tab w:val="num" w:pos="0"/>
          <w:tab w:val="num" w:pos="1440"/>
        </w:tabs>
        <w:spacing w:after="0" w:line="360" w:lineRule="auto"/>
        <w:ind w:firstLine="0"/>
        <w:rPr>
          <w:sz w:val="26"/>
          <w:szCs w:val="26"/>
        </w:rPr>
      </w:pPr>
      <w:r>
        <w:rPr>
          <w:sz w:val="26"/>
          <w:szCs w:val="26"/>
        </w:rPr>
        <w:tab/>
      </w:r>
      <w:r w:rsidR="00014BB1">
        <w:rPr>
          <w:sz w:val="26"/>
          <w:szCs w:val="26"/>
        </w:rPr>
        <w:t>With regard to Section 1311(c)</w:t>
      </w:r>
      <w:r w:rsidR="009B2AE1">
        <w:rPr>
          <w:sz w:val="26"/>
          <w:szCs w:val="26"/>
        </w:rPr>
        <w:t xml:space="preserve">, </w:t>
      </w:r>
      <w:r>
        <w:rPr>
          <w:sz w:val="26"/>
          <w:szCs w:val="26"/>
        </w:rPr>
        <w:t xml:space="preserve">PAWC, I&amp;E, and OCA </w:t>
      </w:r>
      <w:r w:rsidR="009B2AE1">
        <w:rPr>
          <w:sz w:val="26"/>
          <w:szCs w:val="26"/>
        </w:rPr>
        <w:t xml:space="preserve">each </w:t>
      </w:r>
      <w:r w:rsidR="00A72329">
        <w:rPr>
          <w:sz w:val="26"/>
          <w:szCs w:val="26"/>
        </w:rPr>
        <w:t>argue</w:t>
      </w:r>
      <w:r>
        <w:rPr>
          <w:sz w:val="26"/>
          <w:szCs w:val="26"/>
        </w:rPr>
        <w:t xml:space="preserve"> that it is in the public interest </w:t>
      </w:r>
      <w:r w:rsidR="009B2AE1">
        <w:rPr>
          <w:sz w:val="26"/>
          <w:szCs w:val="26"/>
        </w:rPr>
        <w:t xml:space="preserve">to allocate a portion of the wastewater revenue requirement to the combined water and wastewater customer base.  According to PAWC, the effect of this allocation would be to moderate the rates of wastewater customers while only having a negligible impact on the rates of customers.  </w:t>
      </w:r>
      <w:r w:rsidR="00C23A8F">
        <w:rPr>
          <w:sz w:val="26"/>
          <w:szCs w:val="26"/>
        </w:rPr>
        <w:t>PAWC S</w:t>
      </w:r>
      <w:r w:rsidR="009B2AE1">
        <w:rPr>
          <w:sz w:val="26"/>
          <w:szCs w:val="26"/>
        </w:rPr>
        <w:t xml:space="preserve">tatement in Support of the Settlement at 2.  </w:t>
      </w:r>
      <w:r>
        <w:rPr>
          <w:sz w:val="26"/>
          <w:szCs w:val="26"/>
        </w:rPr>
        <w:t xml:space="preserve"> </w:t>
      </w:r>
    </w:p>
    <w:p w:rsidR="00EC2F6A" w:rsidRDefault="00EC2F6A" w:rsidP="002D1B25">
      <w:pPr>
        <w:pStyle w:val="OutlineL3"/>
        <w:widowControl w:val="0"/>
        <w:tabs>
          <w:tab w:val="clear" w:pos="720"/>
          <w:tab w:val="num" w:pos="0"/>
        </w:tabs>
        <w:spacing w:after="0" w:line="360" w:lineRule="auto"/>
        <w:ind w:firstLine="0"/>
        <w:rPr>
          <w:sz w:val="26"/>
          <w:szCs w:val="26"/>
        </w:rPr>
      </w:pPr>
    </w:p>
    <w:p w:rsidR="00EC2F6A" w:rsidRDefault="00EC2F6A" w:rsidP="00795B15">
      <w:pPr>
        <w:pStyle w:val="OutlineL3"/>
        <w:widowControl w:val="0"/>
        <w:tabs>
          <w:tab w:val="clear" w:pos="720"/>
          <w:tab w:val="clear" w:pos="2160"/>
          <w:tab w:val="num" w:pos="0"/>
          <w:tab w:val="num" w:pos="1440"/>
        </w:tabs>
        <w:spacing w:after="0" w:line="360" w:lineRule="auto"/>
        <w:ind w:firstLine="0"/>
        <w:rPr>
          <w:sz w:val="26"/>
          <w:szCs w:val="26"/>
        </w:rPr>
      </w:pPr>
      <w:r>
        <w:rPr>
          <w:sz w:val="26"/>
          <w:szCs w:val="26"/>
        </w:rPr>
        <w:tab/>
        <w:t xml:space="preserve">I&amp;E </w:t>
      </w:r>
      <w:r w:rsidR="00A72329">
        <w:rPr>
          <w:sz w:val="26"/>
          <w:szCs w:val="26"/>
        </w:rPr>
        <w:t>notes that</w:t>
      </w:r>
      <w:r w:rsidR="00680E8F">
        <w:rPr>
          <w:sz w:val="26"/>
          <w:szCs w:val="26"/>
        </w:rPr>
        <w:t>,</w:t>
      </w:r>
      <w:r w:rsidR="00A72329">
        <w:rPr>
          <w:sz w:val="26"/>
          <w:szCs w:val="26"/>
        </w:rPr>
        <w:t xml:space="preserve"> without the Settlement</w:t>
      </w:r>
      <w:r w:rsidR="00680E8F">
        <w:rPr>
          <w:sz w:val="26"/>
          <w:szCs w:val="26"/>
        </w:rPr>
        <w:t>,</w:t>
      </w:r>
      <w:r w:rsidR="004D727E">
        <w:rPr>
          <w:sz w:val="26"/>
          <w:szCs w:val="26"/>
        </w:rPr>
        <w:t xml:space="preserve"> customers in t</w:t>
      </w:r>
      <w:r w:rsidR="00705524">
        <w:rPr>
          <w:sz w:val="26"/>
          <w:szCs w:val="26"/>
        </w:rPr>
        <w:t xml:space="preserve">he </w:t>
      </w:r>
      <w:r>
        <w:rPr>
          <w:sz w:val="26"/>
          <w:szCs w:val="26"/>
        </w:rPr>
        <w:t>Coatesvil</w:t>
      </w:r>
      <w:r w:rsidR="004D727E">
        <w:rPr>
          <w:sz w:val="26"/>
          <w:szCs w:val="26"/>
        </w:rPr>
        <w:t>l</w:t>
      </w:r>
      <w:r>
        <w:rPr>
          <w:sz w:val="26"/>
          <w:szCs w:val="26"/>
        </w:rPr>
        <w:t>e</w:t>
      </w:r>
      <w:r w:rsidR="004D727E">
        <w:rPr>
          <w:sz w:val="26"/>
          <w:szCs w:val="26"/>
        </w:rPr>
        <w:t xml:space="preserve">, Claysville, and Northeast wastewater </w:t>
      </w:r>
      <w:r w:rsidR="00C23A8F">
        <w:rPr>
          <w:sz w:val="26"/>
          <w:szCs w:val="26"/>
        </w:rPr>
        <w:t xml:space="preserve">service territories </w:t>
      </w:r>
      <w:r w:rsidR="00A72329">
        <w:rPr>
          <w:sz w:val="26"/>
          <w:szCs w:val="26"/>
        </w:rPr>
        <w:t>are</w:t>
      </w:r>
      <w:r w:rsidR="00C23A8F">
        <w:rPr>
          <w:sz w:val="26"/>
          <w:szCs w:val="26"/>
        </w:rPr>
        <w:t xml:space="preserve"> going to experience significant </w:t>
      </w:r>
      <w:r w:rsidR="004D727E">
        <w:rPr>
          <w:sz w:val="26"/>
          <w:szCs w:val="26"/>
        </w:rPr>
        <w:t xml:space="preserve">rate </w:t>
      </w:r>
      <w:r w:rsidR="00C23A8F">
        <w:rPr>
          <w:sz w:val="26"/>
          <w:szCs w:val="26"/>
        </w:rPr>
        <w:t xml:space="preserve">increases in 2014-2016.  I&amp;E Statement in Support of Settlement at 9.  For example, the average residential customer in the Coatesville </w:t>
      </w:r>
      <w:r w:rsidR="00680E8F">
        <w:rPr>
          <w:sz w:val="26"/>
          <w:szCs w:val="26"/>
        </w:rPr>
        <w:t xml:space="preserve">territory, </w:t>
      </w:r>
      <w:r w:rsidR="00C23A8F">
        <w:rPr>
          <w:sz w:val="26"/>
          <w:szCs w:val="26"/>
        </w:rPr>
        <w:t>currently paying $67.50 per month for wastewater service</w:t>
      </w:r>
      <w:r w:rsidR="00680E8F">
        <w:rPr>
          <w:sz w:val="26"/>
          <w:szCs w:val="26"/>
        </w:rPr>
        <w:t>,</w:t>
      </w:r>
      <w:r w:rsidR="00C23A8F">
        <w:rPr>
          <w:sz w:val="26"/>
          <w:szCs w:val="26"/>
        </w:rPr>
        <w:t xml:space="preserve"> w</w:t>
      </w:r>
      <w:r w:rsidR="00A72329">
        <w:rPr>
          <w:sz w:val="26"/>
          <w:szCs w:val="26"/>
        </w:rPr>
        <w:t>ill</w:t>
      </w:r>
      <w:r w:rsidR="00C23A8F">
        <w:rPr>
          <w:sz w:val="26"/>
          <w:szCs w:val="26"/>
        </w:rPr>
        <w:t xml:space="preserve"> pay $81.27 on January 1, 2014, for the same service.  </w:t>
      </w:r>
      <w:r w:rsidR="00C23A8F">
        <w:rPr>
          <w:i/>
          <w:sz w:val="26"/>
          <w:szCs w:val="26"/>
        </w:rPr>
        <w:t xml:space="preserve">Id.  </w:t>
      </w:r>
      <w:r w:rsidR="00C23A8F">
        <w:rPr>
          <w:sz w:val="26"/>
          <w:szCs w:val="26"/>
        </w:rPr>
        <w:t>I&amp;E supports the Settlement</w:t>
      </w:r>
      <w:r w:rsidR="00680E8F">
        <w:rPr>
          <w:sz w:val="26"/>
          <w:szCs w:val="26"/>
        </w:rPr>
        <w:t>,</w:t>
      </w:r>
      <w:r w:rsidR="00C23A8F">
        <w:rPr>
          <w:sz w:val="26"/>
          <w:szCs w:val="26"/>
        </w:rPr>
        <w:t xml:space="preserve"> which will eliminate the January 2014 rate increases for </w:t>
      </w:r>
      <w:r w:rsidR="00680E8F">
        <w:rPr>
          <w:sz w:val="26"/>
          <w:szCs w:val="26"/>
        </w:rPr>
        <w:t xml:space="preserve">the </w:t>
      </w:r>
      <w:r w:rsidR="00C23A8F">
        <w:rPr>
          <w:sz w:val="26"/>
          <w:szCs w:val="26"/>
        </w:rPr>
        <w:t xml:space="preserve">Coatesville, Claysville, and Northeast wastewater divisions </w:t>
      </w:r>
      <w:r w:rsidR="00A72329">
        <w:rPr>
          <w:sz w:val="26"/>
          <w:szCs w:val="26"/>
        </w:rPr>
        <w:t xml:space="preserve">by adding the deferred wastewater catch-up revenue to the water revenue requirement.  According to </w:t>
      </w:r>
      <w:proofErr w:type="gramStart"/>
      <w:r w:rsidR="00A72329">
        <w:rPr>
          <w:sz w:val="26"/>
          <w:szCs w:val="26"/>
        </w:rPr>
        <w:t>I&amp;E</w:t>
      </w:r>
      <w:proofErr w:type="gramEnd"/>
      <w:r w:rsidR="00A72329">
        <w:rPr>
          <w:sz w:val="26"/>
          <w:szCs w:val="26"/>
        </w:rPr>
        <w:t xml:space="preserve">, the Settlement is in the public interest as mandated by Act 11 because it significantly moderates the rate impact </w:t>
      </w:r>
      <w:r w:rsidR="00C23A8F">
        <w:rPr>
          <w:sz w:val="26"/>
          <w:szCs w:val="26"/>
        </w:rPr>
        <w:t>of the</w:t>
      </w:r>
      <w:r w:rsidR="001F23D9">
        <w:rPr>
          <w:sz w:val="26"/>
          <w:szCs w:val="26"/>
        </w:rPr>
        <w:t xml:space="preserve"> investments needed in the wastewater divisions in a way that is reasonable for PAWC water customers.  </w:t>
      </w:r>
      <w:r w:rsidR="001F23D9">
        <w:rPr>
          <w:i/>
          <w:sz w:val="26"/>
          <w:szCs w:val="26"/>
        </w:rPr>
        <w:t xml:space="preserve">Id. </w:t>
      </w:r>
      <w:r w:rsidR="001F23D9">
        <w:rPr>
          <w:sz w:val="26"/>
          <w:szCs w:val="26"/>
        </w:rPr>
        <w:t>at 9-10,</w:t>
      </w:r>
      <w:r w:rsidR="00851E49">
        <w:rPr>
          <w:sz w:val="26"/>
          <w:szCs w:val="26"/>
        </w:rPr>
        <w:t xml:space="preserve"> 19-22.  </w:t>
      </w:r>
    </w:p>
    <w:p w:rsidR="00851E49" w:rsidRDefault="00851E49" w:rsidP="00795B15">
      <w:pPr>
        <w:pStyle w:val="OutlineL3"/>
        <w:widowControl w:val="0"/>
        <w:tabs>
          <w:tab w:val="clear" w:pos="720"/>
          <w:tab w:val="clear" w:pos="2160"/>
          <w:tab w:val="num" w:pos="0"/>
          <w:tab w:val="num" w:pos="1440"/>
        </w:tabs>
        <w:spacing w:after="0" w:line="360" w:lineRule="auto"/>
        <w:ind w:firstLine="0"/>
        <w:rPr>
          <w:sz w:val="26"/>
          <w:szCs w:val="26"/>
        </w:rPr>
      </w:pPr>
    </w:p>
    <w:p w:rsidR="00851E49" w:rsidRPr="001F23D9" w:rsidRDefault="00851E49" w:rsidP="00795B15">
      <w:pPr>
        <w:pStyle w:val="OutlineL3"/>
        <w:widowControl w:val="0"/>
        <w:tabs>
          <w:tab w:val="clear" w:pos="720"/>
          <w:tab w:val="clear" w:pos="2160"/>
          <w:tab w:val="num" w:pos="0"/>
          <w:tab w:val="num" w:pos="1440"/>
        </w:tabs>
        <w:spacing w:after="0" w:line="360" w:lineRule="auto"/>
        <w:ind w:firstLine="0"/>
        <w:rPr>
          <w:sz w:val="26"/>
          <w:szCs w:val="26"/>
        </w:rPr>
      </w:pPr>
      <w:r>
        <w:rPr>
          <w:sz w:val="26"/>
          <w:szCs w:val="26"/>
        </w:rPr>
        <w:tab/>
        <w:t xml:space="preserve">OCA also agrees that the combination of the water and wastewater rate base in the Settlement </w:t>
      </w:r>
      <w:r w:rsidR="00EC717B">
        <w:rPr>
          <w:sz w:val="26"/>
          <w:szCs w:val="26"/>
        </w:rPr>
        <w:t xml:space="preserve">is in the public interest as required under </w:t>
      </w:r>
      <w:r>
        <w:rPr>
          <w:sz w:val="26"/>
          <w:szCs w:val="26"/>
        </w:rPr>
        <w:t xml:space="preserve">Act 11.  OCA Statement in Support of Settlement at 6-7.  </w:t>
      </w:r>
    </w:p>
    <w:p w:rsidR="000A3E6D" w:rsidRDefault="009962E1" w:rsidP="003B34D7">
      <w:pPr>
        <w:pStyle w:val="OutlineL3"/>
        <w:widowControl w:val="0"/>
        <w:tabs>
          <w:tab w:val="clear" w:pos="720"/>
          <w:tab w:val="clear" w:pos="2160"/>
        </w:tabs>
        <w:spacing w:after="0" w:line="360" w:lineRule="auto"/>
        <w:ind w:firstLine="90"/>
        <w:rPr>
          <w:b/>
          <w:sz w:val="26"/>
          <w:szCs w:val="26"/>
        </w:rPr>
      </w:pPr>
      <w:r>
        <w:rPr>
          <w:b/>
          <w:sz w:val="26"/>
          <w:szCs w:val="26"/>
        </w:rPr>
        <w:br/>
      </w:r>
      <w:r w:rsidR="000A3E6D">
        <w:rPr>
          <w:b/>
          <w:sz w:val="26"/>
          <w:szCs w:val="26"/>
        </w:rPr>
        <w:t>E.</w:t>
      </w:r>
      <w:r w:rsidR="000A3E6D">
        <w:rPr>
          <w:b/>
          <w:sz w:val="26"/>
          <w:szCs w:val="26"/>
        </w:rPr>
        <w:tab/>
        <w:t>Exceptions, Replies and Disposition</w:t>
      </w:r>
    </w:p>
    <w:p w:rsidR="000A3E6D" w:rsidRDefault="000A3E6D" w:rsidP="009962E1">
      <w:pPr>
        <w:pStyle w:val="OutlineL3"/>
        <w:widowControl w:val="0"/>
        <w:tabs>
          <w:tab w:val="clear" w:pos="720"/>
          <w:tab w:val="clear" w:pos="2160"/>
        </w:tabs>
        <w:spacing w:after="0" w:line="360" w:lineRule="auto"/>
        <w:ind w:firstLine="86"/>
        <w:rPr>
          <w:b/>
          <w:sz w:val="26"/>
          <w:szCs w:val="26"/>
        </w:rPr>
      </w:pPr>
    </w:p>
    <w:p w:rsidR="00CB61F2" w:rsidRPr="00CB61F2" w:rsidRDefault="00CB61F2" w:rsidP="00CB61F2">
      <w:pPr>
        <w:pStyle w:val="OutlineL3"/>
        <w:widowControl w:val="0"/>
        <w:numPr>
          <w:ilvl w:val="0"/>
          <w:numId w:val="42"/>
        </w:numPr>
        <w:tabs>
          <w:tab w:val="clear" w:pos="2160"/>
        </w:tabs>
        <w:spacing w:after="0" w:line="360" w:lineRule="auto"/>
        <w:rPr>
          <w:sz w:val="26"/>
          <w:szCs w:val="26"/>
        </w:rPr>
      </w:pPr>
      <w:r>
        <w:rPr>
          <w:b/>
          <w:sz w:val="26"/>
          <w:szCs w:val="26"/>
        </w:rPr>
        <w:t>Exceptions of PWSA</w:t>
      </w:r>
    </w:p>
    <w:p w:rsidR="00CB61F2" w:rsidRDefault="00CB61F2" w:rsidP="00CB61F2">
      <w:pPr>
        <w:pStyle w:val="OutlineL3"/>
        <w:widowControl w:val="0"/>
        <w:numPr>
          <w:ilvl w:val="0"/>
          <w:numId w:val="0"/>
        </w:numPr>
        <w:tabs>
          <w:tab w:val="clear" w:pos="2160"/>
        </w:tabs>
        <w:spacing w:after="0" w:line="360" w:lineRule="auto"/>
        <w:rPr>
          <w:sz w:val="26"/>
          <w:szCs w:val="26"/>
        </w:rPr>
      </w:pPr>
    </w:p>
    <w:p w:rsidR="007B190E" w:rsidRDefault="00CB61F2" w:rsidP="00CB61F2">
      <w:pPr>
        <w:pStyle w:val="OutlineL3"/>
        <w:widowControl w:val="0"/>
        <w:numPr>
          <w:ilvl w:val="0"/>
          <w:numId w:val="0"/>
        </w:numPr>
        <w:tabs>
          <w:tab w:val="clear" w:pos="2160"/>
        </w:tabs>
        <w:spacing w:after="0" w:line="360" w:lineRule="auto"/>
        <w:rPr>
          <w:b/>
          <w:sz w:val="26"/>
          <w:szCs w:val="26"/>
        </w:rPr>
      </w:pPr>
      <w:r>
        <w:rPr>
          <w:sz w:val="26"/>
          <w:szCs w:val="26"/>
        </w:rPr>
        <w:tab/>
      </w:r>
      <w:r>
        <w:rPr>
          <w:sz w:val="26"/>
          <w:szCs w:val="26"/>
        </w:rPr>
        <w:tab/>
      </w:r>
      <w:r w:rsidR="00AD4E1F">
        <w:rPr>
          <w:sz w:val="26"/>
          <w:szCs w:val="26"/>
        </w:rPr>
        <w:t xml:space="preserve">As noted above, PWSA filed a statement of non-opposition to the Joint </w:t>
      </w:r>
      <w:r w:rsidR="00AD4E1F">
        <w:rPr>
          <w:sz w:val="26"/>
          <w:szCs w:val="26"/>
        </w:rPr>
        <w:lastRenderedPageBreak/>
        <w:t xml:space="preserve">Settlement on October 18, 2013.  PWSA’s statement provided, in part, that it “does not oppose the proposed allocation of $5.4 million of wastewater revenue </w:t>
      </w:r>
      <w:r w:rsidR="00ED6670">
        <w:rPr>
          <w:sz w:val="26"/>
          <w:szCs w:val="26"/>
        </w:rPr>
        <w:t xml:space="preserve">to water customers as identified [in the </w:t>
      </w:r>
      <w:r w:rsidR="00CA2BBF">
        <w:rPr>
          <w:sz w:val="26"/>
          <w:szCs w:val="26"/>
        </w:rPr>
        <w:t>Settlement</w:t>
      </w:r>
      <w:r w:rsidR="00ED6670">
        <w:rPr>
          <w:sz w:val="26"/>
          <w:szCs w:val="26"/>
        </w:rPr>
        <w:t>].”  P</w:t>
      </w:r>
      <w:r w:rsidR="003E6F8F">
        <w:rPr>
          <w:sz w:val="26"/>
          <w:szCs w:val="26"/>
        </w:rPr>
        <w:t>WSA Statement of Non-Opposition (PWSA Statement)</w:t>
      </w:r>
      <w:r w:rsidR="00ED6670">
        <w:rPr>
          <w:sz w:val="26"/>
          <w:szCs w:val="26"/>
        </w:rPr>
        <w:t xml:space="preserve"> at 2-3.  In their Recommended Decision, the ALJs considered </w:t>
      </w:r>
      <w:r w:rsidR="003E6F8F">
        <w:rPr>
          <w:sz w:val="26"/>
          <w:szCs w:val="26"/>
        </w:rPr>
        <w:t>the PWSA Statement t</w:t>
      </w:r>
      <w:r w:rsidR="00ED6670">
        <w:rPr>
          <w:sz w:val="26"/>
          <w:szCs w:val="26"/>
        </w:rPr>
        <w:t>o be “compelling” and concluded that PWSA found the resolution to pay a portion of wastewater service costs in water service rates as “palatable.”  R.D. at 41.</w:t>
      </w:r>
      <w:r w:rsidR="00ED6670">
        <w:rPr>
          <w:rStyle w:val="FootnoteReference"/>
          <w:sz w:val="26"/>
          <w:szCs w:val="26"/>
        </w:rPr>
        <w:footnoteReference w:id="14"/>
      </w:r>
      <w:r w:rsidR="0047723D" w:rsidRPr="00A5340C">
        <w:rPr>
          <w:b/>
          <w:sz w:val="26"/>
          <w:szCs w:val="26"/>
        </w:rPr>
        <w:tab/>
      </w:r>
    </w:p>
    <w:p w:rsidR="00C51B28" w:rsidRDefault="00C51B28" w:rsidP="00CB61F2">
      <w:pPr>
        <w:pStyle w:val="OutlineL3"/>
        <w:widowControl w:val="0"/>
        <w:numPr>
          <w:ilvl w:val="0"/>
          <w:numId w:val="0"/>
        </w:numPr>
        <w:tabs>
          <w:tab w:val="clear" w:pos="2160"/>
        </w:tabs>
        <w:spacing w:after="0" w:line="360" w:lineRule="auto"/>
        <w:rPr>
          <w:b/>
          <w:sz w:val="26"/>
          <w:szCs w:val="26"/>
        </w:rPr>
      </w:pPr>
    </w:p>
    <w:p w:rsidR="00C51B28" w:rsidRDefault="00C51B28" w:rsidP="00CB61F2">
      <w:pPr>
        <w:pStyle w:val="OutlineL3"/>
        <w:widowControl w:val="0"/>
        <w:numPr>
          <w:ilvl w:val="0"/>
          <w:numId w:val="0"/>
        </w:numPr>
        <w:tabs>
          <w:tab w:val="clear" w:pos="2160"/>
        </w:tabs>
        <w:spacing w:after="0" w:line="360" w:lineRule="auto"/>
        <w:rPr>
          <w:sz w:val="26"/>
          <w:szCs w:val="26"/>
        </w:rPr>
      </w:pPr>
      <w:r>
        <w:rPr>
          <w:b/>
          <w:sz w:val="26"/>
          <w:szCs w:val="26"/>
        </w:rPr>
        <w:tab/>
      </w:r>
      <w:r>
        <w:rPr>
          <w:b/>
          <w:sz w:val="26"/>
          <w:szCs w:val="26"/>
        </w:rPr>
        <w:tab/>
      </w:r>
      <w:r>
        <w:rPr>
          <w:sz w:val="26"/>
          <w:szCs w:val="26"/>
        </w:rPr>
        <w:t xml:space="preserve">In its first Exception, PWSA stated that it was incorrect for the ALJs to characterize its non-opposition as </w:t>
      </w:r>
      <w:r w:rsidR="003E6F8F">
        <w:rPr>
          <w:sz w:val="26"/>
          <w:szCs w:val="26"/>
        </w:rPr>
        <w:t>“compelling” in support of the S</w:t>
      </w:r>
      <w:r>
        <w:rPr>
          <w:sz w:val="26"/>
          <w:szCs w:val="26"/>
        </w:rPr>
        <w:t xml:space="preserve">ettlement or for any other purpose.  Further, PWSA argues that it was incorrect to view </w:t>
      </w:r>
      <w:r w:rsidR="003E6F8F">
        <w:rPr>
          <w:sz w:val="26"/>
          <w:szCs w:val="26"/>
        </w:rPr>
        <w:t xml:space="preserve">the </w:t>
      </w:r>
      <w:r>
        <w:rPr>
          <w:sz w:val="26"/>
          <w:szCs w:val="26"/>
        </w:rPr>
        <w:t>PWSA</w:t>
      </w:r>
      <w:r w:rsidR="003E6F8F">
        <w:rPr>
          <w:sz w:val="26"/>
          <w:szCs w:val="26"/>
        </w:rPr>
        <w:t xml:space="preserve"> Statement</w:t>
      </w:r>
      <w:r>
        <w:rPr>
          <w:sz w:val="26"/>
          <w:szCs w:val="26"/>
        </w:rPr>
        <w:t xml:space="preserve"> as a finding that </w:t>
      </w:r>
      <w:r w:rsidR="00F86CAA">
        <w:rPr>
          <w:sz w:val="26"/>
          <w:szCs w:val="26"/>
        </w:rPr>
        <w:t>PWSA considers the payment of wastewater serv</w:t>
      </w:r>
      <w:r w:rsidR="003E6F8F">
        <w:rPr>
          <w:sz w:val="26"/>
          <w:szCs w:val="26"/>
        </w:rPr>
        <w:t>ice costs through water rates to be</w:t>
      </w:r>
      <w:r w:rsidR="00F86CAA">
        <w:rPr>
          <w:sz w:val="26"/>
          <w:szCs w:val="26"/>
        </w:rPr>
        <w:t xml:space="preserve"> “palatable.”  According to PWSA, its position in regard to </w:t>
      </w:r>
      <w:r w:rsidR="003E6F8F">
        <w:rPr>
          <w:sz w:val="26"/>
          <w:szCs w:val="26"/>
        </w:rPr>
        <w:t xml:space="preserve">the </w:t>
      </w:r>
      <w:r w:rsidR="00F86CAA">
        <w:rPr>
          <w:sz w:val="26"/>
          <w:szCs w:val="26"/>
        </w:rPr>
        <w:t xml:space="preserve">settlement revenue terms and the allocation of wastewater costs to water rates is simply one of non-opposition and it objects to any other characterization of its position.  PWSA Exc. at 2-3.  </w:t>
      </w:r>
    </w:p>
    <w:p w:rsidR="00F86CAA" w:rsidRDefault="00F86CAA" w:rsidP="00CB61F2">
      <w:pPr>
        <w:pStyle w:val="OutlineL3"/>
        <w:widowControl w:val="0"/>
        <w:numPr>
          <w:ilvl w:val="0"/>
          <w:numId w:val="0"/>
        </w:numPr>
        <w:tabs>
          <w:tab w:val="clear" w:pos="2160"/>
        </w:tabs>
        <w:spacing w:after="0" w:line="360" w:lineRule="auto"/>
        <w:rPr>
          <w:sz w:val="26"/>
          <w:szCs w:val="26"/>
        </w:rPr>
      </w:pPr>
    </w:p>
    <w:p w:rsidR="00F86CAA" w:rsidRDefault="00F86CAA" w:rsidP="00CB61F2">
      <w:pPr>
        <w:pStyle w:val="OutlineL3"/>
        <w:widowControl w:val="0"/>
        <w:numPr>
          <w:ilvl w:val="0"/>
          <w:numId w:val="0"/>
        </w:numPr>
        <w:tabs>
          <w:tab w:val="clear" w:pos="2160"/>
        </w:tabs>
        <w:spacing w:after="0" w:line="360" w:lineRule="auto"/>
        <w:rPr>
          <w:sz w:val="26"/>
          <w:szCs w:val="26"/>
        </w:rPr>
      </w:pPr>
      <w:r>
        <w:rPr>
          <w:sz w:val="26"/>
          <w:szCs w:val="26"/>
        </w:rPr>
        <w:tab/>
      </w:r>
      <w:r>
        <w:rPr>
          <w:sz w:val="26"/>
          <w:szCs w:val="26"/>
        </w:rPr>
        <w:tab/>
        <w:t xml:space="preserve">In its Replies to the Exceptions, PAWC </w:t>
      </w:r>
      <w:r w:rsidR="00B53593">
        <w:rPr>
          <w:sz w:val="26"/>
          <w:szCs w:val="26"/>
        </w:rPr>
        <w:t xml:space="preserve">considers PWSA’s first Exception to be limited in nature and, if granted, will have no effect on </w:t>
      </w:r>
      <w:r w:rsidR="00180420">
        <w:rPr>
          <w:sz w:val="26"/>
          <w:szCs w:val="26"/>
        </w:rPr>
        <w:t xml:space="preserve">the </w:t>
      </w:r>
      <w:r w:rsidR="00B53593">
        <w:rPr>
          <w:sz w:val="26"/>
          <w:szCs w:val="26"/>
        </w:rPr>
        <w:t xml:space="preserve">PWSA.  R. Exc. at 5-6.  </w:t>
      </w:r>
    </w:p>
    <w:p w:rsidR="00B53593" w:rsidRDefault="00B53593" w:rsidP="009962E1">
      <w:pPr>
        <w:pStyle w:val="OutlineL3"/>
        <w:widowControl w:val="0"/>
        <w:numPr>
          <w:ilvl w:val="0"/>
          <w:numId w:val="0"/>
        </w:numPr>
        <w:tabs>
          <w:tab w:val="clear" w:pos="2160"/>
        </w:tabs>
        <w:spacing w:after="0" w:line="360" w:lineRule="auto"/>
        <w:ind w:firstLine="1440"/>
        <w:rPr>
          <w:sz w:val="26"/>
          <w:szCs w:val="26"/>
        </w:rPr>
      </w:pPr>
      <w:r>
        <w:rPr>
          <w:sz w:val="26"/>
          <w:szCs w:val="26"/>
        </w:rPr>
        <w:tab/>
      </w:r>
      <w:r w:rsidR="00D95E0E">
        <w:rPr>
          <w:sz w:val="26"/>
          <w:szCs w:val="26"/>
        </w:rPr>
        <w:tab/>
      </w:r>
      <w:r w:rsidR="009962E1">
        <w:rPr>
          <w:sz w:val="26"/>
          <w:szCs w:val="26"/>
        </w:rPr>
        <w:br/>
      </w:r>
      <w:r w:rsidR="009962E1">
        <w:rPr>
          <w:sz w:val="26"/>
          <w:szCs w:val="26"/>
        </w:rPr>
        <w:tab/>
      </w:r>
      <w:r w:rsidR="009962E1">
        <w:rPr>
          <w:sz w:val="26"/>
          <w:szCs w:val="26"/>
        </w:rPr>
        <w:tab/>
      </w:r>
      <w:r w:rsidR="00D95E0E">
        <w:rPr>
          <w:sz w:val="26"/>
          <w:szCs w:val="26"/>
        </w:rPr>
        <w:t xml:space="preserve">We </w:t>
      </w:r>
      <w:r w:rsidR="003C015B">
        <w:rPr>
          <w:sz w:val="26"/>
          <w:szCs w:val="26"/>
        </w:rPr>
        <w:t xml:space="preserve">do not believe the ALJs committed error by concluding that </w:t>
      </w:r>
      <w:r w:rsidR="00180420">
        <w:rPr>
          <w:sz w:val="26"/>
          <w:szCs w:val="26"/>
        </w:rPr>
        <w:t>the PWSA S</w:t>
      </w:r>
      <w:r w:rsidR="003C015B">
        <w:rPr>
          <w:sz w:val="26"/>
          <w:szCs w:val="26"/>
        </w:rPr>
        <w:t xml:space="preserve">tatement was compelling in terms of the disposition of the </w:t>
      </w:r>
      <w:r w:rsidR="00180420">
        <w:rPr>
          <w:sz w:val="26"/>
          <w:szCs w:val="26"/>
        </w:rPr>
        <w:t>Settlement</w:t>
      </w:r>
      <w:r w:rsidR="003C015B">
        <w:rPr>
          <w:sz w:val="26"/>
          <w:szCs w:val="26"/>
        </w:rPr>
        <w:t xml:space="preserve">.  </w:t>
      </w:r>
      <w:r w:rsidR="00A403BE">
        <w:rPr>
          <w:sz w:val="26"/>
          <w:szCs w:val="26"/>
        </w:rPr>
        <w:t>First, PWSA does not provide a rationale for its objections.  Second, a</w:t>
      </w:r>
      <w:r w:rsidR="003C015B">
        <w:rPr>
          <w:sz w:val="26"/>
          <w:szCs w:val="26"/>
        </w:rPr>
        <w:t xml:space="preserve">s properly noted by the ALJs, many customers in the public input hearings </w:t>
      </w:r>
      <w:r w:rsidR="00180420">
        <w:rPr>
          <w:sz w:val="26"/>
          <w:szCs w:val="26"/>
        </w:rPr>
        <w:t xml:space="preserve">testified that it was improper and not in the </w:t>
      </w:r>
      <w:r w:rsidR="003C015B">
        <w:rPr>
          <w:sz w:val="26"/>
          <w:szCs w:val="26"/>
        </w:rPr>
        <w:t xml:space="preserve">public interest to require water-only customers to pay for part of the wastewater service supplied to others.  R.D. at 43.  </w:t>
      </w:r>
      <w:r w:rsidR="00A403BE">
        <w:rPr>
          <w:sz w:val="26"/>
          <w:szCs w:val="26"/>
        </w:rPr>
        <w:t>However, active participants in the proceeding</w:t>
      </w:r>
      <w:r w:rsidR="0078571F">
        <w:rPr>
          <w:sz w:val="26"/>
          <w:szCs w:val="26"/>
        </w:rPr>
        <w:t xml:space="preserve">, which </w:t>
      </w:r>
      <w:r w:rsidR="0078571F">
        <w:rPr>
          <w:sz w:val="26"/>
          <w:szCs w:val="26"/>
        </w:rPr>
        <w:lastRenderedPageBreak/>
        <w:t xml:space="preserve">included organizations representing the public interest, </w:t>
      </w:r>
      <w:r w:rsidR="00A403BE">
        <w:rPr>
          <w:sz w:val="26"/>
          <w:szCs w:val="26"/>
        </w:rPr>
        <w:t xml:space="preserve">had the opportunity to raise similar concerns or objections but declined to do so.  Accordingly, we </w:t>
      </w:r>
      <w:r w:rsidR="0078571F">
        <w:rPr>
          <w:sz w:val="26"/>
          <w:szCs w:val="26"/>
        </w:rPr>
        <w:t xml:space="preserve">agree that </w:t>
      </w:r>
      <w:r w:rsidR="00180420">
        <w:rPr>
          <w:sz w:val="26"/>
          <w:szCs w:val="26"/>
        </w:rPr>
        <w:t xml:space="preserve">the </w:t>
      </w:r>
      <w:r w:rsidR="0000253F">
        <w:rPr>
          <w:sz w:val="26"/>
          <w:szCs w:val="26"/>
        </w:rPr>
        <w:t xml:space="preserve">PWSA </w:t>
      </w:r>
      <w:r w:rsidR="00180420">
        <w:rPr>
          <w:sz w:val="26"/>
          <w:szCs w:val="26"/>
        </w:rPr>
        <w:t xml:space="preserve">Statement </w:t>
      </w:r>
      <w:r w:rsidR="0078571F">
        <w:rPr>
          <w:sz w:val="26"/>
          <w:szCs w:val="26"/>
        </w:rPr>
        <w:t xml:space="preserve">as to this issue </w:t>
      </w:r>
      <w:r w:rsidR="0000253F">
        <w:rPr>
          <w:sz w:val="26"/>
          <w:szCs w:val="26"/>
        </w:rPr>
        <w:t>was influential</w:t>
      </w:r>
      <w:r w:rsidR="0078571F">
        <w:rPr>
          <w:sz w:val="26"/>
          <w:szCs w:val="26"/>
        </w:rPr>
        <w:t xml:space="preserve"> for purposes of </w:t>
      </w:r>
      <w:r w:rsidR="0000253F">
        <w:rPr>
          <w:sz w:val="26"/>
          <w:szCs w:val="26"/>
        </w:rPr>
        <w:t xml:space="preserve">evaluating whether the Settlement is in the </w:t>
      </w:r>
      <w:r w:rsidR="0078571F">
        <w:rPr>
          <w:sz w:val="26"/>
          <w:szCs w:val="26"/>
        </w:rPr>
        <w:t>public interest</w:t>
      </w:r>
      <w:r w:rsidR="00180420">
        <w:rPr>
          <w:sz w:val="26"/>
          <w:szCs w:val="26"/>
        </w:rPr>
        <w:t xml:space="preserve"> and the </w:t>
      </w:r>
      <w:r w:rsidR="0000253F">
        <w:rPr>
          <w:sz w:val="26"/>
          <w:szCs w:val="26"/>
        </w:rPr>
        <w:t xml:space="preserve">ALJs acted within their discretion by giving weight to PWSA’s filing.  </w:t>
      </w:r>
      <w:r w:rsidR="0078571F">
        <w:rPr>
          <w:sz w:val="26"/>
          <w:szCs w:val="26"/>
        </w:rPr>
        <w:t>Moreover, we find no error in the ALJs conclusion that PWSA considered the Settlement to be “palatable.”</w:t>
      </w:r>
      <w:r w:rsidR="003044A2">
        <w:rPr>
          <w:rStyle w:val="FootnoteReference"/>
          <w:sz w:val="26"/>
          <w:szCs w:val="26"/>
        </w:rPr>
        <w:footnoteReference w:id="15"/>
      </w:r>
      <w:r w:rsidR="0078571F">
        <w:rPr>
          <w:sz w:val="26"/>
          <w:szCs w:val="26"/>
        </w:rPr>
        <w:t xml:space="preserve">  It is fair to conclude that</w:t>
      </w:r>
      <w:r w:rsidR="00D55551">
        <w:rPr>
          <w:sz w:val="26"/>
          <w:szCs w:val="26"/>
        </w:rPr>
        <w:t>,</w:t>
      </w:r>
      <w:r w:rsidR="0078571F">
        <w:rPr>
          <w:sz w:val="26"/>
          <w:szCs w:val="26"/>
        </w:rPr>
        <w:t xml:space="preserve"> if PWSA considered the Settlement to be unacceptable</w:t>
      </w:r>
      <w:r w:rsidR="00D55551">
        <w:rPr>
          <w:sz w:val="26"/>
          <w:szCs w:val="26"/>
        </w:rPr>
        <w:t>,</w:t>
      </w:r>
      <w:r w:rsidR="0078571F">
        <w:rPr>
          <w:sz w:val="26"/>
          <w:szCs w:val="26"/>
        </w:rPr>
        <w:t xml:space="preserve"> it would </w:t>
      </w:r>
      <w:r w:rsidR="0000253F">
        <w:rPr>
          <w:sz w:val="26"/>
          <w:szCs w:val="26"/>
        </w:rPr>
        <w:t>have refrained from submitting</w:t>
      </w:r>
      <w:r w:rsidR="0078571F">
        <w:rPr>
          <w:sz w:val="26"/>
          <w:szCs w:val="26"/>
        </w:rPr>
        <w:t xml:space="preserve"> its</w:t>
      </w:r>
      <w:r w:rsidR="00E05556">
        <w:rPr>
          <w:sz w:val="26"/>
          <w:szCs w:val="26"/>
        </w:rPr>
        <w:t xml:space="preserve"> statement of non-opposition.  </w:t>
      </w:r>
      <w:r w:rsidR="0078571F">
        <w:rPr>
          <w:sz w:val="26"/>
          <w:szCs w:val="26"/>
        </w:rPr>
        <w:t xml:space="preserve">Therefore, we shall deny PWSA’s first Exception. </w:t>
      </w:r>
    </w:p>
    <w:p w:rsidR="00315F08" w:rsidRDefault="00315F08" w:rsidP="00CB61F2">
      <w:pPr>
        <w:pStyle w:val="OutlineL3"/>
        <w:widowControl w:val="0"/>
        <w:numPr>
          <w:ilvl w:val="0"/>
          <w:numId w:val="0"/>
        </w:numPr>
        <w:tabs>
          <w:tab w:val="clear" w:pos="2160"/>
        </w:tabs>
        <w:spacing w:after="0" w:line="360" w:lineRule="auto"/>
        <w:rPr>
          <w:sz w:val="26"/>
          <w:szCs w:val="26"/>
        </w:rPr>
      </w:pPr>
    </w:p>
    <w:p w:rsidR="00315F08" w:rsidRDefault="00315F08" w:rsidP="00CB61F2">
      <w:pPr>
        <w:pStyle w:val="OutlineL3"/>
        <w:widowControl w:val="0"/>
        <w:numPr>
          <w:ilvl w:val="0"/>
          <w:numId w:val="0"/>
        </w:numPr>
        <w:tabs>
          <w:tab w:val="clear" w:pos="2160"/>
        </w:tabs>
        <w:spacing w:after="0" w:line="360" w:lineRule="auto"/>
        <w:rPr>
          <w:sz w:val="26"/>
          <w:szCs w:val="26"/>
        </w:rPr>
      </w:pPr>
      <w:r>
        <w:rPr>
          <w:sz w:val="26"/>
          <w:szCs w:val="26"/>
        </w:rPr>
        <w:tab/>
      </w:r>
      <w:r>
        <w:rPr>
          <w:sz w:val="26"/>
          <w:szCs w:val="26"/>
        </w:rPr>
        <w:tab/>
      </w:r>
      <w:r w:rsidR="00D36EC7">
        <w:rPr>
          <w:sz w:val="26"/>
          <w:szCs w:val="26"/>
        </w:rPr>
        <w:t xml:space="preserve">In its second Exception, PWSA objects to being identified as an </w:t>
      </w:r>
      <w:r w:rsidR="00180420">
        <w:rPr>
          <w:sz w:val="26"/>
          <w:szCs w:val="26"/>
        </w:rPr>
        <w:t>“</w:t>
      </w:r>
      <w:r w:rsidR="00D36EC7">
        <w:rPr>
          <w:sz w:val="26"/>
          <w:szCs w:val="26"/>
        </w:rPr>
        <w:t>industrial customer</w:t>
      </w:r>
      <w:r w:rsidR="00180420">
        <w:rPr>
          <w:sz w:val="26"/>
          <w:szCs w:val="26"/>
        </w:rPr>
        <w:t>”</w:t>
      </w:r>
      <w:r w:rsidR="00D36EC7">
        <w:rPr>
          <w:sz w:val="26"/>
          <w:szCs w:val="26"/>
        </w:rPr>
        <w:t xml:space="preserve"> of PAWC</w:t>
      </w:r>
      <w:r w:rsidR="003522DD">
        <w:rPr>
          <w:sz w:val="26"/>
          <w:szCs w:val="26"/>
        </w:rPr>
        <w:t xml:space="preserve"> on page 41 of the </w:t>
      </w:r>
      <w:r w:rsidR="00FB6DE6">
        <w:rPr>
          <w:sz w:val="26"/>
          <w:szCs w:val="26"/>
        </w:rPr>
        <w:t>Recommended Decision</w:t>
      </w:r>
      <w:r w:rsidR="00D36EC7">
        <w:rPr>
          <w:sz w:val="26"/>
          <w:szCs w:val="26"/>
        </w:rPr>
        <w:t xml:space="preserve">.  PWSA avers that it intervened in the proceeding, not as a customer, but to minimize equalization payments made by PWSA for the benefit of PAWC water customers who reside in Pittsburgh’s </w:t>
      </w:r>
      <w:proofErr w:type="gramStart"/>
      <w:r w:rsidR="00D36EC7">
        <w:rPr>
          <w:sz w:val="26"/>
          <w:szCs w:val="26"/>
        </w:rPr>
        <w:t>South Hills</w:t>
      </w:r>
      <w:proofErr w:type="gramEnd"/>
      <w:r w:rsidR="00D36EC7">
        <w:rPr>
          <w:sz w:val="26"/>
          <w:szCs w:val="26"/>
        </w:rPr>
        <w:t xml:space="preserve"> area.  According to PWSA, it would be incorrect to identify PWSA as an industrial customer in any final order by the Commission.  PWSA Exc. at 3.  </w:t>
      </w:r>
    </w:p>
    <w:p w:rsidR="00D36EC7" w:rsidRDefault="00D36EC7" w:rsidP="00CB61F2">
      <w:pPr>
        <w:pStyle w:val="OutlineL3"/>
        <w:widowControl w:val="0"/>
        <w:numPr>
          <w:ilvl w:val="0"/>
          <w:numId w:val="0"/>
        </w:numPr>
        <w:tabs>
          <w:tab w:val="clear" w:pos="2160"/>
        </w:tabs>
        <w:spacing w:after="0" w:line="360" w:lineRule="auto"/>
        <w:rPr>
          <w:sz w:val="26"/>
          <w:szCs w:val="26"/>
        </w:rPr>
      </w:pPr>
    </w:p>
    <w:p w:rsidR="00D36EC7" w:rsidRDefault="00D36EC7" w:rsidP="00CB61F2">
      <w:pPr>
        <w:pStyle w:val="OutlineL3"/>
        <w:widowControl w:val="0"/>
        <w:numPr>
          <w:ilvl w:val="0"/>
          <w:numId w:val="0"/>
        </w:numPr>
        <w:tabs>
          <w:tab w:val="clear" w:pos="2160"/>
        </w:tabs>
        <w:spacing w:after="0" w:line="360" w:lineRule="auto"/>
        <w:rPr>
          <w:sz w:val="26"/>
          <w:szCs w:val="26"/>
        </w:rPr>
      </w:pPr>
      <w:r>
        <w:rPr>
          <w:sz w:val="26"/>
          <w:szCs w:val="26"/>
        </w:rPr>
        <w:tab/>
      </w:r>
      <w:r>
        <w:rPr>
          <w:sz w:val="26"/>
          <w:szCs w:val="26"/>
        </w:rPr>
        <w:tab/>
        <w:t xml:space="preserve">In its Replies to the Exceptions, PAWC agrees that PWSA is not an industrial customer of PAWC.  Further, PAWC </w:t>
      </w:r>
      <w:r w:rsidR="00037858">
        <w:rPr>
          <w:sz w:val="26"/>
          <w:szCs w:val="26"/>
        </w:rPr>
        <w:t>notes</w:t>
      </w:r>
      <w:r>
        <w:rPr>
          <w:sz w:val="26"/>
          <w:szCs w:val="26"/>
        </w:rPr>
        <w:t xml:space="preserve"> that PWSA is correct in asserting that its pleadings, testimony and statement of non-opposition </w:t>
      </w:r>
      <w:r w:rsidR="00D36233">
        <w:rPr>
          <w:sz w:val="26"/>
          <w:szCs w:val="26"/>
        </w:rPr>
        <w:t>averred</w:t>
      </w:r>
      <w:r>
        <w:rPr>
          <w:sz w:val="26"/>
          <w:szCs w:val="26"/>
        </w:rPr>
        <w:t xml:space="preserve"> that its intervention was based on its claimed interest in PAWC’s rates alleged</w:t>
      </w:r>
      <w:r w:rsidR="003522DD">
        <w:rPr>
          <w:sz w:val="26"/>
          <w:szCs w:val="26"/>
        </w:rPr>
        <w:t xml:space="preserve">ly arising from equalization payments it makes on behalf of Pittsburgh residents who are PAWC customers.  As such, PAWC believes </w:t>
      </w:r>
      <w:r w:rsidR="00D36233">
        <w:rPr>
          <w:sz w:val="26"/>
          <w:szCs w:val="26"/>
        </w:rPr>
        <w:t xml:space="preserve">the granting of </w:t>
      </w:r>
      <w:r w:rsidR="003522DD">
        <w:rPr>
          <w:sz w:val="26"/>
          <w:szCs w:val="26"/>
        </w:rPr>
        <w:t xml:space="preserve">PWSA’s second Exception would create no barrier to the Commission’s approval of the </w:t>
      </w:r>
      <w:r w:rsidR="00CA2BBF">
        <w:rPr>
          <w:sz w:val="26"/>
          <w:szCs w:val="26"/>
        </w:rPr>
        <w:t>Settlement</w:t>
      </w:r>
      <w:r w:rsidR="003522DD">
        <w:rPr>
          <w:sz w:val="26"/>
          <w:szCs w:val="26"/>
        </w:rPr>
        <w:t>.  R. Exc. at 6.</w:t>
      </w:r>
    </w:p>
    <w:p w:rsidR="003522DD" w:rsidRDefault="003522DD" w:rsidP="00CB61F2">
      <w:pPr>
        <w:pStyle w:val="OutlineL3"/>
        <w:widowControl w:val="0"/>
        <w:numPr>
          <w:ilvl w:val="0"/>
          <w:numId w:val="0"/>
        </w:numPr>
        <w:tabs>
          <w:tab w:val="clear" w:pos="2160"/>
        </w:tabs>
        <w:spacing w:after="0" w:line="360" w:lineRule="auto"/>
        <w:rPr>
          <w:sz w:val="26"/>
          <w:szCs w:val="26"/>
        </w:rPr>
      </w:pPr>
    </w:p>
    <w:p w:rsidR="003522DD" w:rsidRDefault="003522DD" w:rsidP="00CB61F2">
      <w:pPr>
        <w:pStyle w:val="OutlineL3"/>
        <w:widowControl w:val="0"/>
        <w:numPr>
          <w:ilvl w:val="0"/>
          <w:numId w:val="0"/>
        </w:numPr>
        <w:tabs>
          <w:tab w:val="clear" w:pos="2160"/>
        </w:tabs>
        <w:spacing w:after="0" w:line="360" w:lineRule="auto"/>
        <w:rPr>
          <w:sz w:val="26"/>
          <w:szCs w:val="26"/>
        </w:rPr>
      </w:pPr>
      <w:r>
        <w:rPr>
          <w:sz w:val="26"/>
          <w:szCs w:val="26"/>
        </w:rPr>
        <w:tab/>
      </w:r>
      <w:r>
        <w:rPr>
          <w:sz w:val="26"/>
          <w:szCs w:val="26"/>
        </w:rPr>
        <w:tab/>
      </w:r>
      <w:r w:rsidR="000E640C">
        <w:rPr>
          <w:sz w:val="26"/>
          <w:szCs w:val="26"/>
        </w:rPr>
        <w:t xml:space="preserve">Upon review, we agree with PWSA and PAWC that the ALJs’ characterization of PWSA as an industrial customer is inconsistent with PWSA’s filing </w:t>
      </w:r>
      <w:r w:rsidR="000E640C">
        <w:rPr>
          <w:sz w:val="26"/>
          <w:szCs w:val="26"/>
        </w:rPr>
        <w:lastRenderedPageBreak/>
        <w:t>regarding the circumstances of PWSA’s intervention in this proceeding.  I</w:t>
      </w:r>
      <w:r w:rsidR="00037858">
        <w:rPr>
          <w:sz w:val="26"/>
          <w:szCs w:val="26"/>
        </w:rPr>
        <w:t xml:space="preserve">n order to clarify the record, </w:t>
      </w:r>
      <w:r>
        <w:rPr>
          <w:sz w:val="26"/>
          <w:szCs w:val="26"/>
        </w:rPr>
        <w:t xml:space="preserve">we shall grant PWSA’s second Exception.  Accordingly, we shall modify the Recommended Decision </w:t>
      </w:r>
      <w:r w:rsidR="00FB6DE6">
        <w:rPr>
          <w:sz w:val="26"/>
          <w:szCs w:val="26"/>
        </w:rPr>
        <w:t xml:space="preserve">to </w:t>
      </w:r>
      <w:r w:rsidR="00037858">
        <w:rPr>
          <w:sz w:val="26"/>
          <w:szCs w:val="26"/>
        </w:rPr>
        <w:t>remove</w:t>
      </w:r>
      <w:r w:rsidR="00FB6DE6">
        <w:rPr>
          <w:sz w:val="26"/>
          <w:szCs w:val="26"/>
        </w:rPr>
        <w:t xml:space="preserve"> reference to PWSA as an industrial customer of PAWC.  </w:t>
      </w:r>
    </w:p>
    <w:p w:rsidR="00037858" w:rsidRDefault="00037858" w:rsidP="00CB61F2">
      <w:pPr>
        <w:pStyle w:val="OutlineL3"/>
        <w:widowControl w:val="0"/>
        <w:numPr>
          <w:ilvl w:val="0"/>
          <w:numId w:val="0"/>
        </w:numPr>
        <w:tabs>
          <w:tab w:val="clear" w:pos="2160"/>
        </w:tabs>
        <w:spacing w:after="0" w:line="360" w:lineRule="auto"/>
        <w:rPr>
          <w:sz w:val="26"/>
          <w:szCs w:val="26"/>
        </w:rPr>
      </w:pPr>
    </w:p>
    <w:p w:rsidR="00037858" w:rsidRDefault="00037858" w:rsidP="00037858">
      <w:pPr>
        <w:pStyle w:val="OutlineL3"/>
        <w:widowControl w:val="0"/>
        <w:numPr>
          <w:ilvl w:val="0"/>
          <w:numId w:val="42"/>
        </w:numPr>
        <w:tabs>
          <w:tab w:val="clear" w:pos="2160"/>
        </w:tabs>
        <w:spacing w:after="0" w:line="360" w:lineRule="auto"/>
        <w:rPr>
          <w:b/>
          <w:sz w:val="26"/>
          <w:szCs w:val="26"/>
        </w:rPr>
      </w:pPr>
      <w:r>
        <w:rPr>
          <w:b/>
          <w:sz w:val="26"/>
          <w:szCs w:val="26"/>
        </w:rPr>
        <w:t xml:space="preserve">Exceptions of Mr. </w:t>
      </w:r>
      <w:proofErr w:type="spellStart"/>
      <w:r>
        <w:rPr>
          <w:b/>
          <w:sz w:val="26"/>
          <w:szCs w:val="26"/>
        </w:rPr>
        <w:t>Kazimer</w:t>
      </w:r>
      <w:proofErr w:type="spellEnd"/>
    </w:p>
    <w:p w:rsidR="00037858" w:rsidRDefault="00037858" w:rsidP="00037858">
      <w:pPr>
        <w:pStyle w:val="OutlineL3"/>
        <w:widowControl w:val="0"/>
        <w:numPr>
          <w:ilvl w:val="0"/>
          <w:numId w:val="0"/>
        </w:numPr>
        <w:tabs>
          <w:tab w:val="clear" w:pos="2160"/>
        </w:tabs>
        <w:spacing w:after="0" w:line="360" w:lineRule="auto"/>
        <w:ind w:left="1800"/>
        <w:rPr>
          <w:b/>
          <w:sz w:val="26"/>
          <w:szCs w:val="26"/>
        </w:rPr>
      </w:pPr>
    </w:p>
    <w:p w:rsidR="00037858" w:rsidRDefault="008404C9" w:rsidP="00037858">
      <w:pPr>
        <w:pStyle w:val="OutlineL3"/>
        <w:widowControl w:val="0"/>
        <w:numPr>
          <w:ilvl w:val="0"/>
          <w:numId w:val="0"/>
        </w:numPr>
        <w:tabs>
          <w:tab w:val="clear" w:pos="2160"/>
        </w:tabs>
        <w:spacing w:after="0" w:line="360" w:lineRule="auto"/>
        <w:ind w:firstLine="1440"/>
        <w:rPr>
          <w:sz w:val="26"/>
          <w:szCs w:val="26"/>
        </w:rPr>
      </w:pPr>
      <w:r>
        <w:rPr>
          <w:sz w:val="26"/>
          <w:szCs w:val="26"/>
        </w:rPr>
        <w:t xml:space="preserve">Mr. </w:t>
      </w:r>
      <w:proofErr w:type="spellStart"/>
      <w:r>
        <w:rPr>
          <w:sz w:val="26"/>
          <w:szCs w:val="26"/>
        </w:rPr>
        <w:t>Kazimer</w:t>
      </w:r>
      <w:proofErr w:type="spellEnd"/>
      <w:r>
        <w:rPr>
          <w:sz w:val="26"/>
          <w:szCs w:val="26"/>
        </w:rPr>
        <w:t xml:space="preserve"> raises two objections in his Exceptions to the Recommended Decision.</w:t>
      </w:r>
      <w:r>
        <w:rPr>
          <w:rStyle w:val="FootnoteReference"/>
          <w:sz w:val="26"/>
          <w:szCs w:val="26"/>
        </w:rPr>
        <w:footnoteReference w:id="16"/>
      </w:r>
      <w:r>
        <w:rPr>
          <w:sz w:val="26"/>
          <w:szCs w:val="26"/>
        </w:rPr>
        <w:t xml:space="preserve">  </w:t>
      </w:r>
      <w:r w:rsidR="00165E70">
        <w:rPr>
          <w:sz w:val="26"/>
          <w:szCs w:val="26"/>
        </w:rPr>
        <w:t>First</w:t>
      </w:r>
      <w:r>
        <w:rPr>
          <w:sz w:val="26"/>
          <w:szCs w:val="26"/>
        </w:rPr>
        <w:t xml:space="preserve">, </w:t>
      </w:r>
      <w:r w:rsidR="0036044D">
        <w:rPr>
          <w:sz w:val="26"/>
          <w:szCs w:val="26"/>
        </w:rPr>
        <w:t xml:space="preserve">he argues that “Act 11, 66 Pa. C.S. § 1311(c)” is unconstitutional, unfair, discriminatory and unreasonable.  </w:t>
      </w:r>
      <w:r w:rsidR="00165E70">
        <w:rPr>
          <w:sz w:val="26"/>
          <w:szCs w:val="26"/>
        </w:rPr>
        <w:t>He claims that he already pays his township for wastewater and sewage disposal and that PAWC is not entitled to the Settlement.</w:t>
      </w:r>
      <w:r w:rsidR="0069443F">
        <w:rPr>
          <w:rStyle w:val="FootnoteReference"/>
          <w:sz w:val="26"/>
          <w:szCs w:val="26"/>
        </w:rPr>
        <w:footnoteReference w:id="17"/>
      </w:r>
      <w:r w:rsidR="00165E70">
        <w:rPr>
          <w:sz w:val="26"/>
          <w:szCs w:val="26"/>
        </w:rPr>
        <w:t xml:space="preserve">  </w:t>
      </w:r>
      <w:r w:rsidR="0069443F">
        <w:rPr>
          <w:sz w:val="26"/>
          <w:szCs w:val="26"/>
        </w:rPr>
        <w:t xml:space="preserve">  </w:t>
      </w:r>
      <w:r w:rsidR="00165E70">
        <w:rPr>
          <w:sz w:val="26"/>
          <w:szCs w:val="26"/>
        </w:rPr>
        <w:t>Second</w:t>
      </w:r>
      <w:r w:rsidR="0036044D">
        <w:rPr>
          <w:sz w:val="26"/>
          <w:szCs w:val="26"/>
        </w:rPr>
        <w:t xml:space="preserve">, </w:t>
      </w:r>
      <w:r w:rsidR="00165E70">
        <w:rPr>
          <w:sz w:val="26"/>
          <w:szCs w:val="26"/>
        </w:rPr>
        <w:t xml:space="preserve">Mr. </w:t>
      </w:r>
      <w:proofErr w:type="spellStart"/>
      <w:r w:rsidR="00165E70">
        <w:rPr>
          <w:sz w:val="26"/>
          <w:szCs w:val="26"/>
        </w:rPr>
        <w:t>Kazimer</w:t>
      </w:r>
      <w:proofErr w:type="spellEnd"/>
      <w:r w:rsidR="00165E70">
        <w:rPr>
          <w:sz w:val="26"/>
          <w:szCs w:val="26"/>
        </w:rPr>
        <w:t xml:space="preserve"> asserts that </w:t>
      </w:r>
      <w:r w:rsidR="00EF7C87">
        <w:rPr>
          <w:sz w:val="26"/>
          <w:szCs w:val="26"/>
        </w:rPr>
        <w:t>the ALJs did not include information related to his testimony at the public input hearing in Reading.  He argues that his testimony pertaining to the approval of PAWC’s prior rate increases w</w:t>
      </w:r>
      <w:r w:rsidR="006541E0">
        <w:rPr>
          <w:sz w:val="26"/>
          <w:szCs w:val="26"/>
        </w:rPr>
        <w:t xml:space="preserve">as </w:t>
      </w:r>
      <w:r w:rsidR="00EF7C87">
        <w:rPr>
          <w:sz w:val="26"/>
          <w:szCs w:val="26"/>
        </w:rPr>
        <w:t>not included in the Recommended Decision.</w:t>
      </w:r>
      <w:r w:rsidR="009B4270">
        <w:rPr>
          <w:sz w:val="26"/>
          <w:szCs w:val="26"/>
        </w:rPr>
        <w:t xml:space="preserve"> </w:t>
      </w:r>
      <w:r w:rsidR="00EF7C87">
        <w:rPr>
          <w:sz w:val="26"/>
          <w:szCs w:val="26"/>
        </w:rPr>
        <w:t xml:space="preserve"> </w:t>
      </w:r>
      <w:proofErr w:type="spellStart"/>
      <w:r w:rsidR="009B4270">
        <w:rPr>
          <w:sz w:val="26"/>
          <w:szCs w:val="26"/>
        </w:rPr>
        <w:t>Kazimer</w:t>
      </w:r>
      <w:proofErr w:type="spellEnd"/>
      <w:r w:rsidR="009B4270">
        <w:rPr>
          <w:sz w:val="26"/>
          <w:szCs w:val="26"/>
        </w:rPr>
        <w:t xml:space="preserve"> Exc. at 1.</w:t>
      </w:r>
      <w:r w:rsidR="009B4270">
        <w:rPr>
          <w:rStyle w:val="FootnoteReference"/>
          <w:sz w:val="26"/>
          <w:szCs w:val="26"/>
        </w:rPr>
        <w:footnoteReference w:id="18"/>
      </w:r>
    </w:p>
    <w:p w:rsidR="00A00D75" w:rsidRDefault="00A00D75" w:rsidP="00037858">
      <w:pPr>
        <w:pStyle w:val="OutlineL3"/>
        <w:widowControl w:val="0"/>
        <w:numPr>
          <w:ilvl w:val="0"/>
          <w:numId w:val="0"/>
        </w:numPr>
        <w:tabs>
          <w:tab w:val="clear" w:pos="2160"/>
        </w:tabs>
        <w:spacing w:after="0" w:line="360" w:lineRule="auto"/>
        <w:ind w:firstLine="1440"/>
        <w:rPr>
          <w:sz w:val="26"/>
          <w:szCs w:val="26"/>
        </w:rPr>
      </w:pPr>
    </w:p>
    <w:p w:rsidR="00D36233" w:rsidRDefault="00D36233" w:rsidP="00037858">
      <w:pPr>
        <w:pStyle w:val="OutlineL3"/>
        <w:widowControl w:val="0"/>
        <w:numPr>
          <w:ilvl w:val="0"/>
          <w:numId w:val="0"/>
        </w:numPr>
        <w:tabs>
          <w:tab w:val="clear" w:pos="2160"/>
        </w:tabs>
        <w:spacing w:after="0" w:line="360" w:lineRule="auto"/>
        <w:ind w:firstLine="1440"/>
        <w:rPr>
          <w:sz w:val="26"/>
          <w:szCs w:val="26"/>
        </w:rPr>
      </w:pPr>
      <w:r>
        <w:rPr>
          <w:sz w:val="26"/>
          <w:szCs w:val="26"/>
        </w:rPr>
        <w:t xml:space="preserve">In its Replies to Exceptions, PAWC argues that the Commission is not the forum in which to challenge the legality or the constitutionality of a duly enacted statute </w:t>
      </w:r>
      <w:r>
        <w:rPr>
          <w:sz w:val="26"/>
          <w:szCs w:val="26"/>
        </w:rPr>
        <w:lastRenderedPageBreak/>
        <w:t xml:space="preserve">such as Act 11.  Further, PAWC claims </w:t>
      </w:r>
      <w:r w:rsidR="00C02067">
        <w:rPr>
          <w:sz w:val="26"/>
          <w:szCs w:val="26"/>
        </w:rPr>
        <w:t xml:space="preserve">that Section 1311(c) of the Code reflects the legislative judgment that it is fair, reasonable and non-discriminatory to allocate a portion of wastewater revenue requirement to the combined water and wastewater customer base of </w:t>
      </w:r>
      <w:r w:rsidR="003962AD">
        <w:rPr>
          <w:sz w:val="26"/>
          <w:szCs w:val="26"/>
        </w:rPr>
        <w:t xml:space="preserve">a </w:t>
      </w:r>
      <w:r w:rsidR="00C02067">
        <w:rPr>
          <w:sz w:val="26"/>
          <w:szCs w:val="26"/>
        </w:rPr>
        <w:t>utility which furnishes water and wastewater service.  R. Exc. at 7-8.</w:t>
      </w:r>
    </w:p>
    <w:p w:rsidR="004B193B" w:rsidRDefault="004B193B" w:rsidP="00037858">
      <w:pPr>
        <w:pStyle w:val="OutlineL3"/>
        <w:widowControl w:val="0"/>
        <w:numPr>
          <w:ilvl w:val="0"/>
          <w:numId w:val="0"/>
        </w:numPr>
        <w:tabs>
          <w:tab w:val="clear" w:pos="2160"/>
        </w:tabs>
        <w:spacing w:after="0" w:line="360" w:lineRule="auto"/>
        <w:ind w:firstLine="1440"/>
        <w:rPr>
          <w:sz w:val="26"/>
          <w:szCs w:val="26"/>
        </w:rPr>
      </w:pPr>
    </w:p>
    <w:p w:rsidR="00203845" w:rsidRDefault="004B193B" w:rsidP="00203845">
      <w:pPr>
        <w:pStyle w:val="OutlineL3"/>
        <w:keepNext/>
        <w:widowControl w:val="0"/>
        <w:numPr>
          <w:ilvl w:val="0"/>
          <w:numId w:val="0"/>
        </w:numPr>
        <w:tabs>
          <w:tab w:val="clear" w:pos="2160"/>
        </w:tabs>
        <w:spacing w:after="0" w:line="360" w:lineRule="auto"/>
        <w:ind w:firstLine="1440"/>
        <w:rPr>
          <w:sz w:val="26"/>
          <w:szCs w:val="26"/>
        </w:rPr>
      </w:pPr>
      <w:r>
        <w:rPr>
          <w:sz w:val="26"/>
          <w:szCs w:val="26"/>
        </w:rPr>
        <w:t xml:space="preserve">In response to Mr. </w:t>
      </w:r>
      <w:proofErr w:type="spellStart"/>
      <w:r>
        <w:rPr>
          <w:sz w:val="26"/>
          <w:szCs w:val="26"/>
        </w:rPr>
        <w:t>Kazimer’s</w:t>
      </w:r>
      <w:proofErr w:type="spellEnd"/>
      <w:r>
        <w:rPr>
          <w:sz w:val="26"/>
          <w:szCs w:val="26"/>
        </w:rPr>
        <w:t xml:space="preserve"> second objection, PAWC argues that the increases approved</w:t>
      </w:r>
      <w:r w:rsidR="000943B2">
        <w:rPr>
          <w:sz w:val="26"/>
          <w:szCs w:val="26"/>
        </w:rPr>
        <w:t xml:space="preserve"> at the conclusion of the Company’s base rate cases in 2001, 2003, 2007, 2009, and 2011 have no bearing on the reasonableness of PAWC’s claims in this case or the Settlement.  In addition, PAWC argues, the increases in revenue requirements since 2001 reflect the Company’s need to invest capital to replace and rehabilitate aging infrastructure, to respond to increasingly stringent environmental and drinking water standards, and to help address the problems created by troubled and non-viable water systems in the state.  Moreover, PAWC asserts that the details and supporting data for the requested increase in revenue are adequately set forth in the </w:t>
      </w:r>
      <w:r w:rsidR="005305C5">
        <w:rPr>
          <w:sz w:val="26"/>
          <w:szCs w:val="26"/>
        </w:rPr>
        <w:t>Settlement</w:t>
      </w:r>
      <w:r w:rsidR="000943B2">
        <w:rPr>
          <w:sz w:val="26"/>
          <w:szCs w:val="26"/>
        </w:rPr>
        <w:t xml:space="preserve">.  R. Exc. </w:t>
      </w:r>
    </w:p>
    <w:p w:rsidR="004B193B" w:rsidRDefault="000943B2" w:rsidP="00203845">
      <w:pPr>
        <w:pStyle w:val="OutlineL3"/>
        <w:keepNext/>
        <w:widowControl w:val="0"/>
        <w:numPr>
          <w:ilvl w:val="0"/>
          <w:numId w:val="0"/>
        </w:numPr>
        <w:tabs>
          <w:tab w:val="clear" w:pos="2160"/>
        </w:tabs>
        <w:spacing w:after="0" w:line="360" w:lineRule="auto"/>
        <w:rPr>
          <w:sz w:val="26"/>
          <w:szCs w:val="26"/>
        </w:rPr>
      </w:pPr>
      <w:proofErr w:type="gramStart"/>
      <w:r>
        <w:rPr>
          <w:sz w:val="26"/>
          <w:szCs w:val="26"/>
        </w:rPr>
        <w:t>at</w:t>
      </w:r>
      <w:proofErr w:type="gramEnd"/>
      <w:r>
        <w:rPr>
          <w:sz w:val="26"/>
          <w:szCs w:val="26"/>
        </w:rPr>
        <w:t xml:space="preserve"> 9-12. </w:t>
      </w:r>
    </w:p>
    <w:p w:rsidR="00C02067" w:rsidRDefault="00C02067" w:rsidP="00037858">
      <w:pPr>
        <w:pStyle w:val="OutlineL3"/>
        <w:widowControl w:val="0"/>
        <w:numPr>
          <w:ilvl w:val="0"/>
          <w:numId w:val="0"/>
        </w:numPr>
        <w:tabs>
          <w:tab w:val="clear" w:pos="2160"/>
        </w:tabs>
        <w:spacing w:after="0" w:line="360" w:lineRule="auto"/>
        <w:ind w:firstLine="1440"/>
        <w:rPr>
          <w:sz w:val="26"/>
          <w:szCs w:val="26"/>
        </w:rPr>
      </w:pPr>
    </w:p>
    <w:p w:rsidR="000943B2" w:rsidRDefault="004B193B" w:rsidP="000943B2">
      <w:pPr>
        <w:pStyle w:val="OutlineL3"/>
        <w:widowControl w:val="0"/>
        <w:numPr>
          <w:ilvl w:val="0"/>
          <w:numId w:val="0"/>
        </w:numPr>
        <w:tabs>
          <w:tab w:val="clear" w:pos="2160"/>
        </w:tabs>
        <w:spacing w:after="0" w:line="360" w:lineRule="auto"/>
        <w:ind w:firstLine="1440"/>
        <w:rPr>
          <w:sz w:val="26"/>
          <w:szCs w:val="26"/>
        </w:rPr>
      </w:pPr>
      <w:r>
        <w:rPr>
          <w:sz w:val="26"/>
          <w:szCs w:val="26"/>
        </w:rPr>
        <w:t>With regard to the first objection, we</w:t>
      </w:r>
      <w:r w:rsidR="00C02067" w:rsidRPr="004B193B">
        <w:rPr>
          <w:sz w:val="26"/>
          <w:szCs w:val="26"/>
        </w:rPr>
        <w:t xml:space="preserve"> agree with PAWC that the Commission is without the authority to entertain Mr. </w:t>
      </w:r>
      <w:proofErr w:type="spellStart"/>
      <w:r w:rsidR="00C02067" w:rsidRPr="004B193B">
        <w:rPr>
          <w:sz w:val="26"/>
          <w:szCs w:val="26"/>
        </w:rPr>
        <w:t>Kazimer’s</w:t>
      </w:r>
      <w:proofErr w:type="spellEnd"/>
      <w:r w:rsidR="00C02067" w:rsidRPr="004B193B">
        <w:rPr>
          <w:sz w:val="26"/>
          <w:szCs w:val="26"/>
        </w:rPr>
        <w:t xml:space="preserve"> objections to </w:t>
      </w:r>
      <w:r w:rsidR="0062089A" w:rsidRPr="004B193B">
        <w:rPr>
          <w:sz w:val="26"/>
          <w:szCs w:val="26"/>
        </w:rPr>
        <w:t>the Code</w:t>
      </w:r>
      <w:r w:rsidR="00C02067" w:rsidRPr="004B193B">
        <w:rPr>
          <w:sz w:val="26"/>
          <w:szCs w:val="26"/>
        </w:rPr>
        <w:t xml:space="preserve">.  </w:t>
      </w:r>
      <w:r w:rsidR="0068246F" w:rsidRPr="004B193B">
        <w:rPr>
          <w:color w:val="252525"/>
          <w:sz w:val="26"/>
          <w:szCs w:val="26"/>
        </w:rPr>
        <w:t xml:space="preserve">Administrative agencies are creatures of the legislature and have only those powers which have been conferred by statute.  </w:t>
      </w:r>
      <w:r w:rsidR="0062089A" w:rsidRPr="004B193B">
        <w:rPr>
          <w:i/>
          <w:sz w:val="26"/>
          <w:szCs w:val="26"/>
        </w:rPr>
        <w:t>Western Pennsylvania Water Company v. P</w:t>
      </w:r>
      <w:r>
        <w:rPr>
          <w:i/>
          <w:sz w:val="26"/>
          <w:szCs w:val="26"/>
        </w:rPr>
        <w:t>a. PUC</w:t>
      </w:r>
      <w:r w:rsidR="0068246F" w:rsidRPr="004B193B">
        <w:rPr>
          <w:sz w:val="26"/>
          <w:szCs w:val="26"/>
        </w:rPr>
        <w:t xml:space="preserve">, 471 Pa. 347, </w:t>
      </w:r>
      <w:proofErr w:type="gramStart"/>
      <w:r w:rsidR="0068246F" w:rsidRPr="004B193B">
        <w:rPr>
          <w:sz w:val="26"/>
          <w:szCs w:val="26"/>
        </w:rPr>
        <w:t>370 A.2d 337, 339-340</w:t>
      </w:r>
      <w:r w:rsidR="0062089A" w:rsidRPr="004B193B">
        <w:rPr>
          <w:sz w:val="26"/>
          <w:szCs w:val="26"/>
        </w:rPr>
        <w:t xml:space="preserve"> (</w:t>
      </w:r>
      <w:r w:rsidR="0068246F" w:rsidRPr="004B193B">
        <w:rPr>
          <w:sz w:val="26"/>
          <w:szCs w:val="26"/>
        </w:rPr>
        <w:t>1977)</w:t>
      </w:r>
      <w:proofErr w:type="gramEnd"/>
      <w:r w:rsidR="0068246F" w:rsidRPr="004B193B">
        <w:rPr>
          <w:sz w:val="26"/>
          <w:szCs w:val="26"/>
        </w:rPr>
        <w:t xml:space="preserve">.  </w:t>
      </w:r>
      <w:r>
        <w:rPr>
          <w:sz w:val="26"/>
          <w:szCs w:val="26"/>
        </w:rPr>
        <w:t>Further, t</w:t>
      </w:r>
      <w:r w:rsidRPr="004B193B">
        <w:rPr>
          <w:sz w:val="26"/>
          <w:szCs w:val="26"/>
        </w:rPr>
        <w:t xml:space="preserve">he </w:t>
      </w:r>
      <w:r w:rsidRPr="004B193B">
        <w:rPr>
          <w:color w:val="252525"/>
          <w:sz w:val="26"/>
          <w:szCs w:val="26"/>
        </w:rPr>
        <w:t xml:space="preserve">Commonwealth Court has made clear that an administrative agency does not have power to determine the </w:t>
      </w:r>
      <w:r w:rsidRPr="004B193B">
        <w:rPr>
          <w:bCs/>
          <w:color w:val="252525"/>
          <w:sz w:val="26"/>
          <w:szCs w:val="26"/>
        </w:rPr>
        <w:t>constitutionality</w:t>
      </w:r>
      <w:r w:rsidRPr="004B193B">
        <w:rPr>
          <w:color w:val="252525"/>
          <w:sz w:val="26"/>
          <w:szCs w:val="26"/>
        </w:rPr>
        <w:t xml:space="preserve"> of a </w:t>
      </w:r>
      <w:r w:rsidRPr="004B193B">
        <w:rPr>
          <w:bCs/>
          <w:color w:val="252525"/>
          <w:sz w:val="26"/>
          <w:szCs w:val="26"/>
        </w:rPr>
        <w:t>statute</w:t>
      </w:r>
      <w:r w:rsidRPr="004B193B">
        <w:rPr>
          <w:color w:val="252525"/>
          <w:sz w:val="26"/>
          <w:szCs w:val="26"/>
        </w:rPr>
        <w:t xml:space="preserve"> it is charged to implement. </w:t>
      </w:r>
      <w:hyperlink r:id="rId17" w:anchor="co_pp_sp_162_716" w:history="1">
        <w:r w:rsidRPr="004B193B">
          <w:rPr>
            <w:i/>
            <w:iCs/>
            <w:sz w:val="26"/>
            <w:szCs w:val="26"/>
          </w:rPr>
          <w:t xml:space="preserve">Cutler v. State Civil Service </w:t>
        </w:r>
        <w:proofErr w:type="spellStart"/>
        <w:r w:rsidRPr="004B193B">
          <w:rPr>
            <w:i/>
            <w:iCs/>
            <w:sz w:val="26"/>
            <w:szCs w:val="26"/>
          </w:rPr>
          <w:t>Com</w:t>
        </w:r>
        <w:r w:rsidR="006541E0">
          <w:rPr>
            <w:i/>
            <w:iCs/>
            <w:sz w:val="26"/>
            <w:szCs w:val="26"/>
          </w:rPr>
          <w:t>m</w:t>
        </w:r>
        <w:r w:rsidRPr="004B193B">
          <w:rPr>
            <w:i/>
            <w:iCs/>
            <w:sz w:val="26"/>
            <w:szCs w:val="26"/>
          </w:rPr>
          <w:t>'n</w:t>
        </w:r>
        <w:proofErr w:type="spellEnd"/>
        <w:r w:rsidRPr="004B193B">
          <w:rPr>
            <w:i/>
            <w:iCs/>
            <w:sz w:val="26"/>
            <w:szCs w:val="26"/>
          </w:rPr>
          <w:t xml:space="preserve"> (Office of Admin.),</w:t>
        </w:r>
        <w:r w:rsidRPr="004B193B">
          <w:rPr>
            <w:sz w:val="26"/>
            <w:szCs w:val="26"/>
          </w:rPr>
          <w:t xml:space="preserve"> 924 A.2d 706, 716-17 (Pa. </w:t>
        </w:r>
        <w:proofErr w:type="spellStart"/>
        <w:r w:rsidRPr="004B193B">
          <w:rPr>
            <w:sz w:val="26"/>
            <w:szCs w:val="26"/>
          </w:rPr>
          <w:t>Cmwlth</w:t>
        </w:r>
        <w:proofErr w:type="spellEnd"/>
        <w:r w:rsidRPr="004B193B">
          <w:rPr>
            <w:sz w:val="26"/>
            <w:szCs w:val="26"/>
          </w:rPr>
          <w:t>. 2007)</w:t>
        </w:r>
      </w:hyperlink>
      <w:r w:rsidRPr="004B193B">
        <w:rPr>
          <w:sz w:val="26"/>
          <w:szCs w:val="26"/>
        </w:rPr>
        <w:t xml:space="preserve">. </w:t>
      </w:r>
      <w:r w:rsidRPr="004B193B">
        <w:rPr>
          <w:color w:val="252525"/>
          <w:sz w:val="26"/>
          <w:szCs w:val="26"/>
        </w:rPr>
        <w:t xml:space="preserve"> </w:t>
      </w:r>
      <w:r w:rsidR="006541E0">
        <w:rPr>
          <w:sz w:val="26"/>
          <w:szCs w:val="26"/>
        </w:rPr>
        <w:t>Here</w:t>
      </w:r>
      <w:r w:rsidR="00C61BE2">
        <w:rPr>
          <w:sz w:val="26"/>
          <w:szCs w:val="26"/>
        </w:rPr>
        <w:t>, Mr. </w:t>
      </w:r>
      <w:proofErr w:type="spellStart"/>
      <w:r w:rsidR="000943B2">
        <w:rPr>
          <w:sz w:val="26"/>
          <w:szCs w:val="26"/>
        </w:rPr>
        <w:t>Kazimer</w:t>
      </w:r>
      <w:proofErr w:type="spellEnd"/>
      <w:r w:rsidR="000943B2">
        <w:rPr>
          <w:sz w:val="26"/>
          <w:szCs w:val="26"/>
        </w:rPr>
        <w:t xml:space="preserve"> is objecting to the legality and the constitutionality</w:t>
      </w:r>
      <w:r w:rsidR="00C61BE2">
        <w:rPr>
          <w:sz w:val="26"/>
          <w:szCs w:val="26"/>
        </w:rPr>
        <w:t xml:space="preserve"> of Section 1311(c) of the </w:t>
      </w:r>
      <w:r w:rsidR="000943B2">
        <w:rPr>
          <w:sz w:val="26"/>
          <w:szCs w:val="26"/>
        </w:rPr>
        <w:t>Code</w:t>
      </w:r>
      <w:r w:rsidR="0069443F">
        <w:rPr>
          <w:sz w:val="26"/>
          <w:szCs w:val="26"/>
        </w:rPr>
        <w:t xml:space="preserve"> and the Commission is not permitted to </w:t>
      </w:r>
      <w:r w:rsidR="00B515F0">
        <w:rPr>
          <w:sz w:val="26"/>
          <w:szCs w:val="26"/>
        </w:rPr>
        <w:t>entertain this challenge</w:t>
      </w:r>
      <w:r w:rsidR="000943B2">
        <w:rPr>
          <w:sz w:val="26"/>
          <w:szCs w:val="26"/>
        </w:rPr>
        <w:t xml:space="preserve">.    </w:t>
      </w:r>
    </w:p>
    <w:p w:rsidR="00165EAD" w:rsidRDefault="00165EAD" w:rsidP="000943B2">
      <w:pPr>
        <w:pStyle w:val="OutlineL3"/>
        <w:widowControl w:val="0"/>
        <w:numPr>
          <w:ilvl w:val="0"/>
          <w:numId w:val="0"/>
        </w:numPr>
        <w:tabs>
          <w:tab w:val="clear" w:pos="2160"/>
        </w:tabs>
        <w:spacing w:after="0" w:line="360" w:lineRule="auto"/>
        <w:ind w:firstLine="1440"/>
        <w:rPr>
          <w:sz w:val="26"/>
          <w:szCs w:val="26"/>
        </w:rPr>
      </w:pPr>
    </w:p>
    <w:p w:rsidR="00F02F86" w:rsidRDefault="0069443F" w:rsidP="000943B2">
      <w:pPr>
        <w:pStyle w:val="OutlineL3"/>
        <w:widowControl w:val="0"/>
        <w:numPr>
          <w:ilvl w:val="0"/>
          <w:numId w:val="0"/>
        </w:numPr>
        <w:tabs>
          <w:tab w:val="clear" w:pos="2160"/>
        </w:tabs>
        <w:spacing w:after="0" w:line="360" w:lineRule="auto"/>
        <w:ind w:firstLine="1440"/>
        <w:rPr>
          <w:sz w:val="26"/>
          <w:szCs w:val="26"/>
        </w:rPr>
      </w:pPr>
      <w:r>
        <w:rPr>
          <w:sz w:val="26"/>
          <w:szCs w:val="26"/>
        </w:rPr>
        <w:t xml:space="preserve">Furthermore, to the extent that Mr. </w:t>
      </w:r>
      <w:proofErr w:type="spellStart"/>
      <w:r>
        <w:rPr>
          <w:sz w:val="26"/>
          <w:szCs w:val="26"/>
        </w:rPr>
        <w:t>Kazimer</w:t>
      </w:r>
      <w:proofErr w:type="spellEnd"/>
      <w:r>
        <w:rPr>
          <w:sz w:val="26"/>
          <w:szCs w:val="26"/>
        </w:rPr>
        <w:t xml:space="preserve"> is also objecting </w:t>
      </w:r>
      <w:r w:rsidR="00165EAD">
        <w:rPr>
          <w:sz w:val="26"/>
          <w:szCs w:val="26"/>
        </w:rPr>
        <w:t>to the application of Section 1311(c) and the ALJs</w:t>
      </w:r>
      <w:r w:rsidR="00680E8F">
        <w:rPr>
          <w:sz w:val="26"/>
          <w:szCs w:val="26"/>
        </w:rPr>
        <w:t>’</w:t>
      </w:r>
      <w:r w:rsidR="00165EAD">
        <w:rPr>
          <w:sz w:val="26"/>
          <w:szCs w:val="26"/>
        </w:rPr>
        <w:t xml:space="preserve"> determination that </w:t>
      </w:r>
      <w:r>
        <w:rPr>
          <w:sz w:val="26"/>
          <w:szCs w:val="26"/>
        </w:rPr>
        <w:t xml:space="preserve">it is in the public interest </w:t>
      </w:r>
      <w:r>
        <w:rPr>
          <w:sz w:val="26"/>
          <w:szCs w:val="26"/>
        </w:rPr>
        <w:lastRenderedPageBreak/>
        <w:t xml:space="preserve">to allocate a portion of the wastewater requirement to the combined water and wastewater customer base, we shall deny the Exception.  </w:t>
      </w:r>
      <w:r w:rsidR="00F02F86">
        <w:rPr>
          <w:sz w:val="26"/>
          <w:szCs w:val="26"/>
        </w:rPr>
        <w:t xml:space="preserve">As the Commission has previously acknowledged, </w:t>
      </w:r>
      <w:r w:rsidR="00680E8F">
        <w:rPr>
          <w:sz w:val="26"/>
          <w:szCs w:val="26"/>
        </w:rPr>
        <w:t>one</w:t>
      </w:r>
      <w:r w:rsidR="00F02F86">
        <w:rPr>
          <w:sz w:val="26"/>
          <w:szCs w:val="26"/>
        </w:rPr>
        <w:t xml:space="preserve"> benefit of Section 1311(c) </w:t>
      </w:r>
      <w:r w:rsidR="00680E8F">
        <w:rPr>
          <w:sz w:val="26"/>
          <w:szCs w:val="26"/>
        </w:rPr>
        <w:t>is</w:t>
      </w:r>
      <w:r w:rsidR="00F02F86">
        <w:rPr>
          <w:sz w:val="26"/>
          <w:szCs w:val="26"/>
        </w:rPr>
        <w:t xml:space="preserve"> that the costs of necessary upgrades to wastewater systems to maintain safe and reliable service, which can be substantial on a stand-alone basis, can be spread among the common customer base of the water and wastewater utilities.</w:t>
      </w:r>
      <w:r w:rsidR="00F02F86">
        <w:rPr>
          <w:rStyle w:val="FootnoteReference"/>
          <w:sz w:val="26"/>
          <w:szCs w:val="26"/>
        </w:rPr>
        <w:footnoteReference w:id="19"/>
      </w:r>
      <w:r w:rsidR="00F02F86">
        <w:rPr>
          <w:sz w:val="26"/>
          <w:szCs w:val="26"/>
        </w:rPr>
        <w:t xml:space="preserve"> </w:t>
      </w:r>
      <w:r w:rsidR="00B515F0">
        <w:rPr>
          <w:sz w:val="26"/>
          <w:szCs w:val="26"/>
        </w:rPr>
        <w:t xml:space="preserve"> </w:t>
      </w:r>
    </w:p>
    <w:p w:rsidR="00F02F86" w:rsidRDefault="00F02F86" w:rsidP="000943B2">
      <w:pPr>
        <w:pStyle w:val="OutlineL3"/>
        <w:widowControl w:val="0"/>
        <w:numPr>
          <w:ilvl w:val="0"/>
          <w:numId w:val="0"/>
        </w:numPr>
        <w:tabs>
          <w:tab w:val="clear" w:pos="2160"/>
        </w:tabs>
        <w:spacing w:after="0" w:line="360" w:lineRule="auto"/>
        <w:ind w:firstLine="1440"/>
        <w:rPr>
          <w:sz w:val="26"/>
          <w:szCs w:val="26"/>
        </w:rPr>
      </w:pPr>
    </w:p>
    <w:p w:rsidR="007067BD" w:rsidRDefault="00F02F86" w:rsidP="000943B2">
      <w:pPr>
        <w:pStyle w:val="OutlineL3"/>
        <w:widowControl w:val="0"/>
        <w:numPr>
          <w:ilvl w:val="0"/>
          <w:numId w:val="0"/>
        </w:numPr>
        <w:tabs>
          <w:tab w:val="clear" w:pos="2160"/>
        </w:tabs>
        <w:spacing w:after="0" w:line="360" w:lineRule="auto"/>
        <w:ind w:firstLine="1440"/>
        <w:rPr>
          <w:sz w:val="26"/>
          <w:szCs w:val="26"/>
        </w:rPr>
      </w:pPr>
      <w:r>
        <w:rPr>
          <w:sz w:val="26"/>
          <w:szCs w:val="26"/>
        </w:rPr>
        <w:t>Here</w:t>
      </w:r>
      <w:r w:rsidR="00B515F0">
        <w:rPr>
          <w:sz w:val="26"/>
          <w:szCs w:val="26"/>
        </w:rPr>
        <w:t>, the ALJs acknowledged that</w:t>
      </w:r>
      <w:r w:rsidR="00680E8F">
        <w:rPr>
          <w:sz w:val="26"/>
          <w:szCs w:val="26"/>
        </w:rPr>
        <w:t>,</w:t>
      </w:r>
      <w:r w:rsidR="00B515F0">
        <w:rPr>
          <w:sz w:val="26"/>
          <w:szCs w:val="26"/>
        </w:rPr>
        <w:t xml:space="preserve"> during the public input hearings, many customers disputed that it was in the public interest</w:t>
      </w:r>
      <w:r w:rsidR="007067BD">
        <w:rPr>
          <w:sz w:val="26"/>
          <w:szCs w:val="26"/>
        </w:rPr>
        <w:t xml:space="preserve"> to combine the water and wastewater customer base to help pay for the wastewater service.  However, the ALJs gave weight to the active part</w:t>
      </w:r>
      <w:r w:rsidR="007266D3">
        <w:rPr>
          <w:sz w:val="26"/>
          <w:szCs w:val="26"/>
        </w:rPr>
        <w:t xml:space="preserve">y participants </w:t>
      </w:r>
      <w:r w:rsidR="007067BD">
        <w:rPr>
          <w:sz w:val="26"/>
          <w:szCs w:val="26"/>
        </w:rPr>
        <w:t>who supported the Settlement and asserted that it is in the public interest to pass moderate increases to water-only customers for the greater public good of reasonable wastewater rates and wastewater improvements.  R.D. at 43.</w:t>
      </w:r>
    </w:p>
    <w:p w:rsidR="007067BD" w:rsidRDefault="007067BD" w:rsidP="000943B2">
      <w:pPr>
        <w:pStyle w:val="OutlineL3"/>
        <w:widowControl w:val="0"/>
        <w:numPr>
          <w:ilvl w:val="0"/>
          <w:numId w:val="0"/>
        </w:numPr>
        <w:tabs>
          <w:tab w:val="clear" w:pos="2160"/>
        </w:tabs>
        <w:spacing w:after="0" w:line="360" w:lineRule="auto"/>
        <w:ind w:firstLine="1440"/>
        <w:rPr>
          <w:sz w:val="26"/>
          <w:szCs w:val="26"/>
        </w:rPr>
      </w:pPr>
    </w:p>
    <w:p w:rsidR="00A00D75" w:rsidRDefault="007067BD" w:rsidP="000943B2">
      <w:pPr>
        <w:pStyle w:val="OutlineL3"/>
        <w:widowControl w:val="0"/>
        <w:numPr>
          <w:ilvl w:val="0"/>
          <w:numId w:val="0"/>
        </w:numPr>
        <w:tabs>
          <w:tab w:val="clear" w:pos="2160"/>
        </w:tabs>
        <w:spacing w:after="0" w:line="360" w:lineRule="auto"/>
        <w:ind w:firstLine="1440"/>
        <w:rPr>
          <w:sz w:val="26"/>
          <w:szCs w:val="26"/>
        </w:rPr>
      </w:pPr>
      <w:r>
        <w:rPr>
          <w:sz w:val="26"/>
          <w:szCs w:val="26"/>
        </w:rPr>
        <w:t xml:space="preserve">Upon review of the record, we find that the ALJs properly concluded that it is </w:t>
      </w:r>
      <w:r w:rsidR="00680E8F">
        <w:rPr>
          <w:sz w:val="26"/>
          <w:szCs w:val="26"/>
        </w:rPr>
        <w:t xml:space="preserve">in </w:t>
      </w:r>
      <w:r>
        <w:rPr>
          <w:sz w:val="26"/>
          <w:szCs w:val="26"/>
        </w:rPr>
        <w:t xml:space="preserve">the public interest to allow the combination of the water and wastewater </w:t>
      </w:r>
      <w:r w:rsidR="00680E8F">
        <w:rPr>
          <w:sz w:val="26"/>
          <w:szCs w:val="26"/>
        </w:rPr>
        <w:t xml:space="preserve">customer </w:t>
      </w:r>
      <w:r>
        <w:rPr>
          <w:sz w:val="26"/>
          <w:szCs w:val="26"/>
        </w:rPr>
        <w:t xml:space="preserve">base under Section 1311(c).  </w:t>
      </w:r>
      <w:r w:rsidR="00B515F0">
        <w:rPr>
          <w:sz w:val="26"/>
          <w:szCs w:val="26"/>
        </w:rPr>
        <w:t xml:space="preserve"> </w:t>
      </w:r>
      <w:r w:rsidR="007266D3">
        <w:rPr>
          <w:sz w:val="26"/>
          <w:szCs w:val="26"/>
        </w:rPr>
        <w:t>We agree that the Settlement avoids significant wastewater increases scheduled for January 1, 2014, while allowing for moderate increases in water rates.</w:t>
      </w:r>
      <w:r w:rsidR="007266D3">
        <w:rPr>
          <w:rStyle w:val="FootnoteReference"/>
          <w:sz w:val="26"/>
          <w:szCs w:val="26"/>
        </w:rPr>
        <w:footnoteReference w:id="20"/>
      </w:r>
      <w:r w:rsidR="007266D3">
        <w:rPr>
          <w:sz w:val="26"/>
          <w:szCs w:val="26"/>
        </w:rPr>
        <w:t xml:space="preserve"> </w:t>
      </w:r>
    </w:p>
    <w:p w:rsidR="007266D3" w:rsidRPr="00037858" w:rsidRDefault="007266D3" w:rsidP="000943B2">
      <w:pPr>
        <w:pStyle w:val="OutlineL3"/>
        <w:widowControl w:val="0"/>
        <w:numPr>
          <w:ilvl w:val="0"/>
          <w:numId w:val="0"/>
        </w:numPr>
        <w:tabs>
          <w:tab w:val="clear" w:pos="2160"/>
        </w:tabs>
        <w:spacing w:after="0" w:line="360" w:lineRule="auto"/>
        <w:ind w:firstLine="1440"/>
        <w:rPr>
          <w:sz w:val="26"/>
          <w:szCs w:val="26"/>
        </w:rPr>
      </w:pPr>
    </w:p>
    <w:p w:rsidR="00711B77" w:rsidRDefault="00A160E6" w:rsidP="00D30D85">
      <w:pPr>
        <w:spacing w:after="0" w:line="360" w:lineRule="auto"/>
        <w:rPr>
          <w:rFonts w:ascii="Times New Roman" w:eastAsia="Times New Roman" w:hAnsi="Times New Roman"/>
          <w:sz w:val="26"/>
          <w:szCs w:val="26"/>
        </w:rPr>
      </w:pPr>
      <w:r>
        <w:rPr>
          <w:rFonts w:ascii="Times New Roman" w:eastAsia="Times New Roman" w:hAnsi="Times New Roman"/>
          <w:sz w:val="24"/>
          <w:szCs w:val="24"/>
        </w:rPr>
        <w:tab/>
      </w:r>
      <w:r>
        <w:rPr>
          <w:rFonts w:ascii="Times New Roman" w:eastAsia="Times New Roman" w:hAnsi="Times New Roman"/>
          <w:sz w:val="24"/>
          <w:szCs w:val="24"/>
        </w:rPr>
        <w:tab/>
      </w:r>
      <w:r w:rsidR="007266D3">
        <w:rPr>
          <w:rFonts w:ascii="Times New Roman" w:eastAsia="Times New Roman" w:hAnsi="Times New Roman"/>
          <w:sz w:val="26"/>
          <w:szCs w:val="26"/>
        </w:rPr>
        <w:t>In addition</w:t>
      </w:r>
      <w:r w:rsidRPr="00B229F4">
        <w:rPr>
          <w:rFonts w:ascii="Times New Roman" w:eastAsia="Times New Roman" w:hAnsi="Times New Roman"/>
          <w:sz w:val="26"/>
          <w:szCs w:val="26"/>
        </w:rPr>
        <w:t xml:space="preserve">, we find </w:t>
      </w:r>
      <w:r w:rsidR="00E01BF9">
        <w:rPr>
          <w:rFonts w:ascii="Times New Roman" w:eastAsia="Times New Roman" w:hAnsi="Times New Roman"/>
          <w:sz w:val="26"/>
          <w:szCs w:val="26"/>
        </w:rPr>
        <w:t xml:space="preserve">that </w:t>
      </w:r>
      <w:r w:rsidRPr="00B229F4">
        <w:rPr>
          <w:rFonts w:ascii="Times New Roman" w:eastAsia="Times New Roman" w:hAnsi="Times New Roman"/>
          <w:sz w:val="26"/>
          <w:szCs w:val="26"/>
        </w:rPr>
        <w:t xml:space="preserve">Mr. </w:t>
      </w:r>
      <w:proofErr w:type="spellStart"/>
      <w:r w:rsidRPr="00B229F4">
        <w:rPr>
          <w:rFonts w:ascii="Times New Roman" w:eastAsia="Times New Roman" w:hAnsi="Times New Roman"/>
          <w:sz w:val="26"/>
          <w:szCs w:val="26"/>
        </w:rPr>
        <w:t>Kazimer’s</w:t>
      </w:r>
      <w:proofErr w:type="spellEnd"/>
      <w:r w:rsidRPr="00B229F4">
        <w:rPr>
          <w:rFonts w:ascii="Times New Roman" w:eastAsia="Times New Roman" w:hAnsi="Times New Roman"/>
          <w:sz w:val="26"/>
          <w:szCs w:val="26"/>
        </w:rPr>
        <w:t xml:space="preserve"> </w:t>
      </w:r>
      <w:r w:rsidR="00E01BF9">
        <w:rPr>
          <w:rFonts w:ascii="Times New Roman" w:eastAsia="Times New Roman" w:hAnsi="Times New Roman"/>
          <w:sz w:val="26"/>
          <w:szCs w:val="26"/>
        </w:rPr>
        <w:t>second objection, claiming</w:t>
      </w:r>
      <w:r w:rsidRPr="00B229F4">
        <w:rPr>
          <w:rFonts w:ascii="Times New Roman" w:eastAsia="Times New Roman" w:hAnsi="Times New Roman"/>
          <w:sz w:val="26"/>
          <w:szCs w:val="26"/>
        </w:rPr>
        <w:t xml:space="preserve"> the ALJs did not address </w:t>
      </w:r>
      <w:r w:rsidR="000E1ED4" w:rsidRPr="00B229F4">
        <w:rPr>
          <w:rFonts w:ascii="Times New Roman" w:eastAsia="Times New Roman" w:hAnsi="Times New Roman"/>
          <w:sz w:val="26"/>
          <w:szCs w:val="26"/>
        </w:rPr>
        <w:t>his testimony pertaining to prior approved rate increases</w:t>
      </w:r>
      <w:r w:rsidR="00E01BF9">
        <w:rPr>
          <w:rFonts w:ascii="Times New Roman" w:eastAsia="Times New Roman" w:hAnsi="Times New Roman"/>
          <w:sz w:val="26"/>
          <w:szCs w:val="26"/>
        </w:rPr>
        <w:t>,</w:t>
      </w:r>
      <w:r w:rsidR="000E1ED4" w:rsidRPr="00B229F4">
        <w:rPr>
          <w:rFonts w:ascii="Times New Roman" w:eastAsia="Times New Roman" w:hAnsi="Times New Roman"/>
          <w:sz w:val="26"/>
          <w:szCs w:val="26"/>
        </w:rPr>
        <w:t xml:space="preserve"> to be without merit.  </w:t>
      </w:r>
      <w:r w:rsidR="00EF1416" w:rsidRPr="00B229F4">
        <w:rPr>
          <w:rFonts w:ascii="Times New Roman" w:eastAsia="Times New Roman" w:hAnsi="Times New Roman"/>
          <w:sz w:val="26"/>
          <w:szCs w:val="26"/>
        </w:rPr>
        <w:t xml:space="preserve">As an initial matter, Mr. </w:t>
      </w:r>
      <w:proofErr w:type="spellStart"/>
      <w:r w:rsidR="00EF1416" w:rsidRPr="00B229F4">
        <w:rPr>
          <w:rFonts w:ascii="Times New Roman" w:eastAsia="Times New Roman" w:hAnsi="Times New Roman"/>
          <w:sz w:val="26"/>
          <w:szCs w:val="26"/>
        </w:rPr>
        <w:t>Kazimer</w:t>
      </w:r>
      <w:proofErr w:type="spellEnd"/>
      <w:r w:rsidR="00EF1416" w:rsidRPr="00B229F4">
        <w:rPr>
          <w:rFonts w:ascii="Times New Roman" w:eastAsia="Times New Roman" w:hAnsi="Times New Roman"/>
          <w:sz w:val="26"/>
          <w:szCs w:val="26"/>
        </w:rPr>
        <w:t xml:space="preserve"> introduced an ex</w:t>
      </w:r>
      <w:r w:rsidR="008953FC" w:rsidRPr="00B229F4">
        <w:rPr>
          <w:rFonts w:ascii="Times New Roman" w:eastAsia="Times New Roman" w:hAnsi="Times New Roman"/>
          <w:sz w:val="26"/>
          <w:szCs w:val="26"/>
        </w:rPr>
        <w:t xml:space="preserve">hibit during his </w:t>
      </w:r>
      <w:r w:rsidR="008953FC" w:rsidRPr="00B229F4">
        <w:rPr>
          <w:rFonts w:ascii="Times New Roman" w:eastAsia="Times New Roman" w:hAnsi="Times New Roman"/>
          <w:sz w:val="26"/>
          <w:szCs w:val="26"/>
        </w:rPr>
        <w:lastRenderedPageBreak/>
        <w:t>testimony titled “PAWC Rate Case History” which was admitted into the record.</w:t>
      </w:r>
      <w:r w:rsidR="00E01BF9">
        <w:rPr>
          <w:rFonts w:ascii="Times New Roman" w:eastAsia="Times New Roman" w:hAnsi="Times New Roman"/>
          <w:sz w:val="26"/>
          <w:szCs w:val="26"/>
        </w:rPr>
        <w:t xml:space="preserve">  </w:t>
      </w:r>
      <w:r w:rsidR="004C507D">
        <w:rPr>
          <w:rFonts w:ascii="Times New Roman" w:eastAsia="Times New Roman" w:hAnsi="Times New Roman"/>
          <w:sz w:val="26"/>
          <w:szCs w:val="26"/>
        </w:rPr>
        <w:t xml:space="preserve">Tr. at 393; </w:t>
      </w:r>
      <w:proofErr w:type="spellStart"/>
      <w:r w:rsidR="004C507D">
        <w:rPr>
          <w:rFonts w:ascii="Times New Roman" w:eastAsia="Times New Roman" w:hAnsi="Times New Roman"/>
          <w:sz w:val="26"/>
          <w:szCs w:val="26"/>
        </w:rPr>
        <w:t>Kazimer</w:t>
      </w:r>
      <w:proofErr w:type="spellEnd"/>
      <w:r w:rsidR="004C507D">
        <w:rPr>
          <w:rFonts w:ascii="Times New Roman" w:eastAsia="Times New Roman" w:hAnsi="Times New Roman"/>
          <w:sz w:val="26"/>
          <w:szCs w:val="26"/>
        </w:rPr>
        <w:t xml:space="preserve"> </w:t>
      </w:r>
      <w:proofErr w:type="spellStart"/>
      <w:r w:rsidR="004C507D">
        <w:rPr>
          <w:rFonts w:ascii="Times New Roman" w:eastAsia="Times New Roman" w:hAnsi="Times New Roman"/>
          <w:sz w:val="26"/>
          <w:szCs w:val="26"/>
        </w:rPr>
        <w:t>Exh</w:t>
      </w:r>
      <w:proofErr w:type="spellEnd"/>
      <w:r w:rsidR="004C507D">
        <w:rPr>
          <w:rFonts w:ascii="Times New Roman" w:eastAsia="Times New Roman" w:hAnsi="Times New Roman"/>
          <w:sz w:val="26"/>
          <w:szCs w:val="26"/>
        </w:rPr>
        <w:t xml:space="preserve">. 1.  </w:t>
      </w:r>
      <w:r w:rsidR="00EE6C8A">
        <w:rPr>
          <w:rFonts w:ascii="Times New Roman" w:eastAsia="Times New Roman" w:hAnsi="Times New Roman"/>
          <w:sz w:val="26"/>
          <w:szCs w:val="26"/>
        </w:rPr>
        <w:t xml:space="preserve">This </w:t>
      </w:r>
      <w:r w:rsidR="008953FC" w:rsidRPr="00B229F4">
        <w:rPr>
          <w:rFonts w:ascii="Times New Roman" w:eastAsia="Times New Roman" w:hAnsi="Times New Roman"/>
          <w:sz w:val="26"/>
          <w:szCs w:val="26"/>
        </w:rPr>
        <w:t xml:space="preserve">Exhibit was also referenced in the Recommended Decision.  R.D. at 16.  </w:t>
      </w:r>
      <w:r w:rsidR="00EE6C8A">
        <w:rPr>
          <w:rFonts w:ascii="Times New Roman" w:eastAsia="Times New Roman" w:hAnsi="Times New Roman"/>
          <w:sz w:val="26"/>
          <w:szCs w:val="26"/>
        </w:rPr>
        <w:t xml:space="preserve">Furthermore, </w:t>
      </w:r>
      <w:r w:rsidR="00E01BF9">
        <w:rPr>
          <w:rFonts w:ascii="Times New Roman" w:eastAsia="Times New Roman" w:hAnsi="Times New Roman"/>
          <w:sz w:val="26"/>
          <w:szCs w:val="26"/>
        </w:rPr>
        <w:t>the Exhibit</w:t>
      </w:r>
      <w:r w:rsidR="00EE6C8A">
        <w:rPr>
          <w:rFonts w:ascii="Times New Roman" w:eastAsia="Times New Roman" w:hAnsi="Times New Roman"/>
          <w:sz w:val="26"/>
          <w:szCs w:val="26"/>
        </w:rPr>
        <w:t xml:space="preserve"> is identical to the chart attached to </w:t>
      </w:r>
      <w:r w:rsidR="004C507D">
        <w:rPr>
          <w:rFonts w:ascii="Times New Roman" w:eastAsia="Times New Roman" w:hAnsi="Times New Roman"/>
          <w:sz w:val="26"/>
          <w:szCs w:val="26"/>
        </w:rPr>
        <w:t xml:space="preserve">Mr. </w:t>
      </w:r>
      <w:proofErr w:type="spellStart"/>
      <w:r w:rsidR="004C507D">
        <w:rPr>
          <w:rFonts w:ascii="Times New Roman" w:eastAsia="Times New Roman" w:hAnsi="Times New Roman"/>
          <w:sz w:val="26"/>
          <w:szCs w:val="26"/>
        </w:rPr>
        <w:t>Kazimer’s</w:t>
      </w:r>
      <w:proofErr w:type="spellEnd"/>
      <w:r w:rsidR="00EE6C8A">
        <w:rPr>
          <w:rFonts w:ascii="Times New Roman" w:eastAsia="Times New Roman" w:hAnsi="Times New Roman"/>
          <w:sz w:val="26"/>
          <w:szCs w:val="26"/>
        </w:rPr>
        <w:t xml:space="preserve"> Exceptions</w:t>
      </w:r>
      <w:r w:rsidR="004C507D">
        <w:rPr>
          <w:rFonts w:ascii="Times New Roman" w:eastAsia="Times New Roman" w:hAnsi="Times New Roman"/>
          <w:sz w:val="26"/>
          <w:szCs w:val="26"/>
        </w:rPr>
        <w:t xml:space="preserve"> upon which he based his calculations of prior rate increases</w:t>
      </w:r>
      <w:r w:rsidR="00EE6C8A">
        <w:rPr>
          <w:rFonts w:ascii="Times New Roman" w:eastAsia="Times New Roman" w:hAnsi="Times New Roman"/>
          <w:sz w:val="26"/>
          <w:szCs w:val="26"/>
        </w:rPr>
        <w:t>.</w:t>
      </w:r>
      <w:r w:rsidR="004C507D">
        <w:rPr>
          <w:rFonts w:ascii="Times New Roman" w:eastAsia="Times New Roman" w:hAnsi="Times New Roman"/>
          <w:sz w:val="26"/>
          <w:szCs w:val="26"/>
        </w:rPr>
        <w:t xml:space="preserve">  </w:t>
      </w:r>
      <w:r w:rsidR="00E01BF9">
        <w:rPr>
          <w:rFonts w:ascii="Times New Roman" w:eastAsia="Times New Roman" w:hAnsi="Times New Roman"/>
          <w:sz w:val="26"/>
          <w:szCs w:val="26"/>
        </w:rPr>
        <w:t>Thus, we</w:t>
      </w:r>
      <w:r w:rsidR="008953FC" w:rsidRPr="00B229F4">
        <w:rPr>
          <w:rFonts w:ascii="Times New Roman" w:eastAsia="Times New Roman" w:hAnsi="Times New Roman"/>
          <w:sz w:val="26"/>
          <w:szCs w:val="26"/>
        </w:rPr>
        <w:t xml:space="preserve"> find no basis in the record or in the Recommended Decision which suggests the ALJs disregarded Mr. </w:t>
      </w:r>
      <w:proofErr w:type="spellStart"/>
      <w:r w:rsidR="008953FC" w:rsidRPr="00B229F4">
        <w:rPr>
          <w:rFonts w:ascii="Times New Roman" w:eastAsia="Times New Roman" w:hAnsi="Times New Roman"/>
          <w:sz w:val="26"/>
          <w:szCs w:val="26"/>
        </w:rPr>
        <w:t>Kazimer’s</w:t>
      </w:r>
      <w:proofErr w:type="spellEnd"/>
      <w:r w:rsidR="008953FC" w:rsidRPr="00B229F4">
        <w:rPr>
          <w:rFonts w:ascii="Times New Roman" w:eastAsia="Times New Roman" w:hAnsi="Times New Roman"/>
          <w:sz w:val="26"/>
          <w:szCs w:val="26"/>
        </w:rPr>
        <w:t xml:space="preserve"> testimony.  </w:t>
      </w:r>
      <w:r w:rsidR="00FA5BA5">
        <w:rPr>
          <w:rFonts w:ascii="Times New Roman" w:eastAsia="Times New Roman" w:hAnsi="Times New Roman"/>
          <w:sz w:val="26"/>
          <w:szCs w:val="26"/>
        </w:rPr>
        <w:t>Furthermore</w:t>
      </w:r>
      <w:r w:rsidR="008953FC" w:rsidRPr="00B229F4">
        <w:rPr>
          <w:rFonts w:ascii="Times New Roman" w:eastAsia="Times New Roman" w:hAnsi="Times New Roman"/>
          <w:sz w:val="26"/>
          <w:szCs w:val="26"/>
        </w:rPr>
        <w:t xml:space="preserve">, Mr. </w:t>
      </w:r>
      <w:proofErr w:type="spellStart"/>
      <w:r w:rsidR="008953FC" w:rsidRPr="00B229F4">
        <w:rPr>
          <w:rFonts w:ascii="Times New Roman" w:eastAsia="Times New Roman" w:hAnsi="Times New Roman"/>
          <w:sz w:val="26"/>
          <w:szCs w:val="26"/>
        </w:rPr>
        <w:t>Kazimer</w:t>
      </w:r>
      <w:r w:rsidR="00FA5BA5">
        <w:rPr>
          <w:rFonts w:ascii="Times New Roman" w:eastAsia="Times New Roman" w:hAnsi="Times New Roman"/>
          <w:sz w:val="26"/>
          <w:szCs w:val="26"/>
        </w:rPr>
        <w:t>’s</w:t>
      </w:r>
      <w:proofErr w:type="spellEnd"/>
      <w:r w:rsidR="00FA5BA5">
        <w:rPr>
          <w:rFonts w:ascii="Times New Roman" w:eastAsia="Times New Roman" w:hAnsi="Times New Roman"/>
          <w:sz w:val="26"/>
          <w:szCs w:val="26"/>
        </w:rPr>
        <w:t xml:space="preserve"> objection is essentially a statement of dissatisfaction with the ALJs’ Recommended Decision.  We are of </w:t>
      </w:r>
      <w:r w:rsidR="004C507D">
        <w:rPr>
          <w:rFonts w:ascii="Times New Roman" w:eastAsia="Times New Roman" w:hAnsi="Times New Roman"/>
          <w:sz w:val="26"/>
          <w:szCs w:val="26"/>
        </w:rPr>
        <w:t xml:space="preserve">the </w:t>
      </w:r>
      <w:r w:rsidR="00FA5BA5">
        <w:rPr>
          <w:rFonts w:ascii="Times New Roman" w:eastAsia="Times New Roman" w:hAnsi="Times New Roman"/>
          <w:sz w:val="26"/>
          <w:szCs w:val="26"/>
        </w:rPr>
        <w:t xml:space="preserve">opinion that the ALJs </w:t>
      </w:r>
      <w:r w:rsidR="00950ED6">
        <w:rPr>
          <w:rFonts w:ascii="Times New Roman" w:eastAsia="Times New Roman" w:hAnsi="Times New Roman"/>
          <w:sz w:val="26"/>
          <w:szCs w:val="26"/>
        </w:rPr>
        <w:t xml:space="preserve">correctly </w:t>
      </w:r>
      <w:r w:rsidR="00FA5BA5">
        <w:rPr>
          <w:rFonts w:ascii="Times New Roman" w:eastAsia="Times New Roman" w:hAnsi="Times New Roman"/>
          <w:sz w:val="26"/>
          <w:szCs w:val="26"/>
        </w:rPr>
        <w:t>determin</w:t>
      </w:r>
      <w:r w:rsidR="00950ED6">
        <w:rPr>
          <w:rFonts w:ascii="Times New Roman" w:eastAsia="Times New Roman" w:hAnsi="Times New Roman"/>
          <w:sz w:val="26"/>
          <w:szCs w:val="26"/>
        </w:rPr>
        <w:t>ed</w:t>
      </w:r>
      <w:r w:rsidR="00FA5BA5">
        <w:rPr>
          <w:rFonts w:ascii="Times New Roman" w:eastAsia="Times New Roman" w:hAnsi="Times New Roman"/>
          <w:sz w:val="26"/>
          <w:szCs w:val="26"/>
        </w:rPr>
        <w:t xml:space="preserve"> that PAWC has sustained its burden of proof in demonstrating that the increase in rates as proposed in the </w:t>
      </w:r>
      <w:r w:rsidR="00203845">
        <w:rPr>
          <w:rFonts w:ascii="Times New Roman" w:eastAsia="Times New Roman" w:hAnsi="Times New Roman"/>
          <w:sz w:val="26"/>
          <w:szCs w:val="26"/>
        </w:rPr>
        <w:t>Settlement</w:t>
      </w:r>
      <w:r w:rsidR="00FA5BA5">
        <w:rPr>
          <w:rFonts w:ascii="Times New Roman" w:eastAsia="Times New Roman" w:hAnsi="Times New Roman"/>
          <w:sz w:val="26"/>
          <w:szCs w:val="26"/>
        </w:rPr>
        <w:t xml:space="preserve"> is warranted.  Accordingly, we shall deny Mr. </w:t>
      </w:r>
      <w:proofErr w:type="spellStart"/>
      <w:r w:rsidR="00FA5BA5">
        <w:rPr>
          <w:rFonts w:ascii="Times New Roman" w:eastAsia="Times New Roman" w:hAnsi="Times New Roman"/>
          <w:sz w:val="26"/>
          <w:szCs w:val="26"/>
        </w:rPr>
        <w:t>Kazimer’s</w:t>
      </w:r>
      <w:proofErr w:type="spellEnd"/>
      <w:r w:rsidR="00FA5BA5">
        <w:rPr>
          <w:rFonts w:ascii="Times New Roman" w:eastAsia="Times New Roman" w:hAnsi="Times New Roman"/>
          <w:sz w:val="26"/>
          <w:szCs w:val="26"/>
        </w:rPr>
        <w:t xml:space="preserve"> Exceptions.</w:t>
      </w:r>
      <w:r w:rsidRPr="00B229F4">
        <w:rPr>
          <w:rFonts w:ascii="Times New Roman" w:eastAsia="Times New Roman" w:hAnsi="Times New Roman"/>
          <w:sz w:val="26"/>
          <w:szCs w:val="26"/>
        </w:rPr>
        <w:t xml:space="preserve"> </w:t>
      </w:r>
    </w:p>
    <w:p w:rsidR="00FC2D58" w:rsidRDefault="00FC2D58" w:rsidP="00D30D85">
      <w:pPr>
        <w:spacing w:after="0" w:line="360" w:lineRule="auto"/>
        <w:rPr>
          <w:rFonts w:ascii="Times New Roman" w:eastAsia="Times New Roman" w:hAnsi="Times New Roman"/>
          <w:sz w:val="26"/>
          <w:szCs w:val="26"/>
        </w:rPr>
      </w:pPr>
    </w:p>
    <w:p w:rsidR="00711B77" w:rsidRDefault="00711B77" w:rsidP="00D30D85">
      <w:pPr>
        <w:spacing w:after="0" w:line="360" w:lineRule="auto"/>
        <w:rPr>
          <w:rFonts w:ascii="Times New Roman" w:eastAsia="Times New Roman" w:hAnsi="Times New Roman"/>
          <w:sz w:val="26"/>
          <w:szCs w:val="26"/>
        </w:rPr>
      </w:pPr>
      <w:r>
        <w:rPr>
          <w:rFonts w:ascii="Times New Roman" w:eastAsia="Times New Roman" w:hAnsi="Times New Roman"/>
          <w:b/>
          <w:sz w:val="26"/>
          <w:szCs w:val="26"/>
        </w:rPr>
        <w:t xml:space="preserve">E. </w:t>
      </w:r>
      <w:r>
        <w:rPr>
          <w:rFonts w:ascii="Times New Roman" w:eastAsia="Times New Roman" w:hAnsi="Times New Roman"/>
          <w:b/>
          <w:sz w:val="26"/>
          <w:szCs w:val="26"/>
        </w:rPr>
        <w:tab/>
      </w:r>
      <w:r w:rsidR="00DE20CB">
        <w:rPr>
          <w:rFonts w:ascii="Times New Roman" w:eastAsia="Times New Roman" w:hAnsi="Times New Roman"/>
          <w:b/>
          <w:sz w:val="26"/>
          <w:szCs w:val="26"/>
        </w:rPr>
        <w:t>Additional Consideration</w:t>
      </w:r>
    </w:p>
    <w:p w:rsidR="00711B77" w:rsidRDefault="00711B77" w:rsidP="00D30D85">
      <w:pPr>
        <w:spacing w:after="0" w:line="360" w:lineRule="auto"/>
        <w:rPr>
          <w:rFonts w:ascii="Times New Roman" w:eastAsia="Times New Roman" w:hAnsi="Times New Roman"/>
          <w:sz w:val="26"/>
          <w:szCs w:val="26"/>
        </w:rPr>
      </w:pPr>
      <w:r>
        <w:rPr>
          <w:rFonts w:ascii="Times New Roman" w:eastAsia="Times New Roman" w:hAnsi="Times New Roman"/>
          <w:sz w:val="26"/>
          <w:szCs w:val="26"/>
        </w:rPr>
        <w:tab/>
      </w:r>
    </w:p>
    <w:p w:rsidR="00711B77" w:rsidRPr="00486C8A" w:rsidRDefault="00711B77" w:rsidP="00D30D85">
      <w:pPr>
        <w:spacing w:after="0" w:line="360" w:lineRule="auto"/>
        <w:rPr>
          <w:rFonts w:ascii="Times New Roman" w:eastAsia="Times New Roman" w:hAnsi="Times New Roman"/>
          <w:sz w:val="26"/>
          <w:szCs w:val="26"/>
        </w:rPr>
      </w:pPr>
      <w:r>
        <w:rPr>
          <w:rFonts w:ascii="Times New Roman" w:eastAsia="Times New Roman" w:hAnsi="Times New Roman"/>
          <w:sz w:val="26"/>
          <w:szCs w:val="26"/>
        </w:rPr>
        <w:tab/>
      </w:r>
      <w:r>
        <w:rPr>
          <w:rFonts w:ascii="Times New Roman" w:eastAsia="Times New Roman" w:hAnsi="Times New Roman"/>
          <w:sz w:val="26"/>
          <w:szCs w:val="26"/>
        </w:rPr>
        <w:tab/>
        <w:t xml:space="preserve">During the public input hearings, Amity Township Manager Charles Lyon questioned PAWC’s </w:t>
      </w:r>
      <w:r w:rsidR="00486C8A">
        <w:rPr>
          <w:rFonts w:ascii="Times New Roman" w:eastAsia="Times New Roman" w:hAnsi="Times New Roman"/>
          <w:sz w:val="26"/>
          <w:szCs w:val="26"/>
        </w:rPr>
        <w:t xml:space="preserve">apparent </w:t>
      </w:r>
      <w:r>
        <w:rPr>
          <w:rFonts w:ascii="Times New Roman" w:eastAsia="Times New Roman" w:hAnsi="Times New Roman"/>
          <w:sz w:val="26"/>
          <w:szCs w:val="26"/>
        </w:rPr>
        <w:t xml:space="preserve">practice of requiring the payment of public fire hydrant fees and the filing of indemnification documents when there is a use of the hydrants.  </w:t>
      </w:r>
      <w:r w:rsidR="003D5BE9">
        <w:rPr>
          <w:rFonts w:ascii="Times New Roman" w:eastAsia="Times New Roman" w:hAnsi="Times New Roman"/>
          <w:sz w:val="26"/>
          <w:szCs w:val="26"/>
        </w:rPr>
        <w:t xml:space="preserve">Tr. at 356-358; </w:t>
      </w:r>
      <w:r>
        <w:rPr>
          <w:rFonts w:ascii="Times New Roman" w:eastAsia="Times New Roman" w:hAnsi="Times New Roman"/>
          <w:sz w:val="26"/>
          <w:szCs w:val="26"/>
        </w:rPr>
        <w:t>R.D. at 44.  The ALJs concluded that these issues were beyond the scope of the S</w:t>
      </w:r>
      <w:r w:rsidR="003D5BE9">
        <w:rPr>
          <w:rFonts w:ascii="Times New Roman" w:eastAsia="Times New Roman" w:hAnsi="Times New Roman"/>
          <w:sz w:val="26"/>
          <w:szCs w:val="26"/>
        </w:rPr>
        <w:t xml:space="preserve">ettlement and did not appear to be a service or safety issue that required immediate attention.  </w:t>
      </w:r>
      <w:r w:rsidR="003D5BE9" w:rsidRPr="003D5BE9">
        <w:rPr>
          <w:rFonts w:ascii="Times New Roman" w:eastAsia="Times New Roman" w:hAnsi="Times New Roman"/>
          <w:sz w:val="26"/>
          <w:szCs w:val="26"/>
        </w:rPr>
        <w:t>R.D. at 44.</w:t>
      </w:r>
      <w:r w:rsidR="003D5BE9">
        <w:rPr>
          <w:rFonts w:ascii="Times New Roman" w:eastAsia="Times New Roman" w:hAnsi="Times New Roman"/>
          <w:i/>
          <w:sz w:val="26"/>
          <w:szCs w:val="26"/>
        </w:rPr>
        <w:t xml:space="preserve">  </w:t>
      </w:r>
      <w:r w:rsidR="003D5BE9">
        <w:rPr>
          <w:rFonts w:ascii="Times New Roman" w:eastAsia="Times New Roman" w:hAnsi="Times New Roman"/>
          <w:sz w:val="26"/>
          <w:szCs w:val="26"/>
        </w:rPr>
        <w:t>Because the record is incomplete on this issue, the ALJs recommended</w:t>
      </w:r>
      <w:r w:rsidR="00486C8A">
        <w:rPr>
          <w:rFonts w:ascii="Times New Roman" w:eastAsia="Times New Roman" w:hAnsi="Times New Roman"/>
          <w:sz w:val="26"/>
          <w:szCs w:val="26"/>
        </w:rPr>
        <w:t xml:space="preserve"> that a formal complaint form be sent to Amity Township in order for the Township to formally pursue its concerns in a separate proceeding</w:t>
      </w:r>
      <w:r w:rsidR="00D30D85">
        <w:rPr>
          <w:rFonts w:ascii="Times New Roman" w:eastAsia="Times New Roman" w:hAnsi="Times New Roman"/>
          <w:sz w:val="26"/>
          <w:szCs w:val="26"/>
        </w:rPr>
        <w:t xml:space="preserve"> if it chooses to do so</w:t>
      </w:r>
      <w:r w:rsidR="00486C8A">
        <w:rPr>
          <w:rFonts w:ascii="Times New Roman" w:eastAsia="Times New Roman" w:hAnsi="Times New Roman"/>
          <w:sz w:val="26"/>
          <w:szCs w:val="26"/>
        </w:rPr>
        <w:t xml:space="preserve">.  </w:t>
      </w:r>
      <w:r w:rsidR="00486C8A">
        <w:rPr>
          <w:rFonts w:ascii="Times New Roman" w:eastAsia="Times New Roman" w:hAnsi="Times New Roman"/>
          <w:i/>
          <w:sz w:val="26"/>
          <w:szCs w:val="26"/>
        </w:rPr>
        <w:t xml:space="preserve">Id.  </w:t>
      </w:r>
      <w:r w:rsidR="00486C8A">
        <w:rPr>
          <w:rFonts w:ascii="Times New Roman" w:eastAsia="Times New Roman" w:hAnsi="Times New Roman"/>
          <w:sz w:val="26"/>
          <w:szCs w:val="26"/>
        </w:rPr>
        <w:t xml:space="preserve">We agree and will direct the Commission’s Secretary’s Bureau to mail a formal complaint form to Amity Township.  </w:t>
      </w:r>
    </w:p>
    <w:p w:rsidR="00537D7F" w:rsidRPr="00A5340C" w:rsidRDefault="00711B77" w:rsidP="004C507D">
      <w:pPr>
        <w:spacing w:line="360" w:lineRule="auto"/>
        <w:rPr>
          <w:rFonts w:ascii="Times New Roman" w:eastAsia="Times New Roman" w:hAnsi="Times New Roman"/>
          <w:color w:val="000000"/>
          <w:sz w:val="26"/>
          <w:szCs w:val="26"/>
        </w:rPr>
      </w:pPr>
      <w:r>
        <w:rPr>
          <w:rFonts w:ascii="Times New Roman" w:eastAsia="Times New Roman" w:hAnsi="Times New Roman"/>
          <w:sz w:val="26"/>
          <w:szCs w:val="26"/>
        </w:rPr>
        <w:tab/>
      </w:r>
      <w:r>
        <w:rPr>
          <w:rFonts w:ascii="Times New Roman" w:eastAsia="Times New Roman" w:hAnsi="Times New Roman"/>
          <w:sz w:val="26"/>
          <w:szCs w:val="26"/>
        </w:rPr>
        <w:tab/>
      </w:r>
      <w:r w:rsidR="0062089A" w:rsidRPr="00B229F4">
        <w:rPr>
          <w:rFonts w:ascii="Times New Roman" w:eastAsia="Times New Roman" w:hAnsi="Times New Roman"/>
          <w:sz w:val="26"/>
          <w:szCs w:val="26"/>
        </w:rPr>
        <w:br/>
      </w:r>
    </w:p>
    <w:p w:rsidR="00537D7F" w:rsidRPr="00A5340C" w:rsidRDefault="00537D7F" w:rsidP="00054792">
      <w:pPr>
        <w:pStyle w:val="ListParagraph"/>
        <w:keepNext/>
        <w:widowControl w:val="0"/>
        <w:numPr>
          <w:ilvl w:val="0"/>
          <w:numId w:val="26"/>
        </w:numPr>
        <w:tabs>
          <w:tab w:val="clear" w:pos="720"/>
        </w:tabs>
        <w:spacing w:line="360" w:lineRule="auto"/>
        <w:jc w:val="center"/>
        <w:rPr>
          <w:b/>
          <w:sz w:val="26"/>
          <w:szCs w:val="26"/>
        </w:rPr>
      </w:pPr>
      <w:r w:rsidRPr="00A5340C">
        <w:rPr>
          <w:b/>
          <w:sz w:val="26"/>
          <w:szCs w:val="26"/>
        </w:rPr>
        <w:lastRenderedPageBreak/>
        <w:t>Conclusion</w:t>
      </w:r>
    </w:p>
    <w:p w:rsidR="00537D7F" w:rsidRPr="00A5340C" w:rsidRDefault="00537D7F" w:rsidP="00054792">
      <w:pPr>
        <w:keepNext/>
        <w:spacing w:after="0" w:line="360" w:lineRule="auto"/>
        <w:rPr>
          <w:rFonts w:ascii="Times New Roman" w:eastAsia="Times New Roman" w:hAnsi="Times New Roman"/>
          <w:color w:val="000000"/>
          <w:sz w:val="26"/>
          <w:szCs w:val="26"/>
        </w:rPr>
      </w:pPr>
    </w:p>
    <w:p w:rsidR="00DF57FB" w:rsidRDefault="00357564" w:rsidP="00D30D85">
      <w:pPr>
        <w:keepNext/>
        <w:tabs>
          <w:tab w:val="left" w:pos="-720"/>
        </w:tabs>
        <w:suppressAutoHyphens/>
        <w:spacing w:after="0" w:line="360" w:lineRule="auto"/>
        <w:ind w:firstLine="1440"/>
        <w:rPr>
          <w:rFonts w:ascii="Times New Roman" w:hAnsi="Times New Roman"/>
          <w:spacing w:val="-3"/>
          <w:sz w:val="26"/>
          <w:szCs w:val="26"/>
        </w:rPr>
      </w:pPr>
      <w:r w:rsidRPr="00A5340C">
        <w:rPr>
          <w:rFonts w:ascii="Times New Roman" w:hAnsi="Times New Roman"/>
          <w:spacing w:val="-3"/>
          <w:sz w:val="26"/>
          <w:szCs w:val="26"/>
        </w:rPr>
        <w:t>We have reviewed the record as developed in thi</w:t>
      </w:r>
      <w:r w:rsidR="00AA5088" w:rsidRPr="00A5340C">
        <w:rPr>
          <w:rFonts w:ascii="Times New Roman" w:hAnsi="Times New Roman"/>
          <w:spacing w:val="-3"/>
          <w:sz w:val="26"/>
          <w:szCs w:val="26"/>
        </w:rPr>
        <w:t>s proceeding, including the ALJ</w:t>
      </w:r>
      <w:r w:rsidRPr="00A5340C">
        <w:rPr>
          <w:rFonts w:ascii="Times New Roman" w:hAnsi="Times New Roman"/>
          <w:spacing w:val="-3"/>
          <w:sz w:val="26"/>
          <w:szCs w:val="26"/>
        </w:rPr>
        <w:t>s</w:t>
      </w:r>
      <w:r w:rsidR="002221DC" w:rsidRPr="00A5340C">
        <w:rPr>
          <w:rFonts w:ascii="Times New Roman" w:hAnsi="Times New Roman"/>
          <w:spacing w:val="-3"/>
          <w:sz w:val="26"/>
          <w:szCs w:val="26"/>
        </w:rPr>
        <w:t>’</w:t>
      </w:r>
      <w:r w:rsidRPr="00A5340C">
        <w:rPr>
          <w:rFonts w:ascii="Times New Roman" w:hAnsi="Times New Roman"/>
          <w:spacing w:val="-3"/>
          <w:sz w:val="26"/>
          <w:szCs w:val="26"/>
        </w:rPr>
        <w:t xml:space="preserve"> Recommended Decision and the Exceptions filed thereto.  </w:t>
      </w:r>
      <w:r w:rsidR="0085264F">
        <w:rPr>
          <w:rFonts w:ascii="Times New Roman" w:hAnsi="Times New Roman"/>
          <w:spacing w:val="-3"/>
          <w:sz w:val="26"/>
          <w:szCs w:val="26"/>
        </w:rPr>
        <w:t>Initially, t</w:t>
      </w:r>
      <w:r w:rsidRPr="00A5340C">
        <w:rPr>
          <w:rFonts w:ascii="Times New Roman" w:hAnsi="Times New Roman"/>
          <w:spacing w:val="-3"/>
          <w:sz w:val="26"/>
          <w:szCs w:val="26"/>
        </w:rPr>
        <w:t>he Company requested an overall revenue increase of $</w:t>
      </w:r>
      <w:r w:rsidR="0085264F">
        <w:rPr>
          <w:rFonts w:ascii="Times New Roman" w:hAnsi="Times New Roman"/>
          <w:spacing w:val="-3"/>
          <w:sz w:val="26"/>
          <w:szCs w:val="26"/>
        </w:rPr>
        <w:t>58.6</w:t>
      </w:r>
      <w:r w:rsidR="00842B15" w:rsidRPr="00A5340C">
        <w:rPr>
          <w:rFonts w:ascii="Times New Roman" w:hAnsi="Times New Roman"/>
          <w:spacing w:val="-3"/>
          <w:sz w:val="26"/>
          <w:szCs w:val="26"/>
        </w:rPr>
        <w:t xml:space="preserve"> million, or </w:t>
      </w:r>
      <w:r w:rsidR="0085264F">
        <w:rPr>
          <w:rFonts w:ascii="Times New Roman" w:hAnsi="Times New Roman"/>
          <w:spacing w:val="-3"/>
          <w:sz w:val="26"/>
          <w:szCs w:val="26"/>
        </w:rPr>
        <w:t>10.1</w:t>
      </w:r>
      <w:r w:rsidRPr="00A5340C">
        <w:rPr>
          <w:rFonts w:ascii="Times New Roman" w:hAnsi="Times New Roman"/>
          <w:spacing w:val="-3"/>
          <w:sz w:val="26"/>
          <w:szCs w:val="26"/>
        </w:rPr>
        <w:t xml:space="preserve">%.  </w:t>
      </w:r>
      <w:r w:rsidR="0085264F">
        <w:rPr>
          <w:rFonts w:ascii="Times New Roman" w:hAnsi="Times New Roman"/>
          <w:spacing w:val="-3"/>
          <w:sz w:val="26"/>
          <w:szCs w:val="26"/>
        </w:rPr>
        <w:t xml:space="preserve">Thereafter, the Company, </w:t>
      </w:r>
      <w:r w:rsidR="0085264F" w:rsidRPr="0085264F">
        <w:rPr>
          <w:rFonts w:ascii="Times New Roman" w:hAnsi="Times New Roman"/>
          <w:sz w:val="26"/>
          <w:szCs w:val="26"/>
        </w:rPr>
        <w:t>I&amp;E, OCA, OSBA, CEO and PAWLUG</w:t>
      </w:r>
      <w:r w:rsidR="0085264F" w:rsidRPr="00A5340C">
        <w:rPr>
          <w:rFonts w:ascii="Times New Roman" w:hAnsi="Times New Roman"/>
          <w:spacing w:val="-3"/>
          <w:sz w:val="26"/>
          <w:szCs w:val="26"/>
        </w:rPr>
        <w:t xml:space="preserve"> </w:t>
      </w:r>
      <w:r w:rsidR="0085264F">
        <w:rPr>
          <w:rFonts w:ascii="Times New Roman" w:hAnsi="Times New Roman"/>
          <w:spacing w:val="-3"/>
          <w:sz w:val="26"/>
          <w:szCs w:val="26"/>
        </w:rPr>
        <w:t>submitted a Settlement</w:t>
      </w:r>
      <w:r w:rsidR="005305C5">
        <w:rPr>
          <w:rFonts w:ascii="Times New Roman" w:hAnsi="Times New Roman"/>
          <w:spacing w:val="-3"/>
          <w:sz w:val="26"/>
          <w:szCs w:val="26"/>
        </w:rPr>
        <w:t xml:space="preserve"> for the Commission’s approval</w:t>
      </w:r>
      <w:r w:rsidR="0085264F">
        <w:rPr>
          <w:rFonts w:ascii="Times New Roman" w:hAnsi="Times New Roman"/>
          <w:spacing w:val="-3"/>
          <w:sz w:val="26"/>
          <w:szCs w:val="26"/>
        </w:rPr>
        <w:t xml:space="preserve">.  The ALJs recommended </w:t>
      </w:r>
      <w:r w:rsidRPr="00A5340C">
        <w:rPr>
          <w:rFonts w:ascii="Times New Roman" w:hAnsi="Times New Roman"/>
          <w:spacing w:val="-3"/>
          <w:sz w:val="26"/>
          <w:szCs w:val="26"/>
        </w:rPr>
        <w:t xml:space="preserve">that the Commission adopt the </w:t>
      </w:r>
      <w:r w:rsidR="005305C5">
        <w:rPr>
          <w:rFonts w:ascii="Times New Roman" w:hAnsi="Times New Roman"/>
          <w:spacing w:val="-3"/>
          <w:sz w:val="26"/>
          <w:szCs w:val="26"/>
        </w:rPr>
        <w:t>Settlement</w:t>
      </w:r>
      <w:r w:rsidR="00950ED6">
        <w:rPr>
          <w:rFonts w:ascii="Times New Roman" w:hAnsi="Times New Roman"/>
          <w:spacing w:val="-3"/>
          <w:sz w:val="26"/>
          <w:szCs w:val="26"/>
        </w:rPr>
        <w:t>,</w:t>
      </w:r>
      <w:r w:rsidRPr="00A5340C">
        <w:rPr>
          <w:rFonts w:ascii="Times New Roman" w:hAnsi="Times New Roman"/>
          <w:spacing w:val="-3"/>
          <w:sz w:val="26"/>
          <w:szCs w:val="26"/>
        </w:rPr>
        <w:t xml:space="preserve"> </w:t>
      </w:r>
      <w:r w:rsidR="0085264F">
        <w:rPr>
          <w:rFonts w:ascii="Times New Roman" w:hAnsi="Times New Roman"/>
          <w:spacing w:val="-3"/>
          <w:sz w:val="26"/>
          <w:szCs w:val="26"/>
        </w:rPr>
        <w:t>which</w:t>
      </w:r>
      <w:r w:rsidRPr="00A5340C">
        <w:rPr>
          <w:rFonts w:ascii="Times New Roman" w:hAnsi="Times New Roman"/>
          <w:spacing w:val="-3"/>
          <w:sz w:val="26"/>
          <w:szCs w:val="26"/>
        </w:rPr>
        <w:t xml:space="preserve"> would result in the Company receiving a stipulated increase in annual revenues of</w:t>
      </w:r>
      <w:r w:rsidR="004665C7" w:rsidRPr="00A5340C">
        <w:rPr>
          <w:rFonts w:ascii="Times New Roman" w:hAnsi="Times New Roman"/>
          <w:spacing w:val="-3"/>
          <w:sz w:val="26"/>
          <w:szCs w:val="26"/>
        </w:rPr>
        <w:t xml:space="preserve"> </w:t>
      </w:r>
      <w:r w:rsidRPr="00A5340C">
        <w:rPr>
          <w:rFonts w:ascii="Times New Roman" w:hAnsi="Times New Roman"/>
          <w:spacing w:val="-3"/>
          <w:sz w:val="26"/>
          <w:szCs w:val="26"/>
        </w:rPr>
        <w:t>$</w:t>
      </w:r>
      <w:r w:rsidR="0085264F">
        <w:rPr>
          <w:rFonts w:ascii="Times New Roman" w:hAnsi="Times New Roman"/>
          <w:spacing w:val="-3"/>
          <w:sz w:val="26"/>
          <w:szCs w:val="26"/>
        </w:rPr>
        <w:t>26</w:t>
      </w:r>
      <w:r w:rsidR="004665C7" w:rsidRPr="00A5340C">
        <w:rPr>
          <w:rFonts w:ascii="Times New Roman" w:hAnsi="Times New Roman"/>
          <w:spacing w:val="-3"/>
          <w:sz w:val="26"/>
          <w:szCs w:val="26"/>
        </w:rPr>
        <w:t xml:space="preserve"> million</w:t>
      </w:r>
      <w:r w:rsidRPr="00A5340C">
        <w:rPr>
          <w:rFonts w:ascii="Times New Roman" w:hAnsi="Times New Roman"/>
          <w:spacing w:val="-3"/>
          <w:sz w:val="26"/>
          <w:szCs w:val="26"/>
        </w:rPr>
        <w:t xml:space="preserve">, </w:t>
      </w:r>
      <w:r w:rsidR="0085264F">
        <w:rPr>
          <w:rFonts w:ascii="Times New Roman" w:hAnsi="Times New Roman"/>
          <w:spacing w:val="-3"/>
          <w:sz w:val="26"/>
          <w:szCs w:val="26"/>
        </w:rPr>
        <w:t xml:space="preserve">or 4.5%.  </w:t>
      </w:r>
      <w:r w:rsidR="00DA261F">
        <w:rPr>
          <w:rFonts w:ascii="Times New Roman" w:hAnsi="Times New Roman"/>
          <w:spacing w:val="-3"/>
          <w:sz w:val="26"/>
          <w:szCs w:val="26"/>
        </w:rPr>
        <w:t>The Settlement would produce approximately $604.6 million in total annual combined water and was</w:t>
      </w:r>
      <w:r w:rsidR="001651B4">
        <w:rPr>
          <w:rFonts w:ascii="Times New Roman" w:hAnsi="Times New Roman"/>
          <w:spacing w:val="-3"/>
          <w:sz w:val="26"/>
          <w:szCs w:val="26"/>
        </w:rPr>
        <w:t xml:space="preserve">tewater revenue as shown in </w:t>
      </w:r>
      <w:r w:rsidR="00DA261F">
        <w:rPr>
          <w:rFonts w:ascii="Times New Roman" w:hAnsi="Times New Roman"/>
          <w:spacing w:val="-3"/>
          <w:sz w:val="26"/>
          <w:szCs w:val="26"/>
        </w:rPr>
        <w:t xml:space="preserve">Appendix C, Schedule </w:t>
      </w:r>
      <w:proofErr w:type="gramStart"/>
      <w:r w:rsidR="00DA261F">
        <w:rPr>
          <w:rFonts w:ascii="Times New Roman" w:hAnsi="Times New Roman"/>
          <w:spacing w:val="-3"/>
          <w:sz w:val="26"/>
          <w:szCs w:val="26"/>
        </w:rPr>
        <w:t>A</w:t>
      </w:r>
      <w:proofErr w:type="gramEnd"/>
      <w:r w:rsidR="00DA261F">
        <w:rPr>
          <w:rFonts w:ascii="Times New Roman" w:hAnsi="Times New Roman"/>
          <w:spacing w:val="-3"/>
          <w:sz w:val="26"/>
          <w:szCs w:val="26"/>
        </w:rPr>
        <w:t xml:space="preserve">, column 8 of the </w:t>
      </w:r>
      <w:r w:rsidR="00203845">
        <w:rPr>
          <w:rFonts w:ascii="Times New Roman" w:hAnsi="Times New Roman"/>
          <w:spacing w:val="-3"/>
          <w:sz w:val="26"/>
          <w:szCs w:val="26"/>
        </w:rPr>
        <w:t>Settlement</w:t>
      </w:r>
      <w:r w:rsidR="00DA261F">
        <w:rPr>
          <w:rFonts w:ascii="Times New Roman" w:hAnsi="Times New Roman"/>
          <w:spacing w:val="-3"/>
          <w:sz w:val="26"/>
          <w:szCs w:val="26"/>
        </w:rPr>
        <w:t xml:space="preserve">.  </w:t>
      </w:r>
      <w:r w:rsidRPr="00A5340C">
        <w:rPr>
          <w:rFonts w:ascii="Times New Roman" w:hAnsi="Times New Roman"/>
          <w:spacing w:val="-3"/>
          <w:sz w:val="26"/>
          <w:szCs w:val="26"/>
        </w:rPr>
        <w:t>The ALJ</w:t>
      </w:r>
      <w:r w:rsidR="008D6CDB" w:rsidRPr="00A5340C">
        <w:rPr>
          <w:rFonts w:ascii="Times New Roman" w:hAnsi="Times New Roman"/>
          <w:spacing w:val="-3"/>
          <w:sz w:val="26"/>
          <w:szCs w:val="26"/>
        </w:rPr>
        <w:t>s</w:t>
      </w:r>
      <w:r w:rsidRPr="00A5340C">
        <w:rPr>
          <w:rFonts w:ascii="Times New Roman" w:hAnsi="Times New Roman"/>
          <w:spacing w:val="-3"/>
          <w:sz w:val="26"/>
          <w:szCs w:val="26"/>
        </w:rPr>
        <w:t xml:space="preserve"> further recommended that the Company</w:t>
      </w:r>
      <w:r w:rsidR="00DA261F">
        <w:rPr>
          <w:rFonts w:ascii="Times New Roman" w:hAnsi="Times New Roman"/>
          <w:spacing w:val="-3"/>
          <w:sz w:val="26"/>
          <w:szCs w:val="26"/>
        </w:rPr>
        <w:t xml:space="preserve"> be authorized to file the Tariff Supplement </w:t>
      </w:r>
      <w:r w:rsidR="002E0F99">
        <w:rPr>
          <w:rFonts w:ascii="Times New Roman" w:hAnsi="Times New Roman"/>
          <w:spacing w:val="-3"/>
          <w:sz w:val="26"/>
          <w:szCs w:val="26"/>
        </w:rPr>
        <w:t xml:space="preserve">for water service </w:t>
      </w:r>
      <w:r w:rsidR="00DA261F">
        <w:rPr>
          <w:rFonts w:ascii="Times New Roman" w:hAnsi="Times New Roman"/>
          <w:spacing w:val="-3"/>
          <w:sz w:val="26"/>
          <w:szCs w:val="26"/>
        </w:rPr>
        <w:t xml:space="preserve">attached to the </w:t>
      </w:r>
      <w:r w:rsidR="00203845">
        <w:rPr>
          <w:rFonts w:ascii="Times New Roman" w:hAnsi="Times New Roman"/>
          <w:spacing w:val="-3"/>
          <w:sz w:val="26"/>
          <w:szCs w:val="26"/>
        </w:rPr>
        <w:t>Settlement</w:t>
      </w:r>
      <w:r w:rsidR="00DA261F">
        <w:rPr>
          <w:rFonts w:ascii="Times New Roman" w:hAnsi="Times New Roman"/>
          <w:spacing w:val="-3"/>
          <w:sz w:val="26"/>
          <w:szCs w:val="26"/>
        </w:rPr>
        <w:t xml:space="preserve"> as Appendix A and the Original Tariff </w:t>
      </w:r>
      <w:r w:rsidR="002E0F99">
        <w:rPr>
          <w:rFonts w:ascii="Times New Roman" w:hAnsi="Times New Roman"/>
          <w:spacing w:val="-3"/>
          <w:sz w:val="26"/>
          <w:szCs w:val="26"/>
        </w:rPr>
        <w:t xml:space="preserve">for wastewater service </w:t>
      </w:r>
      <w:r w:rsidR="00DA261F">
        <w:rPr>
          <w:rFonts w:ascii="Times New Roman" w:hAnsi="Times New Roman"/>
          <w:spacing w:val="-3"/>
          <w:sz w:val="26"/>
          <w:szCs w:val="26"/>
        </w:rPr>
        <w:t xml:space="preserve">attached to the </w:t>
      </w:r>
      <w:r w:rsidR="00203845">
        <w:rPr>
          <w:rFonts w:ascii="Times New Roman" w:hAnsi="Times New Roman"/>
          <w:spacing w:val="-3"/>
          <w:sz w:val="26"/>
          <w:szCs w:val="26"/>
        </w:rPr>
        <w:t>Settlement</w:t>
      </w:r>
      <w:r w:rsidR="00DA261F">
        <w:rPr>
          <w:rFonts w:ascii="Times New Roman" w:hAnsi="Times New Roman"/>
          <w:spacing w:val="-3"/>
          <w:sz w:val="26"/>
          <w:szCs w:val="26"/>
        </w:rPr>
        <w:t xml:space="preserve"> as Appendix B to become effective on January 1, 2014.  </w:t>
      </w:r>
    </w:p>
    <w:p w:rsidR="00DF57FB" w:rsidRDefault="00DF57FB" w:rsidP="00D30D85">
      <w:pPr>
        <w:tabs>
          <w:tab w:val="left" w:pos="-720"/>
        </w:tabs>
        <w:suppressAutoHyphens/>
        <w:spacing w:after="0" w:line="360" w:lineRule="auto"/>
        <w:ind w:firstLine="1440"/>
        <w:rPr>
          <w:rFonts w:ascii="Times New Roman" w:hAnsi="Times New Roman"/>
          <w:spacing w:val="-3"/>
          <w:sz w:val="26"/>
          <w:szCs w:val="26"/>
        </w:rPr>
      </w:pPr>
    </w:p>
    <w:p w:rsidR="00B53E8B" w:rsidRPr="00A5340C" w:rsidRDefault="00357564" w:rsidP="00D30D85">
      <w:pPr>
        <w:tabs>
          <w:tab w:val="left" w:pos="-720"/>
        </w:tabs>
        <w:suppressAutoHyphens/>
        <w:spacing w:after="0" w:line="360" w:lineRule="auto"/>
        <w:ind w:firstLine="1440"/>
        <w:rPr>
          <w:rFonts w:ascii="Times New Roman" w:hAnsi="Times New Roman"/>
          <w:spacing w:val="-3"/>
          <w:sz w:val="26"/>
          <w:szCs w:val="26"/>
        </w:rPr>
      </w:pPr>
      <w:r w:rsidRPr="00A5340C">
        <w:rPr>
          <w:rFonts w:ascii="Times New Roman" w:hAnsi="Times New Roman"/>
          <w:spacing w:val="-3"/>
          <w:sz w:val="26"/>
          <w:szCs w:val="26"/>
        </w:rPr>
        <w:t>Based on our review, evaluation and analysis of the record e</w:t>
      </w:r>
      <w:r w:rsidR="00AA5088" w:rsidRPr="00A5340C">
        <w:rPr>
          <w:rFonts w:ascii="Times New Roman" w:hAnsi="Times New Roman"/>
          <w:spacing w:val="-3"/>
          <w:sz w:val="26"/>
          <w:szCs w:val="26"/>
        </w:rPr>
        <w:t xml:space="preserve">vidence, </w:t>
      </w:r>
      <w:r w:rsidR="000F64CB" w:rsidRPr="00A5340C">
        <w:rPr>
          <w:rFonts w:ascii="Times New Roman" w:hAnsi="Times New Roman"/>
          <w:spacing w:val="-3"/>
          <w:sz w:val="26"/>
          <w:szCs w:val="26"/>
        </w:rPr>
        <w:t>we find that the Settl</w:t>
      </w:r>
      <w:r w:rsidR="008D6CDB" w:rsidRPr="00A5340C">
        <w:rPr>
          <w:rFonts w:ascii="Times New Roman" w:hAnsi="Times New Roman"/>
          <w:spacing w:val="-3"/>
          <w:sz w:val="26"/>
          <w:szCs w:val="26"/>
        </w:rPr>
        <w:t>ement is in the public interest.</w:t>
      </w:r>
      <w:r w:rsidR="000F64CB" w:rsidRPr="00A5340C">
        <w:rPr>
          <w:rFonts w:ascii="Times New Roman" w:hAnsi="Times New Roman"/>
          <w:spacing w:val="-3"/>
          <w:sz w:val="26"/>
          <w:szCs w:val="26"/>
        </w:rPr>
        <w:t xml:space="preserve">  Consequently, </w:t>
      </w:r>
      <w:r w:rsidR="00AA5088" w:rsidRPr="00A5340C">
        <w:rPr>
          <w:rFonts w:ascii="Times New Roman" w:hAnsi="Times New Roman"/>
          <w:spacing w:val="-3"/>
          <w:sz w:val="26"/>
          <w:szCs w:val="26"/>
        </w:rPr>
        <w:t>we shall adopt the ALJ</w:t>
      </w:r>
      <w:r w:rsidRPr="00A5340C">
        <w:rPr>
          <w:rFonts w:ascii="Times New Roman" w:hAnsi="Times New Roman"/>
          <w:spacing w:val="-3"/>
          <w:sz w:val="26"/>
          <w:szCs w:val="26"/>
        </w:rPr>
        <w:t>s</w:t>
      </w:r>
      <w:r w:rsidR="002221DC" w:rsidRPr="00A5340C">
        <w:rPr>
          <w:rFonts w:ascii="Times New Roman" w:hAnsi="Times New Roman"/>
          <w:spacing w:val="-3"/>
          <w:sz w:val="26"/>
          <w:szCs w:val="26"/>
        </w:rPr>
        <w:t>’</w:t>
      </w:r>
      <w:r w:rsidRPr="00A5340C">
        <w:rPr>
          <w:rFonts w:ascii="Times New Roman" w:hAnsi="Times New Roman"/>
          <w:spacing w:val="-3"/>
          <w:sz w:val="26"/>
          <w:szCs w:val="26"/>
        </w:rPr>
        <w:t xml:space="preserve"> recommendations, to the extent consist</w:t>
      </w:r>
      <w:r w:rsidR="00DA261F">
        <w:rPr>
          <w:rFonts w:ascii="Times New Roman" w:hAnsi="Times New Roman"/>
          <w:spacing w:val="-3"/>
          <w:sz w:val="26"/>
          <w:szCs w:val="26"/>
        </w:rPr>
        <w:t>ent with this Opinion and Order, and the</w:t>
      </w:r>
      <w:r w:rsidRPr="00A5340C">
        <w:rPr>
          <w:rFonts w:ascii="Times New Roman" w:hAnsi="Times New Roman"/>
          <w:spacing w:val="-3"/>
          <w:sz w:val="26"/>
          <w:szCs w:val="26"/>
        </w:rPr>
        <w:t xml:space="preserve"> resulting all</w:t>
      </w:r>
      <w:r w:rsidR="001607BF" w:rsidRPr="00A5340C">
        <w:rPr>
          <w:rFonts w:ascii="Times New Roman" w:hAnsi="Times New Roman"/>
          <w:spacing w:val="-3"/>
          <w:sz w:val="26"/>
          <w:szCs w:val="26"/>
        </w:rPr>
        <w:t xml:space="preserve">owable revenue increase is </w:t>
      </w:r>
      <w:r w:rsidR="00DA261F" w:rsidRPr="00A5340C">
        <w:rPr>
          <w:rFonts w:ascii="Times New Roman" w:hAnsi="Times New Roman"/>
          <w:spacing w:val="-3"/>
          <w:sz w:val="26"/>
          <w:szCs w:val="26"/>
        </w:rPr>
        <w:t>$</w:t>
      </w:r>
      <w:r w:rsidR="00DA261F">
        <w:rPr>
          <w:rFonts w:ascii="Times New Roman" w:hAnsi="Times New Roman"/>
          <w:spacing w:val="-3"/>
          <w:sz w:val="26"/>
          <w:szCs w:val="26"/>
        </w:rPr>
        <w:t>26</w:t>
      </w:r>
      <w:r w:rsidR="00DA261F" w:rsidRPr="00A5340C">
        <w:rPr>
          <w:rFonts w:ascii="Times New Roman" w:hAnsi="Times New Roman"/>
          <w:spacing w:val="-3"/>
          <w:sz w:val="26"/>
          <w:szCs w:val="26"/>
        </w:rPr>
        <w:t xml:space="preserve"> million, </w:t>
      </w:r>
      <w:r w:rsidR="00DA261F">
        <w:rPr>
          <w:rFonts w:ascii="Times New Roman" w:hAnsi="Times New Roman"/>
          <w:spacing w:val="-3"/>
          <w:sz w:val="26"/>
          <w:szCs w:val="26"/>
        </w:rPr>
        <w:t xml:space="preserve">or 4.5%, </w:t>
      </w:r>
      <w:r w:rsidRPr="00A5340C">
        <w:rPr>
          <w:rFonts w:ascii="Times New Roman" w:hAnsi="Times New Roman"/>
          <w:spacing w:val="-3"/>
          <w:sz w:val="26"/>
          <w:szCs w:val="26"/>
        </w:rPr>
        <w:t>increase</w:t>
      </w:r>
      <w:r w:rsidR="005F1840" w:rsidRPr="00A5340C">
        <w:rPr>
          <w:rFonts w:ascii="Times New Roman" w:hAnsi="Times New Roman"/>
          <w:spacing w:val="-3"/>
          <w:sz w:val="26"/>
          <w:szCs w:val="26"/>
        </w:rPr>
        <w:t xml:space="preserve"> in revenues</w:t>
      </w:r>
      <w:r w:rsidRPr="00A5340C">
        <w:rPr>
          <w:rFonts w:ascii="Times New Roman" w:hAnsi="Times New Roman"/>
          <w:spacing w:val="-3"/>
          <w:sz w:val="26"/>
          <w:szCs w:val="26"/>
        </w:rPr>
        <w:t xml:space="preserve">.  </w:t>
      </w:r>
      <w:r w:rsidR="001607BF" w:rsidRPr="00A5340C">
        <w:rPr>
          <w:rFonts w:ascii="Times New Roman" w:hAnsi="Times New Roman"/>
          <w:spacing w:val="-3"/>
          <w:sz w:val="26"/>
          <w:szCs w:val="26"/>
        </w:rPr>
        <w:t xml:space="preserve">The Exceptions of </w:t>
      </w:r>
      <w:r w:rsidR="00DA261F">
        <w:rPr>
          <w:rFonts w:ascii="Times New Roman" w:hAnsi="Times New Roman"/>
          <w:spacing w:val="-3"/>
          <w:sz w:val="26"/>
          <w:szCs w:val="26"/>
        </w:rPr>
        <w:t xml:space="preserve">PWSA </w:t>
      </w:r>
      <w:r w:rsidRPr="00A5340C">
        <w:rPr>
          <w:rFonts w:ascii="Times New Roman" w:hAnsi="Times New Roman"/>
          <w:spacing w:val="-3"/>
          <w:sz w:val="26"/>
          <w:szCs w:val="26"/>
        </w:rPr>
        <w:t>will be</w:t>
      </w:r>
      <w:r w:rsidR="009C367C" w:rsidRPr="00A5340C">
        <w:rPr>
          <w:rFonts w:ascii="Times New Roman" w:hAnsi="Times New Roman"/>
          <w:spacing w:val="-3"/>
          <w:sz w:val="26"/>
          <w:szCs w:val="26"/>
        </w:rPr>
        <w:t xml:space="preserve"> granted, in part, and denied, in part, </w:t>
      </w:r>
      <w:r w:rsidR="00DA261F">
        <w:rPr>
          <w:rFonts w:ascii="Times New Roman" w:hAnsi="Times New Roman"/>
          <w:spacing w:val="-3"/>
          <w:sz w:val="26"/>
          <w:szCs w:val="26"/>
        </w:rPr>
        <w:t xml:space="preserve">and the Exceptions of Mr. </w:t>
      </w:r>
      <w:proofErr w:type="spellStart"/>
      <w:r w:rsidR="00DA261F">
        <w:rPr>
          <w:rFonts w:ascii="Times New Roman" w:hAnsi="Times New Roman"/>
          <w:spacing w:val="-3"/>
          <w:sz w:val="26"/>
          <w:szCs w:val="26"/>
        </w:rPr>
        <w:t>Kazimer</w:t>
      </w:r>
      <w:proofErr w:type="spellEnd"/>
      <w:r w:rsidR="00DA261F">
        <w:rPr>
          <w:rFonts w:ascii="Times New Roman" w:hAnsi="Times New Roman"/>
          <w:spacing w:val="-3"/>
          <w:sz w:val="26"/>
          <w:szCs w:val="26"/>
        </w:rPr>
        <w:t xml:space="preserve"> will be denied, </w:t>
      </w:r>
      <w:r w:rsidR="009C367C" w:rsidRPr="00A5340C">
        <w:rPr>
          <w:rFonts w:ascii="Times New Roman" w:hAnsi="Times New Roman"/>
          <w:spacing w:val="-3"/>
          <w:sz w:val="26"/>
          <w:szCs w:val="26"/>
        </w:rPr>
        <w:t>consistent with this Opinion and Order</w:t>
      </w:r>
      <w:r w:rsidRPr="00A5340C">
        <w:rPr>
          <w:rFonts w:ascii="Times New Roman" w:hAnsi="Times New Roman"/>
          <w:spacing w:val="-3"/>
          <w:sz w:val="26"/>
          <w:szCs w:val="26"/>
        </w:rPr>
        <w:t xml:space="preserve">; </w:t>
      </w:r>
      <w:r w:rsidR="00203845">
        <w:rPr>
          <w:rFonts w:ascii="Times New Roman" w:hAnsi="Times New Roman"/>
          <w:b/>
          <w:spacing w:val="-3"/>
          <w:sz w:val="26"/>
          <w:szCs w:val="26"/>
        </w:rPr>
        <w:t>THEREFORE,</w:t>
      </w:r>
    </w:p>
    <w:p w:rsidR="00B53E8B" w:rsidRPr="00A5340C" w:rsidRDefault="00B53E8B" w:rsidP="000F5BDD">
      <w:pPr>
        <w:pStyle w:val="NoSpacing"/>
        <w:spacing w:line="360" w:lineRule="auto"/>
        <w:ind w:left="720" w:hanging="720"/>
        <w:rPr>
          <w:color w:val="333333"/>
          <w:sz w:val="26"/>
          <w:szCs w:val="26"/>
        </w:rPr>
      </w:pPr>
    </w:p>
    <w:p w:rsidR="00B53E8B" w:rsidRPr="00A5340C" w:rsidRDefault="0047221A" w:rsidP="00D25258">
      <w:pPr>
        <w:pStyle w:val="NoSpacing"/>
        <w:spacing w:line="360" w:lineRule="auto"/>
        <w:ind w:left="720"/>
        <w:rPr>
          <w:b/>
          <w:color w:val="333333"/>
          <w:sz w:val="26"/>
          <w:szCs w:val="26"/>
        </w:rPr>
      </w:pPr>
      <w:r w:rsidRPr="00A5340C">
        <w:rPr>
          <w:b/>
          <w:color w:val="333333"/>
          <w:sz w:val="26"/>
          <w:szCs w:val="26"/>
        </w:rPr>
        <w:t xml:space="preserve">IT IS </w:t>
      </w:r>
      <w:r w:rsidR="00C57E0A" w:rsidRPr="00A5340C">
        <w:rPr>
          <w:b/>
          <w:color w:val="333333"/>
          <w:sz w:val="26"/>
          <w:szCs w:val="26"/>
        </w:rPr>
        <w:t>ORDERED</w:t>
      </w:r>
      <w:r w:rsidRPr="00A5340C">
        <w:rPr>
          <w:b/>
          <w:color w:val="333333"/>
          <w:sz w:val="26"/>
          <w:szCs w:val="26"/>
        </w:rPr>
        <w:t>:</w:t>
      </w:r>
    </w:p>
    <w:p w:rsidR="00C57E0A" w:rsidRPr="00A5340C" w:rsidRDefault="00C57E0A" w:rsidP="001C311E">
      <w:pPr>
        <w:pStyle w:val="NoSpacing"/>
        <w:spacing w:line="360" w:lineRule="auto"/>
        <w:ind w:left="720"/>
        <w:rPr>
          <w:b/>
          <w:color w:val="333333"/>
          <w:sz w:val="26"/>
          <w:szCs w:val="26"/>
        </w:rPr>
      </w:pPr>
    </w:p>
    <w:p w:rsidR="00C57E0A" w:rsidRPr="00A5340C" w:rsidRDefault="00C57E0A" w:rsidP="001C311E">
      <w:pPr>
        <w:pStyle w:val="NoSpacing"/>
        <w:spacing w:line="360" w:lineRule="auto"/>
        <w:ind w:firstLine="1440"/>
        <w:rPr>
          <w:spacing w:val="-3"/>
          <w:sz w:val="26"/>
          <w:szCs w:val="26"/>
        </w:rPr>
      </w:pPr>
      <w:r w:rsidRPr="00A5340C">
        <w:rPr>
          <w:spacing w:val="-3"/>
          <w:sz w:val="26"/>
          <w:szCs w:val="26"/>
        </w:rPr>
        <w:t xml:space="preserve">1. </w:t>
      </w:r>
      <w:r w:rsidRPr="00A5340C">
        <w:rPr>
          <w:spacing w:val="-3"/>
          <w:sz w:val="26"/>
          <w:szCs w:val="26"/>
        </w:rPr>
        <w:tab/>
        <w:t xml:space="preserve">That the Exceptions filed by </w:t>
      </w:r>
      <w:r w:rsidR="006616CC">
        <w:rPr>
          <w:spacing w:val="-3"/>
          <w:sz w:val="26"/>
          <w:szCs w:val="26"/>
        </w:rPr>
        <w:t xml:space="preserve">the </w:t>
      </w:r>
      <w:r w:rsidR="00AC5559" w:rsidRPr="00A5340C">
        <w:rPr>
          <w:sz w:val="26"/>
          <w:szCs w:val="26"/>
        </w:rPr>
        <w:t>Pittsburgh Water and Sewer Authority</w:t>
      </w:r>
      <w:r w:rsidRPr="00A5340C">
        <w:rPr>
          <w:spacing w:val="-3"/>
          <w:sz w:val="26"/>
          <w:szCs w:val="26"/>
        </w:rPr>
        <w:t xml:space="preserve"> on </w:t>
      </w:r>
      <w:r w:rsidR="00AC5559">
        <w:rPr>
          <w:spacing w:val="-3"/>
          <w:sz w:val="26"/>
          <w:szCs w:val="26"/>
        </w:rPr>
        <w:t>November 18, 2013</w:t>
      </w:r>
      <w:r w:rsidRPr="00A5340C">
        <w:rPr>
          <w:spacing w:val="-3"/>
          <w:sz w:val="26"/>
          <w:szCs w:val="26"/>
        </w:rPr>
        <w:t>, to the Recommended Decision of Administrative Law Judges Angela T. Jones and Darlene D. Heep are</w:t>
      </w:r>
      <w:r w:rsidR="00992092" w:rsidRPr="00A5340C">
        <w:rPr>
          <w:spacing w:val="-3"/>
          <w:sz w:val="26"/>
          <w:szCs w:val="26"/>
        </w:rPr>
        <w:t xml:space="preserve"> </w:t>
      </w:r>
      <w:r w:rsidR="00AC5559">
        <w:rPr>
          <w:spacing w:val="-3"/>
          <w:sz w:val="26"/>
          <w:szCs w:val="26"/>
        </w:rPr>
        <w:t xml:space="preserve">denied, in part, and </w:t>
      </w:r>
      <w:r w:rsidR="00992092" w:rsidRPr="00A5340C">
        <w:rPr>
          <w:spacing w:val="-3"/>
          <w:sz w:val="26"/>
          <w:szCs w:val="26"/>
        </w:rPr>
        <w:t>granted</w:t>
      </w:r>
      <w:r w:rsidR="00AC5559">
        <w:rPr>
          <w:spacing w:val="-3"/>
          <w:sz w:val="26"/>
          <w:szCs w:val="26"/>
        </w:rPr>
        <w:t>, in part</w:t>
      </w:r>
      <w:r w:rsidR="00992092" w:rsidRPr="00A5340C">
        <w:rPr>
          <w:spacing w:val="-3"/>
          <w:sz w:val="26"/>
          <w:szCs w:val="26"/>
        </w:rPr>
        <w:t>.</w:t>
      </w:r>
    </w:p>
    <w:p w:rsidR="00C57E0A" w:rsidRPr="00A5340C" w:rsidRDefault="00C57E0A" w:rsidP="001C311E">
      <w:pPr>
        <w:pStyle w:val="NoSpacing"/>
        <w:spacing w:line="360" w:lineRule="auto"/>
        <w:ind w:left="1800"/>
        <w:rPr>
          <w:spacing w:val="-3"/>
          <w:sz w:val="26"/>
          <w:szCs w:val="26"/>
        </w:rPr>
      </w:pPr>
    </w:p>
    <w:p w:rsidR="00BB1A00" w:rsidRPr="00A5340C" w:rsidRDefault="00BB1A00" w:rsidP="001C311E">
      <w:pPr>
        <w:pStyle w:val="NoSpacing"/>
        <w:spacing w:line="360" w:lineRule="auto"/>
        <w:ind w:firstLine="1440"/>
        <w:rPr>
          <w:spacing w:val="-3"/>
          <w:sz w:val="26"/>
          <w:szCs w:val="26"/>
        </w:rPr>
      </w:pPr>
      <w:r w:rsidRPr="00A5340C">
        <w:rPr>
          <w:spacing w:val="-3"/>
          <w:sz w:val="26"/>
          <w:szCs w:val="26"/>
        </w:rPr>
        <w:lastRenderedPageBreak/>
        <w:t xml:space="preserve">2. </w:t>
      </w:r>
      <w:r w:rsidRPr="00A5340C">
        <w:rPr>
          <w:spacing w:val="-3"/>
          <w:sz w:val="26"/>
          <w:szCs w:val="26"/>
        </w:rPr>
        <w:tab/>
        <w:t xml:space="preserve">That the Exceptions filed by </w:t>
      </w:r>
      <w:r w:rsidR="00AC5559" w:rsidRPr="00A5340C">
        <w:rPr>
          <w:sz w:val="26"/>
          <w:szCs w:val="26"/>
        </w:rPr>
        <w:t xml:space="preserve">William B. </w:t>
      </w:r>
      <w:proofErr w:type="spellStart"/>
      <w:r w:rsidR="00AC5559" w:rsidRPr="00A5340C">
        <w:rPr>
          <w:sz w:val="26"/>
          <w:szCs w:val="26"/>
        </w:rPr>
        <w:t>Kazimer</w:t>
      </w:r>
      <w:proofErr w:type="spellEnd"/>
      <w:r w:rsidRPr="00A5340C">
        <w:rPr>
          <w:spacing w:val="-3"/>
          <w:sz w:val="26"/>
          <w:szCs w:val="26"/>
        </w:rPr>
        <w:t xml:space="preserve"> on </w:t>
      </w:r>
      <w:r w:rsidR="00AC5559">
        <w:rPr>
          <w:spacing w:val="-3"/>
          <w:sz w:val="26"/>
          <w:szCs w:val="26"/>
        </w:rPr>
        <w:t>November 18, 2013</w:t>
      </w:r>
      <w:r w:rsidRPr="00A5340C">
        <w:rPr>
          <w:spacing w:val="-3"/>
          <w:sz w:val="26"/>
          <w:szCs w:val="26"/>
        </w:rPr>
        <w:t>, to the Recommended Decision of Administrative Law Judges Angela T. Jones and Darlene D. Heep are</w:t>
      </w:r>
      <w:r w:rsidR="00992092" w:rsidRPr="00A5340C">
        <w:rPr>
          <w:spacing w:val="-3"/>
          <w:sz w:val="26"/>
          <w:szCs w:val="26"/>
        </w:rPr>
        <w:t xml:space="preserve"> </w:t>
      </w:r>
      <w:r w:rsidR="00AC5559">
        <w:rPr>
          <w:spacing w:val="-3"/>
          <w:sz w:val="26"/>
          <w:szCs w:val="26"/>
        </w:rPr>
        <w:t>denied</w:t>
      </w:r>
      <w:r w:rsidR="00992092" w:rsidRPr="00A5340C">
        <w:rPr>
          <w:spacing w:val="-3"/>
          <w:sz w:val="26"/>
          <w:szCs w:val="26"/>
        </w:rPr>
        <w:t>.</w:t>
      </w:r>
    </w:p>
    <w:p w:rsidR="00C57E0A" w:rsidRPr="00A5340C" w:rsidRDefault="00C57E0A" w:rsidP="001C311E">
      <w:pPr>
        <w:pStyle w:val="NoSpacing"/>
        <w:spacing w:line="360" w:lineRule="auto"/>
        <w:ind w:left="720" w:hanging="720"/>
        <w:rPr>
          <w:spacing w:val="-3"/>
          <w:sz w:val="26"/>
          <w:szCs w:val="26"/>
        </w:rPr>
      </w:pPr>
    </w:p>
    <w:p w:rsidR="00067490" w:rsidRPr="00A5340C" w:rsidRDefault="00067490" w:rsidP="001C311E">
      <w:pPr>
        <w:pStyle w:val="NoSpacing"/>
        <w:spacing w:line="360" w:lineRule="auto"/>
        <w:rPr>
          <w:spacing w:val="-3"/>
          <w:sz w:val="26"/>
          <w:szCs w:val="26"/>
        </w:rPr>
      </w:pPr>
      <w:r w:rsidRPr="00A5340C">
        <w:rPr>
          <w:spacing w:val="-3"/>
          <w:sz w:val="26"/>
          <w:szCs w:val="26"/>
        </w:rPr>
        <w:tab/>
      </w:r>
      <w:r w:rsidR="00AC5559">
        <w:rPr>
          <w:spacing w:val="-3"/>
          <w:sz w:val="26"/>
          <w:szCs w:val="26"/>
        </w:rPr>
        <w:tab/>
        <w:t>3</w:t>
      </w:r>
      <w:r w:rsidRPr="00A5340C">
        <w:rPr>
          <w:spacing w:val="-3"/>
          <w:sz w:val="26"/>
          <w:szCs w:val="26"/>
        </w:rPr>
        <w:t>.</w:t>
      </w:r>
      <w:r w:rsidRPr="00A5340C">
        <w:rPr>
          <w:spacing w:val="-3"/>
          <w:sz w:val="26"/>
          <w:szCs w:val="26"/>
        </w:rPr>
        <w:tab/>
        <w:t xml:space="preserve">That the Recommended Decision of Administrative Law Judges Angela T. Jones and Darlene D. </w:t>
      </w:r>
      <w:proofErr w:type="gramStart"/>
      <w:r w:rsidRPr="00A5340C">
        <w:rPr>
          <w:spacing w:val="-3"/>
          <w:sz w:val="26"/>
          <w:szCs w:val="26"/>
        </w:rPr>
        <w:t>Heep,</w:t>
      </w:r>
      <w:proofErr w:type="gramEnd"/>
      <w:r w:rsidRPr="00A5340C">
        <w:rPr>
          <w:spacing w:val="-3"/>
          <w:sz w:val="26"/>
          <w:szCs w:val="26"/>
        </w:rPr>
        <w:t xml:space="preserve"> issued on </w:t>
      </w:r>
      <w:r w:rsidR="00AC5559">
        <w:rPr>
          <w:spacing w:val="-3"/>
          <w:sz w:val="26"/>
          <w:szCs w:val="26"/>
        </w:rPr>
        <w:t>November 8, 2013</w:t>
      </w:r>
      <w:r w:rsidRPr="00A5340C">
        <w:rPr>
          <w:spacing w:val="-3"/>
          <w:sz w:val="26"/>
          <w:szCs w:val="26"/>
        </w:rPr>
        <w:t>, is adopted,</w:t>
      </w:r>
      <w:r w:rsidR="00AC5559">
        <w:rPr>
          <w:spacing w:val="-3"/>
          <w:sz w:val="26"/>
          <w:szCs w:val="26"/>
        </w:rPr>
        <w:t xml:space="preserve"> as modified,</w:t>
      </w:r>
      <w:r w:rsidRPr="00A5340C">
        <w:rPr>
          <w:spacing w:val="-3"/>
          <w:sz w:val="26"/>
          <w:szCs w:val="26"/>
        </w:rPr>
        <w:t xml:space="preserve"> to the extent consistent with this Opinion and Order.</w:t>
      </w:r>
    </w:p>
    <w:p w:rsidR="00067490" w:rsidRPr="00A5340C" w:rsidRDefault="00067490" w:rsidP="001C311E">
      <w:pPr>
        <w:pStyle w:val="NoSpacing"/>
        <w:spacing w:line="360" w:lineRule="auto"/>
        <w:ind w:left="720" w:hanging="720"/>
        <w:rPr>
          <w:spacing w:val="-3"/>
          <w:sz w:val="26"/>
          <w:szCs w:val="26"/>
        </w:rPr>
      </w:pPr>
    </w:p>
    <w:p w:rsidR="00B53E8B" w:rsidRPr="00A5340C" w:rsidRDefault="00AC5559" w:rsidP="001C311E">
      <w:pPr>
        <w:pStyle w:val="NoSpacing"/>
        <w:spacing w:line="360" w:lineRule="auto"/>
        <w:ind w:firstLine="1440"/>
        <w:rPr>
          <w:spacing w:val="-3"/>
          <w:sz w:val="26"/>
          <w:szCs w:val="26"/>
        </w:rPr>
      </w:pPr>
      <w:r>
        <w:rPr>
          <w:spacing w:val="-3"/>
          <w:sz w:val="26"/>
          <w:szCs w:val="26"/>
        </w:rPr>
        <w:t>4</w:t>
      </w:r>
      <w:r w:rsidR="0047221A" w:rsidRPr="00A5340C">
        <w:rPr>
          <w:spacing w:val="-3"/>
          <w:sz w:val="26"/>
          <w:szCs w:val="26"/>
        </w:rPr>
        <w:t xml:space="preserve">. </w:t>
      </w:r>
      <w:r w:rsidR="00B53E8B" w:rsidRPr="00A5340C">
        <w:rPr>
          <w:spacing w:val="-3"/>
          <w:sz w:val="26"/>
          <w:szCs w:val="26"/>
        </w:rPr>
        <w:tab/>
      </w:r>
      <w:r w:rsidR="0047221A" w:rsidRPr="00A5340C">
        <w:rPr>
          <w:spacing w:val="-3"/>
          <w:sz w:val="26"/>
          <w:szCs w:val="26"/>
        </w:rPr>
        <w:t xml:space="preserve">That </w:t>
      </w:r>
      <w:r>
        <w:rPr>
          <w:spacing w:val="-3"/>
          <w:sz w:val="26"/>
          <w:szCs w:val="26"/>
        </w:rPr>
        <w:t>Pennsylvania-American Water Company</w:t>
      </w:r>
      <w:r w:rsidR="0047221A" w:rsidRPr="00A5340C">
        <w:rPr>
          <w:spacing w:val="-3"/>
          <w:sz w:val="26"/>
          <w:szCs w:val="26"/>
        </w:rPr>
        <w:t xml:space="preserve"> shall not place into effect the rates, rules, and regulations contained in </w:t>
      </w:r>
      <w:r w:rsidRPr="00A5340C">
        <w:rPr>
          <w:sz w:val="26"/>
          <w:szCs w:val="26"/>
        </w:rPr>
        <w:t>Supplement No. 279 to Tariff Water – Pa. P.U.C. No. 4 and Original Tariff Wastewater Pa. P.U.C. No. 15</w:t>
      </w:r>
      <w:r w:rsidR="00E300A7" w:rsidRPr="00A5340C">
        <w:rPr>
          <w:spacing w:val="-3"/>
          <w:sz w:val="26"/>
          <w:szCs w:val="26"/>
        </w:rPr>
        <w:t xml:space="preserve"> </w:t>
      </w:r>
      <w:r w:rsidR="0047221A" w:rsidRPr="00A5340C">
        <w:rPr>
          <w:spacing w:val="-3"/>
          <w:sz w:val="26"/>
          <w:szCs w:val="26"/>
        </w:rPr>
        <w:t xml:space="preserve">as filed on </w:t>
      </w:r>
      <w:r>
        <w:rPr>
          <w:spacing w:val="-3"/>
          <w:sz w:val="26"/>
          <w:szCs w:val="26"/>
        </w:rPr>
        <w:t>April 30, 2013</w:t>
      </w:r>
      <w:r w:rsidR="0047221A" w:rsidRPr="00A5340C">
        <w:rPr>
          <w:spacing w:val="-3"/>
          <w:sz w:val="26"/>
          <w:szCs w:val="26"/>
        </w:rPr>
        <w:t>, the same having been found to be unjust, unreasonable, and therefore, unlawful.</w:t>
      </w:r>
    </w:p>
    <w:p w:rsidR="00B53E8B" w:rsidRPr="00A5340C" w:rsidRDefault="00B53E8B" w:rsidP="001C311E">
      <w:pPr>
        <w:pStyle w:val="NoSpacing"/>
        <w:spacing w:line="360" w:lineRule="auto"/>
        <w:ind w:firstLine="1440"/>
        <w:rPr>
          <w:spacing w:val="-3"/>
          <w:sz w:val="26"/>
          <w:szCs w:val="26"/>
        </w:rPr>
      </w:pPr>
    </w:p>
    <w:p w:rsidR="00883C94" w:rsidRPr="00883C94" w:rsidRDefault="00883C94" w:rsidP="00883C94">
      <w:pPr>
        <w:spacing w:after="0" w:line="360" w:lineRule="auto"/>
        <w:ind w:firstLine="1440"/>
        <w:rPr>
          <w:rFonts w:ascii="Times New Roman" w:hAnsi="Times New Roman"/>
          <w:spacing w:val="-3"/>
          <w:sz w:val="26"/>
          <w:szCs w:val="26"/>
        </w:rPr>
      </w:pPr>
      <w:r w:rsidRPr="00883C94">
        <w:rPr>
          <w:rFonts w:ascii="Times New Roman" w:hAnsi="Times New Roman"/>
          <w:spacing w:val="-3"/>
          <w:sz w:val="26"/>
          <w:szCs w:val="26"/>
        </w:rPr>
        <w:t>5.</w:t>
      </w:r>
      <w:r w:rsidRPr="00883C94">
        <w:rPr>
          <w:rFonts w:ascii="Times New Roman" w:hAnsi="Times New Roman"/>
          <w:spacing w:val="-3"/>
          <w:sz w:val="26"/>
          <w:szCs w:val="26"/>
        </w:rPr>
        <w:tab/>
        <w:t xml:space="preserve">That the rates, terms and conditions contained in the Joint Settlement Petition filed by Pennsylvania-American Water Company, the Bureau of Investigation &amp; Enforcement , the Office of Consumer Advocate, the Office of Small Business Advocate, </w:t>
      </w:r>
      <w:r w:rsidRPr="00883C94" w:rsidDel="00E300A7">
        <w:rPr>
          <w:rFonts w:ascii="Times New Roman" w:hAnsi="Times New Roman"/>
          <w:spacing w:val="-3"/>
          <w:sz w:val="26"/>
          <w:szCs w:val="26"/>
        </w:rPr>
        <w:t xml:space="preserve"> </w:t>
      </w:r>
      <w:r w:rsidRPr="00883C94">
        <w:rPr>
          <w:rFonts w:ascii="Times New Roman" w:hAnsi="Times New Roman"/>
          <w:spacing w:val="-3"/>
          <w:sz w:val="26"/>
          <w:szCs w:val="26"/>
        </w:rPr>
        <w:t>the Commission on Economic Opportunity, and the Pennsylvania American Water Large Users Group on October 18, 2013, is approved.</w:t>
      </w:r>
    </w:p>
    <w:p w:rsidR="00883C94" w:rsidRPr="00883C94" w:rsidRDefault="00883C94" w:rsidP="00883C94">
      <w:pPr>
        <w:spacing w:after="0" w:line="360" w:lineRule="auto"/>
        <w:ind w:firstLine="1440"/>
        <w:rPr>
          <w:rFonts w:ascii="Times New Roman" w:hAnsi="Times New Roman"/>
          <w:spacing w:val="-3"/>
          <w:sz w:val="26"/>
          <w:szCs w:val="26"/>
        </w:rPr>
      </w:pPr>
    </w:p>
    <w:p w:rsidR="00883C94" w:rsidRPr="00883C94" w:rsidRDefault="00883C94" w:rsidP="00883C94">
      <w:pPr>
        <w:spacing w:after="0" w:line="360" w:lineRule="auto"/>
        <w:ind w:firstLine="1440"/>
        <w:rPr>
          <w:rFonts w:ascii="Times New Roman" w:hAnsi="Times New Roman"/>
          <w:spacing w:val="-3"/>
          <w:sz w:val="26"/>
          <w:szCs w:val="26"/>
        </w:rPr>
      </w:pPr>
      <w:r w:rsidRPr="00883C94">
        <w:rPr>
          <w:rFonts w:ascii="Times New Roman" w:hAnsi="Times New Roman"/>
          <w:spacing w:val="-3"/>
          <w:sz w:val="26"/>
          <w:szCs w:val="26"/>
        </w:rPr>
        <w:t xml:space="preserve">6. </w:t>
      </w:r>
      <w:r w:rsidRPr="00883C94">
        <w:rPr>
          <w:rFonts w:ascii="Times New Roman" w:hAnsi="Times New Roman"/>
          <w:spacing w:val="-3"/>
          <w:sz w:val="26"/>
          <w:szCs w:val="26"/>
        </w:rPr>
        <w:tab/>
        <w:t>That Pennsylvania-American Water Company is hereby authorized to file tariffs, tariff supplements or tariff revisions containing rates, rules and regulations for water service consistent with Appendix A of the Joint Settlement Petition filed by Pennsylvania-American Water Company, the Bureau of Investigation &amp; Enforcement , the Office of Consumer Advocate, the Office of Small Business Advocate, the Commission on Economic Opportunity, and the Pennsylvania American Water Large Users Group on October 18, 2013, that become effective upon less tha</w:t>
      </w:r>
      <w:r w:rsidR="003A1257">
        <w:rPr>
          <w:rFonts w:ascii="Times New Roman" w:hAnsi="Times New Roman"/>
          <w:spacing w:val="-3"/>
          <w:sz w:val="26"/>
          <w:szCs w:val="26"/>
        </w:rPr>
        <w:t>n</w:t>
      </w:r>
      <w:r w:rsidRPr="00883C94">
        <w:rPr>
          <w:rFonts w:ascii="Times New Roman" w:hAnsi="Times New Roman"/>
          <w:spacing w:val="-3"/>
          <w:sz w:val="26"/>
          <w:szCs w:val="26"/>
        </w:rPr>
        <w:t xml:space="preserve"> statutory notice on January 1, 2014, and are designed to produce total annual operating revenue not to exceed $588,251,723. </w:t>
      </w:r>
    </w:p>
    <w:p w:rsidR="00883C94" w:rsidRPr="00883C94" w:rsidRDefault="00883C94" w:rsidP="00883C94">
      <w:pPr>
        <w:spacing w:after="0" w:line="360" w:lineRule="auto"/>
        <w:ind w:firstLine="1440"/>
        <w:rPr>
          <w:rFonts w:ascii="Times New Roman" w:hAnsi="Times New Roman"/>
          <w:spacing w:val="-3"/>
          <w:sz w:val="26"/>
          <w:szCs w:val="26"/>
        </w:rPr>
      </w:pPr>
    </w:p>
    <w:p w:rsidR="00883C94" w:rsidRPr="00883C94" w:rsidRDefault="00883C94" w:rsidP="00883C94">
      <w:pPr>
        <w:spacing w:after="0" w:line="360" w:lineRule="auto"/>
        <w:ind w:firstLine="1440"/>
        <w:rPr>
          <w:rFonts w:ascii="Times New Roman" w:hAnsi="Times New Roman"/>
          <w:spacing w:val="-3"/>
          <w:sz w:val="26"/>
          <w:szCs w:val="26"/>
        </w:rPr>
      </w:pPr>
      <w:r w:rsidRPr="00883C94">
        <w:rPr>
          <w:rFonts w:ascii="Times New Roman" w:hAnsi="Times New Roman"/>
          <w:spacing w:val="-3"/>
          <w:sz w:val="26"/>
          <w:szCs w:val="26"/>
        </w:rPr>
        <w:lastRenderedPageBreak/>
        <w:t>7.</w:t>
      </w:r>
      <w:r w:rsidRPr="00883C94">
        <w:rPr>
          <w:rFonts w:ascii="Times New Roman" w:hAnsi="Times New Roman"/>
          <w:spacing w:val="-3"/>
          <w:sz w:val="26"/>
          <w:szCs w:val="26"/>
        </w:rPr>
        <w:tab/>
        <w:t>That Pennsylvania-American Water Company is hereby authorized to file tariffs, tariff supplements or tariff revisions containing rates, rules and regulations for wastewater service, consistent with Appendix B the Joint Settlement Petition filed by Pennsylvania-American Water Company, the Bureau of Investigation &amp; Enforcement, the Office of Consumer Advocate, the Office of Small Business Advocate, the Commission on Economic Opportunity, and the Pennsylvania American Water Large Users Group on October 18, 2013, that become effective upon less than statutory notice on January 1, 2014, and are designed to produce total annual operating revenue not to exceed $16,324,282.</w:t>
      </w:r>
    </w:p>
    <w:p w:rsidR="00B53E8B" w:rsidRPr="00A5340C" w:rsidRDefault="00B53E8B" w:rsidP="001C311E">
      <w:pPr>
        <w:pStyle w:val="NoSpacing"/>
        <w:spacing w:line="360" w:lineRule="auto"/>
        <w:ind w:firstLine="1440"/>
        <w:rPr>
          <w:spacing w:val="-3"/>
          <w:sz w:val="26"/>
          <w:szCs w:val="26"/>
        </w:rPr>
      </w:pPr>
    </w:p>
    <w:p w:rsidR="00B25970" w:rsidRPr="00A5340C" w:rsidRDefault="00883C94" w:rsidP="001C311E">
      <w:pPr>
        <w:pStyle w:val="NoSpacing"/>
        <w:spacing w:line="360" w:lineRule="auto"/>
        <w:ind w:firstLine="1440"/>
        <w:rPr>
          <w:spacing w:val="-3"/>
          <w:sz w:val="26"/>
          <w:szCs w:val="26"/>
        </w:rPr>
      </w:pPr>
      <w:r>
        <w:rPr>
          <w:spacing w:val="-3"/>
          <w:sz w:val="26"/>
          <w:szCs w:val="26"/>
        </w:rPr>
        <w:t>8</w:t>
      </w:r>
      <w:r w:rsidR="0047221A" w:rsidRPr="00A5340C">
        <w:rPr>
          <w:spacing w:val="-3"/>
          <w:sz w:val="26"/>
          <w:szCs w:val="26"/>
        </w:rPr>
        <w:t xml:space="preserve">. </w:t>
      </w:r>
      <w:r w:rsidR="00EC6C6C" w:rsidRPr="00A5340C">
        <w:rPr>
          <w:spacing w:val="-3"/>
          <w:sz w:val="26"/>
          <w:szCs w:val="26"/>
        </w:rPr>
        <w:tab/>
      </w:r>
      <w:r w:rsidR="0047221A" w:rsidRPr="00A5340C">
        <w:rPr>
          <w:spacing w:val="-3"/>
          <w:sz w:val="26"/>
          <w:szCs w:val="26"/>
        </w:rPr>
        <w:t>That</w:t>
      </w:r>
      <w:r w:rsidR="002E0744" w:rsidRPr="00A5340C">
        <w:rPr>
          <w:spacing w:val="-3"/>
          <w:sz w:val="26"/>
          <w:szCs w:val="26"/>
        </w:rPr>
        <w:t>,</w:t>
      </w:r>
      <w:r w:rsidR="0047221A" w:rsidRPr="00A5340C">
        <w:rPr>
          <w:spacing w:val="-3"/>
          <w:sz w:val="26"/>
          <w:szCs w:val="26"/>
        </w:rPr>
        <w:t xml:space="preserve"> upon acceptance of the appropriate compliance filing, the investigation at Docket </w:t>
      </w:r>
      <w:r w:rsidR="002E0744" w:rsidRPr="00A5340C">
        <w:rPr>
          <w:spacing w:val="-3"/>
          <w:sz w:val="26"/>
          <w:szCs w:val="26"/>
        </w:rPr>
        <w:t xml:space="preserve">No. </w:t>
      </w:r>
      <w:r w:rsidR="004B7E96" w:rsidRPr="00A5340C">
        <w:rPr>
          <w:sz w:val="26"/>
          <w:szCs w:val="26"/>
        </w:rPr>
        <w:t>R-2013-2355276</w:t>
      </w:r>
      <w:r w:rsidR="004B7E96">
        <w:rPr>
          <w:sz w:val="26"/>
          <w:szCs w:val="26"/>
        </w:rPr>
        <w:t xml:space="preserve"> </w:t>
      </w:r>
      <w:r w:rsidR="00626130" w:rsidRPr="00A5340C">
        <w:rPr>
          <w:spacing w:val="-3"/>
          <w:sz w:val="26"/>
          <w:szCs w:val="26"/>
        </w:rPr>
        <w:t xml:space="preserve">shall </w:t>
      </w:r>
      <w:r w:rsidR="0047221A" w:rsidRPr="00A5340C">
        <w:rPr>
          <w:spacing w:val="-3"/>
          <w:sz w:val="26"/>
          <w:szCs w:val="26"/>
        </w:rPr>
        <w:t>be marked closed.</w:t>
      </w:r>
    </w:p>
    <w:p w:rsidR="00B53E8B" w:rsidRPr="00A5340C" w:rsidRDefault="00B53E8B" w:rsidP="001C311E">
      <w:pPr>
        <w:pStyle w:val="NoSpacing"/>
        <w:spacing w:line="360" w:lineRule="auto"/>
        <w:ind w:firstLine="1440"/>
        <w:rPr>
          <w:spacing w:val="-3"/>
          <w:sz w:val="26"/>
          <w:szCs w:val="26"/>
        </w:rPr>
      </w:pPr>
    </w:p>
    <w:p w:rsidR="00B25970" w:rsidRPr="00A5340C" w:rsidRDefault="00883C94" w:rsidP="001C311E">
      <w:pPr>
        <w:pStyle w:val="NoSpacing"/>
        <w:spacing w:line="360" w:lineRule="auto"/>
        <w:ind w:firstLine="1440"/>
        <w:rPr>
          <w:spacing w:val="-3"/>
          <w:sz w:val="26"/>
          <w:szCs w:val="26"/>
        </w:rPr>
      </w:pPr>
      <w:r>
        <w:rPr>
          <w:spacing w:val="-3"/>
          <w:sz w:val="26"/>
          <w:szCs w:val="26"/>
        </w:rPr>
        <w:t>9</w:t>
      </w:r>
      <w:r w:rsidR="002E0744" w:rsidRPr="00A5340C">
        <w:rPr>
          <w:spacing w:val="-3"/>
          <w:sz w:val="26"/>
          <w:szCs w:val="26"/>
        </w:rPr>
        <w:t>.</w:t>
      </w:r>
      <w:r w:rsidR="002E0744" w:rsidRPr="00A5340C">
        <w:rPr>
          <w:spacing w:val="-3"/>
          <w:sz w:val="26"/>
          <w:szCs w:val="26"/>
        </w:rPr>
        <w:tab/>
        <w:t>That the F</w:t>
      </w:r>
      <w:r w:rsidR="00B25970" w:rsidRPr="00A5340C">
        <w:rPr>
          <w:spacing w:val="-3"/>
          <w:sz w:val="26"/>
          <w:szCs w:val="26"/>
        </w:rPr>
        <w:t>ormal Comp</w:t>
      </w:r>
      <w:r w:rsidR="00791B3A">
        <w:rPr>
          <w:spacing w:val="-3"/>
          <w:sz w:val="26"/>
          <w:szCs w:val="26"/>
        </w:rPr>
        <w:t>laint filed at Docket No. C-2013</w:t>
      </w:r>
      <w:r w:rsidR="00B25970" w:rsidRPr="00A5340C">
        <w:rPr>
          <w:spacing w:val="-3"/>
          <w:sz w:val="26"/>
          <w:szCs w:val="26"/>
        </w:rPr>
        <w:t>-2</w:t>
      </w:r>
      <w:r w:rsidR="00791B3A">
        <w:rPr>
          <w:spacing w:val="-3"/>
          <w:sz w:val="26"/>
          <w:szCs w:val="26"/>
        </w:rPr>
        <w:t>362470</w:t>
      </w:r>
      <w:r w:rsidR="002E0744" w:rsidRPr="00A5340C">
        <w:rPr>
          <w:spacing w:val="-3"/>
          <w:sz w:val="26"/>
          <w:szCs w:val="26"/>
        </w:rPr>
        <w:t>,</w:t>
      </w:r>
      <w:r w:rsidR="00B25970" w:rsidRPr="00A5340C">
        <w:rPr>
          <w:spacing w:val="-3"/>
          <w:sz w:val="26"/>
          <w:szCs w:val="26"/>
        </w:rPr>
        <w:t xml:space="preserve"> by the Office of Consumer Advocate</w:t>
      </w:r>
      <w:r w:rsidR="002E0744" w:rsidRPr="00A5340C">
        <w:rPr>
          <w:spacing w:val="-3"/>
          <w:sz w:val="26"/>
          <w:szCs w:val="26"/>
        </w:rPr>
        <w:t>,</w:t>
      </w:r>
      <w:r w:rsidR="00B25970" w:rsidRPr="00A5340C">
        <w:rPr>
          <w:spacing w:val="-3"/>
          <w:sz w:val="26"/>
          <w:szCs w:val="26"/>
        </w:rPr>
        <w:t xml:space="preserve"> is dismissed.</w:t>
      </w:r>
    </w:p>
    <w:p w:rsidR="00B25970" w:rsidRPr="00A5340C" w:rsidRDefault="00B25970" w:rsidP="001C311E">
      <w:pPr>
        <w:pStyle w:val="NoSpacing"/>
        <w:spacing w:line="360" w:lineRule="auto"/>
        <w:rPr>
          <w:spacing w:val="-3"/>
          <w:sz w:val="26"/>
          <w:szCs w:val="26"/>
        </w:rPr>
      </w:pPr>
    </w:p>
    <w:p w:rsidR="00B25970" w:rsidRPr="00A5340C"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E00BB5" w:rsidRPr="00A5340C">
        <w:rPr>
          <w:spacing w:val="-3"/>
          <w:sz w:val="26"/>
          <w:szCs w:val="26"/>
        </w:rPr>
        <w:t>1</w:t>
      </w:r>
      <w:r w:rsidR="00883C94">
        <w:rPr>
          <w:spacing w:val="-3"/>
          <w:sz w:val="26"/>
          <w:szCs w:val="26"/>
        </w:rPr>
        <w:t>0</w:t>
      </w:r>
      <w:r w:rsidRPr="00A5340C">
        <w:rPr>
          <w:spacing w:val="-3"/>
          <w:sz w:val="26"/>
          <w:szCs w:val="26"/>
        </w:rPr>
        <w:t>.</w:t>
      </w:r>
      <w:r w:rsidRPr="00A5340C">
        <w:rPr>
          <w:spacing w:val="-3"/>
          <w:sz w:val="26"/>
          <w:szCs w:val="26"/>
        </w:rPr>
        <w:tab/>
        <w:t xml:space="preserve">That the </w:t>
      </w:r>
      <w:r w:rsidR="002E0744" w:rsidRPr="00A5340C">
        <w:rPr>
          <w:spacing w:val="-3"/>
          <w:sz w:val="26"/>
          <w:szCs w:val="26"/>
        </w:rPr>
        <w:t>F</w:t>
      </w:r>
      <w:r w:rsidRPr="00A5340C">
        <w:rPr>
          <w:spacing w:val="-3"/>
          <w:sz w:val="26"/>
          <w:szCs w:val="26"/>
        </w:rPr>
        <w:t>ormal Complaint</w:t>
      </w:r>
      <w:r w:rsidR="002E0744" w:rsidRPr="00A5340C">
        <w:rPr>
          <w:spacing w:val="-3"/>
          <w:sz w:val="26"/>
          <w:szCs w:val="26"/>
        </w:rPr>
        <w:t>,</w:t>
      </w:r>
      <w:r w:rsidR="00791B3A">
        <w:rPr>
          <w:spacing w:val="-3"/>
          <w:sz w:val="26"/>
          <w:szCs w:val="26"/>
        </w:rPr>
        <w:t xml:space="preserve"> filed at Docket No. C-2013-2364641</w:t>
      </w:r>
      <w:r w:rsidR="002E0744" w:rsidRPr="00A5340C">
        <w:rPr>
          <w:spacing w:val="-3"/>
          <w:sz w:val="26"/>
          <w:szCs w:val="26"/>
        </w:rPr>
        <w:t>,</w:t>
      </w:r>
      <w:r w:rsidRPr="00A5340C">
        <w:rPr>
          <w:spacing w:val="-3"/>
          <w:sz w:val="26"/>
          <w:szCs w:val="26"/>
        </w:rPr>
        <w:t xml:space="preserve"> by the Office of Small Business Advocate is dismissed.</w:t>
      </w:r>
    </w:p>
    <w:p w:rsidR="00B25970" w:rsidRPr="00A5340C" w:rsidRDefault="00B25970" w:rsidP="001C311E">
      <w:pPr>
        <w:pStyle w:val="NoSpacing"/>
        <w:spacing w:line="360" w:lineRule="auto"/>
        <w:rPr>
          <w:spacing w:val="-3"/>
          <w:sz w:val="26"/>
          <w:szCs w:val="26"/>
        </w:rPr>
      </w:pPr>
    </w:p>
    <w:p w:rsidR="00B25970" w:rsidRPr="00A5340C"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E00BB5" w:rsidRPr="00A5340C">
        <w:rPr>
          <w:spacing w:val="-3"/>
          <w:sz w:val="26"/>
          <w:szCs w:val="26"/>
        </w:rPr>
        <w:t>1</w:t>
      </w:r>
      <w:r w:rsidR="00883C94">
        <w:rPr>
          <w:spacing w:val="-3"/>
          <w:sz w:val="26"/>
          <w:szCs w:val="26"/>
        </w:rPr>
        <w:t>1</w:t>
      </w:r>
      <w:r w:rsidR="00626130" w:rsidRPr="00A5340C">
        <w:rPr>
          <w:spacing w:val="-3"/>
          <w:sz w:val="26"/>
          <w:szCs w:val="26"/>
        </w:rPr>
        <w:t>.</w:t>
      </w:r>
      <w:r w:rsidR="00626130" w:rsidRPr="00A5340C">
        <w:rPr>
          <w:spacing w:val="-3"/>
          <w:sz w:val="26"/>
          <w:szCs w:val="26"/>
        </w:rPr>
        <w:tab/>
        <w:t>That the F</w:t>
      </w:r>
      <w:r w:rsidRPr="00A5340C">
        <w:rPr>
          <w:spacing w:val="-3"/>
          <w:sz w:val="26"/>
          <w:szCs w:val="26"/>
        </w:rPr>
        <w:t>ormal Complaint</w:t>
      </w:r>
      <w:r w:rsidR="00626130" w:rsidRPr="00A5340C">
        <w:rPr>
          <w:spacing w:val="-3"/>
          <w:sz w:val="26"/>
          <w:szCs w:val="26"/>
        </w:rPr>
        <w:t>,</w:t>
      </w:r>
      <w:r w:rsidR="00791B3A">
        <w:rPr>
          <w:spacing w:val="-3"/>
          <w:sz w:val="26"/>
          <w:szCs w:val="26"/>
        </w:rPr>
        <w:t xml:space="preserve"> filed at Docket No. C-2013-2364664</w:t>
      </w:r>
      <w:r w:rsidR="00626130" w:rsidRPr="00A5340C">
        <w:rPr>
          <w:spacing w:val="-3"/>
          <w:sz w:val="26"/>
          <w:szCs w:val="26"/>
        </w:rPr>
        <w:t>,</w:t>
      </w:r>
      <w:r w:rsidRPr="00A5340C">
        <w:rPr>
          <w:spacing w:val="-3"/>
          <w:sz w:val="26"/>
          <w:szCs w:val="26"/>
        </w:rPr>
        <w:t xml:space="preserve"> by </w:t>
      </w:r>
      <w:r w:rsidR="00791B3A">
        <w:rPr>
          <w:spacing w:val="-3"/>
          <w:sz w:val="26"/>
          <w:szCs w:val="26"/>
        </w:rPr>
        <w:t>Brian L. Casper</w:t>
      </w:r>
      <w:r w:rsidRPr="00A5340C">
        <w:rPr>
          <w:spacing w:val="-3"/>
          <w:sz w:val="26"/>
          <w:szCs w:val="26"/>
        </w:rPr>
        <w:t xml:space="preserve"> is dismissed.</w:t>
      </w:r>
    </w:p>
    <w:p w:rsidR="00B25970" w:rsidRPr="00A5340C" w:rsidRDefault="00B25970" w:rsidP="001C311E">
      <w:pPr>
        <w:pStyle w:val="NoSpacing"/>
        <w:spacing w:line="360" w:lineRule="auto"/>
        <w:rPr>
          <w:spacing w:val="-3"/>
          <w:sz w:val="26"/>
          <w:szCs w:val="26"/>
        </w:rPr>
      </w:pPr>
    </w:p>
    <w:p w:rsidR="00B25970" w:rsidRPr="00A5340C"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E00BB5" w:rsidRPr="00A5340C">
        <w:rPr>
          <w:spacing w:val="-3"/>
          <w:sz w:val="26"/>
          <w:szCs w:val="26"/>
        </w:rPr>
        <w:t>1</w:t>
      </w:r>
      <w:r w:rsidR="00883C94">
        <w:rPr>
          <w:spacing w:val="-3"/>
          <w:sz w:val="26"/>
          <w:szCs w:val="26"/>
        </w:rPr>
        <w:t>2</w:t>
      </w:r>
      <w:r w:rsidR="001A63E2" w:rsidRPr="00A5340C">
        <w:rPr>
          <w:spacing w:val="-3"/>
          <w:sz w:val="26"/>
          <w:szCs w:val="26"/>
        </w:rPr>
        <w:t>.</w:t>
      </w:r>
      <w:r w:rsidR="00626130" w:rsidRPr="00A5340C">
        <w:rPr>
          <w:spacing w:val="-3"/>
          <w:sz w:val="26"/>
          <w:szCs w:val="26"/>
        </w:rPr>
        <w:tab/>
        <w:t>That the F</w:t>
      </w:r>
      <w:r w:rsidRPr="00A5340C">
        <w:rPr>
          <w:spacing w:val="-3"/>
          <w:sz w:val="26"/>
          <w:szCs w:val="26"/>
        </w:rPr>
        <w:t>ormal Complaint</w:t>
      </w:r>
      <w:r w:rsidR="00626130" w:rsidRPr="00A5340C">
        <w:rPr>
          <w:spacing w:val="-3"/>
          <w:sz w:val="26"/>
          <w:szCs w:val="26"/>
        </w:rPr>
        <w:t>,</w:t>
      </w:r>
      <w:r w:rsidR="00791B3A">
        <w:rPr>
          <w:spacing w:val="-3"/>
          <w:sz w:val="26"/>
          <w:szCs w:val="26"/>
        </w:rPr>
        <w:t xml:space="preserve"> filed at Docket No. C-2013-2364692</w:t>
      </w:r>
      <w:r w:rsidR="00626130" w:rsidRPr="00A5340C">
        <w:rPr>
          <w:spacing w:val="-3"/>
          <w:sz w:val="26"/>
          <w:szCs w:val="26"/>
        </w:rPr>
        <w:t>,</w:t>
      </w:r>
      <w:r w:rsidRPr="00A5340C">
        <w:rPr>
          <w:spacing w:val="-3"/>
          <w:sz w:val="26"/>
          <w:szCs w:val="26"/>
        </w:rPr>
        <w:t xml:space="preserve"> by </w:t>
      </w:r>
      <w:r w:rsidR="00791B3A">
        <w:rPr>
          <w:spacing w:val="-3"/>
          <w:sz w:val="26"/>
          <w:szCs w:val="26"/>
        </w:rPr>
        <w:t xml:space="preserve">Dawn B. </w:t>
      </w:r>
      <w:proofErr w:type="spellStart"/>
      <w:r w:rsidR="00791B3A">
        <w:rPr>
          <w:spacing w:val="-3"/>
          <w:sz w:val="26"/>
          <w:szCs w:val="26"/>
        </w:rPr>
        <w:t>Spielvogel</w:t>
      </w:r>
      <w:proofErr w:type="spellEnd"/>
      <w:r w:rsidRPr="00A5340C">
        <w:rPr>
          <w:spacing w:val="-3"/>
          <w:sz w:val="26"/>
          <w:szCs w:val="26"/>
        </w:rPr>
        <w:t xml:space="preserve"> is dismissed.</w:t>
      </w:r>
    </w:p>
    <w:p w:rsidR="00B25970" w:rsidRPr="00A5340C" w:rsidRDefault="00B25970" w:rsidP="001C311E">
      <w:pPr>
        <w:pStyle w:val="NoSpacing"/>
        <w:spacing w:line="360" w:lineRule="auto"/>
        <w:rPr>
          <w:spacing w:val="-3"/>
          <w:sz w:val="26"/>
          <w:szCs w:val="26"/>
        </w:rPr>
      </w:pPr>
    </w:p>
    <w:p w:rsidR="00B25970" w:rsidRPr="00A5340C"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E00BB5" w:rsidRPr="00A5340C">
        <w:rPr>
          <w:spacing w:val="-3"/>
          <w:sz w:val="26"/>
          <w:szCs w:val="26"/>
        </w:rPr>
        <w:t>1</w:t>
      </w:r>
      <w:r w:rsidR="00883C94">
        <w:rPr>
          <w:spacing w:val="-3"/>
          <w:sz w:val="26"/>
          <w:szCs w:val="26"/>
        </w:rPr>
        <w:t>3</w:t>
      </w:r>
      <w:r w:rsidR="001A63E2" w:rsidRPr="00A5340C">
        <w:rPr>
          <w:spacing w:val="-3"/>
          <w:sz w:val="26"/>
          <w:szCs w:val="26"/>
        </w:rPr>
        <w:t>.</w:t>
      </w:r>
      <w:r w:rsidRPr="00A5340C">
        <w:rPr>
          <w:spacing w:val="-3"/>
          <w:sz w:val="26"/>
          <w:szCs w:val="26"/>
        </w:rPr>
        <w:tab/>
        <w:t xml:space="preserve">That the </w:t>
      </w:r>
      <w:r w:rsidR="00626130" w:rsidRPr="00A5340C">
        <w:rPr>
          <w:spacing w:val="-3"/>
          <w:sz w:val="26"/>
          <w:szCs w:val="26"/>
        </w:rPr>
        <w:t>F</w:t>
      </w:r>
      <w:r w:rsidRPr="00A5340C">
        <w:rPr>
          <w:spacing w:val="-3"/>
          <w:sz w:val="26"/>
          <w:szCs w:val="26"/>
        </w:rPr>
        <w:t>ormal Complaint</w:t>
      </w:r>
      <w:r w:rsidR="00626130" w:rsidRPr="00A5340C">
        <w:rPr>
          <w:spacing w:val="-3"/>
          <w:sz w:val="26"/>
          <w:szCs w:val="26"/>
        </w:rPr>
        <w:t>,</w:t>
      </w:r>
      <w:r w:rsidR="00791B3A">
        <w:rPr>
          <w:spacing w:val="-3"/>
          <w:sz w:val="26"/>
          <w:szCs w:val="26"/>
        </w:rPr>
        <w:t xml:space="preserve"> filed at Docket No. C-2013</w:t>
      </w:r>
      <w:r w:rsidRPr="00A5340C">
        <w:rPr>
          <w:spacing w:val="-3"/>
          <w:sz w:val="26"/>
          <w:szCs w:val="26"/>
        </w:rPr>
        <w:t>-2</w:t>
      </w:r>
      <w:r w:rsidR="00240A22">
        <w:rPr>
          <w:spacing w:val="-3"/>
          <w:sz w:val="26"/>
          <w:szCs w:val="26"/>
        </w:rPr>
        <w:t>364773</w:t>
      </w:r>
      <w:r w:rsidR="00626130" w:rsidRPr="00A5340C">
        <w:rPr>
          <w:spacing w:val="-3"/>
          <w:sz w:val="26"/>
          <w:szCs w:val="26"/>
        </w:rPr>
        <w:t>,</w:t>
      </w:r>
      <w:r w:rsidRPr="00A5340C">
        <w:rPr>
          <w:spacing w:val="-3"/>
          <w:sz w:val="26"/>
          <w:szCs w:val="26"/>
        </w:rPr>
        <w:t xml:space="preserve"> by </w:t>
      </w:r>
      <w:r w:rsidR="00240A22">
        <w:rPr>
          <w:spacing w:val="-3"/>
          <w:sz w:val="26"/>
          <w:szCs w:val="26"/>
        </w:rPr>
        <w:t xml:space="preserve">Robert </w:t>
      </w:r>
      <w:proofErr w:type="spellStart"/>
      <w:r w:rsidR="00240A22">
        <w:rPr>
          <w:spacing w:val="-3"/>
          <w:sz w:val="26"/>
          <w:szCs w:val="26"/>
        </w:rPr>
        <w:t>Redinger</w:t>
      </w:r>
      <w:proofErr w:type="spellEnd"/>
      <w:r w:rsidRPr="00A5340C">
        <w:rPr>
          <w:spacing w:val="-3"/>
          <w:sz w:val="26"/>
          <w:szCs w:val="26"/>
        </w:rPr>
        <w:t xml:space="preserve"> is dismissed.</w:t>
      </w:r>
    </w:p>
    <w:p w:rsidR="0016388D" w:rsidRPr="00A5340C" w:rsidRDefault="0016388D" w:rsidP="001C311E">
      <w:pPr>
        <w:pStyle w:val="NoSpacing"/>
        <w:spacing w:line="360" w:lineRule="auto"/>
        <w:rPr>
          <w:spacing w:val="-3"/>
          <w:sz w:val="26"/>
          <w:szCs w:val="26"/>
        </w:rPr>
      </w:pPr>
    </w:p>
    <w:p w:rsidR="00B25970" w:rsidRDefault="0016388D" w:rsidP="001C311E">
      <w:pPr>
        <w:pStyle w:val="NoSpacing"/>
        <w:spacing w:line="360" w:lineRule="auto"/>
        <w:rPr>
          <w:spacing w:val="-3"/>
          <w:sz w:val="26"/>
          <w:szCs w:val="26"/>
        </w:rPr>
      </w:pPr>
      <w:r w:rsidRPr="00A5340C">
        <w:rPr>
          <w:spacing w:val="-3"/>
          <w:sz w:val="26"/>
          <w:szCs w:val="26"/>
        </w:rPr>
        <w:tab/>
      </w:r>
      <w:r w:rsidR="00B25970" w:rsidRPr="00A5340C">
        <w:rPr>
          <w:spacing w:val="-3"/>
          <w:sz w:val="26"/>
          <w:szCs w:val="26"/>
        </w:rPr>
        <w:tab/>
      </w:r>
      <w:r w:rsidR="00883C94">
        <w:rPr>
          <w:spacing w:val="-3"/>
          <w:sz w:val="26"/>
          <w:szCs w:val="26"/>
        </w:rPr>
        <w:t>14</w:t>
      </w:r>
      <w:r w:rsidR="001A63E2" w:rsidRPr="00A5340C">
        <w:rPr>
          <w:spacing w:val="-3"/>
          <w:sz w:val="26"/>
          <w:szCs w:val="26"/>
        </w:rPr>
        <w:t>.</w:t>
      </w:r>
      <w:r w:rsidR="00626130" w:rsidRPr="00A5340C">
        <w:rPr>
          <w:spacing w:val="-3"/>
          <w:sz w:val="26"/>
          <w:szCs w:val="26"/>
        </w:rPr>
        <w:tab/>
        <w:t>That the F</w:t>
      </w:r>
      <w:r w:rsidR="00B25970" w:rsidRPr="00A5340C">
        <w:rPr>
          <w:spacing w:val="-3"/>
          <w:sz w:val="26"/>
          <w:szCs w:val="26"/>
        </w:rPr>
        <w:t>ormal Complaint</w:t>
      </w:r>
      <w:r w:rsidR="00626130" w:rsidRPr="00A5340C">
        <w:rPr>
          <w:spacing w:val="-3"/>
          <w:sz w:val="26"/>
          <w:szCs w:val="26"/>
        </w:rPr>
        <w:t>,</w:t>
      </w:r>
      <w:r w:rsidR="00240A22">
        <w:rPr>
          <w:spacing w:val="-3"/>
          <w:sz w:val="26"/>
          <w:szCs w:val="26"/>
        </w:rPr>
        <w:t xml:space="preserve"> filed at Docket No. C-2013-2366095</w:t>
      </w:r>
      <w:r w:rsidR="00626130" w:rsidRPr="00A5340C">
        <w:rPr>
          <w:spacing w:val="-3"/>
          <w:sz w:val="26"/>
          <w:szCs w:val="26"/>
        </w:rPr>
        <w:t>,</w:t>
      </w:r>
      <w:r w:rsidR="00B25970" w:rsidRPr="00A5340C">
        <w:rPr>
          <w:spacing w:val="-3"/>
          <w:sz w:val="26"/>
          <w:szCs w:val="26"/>
        </w:rPr>
        <w:t xml:space="preserve"> by </w:t>
      </w:r>
      <w:r w:rsidR="00240A22">
        <w:rPr>
          <w:spacing w:val="-3"/>
          <w:sz w:val="26"/>
          <w:szCs w:val="26"/>
        </w:rPr>
        <w:t>Rita Sherman</w:t>
      </w:r>
      <w:r w:rsidR="00B25970" w:rsidRPr="00A5340C">
        <w:rPr>
          <w:spacing w:val="-3"/>
          <w:sz w:val="26"/>
          <w:szCs w:val="26"/>
        </w:rPr>
        <w:t xml:space="preserve"> is dismissed.</w:t>
      </w:r>
    </w:p>
    <w:p w:rsidR="00B25970" w:rsidRDefault="00B25970" w:rsidP="001C311E">
      <w:pPr>
        <w:pStyle w:val="NoSpacing"/>
        <w:spacing w:line="360" w:lineRule="auto"/>
        <w:rPr>
          <w:spacing w:val="-3"/>
          <w:sz w:val="26"/>
          <w:szCs w:val="26"/>
        </w:rPr>
      </w:pPr>
      <w:r w:rsidRPr="00A5340C">
        <w:rPr>
          <w:spacing w:val="-3"/>
          <w:sz w:val="26"/>
          <w:szCs w:val="26"/>
        </w:rPr>
        <w:lastRenderedPageBreak/>
        <w:tab/>
      </w:r>
      <w:r w:rsidRPr="00A5340C">
        <w:rPr>
          <w:spacing w:val="-3"/>
          <w:sz w:val="26"/>
          <w:szCs w:val="26"/>
        </w:rPr>
        <w:tab/>
      </w:r>
      <w:r w:rsidR="00883C94">
        <w:rPr>
          <w:spacing w:val="-3"/>
          <w:sz w:val="26"/>
          <w:szCs w:val="26"/>
        </w:rPr>
        <w:t>15</w:t>
      </w:r>
      <w:r w:rsidR="001A63E2" w:rsidRPr="00A5340C">
        <w:rPr>
          <w:spacing w:val="-3"/>
          <w:sz w:val="26"/>
          <w:szCs w:val="26"/>
        </w:rPr>
        <w:t>.</w:t>
      </w:r>
      <w:r w:rsidRPr="00A5340C">
        <w:rPr>
          <w:spacing w:val="-3"/>
          <w:sz w:val="26"/>
          <w:szCs w:val="26"/>
        </w:rPr>
        <w:tab/>
        <w:t xml:space="preserve">That the </w:t>
      </w:r>
      <w:r w:rsidR="00626130" w:rsidRPr="00A5340C">
        <w:rPr>
          <w:spacing w:val="-3"/>
          <w:sz w:val="26"/>
          <w:szCs w:val="26"/>
        </w:rPr>
        <w:t>F</w:t>
      </w:r>
      <w:r w:rsidRPr="00A5340C">
        <w:rPr>
          <w:spacing w:val="-3"/>
          <w:sz w:val="26"/>
          <w:szCs w:val="26"/>
        </w:rPr>
        <w:t>ormal Complaint</w:t>
      </w:r>
      <w:r w:rsidR="00626130" w:rsidRPr="00A5340C">
        <w:rPr>
          <w:spacing w:val="-3"/>
          <w:sz w:val="26"/>
          <w:szCs w:val="26"/>
        </w:rPr>
        <w:t>,</w:t>
      </w:r>
      <w:r w:rsidR="00240A22">
        <w:rPr>
          <w:spacing w:val="-3"/>
          <w:sz w:val="26"/>
          <w:szCs w:val="26"/>
        </w:rPr>
        <w:t xml:space="preserve"> filed at Docket No. C-2013</w:t>
      </w:r>
      <w:r w:rsidRPr="00A5340C">
        <w:rPr>
          <w:spacing w:val="-3"/>
          <w:sz w:val="26"/>
          <w:szCs w:val="26"/>
        </w:rPr>
        <w:t>-2</w:t>
      </w:r>
      <w:r w:rsidR="00240A22">
        <w:rPr>
          <w:spacing w:val="-3"/>
          <w:sz w:val="26"/>
          <w:szCs w:val="26"/>
        </w:rPr>
        <w:t>367036</w:t>
      </w:r>
      <w:r w:rsidR="00626130" w:rsidRPr="00A5340C">
        <w:rPr>
          <w:spacing w:val="-3"/>
          <w:sz w:val="26"/>
          <w:szCs w:val="26"/>
        </w:rPr>
        <w:t>,</w:t>
      </w:r>
      <w:r w:rsidRPr="00A5340C">
        <w:rPr>
          <w:spacing w:val="-3"/>
          <w:sz w:val="26"/>
          <w:szCs w:val="26"/>
        </w:rPr>
        <w:t xml:space="preserve"> by </w:t>
      </w:r>
      <w:r w:rsidR="00240A22">
        <w:rPr>
          <w:spacing w:val="-3"/>
          <w:sz w:val="26"/>
          <w:szCs w:val="26"/>
        </w:rPr>
        <w:t xml:space="preserve">Guy &amp; </w:t>
      </w:r>
      <w:proofErr w:type="spellStart"/>
      <w:r w:rsidR="00240A22">
        <w:rPr>
          <w:spacing w:val="-3"/>
          <w:sz w:val="26"/>
          <w:szCs w:val="26"/>
        </w:rPr>
        <w:t>Nedra</w:t>
      </w:r>
      <w:proofErr w:type="spellEnd"/>
      <w:r w:rsidR="00240A22">
        <w:rPr>
          <w:spacing w:val="-3"/>
          <w:sz w:val="26"/>
          <w:szCs w:val="26"/>
        </w:rPr>
        <w:t xml:space="preserve"> Visconti</w:t>
      </w:r>
      <w:r w:rsidRPr="00A5340C">
        <w:rPr>
          <w:spacing w:val="-3"/>
          <w:sz w:val="26"/>
          <w:szCs w:val="26"/>
        </w:rPr>
        <w:t xml:space="preserve"> is dismissed.</w:t>
      </w:r>
    </w:p>
    <w:p w:rsidR="00240A22" w:rsidRPr="00A5340C" w:rsidRDefault="00240A22" w:rsidP="001C311E">
      <w:pPr>
        <w:pStyle w:val="NoSpacing"/>
        <w:spacing w:line="360" w:lineRule="auto"/>
        <w:rPr>
          <w:spacing w:val="-3"/>
          <w:sz w:val="26"/>
          <w:szCs w:val="26"/>
        </w:rPr>
      </w:pPr>
    </w:p>
    <w:p w:rsidR="00B25970" w:rsidRPr="00A5340C"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240A22">
        <w:rPr>
          <w:spacing w:val="-3"/>
          <w:sz w:val="26"/>
          <w:szCs w:val="26"/>
        </w:rPr>
        <w:t>1</w:t>
      </w:r>
      <w:r w:rsidR="00883C94">
        <w:rPr>
          <w:spacing w:val="-3"/>
          <w:sz w:val="26"/>
          <w:szCs w:val="26"/>
        </w:rPr>
        <w:t>6</w:t>
      </w:r>
      <w:r w:rsidRPr="00A5340C">
        <w:rPr>
          <w:spacing w:val="-3"/>
          <w:sz w:val="26"/>
          <w:szCs w:val="26"/>
        </w:rPr>
        <w:t>.</w:t>
      </w:r>
      <w:r w:rsidRPr="00A5340C">
        <w:rPr>
          <w:spacing w:val="-3"/>
          <w:sz w:val="26"/>
          <w:szCs w:val="26"/>
        </w:rPr>
        <w:tab/>
        <w:t>Th</w:t>
      </w:r>
      <w:r w:rsidR="00626130" w:rsidRPr="00A5340C">
        <w:rPr>
          <w:spacing w:val="-3"/>
          <w:sz w:val="26"/>
          <w:szCs w:val="26"/>
        </w:rPr>
        <w:t>at the F</w:t>
      </w:r>
      <w:r w:rsidRPr="00A5340C">
        <w:rPr>
          <w:spacing w:val="-3"/>
          <w:sz w:val="26"/>
          <w:szCs w:val="26"/>
        </w:rPr>
        <w:t>ormal Complaint</w:t>
      </w:r>
      <w:r w:rsidR="00626130" w:rsidRPr="00A5340C">
        <w:rPr>
          <w:spacing w:val="-3"/>
          <w:sz w:val="26"/>
          <w:szCs w:val="26"/>
        </w:rPr>
        <w:t>,</w:t>
      </w:r>
      <w:r w:rsidRPr="00A5340C">
        <w:rPr>
          <w:spacing w:val="-3"/>
          <w:sz w:val="26"/>
          <w:szCs w:val="26"/>
        </w:rPr>
        <w:t xml:space="preserve"> filed at Docket No. C-201</w:t>
      </w:r>
      <w:r w:rsidR="00240A22">
        <w:rPr>
          <w:spacing w:val="-3"/>
          <w:sz w:val="26"/>
          <w:szCs w:val="26"/>
        </w:rPr>
        <w:t>3</w:t>
      </w:r>
      <w:r w:rsidRPr="00A5340C">
        <w:rPr>
          <w:spacing w:val="-3"/>
          <w:sz w:val="26"/>
          <w:szCs w:val="26"/>
        </w:rPr>
        <w:t>-2</w:t>
      </w:r>
      <w:r w:rsidR="00240A22">
        <w:rPr>
          <w:spacing w:val="-3"/>
          <w:sz w:val="26"/>
          <w:szCs w:val="26"/>
        </w:rPr>
        <w:t>367041</w:t>
      </w:r>
      <w:r w:rsidR="00626130" w:rsidRPr="00A5340C">
        <w:rPr>
          <w:spacing w:val="-3"/>
          <w:sz w:val="26"/>
          <w:szCs w:val="26"/>
        </w:rPr>
        <w:t>,</w:t>
      </w:r>
      <w:r w:rsidRPr="00A5340C">
        <w:rPr>
          <w:spacing w:val="-3"/>
          <w:sz w:val="26"/>
          <w:szCs w:val="26"/>
        </w:rPr>
        <w:t xml:space="preserve"> by </w:t>
      </w:r>
      <w:r w:rsidR="00240A22">
        <w:rPr>
          <w:spacing w:val="-3"/>
          <w:sz w:val="26"/>
          <w:szCs w:val="26"/>
        </w:rPr>
        <w:t xml:space="preserve">Russell </w:t>
      </w:r>
      <w:proofErr w:type="spellStart"/>
      <w:r w:rsidR="00240A22">
        <w:rPr>
          <w:spacing w:val="-3"/>
          <w:sz w:val="26"/>
          <w:szCs w:val="26"/>
        </w:rPr>
        <w:t>Vankoughnet</w:t>
      </w:r>
      <w:proofErr w:type="spellEnd"/>
      <w:r w:rsidRPr="00A5340C">
        <w:rPr>
          <w:spacing w:val="-3"/>
          <w:sz w:val="26"/>
          <w:szCs w:val="26"/>
        </w:rPr>
        <w:t xml:space="preserve"> is dismissed.</w:t>
      </w:r>
    </w:p>
    <w:p w:rsidR="00B25970" w:rsidRPr="00A5340C" w:rsidRDefault="00B25970" w:rsidP="001C311E">
      <w:pPr>
        <w:pStyle w:val="NoSpacing"/>
        <w:spacing w:line="360" w:lineRule="auto"/>
        <w:rPr>
          <w:spacing w:val="-3"/>
          <w:sz w:val="26"/>
          <w:szCs w:val="26"/>
        </w:rPr>
      </w:pPr>
    </w:p>
    <w:p w:rsidR="00B25970" w:rsidRPr="00A5340C"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883C94">
        <w:rPr>
          <w:spacing w:val="-3"/>
          <w:sz w:val="26"/>
          <w:szCs w:val="26"/>
        </w:rPr>
        <w:t>17</w:t>
      </w:r>
      <w:r w:rsidR="00375DB4" w:rsidRPr="00A5340C">
        <w:rPr>
          <w:spacing w:val="-3"/>
          <w:sz w:val="26"/>
          <w:szCs w:val="26"/>
        </w:rPr>
        <w:t>.</w:t>
      </w:r>
      <w:r w:rsidR="00375DB4" w:rsidRPr="00A5340C">
        <w:rPr>
          <w:spacing w:val="-3"/>
          <w:sz w:val="26"/>
          <w:szCs w:val="26"/>
        </w:rPr>
        <w:tab/>
        <w:t>That the F</w:t>
      </w:r>
      <w:r w:rsidRPr="00A5340C">
        <w:rPr>
          <w:spacing w:val="-3"/>
          <w:sz w:val="26"/>
          <w:szCs w:val="26"/>
        </w:rPr>
        <w:t>ormal Complaint</w:t>
      </w:r>
      <w:r w:rsidR="00375DB4" w:rsidRPr="00A5340C">
        <w:rPr>
          <w:spacing w:val="-3"/>
          <w:sz w:val="26"/>
          <w:szCs w:val="26"/>
        </w:rPr>
        <w:t>,</w:t>
      </w:r>
      <w:r w:rsidR="00240A22">
        <w:rPr>
          <w:spacing w:val="-3"/>
          <w:sz w:val="26"/>
          <w:szCs w:val="26"/>
        </w:rPr>
        <w:t xml:space="preserve"> filed at Docket No. C-2013</w:t>
      </w:r>
      <w:r w:rsidRPr="00A5340C">
        <w:rPr>
          <w:spacing w:val="-3"/>
          <w:sz w:val="26"/>
          <w:szCs w:val="26"/>
        </w:rPr>
        <w:t>-2</w:t>
      </w:r>
      <w:r w:rsidR="00240A22">
        <w:rPr>
          <w:spacing w:val="-3"/>
          <w:sz w:val="26"/>
          <w:szCs w:val="26"/>
        </w:rPr>
        <w:t>369063</w:t>
      </w:r>
      <w:r w:rsidR="00375DB4" w:rsidRPr="00A5340C">
        <w:rPr>
          <w:spacing w:val="-3"/>
          <w:sz w:val="26"/>
          <w:szCs w:val="26"/>
        </w:rPr>
        <w:t>,</w:t>
      </w:r>
      <w:r w:rsidRPr="00A5340C">
        <w:rPr>
          <w:spacing w:val="-3"/>
          <w:sz w:val="26"/>
          <w:szCs w:val="26"/>
        </w:rPr>
        <w:t xml:space="preserve"> by </w:t>
      </w:r>
      <w:r w:rsidR="00240A22">
        <w:rPr>
          <w:spacing w:val="-3"/>
          <w:sz w:val="26"/>
          <w:szCs w:val="26"/>
        </w:rPr>
        <w:t>Doris Miller</w:t>
      </w:r>
      <w:r w:rsidRPr="00A5340C">
        <w:rPr>
          <w:spacing w:val="-3"/>
          <w:sz w:val="26"/>
          <w:szCs w:val="26"/>
        </w:rPr>
        <w:t xml:space="preserve"> is dismissed.</w:t>
      </w:r>
    </w:p>
    <w:p w:rsidR="00B25970" w:rsidRPr="00A5340C" w:rsidRDefault="00B25970" w:rsidP="001C311E">
      <w:pPr>
        <w:pStyle w:val="NoSpacing"/>
        <w:spacing w:line="360" w:lineRule="auto"/>
        <w:rPr>
          <w:spacing w:val="-3"/>
          <w:sz w:val="26"/>
          <w:szCs w:val="26"/>
        </w:rPr>
      </w:pPr>
    </w:p>
    <w:p w:rsidR="00B25970" w:rsidRPr="00A5340C"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711B77">
        <w:rPr>
          <w:spacing w:val="-3"/>
          <w:sz w:val="26"/>
          <w:szCs w:val="26"/>
        </w:rPr>
        <w:t>18</w:t>
      </w:r>
      <w:r w:rsidRPr="00A5340C">
        <w:rPr>
          <w:spacing w:val="-3"/>
          <w:sz w:val="26"/>
          <w:szCs w:val="26"/>
        </w:rPr>
        <w:t>.</w:t>
      </w:r>
      <w:r w:rsidRPr="00A5340C">
        <w:rPr>
          <w:spacing w:val="-3"/>
          <w:sz w:val="26"/>
          <w:szCs w:val="26"/>
        </w:rPr>
        <w:tab/>
        <w:t xml:space="preserve">That the </w:t>
      </w:r>
      <w:r w:rsidR="00375DB4" w:rsidRPr="00A5340C">
        <w:rPr>
          <w:spacing w:val="-3"/>
          <w:sz w:val="26"/>
          <w:szCs w:val="26"/>
        </w:rPr>
        <w:t>F</w:t>
      </w:r>
      <w:r w:rsidRPr="00A5340C">
        <w:rPr>
          <w:spacing w:val="-3"/>
          <w:sz w:val="26"/>
          <w:szCs w:val="26"/>
        </w:rPr>
        <w:t>ormal Complaint</w:t>
      </w:r>
      <w:r w:rsidR="00375DB4" w:rsidRPr="00A5340C">
        <w:rPr>
          <w:spacing w:val="-3"/>
          <w:sz w:val="26"/>
          <w:szCs w:val="26"/>
        </w:rPr>
        <w:t>,</w:t>
      </w:r>
      <w:r w:rsidR="00240A22">
        <w:rPr>
          <w:spacing w:val="-3"/>
          <w:sz w:val="26"/>
          <w:szCs w:val="26"/>
        </w:rPr>
        <w:t xml:space="preserve"> filed at Docket No. C-2013</w:t>
      </w:r>
      <w:r w:rsidRPr="00A5340C">
        <w:rPr>
          <w:spacing w:val="-3"/>
          <w:sz w:val="26"/>
          <w:szCs w:val="26"/>
        </w:rPr>
        <w:t>-2</w:t>
      </w:r>
      <w:r w:rsidR="00240A22">
        <w:rPr>
          <w:spacing w:val="-3"/>
          <w:sz w:val="26"/>
          <w:szCs w:val="26"/>
        </w:rPr>
        <w:t>369095</w:t>
      </w:r>
      <w:r w:rsidR="00375DB4" w:rsidRPr="00A5340C">
        <w:rPr>
          <w:spacing w:val="-3"/>
          <w:sz w:val="26"/>
          <w:szCs w:val="26"/>
        </w:rPr>
        <w:t>,</w:t>
      </w:r>
      <w:r w:rsidRPr="00A5340C">
        <w:rPr>
          <w:spacing w:val="-3"/>
          <w:sz w:val="26"/>
          <w:szCs w:val="26"/>
        </w:rPr>
        <w:t xml:space="preserve"> by </w:t>
      </w:r>
      <w:r w:rsidR="00240A22">
        <w:rPr>
          <w:spacing w:val="-3"/>
          <w:sz w:val="26"/>
          <w:szCs w:val="26"/>
        </w:rPr>
        <w:t xml:space="preserve">Jon &amp; Dorothy </w:t>
      </w:r>
      <w:proofErr w:type="spellStart"/>
      <w:r w:rsidR="00240A22">
        <w:rPr>
          <w:spacing w:val="-3"/>
          <w:sz w:val="26"/>
          <w:szCs w:val="26"/>
        </w:rPr>
        <w:t>Pichelman</w:t>
      </w:r>
      <w:proofErr w:type="spellEnd"/>
      <w:r w:rsidRPr="00A5340C">
        <w:rPr>
          <w:spacing w:val="-3"/>
          <w:sz w:val="26"/>
          <w:szCs w:val="26"/>
        </w:rPr>
        <w:t xml:space="preserve"> is dismissed.</w:t>
      </w:r>
    </w:p>
    <w:p w:rsidR="00B25970" w:rsidRPr="00A5340C" w:rsidRDefault="00B25970" w:rsidP="001C311E">
      <w:pPr>
        <w:pStyle w:val="NoSpacing"/>
        <w:spacing w:line="360" w:lineRule="auto"/>
        <w:rPr>
          <w:spacing w:val="-3"/>
          <w:sz w:val="26"/>
          <w:szCs w:val="26"/>
        </w:rPr>
      </w:pPr>
    </w:p>
    <w:p w:rsidR="00B25970" w:rsidRPr="00A5340C"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711B77">
        <w:rPr>
          <w:spacing w:val="-3"/>
          <w:sz w:val="26"/>
          <w:szCs w:val="26"/>
        </w:rPr>
        <w:t>19</w:t>
      </w:r>
      <w:r w:rsidR="0061757D" w:rsidRPr="00A5340C">
        <w:rPr>
          <w:spacing w:val="-3"/>
          <w:sz w:val="26"/>
          <w:szCs w:val="26"/>
        </w:rPr>
        <w:t>.</w:t>
      </w:r>
      <w:r w:rsidRPr="00A5340C">
        <w:rPr>
          <w:spacing w:val="-3"/>
          <w:sz w:val="26"/>
          <w:szCs w:val="26"/>
        </w:rPr>
        <w:tab/>
        <w:t xml:space="preserve">That the </w:t>
      </w:r>
      <w:r w:rsidR="00375DB4" w:rsidRPr="00A5340C">
        <w:rPr>
          <w:spacing w:val="-3"/>
          <w:sz w:val="26"/>
          <w:szCs w:val="26"/>
        </w:rPr>
        <w:t>F</w:t>
      </w:r>
      <w:r w:rsidRPr="00A5340C">
        <w:rPr>
          <w:spacing w:val="-3"/>
          <w:sz w:val="26"/>
          <w:szCs w:val="26"/>
        </w:rPr>
        <w:t>ormal Complaint</w:t>
      </w:r>
      <w:r w:rsidR="00375DB4" w:rsidRPr="00A5340C">
        <w:rPr>
          <w:spacing w:val="-3"/>
          <w:sz w:val="26"/>
          <w:szCs w:val="26"/>
        </w:rPr>
        <w:t>,</w:t>
      </w:r>
      <w:r w:rsidR="00240A22">
        <w:rPr>
          <w:spacing w:val="-3"/>
          <w:sz w:val="26"/>
          <w:szCs w:val="26"/>
        </w:rPr>
        <w:t xml:space="preserve"> filed at Docket No. C-2013-2369464</w:t>
      </w:r>
      <w:r w:rsidR="00375DB4" w:rsidRPr="00A5340C">
        <w:rPr>
          <w:spacing w:val="-3"/>
          <w:sz w:val="26"/>
          <w:szCs w:val="26"/>
        </w:rPr>
        <w:t>,</w:t>
      </w:r>
      <w:r w:rsidRPr="00A5340C">
        <w:rPr>
          <w:spacing w:val="-3"/>
          <w:sz w:val="26"/>
          <w:szCs w:val="26"/>
        </w:rPr>
        <w:t xml:space="preserve"> by </w:t>
      </w:r>
      <w:r w:rsidR="00240A22">
        <w:rPr>
          <w:spacing w:val="-3"/>
          <w:sz w:val="26"/>
          <w:szCs w:val="26"/>
        </w:rPr>
        <w:t>Jane Neufeld</w:t>
      </w:r>
      <w:r w:rsidRPr="00A5340C">
        <w:rPr>
          <w:spacing w:val="-3"/>
          <w:sz w:val="26"/>
          <w:szCs w:val="26"/>
        </w:rPr>
        <w:t xml:space="preserve"> is dismissed.</w:t>
      </w:r>
    </w:p>
    <w:p w:rsidR="00B25970" w:rsidRPr="00A5340C" w:rsidRDefault="00B25970" w:rsidP="001C311E">
      <w:pPr>
        <w:pStyle w:val="NoSpacing"/>
        <w:spacing w:line="360" w:lineRule="auto"/>
        <w:rPr>
          <w:spacing w:val="-3"/>
          <w:sz w:val="26"/>
          <w:szCs w:val="26"/>
        </w:rPr>
      </w:pPr>
    </w:p>
    <w:p w:rsidR="00B25970" w:rsidRPr="00A5340C"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61757D" w:rsidRPr="00A5340C">
        <w:rPr>
          <w:spacing w:val="-3"/>
          <w:sz w:val="26"/>
          <w:szCs w:val="26"/>
        </w:rPr>
        <w:t>2</w:t>
      </w:r>
      <w:r w:rsidR="00711B77">
        <w:rPr>
          <w:spacing w:val="-3"/>
          <w:sz w:val="26"/>
          <w:szCs w:val="26"/>
        </w:rPr>
        <w:t>0</w:t>
      </w:r>
      <w:r w:rsidR="00375DB4" w:rsidRPr="00A5340C">
        <w:rPr>
          <w:spacing w:val="-3"/>
          <w:sz w:val="26"/>
          <w:szCs w:val="26"/>
        </w:rPr>
        <w:t>.</w:t>
      </w:r>
      <w:r w:rsidR="00375DB4" w:rsidRPr="00A5340C">
        <w:rPr>
          <w:spacing w:val="-3"/>
          <w:sz w:val="26"/>
          <w:szCs w:val="26"/>
        </w:rPr>
        <w:tab/>
        <w:t>That the F</w:t>
      </w:r>
      <w:r w:rsidRPr="00A5340C">
        <w:rPr>
          <w:spacing w:val="-3"/>
          <w:sz w:val="26"/>
          <w:szCs w:val="26"/>
        </w:rPr>
        <w:t>ormal Complaint</w:t>
      </w:r>
      <w:r w:rsidR="00375DB4" w:rsidRPr="00A5340C">
        <w:rPr>
          <w:spacing w:val="-3"/>
          <w:sz w:val="26"/>
          <w:szCs w:val="26"/>
        </w:rPr>
        <w:t>,</w:t>
      </w:r>
      <w:r w:rsidRPr="00A5340C">
        <w:rPr>
          <w:spacing w:val="-3"/>
          <w:sz w:val="26"/>
          <w:szCs w:val="26"/>
        </w:rPr>
        <w:t xml:space="preserve"> filed at D</w:t>
      </w:r>
      <w:r w:rsidR="00240A22">
        <w:rPr>
          <w:spacing w:val="-3"/>
          <w:sz w:val="26"/>
          <w:szCs w:val="26"/>
        </w:rPr>
        <w:t>ocket No. C-2013</w:t>
      </w:r>
      <w:r w:rsidRPr="00A5340C">
        <w:rPr>
          <w:spacing w:val="-3"/>
          <w:sz w:val="26"/>
          <w:szCs w:val="26"/>
        </w:rPr>
        <w:t>-2</w:t>
      </w:r>
      <w:r w:rsidR="00240A22">
        <w:rPr>
          <w:spacing w:val="-3"/>
          <w:sz w:val="26"/>
          <w:szCs w:val="26"/>
        </w:rPr>
        <w:t>369925</w:t>
      </w:r>
      <w:r w:rsidR="00375DB4" w:rsidRPr="00A5340C">
        <w:rPr>
          <w:spacing w:val="-3"/>
          <w:sz w:val="26"/>
          <w:szCs w:val="26"/>
        </w:rPr>
        <w:t>,</w:t>
      </w:r>
      <w:r w:rsidRPr="00A5340C">
        <w:rPr>
          <w:spacing w:val="-3"/>
          <w:sz w:val="26"/>
          <w:szCs w:val="26"/>
        </w:rPr>
        <w:t xml:space="preserve"> by </w:t>
      </w:r>
      <w:r w:rsidR="00240A22">
        <w:rPr>
          <w:spacing w:val="-3"/>
          <w:sz w:val="26"/>
          <w:szCs w:val="26"/>
        </w:rPr>
        <w:t xml:space="preserve">Georgia L. </w:t>
      </w:r>
      <w:proofErr w:type="spellStart"/>
      <w:r w:rsidR="00240A22">
        <w:rPr>
          <w:spacing w:val="-3"/>
          <w:sz w:val="26"/>
          <w:szCs w:val="26"/>
        </w:rPr>
        <w:t>Dicko</w:t>
      </w:r>
      <w:proofErr w:type="spellEnd"/>
      <w:r w:rsidRPr="00A5340C">
        <w:rPr>
          <w:spacing w:val="-3"/>
          <w:sz w:val="26"/>
          <w:szCs w:val="26"/>
        </w:rPr>
        <w:t xml:space="preserve"> is dismissed.</w:t>
      </w:r>
    </w:p>
    <w:p w:rsidR="00B25970" w:rsidRPr="00A5340C" w:rsidRDefault="00B25970" w:rsidP="001C311E">
      <w:pPr>
        <w:pStyle w:val="NoSpacing"/>
        <w:spacing w:line="360" w:lineRule="auto"/>
        <w:rPr>
          <w:spacing w:val="-3"/>
          <w:sz w:val="26"/>
          <w:szCs w:val="26"/>
        </w:rPr>
      </w:pPr>
    </w:p>
    <w:p w:rsidR="00B25970" w:rsidRPr="00A5340C"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711B77">
        <w:rPr>
          <w:spacing w:val="-3"/>
          <w:sz w:val="26"/>
          <w:szCs w:val="26"/>
        </w:rPr>
        <w:t>21</w:t>
      </w:r>
      <w:r w:rsidR="00375DB4" w:rsidRPr="00A5340C">
        <w:rPr>
          <w:spacing w:val="-3"/>
          <w:sz w:val="26"/>
          <w:szCs w:val="26"/>
        </w:rPr>
        <w:t>.</w:t>
      </w:r>
      <w:r w:rsidR="00375DB4" w:rsidRPr="00A5340C">
        <w:rPr>
          <w:spacing w:val="-3"/>
          <w:sz w:val="26"/>
          <w:szCs w:val="26"/>
        </w:rPr>
        <w:tab/>
        <w:t>That the F</w:t>
      </w:r>
      <w:r w:rsidRPr="00A5340C">
        <w:rPr>
          <w:spacing w:val="-3"/>
          <w:sz w:val="26"/>
          <w:szCs w:val="26"/>
        </w:rPr>
        <w:t>ormal Complaint</w:t>
      </w:r>
      <w:r w:rsidR="00375DB4" w:rsidRPr="00A5340C">
        <w:rPr>
          <w:spacing w:val="-3"/>
          <w:sz w:val="26"/>
          <w:szCs w:val="26"/>
        </w:rPr>
        <w:t>,</w:t>
      </w:r>
      <w:r w:rsidR="00240A22">
        <w:rPr>
          <w:spacing w:val="-3"/>
          <w:sz w:val="26"/>
          <w:szCs w:val="26"/>
        </w:rPr>
        <w:t xml:space="preserve"> filed at Docket No. C-2013</w:t>
      </w:r>
      <w:r w:rsidRPr="00A5340C">
        <w:rPr>
          <w:spacing w:val="-3"/>
          <w:sz w:val="26"/>
          <w:szCs w:val="26"/>
        </w:rPr>
        <w:t>-2</w:t>
      </w:r>
      <w:r w:rsidR="00240A22">
        <w:rPr>
          <w:spacing w:val="-3"/>
          <w:sz w:val="26"/>
          <w:szCs w:val="26"/>
        </w:rPr>
        <w:t>370649</w:t>
      </w:r>
      <w:r w:rsidRPr="00A5340C">
        <w:rPr>
          <w:spacing w:val="-3"/>
          <w:sz w:val="26"/>
          <w:szCs w:val="26"/>
        </w:rPr>
        <w:t xml:space="preserve"> by </w:t>
      </w:r>
      <w:r w:rsidR="00240A22">
        <w:rPr>
          <w:spacing w:val="-3"/>
          <w:sz w:val="26"/>
          <w:szCs w:val="26"/>
        </w:rPr>
        <w:t xml:space="preserve">Carly J. </w:t>
      </w:r>
      <w:proofErr w:type="gramStart"/>
      <w:r w:rsidR="00240A22">
        <w:rPr>
          <w:spacing w:val="-3"/>
          <w:sz w:val="26"/>
          <w:szCs w:val="26"/>
        </w:rPr>
        <w:t>Dunn</w:t>
      </w:r>
      <w:r w:rsidR="00375DB4" w:rsidRPr="00A5340C">
        <w:rPr>
          <w:spacing w:val="-3"/>
          <w:sz w:val="26"/>
          <w:szCs w:val="26"/>
        </w:rPr>
        <w:t>,</w:t>
      </w:r>
      <w:proofErr w:type="gramEnd"/>
      <w:r w:rsidRPr="00A5340C">
        <w:rPr>
          <w:spacing w:val="-3"/>
          <w:sz w:val="26"/>
          <w:szCs w:val="26"/>
        </w:rPr>
        <w:t xml:space="preserve"> is</w:t>
      </w:r>
      <w:r w:rsidR="00B23C2C" w:rsidRPr="00A5340C">
        <w:rPr>
          <w:spacing w:val="-3"/>
          <w:sz w:val="26"/>
          <w:szCs w:val="26"/>
        </w:rPr>
        <w:t xml:space="preserve"> </w:t>
      </w:r>
      <w:r w:rsidRPr="00A5340C">
        <w:rPr>
          <w:spacing w:val="-3"/>
          <w:sz w:val="26"/>
          <w:szCs w:val="26"/>
        </w:rPr>
        <w:t>dismissed.</w:t>
      </w:r>
    </w:p>
    <w:p w:rsidR="00B25970" w:rsidRPr="00A5340C" w:rsidRDefault="00B25970" w:rsidP="001C311E">
      <w:pPr>
        <w:pStyle w:val="NoSpacing"/>
        <w:spacing w:line="360" w:lineRule="auto"/>
        <w:rPr>
          <w:spacing w:val="-3"/>
          <w:sz w:val="26"/>
          <w:szCs w:val="26"/>
        </w:rPr>
      </w:pPr>
    </w:p>
    <w:p w:rsidR="00B25970" w:rsidRPr="00A5340C"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711B77">
        <w:rPr>
          <w:spacing w:val="-3"/>
          <w:sz w:val="26"/>
          <w:szCs w:val="26"/>
        </w:rPr>
        <w:t>22</w:t>
      </w:r>
      <w:r w:rsidR="007204E9" w:rsidRPr="00A5340C">
        <w:rPr>
          <w:spacing w:val="-3"/>
          <w:sz w:val="26"/>
          <w:szCs w:val="26"/>
        </w:rPr>
        <w:t>.</w:t>
      </w:r>
      <w:r w:rsidR="007204E9" w:rsidRPr="00A5340C">
        <w:rPr>
          <w:spacing w:val="-3"/>
          <w:sz w:val="26"/>
          <w:szCs w:val="26"/>
        </w:rPr>
        <w:tab/>
        <w:t>That the F</w:t>
      </w:r>
      <w:r w:rsidRPr="00A5340C">
        <w:rPr>
          <w:spacing w:val="-3"/>
          <w:sz w:val="26"/>
          <w:szCs w:val="26"/>
        </w:rPr>
        <w:t>ormal Complaint</w:t>
      </w:r>
      <w:r w:rsidR="007204E9" w:rsidRPr="00A5340C">
        <w:rPr>
          <w:spacing w:val="-3"/>
          <w:sz w:val="26"/>
          <w:szCs w:val="26"/>
        </w:rPr>
        <w:t>,</w:t>
      </w:r>
      <w:r w:rsidR="00240A22">
        <w:rPr>
          <w:spacing w:val="-3"/>
          <w:sz w:val="26"/>
          <w:szCs w:val="26"/>
        </w:rPr>
        <w:t xml:space="preserve"> filed at Docket No. C-2013</w:t>
      </w:r>
      <w:r w:rsidRPr="00A5340C">
        <w:rPr>
          <w:spacing w:val="-3"/>
          <w:sz w:val="26"/>
          <w:szCs w:val="26"/>
        </w:rPr>
        <w:t>-2</w:t>
      </w:r>
      <w:r w:rsidR="00240A22">
        <w:rPr>
          <w:spacing w:val="-3"/>
          <w:sz w:val="26"/>
          <w:szCs w:val="26"/>
        </w:rPr>
        <w:t>372396</w:t>
      </w:r>
      <w:r w:rsidR="007204E9" w:rsidRPr="00A5340C">
        <w:rPr>
          <w:spacing w:val="-3"/>
          <w:sz w:val="26"/>
          <w:szCs w:val="26"/>
        </w:rPr>
        <w:t>,</w:t>
      </w:r>
      <w:r w:rsidRPr="00A5340C">
        <w:rPr>
          <w:spacing w:val="-3"/>
          <w:sz w:val="26"/>
          <w:szCs w:val="26"/>
        </w:rPr>
        <w:t xml:space="preserve"> by </w:t>
      </w:r>
      <w:r w:rsidR="00240A22">
        <w:rPr>
          <w:spacing w:val="-3"/>
          <w:sz w:val="26"/>
          <w:szCs w:val="26"/>
        </w:rPr>
        <w:t xml:space="preserve">William B. </w:t>
      </w:r>
      <w:proofErr w:type="spellStart"/>
      <w:r w:rsidR="00240A22">
        <w:rPr>
          <w:spacing w:val="-3"/>
          <w:sz w:val="26"/>
          <w:szCs w:val="26"/>
        </w:rPr>
        <w:t>Kazimer</w:t>
      </w:r>
      <w:proofErr w:type="spellEnd"/>
      <w:r w:rsidRPr="00A5340C">
        <w:rPr>
          <w:spacing w:val="-3"/>
          <w:sz w:val="26"/>
          <w:szCs w:val="26"/>
        </w:rPr>
        <w:t xml:space="preserve"> is dismissed.</w:t>
      </w:r>
    </w:p>
    <w:p w:rsidR="00B25970" w:rsidRPr="00A5340C" w:rsidRDefault="00B25970" w:rsidP="001C311E">
      <w:pPr>
        <w:pStyle w:val="NoSpacing"/>
        <w:spacing w:line="360" w:lineRule="auto"/>
        <w:rPr>
          <w:spacing w:val="-3"/>
          <w:sz w:val="26"/>
          <w:szCs w:val="26"/>
        </w:rPr>
      </w:pPr>
    </w:p>
    <w:p w:rsidR="00B25970" w:rsidRPr="00A5340C"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711B77">
        <w:rPr>
          <w:spacing w:val="-3"/>
          <w:sz w:val="26"/>
          <w:szCs w:val="26"/>
        </w:rPr>
        <w:t>23</w:t>
      </w:r>
      <w:r w:rsidR="007204E9" w:rsidRPr="00A5340C">
        <w:rPr>
          <w:spacing w:val="-3"/>
          <w:sz w:val="26"/>
          <w:szCs w:val="26"/>
        </w:rPr>
        <w:t>.</w:t>
      </w:r>
      <w:r w:rsidR="007204E9" w:rsidRPr="00A5340C">
        <w:rPr>
          <w:spacing w:val="-3"/>
          <w:sz w:val="26"/>
          <w:szCs w:val="26"/>
        </w:rPr>
        <w:tab/>
        <w:t>That the F</w:t>
      </w:r>
      <w:r w:rsidRPr="00A5340C">
        <w:rPr>
          <w:spacing w:val="-3"/>
          <w:sz w:val="26"/>
          <w:szCs w:val="26"/>
        </w:rPr>
        <w:t>ormal Complaint</w:t>
      </w:r>
      <w:r w:rsidR="007204E9" w:rsidRPr="00A5340C">
        <w:rPr>
          <w:spacing w:val="-3"/>
          <w:sz w:val="26"/>
          <w:szCs w:val="26"/>
        </w:rPr>
        <w:t>,</w:t>
      </w:r>
      <w:r w:rsidR="00240A22">
        <w:rPr>
          <w:spacing w:val="-3"/>
          <w:sz w:val="26"/>
          <w:szCs w:val="26"/>
        </w:rPr>
        <w:t xml:space="preserve"> filed at Docket No. C-2013</w:t>
      </w:r>
      <w:r w:rsidRPr="00A5340C">
        <w:rPr>
          <w:spacing w:val="-3"/>
          <w:sz w:val="26"/>
          <w:szCs w:val="26"/>
        </w:rPr>
        <w:t>-2</w:t>
      </w:r>
      <w:r w:rsidR="00240A22">
        <w:rPr>
          <w:spacing w:val="-3"/>
          <w:sz w:val="26"/>
          <w:szCs w:val="26"/>
        </w:rPr>
        <w:t>366239</w:t>
      </w:r>
      <w:r w:rsidR="007204E9" w:rsidRPr="00A5340C">
        <w:rPr>
          <w:spacing w:val="-3"/>
          <w:sz w:val="26"/>
          <w:szCs w:val="26"/>
        </w:rPr>
        <w:t>,</w:t>
      </w:r>
      <w:r w:rsidRPr="00A5340C">
        <w:rPr>
          <w:spacing w:val="-3"/>
          <w:sz w:val="26"/>
          <w:szCs w:val="26"/>
        </w:rPr>
        <w:t xml:space="preserve"> by </w:t>
      </w:r>
      <w:r w:rsidR="00240A22">
        <w:rPr>
          <w:spacing w:val="-3"/>
          <w:sz w:val="26"/>
          <w:szCs w:val="26"/>
        </w:rPr>
        <w:t xml:space="preserve">S. Stockton </w:t>
      </w:r>
      <w:proofErr w:type="spellStart"/>
      <w:r w:rsidR="00240A22">
        <w:rPr>
          <w:spacing w:val="-3"/>
          <w:sz w:val="26"/>
          <w:szCs w:val="26"/>
        </w:rPr>
        <w:t>Alloway</w:t>
      </w:r>
      <w:proofErr w:type="spellEnd"/>
      <w:r w:rsidRPr="00A5340C">
        <w:rPr>
          <w:spacing w:val="-3"/>
          <w:sz w:val="26"/>
          <w:szCs w:val="26"/>
        </w:rPr>
        <w:t xml:space="preserve"> is dismissed.</w:t>
      </w:r>
    </w:p>
    <w:p w:rsidR="00B25970" w:rsidRPr="00A5340C" w:rsidRDefault="00B25970" w:rsidP="001C311E">
      <w:pPr>
        <w:pStyle w:val="NoSpacing"/>
        <w:spacing w:line="360" w:lineRule="auto"/>
        <w:rPr>
          <w:spacing w:val="-3"/>
          <w:sz w:val="26"/>
          <w:szCs w:val="26"/>
        </w:rPr>
      </w:pPr>
    </w:p>
    <w:p w:rsidR="00B25970" w:rsidRDefault="00B25970" w:rsidP="001C311E">
      <w:pPr>
        <w:pStyle w:val="NoSpacing"/>
        <w:spacing w:line="360" w:lineRule="auto"/>
        <w:rPr>
          <w:spacing w:val="-3"/>
          <w:sz w:val="26"/>
          <w:szCs w:val="26"/>
        </w:rPr>
      </w:pPr>
      <w:r w:rsidRPr="00A5340C">
        <w:rPr>
          <w:spacing w:val="-3"/>
          <w:sz w:val="26"/>
          <w:szCs w:val="26"/>
        </w:rPr>
        <w:tab/>
      </w:r>
      <w:r w:rsidRPr="00A5340C">
        <w:rPr>
          <w:spacing w:val="-3"/>
          <w:sz w:val="26"/>
          <w:szCs w:val="26"/>
        </w:rPr>
        <w:tab/>
      </w:r>
      <w:r w:rsidR="00711B77">
        <w:rPr>
          <w:spacing w:val="-3"/>
          <w:sz w:val="26"/>
          <w:szCs w:val="26"/>
        </w:rPr>
        <w:t>24</w:t>
      </w:r>
      <w:r w:rsidR="007204E9" w:rsidRPr="00A5340C">
        <w:rPr>
          <w:spacing w:val="-3"/>
          <w:sz w:val="26"/>
          <w:szCs w:val="26"/>
        </w:rPr>
        <w:t>.</w:t>
      </w:r>
      <w:r w:rsidR="007204E9" w:rsidRPr="00A5340C">
        <w:rPr>
          <w:spacing w:val="-3"/>
          <w:sz w:val="26"/>
          <w:szCs w:val="26"/>
        </w:rPr>
        <w:tab/>
        <w:t>That the F</w:t>
      </w:r>
      <w:r w:rsidRPr="00A5340C">
        <w:rPr>
          <w:spacing w:val="-3"/>
          <w:sz w:val="26"/>
          <w:szCs w:val="26"/>
        </w:rPr>
        <w:t>ormal Complaint</w:t>
      </w:r>
      <w:r w:rsidR="007204E9" w:rsidRPr="00A5340C">
        <w:rPr>
          <w:spacing w:val="-3"/>
          <w:sz w:val="26"/>
          <w:szCs w:val="26"/>
        </w:rPr>
        <w:t>,</w:t>
      </w:r>
      <w:r w:rsidR="00FB2AB9">
        <w:rPr>
          <w:spacing w:val="-3"/>
          <w:sz w:val="26"/>
          <w:szCs w:val="26"/>
        </w:rPr>
        <w:t xml:space="preserve"> filed at Docket No. C-2013</w:t>
      </w:r>
      <w:r w:rsidRPr="00A5340C">
        <w:rPr>
          <w:spacing w:val="-3"/>
          <w:sz w:val="26"/>
          <w:szCs w:val="26"/>
        </w:rPr>
        <w:t>-2</w:t>
      </w:r>
      <w:r w:rsidR="00FB2AB9">
        <w:rPr>
          <w:spacing w:val="-3"/>
          <w:sz w:val="26"/>
          <w:szCs w:val="26"/>
        </w:rPr>
        <w:t>372641</w:t>
      </w:r>
      <w:r w:rsidR="007204E9" w:rsidRPr="00A5340C">
        <w:rPr>
          <w:spacing w:val="-3"/>
          <w:sz w:val="26"/>
          <w:szCs w:val="26"/>
        </w:rPr>
        <w:t>,</w:t>
      </w:r>
      <w:r w:rsidRPr="00A5340C">
        <w:rPr>
          <w:spacing w:val="-3"/>
          <w:sz w:val="26"/>
          <w:szCs w:val="26"/>
        </w:rPr>
        <w:t xml:space="preserve"> by </w:t>
      </w:r>
      <w:r w:rsidR="00FB2AB9">
        <w:rPr>
          <w:spacing w:val="-3"/>
          <w:sz w:val="26"/>
          <w:szCs w:val="26"/>
        </w:rPr>
        <w:t xml:space="preserve">Thad </w:t>
      </w:r>
      <w:proofErr w:type="spellStart"/>
      <w:r w:rsidR="00FB2AB9">
        <w:rPr>
          <w:spacing w:val="-3"/>
          <w:sz w:val="26"/>
          <w:szCs w:val="26"/>
        </w:rPr>
        <w:t>Shirey</w:t>
      </w:r>
      <w:proofErr w:type="spellEnd"/>
      <w:r w:rsidRPr="00A5340C">
        <w:rPr>
          <w:spacing w:val="-3"/>
          <w:sz w:val="26"/>
          <w:szCs w:val="26"/>
        </w:rPr>
        <w:t xml:space="preserve"> is dismissed.</w:t>
      </w:r>
    </w:p>
    <w:p w:rsidR="00B25970" w:rsidRDefault="00B25970" w:rsidP="001C311E">
      <w:pPr>
        <w:pStyle w:val="NoSpacing"/>
        <w:spacing w:line="360" w:lineRule="auto"/>
        <w:rPr>
          <w:spacing w:val="-3"/>
          <w:sz w:val="26"/>
          <w:szCs w:val="26"/>
        </w:rPr>
      </w:pPr>
      <w:r w:rsidRPr="00A5340C">
        <w:rPr>
          <w:spacing w:val="-3"/>
          <w:sz w:val="26"/>
          <w:szCs w:val="26"/>
        </w:rPr>
        <w:lastRenderedPageBreak/>
        <w:tab/>
      </w:r>
      <w:r w:rsidRPr="00A5340C">
        <w:rPr>
          <w:spacing w:val="-3"/>
          <w:sz w:val="26"/>
          <w:szCs w:val="26"/>
        </w:rPr>
        <w:tab/>
      </w:r>
      <w:r w:rsidR="00711B77">
        <w:rPr>
          <w:spacing w:val="-3"/>
          <w:sz w:val="26"/>
          <w:szCs w:val="26"/>
        </w:rPr>
        <w:t>25</w:t>
      </w:r>
      <w:r w:rsidR="007A0F21" w:rsidRPr="00A5340C">
        <w:rPr>
          <w:spacing w:val="-3"/>
          <w:sz w:val="26"/>
          <w:szCs w:val="26"/>
        </w:rPr>
        <w:t>.</w:t>
      </w:r>
      <w:r w:rsidR="007A0F21" w:rsidRPr="00A5340C">
        <w:rPr>
          <w:spacing w:val="-3"/>
          <w:sz w:val="26"/>
          <w:szCs w:val="26"/>
        </w:rPr>
        <w:tab/>
        <w:t>That the F</w:t>
      </w:r>
      <w:r w:rsidRPr="00A5340C">
        <w:rPr>
          <w:spacing w:val="-3"/>
          <w:sz w:val="26"/>
          <w:szCs w:val="26"/>
        </w:rPr>
        <w:t>ormal Complaint filed at Doc</w:t>
      </w:r>
      <w:r w:rsidR="00FB2AB9">
        <w:rPr>
          <w:spacing w:val="-3"/>
          <w:sz w:val="26"/>
          <w:szCs w:val="26"/>
        </w:rPr>
        <w:t>ket No. C-2013</w:t>
      </w:r>
      <w:r w:rsidRPr="00A5340C">
        <w:rPr>
          <w:spacing w:val="-3"/>
          <w:sz w:val="26"/>
          <w:szCs w:val="26"/>
        </w:rPr>
        <w:t>-2</w:t>
      </w:r>
      <w:r w:rsidR="00FB2AB9">
        <w:rPr>
          <w:spacing w:val="-3"/>
          <w:sz w:val="26"/>
          <w:szCs w:val="26"/>
        </w:rPr>
        <w:t xml:space="preserve">379466 by Paul </w:t>
      </w:r>
      <w:proofErr w:type="spellStart"/>
      <w:r w:rsidR="00FB2AB9">
        <w:rPr>
          <w:spacing w:val="-3"/>
          <w:sz w:val="26"/>
          <w:szCs w:val="26"/>
        </w:rPr>
        <w:t>Trizonis</w:t>
      </w:r>
      <w:proofErr w:type="spellEnd"/>
      <w:r w:rsidRPr="00A5340C">
        <w:rPr>
          <w:spacing w:val="-3"/>
          <w:sz w:val="26"/>
          <w:szCs w:val="26"/>
        </w:rPr>
        <w:t xml:space="preserve"> is dismissed.</w:t>
      </w:r>
    </w:p>
    <w:p w:rsidR="00FB2AB9" w:rsidRDefault="00FB2AB9" w:rsidP="001C311E">
      <w:pPr>
        <w:pStyle w:val="NoSpacing"/>
        <w:spacing w:line="360" w:lineRule="auto"/>
        <w:rPr>
          <w:spacing w:val="-3"/>
          <w:sz w:val="26"/>
          <w:szCs w:val="26"/>
        </w:rPr>
      </w:pPr>
    </w:p>
    <w:p w:rsidR="00FB2AB9" w:rsidRDefault="00FB2AB9" w:rsidP="001C311E">
      <w:pPr>
        <w:pStyle w:val="NoSpacing"/>
        <w:spacing w:line="360" w:lineRule="auto"/>
        <w:rPr>
          <w:spacing w:val="-3"/>
          <w:sz w:val="26"/>
          <w:szCs w:val="26"/>
        </w:rPr>
      </w:pPr>
      <w:r>
        <w:rPr>
          <w:spacing w:val="-3"/>
          <w:sz w:val="26"/>
          <w:szCs w:val="26"/>
        </w:rPr>
        <w:tab/>
      </w:r>
      <w:r>
        <w:rPr>
          <w:spacing w:val="-3"/>
          <w:sz w:val="26"/>
          <w:szCs w:val="26"/>
        </w:rPr>
        <w:tab/>
      </w:r>
      <w:r w:rsidR="00711B77">
        <w:rPr>
          <w:spacing w:val="-3"/>
          <w:sz w:val="26"/>
          <w:szCs w:val="26"/>
        </w:rPr>
        <w:t xml:space="preserve">26. </w:t>
      </w:r>
      <w:r w:rsidR="00711B77">
        <w:rPr>
          <w:spacing w:val="-3"/>
          <w:sz w:val="26"/>
          <w:szCs w:val="26"/>
        </w:rPr>
        <w:tab/>
        <w:t xml:space="preserve">That the Secretary’s Bureau shall mail a </w:t>
      </w:r>
      <w:r>
        <w:rPr>
          <w:spacing w:val="-3"/>
          <w:sz w:val="26"/>
          <w:szCs w:val="26"/>
        </w:rPr>
        <w:t>Formal Complaint form to</w:t>
      </w:r>
      <w:r w:rsidR="00711B77">
        <w:rPr>
          <w:spacing w:val="-3"/>
          <w:sz w:val="26"/>
          <w:szCs w:val="26"/>
        </w:rPr>
        <w:t xml:space="preserve"> the</w:t>
      </w:r>
      <w:r>
        <w:rPr>
          <w:spacing w:val="-3"/>
          <w:sz w:val="26"/>
          <w:szCs w:val="26"/>
        </w:rPr>
        <w:t xml:space="preserve"> Amity Township Board of Supervisors:</w:t>
      </w:r>
    </w:p>
    <w:p w:rsidR="00FB2AB9" w:rsidRDefault="00FB2AB9" w:rsidP="001C311E">
      <w:pPr>
        <w:pStyle w:val="NoSpacing"/>
        <w:spacing w:line="360" w:lineRule="auto"/>
        <w:rPr>
          <w:spacing w:val="-3"/>
          <w:sz w:val="26"/>
          <w:szCs w:val="26"/>
        </w:rPr>
      </w:pPr>
    </w:p>
    <w:p w:rsidR="00FB2AB9" w:rsidRDefault="00FB2AB9" w:rsidP="00FB2AB9">
      <w:pPr>
        <w:pStyle w:val="NoSpacing"/>
        <w:rPr>
          <w:spacing w:val="-3"/>
          <w:sz w:val="26"/>
          <w:szCs w:val="26"/>
        </w:rPr>
      </w:pPr>
      <w:r>
        <w:rPr>
          <w:spacing w:val="-3"/>
          <w:sz w:val="26"/>
          <w:szCs w:val="26"/>
        </w:rPr>
        <w:tab/>
      </w:r>
      <w:r>
        <w:rPr>
          <w:spacing w:val="-3"/>
          <w:sz w:val="26"/>
          <w:szCs w:val="26"/>
        </w:rPr>
        <w:tab/>
      </w:r>
      <w:r>
        <w:rPr>
          <w:spacing w:val="-3"/>
          <w:sz w:val="26"/>
          <w:szCs w:val="26"/>
        </w:rPr>
        <w:tab/>
        <w:t>Attention: Mr. Charles Lyon, Township Manager</w:t>
      </w:r>
    </w:p>
    <w:p w:rsidR="00FB2AB9" w:rsidRDefault="00FB2AB9" w:rsidP="00FB2AB9">
      <w:pPr>
        <w:pStyle w:val="NoSpacing"/>
        <w:rPr>
          <w:spacing w:val="-3"/>
          <w:sz w:val="26"/>
          <w:szCs w:val="26"/>
        </w:rPr>
      </w:pPr>
      <w:r>
        <w:rPr>
          <w:spacing w:val="-3"/>
          <w:sz w:val="26"/>
          <w:szCs w:val="26"/>
        </w:rPr>
        <w:tab/>
      </w:r>
      <w:r>
        <w:rPr>
          <w:spacing w:val="-3"/>
          <w:sz w:val="26"/>
          <w:szCs w:val="26"/>
        </w:rPr>
        <w:tab/>
      </w:r>
      <w:r>
        <w:rPr>
          <w:spacing w:val="-3"/>
          <w:sz w:val="26"/>
          <w:szCs w:val="26"/>
        </w:rPr>
        <w:tab/>
        <w:t>Amity Township Municipal Offices</w:t>
      </w:r>
    </w:p>
    <w:p w:rsidR="00FB2AB9" w:rsidRDefault="00FB2AB9" w:rsidP="00FB2AB9">
      <w:pPr>
        <w:pStyle w:val="NoSpacing"/>
        <w:rPr>
          <w:spacing w:val="-3"/>
          <w:sz w:val="26"/>
          <w:szCs w:val="26"/>
        </w:rPr>
      </w:pPr>
      <w:r>
        <w:rPr>
          <w:spacing w:val="-3"/>
          <w:sz w:val="26"/>
          <w:szCs w:val="26"/>
        </w:rPr>
        <w:tab/>
      </w:r>
      <w:r>
        <w:rPr>
          <w:spacing w:val="-3"/>
          <w:sz w:val="26"/>
          <w:szCs w:val="26"/>
        </w:rPr>
        <w:tab/>
      </w:r>
      <w:r>
        <w:rPr>
          <w:spacing w:val="-3"/>
          <w:sz w:val="26"/>
          <w:szCs w:val="26"/>
        </w:rPr>
        <w:tab/>
        <w:t xml:space="preserve">2004 </w:t>
      </w:r>
      <w:proofErr w:type="spellStart"/>
      <w:r>
        <w:rPr>
          <w:spacing w:val="-3"/>
          <w:sz w:val="26"/>
          <w:szCs w:val="26"/>
        </w:rPr>
        <w:t>Weavertown</w:t>
      </w:r>
      <w:proofErr w:type="spellEnd"/>
      <w:r>
        <w:rPr>
          <w:spacing w:val="-3"/>
          <w:sz w:val="26"/>
          <w:szCs w:val="26"/>
        </w:rPr>
        <w:t xml:space="preserve"> Road</w:t>
      </w:r>
    </w:p>
    <w:p w:rsidR="00FB2AB9" w:rsidRPr="00A5340C" w:rsidRDefault="00FB2AB9" w:rsidP="00FB2AB9">
      <w:pPr>
        <w:pStyle w:val="NoSpacing"/>
        <w:rPr>
          <w:spacing w:val="-3"/>
          <w:sz w:val="26"/>
          <w:szCs w:val="26"/>
        </w:rPr>
      </w:pPr>
      <w:r>
        <w:rPr>
          <w:spacing w:val="-3"/>
          <w:sz w:val="26"/>
          <w:szCs w:val="26"/>
        </w:rPr>
        <w:tab/>
      </w:r>
      <w:r>
        <w:rPr>
          <w:spacing w:val="-3"/>
          <w:sz w:val="26"/>
          <w:szCs w:val="26"/>
        </w:rPr>
        <w:tab/>
      </w:r>
      <w:r>
        <w:rPr>
          <w:spacing w:val="-3"/>
          <w:sz w:val="26"/>
          <w:szCs w:val="26"/>
        </w:rPr>
        <w:tab/>
        <w:t>Douglassville, PA 19518</w:t>
      </w:r>
    </w:p>
    <w:p w:rsidR="00B25970" w:rsidRPr="00A5340C" w:rsidRDefault="00B25970" w:rsidP="001C311E">
      <w:pPr>
        <w:pStyle w:val="NoSpacing"/>
        <w:spacing w:line="360" w:lineRule="auto"/>
        <w:rPr>
          <w:spacing w:val="-3"/>
          <w:sz w:val="26"/>
          <w:szCs w:val="26"/>
        </w:rPr>
      </w:pPr>
    </w:p>
    <w:p w:rsidR="004F4640" w:rsidRPr="00A5340C" w:rsidRDefault="00B25970" w:rsidP="00FB2AB9">
      <w:pPr>
        <w:pStyle w:val="NoSpacing"/>
        <w:spacing w:line="360" w:lineRule="auto"/>
        <w:rPr>
          <w:spacing w:val="-3"/>
          <w:sz w:val="26"/>
          <w:szCs w:val="26"/>
        </w:rPr>
      </w:pPr>
      <w:r w:rsidRPr="00A5340C">
        <w:rPr>
          <w:spacing w:val="-3"/>
          <w:sz w:val="26"/>
          <w:szCs w:val="26"/>
        </w:rPr>
        <w:tab/>
      </w:r>
      <w:r w:rsidRPr="00A5340C">
        <w:rPr>
          <w:spacing w:val="-3"/>
          <w:sz w:val="26"/>
          <w:szCs w:val="26"/>
        </w:rPr>
        <w:tab/>
      </w:r>
      <w:r w:rsidR="00FB2AB9">
        <w:rPr>
          <w:spacing w:val="-3"/>
          <w:sz w:val="26"/>
          <w:szCs w:val="26"/>
        </w:rPr>
        <w:t>2</w:t>
      </w:r>
      <w:r w:rsidR="00711B77">
        <w:rPr>
          <w:spacing w:val="-3"/>
          <w:sz w:val="26"/>
          <w:szCs w:val="26"/>
        </w:rPr>
        <w:t>7</w:t>
      </w:r>
      <w:r w:rsidR="003F6255" w:rsidRPr="00A5340C">
        <w:rPr>
          <w:spacing w:val="-3"/>
          <w:sz w:val="26"/>
          <w:szCs w:val="26"/>
        </w:rPr>
        <w:t>.</w:t>
      </w:r>
      <w:r w:rsidR="00B53E8B" w:rsidRPr="00A5340C">
        <w:rPr>
          <w:spacing w:val="-3"/>
          <w:sz w:val="26"/>
          <w:szCs w:val="26"/>
        </w:rPr>
        <w:tab/>
      </w:r>
      <w:r w:rsidR="0047221A" w:rsidRPr="00A5340C">
        <w:rPr>
          <w:spacing w:val="-3"/>
          <w:sz w:val="26"/>
          <w:szCs w:val="26"/>
        </w:rPr>
        <w:t>That the Secretary</w:t>
      </w:r>
      <w:r w:rsidR="00D9058C">
        <w:rPr>
          <w:spacing w:val="-3"/>
          <w:sz w:val="26"/>
          <w:szCs w:val="26"/>
        </w:rPr>
        <w:t>’</w:t>
      </w:r>
      <w:r w:rsidR="0047221A" w:rsidRPr="00A5340C">
        <w:rPr>
          <w:spacing w:val="-3"/>
          <w:sz w:val="26"/>
          <w:szCs w:val="26"/>
        </w:rPr>
        <w:t xml:space="preserve">s Bureau </w:t>
      </w:r>
      <w:r w:rsidR="006C6D60" w:rsidRPr="00A5340C">
        <w:rPr>
          <w:spacing w:val="-3"/>
          <w:sz w:val="26"/>
          <w:szCs w:val="26"/>
        </w:rPr>
        <w:t>shall mark the following D</w:t>
      </w:r>
      <w:r w:rsidR="0047221A" w:rsidRPr="00A5340C">
        <w:rPr>
          <w:spacing w:val="-3"/>
          <w:sz w:val="26"/>
          <w:szCs w:val="26"/>
        </w:rPr>
        <w:t xml:space="preserve">ockets closed: </w:t>
      </w:r>
      <w:r w:rsidR="00C60CD2" w:rsidRPr="00A5340C">
        <w:rPr>
          <w:spacing w:val="-3"/>
          <w:sz w:val="26"/>
          <w:szCs w:val="26"/>
        </w:rPr>
        <w:t>No. C</w:t>
      </w:r>
      <w:r w:rsidR="00C60CD2" w:rsidRPr="00A5340C">
        <w:rPr>
          <w:spacing w:val="-3"/>
          <w:sz w:val="26"/>
          <w:szCs w:val="26"/>
        </w:rPr>
        <w:noBreakHyphen/>
      </w:r>
      <w:r w:rsidR="006C6D60" w:rsidRPr="00A5340C">
        <w:rPr>
          <w:spacing w:val="-3"/>
          <w:sz w:val="26"/>
          <w:szCs w:val="26"/>
        </w:rPr>
        <w:t>201</w:t>
      </w:r>
      <w:r w:rsidR="008241BC">
        <w:rPr>
          <w:spacing w:val="-3"/>
          <w:sz w:val="26"/>
          <w:szCs w:val="26"/>
        </w:rPr>
        <w:t>3</w:t>
      </w:r>
      <w:r w:rsidR="006C6D60" w:rsidRPr="00A5340C">
        <w:rPr>
          <w:spacing w:val="-3"/>
          <w:sz w:val="26"/>
          <w:szCs w:val="26"/>
        </w:rPr>
        <w:t>-</w:t>
      </w:r>
      <w:r w:rsidR="008241BC">
        <w:rPr>
          <w:spacing w:val="-3"/>
          <w:sz w:val="26"/>
          <w:szCs w:val="26"/>
        </w:rPr>
        <w:t>2362470; No. C-2013</w:t>
      </w:r>
      <w:r w:rsidR="006C6D60" w:rsidRPr="00A5340C">
        <w:rPr>
          <w:spacing w:val="-3"/>
          <w:sz w:val="26"/>
          <w:szCs w:val="26"/>
        </w:rPr>
        <w:t>-2</w:t>
      </w:r>
      <w:r w:rsidR="008241BC">
        <w:rPr>
          <w:spacing w:val="-3"/>
          <w:sz w:val="26"/>
          <w:szCs w:val="26"/>
        </w:rPr>
        <w:t>364641</w:t>
      </w:r>
      <w:r w:rsidR="006C6D60" w:rsidRPr="00A5340C">
        <w:rPr>
          <w:spacing w:val="-3"/>
          <w:sz w:val="26"/>
          <w:szCs w:val="26"/>
        </w:rPr>
        <w:t>;</w:t>
      </w:r>
      <w:r w:rsidR="004F4640" w:rsidRPr="00A5340C">
        <w:rPr>
          <w:spacing w:val="-3"/>
          <w:sz w:val="26"/>
          <w:szCs w:val="26"/>
        </w:rPr>
        <w:t xml:space="preserve"> No. C-201</w:t>
      </w:r>
      <w:r w:rsidR="008241BC">
        <w:rPr>
          <w:spacing w:val="-3"/>
          <w:sz w:val="26"/>
          <w:szCs w:val="26"/>
        </w:rPr>
        <w:t>3</w:t>
      </w:r>
      <w:r w:rsidR="004F4640" w:rsidRPr="00A5340C">
        <w:rPr>
          <w:spacing w:val="-3"/>
          <w:sz w:val="26"/>
          <w:szCs w:val="26"/>
        </w:rPr>
        <w:t>-</w:t>
      </w:r>
      <w:r w:rsidR="008241BC">
        <w:rPr>
          <w:spacing w:val="-3"/>
          <w:sz w:val="26"/>
          <w:szCs w:val="26"/>
        </w:rPr>
        <w:t>2364664</w:t>
      </w:r>
      <w:r w:rsidR="006C6D60" w:rsidRPr="00A5340C">
        <w:rPr>
          <w:spacing w:val="-3"/>
          <w:sz w:val="26"/>
          <w:szCs w:val="26"/>
        </w:rPr>
        <w:t>; No. C-201</w:t>
      </w:r>
      <w:r w:rsidR="008241BC">
        <w:rPr>
          <w:spacing w:val="-3"/>
          <w:sz w:val="26"/>
          <w:szCs w:val="26"/>
        </w:rPr>
        <w:t>3</w:t>
      </w:r>
      <w:r w:rsidR="006C6D60" w:rsidRPr="00A5340C">
        <w:rPr>
          <w:spacing w:val="-3"/>
          <w:sz w:val="26"/>
          <w:szCs w:val="26"/>
        </w:rPr>
        <w:t>-2</w:t>
      </w:r>
      <w:r w:rsidR="008241BC">
        <w:rPr>
          <w:spacing w:val="-3"/>
          <w:sz w:val="26"/>
          <w:szCs w:val="26"/>
        </w:rPr>
        <w:t>364692</w:t>
      </w:r>
      <w:r w:rsidR="006C6D60" w:rsidRPr="00A5340C">
        <w:rPr>
          <w:spacing w:val="-3"/>
          <w:sz w:val="26"/>
          <w:szCs w:val="26"/>
        </w:rPr>
        <w:t>;</w:t>
      </w:r>
      <w:r w:rsidR="00C60CD2" w:rsidRPr="00A5340C">
        <w:rPr>
          <w:spacing w:val="-3"/>
          <w:sz w:val="26"/>
          <w:szCs w:val="26"/>
        </w:rPr>
        <w:t xml:space="preserve"> No. C</w:t>
      </w:r>
      <w:r w:rsidR="00C60CD2" w:rsidRPr="00A5340C">
        <w:rPr>
          <w:spacing w:val="-3"/>
          <w:sz w:val="26"/>
          <w:szCs w:val="26"/>
        </w:rPr>
        <w:noBreakHyphen/>
      </w:r>
      <w:r w:rsidR="008241BC">
        <w:rPr>
          <w:spacing w:val="-3"/>
          <w:sz w:val="26"/>
          <w:szCs w:val="26"/>
        </w:rPr>
        <w:t>2013</w:t>
      </w:r>
      <w:r w:rsidR="00F222BE" w:rsidRPr="00A5340C">
        <w:rPr>
          <w:spacing w:val="-3"/>
          <w:sz w:val="26"/>
          <w:szCs w:val="26"/>
        </w:rPr>
        <w:t>-2</w:t>
      </w:r>
      <w:r w:rsidR="008241BC">
        <w:rPr>
          <w:spacing w:val="-3"/>
          <w:sz w:val="26"/>
          <w:szCs w:val="26"/>
        </w:rPr>
        <w:t>364773; No. C-2013</w:t>
      </w:r>
      <w:r w:rsidR="00F222BE" w:rsidRPr="00A5340C">
        <w:rPr>
          <w:spacing w:val="-3"/>
          <w:sz w:val="26"/>
          <w:szCs w:val="26"/>
        </w:rPr>
        <w:t>-2</w:t>
      </w:r>
      <w:r w:rsidR="008241BC">
        <w:rPr>
          <w:spacing w:val="-3"/>
          <w:sz w:val="26"/>
          <w:szCs w:val="26"/>
        </w:rPr>
        <w:t>366095; No. C-2013</w:t>
      </w:r>
      <w:r w:rsidR="00F222BE" w:rsidRPr="00A5340C">
        <w:rPr>
          <w:spacing w:val="-3"/>
          <w:sz w:val="26"/>
          <w:szCs w:val="26"/>
        </w:rPr>
        <w:t>-2</w:t>
      </w:r>
      <w:r w:rsidR="008241BC">
        <w:rPr>
          <w:spacing w:val="-3"/>
          <w:sz w:val="26"/>
          <w:szCs w:val="26"/>
        </w:rPr>
        <w:t>367036</w:t>
      </w:r>
      <w:r w:rsidR="00F222BE" w:rsidRPr="00A5340C">
        <w:rPr>
          <w:spacing w:val="-3"/>
          <w:sz w:val="26"/>
          <w:szCs w:val="26"/>
        </w:rPr>
        <w:t>;</w:t>
      </w:r>
      <w:r w:rsidR="00C60CD2" w:rsidRPr="00A5340C">
        <w:rPr>
          <w:spacing w:val="-3"/>
          <w:sz w:val="26"/>
          <w:szCs w:val="26"/>
        </w:rPr>
        <w:t xml:space="preserve"> No.</w:t>
      </w:r>
      <w:r w:rsidR="008241BC">
        <w:rPr>
          <w:spacing w:val="-3"/>
          <w:sz w:val="26"/>
          <w:szCs w:val="26"/>
        </w:rPr>
        <w:t xml:space="preserve"> C-2013</w:t>
      </w:r>
      <w:r w:rsidR="00F222BE" w:rsidRPr="00A5340C">
        <w:rPr>
          <w:spacing w:val="-3"/>
          <w:sz w:val="26"/>
          <w:szCs w:val="26"/>
        </w:rPr>
        <w:t>-2</w:t>
      </w:r>
      <w:r w:rsidR="008241BC">
        <w:rPr>
          <w:spacing w:val="-3"/>
          <w:sz w:val="26"/>
          <w:szCs w:val="26"/>
        </w:rPr>
        <w:t>367041</w:t>
      </w:r>
      <w:r w:rsidR="00F222BE" w:rsidRPr="00A5340C">
        <w:rPr>
          <w:spacing w:val="-3"/>
          <w:sz w:val="26"/>
          <w:szCs w:val="26"/>
        </w:rPr>
        <w:t>;</w:t>
      </w:r>
      <w:r w:rsidR="00C60CD2" w:rsidRPr="00A5340C">
        <w:rPr>
          <w:spacing w:val="-3"/>
          <w:sz w:val="26"/>
          <w:szCs w:val="26"/>
        </w:rPr>
        <w:t xml:space="preserve"> No. C</w:t>
      </w:r>
      <w:r w:rsidR="00C60CD2" w:rsidRPr="00A5340C">
        <w:rPr>
          <w:spacing w:val="-3"/>
          <w:sz w:val="26"/>
          <w:szCs w:val="26"/>
        </w:rPr>
        <w:noBreakHyphen/>
      </w:r>
      <w:r w:rsidR="00F222BE" w:rsidRPr="00A5340C">
        <w:rPr>
          <w:spacing w:val="-3"/>
          <w:sz w:val="26"/>
          <w:szCs w:val="26"/>
        </w:rPr>
        <w:t>201</w:t>
      </w:r>
      <w:r w:rsidR="008241BC">
        <w:rPr>
          <w:spacing w:val="-3"/>
          <w:sz w:val="26"/>
          <w:szCs w:val="26"/>
        </w:rPr>
        <w:t>3</w:t>
      </w:r>
      <w:r w:rsidR="00F222BE" w:rsidRPr="00A5340C">
        <w:rPr>
          <w:spacing w:val="-3"/>
          <w:sz w:val="26"/>
          <w:szCs w:val="26"/>
        </w:rPr>
        <w:t>-2</w:t>
      </w:r>
      <w:r w:rsidR="008241BC">
        <w:rPr>
          <w:spacing w:val="-3"/>
          <w:sz w:val="26"/>
          <w:szCs w:val="26"/>
        </w:rPr>
        <w:t>369063; No. C-2013</w:t>
      </w:r>
      <w:r w:rsidR="00F222BE" w:rsidRPr="00A5340C">
        <w:rPr>
          <w:spacing w:val="-3"/>
          <w:sz w:val="26"/>
          <w:szCs w:val="26"/>
        </w:rPr>
        <w:t>-2</w:t>
      </w:r>
      <w:r w:rsidR="008241BC">
        <w:rPr>
          <w:spacing w:val="-3"/>
          <w:sz w:val="26"/>
          <w:szCs w:val="26"/>
        </w:rPr>
        <w:t>369095</w:t>
      </w:r>
      <w:r w:rsidR="00F222BE" w:rsidRPr="00A5340C">
        <w:rPr>
          <w:spacing w:val="-3"/>
          <w:sz w:val="26"/>
          <w:szCs w:val="26"/>
        </w:rPr>
        <w:t>;</w:t>
      </w:r>
      <w:r w:rsidR="008241BC">
        <w:rPr>
          <w:spacing w:val="-3"/>
          <w:sz w:val="26"/>
          <w:szCs w:val="26"/>
        </w:rPr>
        <w:t xml:space="preserve"> No. C-2013</w:t>
      </w:r>
      <w:r w:rsidR="00F222BE" w:rsidRPr="00A5340C">
        <w:rPr>
          <w:spacing w:val="-3"/>
          <w:sz w:val="26"/>
          <w:szCs w:val="26"/>
        </w:rPr>
        <w:t>-2</w:t>
      </w:r>
      <w:r w:rsidR="008241BC">
        <w:rPr>
          <w:spacing w:val="-3"/>
          <w:sz w:val="26"/>
          <w:szCs w:val="26"/>
        </w:rPr>
        <w:t>369464</w:t>
      </w:r>
      <w:r w:rsidR="00F222BE" w:rsidRPr="00A5340C">
        <w:rPr>
          <w:spacing w:val="-3"/>
          <w:sz w:val="26"/>
          <w:szCs w:val="26"/>
        </w:rPr>
        <w:t>;</w:t>
      </w:r>
      <w:r w:rsidR="00C60CD2" w:rsidRPr="00A5340C">
        <w:rPr>
          <w:spacing w:val="-3"/>
          <w:sz w:val="26"/>
          <w:szCs w:val="26"/>
        </w:rPr>
        <w:t xml:space="preserve"> No. C</w:t>
      </w:r>
      <w:r w:rsidR="00C60CD2" w:rsidRPr="00A5340C">
        <w:rPr>
          <w:spacing w:val="-3"/>
          <w:sz w:val="26"/>
          <w:szCs w:val="26"/>
        </w:rPr>
        <w:noBreakHyphen/>
      </w:r>
      <w:r w:rsidR="00F222BE" w:rsidRPr="00A5340C">
        <w:rPr>
          <w:spacing w:val="-3"/>
          <w:sz w:val="26"/>
          <w:szCs w:val="26"/>
        </w:rPr>
        <w:t>201</w:t>
      </w:r>
      <w:r w:rsidR="008241BC">
        <w:rPr>
          <w:spacing w:val="-3"/>
          <w:sz w:val="26"/>
          <w:szCs w:val="26"/>
        </w:rPr>
        <w:t>3</w:t>
      </w:r>
      <w:r w:rsidR="00F222BE" w:rsidRPr="00A5340C">
        <w:rPr>
          <w:spacing w:val="-3"/>
          <w:sz w:val="26"/>
          <w:szCs w:val="26"/>
        </w:rPr>
        <w:t>-2</w:t>
      </w:r>
      <w:r w:rsidR="008241BC">
        <w:rPr>
          <w:spacing w:val="-3"/>
          <w:sz w:val="26"/>
          <w:szCs w:val="26"/>
        </w:rPr>
        <w:t>369925; No. C-2013</w:t>
      </w:r>
      <w:r w:rsidR="00F222BE" w:rsidRPr="00A5340C">
        <w:rPr>
          <w:spacing w:val="-3"/>
          <w:sz w:val="26"/>
          <w:szCs w:val="26"/>
        </w:rPr>
        <w:t>-2</w:t>
      </w:r>
      <w:r w:rsidR="008241BC">
        <w:rPr>
          <w:spacing w:val="-3"/>
          <w:sz w:val="26"/>
          <w:szCs w:val="26"/>
        </w:rPr>
        <w:t>370649</w:t>
      </w:r>
      <w:r w:rsidR="00F222BE" w:rsidRPr="00A5340C">
        <w:rPr>
          <w:spacing w:val="-3"/>
          <w:sz w:val="26"/>
          <w:szCs w:val="26"/>
        </w:rPr>
        <w:t>;</w:t>
      </w:r>
      <w:r w:rsidR="008241BC">
        <w:rPr>
          <w:spacing w:val="-3"/>
          <w:sz w:val="26"/>
          <w:szCs w:val="26"/>
        </w:rPr>
        <w:t xml:space="preserve"> No. C-2013</w:t>
      </w:r>
      <w:r w:rsidR="004F4640" w:rsidRPr="00A5340C">
        <w:rPr>
          <w:spacing w:val="-3"/>
          <w:sz w:val="26"/>
          <w:szCs w:val="26"/>
        </w:rPr>
        <w:t>-2</w:t>
      </w:r>
      <w:r w:rsidR="008241BC">
        <w:rPr>
          <w:spacing w:val="-3"/>
          <w:sz w:val="26"/>
          <w:szCs w:val="26"/>
        </w:rPr>
        <w:t>372396; No. C-2013</w:t>
      </w:r>
      <w:r w:rsidR="00F222BE" w:rsidRPr="00A5340C">
        <w:rPr>
          <w:spacing w:val="-3"/>
          <w:sz w:val="26"/>
          <w:szCs w:val="26"/>
        </w:rPr>
        <w:t>-2</w:t>
      </w:r>
      <w:r w:rsidR="008241BC">
        <w:rPr>
          <w:spacing w:val="-3"/>
          <w:sz w:val="26"/>
          <w:szCs w:val="26"/>
        </w:rPr>
        <w:t>366239</w:t>
      </w:r>
      <w:r w:rsidR="00F222BE" w:rsidRPr="00A5340C">
        <w:rPr>
          <w:spacing w:val="-3"/>
          <w:sz w:val="26"/>
          <w:szCs w:val="26"/>
        </w:rPr>
        <w:t>;</w:t>
      </w:r>
      <w:r w:rsidR="00C60CD2" w:rsidRPr="00A5340C">
        <w:rPr>
          <w:spacing w:val="-3"/>
          <w:sz w:val="26"/>
          <w:szCs w:val="26"/>
        </w:rPr>
        <w:t xml:space="preserve"> No. C</w:t>
      </w:r>
      <w:r w:rsidR="00C60CD2" w:rsidRPr="00A5340C">
        <w:rPr>
          <w:spacing w:val="-3"/>
          <w:sz w:val="26"/>
          <w:szCs w:val="26"/>
        </w:rPr>
        <w:noBreakHyphen/>
      </w:r>
      <w:r w:rsidR="008241BC">
        <w:rPr>
          <w:spacing w:val="-3"/>
          <w:sz w:val="26"/>
          <w:szCs w:val="26"/>
        </w:rPr>
        <w:t>2013</w:t>
      </w:r>
      <w:r w:rsidR="00F222BE" w:rsidRPr="00A5340C">
        <w:rPr>
          <w:spacing w:val="-3"/>
          <w:sz w:val="26"/>
          <w:szCs w:val="26"/>
        </w:rPr>
        <w:t>-2</w:t>
      </w:r>
      <w:r w:rsidR="008241BC">
        <w:rPr>
          <w:spacing w:val="-3"/>
          <w:sz w:val="26"/>
          <w:szCs w:val="26"/>
        </w:rPr>
        <w:t>372641; and No. C-2013</w:t>
      </w:r>
      <w:r w:rsidR="00F222BE" w:rsidRPr="00A5340C">
        <w:rPr>
          <w:spacing w:val="-3"/>
          <w:sz w:val="26"/>
          <w:szCs w:val="26"/>
        </w:rPr>
        <w:t>-2</w:t>
      </w:r>
      <w:r w:rsidR="008241BC">
        <w:rPr>
          <w:spacing w:val="-3"/>
          <w:sz w:val="26"/>
          <w:szCs w:val="26"/>
        </w:rPr>
        <w:t>379466</w:t>
      </w:r>
      <w:r w:rsidR="003F6255" w:rsidRPr="00A5340C">
        <w:rPr>
          <w:spacing w:val="-3"/>
          <w:sz w:val="26"/>
          <w:szCs w:val="26"/>
        </w:rPr>
        <w:t>.</w:t>
      </w:r>
    </w:p>
    <w:p w:rsidR="00B831E5" w:rsidRPr="00A5340C" w:rsidRDefault="00B831E5" w:rsidP="001C311E">
      <w:pPr>
        <w:pStyle w:val="ListParagraph"/>
        <w:spacing w:line="360" w:lineRule="auto"/>
        <w:ind w:left="0"/>
        <w:rPr>
          <w:rFonts w:eastAsia="Calibri"/>
          <w:spacing w:val="-3"/>
          <w:sz w:val="26"/>
          <w:szCs w:val="26"/>
        </w:rPr>
      </w:pPr>
    </w:p>
    <w:p w:rsidR="006345BA" w:rsidRPr="00A5340C" w:rsidRDefault="008472B4" w:rsidP="001C311E">
      <w:pPr>
        <w:tabs>
          <w:tab w:val="left" w:pos="-720"/>
        </w:tabs>
        <w:suppressAutoHyphens/>
        <w:spacing w:line="360" w:lineRule="auto"/>
        <w:rPr>
          <w:rFonts w:ascii="Times New Roman" w:hAnsi="Times New Roman"/>
          <w:spacing w:val="-3"/>
          <w:sz w:val="26"/>
          <w:szCs w:val="26"/>
        </w:rPr>
      </w:pPr>
      <w:bookmarkStart w:id="0" w:name="_GoBack"/>
      <w:r>
        <w:rPr>
          <w:noProof/>
        </w:rPr>
        <w:drawing>
          <wp:anchor distT="0" distB="0" distL="114300" distR="114300" simplePos="0" relativeHeight="251659264" behindDoc="1" locked="0" layoutInCell="1" allowOverlap="1" wp14:anchorId="00F9400C" wp14:editId="751ABA5D">
            <wp:simplePos x="0" y="0"/>
            <wp:positionH relativeFrom="column">
              <wp:posOffset>2819400</wp:posOffset>
            </wp:positionH>
            <wp:positionV relativeFrom="paragraph">
              <wp:posOffset>10795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345BA" w:rsidRPr="00A5340C">
        <w:rPr>
          <w:rFonts w:ascii="Times New Roman" w:hAnsi="Times New Roman"/>
          <w:spacing w:val="-3"/>
          <w:sz w:val="26"/>
          <w:szCs w:val="26"/>
        </w:rPr>
        <w:tab/>
      </w:r>
      <w:r w:rsidR="006345BA" w:rsidRPr="00A5340C">
        <w:rPr>
          <w:rFonts w:ascii="Times New Roman" w:hAnsi="Times New Roman"/>
          <w:spacing w:val="-3"/>
          <w:sz w:val="26"/>
          <w:szCs w:val="26"/>
        </w:rPr>
        <w:tab/>
      </w:r>
      <w:r w:rsidR="006345BA" w:rsidRPr="00A5340C">
        <w:rPr>
          <w:rFonts w:ascii="Times New Roman" w:hAnsi="Times New Roman"/>
          <w:spacing w:val="-3"/>
          <w:sz w:val="26"/>
          <w:szCs w:val="26"/>
        </w:rPr>
        <w:tab/>
      </w:r>
      <w:r w:rsidR="006345BA" w:rsidRPr="00A5340C">
        <w:rPr>
          <w:rFonts w:ascii="Times New Roman" w:hAnsi="Times New Roman"/>
          <w:spacing w:val="-3"/>
          <w:sz w:val="26"/>
          <w:szCs w:val="26"/>
        </w:rPr>
        <w:tab/>
      </w:r>
      <w:r w:rsidR="006345BA" w:rsidRPr="00A5340C">
        <w:rPr>
          <w:rFonts w:ascii="Times New Roman" w:hAnsi="Times New Roman"/>
          <w:spacing w:val="-3"/>
          <w:sz w:val="26"/>
          <w:szCs w:val="26"/>
        </w:rPr>
        <w:tab/>
      </w:r>
      <w:r w:rsidR="006345BA" w:rsidRPr="00A5340C">
        <w:rPr>
          <w:rFonts w:ascii="Times New Roman" w:hAnsi="Times New Roman"/>
          <w:spacing w:val="-3"/>
          <w:sz w:val="26"/>
          <w:szCs w:val="26"/>
        </w:rPr>
        <w:tab/>
      </w:r>
      <w:r w:rsidR="006345BA" w:rsidRPr="00A5340C">
        <w:rPr>
          <w:rFonts w:ascii="Times New Roman" w:hAnsi="Times New Roman"/>
          <w:spacing w:val="-3"/>
          <w:sz w:val="26"/>
          <w:szCs w:val="26"/>
        </w:rPr>
        <w:tab/>
        <w:t>BY THE COMMISSION,</w:t>
      </w:r>
    </w:p>
    <w:p w:rsidR="007C1AE9" w:rsidRPr="00A5340C" w:rsidRDefault="007C1AE9" w:rsidP="001C311E">
      <w:pPr>
        <w:widowControl w:val="0"/>
        <w:tabs>
          <w:tab w:val="left" w:pos="-720"/>
        </w:tabs>
        <w:suppressAutoHyphens/>
        <w:spacing w:line="360" w:lineRule="auto"/>
        <w:rPr>
          <w:rFonts w:ascii="Times New Roman" w:hAnsi="Times New Roman"/>
          <w:spacing w:val="-3"/>
          <w:sz w:val="26"/>
          <w:szCs w:val="26"/>
        </w:rPr>
      </w:pPr>
    </w:p>
    <w:p w:rsidR="006345BA" w:rsidRPr="00A5340C" w:rsidRDefault="006345BA" w:rsidP="001C311E">
      <w:pPr>
        <w:widowControl w:val="0"/>
        <w:tabs>
          <w:tab w:val="left" w:pos="-720"/>
        </w:tabs>
        <w:suppressAutoHyphens/>
        <w:spacing w:after="0" w:line="360" w:lineRule="auto"/>
        <w:rPr>
          <w:rFonts w:ascii="Times New Roman" w:hAnsi="Times New Roman"/>
          <w:spacing w:val="-3"/>
          <w:sz w:val="26"/>
          <w:szCs w:val="26"/>
        </w:rPr>
      </w:pPr>
      <w:r w:rsidRPr="00A5340C">
        <w:rPr>
          <w:rFonts w:ascii="Times New Roman" w:hAnsi="Times New Roman"/>
          <w:spacing w:val="-3"/>
          <w:sz w:val="26"/>
          <w:szCs w:val="26"/>
        </w:rPr>
        <w:tab/>
      </w:r>
      <w:r w:rsidRPr="00A5340C">
        <w:rPr>
          <w:rFonts w:ascii="Times New Roman" w:hAnsi="Times New Roman"/>
          <w:spacing w:val="-3"/>
          <w:sz w:val="26"/>
          <w:szCs w:val="26"/>
        </w:rPr>
        <w:tab/>
      </w:r>
      <w:r w:rsidRPr="00A5340C">
        <w:rPr>
          <w:rFonts w:ascii="Times New Roman" w:hAnsi="Times New Roman"/>
          <w:spacing w:val="-3"/>
          <w:sz w:val="26"/>
          <w:szCs w:val="26"/>
        </w:rPr>
        <w:tab/>
      </w:r>
      <w:r w:rsidRPr="00A5340C">
        <w:rPr>
          <w:rFonts w:ascii="Times New Roman" w:hAnsi="Times New Roman"/>
          <w:spacing w:val="-3"/>
          <w:sz w:val="26"/>
          <w:szCs w:val="26"/>
        </w:rPr>
        <w:tab/>
      </w:r>
      <w:r w:rsidRPr="00A5340C">
        <w:rPr>
          <w:rFonts w:ascii="Times New Roman" w:hAnsi="Times New Roman"/>
          <w:spacing w:val="-3"/>
          <w:sz w:val="26"/>
          <w:szCs w:val="26"/>
        </w:rPr>
        <w:tab/>
      </w:r>
      <w:r w:rsidRPr="00A5340C">
        <w:rPr>
          <w:rFonts w:ascii="Times New Roman" w:hAnsi="Times New Roman"/>
          <w:spacing w:val="-3"/>
          <w:sz w:val="26"/>
          <w:szCs w:val="26"/>
        </w:rPr>
        <w:tab/>
      </w:r>
      <w:r w:rsidRPr="00A5340C">
        <w:rPr>
          <w:rFonts w:ascii="Times New Roman" w:hAnsi="Times New Roman"/>
          <w:spacing w:val="-3"/>
          <w:sz w:val="26"/>
          <w:szCs w:val="26"/>
        </w:rPr>
        <w:tab/>
        <w:t>Rosemary Chiavetta</w:t>
      </w:r>
    </w:p>
    <w:p w:rsidR="006345BA" w:rsidRPr="00A5340C" w:rsidRDefault="006345BA" w:rsidP="001C311E">
      <w:pPr>
        <w:widowControl w:val="0"/>
        <w:tabs>
          <w:tab w:val="left" w:pos="-720"/>
        </w:tabs>
        <w:suppressAutoHyphens/>
        <w:spacing w:after="0" w:line="360" w:lineRule="auto"/>
        <w:rPr>
          <w:rFonts w:ascii="Times New Roman" w:hAnsi="Times New Roman"/>
          <w:spacing w:val="-3"/>
          <w:sz w:val="26"/>
          <w:szCs w:val="26"/>
        </w:rPr>
      </w:pPr>
      <w:r w:rsidRPr="00A5340C">
        <w:rPr>
          <w:rFonts w:ascii="Times New Roman" w:hAnsi="Times New Roman"/>
          <w:spacing w:val="-3"/>
          <w:sz w:val="26"/>
          <w:szCs w:val="26"/>
        </w:rPr>
        <w:tab/>
      </w:r>
      <w:r w:rsidRPr="00A5340C">
        <w:rPr>
          <w:rFonts w:ascii="Times New Roman" w:hAnsi="Times New Roman"/>
          <w:spacing w:val="-3"/>
          <w:sz w:val="26"/>
          <w:szCs w:val="26"/>
        </w:rPr>
        <w:tab/>
      </w:r>
      <w:r w:rsidRPr="00A5340C">
        <w:rPr>
          <w:rFonts w:ascii="Times New Roman" w:hAnsi="Times New Roman"/>
          <w:spacing w:val="-3"/>
          <w:sz w:val="26"/>
          <w:szCs w:val="26"/>
        </w:rPr>
        <w:tab/>
      </w:r>
      <w:r w:rsidRPr="00A5340C">
        <w:rPr>
          <w:rFonts w:ascii="Times New Roman" w:hAnsi="Times New Roman"/>
          <w:spacing w:val="-3"/>
          <w:sz w:val="26"/>
          <w:szCs w:val="26"/>
        </w:rPr>
        <w:tab/>
      </w:r>
      <w:r w:rsidRPr="00A5340C">
        <w:rPr>
          <w:rFonts w:ascii="Times New Roman" w:hAnsi="Times New Roman"/>
          <w:spacing w:val="-3"/>
          <w:sz w:val="26"/>
          <w:szCs w:val="26"/>
        </w:rPr>
        <w:tab/>
      </w:r>
      <w:r w:rsidRPr="00A5340C">
        <w:rPr>
          <w:rFonts w:ascii="Times New Roman" w:hAnsi="Times New Roman"/>
          <w:spacing w:val="-3"/>
          <w:sz w:val="26"/>
          <w:szCs w:val="26"/>
        </w:rPr>
        <w:tab/>
      </w:r>
      <w:r w:rsidRPr="00A5340C">
        <w:rPr>
          <w:rFonts w:ascii="Times New Roman" w:hAnsi="Times New Roman"/>
          <w:spacing w:val="-3"/>
          <w:sz w:val="26"/>
          <w:szCs w:val="26"/>
        </w:rPr>
        <w:tab/>
        <w:t>Secretary</w:t>
      </w:r>
    </w:p>
    <w:p w:rsidR="006345BA" w:rsidRPr="00A5340C" w:rsidRDefault="006345BA" w:rsidP="001C311E">
      <w:pPr>
        <w:widowControl w:val="0"/>
        <w:tabs>
          <w:tab w:val="left" w:pos="-720"/>
        </w:tabs>
        <w:suppressAutoHyphens/>
        <w:spacing w:line="360" w:lineRule="auto"/>
        <w:rPr>
          <w:rFonts w:ascii="Times New Roman" w:hAnsi="Times New Roman"/>
          <w:spacing w:val="-3"/>
          <w:sz w:val="26"/>
          <w:szCs w:val="26"/>
        </w:rPr>
      </w:pPr>
    </w:p>
    <w:p w:rsidR="006345BA" w:rsidRPr="00A5340C" w:rsidRDefault="006345BA" w:rsidP="001C311E">
      <w:pPr>
        <w:pStyle w:val="BodyText3"/>
        <w:widowControl w:val="0"/>
        <w:tabs>
          <w:tab w:val="left" w:pos="-720"/>
        </w:tabs>
        <w:suppressAutoHyphens/>
        <w:rPr>
          <w:spacing w:val="-3"/>
        </w:rPr>
      </w:pPr>
      <w:r w:rsidRPr="00A5340C">
        <w:rPr>
          <w:spacing w:val="-3"/>
        </w:rPr>
        <w:t>(SEAL)</w:t>
      </w:r>
    </w:p>
    <w:p w:rsidR="006345BA" w:rsidRPr="00A5340C" w:rsidRDefault="006345BA" w:rsidP="001C311E">
      <w:pPr>
        <w:widowControl w:val="0"/>
        <w:tabs>
          <w:tab w:val="left" w:pos="-720"/>
        </w:tabs>
        <w:suppressAutoHyphens/>
        <w:spacing w:after="0" w:line="360" w:lineRule="auto"/>
        <w:rPr>
          <w:rFonts w:ascii="Times New Roman" w:hAnsi="Times New Roman"/>
          <w:spacing w:val="-3"/>
          <w:sz w:val="26"/>
          <w:szCs w:val="26"/>
        </w:rPr>
      </w:pPr>
      <w:r w:rsidRPr="00A5340C">
        <w:rPr>
          <w:rFonts w:ascii="Times New Roman" w:hAnsi="Times New Roman"/>
          <w:spacing w:val="-3"/>
          <w:sz w:val="26"/>
          <w:szCs w:val="26"/>
        </w:rPr>
        <w:t xml:space="preserve">ORDER ADOPTED:  </w:t>
      </w:r>
      <w:r w:rsidR="004B7E96">
        <w:rPr>
          <w:rFonts w:ascii="Times New Roman" w:hAnsi="Times New Roman"/>
          <w:spacing w:val="-3"/>
          <w:sz w:val="26"/>
          <w:szCs w:val="26"/>
        </w:rPr>
        <w:t>December 19, 2013</w:t>
      </w:r>
    </w:p>
    <w:p w:rsidR="00DC4297" w:rsidRPr="00A5340C" w:rsidRDefault="006345BA" w:rsidP="001C311E">
      <w:pPr>
        <w:pStyle w:val="BodyText3"/>
        <w:widowControl w:val="0"/>
        <w:tabs>
          <w:tab w:val="left" w:pos="-720"/>
        </w:tabs>
        <w:suppressAutoHyphens/>
        <w:rPr>
          <w:spacing w:val="-3"/>
        </w:rPr>
      </w:pPr>
      <w:r w:rsidRPr="00A5340C">
        <w:rPr>
          <w:spacing w:val="-3"/>
        </w:rPr>
        <w:t>ORDER ENTERED:</w:t>
      </w:r>
      <w:r w:rsidR="008E312F" w:rsidRPr="00A5340C">
        <w:rPr>
          <w:spacing w:val="-3"/>
        </w:rPr>
        <w:t xml:space="preserve">  </w:t>
      </w:r>
      <w:r w:rsidR="008472B4">
        <w:rPr>
          <w:spacing w:val="-3"/>
        </w:rPr>
        <w:t>December 19, 2013</w:t>
      </w:r>
    </w:p>
    <w:sectPr w:rsidR="00DC4297" w:rsidRPr="00A5340C" w:rsidSect="005D525A">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779" w:rsidRDefault="00C77779" w:rsidP="00DD03CC">
      <w:pPr>
        <w:spacing w:after="0" w:line="240" w:lineRule="auto"/>
      </w:pPr>
      <w:r>
        <w:separator/>
      </w:r>
    </w:p>
  </w:endnote>
  <w:endnote w:type="continuationSeparator" w:id="0">
    <w:p w:rsidR="00C77779" w:rsidRDefault="00C77779" w:rsidP="00DD03CC">
      <w:pPr>
        <w:spacing w:after="0" w:line="240" w:lineRule="auto"/>
      </w:pPr>
      <w:r>
        <w:continuationSeparator/>
      </w:r>
    </w:p>
  </w:endnote>
  <w:endnote w:type="continuationNotice" w:id="1">
    <w:p w:rsidR="00C77779" w:rsidRDefault="00C77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95F" w:rsidRPr="005466EC" w:rsidRDefault="0085595F">
    <w:pPr>
      <w:pStyle w:val="Footer"/>
      <w:jc w:val="center"/>
      <w:rPr>
        <w:rFonts w:ascii="Times New Roman" w:hAnsi="Times New Roman"/>
        <w:sz w:val="26"/>
        <w:szCs w:val="26"/>
      </w:rPr>
    </w:pPr>
    <w:r w:rsidRPr="005466EC">
      <w:rPr>
        <w:rFonts w:ascii="Times New Roman" w:hAnsi="Times New Roman"/>
        <w:sz w:val="26"/>
        <w:szCs w:val="26"/>
      </w:rPr>
      <w:fldChar w:fldCharType="begin"/>
    </w:r>
    <w:r w:rsidRPr="005466EC">
      <w:rPr>
        <w:rFonts w:ascii="Times New Roman" w:hAnsi="Times New Roman"/>
        <w:sz w:val="26"/>
        <w:szCs w:val="26"/>
      </w:rPr>
      <w:instrText xml:space="preserve"> PAGE   \* MERGEFORMAT </w:instrText>
    </w:r>
    <w:r w:rsidRPr="005466EC">
      <w:rPr>
        <w:rFonts w:ascii="Times New Roman" w:hAnsi="Times New Roman"/>
        <w:sz w:val="26"/>
        <w:szCs w:val="26"/>
      </w:rPr>
      <w:fldChar w:fldCharType="separate"/>
    </w:r>
    <w:r w:rsidR="003175D2">
      <w:rPr>
        <w:rFonts w:ascii="Times New Roman" w:hAnsi="Times New Roman"/>
        <w:noProof/>
        <w:sz w:val="26"/>
        <w:szCs w:val="26"/>
      </w:rPr>
      <w:t>34</w:t>
    </w:r>
    <w:r w:rsidRPr="005466EC">
      <w:rPr>
        <w:rFonts w:ascii="Times New Roman" w:hAnsi="Times New Roman"/>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779" w:rsidRDefault="00C77779" w:rsidP="00DD03CC">
      <w:pPr>
        <w:spacing w:after="0" w:line="240" w:lineRule="auto"/>
      </w:pPr>
      <w:r>
        <w:separator/>
      </w:r>
    </w:p>
  </w:footnote>
  <w:footnote w:type="continuationSeparator" w:id="0">
    <w:p w:rsidR="00C77779" w:rsidRDefault="00C77779" w:rsidP="00DD03CC">
      <w:pPr>
        <w:spacing w:after="0" w:line="240" w:lineRule="auto"/>
      </w:pPr>
      <w:r>
        <w:continuationSeparator/>
      </w:r>
    </w:p>
  </w:footnote>
  <w:footnote w:type="continuationNotice" w:id="1">
    <w:p w:rsidR="00C77779" w:rsidRDefault="00C77779">
      <w:pPr>
        <w:spacing w:after="0" w:line="240" w:lineRule="auto"/>
      </w:pPr>
    </w:p>
  </w:footnote>
  <w:footnote w:id="2">
    <w:p w:rsidR="0085595F" w:rsidRPr="00055623" w:rsidRDefault="0085595F" w:rsidP="00055623">
      <w:pPr>
        <w:pStyle w:val="FootnoteText"/>
        <w:ind w:firstLine="720"/>
        <w:rPr>
          <w:rFonts w:ascii="Times New Roman" w:hAnsi="Times New Roman"/>
          <w:sz w:val="26"/>
          <w:szCs w:val="26"/>
        </w:rPr>
      </w:pPr>
      <w:r w:rsidRPr="00055623">
        <w:rPr>
          <w:rStyle w:val="FootnoteReference"/>
          <w:rFonts w:ascii="Times New Roman" w:hAnsi="Times New Roman"/>
          <w:sz w:val="26"/>
          <w:szCs w:val="26"/>
        </w:rPr>
        <w:footnoteRef/>
      </w:r>
      <w:r w:rsidRPr="00055623">
        <w:rPr>
          <w:rFonts w:ascii="Times New Roman" w:hAnsi="Times New Roman"/>
          <w:sz w:val="26"/>
          <w:szCs w:val="26"/>
        </w:rPr>
        <w:t xml:space="preserve"> </w:t>
      </w:r>
      <w:r>
        <w:rPr>
          <w:rFonts w:ascii="Times New Roman" w:hAnsi="Times New Roman"/>
          <w:sz w:val="26"/>
          <w:szCs w:val="26"/>
        </w:rPr>
        <w:tab/>
        <w:t xml:space="preserve">Mr. </w:t>
      </w:r>
      <w:proofErr w:type="spellStart"/>
      <w:r>
        <w:rPr>
          <w:rFonts w:ascii="Times New Roman" w:hAnsi="Times New Roman"/>
          <w:sz w:val="26"/>
          <w:szCs w:val="26"/>
        </w:rPr>
        <w:t>Kazimer’s</w:t>
      </w:r>
      <w:proofErr w:type="spellEnd"/>
      <w:r>
        <w:rPr>
          <w:rFonts w:ascii="Times New Roman" w:hAnsi="Times New Roman"/>
          <w:sz w:val="26"/>
          <w:szCs w:val="26"/>
        </w:rPr>
        <w:t xml:space="preserve"> Exceptions did not contain a Certificate of Service.  Therefore, on November 19, 2013, the Commission’s Secretary’s Bureau forwarded a copy Mr. </w:t>
      </w:r>
      <w:proofErr w:type="spellStart"/>
      <w:r>
        <w:rPr>
          <w:rFonts w:ascii="Times New Roman" w:hAnsi="Times New Roman"/>
          <w:sz w:val="26"/>
          <w:szCs w:val="26"/>
        </w:rPr>
        <w:t>Kazimer’s</w:t>
      </w:r>
      <w:proofErr w:type="spellEnd"/>
      <w:r>
        <w:rPr>
          <w:rFonts w:ascii="Times New Roman" w:hAnsi="Times New Roman"/>
          <w:sz w:val="26"/>
          <w:szCs w:val="26"/>
        </w:rPr>
        <w:t xml:space="preserve"> Exceptions to the Parties of record and extended the time for filing Replies to Exceptions to November 27, 2013. </w:t>
      </w:r>
    </w:p>
  </w:footnote>
  <w:footnote w:id="3">
    <w:p w:rsidR="0085595F" w:rsidRPr="000675EE" w:rsidRDefault="0085595F" w:rsidP="00055623">
      <w:pPr>
        <w:pStyle w:val="FootnoteText"/>
        <w:ind w:firstLine="720"/>
        <w:rPr>
          <w:rFonts w:ascii="Times New Roman" w:hAnsi="Times New Roman"/>
        </w:rPr>
      </w:pPr>
      <w:r w:rsidRPr="00055623">
        <w:rPr>
          <w:rStyle w:val="FootnoteReference"/>
          <w:rFonts w:ascii="Times New Roman" w:hAnsi="Times New Roman"/>
          <w:sz w:val="26"/>
          <w:szCs w:val="26"/>
        </w:rPr>
        <w:footnoteRef/>
      </w:r>
      <w:r w:rsidRPr="00055623">
        <w:rPr>
          <w:rFonts w:ascii="Times New Roman" w:hAnsi="Times New Roman"/>
          <w:sz w:val="26"/>
          <w:szCs w:val="26"/>
        </w:rPr>
        <w:t xml:space="preserve"> </w:t>
      </w:r>
      <w:r>
        <w:rPr>
          <w:rFonts w:ascii="Times New Roman" w:hAnsi="Times New Roman"/>
          <w:sz w:val="26"/>
          <w:szCs w:val="26"/>
        </w:rPr>
        <w:tab/>
      </w:r>
      <w:r w:rsidRPr="004D6C24">
        <w:rPr>
          <w:rFonts w:ascii="Times New Roman" w:hAnsi="Times New Roman"/>
          <w:sz w:val="26"/>
          <w:szCs w:val="26"/>
        </w:rPr>
        <w:t xml:space="preserve">For a full and complete history, please refer to the </w:t>
      </w:r>
      <w:r>
        <w:rPr>
          <w:rFonts w:ascii="Times New Roman" w:hAnsi="Times New Roman"/>
          <w:sz w:val="26"/>
          <w:szCs w:val="26"/>
        </w:rPr>
        <w:t>Recommended Decision at 1</w:t>
      </w:r>
      <w:r>
        <w:rPr>
          <w:rFonts w:ascii="Times New Roman" w:hAnsi="Times New Roman"/>
          <w:sz w:val="26"/>
          <w:szCs w:val="26"/>
        </w:rPr>
        <w:noBreakHyphen/>
        <w:t>7</w:t>
      </w:r>
      <w:r w:rsidRPr="004D6C24">
        <w:rPr>
          <w:rFonts w:ascii="Times New Roman" w:hAnsi="Times New Roman"/>
          <w:sz w:val="26"/>
          <w:szCs w:val="26"/>
        </w:rPr>
        <w:t>.</w:t>
      </w:r>
      <w:r>
        <w:rPr>
          <w:rFonts w:ascii="Times New Roman" w:hAnsi="Times New Roman"/>
        </w:rPr>
        <w:t xml:space="preserve">  </w:t>
      </w:r>
    </w:p>
    <w:p w:rsidR="0085595F" w:rsidRPr="00055623" w:rsidRDefault="0085595F" w:rsidP="00055623">
      <w:pPr>
        <w:pStyle w:val="FootnoteText"/>
        <w:ind w:firstLine="720"/>
        <w:rPr>
          <w:rFonts w:ascii="Times New Roman" w:hAnsi="Times New Roman"/>
          <w:sz w:val="26"/>
          <w:szCs w:val="26"/>
        </w:rPr>
      </w:pPr>
    </w:p>
  </w:footnote>
  <w:footnote w:id="4">
    <w:p w:rsidR="0085595F" w:rsidRPr="00536D0E" w:rsidRDefault="0085595F" w:rsidP="00536D0E">
      <w:pPr>
        <w:pStyle w:val="FootnoteText"/>
        <w:ind w:firstLine="720"/>
        <w:rPr>
          <w:rFonts w:ascii="Times New Roman" w:hAnsi="Times New Roman"/>
          <w:sz w:val="26"/>
          <w:szCs w:val="26"/>
        </w:rPr>
      </w:pPr>
      <w:r w:rsidRPr="00536D0E">
        <w:rPr>
          <w:rStyle w:val="FootnoteReference"/>
          <w:rFonts w:ascii="Times New Roman" w:hAnsi="Times New Roman"/>
          <w:sz w:val="26"/>
          <w:szCs w:val="26"/>
        </w:rPr>
        <w:footnoteRef/>
      </w:r>
      <w:r w:rsidRPr="00536D0E">
        <w:rPr>
          <w:rFonts w:ascii="Times New Roman" w:hAnsi="Times New Roman"/>
          <w:sz w:val="26"/>
          <w:szCs w:val="26"/>
        </w:rPr>
        <w:t xml:space="preserve"> </w:t>
      </w:r>
      <w:r>
        <w:rPr>
          <w:rFonts w:ascii="Times New Roman" w:hAnsi="Times New Roman"/>
          <w:sz w:val="26"/>
          <w:szCs w:val="26"/>
        </w:rPr>
        <w:tab/>
      </w:r>
      <w:r>
        <w:rPr>
          <w:rFonts w:ascii="Times New Roman" w:hAnsi="Times New Roman"/>
          <w:spacing w:val="-3"/>
          <w:sz w:val="26"/>
          <w:szCs w:val="26"/>
        </w:rPr>
        <w:t xml:space="preserve">On July 9, 2013, the Pennsylvania American Water Large Users Group (PAWLUG) filed a Petition to Intervene, which was unopposed.  PAWLUG requested active participant status in the proceeding.  </w:t>
      </w:r>
    </w:p>
  </w:footnote>
  <w:footnote w:id="5">
    <w:p w:rsidR="0085595F" w:rsidRPr="007850E7" w:rsidRDefault="0085595F" w:rsidP="00B3077E">
      <w:pPr>
        <w:pStyle w:val="FootnoteText"/>
        <w:ind w:firstLine="720"/>
        <w:rPr>
          <w:rFonts w:ascii="Times New Roman" w:hAnsi="Times New Roman"/>
          <w:sz w:val="26"/>
          <w:szCs w:val="26"/>
        </w:rPr>
      </w:pPr>
      <w:r w:rsidRPr="00E05556">
        <w:rPr>
          <w:rStyle w:val="FootnoteReference"/>
          <w:rFonts w:ascii="Times New Roman" w:hAnsi="Times New Roman"/>
          <w:sz w:val="26"/>
          <w:szCs w:val="26"/>
        </w:rPr>
        <w:footnoteRef/>
      </w:r>
      <w:r w:rsidRPr="007850E7">
        <w:rPr>
          <w:rFonts w:ascii="Times New Roman" w:hAnsi="Times New Roman"/>
        </w:rPr>
        <w:t xml:space="preserve">  </w:t>
      </w:r>
      <w:r>
        <w:rPr>
          <w:rFonts w:ascii="Times New Roman" w:hAnsi="Times New Roman"/>
        </w:rPr>
        <w:tab/>
      </w:r>
      <w:r w:rsidRPr="007850E7">
        <w:rPr>
          <w:rFonts w:ascii="Times New Roman" w:hAnsi="Times New Roman"/>
          <w:sz w:val="26"/>
          <w:szCs w:val="26"/>
        </w:rPr>
        <w:t>For a more detailed discussion of the pu</w:t>
      </w:r>
      <w:r>
        <w:rPr>
          <w:rFonts w:ascii="Times New Roman" w:hAnsi="Times New Roman"/>
          <w:sz w:val="26"/>
          <w:szCs w:val="26"/>
        </w:rPr>
        <w:t>blic input hearings, see pages 9-19</w:t>
      </w:r>
      <w:r w:rsidRPr="007850E7">
        <w:rPr>
          <w:rFonts w:ascii="Times New Roman" w:hAnsi="Times New Roman"/>
          <w:sz w:val="26"/>
          <w:szCs w:val="26"/>
        </w:rPr>
        <w:t xml:space="preserve"> of the Recommended Decision. </w:t>
      </w:r>
    </w:p>
  </w:footnote>
  <w:footnote w:id="6">
    <w:p w:rsidR="0085595F" w:rsidRPr="003B7511" w:rsidRDefault="0085595F" w:rsidP="003B7511">
      <w:pPr>
        <w:pStyle w:val="FootnoteText"/>
        <w:ind w:firstLine="720"/>
        <w:rPr>
          <w:rFonts w:ascii="Times New Roman" w:hAnsi="Times New Roman"/>
          <w:sz w:val="26"/>
          <w:szCs w:val="26"/>
        </w:rPr>
      </w:pPr>
      <w:r w:rsidRPr="003B7511">
        <w:rPr>
          <w:rStyle w:val="FootnoteReference"/>
          <w:rFonts w:ascii="Times New Roman" w:hAnsi="Times New Roman"/>
          <w:sz w:val="26"/>
          <w:szCs w:val="26"/>
        </w:rPr>
        <w:footnoteRef/>
      </w:r>
      <w:r w:rsidRPr="003B7511">
        <w:rPr>
          <w:rFonts w:ascii="Times New Roman" w:hAnsi="Times New Roman"/>
          <w:sz w:val="26"/>
          <w:szCs w:val="26"/>
        </w:rPr>
        <w:t xml:space="preserve"> </w:t>
      </w:r>
      <w:r>
        <w:rPr>
          <w:rFonts w:ascii="Times New Roman" w:hAnsi="Times New Roman"/>
          <w:sz w:val="26"/>
          <w:szCs w:val="26"/>
        </w:rPr>
        <w:tab/>
        <w:t xml:space="preserve">Thom </w:t>
      </w:r>
      <w:proofErr w:type="spellStart"/>
      <w:r>
        <w:rPr>
          <w:rFonts w:ascii="Times New Roman" w:hAnsi="Times New Roman"/>
          <w:sz w:val="26"/>
          <w:szCs w:val="26"/>
        </w:rPr>
        <w:t>Welby</w:t>
      </w:r>
      <w:proofErr w:type="spellEnd"/>
      <w:r>
        <w:rPr>
          <w:rFonts w:ascii="Times New Roman" w:hAnsi="Times New Roman"/>
          <w:sz w:val="26"/>
          <w:szCs w:val="26"/>
        </w:rPr>
        <w:t xml:space="preserve">, Representative Flynn’s Chief of Staff, also testified that PAWC currently offers subscriptions for maintenance contracts on work outside of customer homes.  According to Mr. </w:t>
      </w:r>
      <w:proofErr w:type="spellStart"/>
      <w:r>
        <w:rPr>
          <w:rFonts w:ascii="Times New Roman" w:hAnsi="Times New Roman"/>
          <w:sz w:val="26"/>
          <w:szCs w:val="26"/>
        </w:rPr>
        <w:t>Welby</w:t>
      </w:r>
      <w:proofErr w:type="spellEnd"/>
      <w:r>
        <w:rPr>
          <w:rFonts w:ascii="Times New Roman" w:hAnsi="Times New Roman"/>
          <w:sz w:val="26"/>
          <w:szCs w:val="26"/>
        </w:rPr>
        <w:t xml:space="preserve">, only three percent of the Company’s customer base subscribes to the service and expanding this base would be preferable to raising revenue through a rate increase.  Tr. at 274-275.  </w:t>
      </w:r>
    </w:p>
  </w:footnote>
  <w:footnote w:id="7">
    <w:p w:rsidR="0085595F" w:rsidRPr="003D4BE8" w:rsidRDefault="0085595F" w:rsidP="003D4BE8">
      <w:pPr>
        <w:pStyle w:val="FootnoteText"/>
        <w:ind w:firstLine="720"/>
        <w:rPr>
          <w:rFonts w:ascii="Times New Roman" w:hAnsi="Times New Roman"/>
          <w:sz w:val="26"/>
          <w:szCs w:val="26"/>
        </w:rPr>
      </w:pPr>
      <w:r w:rsidRPr="003D4BE8">
        <w:rPr>
          <w:rStyle w:val="FootnoteReference"/>
          <w:rFonts w:ascii="Times New Roman" w:hAnsi="Times New Roman"/>
          <w:sz w:val="26"/>
          <w:szCs w:val="26"/>
        </w:rPr>
        <w:footnoteRef/>
      </w:r>
      <w:r w:rsidRPr="003D4BE8">
        <w:rPr>
          <w:rFonts w:ascii="Times New Roman" w:hAnsi="Times New Roman"/>
          <w:sz w:val="26"/>
          <w:szCs w:val="26"/>
        </w:rPr>
        <w:t xml:space="preserve"> </w:t>
      </w:r>
      <w:r>
        <w:rPr>
          <w:rFonts w:ascii="Times New Roman" w:hAnsi="Times New Roman"/>
          <w:sz w:val="26"/>
          <w:szCs w:val="26"/>
        </w:rPr>
        <w:tab/>
        <w:t xml:space="preserve">Although the Joint Petitioners refer to the rates for the wastewater service in Appendix B as an “Original Tariff,” the Parties have modified the wastewater tariff as originally filed with the Commission on April 30, 2013.  </w:t>
      </w:r>
    </w:p>
  </w:footnote>
  <w:footnote w:id="8">
    <w:p w:rsidR="0085595F" w:rsidRPr="009B35DF" w:rsidRDefault="0085595F" w:rsidP="00054792">
      <w:pPr>
        <w:pStyle w:val="FootnoteText"/>
        <w:ind w:firstLine="720"/>
        <w:rPr>
          <w:rFonts w:ascii="Times New Roman" w:hAnsi="Times New Roman"/>
          <w:sz w:val="26"/>
          <w:szCs w:val="26"/>
        </w:rPr>
      </w:pPr>
      <w:r w:rsidRPr="009B35DF">
        <w:rPr>
          <w:rStyle w:val="FootnoteReference"/>
          <w:rFonts w:ascii="Times New Roman" w:hAnsi="Times New Roman"/>
          <w:sz w:val="26"/>
          <w:szCs w:val="26"/>
        </w:rPr>
        <w:footnoteRef/>
      </w:r>
      <w:r w:rsidRPr="009B35DF">
        <w:rPr>
          <w:rFonts w:ascii="Times New Roman" w:hAnsi="Times New Roman"/>
          <w:sz w:val="26"/>
          <w:szCs w:val="26"/>
        </w:rPr>
        <w:t xml:space="preserve"> </w:t>
      </w:r>
      <w:r w:rsidRPr="009B35DF">
        <w:rPr>
          <w:rFonts w:ascii="Times New Roman" w:hAnsi="Times New Roman"/>
          <w:sz w:val="26"/>
          <w:szCs w:val="26"/>
        </w:rPr>
        <w:tab/>
      </w:r>
      <w:r>
        <w:rPr>
          <w:rFonts w:ascii="Times New Roman" w:hAnsi="Times New Roman"/>
          <w:sz w:val="26"/>
          <w:szCs w:val="26"/>
        </w:rPr>
        <w:t>“</w:t>
      </w:r>
      <w:r w:rsidRPr="009B35DF">
        <w:rPr>
          <w:rFonts w:ascii="Times New Roman" w:hAnsi="Times New Roman"/>
          <w:sz w:val="26"/>
          <w:szCs w:val="26"/>
        </w:rPr>
        <w:t>As a result of settlements in previous proceedings, PAWC already is prohibited from requesting an increase in base rates prior to March 31, 2016, for its wastewater operations in Claysville (Docket No. R-2010-2166210), Coatesville (Docket No. R-2010-2166212), and Northeast (Docket No. R-2010-2166214), except under extraordinary circumstances.</w:t>
      </w:r>
      <w:r>
        <w:rPr>
          <w:rFonts w:ascii="Times New Roman" w:hAnsi="Times New Roman"/>
          <w:sz w:val="26"/>
          <w:szCs w:val="26"/>
        </w:rPr>
        <w:t>”  Settlement at 7.</w:t>
      </w:r>
    </w:p>
  </w:footnote>
  <w:footnote w:id="9">
    <w:p w:rsidR="0085595F" w:rsidRPr="00195504" w:rsidRDefault="0085595F" w:rsidP="00054792">
      <w:pPr>
        <w:pStyle w:val="FootnoteText"/>
        <w:keepLines/>
        <w:ind w:firstLine="720"/>
        <w:rPr>
          <w:rFonts w:ascii="Times New Roman" w:hAnsi="Times New Roman"/>
          <w:sz w:val="26"/>
          <w:szCs w:val="26"/>
        </w:rPr>
      </w:pPr>
      <w:r w:rsidRPr="00195504">
        <w:rPr>
          <w:rStyle w:val="FootnoteReference"/>
          <w:rFonts w:ascii="Times New Roman" w:hAnsi="Times New Roman"/>
          <w:sz w:val="26"/>
          <w:szCs w:val="26"/>
        </w:rPr>
        <w:footnoteRef/>
      </w:r>
      <w:r w:rsidRPr="00195504">
        <w:rPr>
          <w:rFonts w:ascii="Times New Roman" w:hAnsi="Times New Roman"/>
          <w:sz w:val="26"/>
          <w:szCs w:val="26"/>
        </w:rPr>
        <w:t xml:space="preserve"> </w:t>
      </w:r>
      <w:r w:rsidRPr="00195504">
        <w:rPr>
          <w:rFonts w:ascii="Times New Roman" w:hAnsi="Times New Roman"/>
          <w:sz w:val="26"/>
          <w:szCs w:val="26"/>
        </w:rPr>
        <w:tab/>
      </w:r>
      <w:r>
        <w:rPr>
          <w:rFonts w:ascii="Times New Roman" w:hAnsi="Times New Roman"/>
          <w:sz w:val="26"/>
          <w:szCs w:val="26"/>
        </w:rPr>
        <w:t>“</w:t>
      </w:r>
      <w:r w:rsidRPr="00195504">
        <w:rPr>
          <w:rFonts w:ascii="Times New Roman" w:hAnsi="Times New Roman"/>
          <w:sz w:val="26"/>
          <w:szCs w:val="26"/>
        </w:rPr>
        <w:t>Subparagraphs (1)-(8) provide a general description of the water rate structure and water rate design incorporated in the Settlement Rates.  While every effort has been made to ensure that the description is accurate, if any inconsistency exists between such description and the rates set forth in Appendix A to the Joint Settlement, the latter shall take precedence.</w:t>
      </w:r>
      <w:r>
        <w:rPr>
          <w:rFonts w:ascii="Times New Roman" w:hAnsi="Times New Roman"/>
          <w:sz w:val="26"/>
          <w:szCs w:val="26"/>
        </w:rPr>
        <w:t xml:space="preserve">”  Settlement at 12.  </w:t>
      </w:r>
    </w:p>
  </w:footnote>
  <w:footnote w:id="10">
    <w:p w:rsidR="0085595F" w:rsidRPr="0071309D" w:rsidRDefault="0085595F" w:rsidP="0000253F">
      <w:pPr>
        <w:pStyle w:val="FootnoteText"/>
        <w:ind w:firstLine="720"/>
        <w:rPr>
          <w:rFonts w:ascii="Times New Roman" w:hAnsi="Times New Roman"/>
          <w:sz w:val="26"/>
          <w:szCs w:val="26"/>
        </w:rPr>
      </w:pPr>
      <w:r w:rsidRPr="0071309D">
        <w:rPr>
          <w:rStyle w:val="FootnoteReference"/>
          <w:rFonts w:ascii="Times New Roman" w:hAnsi="Times New Roman"/>
          <w:sz w:val="26"/>
          <w:szCs w:val="26"/>
        </w:rPr>
        <w:footnoteRef/>
      </w:r>
      <w:r w:rsidRPr="0071309D">
        <w:rPr>
          <w:rFonts w:ascii="Times New Roman" w:hAnsi="Times New Roman"/>
          <w:sz w:val="26"/>
          <w:szCs w:val="26"/>
        </w:rPr>
        <w:t xml:space="preserve"> </w:t>
      </w:r>
      <w:r w:rsidRPr="0071309D">
        <w:rPr>
          <w:rFonts w:ascii="Times New Roman" w:hAnsi="Times New Roman"/>
          <w:sz w:val="26"/>
          <w:szCs w:val="26"/>
        </w:rPr>
        <w:tab/>
      </w:r>
      <w:r>
        <w:rPr>
          <w:rFonts w:ascii="Times New Roman" w:hAnsi="Times New Roman"/>
          <w:sz w:val="26"/>
          <w:szCs w:val="26"/>
        </w:rPr>
        <w:t>“</w:t>
      </w:r>
      <w:r w:rsidRPr="0071309D">
        <w:rPr>
          <w:rFonts w:ascii="Times New Roman" w:hAnsi="Times New Roman"/>
          <w:sz w:val="26"/>
          <w:szCs w:val="26"/>
        </w:rPr>
        <w:t xml:space="preserve">If any inconsistency exists between the information provided in subparagraphs (1)-(7) and the rates set forth in Appendix B to the </w:t>
      </w:r>
      <w:r>
        <w:rPr>
          <w:rFonts w:ascii="Times New Roman" w:hAnsi="Times New Roman"/>
          <w:sz w:val="26"/>
          <w:szCs w:val="26"/>
        </w:rPr>
        <w:t>[</w:t>
      </w:r>
      <w:r w:rsidRPr="0071309D">
        <w:rPr>
          <w:rFonts w:ascii="Times New Roman" w:hAnsi="Times New Roman"/>
          <w:sz w:val="26"/>
          <w:szCs w:val="26"/>
        </w:rPr>
        <w:t>Settlement</w:t>
      </w:r>
      <w:r>
        <w:rPr>
          <w:rFonts w:ascii="Times New Roman" w:hAnsi="Times New Roman"/>
          <w:sz w:val="26"/>
          <w:szCs w:val="26"/>
        </w:rPr>
        <w:t>]</w:t>
      </w:r>
      <w:r w:rsidRPr="0071309D">
        <w:rPr>
          <w:rFonts w:ascii="Times New Roman" w:hAnsi="Times New Roman"/>
          <w:sz w:val="26"/>
          <w:szCs w:val="26"/>
        </w:rPr>
        <w:t>, the latter shall take precedence.</w:t>
      </w:r>
      <w:r>
        <w:rPr>
          <w:rFonts w:ascii="Times New Roman" w:hAnsi="Times New Roman"/>
          <w:sz w:val="26"/>
          <w:szCs w:val="26"/>
        </w:rPr>
        <w:t>”  Settlement at 13.</w:t>
      </w:r>
    </w:p>
  </w:footnote>
  <w:footnote w:id="11">
    <w:p w:rsidR="0085595F" w:rsidRPr="00B54443" w:rsidRDefault="0085595F" w:rsidP="0000253F">
      <w:pPr>
        <w:pStyle w:val="FootnoteText"/>
        <w:ind w:firstLine="720"/>
        <w:rPr>
          <w:rFonts w:ascii="Times New Roman" w:hAnsi="Times New Roman"/>
          <w:sz w:val="26"/>
          <w:szCs w:val="26"/>
        </w:rPr>
      </w:pPr>
      <w:r w:rsidRPr="00B54443">
        <w:rPr>
          <w:rStyle w:val="FootnoteReference"/>
          <w:rFonts w:ascii="Times New Roman" w:hAnsi="Times New Roman"/>
          <w:sz w:val="26"/>
          <w:szCs w:val="26"/>
        </w:rPr>
        <w:footnoteRef/>
      </w:r>
      <w:r w:rsidRPr="00B54443">
        <w:rPr>
          <w:rFonts w:ascii="Times New Roman" w:hAnsi="Times New Roman"/>
          <w:sz w:val="26"/>
          <w:szCs w:val="26"/>
        </w:rPr>
        <w:t xml:space="preserve"> </w:t>
      </w:r>
      <w:r w:rsidRPr="00B54443">
        <w:rPr>
          <w:rFonts w:ascii="Times New Roman" w:hAnsi="Times New Roman"/>
          <w:sz w:val="26"/>
          <w:szCs w:val="26"/>
        </w:rPr>
        <w:tab/>
      </w:r>
      <w:r>
        <w:rPr>
          <w:rFonts w:ascii="Times New Roman" w:hAnsi="Times New Roman"/>
          <w:sz w:val="26"/>
          <w:szCs w:val="26"/>
        </w:rPr>
        <w:t>“As explained in paragraph 8</w:t>
      </w:r>
      <w:r w:rsidRPr="00B54443">
        <w:rPr>
          <w:rFonts w:ascii="Times New Roman" w:hAnsi="Times New Roman"/>
          <w:sz w:val="26"/>
          <w:szCs w:val="26"/>
        </w:rPr>
        <w:t xml:space="preserve">.c., </w:t>
      </w:r>
      <w:r w:rsidRPr="00B54443">
        <w:rPr>
          <w:rFonts w:ascii="Times New Roman" w:hAnsi="Times New Roman"/>
          <w:i/>
          <w:sz w:val="26"/>
          <w:szCs w:val="26"/>
        </w:rPr>
        <w:t>supra</w:t>
      </w:r>
      <w:r w:rsidRPr="00B54443">
        <w:rPr>
          <w:rFonts w:ascii="Times New Roman" w:hAnsi="Times New Roman"/>
          <w:sz w:val="26"/>
          <w:szCs w:val="26"/>
        </w:rPr>
        <w:t xml:space="preserve">, under the terms of the </w:t>
      </w:r>
      <w:r>
        <w:rPr>
          <w:rFonts w:ascii="Times New Roman" w:hAnsi="Times New Roman"/>
          <w:sz w:val="26"/>
          <w:szCs w:val="26"/>
        </w:rPr>
        <w:t>[</w:t>
      </w:r>
      <w:r w:rsidRPr="00B54443">
        <w:rPr>
          <w:rFonts w:ascii="Times New Roman" w:hAnsi="Times New Roman"/>
          <w:sz w:val="26"/>
          <w:szCs w:val="26"/>
        </w:rPr>
        <w:t>Settlement</w:t>
      </w:r>
      <w:r>
        <w:rPr>
          <w:rFonts w:ascii="Times New Roman" w:hAnsi="Times New Roman"/>
          <w:sz w:val="26"/>
          <w:szCs w:val="26"/>
        </w:rPr>
        <w:t>]</w:t>
      </w:r>
      <w:r w:rsidRPr="00B54443">
        <w:rPr>
          <w:rFonts w:ascii="Times New Roman" w:hAnsi="Times New Roman"/>
          <w:sz w:val="26"/>
          <w:szCs w:val="26"/>
        </w:rPr>
        <w:t>, the scheduled January 1, 2014 increase in the rates of all customers of the Coatesville, Claysville and Northeast wastewater operations will not occur.</w:t>
      </w:r>
      <w:r>
        <w:rPr>
          <w:rFonts w:ascii="Times New Roman" w:hAnsi="Times New Roman"/>
          <w:sz w:val="26"/>
          <w:szCs w:val="26"/>
        </w:rPr>
        <w:t xml:space="preserve">”  Settlement at 13.  </w:t>
      </w:r>
    </w:p>
  </w:footnote>
  <w:footnote w:id="12">
    <w:p w:rsidR="0085595F" w:rsidRDefault="0085595F" w:rsidP="00DB0BB0">
      <w:pPr>
        <w:keepNext/>
        <w:keepLines/>
        <w:widowControl w:val="0"/>
        <w:spacing w:after="0" w:line="240" w:lineRule="auto"/>
        <w:ind w:firstLine="1440"/>
        <w:rPr>
          <w:rFonts w:ascii="Times New Roman" w:hAnsi="Times New Roman"/>
          <w:sz w:val="26"/>
          <w:szCs w:val="26"/>
        </w:rPr>
      </w:pPr>
      <w:r w:rsidRPr="00576CC1">
        <w:rPr>
          <w:rStyle w:val="FootnoteReference"/>
          <w:rFonts w:ascii="Times New Roman" w:hAnsi="Times New Roman"/>
          <w:sz w:val="26"/>
          <w:szCs w:val="26"/>
        </w:rPr>
        <w:footnoteRef/>
      </w:r>
      <w:r w:rsidRPr="00576CC1">
        <w:rPr>
          <w:rFonts w:ascii="Times New Roman" w:hAnsi="Times New Roman"/>
          <w:sz w:val="26"/>
          <w:szCs w:val="26"/>
        </w:rPr>
        <w:t xml:space="preserve"> </w:t>
      </w:r>
      <w:r>
        <w:rPr>
          <w:rFonts w:ascii="Times New Roman" w:hAnsi="Times New Roman"/>
          <w:sz w:val="26"/>
          <w:szCs w:val="26"/>
        </w:rPr>
        <w:tab/>
      </w:r>
      <w:r w:rsidRPr="002D1B25">
        <w:rPr>
          <w:rFonts w:ascii="Times New Roman" w:hAnsi="Times New Roman"/>
          <w:sz w:val="26"/>
          <w:szCs w:val="26"/>
        </w:rPr>
        <w:t>Relevant to this proceeding</w:t>
      </w:r>
      <w:r>
        <w:rPr>
          <w:rFonts w:ascii="Times New Roman" w:hAnsi="Times New Roman"/>
          <w:sz w:val="26"/>
          <w:szCs w:val="26"/>
        </w:rPr>
        <w:t>,</w:t>
      </w:r>
      <w:r w:rsidRPr="002D1B25">
        <w:rPr>
          <w:rFonts w:ascii="Times New Roman" w:hAnsi="Times New Roman"/>
          <w:sz w:val="26"/>
          <w:szCs w:val="26"/>
        </w:rPr>
        <w:t xml:space="preserve"> Act 11 of 2012 made two substantive changes to Chapter 13 of the Code at Sections 1311(c) and (e).  Spe</w:t>
      </w:r>
      <w:r>
        <w:rPr>
          <w:rFonts w:ascii="Times New Roman" w:hAnsi="Times New Roman"/>
          <w:sz w:val="26"/>
          <w:szCs w:val="26"/>
        </w:rPr>
        <w:t>cifically, these sections now state:</w:t>
      </w:r>
    </w:p>
    <w:p w:rsidR="0085595F" w:rsidRPr="002D1B25" w:rsidRDefault="0085595F" w:rsidP="00DB0BB0">
      <w:pPr>
        <w:keepNext/>
        <w:keepLines/>
        <w:widowControl w:val="0"/>
        <w:spacing w:after="0" w:line="240" w:lineRule="auto"/>
        <w:ind w:firstLine="1440"/>
        <w:rPr>
          <w:rFonts w:ascii="Times New Roman" w:hAnsi="Times New Roman"/>
          <w:sz w:val="26"/>
          <w:szCs w:val="26"/>
        </w:rPr>
      </w:pPr>
    </w:p>
    <w:p w:rsidR="0085595F" w:rsidRPr="00576CC1" w:rsidRDefault="0085595F" w:rsidP="00DB0BB0">
      <w:pPr>
        <w:keepNext/>
        <w:keepLines/>
        <w:widowControl w:val="0"/>
        <w:spacing w:after="0" w:line="240" w:lineRule="auto"/>
        <w:ind w:left="1440" w:right="1440"/>
        <w:rPr>
          <w:rFonts w:ascii="Times New Roman" w:hAnsi="Times New Roman"/>
          <w:sz w:val="26"/>
          <w:szCs w:val="26"/>
        </w:rPr>
      </w:pPr>
      <w:r w:rsidRPr="00576CC1">
        <w:rPr>
          <w:rFonts w:ascii="Times New Roman" w:hAnsi="Times New Roman"/>
          <w:sz w:val="26"/>
          <w:szCs w:val="26"/>
        </w:rPr>
        <w:t xml:space="preserve">§ </w:t>
      </w:r>
      <w:r w:rsidRPr="00576CC1">
        <w:rPr>
          <w:rFonts w:ascii="Times New Roman" w:hAnsi="Times New Roman"/>
          <w:bCs/>
          <w:sz w:val="26"/>
          <w:szCs w:val="26"/>
        </w:rPr>
        <w:t>1311.</w:t>
      </w:r>
      <w:r w:rsidRPr="00576CC1">
        <w:rPr>
          <w:rFonts w:ascii="Times New Roman" w:hAnsi="Times New Roman"/>
          <w:sz w:val="26"/>
          <w:szCs w:val="26"/>
        </w:rPr>
        <w:t xml:space="preserve">  Valuation of and return on the property of a public utility. </w:t>
      </w:r>
    </w:p>
    <w:p w:rsidR="0085595F" w:rsidRPr="00576CC1" w:rsidRDefault="0085595F" w:rsidP="00DB0BB0">
      <w:pPr>
        <w:keepNext/>
        <w:keepLines/>
        <w:widowControl w:val="0"/>
        <w:spacing w:after="0" w:line="240" w:lineRule="auto"/>
        <w:ind w:left="1440" w:right="1440"/>
        <w:rPr>
          <w:rFonts w:ascii="Times New Roman" w:hAnsi="Times New Roman"/>
          <w:sz w:val="26"/>
          <w:szCs w:val="26"/>
        </w:rPr>
      </w:pPr>
      <w:r>
        <w:rPr>
          <w:rFonts w:ascii="Times New Roman" w:hAnsi="Times New Roman"/>
          <w:sz w:val="26"/>
          <w:szCs w:val="26"/>
        </w:rPr>
        <w:t>….</w:t>
      </w:r>
    </w:p>
    <w:p w:rsidR="0085595F" w:rsidRPr="00576CC1" w:rsidRDefault="0085595F" w:rsidP="00DB0BB0">
      <w:pPr>
        <w:keepNext/>
        <w:keepLines/>
        <w:widowControl w:val="0"/>
        <w:spacing w:after="0" w:line="240" w:lineRule="auto"/>
        <w:ind w:left="1440" w:right="1440"/>
        <w:rPr>
          <w:rFonts w:ascii="Times New Roman" w:hAnsi="Times New Roman"/>
          <w:b/>
          <w:sz w:val="26"/>
          <w:szCs w:val="26"/>
        </w:rPr>
      </w:pPr>
      <w:r w:rsidRPr="00576CC1">
        <w:rPr>
          <w:rFonts w:ascii="Times New Roman" w:hAnsi="Times New Roman"/>
          <w:sz w:val="26"/>
          <w:szCs w:val="26"/>
        </w:rPr>
        <w:t xml:space="preserve">(c)  </w:t>
      </w:r>
      <w:r w:rsidRPr="00576CC1">
        <w:rPr>
          <w:rFonts w:ascii="Times New Roman" w:hAnsi="Times New Roman"/>
          <w:i/>
          <w:iCs/>
          <w:sz w:val="26"/>
          <w:szCs w:val="26"/>
        </w:rPr>
        <w:t xml:space="preserve">Segregation of property. </w:t>
      </w:r>
      <w:r w:rsidRPr="00576CC1">
        <w:rPr>
          <w:rFonts w:ascii="Times New Roman" w:hAnsi="Times New Roman"/>
          <w:sz w:val="26"/>
          <w:szCs w:val="26"/>
        </w:rPr>
        <w:t xml:space="preserve">--When any public utility furnishes more than one of the different types of utility service, the commission shall segregate the property used and useful in furnishing each type of such service, and shall not consider the property of such public utility as a unit in determining the value of the rate base of such public utility for the purpose of fixing base rates. </w:t>
      </w:r>
      <w:r>
        <w:rPr>
          <w:rFonts w:ascii="Times New Roman" w:hAnsi="Times New Roman"/>
          <w:sz w:val="26"/>
          <w:szCs w:val="26"/>
        </w:rPr>
        <w:t xml:space="preserve"> </w:t>
      </w:r>
      <w:r w:rsidRPr="00576CC1">
        <w:rPr>
          <w:rFonts w:ascii="Times New Roman" w:hAnsi="Times New Roman"/>
          <w:b/>
          <w:sz w:val="26"/>
          <w:szCs w:val="26"/>
        </w:rPr>
        <w:t>A utility that provides water and wastewater service shall be exempt from this subsection upon petition of a utility to combine water and wastewater revenue requirements. The commission when setting base rates, after notice and an opportunity to be heard, may allocate a portion of the wastewater revenue requirement to the combined water and wastewater customer base if in the public interest.</w:t>
      </w:r>
    </w:p>
    <w:p w:rsidR="0085595F" w:rsidRPr="00576CC1" w:rsidRDefault="0085595F" w:rsidP="00DB0BB0">
      <w:pPr>
        <w:keepNext/>
        <w:keepLines/>
        <w:widowControl w:val="0"/>
        <w:spacing w:after="0" w:line="240" w:lineRule="auto"/>
        <w:ind w:left="1440" w:right="1440"/>
        <w:rPr>
          <w:rFonts w:ascii="Times New Roman" w:hAnsi="Times New Roman"/>
          <w:sz w:val="26"/>
          <w:szCs w:val="26"/>
        </w:rPr>
      </w:pPr>
      <w:r>
        <w:rPr>
          <w:rFonts w:ascii="Times New Roman" w:hAnsi="Times New Roman"/>
          <w:sz w:val="26"/>
          <w:szCs w:val="26"/>
        </w:rPr>
        <w:t>….</w:t>
      </w:r>
      <w:r w:rsidRPr="00576CC1">
        <w:rPr>
          <w:rFonts w:ascii="Times New Roman" w:hAnsi="Times New Roman"/>
          <w:sz w:val="26"/>
          <w:szCs w:val="26"/>
        </w:rPr>
        <w:tab/>
      </w:r>
      <w:r w:rsidRPr="00576CC1">
        <w:rPr>
          <w:rFonts w:ascii="Times New Roman" w:hAnsi="Times New Roman"/>
          <w:sz w:val="26"/>
          <w:szCs w:val="26"/>
        </w:rPr>
        <w:tab/>
      </w:r>
    </w:p>
    <w:p w:rsidR="0085595F" w:rsidRPr="00576CC1" w:rsidRDefault="0085595F" w:rsidP="00DB0BB0">
      <w:pPr>
        <w:keepNext/>
        <w:keepLines/>
        <w:widowControl w:val="0"/>
        <w:spacing w:after="0" w:line="240" w:lineRule="auto"/>
        <w:ind w:left="1440" w:right="1440"/>
        <w:rPr>
          <w:rFonts w:ascii="Times New Roman" w:hAnsi="Times New Roman"/>
          <w:b/>
          <w:sz w:val="26"/>
          <w:szCs w:val="26"/>
        </w:rPr>
      </w:pPr>
      <w:r w:rsidRPr="00576CC1">
        <w:rPr>
          <w:rFonts w:ascii="Times New Roman" w:hAnsi="Times New Roman"/>
          <w:b/>
          <w:sz w:val="26"/>
          <w:szCs w:val="26"/>
        </w:rPr>
        <w:t xml:space="preserve">(e)  </w:t>
      </w:r>
      <w:r w:rsidRPr="00576CC1">
        <w:rPr>
          <w:rFonts w:ascii="Times New Roman" w:hAnsi="Times New Roman"/>
          <w:b/>
          <w:i/>
          <w:iCs/>
          <w:sz w:val="26"/>
          <w:szCs w:val="26"/>
        </w:rPr>
        <w:t xml:space="preserve">Definition. </w:t>
      </w:r>
      <w:r w:rsidRPr="00576CC1">
        <w:rPr>
          <w:rFonts w:ascii="Times New Roman" w:hAnsi="Times New Roman"/>
          <w:b/>
          <w:sz w:val="26"/>
          <w:szCs w:val="26"/>
        </w:rPr>
        <w:t>--As used in this section, the term "utility that provides both water and wastewater service" shall include separate companies that individually provide water or wastewater service so long as the companies are wholly owned by a common parent company.</w:t>
      </w:r>
    </w:p>
    <w:p w:rsidR="0085595F" w:rsidRPr="00576CC1" w:rsidRDefault="0085595F" w:rsidP="00DB0BB0">
      <w:pPr>
        <w:keepNext/>
        <w:keepLines/>
        <w:widowControl w:val="0"/>
        <w:spacing w:after="0" w:line="240" w:lineRule="auto"/>
        <w:ind w:left="1440" w:right="1440"/>
        <w:rPr>
          <w:rFonts w:ascii="Times New Roman" w:hAnsi="Times New Roman"/>
          <w:b/>
          <w:sz w:val="26"/>
          <w:szCs w:val="26"/>
        </w:rPr>
      </w:pPr>
    </w:p>
    <w:p w:rsidR="0085595F" w:rsidRPr="00576CC1" w:rsidRDefault="0085595F" w:rsidP="00DB0BB0">
      <w:pPr>
        <w:keepNext/>
        <w:keepLines/>
        <w:widowControl w:val="0"/>
        <w:spacing w:after="0" w:line="240" w:lineRule="auto"/>
        <w:rPr>
          <w:rFonts w:ascii="Times New Roman" w:hAnsi="Times New Roman"/>
          <w:sz w:val="26"/>
          <w:szCs w:val="26"/>
        </w:rPr>
      </w:pPr>
      <w:r w:rsidRPr="00576CC1">
        <w:rPr>
          <w:rFonts w:ascii="Times New Roman" w:hAnsi="Times New Roman"/>
          <w:sz w:val="26"/>
          <w:szCs w:val="26"/>
        </w:rPr>
        <w:t>66 Pa.</w:t>
      </w:r>
      <w:r>
        <w:rPr>
          <w:rFonts w:ascii="Times New Roman" w:hAnsi="Times New Roman"/>
          <w:sz w:val="26"/>
          <w:szCs w:val="26"/>
        </w:rPr>
        <w:t xml:space="preserve"> </w:t>
      </w:r>
      <w:r w:rsidRPr="00576CC1">
        <w:rPr>
          <w:rFonts w:ascii="Times New Roman" w:hAnsi="Times New Roman"/>
          <w:sz w:val="26"/>
          <w:szCs w:val="26"/>
        </w:rPr>
        <w:t>C.S. § 1311(c) and (e) (</w:t>
      </w:r>
      <w:r>
        <w:rPr>
          <w:rFonts w:ascii="Times New Roman" w:hAnsi="Times New Roman"/>
          <w:sz w:val="26"/>
          <w:szCs w:val="26"/>
        </w:rPr>
        <w:t>e</w:t>
      </w:r>
      <w:r w:rsidRPr="00576CC1">
        <w:rPr>
          <w:rFonts w:ascii="Times New Roman" w:hAnsi="Times New Roman"/>
          <w:sz w:val="26"/>
          <w:szCs w:val="26"/>
        </w:rPr>
        <w:t xml:space="preserve">mphasis added to show changes made through Act 11 of 2012).  </w:t>
      </w:r>
    </w:p>
    <w:p w:rsidR="0085595F" w:rsidRPr="00576CC1" w:rsidRDefault="0085595F" w:rsidP="00DB0BB0">
      <w:pPr>
        <w:pStyle w:val="FootnoteText"/>
        <w:keepLines/>
        <w:ind w:firstLine="720"/>
        <w:rPr>
          <w:rFonts w:ascii="Times New Roman" w:hAnsi="Times New Roman"/>
          <w:sz w:val="26"/>
          <w:szCs w:val="26"/>
        </w:rPr>
      </w:pPr>
    </w:p>
  </w:footnote>
  <w:footnote w:id="13">
    <w:p w:rsidR="00992890" w:rsidRPr="00795B15" w:rsidRDefault="00992890" w:rsidP="00795B15">
      <w:pPr>
        <w:pStyle w:val="FootnoteText"/>
        <w:ind w:firstLine="720"/>
        <w:rPr>
          <w:rFonts w:ascii="Times New Roman" w:hAnsi="Times New Roman"/>
          <w:sz w:val="26"/>
          <w:szCs w:val="26"/>
        </w:rPr>
      </w:pPr>
      <w:r w:rsidRPr="00795B15">
        <w:rPr>
          <w:rStyle w:val="FootnoteReference"/>
          <w:rFonts w:ascii="Times New Roman" w:hAnsi="Times New Roman"/>
          <w:sz w:val="26"/>
          <w:szCs w:val="26"/>
        </w:rPr>
        <w:footnoteRef/>
      </w:r>
      <w:r w:rsidRPr="00795B15">
        <w:rPr>
          <w:rFonts w:ascii="Times New Roman" w:hAnsi="Times New Roman"/>
          <w:sz w:val="26"/>
          <w:szCs w:val="26"/>
        </w:rPr>
        <w:t xml:space="preserve"> </w:t>
      </w:r>
      <w:r>
        <w:rPr>
          <w:rFonts w:ascii="Times New Roman" w:hAnsi="Times New Roman"/>
          <w:sz w:val="26"/>
          <w:szCs w:val="26"/>
        </w:rPr>
        <w:tab/>
        <w:t xml:space="preserve">The total unrecovered wastewater cost of service which will be transferred to the water cost of service under the Settlement is $5,410,115.  This transfer represents less than 1% of the total </w:t>
      </w:r>
      <w:r w:rsidR="0024322A">
        <w:rPr>
          <w:rFonts w:ascii="Times New Roman" w:hAnsi="Times New Roman"/>
          <w:sz w:val="26"/>
          <w:szCs w:val="26"/>
        </w:rPr>
        <w:t xml:space="preserve">proposed </w:t>
      </w:r>
      <w:r>
        <w:rPr>
          <w:rFonts w:ascii="Times New Roman" w:hAnsi="Times New Roman"/>
          <w:sz w:val="26"/>
          <w:szCs w:val="26"/>
        </w:rPr>
        <w:t xml:space="preserve">water </w:t>
      </w:r>
      <w:r w:rsidR="0024322A">
        <w:rPr>
          <w:rFonts w:ascii="Times New Roman" w:hAnsi="Times New Roman"/>
          <w:sz w:val="26"/>
          <w:szCs w:val="26"/>
        </w:rPr>
        <w:t>revenue of $588,251,723</w:t>
      </w:r>
      <w:r>
        <w:rPr>
          <w:rFonts w:ascii="Times New Roman" w:hAnsi="Times New Roman"/>
          <w:sz w:val="26"/>
          <w:szCs w:val="26"/>
        </w:rPr>
        <w:t>.  Settlement, Appendix C, Schedule 1, and Appendix G.</w:t>
      </w:r>
    </w:p>
  </w:footnote>
  <w:footnote w:id="14">
    <w:p w:rsidR="0085595F" w:rsidRPr="00ED6670" w:rsidRDefault="0085595F" w:rsidP="00ED6670">
      <w:pPr>
        <w:pStyle w:val="FootnoteText"/>
        <w:ind w:firstLine="720"/>
        <w:rPr>
          <w:rFonts w:ascii="Times New Roman" w:hAnsi="Times New Roman"/>
          <w:sz w:val="26"/>
          <w:szCs w:val="26"/>
        </w:rPr>
      </w:pPr>
      <w:r w:rsidRPr="00ED6670">
        <w:rPr>
          <w:rStyle w:val="FootnoteReference"/>
          <w:rFonts w:ascii="Times New Roman" w:hAnsi="Times New Roman"/>
          <w:sz w:val="26"/>
          <w:szCs w:val="26"/>
        </w:rPr>
        <w:footnoteRef/>
      </w:r>
      <w:r w:rsidRPr="00ED6670">
        <w:rPr>
          <w:rFonts w:ascii="Times New Roman" w:hAnsi="Times New Roman"/>
          <w:sz w:val="26"/>
          <w:szCs w:val="26"/>
        </w:rPr>
        <w:t xml:space="preserve"> </w:t>
      </w:r>
      <w:r>
        <w:rPr>
          <w:rFonts w:ascii="Times New Roman" w:hAnsi="Times New Roman"/>
          <w:sz w:val="26"/>
          <w:szCs w:val="26"/>
        </w:rPr>
        <w:tab/>
      </w:r>
      <w:r w:rsidRPr="00ED6670">
        <w:rPr>
          <w:rFonts w:ascii="Times New Roman" w:hAnsi="Times New Roman"/>
          <w:sz w:val="26"/>
          <w:szCs w:val="26"/>
        </w:rPr>
        <w:t xml:space="preserve">“We find the non-opposition of PWSA </w:t>
      </w:r>
      <w:r w:rsidRPr="00ED6670">
        <w:rPr>
          <w:rFonts w:ascii="Times New Roman" w:hAnsi="Times New Roman"/>
          <w:i/>
          <w:sz w:val="26"/>
          <w:szCs w:val="26"/>
        </w:rPr>
        <w:t>compelling</w:t>
      </w:r>
      <w:r w:rsidRPr="00ED6670">
        <w:rPr>
          <w:rFonts w:ascii="Times New Roman" w:hAnsi="Times New Roman"/>
          <w:sz w:val="26"/>
          <w:szCs w:val="26"/>
        </w:rPr>
        <w:t xml:space="preserve">.  PWSA is allocated costs of the wastewater service as part of the rate increase that it is knowingly not opposing.  This revelation alone is evidence that an industrial customer of PAWC that receives only water service from the Company finds the resolution to pay a portion of the wastewater service </w:t>
      </w:r>
      <w:r w:rsidRPr="00ED6670">
        <w:rPr>
          <w:rFonts w:ascii="Times New Roman" w:hAnsi="Times New Roman"/>
          <w:i/>
          <w:sz w:val="26"/>
          <w:szCs w:val="26"/>
        </w:rPr>
        <w:t>palatable</w:t>
      </w:r>
      <w:r w:rsidRPr="00ED6670">
        <w:rPr>
          <w:rFonts w:ascii="Times New Roman" w:hAnsi="Times New Roman"/>
          <w:sz w:val="26"/>
          <w:szCs w:val="26"/>
        </w:rPr>
        <w:t xml:space="preserve"> considering the totality of the resolution for this proceeding through the Joint Settlement.</w:t>
      </w:r>
      <w:r>
        <w:rPr>
          <w:rFonts w:ascii="Times New Roman" w:hAnsi="Times New Roman"/>
          <w:sz w:val="26"/>
          <w:szCs w:val="26"/>
        </w:rPr>
        <w:t xml:space="preserve">”  </w:t>
      </w:r>
      <w:r>
        <w:rPr>
          <w:rFonts w:ascii="Times New Roman" w:hAnsi="Times New Roman"/>
          <w:i/>
          <w:sz w:val="26"/>
          <w:szCs w:val="26"/>
        </w:rPr>
        <w:t xml:space="preserve">Id. </w:t>
      </w:r>
      <w:r>
        <w:rPr>
          <w:rFonts w:ascii="Times New Roman" w:hAnsi="Times New Roman"/>
          <w:sz w:val="26"/>
          <w:szCs w:val="26"/>
        </w:rPr>
        <w:t>(emphasis added).</w:t>
      </w:r>
    </w:p>
  </w:footnote>
  <w:footnote w:id="15">
    <w:p w:rsidR="0085595F" w:rsidRPr="003044A2" w:rsidRDefault="0085595F" w:rsidP="003044A2">
      <w:pPr>
        <w:pStyle w:val="FootnoteText"/>
        <w:ind w:firstLine="720"/>
        <w:rPr>
          <w:rFonts w:ascii="Times New Roman" w:hAnsi="Times New Roman"/>
          <w:sz w:val="26"/>
          <w:szCs w:val="26"/>
        </w:rPr>
      </w:pPr>
      <w:r w:rsidRPr="003044A2">
        <w:rPr>
          <w:rStyle w:val="FootnoteReference"/>
          <w:rFonts w:ascii="Times New Roman" w:hAnsi="Times New Roman"/>
          <w:sz w:val="26"/>
          <w:szCs w:val="26"/>
        </w:rPr>
        <w:footnoteRef/>
      </w:r>
      <w:r w:rsidRPr="003044A2">
        <w:rPr>
          <w:rFonts w:ascii="Times New Roman" w:hAnsi="Times New Roman"/>
          <w:sz w:val="26"/>
          <w:szCs w:val="26"/>
        </w:rPr>
        <w:t xml:space="preserve"> </w:t>
      </w:r>
      <w:r>
        <w:rPr>
          <w:rFonts w:ascii="Times New Roman" w:hAnsi="Times New Roman"/>
          <w:sz w:val="26"/>
          <w:szCs w:val="26"/>
        </w:rPr>
        <w:tab/>
        <w:t xml:space="preserve">“Palatable” is defined as: “1: agreeable to the palate or </w:t>
      </w:r>
      <w:proofErr w:type="gramStart"/>
      <w:r>
        <w:rPr>
          <w:rFonts w:ascii="Times New Roman" w:hAnsi="Times New Roman"/>
          <w:sz w:val="26"/>
          <w:szCs w:val="26"/>
        </w:rPr>
        <w:t>taste :</w:t>
      </w:r>
      <w:proofErr w:type="gramEnd"/>
      <w:r>
        <w:rPr>
          <w:rFonts w:ascii="Times New Roman" w:hAnsi="Times New Roman"/>
          <w:sz w:val="26"/>
          <w:szCs w:val="26"/>
        </w:rPr>
        <w:t xml:space="preserve"> savory; </w:t>
      </w:r>
      <w:r>
        <w:rPr>
          <w:rFonts w:ascii="Times New Roman" w:hAnsi="Times New Roman"/>
          <w:sz w:val="26"/>
          <w:szCs w:val="26"/>
        </w:rPr>
        <w:br/>
        <w:t>2: agreeable to the mind : acceptable.”  Webster’s Seventh New Collegiate Dictionary 606 (1963).</w:t>
      </w:r>
    </w:p>
  </w:footnote>
  <w:footnote w:id="16">
    <w:p w:rsidR="0085595F" w:rsidRPr="008404C9" w:rsidRDefault="0085595F" w:rsidP="009B4270">
      <w:pPr>
        <w:pStyle w:val="FootnoteText"/>
        <w:keepLines/>
        <w:tabs>
          <w:tab w:val="left" w:pos="720"/>
          <w:tab w:val="left" w:pos="1440"/>
        </w:tabs>
        <w:rPr>
          <w:rFonts w:ascii="Times New Roman" w:hAnsi="Times New Roman"/>
          <w:sz w:val="26"/>
          <w:szCs w:val="26"/>
        </w:rPr>
      </w:pPr>
      <w:r>
        <w:rPr>
          <w:rFonts w:ascii="Times New Roman" w:hAnsi="Times New Roman"/>
          <w:sz w:val="26"/>
          <w:szCs w:val="26"/>
        </w:rPr>
        <w:tab/>
      </w:r>
      <w:r w:rsidRPr="008404C9">
        <w:rPr>
          <w:rStyle w:val="FootnoteReference"/>
          <w:rFonts w:ascii="Times New Roman" w:hAnsi="Times New Roman"/>
          <w:sz w:val="26"/>
          <w:szCs w:val="26"/>
        </w:rPr>
        <w:footnoteRef/>
      </w:r>
      <w:r w:rsidRPr="008404C9">
        <w:rPr>
          <w:rFonts w:ascii="Times New Roman" w:hAnsi="Times New Roman"/>
          <w:sz w:val="26"/>
          <w:szCs w:val="26"/>
        </w:rPr>
        <w:t xml:space="preserve"> </w:t>
      </w:r>
      <w:r w:rsidRPr="008404C9">
        <w:rPr>
          <w:rFonts w:ascii="Times New Roman" w:hAnsi="Times New Roman"/>
          <w:sz w:val="26"/>
          <w:szCs w:val="26"/>
        </w:rPr>
        <w:tab/>
      </w:r>
      <w:r w:rsidRPr="008404C9">
        <w:rPr>
          <w:rFonts w:ascii="Times New Roman" w:hAnsi="Times New Roman"/>
          <w:sz w:val="26"/>
        </w:rPr>
        <w:t xml:space="preserve">We acknowledge that the format of </w:t>
      </w:r>
      <w:r>
        <w:rPr>
          <w:rFonts w:ascii="Times New Roman" w:hAnsi="Times New Roman"/>
          <w:sz w:val="26"/>
        </w:rPr>
        <w:t xml:space="preserve">Mr. </w:t>
      </w:r>
      <w:proofErr w:type="spellStart"/>
      <w:r>
        <w:rPr>
          <w:rFonts w:ascii="Times New Roman" w:hAnsi="Times New Roman"/>
          <w:sz w:val="26"/>
        </w:rPr>
        <w:t>Kazimer</w:t>
      </w:r>
      <w:r w:rsidRPr="008404C9">
        <w:rPr>
          <w:rFonts w:ascii="Times New Roman" w:hAnsi="Times New Roman"/>
          <w:sz w:val="26"/>
        </w:rPr>
        <w:t>’s</w:t>
      </w:r>
      <w:proofErr w:type="spellEnd"/>
      <w:r w:rsidRPr="008404C9">
        <w:rPr>
          <w:rFonts w:ascii="Times New Roman" w:hAnsi="Times New Roman"/>
          <w:sz w:val="26"/>
        </w:rPr>
        <w:t xml:space="preserve"> Exceptions does not strictly comply with Section 5.533(b) of our Regulations, 52 Pa. Code § 5.533(b), which requires that exceptions be numbered, identify the finding of fact and conclusion of law to which exception is taken, and cite to the relevant pages of the </w:t>
      </w:r>
      <w:r>
        <w:rPr>
          <w:rFonts w:ascii="Times New Roman" w:hAnsi="Times New Roman"/>
          <w:sz w:val="26"/>
        </w:rPr>
        <w:t>Recommended</w:t>
      </w:r>
      <w:r w:rsidRPr="008404C9">
        <w:rPr>
          <w:rFonts w:ascii="Times New Roman" w:hAnsi="Times New Roman"/>
          <w:sz w:val="26"/>
        </w:rPr>
        <w:t xml:space="preserve"> Decision.  Nevertheless, particularly because </w:t>
      </w:r>
      <w:r>
        <w:rPr>
          <w:rFonts w:ascii="Times New Roman" w:hAnsi="Times New Roman"/>
          <w:sz w:val="26"/>
        </w:rPr>
        <w:t xml:space="preserve">Mr. </w:t>
      </w:r>
      <w:proofErr w:type="spellStart"/>
      <w:r>
        <w:rPr>
          <w:rFonts w:ascii="Times New Roman" w:hAnsi="Times New Roman"/>
          <w:sz w:val="26"/>
        </w:rPr>
        <w:t>Kazimer</w:t>
      </w:r>
      <w:proofErr w:type="spellEnd"/>
      <w:r w:rsidRPr="008404C9">
        <w:rPr>
          <w:rFonts w:ascii="Times New Roman" w:hAnsi="Times New Roman"/>
          <w:sz w:val="26"/>
        </w:rPr>
        <w:t xml:space="preserve"> is appearing </w:t>
      </w:r>
      <w:r w:rsidRPr="008404C9">
        <w:rPr>
          <w:rFonts w:ascii="Times New Roman" w:hAnsi="Times New Roman"/>
          <w:i/>
          <w:sz w:val="26"/>
        </w:rPr>
        <w:t>pro se</w:t>
      </w:r>
      <w:r w:rsidRPr="008404C9">
        <w:rPr>
          <w:rFonts w:ascii="Times New Roman" w:hAnsi="Times New Roman"/>
          <w:sz w:val="26"/>
        </w:rPr>
        <w:t xml:space="preserve">, we will accept the Exceptions as filed pursuant to Section 1.2(a) of our Regulations, 52 Pa. Code </w:t>
      </w:r>
      <w:r w:rsidRPr="008404C9">
        <w:rPr>
          <w:rFonts w:ascii="Times New Roman" w:hAnsi="Times New Roman"/>
          <w:sz w:val="26"/>
        </w:rPr>
        <w:br/>
        <w:t>§ 1.2(a), in order to secure a just, speedy, and inexpensive determination of this matter.</w:t>
      </w:r>
    </w:p>
  </w:footnote>
  <w:footnote w:id="17">
    <w:p w:rsidR="0085595F" w:rsidRPr="00795B15" w:rsidRDefault="0085595F" w:rsidP="00795B15">
      <w:pPr>
        <w:pStyle w:val="FootnoteText"/>
        <w:ind w:firstLine="720"/>
        <w:rPr>
          <w:rFonts w:ascii="Times New Roman" w:hAnsi="Times New Roman"/>
          <w:sz w:val="26"/>
          <w:szCs w:val="26"/>
        </w:rPr>
      </w:pPr>
      <w:r w:rsidRPr="00795B15">
        <w:rPr>
          <w:rStyle w:val="FootnoteReference"/>
          <w:rFonts w:ascii="Times New Roman" w:hAnsi="Times New Roman"/>
          <w:sz w:val="26"/>
          <w:szCs w:val="26"/>
        </w:rPr>
        <w:footnoteRef/>
      </w:r>
      <w:r w:rsidRPr="00795B15">
        <w:rPr>
          <w:rFonts w:ascii="Times New Roman" w:hAnsi="Times New Roman"/>
          <w:sz w:val="26"/>
          <w:szCs w:val="26"/>
        </w:rPr>
        <w:t xml:space="preserve"> </w:t>
      </w:r>
      <w:r>
        <w:rPr>
          <w:rFonts w:ascii="Times New Roman" w:hAnsi="Times New Roman"/>
          <w:sz w:val="26"/>
          <w:szCs w:val="26"/>
        </w:rPr>
        <w:tab/>
      </w:r>
      <w:r w:rsidRPr="00795B15">
        <w:rPr>
          <w:rFonts w:ascii="Times New Roman" w:hAnsi="Times New Roman"/>
          <w:sz w:val="26"/>
          <w:szCs w:val="26"/>
        </w:rPr>
        <w:t>Although not entirely clear</w:t>
      </w:r>
      <w:r>
        <w:rPr>
          <w:rFonts w:ascii="Times New Roman" w:hAnsi="Times New Roman"/>
          <w:sz w:val="26"/>
          <w:szCs w:val="26"/>
        </w:rPr>
        <w:t xml:space="preserve"> from the Exceptions</w:t>
      </w:r>
      <w:r w:rsidRPr="00795B15">
        <w:rPr>
          <w:rFonts w:ascii="Times New Roman" w:hAnsi="Times New Roman"/>
          <w:sz w:val="26"/>
          <w:szCs w:val="26"/>
        </w:rPr>
        <w:t xml:space="preserve">, it appears that Mr. </w:t>
      </w:r>
      <w:proofErr w:type="spellStart"/>
      <w:r w:rsidRPr="00795B15">
        <w:rPr>
          <w:rFonts w:ascii="Times New Roman" w:hAnsi="Times New Roman"/>
          <w:sz w:val="26"/>
          <w:szCs w:val="26"/>
        </w:rPr>
        <w:t>Kazimer</w:t>
      </w:r>
      <w:proofErr w:type="spellEnd"/>
      <w:r w:rsidRPr="00795B15">
        <w:rPr>
          <w:rFonts w:ascii="Times New Roman" w:hAnsi="Times New Roman"/>
          <w:sz w:val="26"/>
          <w:szCs w:val="26"/>
        </w:rPr>
        <w:t xml:space="preserve"> is also challenging the application of Section 1311(c) and the conclusions of the ALJs that it is in the public interest to require water-only customers to pay for part of the wastewater service supplied to others.</w:t>
      </w:r>
    </w:p>
  </w:footnote>
  <w:footnote w:id="18">
    <w:p w:rsidR="0085595F" w:rsidRPr="009B4270" w:rsidRDefault="0085595F" w:rsidP="009B4270">
      <w:pPr>
        <w:pStyle w:val="FootnoteText"/>
        <w:ind w:firstLine="720"/>
        <w:rPr>
          <w:rFonts w:ascii="Times New Roman" w:hAnsi="Times New Roman"/>
          <w:sz w:val="26"/>
          <w:szCs w:val="26"/>
        </w:rPr>
      </w:pPr>
      <w:r w:rsidRPr="009B4270">
        <w:rPr>
          <w:rStyle w:val="FootnoteReference"/>
          <w:rFonts w:ascii="Times New Roman" w:hAnsi="Times New Roman"/>
          <w:sz w:val="26"/>
          <w:szCs w:val="26"/>
        </w:rPr>
        <w:footnoteRef/>
      </w:r>
      <w:r w:rsidRPr="009B4270">
        <w:rPr>
          <w:rFonts w:ascii="Times New Roman" w:hAnsi="Times New Roman"/>
          <w:sz w:val="26"/>
          <w:szCs w:val="26"/>
        </w:rPr>
        <w:t xml:space="preserve"> </w:t>
      </w:r>
      <w:r>
        <w:rPr>
          <w:rFonts w:ascii="Times New Roman" w:hAnsi="Times New Roman"/>
          <w:sz w:val="26"/>
          <w:szCs w:val="26"/>
        </w:rPr>
        <w:tab/>
        <w:t xml:space="preserve">In his Exceptions, Mr. </w:t>
      </w:r>
      <w:proofErr w:type="spellStart"/>
      <w:r>
        <w:rPr>
          <w:rFonts w:ascii="Times New Roman" w:hAnsi="Times New Roman"/>
          <w:sz w:val="26"/>
          <w:szCs w:val="26"/>
        </w:rPr>
        <w:t>Kazimer</w:t>
      </w:r>
      <w:proofErr w:type="spellEnd"/>
      <w:r>
        <w:rPr>
          <w:rFonts w:ascii="Times New Roman" w:hAnsi="Times New Roman"/>
          <w:sz w:val="26"/>
          <w:szCs w:val="26"/>
        </w:rPr>
        <w:t xml:space="preserve"> states that the Commission granted an average increase in rates of 57% in years 2001, 2003, 2007, 2009 and 2011 and asks: “too generous or not generous enough?”  </w:t>
      </w:r>
      <w:r w:rsidRPr="009B4270">
        <w:rPr>
          <w:rFonts w:ascii="Times New Roman" w:hAnsi="Times New Roman"/>
          <w:i/>
          <w:sz w:val="26"/>
          <w:szCs w:val="26"/>
        </w:rPr>
        <w:t>Id.</w:t>
      </w:r>
      <w:r>
        <w:rPr>
          <w:rFonts w:ascii="Times New Roman" w:hAnsi="Times New Roman"/>
          <w:sz w:val="26"/>
          <w:szCs w:val="26"/>
        </w:rPr>
        <w:t xml:space="preserve">  </w:t>
      </w:r>
    </w:p>
  </w:footnote>
  <w:footnote w:id="19">
    <w:p w:rsidR="0085595F" w:rsidRDefault="0085595F" w:rsidP="00795B15">
      <w:pPr>
        <w:pStyle w:val="FootnoteText"/>
        <w:ind w:firstLine="720"/>
        <w:rPr>
          <w:rFonts w:ascii="Times New Roman" w:hAnsi="Times New Roman"/>
          <w:sz w:val="26"/>
          <w:szCs w:val="26"/>
        </w:rPr>
      </w:pPr>
      <w:r w:rsidRPr="00795B15">
        <w:rPr>
          <w:rStyle w:val="FootnoteReference"/>
          <w:rFonts w:ascii="Times New Roman" w:hAnsi="Times New Roman"/>
          <w:sz w:val="26"/>
          <w:szCs w:val="26"/>
        </w:rPr>
        <w:footnoteRef/>
      </w:r>
      <w:r w:rsidRPr="00795B15">
        <w:rPr>
          <w:rFonts w:ascii="Times New Roman" w:hAnsi="Times New Roman"/>
          <w:sz w:val="26"/>
          <w:szCs w:val="26"/>
        </w:rPr>
        <w:t xml:space="preserve"> </w:t>
      </w:r>
      <w:r>
        <w:rPr>
          <w:rFonts w:ascii="Times New Roman" w:hAnsi="Times New Roman"/>
          <w:sz w:val="26"/>
          <w:szCs w:val="26"/>
        </w:rPr>
        <w:tab/>
      </w:r>
      <w:r>
        <w:rPr>
          <w:rFonts w:ascii="Times New Roman" w:hAnsi="Times New Roman"/>
          <w:i/>
          <w:sz w:val="26"/>
          <w:szCs w:val="26"/>
        </w:rPr>
        <w:t>Petition of York Water Company for Authorization to Present a Combined Filing for a General Rate Increase Under 66 Pa. C.S. § 1308(d) Covering Both its Water and Wastewater Revenue Requirements Pursuant to 66 Pa. C.S. § 1311(c)</w:t>
      </w:r>
      <w:r>
        <w:rPr>
          <w:rFonts w:ascii="Times New Roman" w:hAnsi="Times New Roman"/>
          <w:sz w:val="26"/>
          <w:szCs w:val="26"/>
        </w:rPr>
        <w:t xml:space="preserve">, Docket No. </w:t>
      </w:r>
    </w:p>
    <w:p w:rsidR="0085595F" w:rsidRPr="00795B15" w:rsidRDefault="0085595F" w:rsidP="00854CA7">
      <w:pPr>
        <w:pStyle w:val="FootnoteText"/>
        <w:rPr>
          <w:rFonts w:ascii="Times New Roman" w:hAnsi="Times New Roman"/>
          <w:sz w:val="26"/>
          <w:szCs w:val="26"/>
        </w:rPr>
      </w:pPr>
      <w:r>
        <w:rPr>
          <w:rFonts w:ascii="Times New Roman" w:hAnsi="Times New Roman"/>
          <w:sz w:val="26"/>
          <w:szCs w:val="26"/>
        </w:rPr>
        <w:t>P-2012-2340409 (Order entered February 28, 2013) at 3.</w:t>
      </w:r>
    </w:p>
  </w:footnote>
  <w:footnote w:id="20">
    <w:p w:rsidR="0085595F" w:rsidRPr="00795B15" w:rsidRDefault="0085595F" w:rsidP="00795B15">
      <w:pPr>
        <w:pStyle w:val="FootnoteText"/>
        <w:ind w:firstLine="720"/>
        <w:rPr>
          <w:rFonts w:ascii="Times New Roman" w:hAnsi="Times New Roman"/>
          <w:i/>
          <w:sz w:val="26"/>
          <w:szCs w:val="26"/>
        </w:rPr>
      </w:pPr>
      <w:r w:rsidRPr="00795B15">
        <w:rPr>
          <w:rStyle w:val="FootnoteReference"/>
          <w:rFonts w:ascii="Times New Roman" w:hAnsi="Times New Roman"/>
          <w:sz w:val="26"/>
          <w:szCs w:val="26"/>
        </w:rPr>
        <w:footnoteRef/>
      </w:r>
      <w:r w:rsidRPr="00795B15">
        <w:rPr>
          <w:rFonts w:ascii="Times New Roman" w:hAnsi="Times New Roman"/>
          <w:sz w:val="26"/>
          <w:szCs w:val="26"/>
        </w:rPr>
        <w:t xml:space="preserve"> </w:t>
      </w:r>
      <w:r>
        <w:rPr>
          <w:rFonts w:ascii="Times New Roman" w:hAnsi="Times New Roman"/>
          <w:sz w:val="26"/>
          <w:szCs w:val="26"/>
        </w:rPr>
        <w:tab/>
        <w:t>For example, the average residential inc</w:t>
      </w:r>
      <w:r w:rsidR="00C81F94">
        <w:rPr>
          <w:rFonts w:ascii="Times New Roman" w:hAnsi="Times New Roman"/>
          <w:sz w:val="26"/>
          <w:szCs w:val="26"/>
        </w:rPr>
        <w:t xml:space="preserve">rease in water rates for Zone 1 PAWC customers with 5/8 inch meters is expected to </w:t>
      </w:r>
      <w:r>
        <w:rPr>
          <w:rFonts w:ascii="Times New Roman" w:hAnsi="Times New Roman"/>
          <w:sz w:val="26"/>
          <w:szCs w:val="26"/>
        </w:rPr>
        <w:t xml:space="preserve">be </w:t>
      </w:r>
      <w:r w:rsidR="00C81F94">
        <w:rPr>
          <w:rFonts w:ascii="Times New Roman" w:hAnsi="Times New Roman"/>
          <w:sz w:val="26"/>
          <w:szCs w:val="26"/>
        </w:rPr>
        <w:t>5.58%</w:t>
      </w:r>
      <w:r>
        <w:rPr>
          <w:rFonts w:ascii="Times New Roman" w:hAnsi="Times New Roman"/>
          <w:sz w:val="26"/>
          <w:szCs w:val="26"/>
        </w:rPr>
        <w:t xml:space="preserve">. </w:t>
      </w:r>
      <w:r w:rsidR="00D0650D">
        <w:rPr>
          <w:rFonts w:ascii="Times New Roman" w:hAnsi="Times New Roman"/>
          <w:sz w:val="26"/>
          <w:szCs w:val="26"/>
        </w:rPr>
        <w:t xml:space="preserve"> </w:t>
      </w:r>
      <w:r w:rsidR="00C81F94">
        <w:rPr>
          <w:rFonts w:ascii="Times New Roman" w:hAnsi="Times New Roman"/>
          <w:i/>
          <w:sz w:val="26"/>
          <w:szCs w:val="26"/>
        </w:rPr>
        <w:t xml:space="preserve">See </w:t>
      </w:r>
      <w:r w:rsidR="00C81F94">
        <w:rPr>
          <w:rFonts w:ascii="Times New Roman" w:hAnsi="Times New Roman"/>
          <w:sz w:val="26"/>
          <w:szCs w:val="26"/>
        </w:rPr>
        <w:t xml:space="preserve">B. Terms and Conditions of the Settlement, </w:t>
      </w:r>
      <w:r w:rsidR="00C81F94">
        <w:rPr>
          <w:rFonts w:ascii="Times New Roman" w:hAnsi="Times New Roman"/>
          <w:i/>
          <w:sz w:val="26"/>
          <w:szCs w:val="26"/>
        </w:rPr>
        <w:t>supra.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271"/>
    <w:multiLevelType w:val="hybridMultilevel"/>
    <w:tmpl w:val="CB700D26"/>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D220A2"/>
    <w:multiLevelType w:val="hybridMultilevel"/>
    <w:tmpl w:val="B8644E9A"/>
    <w:lvl w:ilvl="0" w:tplc="251E3EE2">
      <w:start w:val="10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B5F94"/>
    <w:multiLevelType w:val="multilevel"/>
    <w:tmpl w:val="7D1C1788"/>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8"/>
      <w:numFmt w:val="decimal"/>
      <w:lvlText w:val="%2."/>
      <w:lvlJc w:val="left"/>
      <w:pPr>
        <w:tabs>
          <w:tab w:val="num" w:pos="1440"/>
        </w:tabs>
        <w:ind w:left="0" w:firstLine="720"/>
      </w:pPr>
      <w:rPr>
        <w:b w:val="0"/>
        <w:i w:val="0"/>
        <w:caps w:val="0"/>
        <w:strike w:val="0"/>
        <w:dstrike w:val="0"/>
        <w:sz w:val="24"/>
        <w:u w:val="none"/>
        <w:effect w:val="none"/>
      </w:rPr>
    </w:lvl>
    <w:lvl w:ilvl="2">
      <w:start w:val="13"/>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3">
    <w:nsid w:val="07FD1FB5"/>
    <w:multiLevelType w:val="hybridMultilevel"/>
    <w:tmpl w:val="8820B05E"/>
    <w:lvl w:ilvl="0" w:tplc="6706F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9B436A"/>
    <w:multiLevelType w:val="hybridMultilevel"/>
    <w:tmpl w:val="0414DD4E"/>
    <w:lvl w:ilvl="0" w:tplc="09541E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30295"/>
    <w:multiLevelType w:val="multilevel"/>
    <w:tmpl w:val="D8F0150E"/>
    <w:lvl w:ilvl="0">
      <w:start w:val="3"/>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0"/>
      <w:numFmt w:val="decimal"/>
      <w:lvlText w:val="%2."/>
      <w:lvlJc w:val="left"/>
      <w:pPr>
        <w:tabs>
          <w:tab w:val="num" w:pos="1440"/>
        </w:tabs>
        <w:ind w:left="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6">
    <w:nsid w:val="09FF1DDB"/>
    <w:multiLevelType w:val="hybridMultilevel"/>
    <w:tmpl w:val="424A8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765C0"/>
    <w:multiLevelType w:val="hybridMultilevel"/>
    <w:tmpl w:val="B1EA0BA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D70D4"/>
    <w:multiLevelType w:val="hybridMultilevel"/>
    <w:tmpl w:val="0414DD4E"/>
    <w:lvl w:ilvl="0" w:tplc="09541E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A253F"/>
    <w:multiLevelType w:val="hybridMultilevel"/>
    <w:tmpl w:val="E94CA96C"/>
    <w:lvl w:ilvl="0" w:tplc="B086AE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432AC4"/>
    <w:multiLevelType w:val="hybridMultilevel"/>
    <w:tmpl w:val="6A965890"/>
    <w:lvl w:ilvl="0" w:tplc="0C9ABD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66F1A1D"/>
    <w:multiLevelType w:val="hybridMultilevel"/>
    <w:tmpl w:val="50AC26F2"/>
    <w:lvl w:ilvl="0" w:tplc="ADFAF2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38487D"/>
    <w:multiLevelType w:val="multilevel"/>
    <w:tmpl w:val="027477E0"/>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7"/>
      <w:numFmt w:val="decimal"/>
      <w:lvlText w:val="%2."/>
      <w:lvlJc w:val="left"/>
      <w:pPr>
        <w:tabs>
          <w:tab w:val="num" w:pos="1440"/>
        </w:tabs>
        <w:ind w:left="0" w:firstLine="720"/>
      </w:pPr>
      <w:rPr>
        <w:rFonts w:hint="default"/>
        <w:b w:val="0"/>
        <w:i w:val="0"/>
        <w:caps w:val="0"/>
        <w:strike w:val="0"/>
        <w:dstrike w:val="0"/>
        <w:sz w:val="24"/>
        <w:u w:val="none"/>
        <w:effect w:val="none"/>
      </w:rPr>
    </w:lvl>
    <w:lvl w:ilvl="2">
      <w:start w:val="12"/>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3">
    <w:nsid w:val="28A63581"/>
    <w:multiLevelType w:val="hybridMultilevel"/>
    <w:tmpl w:val="562A08EA"/>
    <w:lvl w:ilvl="0" w:tplc="DBA03332">
      <w:start w:val="500"/>
      <w:numFmt w:val="upperRoman"/>
      <w:lvlText w:val="%1."/>
      <w:lvlJc w:val="left"/>
      <w:pPr>
        <w:ind w:left="1080" w:hanging="72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E50E27"/>
    <w:multiLevelType w:val="multilevel"/>
    <w:tmpl w:val="3E2A6580"/>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decimal"/>
      <w:lvlText w:val="%2."/>
      <w:lvlJc w:val="left"/>
      <w:pPr>
        <w:tabs>
          <w:tab w:val="num" w:pos="1440"/>
        </w:tabs>
        <w:ind w:left="0" w:firstLine="720"/>
      </w:pPr>
      <w:rPr>
        <w:b w:val="0"/>
        <w:i w:val="0"/>
        <w:caps w:val="0"/>
        <w:strike w:val="0"/>
        <w:dstrike w:val="0"/>
        <w:sz w:val="24"/>
        <w:u w:val="none"/>
        <w:effect w:val="none"/>
      </w:rPr>
    </w:lvl>
    <w:lvl w:ilvl="2">
      <w:start w:val="13"/>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5">
    <w:nsid w:val="2C7001CF"/>
    <w:multiLevelType w:val="multilevel"/>
    <w:tmpl w:val="39F6E2BE"/>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7"/>
      <w:numFmt w:val="decimal"/>
      <w:lvlText w:val="%2."/>
      <w:lvlJc w:val="left"/>
      <w:pPr>
        <w:tabs>
          <w:tab w:val="num" w:pos="1440"/>
        </w:tabs>
        <w:ind w:left="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6">
    <w:nsid w:val="38F41842"/>
    <w:multiLevelType w:val="hybridMultilevel"/>
    <w:tmpl w:val="929AAE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EA73FAE"/>
    <w:multiLevelType w:val="hybridMultilevel"/>
    <w:tmpl w:val="2C646A3E"/>
    <w:lvl w:ilvl="0" w:tplc="5A36334C">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267F8"/>
    <w:multiLevelType w:val="multilevel"/>
    <w:tmpl w:val="C624DF8E"/>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decimal"/>
      <w:lvlText w:val="(%2)"/>
      <w:lvlJc w:val="left"/>
      <w:pPr>
        <w:tabs>
          <w:tab w:val="num" w:pos="3060"/>
        </w:tabs>
        <w:ind w:left="162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9">
    <w:nsid w:val="4ACB214C"/>
    <w:multiLevelType w:val="hybridMultilevel"/>
    <w:tmpl w:val="21FE909C"/>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nsid w:val="4B6B03D4"/>
    <w:multiLevelType w:val="multilevel"/>
    <w:tmpl w:val="940E4C36"/>
    <w:lvl w:ilvl="0">
      <w:start w:val="1"/>
      <w:numFmt w:val="upperLetter"/>
      <w:lvlText w:val="%1."/>
      <w:lvlJc w:val="left"/>
      <w:pPr>
        <w:tabs>
          <w:tab w:val="num" w:pos="720"/>
        </w:tabs>
        <w:ind w:left="0" w:firstLine="0"/>
      </w:pPr>
      <w:rPr>
        <w:rFonts w:ascii="Times New Roman" w:eastAsia="Times New Roman" w:hAnsi="Times New Roman" w:cs="Times New Roman"/>
        <w:b w:val="0"/>
        <w:i w:val="0"/>
        <w:caps/>
        <w:smallCaps w:val="0"/>
        <w:strike w:val="0"/>
        <w:dstrike w:val="0"/>
        <w:sz w:val="24"/>
        <w:u w:val="none"/>
        <w:effect w:val="none"/>
      </w:rPr>
    </w:lvl>
    <w:lvl w:ilvl="1">
      <w:start w:val="1"/>
      <w:numFmt w:val="decimal"/>
      <w:lvlRestart w:val="0"/>
      <w:lvlText w:val="%2."/>
      <w:lvlJc w:val="left"/>
      <w:pPr>
        <w:tabs>
          <w:tab w:val="num" w:pos="1440"/>
        </w:tabs>
        <w:ind w:left="0" w:firstLine="720"/>
      </w:pPr>
      <w:rPr>
        <w:rFonts w:ascii="Times New Roman" w:hAnsi="Times New Roman" w:cs="Times New Roman" w:hint="default"/>
        <w:b w:val="0"/>
        <w:i w:val="0"/>
        <w:caps w:val="0"/>
        <w:strike w:val="0"/>
        <w:dstrike w:val="0"/>
        <w:sz w:val="24"/>
        <w:u w:val="none"/>
        <w:effect w:val="none"/>
      </w:rPr>
    </w:lvl>
    <w:lvl w:ilvl="2">
      <w:start w:val="1"/>
      <w:numFmt w:val="lowerLetter"/>
      <w:lvlText w:val="%3)"/>
      <w:lvlJc w:val="left"/>
      <w:pPr>
        <w:tabs>
          <w:tab w:val="num" w:pos="2160"/>
        </w:tabs>
        <w:ind w:left="0" w:firstLine="1440"/>
      </w:pPr>
      <w:rPr>
        <w:b w:val="0"/>
        <w:i w:val="0"/>
        <w:caps w:val="0"/>
        <w:strike w:val="0"/>
        <w:dstrike w:val="0"/>
        <w:sz w:val="24"/>
        <w:u w:val="none"/>
        <w:effect w:val="none"/>
      </w:rPr>
    </w:lvl>
    <w:lvl w:ilvl="3">
      <w:start w:val="1"/>
      <w:numFmt w:val="decimal"/>
      <w:lvlText w:val="(%4)"/>
      <w:lvlJc w:val="left"/>
      <w:pPr>
        <w:tabs>
          <w:tab w:val="num" w:pos="2880"/>
        </w:tabs>
        <w:ind w:left="0" w:firstLine="2160"/>
      </w:pPr>
      <w:rPr>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2160"/>
        </w:tabs>
        <w:ind w:left="-288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21">
    <w:nsid w:val="520B244E"/>
    <w:multiLevelType w:val="hybridMultilevel"/>
    <w:tmpl w:val="DBFA9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95DA8"/>
    <w:multiLevelType w:val="hybridMultilevel"/>
    <w:tmpl w:val="1C647104"/>
    <w:lvl w:ilvl="0" w:tplc="BA68C63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5AF659C"/>
    <w:multiLevelType w:val="hybridMultilevel"/>
    <w:tmpl w:val="2E445B0E"/>
    <w:lvl w:ilvl="0" w:tplc="08482866">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B42415"/>
    <w:multiLevelType w:val="hybridMultilevel"/>
    <w:tmpl w:val="180E282E"/>
    <w:lvl w:ilvl="0" w:tplc="C23ADEC0">
      <w:start w:val="1"/>
      <w:numFmt w:val="lowerRoman"/>
      <w:lvlText w:val="%1."/>
      <w:lvlJc w:val="left"/>
      <w:pPr>
        <w:ind w:left="2448" w:hanging="720"/>
      </w:pPr>
      <w:rPr>
        <w:rFonts w:eastAsia="Times New Roman" w:hint="default"/>
        <w:b w:val="0"/>
        <w:color w:val="333333"/>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5">
    <w:nsid w:val="567051C9"/>
    <w:multiLevelType w:val="hybridMultilevel"/>
    <w:tmpl w:val="E662EADE"/>
    <w:lvl w:ilvl="0" w:tplc="F4226166">
      <w:start w:val="1"/>
      <w:numFmt w:val="upperLetter"/>
      <w:pStyle w:val="Heading3"/>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851F9C"/>
    <w:multiLevelType w:val="hybridMultilevel"/>
    <w:tmpl w:val="957E6A12"/>
    <w:lvl w:ilvl="0" w:tplc="E02A66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A320C45"/>
    <w:multiLevelType w:val="hybridMultilevel"/>
    <w:tmpl w:val="888C021C"/>
    <w:lvl w:ilvl="0" w:tplc="6038E3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F520E8D"/>
    <w:multiLevelType w:val="hybridMultilevel"/>
    <w:tmpl w:val="F5380052"/>
    <w:lvl w:ilvl="0" w:tplc="C4DE324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2134D21"/>
    <w:multiLevelType w:val="hybridMultilevel"/>
    <w:tmpl w:val="6D46751E"/>
    <w:lvl w:ilvl="0" w:tplc="AA5C3932">
      <w:start w:val="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B237DC"/>
    <w:multiLevelType w:val="hybridMultilevel"/>
    <w:tmpl w:val="B50077FE"/>
    <w:lvl w:ilvl="0" w:tplc="0F84B704">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62E4D9E"/>
    <w:multiLevelType w:val="multilevel"/>
    <w:tmpl w:val="E33AA964"/>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9"/>
      <w:numFmt w:val="decimal"/>
      <w:lvlText w:val="%2."/>
      <w:lvlJc w:val="left"/>
      <w:pPr>
        <w:tabs>
          <w:tab w:val="num" w:pos="1440"/>
        </w:tabs>
        <w:ind w:left="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32">
    <w:nsid w:val="68572A18"/>
    <w:multiLevelType w:val="hybridMultilevel"/>
    <w:tmpl w:val="14648AB2"/>
    <w:lvl w:ilvl="0" w:tplc="3BCC4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482718"/>
    <w:multiLevelType w:val="hybridMultilevel"/>
    <w:tmpl w:val="7D7A5250"/>
    <w:lvl w:ilvl="0" w:tplc="4A1CA7B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1C96B40"/>
    <w:multiLevelType w:val="hybridMultilevel"/>
    <w:tmpl w:val="8160D138"/>
    <w:lvl w:ilvl="0" w:tplc="1AE06FB0">
      <w:start w:val="13"/>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EFFAE868">
      <w:start w:val="1"/>
      <w:numFmt w:val="decimal"/>
      <w:lvlText w:val="(%4)"/>
      <w:lvlJc w:val="left"/>
      <w:pPr>
        <w:ind w:left="4680" w:hanging="360"/>
      </w:pPr>
      <w:rPr>
        <w:rFonts w:ascii="Times New Roman" w:eastAsia="Times New Roman" w:hAnsi="Times New Roman" w:cs="Times New Roman"/>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74AA7830"/>
    <w:multiLevelType w:val="hybridMultilevel"/>
    <w:tmpl w:val="FAA8B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C918BD"/>
    <w:multiLevelType w:val="hybridMultilevel"/>
    <w:tmpl w:val="7C263EF0"/>
    <w:lvl w:ilvl="0" w:tplc="901C0D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F11BB1"/>
    <w:multiLevelType w:val="hybridMultilevel"/>
    <w:tmpl w:val="E08E29B4"/>
    <w:lvl w:ilvl="0" w:tplc="6CF0AC2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778925F2"/>
    <w:multiLevelType w:val="hybridMultilevel"/>
    <w:tmpl w:val="1A849D3C"/>
    <w:lvl w:ilvl="0" w:tplc="1CF2EF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81517A8"/>
    <w:multiLevelType w:val="hybridMultilevel"/>
    <w:tmpl w:val="12800150"/>
    <w:lvl w:ilvl="0" w:tplc="E59C46A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6"/>
  </w:num>
  <w:num w:numId="3">
    <w:abstractNumId w:val="21"/>
  </w:num>
  <w:num w:numId="4">
    <w:abstractNumId w:val="26"/>
  </w:num>
  <w:num w:numId="5">
    <w:abstractNumId w:val="0"/>
  </w:num>
  <w:num w:numId="6">
    <w:abstractNumId w:val="19"/>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28"/>
  </w:num>
  <w:num w:numId="11">
    <w:abstractNumId w:val="30"/>
  </w:num>
  <w:num w:numId="12">
    <w:abstractNumId w:val="29"/>
  </w:num>
  <w:num w:numId="13">
    <w:abstractNumId w:val="10"/>
  </w:num>
  <w:num w:numId="14">
    <w:abstractNumId w:val="17"/>
  </w:num>
  <w:num w:numId="15">
    <w:abstractNumId w:val="7"/>
  </w:num>
  <w:num w:numId="16">
    <w:abstractNumId w:val="39"/>
  </w:num>
  <w:num w:numId="17">
    <w:abstractNumId w:val="24"/>
  </w:num>
  <w:num w:numId="18">
    <w:abstractNumId w:val="3"/>
  </w:num>
  <w:num w:numId="19">
    <w:abstractNumId w:val="27"/>
  </w:num>
  <w:num w:numId="20">
    <w:abstractNumId w:val="25"/>
  </w:num>
  <w:num w:numId="21">
    <w:abstractNumId w:val="1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2"/>
    </w:lvlOverride>
    <w:lvlOverride w:ilvl="1">
      <w:startOverride w:val="8"/>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1"/>
  </w:num>
  <w:num w:numId="29">
    <w:abstractNumId w:val="8"/>
  </w:num>
  <w:num w:numId="30">
    <w:abstractNumId w:val="38"/>
  </w:num>
  <w:num w:numId="31">
    <w:abstractNumId w:val="13"/>
  </w:num>
  <w:num w:numId="32">
    <w:abstractNumId w:val="23"/>
  </w:num>
  <w:num w:numId="33">
    <w:abstractNumId w:val="1"/>
  </w:num>
  <w:num w:numId="34">
    <w:abstractNumId w:val="4"/>
  </w:num>
  <w:num w:numId="35">
    <w:abstractNumId w:val="36"/>
  </w:num>
  <w:num w:numId="36">
    <w:abstractNumId w:val="12"/>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2"/>
    </w:lvlOverride>
    <w:lvlOverride w:ilvl="1">
      <w:startOverride w:val="8"/>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2"/>
    </w:lvlOverride>
    <w:lvlOverride w:ilvl="1">
      <w:startOverride w:val="8"/>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4"/>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30"/>
    <w:rsid w:val="0000023B"/>
    <w:rsid w:val="0000253F"/>
    <w:rsid w:val="00011700"/>
    <w:rsid w:val="0001206E"/>
    <w:rsid w:val="00014464"/>
    <w:rsid w:val="00014BB1"/>
    <w:rsid w:val="000173D6"/>
    <w:rsid w:val="000206CB"/>
    <w:rsid w:val="000210BC"/>
    <w:rsid w:val="0002499E"/>
    <w:rsid w:val="000308C0"/>
    <w:rsid w:val="00037858"/>
    <w:rsid w:val="00044FBB"/>
    <w:rsid w:val="000472F6"/>
    <w:rsid w:val="0005278B"/>
    <w:rsid w:val="00054792"/>
    <w:rsid w:val="00055623"/>
    <w:rsid w:val="000564D0"/>
    <w:rsid w:val="00057078"/>
    <w:rsid w:val="00063976"/>
    <w:rsid w:val="00066E24"/>
    <w:rsid w:val="00067490"/>
    <w:rsid w:val="000675EE"/>
    <w:rsid w:val="000729DB"/>
    <w:rsid w:val="000756F7"/>
    <w:rsid w:val="00080508"/>
    <w:rsid w:val="0008065F"/>
    <w:rsid w:val="000858C7"/>
    <w:rsid w:val="00086CF2"/>
    <w:rsid w:val="00092467"/>
    <w:rsid w:val="000943B2"/>
    <w:rsid w:val="000A3E6D"/>
    <w:rsid w:val="000A5AB9"/>
    <w:rsid w:val="000A6D30"/>
    <w:rsid w:val="000B2ABA"/>
    <w:rsid w:val="000B41A5"/>
    <w:rsid w:val="000B4678"/>
    <w:rsid w:val="000B4A07"/>
    <w:rsid w:val="000B4C4A"/>
    <w:rsid w:val="000B6131"/>
    <w:rsid w:val="000B692E"/>
    <w:rsid w:val="000B6BF3"/>
    <w:rsid w:val="000C6105"/>
    <w:rsid w:val="000C65F9"/>
    <w:rsid w:val="000D1FEE"/>
    <w:rsid w:val="000D6055"/>
    <w:rsid w:val="000E1ED4"/>
    <w:rsid w:val="000E389C"/>
    <w:rsid w:val="000E640C"/>
    <w:rsid w:val="000E70B1"/>
    <w:rsid w:val="000F06E6"/>
    <w:rsid w:val="000F07A9"/>
    <w:rsid w:val="000F1810"/>
    <w:rsid w:val="000F5BDD"/>
    <w:rsid w:val="000F6117"/>
    <w:rsid w:val="000F64CB"/>
    <w:rsid w:val="000F6DED"/>
    <w:rsid w:val="00104D72"/>
    <w:rsid w:val="00106EA6"/>
    <w:rsid w:val="001132DA"/>
    <w:rsid w:val="00113BC1"/>
    <w:rsid w:val="00120504"/>
    <w:rsid w:val="001268FD"/>
    <w:rsid w:val="00126ECD"/>
    <w:rsid w:val="00134973"/>
    <w:rsid w:val="00135824"/>
    <w:rsid w:val="00135D70"/>
    <w:rsid w:val="0013635D"/>
    <w:rsid w:val="001404FC"/>
    <w:rsid w:val="001409B0"/>
    <w:rsid w:val="00143BA7"/>
    <w:rsid w:val="00146FB3"/>
    <w:rsid w:val="001501A4"/>
    <w:rsid w:val="0015450E"/>
    <w:rsid w:val="001607BF"/>
    <w:rsid w:val="0016160D"/>
    <w:rsid w:val="00162362"/>
    <w:rsid w:val="00162A1E"/>
    <w:rsid w:val="0016388D"/>
    <w:rsid w:val="001651B4"/>
    <w:rsid w:val="00165E70"/>
    <w:rsid w:val="00165EAD"/>
    <w:rsid w:val="0016789A"/>
    <w:rsid w:val="001726F1"/>
    <w:rsid w:val="00173867"/>
    <w:rsid w:val="001739A7"/>
    <w:rsid w:val="00180420"/>
    <w:rsid w:val="00180C15"/>
    <w:rsid w:val="00182443"/>
    <w:rsid w:val="001845B2"/>
    <w:rsid w:val="0018538A"/>
    <w:rsid w:val="001858E8"/>
    <w:rsid w:val="00192B67"/>
    <w:rsid w:val="00195504"/>
    <w:rsid w:val="00196775"/>
    <w:rsid w:val="001A17F8"/>
    <w:rsid w:val="001A1A57"/>
    <w:rsid w:val="001A63E2"/>
    <w:rsid w:val="001B5AE1"/>
    <w:rsid w:val="001C180A"/>
    <w:rsid w:val="001C311E"/>
    <w:rsid w:val="001C68D6"/>
    <w:rsid w:val="001C7FA1"/>
    <w:rsid w:val="001E2E66"/>
    <w:rsid w:val="001E5878"/>
    <w:rsid w:val="001E5FF8"/>
    <w:rsid w:val="001E6FB2"/>
    <w:rsid w:val="001F23D9"/>
    <w:rsid w:val="001F423D"/>
    <w:rsid w:val="001F4CF9"/>
    <w:rsid w:val="001F5583"/>
    <w:rsid w:val="00200D06"/>
    <w:rsid w:val="002031C9"/>
    <w:rsid w:val="002037F1"/>
    <w:rsid w:val="00203845"/>
    <w:rsid w:val="00205975"/>
    <w:rsid w:val="00205C55"/>
    <w:rsid w:val="002221DC"/>
    <w:rsid w:val="002267D4"/>
    <w:rsid w:val="00227D07"/>
    <w:rsid w:val="00233511"/>
    <w:rsid w:val="0023407C"/>
    <w:rsid w:val="00235AD5"/>
    <w:rsid w:val="00236B78"/>
    <w:rsid w:val="002376BB"/>
    <w:rsid w:val="00240A22"/>
    <w:rsid w:val="00240A74"/>
    <w:rsid w:val="0024322A"/>
    <w:rsid w:val="00244934"/>
    <w:rsid w:val="002451DD"/>
    <w:rsid w:val="00247C5C"/>
    <w:rsid w:val="00251F8F"/>
    <w:rsid w:val="002609EE"/>
    <w:rsid w:val="00262AD6"/>
    <w:rsid w:val="002670F1"/>
    <w:rsid w:val="002755DE"/>
    <w:rsid w:val="00281278"/>
    <w:rsid w:val="00283323"/>
    <w:rsid w:val="00283732"/>
    <w:rsid w:val="002942AD"/>
    <w:rsid w:val="00294F71"/>
    <w:rsid w:val="00297269"/>
    <w:rsid w:val="002A0D5D"/>
    <w:rsid w:val="002B172B"/>
    <w:rsid w:val="002B51A2"/>
    <w:rsid w:val="002B51B9"/>
    <w:rsid w:val="002B6627"/>
    <w:rsid w:val="002C0751"/>
    <w:rsid w:val="002C09F1"/>
    <w:rsid w:val="002C0FD8"/>
    <w:rsid w:val="002C429A"/>
    <w:rsid w:val="002C4445"/>
    <w:rsid w:val="002C4670"/>
    <w:rsid w:val="002C6652"/>
    <w:rsid w:val="002C7CC1"/>
    <w:rsid w:val="002D1B25"/>
    <w:rsid w:val="002D242A"/>
    <w:rsid w:val="002D5E38"/>
    <w:rsid w:val="002D6337"/>
    <w:rsid w:val="002E0744"/>
    <w:rsid w:val="002E0F99"/>
    <w:rsid w:val="002E6532"/>
    <w:rsid w:val="002F096F"/>
    <w:rsid w:val="002F20B2"/>
    <w:rsid w:val="002F2AEA"/>
    <w:rsid w:val="002F3C11"/>
    <w:rsid w:val="002F419A"/>
    <w:rsid w:val="002F6330"/>
    <w:rsid w:val="002F6C97"/>
    <w:rsid w:val="00302C34"/>
    <w:rsid w:val="0030434F"/>
    <w:rsid w:val="003044A2"/>
    <w:rsid w:val="003068F7"/>
    <w:rsid w:val="003074E3"/>
    <w:rsid w:val="003107C4"/>
    <w:rsid w:val="00315F08"/>
    <w:rsid w:val="003175D2"/>
    <w:rsid w:val="00321F88"/>
    <w:rsid w:val="00322EC1"/>
    <w:rsid w:val="0032301C"/>
    <w:rsid w:val="0032437A"/>
    <w:rsid w:val="00326D43"/>
    <w:rsid w:val="00335AA7"/>
    <w:rsid w:val="003362C2"/>
    <w:rsid w:val="003429E6"/>
    <w:rsid w:val="00345102"/>
    <w:rsid w:val="003472CD"/>
    <w:rsid w:val="003522DD"/>
    <w:rsid w:val="00354960"/>
    <w:rsid w:val="003559CA"/>
    <w:rsid w:val="00356D66"/>
    <w:rsid w:val="00357564"/>
    <w:rsid w:val="00357AD4"/>
    <w:rsid w:val="0036044D"/>
    <w:rsid w:val="00361B5F"/>
    <w:rsid w:val="003622E9"/>
    <w:rsid w:val="003629E4"/>
    <w:rsid w:val="00362E50"/>
    <w:rsid w:val="003660C4"/>
    <w:rsid w:val="00367F85"/>
    <w:rsid w:val="0037072F"/>
    <w:rsid w:val="0037235D"/>
    <w:rsid w:val="00375DB4"/>
    <w:rsid w:val="00376CE0"/>
    <w:rsid w:val="00380355"/>
    <w:rsid w:val="003869D4"/>
    <w:rsid w:val="00392C00"/>
    <w:rsid w:val="00394302"/>
    <w:rsid w:val="00394797"/>
    <w:rsid w:val="003962AD"/>
    <w:rsid w:val="003A1257"/>
    <w:rsid w:val="003A1EEA"/>
    <w:rsid w:val="003B0D34"/>
    <w:rsid w:val="003B34D7"/>
    <w:rsid w:val="003B7511"/>
    <w:rsid w:val="003C015B"/>
    <w:rsid w:val="003C10EC"/>
    <w:rsid w:val="003C2FC0"/>
    <w:rsid w:val="003C525A"/>
    <w:rsid w:val="003D0160"/>
    <w:rsid w:val="003D05D0"/>
    <w:rsid w:val="003D2471"/>
    <w:rsid w:val="003D4003"/>
    <w:rsid w:val="003D431B"/>
    <w:rsid w:val="003D4BE8"/>
    <w:rsid w:val="003D56FF"/>
    <w:rsid w:val="003D5BE9"/>
    <w:rsid w:val="003E2171"/>
    <w:rsid w:val="003E587B"/>
    <w:rsid w:val="003E6F8F"/>
    <w:rsid w:val="003F04D3"/>
    <w:rsid w:val="003F6255"/>
    <w:rsid w:val="003F6CA2"/>
    <w:rsid w:val="003F6DB5"/>
    <w:rsid w:val="003F7C14"/>
    <w:rsid w:val="00407037"/>
    <w:rsid w:val="0041041C"/>
    <w:rsid w:val="00413F99"/>
    <w:rsid w:val="00415EA9"/>
    <w:rsid w:val="004235D4"/>
    <w:rsid w:val="00424276"/>
    <w:rsid w:val="00425998"/>
    <w:rsid w:val="00432543"/>
    <w:rsid w:val="00440199"/>
    <w:rsid w:val="00440D73"/>
    <w:rsid w:val="004416A2"/>
    <w:rsid w:val="004417AC"/>
    <w:rsid w:val="004427F7"/>
    <w:rsid w:val="00452C3F"/>
    <w:rsid w:val="00454315"/>
    <w:rsid w:val="00455E73"/>
    <w:rsid w:val="00462690"/>
    <w:rsid w:val="004633C8"/>
    <w:rsid w:val="00463433"/>
    <w:rsid w:val="0046417C"/>
    <w:rsid w:val="00465C1A"/>
    <w:rsid w:val="004665C7"/>
    <w:rsid w:val="004711FA"/>
    <w:rsid w:val="0047221A"/>
    <w:rsid w:val="0047723D"/>
    <w:rsid w:val="004772C7"/>
    <w:rsid w:val="00483E94"/>
    <w:rsid w:val="004855EF"/>
    <w:rsid w:val="00486C8A"/>
    <w:rsid w:val="00490F01"/>
    <w:rsid w:val="00494266"/>
    <w:rsid w:val="004949F6"/>
    <w:rsid w:val="004952FE"/>
    <w:rsid w:val="00497E89"/>
    <w:rsid w:val="004A09E3"/>
    <w:rsid w:val="004B193B"/>
    <w:rsid w:val="004B45DD"/>
    <w:rsid w:val="004B5B19"/>
    <w:rsid w:val="004B7DD3"/>
    <w:rsid w:val="004B7E96"/>
    <w:rsid w:val="004C023F"/>
    <w:rsid w:val="004C07B1"/>
    <w:rsid w:val="004C3F79"/>
    <w:rsid w:val="004C507D"/>
    <w:rsid w:val="004C5127"/>
    <w:rsid w:val="004D3D92"/>
    <w:rsid w:val="004D3E30"/>
    <w:rsid w:val="004D6054"/>
    <w:rsid w:val="004D6C24"/>
    <w:rsid w:val="004D727E"/>
    <w:rsid w:val="004E06A5"/>
    <w:rsid w:val="004E152D"/>
    <w:rsid w:val="004E3196"/>
    <w:rsid w:val="004E4A0A"/>
    <w:rsid w:val="004E4B6A"/>
    <w:rsid w:val="004F4149"/>
    <w:rsid w:val="004F4640"/>
    <w:rsid w:val="004F7C7A"/>
    <w:rsid w:val="00502115"/>
    <w:rsid w:val="00503DA2"/>
    <w:rsid w:val="0050577E"/>
    <w:rsid w:val="00512882"/>
    <w:rsid w:val="00512EB7"/>
    <w:rsid w:val="00513F90"/>
    <w:rsid w:val="00515D42"/>
    <w:rsid w:val="00516A96"/>
    <w:rsid w:val="00517BE2"/>
    <w:rsid w:val="005301D1"/>
    <w:rsid w:val="005305C5"/>
    <w:rsid w:val="0053617F"/>
    <w:rsid w:val="00536D0E"/>
    <w:rsid w:val="00537D7F"/>
    <w:rsid w:val="005466EC"/>
    <w:rsid w:val="00547900"/>
    <w:rsid w:val="00555F0A"/>
    <w:rsid w:val="0056027D"/>
    <w:rsid w:val="00563559"/>
    <w:rsid w:val="005701E2"/>
    <w:rsid w:val="005704B7"/>
    <w:rsid w:val="00570E2D"/>
    <w:rsid w:val="00571741"/>
    <w:rsid w:val="00573F7D"/>
    <w:rsid w:val="00576CC1"/>
    <w:rsid w:val="00577AE6"/>
    <w:rsid w:val="00581713"/>
    <w:rsid w:val="00583262"/>
    <w:rsid w:val="00583349"/>
    <w:rsid w:val="00585D4D"/>
    <w:rsid w:val="0059660B"/>
    <w:rsid w:val="00597FA0"/>
    <w:rsid w:val="005A3F0A"/>
    <w:rsid w:val="005B3518"/>
    <w:rsid w:val="005B3A8B"/>
    <w:rsid w:val="005B5B09"/>
    <w:rsid w:val="005C4B9C"/>
    <w:rsid w:val="005C5DF2"/>
    <w:rsid w:val="005D1033"/>
    <w:rsid w:val="005D1AFF"/>
    <w:rsid w:val="005D38D1"/>
    <w:rsid w:val="005D4AE3"/>
    <w:rsid w:val="005D525A"/>
    <w:rsid w:val="005E30DB"/>
    <w:rsid w:val="005E6253"/>
    <w:rsid w:val="005F1840"/>
    <w:rsid w:val="005F1E6A"/>
    <w:rsid w:val="005F456B"/>
    <w:rsid w:val="005F6060"/>
    <w:rsid w:val="005F628E"/>
    <w:rsid w:val="005F7B49"/>
    <w:rsid w:val="006122A1"/>
    <w:rsid w:val="0061757D"/>
    <w:rsid w:val="0062089A"/>
    <w:rsid w:val="00621F5A"/>
    <w:rsid w:val="00623C99"/>
    <w:rsid w:val="006244D1"/>
    <w:rsid w:val="00626130"/>
    <w:rsid w:val="00631021"/>
    <w:rsid w:val="006310C1"/>
    <w:rsid w:val="00631B41"/>
    <w:rsid w:val="006345BA"/>
    <w:rsid w:val="0063474B"/>
    <w:rsid w:val="006351B4"/>
    <w:rsid w:val="00636FBB"/>
    <w:rsid w:val="00644719"/>
    <w:rsid w:val="006470ED"/>
    <w:rsid w:val="0064716B"/>
    <w:rsid w:val="00650C7D"/>
    <w:rsid w:val="006541E0"/>
    <w:rsid w:val="00656CCF"/>
    <w:rsid w:val="006616CC"/>
    <w:rsid w:val="00665A1E"/>
    <w:rsid w:val="00667393"/>
    <w:rsid w:val="00673CBF"/>
    <w:rsid w:val="006772E3"/>
    <w:rsid w:val="00680E8F"/>
    <w:rsid w:val="00680F50"/>
    <w:rsid w:val="0068246F"/>
    <w:rsid w:val="0068726F"/>
    <w:rsid w:val="00687C6F"/>
    <w:rsid w:val="00691A00"/>
    <w:rsid w:val="006932FA"/>
    <w:rsid w:val="0069443F"/>
    <w:rsid w:val="006945C1"/>
    <w:rsid w:val="006A09C4"/>
    <w:rsid w:val="006A1F8C"/>
    <w:rsid w:val="006A46C9"/>
    <w:rsid w:val="006A5661"/>
    <w:rsid w:val="006A66D5"/>
    <w:rsid w:val="006A730F"/>
    <w:rsid w:val="006B2E86"/>
    <w:rsid w:val="006B6448"/>
    <w:rsid w:val="006B6A12"/>
    <w:rsid w:val="006B7155"/>
    <w:rsid w:val="006C03BE"/>
    <w:rsid w:val="006C0EB0"/>
    <w:rsid w:val="006C6D60"/>
    <w:rsid w:val="006D4CB1"/>
    <w:rsid w:val="006D5A9E"/>
    <w:rsid w:val="006D70A9"/>
    <w:rsid w:val="006E3DA2"/>
    <w:rsid w:val="006E6DA9"/>
    <w:rsid w:val="006E6E60"/>
    <w:rsid w:val="006F303C"/>
    <w:rsid w:val="006F35A0"/>
    <w:rsid w:val="006F6C7C"/>
    <w:rsid w:val="00701E11"/>
    <w:rsid w:val="00705524"/>
    <w:rsid w:val="007067BD"/>
    <w:rsid w:val="007068FF"/>
    <w:rsid w:val="007070AF"/>
    <w:rsid w:val="00710EFA"/>
    <w:rsid w:val="00711B77"/>
    <w:rsid w:val="00711E43"/>
    <w:rsid w:val="0071309D"/>
    <w:rsid w:val="00715CDD"/>
    <w:rsid w:val="00716A07"/>
    <w:rsid w:val="00720133"/>
    <w:rsid w:val="007204E9"/>
    <w:rsid w:val="00720F08"/>
    <w:rsid w:val="007238BE"/>
    <w:rsid w:val="007266D3"/>
    <w:rsid w:val="007279AA"/>
    <w:rsid w:val="00732C49"/>
    <w:rsid w:val="00733665"/>
    <w:rsid w:val="00734598"/>
    <w:rsid w:val="00744535"/>
    <w:rsid w:val="0075759E"/>
    <w:rsid w:val="0076311F"/>
    <w:rsid w:val="0076381A"/>
    <w:rsid w:val="00765744"/>
    <w:rsid w:val="00765FFD"/>
    <w:rsid w:val="00774635"/>
    <w:rsid w:val="00776B34"/>
    <w:rsid w:val="00781FB2"/>
    <w:rsid w:val="0078393D"/>
    <w:rsid w:val="00784691"/>
    <w:rsid w:val="00784C2A"/>
    <w:rsid w:val="007850E7"/>
    <w:rsid w:val="0078571F"/>
    <w:rsid w:val="00786E60"/>
    <w:rsid w:val="0079044B"/>
    <w:rsid w:val="00791B3A"/>
    <w:rsid w:val="00795B15"/>
    <w:rsid w:val="00797026"/>
    <w:rsid w:val="007A0F21"/>
    <w:rsid w:val="007A4336"/>
    <w:rsid w:val="007A738C"/>
    <w:rsid w:val="007A7D51"/>
    <w:rsid w:val="007B0EDE"/>
    <w:rsid w:val="007B190E"/>
    <w:rsid w:val="007B5B90"/>
    <w:rsid w:val="007C1AE9"/>
    <w:rsid w:val="007C72B0"/>
    <w:rsid w:val="007D6C19"/>
    <w:rsid w:val="007E3DA9"/>
    <w:rsid w:val="007E6293"/>
    <w:rsid w:val="007E674F"/>
    <w:rsid w:val="007F04AD"/>
    <w:rsid w:val="007F6078"/>
    <w:rsid w:val="007F7930"/>
    <w:rsid w:val="00804D66"/>
    <w:rsid w:val="0080633A"/>
    <w:rsid w:val="00806578"/>
    <w:rsid w:val="00810D4E"/>
    <w:rsid w:val="00822BC1"/>
    <w:rsid w:val="008241BC"/>
    <w:rsid w:val="00832788"/>
    <w:rsid w:val="00833FE4"/>
    <w:rsid w:val="008365E0"/>
    <w:rsid w:val="00836C47"/>
    <w:rsid w:val="008404C9"/>
    <w:rsid w:val="00842B15"/>
    <w:rsid w:val="00842B38"/>
    <w:rsid w:val="00843A2B"/>
    <w:rsid w:val="008452A4"/>
    <w:rsid w:val="00845F2B"/>
    <w:rsid w:val="008472B4"/>
    <w:rsid w:val="00851E49"/>
    <w:rsid w:val="0085264F"/>
    <w:rsid w:val="00852971"/>
    <w:rsid w:val="00853F9A"/>
    <w:rsid w:val="00854427"/>
    <w:rsid w:val="00854B7A"/>
    <w:rsid w:val="00854CA7"/>
    <w:rsid w:val="0085595F"/>
    <w:rsid w:val="00856553"/>
    <w:rsid w:val="00882AF1"/>
    <w:rsid w:val="0088310D"/>
    <w:rsid w:val="00883C94"/>
    <w:rsid w:val="00886AED"/>
    <w:rsid w:val="00893354"/>
    <w:rsid w:val="008953FC"/>
    <w:rsid w:val="008B0799"/>
    <w:rsid w:val="008B0AB1"/>
    <w:rsid w:val="008B7711"/>
    <w:rsid w:val="008C18E2"/>
    <w:rsid w:val="008C1AAF"/>
    <w:rsid w:val="008C3C94"/>
    <w:rsid w:val="008C4098"/>
    <w:rsid w:val="008C5384"/>
    <w:rsid w:val="008C6829"/>
    <w:rsid w:val="008C6ACD"/>
    <w:rsid w:val="008D25CD"/>
    <w:rsid w:val="008D5FDE"/>
    <w:rsid w:val="008D6CDB"/>
    <w:rsid w:val="008E1023"/>
    <w:rsid w:val="008E312F"/>
    <w:rsid w:val="008F235A"/>
    <w:rsid w:val="008F34A7"/>
    <w:rsid w:val="008F5061"/>
    <w:rsid w:val="00904274"/>
    <w:rsid w:val="009124D5"/>
    <w:rsid w:val="00912838"/>
    <w:rsid w:val="00915352"/>
    <w:rsid w:val="0091702B"/>
    <w:rsid w:val="00920EF3"/>
    <w:rsid w:val="00921291"/>
    <w:rsid w:val="00930EF2"/>
    <w:rsid w:val="00934B8B"/>
    <w:rsid w:val="00937C09"/>
    <w:rsid w:val="00944CF6"/>
    <w:rsid w:val="00950ED6"/>
    <w:rsid w:val="009511F8"/>
    <w:rsid w:val="00952DA8"/>
    <w:rsid w:val="00954042"/>
    <w:rsid w:val="009551DF"/>
    <w:rsid w:val="009555CA"/>
    <w:rsid w:val="009612F2"/>
    <w:rsid w:val="00964BCF"/>
    <w:rsid w:val="0096709D"/>
    <w:rsid w:val="00967A0B"/>
    <w:rsid w:val="00976791"/>
    <w:rsid w:val="009775F1"/>
    <w:rsid w:val="0098266E"/>
    <w:rsid w:val="00983309"/>
    <w:rsid w:val="00986000"/>
    <w:rsid w:val="00987A09"/>
    <w:rsid w:val="00992092"/>
    <w:rsid w:val="00992393"/>
    <w:rsid w:val="00992890"/>
    <w:rsid w:val="00994D7F"/>
    <w:rsid w:val="009962E1"/>
    <w:rsid w:val="009A09B2"/>
    <w:rsid w:val="009A0D2E"/>
    <w:rsid w:val="009A6332"/>
    <w:rsid w:val="009B2AE1"/>
    <w:rsid w:val="009B35DF"/>
    <w:rsid w:val="009B4270"/>
    <w:rsid w:val="009B6478"/>
    <w:rsid w:val="009B6E3A"/>
    <w:rsid w:val="009C0DE0"/>
    <w:rsid w:val="009C367C"/>
    <w:rsid w:val="009D42FD"/>
    <w:rsid w:val="009E0C18"/>
    <w:rsid w:val="009E2773"/>
    <w:rsid w:val="009E6CB9"/>
    <w:rsid w:val="009F275B"/>
    <w:rsid w:val="009F5C6F"/>
    <w:rsid w:val="009F5F22"/>
    <w:rsid w:val="009F7ECF"/>
    <w:rsid w:val="00A0036D"/>
    <w:rsid w:val="00A0086B"/>
    <w:rsid w:val="00A00BC0"/>
    <w:rsid w:val="00A00D75"/>
    <w:rsid w:val="00A06511"/>
    <w:rsid w:val="00A160E6"/>
    <w:rsid w:val="00A24CD8"/>
    <w:rsid w:val="00A26C9D"/>
    <w:rsid w:val="00A30CAA"/>
    <w:rsid w:val="00A32702"/>
    <w:rsid w:val="00A333A8"/>
    <w:rsid w:val="00A403BE"/>
    <w:rsid w:val="00A41D91"/>
    <w:rsid w:val="00A5340C"/>
    <w:rsid w:val="00A53C54"/>
    <w:rsid w:val="00A549B4"/>
    <w:rsid w:val="00A56428"/>
    <w:rsid w:val="00A5675B"/>
    <w:rsid w:val="00A57ADA"/>
    <w:rsid w:val="00A60553"/>
    <w:rsid w:val="00A631DB"/>
    <w:rsid w:val="00A7002C"/>
    <w:rsid w:val="00A72329"/>
    <w:rsid w:val="00A72D8B"/>
    <w:rsid w:val="00A73361"/>
    <w:rsid w:val="00A851DF"/>
    <w:rsid w:val="00A86DA4"/>
    <w:rsid w:val="00A90E10"/>
    <w:rsid w:val="00A932B7"/>
    <w:rsid w:val="00A94EBF"/>
    <w:rsid w:val="00A9614F"/>
    <w:rsid w:val="00A96DBD"/>
    <w:rsid w:val="00AA1E34"/>
    <w:rsid w:val="00AA4672"/>
    <w:rsid w:val="00AA5088"/>
    <w:rsid w:val="00AA5FA6"/>
    <w:rsid w:val="00AA7EC8"/>
    <w:rsid w:val="00AA7EC9"/>
    <w:rsid w:val="00AB4676"/>
    <w:rsid w:val="00AB73D6"/>
    <w:rsid w:val="00AC4149"/>
    <w:rsid w:val="00AC46F2"/>
    <w:rsid w:val="00AC5559"/>
    <w:rsid w:val="00AD01DF"/>
    <w:rsid w:val="00AD221D"/>
    <w:rsid w:val="00AD483D"/>
    <w:rsid w:val="00AD4E1F"/>
    <w:rsid w:val="00AD5127"/>
    <w:rsid w:val="00AD715A"/>
    <w:rsid w:val="00AE37F3"/>
    <w:rsid w:val="00AE4448"/>
    <w:rsid w:val="00AF2CC8"/>
    <w:rsid w:val="00AF5AE6"/>
    <w:rsid w:val="00AF5F44"/>
    <w:rsid w:val="00B11764"/>
    <w:rsid w:val="00B21C15"/>
    <w:rsid w:val="00B22843"/>
    <w:rsid w:val="00B229F4"/>
    <w:rsid w:val="00B23C2C"/>
    <w:rsid w:val="00B24059"/>
    <w:rsid w:val="00B2448C"/>
    <w:rsid w:val="00B249C8"/>
    <w:rsid w:val="00B25970"/>
    <w:rsid w:val="00B26F32"/>
    <w:rsid w:val="00B3077E"/>
    <w:rsid w:val="00B315B2"/>
    <w:rsid w:val="00B340D5"/>
    <w:rsid w:val="00B34848"/>
    <w:rsid w:val="00B36E0F"/>
    <w:rsid w:val="00B42182"/>
    <w:rsid w:val="00B438B1"/>
    <w:rsid w:val="00B515F0"/>
    <w:rsid w:val="00B53593"/>
    <w:rsid w:val="00B53E8B"/>
    <w:rsid w:val="00B54443"/>
    <w:rsid w:val="00B55543"/>
    <w:rsid w:val="00B5702F"/>
    <w:rsid w:val="00B60C8E"/>
    <w:rsid w:val="00B61D84"/>
    <w:rsid w:val="00B65394"/>
    <w:rsid w:val="00B7201F"/>
    <w:rsid w:val="00B73C48"/>
    <w:rsid w:val="00B74FB4"/>
    <w:rsid w:val="00B7574F"/>
    <w:rsid w:val="00B76369"/>
    <w:rsid w:val="00B831E5"/>
    <w:rsid w:val="00B843DD"/>
    <w:rsid w:val="00B84E82"/>
    <w:rsid w:val="00B86437"/>
    <w:rsid w:val="00B876FF"/>
    <w:rsid w:val="00B92C78"/>
    <w:rsid w:val="00BA58D0"/>
    <w:rsid w:val="00BA7876"/>
    <w:rsid w:val="00BB0560"/>
    <w:rsid w:val="00BB1A00"/>
    <w:rsid w:val="00BB30E5"/>
    <w:rsid w:val="00BB3532"/>
    <w:rsid w:val="00BC12CC"/>
    <w:rsid w:val="00BC1E28"/>
    <w:rsid w:val="00BC2F7E"/>
    <w:rsid w:val="00BC6F16"/>
    <w:rsid w:val="00BD32F8"/>
    <w:rsid w:val="00BD477B"/>
    <w:rsid w:val="00BD486F"/>
    <w:rsid w:val="00BD5EF7"/>
    <w:rsid w:val="00BD6BDA"/>
    <w:rsid w:val="00BD76D2"/>
    <w:rsid w:val="00BE27DE"/>
    <w:rsid w:val="00BE5980"/>
    <w:rsid w:val="00BF0F33"/>
    <w:rsid w:val="00BF4C4E"/>
    <w:rsid w:val="00BF62AC"/>
    <w:rsid w:val="00BF657E"/>
    <w:rsid w:val="00C01A67"/>
    <w:rsid w:val="00C02067"/>
    <w:rsid w:val="00C027D4"/>
    <w:rsid w:val="00C03CF4"/>
    <w:rsid w:val="00C058FE"/>
    <w:rsid w:val="00C05A1E"/>
    <w:rsid w:val="00C1706D"/>
    <w:rsid w:val="00C23108"/>
    <w:rsid w:val="00C23A8F"/>
    <w:rsid w:val="00C3000F"/>
    <w:rsid w:val="00C31FB1"/>
    <w:rsid w:val="00C46EF1"/>
    <w:rsid w:val="00C51B28"/>
    <w:rsid w:val="00C53AB2"/>
    <w:rsid w:val="00C553FA"/>
    <w:rsid w:val="00C57E0A"/>
    <w:rsid w:val="00C60CD2"/>
    <w:rsid w:val="00C61BE2"/>
    <w:rsid w:val="00C6754F"/>
    <w:rsid w:val="00C67B6F"/>
    <w:rsid w:val="00C7077C"/>
    <w:rsid w:val="00C76439"/>
    <w:rsid w:val="00C769D7"/>
    <w:rsid w:val="00C77779"/>
    <w:rsid w:val="00C81F94"/>
    <w:rsid w:val="00C81FCB"/>
    <w:rsid w:val="00C82284"/>
    <w:rsid w:val="00C8546A"/>
    <w:rsid w:val="00C924A9"/>
    <w:rsid w:val="00C937D3"/>
    <w:rsid w:val="00CA2883"/>
    <w:rsid w:val="00CA2BBF"/>
    <w:rsid w:val="00CA389C"/>
    <w:rsid w:val="00CA47F1"/>
    <w:rsid w:val="00CB31F4"/>
    <w:rsid w:val="00CB3AAE"/>
    <w:rsid w:val="00CB61F2"/>
    <w:rsid w:val="00CB7112"/>
    <w:rsid w:val="00CC227E"/>
    <w:rsid w:val="00CD0F09"/>
    <w:rsid w:val="00CD53F0"/>
    <w:rsid w:val="00CE0106"/>
    <w:rsid w:val="00CE204B"/>
    <w:rsid w:val="00CF6AAF"/>
    <w:rsid w:val="00CF7FA8"/>
    <w:rsid w:val="00D012F4"/>
    <w:rsid w:val="00D01740"/>
    <w:rsid w:val="00D024BD"/>
    <w:rsid w:val="00D0650D"/>
    <w:rsid w:val="00D0663A"/>
    <w:rsid w:val="00D06E61"/>
    <w:rsid w:val="00D158D7"/>
    <w:rsid w:val="00D1737C"/>
    <w:rsid w:val="00D25258"/>
    <w:rsid w:val="00D26D8E"/>
    <w:rsid w:val="00D30D85"/>
    <w:rsid w:val="00D32661"/>
    <w:rsid w:val="00D3298F"/>
    <w:rsid w:val="00D330D3"/>
    <w:rsid w:val="00D36233"/>
    <w:rsid w:val="00D36D89"/>
    <w:rsid w:val="00D36EC7"/>
    <w:rsid w:val="00D36F16"/>
    <w:rsid w:val="00D374B8"/>
    <w:rsid w:val="00D43521"/>
    <w:rsid w:val="00D45133"/>
    <w:rsid w:val="00D509CC"/>
    <w:rsid w:val="00D5120A"/>
    <w:rsid w:val="00D528B3"/>
    <w:rsid w:val="00D53D2E"/>
    <w:rsid w:val="00D54BFA"/>
    <w:rsid w:val="00D55551"/>
    <w:rsid w:val="00D61824"/>
    <w:rsid w:val="00D63AD4"/>
    <w:rsid w:val="00D67396"/>
    <w:rsid w:val="00D7215C"/>
    <w:rsid w:val="00D72BA0"/>
    <w:rsid w:val="00D73DFD"/>
    <w:rsid w:val="00D769BB"/>
    <w:rsid w:val="00D77253"/>
    <w:rsid w:val="00D84D7E"/>
    <w:rsid w:val="00D87CB7"/>
    <w:rsid w:val="00D9011D"/>
    <w:rsid w:val="00D9058C"/>
    <w:rsid w:val="00D925D1"/>
    <w:rsid w:val="00D93BA6"/>
    <w:rsid w:val="00D945A0"/>
    <w:rsid w:val="00D95E0E"/>
    <w:rsid w:val="00DA261F"/>
    <w:rsid w:val="00DA4630"/>
    <w:rsid w:val="00DA6F26"/>
    <w:rsid w:val="00DB0BB0"/>
    <w:rsid w:val="00DB10F7"/>
    <w:rsid w:val="00DB494D"/>
    <w:rsid w:val="00DB655E"/>
    <w:rsid w:val="00DB6DAF"/>
    <w:rsid w:val="00DB7198"/>
    <w:rsid w:val="00DB7EB6"/>
    <w:rsid w:val="00DC0054"/>
    <w:rsid w:val="00DC0332"/>
    <w:rsid w:val="00DC4297"/>
    <w:rsid w:val="00DC7866"/>
    <w:rsid w:val="00DD03CC"/>
    <w:rsid w:val="00DD468B"/>
    <w:rsid w:val="00DD6FB9"/>
    <w:rsid w:val="00DE1FE1"/>
    <w:rsid w:val="00DE20CB"/>
    <w:rsid w:val="00DF0C8F"/>
    <w:rsid w:val="00DF2ED6"/>
    <w:rsid w:val="00DF3287"/>
    <w:rsid w:val="00DF4752"/>
    <w:rsid w:val="00DF57FB"/>
    <w:rsid w:val="00E00BB5"/>
    <w:rsid w:val="00E01BF9"/>
    <w:rsid w:val="00E03B8F"/>
    <w:rsid w:val="00E03D55"/>
    <w:rsid w:val="00E042B6"/>
    <w:rsid w:val="00E049D5"/>
    <w:rsid w:val="00E05556"/>
    <w:rsid w:val="00E06AEF"/>
    <w:rsid w:val="00E06D30"/>
    <w:rsid w:val="00E0785F"/>
    <w:rsid w:val="00E105C2"/>
    <w:rsid w:val="00E11D87"/>
    <w:rsid w:val="00E1418F"/>
    <w:rsid w:val="00E300A7"/>
    <w:rsid w:val="00E31034"/>
    <w:rsid w:val="00E31624"/>
    <w:rsid w:val="00E32A90"/>
    <w:rsid w:val="00E3353B"/>
    <w:rsid w:val="00E35585"/>
    <w:rsid w:val="00E36592"/>
    <w:rsid w:val="00E37C1E"/>
    <w:rsid w:val="00E4036C"/>
    <w:rsid w:val="00E51746"/>
    <w:rsid w:val="00E528B9"/>
    <w:rsid w:val="00E53520"/>
    <w:rsid w:val="00E55ED1"/>
    <w:rsid w:val="00E600CB"/>
    <w:rsid w:val="00E62FB1"/>
    <w:rsid w:val="00E63060"/>
    <w:rsid w:val="00E71981"/>
    <w:rsid w:val="00E722D1"/>
    <w:rsid w:val="00E74B54"/>
    <w:rsid w:val="00E75EF3"/>
    <w:rsid w:val="00E76FEE"/>
    <w:rsid w:val="00E81CD9"/>
    <w:rsid w:val="00E87756"/>
    <w:rsid w:val="00E95C21"/>
    <w:rsid w:val="00E96B4F"/>
    <w:rsid w:val="00EA27C1"/>
    <w:rsid w:val="00EA581B"/>
    <w:rsid w:val="00EB06BC"/>
    <w:rsid w:val="00EB1186"/>
    <w:rsid w:val="00EB4C1C"/>
    <w:rsid w:val="00EC0FBC"/>
    <w:rsid w:val="00EC2F6A"/>
    <w:rsid w:val="00EC446B"/>
    <w:rsid w:val="00EC6C6C"/>
    <w:rsid w:val="00EC717B"/>
    <w:rsid w:val="00ED1566"/>
    <w:rsid w:val="00ED3AF7"/>
    <w:rsid w:val="00ED6670"/>
    <w:rsid w:val="00ED6BA8"/>
    <w:rsid w:val="00ED78E8"/>
    <w:rsid w:val="00EE27B3"/>
    <w:rsid w:val="00EE49E3"/>
    <w:rsid w:val="00EE5DC5"/>
    <w:rsid w:val="00EE6C8A"/>
    <w:rsid w:val="00EF09E7"/>
    <w:rsid w:val="00EF1416"/>
    <w:rsid w:val="00EF1640"/>
    <w:rsid w:val="00EF2748"/>
    <w:rsid w:val="00EF5D00"/>
    <w:rsid w:val="00EF7C87"/>
    <w:rsid w:val="00F0062B"/>
    <w:rsid w:val="00F0078D"/>
    <w:rsid w:val="00F007C8"/>
    <w:rsid w:val="00F02BC5"/>
    <w:rsid w:val="00F02F86"/>
    <w:rsid w:val="00F1316B"/>
    <w:rsid w:val="00F14212"/>
    <w:rsid w:val="00F14D68"/>
    <w:rsid w:val="00F150B3"/>
    <w:rsid w:val="00F151EB"/>
    <w:rsid w:val="00F222BE"/>
    <w:rsid w:val="00F22E9F"/>
    <w:rsid w:val="00F24D01"/>
    <w:rsid w:val="00F25F62"/>
    <w:rsid w:val="00F2616D"/>
    <w:rsid w:val="00F26D54"/>
    <w:rsid w:val="00F3443B"/>
    <w:rsid w:val="00F36547"/>
    <w:rsid w:val="00F41F0D"/>
    <w:rsid w:val="00F44CFF"/>
    <w:rsid w:val="00F47A90"/>
    <w:rsid w:val="00F50A1E"/>
    <w:rsid w:val="00F65C49"/>
    <w:rsid w:val="00F76F32"/>
    <w:rsid w:val="00F8117B"/>
    <w:rsid w:val="00F83021"/>
    <w:rsid w:val="00F860A3"/>
    <w:rsid w:val="00F86808"/>
    <w:rsid w:val="00F86CAA"/>
    <w:rsid w:val="00F86EE4"/>
    <w:rsid w:val="00F87F5B"/>
    <w:rsid w:val="00F91D75"/>
    <w:rsid w:val="00F92E4E"/>
    <w:rsid w:val="00FA44EE"/>
    <w:rsid w:val="00FA5BA5"/>
    <w:rsid w:val="00FA6B88"/>
    <w:rsid w:val="00FB1471"/>
    <w:rsid w:val="00FB2AB9"/>
    <w:rsid w:val="00FB6595"/>
    <w:rsid w:val="00FB6A74"/>
    <w:rsid w:val="00FB6DE6"/>
    <w:rsid w:val="00FC130D"/>
    <w:rsid w:val="00FC2D58"/>
    <w:rsid w:val="00FD075D"/>
    <w:rsid w:val="00FD32AD"/>
    <w:rsid w:val="00FD61F8"/>
    <w:rsid w:val="00FD7833"/>
    <w:rsid w:val="00FD7D5F"/>
    <w:rsid w:val="00FE0A6E"/>
    <w:rsid w:val="00FE26B8"/>
    <w:rsid w:val="00FE34CF"/>
    <w:rsid w:val="00FF363C"/>
    <w:rsid w:val="00FF5C0A"/>
    <w:rsid w:val="00FF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851DF"/>
    <w:pPr>
      <w:keepNext/>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4C023F"/>
    <w:pPr>
      <w:keepNext/>
      <w:numPr>
        <w:numId w:val="14"/>
      </w:numPr>
      <w:spacing w:after="0" w:line="240" w:lineRule="auto"/>
      <w:jc w:val="center"/>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904274"/>
    <w:pPr>
      <w:keepNext/>
      <w:numPr>
        <w:numId w:val="20"/>
      </w:numPr>
      <w:spacing w:after="0" w:line="360" w:lineRule="auto"/>
      <w:ind w:hanging="720"/>
      <w:outlineLvl w:val="2"/>
    </w:pPr>
    <w:rPr>
      <w:rFonts w:ascii="Times New Roman" w:eastAsia="Times New Roman" w:hAnsi="Times New Roman"/>
      <w:b/>
      <w:bCs/>
      <w:color w:val="333333"/>
      <w:sz w:val="26"/>
      <w:szCs w:val="26"/>
    </w:rPr>
  </w:style>
  <w:style w:type="paragraph" w:styleId="Heading4">
    <w:name w:val="heading 4"/>
    <w:basedOn w:val="Normal"/>
    <w:next w:val="Normal"/>
    <w:link w:val="Heading4Char"/>
    <w:uiPriority w:val="9"/>
    <w:unhideWhenUsed/>
    <w:qFormat/>
    <w:rsid w:val="00A30CAA"/>
    <w:pPr>
      <w:keepNext/>
      <w:spacing w:after="0" w:line="360" w:lineRule="auto"/>
      <w:ind w:left="360"/>
      <w:jc w:val="center"/>
      <w:outlineLvl w:val="3"/>
    </w:pPr>
    <w:rPr>
      <w:rFonts w:ascii="Times New Roman" w:eastAsia="Times New Roman" w:hAnsi="Times New Roman"/>
      <w:b/>
      <w:color w:val="333333"/>
      <w:sz w:val="26"/>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semiHidden/>
    <w:unhideWhenUsed/>
    <w:rsid w:val="00DA4630"/>
    <w:rPr>
      <w:strike w:val="0"/>
      <w:dstrike w:val="0"/>
      <w:color w:val="004B91"/>
      <w:u w:val="none"/>
      <w:effect w:val="none"/>
    </w:rPr>
  </w:style>
  <w:style w:type="paragraph" w:styleId="ListParagraph">
    <w:name w:val="List Paragraph"/>
    <w:basedOn w:val="Normal"/>
    <w:uiPriority w:val="34"/>
    <w:qFormat/>
    <w:rsid w:val="00DA4630"/>
    <w:pPr>
      <w:spacing w:after="0" w:line="240" w:lineRule="auto"/>
      <w:ind w:left="720"/>
    </w:pPr>
    <w:rPr>
      <w:rFonts w:ascii="Times New Roman" w:eastAsia="Times New Roman" w:hAnsi="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basedOn w:val="Normal"/>
    <w:link w:val="FootnoteTextChar"/>
    <w:uiPriority w:val="99"/>
    <w:unhideWhenUsed/>
    <w:rsid w:val="00B22843"/>
    <w:pPr>
      <w:spacing w:after="0" w:line="240" w:lineRule="auto"/>
    </w:pPr>
    <w:rPr>
      <w:sz w:val="20"/>
      <w:szCs w:val="20"/>
    </w:rPr>
  </w:style>
  <w:style w:type="character" w:customStyle="1" w:styleId="FootnoteTextChar">
    <w:name w:val="Footnote Text Char"/>
    <w:link w:val="FootnoteText"/>
    <w:uiPriority w:val="99"/>
    <w:rsid w:val="00B22843"/>
    <w:rPr>
      <w:sz w:val="20"/>
      <w:szCs w:val="20"/>
    </w:rPr>
  </w:style>
  <w:style w:type="character" w:styleId="FootnoteReference">
    <w:name w:val="footnote reference"/>
    <w:aliases w:val="footnote text"/>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ascii="Times New Roman" w:eastAsia="Times New Roman" w:hAnsi="Times New Roman"/>
      <w:sz w:val="24"/>
      <w:szCs w:val="20"/>
    </w:rPr>
  </w:style>
  <w:style w:type="paragraph" w:customStyle="1" w:styleId="Normal2">
    <w:name w:val="Normal 2"/>
    <w:basedOn w:val="Normal"/>
    <w:rsid w:val="0047221A"/>
    <w:pPr>
      <w:spacing w:after="240" w:line="240" w:lineRule="auto"/>
      <w:ind w:left="1440" w:firstLine="720"/>
    </w:pPr>
    <w:rPr>
      <w:rFonts w:ascii="Times New Roman" w:hAnsi="Times New Roman"/>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after="0" w:line="480" w:lineRule="auto"/>
      <w:ind w:firstLine="720"/>
    </w:pPr>
    <w:rPr>
      <w:rFonts w:ascii="Times New Roman" w:eastAsia="Times New Roman" w:hAnsi="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ascii="Times New Roman" w:eastAsia="Times New Roman" w:hAnsi="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pPr>
      <w:spacing w:after="0" w:line="360" w:lineRule="auto"/>
    </w:pPr>
    <w:rPr>
      <w:rFonts w:ascii="Times New Roman" w:hAnsi="Times New Roman"/>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character" w:customStyle="1" w:styleId="Heading1Char">
    <w:name w:val="Heading 1 Char"/>
    <w:link w:val="Heading1"/>
    <w:uiPriority w:val="9"/>
    <w:rsid w:val="00A851DF"/>
    <w:rPr>
      <w:rFonts w:ascii="Times New Roman" w:hAnsi="Times New Roman"/>
      <w:b/>
      <w:sz w:val="26"/>
      <w:szCs w:val="26"/>
    </w:rPr>
  </w:style>
  <w:style w:type="character" w:customStyle="1" w:styleId="Heading2Char">
    <w:name w:val="Heading 2 Char"/>
    <w:link w:val="Heading2"/>
    <w:uiPriority w:val="9"/>
    <w:rsid w:val="004C023F"/>
    <w:rPr>
      <w:rFonts w:ascii="Times New Roman" w:hAnsi="Times New Roman"/>
      <w:b/>
      <w:sz w:val="24"/>
      <w:szCs w:val="24"/>
    </w:rPr>
  </w:style>
  <w:style w:type="character" w:customStyle="1" w:styleId="Heading3Char">
    <w:name w:val="Heading 3 Char"/>
    <w:link w:val="Heading3"/>
    <w:uiPriority w:val="9"/>
    <w:rsid w:val="00904274"/>
    <w:rPr>
      <w:rFonts w:ascii="Times New Roman" w:eastAsia="Times New Roman" w:hAnsi="Times New Roman"/>
      <w:b/>
      <w:bCs/>
      <w:color w:val="333333"/>
      <w:sz w:val="26"/>
      <w:szCs w:val="26"/>
    </w:rPr>
  </w:style>
  <w:style w:type="character" w:customStyle="1" w:styleId="Heading4Char">
    <w:name w:val="Heading 4 Char"/>
    <w:link w:val="Heading4"/>
    <w:uiPriority w:val="9"/>
    <w:rsid w:val="00A30CAA"/>
    <w:rPr>
      <w:rFonts w:ascii="Times New Roman" w:eastAsia="Times New Roman" w:hAnsi="Times New Roman"/>
      <w:b/>
      <w:color w:val="333333"/>
      <w:sz w:val="26"/>
      <w:szCs w:val="26"/>
    </w:rPr>
  </w:style>
  <w:style w:type="paragraph" w:styleId="BodyText3">
    <w:name w:val="Body Text 3"/>
    <w:basedOn w:val="Normal"/>
    <w:link w:val="BodyText3Char"/>
    <w:uiPriority w:val="99"/>
    <w:unhideWhenUsed/>
    <w:rsid w:val="006E3DA2"/>
    <w:pPr>
      <w:spacing w:after="0" w:line="360" w:lineRule="auto"/>
    </w:pPr>
    <w:rPr>
      <w:rFonts w:ascii="Times New Roman" w:hAnsi="Times New Roman"/>
      <w:sz w:val="26"/>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character" w:customStyle="1" w:styleId="costarpage2">
    <w:name w:val="co_starpage2"/>
    <w:basedOn w:val="DefaultParagraphFont"/>
    <w:rsid w:val="0068246F"/>
  </w:style>
  <w:style w:type="paragraph" w:styleId="CommentSubject">
    <w:name w:val="annotation subject"/>
    <w:basedOn w:val="CommentText"/>
    <w:next w:val="CommentText"/>
    <w:link w:val="CommentSubjectChar"/>
    <w:uiPriority w:val="99"/>
    <w:semiHidden/>
    <w:unhideWhenUsed/>
    <w:rsid w:val="00BD76D2"/>
    <w:rPr>
      <w:b/>
      <w:bCs/>
    </w:rPr>
  </w:style>
  <w:style w:type="character" w:customStyle="1" w:styleId="CommentSubjectChar">
    <w:name w:val="Comment Subject Char"/>
    <w:basedOn w:val="CommentTextChar"/>
    <w:link w:val="CommentSubject"/>
    <w:uiPriority w:val="99"/>
    <w:semiHidden/>
    <w:rsid w:val="00BD76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851DF"/>
    <w:pPr>
      <w:keepNext/>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4C023F"/>
    <w:pPr>
      <w:keepNext/>
      <w:numPr>
        <w:numId w:val="14"/>
      </w:numPr>
      <w:spacing w:after="0" w:line="240" w:lineRule="auto"/>
      <w:jc w:val="center"/>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904274"/>
    <w:pPr>
      <w:keepNext/>
      <w:numPr>
        <w:numId w:val="20"/>
      </w:numPr>
      <w:spacing w:after="0" w:line="360" w:lineRule="auto"/>
      <w:ind w:hanging="720"/>
      <w:outlineLvl w:val="2"/>
    </w:pPr>
    <w:rPr>
      <w:rFonts w:ascii="Times New Roman" w:eastAsia="Times New Roman" w:hAnsi="Times New Roman"/>
      <w:b/>
      <w:bCs/>
      <w:color w:val="333333"/>
      <w:sz w:val="26"/>
      <w:szCs w:val="26"/>
    </w:rPr>
  </w:style>
  <w:style w:type="paragraph" w:styleId="Heading4">
    <w:name w:val="heading 4"/>
    <w:basedOn w:val="Normal"/>
    <w:next w:val="Normal"/>
    <w:link w:val="Heading4Char"/>
    <w:uiPriority w:val="9"/>
    <w:unhideWhenUsed/>
    <w:qFormat/>
    <w:rsid w:val="00A30CAA"/>
    <w:pPr>
      <w:keepNext/>
      <w:spacing w:after="0" w:line="360" w:lineRule="auto"/>
      <w:ind w:left="360"/>
      <w:jc w:val="center"/>
      <w:outlineLvl w:val="3"/>
    </w:pPr>
    <w:rPr>
      <w:rFonts w:ascii="Times New Roman" w:eastAsia="Times New Roman" w:hAnsi="Times New Roman"/>
      <w:b/>
      <w:color w:val="333333"/>
      <w:sz w:val="26"/>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semiHidden/>
    <w:unhideWhenUsed/>
    <w:rsid w:val="00DA4630"/>
    <w:rPr>
      <w:strike w:val="0"/>
      <w:dstrike w:val="0"/>
      <w:color w:val="004B91"/>
      <w:u w:val="none"/>
      <w:effect w:val="none"/>
    </w:rPr>
  </w:style>
  <w:style w:type="paragraph" w:styleId="ListParagraph">
    <w:name w:val="List Paragraph"/>
    <w:basedOn w:val="Normal"/>
    <w:uiPriority w:val="34"/>
    <w:qFormat/>
    <w:rsid w:val="00DA4630"/>
    <w:pPr>
      <w:spacing w:after="0" w:line="240" w:lineRule="auto"/>
      <w:ind w:left="720"/>
    </w:pPr>
    <w:rPr>
      <w:rFonts w:ascii="Times New Roman" w:eastAsia="Times New Roman" w:hAnsi="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basedOn w:val="Normal"/>
    <w:link w:val="FootnoteTextChar"/>
    <w:uiPriority w:val="99"/>
    <w:unhideWhenUsed/>
    <w:rsid w:val="00B22843"/>
    <w:pPr>
      <w:spacing w:after="0" w:line="240" w:lineRule="auto"/>
    </w:pPr>
    <w:rPr>
      <w:sz w:val="20"/>
      <w:szCs w:val="20"/>
    </w:rPr>
  </w:style>
  <w:style w:type="character" w:customStyle="1" w:styleId="FootnoteTextChar">
    <w:name w:val="Footnote Text Char"/>
    <w:link w:val="FootnoteText"/>
    <w:uiPriority w:val="99"/>
    <w:rsid w:val="00B22843"/>
    <w:rPr>
      <w:sz w:val="20"/>
      <w:szCs w:val="20"/>
    </w:rPr>
  </w:style>
  <w:style w:type="character" w:styleId="FootnoteReference">
    <w:name w:val="footnote reference"/>
    <w:aliases w:val="footnote text"/>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ascii="Times New Roman" w:eastAsia="Times New Roman" w:hAnsi="Times New Roman"/>
      <w:sz w:val="24"/>
      <w:szCs w:val="20"/>
    </w:rPr>
  </w:style>
  <w:style w:type="paragraph" w:customStyle="1" w:styleId="Normal2">
    <w:name w:val="Normal 2"/>
    <w:basedOn w:val="Normal"/>
    <w:rsid w:val="0047221A"/>
    <w:pPr>
      <w:spacing w:after="240" w:line="240" w:lineRule="auto"/>
      <w:ind w:left="1440" w:firstLine="720"/>
    </w:pPr>
    <w:rPr>
      <w:rFonts w:ascii="Times New Roman" w:hAnsi="Times New Roman"/>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after="0" w:line="480" w:lineRule="auto"/>
      <w:ind w:firstLine="720"/>
    </w:pPr>
    <w:rPr>
      <w:rFonts w:ascii="Times New Roman" w:eastAsia="Times New Roman" w:hAnsi="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ascii="Times New Roman" w:eastAsia="Times New Roman" w:hAnsi="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pPr>
      <w:spacing w:after="0" w:line="360" w:lineRule="auto"/>
    </w:pPr>
    <w:rPr>
      <w:rFonts w:ascii="Times New Roman" w:hAnsi="Times New Roman"/>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character" w:customStyle="1" w:styleId="Heading1Char">
    <w:name w:val="Heading 1 Char"/>
    <w:link w:val="Heading1"/>
    <w:uiPriority w:val="9"/>
    <w:rsid w:val="00A851DF"/>
    <w:rPr>
      <w:rFonts w:ascii="Times New Roman" w:hAnsi="Times New Roman"/>
      <w:b/>
      <w:sz w:val="26"/>
      <w:szCs w:val="26"/>
    </w:rPr>
  </w:style>
  <w:style w:type="character" w:customStyle="1" w:styleId="Heading2Char">
    <w:name w:val="Heading 2 Char"/>
    <w:link w:val="Heading2"/>
    <w:uiPriority w:val="9"/>
    <w:rsid w:val="004C023F"/>
    <w:rPr>
      <w:rFonts w:ascii="Times New Roman" w:hAnsi="Times New Roman"/>
      <w:b/>
      <w:sz w:val="24"/>
      <w:szCs w:val="24"/>
    </w:rPr>
  </w:style>
  <w:style w:type="character" w:customStyle="1" w:styleId="Heading3Char">
    <w:name w:val="Heading 3 Char"/>
    <w:link w:val="Heading3"/>
    <w:uiPriority w:val="9"/>
    <w:rsid w:val="00904274"/>
    <w:rPr>
      <w:rFonts w:ascii="Times New Roman" w:eastAsia="Times New Roman" w:hAnsi="Times New Roman"/>
      <w:b/>
      <w:bCs/>
      <w:color w:val="333333"/>
      <w:sz w:val="26"/>
      <w:szCs w:val="26"/>
    </w:rPr>
  </w:style>
  <w:style w:type="character" w:customStyle="1" w:styleId="Heading4Char">
    <w:name w:val="Heading 4 Char"/>
    <w:link w:val="Heading4"/>
    <w:uiPriority w:val="9"/>
    <w:rsid w:val="00A30CAA"/>
    <w:rPr>
      <w:rFonts w:ascii="Times New Roman" w:eastAsia="Times New Roman" w:hAnsi="Times New Roman"/>
      <w:b/>
      <w:color w:val="333333"/>
      <w:sz w:val="26"/>
      <w:szCs w:val="26"/>
    </w:rPr>
  </w:style>
  <w:style w:type="paragraph" w:styleId="BodyText3">
    <w:name w:val="Body Text 3"/>
    <w:basedOn w:val="Normal"/>
    <w:link w:val="BodyText3Char"/>
    <w:uiPriority w:val="99"/>
    <w:unhideWhenUsed/>
    <w:rsid w:val="006E3DA2"/>
    <w:pPr>
      <w:spacing w:after="0" w:line="360" w:lineRule="auto"/>
    </w:pPr>
    <w:rPr>
      <w:rFonts w:ascii="Times New Roman" w:hAnsi="Times New Roman"/>
      <w:sz w:val="26"/>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character" w:customStyle="1" w:styleId="costarpage2">
    <w:name w:val="co_starpage2"/>
    <w:basedOn w:val="DefaultParagraphFont"/>
    <w:rsid w:val="0068246F"/>
  </w:style>
  <w:style w:type="paragraph" w:styleId="CommentSubject">
    <w:name w:val="annotation subject"/>
    <w:basedOn w:val="CommentText"/>
    <w:next w:val="CommentText"/>
    <w:link w:val="CommentSubjectChar"/>
    <w:uiPriority w:val="99"/>
    <w:semiHidden/>
    <w:unhideWhenUsed/>
    <w:rsid w:val="00BD76D2"/>
    <w:rPr>
      <w:b/>
      <w:bCs/>
    </w:rPr>
  </w:style>
  <w:style w:type="character" w:customStyle="1" w:styleId="CommentSubjectChar">
    <w:name w:val="Comment Subject Char"/>
    <w:basedOn w:val="CommentTextChar"/>
    <w:link w:val="CommentSubject"/>
    <w:uiPriority w:val="99"/>
    <w:semiHidden/>
    <w:rsid w:val="00BD76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2367">
      <w:bodyDiv w:val="1"/>
      <w:marLeft w:val="0"/>
      <w:marRight w:val="0"/>
      <w:marTop w:val="0"/>
      <w:marBottom w:val="0"/>
      <w:divBdr>
        <w:top w:val="none" w:sz="0" w:space="0" w:color="auto"/>
        <w:left w:val="none" w:sz="0" w:space="0" w:color="auto"/>
        <w:bottom w:val="none" w:sz="0" w:space="0" w:color="auto"/>
        <w:right w:val="none" w:sz="0" w:space="0" w:color="auto"/>
      </w:divBdr>
    </w:div>
    <w:div w:id="188497245">
      <w:bodyDiv w:val="1"/>
      <w:marLeft w:val="0"/>
      <w:marRight w:val="0"/>
      <w:marTop w:val="0"/>
      <w:marBottom w:val="0"/>
      <w:divBdr>
        <w:top w:val="none" w:sz="0" w:space="0" w:color="auto"/>
        <w:left w:val="none" w:sz="0" w:space="0" w:color="auto"/>
        <w:bottom w:val="none" w:sz="0" w:space="0" w:color="auto"/>
        <w:right w:val="none" w:sz="0" w:space="0" w:color="auto"/>
      </w:divBdr>
    </w:div>
    <w:div w:id="250282164">
      <w:bodyDiv w:val="1"/>
      <w:marLeft w:val="0"/>
      <w:marRight w:val="0"/>
      <w:marTop w:val="0"/>
      <w:marBottom w:val="0"/>
      <w:divBdr>
        <w:top w:val="none" w:sz="0" w:space="0" w:color="auto"/>
        <w:left w:val="none" w:sz="0" w:space="0" w:color="auto"/>
        <w:bottom w:val="none" w:sz="0" w:space="0" w:color="auto"/>
        <w:right w:val="none" w:sz="0" w:space="0" w:color="auto"/>
      </w:divBdr>
    </w:div>
    <w:div w:id="324672542">
      <w:bodyDiv w:val="1"/>
      <w:marLeft w:val="0"/>
      <w:marRight w:val="0"/>
      <w:marTop w:val="0"/>
      <w:marBottom w:val="0"/>
      <w:divBdr>
        <w:top w:val="none" w:sz="0" w:space="0" w:color="auto"/>
        <w:left w:val="none" w:sz="0" w:space="0" w:color="auto"/>
        <w:bottom w:val="none" w:sz="0" w:space="0" w:color="auto"/>
        <w:right w:val="none" w:sz="0" w:space="0" w:color="auto"/>
      </w:divBdr>
    </w:div>
    <w:div w:id="544830073">
      <w:bodyDiv w:val="1"/>
      <w:marLeft w:val="0"/>
      <w:marRight w:val="0"/>
      <w:marTop w:val="0"/>
      <w:marBottom w:val="0"/>
      <w:divBdr>
        <w:top w:val="none" w:sz="0" w:space="0" w:color="auto"/>
        <w:left w:val="none" w:sz="0" w:space="0" w:color="auto"/>
        <w:bottom w:val="none" w:sz="0" w:space="0" w:color="auto"/>
        <w:right w:val="none" w:sz="0" w:space="0" w:color="auto"/>
      </w:divBdr>
    </w:div>
    <w:div w:id="698315670">
      <w:bodyDiv w:val="1"/>
      <w:marLeft w:val="0"/>
      <w:marRight w:val="0"/>
      <w:marTop w:val="0"/>
      <w:marBottom w:val="0"/>
      <w:divBdr>
        <w:top w:val="none" w:sz="0" w:space="0" w:color="auto"/>
        <w:left w:val="none" w:sz="0" w:space="0" w:color="auto"/>
        <w:bottom w:val="none" w:sz="0" w:space="0" w:color="auto"/>
        <w:right w:val="none" w:sz="0" w:space="0" w:color="auto"/>
      </w:divBdr>
    </w:div>
    <w:div w:id="798299523">
      <w:bodyDiv w:val="1"/>
      <w:marLeft w:val="0"/>
      <w:marRight w:val="0"/>
      <w:marTop w:val="0"/>
      <w:marBottom w:val="0"/>
      <w:divBdr>
        <w:top w:val="none" w:sz="0" w:space="0" w:color="auto"/>
        <w:left w:val="none" w:sz="0" w:space="0" w:color="auto"/>
        <w:bottom w:val="none" w:sz="0" w:space="0" w:color="auto"/>
        <w:right w:val="none" w:sz="0" w:space="0" w:color="auto"/>
      </w:divBdr>
    </w:div>
    <w:div w:id="799081030">
      <w:bodyDiv w:val="1"/>
      <w:marLeft w:val="0"/>
      <w:marRight w:val="0"/>
      <w:marTop w:val="0"/>
      <w:marBottom w:val="0"/>
      <w:divBdr>
        <w:top w:val="none" w:sz="0" w:space="0" w:color="auto"/>
        <w:left w:val="none" w:sz="0" w:space="0" w:color="auto"/>
        <w:bottom w:val="none" w:sz="0" w:space="0" w:color="auto"/>
        <w:right w:val="none" w:sz="0" w:space="0" w:color="auto"/>
      </w:divBdr>
    </w:div>
    <w:div w:id="879787376">
      <w:bodyDiv w:val="1"/>
      <w:marLeft w:val="0"/>
      <w:marRight w:val="0"/>
      <w:marTop w:val="0"/>
      <w:marBottom w:val="0"/>
      <w:divBdr>
        <w:top w:val="none" w:sz="0" w:space="0" w:color="auto"/>
        <w:left w:val="none" w:sz="0" w:space="0" w:color="auto"/>
        <w:bottom w:val="none" w:sz="0" w:space="0" w:color="auto"/>
        <w:right w:val="none" w:sz="0" w:space="0" w:color="auto"/>
      </w:divBdr>
      <w:divsChild>
        <w:div w:id="1384211067">
          <w:marLeft w:val="0"/>
          <w:marRight w:val="0"/>
          <w:marTop w:val="0"/>
          <w:marBottom w:val="0"/>
          <w:divBdr>
            <w:top w:val="none" w:sz="0" w:space="0" w:color="auto"/>
            <w:left w:val="single" w:sz="6" w:space="0" w:color="BBBBBB"/>
            <w:bottom w:val="single" w:sz="6" w:space="0" w:color="BBBBBB"/>
            <w:right w:val="single" w:sz="6" w:space="0" w:color="BBBBBB"/>
          </w:divBdr>
          <w:divsChild>
            <w:div w:id="1516076413">
              <w:marLeft w:val="0"/>
              <w:marRight w:val="0"/>
              <w:marTop w:val="0"/>
              <w:marBottom w:val="0"/>
              <w:divBdr>
                <w:top w:val="none" w:sz="0" w:space="0" w:color="auto"/>
                <w:left w:val="none" w:sz="0" w:space="0" w:color="auto"/>
                <w:bottom w:val="none" w:sz="0" w:space="0" w:color="auto"/>
                <w:right w:val="none" w:sz="0" w:space="0" w:color="auto"/>
              </w:divBdr>
              <w:divsChild>
                <w:div w:id="1106079981">
                  <w:marLeft w:val="0"/>
                  <w:marRight w:val="0"/>
                  <w:marTop w:val="0"/>
                  <w:marBottom w:val="0"/>
                  <w:divBdr>
                    <w:top w:val="none" w:sz="0" w:space="0" w:color="auto"/>
                    <w:left w:val="none" w:sz="0" w:space="0" w:color="auto"/>
                    <w:bottom w:val="none" w:sz="0" w:space="0" w:color="auto"/>
                    <w:right w:val="none" w:sz="0" w:space="0" w:color="auto"/>
                  </w:divBdr>
                  <w:divsChild>
                    <w:div w:id="1637684210">
                      <w:marLeft w:val="0"/>
                      <w:marRight w:val="0"/>
                      <w:marTop w:val="0"/>
                      <w:marBottom w:val="0"/>
                      <w:divBdr>
                        <w:top w:val="none" w:sz="0" w:space="0" w:color="auto"/>
                        <w:left w:val="none" w:sz="0" w:space="0" w:color="auto"/>
                        <w:bottom w:val="none" w:sz="0" w:space="0" w:color="auto"/>
                        <w:right w:val="none" w:sz="0" w:space="0" w:color="auto"/>
                      </w:divBdr>
                      <w:divsChild>
                        <w:div w:id="417334672">
                          <w:marLeft w:val="0"/>
                          <w:marRight w:val="0"/>
                          <w:marTop w:val="0"/>
                          <w:marBottom w:val="0"/>
                          <w:divBdr>
                            <w:top w:val="none" w:sz="0" w:space="0" w:color="auto"/>
                            <w:left w:val="none" w:sz="0" w:space="0" w:color="auto"/>
                            <w:bottom w:val="none" w:sz="0" w:space="0" w:color="auto"/>
                            <w:right w:val="none" w:sz="0" w:space="0" w:color="auto"/>
                          </w:divBdr>
                          <w:divsChild>
                            <w:div w:id="668141446">
                              <w:marLeft w:val="0"/>
                              <w:marRight w:val="0"/>
                              <w:marTop w:val="0"/>
                              <w:marBottom w:val="0"/>
                              <w:divBdr>
                                <w:top w:val="none" w:sz="0" w:space="0" w:color="auto"/>
                                <w:left w:val="none" w:sz="0" w:space="0" w:color="auto"/>
                                <w:bottom w:val="none" w:sz="0" w:space="0" w:color="auto"/>
                                <w:right w:val="none" w:sz="0" w:space="0" w:color="auto"/>
                              </w:divBdr>
                              <w:divsChild>
                                <w:div w:id="1143428663">
                                  <w:marLeft w:val="0"/>
                                  <w:marRight w:val="0"/>
                                  <w:marTop w:val="0"/>
                                  <w:marBottom w:val="0"/>
                                  <w:divBdr>
                                    <w:top w:val="none" w:sz="0" w:space="0" w:color="auto"/>
                                    <w:left w:val="none" w:sz="0" w:space="0" w:color="auto"/>
                                    <w:bottom w:val="none" w:sz="0" w:space="0" w:color="auto"/>
                                    <w:right w:val="none" w:sz="0" w:space="0" w:color="auto"/>
                                  </w:divBdr>
                                  <w:divsChild>
                                    <w:div w:id="930624003">
                                      <w:marLeft w:val="0"/>
                                      <w:marRight w:val="0"/>
                                      <w:marTop w:val="0"/>
                                      <w:marBottom w:val="0"/>
                                      <w:divBdr>
                                        <w:top w:val="none" w:sz="0" w:space="0" w:color="auto"/>
                                        <w:left w:val="none" w:sz="0" w:space="0" w:color="auto"/>
                                        <w:bottom w:val="none" w:sz="0" w:space="0" w:color="auto"/>
                                        <w:right w:val="none" w:sz="0" w:space="0" w:color="auto"/>
                                      </w:divBdr>
                                      <w:divsChild>
                                        <w:div w:id="813525731">
                                          <w:marLeft w:val="1200"/>
                                          <w:marRight w:val="1200"/>
                                          <w:marTop w:val="0"/>
                                          <w:marBottom w:val="0"/>
                                          <w:divBdr>
                                            <w:top w:val="none" w:sz="0" w:space="0" w:color="auto"/>
                                            <w:left w:val="none" w:sz="0" w:space="0" w:color="auto"/>
                                            <w:bottom w:val="none" w:sz="0" w:space="0" w:color="auto"/>
                                            <w:right w:val="none" w:sz="0" w:space="0" w:color="auto"/>
                                          </w:divBdr>
                                          <w:divsChild>
                                            <w:div w:id="1820153259">
                                              <w:marLeft w:val="0"/>
                                              <w:marRight w:val="0"/>
                                              <w:marTop w:val="0"/>
                                              <w:marBottom w:val="0"/>
                                              <w:divBdr>
                                                <w:top w:val="none" w:sz="0" w:space="0" w:color="auto"/>
                                                <w:left w:val="none" w:sz="0" w:space="0" w:color="auto"/>
                                                <w:bottom w:val="none" w:sz="0" w:space="0" w:color="auto"/>
                                                <w:right w:val="none" w:sz="0" w:space="0" w:color="auto"/>
                                              </w:divBdr>
                                              <w:divsChild>
                                                <w:div w:id="814880505">
                                                  <w:marLeft w:val="0"/>
                                                  <w:marRight w:val="0"/>
                                                  <w:marTop w:val="0"/>
                                                  <w:marBottom w:val="0"/>
                                                  <w:divBdr>
                                                    <w:top w:val="none" w:sz="0" w:space="0" w:color="auto"/>
                                                    <w:left w:val="none" w:sz="0" w:space="0" w:color="auto"/>
                                                    <w:bottom w:val="none" w:sz="0" w:space="0" w:color="auto"/>
                                                    <w:right w:val="none" w:sz="0" w:space="0" w:color="auto"/>
                                                  </w:divBdr>
                                                  <w:divsChild>
                                                    <w:div w:id="1538270879">
                                                      <w:marLeft w:val="0"/>
                                                      <w:marRight w:val="0"/>
                                                      <w:marTop w:val="0"/>
                                                      <w:marBottom w:val="0"/>
                                                      <w:divBdr>
                                                        <w:top w:val="none" w:sz="0" w:space="0" w:color="auto"/>
                                                        <w:left w:val="none" w:sz="0" w:space="0" w:color="auto"/>
                                                        <w:bottom w:val="none" w:sz="0" w:space="0" w:color="auto"/>
                                                        <w:right w:val="none" w:sz="0" w:space="0" w:color="auto"/>
                                                      </w:divBdr>
                                                      <w:divsChild>
                                                        <w:div w:id="1294479936">
                                                          <w:marLeft w:val="0"/>
                                                          <w:marRight w:val="0"/>
                                                          <w:marTop w:val="0"/>
                                                          <w:marBottom w:val="0"/>
                                                          <w:divBdr>
                                                            <w:top w:val="none" w:sz="0" w:space="0" w:color="auto"/>
                                                            <w:left w:val="none" w:sz="0" w:space="0" w:color="auto"/>
                                                            <w:bottom w:val="none" w:sz="0" w:space="0" w:color="auto"/>
                                                            <w:right w:val="none" w:sz="0" w:space="0" w:color="auto"/>
                                                          </w:divBdr>
                                                          <w:divsChild>
                                                            <w:div w:id="958298302">
                                                              <w:marLeft w:val="0"/>
                                                              <w:marRight w:val="0"/>
                                                              <w:marTop w:val="0"/>
                                                              <w:marBottom w:val="0"/>
                                                              <w:divBdr>
                                                                <w:top w:val="none" w:sz="0" w:space="0" w:color="auto"/>
                                                                <w:left w:val="none" w:sz="0" w:space="0" w:color="auto"/>
                                                                <w:bottom w:val="none" w:sz="0" w:space="0" w:color="auto"/>
                                                                <w:right w:val="none" w:sz="0" w:space="0" w:color="auto"/>
                                                              </w:divBdr>
                                                              <w:divsChild>
                                                                <w:div w:id="1579825244">
                                                                  <w:marLeft w:val="0"/>
                                                                  <w:marRight w:val="0"/>
                                                                  <w:marTop w:val="0"/>
                                                                  <w:marBottom w:val="0"/>
                                                                  <w:divBdr>
                                                                    <w:top w:val="none" w:sz="0" w:space="0" w:color="auto"/>
                                                                    <w:left w:val="none" w:sz="0" w:space="0" w:color="auto"/>
                                                                    <w:bottom w:val="none" w:sz="0" w:space="0" w:color="auto"/>
                                                                    <w:right w:val="none" w:sz="0" w:space="0" w:color="auto"/>
                                                                  </w:divBdr>
                                                                  <w:divsChild>
                                                                    <w:div w:id="601497348">
                                                                      <w:marLeft w:val="0"/>
                                                                      <w:marRight w:val="0"/>
                                                                      <w:marTop w:val="0"/>
                                                                      <w:marBottom w:val="0"/>
                                                                      <w:divBdr>
                                                                        <w:top w:val="none" w:sz="0" w:space="0" w:color="auto"/>
                                                                        <w:left w:val="none" w:sz="0" w:space="0" w:color="auto"/>
                                                                        <w:bottom w:val="none" w:sz="0" w:space="0" w:color="auto"/>
                                                                        <w:right w:val="none" w:sz="0" w:space="0" w:color="auto"/>
                                                                      </w:divBdr>
                                                                      <w:divsChild>
                                                                        <w:div w:id="448404042">
                                                                          <w:marLeft w:val="0"/>
                                                                          <w:marRight w:val="0"/>
                                                                          <w:marTop w:val="0"/>
                                                                          <w:marBottom w:val="0"/>
                                                                          <w:divBdr>
                                                                            <w:top w:val="none" w:sz="0" w:space="0" w:color="auto"/>
                                                                            <w:left w:val="none" w:sz="0" w:space="0" w:color="auto"/>
                                                                            <w:bottom w:val="none" w:sz="0" w:space="0" w:color="auto"/>
                                                                            <w:right w:val="none" w:sz="0" w:space="0" w:color="auto"/>
                                                                          </w:divBdr>
                                                                          <w:divsChild>
                                                                            <w:div w:id="1031803212">
                                                                              <w:marLeft w:val="0"/>
                                                                              <w:marRight w:val="0"/>
                                                                              <w:marTop w:val="0"/>
                                                                              <w:marBottom w:val="0"/>
                                                                              <w:divBdr>
                                                                                <w:top w:val="none" w:sz="0" w:space="0" w:color="auto"/>
                                                                                <w:left w:val="none" w:sz="0" w:space="0" w:color="auto"/>
                                                                                <w:bottom w:val="none" w:sz="0" w:space="0" w:color="auto"/>
                                                                                <w:right w:val="none" w:sz="0" w:space="0" w:color="auto"/>
                                                                              </w:divBdr>
                                                                              <w:divsChild>
                                                                                <w:div w:id="2001613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4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694465">
      <w:bodyDiv w:val="1"/>
      <w:marLeft w:val="0"/>
      <w:marRight w:val="0"/>
      <w:marTop w:val="0"/>
      <w:marBottom w:val="0"/>
      <w:divBdr>
        <w:top w:val="none" w:sz="0" w:space="0" w:color="auto"/>
        <w:left w:val="none" w:sz="0" w:space="0" w:color="auto"/>
        <w:bottom w:val="none" w:sz="0" w:space="0" w:color="auto"/>
        <w:right w:val="none" w:sz="0" w:space="0" w:color="auto"/>
      </w:divBdr>
    </w:div>
    <w:div w:id="924534669">
      <w:bodyDiv w:val="1"/>
      <w:marLeft w:val="0"/>
      <w:marRight w:val="0"/>
      <w:marTop w:val="0"/>
      <w:marBottom w:val="0"/>
      <w:divBdr>
        <w:top w:val="none" w:sz="0" w:space="0" w:color="auto"/>
        <w:left w:val="none" w:sz="0" w:space="0" w:color="auto"/>
        <w:bottom w:val="none" w:sz="0" w:space="0" w:color="auto"/>
        <w:right w:val="none" w:sz="0" w:space="0" w:color="auto"/>
      </w:divBdr>
    </w:div>
    <w:div w:id="930240840">
      <w:bodyDiv w:val="1"/>
      <w:marLeft w:val="0"/>
      <w:marRight w:val="0"/>
      <w:marTop w:val="0"/>
      <w:marBottom w:val="0"/>
      <w:divBdr>
        <w:top w:val="none" w:sz="0" w:space="0" w:color="auto"/>
        <w:left w:val="none" w:sz="0" w:space="0" w:color="auto"/>
        <w:bottom w:val="none" w:sz="0" w:space="0" w:color="auto"/>
        <w:right w:val="none" w:sz="0" w:space="0" w:color="auto"/>
      </w:divBdr>
    </w:div>
    <w:div w:id="1280142562">
      <w:bodyDiv w:val="1"/>
      <w:marLeft w:val="0"/>
      <w:marRight w:val="0"/>
      <w:marTop w:val="0"/>
      <w:marBottom w:val="0"/>
      <w:divBdr>
        <w:top w:val="none" w:sz="0" w:space="0" w:color="auto"/>
        <w:left w:val="none" w:sz="0" w:space="0" w:color="auto"/>
        <w:bottom w:val="none" w:sz="0" w:space="0" w:color="auto"/>
        <w:right w:val="none" w:sz="0" w:space="0" w:color="auto"/>
      </w:divBdr>
    </w:div>
    <w:div w:id="1430159206">
      <w:bodyDiv w:val="1"/>
      <w:marLeft w:val="0"/>
      <w:marRight w:val="0"/>
      <w:marTop w:val="0"/>
      <w:marBottom w:val="0"/>
      <w:divBdr>
        <w:top w:val="none" w:sz="0" w:space="0" w:color="auto"/>
        <w:left w:val="none" w:sz="0" w:space="0" w:color="auto"/>
        <w:bottom w:val="none" w:sz="0" w:space="0" w:color="auto"/>
        <w:right w:val="none" w:sz="0" w:space="0" w:color="auto"/>
      </w:divBdr>
    </w:div>
    <w:div w:id="1470130094">
      <w:bodyDiv w:val="1"/>
      <w:marLeft w:val="0"/>
      <w:marRight w:val="0"/>
      <w:marTop w:val="0"/>
      <w:marBottom w:val="0"/>
      <w:divBdr>
        <w:top w:val="none" w:sz="0" w:space="0" w:color="auto"/>
        <w:left w:val="none" w:sz="0" w:space="0" w:color="auto"/>
        <w:bottom w:val="none" w:sz="0" w:space="0" w:color="auto"/>
        <w:right w:val="none" w:sz="0" w:space="0" w:color="auto"/>
      </w:divBdr>
      <w:divsChild>
        <w:div w:id="1849060979">
          <w:marLeft w:val="0"/>
          <w:marRight w:val="0"/>
          <w:marTop w:val="0"/>
          <w:marBottom w:val="0"/>
          <w:divBdr>
            <w:top w:val="none" w:sz="0" w:space="0" w:color="auto"/>
            <w:left w:val="none" w:sz="0" w:space="0" w:color="auto"/>
            <w:bottom w:val="none" w:sz="0" w:space="0" w:color="auto"/>
            <w:right w:val="none" w:sz="0" w:space="0" w:color="auto"/>
          </w:divBdr>
        </w:div>
      </w:divsChild>
    </w:div>
    <w:div w:id="1505826205">
      <w:bodyDiv w:val="1"/>
      <w:marLeft w:val="0"/>
      <w:marRight w:val="0"/>
      <w:marTop w:val="0"/>
      <w:marBottom w:val="0"/>
      <w:divBdr>
        <w:top w:val="none" w:sz="0" w:space="0" w:color="auto"/>
        <w:left w:val="none" w:sz="0" w:space="0" w:color="auto"/>
        <w:bottom w:val="none" w:sz="0" w:space="0" w:color="auto"/>
        <w:right w:val="none" w:sz="0" w:space="0" w:color="auto"/>
      </w:divBdr>
    </w:div>
    <w:div w:id="1597666801">
      <w:bodyDiv w:val="1"/>
      <w:marLeft w:val="0"/>
      <w:marRight w:val="0"/>
      <w:marTop w:val="0"/>
      <w:marBottom w:val="0"/>
      <w:divBdr>
        <w:top w:val="none" w:sz="0" w:space="0" w:color="auto"/>
        <w:left w:val="none" w:sz="0" w:space="0" w:color="auto"/>
        <w:bottom w:val="none" w:sz="0" w:space="0" w:color="auto"/>
        <w:right w:val="none" w:sz="0" w:space="0" w:color="auto"/>
      </w:divBdr>
    </w:div>
    <w:div w:id="1663502887">
      <w:bodyDiv w:val="1"/>
      <w:marLeft w:val="0"/>
      <w:marRight w:val="0"/>
      <w:marTop w:val="0"/>
      <w:marBottom w:val="0"/>
      <w:divBdr>
        <w:top w:val="none" w:sz="0" w:space="0" w:color="auto"/>
        <w:left w:val="none" w:sz="0" w:space="0" w:color="auto"/>
        <w:bottom w:val="none" w:sz="0" w:space="0" w:color="auto"/>
        <w:right w:val="none" w:sz="0" w:space="0" w:color="auto"/>
      </w:divBdr>
    </w:div>
    <w:div w:id="1723746645">
      <w:bodyDiv w:val="1"/>
      <w:marLeft w:val="0"/>
      <w:marRight w:val="0"/>
      <w:marTop w:val="0"/>
      <w:marBottom w:val="0"/>
      <w:divBdr>
        <w:top w:val="none" w:sz="0" w:space="0" w:color="auto"/>
        <w:left w:val="none" w:sz="0" w:space="0" w:color="auto"/>
        <w:bottom w:val="none" w:sz="0" w:space="0" w:color="auto"/>
        <w:right w:val="none" w:sz="0" w:space="0" w:color="auto"/>
      </w:divBdr>
      <w:divsChild>
        <w:div w:id="664477154">
          <w:marLeft w:val="0"/>
          <w:marRight w:val="0"/>
          <w:marTop w:val="0"/>
          <w:marBottom w:val="0"/>
          <w:divBdr>
            <w:top w:val="none" w:sz="0" w:space="0" w:color="auto"/>
            <w:left w:val="single" w:sz="6" w:space="0" w:color="BBBBBB"/>
            <w:bottom w:val="single" w:sz="6" w:space="0" w:color="BBBBBB"/>
            <w:right w:val="single" w:sz="6" w:space="0" w:color="BBBBBB"/>
          </w:divBdr>
          <w:divsChild>
            <w:div w:id="1198393589">
              <w:marLeft w:val="0"/>
              <w:marRight w:val="0"/>
              <w:marTop w:val="0"/>
              <w:marBottom w:val="0"/>
              <w:divBdr>
                <w:top w:val="none" w:sz="0" w:space="0" w:color="auto"/>
                <w:left w:val="none" w:sz="0" w:space="0" w:color="auto"/>
                <w:bottom w:val="none" w:sz="0" w:space="0" w:color="auto"/>
                <w:right w:val="none" w:sz="0" w:space="0" w:color="auto"/>
              </w:divBdr>
              <w:divsChild>
                <w:div w:id="883982310">
                  <w:marLeft w:val="0"/>
                  <w:marRight w:val="0"/>
                  <w:marTop w:val="0"/>
                  <w:marBottom w:val="0"/>
                  <w:divBdr>
                    <w:top w:val="none" w:sz="0" w:space="0" w:color="auto"/>
                    <w:left w:val="none" w:sz="0" w:space="0" w:color="auto"/>
                    <w:bottom w:val="none" w:sz="0" w:space="0" w:color="auto"/>
                    <w:right w:val="none" w:sz="0" w:space="0" w:color="auto"/>
                  </w:divBdr>
                  <w:divsChild>
                    <w:div w:id="1649672644">
                      <w:marLeft w:val="0"/>
                      <w:marRight w:val="0"/>
                      <w:marTop w:val="0"/>
                      <w:marBottom w:val="0"/>
                      <w:divBdr>
                        <w:top w:val="none" w:sz="0" w:space="0" w:color="auto"/>
                        <w:left w:val="none" w:sz="0" w:space="0" w:color="auto"/>
                        <w:bottom w:val="none" w:sz="0" w:space="0" w:color="auto"/>
                        <w:right w:val="none" w:sz="0" w:space="0" w:color="auto"/>
                      </w:divBdr>
                      <w:divsChild>
                        <w:div w:id="1425609135">
                          <w:marLeft w:val="0"/>
                          <w:marRight w:val="0"/>
                          <w:marTop w:val="0"/>
                          <w:marBottom w:val="0"/>
                          <w:divBdr>
                            <w:top w:val="none" w:sz="0" w:space="0" w:color="auto"/>
                            <w:left w:val="none" w:sz="0" w:space="0" w:color="auto"/>
                            <w:bottom w:val="none" w:sz="0" w:space="0" w:color="auto"/>
                            <w:right w:val="none" w:sz="0" w:space="0" w:color="auto"/>
                          </w:divBdr>
                          <w:divsChild>
                            <w:div w:id="2054959900">
                              <w:marLeft w:val="0"/>
                              <w:marRight w:val="0"/>
                              <w:marTop w:val="0"/>
                              <w:marBottom w:val="0"/>
                              <w:divBdr>
                                <w:top w:val="none" w:sz="0" w:space="0" w:color="auto"/>
                                <w:left w:val="none" w:sz="0" w:space="0" w:color="auto"/>
                                <w:bottom w:val="none" w:sz="0" w:space="0" w:color="auto"/>
                                <w:right w:val="none" w:sz="0" w:space="0" w:color="auto"/>
                              </w:divBdr>
                              <w:divsChild>
                                <w:div w:id="929041038">
                                  <w:marLeft w:val="0"/>
                                  <w:marRight w:val="0"/>
                                  <w:marTop w:val="0"/>
                                  <w:marBottom w:val="0"/>
                                  <w:divBdr>
                                    <w:top w:val="none" w:sz="0" w:space="0" w:color="auto"/>
                                    <w:left w:val="none" w:sz="0" w:space="0" w:color="auto"/>
                                    <w:bottom w:val="none" w:sz="0" w:space="0" w:color="auto"/>
                                    <w:right w:val="none" w:sz="0" w:space="0" w:color="auto"/>
                                  </w:divBdr>
                                  <w:divsChild>
                                    <w:div w:id="2056274930">
                                      <w:marLeft w:val="0"/>
                                      <w:marRight w:val="0"/>
                                      <w:marTop w:val="0"/>
                                      <w:marBottom w:val="0"/>
                                      <w:divBdr>
                                        <w:top w:val="none" w:sz="0" w:space="0" w:color="auto"/>
                                        <w:left w:val="none" w:sz="0" w:space="0" w:color="auto"/>
                                        <w:bottom w:val="none" w:sz="0" w:space="0" w:color="auto"/>
                                        <w:right w:val="none" w:sz="0" w:space="0" w:color="auto"/>
                                      </w:divBdr>
                                      <w:divsChild>
                                        <w:div w:id="110439984">
                                          <w:marLeft w:val="1200"/>
                                          <w:marRight w:val="1200"/>
                                          <w:marTop w:val="0"/>
                                          <w:marBottom w:val="0"/>
                                          <w:divBdr>
                                            <w:top w:val="none" w:sz="0" w:space="0" w:color="auto"/>
                                            <w:left w:val="none" w:sz="0" w:space="0" w:color="auto"/>
                                            <w:bottom w:val="none" w:sz="0" w:space="0" w:color="auto"/>
                                            <w:right w:val="none" w:sz="0" w:space="0" w:color="auto"/>
                                          </w:divBdr>
                                          <w:divsChild>
                                            <w:div w:id="1769498585">
                                              <w:marLeft w:val="0"/>
                                              <w:marRight w:val="0"/>
                                              <w:marTop w:val="0"/>
                                              <w:marBottom w:val="0"/>
                                              <w:divBdr>
                                                <w:top w:val="none" w:sz="0" w:space="0" w:color="auto"/>
                                                <w:left w:val="none" w:sz="0" w:space="0" w:color="auto"/>
                                                <w:bottom w:val="none" w:sz="0" w:space="0" w:color="auto"/>
                                                <w:right w:val="none" w:sz="0" w:space="0" w:color="auto"/>
                                              </w:divBdr>
                                              <w:divsChild>
                                                <w:div w:id="868835354">
                                                  <w:marLeft w:val="0"/>
                                                  <w:marRight w:val="0"/>
                                                  <w:marTop w:val="0"/>
                                                  <w:marBottom w:val="0"/>
                                                  <w:divBdr>
                                                    <w:top w:val="none" w:sz="0" w:space="0" w:color="auto"/>
                                                    <w:left w:val="none" w:sz="0" w:space="0" w:color="auto"/>
                                                    <w:bottom w:val="none" w:sz="0" w:space="0" w:color="auto"/>
                                                    <w:right w:val="none" w:sz="0" w:space="0" w:color="auto"/>
                                                  </w:divBdr>
                                                  <w:divsChild>
                                                    <w:div w:id="865941899">
                                                      <w:marLeft w:val="0"/>
                                                      <w:marRight w:val="0"/>
                                                      <w:marTop w:val="0"/>
                                                      <w:marBottom w:val="0"/>
                                                      <w:divBdr>
                                                        <w:top w:val="none" w:sz="0" w:space="0" w:color="auto"/>
                                                        <w:left w:val="none" w:sz="0" w:space="0" w:color="auto"/>
                                                        <w:bottom w:val="none" w:sz="0" w:space="0" w:color="auto"/>
                                                        <w:right w:val="none" w:sz="0" w:space="0" w:color="auto"/>
                                                      </w:divBdr>
                                                      <w:divsChild>
                                                        <w:div w:id="1615167131">
                                                          <w:marLeft w:val="0"/>
                                                          <w:marRight w:val="0"/>
                                                          <w:marTop w:val="0"/>
                                                          <w:marBottom w:val="0"/>
                                                          <w:divBdr>
                                                            <w:top w:val="none" w:sz="0" w:space="0" w:color="auto"/>
                                                            <w:left w:val="none" w:sz="0" w:space="0" w:color="auto"/>
                                                            <w:bottom w:val="none" w:sz="0" w:space="0" w:color="auto"/>
                                                            <w:right w:val="none" w:sz="0" w:space="0" w:color="auto"/>
                                                          </w:divBdr>
                                                        </w:div>
                                                        <w:div w:id="442463131">
                                                          <w:marLeft w:val="0"/>
                                                          <w:marRight w:val="0"/>
                                                          <w:marTop w:val="0"/>
                                                          <w:marBottom w:val="0"/>
                                                          <w:divBdr>
                                                            <w:top w:val="none" w:sz="0" w:space="0" w:color="auto"/>
                                                            <w:left w:val="none" w:sz="0" w:space="0" w:color="auto"/>
                                                            <w:bottom w:val="none" w:sz="0" w:space="0" w:color="auto"/>
                                                            <w:right w:val="none" w:sz="0" w:space="0" w:color="auto"/>
                                                          </w:divBdr>
                                                          <w:divsChild>
                                                            <w:div w:id="508451373">
                                                              <w:marLeft w:val="0"/>
                                                              <w:marRight w:val="0"/>
                                                              <w:marTop w:val="0"/>
                                                              <w:marBottom w:val="0"/>
                                                              <w:divBdr>
                                                                <w:top w:val="none" w:sz="0" w:space="0" w:color="auto"/>
                                                                <w:left w:val="none" w:sz="0" w:space="0" w:color="auto"/>
                                                                <w:bottom w:val="none" w:sz="0" w:space="0" w:color="auto"/>
                                                                <w:right w:val="none" w:sz="0" w:space="0" w:color="auto"/>
                                                              </w:divBdr>
                                                              <w:divsChild>
                                                                <w:div w:id="1118530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4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3348968">
      <w:bodyDiv w:val="1"/>
      <w:marLeft w:val="0"/>
      <w:marRight w:val="0"/>
      <w:marTop w:val="0"/>
      <w:marBottom w:val="0"/>
      <w:divBdr>
        <w:top w:val="none" w:sz="0" w:space="0" w:color="auto"/>
        <w:left w:val="none" w:sz="0" w:space="0" w:color="auto"/>
        <w:bottom w:val="none" w:sz="0" w:space="0" w:color="auto"/>
        <w:right w:val="none" w:sz="0" w:space="0" w:color="auto"/>
      </w:divBdr>
    </w:div>
    <w:div w:id="1875069579">
      <w:bodyDiv w:val="1"/>
      <w:marLeft w:val="0"/>
      <w:marRight w:val="0"/>
      <w:marTop w:val="0"/>
      <w:marBottom w:val="0"/>
      <w:divBdr>
        <w:top w:val="none" w:sz="0" w:space="0" w:color="auto"/>
        <w:left w:val="none" w:sz="0" w:space="0" w:color="auto"/>
        <w:bottom w:val="none" w:sz="0" w:space="0" w:color="auto"/>
        <w:right w:val="none" w:sz="0" w:space="0" w:color="auto"/>
      </w:divBdr>
    </w:div>
    <w:div w:id="1881085699">
      <w:bodyDiv w:val="1"/>
      <w:marLeft w:val="0"/>
      <w:marRight w:val="0"/>
      <w:marTop w:val="0"/>
      <w:marBottom w:val="0"/>
      <w:divBdr>
        <w:top w:val="none" w:sz="0" w:space="0" w:color="auto"/>
        <w:left w:val="none" w:sz="0" w:space="0" w:color="auto"/>
        <w:bottom w:val="none" w:sz="0" w:space="0" w:color="auto"/>
        <w:right w:val="none" w:sz="0" w:space="0" w:color="auto"/>
      </w:divBdr>
    </w:div>
    <w:div w:id="1908226873">
      <w:bodyDiv w:val="1"/>
      <w:marLeft w:val="0"/>
      <w:marRight w:val="0"/>
      <w:marTop w:val="0"/>
      <w:marBottom w:val="0"/>
      <w:divBdr>
        <w:top w:val="none" w:sz="0" w:space="0" w:color="auto"/>
        <w:left w:val="none" w:sz="0" w:space="0" w:color="auto"/>
        <w:bottom w:val="none" w:sz="0" w:space="0" w:color="auto"/>
        <w:right w:val="none" w:sz="0" w:space="0" w:color="auto"/>
      </w:divBdr>
    </w:div>
    <w:div w:id="2092266744">
      <w:bodyDiv w:val="1"/>
      <w:marLeft w:val="0"/>
      <w:marRight w:val="0"/>
      <w:marTop w:val="0"/>
      <w:marBottom w:val="0"/>
      <w:divBdr>
        <w:top w:val="none" w:sz="0" w:space="0" w:color="auto"/>
        <w:left w:val="none" w:sz="0" w:space="0" w:color="auto"/>
        <w:bottom w:val="none" w:sz="0" w:space="0" w:color="auto"/>
        <w:right w:val="none" w:sz="0" w:space="0" w:color="auto"/>
      </w:divBdr>
    </w:div>
    <w:div w:id="2144957032">
      <w:bodyDiv w:val="1"/>
      <w:marLeft w:val="0"/>
      <w:marRight w:val="0"/>
      <w:marTop w:val="0"/>
      <w:marBottom w:val="0"/>
      <w:divBdr>
        <w:top w:val="none" w:sz="0" w:space="0" w:color="auto"/>
        <w:left w:val="none" w:sz="0" w:space="0" w:color="auto"/>
        <w:bottom w:val="none" w:sz="0" w:space="0" w:color="auto"/>
        <w:right w:val="none" w:sz="0" w:space="0" w:color="auto"/>
      </w:divBdr>
      <w:divsChild>
        <w:div w:id="280766053">
          <w:marLeft w:val="0"/>
          <w:marRight w:val="0"/>
          <w:marTop w:val="0"/>
          <w:marBottom w:val="0"/>
          <w:divBdr>
            <w:top w:val="none" w:sz="0" w:space="0" w:color="auto"/>
            <w:left w:val="single" w:sz="6" w:space="0" w:color="BBBBBB"/>
            <w:bottom w:val="single" w:sz="6" w:space="0" w:color="BBBBBB"/>
            <w:right w:val="single" w:sz="6" w:space="0" w:color="BBBBBB"/>
          </w:divBdr>
          <w:divsChild>
            <w:div w:id="1475948664">
              <w:marLeft w:val="0"/>
              <w:marRight w:val="0"/>
              <w:marTop w:val="0"/>
              <w:marBottom w:val="0"/>
              <w:divBdr>
                <w:top w:val="none" w:sz="0" w:space="0" w:color="auto"/>
                <w:left w:val="none" w:sz="0" w:space="0" w:color="auto"/>
                <w:bottom w:val="none" w:sz="0" w:space="0" w:color="auto"/>
                <w:right w:val="none" w:sz="0" w:space="0" w:color="auto"/>
              </w:divBdr>
              <w:divsChild>
                <w:div w:id="1939630777">
                  <w:marLeft w:val="0"/>
                  <w:marRight w:val="0"/>
                  <w:marTop w:val="0"/>
                  <w:marBottom w:val="0"/>
                  <w:divBdr>
                    <w:top w:val="none" w:sz="0" w:space="0" w:color="auto"/>
                    <w:left w:val="none" w:sz="0" w:space="0" w:color="auto"/>
                    <w:bottom w:val="none" w:sz="0" w:space="0" w:color="auto"/>
                    <w:right w:val="none" w:sz="0" w:space="0" w:color="auto"/>
                  </w:divBdr>
                  <w:divsChild>
                    <w:div w:id="1081221836">
                      <w:marLeft w:val="0"/>
                      <w:marRight w:val="0"/>
                      <w:marTop w:val="0"/>
                      <w:marBottom w:val="0"/>
                      <w:divBdr>
                        <w:top w:val="none" w:sz="0" w:space="0" w:color="auto"/>
                        <w:left w:val="none" w:sz="0" w:space="0" w:color="auto"/>
                        <w:bottom w:val="none" w:sz="0" w:space="0" w:color="auto"/>
                        <w:right w:val="none" w:sz="0" w:space="0" w:color="auto"/>
                      </w:divBdr>
                      <w:divsChild>
                        <w:div w:id="796610530">
                          <w:marLeft w:val="0"/>
                          <w:marRight w:val="0"/>
                          <w:marTop w:val="0"/>
                          <w:marBottom w:val="0"/>
                          <w:divBdr>
                            <w:top w:val="none" w:sz="0" w:space="0" w:color="auto"/>
                            <w:left w:val="none" w:sz="0" w:space="0" w:color="auto"/>
                            <w:bottom w:val="none" w:sz="0" w:space="0" w:color="auto"/>
                            <w:right w:val="none" w:sz="0" w:space="0" w:color="auto"/>
                          </w:divBdr>
                          <w:divsChild>
                            <w:div w:id="569114959">
                              <w:marLeft w:val="0"/>
                              <w:marRight w:val="0"/>
                              <w:marTop w:val="0"/>
                              <w:marBottom w:val="0"/>
                              <w:divBdr>
                                <w:top w:val="none" w:sz="0" w:space="0" w:color="auto"/>
                                <w:left w:val="none" w:sz="0" w:space="0" w:color="auto"/>
                                <w:bottom w:val="none" w:sz="0" w:space="0" w:color="auto"/>
                                <w:right w:val="none" w:sz="0" w:space="0" w:color="auto"/>
                              </w:divBdr>
                              <w:divsChild>
                                <w:div w:id="411858323">
                                  <w:marLeft w:val="0"/>
                                  <w:marRight w:val="0"/>
                                  <w:marTop w:val="0"/>
                                  <w:marBottom w:val="0"/>
                                  <w:divBdr>
                                    <w:top w:val="none" w:sz="0" w:space="0" w:color="auto"/>
                                    <w:left w:val="none" w:sz="0" w:space="0" w:color="auto"/>
                                    <w:bottom w:val="none" w:sz="0" w:space="0" w:color="auto"/>
                                    <w:right w:val="none" w:sz="0" w:space="0" w:color="auto"/>
                                  </w:divBdr>
                                  <w:divsChild>
                                    <w:div w:id="913777544">
                                      <w:marLeft w:val="0"/>
                                      <w:marRight w:val="0"/>
                                      <w:marTop w:val="0"/>
                                      <w:marBottom w:val="0"/>
                                      <w:divBdr>
                                        <w:top w:val="none" w:sz="0" w:space="0" w:color="auto"/>
                                        <w:left w:val="none" w:sz="0" w:space="0" w:color="auto"/>
                                        <w:bottom w:val="none" w:sz="0" w:space="0" w:color="auto"/>
                                        <w:right w:val="none" w:sz="0" w:space="0" w:color="auto"/>
                                      </w:divBdr>
                                      <w:divsChild>
                                        <w:div w:id="1054815277">
                                          <w:marLeft w:val="1200"/>
                                          <w:marRight w:val="1200"/>
                                          <w:marTop w:val="0"/>
                                          <w:marBottom w:val="0"/>
                                          <w:divBdr>
                                            <w:top w:val="none" w:sz="0" w:space="0" w:color="auto"/>
                                            <w:left w:val="none" w:sz="0" w:space="0" w:color="auto"/>
                                            <w:bottom w:val="none" w:sz="0" w:space="0" w:color="auto"/>
                                            <w:right w:val="none" w:sz="0" w:space="0" w:color="auto"/>
                                          </w:divBdr>
                                          <w:divsChild>
                                            <w:div w:id="369647734">
                                              <w:marLeft w:val="0"/>
                                              <w:marRight w:val="0"/>
                                              <w:marTop w:val="0"/>
                                              <w:marBottom w:val="0"/>
                                              <w:divBdr>
                                                <w:top w:val="none" w:sz="0" w:space="0" w:color="auto"/>
                                                <w:left w:val="none" w:sz="0" w:space="0" w:color="auto"/>
                                                <w:bottom w:val="none" w:sz="0" w:space="0" w:color="auto"/>
                                                <w:right w:val="none" w:sz="0" w:space="0" w:color="auto"/>
                                              </w:divBdr>
                                              <w:divsChild>
                                                <w:div w:id="1713771765">
                                                  <w:marLeft w:val="0"/>
                                                  <w:marRight w:val="0"/>
                                                  <w:marTop w:val="240"/>
                                                  <w:marBottom w:val="0"/>
                                                  <w:divBdr>
                                                    <w:top w:val="none" w:sz="0" w:space="0" w:color="auto"/>
                                                    <w:left w:val="none" w:sz="0" w:space="0" w:color="auto"/>
                                                    <w:bottom w:val="none" w:sz="0" w:space="0" w:color="auto"/>
                                                    <w:right w:val="none" w:sz="0" w:space="0" w:color="auto"/>
                                                  </w:divBdr>
                                                  <w:divsChild>
                                                    <w:div w:id="354885230">
                                                      <w:marLeft w:val="0"/>
                                                      <w:marRight w:val="0"/>
                                                      <w:marTop w:val="0"/>
                                                      <w:marBottom w:val="0"/>
                                                      <w:divBdr>
                                                        <w:top w:val="none" w:sz="0" w:space="0" w:color="auto"/>
                                                        <w:left w:val="none" w:sz="0" w:space="0" w:color="auto"/>
                                                        <w:bottom w:val="none" w:sz="0" w:space="0" w:color="auto"/>
                                                        <w:right w:val="none" w:sz="0" w:space="0" w:color="auto"/>
                                                      </w:divBdr>
                                                      <w:divsChild>
                                                        <w:div w:id="545679024">
                                                          <w:marLeft w:val="1275"/>
                                                          <w:marRight w:val="0"/>
                                                          <w:marTop w:val="0"/>
                                                          <w:marBottom w:val="0"/>
                                                          <w:divBdr>
                                                            <w:top w:val="none" w:sz="0" w:space="0" w:color="auto"/>
                                                            <w:left w:val="none" w:sz="0" w:space="0" w:color="auto"/>
                                                            <w:bottom w:val="none" w:sz="0" w:space="0" w:color="auto"/>
                                                            <w:right w:val="none" w:sz="0" w:space="0" w:color="auto"/>
                                                          </w:divBdr>
                                                          <w:divsChild>
                                                            <w:div w:id="336275096">
                                                              <w:marLeft w:val="0"/>
                                                              <w:marRight w:val="0"/>
                                                              <w:marTop w:val="0"/>
                                                              <w:marBottom w:val="0"/>
                                                              <w:divBdr>
                                                                <w:top w:val="none" w:sz="0" w:space="0" w:color="auto"/>
                                                                <w:left w:val="none" w:sz="0" w:space="0" w:color="auto"/>
                                                                <w:bottom w:val="none" w:sz="0" w:space="0" w:color="auto"/>
                                                                <w:right w:val="none" w:sz="0" w:space="0" w:color="auto"/>
                                                              </w:divBdr>
                                                              <w:divsChild>
                                                                <w:div w:id="16378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ext.westlaw.com/Link/Document/FullText?findType=Y&amp;pubNum=708&amp;cite=102SCT112&amp;originationContext=document&amp;transitionType=DocumentItem&amp;contextData=(sc.Keycite)"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next.westlaw.com/Link/Document/FullText?findType=Y&amp;serNum=1980194813&amp;pubNum=162&amp;originationContext=document&amp;transitionType=DocumentItem&amp;contextData=(sc.Keycite)" TargetMode="External"/><Relationship Id="rId17" Type="http://schemas.openxmlformats.org/officeDocument/2006/relationships/hyperlink" Target="https://a.next.westlaw.com/Link/Document/FullText?findType=Y&amp;serNum=2012270104&amp;pubNum=162&amp;originationContext=document&amp;transitionType=DocumentItem&amp;contextData=(sc.Search)" TargetMode="External"/><Relationship Id="rId2" Type="http://schemas.openxmlformats.org/officeDocument/2006/relationships/customXml" Target="../customXml/item2.xml"/><Relationship Id="rId16"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a.next.westlaw.com/Link/Document/FullText?findType=Y&amp;serNum=1989108734&amp;pubNum=162&amp;originationContext=document&amp;transitionType=DocumentItem&amp;contextData=(sc.Keycite)" TargetMode="External"/><Relationship Id="rId5" Type="http://schemas.openxmlformats.org/officeDocument/2006/relationships/styles" Target="styles.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a.next.westlaw.com/Link/Document/FullText?findType=Y&amp;serNum=1995190393&amp;pubNum=162&amp;originationContext=document&amp;transitionType=DocumentItem&amp;contextData=(sc.Key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168B8-3E61-4921-8E2B-682A1A0685F9}">
  <ds:schemaRefs>
    <ds:schemaRef ds:uri="http://schemas.openxmlformats.org/officeDocument/2006/bibliography"/>
  </ds:schemaRefs>
</ds:datastoreItem>
</file>

<file path=customXml/itemProps2.xml><?xml version="1.0" encoding="utf-8"?>
<ds:datastoreItem xmlns:ds="http://schemas.openxmlformats.org/officeDocument/2006/customXml" ds:itemID="{6164EFAA-2908-477E-B804-97D67A12AE26}">
  <ds:schemaRefs>
    <ds:schemaRef ds:uri="http://schemas.openxmlformats.org/officeDocument/2006/bibliography"/>
  </ds:schemaRefs>
</ds:datastoreItem>
</file>

<file path=customXml/itemProps3.xml><?xml version="1.0" encoding="utf-8"?>
<ds:datastoreItem xmlns:ds="http://schemas.openxmlformats.org/officeDocument/2006/customXml" ds:itemID="{1B35ABFD-150A-42AC-9F73-49B80554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34</Pages>
  <Words>8125</Words>
  <Characters>46319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Farner, Joyce</cp:lastModifiedBy>
  <cp:revision>5</cp:revision>
  <cp:lastPrinted>2013-12-19T14:04:00Z</cp:lastPrinted>
  <dcterms:created xsi:type="dcterms:W3CDTF">2013-12-17T21:36:00Z</dcterms:created>
  <dcterms:modified xsi:type="dcterms:W3CDTF">2013-12-19T15:35:00Z</dcterms:modified>
</cp:coreProperties>
</file>