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788"/>
        <w:gridCol w:w="4788"/>
      </w:tblGrid>
      <w:tr w:rsidR="00236183" w:rsidRPr="00236183" w:rsidTr="00E97DC0">
        <w:trPr>
          <w:trHeight w:val="477"/>
        </w:trPr>
        <w:tc>
          <w:tcPr>
            <w:tcW w:w="4788" w:type="dxa"/>
            <w:vAlign w:val="center"/>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788" w:type="dxa"/>
            <w:vAlign w:val="center"/>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Public Meeting held December 19, 2013</w:t>
            </w: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Commissioners Present:</w:t>
            </w:r>
          </w:p>
          <w:p w:rsidR="00236183" w:rsidRPr="00236183" w:rsidRDefault="00236183" w:rsidP="00236183">
            <w:pPr>
              <w:spacing w:after="0" w:line="240" w:lineRule="auto"/>
              <w:ind w:left="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Robert F. Powelson, Chairman</w:t>
            </w:r>
          </w:p>
          <w:p w:rsidR="00236183" w:rsidRPr="00236183" w:rsidRDefault="00236183" w:rsidP="00236183">
            <w:pPr>
              <w:spacing w:after="0" w:line="240" w:lineRule="auto"/>
              <w:ind w:left="720" w:right="-468"/>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John F. Coleman, Jr., Vice Chairman</w:t>
            </w:r>
          </w:p>
          <w:p w:rsidR="00236183" w:rsidRPr="00236183" w:rsidRDefault="00236183" w:rsidP="00236183">
            <w:pPr>
              <w:spacing w:after="0" w:line="240" w:lineRule="auto"/>
              <w:ind w:left="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James H. Cawley </w:t>
            </w:r>
          </w:p>
          <w:p w:rsidR="00236183" w:rsidRPr="00236183" w:rsidRDefault="00236183" w:rsidP="00236183">
            <w:pPr>
              <w:spacing w:after="0" w:line="240" w:lineRule="auto"/>
              <w:ind w:left="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Pamela A. Witmer</w:t>
            </w:r>
          </w:p>
          <w:p w:rsidR="00236183" w:rsidRPr="00236183" w:rsidRDefault="00236183" w:rsidP="00236183">
            <w:pPr>
              <w:spacing w:after="0" w:line="240" w:lineRule="auto"/>
              <w:ind w:left="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Gladys M. Brown</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 Light Company Universal Service and Energy Conservation Plan for 2014-2016 Submitted in Compliance with 52 Pa. Code §§ 54.74.  </w:t>
            </w:r>
          </w:p>
        </w:tc>
        <w:tc>
          <w:tcPr>
            <w:tcW w:w="4788" w:type="dxa"/>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t>Docket No.  M-2013-2350946</w:t>
            </w:r>
          </w:p>
        </w:tc>
      </w:tr>
    </w:tbl>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TENTATIVE ORDER</w:t>
      </w:r>
    </w:p>
    <w:p w:rsidR="00236183" w:rsidRPr="00236183" w:rsidRDefault="00236183" w:rsidP="00236183">
      <w:pPr>
        <w:spacing w:after="0" w:line="360" w:lineRule="auto"/>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BY THE COMMISSION</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On February 28, 2013, Duquesne Light Company (Duquesne or Company), filed its universal service and energy conservation plan (USECP or Plan) for 2014 through 2016 in accordance with the Pennsylvania Public Utility Commission’s (Commission) regulations at 52 Pa. Code §§ 54.71-54.78, relating to electric universal service and energy conservation reporting requirements.  On June 28, 2013, Duquesne filed an “amended” USECP for 2014-2016.  By this Tentative Order, we will tentatively approve Duquesne’s amended Plan, in part, and solicit comments from interested parties.  To the extent that the comments and reply comments raise relevant material factual questions, this matter may be referred to the Office of Administrative Law Judge (OALJ) for hearing and decision.</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keepNext/>
        <w:spacing w:after="0" w:line="360" w:lineRule="auto"/>
        <w:outlineLvl w:val="1"/>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lastRenderedPageBreak/>
        <w:t>I.  Background</w:t>
      </w: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4"/>
          <w:szCs w:val="24"/>
        </w:rPr>
      </w:pPr>
    </w:p>
    <w:p w:rsidR="00236183" w:rsidRPr="00236183" w:rsidRDefault="00236183" w:rsidP="00236183">
      <w:pPr>
        <w:tabs>
          <w:tab w:val="left" w:pos="720"/>
        </w:tabs>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t>The Electricity Generation Customer Choice and Competition Act (Electric Competition Act), 66 Pa. C.S. § 2812, became effective on January 1, 1997.    The primary purpose of the Competition Act is to introduce competition into the electric generation market.  The Competition Act established standards and procedures for the restructuring of the electric industry.  While opening the markets to competition, the</w:t>
      </w:r>
      <w:r w:rsidRPr="00236183">
        <w:rPr>
          <w:rFonts w:ascii="Times New Roman" w:eastAsia="Times New Roman" w:hAnsi="Times New Roman" w:cs="Times New Roman"/>
          <w:color w:val="0D0D0D" w:themeColor="text1" w:themeTint="F2"/>
          <w:sz w:val="26"/>
          <w:szCs w:val="26"/>
          <w:highlight w:val="yellow"/>
        </w:rPr>
        <w:t xml:space="preserve"> </w:t>
      </w:r>
      <w:r w:rsidRPr="00236183">
        <w:rPr>
          <w:rFonts w:ascii="Times New Roman" w:eastAsia="Times New Roman" w:hAnsi="Times New Roman" w:cs="Times New Roman"/>
          <w:color w:val="0D0D0D" w:themeColor="text1" w:themeTint="F2"/>
          <w:sz w:val="26"/>
          <w:szCs w:val="26"/>
        </w:rPr>
        <w:t xml:space="preserve">Competition Act also includes several provisions relating to universal service in order to ensure that utility service remains available to all customers in the Commonwealth.    </w:t>
      </w:r>
    </w:p>
    <w:p w:rsidR="00236183" w:rsidRPr="00236183" w:rsidRDefault="00236183" w:rsidP="00236183">
      <w:pPr>
        <w:tabs>
          <w:tab w:val="left" w:pos="990"/>
        </w:tabs>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tabs>
          <w:tab w:val="left" w:pos="720"/>
          <w:tab w:val="left" w:pos="990"/>
        </w:tabs>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t xml:space="preserve">The universal service provisions of the Competition Act, among other things, ties the affordability of electric service to a customer’s ability to pay for that service.  The Competition Act defines “universal service and energy conservation” as the policies, practices and services that help low income customers maintain utility service.  The term includes customer assistance programs, usage reduction programs, service termination protections, and consumer education.  </w:t>
      </w:r>
      <w:proofErr w:type="gramStart"/>
      <w:r w:rsidRPr="00236183">
        <w:rPr>
          <w:rFonts w:ascii="Times New Roman" w:eastAsia="Times New Roman" w:hAnsi="Times New Roman" w:cs="Times New Roman"/>
          <w:color w:val="0D0D0D" w:themeColor="text1" w:themeTint="F2"/>
          <w:sz w:val="26"/>
          <w:szCs w:val="26"/>
        </w:rPr>
        <w:t>66 Pa. C.S. § 2803.</w:t>
      </w:r>
      <w:proofErr w:type="gramEnd"/>
      <w:r w:rsidRPr="00236183">
        <w:rPr>
          <w:rFonts w:ascii="Times New Roman" w:eastAsia="Times New Roman" w:hAnsi="Times New Roman" w:cs="Times New Roman"/>
          <w:color w:val="0D0D0D" w:themeColor="text1" w:themeTint="F2"/>
          <w:sz w:val="26"/>
          <w:szCs w:val="26"/>
        </w:rPr>
        <w:t xml:space="preserve">  The Competition Act declares that the Commonwealth must, at a minimum, continue the low income policies, practices, and services that were in existence as of the effective date of the laws.  </w:t>
      </w:r>
      <w:proofErr w:type="gramStart"/>
      <w:r w:rsidRPr="00236183">
        <w:rPr>
          <w:rFonts w:ascii="Times New Roman" w:eastAsia="Times New Roman" w:hAnsi="Times New Roman" w:cs="Times New Roman"/>
          <w:color w:val="0D0D0D" w:themeColor="text1" w:themeTint="F2"/>
          <w:sz w:val="26"/>
          <w:szCs w:val="26"/>
        </w:rPr>
        <w:t>66 Pa. C.S. § 2802(10).</w:t>
      </w:r>
      <w:proofErr w:type="gramEnd"/>
      <w:r w:rsidRPr="00236183">
        <w:rPr>
          <w:rFonts w:ascii="Times New Roman" w:eastAsia="Times New Roman" w:hAnsi="Times New Roman" w:cs="Times New Roman"/>
          <w:color w:val="0D0D0D" w:themeColor="text1" w:themeTint="F2"/>
          <w:sz w:val="26"/>
          <w:szCs w:val="26"/>
        </w:rPr>
        <w:t xml:space="preserve">  Finally, the Competition Act requires the Commission to ensure that universal service and energy conservation services are appropriately funded and available in each utility distribution territory.  </w:t>
      </w:r>
      <w:proofErr w:type="gramStart"/>
      <w:r w:rsidRPr="00236183">
        <w:rPr>
          <w:rFonts w:ascii="Times New Roman" w:eastAsia="Times New Roman" w:hAnsi="Times New Roman" w:cs="Times New Roman"/>
          <w:color w:val="0D0D0D" w:themeColor="text1" w:themeTint="F2"/>
          <w:sz w:val="26"/>
          <w:szCs w:val="26"/>
        </w:rPr>
        <w:t>66 Pa. C.S. § 2804(9).</w:t>
      </w:r>
      <w:proofErr w:type="gramEnd"/>
      <w:r w:rsidRPr="00236183">
        <w:rPr>
          <w:rFonts w:ascii="Times New Roman" w:eastAsia="Times New Roman" w:hAnsi="Times New Roman" w:cs="Times New Roman"/>
          <w:color w:val="0D0D0D" w:themeColor="text1" w:themeTint="F2"/>
          <w:sz w:val="26"/>
          <w:szCs w:val="26"/>
        </w:rPr>
        <w:t xml:space="preserve">  </w:t>
      </w:r>
    </w:p>
    <w:p w:rsidR="00236183" w:rsidRPr="00236183" w:rsidRDefault="00236183" w:rsidP="00236183">
      <w:pPr>
        <w:tabs>
          <w:tab w:val="left" w:pos="720"/>
          <w:tab w:val="left" w:pos="990"/>
        </w:tabs>
        <w:spacing w:after="0" w:line="360" w:lineRule="auto"/>
        <w:rPr>
          <w:rFonts w:ascii="Times New Roman" w:eastAsia="Times New Roman" w:hAnsi="Times New Roman" w:cs="Times New Roman"/>
          <w:color w:val="0D0D0D" w:themeColor="text1" w:themeTint="F2"/>
          <w:sz w:val="26"/>
          <w:szCs w:val="26"/>
        </w:rPr>
      </w:pPr>
    </w:p>
    <w:p w:rsidR="00236183" w:rsidRDefault="00236183" w:rsidP="00236183">
      <w:p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t xml:space="preserve">To help meet the requirements imposed by the Competition Act, the Commission established the </w:t>
      </w:r>
      <w:r w:rsidRPr="00236183">
        <w:rPr>
          <w:rFonts w:ascii="Times New Roman" w:eastAsia="Times New Roman" w:hAnsi="Times New Roman" w:cs="Times New Roman"/>
          <w:i/>
          <w:color w:val="0D0D0D" w:themeColor="text1" w:themeTint="F2"/>
          <w:sz w:val="26"/>
          <w:szCs w:val="26"/>
        </w:rPr>
        <w:t>Universal Service and Energy Conservation Reporting Requirements</w:t>
      </w:r>
      <w:r w:rsidRPr="00236183">
        <w:rPr>
          <w:rFonts w:ascii="Times New Roman" w:eastAsia="Times New Roman" w:hAnsi="Times New Roman" w:cs="Times New Roman"/>
          <w:color w:val="0D0D0D" w:themeColor="text1" w:themeTint="F2"/>
          <w:sz w:val="26"/>
          <w:szCs w:val="26"/>
        </w:rPr>
        <w:t xml:space="preserve"> (USEC Reporting Requirements) at 52 Pa. Code §§ 54.71-54.78.  These reporting requirements require each electric distribution company (EDC) serving more than 60,000 residential accounts to submit an updated universal service and energy conservation plan every three years to the Commission for approval.  In compliance with these requirements, Duquesne submit</w:t>
      </w:r>
      <w:r w:rsidR="00D768C1">
        <w:rPr>
          <w:rFonts w:ascii="Times New Roman" w:eastAsia="Times New Roman" w:hAnsi="Times New Roman" w:cs="Times New Roman"/>
          <w:color w:val="0D0D0D" w:themeColor="text1" w:themeTint="F2"/>
          <w:sz w:val="26"/>
          <w:szCs w:val="26"/>
        </w:rPr>
        <w:t xml:space="preserve">ted its USECP for 2014-2016.  </w:t>
      </w:r>
    </w:p>
    <w:p w:rsidR="00D768C1" w:rsidRPr="00236183" w:rsidRDefault="00D768C1" w:rsidP="00D768C1">
      <w:p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tabs>
          <w:tab w:val="left" w:pos="720"/>
        </w:tabs>
        <w:autoSpaceDE w:val="0"/>
        <w:autoSpaceDN w:val="0"/>
        <w:adjustRightInd w:val="0"/>
        <w:spacing w:after="0" w:line="360" w:lineRule="auto"/>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II</w:t>
      </w:r>
      <w:proofErr w:type="gramStart"/>
      <w:r w:rsidRPr="00236183">
        <w:rPr>
          <w:rFonts w:ascii="Times New Roman" w:eastAsia="Times New Roman" w:hAnsi="Times New Roman" w:cs="Times New Roman"/>
          <w:b/>
          <w:color w:val="0D0D0D" w:themeColor="text1" w:themeTint="F2"/>
          <w:sz w:val="26"/>
          <w:szCs w:val="26"/>
        </w:rPr>
        <w:t>.  Histor</w:t>
      </w:r>
      <w:r w:rsidR="00D768C1">
        <w:rPr>
          <w:rFonts w:ascii="Times New Roman" w:eastAsia="Times New Roman" w:hAnsi="Times New Roman" w:cs="Times New Roman"/>
          <w:b/>
          <w:color w:val="0D0D0D" w:themeColor="text1" w:themeTint="F2"/>
          <w:sz w:val="26"/>
          <w:szCs w:val="26"/>
        </w:rPr>
        <w:t>y</w:t>
      </w:r>
      <w:proofErr w:type="gramEnd"/>
    </w:p>
    <w:p w:rsidR="00236183" w:rsidRDefault="00236183" w:rsidP="00236183">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p>
    <w:p w:rsidR="00D768C1" w:rsidRPr="00D768C1" w:rsidRDefault="00D768C1" w:rsidP="00D768C1">
      <w:pPr>
        <w:tabs>
          <w:tab w:val="left" w:pos="720"/>
        </w:tabs>
        <w:autoSpaceDE w:val="0"/>
        <w:autoSpaceDN w:val="0"/>
        <w:adjustRightInd w:val="0"/>
        <w:spacing w:after="0" w:line="360" w:lineRule="auto"/>
        <w:contextualSpacing/>
        <w:rPr>
          <w:rFonts w:ascii="Times New Roman" w:eastAsia="Times New Roman" w:hAnsi="Times New Roman" w:cstheme="minorHAnsi"/>
          <w:b/>
          <w:color w:val="0D0D0D" w:themeColor="text1" w:themeTint="F2"/>
          <w:sz w:val="26"/>
          <w:szCs w:val="26"/>
        </w:rPr>
      </w:pPr>
      <w:r w:rsidRPr="00D768C1">
        <w:rPr>
          <w:rFonts w:ascii="Times New Roman" w:eastAsia="Times New Roman" w:hAnsi="Times New Roman" w:cstheme="minorHAnsi"/>
          <w:b/>
          <w:color w:val="0D0D0D" w:themeColor="text1" w:themeTint="F2"/>
          <w:sz w:val="26"/>
          <w:szCs w:val="26"/>
        </w:rPr>
        <w:t>A.</w:t>
      </w:r>
      <w:r w:rsidRPr="00D768C1">
        <w:rPr>
          <w:rFonts w:ascii="Times New Roman" w:eastAsia="Times New Roman" w:hAnsi="Times New Roman" w:cstheme="minorHAnsi"/>
          <w:b/>
          <w:color w:val="0D0D0D" w:themeColor="text1" w:themeTint="F2"/>
          <w:sz w:val="26"/>
          <w:szCs w:val="26"/>
        </w:rPr>
        <w:tab/>
      </w:r>
      <w:r w:rsidRPr="00D768C1">
        <w:rPr>
          <w:rFonts w:ascii="Times New Roman" w:eastAsia="Times New Roman" w:hAnsi="Times New Roman" w:cstheme="minorHAnsi"/>
          <w:b/>
          <w:color w:val="0D0D0D" w:themeColor="text1" w:themeTint="F2"/>
          <w:sz w:val="26"/>
          <w:szCs w:val="26"/>
          <w:u w:val="single"/>
        </w:rPr>
        <w:t>Duquesne’s USECPs</w:t>
      </w:r>
    </w:p>
    <w:p w:rsidR="00D768C1" w:rsidRPr="00236183" w:rsidRDefault="00D768C1" w:rsidP="00236183">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ab/>
        <w:t xml:space="preserve">In October 2009, an independent auditor (AECOM) completed a review of Duquesne’s CAP component and provided suggestions for program enhancements.  </w:t>
      </w: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heme="minorHAnsi"/>
          <w:color w:val="0D0D0D" w:themeColor="text1" w:themeTint="F2"/>
          <w:sz w:val="26"/>
          <w:szCs w:val="26"/>
        </w:rPr>
      </w:pP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236183">
        <w:rPr>
          <w:rFonts w:ascii="Times New Roman" w:eastAsia="Times New Roman" w:hAnsi="Times New Roman" w:cstheme="minorHAnsi"/>
          <w:color w:val="0D0D0D" w:themeColor="text1" w:themeTint="F2"/>
          <w:sz w:val="26"/>
          <w:szCs w:val="26"/>
        </w:rPr>
        <w:tab/>
        <w:t xml:space="preserve">Several prior </w:t>
      </w:r>
      <w:r w:rsidRPr="00236183">
        <w:rPr>
          <w:rFonts w:ascii="Times New Roman" w:eastAsia="Times New Roman" w:hAnsi="Times New Roman" w:cs="Times New Roman"/>
          <w:color w:val="0D0D0D" w:themeColor="text1" w:themeTint="F2"/>
          <w:sz w:val="26"/>
          <w:szCs w:val="26"/>
        </w:rPr>
        <w:t xml:space="preserve">formal Commission proceedings involving Duquesne have influenced the Duquesne Amended Plan under review at this docket.  </w:t>
      </w:r>
      <w:r w:rsidRPr="00236183">
        <w:rPr>
          <w:rFonts w:ascii="Times New Roman" w:eastAsia="Times New Roman" w:hAnsi="Times New Roman" w:cstheme="minorHAnsi"/>
          <w:color w:val="0D0D0D" w:themeColor="text1" w:themeTint="F2"/>
          <w:sz w:val="26"/>
          <w:szCs w:val="26"/>
        </w:rPr>
        <w:t xml:space="preserve">Before looking at the specifics of the Duquesne Plan currently under review, we shall review briefly the history of Duquesne’s prior triennial plans.  On February 25, 2010, </w:t>
      </w:r>
      <w:r w:rsidRPr="00236183">
        <w:rPr>
          <w:rFonts w:ascii="Times New Roman" w:eastAsia="Times New Roman" w:hAnsi="Times New Roman" w:cs="Times New Roman"/>
          <w:sz w:val="26"/>
          <w:szCs w:val="26"/>
        </w:rPr>
        <w:t xml:space="preserve">Duquesne filed its 2011-2013 USECP at M-2010-2161220.  The Commission entered a Tentative Order on this plan on November, 19, 2010.  Duquesne filed a rate case, Docket No. R-2010-2179522, on July 23, 2010.  The case resulted in a settlement.  The Commission entered an order on February 24, 2011, requiring Duquesne to file a revised plan within 30 days, incorporating all universal service changes agreed to in the settlement.  </w:t>
      </w: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ab/>
        <w:t xml:space="preserve">On March 29, 2011, Duquesne filed a petition at Docket No. P-2011-2233540 proposing to adopt a CAP Plus amount as a solution to offset the increased CAP program costs that would be imposed on non-CAP residential customers as a result of DPW’s method change for applying LIHEAP Cash dollars.  Duquesne’s CAP </w:t>
      </w:r>
      <w:proofErr w:type="gramStart"/>
      <w:r w:rsidRPr="00236183">
        <w:rPr>
          <w:rFonts w:ascii="Times New Roman" w:eastAsia="Times New Roman" w:hAnsi="Times New Roman" w:cs="Times New Roman"/>
          <w:sz w:val="26"/>
          <w:szCs w:val="26"/>
        </w:rPr>
        <w:t>Plus</w:t>
      </w:r>
      <w:proofErr w:type="gramEnd"/>
      <w:r w:rsidRPr="00236183">
        <w:rPr>
          <w:rFonts w:ascii="Times New Roman" w:eastAsia="Times New Roman" w:hAnsi="Times New Roman" w:cs="Times New Roman"/>
          <w:sz w:val="26"/>
          <w:szCs w:val="26"/>
        </w:rPr>
        <w:t xml:space="preserve"> Plan would have increased the “Asked to Pay” amount of all CAP customers by a modest amount (the “plus” amount) in an effort to address the effect of DPW’s policy or method change and not increase costs for non-CAP residential customers who otherwise would bear the cost of DPW’s change.  The “plus” amount would be updated annually by a tariff filing.  </w:t>
      </w: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ab/>
        <w:t xml:space="preserve">Duquesne proposed to calculate the “plus” amount by determining the value of LIHEAP Cash grants assigned to the Company as of October 31 of each LIHEAP </w:t>
      </w:r>
      <w:r w:rsidRPr="00236183">
        <w:rPr>
          <w:rFonts w:ascii="Times New Roman" w:eastAsia="Times New Roman" w:hAnsi="Times New Roman" w:cs="Times New Roman"/>
          <w:sz w:val="26"/>
          <w:szCs w:val="26"/>
        </w:rPr>
        <w:lastRenderedPageBreak/>
        <w:t>program year.  The dollar value would be divided by the number of active CAP participants as of October 31 and then divide that result by 12 months.  That calculation would produce the “plus” amount for all CAP participants during the subsequent LIHEAP year (November 1 through October 31).  Because the CAP Plus option is presently being challenged in Commonwealth Court (</w:t>
      </w:r>
      <w:r w:rsidRPr="00236183">
        <w:rPr>
          <w:rFonts w:ascii="Times New Roman" w:eastAsia="Times New Roman" w:hAnsi="Times New Roman" w:cs="Times New Roman"/>
          <w:i/>
          <w:sz w:val="26"/>
          <w:szCs w:val="26"/>
        </w:rPr>
        <w:t>PCOC v. PA PUC</w:t>
      </w:r>
      <w:r w:rsidRPr="00236183">
        <w:rPr>
          <w:rFonts w:ascii="Times New Roman" w:eastAsia="Times New Roman" w:hAnsi="Times New Roman" w:cs="Times New Roman"/>
          <w:sz w:val="26"/>
          <w:szCs w:val="26"/>
        </w:rPr>
        <w:t xml:space="preserve">, Docket No. 635 C.D. 2012), the Commission has not approved the Duquesne petition.  Therefore, Duquesne has not implemented CAP Plus, and the Plan before us now does not propose a CAP Plus charge.  </w:t>
      </w:r>
    </w:p>
    <w:p w:rsidR="00236183" w:rsidRPr="00236183" w:rsidRDefault="00236183" w:rsidP="002361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236183" w:rsidRPr="00236183" w:rsidRDefault="00236183" w:rsidP="00236183">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r w:rsidRPr="00236183">
        <w:rPr>
          <w:rFonts w:ascii="Times New Roman" w:eastAsia="Times New Roman" w:hAnsi="Times New Roman" w:cstheme="minorHAnsi"/>
          <w:color w:val="0D0D0D" w:themeColor="text1" w:themeTint="F2"/>
          <w:sz w:val="26"/>
          <w:szCs w:val="26"/>
        </w:rPr>
        <w:t>At the end of 2012, Duquesne reported having approximately 525,683 electric customers.  As of September 30, 2013, Duquesne reported to the Commission’s Bureau of Consumer Services (BCS) that there were 36,929 customers in its CAP program.</w:t>
      </w:r>
    </w:p>
    <w:p w:rsidR="00236183" w:rsidRPr="00236183" w:rsidRDefault="00236183" w:rsidP="00236183">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On August 2, 2013, Duquesne filed for a change in rates, rules, and regulations at Docket No. R-2013-2372129, calculated to produce $76.3 million (17.6%) in additional annual</w:t>
      </w:r>
      <w:r w:rsidRPr="00236183">
        <w:rPr>
          <w:rFonts w:ascii="Times New Roman" w:eastAsia="Times New Roman" w:hAnsi="Times New Roman" w:cs="Times New Roman"/>
          <w:i/>
          <w:sz w:val="26"/>
          <w:szCs w:val="26"/>
        </w:rPr>
        <w:t xml:space="preserve"> </w:t>
      </w:r>
      <w:r w:rsidRPr="00236183">
        <w:rPr>
          <w:rFonts w:ascii="Times New Roman" w:eastAsia="Times New Roman" w:hAnsi="Times New Roman" w:cs="Times New Roman"/>
          <w:sz w:val="26"/>
          <w:szCs w:val="26"/>
        </w:rPr>
        <w:t>revenues.  Pursuant to 66 Pa. C.S. §1308(d), the filing was suspended until May 1, 2014, unless permitted by Commission order to become effective at an earlier date.</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D768C1" w:rsidRDefault="00236183" w:rsidP="000E1656">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sz w:val="26"/>
          <w:szCs w:val="26"/>
        </w:rPr>
        <w:t xml:space="preserve">In February 2013, </w:t>
      </w:r>
      <w:r w:rsidRPr="00236183">
        <w:rPr>
          <w:rFonts w:ascii="Times New Roman" w:eastAsia="Times New Roman" w:hAnsi="Times New Roman" w:cs="Times New Roman"/>
          <w:color w:val="0D0D0D" w:themeColor="text1" w:themeTint="F2"/>
          <w:sz w:val="26"/>
          <w:szCs w:val="26"/>
        </w:rPr>
        <w:t>the Commission’s Bureau of Audits released an operations audit at Docket No. D-2011-2269361 of Duquesne that was conducted in 2012.  On February 19, 2013, Duquesne responded to the Commission with an implementation plan to address the issues raised in the operations audit.</w:t>
      </w:r>
      <w:r w:rsidRPr="00236183">
        <w:rPr>
          <w:rFonts w:ascii="Times New Roman" w:eastAsia="Times New Roman" w:hAnsi="Times New Roman" w:cs="Times New Roman"/>
          <w:sz w:val="26"/>
          <w:szCs w:val="26"/>
        </w:rPr>
        <w:t xml:space="preserve">  </w:t>
      </w:r>
    </w:p>
    <w:p w:rsidR="000E1656" w:rsidRPr="00236183" w:rsidRDefault="000E1656" w:rsidP="000E1656">
      <w:pPr>
        <w:spacing w:after="0" w:line="360" w:lineRule="auto"/>
        <w:ind w:firstLine="720"/>
        <w:rPr>
          <w:rFonts w:ascii="Times New Roman" w:eastAsia="Times New Roman" w:hAnsi="Times New Roman" w:cs="Times New Roman"/>
          <w:sz w:val="26"/>
          <w:szCs w:val="26"/>
        </w:rPr>
      </w:pPr>
    </w:p>
    <w:p w:rsidR="00236183" w:rsidRDefault="00236183" w:rsidP="00236183">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 </w:t>
      </w:r>
      <w:r w:rsidR="00D768C1">
        <w:rPr>
          <w:rFonts w:ascii="Times New Roman" w:eastAsia="Times New Roman" w:hAnsi="Times New Roman" w:cs="Times New Roman"/>
          <w:color w:val="0D0D0D" w:themeColor="text1" w:themeTint="F2"/>
          <w:sz w:val="26"/>
          <w:szCs w:val="26"/>
        </w:rPr>
        <w:t xml:space="preserve">This Tentative Order </w:t>
      </w:r>
      <w:r w:rsidRPr="00236183">
        <w:rPr>
          <w:rFonts w:ascii="Times New Roman" w:eastAsia="Times New Roman" w:hAnsi="Times New Roman" w:cs="Times New Roman"/>
          <w:color w:val="0D0D0D" w:themeColor="text1" w:themeTint="F2"/>
          <w:sz w:val="26"/>
          <w:szCs w:val="26"/>
        </w:rPr>
        <w:t xml:space="preserve">addresses issues that continue to arise in the context of Duquesne’s universal service plans.  </w:t>
      </w:r>
    </w:p>
    <w:p w:rsidR="00D768C1" w:rsidRDefault="00D768C1" w:rsidP="00236183">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D768C1" w:rsidRPr="00D768C1" w:rsidRDefault="00D768C1" w:rsidP="00D768C1">
      <w:pPr>
        <w:keepNext/>
        <w:tabs>
          <w:tab w:val="left" w:pos="720"/>
        </w:tabs>
        <w:autoSpaceDE w:val="0"/>
        <w:autoSpaceDN w:val="0"/>
        <w:adjustRightInd w:val="0"/>
        <w:spacing w:after="0" w:line="360" w:lineRule="auto"/>
        <w:rPr>
          <w:rFonts w:ascii="Times New Roman" w:eastAsia="Times New Roman" w:hAnsi="Times New Roman" w:cs="Times New Roman"/>
          <w:b/>
          <w:color w:val="0D0D0D" w:themeColor="text1" w:themeTint="F2"/>
          <w:sz w:val="26"/>
          <w:szCs w:val="26"/>
        </w:rPr>
      </w:pPr>
      <w:r w:rsidRPr="00D768C1">
        <w:rPr>
          <w:rFonts w:ascii="Times New Roman" w:eastAsia="Times New Roman" w:hAnsi="Times New Roman" w:cs="Times New Roman"/>
          <w:b/>
          <w:color w:val="0D0D0D" w:themeColor="text1" w:themeTint="F2"/>
          <w:sz w:val="26"/>
          <w:szCs w:val="26"/>
        </w:rPr>
        <w:lastRenderedPageBreak/>
        <w:t>B.</w:t>
      </w:r>
      <w:r w:rsidRPr="00D768C1">
        <w:rPr>
          <w:rFonts w:ascii="Times New Roman" w:eastAsia="Times New Roman" w:hAnsi="Times New Roman" w:cs="Times New Roman"/>
          <w:b/>
          <w:color w:val="0D0D0D" w:themeColor="text1" w:themeTint="F2"/>
          <w:sz w:val="26"/>
          <w:szCs w:val="26"/>
        </w:rPr>
        <w:tab/>
      </w:r>
      <w:r w:rsidRPr="00D768C1">
        <w:rPr>
          <w:rFonts w:ascii="Times New Roman" w:eastAsia="Times New Roman" w:hAnsi="Times New Roman" w:cs="Times New Roman"/>
          <w:b/>
          <w:color w:val="0D0D0D" w:themeColor="text1" w:themeTint="F2"/>
          <w:sz w:val="26"/>
          <w:szCs w:val="26"/>
          <w:u w:val="single"/>
        </w:rPr>
        <w:t>CAP Shopping (</w:t>
      </w:r>
      <w:r w:rsidRPr="00D768C1">
        <w:rPr>
          <w:rFonts w:ascii="Times New Roman" w:eastAsia="Times New Roman" w:hAnsi="Times New Roman" w:cs="Times New Roman"/>
          <w:b/>
          <w:sz w:val="26"/>
          <w:szCs w:val="26"/>
          <w:u w:val="single"/>
        </w:rPr>
        <w:t>P-2012-2301664)</w:t>
      </w:r>
    </w:p>
    <w:p w:rsidR="00D768C1" w:rsidRDefault="00D768C1" w:rsidP="00D768C1">
      <w:pPr>
        <w:keepNext/>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p>
    <w:p w:rsidR="00D768C1" w:rsidRPr="000E1656" w:rsidRDefault="00D768C1" w:rsidP="00D768C1">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By order entered o</w:t>
      </w:r>
      <w:r w:rsidRPr="000E1656">
        <w:rPr>
          <w:rFonts w:ascii="Times New Roman" w:eastAsia="Times New Roman" w:hAnsi="Times New Roman" w:cs="Times New Roman"/>
          <w:sz w:val="26"/>
          <w:szCs w:val="26"/>
        </w:rPr>
        <w:t xml:space="preserve">n January 25, 2013, the Commission directed Duquesne to work with the Office of Competitive Market Oversight </w:t>
      </w:r>
      <w:r>
        <w:rPr>
          <w:rFonts w:ascii="Times New Roman" w:eastAsia="Times New Roman" w:hAnsi="Times New Roman" w:cs="Times New Roman"/>
          <w:sz w:val="26"/>
          <w:szCs w:val="26"/>
        </w:rPr>
        <w:t xml:space="preserve">(OCMO) </w:t>
      </w:r>
      <w:r w:rsidRPr="000E1656">
        <w:rPr>
          <w:rFonts w:ascii="Times New Roman" w:eastAsia="Times New Roman" w:hAnsi="Times New Roman" w:cs="Times New Roman"/>
          <w:sz w:val="26"/>
          <w:szCs w:val="26"/>
        </w:rPr>
        <w:t xml:space="preserve">to develop a plan that will allow its CAP customers to purchase generation supply from electric generation suppliers (EGSs) by January 1, 2014. </w:t>
      </w:r>
      <w:r w:rsidRPr="000C48D8">
        <w:rPr>
          <w:rFonts w:ascii="Times New Roman" w:eastAsia="Times New Roman" w:hAnsi="Times New Roman" w:cs="Times New Roman"/>
          <w:i/>
          <w:sz w:val="26"/>
          <w:szCs w:val="26"/>
        </w:rPr>
        <w:t>See Petition of Duquesne Light Company for Approval of its Default Service Plan,</w:t>
      </w:r>
      <w:r w:rsidRPr="000E1656">
        <w:rPr>
          <w:rFonts w:ascii="Times New Roman" w:eastAsia="Times New Roman" w:hAnsi="Times New Roman" w:cs="Times New Roman"/>
          <w:sz w:val="26"/>
          <w:szCs w:val="26"/>
        </w:rPr>
        <w:t xml:space="preserve"> Docket No. </w:t>
      </w:r>
      <w:proofErr w:type="gramStart"/>
      <w:r w:rsidRPr="000E1656">
        <w:rPr>
          <w:rFonts w:ascii="Times New Roman" w:eastAsia="Times New Roman" w:hAnsi="Times New Roman" w:cs="Times New Roman"/>
          <w:sz w:val="26"/>
          <w:szCs w:val="26"/>
        </w:rPr>
        <w:t>P-2012-2301664 (Duquesne DSP Petition).</w:t>
      </w:r>
      <w:proofErr w:type="gramEnd"/>
      <w:r w:rsidRPr="000E1656">
        <w:rPr>
          <w:rFonts w:ascii="Times New Roman" w:eastAsia="Times New Roman" w:hAnsi="Times New Roman" w:cs="Times New Roman"/>
          <w:sz w:val="26"/>
          <w:szCs w:val="26"/>
        </w:rPr>
        <w:t xml:space="preserve">  </w:t>
      </w:r>
    </w:p>
    <w:p w:rsidR="00D768C1" w:rsidRPr="000E1656" w:rsidRDefault="00D768C1" w:rsidP="00D768C1">
      <w:pPr>
        <w:spacing w:after="0" w:line="360" w:lineRule="auto"/>
        <w:ind w:firstLine="720"/>
        <w:rPr>
          <w:rFonts w:ascii="Times New Roman" w:eastAsia="Times New Roman" w:hAnsi="Times New Roman" w:cs="Times New Roman"/>
          <w:sz w:val="26"/>
          <w:szCs w:val="26"/>
        </w:rPr>
      </w:pPr>
    </w:p>
    <w:p w:rsidR="00D768C1" w:rsidRPr="000E1656" w:rsidRDefault="00D768C1" w:rsidP="00D768C1">
      <w:pPr>
        <w:spacing w:after="0" w:line="360" w:lineRule="auto"/>
        <w:ind w:firstLine="720"/>
        <w:rPr>
          <w:rFonts w:ascii="Times New Roman" w:eastAsia="Times New Roman" w:hAnsi="Times New Roman" w:cs="Times New Roman"/>
          <w:sz w:val="26"/>
          <w:szCs w:val="26"/>
        </w:rPr>
      </w:pPr>
      <w:r w:rsidRPr="000E1656">
        <w:rPr>
          <w:rFonts w:ascii="Times New Roman" w:eastAsia="Times New Roman" w:hAnsi="Times New Roman" w:cs="Times New Roman"/>
          <w:sz w:val="26"/>
          <w:szCs w:val="26"/>
        </w:rPr>
        <w:t xml:space="preserve">On June 28, 2013, Duquesne filed a Petition requesting approval and modification of its amended </w:t>
      </w:r>
      <w:r>
        <w:rPr>
          <w:rFonts w:ascii="Times New Roman" w:eastAsia="Times New Roman" w:hAnsi="Times New Roman" w:cs="Times New Roman"/>
          <w:sz w:val="26"/>
          <w:szCs w:val="26"/>
        </w:rPr>
        <w:t xml:space="preserve">2014-2016 </w:t>
      </w:r>
      <w:r w:rsidRPr="000E1656">
        <w:rPr>
          <w:rFonts w:ascii="Times New Roman" w:eastAsia="Times New Roman" w:hAnsi="Times New Roman" w:cs="Times New Roman"/>
          <w:sz w:val="26"/>
          <w:szCs w:val="26"/>
        </w:rPr>
        <w:t>USECP</w:t>
      </w:r>
      <w:r>
        <w:rPr>
          <w:rFonts w:ascii="Times New Roman" w:eastAsia="Times New Roman" w:hAnsi="Times New Roman" w:cs="Times New Roman"/>
          <w:sz w:val="26"/>
          <w:szCs w:val="26"/>
        </w:rPr>
        <w:t>. The p</w:t>
      </w:r>
      <w:r w:rsidRPr="000E1656">
        <w:rPr>
          <w:rFonts w:ascii="Times New Roman" w:eastAsia="Times New Roman" w:hAnsi="Times New Roman" w:cs="Times New Roman"/>
          <w:sz w:val="26"/>
          <w:szCs w:val="26"/>
        </w:rPr>
        <w:t xml:space="preserve">etition </w:t>
      </w:r>
      <w:r>
        <w:rPr>
          <w:rFonts w:ascii="Times New Roman" w:eastAsia="Times New Roman" w:hAnsi="Times New Roman" w:cs="Times New Roman"/>
          <w:sz w:val="26"/>
          <w:szCs w:val="26"/>
        </w:rPr>
        <w:t xml:space="preserve">seeking to amend the USECP also </w:t>
      </w:r>
      <w:r w:rsidRPr="000E1656">
        <w:rPr>
          <w:rFonts w:ascii="Times New Roman" w:eastAsia="Times New Roman" w:hAnsi="Times New Roman" w:cs="Times New Roman"/>
          <w:sz w:val="26"/>
          <w:szCs w:val="26"/>
        </w:rPr>
        <w:t xml:space="preserve">referenced the </w:t>
      </w:r>
      <w:r>
        <w:rPr>
          <w:rFonts w:ascii="Times New Roman" w:eastAsia="Times New Roman" w:hAnsi="Times New Roman" w:cs="Times New Roman"/>
          <w:sz w:val="26"/>
          <w:szCs w:val="26"/>
        </w:rPr>
        <w:t xml:space="preserve">Duquesne </w:t>
      </w:r>
      <w:r w:rsidRPr="000E1656">
        <w:rPr>
          <w:rFonts w:ascii="Times New Roman" w:eastAsia="Times New Roman" w:hAnsi="Times New Roman" w:cs="Times New Roman"/>
          <w:sz w:val="26"/>
          <w:szCs w:val="26"/>
        </w:rPr>
        <w:t xml:space="preserve">DSP Petition. The Commission therefore added the </w:t>
      </w:r>
      <w:r>
        <w:rPr>
          <w:rFonts w:ascii="Times New Roman" w:eastAsia="Times New Roman" w:hAnsi="Times New Roman" w:cs="Times New Roman"/>
          <w:sz w:val="26"/>
          <w:szCs w:val="26"/>
        </w:rPr>
        <w:t xml:space="preserve">USECP </w:t>
      </w:r>
      <w:r w:rsidRPr="000E1656">
        <w:rPr>
          <w:rFonts w:ascii="Times New Roman" w:eastAsia="Times New Roman" w:hAnsi="Times New Roman" w:cs="Times New Roman"/>
          <w:sz w:val="26"/>
          <w:szCs w:val="26"/>
        </w:rPr>
        <w:t>docket (M-2013-2350946) to the DSP docket</w:t>
      </w:r>
      <w:r>
        <w:rPr>
          <w:rFonts w:ascii="Times New Roman" w:eastAsia="Times New Roman" w:hAnsi="Times New Roman" w:cs="Times New Roman"/>
          <w:sz w:val="26"/>
          <w:szCs w:val="26"/>
        </w:rPr>
        <w:t xml:space="preserve"> (P-2012-230664) without expressly consolidating the two proceedings</w:t>
      </w:r>
      <w:r w:rsidRPr="000E165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 June 28, 2013 P</w:t>
      </w:r>
      <w:r w:rsidRPr="000E1656">
        <w:rPr>
          <w:rFonts w:ascii="Times New Roman" w:eastAsia="Times New Roman" w:hAnsi="Times New Roman" w:cs="Times New Roman"/>
          <w:sz w:val="26"/>
          <w:szCs w:val="26"/>
        </w:rPr>
        <w:t xml:space="preserve">etition included a description and timeline for allowing CAP shopping from EGSs as part of its DSP Petition filing as follows: effective January 1, 2014, upon Commission approval, its CAP customers can purchase supply from any EGS and maintain CAP benefits.  By January 1, 2015, it planned to implement protections to prevent CAP customers from choosing an EGS with a higher price than the PTC.  In its amended </w:t>
      </w:r>
      <w:r>
        <w:rPr>
          <w:rFonts w:ascii="Times New Roman" w:eastAsia="Times New Roman" w:hAnsi="Times New Roman" w:cs="Times New Roman"/>
          <w:sz w:val="26"/>
          <w:szCs w:val="26"/>
        </w:rPr>
        <w:t xml:space="preserve">2014-2016 </w:t>
      </w:r>
      <w:r w:rsidRPr="000E1656">
        <w:rPr>
          <w:rFonts w:ascii="Times New Roman" w:eastAsia="Times New Roman" w:hAnsi="Times New Roman" w:cs="Times New Roman"/>
          <w:sz w:val="26"/>
          <w:szCs w:val="26"/>
        </w:rPr>
        <w:t>US</w:t>
      </w:r>
      <w:r>
        <w:rPr>
          <w:rFonts w:ascii="Times New Roman" w:eastAsia="Times New Roman" w:hAnsi="Times New Roman" w:cs="Times New Roman"/>
          <w:sz w:val="26"/>
          <w:szCs w:val="26"/>
        </w:rPr>
        <w:t>EC</w:t>
      </w:r>
      <w:r w:rsidRPr="000E1656">
        <w:rPr>
          <w:rFonts w:ascii="Times New Roman" w:eastAsia="Times New Roman" w:hAnsi="Times New Roman" w:cs="Times New Roman"/>
          <w:sz w:val="26"/>
          <w:szCs w:val="26"/>
        </w:rPr>
        <w:t>P, (p. 7) it addresses CAP shopping under program eligibility by stating only that customers may choose an EGS as long as they receive consolidated billing from Duquesne Light.</w:t>
      </w:r>
    </w:p>
    <w:p w:rsidR="00D768C1" w:rsidRPr="000E1656" w:rsidRDefault="00D768C1" w:rsidP="00D768C1">
      <w:pPr>
        <w:spacing w:after="0" w:line="360" w:lineRule="auto"/>
        <w:ind w:firstLine="720"/>
        <w:rPr>
          <w:rFonts w:ascii="Times New Roman" w:eastAsia="Times New Roman" w:hAnsi="Times New Roman" w:cs="Times New Roman"/>
          <w:sz w:val="26"/>
          <w:szCs w:val="26"/>
        </w:rPr>
      </w:pPr>
    </w:p>
    <w:p w:rsidR="00D768C1" w:rsidRPr="00236183" w:rsidRDefault="00D768C1" w:rsidP="00D768C1">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r w:rsidRPr="000E1656">
        <w:rPr>
          <w:rFonts w:ascii="Times New Roman" w:eastAsia="Times New Roman" w:hAnsi="Times New Roman" w:cs="Times New Roman"/>
          <w:sz w:val="26"/>
          <w:szCs w:val="26"/>
        </w:rPr>
        <w:t xml:space="preserve">On July 18, 2013, the Coalition for Affordable Utility Services and Energy Efficiency in Pennsylvania (Cause-PA) filed an Answer to the June 28, 2013 Petition with issues relevant only to Duquesne’s DSP.  On July 19, 2013, the Office of Consumer Advocate (OCA) filed an Answer to the Plan with issues relevant only to Duquesne’s DSP.  Additional comments related to the Duquesne DSP Petition and CAP shopping plan </w:t>
      </w:r>
      <w:r>
        <w:rPr>
          <w:rFonts w:ascii="Times New Roman" w:eastAsia="Times New Roman" w:hAnsi="Times New Roman" w:cs="Times New Roman"/>
          <w:sz w:val="26"/>
          <w:szCs w:val="26"/>
        </w:rPr>
        <w:t>are being</w:t>
      </w:r>
      <w:r w:rsidRPr="000E1656">
        <w:rPr>
          <w:rFonts w:ascii="Times New Roman" w:eastAsia="Times New Roman" w:hAnsi="Times New Roman" w:cs="Times New Roman"/>
          <w:sz w:val="26"/>
          <w:szCs w:val="26"/>
        </w:rPr>
        <w:t xml:space="preserve"> directed to Docket No. </w:t>
      </w:r>
      <w:proofErr w:type="gramStart"/>
      <w:r w:rsidRPr="000E1656">
        <w:rPr>
          <w:rFonts w:ascii="Times New Roman" w:eastAsia="Times New Roman" w:hAnsi="Times New Roman" w:cs="Times New Roman"/>
          <w:sz w:val="26"/>
          <w:szCs w:val="26"/>
        </w:rPr>
        <w:t>P-2012-2301664.</w:t>
      </w:r>
      <w:proofErr w:type="gramEnd"/>
    </w:p>
    <w:p w:rsidR="00236183" w:rsidRPr="00236183" w:rsidRDefault="00236183" w:rsidP="00236183">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lastRenderedPageBreak/>
        <w:t>III</w:t>
      </w:r>
      <w:proofErr w:type="gramStart"/>
      <w:r w:rsidRPr="00236183">
        <w:rPr>
          <w:rFonts w:ascii="Times New Roman" w:eastAsia="Times New Roman" w:hAnsi="Times New Roman" w:cs="Times New Roman"/>
          <w:b/>
          <w:color w:val="0D0D0D" w:themeColor="text1" w:themeTint="F2"/>
          <w:sz w:val="26"/>
          <w:szCs w:val="26"/>
        </w:rPr>
        <w:t>.  Discussion</w:t>
      </w:r>
      <w:proofErr w:type="gramEnd"/>
    </w:p>
    <w:p w:rsidR="00236183" w:rsidRPr="00236183" w:rsidRDefault="00236183" w:rsidP="002361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The General Assembly has</w:t>
      </w:r>
      <w:r w:rsidRPr="00236183">
        <w:rPr>
          <w:rFonts w:ascii="Times New Roman" w:eastAsia="Times New Roman" w:hAnsi="Times New Roman" w:cs="Times New Roman"/>
          <w:i/>
          <w:color w:val="0D0D0D" w:themeColor="text1" w:themeTint="F2"/>
          <w:sz w:val="26"/>
          <w:szCs w:val="26"/>
        </w:rPr>
        <w:t xml:space="preserve"> </w:t>
      </w:r>
      <w:r w:rsidRPr="00236183">
        <w:rPr>
          <w:rFonts w:ascii="Times New Roman" w:eastAsia="Times New Roman" w:hAnsi="Times New Roman" w:cs="Times New Roman"/>
          <w:color w:val="0D0D0D" w:themeColor="text1" w:themeTint="F2"/>
          <w:sz w:val="26"/>
          <w:szCs w:val="26"/>
        </w:rPr>
        <w:t xml:space="preserve">acknowledged the importance of helping low income customers maintain utility service, and the Competition Act requires the Commission to continue, at a minimum, the same level and nature of consumer protection policies and services that were in place at the time the Competition Act became effective.  </w:t>
      </w:r>
      <w:proofErr w:type="gramStart"/>
      <w:r w:rsidRPr="00236183">
        <w:rPr>
          <w:rFonts w:ascii="Times New Roman" w:eastAsia="Times New Roman" w:hAnsi="Times New Roman" w:cs="Times New Roman"/>
          <w:color w:val="0D0D0D" w:themeColor="text1" w:themeTint="F2"/>
          <w:sz w:val="26"/>
          <w:szCs w:val="26"/>
        </w:rPr>
        <w:t>66 Pa. C.S. § 2802(10).</w:t>
      </w:r>
      <w:proofErr w:type="gramEnd"/>
      <w:r w:rsidRPr="00236183">
        <w:rPr>
          <w:rFonts w:ascii="Times New Roman" w:eastAsia="Times New Roman" w:hAnsi="Times New Roman" w:cs="Times New Roman"/>
          <w:color w:val="0D0D0D" w:themeColor="text1" w:themeTint="F2"/>
          <w:sz w:val="26"/>
          <w:szCs w:val="26"/>
        </w:rPr>
        <w:t xml:space="preserve">  Under the Competition Act, universal service programs are subject to the administrative oversight of the Commission, which must ensure that the utilities run the programs in a cost-effective manner.  </w:t>
      </w:r>
      <w:proofErr w:type="gramStart"/>
      <w:r w:rsidRPr="00236183">
        <w:rPr>
          <w:rFonts w:ascii="Times New Roman" w:eastAsia="Times New Roman" w:hAnsi="Times New Roman" w:cs="Times New Roman"/>
          <w:color w:val="0D0D0D" w:themeColor="text1" w:themeTint="F2"/>
          <w:sz w:val="26"/>
          <w:szCs w:val="26"/>
        </w:rPr>
        <w:t>66 Pa. C.S. § 2804(9).</w:t>
      </w:r>
      <w:proofErr w:type="gramEnd"/>
      <w:r w:rsidRPr="00236183">
        <w:rPr>
          <w:rFonts w:ascii="Times New Roman" w:eastAsia="Times New Roman" w:hAnsi="Times New Roman" w:cs="Times New Roman"/>
          <w:color w:val="0D0D0D" w:themeColor="text1" w:themeTint="F2"/>
          <w:sz w:val="26"/>
          <w:szCs w:val="26"/>
        </w:rPr>
        <w:t xml:space="preserve">  The Commission balances the interests of customers who benefit from the universal service programs with the interests of the customers who pay for the programs.</w:t>
      </w:r>
      <w:r w:rsidRPr="00236183">
        <w:rPr>
          <w:rFonts w:ascii="Times New Roman" w:eastAsia="Times New Roman" w:hAnsi="Times New Roman" w:cs="Times New Roman"/>
          <w:color w:val="0D0D0D" w:themeColor="text1" w:themeTint="F2"/>
          <w:sz w:val="26"/>
          <w:szCs w:val="26"/>
          <w:vertAlign w:val="superscript"/>
        </w:rPr>
        <w:footnoteReference w:id="1"/>
      </w:r>
      <w:r w:rsidRPr="00236183">
        <w:rPr>
          <w:rFonts w:ascii="Times New Roman" w:eastAsia="Times New Roman" w:hAnsi="Times New Roman" w:cs="Times New Roman"/>
          <w:color w:val="0D0D0D" w:themeColor="text1" w:themeTint="F2"/>
          <w:sz w:val="26"/>
          <w:szCs w:val="26"/>
        </w:rPr>
        <w:t xml:space="preserve">  Although the Competition Act does not define “affordability,” the Commission’s CAP Policy Statement provides guidance on setting affordable payments.  </w:t>
      </w:r>
    </w:p>
    <w:p w:rsidR="00236183" w:rsidRPr="00236183" w:rsidRDefault="00236183" w:rsidP="002361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tabs>
          <w:tab w:val="left" w:pos="720"/>
        </w:tabs>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t xml:space="preserve">As detailed in the following paragraphs, Duquesne’s Plan partially complies with applicable provisions of the Public Utility Code, 66 Pa. C.S. §§ 101, </w:t>
      </w:r>
      <w:r w:rsidRPr="00236183">
        <w:rPr>
          <w:rFonts w:ascii="Times New Roman" w:eastAsia="Times New Roman" w:hAnsi="Times New Roman" w:cs="Times New Roman"/>
          <w:i/>
          <w:color w:val="0D0D0D" w:themeColor="text1" w:themeTint="F2"/>
          <w:sz w:val="26"/>
          <w:szCs w:val="26"/>
        </w:rPr>
        <w:t>et seq</w:t>
      </w:r>
      <w:r w:rsidRPr="00236183">
        <w:rPr>
          <w:rFonts w:ascii="Times New Roman" w:eastAsia="Times New Roman" w:hAnsi="Times New Roman" w:cs="Times New Roman"/>
          <w:color w:val="0D0D0D" w:themeColor="text1" w:themeTint="F2"/>
          <w:sz w:val="26"/>
          <w:szCs w:val="26"/>
        </w:rPr>
        <w:t xml:space="preserve">., Commission regulations and Commission policy statements.  The 2014-2016 Plan - and additional information requested by staff and provided by Duquesne regarding this amended Plan - contains all of the components included in the definition of universal service at 66 Pa. C.S. § 2803, which mandate that universal service programs be available in each large EDC service territory and that the programs be appropriately funded.  However, this amended Plan may only partially meet the submission and content obligations of the universal service reporting requirements at 52 Pa. Code § 54.74, the Low Income Usage Reduction Program (LIURP) regulations at 52 Pa. Code §§ 58.1-58.18, and the CAP Policy Statement at 52 Pa. Code §§ 69.261-69.267.  </w:t>
      </w:r>
    </w:p>
    <w:p w:rsidR="00236183" w:rsidRPr="00236183" w:rsidRDefault="00236183" w:rsidP="00236183">
      <w:pPr>
        <w:tabs>
          <w:tab w:val="left" w:pos="720"/>
        </w:tabs>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ab/>
        <w:t xml:space="preserve">Duquesne’s amended USECP contains four major components that help low income customers maintain utility service.  The four major components are as follows:  (1) CAP that provides discounted bills for low income residential customers; (2) Duquesne’s LIURP called Smart Comfort, that provides weatherization and usage reduction services to help low income customers reduce their utility bills; (3) the Customer Assistance and Referral Evaluation Services (CARES) Program, which provides referral services for low-income, special needs customers; and (4) The Hardship Fund, in which Duquesne partners with the Dollar Energy Fund (DEF), provides grants to customers with incomes up to 200% of the Federal Poverty Income Guidelines (FPIG) who have overdue balances and an inability to pay the full amount of their energy bills.  Duquesne’s Universal Service Plan does contain each of these four programs as required by the Competition Act.  </w:t>
      </w:r>
    </w:p>
    <w:p w:rsidR="00236183" w:rsidRPr="00236183" w:rsidRDefault="00236183" w:rsidP="00236183">
      <w:pPr>
        <w:tabs>
          <w:tab w:val="left" w:pos="990"/>
        </w:tabs>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keepNext/>
        <w:tabs>
          <w:tab w:val="left" w:pos="990"/>
        </w:tabs>
        <w:spacing w:after="0" w:line="360" w:lineRule="auto"/>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IV</w:t>
      </w:r>
      <w:proofErr w:type="gramStart"/>
      <w:r w:rsidRPr="00236183">
        <w:rPr>
          <w:rFonts w:ascii="Times New Roman" w:eastAsia="Times New Roman" w:hAnsi="Times New Roman" w:cs="Times New Roman"/>
          <w:b/>
          <w:color w:val="0D0D0D" w:themeColor="text1" w:themeTint="F2"/>
          <w:sz w:val="26"/>
          <w:szCs w:val="26"/>
        </w:rPr>
        <w:t>.  Contents</w:t>
      </w:r>
      <w:proofErr w:type="gramEnd"/>
      <w:r w:rsidRPr="00236183">
        <w:rPr>
          <w:rFonts w:ascii="Times New Roman" w:eastAsia="Times New Roman" w:hAnsi="Times New Roman" w:cs="Times New Roman"/>
          <w:b/>
          <w:color w:val="0D0D0D" w:themeColor="text1" w:themeTint="F2"/>
          <w:sz w:val="26"/>
          <w:szCs w:val="26"/>
        </w:rPr>
        <w:t xml:space="preserve"> of Duquesne’s Amended USECP</w:t>
      </w:r>
    </w:p>
    <w:p w:rsidR="00236183" w:rsidRPr="00236183" w:rsidRDefault="00236183" w:rsidP="00236183">
      <w:pPr>
        <w:keepNext/>
        <w:tabs>
          <w:tab w:val="left" w:pos="990"/>
        </w:tabs>
        <w:spacing w:after="0" w:line="360" w:lineRule="auto"/>
        <w:rPr>
          <w:rFonts w:ascii="Times New Roman" w:eastAsia="Times New Roman" w:hAnsi="Times New Roman" w:cs="Times New Roman"/>
          <w:b/>
          <w:color w:val="0D0D0D" w:themeColor="text1" w:themeTint="F2"/>
          <w:sz w:val="26"/>
          <w:szCs w:val="26"/>
        </w:rPr>
      </w:pPr>
    </w:p>
    <w:p w:rsidR="00236183" w:rsidRPr="00236183" w:rsidRDefault="00236183" w:rsidP="00236183">
      <w:pPr>
        <w:keepNext/>
        <w:numPr>
          <w:ilvl w:val="0"/>
          <w:numId w:val="7"/>
        </w:numPr>
        <w:tabs>
          <w:tab w:val="left" w:pos="720"/>
        </w:tabs>
        <w:spacing w:after="0" w:line="360" w:lineRule="auto"/>
        <w:ind w:hanging="1080"/>
        <w:contextualSpacing/>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u w:val="single"/>
        </w:rPr>
        <w:t>Requirements</w:t>
      </w:r>
    </w:p>
    <w:p w:rsidR="00236183" w:rsidRPr="00236183" w:rsidRDefault="00236183" w:rsidP="00236183">
      <w:pPr>
        <w:keepNext/>
        <w:tabs>
          <w:tab w:val="left" w:pos="720"/>
        </w:tabs>
        <w:spacing w:after="0" w:line="360" w:lineRule="auto"/>
        <w:ind w:left="1080"/>
        <w:contextualSpacing/>
        <w:rPr>
          <w:rFonts w:ascii="Times New Roman" w:eastAsia="Times New Roman" w:hAnsi="Times New Roman" w:cs="Times New Roman"/>
          <w:b/>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universal service reporting requirements at 52 Pa. Code §§ 54.74(b) requires utilities to include the following information for each component of their universal service plans:  </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Program description</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Eligibility criteria</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Projected needs assessment</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Projected enrollment levels</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Program budget</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Plan to use community-based organizations</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Organizational structures</w:t>
      </w:r>
    </w:p>
    <w:p w:rsidR="00236183" w:rsidRPr="00236183" w:rsidRDefault="00236183" w:rsidP="00236183">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Explanation of differences between the approved plan and implementation of that plan.  </w:t>
      </w:r>
    </w:p>
    <w:p w:rsidR="00236183" w:rsidRPr="00236183" w:rsidRDefault="00236183" w:rsidP="00236183">
      <w:pPr>
        <w:spacing w:after="0" w:line="360" w:lineRule="auto"/>
        <w:ind w:left="1872"/>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following sections provide a summary of the information provided by Duquesne regarding the contents of its Plan.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066C64" w:rsidRDefault="00236183" w:rsidP="00066C64">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u w:val="single"/>
        </w:rPr>
        <w:t>Differences between the 2014-2016 Amended Plan from the 2011-2013 Plan</w:t>
      </w:r>
    </w:p>
    <w:p w:rsidR="00236183" w:rsidRPr="00236183" w:rsidRDefault="00236183" w:rsidP="00236183">
      <w:pPr>
        <w:spacing w:before="269" w:after="0" w:line="360" w:lineRule="auto"/>
        <w:ind w:right="432" w:firstLine="720"/>
        <w:textAlignment w:val="baseline"/>
        <w:rPr>
          <w:rFonts w:ascii="Times New Roman" w:eastAsia="Garamond" w:hAnsi="Times New Roman" w:cs="Times New Roman"/>
          <w:color w:val="000000"/>
          <w:sz w:val="26"/>
          <w:szCs w:val="26"/>
        </w:rPr>
      </w:pPr>
      <w:r w:rsidRPr="00236183">
        <w:rPr>
          <w:rFonts w:ascii="Times New Roman" w:eastAsia="Garamond" w:hAnsi="Times New Roman" w:cs="Times New Roman"/>
          <w:color w:val="000000"/>
          <w:sz w:val="26"/>
          <w:szCs w:val="26"/>
        </w:rPr>
        <w:t xml:space="preserve">The Company listed several changes for 2014-2016 compared to its last three-year plan:  </w:t>
      </w:r>
    </w:p>
    <w:p w:rsidR="00236183" w:rsidRPr="00236183" w:rsidRDefault="00236183" w:rsidP="00236183">
      <w:pPr>
        <w:numPr>
          <w:ilvl w:val="0"/>
          <w:numId w:val="9"/>
        </w:numPr>
        <w:spacing w:after="0" w:line="360" w:lineRule="auto"/>
        <w:ind w:left="1166" w:hanging="450"/>
        <w:textAlignment w:val="baseline"/>
        <w:rPr>
          <w:rFonts w:ascii="Times New Roman" w:eastAsia="Garamond" w:hAnsi="Times New Roman" w:cs="Times New Roman"/>
          <w:color w:val="000000"/>
          <w:sz w:val="26"/>
          <w:szCs w:val="26"/>
        </w:rPr>
      </w:pPr>
      <w:r w:rsidRPr="00236183">
        <w:rPr>
          <w:rFonts w:ascii="Times New Roman" w:eastAsia="Garamond" w:hAnsi="Times New Roman" w:cs="Times New Roman"/>
          <w:color w:val="000000"/>
          <w:sz w:val="26"/>
          <w:szCs w:val="26"/>
        </w:rPr>
        <w:t>Allow restoration payment agreements while remaining in CAP;</w:t>
      </w:r>
    </w:p>
    <w:p w:rsidR="00236183" w:rsidRPr="00236183" w:rsidRDefault="00236183" w:rsidP="00236183">
      <w:pPr>
        <w:numPr>
          <w:ilvl w:val="0"/>
          <w:numId w:val="9"/>
        </w:numPr>
        <w:spacing w:after="0" w:line="360" w:lineRule="auto"/>
        <w:ind w:left="1166" w:hanging="450"/>
        <w:textAlignment w:val="baseline"/>
        <w:rPr>
          <w:rFonts w:ascii="Times New Roman" w:eastAsia="Garamond" w:hAnsi="Times New Roman" w:cs="Times New Roman"/>
          <w:color w:val="000000"/>
          <w:sz w:val="26"/>
          <w:szCs w:val="26"/>
        </w:rPr>
      </w:pPr>
      <w:r w:rsidRPr="00236183">
        <w:rPr>
          <w:rFonts w:ascii="Times New Roman" w:eastAsia="Garamond" w:hAnsi="Times New Roman" w:cs="Times New Roman"/>
          <w:color w:val="000000"/>
          <w:sz w:val="26"/>
          <w:szCs w:val="26"/>
        </w:rPr>
        <w:t>Clarify the application of maximum credits on CAP accounts;</w:t>
      </w:r>
      <w:r w:rsidRPr="00236183">
        <w:rPr>
          <w:rFonts w:ascii="Times New Roman" w:eastAsia="Garamond" w:hAnsi="Times New Roman" w:cs="Times New Roman"/>
          <w:sz w:val="26"/>
          <w:szCs w:val="26"/>
        </w:rPr>
        <w:t xml:space="preserve"> </w:t>
      </w:r>
    </w:p>
    <w:p w:rsidR="00236183" w:rsidRPr="00236183" w:rsidRDefault="00236183" w:rsidP="00236183">
      <w:pPr>
        <w:numPr>
          <w:ilvl w:val="0"/>
          <w:numId w:val="9"/>
        </w:numPr>
        <w:spacing w:after="0" w:line="360" w:lineRule="auto"/>
        <w:ind w:left="1166" w:right="72" w:hanging="450"/>
        <w:textAlignment w:val="baseline"/>
        <w:rPr>
          <w:rFonts w:ascii="Times New Roman" w:eastAsia="Garamond" w:hAnsi="Times New Roman" w:cs="Times New Roman"/>
          <w:color w:val="000000"/>
          <w:sz w:val="26"/>
          <w:szCs w:val="26"/>
        </w:rPr>
      </w:pPr>
      <w:r w:rsidRPr="00236183">
        <w:rPr>
          <w:rFonts w:ascii="Times New Roman" w:eastAsia="Garamond" w:hAnsi="Times New Roman" w:cs="Times New Roman"/>
          <w:color w:val="000000"/>
          <w:sz w:val="26"/>
          <w:szCs w:val="26"/>
        </w:rPr>
        <w:t xml:space="preserve">Permit a customer to receive CAP at only one service location at a time. </w:t>
      </w:r>
    </w:p>
    <w:p w:rsidR="00236183" w:rsidRPr="00236183" w:rsidRDefault="00236183" w:rsidP="00236183">
      <w:pPr>
        <w:numPr>
          <w:ilvl w:val="0"/>
          <w:numId w:val="9"/>
        </w:numPr>
        <w:spacing w:after="0" w:line="360" w:lineRule="auto"/>
        <w:ind w:left="1166" w:right="432" w:hanging="450"/>
        <w:jc w:val="both"/>
        <w:textAlignment w:val="baseline"/>
        <w:rPr>
          <w:rFonts w:ascii="Times New Roman" w:eastAsia="Garamond" w:hAnsi="Times New Roman" w:cs="Times New Roman"/>
          <w:color w:val="000000"/>
          <w:spacing w:val="-3"/>
          <w:sz w:val="26"/>
          <w:szCs w:val="26"/>
        </w:rPr>
      </w:pPr>
      <w:r w:rsidRPr="00236183">
        <w:rPr>
          <w:rFonts w:ascii="Times New Roman" w:eastAsia="Garamond" w:hAnsi="Times New Roman" w:cs="Times New Roman"/>
          <w:color w:val="000000"/>
          <w:spacing w:val="-3"/>
          <w:sz w:val="26"/>
          <w:szCs w:val="26"/>
        </w:rPr>
        <w:t>Shorten arrearage forgiveness from 36 to 24 months.</w:t>
      </w:r>
    </w:p>
    <w:p w:rsidR="00236183" w:rsidRPr="00236183" w:rsidRDefault="00236183" w:rsidP="00236183">
      <w:pPr>
        <w:numPr>
          <w:ilvl w:val="0"/>
          <w:numId w:val="9"/>
        </w:numPr>
        <w:spacing w:after="0" w:line="360" w:lineRule="auto"/>
        <w:ind w:left="1166" w:right="144" w:hanging="450"/>
        <w:textAlignment w:val="baseline"/>
        <w:rPr>
          <w:rFonts w:ascii="Times New Roman" w:eastAsia="Garamond" w:hAnsi="Times New Roman" w:cs="Times New Roman"/>
          <w:color w:val="000000"/>
          <w:sz w:val="26"/>
          <w:szCs w:val="26"/>
        </w:rPr>
      </w:pPr>
      <w:r w:rsidRPr="00236183">
        <w:rPr>
          <w:rFonts w:ascii="Times New Roman" w:eastAsia="Garamond" w:hAnsi="Times New Roman" w:cs="Times New Roman"/>
          <w:color w:val="000000"/>
          <w:sz w:val="26"/>
          <w:szCs w:val="26"/>
        </w:rPr>
        <w:t>Default a customer from CAP for engaging in fraud, material misrepresentations, meter tampering, theft of service, failure to recertify income, failure to complete an energy conservation visit, or failure to apply for grant assistance</w:t>
      </w:r>
      <w:r w:rsidRPr="00236183">
        <w:rPr>
          <w:rFonts w:ascii="Times New Roman" w:eastAsia="Garamond" w:hAnsi="Times New Roman" w:cs="Times New Roman"/>
          <w:i/>
          <w:color w:val="000000"/>
          <w:sz w:val="26"/>
          <w:szCs w:val="26"/>
        </w:rPr>
        <w:t xml:space="preserve">. </w:t>
      </w:r>
      <w:r w:rsidRPr="00236183">
        <w:rPr>
          <w:rFonts w:ascii="Times New Roman" w:eastAsia="Garamond" w:hAnsi="Times New Roman" w:cs="Times New Roman"/>
          <w:color w:val="000000"/>
          <w:sz w:val="26"/>
          <w:szCs w:val="26"/>
        </w:rPr>
        <w:t xml:space="preserve">In the case of theft of service or material misrepresentations regarding eligibility criteria, back-bill a defaulted customer for previously unbilled consumption, </w:t>
      </w:r>
      <w:r w:rsidRPr="00236183">
        <w:rPr>
          <w:rFonts w:ascii="Times New Roman" w:eastAsia="Garamond" w:hAnsi="Times New Roman" w:cs="Times New Roman"/>
          <w:sz w:val="26"/>
          <w:szCs w:val="26"/>
        </w:rPr>
        <w:t xml:space="preserve">or (when questioned, Duquesne clarified that it should be “at” not “or”) </w:t>
      </w:r>
      <w:r w:rsidRPr="00236183">
        <w:rPr>
          <w:rFonts w:ascii="Times New Roman" w:eastAsia="Garamond" w:hAnsi="Times New Roman" w:cs="Times New Roman"/>
          <w:color w:val="000000"/>
          <w:sz w:val="26"/>
          <w:szCs w:val="26"/>
        </w:rPr>
        <w:t>the full tariff rate;</w:t>
      </w:r>
    </w:p>
    <w:p w:rsidR="00236183" w:rsidRPr="00236183" w:rsidRDefault="00236183" w:rsidP="00236183">
      <w:pPr>
        <w:numPr>
          <w:ilvl w:val="0"/>
          <w:numId w:val="9"/>
        </w:numPr>
        <w:spacing w:after="0" w:line="360" w:lineRule="auto"/>
        <w:ind w:left="1166" w:right="72" w:hanging="360"/>
        <w:jc w:val="both"/>
        <w:textAlignment w:val="baseline"/>
        <w:rPr>
          <w:rFonts w:ascii="Times New Roman" w:eastAsia="Garamond" w:hAnsi="Times New Roman" w:cs="Times New Roman"/>
          <w:color w:val="000000"/>
          <w:sz w:val="26"/>
          <w:szCs w:val="26"/>
        </w:rPr>
      </w:pPr>
      <w:r w:rsidRPr="00236183">
        <w:rPr>
          <w:rFonts w:ascii="Times New Roman" w:eastAsia="Garamond" w:hAnsi="Times New Roman" w:cs="Times New Roman"/>
          <w:color w:val="000000"/>
          <w:sz w:val="26"/>
          <w:szCs w:val="26"/>
        </w:rPr>
        <w:t>Provide a timeframe and process for allowing CAP customers to shop for electric generation while retaining their benefits</w:t>
      </w:r>
      <w:r w:rsidRPr="00236183">
        <w:rPr>
          <w:rFonts w:ascii="Times New Roman" w:eastAsia="Garamond" w:hAnsi="Times New Roman" w:cs="Times New Roman"/>
          <w:i/>
          <w:color w:val="000000"/>
          <w:sz w:val="26"/>
          <w:szCs w:val="26"/>
        </w:rPr>
        <w:t>.</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u w:val="single"/>
        </w:rPr>
        <w:t>Program Descriptions</w:t>
      </w:r>
    </w:p>
    <w:p w:rsidR="00236183" w:rsidRPr="00236183" w:rsidRDefault="00236183" w:rsidP="00236183">
      <w:pPr>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rsidR="00236183" w:rsidRPr="00236183" w:rsidRDefault="00236183" w:rsidP="00236183">
      <w:pPr>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 xml:space="preserve">CAP </w:t>
      </w:r>
    </w:p>
    <w:p w:rsidR="00236183" w:rsidRPr="00236183" w:rsidRDefault="00236183" w:rsidP="00236183">
      <w:pPr>
        <w:spacing w:before="136" w:after="0" w:line="360" w:lineRule="auto"/>
        <w:textAlignment w:val="baseline"/>
        <w:rPr>
          <w:rFonts w:ascii="Times New Roman" w:eastAsia="Times New Roman" w:hAnsi="Times New Roman" w:cs="Times New Roman"/>
          <w:color w:val="000000"/>
          <w:spacing w:val="7"/>
          <w:sz w:val="26"/>
          <w:szCs w:val="26"/>
        </w:rPr>
      </w:pPr>
      <w:r w:rsidRPr="00236183">
        <w:rPr>
          <w:rFonts w:ascii="Times New Roman" w:eastAsia="Times New Roman" w:hAnsi="Times New Roman" w:cs="Times New Roman"/>
          <w:color w:val="0D0D0D" w:themeColor="text1" w:themeTint="F2"/>
          <w:sz w:val="26"/>
          <w:szCs w:val="26"/>
        </w:rPr>
        <w:tab/>
        <w:t xml:space="preserve">Duquesne’s CAP is a program for low income, payment-troubled customers.  Duquesne describes primary features of its plan as follows:  “An </w:t>
      </w:r>
      <w:r w:rsidRPr="00236183">
        <w:rPr>
          <w:rFonts w:ascii="Times New Roman" w:eastAsia="Garamond" w:hAnsi="Times New Roman" w:cs="Times New Roman"/>
          <w:color w:val="000000"/>
          <w:sz w:val="26"/>
          <w:szCs w:val="26"/>
        </w:rPr>
        <w:t>opportunity for arrearage forgiveness over a specified period of time;</w:t>
      </w:r>
      <w:r w:rsidRPr="00236183">
        <w:rPr>
          <w:rFonts w:ascii="Times New Roman" w:eastAsia="Times New Roman" w:hAnsi="Times New Roman" w:cs="Times New Roman"/>
          <w:color w:val="0D0D0D" w:themeColor="text1" w:themeTint="F2"/>
          <w:sz w:val="26"/>
          <w:szCs w:val="26"/>
        </w:rPr>
        <w:t xml:space="preserve"> </w:t>
      </w:r>
      <w:r w:rsidRPr="00236183">
        <w:rPr>
          <w:rFonts w:ascii="Times New Roman" w:eastAsia="PMingLiU" w:hAnsi="Times New Roman" w:cs="Times New Roman"/>
          <w:sz w:val="26"/>
          <w:szCs w:val="26"/>
        </w:rPr>
        <w:t>a</w:t>
      </w:r>
      <w:r w:rsidRPr="00236183">
        <w:rPr>
          <w:rFonts w:ascii="Times New Roman" w:eastAsia="Times New Roman" w:hAnsi="Times New Roman" w:cs="Times New Roman"/>
          <w:color w:val="000000"/>
          <w:spacing w:val="7"/>
          <w:sz w:val="26"/>
          <w:szCs w:val="26"/>
        </w:rPr>
        <w:t xml:space="preserve"> reduced payment arrangement based on ability to pay; </w:t>
      </w:r>
      <w:r w:rsidRPr="00236183">
        <w:rPr>
          <w:rFonts w:ascii="Times New Roman" w:eastAsia="Times New Roman" w:hAnsi="Times New Roman" w:cs="Times New Roman"/>
          <w:color w:val="000000"/>
          <w:spacing w:val="5"/>
          <w:sz w:val="26"/>
          <w:szCs w:val="26"/>
        </w:rPr>
        <w:t>CAP credit write off;</w:t>
      </w:r>
      <w:r w:rsidRPr="00236183">
        <w:rPr>
          <w:rFonts w:ascii="Times New Roman" w:eastAsia="Times New Roman" w:hAnsi="Times New Roman" w:cs="Times New Roman"/>
          <w:color w:val="000000"/>
          <w:spacing w:val="6"/>
          <w:sz w:val="26"/>
          <w:szCs w:val="26"/>
        </w:rPr>
        <w:t xml:space="preserve"> protection against loss of electric </w:t>
      </w:r>
      <w:r w:rsidRPr="00236183">
        <w:rPr>
          <w:rFonts w:ascii="Times New Roman" w:eastAsia="Times New Roman" w:hAnsi="Times New Roman" w:cs="Times New Roman"/>
          <w:color w:val="000000"/>
          <w:spacing w:val="6"/>
          <w:sz w:val="26"/>
          <w:szCs w:val="26"/>
        </w:rPr>
        <w:lastRenderedPageBreak/>
        <w:t>service;</w:t>
      </w:r>
      <w:r w:rsidRPr="00236183">
        <w:rPr>
          <w:rFonts w:ascii="Times New Roman" w:eastAsia="Times New Roman" w:hAnsi="Times New Roman" w:cs="Times New Roman"/>
          <w:color w:val="000000"/>
          <w:spacing w:val="7"/>
          <w:sz w:val="26"/>
          <w:szCs w:val="26"/>
        </w:rPr>
        <w:t xml:space="preserve"> referrals to other community programs and services” (Amended Plan, p. 3</w:t>
      </w:r>
      <w:r w:rsidRPr="00236183">
        <w:rPr>
          <w:rFonts w:ascii="Times New Roman" w:eastAsia="Times New Roman" w:hAnsi="Times New Roman" w:cs="Times New Roman"/>
          <w:color w:val="000000"/>
          <w:spacing w:val="7"/>
          <w:sz w:val="26"/>
          <w:szCs w:val="26"/>
        </w:rPr>
        <w:noBreakHyphen/>
        <w:t>4).</w:t>
      </w:r>
    </w:p>
    <w:p w:rsidR="00236183" w:rsidRPr="00236183" w:rsidRDefault="00236183" w:rsidP="00236183">
      <w:pPr>
        <w:tabs>
          <w:tab w:val="left" w:pos="1512"/>
        </w:tabs>
        <w:spacing w:before="136" w:after="0" w:line="360" w:lineRule="auto"/>
        <w:textAlignment w:val="baseline"/>
        <w:rPr>
          <w:rFonts w:ascii="Times New Roman" w:eastAsia="Times New Roman" w:hAnsi="Times New Roman" w:cs="Times New Roman"/>
          <w:color w:val="000000"/>
          <w:spacing w:val="7"/>
          <w:sz w:val="26"/>
          <w:szCs w:val="26"/>
        </w:rPr>
      </w:pPr>
    </w:p>
    <w:p w:rsidR="00236183" w:rsidRPr="00236183" w:rsidRDefault="00236183" w:rsidP="00236183">
      <w:pPr>
        <w:tabs>
          <w:tab w:val="left" w:pos="720"/>
        </w:tabs>
        <w:spacing w:before="136" w:after="0" w:line="360" w:lineRule="auto"/>
        <w:textAlignment w:val="baseline"/>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00000"/>
          <w:spacing w:val="7"/>
          <w:sz w:val="26"/>
          <w:szCs w:val="26"/>
        </w:rPr>
        <w:tab/>
        <w:t>CAP customers can have their pre-program arrearages completely forgiven within two years of entering the program.  For each month the customer pays his or her monthly CAP bill in full and on time, the company will forgive 1/24</w:t>
      </w:r>
      <w:r w:rsidRPr="00236183">
        <w:rPr>
          <w:rFonts w:ascii="Times New Roman" w:eastAsia="Times New Roman" w:hAnsi="Times New Roman" w:cs="Times New Roman"/>
          <w:color w:val="000000"/>
          <w:spacing w:val="7"/>
          <w:sz w:val="26"/>
          <w:szCs w:val="26"/>
          <w:vertAlign w:val="superscript"/>
        </w:rPr>
        <w:t>th</w:t>
      </w:r>
      <w:r w:rsidRPr="00236183">
        <w:rPr>
          <w:rFonts w:ascii="Times New Roman" w:eastAsia="Times New Roman" w:hAnsi="Times New Roman" w:cs="Times New Roman"/>
          <w:color w:val="000000"/>
          <w:spacing w:val="7"/>
          <w:sz w:val="26"/>
          <w:szCs w:val="26"/>
        </w:rPr>
        <w:t xml:space="preserve"> of the customer’s pre-program arrearage.  </w:t>
      </w:r>
      <w:r w:rsidRPr="00236183">
        <w:rPr>
          <w:rFonts w:ascii="Times New Roman" w:eastAsia="Times New Roman" w:hAnsi="Times New Roman" w:cs="Times New Roman"/>
          <w:color w:val="0D0D0D" w:themeColor="text1" w:themeTint="F2"/>
          <w:sz w:val="26"/>
          <w:szCs w:val="26"/>
        </w:rPr>
        <w:t xml:space="preserve">The customer does not have to be payment-troubled, as recommended by the CAP Policy Statement at 52 Pa. Code § 69.264, as Duquesne’s CAP program is open to customers with incomes up to 150% of the FPIG who express difficulty paying their electric bill.  </w:t>
      </w:r>
    </w:p>
    <w:p w:rsidR="00236183" w:rsidRPr="00236183" w:rsidRDefault="00236183" w:rsidP="00236183">
      <w:pPr>
        <w:tabs>
          <w:tab w:val="left" w:pos="1512"/>
        </w:tabs>
        <w:spacing w:before="136" w:after="0" w:line="360" w:lineRule="auto"/>
        <w:textAlignment w:val="baseline"/>
        <w:rPr>
          <w:rFonts w:ascii="Times New Roman" w:eastAsia="Times New Roman" w:hAnsi="Times New Roman" w:cs="Times New Roman"/>
          <w:color w:val="000000"/>
          <w:spacing w:val="7"/>
          <w:sz w:val="26"/>
          <w:szCs w:val="26"/>
        </w:rPr>
      </w:pPr>
    </w:p>
    <w:p w:rsidR="00236183" w:rsidRPr="00236183" w:rsidRDefault="00236183" w:rsidP="00236183">
      <w:pPr>
        <w:tabs>
          <w:tab w:val="left" w:pos="720"/>
          <w:tab w:val="left" w:pos="1512"/>
        </w:tabs>
        <w:spacing w:before="136" w:after="0" w:line="360" w:lineRule="auto"/>
        <w:textAlignment w:val="baseline"/>
        <w:rPr>
          <w:rFonts w:ascii="Times New Roman" w:eastAsia="Times New Roman" w:hAnsi="Times New Roman" w:cs="Times New Roman"/>
          <w:color w:val="000000"/>
          <w:spacing w:val="7"/>
          <w:sz w:val="26"/>
          <w:szCs w:val="26"/>
        </w:rPr>
      </w:pPr>
      <w:r w:rsidRPr="00236183">
        <w:rPr>
          <w:rFonts w:ascii="Times New Roman" w:eastAsia="Times New Roman" w:hAnsi="Times New Roman" w:cs="Times New Roman"/>
          <w:color w:val="000000"/>
          <w:spacing w:val="7"/>
          <w:sz w:val="26"/>
          <w:szCs w:val="26"/>
        </w:rPr>
        <w:tab/>
        <w:t xml:space="preserve">CAP customers are required to pay a percentage of their total budget bill based on their household income.  The total budget bill is calculated based on historical usage.  The discounted portion of the customer’s monthly budget bill is considered the CAP credit and is limited to $560 for non-heating customers and $1,400 for electric heating customers annually.  </w:t>
      </w:r>
      <w:r w:rsidRPr="00236183">
        <w:rPr>
          <w:rFonts w:ascii="Times New Roman" w:eastAsia="Times New Roman" w:hAnsi="Times New Roman" w:cs="Times New Roman"/>
          <w:color w:val="0D0D0D" w:themeColor="text1" w:themeTint="F2"/>
          <w:sz w:val="26"/>
          <w:szCs w:val="26"/>
        </w:rPr>
        <w:t>Table 1 describes the Percent of Bill discounts for each income level.</w:t>
      </w:r>
      <w:r w:rsidRPr="00236183">
        <w:rPr>
          <w:rFonts w:ascii="Times New Roman" w:eastAsia="Times New Roman" w:hAnsi="Times New Roman" w:cs="Times New Roman"/>
          <w:color w:val="000000"/>
          <w:spacing w:val="7"/>
          <w:sz w:val="26"/>
          <w:szCs w:val="26"/>
        </w:rPr>
        <w:t xml:space="preserve">   </w:t>
      </w:r>
    </w:p>
    <w:p w:rsidR="00236183" w:rsidRPr="00236183" w:rsidRDefault="00236183" w:rsidP="00371094">
      <w:pPr>
        <w:keepNext/>
        <w:tabs>
          <w:tab w:val="left" w:pos="1512"/>
        </w:tabs>
        <w:spacing w:after="0" w:line="360" w:lineRule="auto"/>
        <w:jc w:val="center"/>
        <w:textAlignment w:val="baseline"/>
        <w:rPr>
          <w:rFonts w:ascii="Times New Roman" w:eastAsia="Times New Roman" w:hAnsi="Times New Roman" w:cs="Times New Roman"/>
          <w:b/>
          <w:color w:val="000000"/>
          <w:spacing w:val="7"/>
          <w:sz w:val="26"/>
          <w:szCs w:val="26"/>
        </w:rPr>
      </w:pPr>
      <w:r w:rsidRPr="00236183">
        <w:rPr>
          <w:rFonts w:ascii="Times New Roman" w:eastAsia="Times New Roman" w:hAnsi="Times New Roman" w:cs="Times New Roman"/>
          <w:b/>
          <w:color w:val="000000"/>
          <w:spacing w:val="7"/>
          <w:sz w:val="26"/>
          <w:szCs w:val="26"/>
        </w:rPr>
        <w:t>Table 1</w:t>
      </w:r>
    </w:p>
    <w:p w:rsidR="00236183" w:rsidRPr="00236183" w:rsidRDefault="00236183" w:rsidP="00371094">
      <w:pPr>
        <w:keepNext/>
        <w:tabs>
          <w:tab w:val="left" w:pos="1512"/>
        </w:tabs>
        <w:spacing w:after="0" w:line="360" w:lineRule="auto"/>
        <w:jc w:val="center"/>
        <w:textAlignment w:val="baseline"/>
        <w:rPr>
          <w:rFonts w:ascii="Times New Roman" w:eastAsia="Times New Roman" w:hAnsi="Times New Roman" w:cs="Times New Roman"/>
          <w:b/>
          <w:color w:val="000000"/>
          <w:spacing w:val="7"/>
          <w:sz w:val="26"/>
          <w:szCs w:val="26"/>
        </w:rPr>
      </w:pPr>
      <w:r w:rsidRPr="00236183">
        <w:rPr>
          <w:rFonts w:ascii="Times New Roman" w:eastAsia="Times New Roman" w:hAnsi="Times New Roman" w:cs="Times New Roman"/>
          <w:b/>
          <w:color w:val="000000"/>
          <w:spacing w:val="7"/>
          <w:sz w:val="26"/>
          <w:szCs w:val="26"/>
        </w:rPr>
        <w:t>Duquesne’s Percent of Bill Categories</w:t>
      </w:r>
    </w:p>
    <w:tbl>
      <w:tblPr>
        <w:tblStyle w:val="TableGrid"/>
        <w:tblW w:w="9378" w:type="dxa"/>
        <w:tblLook w:val="04A0" w:firstRow="1" w:lastRow="0" w:firstColumn="1" w:lastColumn="0" w:noHBand="0" w:noVBand="1"/>
      </w:tblPr>
      <w:tblGrid>
        <w:gridCol w:w="3618"/>
        <w:gridCol w:w="2880"/>
        <w:gridCol w:w="2880"/>
      </w:tblGrid>
      <w:tr w:rsidR="00236183" w:rsidRPr="00236183" w:rsidTr="00E97DC0">
        <w:trPr>
          <w:trHeight w:val="990"/>
        </w:trPr>
        <w:tc>
          <w:tcPr>
            <w:tcW w:w="3618" w:type="dxa"/>
            <w:vAlign w:val="center"/>
            <w:hideMark/>
          </w:tcPr>
          <w:p w:rsidR="00236183" w:rsidRPr="00E97DC0" w:rsidRDefault="00236183" w:rsidP="003A1377">
            <w:pPr>
              <w:rPr>
                <w:rFonts w:ascii="Times New Roman" w:eastAsia="Times New Roman" w:hAnsi="Times New Roman"/>
                <w:b/>
                <w:bCs/>
                <w:color w:val="000000"/>
                <w:sz w:val="26"/>
                <w:szCs w:val="26"/>
              </w:rPr>
            </w:pPr>
            <w:r w:rsidRPr="00E97DC0">
              <w:rPr>
                <w:rFonts w:ascii="Times New Roman" w:eastAsia="Times New Roman" w:hAnsi="Times New Roman"/>
                <w:b/>
                <w:bCs/>
                <w:color w:val="000000"/>
                <w:sz w:val="26"/>
                <w:szCs w:val="26"/>
              </w:rPr>
              <w:t>Income Category:</w:t>
            </w:r>
          </w:p>
        </w:tc>
        <w:tc>
          <w:tcPr>
            <w:tcW w:w="2880" w:type="dxa"/>
            <w:vAlign w:val="center"/>
            <w:hideMark/>
          </w:tcPr>
          <w:p w:rsidR="00236183" w:rsidRPr="00E97DC0" w:rsidRDefault="00236183" w:rsidP="00E97DC0">
            <w:pPr>
              <w:jc w:val="center"/>
              <w:rPr>
                <w:rFonts w:ascii="Times New Roman" w:eastAsia="Times New Roman" w:hAnsi="Times New Roman"/>
                <w:b/>
                <w:bCs/>
                <w:color w:val="000000"/>
                <w:sz w:val="26"/>
                <w:szCs w:val="26"/>
              </w:rPr>
            </w:pPr>
            <w:r w:rsidRPr="00E97DC0">
              <w:rPr>
                <w:rFonts w:ascii="Times New Roman" w:eastAsia="Times New Roman" w:hAnsi="Times New Roman"/>
                <w:b/>
                <w:bCs/>
                <w:color w:val="000000"/>
                <w:sz w:val="26"/>
                <w:szCs w:val="26"/>
              </w:rPr>
              <w:t>Residential Service Percentage of Budget Bill Payment:</w:t>
            </w:r>
          </w:p>
        </w:tc>
        <w:tc>
          <w:tcPr>
            <w:tcW w:w="2880" w:type="dxa"/>
            <w:vAlign w:val="center"/>
            <w:hideMark/>
          </w:tcPr>
          <w:p w:rsidR="00236183" w:rsidRPr="00E97DC0" w:rsidRDefault="00236183" w:rsidP="00E97DC0">
            <w:pPr>
              <w:jc w:val="center"/>
              <w:rPr>
                <w:rFonts w:ascii="Times New Roman" w:eastAsia="Times New Roman" w:hAnsi="Times New Roman"/>
                <w:b/>
                <w:bCs/>
                <w:color w:val="000000"/>
                <w:sz w:val="26"/>
                <w:szCs w:val="26"/>
              </w:rPr>
            </w:pPr>
            <w:r w:rsidRPr="00E97DC0">
              <w:rPr>
                <w:rFonts w:ascii="Times New Roman" w:eastAsia="Times New Roman" w:hAnsi="Times New Roman"/>
                <w:b/>
                <w:bCs/>
                <w:color w:val="000000"/>
                <w:sz w:val="26"/>
                <w:szCs w:val="26"/>
              </w:rPr>
              <w:t>Residential Electric Heat Percentage of Budget Bill Payment:</w:t>
            </w:r>
          </w:p>
        </w:tc>
      </w:tr>
      <w:tr w:rsidR="00236183" w:rsidRPr="00236183" w:rsidTr="00E97DC0">
        <w:trPr>
          <w:trHeight w:val="620"/>
        </w:trPr>
        <w:tc>
          <w:tcPr>
            <w:tcW w:w="3618" w:type="dxa"/>
            <w:noWrap/>
            <w:vAlign w:val="center"/>
            <w:hideMark/>
          </w:tcPr>
          <w:p w:rsidR="00236183" w:rsidRPr="00E97DC0" w:rsidRDefault="00236183" w:rsidP="00DD17B6">
            <w:pP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0% to 50 % of Poverty</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30%</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45%</w:t>
            </w:r>
          </w:p>
        </w:tc>
      </w:tr>
      <w:tr w:rsidR="00236183" w:rsidRPr="00236183" w:rsidTr="00E97DC0">
        <w:trPr>
          <w:trHeight w:val="620"/>
        </w:trPr>
        <w:tc>
          <w:tcPr>
            <w:tcW w:w="3618" w:type="dxa"/>
            <w:noWrap/>
            <w:vAlign w:val="center"/>
            <w:hideMark/>
          </w:tcPr>
          <w:p w:rsidR="00236183" w:rsidRPr="00E97DC0" w:rsidRDefault="00236183" w:rsidP="00DD17B6">
            <w:pP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51% to 100% of Poverty</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60%</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65%</w:t>
            </w:r>
          </w:p>
        </w:tc>
      </w:tr>
      <w:tr w:rsidR="00236183" w:rsidRPr="00236183" w:rsidTr="00E97DC0">
        <w:trPr>
          <w:trHeight w:val="710"/>
        </w:trPr>
        <w:tc>
          <w:tcPr>
            <w:tcW w:w="3618" w:type="dxa"/>
            <w:noWrap/>
            <w:vAlign w:val="center"/>
            <w:hideMark/>
          </w:tcPr>
          <w:p w:rsidR="00236183" w:rsidRPr="00E97DC0" w:rsidRDefault="00236183" w:rsidP="00DD17B6">
            <w:pP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101% to 150 % of Poverty</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85%</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80%</w:t>
            </w:r>
          </w:p>
        </w:tc>
      </w:tr>
      <w:tr w:rsidR="00236183" w:rsidRPr="00236183" w:rsidTr="00E97DC0">
        <w:trPr>
          <w:trHeight w:val="620"/>
        </w:trPr>
        <w:tc>
          <w:tcPr>
            <w:tcW w:w="3618" w:type="dxa"/>
            <w:noWrap/>
            <w:vAlign w:val="center"/>
            <w:hideMark/>
          </w:tcPr>
          <w:p w:rsidR="00236183" w:rsidRPr="00E97DC0" w:rsidRDefault="00236183" w:rsidP="00DD17B6">
            <w:pP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LIHEAP Recipient*</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100%*</w:t>
            </w:r>
          </w:p>
        </w:tc>
        <w:tc>
          <w:tcPr>
            <w:tcW w:w="2880" w:type="dxa"/>
            <w:noWrap/>
            <w:vAlign w:val="center"/>
            <w:hideMark/>
          </w:tcPr>
          <w:p w:rsidR="00236183" w:rsidRPr="00E97DC0" w:rsidRDefault="00236183" w:rsidP="00E97DC0">
            <w:pPr>
              <w:jc w:val="center"/>
              <w:rPr>
                <w:rFonts w:ascii="Times New Roman" w:eastAsia="Times New Roman" w:hAnsi="Times New Roman"/>
                <w:color w:val="000000"/>
                <w:sz w:val="26"/>
                <w:szCs w:val="26"/>
              </w:rPr>
            </w:pPr>
            <w:r w:rsidRPr="00E97DC0">
              <w:rPr>
                <w:rFonts w:ascii="Times New Roman" w:eastAsia="Times New Roman" w:hAnsi="Times New Roman"/>
                <w:color w:val="000000"/>
                <w:sz w:val="26"/>
                <w:szCs w:val="26"/>
              </w:rPr>
              <w:t>100%*</w:t>
            </w:r>
          </w:p>
        </w:tc>
      </w:tr>
    </w:tbl>
    <w:p w:rsidR="00236183" w:rsidRPr="00236183" w:rsidRDefault="00236183" w:rsidP="00236183">
      <w:pPr>
        <w:tabs>
          <w:tab w:val="left" w:pos="1512"/>
        </w:tabs>
        <w:spacing w:before="136" w:after="0" w:line="294" w:lineRule="exact"/>
        <w:textAlignment w:val="baseline"/>
        <w:rPr>
          <w:rFonts w:ascii="Times New Roman" w:eastAsia="Times New Roman" w:hAnsi="Times New Roman" w:cs="Times New Roman"/>
          <w:color w:val="000000"/>
          <w:spacing w:val="7"/>
          <w:sz w:val="26"/>
          <w:szCs w:val="26"/>
        </w:rPr>
      </w:pPr>
    </w:p>
    <w:p w:rsidR="00236183" w:rsidRPr="00236183" w:rsidRDefault="00236183" w:rsidP="00236183">
      <w:pPr>
        <w:spacing w:after="0" w:line="360" w:lineRule="auto"/>
        <w:ind w:left="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 Non-CAP customers who receive a LIHEAP grant are “automatically enrolled” in the program and any outstanding arrearage is frozen.  Duquesne sends a letter to these customers explaining CAP and requesting all necessary income and household information within 6 months to determine eligibility.  During this application period, the customer is responsible for paying 100% of the budget bill until the application for CAP has been completed.  The household will then receive the discount appropriate for their income category.  If the customer does not complete the CAP application process within 6 months, the Company will discontinue budget billing and return all arrearages to the account balance.  </w:t>
      </w:r>
    </w:p>
    <w:p w:rsidR="00236183" w:rsidRPr="00236183" w:rsidRDefault="00236183" w:rsidP="00236183">
      <w:pPr>
        <w:spacing w:before="100" w:beforeAutospacing="1" w:after="100" w:afterAutospacing="1" w:line="240" w:lineRule="auto"/>
        <w:rPr>
          <w:rFonts w:ascii="Times New Roman" w:eastAsia="Times New Roman" w:hAnsi="Times New Roman" w:cs="Times New Roman"/>
          <w:sz w:val="24"/>
          <w:szCs w:val="24"/>
        </w:rPr>
      </w:pPr>
    </w:p>
    <w:p w:rsidR="00236183" w:rsidRPr="00236183" w:rsidRDefault="00236183" w:rsidP="00236183">
      <w:pPr>
        <w:spacing w:before="100" w:beforeAutospacing="1" w:after="100" w:afterAutospacing="1" w:line="360" w:lineRule="auto"/>
        <w:rPr>
          <w:rFonts w:ascii="Times New Roman" w:eastAsia="Times New Roman" w:hAnsi="Times New Roman" w:cs="Times New Roman"/>
          <w:sz w:val="26"/>
          <w:szCs w:val="26"/>
        </w:rPr>
      </w:pP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sz w:val="26"/>
          <w:szCs w:val="26"/>
        </w:rPr>
        <w:t>Per the February 24, 2011 Final Order approving a settlement agreement for Duquesne’s rate case at Doc</w:t>
      </w:r>
      <w:r w:rsidR="00827C9E">
        <w:rPr>
          <w:rFonts w:ascii="Times New Roman" w:eastAsia="Times New Roman" w:hAnsi="Times New Roman" w:cs="Times New Roman"/>
          <w:sz w:val="26"/>
          <w:szCs w:val="26"/>
        </w:rPr>
        <w:t xml:space="preserve">ket No. R-2010-2179522, </w:t>
      </w:r>
      <w:r w:rsidRPr="00236183">
        <w:rPr>
          <w:rFonts w:ascii="Times New Roman" w:eastAsia="Times New Roman" w:hAnsi="Times New Roman" w:cs="Times New Roman"/>
          <w:sz w:val="26"/>
          <w:szCs w:val="26"/>
        </w:rPr>
        <w:t>Duquesne agreed to:</w:t>
      </w:r>
    </w:p>
    <w:p w:rsidR="00236183" w:rsidRPr="00236183" w:rsidRDefault="00236183" w:rsidP="00236183">
      <w:pPr>
        <w:spacing w:before="100" w:beforeAutospacing="1" w:after="100" w:afterAutospacing="1" w:line="240" w:lineRule="auto"/>
        <w:ind w:left="720" w:right="126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[F]</w:t>
      </w:r>
      <w:proofErr w:type="spellStart"/>
      <w:r w:rsidRPr="00236183">
        <w:rPr>
          <w:rFonts w:ascii="Times New Roman" w:eastAsia="Times New Roman" w:hAnsi="Times New Roman" w:cs="Times New Roman"/>
          <w:sz w:val="26"/>
          <w:szCs w:val="26"/>
        </w:rPr>
        <w:t>ollow</w:t>
      </w:r>
      <w:proofErr w:type="spellEnd"/>
      <w:r w:rsidRPr="00236183">
        <w:rPr>
          <w:rFonts w:ascii="Times New Roman" w:eastAsia="Times New Roman" w:hAnsi="Times New Roman" w:cs="Times New Roman"/>
          <w:sz w:val="26"/>
          <w:szCs w:val="26"/>
        </w:rPr>
        <w:t xml:space="preserve"> Commission guidelines and limit eligibility for its CAP program to customers with income at or below 150% of the Federal Poverty Level, except as provided in this paragraph, and will not extend CAP eligibility to seniors with income above 150% of the Federal Poverty Level.  Duquesne Light shall be permitted to grandfather its existing senior customers so that they will not be removed from the current benefit programs, as long as their income levels are at or below 200% of the Federal Poverty Level.  </w:t>
      </w:r>
    </w:p>
    <w:p w:rsidR="00236183" w:rsidRPr="00236183" w:rsidRDefault="00236183" w:rsidP="00236183">
      <w:pPr>
        <w:spacing w:before="100" w:beforeAutospacing="1" w:after="100" w:afterAutospacing="1" w:line="360" w:lineRule="auto"/>
        <w:rPr>
          <w:rFonts w:ascii="Times New Roman" w:eastAsia="Times New Roman" w:hAnsi="Times New Roman" w:cs="Times New Roman"/>
          <w:sz w:val="26"/>
          <w:szCs w:val="26"/>
        </w:rPr>
      </w:pPr>
      <w:proofErr w:type="gramStart"/>
      <w:r w:rsidRPr="00236183">
        <w:rPr>
          <w:rFonts w:ascii="Times New Roman" w:eastAsia="Times New Roman" w:hAnsi="Times New Roman" w:cs="Times New Roman"/>
          <w:sz w:val="26"/>
          <w:szCs w:val="26"/>
        </w:rPr>
        <w:t>SA item #46.</w:t>
      </w:r>
      <w:proofErr w:type="gramEnd"/>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w:t>
      </w:r>
      <w:r w:rsidR="00DD4C21">
        <w:rPr>
          <w:rFonts w:ascii="Times New Roman" w:eastAsia="Times New Roman" w:hAnsi="Times New Roman" w:cs="Times New Roman"/>
          <w:color w:val="0D0D0D" w:themeColor="text1" w:themeTint="F2"/>
          <w:sz w:val="26"/>
          <w:szCs w:val="26"/>
        </w:rPr>
        <w:t>e CAP customers who were seniors (age 62 or over)</w:t>
      </w:r>
      <w:r w:rsidRPr="00236183">
        <w:rPr>
          <w:rFonts w:ascii="Times New Roman" w:eastAsia="Times New Roman" w:hAnsi="Times New Roman" w:cs="Times New Roman"/>
          <w:color w:val="0D0D0D" w:themeColor="text1" w:themeTint="F2"/>
          <w:sz w:val="26"/>
          <w:szCs w:val="26"/>
        </w:rPr>
        <w:t xml:space="preserve"> at the time of this settlement agreement were allowed to remain in CAP as long as their income did not exceed 200% of the FPIG.  These grandfathered </w:t>
      </w:r>
      <w:r w:rsidRPr="00236183">
        <w:rPr>
          <w:rFonts w:ascii="Times New Roman" w:eastAsia="Times New Roman" w:hAnsi="Times New Roman" w:cs="Times New Roman"/>
          <w:color w:val="1F497D"/>
          <w:sz w:val="26"/>
          <w:szCs w:val="26"/>
        </w:rPr>
        <w:t>s</w:t>
      </w:r>
      <w:r w:rsidRPr="00236183">
        <w:rPr>
          <w:rFonts w:ascii="Times New Roman" w:eastAsia="Times New Roman" w:hAnsi="Times New Roman" w:cs="Times New Roman"/>
          <w:color w:val="0D0D0D" w:themeColor="text1" w:themeTint="F2"/>
          <w:sz w:val="26"/>
          <w:szCs w:val="26"/>
        </w:rPr>
        <w:t xml:space="preserve">eniors are responsible for paying 85% if they have a residential service budget bill and 80% if they are a residential electric heat customer.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heme="minorHAnsi"/>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 xml:space="preserve">In addition to our analysis of the CAP plan in the 2014-2016 amended USECP, BCS also reviewed 800 informal disputes from Duquesne CAP customers </w:t>
      </w:r>
      <w:r w:rsidRPr="00236183">
        <w:rPr>
          <w:rFonts w:ascii="Times New Roman" w:eastAsia="Times New Roman" w:hAnsi="Times New Roman" w:cstheme="minorHAnsi"/>
          <w:color w:val="0D0D0D" w:themeColor="text1" w:themeTint="F2"/>
          <w:sz w:val="26"/>
          <w:szCs w:val="26"/>
        </w:rPr>
        <w:t>opened between January 2012 and January 2013.  From this review, staff identified additional potential areas of concern and potential deficiencies inherent in Duquesne’s CAP program administration resulting in customer unaffordability, confusion, and misunderstanding, as detailed below.</w:t>
      </w:r>
    </w:p>
    <w:p w:rsidR="00236183" w:rsidRPr="00236183" w:rsidRDefault="00236183" w:rsidP="00236183">
      <w:pPr>
        <w:spacing w:after="0" w:line="360" w:lineRule="auto"/>
        <w:ind w:firstLine="720"/>
        <w:rPr>
          <w:rFonts w:ascii="Times New Roman" w:eastAsia="Times New Roman" w:hAnsi="Times New Roman" w:cstheme="minorHAnsi"/>
          <w:color w:val="0D0D0D" w:themeColor="text1" w:themeTint="F2"/>
          <w:sz w:val="26"/>
          <w:szCs w:val="26"/>
        </w:rPr>
      </w:pPr>
      <w:r w:rsidRPr="00236183">
        <w:rPr>
          <w:rFonts w:ascii="Times New Roman" w:eastAsia="Times New Roman" w:hAnsi="Times New Roman" w:cstheme="minorHAnsi"/>
          <w:color w:val="0D0D0D" w:themeColor="text1" w:themeTint="F2"/>
          <w:sz w:val="26"/>
          <w:szCs w:val="26"/>
        </w:rPr>
        <w:t xml:space="preserve"> </w:t>
      </w:r>
    </w:p>
    <w:p w:rsidR="00236183" w:rsidRPr="00236183" w:rsidRDefault="00236183" w:rsidP="00236183">
      <w:pPr>
        <w:keepNext/>
        <w:numPr>
          <w:ilvl w:val="0"/>
          <w:numId w:val="10"/>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 xml:space="preserve">Customer payments applied to pre-program arrearages </w:t>
      </w:r>
    </w:p>
    <w:p w:rsidR="00236183" w:rsidRPr="00236183" w:rsidRDefault="00236183" w:rsidP="00236183">
      <w:pPr>
        <w:keepNext/>
        <w:spacing w:after="0" w:line="360" w:lineRule="auto"/>
        <w:ind w:left="360"/>
        <w:rPr>
          <w:rFonts w:ascii="Times New Roman" w:eastAsia="Times New Roman" w:hAnsi="Times New Roman" w:cs="Times New Roman"/>
          <w:b/>
          <w:i/>
          <w:color w:val="0D0D0D" w:themeColor="text1" w:themeTint="F2"/>
          <w:sz w:val="26"/>
          <w:szCs w:val="26"/>
        </w:rPr>
      </w:pPr>
    </w:p>
    <w:p w:rsidR="00236183" w:rsidRPr="00236183" w:rsidRDefault="00236183" w:rsidP="00236183">
      <w:pPr>
        <w:spacing w:before="240"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states in its 2014-2016 amended USECP that customer payments made in excess of the requested CAP amount due will be applied to pre-program arrearages (Amended Plan, p. 4).  This procedure seems to be in conflict with Duquesne’s policy to extend “every reasonable consideration to CAP customers to avoid dismissal from the program” (Amended Plan, p. 6).  In accordance with 52 Pa. Code § 69.265(6</w:t>
      </w:r>
      <w:proofErr w:type="gramStart"/>
      <w:r w:rsidRPr="00236183">
        <w:rPr>
          <w:rFonts w:ascii="Times New Roman" w:eastAsia="Times New Roman" w:hAnsi="Times New Roman" w:cs="Times New Roman"/>
          <w:color w:val="0D0D0D" w:themeColor="text1" w:themeTint="F2"/>
          <w:sz w:val="26"/>
          <w:szCs w:val="26"/>
        </w:rPr>
        <w:t>)(</w:t>
      </w:r>
      <w:proofErr w:type="gramEnd"/>
      <w:r w:rsidRPr="00236183">
        <w:rPr>
          <w:rFonts w:ascii="Times New Roman" w:eastAsia="Times New Roman" w:hAnsi="Times New Roman" w:cs="Times New Roman"/>
          <w:color w:val="0D0D0D" w:themeColor="text1" w:themeTint="F2"/>
          <w:sz w:val="26"/>
          <w:szCs w:val="26"/>
        </w:rPr>
        <w:t xml:space="preserve">ix), the pre-program arrearage, by design, is set aside and forgiven incrementally with each timely and full CAP payment.  We believe that excess CAP payments should be applied to any missed monthly CAP payment, and if none are past due, the excess amount should be applied to the next month’s bill.  Applying excess customer payments to set-aside pre-program arrearages may impose additional financial burdens on low-income households who may logically anticipate that paying ahead would reduce the next monthly payment.  Duquesne could reduce the risk of customer default and dismissal from the program by applying any excess CAP payments to the customer’s next monthly bill.  </w:t>
      </w:r>
    </w:p>
    <w:p w:rsidR="00236183" w:rsidRPr="00236183" w:rsidRDefault="00236183" w:rsidP="00236183">
      <w:pPr>
        <w:spacing w:after="0" w:line="360" w:lineRule="auto"/>
        <w:ind w:firstLine="36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Proposed Resolution:  Per this Tentative Order, we direct Duquesne to adjust its system to change its method of crediting advance payments to be consistent with the manner described above. </w:t>
      </w:r>
    </w:p>
    <w:p w:rsidR="00236183" w:rsidRPr="00236183" w:rsidRDefault="00236183" w:rsidP="00236183">
      <w:pPr>
        <w:spacing w:after="0" w:line="360" w:lineRule="auto"/>
        <w:ind w:firstLine="360"/>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10"/>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lastRenderedPageBreak/>
        <w:t>CAP Credits and the Billing “Bounce”</w:t>
      </w:r>
    </w:p>
    <w:p w:rsidR="00236183" w:rsidRPr="00236183" w:rsidRDefault="00236183" w:rsidP="00236183">
      <w:pPr>
        <w:keepNext/>
        <w:spacing w:after="0" w:line="360" w:lineRule="auto"/>
        <w:ind w:left="360"/>
        <w:rPr>
          <w:rFonts w:ascii="Times New Roman" w:eastAsia="Times New Roman" w:hAnsi="Times New Roman" w:cs="Times New Roman"/>
          <w:b/>
          <w:i/>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Since the February 24, 2011 rate case settlement at </w:t>
      </w:r>
      <w:r w:rsidRPr="00236183">
        <w:rPr>
          <w:rFonts w:ascii="Times New Roman" w:eastAsia="Times New Roman" w:hAnsi="Times New Roman" w:cs="Times New Roman"/>
          <w:sz w:val="26"/>
          <w:szCs w:val="26"/>
        </w:rPr>
        <w:t>Docket No. R-2010-2179522</w:t>
      </w:r>
      <w:r w:rsidRPr="00236183">
        <w:rPr>
          <w:rFonts w:ascii="Times New Roman" w:eastAsia="Times New Roman" w:hAnsi="Times New Roman" w:cs="Times New Roman"/>
          <w:color w:val="0D0D0D" w:themeColor="text1" w:themeTint="F2"/>
          <w:sz w:val="26"/>
          <w:szCs w:val="26"/>
        </w:rPr>
        <w:t xml:space="preserve">, Duquesne customers who have received the maximum annual allotment of CAP Credits have their monthly CAP bills revert to a usage based budget bill.  The review of customer complaints show instances where the customer’s monthly CAP bill has changed significantly and contrary to the intent of budget billing which is to eliminate seasonal fluctuations to the extent possible.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color w:val="0D0D0D" w:themeColor="text1" w:themeTint="F2"/>
          <w:sz w:val="26"/>
          <w:szCs w:val="26"/>
        </w:rPr>
        <w:t xml:space="preserve">Duquesne tracks CAP credits monthly.  When the remaining CAP credits become less than the difference between the CAP bill and the usage based bill, Duquesne bills that month for 100% of budget.  The remaining CAP credits for which that customer qualifies remain unapplied to the customer’s account.  </w:t>
      </w:r>
      <w:r w:rsidRPr="00236183">
        <w:rPr>
          <w:rFonts w:ascii="Times New Roman" w:eastAsia="Times New Roman" w:hAnsi="Times New Roman" w:cs="Times New Roman"/>
          <w:sz w:val="26"/>
          <w:szCs w:val="26"/>
        </w:rPr>
        <w:t>The Commission received approximately 75 complaints from Duquesne customers during 2012 when their monthly bill changed from the CAP discounted amount to 100% of the budget bill.  Based on the details provided in these complaints, we are concerned that many of these customers did not benefit from all CAP credits before being asked to pay the full amount of their budget bill.  Situations like the hypotheticals outlined below are occurring for some Duquesne CAP customers:</w:t>
      </w:r>
    </w:p>
    <w:p w:rsidR="00236183" w:rsidRPr="00236183" w:rsidRDefault="00236183" w:rsidP="00236183">
      <w:pPr>
        <w:spacing w:after="0" w:line="360" w:lineRule="auto"/>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Hypothetical One:  Ms. Smith has a non-heating account with Duquesne.  Her household income is 75% of the FPIG, qualifying her to pay 60% of her budget bill on CAP.  Her total annual CAP credits are $560.  Table 2 is a review of Ms. Smith’s CAP billing over a 12-month period:</w:t>
      </w:r>
    </w:p>
    <w:p w:rsidR="00236183" w:rsidRPr="00236183" w:rsidRDefault="00236183" w:rsidP="00236183">
      <w:pPr>
        <w:spacing w:after="0" w:line="240" w:lineRule="auto"/>
        <w:ind w:left="720"/>
        <w:rPr>
          <w:rFonts w:ascii="Times New Roman" w:eastAsia="Times New Roman" w:hAnsi="Times New Roman" w:cs="Times New Roman"/>
          <w:sz w:val="26"/>
          <w:szCs w:val="26"/>
        </w:rPr>
      </w:pPr>
    </w:p>
    <w:p w:rsidR="00236183" w:rsidRPr="00E97DC0" w:rsidRDefault="00236183" w:rsidP="00371094">
      <w:pPr>
        <w:keepNext/>
        <w:spacing w:after="0" w:line="360" w:lineRule="auto"/>
        <w:jc w:val="center"/>
        <w:rPr>
          <w:rFonts w:ascii="Times New Roman" w:eastAsia="Times New Roman" w:hAnsi="Times New Roman" w:cs="Times New Roman"/>
          <w:b/>
          <w:sz w:val="26"/>
          <w:szCs w:val="26"/>
        </w:rPr>
      </w:pPr>
      <w:r w:rsidRPr="00E97DC0">
        <w:rPr>
          <w:rFonts w:ascii="Times New Roman" w:eastAsia="Times New Roman" w:hAnsi="Times New Roman" w:cs="Times New Roman"/>
          <w:b/>
          <w:sz w:val="26"/>
          <w:szCs w:val="26"/>
        </w:rPr>
        <w:lastRenderedPageBreak/>
        <w:t>Table 2</w:t>
      </w:r>
    </w:p>
    <w:p w:rsidR="00236183" w:rsidRPr="00E97DC0" w:rsidRDefault="00236183" w:rsidP="00371094">
      <w:pPr>
        <w:keepNext/>
        <w:spacing w:after="0" w:line="360" w:lineRule="auto"/>
        <w:jc w:val="center"/>
        <w:rPr>
          <w:rFonts w:ascii="Times New Roman" w:eastAsia="Times New Roman" w:hAnsi="Times New Roman" w:cs="Times New Roman"/>
          <w:b/>
          <w:sz w:val="26"/>
          <w:szCs w:val="26"/>
        </w:rPr>
      </w:pPr>
      <w:r w:rsidRPr="00E97DC0">
        <w:rPr>
          <w:rFonts w:ascii="Times New Roman" w:eastAsia="Times New Roman" w:hAnsi="Times New Roman" w:cs="Times New Roman"/>
          <w:b/>
          <w:sz w:val="26"/>
          <w:szCs w:val="26"/>
        </w:rPr>
        <w:t>Hypothetical Application of CAP Credits for a Duquesne customer</w:t>
      </w:r>
    </w:p>
    <w:tbl>
      <w:tblPr>
        <w:tblW w:w="942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45"/>
        <w:gridCol w:w="1440"/>
        <w:gridCol w:w="1890"/>
        <w:gridCol w:w="1530"/>
        <w:gridCol w:w="2008"/>
      </w:tblGrid>
      <w:tr w:rsidR="00236183" w:rsidRPr="00E97DC0" w:rsidTr="00E97DC0">
        <w:trPr>
          <w:trHeight w:val="600"/>
          <w:jc w:val="center"/>
        </w:trPr>
        <w:tc>
          <w:tcPr>
            <w:tcW w:w="910" w:type="dxa"/>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Month</w:t>
            </w:r>
          </w:p>
        </w:tc>
        <w:tc>
          <w:tcPr>
            <w:tcW w:w="1645" w:type="dxa"/>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100% Budget Bill</w:t>
            </w:r>
          </w:p>
        </w:tc>
        <w:tc>
          <w:tcPr>
            <w:tcW w:w="1440" w:type="dxa"/>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Deficiency</w:t>
            </w:r>
          </w:p>
        </w:tc>
        <w:tc>
          <w:tcPr>
            <w:tcW w:w="1890" w:type="dxa"/>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 xml:space="preserve">CAP </w:t>
            </w:r>
          </w:p>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Credits used</w:t>
            </w:r>
          </w:p>
        </w:tc>
        <w:tc>
          <w:tcPr>
            <w:tcW w:w="1530" w:type="dxa"/>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 xml:space="preserve">CAP payment </w:t>
            </w:r>
          </w:p>
        </w:tc>
        <w:tc>
          <w:tcPr>
            <w:tcW w:w="2008" w:type="dxa"/>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CAP Credits remaining</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w:t>
            </w:r>
          </w:p>
        </w:tc>
        <w:tc>
          <w:tcPr>
            <w:tcW w:w="1645" w:type="dxa"/>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$486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2</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$412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3</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$338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4</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$190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$76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$76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$114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$262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5</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$190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$76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$76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$114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6</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$190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$76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$76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$114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$110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7</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8</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9</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$185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10</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$70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11</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$70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 </w:t>
            </w:r>
          </w:p>
        </w:tc>
      </w:tr>
      <w:tr w:rsidR="00236183" w:rsidRPr="00E97DC0" w:rsidTr="00E97DC0">
        <w:trPr>
          <w:trHeight w:val="600"/>
          <w:jc w:val="center"/>
        </w:trPr>
        <w:tc>
          <w:tcPr>
            <w:tcW w:w="910" w:type="dxa"/>
            <w:shd w:val="clear" w:color="auto" w:fill="auto"/>
            <w:noWrap/>
            <w:vAlign w:val="center"/>
            <w:hideMark/>
          </w:tcPr>
          <w:p w:rsidR="00236183" w:rsidRPr="00E97DC0" w:rsidRDefault="00236183" w:rsidP="00DD17B6">
            <w:pPr>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12</w:t>
            </w:r>
          </w:p>
        </w:tc>
        <w:tc>
          <w:tcPr>
            <w:tcW w:w="1645"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144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$70 </w:t>
            </w:r>
          </w:p>
        </w:tc>
        <w:tc>
          <w:tcPr>
            <w:tcW w:w="189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sz w:val="26"/>
                <w:szCs w:val="26"/>
              </w:rPr>
            </w:pPr>
            <w:r w:rsidRPr="00E97DC0">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2008" w:type="dxa"/>
            <w:shd w:val="clear" w:color="auto" w:fill="auto"/>
            <w:noWrap/>
            <w:vAlign w:val="center"/>
            <w:hideMark/>
          </w:tcPr>
          <w:p w:rsidR="00236183" w:rsidRPr="00E97DC0" w:rsidRDefault="00236183" w:rsidP="00236183">
            <w:pPr>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 </w:t>
            </w:r>
          </w:p>
        </w:tc>
      </w:tr>
    </w:tbl>
    <w:p w:rsidR="00236183" w:rsidRPr="00236183" w:rsidRDefault="00236183" w:rsidP="00236183">
      <w:pPr>
        <w:spacing w:after="0" w:line="240" w:lineRule="auto"/>
        <w:rPr>
          <w:rFonts w:ascii="Times New Roman" w:eastAsia="Times New Roman" w:hAnsi="Times New Roman" w:cs="Times New Roman"/>
          <w:sz w:val="26"/>
          <w:szCs w:val="26"/>
        </w:rPr>
      </w:pPr>
    </w:p>
    <w:p w:rsidR="00236183" w:rsidRPr="00236183" w:rsidRDefault="00236183" w:rsidP="00236183">
      <w:pPr>
        <w:spacing w:after="0" w:line="240" w:lineRule="auto"/>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Ms. Smith’s CAP credits are sufficient to keep her payments at 60% of the budget bill until the 7</w:t>
      </w:r>
      <w:r w:rsidRPr="00236183">
        <w:rPr>
          <w:rFonts w:ascii="Times New Roman" w:eastAsia="Times New Roman" w:hAnsi="Times New Roman" w:cs="Times New Roman"/>
          <w:sz w:val="26"/>
          <w:szCs w:val="26"/>
          <w:vertAlign w:val="superscript"/>
        </w:rPr>
        <w:t>th</w:t>
      </w:r>
      <w:r w:rsidRPr="00236183">
        <w:rPr>
          <w:rFonts w:ascii="Times New Roman" w:eastAsia="Times New Roman" w:hAnsi="Times New Roman" w:cs="Times New Roman"/>
          <w:sz w:val="26"/>
          <w:szCs w:val="26"/>
        </w:rPr>
        <w:t xml:space="preserve"> month.  At that time, with only $36 in CAP credits remaining, Duquesne would charge her the full amount of the budget bill because the CAP credits cannot meet the deficiency between the discounted payment and the amount of actual usage.  Ms. Smith would continue to pay the full amount of the budget bill for the rest of the year and her account would never receive the remaining $36 in CAP credits.</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lastRenderedPageBreak/>
        <w:t>Some customers are charged 100% of the budget bill for a period of time, but then are charged the CAP discounted amount for one month because their actual energy usage reduced sufficiently for the deficiency to be fully covered by the remaining CAP credits.  These customers are then asked to resume paying the full budget billing amount in the following month.  In effect, these customers are “bounced” back-and-forth from CAP discounted payments to 100 % budget billing until they are recertified for CAP.  Customers who have been bounced from CAP to budget billing may not understand whether they are still in the program or what their next monthly payment responsibility will be.  Duquesne has designed a new customer bill that will show the remaining CAP credits to give customers an idea as to how long the CAP discount might be in effect.  A projected implementation date for the new bill was not included in Duquesne’s USECP.</w:t>
      </w:r>
    </w:p>
    <w:p w:rsidR="00236183" w:rsidRPr="00236183" w:rsidRDefault="00236183" w:rsidP="00236183">
      <w:pPr>
        <w:spacing w:after="0" w:line="360" w:lineRule="auto"/>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Hypothetical Two:  The bounce from a discounted CAP payment to 100% of budget billing is illustrated in Table 3, showing a hypothetical CAP payment schedule for a customer eligible for a 30% discount on a non-heating account and a $560 CAP credit for the year:</w:t>
      </w:r>
    </w:p>
    <w:p w:rsidR="00236183" w:rsidRPr="00236183" w:rsidRDefault="00236183" w:rsidP="00371094">
      <w:pPr>
        <w:keepNext/>
        <w:spacing w:after="0" w:line="360" w:lineRule="auto"/>
        <w:jc w:val="center"/>
        <w:rPr>
          <w:rFonts w:ascii="Times New Roman" w:eastAsia="Times New Roman" w:hAnsi="Times New Roman" w:cs="Times New Roman"/>
          <w:sz w:val="26"/>
          <w:szCs w:val="26"/>
        </w:rPr>
      </w:pPr>
      <w:r w:rsidRPr="00236183">
        <w:rPr>
          <w:rFonts w:ascii="Times New Roman" w:eastAsia="Times New Roman" w:hAnsi="Times New Roman" w:cs="Times New Roman"/>
          <w:b/>
          <w:sz w:val="26"/>
          <w:szCs w:val="26"/>
        </w:rPr>
        <w:lastRenderedPageBreak/>
        <w:t>Table 3</w:t>
      </w:r>
    </w:p>
    <w:p w:rsidR="00236183" w:rsidRPr="00236183" w:rsidRDefault="00236183" w:rsidP="00371094">
      <w:pPr>
        <w:keepNext/>
        <w:spacing w:after="0" w:line="360" w:lineRule="auto"/>
        <w:jc w:val="center"/>
        <w:rPr>
          <w:rFonts w:ascii="Times New Roman" w:eastAsia="Times New Roman" w:hAnsi="Times New Roman" w:cs="Times New Roman"/>
          <w:b/>
          <w:sz w:val="26"/>
          <w:szCs w:val="26"/>
        </w:rPr>
      </w:pPr>
      <w:r w:rsidRPr="00236183">
        <w:rPr>
          <w:rFonts w:ascii="Times New Roman" w:eastAsia="Times New Roman" w:hAnsi="Times New Roman" w:cs="Times New Roman"/>
          <w:b/>
          <w:sz w:val="26"/>
          <w:szCs w:val="26"/>
        </w:rPr>
        <w:t xml:space="preserve">Hypothetical Example of a Duquesne customer bounce </w:t>
      </w:r>
    </w:p>
    <w:p w:rsidR="00236183" w:rsidRPr="00236183" w:rsidRDefault="00236183" w:rsidP="00371094">
      <w:pPr>
        <w:keepNext/>
        <w:spacing w:after="0" w:line="360" w:lineRule="auto"/>
        <w:jc w:val="center"/>
        <w:rPr>
          <w:rFonts w:ascii="Times New Roman" w:eastAsia="Times New Roman" w:hAnsi="Times New Roman" w:cs="Times New Roman"/>
          <w:sz w:val="26"/>
          <w:szCs w:val="26"/>
        </w:rPr>
      </w:pPr>
      <w:proofErr w:type="gramStart"/>
      <w:r w:rsidRPr="00236183">
        <w:rPr>
          <w:rFonts w:ascii="Times New Roman" w:eastAsia="Times New Roman" w:hAnsi="Times New Roman" w:cs="Times New Roman"/>
          <w:b/>
          <w:sz w:val="26"/>
          <w:szCs w:val="26"/>
        </w:rPr>
        <w:t>from</w:t>
      </w:r>
      <w:proofErr w:type="gramEnd"/>
      <w:r w:rsidRPr="00236183">
        <w:rPr>
          <w:rFonts w:ascii="Times New Roman" w:eastAsia="Times New Roman" w:hAnsi="Times New Roman" w:cs="Times New Roman"/>
          <w:b/>
          <w:sz w:val="26"/>
          <w:szCs w:val="26"/>
        </w:rPr>
        <w:t xml:space="preserve"> CAP discount to 100% budget billing</w:t>
      </w:r>
    </w:p>
    <w:tbl>
      <w:tblPr>
        <w:tblW w:w="8566" w:type="dxa"/>
        <w:jc w:val="center"/>
        <w:tblLook w:val="04A0" w:firstRow="1" w:lastRow="0" w:firstColumn="1" w:lastColumn="0" w:noHBand="0" w:noVBand="1"/>
      </w:tblPr>
      <w:tblGrid>
        <w:gridCol w:w="968"/>
        <w:gridCol w:w="1645"/>
        <w:gridCol w:w="1372"/>
        <w:gridCol w:w="1769"/>
        <w:gridCol w:w="1288"/>
        <w:gridCol w:w="1666"/>
      </w:tblGrid>
      <w:tr w:rsidR="00236183" w:rsidRPr="00236183" w:rsidTr="00E97DC0">
        <w:trPr>
          <w:trHeight w:val="600"/>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6183" w:rsidRPr="00E97DC0" w:rsidRDefault="00236183" w:rsidP="00F42AF4">
            <w:pPr>
              <w:keepNext/>
              <w:spacing w:after="0" w:line="240" w:lineRule="auto"/>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Month</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100% Budget Bill</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Deficiency</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 xml:space="preserve">CAP </w:t>
            </w:r>
          </w:p>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Credits Used</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CAP</w:t>
            </w:r>
          </w:p>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payment</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236183" w:rsidRPr="00E97DC0" w:rsidRDefault="00236183" w:rsidP="00236183">
            <w:pPr>
              <w:keepNext/>
              <w:spacing w:after="0" w:line="240" w:lineRule="auto"/>
              <w:jc w:val="center"/>
              <w:rPr>
                <w:rFonts w:ascii="Times New Roman" w:eastAsia="Times New Roman" w:hAnsi="Times New Roman" w:cs="Times New Roman"/>
                <w:b/>
                <w:bCs/>
                <w:color w:val="000000"/>
                <w:sz w:val="26"/>
                <w:szCs w:val="26"/>
              </w:rPr>
            </w:pPr>
            <w:r w:rsidRPr="00E97DC0">
              <w:rPr>
                <w:rFonts w:ascii="Times New Roman" w:eastAsia="Times New Roman" w:hAnsi="Times New Roman" w:cs="Times New Roman"/>
                <w:b/>
                <w:bCs/>
                <w:color w:val="000000"/>
                <w:sz w:val="26"/>
                <w:szCs w:val="26"/>
              </w:rPr>
              <w:t>CAP Credits remaining</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$285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$200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$200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$86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$360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2</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$285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$200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$200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$86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3</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$285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$200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$275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4</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$260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$182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$260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5</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$260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$182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$266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6</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$260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$182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$255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7</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$250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$250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8</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$250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$250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9</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$250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$175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$240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$160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10</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$225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$158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$158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$68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11</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$225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$158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$225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 </w:t>
            </w:r>
          </w:p>
        </w:tc>
      </w:tr>
      <w:tr w:rsidR="00236183" w:rsidRPr="00236183" w:rsidTr="00E97DC0">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DD17B6">
            <w:pPr>
              <w:keepNext/>
              <w:spacing w:after="0" w:line="240" w:lineRule="auto"/>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12</w:t>
            </w:r>
          </w:p>
        </w:tc>
        <w:tc>
          <w:tcPr>
            <w:tcW w:w="1645"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$225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$158 </w:t>
            </w:r>
          </w:p>
        </w:tc>
        <w:tc>
          <w:tcPr>
            <w:tcW w:w="1769" w:type="dxa"/>
            <w:tcBorders>
              <w:top w:val="nil"/>
              <w:left w:val="nil"/>
              <w:bottom w:val="single" w:sz="4" w:space="0" w:color="auto"/>
              <w:right w:val="single" w:sz="4" w:space="0" w:color="auto"/>
            </w:tcBorders>
            <w:shd w:val="clear" w:color="auto" w:fill="auto"/>
            <w:noWrap/>
            <w:vAlign w:val="center"/>
            <w:hideMark/>
          </w:tcPr>
          <w:p w:rsidR="00236183" w:rsidRPr="00DD17B6" w:rsidRDefault="00236183" w:rsidP="00236183">
            <w:pPr>
              <w:keepNext/>
              <w:spacing w:after="0" w:line="240" w:lineRule="auto"/>
              <w:jc w:val="center"/>
              <w:rPr>
                <w:rFonts w:ascii="Times New Roman" w:eastAsia="Times New Roman" w:hAnsi="Times New Roman" w:cs="Times New Roman"/>
                <w:sz w:val="26"/>
                <w:szCs w:val="26"/>
              </w:rPr>
            </w:pPr>
            <w:r w:rsidRPr="00DD17B6">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$225 </w:t>
            </w:r>
          </w:p>
        </w:tc>
        <w:tc>
          <w:tcPr>
            <w:tcW w:w="1666" w:type="dxa"/>
            <w:tcBorders>
              <w:top w:val="nil"/>
              <w:left w:val="nil"/>
              <w:bottom w:val="single" w:sz="4" w:space="0" w:color="auto"/>
              <w:right w:val="single" w:sz="4" w:space="0" w:color="auto"/>
            </w:tcBorders>
            <w:shd w:val="clear" w:color="auto" w:fill="auto"/>
            <w:noWrap/>
            <w:vAlign w:val="center"/>
            <w:hideMark/>
          </w:tcPr>
          <w:p w:rsidR="00236183" w:rsidRPr="00E97DC0" w:rsidRDefault="00236183" w:rsidP="00236183">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 xml:space="preserve">$2 </w:t>
            </w:r>
          </w:p>
        </w:tc>
      </w:tr>
    </w:tbl>
    <w:p w:rsidR="00236183" w:rsidRPr="00236183" w:rsidRDefault="00236183" w:rsidP="00236183">
      <w:pPr>
        <w:spacing w:after="0" w:line="240" w:lineRule="auto"/>
        <w:rPr>
          <w:rFonts w:ascii="Times New Roman" w:eastAsia="Times New Roman" w:hAnsi="Times New Roman" w:cs="Times New Roman"/>
          <w:sz w:val="26"/>
          <w:szCs w:val="26"/>
        </w:rPr>
      </w:pPr>
    </w:p>
    <w:p w:rsidR="00236183" w:rsidRPr="00236183" w:rsidRDefault="00236183" w:rsidP="00236183">
      <w:pPr>
        <w:spacing w:after="0" w:line="360" w:lineRule="auto"/>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ab/>
        <w:t xml:space="preserve">In the above hypothetical example, by the third month, the amount of CAP credits remaining ($160) is not enough to meet the deficiencies between the budget bill and the discounted payment amounts for months three though nine.  In month 10, the deficiency would be small enough to apply $158 in CAP credits and allow the customer to pay the discounted amount for that month.  Beginning in month 11, the customer is again asked to pay the full amount of the budget bill and is required to do so for the remainder of the </w:t>
      </w:r>
      <w:r w:rsidRPr="00236183">
        <w:rPr>
          <w:rFonts w:ascii="Times New Roman" w:eastAsia="Times New Roman" w:hAnsi="Times New Roman" w:cs="Times New Roman"/>
          <w:sz w:val="26"/>
          <w:szCs w:val="26"/>
        </w:rPr>
        <w:lastRenderedPageBreak/>
        <w:t>CAP year.  The remaining $2 in CAP credits would never be applied to the customer’s account.</w:t>
      </w:r>
    </w:p>
    <w:p w:rsidR="00236183" w:rsidRPr="00236183" w:rsidRDefault="00236183" w:rsidP="00236183">
      <w:pPr>
        <w:spacing w:after="0" w:line="360" w:lineRule="auto"/>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Proposed Resolution:  Duquesne should make adjustments to its billing systems to avoid such confusion.  One way would be to apply CAP credits to a customer’s account until all credits have been fully exhausted.  Another way would be to spread the credits over 12 months so a customer would know how much to anticipate as credit each month.  At the very least, a customer’s payment amount should be reduced by any remaining CAP credits, regardless of whether there is enough credit to cover the entire deficiency between actual usage and the discounted CAP payment.  Duquesne is also directed to address how it will adjust its system to correct the “bounce” occurrences in the future in its comments to this order.</w:t>
      </w:r>
    </w:p>
    <w:p w:rsidR="00236183" w:rsidRPr="00236183" w:rsidRDefault="00236183" w:rsidP="00236183">
      <w:pPr>
        <w:keepNext/>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10"/>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Telephone Coverage at CAP Agencies</w:t>
      </w: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 uses community based organizations (CBOs) to administer its universal service programs.  From January 2012 to January 2013, the Commission received 94 informal complaints from customers who reported that they were unable to contact the local agency to address CAP problems or disputes.  Many reported receiving busy signals or leaving voicemails that were not returned.  From the cases reviewed, this appears to be an ongoing issue with agencies administering Duquesne’s CAP.  The independent evaluator in 2009 noted that some agency voice message boxes were full or busy.  </w:t>
      </w:r>
      <w:proofErr w:type="gramStart"/>
      <w:r w:rsidRPr="00236183">
        <w:rPr>
          <w:rFonts w:ascii="Times New Roman" w:eastAsia="Times New Roman" w:hAnsi="Times New Roman" w:cs="Times New Roman"/>
          <w:color w:val="0D0D0D" w:themeColor="text1" w:themeTint="F2"/>
          <w:sz w:val="26"/>
          <w:szCs w:val="26"/>
        </w:rPr>
        <w:t>(AECOM, p. 30).</w:t>
      </w:r>
      <w:proofErr w:type="gramEnd"/>
      <w:r w:rsidRPr="00236183">
        <w:rPr>
          <w:rFonts w:ascii="Times New Roman" w:eastAsia="Times New Roman" w:hAnsi="Times New Roman" w:cs="Times New Roman"/>
          <w:color w:val="0D0D0D" w:themeColor="text1" w:themeTint="F2"/>
          <w:sz w:val="26"/>
          <w:szCs w:val="26"/>
        </w:rPr>
        <w:t xml:space="preserve">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Proposed Resolution:  According to the CAP Policy Statement at 52 Pa. Code § 69.265(6), utilities are encouraged to use nonprofit agencies to administer CAPs.  However, according to 66 Pa. C.S. § 501(c), a utility’s agents including CBOs must comply with regulations applicable to the utility.  Pursuant to 66 Pa. C.S. § 2804(9), the Commission encourages use of CBOs that have the necessary technical and </w:t>
      </w:r>
      <w:r w:rsidRPr="00236183">
        <w:rPr>
          <w:rFonts w:ascii="Times New Roman" w:eastAsia="Times New Roman" w:hAnsi="Times New Roman" w:cs="Times New Roman"/>
          <w:color w:val="0D0D0D" w:themeColor="text1" w:themeTint="F2"/>
          <w:sz w:val="26"/>
          <w:szCs w:val="26"/>
        </w:rPr>
        <w:lastRenderedPageBreak/>
        <w:t xml:space="preserve">administrative experience to be the direct providers of services or programs which reduce energy consumption or otherwise assist low-income customers to afford electric service.  Therefore, Duquesne must ensure any agency with which it contracts for administration of its universal service programs must be accessible to customers.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10"/>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Enrolling Customers in Termination Status into CAP</w:t>
      </w:r>
    </w:p>
    <w:p w:rsidR="00236183" w:rsidRPr="00236183" w:rsidRDefault="00236183" w:rsidP="00236183">
      <w:pPr>
        <w:keepNext/>
        <w:spacing w:after="0" w:line="360" w:lineRule="auto"/>
        <w:ind w:firstLine="36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independent audit of Duquesne’s CAP program in 2009 found that only 26% of customers who had received termination notices from 2007 to 2009 had been on CAP.  At the time, Duquesne reported that nearly all collection expenses had been used to target low-income families.  Based on this information, the AECOM evaluators estimated that approximately 75% of Duquesne customers receiving term notices were eligible for CAP, but were not in the program (AECOM, p. 31-32).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The chart below compares some 2011 collection numbers with those for 2012.</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tbl>
      <w:tblPr>
        <w:tblStyle w:val="TableGrid"/>
        <w:tblW w:w="0" w:type="auto"/>
        <w:tblInd w:w="378" w:type="dxa"/>
        <w:tblLook w:val="04A0" w:firstRow="1" w:lastRow="0" w:firstColumn="1" w:lastColumn="0" w:noHBand="0" w:noVBand="1"/>
      </w:tblPr>
      <w:tblGrid>
        <w:gridCol w:w="4377"/>
        <w:gridCol w:w="2136"/>
        <w:gridCol w:w="1516"/>
      </w:tblGrid>
      <w:tr w:rsidR="00236183" w:rsidRPr="00236183" w:rsidTr="00E97DC0">
        <w:tc>
          <w:tcPr>
            <w:tcW w:w="8029" w:type="dxa"/>
            <w:gridSpan w:val="3"/>
            <w:tcBorders>
              <w:top w:val="nil"/>
              <w:left w:val="nil"/>
              <w:right w:val="nil"/>
            </w:tcBorders>
            <w:vAlign w:val="center"/>
          </w:tcPr>
          <w:p w:rsidR="00236183" w:rsidRPr="00236183" w:rsidRDefault="00236183" w:rsidP="00236183">
            <w:pPr>
              <w:keepNext/>
              <w:spacing w:line="360" w:lineRule="auto"/>
              <w:jc w:val="center"/>
              <w:rPr>
                <w:rFonts w:ascii="Times New Roman" w:eastAsia="Times New Roman" w:hAnsi="Times New Roman"/>
                <w:b/>
                <w:color w:val="0D0D0D" w:themeColor="text1" w:themeTint="F2"/>
                <w:sz w:val="26"/>
                <w:szCs w:val="26"/>
              </w:rPr>
            </w:pPr>
            <w:r w:rsidRPr="00236183">
              <w:rPr>
                <w:rFonts w:ascii="Times New Roman" w:eastAsia="Times New Roman" w:hAnsi="Times New Roman"/>
                <w:b/>
                <w:color w:val="0D0D0D" w:themeColor="text1" w:themeTint="F2"/>
                <w:sz w:val="26"/>
                <w:szCs w:val="26"/>
              </w:rPr>
              <w:t>Table 4</w:t>
            </w:r>
          </w:p>
          <w:p w:rsidR="00236183" w:rsidRPr="00236183" w:rsidRDefault="00236183" w:rsidP="00236183">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b/>
                <w:color w:val="0D0D0D" w:themeColor="text1" w:themeTint="F2"/>
                <w:sz w:val="26"/>
                <w:szCs w:val="26"/>
              </w:rPr>
              <w:t>Confirmed Low Income Customers</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p>
        </w:tc>
        <w:tc>
          <w:tcPr>
            <w:tcW w:w="2136" w:type="dxa"/>
            <w:vAlign w:val="center"/>
          </w:tcPr>
          <w:p w:rsidR="00236183" w:rsidRPr="00371094" w:rsidRDefault="00236183" w:rsidP="00F42AF4">
            <w:pPr>
              <w:keepNext/>
              <w:spacing w:line="360" w:lineRule="auto"/>
              <w:jc w:val="center"/>
              <w:rPr>
                <w:rFonts w:ascii="Times New Roman" w:eastAsia="Times New Roman" w:hAnsi="Times New Roman"/>
                <w:b/>
                <w:color w:val="0D0D0D" w:themeColor="text1" w:themeTint="F2"/>
                <w:sz w:val="26"/>
                <w:szCs w:val="26"/>
              </w:rPr>
            </w:pPr>
            <w:r w:rsidRPr="00371094">
              <w:rPr>
                <w:rFonts w:ascii="Times New Roman" w:eastAsia="Times New Roman" w:hAnsi="Times New Roman"/>
                <w:b/>
                <w:color w:val="0D0D0D" w:themeColor="text1" w:themeTint="F2"/>
                <w:sz w:val="26"/>
                <w:szCs w:val="26"/>
              </w:rPr>
              <w:t>2011</w:t>
            </w:r>
          </w:p>
        </w:tc>
        <w:tc>
          <w:tcPr>
            <w:tcW w:w="1516" w:type="dxa"/>
            <w:vAlign w:val="center"/>
          </w:tcPr>
          <w:p w:rsidR="00236183" w:rsidRPr="00371094" w:rsidRDefault="00236183" w:rsidP="00F42AF4">
            <w:pPr>
              <w:keepNext/>
              <w:spacing w:line="360" w:lineRule="auto"/>
              <w:jc w:val="center"/>
              <w:rPr>
                <w:rFonts w:ascii="Times New Roman" w:eastAsia="Times New Roman" w:hAnsi="Times New Roman"/>
                <w:b/>
                <w:color w:val="0D0D0D" w:themeColor="text1" w:themeTint="F2"/>
                <w:sz w:val="26"/>
                <w:szCs w:val="26"/>
              </w:rPr>
            </w:pPr>
            <w:r w:rsidRPr="00371094">
              <w:rPr>
                <w:rFonts w:ascii="Times New Roman" w:eastAsia="Times New Roman" w:hAnsi="Times New Roman"/>
                <w:b/>
                <w:color w:val="0D0D0D" w:themeColor="text1" w:themeTint="F2"/>
                <w:sz w:val="26"/>
                <w:szCs w:val="26"/>
              </w:rPr>
              <w:t>2012</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 xml:space="preserve">Total </w:t>
            </w:r>
          </w:p>
        </w:tc>
        <w:tc>
          <w:tcPr>
            <w:tcW w:w="213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56,193</w:t>
            </w:r>
          </w:p>
        </w:tc>
        <w:tc>
          <w:tcPr>
            <w:tcW w:w="151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57,037</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Total number in Debt</w:t>
            </w:r>
          </w:p>
        </w:tc>
        <w:tc>
          <w:tcPr>
            <w:tcW w:w="213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6,880</w:t>
            </w:r>
          </w:p>
        </w:tc>
        <w:tc>
          <w:tcPr>
            <w:tcW w:w="151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8,009</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Number in Debt, not on agreement</w:t>
            </w:r>
          </w:p>
        </w:tc>
        <w:tc>
          <w:tcPr>
            <w:tcW w:w="213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4,601</w:t>
            </w:r>
          </w:p>
        </w:tc>
        <w:tc>
          <w:tcPr>
            <w:tcW w:w="151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5,146</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Dollars in Debt not on agreement</w:t>
            </w:r>
          </w:p>
        </w:tc>
        <w:tc>
          <w:tcPr>
            <w:tcW w:w="213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$3,454,240</w:t>
            </w:r>
          </w:p>
        </w:tc>
        <w:tc>
          <w:tcPr>
            <w:tcW w:w="151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$3,818,908</w:t>
            </w:r>
          </w:p>
        </w:tc>
      </w:tr>
      <w:tr w:rsidR="00236183" w:rsidRPr="00236183" w:rsidTr="00E97DC0">
        <w:tc>
          <w:tcPr>
            <w:tcW w:w="8029" w:type="dxa"/>
            <w:gridSpan w:val="3"/>
            <w:vAlign w:val="center"/>
          </w:tcPr>
          <w:p w:rsidR="00236183" w:rsidRPr="00236183" w:rsidRDefault="00236183" w:rsidP="00236183">
            <w:pPr>
              <w:keepNext/>
              <w:spacing w:line="360" w:lineRule="auto"/>
              <w:jc w:val="center"/>
              <w:rPr>
                <w:rFonts w:ascii="Times New Roman" w:eastAsia="Times New Roman" w:hAnsi="Times New Roman"/>
                <w:b/>
                <w:color w:val="0D0D0D" w:themeColor="text1" w:themeTint="F2"/>
                <w:sz w:val="26"/>
                <w:szCs w:val="26"/>
              </w:rPr>
            </w:pPr>
            <w:r w:rsidRPr="00236183">
              <w:rPr>
                <w:rFonts w:ascii="Times New Roman" w:eastAsia="Times New Roman" w:hAnsi="Times New Roman"/>
                <w:b/>
                <w:color w:val="0D0D0D" w:themeColor="text1" w:themeTint="F2"/>
                <w:sz w:val="26"/>
                <w:szCs w:val="26"/>
              </w:rPr>
              <w:t>Residential Operating Expenses</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 xml:space="preserve">Total residential </w:t>
            </w:r>
          </w:p>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Collection operating expenses</w:t>
            </w:r>
          </w:p>
        </w:tc>
        <w:tc>
          <w:tcPr>
            <w:tcW w:w="213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$13,156,923</w:t>
            </w:r>
          </w:p>
        </w:tc>
        <w:tc>
          <w:tcPr>
            <w:tcW w:w="151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$16,378,863</w:t>
            </w:r>
          </w:p>
        </w:tc>
      </w:tr>
      <w:tr w:rsidR="00236183" w:rsidRPr="00236183" w:rsidTr="00F42AF4">
        <w:tc>
          <w:tcPr>
            <w:tcW w:w="4377"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 Collection operating expense for Confirmed Low Income Customers</w:t>
            </w:r>
          </w:p>
        </w:tc>
        <w:tc>
          <w:tcPr>
            <w:tcW w:w="213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55%</w:t>
            </w:r>
          </w:p>
        </w:tc>
        <w:tc>
          <w:tcPr>
            <w:tcW w:w="1516" w:type="dxa"/>
            <w:vAlign w:val="center"/>
          </w:tcPr>
          <w:p w:rsidR="00236183" w:rsidRPr="00236183" w:rsidRDefault="00236183" w:rsidP="00F42AF4">
            <w:pPr>
              <w:keepNext/>
              <w:spacing w:line="360" w:lineRule="auto"/>
              <w:jc w:val="center"/>
              <w:rPr>
                <w:rFonts w:ascii="Times New Roman" w:eastAsia="Times New Roman" w:hAnsi="Times New Roman"/>
                <w:color w:val="0D0D0D" w:themeColor="text1" w:themeTint="F2"/>
                <w:sz w:val="26"/>
                <w:szCs w:val="26"/>
              </w:rPr>
            </w:pPr>
            <w:r w:rsidRPr="00236183">
              <w:rPr>
                <w:rFonts w:ascii="Times New Roman" w:eastAsia="Times New Roman" w:hAnsi="Times New Roman"/>
                <w:color w:val="0D0D0D" w:themeColor="text1" w:themeTint="F2"/>
                <w:sz w:val="26"/>
                <w:szCs w:val="26"/>
              </w:rPr>
              <w:t>81.6%</w:t>
            </w:r>
          </w:p>
        </w:tc>
      </w:tr>
    </w:tbl>
    <w:p w:rsidR="00236183" w:rsidRPr="00236183" w:rsidRDefault="00236183" w:rsidP="00236183">
      <w:pPr>
        <w:spacing w:after="0" w:line="360" w:lineRule="auto"/>
        <w:ind w:firstLine="36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 xml:space="preserve">The operations audit of Duquesne conducted by the Commission’s Bureau of Audits in 2012 resulted in a report recommending that Duquesne reduce arrearages by enrolling low-income customers in either a payment plan or CAP (D-2011-2269361, Focused Management and Operations Audit of Duquesne Light Company, p.56-60).  Duquesne responded to this recommendation by stating that it was going to start segmenting customers based on internal credit behavioral scores and implement a revised outbound call campaign.  These changes are anticipated to be completed by the 4th quarter of 2013 (Duquesne Light Implementation Plan, p. 11).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827C9E" w:rsidP="00236183">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Proposed Resolution:  </w:t>
      </w:r>
      <w:r w:rsidR="00236183" w:rsidRPr="00236183">
        <w:rPr>
          <w:rFonts w:ascii="Times New Roman" w:eastAsia="Times New Roman" w:hAnsi="Times New Roman" w:cs="Times New Roman"/>
          <w:color w:val="0D0D0D" w:themeColor="text1" w:themeTint="F2"/>
          <w:sz w:val="26"/>
          <w:szCs w:val="26"/>
        </w:rPr>
        <w:t xml:space="preserve">Duquesne </w:t>
      </w:r>
      <w:r>
        <w:rPr>
          <w:rFonts w:ascii="Times New Roman" w:eastAsia="Times New Roman" w:hAnsi="Times New Roman" w:cs="Times New Roman"/>
          <w:color w:val="0D0D0D" w:themeColor="text1" w:themeTint="F2"/>
          <w:sz w:val="26"/>
          <w:szCs w:val="26"/>
        </w:rPr>
        <w:t xml:space="preserve">should provide comments </w:t>
      </w:r>
      <w:r w:rsidR="00236183" w:rsidRPr="00236183">
        <w:rPr>
          <w:rFonts w:ascii="Times New Roman" w:eastAsia="Times New Roman" w:hAnsi="Times New Roman" w:cs="Times New Roman"/>
          <w:color w:val="0D0D0D" w:themeColor="text1" w:themeTint="F2"/>
          <w:sz w:val="26"/>
          <w:szCs w:val="26"/>
        </w:rPr>
        <w:t xml:space="preserve">addressing the current status of their outbound call campaign.  </w:t>
      </w:r>
    </w:p>
    <w:p w:rsidR="00236183" w:rsidRPr="00236183" w:rsidRDefault="00236183" w:rsidP="00236183">
      <w:pPr>
        <w:spacing w:after="0" w:line="360" w:lineRule="auto"/>
        <w:ind w:left="360"/>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10"/>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CAP Agency and Account Monitoring</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According to 52 Pa. Code § 9.265(6</w:t>
      </w:r>
      <w:proofErr w:type="gramStart"/>
      <w:r w:rsidRPr="00236183">
        <w:rPr>
          <w:rFonts w:ascii="Times New Roman" w:eastAsia="Times New Roman" w:hAnsi="Times New Roman" w:cs="Times New Roman"/>
          <w:color w:val="0D0D0D" w:themeColor="text1" w:themeTint="F2"/>
          <w:sz w:val="26"/>
          <w:szCs w:val="26"/>
        </w:rPr>
        <w:t>)(</w:t>
      </w:r>
      <w:proofErr w:type="gramEnd"/>
      <w:r w:rsidRPr="00236183">
        <w:rPr>
          <w:rFonts w:ascii="Times New Roman" w:eastAsia="Times New Roman" w:hAnsi="Times New Roman" w:cs="Times New Roman"/>
          <w:color w:val="0D0D0D" w:themeColor="text1" w:themeTint="F2"/>
          <w:sz w:val="26"/>
          <w:szCs w:val="26"/>
        </w:rPr>
        <w:t>vii), the utility should include nonprofit community based organizations in the operation of CAP and incorporate account monitoring for both payment and energy consumption monitoring.  Duquesne’s CAP program is administered by Goodwill of Southwest Pennsylvania and Holy Family Institute.  Duquesne states that they provide training to the agency employees in the use of the company’s software system and the administration of CAP (Amended Plan, p. 8</w:t>
      </w:r>
      <w:r w:rsidRPr="00236183">
        <w:rPr>
          <w:rFonts w:ascii="Times New Roman" w:eastAsia="Times New Roman" w:hAnsi="Times New Roman" w:cs="Times New Roman"/>
          <w:color w:val="0D0D0D" w:themeColor="text1" w:themeTint="F2"/>
          <w:sz w:val="26"/>
          <w:szCs w:val="26"/>
        </w:rPr>
        <w:noBreakHyphen/>
        <w:t>9).  However, it does not address monitoring of customer payment or energy consumption.  These agencies have 21 full-time employees at 10 sites and are responsible for taking CAP referrals, making application appointments, determining eligibility, identifying troubled accounts and serving as the primary CAP contact for Duquesne customers.</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Duquesne’s Amended Plan describes how CAP Case Representatives analyze customer situations and recommend “changes to consumption or percentage of budget bill if warranted by the circumstances” (Amended Plan, p. 7).  The Amended Plan also </w:t>
      </w:r>
      <w:r w:rsidRPr="00236183">
        <w:rPr>
          <w:rFonts w:ascii="Times New Roman" w:eastAsia="Times New Roman" w:hAnsi="Times New Roman" w:cs="Times New Roman"/>
          <w:color w:val="0D0D0D" w:themeColor="text1" w:themeTint="F2"/>
          <w:sz w:val="26"/>
          <w:szCs w:val="26"/>
        </w:rPr>
        <w:lastRenderedPageBreak/>
        <w:t>explains that energy consumption and billing is examined again at recertification.  However, the Amended Plan does not describe agency monitoring activity between CAP intake and recertification.</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When queried about CAP account monitoring, Duquesne responded explaining that high use consumption reports are monitored by LIURP contractors.  One report compares individual customer use to that of other customers to inspire the households to compete to be a home with lower usage; another compares current to past usage.  Duquesne states that visits “may” be scheduled or education “may” be provided if </w:t>
      </w:r>
      <w:proofErr w:type="spellStart"/>
      <w:r w:rsidRPr="00236183">
        <w:rPr>
          <w:rFonts w:ascii="Times New Roman" w:eastAsia="Times New Roman" w:hAnsi="Times New Roman" w:cs="Times New Roman"/>
          <w:color w:val="0D0D0D" w:themeColor="text1" w:themeTint="F2"/>
          <w:sz w:val="26"/>
          <w:szCs w:val="26"/>
        </w:rPr>
        <w:t>baseload</w:t>
      </w:r>
      <w:proofErr w:type="spellEnd"/>
      <w:r w:rsidRPr="00236183">
        <w:rPr>
          <w:rFonts w:ascii="Times New Roman" w:eastAsia="Times New Roman" w:hAnsi="Times New Roman" w:cs="Times New Roman"/>
          <w:color w:val="0D0D0D" w:themeColor="text1" w:themeTint="F2"/>
          <w:sz w:val="26"/>
          <w:szCs w:val="26"/>
        </w:rPr>
        <w:t xml:space="preserve"> use is more than 500 kWh or there is an extreme increase in usage.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 also reported that CAP agency Case Managers monitor customer accounts for unpaid balances through Duquesne’s Collection system.  Through these reviews, Duquesne states that CAP Case Managers “may” call a customer to remind them of a payment due or place accounts in the collection process.  CAP Case Managers “may” also call customers to inform them about available assistance and/or to apply for LIHEAP.  This description suggests that these monitoring activities are up to the discretion of each CAP Case Manager and are not part of any scheduled procedure.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AECOM 2009 Evaluation noted that administering agencies for CAP “are not currently providing ‘mother hen’ reminders and encouragement to non-payers.  It appears its time is entirely devoted to intake and re-certification </w:t>
      </w:r>
      <w:proofErr w:type="gramStart"/>
      <w:r w:rsidRPr="00236183">
        <w:rPr>
          <w:rFonts w:ascii="Times New Roman" w:eastAsia="Times New Roman" w:hAnsi="Times New Roman" w:cs="Times New Roman"/>
          <w:color w:val="0D0D0D" w:themeColor="text1" w:themeTint="F2"/>
          <w:sz w:val="26"/>
          <w:szCs w:val="26"/>
        </w:rPr>
        <w:t>functions,</w:t>
      </w:r>
      <w:proofErr w:type="gramEnd"/>
      <w:r w:rsidRPr="00236183">
        <w:rPr>
          <w:rFonts w:ascii="Times New Roman" w:eastAsia="Times New Roman" w:hAnsi="Times New Roman" w:cs="Times New Roman"/>
          <w:color w:val="0D0D0D" w:themeColor="text1" w:themeTint="F2"/>
          <w:sz w:val="26"/>
          <w:szCs w:val="26"/>
        </w:rPr>
        <w:t xml:space="preserve"> and additional work taking applications for waivers of security deposits” (AECOM, p. 21).</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We are concerned that most of Duquesne’s reported CAP monitoring activities conducted between application and recertification are conducted only if initiated by customer contact.  </w:t>
      </w:r>
      <w:r w:rsidR="00827C9E">
        <w:rPr>
          <w:rFonts w:ascii="Times New Roman" w:eastAsia="Times New Roman" w:hAnsi="Times New Roman" w:cs="Times New Roman"/>
          <w:color w:val="0D0D0D" w:themeColor="text1" w:themeTint="F2"/>
          <w:sz w:val="26"/>
          <w:szCs w:val="26"/>
        </w:rPr>
        <w:t xml:space="preserve">Accordingly, it is unclear whether </w:t>
      </w:r>
      <w:r w:rsidRPr="00236183">
        <w:rPr>
          <w:rFonts w:ascii="Times New Roman" w:eastAsia="Times New Roman" w:hAnsi="Times New Roman" w:cs="Times New Roman"/>
          <w:color w:val="0D0D0D" w:themeColor="text1" w:themeTint="F2"/>
          <w:sz w:val="26"/>
          <w:szCs w:val="26"/>
        </w:rPr>
        <w:t>activiti</w:t>
      </w:r>
      <w:r w:rsidR="00827C9E">
        <w:rPr>
          <w:rFonts w:ascii="Times New Roman" w:eastAsia="Times New Roman" w:hAnsi="Times New Roman" w:cs="Times New Roman"/>
          <w:color w:val="0D0D0D" w:themeColor="text1" w:themeTint="F2"/>
          <w:sz w:val="26"/>
          <w:szCs w:val="26"/>
        </w:rPr>
        <w:t xml:space="preserve">es such as missed payments </w:t>
      </w:r>
      <w:r w:rsidRPr="00236183">
        <w:rPr>
          <w:rFonts w:ascii="Times New Roman" w:eastAsia="Times New Roman" w:hAnsi="Times New Roman" w:cs="Times New Roman"/>
          <w:color w:val="0D0D0D" w:themeColor="text1" w:themeTint="F2"/>
          <w:sz w:val="26"/>
          <w:szCs w:val="26"/>
        </w:rPr>
        <w:t xml:space="preserve">result in agency generated past due reminders or referrals to collections that trigger CAP </w:t>
      </w:r>
      <w:r w:rsidRPr="00236183">
        <w:rPr>
          <w:rFonts w:ascii="Times New Roman" w:eastAsia="Times New Roman" w:hAnsi="Times New Roman" w:cs="Times New Roman"/>
          <w:color w:val="0D0D0D" w:themeColor="text1" w:themeTint="F2"/>
          <w:sz w:val="26"/>
          <w:szCs w:val="26"/>
        </w:rPr>
        <w:lastRenderedPageBreak/>
        <w:t>Case Managers to contact customers to make them aware of avai</w:t>
      </w:r>
      <w:r w:rsidR="00827C9E">
        <w:rPr>
          <w:rFonts w:ascii="Times New Roman" w:eastAsia="Times New Roman" w:hAnsi="Times New Roman" w:cs="Times New Roman"/>
          <w:color w:val="0D0D0D" w:themeColor="text1" w:themeTint="F2"/>
          <w:sz w:val="26"/>
          <w:szCs w:val="26"/>
        </w:rPr>
        <w:t>lable assistance such as LIHEAP.</w:t>
      </w:r>
      <w:r w:rsidRPr="00236183">
        <w:rPr>
          <w:rFonts w:ascii="Times New Roman" w:eastAsia="Times New Roman" w:hAnsi="Times New Roman" w:cs="Times New Roman"/>
          <w:color w:val="0D0D0D" w:themeColor="text1" w:themeTint="F2"/>
          <w:sz w:val="26"/>
          <w:szCs w:val="26"/>
        </w:rPr>
        <w:t xml:space="preserve">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4"/>
          <w:szCs w:val="24"/>
        </w:rPr>
      </w:pPr>
      <w:r w:rsidRPr="00236183">
        <w:rPr>
          <w:rFonts w:ascii="Times New Roman" w:eastAsia="Times New Roman" w:hAnsi="Times New Roman" w:cs="Times New Roman"/>
          <w:color w:val="0D0D0D" w:themeColor="text1" w:themeTint="F2"/>
          <w:sz w:val="26"/>
          <w:szCs w:val="26"/>
        </w:rPr>
        <w:t xml:space="preserve">Proposed Resolution:  We request that Duquesne provide more information in its comments as to agency monitoring activities and updates to income/household recertification information, or exceptional circumstances.  </w:t>
      </w:r>
      <w:r w:rsidR="00827C9E">
        <w:rPr>
          <w:rFonts w:ascii="Times New Roman" w:eastAsia="Times New Roman" w:hAnsi="Times New Roman" w:cs="Times New Roman"/>
          <w:color w:val="0D0D0D" w:themeColor="text1" w:themeTint="F2"/>
          <w:sz w:val="26"/>
          <w:szCs w:val="26"/>
        </w:rPr>
        <w:t xml:space="preserve">Specific questions to be answered include: </w:t>
      </w:r>
      <w:r w:rsidRPr="00236183">
        <w:rPr>
          <w:rFonts w:ascii="Times New Roman" w:eastAsia="Times New Roman" w:hAnsi="Times New Roman" w:cs="Times New Roman"/>
          <w:color w:val="0D0D0D" w:themeColor="text1" w:themeTint="F2"/>
          <w:sz w:val="26"/>
          <w:szCs w:val="26"/>
        </w:rPr>
        <w:t xml:space="preserve">When is an account referred for LIURP; when is usage deemed to be high; how are customers prioritized for a LIURP evaluation?  Are degree day factors a part of the usage analysis?  </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10"/>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Zero Income</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Customers applying for CAP who report $0 household income must complete a “zero income form” and give permission for Duquesne to verify their income information with government agencies.  Households who report zero income may be reviewed periodically to determine if their employment status has changed (Amended Plan, p. 6).  </w:t>
      </w:r>
      <w:proofErr w:type="gramStart"/>
      <w:r w:rsidRPr="00236183">
        <w:rPr>
          <w:rFonts w:ascii="Times New Roman" w:eastAsia="Times New Roman" w:hAnsi="Times New Roman" w:cs="Times New Roman"/>
          <w:color w:val="0D0D0D" w:themeColor="text1" w:themeTint="F2"/>
          <w:sz w:val="26"/>
          <w:szCs w:val="26"/>
        </w:rPr>
        <w:t>In the PECO Final Order at Docket No.</w:t>
      </w:r>
      <w:proofErr w:type="gramEnd"/>
      <w:r w:rsidRPr="00236183">
        <w:rPr>
          <w:rFonts w:ascii="Times New Roman" w:eastAsia="Times New Roman" w:hAnsi="Times New Roman" w:cs="Times New Roman"/>
          <w:color w:val="0D0D0D" w:themeColor="text1" w:themeTint="F2"/>
          <w:sz w:val="26"/>
          <w:szCs w:val="26"/>
        </w:rPr>
        <w:t xml:space="preserve"> M-2012-2290911, the Commission directed that statements of zero income need not be notarized.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Proposed Resolution:  Duquesne should describe any additional requirements for no income statements in their comments to this order.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 </w:t>
      </w:r>
    </w:p>
    <w:p w:rsidR="00236183" w:rsidRPr="00236183" w:rsidRDefault="00236183" w:rsidP="00236183">
      <w:pPr>
        <w:keepNext/>
        <w:numPr>
          <w:ilvl w:val="0"/>
          <w:numId w:val="10"/>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Automatic Recertification</w:t>
      </w:r>
    </w:p>
    <w:p w:rsidR="00236183" w:rsidRPr="00236183" w:rsidRDefault="00236183" w:rsidP="00236183">
      <w:pPr>
        <w:keepNext/>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Customers in Duquesne’s CAP program are subject to annual or biannual recertification.  Some customers who make 9 months of payments within a 12 month consecutive period and have no CAP arrears are automatically recertified for another year.  All CAP customers, regardless of payment status, must verify their income and household information biannually (Amended Plan, p. 6).  </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internal audit of Duquesne’s CAP in 2009 found that the automatic recertification process was: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ind w:left="720" w:right="126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[L]</w:t>
      </w:r>
      <w:proofErr w:type="spellStart"/>
      <w:r w:rsidRPr="00236183">
        <w:rPr>
          <w:rFonts w:ascii="Times New Roman" w:eastAsia="Times New Roman" w:hAnsi="Times New Roman" w:cs="Times New Roman"/>
          <w:color w:val="0D0D0D" w:themeColor="text1" w:themeTint="F2"/>
          <w:sz w:val="26"/>
          <w:szCs w:val="26"/>
        </w:rPr>
        <w:t>ikely</w:t>
      </w:r>
      <w:proofErr w:type="spellEnd"/>
      <w:r w:rsidRPr="00236183">
        <w:rPr>
          <w:rFonts w:ascii="Times New Roman" w:eastAsia="Times New Roman" w:hAnsi="Times New Roman" w:cs="Times New Roman"/>
          <w:color w:val="0D0D0D" w:themeColor="text1" w:themeTint="F2"/>
          <w:sz w:val="26"/>
          <w:szCs w:val="26"/>
        </w:rPr>
        <w:t xml:space="preserve"> to include not only those customers who are well organized, future oriented and frugal, but also those whose changed or undisclosed circumstances make them more able to pay and no longer eligible for their discount.  [CAP administering] agency staff confirms that when contact is eventually made with customers in this group, many of them are found ineligible or are given a smaller discount.”</w:t>
      </w:r>
    </w:p>
    <w:p w:rsidR="00236183" w:rsidRPr="00236183" w:rsidRDefault="00236183" w:rsidP="00236183">
      <w:pPr>
        <w:spacing w:after="0" w:line="240" w:lineRule="auto"/>
        <w:ind w:left="720" w:right="126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roofErr w:type="gramStart"/>
      <w:r w:rsidRPr="00236183">
        <w:rPr>
          <w:rFonts w:ascii="Times New Roman" w:eastAsia="Times New Roman" w:hAnsi="Times New Roman" w:cs="Times New Roman"/>
          <w:color w:val="0D0D0D" w:themeColor="text1" w:themeTint="F2"/>
          <w:sz w:val="26"/>
          <w:szCs w:val="26"/>
        </w:rPr>
        <w:t>(AECOM, p.34).</w:t>
      </w:r>
      <w:proofErr w:type="gramEnd"/>
      <w:r w:rsidRPr="00236183">
        <w:rPr>
          <w:rFonts w:ascii="Times New Roman" w:eastAsia="Times New Roman" w:hAnsi="Times New Roman" w:cs="Times New Roman"/>
          <w:color w:val="0D0D0D" w:themeColor="text1" w:themeTint="F2"/>
          <w:sz w:val="26"/>
          <w:szCs w:val="26"/>
        </w:rPr>
        <w:t xml:space="preserve">  Duquesne continues to have that procedure itemized in its USECP (Amended Plan, p. 6.)</w:t>
      </w:r>
    </w:p>
    <w:p w:rsidR="00236183" w:rsidRPr="00236183" w:rsidRDefault="00236183" w:rsidP="00236183">
      <w:pPr>
        <w:spacing w:after="0" w:line="360" w:lineRule="auto"/>
        <w:rPr>
          <w:rFonts w:ascii="Times New Roman" w:eastAsia="Times New Roman" w:hAnsi="Times New Roman" w:cs="Times New Roman"/>
          <w:b/>
          <w:i/>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Proposed Resolution:  We have concerns that Duquesne’s current automatic recertification process, based only on timely payments, allows customers to remain on CAP when they may no longer be eligible or to receive a higher discount than qualified by their household situation.  We prefer </w:t>
      </w:r>
      <w:r w:rsidR="00827C9E">
        <w:rPr>
          <w:rFonts w:ascii="Times New Roman" w:eastAsia="Times New Roman" w:hAnsi="Times New Roman" w:cs="Times New Roman"/>
          <w:color w:val="0D0D0D" w:themeColor="text1" w:themeTint="F2"/>
          <w:sz w:val="26"/>
          <w:szCs w:val="26"/>
        </w:rPr>
        <w:t xml:space="preserve">that </w:t>
      </w:r>
      <w:r w:rsidRPr="00236183">
        <w:rPr>
          <w:rFonts w:ascii="Times New Roman" w:eastAsia="Times New Roman" w:hAnsi="Times New Roman" w:cs="Times New Roman"/>
          <w:color w:val="0D0D0D" w:themeColor="text1" w:themeTint="F2"/>
          <w:sz w:val="26"/>
          <w:szCs w:val="26"/>
        </w:rPr>
        <w:t xml:space="preserve">the receipt of a LIHEAP grant </w:t>
      </w:r>
      <w:r w:rsidR="00DD4C21">
        <w:rPr>
          <w:rFonts w:ascii="Times New Roman" w:eastAsia="Times New Roman" w:hAnsi="Times New Roman" w:cs="Times New Roman"/>
          <w:color w:val="0D0D0D" w:themeColor="text1" w:themeTint="F2"/>
          <w:sz w:val="26"/>
          <w:szCs w:val="26"/>
        </w:rPr>
        <w:t>be the only mechanism for automatic recertification by a household for CAP</w:t>
      </w:r>
      <w:r w:rsidRPr="00236183">
        <w:rPr>
          <w:rFonts w:ascii="Times New Roman" w:eastAsia="Times New Roman" w:hAnsi="Times New Roman" w:cs="Times New Roman"/>
          <w:color w:val="0D0D0D" w:themeColor="text1" w:themeTint="F2"/>
          <w:sz w:val="26"/>
          <w:szCs w:val="26"/>
        </w:rPr>
        <w:t>.  To qualify for LIHEAP, a household must have income at or below 150% of the FPIG based on the household size, the same as qualifying for CAP.</w:t>
      </w:r>
    </w:p>
    <w:p w:rsidR="00236183" w:rsidRPr="00236183" w:rsidRDefault="00236183" w:rsidP="002361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8"/>
        </w:numPr>
        <w:spacing w:after="0" w:line="360" w:lineRule="auto"/>
        <w:contextualSpacing/>
        <w:rPr>
          <w:rFonts w:ascii="Times New Roman" w:eastAsia="Times New Roman" w:hAnsi="Times New Roman" w:cs="Times New Roman"/>
          <w:b/>
          <w:bCs/>
          <w:color w:val="0D0D0D"/>
          <w:sz w:val="26"/>
          <w:szCs w:val="26"/>
        </w:rPr>
      </w:pPr>
      <w:r w:rsidRPr="00236183">
        <w:rPr>
          <w:rFonts w:ascii="Times New Roman" w:eastAsia="Times New Roman" w:hAnsi="Times New Roman" w:cs="Times New Roman"/>
          <w:b/>
          <w:bCs/>
          <w:color w:val="0D0D0D"/>
          <w:sz w:val="26"/>
          <w:szCs w:val="26"/>
        </w:rPr>
        <w:t>Low Income Usage Reduction Program (Smart Comfort)</w:t>
      </w:r>
    </w:p>
    <w:p w:rsidR="00236183" w:rsidRPr="00236183" w:rsidRDefault="00236183" w:rsidP="00236183">
      <w:pPr>
        <w:keepNext/>
        <w:spacing w:after="0" w:line="360" w:lineRule="auto"/>
        <w:rPr>
          <w:rFonts w:ascii="Times New Roman" w:eastAsia="Times New Roman" w:hAnsi="Times New Roman" w:cs="Times New Roman"/>
          <w:color w:val="0D0D0D"/>
          <w:sz w:val="26"/>
          <w:szCs w:val="26"/>
          <w:u w:val="single"/>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Duquesne’s LIURP is called Smart Comfort and targets low-income customers with household income at or below 150% of the FPIG or seniors with incomes less than 200% of the FPIG.  The program assists low income customers with conserving energy and reducing energy bills, and is designed to reduce overall residential energy demand.  Utilities are required to develop LIURP programs that install specific conservation measures in the homes of eligible customers.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lastRenderedPageBreak/>
        <w:t xml:space="preserve">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Smart Comfort eligibility requirements also include </w:t>
      </w:r>
      <w:proofErr w:type="spellStart"/>
      <w:r w:rsidRPr="00236183">
        <w:rPr>
          <w:rFonts w:ascii="Times New Roman" w:eastAsia="Times New Roman" w:hAnsi="Times New Roman" w:cs="Times New Roman"/>
          <w:sz w:val="26"/>
          <w:szCs w:val="26"/>
        </w:rPr>
        <w:t>baseload</w:t>
      </w:r>
      <w:proofErr w:type="spellEnd"/>
      <w:r w:rsidRPr="00236183">
        <w:rPr>
          <w:rFonts w:ascii="Times New Roman" w:eastAsia="Times New Roman" w:hAnsi="Times New Roman" w:cs="Times New Roman"/>
          <w:sz w:val="26"/>
          <w:szCs w:val="26"/>
        </w:rPr>
        <w:t xml:space="preserve"> usage of over 500kWh per month and at least six months of residency at that premises.  For households with senior citizens as heads of household, the income requirement is raised to 200% FPIG.  Duquesne does not identify required eligibility criteria for those with special needs/disabilities.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Proposed Resolution:  Duquesne needs to identify the LIURP eligibility criteria for those with special needs/disabilities within the program parameters.</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066C64" w:rsidRPr="00236183" w:rsidRDefault="00236183" w:rsidP="00066C64">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The company states that no more than 50% of all LIURP jobs should be targeted to those above 150% FPIG (Amended Plan, p. 18).  Title 52 Pa. Code § 58.10 (c) states “A covered utility may spend up to 20% of its annual program budget on eligible special needs customers as defined in 52 Pa. Code</w:t>
      </w:r>
      <w:r w:rsidR="006B5889">
        <w:rPr>
          <w:rFonts w:ascii="Times New Roman" w:eastAsia="Times New Roman" w:hAnsi="Times New Roman" w:cs="Times New Roman"/>
          <w:sz w:val="26"/>
          <w:szCs w:val="26"/>
        </w:rPr>
        <w:t xml:space="preserve"> § 58.2</w:t>
      </w:r>
      <w:r w:rsidR="00556CE4">
        <w:rPr>
          <w:rFonts w:ascii="Times New Roman" w:eastAsia="Times New Roman" w:hAnsi="Times New Roman" w:cs="Times New Roman"/>
          <w:sz w:val="26"/>
          <w:szCs w:val="26"/>
        </w:rPr>
        <w:t xml:space="preserve">.” </w:t>
      </w:r>
      <w:r w:rsidR="00066C64" w:rsidRPr="00066C64">
        <w:rPr>
          <w:rFonts w:ascii="Times New Roman" w:eastAsia="Times New Roman" w:hAnsi="Times New Roman" w:cs="Times New Roman"/>
          <w:sz w:val="26"/>
          <w:szCs w:val="26"/>
        </w:rPr>
        <w:t xml:space="preserve"> </w:t>
      </w:r>
      <w:r w:rsidR="00066C64" w:rsidRPr="00236183">
        <w:rPr>
          <w:rFonts w:ascii="Times New Roman" w:eastAsia="Times New Roman" w:hAnsi="Times New Roman" w:cs="Times New Roman"/>
          <w:sz w:val="26"/>
          <w:szCs w:val="26"/>
        </w:rPr>
        <w:t>Based on the figures that Duquesne has provided BCS, it does not appear that the company has exceeded 20% of its annual budget</w:t>
      </w:r>
      <w:r w:rsidR="00066C64">
        <w:rPr>
          <w:rFonts w:ascii="Times New Roman" w:eastAsia="Times New Roman" w:hAnsi="Times New Roman" w:cs="Times New Roman"/>
          <w:sz w:val="26"/>
          <w:szCs w:val="26"/>
        </w:rPr>
        <w:t xml:space="preserve"> while providing services to those in the 150%-200% range</w:t>
      </w:r>
      <w:r w:rsidR="00066C64" w:rsidRPr="00236183">
        <w:rPr>
          <w:rFonts w:ascii="Times New Roman" w:eastAsia="Times New Roman" w:hAnsi="Times New Roman" w:cs="Times New Roman"/>
          <w:sz w:val="26"/>
          <w:szCs w:val="26"/>
        </w:rPr>
        <w:t xml:space="preserve">.  </w:t>
      </w:r>
    </w:p>
    <w:p w:rsidR="00066C64" w:rsidRPr="00236183" w:rsidRDefault="00066C64" w:rsidP="00066C64">
      <w:pPr>
        <w:spacing w:after="0" w:line="360" w:lineRule="auto"/>
        <w:ind w:firstLine="720"/>
        <w:rPr>
          <w:rFonts w:ascii="Times New Roman" w:eastAsia="Times New Roman" w:hAnsi="Times New Roman" w:cs="Times New Roman"/>
          <w:sz w:val="26"/>
          <w:szCs w:val="26"/>
        </w:rPr>
      </w:pPr>
    </w:p>
    <w:p w:rsidR="00236183" w:rsidRPr="00236183" w:rsidRDefault="00066C64" w:rsidP="00066C64">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Proposed Resolution:  Duquesne should specifically state if it in</w:t>
      </w:r>
      <w:r w:rsidR="00BA2E47">
        <w:rPr>
          <w:rFonts w:ascii="Times New Roman" w:eastAsia="Times New Roman" w:hAnsi="Times New Roman" w:cs="Times New Roman"/>
          <w:sz w:val="26"/>
          <w:szCs w:val="26"/>
        </w:rPr>
        <w:t>tends to increase the number</w:t>
      </w:r>
      <w:r w:rsidRPr="00236183">
        <w:rPr>
          <w:rFonts w:ascii="Times New Roman" w:eastAsia="Times New Roman" w:hAnsi="Times New Roman" w:cs="Times New Roman"/>
          <w:sz w:val="26"/>
          <w:szCs w:val="26"/>
        </w:rPr>
        <w:t xml:space="preserve"> of customers in the 150%-200% FPIG level that receive LIURP services</w:t>
      </w:r>
      <w:r>
        <w:rPr>
          <w:rFonts w:ascii="Times New Roman" w:eastAsia="Times New Roman" w:hAnsi="Times New Roman" w:cs="Times New Roman"/>
          <w:sz w:val="26"/>
          <w:szCs w:val="26"/>
        </w:rPr>
        <w:t xml:space="preserve"> </w:t>
      </w:r>
      <w:r w:rsidRPr="00236183">
        <w:rPr>
          <w:rFonts w:ascii="Times New Roman" w:eastAsia="Times New Roman" w:hAnsi="Times New Roman" w:cs="Times New Roman"/>
          <w:sz w:val="26"/>
          <w:szCs w:val="26"/>
        </w:rPr>
        <w:t>and to seek waiver from the Commission for that specific regulation</w:t>
      </w:r>
      <w:r>
        <w:rPr>
          <w:rFonts w:ascii="Times New Roman" w:eastAsia="Times New Roman" w:hAnsi="Times New Roman" w:cs="Times New Roman"/>
          <w:sz w:val="26"/>
          <w:szCs w:val="26"/>
        </w:rPr>
        <w:t xml:space="preserve"> if the costs are projected to be greater than 20% of the LIURP budget</w:t>
      </w:r>
      <w:r w:rsidR="00236183" w:rsidRPr="00236183">
        <w:rPr>
          <w:rFonts w:ascii="Times New Roman" w:eastAsia="Times New Roman" w:hAnsi="Times New Roman" w:cs="Times New Roman"/>
          <w:sz w:val="26"/>
          <w:szCs w:val="26"/>
        </w:rPr>
        <w:t xml:space="preserve">.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While the majority of weatherization jobs performed by the company seem to be </w:t>
      </w:r>
      <w:proofErr w:type="spellStart"/>
      <w:r w:rsidRPr="00236183">
        <w:rPr>
          <w:rFonts w:ascii="Times New Roman" w:eastAsia="Times New Roman" w:hAnsi="Times New Roman" w:cs="Times New Roman"/>
          <w:sz w:val="26"/>
          <w:szCs w:val="26"/>
        </w:rPr>
        <w:t>baseload</w:t>
      </w:r>
      <w:proofErr w:type="spellEnd"/>
      <w:r w:rsidRPr="00236183">
        <w:rPr>
          <w:rFonts w:ascii="Times New Roman" w:eastAsia="Times New Roman" w:hAnsi="Times New Roman" w:cs="Times New Roman"/>
          <w:sz w:val="26"/>
          <w:szCs w:val="26"/>
        </w:rPr>
        <w:t xml:space="preserve"> jobs </w:t>
      </w:r>
      <w:r w:rsidR="00827C9E">
        <w:rPr>
          <w:rFonts w:ascii="Times New Roman" w:eastAsia="Times New Roman" w:hAnsi="Times New Roman" w:cs="Times New Roman"/>
          <w:sz w:val="26"/>
          <w:szCs w:val="26"/>
        </w:rPr>
        <w:t>that</w:t>
      </w:r>
      <w:r w:rsidRPr="00236183">
        <w:rPr>
          <w:rFonts w:ascii="Times New Roman" w:eastAsia="Times New Roman" w:hAnsi="Times New Roman" w:cs="Times New Roman"/>
          <w:sz w:val="26"/>
          <w:szCs w:val="26"/>
        </w:rPr>
        <w:t xml:space="preserve"> can be assessed by performing a walk through audit, almost ten percent of the jobs are classified as heating.  We are concerned that Duquesne’s Amended Plan does not mention the use of blower door technology for any of the more comprehensive audits on heating accounts.  Based on our review of national weatherization best practices, a walk through audit is not nearly as thorough or accurate in guiding air sealing, a key component for effective weatherization, particularly on heating jobs.  </w:t>
      </w:r>
      <w:r w:rsidRPr="00236183">
        <w:rPr>
          <w:rFonts w:ascii="Times New Roman" w:eastAsia="Times New Roman" w:hAnsi="Times New Roman" w:cs="Times New Roman"/>
          <w:sz w:val="26"/>
          <w:szCs w:val="26"/>
        </w:rPr>
        <w:lastRenderedPageBreak/>
        <w:t xml:space="preserve">Blower door tests may not be cost-effective for a </w:t>
      </w:r>
      <w:proofErr w:type="spellStart"/>
      <w:r w:rsidRPr="00236183">
        <w:rPr>
          <w:rFonts w:ascii="Times New Roman" w:eastAsia="Times New Roman" w:hAnsi="Times New Roman" w:cs="Times New Roman"/>
          <w:sz w:val="26"/>
          <w:szCs w:val="26"/>
        </w:rPr>
        <w:t>baseload</w:t>
      </w:r>
      <w:proofErr w:type="spellEnd"/>
      <w:r w:rsidRPr="00236183">
        <w:rPr>
          <w:rFonts w:ascii="Times New Roman" w:eastAsia="Times New Roman" w:hAnsi="Times New Roman" w:cs="Times New Roman"/>
          <w:sz w:val="26"/>
          <w:szCs w:val="26"/>
        </w:rPr>
        <w:t xml:space="preserve"> job, but may be beneficial and most times necessary on more comprehensive jobs.</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Proposed Resolution:  Title 52 Pa. Code § 58.7</w:t>
      </w:r>
      <w:r w:rsidR="006B5889">
        <w:rPr>
          <w:rFonts w:ascii="Times New Roman" w:eastAsia="Times New Roman" w:hAnsi="Times New Roman" w:cs="Times New Roman"/>
          <w:sz w:val="26"/>
          <w:szCs w:val="26"/>
        </w:rPr>
        <w:t>(a)</w:t>
      </w:r>
      <w:r w:rsidRPr="00236183">
        <w:rPr>
          <w:rFonts w:ascii="Times New Roman" w:eastAsia="Times New Roman" w:hAnsi="Times New Roman" w:cs="Times New Roman"/>
          <w:sz w:val="26"/>
          <w:szCs w:val="26"/>
        </w:rPr>
        <w:t xml:space="preserve"> addresses progr</w:t>
      </w:r>
      <w:r w:rsidR="006B5889">
        <w:rPr>
          <w:rFonts w:ascii="Times New Roman" w:eastAsia="Times New Roman" w:hAnsi="Times New Roman" w:cs="Times New Roman"/>
          <w:sz w:val="26"/>
          <w:szCs w:val="26"/>
        </w:rPr>
        <w:t>am integration.  It states, “</w:t>
      </w:r>
      <w:r w:rsidRPr="00236183">
        <w:rPr>
          <w:rFonts w:ascii="Times New Roman" w:eastAsia="Times New Roman" w:hAnsi="Times New Roman" w:cs="Times New Roman"/>
          <w:sz w:val="26"/>
          <w:szCs w:val="26"/>
        </w:rPr>
        <w:t>A covered utility shall coordinate program service with existing resources in the community.”  With the addition of Act 129 low-income weatherization programs, to make best use of resources, it becomes increasingly important to coordinate with the Smart Comfort LIURP program where possible.  Since the same entity, Conservation Consultants, Inc. (CCI), administers both programs, Duquesne needs to explore ways to increase the effectiveness of program delivery to achieve maximum potential savings from each job.</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Title 52 Pa. Code § 58.14 (c) addresses inter-utility coordination.  CCI also provides LIURP services for Columbia Gas</w:t>
      </w:r>
      <w:r w:rsidR="006B5889">
        <w:rPr>
          <w:rFonts w:ascii="Times New Roman" w:eastAsia="Times New Roman" w:hAnsi="Times New Roman" w:cs="Times New Roman"/>
          <w:sz w:val="26"/>
          <w:szCs w:val="26"/>
        </w:rPr>
        <w:t xml:space="preserve"> of Pennsylvania</w:t>
      </w:r>
      <w:r w:rsidRPr="00236183">
        <w:rPr>
          <w:rFonts w:ascii="Times New Roman" w:eastAsia="Times New Roman" w:hAnsi="Times New Roman" w:cs="Times New Roman"/>
          <w:sz w:val="26"/>
          <w:szCs w:val="26"/>
        </w:rPr>
        <w:t xml:space="preserve"> and Peoples Gas, both of which are natural gas distribution companies (NGDCs), within the Duquesne service territory.  We have urged coordination between electric utilities such as Duquesne and gas utilities such as Columbia Gas and Peoples Gas in the past and will continue to emphasize this coordination in the future with both Act 129 and LIURP programs.  As funding is more closely scrutinized for low-income weatherization services, we require increased efficiency and coordination in program delivery.</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All Pennsylvania utilities that participate in the LIURP program have a LIURP Codebook, provided by the Commission’s Bureau of Consumer Services and the Pennsylvania State University, for reference purposes.  The Codebook was established, with utility input, to provide uniform guidance and reporting standards for all LIURP required data in conjunction with 52 Pa. Code § 54.73(4), to ensure “programs are operated in a cost-effective and efficient manner.”  In the LIURP Codebook, it states that the Commission “prefers all usage data for LIURP jobs to be weather normalized, regardless of job type.”  Duquesne is, however, the only EDC or NGDC providing </w:t>
      </w:r>
      <w:r w:rsidRPr="00236183">
        <w:rPr>
          <w:rFonts w:ascii="Times New Roman" w:eastAsia="Times New Roman" w:hAnsi="Times New Roman" w:cs="Times New Roman"/>
          <w:sz w:val="26"/>
          <w:szCs w:val="26"/>
        </w:rPr>
        <w:lastRenderedPageBreak/>
        <w:t xml:space="preserve">electric or gas LIURP services that does not already weather normalize data.  In addition, Duquesne has not reported information on a number of variables and/or has submitted inaccurate data in the past few program years, making it difficult to measure the results and effectiveness of the program.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Proposed Resolution:  Although Duquesne has provided data in the past that has not been weather normalized, presumably due to large numbers of </w:t>
      </w:r>
      <w:proofErr w:type="spellStart"/>
      <w:r w:rsidRPr="00236183">
        <w:rPr>
          <w:rFonts w:ascii="Times New Roman" w:eastAsia="Times New Roman" w:hAnsi="Times New Roman" w:cs="Times New Roman"/>
          <w:sz w:val="26"/>
          <w:szCs w:val="26"/>
        </w:rPr>
        <w:t>baseload</w:t>
      </w:r>
      <w:proofErr w:type="spellEnd"/>
      <w:r w:rsidRPr="00236183">
        <w:rPr>
          <w:rFonts w:ascii="Times New Roman" w:eastAsia="Times New Roman" w:hAnsi="Times New Roman" w:cs="Times New Roman"/>
          <w:sz w:val="26"/>
          <w:szCs w:val="26"/>
        </w:rPr>
        <w:t xml:space="preserve"> jobs, in the future, we will require Duquesne to use weather normalization in its reporting.  In order to effectively gauge the validity of program savings, and to establish consistency across LIURP programs, all data must be weather normalized beginning January 1, 2014 (for LIURP program year 2013, reported in April of 2015).  With the increased scrutiny and accountability placed upon low-income programs, this consistency and standardized approach is warranted.  </w:t>
      </w:r>
      <w:r w:rsidR="00066C64" w:rsidRPr="00236183">
        <w:rPr>
          <w:rFonts w:ascii="Times New Roman" w:eastAsia="Times New Roman" w:hAnsi="Times New Roman" w:cs="Times New Roman"/>
          <w:sz w:val="26"/>
          <w:szCs w:val="26"/>
        </w:rPr>
        <w:t xml:space="preserve">Further, Duquesne must ensure that it reports the appropriate information for </w:t>
      </w:r>
      <w:r w:rsidR="00066C64">
        <w:rPr>
          <w:rFonts w:ascii="Times New Roman" w:eastAsia="Times New Roman" w:hAnsi="Times New Roman" w:cs="Times New Roman"/>
          <w:sz w:val="26"/>
          <w:szCs w:val="26"/>
        </w:rPr>
        <w:t xml:space="preserve">all required </w:t>
      </w:r>
      <w:r w:rsidR="00066C64" w:rsidRPr="00236183">
        <w:rPr>
          <w:rFonts w:ascii="Times New Roman" w:eastAsia="Times New Roman" w:hAnsi="Times New Roman" w:cs="Times New Roman"/>
          <w:sz w:val="26"/>
          <w:szCs w:val="26"/>
        </w:rPr>
        <w:t>variables</w:t>
      </w:r>
      <w:r w:rsidR="00066C64">
        <w:rPr>
          <w:rFonts w:ascii="Times New Roman" w:eastAsia="Times New Roman" w:hAnsi="Times New Roman" w:cs="Times New Roman"/>
          <w:sz w:val="26"/>
          <w:szCs w:val="26"/>
        </w:rPr>
        <w:t>,</w:t>
      </w:r>
      <w:r w:rsidR="00066C64" w:rsidRPr="00236183">
        <w:rPr>
          <w:rFonts w:ascii="Times New Roman" w:eastAsia="Times New Roman" w:hAnsi="Times New Roman" w:cs="Times New Roman"/>
          <w:sz w:val="26"/>
          <w:szCs w:val="26"/>
        </w:rPr>
        <w:t xml:space="preserve"> and </w:t>
      </w:r>
      <w:r w:rsidR="00066C64">
        <w:rPr>
          <w:rFonts w:ascii="Times New Roman" w:eastAsia="Times New Roman" w:hAnsi="Times New Roman" w:cs="Times New Roman"/>
          <w:sz w:val="26"/>
          <w:szCs w:val="26"/>
        </w:rPr>
        <w:t xml:space="preserve">that the </w:t>
      </w:r>
      <w:r w:rsidR="00066C64" w:rsidRPr="00236183">
        <w:rPr>
          <w:rFonts w:ascii="Times New Roman" w:eastAsia="Times New Roman" w:hAnsi="Times New Roman" w:cs="Times New Roman"/>
          <w:sz w:val="26"/>
          <w:szCs w:val="26"/>
        </w:rPr>
        <w:t>supporting data</w:t>
      </w:r>
      <w:r w:rsidR="00066C64">
        <w:rPr>
          <w:rFonts w:ascii="Times New Roman" w:eastAsia="Times New Roman" w:hAnsi="Times New Roman" w:cs="Times New Roman"/>
          <w:sz w:val="26"/>
          <w:szCs w:val="26"/>
        </w:rPr>
        <w:t xml:space="preserve"> is accurate and complete</w:t>
      </w:r>
      <w:r w:rsidR="00066C64" w:rsidRPr="00236183">
        <w:rPr>
          <w:rFonts w:ascii="Times New Roman" w:eastAsia="Times New Roman" w:hAnsi="Times New Roman" w:cs="Times New Roman"/>
          <w:sz w:val="26"/>
          <w:szCs w:val="26"/>
        </w:rPr>
        <w:t>.</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While Duquesne does follow up with Smart Comfort recipients, whose usage increased after receiving LIURP services, to provide remedial education and/or discuss their consumption, the company does not report the remedial education variables in its data.  As larger numbers of users fall into the non-saver ca</w:t>
      </w:r>
      <w:r w:rsidR="00B65AC1">
        <w:rPr>
          <w:rFonts w:ascii="Times New Roman" w:eastAsia="Times New Roman" w:hAnsi="Times New Roman" w:cs="Times New Roman"/>
          <w:sz w:val="26"/>
          <w:szCs w:val="26"/>
        </w:rPr>
        <w:t xml:space="preserve">tegory, it is critical that </w:t>
      </w:r>
      <w:r w:rsidRPr="00236183">
        <w:rPr>
          <w:rFonts w:ascii="Times New Roman" w:eastAsia="Times New Roman" w:hAnsi="Times New Roman" w:cs="Times New Roman"/>
          <w:sz w:val="26"/>
          <w:szCs w:val="26"/>
        </w:rPr>
        <w:t xml:space="preserve">companies provide the data so the Commission can better understand the reasons for this, and help develop strategies to combat/offset it where possible.  Conservation education and behavior modification will continue to play an increasingly key role in reducing energy usage, as evidenced by the use of Home Energy Reporting Programs currently underway in Duquesne’s Act 129 portfolio.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Proposed Resolution:  Going forward, Duquesne will be required to include information on the remedial education variables in its filings</w:t>
      </w:r>
      <w:r w:rsidR="00066C64">
        <w:rPr>
          <w:rFonts w:ascii="Times New Roman" w:eastAsia="Times New Roman" w:hAnsi="Times New Roman" w:cs="Times New Roman"/>
          <w:sz w:val="26"/>
          <w:szCs w:val="26"/>
        </w:rPr>
        <w:t>, as outlined in the LIURP Codebook</w:t>
      </w:r>
      <w:r w:rsidR="00066C64" w:rsidRPr="00236183">
        <w:rPr>
          <w:rFonts w:ascii="Times New Roman" w:eastAsia="Times New Roman" w:hAnsi="Times New Roman" w:cs="Times New Roman"/>
          <w:sz w:val="26"/>
          <w:szCs w:val="26"/>
        </w:rPr>
        <w:t>.</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We also note that Duquesne has not set aside a budget for contractor training.  It has not indicated any required certification or professional credentials of its contractors.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Proposed Resolution:  Duquesne should provide in its comments details of its training plans and requirements of its weatherization contractors.  This training should include a review of latest technologies, health and safety protocols and all aspects and details of required data reporting necessary to calculate valid or reliable program savings.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 </w:t>
      </w:r>
      <w:r w:rsidRPr="00236183">
        <w:rPr>
          <w:rFonts w:ascii="Times New Roman" w:eastAsia="Times New Roman" w:hAnsi="Times New Roman" w:cs="Times New Roman"/>
          <w:b/>
          <w:color w:val="0D0D0D" w:themeColor="text1" w:themeTint="F2"/>
          <w:sz w:val="26"/>
          <w:szCs w:val="26"/>
        </w:rPr>
        <w:t xml:space="preserve">Hardship Fund </w:t>
      </w: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Duquesne’s hardship fund is conducted in partnership with the Dollar Energy Fund to help households who have overdue balances and an inability to pay their energy bills.  Ratepayers and interested parties can pledge donations to Duquesne’s hardship fund; which is disbursed monthly to Dollar Energy.  Eligible customers can receive up to $500 toward the payment of their past due utility debt.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14"/>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t>Hardship Fund Grant Application</w:t>
      </w:r>
    </w:p>
    <w:p w:rsidR="00236183" w:rsidRPr="00236183" w:rsidRDefault="00236183" w:rsidP="00236183">
      <w:pPr>
        <w:keepNext/>
        <w:spacing w:after="0" w:line="360" w:lineRule="auto"/>
        <w:ind w:left="720"/>
        <w:contextualSpacing/>
        <w:rPr>
          <w:rFonts w:ascii="Times New Roman" w:eastAsia="Times New Roman" w:hAnsi="Times New Roman" w:cs="Times New Roman"/>
          <w:i/>
          <w:color w:val="0D0D0D" w:themeColor="text1" w:themeTint="F2"/>
          <w:sz w:val="26"/>
          <w:szCs w:val="26"/>
        </w:rPr>
      </w:pPr>
    </w:p>
    <w:p w:rsidR="00236183" w:rsidRPr="00236183" w:rsidRDefault="00236183" w:rsidP="002361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provides a description of the Dollar Energy Fund as its Hardship Fund.  It states objectives, eligibility, budget and community based organizations which administer the program.  One of the overall objectives is to “provide financial assistance to qualified low-income households who are having difficulty paying their energy bills.</w:t>
      </w:r>
    </w:p>
    <w:p w:rsidR="00236183" w:rsidRPr="00236183" w:rsidRDefault="00236183" w:rsidP="00236183">
      <w:pPr>
        <w:keepNext/>
        <w:spacing w:after="0" w:line="360" w:lineRule="auto"/>
        <w:ind w:left="72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Dollar Energy website, at </w:t>
      </w:r>
      <w:hyperlink r:id="rId9" w:history="1">
        <w:r w:rsidRPr="00236183">
          <w:rPr>
            <w:rFonts w:ascii="Times New Roman" w:eastAsia="Times New Roman" w:hAnsi="Times New Roman" w:cs="Times New Roman"/>
            <w:color w:val="0000FF"/>
            <w:sz w:val="26"/>
            <w:szCs w:val="26"/>
            <w:u w:val="single"/>
          </w:rPr>
          <w:t>www.dollarenergy.org</w:t>
        </w:r>
      </w:hyperlink>
      <w:r w:rsidRPr="00236183">
        <w:rPr>
          <w:rFonts w:ascii="Times New Roman" w:eastAsia="Times New Roman" w:hAnsi="Times New Roman" w:cs="Times New Roman"/>
          <w:color w:val="0D0D0D" w:themeColor="text1" w:themeTint="F2"/>
          <w:sz w:val="26"/>
          <w:szCs w:val="26"/>
        </w:rPr>
        <w:t xml:space="preserve"> states that “if you are awarded a grant, the money will be applied directly to your utility account.”  Through BCS informal complaint investigations, there have been several instances where investigators have unsuccessfully attempted to see a current bill reduction for CAP customers who have received a Dollar Energy Grant.  Duquesne has not provided </w:t>
      </w:r>
      <w:r w:rsidRPr="00236183">
        <w:rPr>
          <w:rFonts w:ascii="Times New Roman" w:eastAsia="Times New Roman" w:hAnsi="Times New Roman" w:cs="Times New Roman"/>
          <w:color w:val="0D0D0D" w:themeColor="text1" w:themeTint="F2"/>
          <w:sz w:val="26"/>
          <w:szCs w:val="26"/>
        </w:rPr>
        <w:lastRenderedPageBreak/>
        <w:t xml:space="preserve">statements of account showing a current bill/current CAP balance reduced by a Dollar Energy Grant.  Through BCS correspondence with Duquesne, the company alleges that Dollar Energy grants have been applied to the CAP credit balance first (“deficiency balance” as referenced by Duquesne) and then to a customer’s frozen pre-program arrearages.  In our opinion, a grant applied in that manner does not fulfill the intended purpose of alleviating a customer hardship.  In addition, CAP credits and pre-program arrears can be recovered by Duquesne, dollar for dollar, through its base rates.  Duquesne has reported to BCS that, effective with approval of the Amended Plan, it will apply Dollar Energy grants to customer accounts in the same manner as it applies LIHEAP cash grants.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Proposed Resolution:  Duquesne shall provide a detailed response through its comments, as to:</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15"/>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How the Dollar Energy grants have assisted customers to alleviate hardships, and </w:t>
      </w:r>
    </w:p>
    <w:p w:rsidR="00236183" w:rsidRPr="00236183" w:rsidRDefault="00236183" w:rsidP="00236183">
      <w:pPr>
        <w:numPr>
          <w:ilvl w:val="0"/>
          <w:numId w:val="15"/>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How it has maintained, or if it has maintained, separation of grant money from the dollars it recovers through rates. </w:t>
      </w:r>
    </w:p>
    <w:p w:rsidR="00236183" w:rsidRPr="00236183" w:rsidRDefault="00236183" w:rsidP="00236183">
      <w:pPr>
        <w:spacing w:after="0" w:line="360" w:lineRule="auto"/>
        <w:ind w:left="108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8"/>
        </w:num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CARES Program</w:t>
      </w:r>
    </w:p>
    <w:p w:rsidR="00236183" w:rsidRPr="00236183" w:rsidRDefault="00236183" w:rsidP="00236183">
      <w:pPr>
        <w:tabs>
          <w:tab w:val="left" w:pos="720"/>
        </w:tabs>
        <w:spacing w:after="0" w:line="360" w:lineRule="auto"/>
        <w:rPr>
          <w:rFonts w:ascii="Times New Roman" w:eastAsia="Times New Roman" w:hAnsi="Times New Roman" w:cs="Times New Roman"/>
          <w:color w:val="0D0D0D" w:themeColor="text1" w:themeTint="F2"/>
          <w:sz w:val="26"/>
          <w:szCs w:val="26"/>
          <w:u w:val="single"/>
        </w:rPr>
      </w:pPr>
    </w:p>
    <w:p w:rsidR="00236183" w:rsidRPr="00236183" w:rsidRDefault="00236183" w:rsidP="00236183">
      <w:pPr>
        <w:tabs>
          <w:tab w:val="left" w:pos="720"/>
        </w:tabs>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t>The primary objective of the Duquesne’s CARES program is to assist payment-troubled and special needs customers in obtaining necessary social service support and assistance.  It helps customers with payment hardships to manage electric bills, makes referrals to other helpful programs, maintains or establishes alliances with other agencies to gain assistance, and acts as an advocate for payment-troubled customers.  CARES receives referrals from CBOs and other entities.</w:t>
      </w:r>
    </w:p>
    <w:p w:rsidR="00236183" w:rsidRPr="00236183" w:rsidRDefault="00236183" w:rsidP="00236183">
      <w:pPr>
        <w:tabs>
          <w:tab w:val="left" w:pos="720"/>
        </w:tabs>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In its response to a BCS supplemental information request concerning entities administering of CAP, Duquesne informally provided a description of many community, outreach and networking events at which Duquesne takes part.  The information was not filed, but it was provided to all active parties at this docket.</w:t>
      </w:r>
    </w:p>
    <w:p w:rsidR="00236183" w:rsidRPr="00236183" w:rsidRDefault="00236183" w:rsidP="00236183">
      <w:pPr>
        <w:tabs>
          <w:tab w:val="left" w:pos="720"/>
        </w:tabs>
        <w:spacing w:after="0" w:line="360" w:lineRule="auto"/>
        <w:rPr>
          <w:rFonts w:ascii="Times New Roman" w:eastAsia="Times New Roman" w:hAnsi="Times New Roman" w:cs="Times New Roman"/>
          <w:b/>
          <w:color w:val="0D0D0D" w:themeColor="text1" w:themeTint="F2"/>
          <w:sz w:val="26"/>
          <w:szCs w:val="26"/>
        </w:rPr>
      </w:pPr>
    </w:p>
    <w:p w:rsidR="00236183" w:rsidRPr="00236183" w:rsidRDefault="00236183" w:rsidP="00236183">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u w:val="single"/>
        </w:rPr>
        <w:t xml:space="preserve"> Eligibility Criteria</w:t>
      </w:r>
    </w:p>
    <w:p w:rsidR="00236183" w:rsidRPr="00236183" w:rsidRDefault="00236183" w:rsidP="00236183">
      <w:pPr>
        <w:keepNext/>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The four components of Duquesne’s Plan have slightly different eligibility criteria as demonstrated in Table 5 below.</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610"/>
        <w:gridCol w:w="5292"/>
      </w:tblGrid>
      <w:tr w:rsidR="00236183" w:rsidRPr="00236183" w:rsidTr="00E97DC0">
        <w:trPr>
          <w:cantSplit/>
          <w:jc w:val="center"/>
        </w:trPr>
        <w:tc>
          <w:tcPr>
            <w:tcW w:w="9145" w:type="dxa"/>
            <w:gridSpan w:val="3"/>
            <w:tcBorders>
              <w:top w:val="nil"/>
              <w:left w:val="nil"/>
              <w:bottom w:val="single" w:sz="4" w:space="0" w:color="auto"/>
              <w:right w:val="nil"/>
            </w:tcBorders>
          </w:tcPr>
          <w:p w:rsidR="00236183" w:rsidRPr="00236183" w:rsidRDefault="00236183" w:rsidP="00236183">
            <w:pPr>
              <w:keepNext/>
              <w:keepLines/>
              <w:spacing w:after="0" w:line="360" w:lineRule="auto"/>
              <w:jc w:val="center"/>
              <w:outlineLvl w:val="4"/>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lastRenderedPageBreak/>
              <w:br w:type="page"/>
              <w:t>Table 5</w:t>
            </w:r>
          </w:p>
          <w:p w:rsidR="00236183" w:rsidRPr="00236183" w:rsidRDefault="00236183" w:rsidP="00236183">
            <w:pPr>
              <w:keepNext/>
              <w:keepLines/>
              <w:spacing w:after="0" w:line="360" w:lineRule="auto"/>
              <w:jc w:val="center"/>
              <w:outlineLvl w:val="3"/>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Eligibility Criteria</w:t>
            </w:r>
          </w:p>
        </w:tc>
      </w:tr>
      <w:tr w:rsidR="00236183" w:rsidRPr="00E97DC0" w:rsidTr="00F42AF4">
        <w:trPr>
          <w:cantSplit/>
          <w:jc w:val="center"/>
        </w:trPr>
        <w:tc>
          <w:tcPr>
            <w:tcW w:w="1243" w:type="dxa"/>
            <w:tcBorders>
              <w:top w:val="single" w:sz="4" w:space="0" w:color="auto"/>
              <w:left w:val="single" w:sz="4" w:space="0" w:color="auto"/>
              <w:bottom w:val="single" w:sz="4" w:space="0" w:color="auto"/>
              <w:right w:val="single" w:sz="4" w:space="0" w:color="auto"/>
            </w:tcBorders>
          </w:tcPr>
          <w:p w:rsidR="00236183" w:rsidRPr="00E97DC0" w:rsidRDefault="00236183" w:rsidP="00236183">
            <w:pPr>
              <w:keepNext/>
              <w:keepLines/>
              <w:spacing w:after="0" w:line="360" w:lineRule="auto"/>
              <w:rPr>
                <w:rFonts w:ascii="Times New Roman" w:eastAsia="Times New Roman" w:hAnsi="Times New Roman" w:cs="Times New Roman"/>
                <w:b/>
                <w:color w:val="0D0D0D" w:themeColor="text1" w:themeTint="F2"/>
                <w:sz w:val="26"/>
                <w:szCs w:val="26"/>
              </w:rPr>
            </w:pPr>
            <w:r w:rsidRPr="00E97DC0">
              <w:rPr>
                <w:rFonts w:ascii="Times New Roman" w:eastAsia="Times New Roman" w:hAnsi="Times New Roman" w:cs="Times New Roman"/>
                <w:b/>
                <w:color w:val="0D0D0D" w:themeColor="text1" w:themeTint="F2"/>
                <w:sz w:val="26"/>
                <w:szCs w:val="26"/>
              </w:rPr>
              <w:t>Program</w:t>
            </w:r>
          </w:p>
        </w:tc>
        <w:tc>
          <w:tcPr>
            <w:tcW w:w="2610" w:type="dxa"/>
            <w:tcBorders>
              <w:top w:val="single" w:sz="4" w:space="0" w:color="auto"/>
              <w:left w:val="single" w:sz="4" w:space="0" w:color="auto"/>
              <w:bottom w:val="single" w:sz="4" w:space="0" w:color="auto"/>
              <w:right w:val="single" w:sz="4" w:space="0" w:color="auto"/>
            </w:tcBorders>
            <w:vAlign w:val="center"/>
          </w:tcPr>
          <w:p w:rsidR="00236183" w:rsidRPr="00E97DC0" w:rsidRDefault="00236183" w:rsidP="00F42AF4">
            <w:pPr>
              <w:keepNext/>
              <w:keepLines/>
              <w:spacing w:after="0" w:line="360" w:lineRule="auto"/>
              <w:jc w:val="center"/>
              <w:rPr>
                <w:rFonts w:ascii="Times New Roman" w:eastAsia="Times New Roman" w:hAnsi="Times New Roman" w:cs="Times New Roman"/>
                <w:b/>
                <w:color w:val="0D0D0D" w:themeColor="text1" w:themeTint="F2"/>
                <w:sz w:val="26"/>
                <w:szCs w:val="26"/>
              </w:rPr>
            </w:pPr>
            <w:r w:rsidRPr="00E97DC0">
              <w:rPr>
                <w:rFonts w:ascii="Times New Roman" w:eastAsia="Times New Roman" w:hAnsi="Times New Roman" w:cs="Times New Roman"/>
                <w:b/>
                <w:color w:val="0D0D0D" w:themeColor="text1" w:themeTint="F2"/>
                <w:sz w:val="26"/>
                <w:szCs w:val="26"/>
              </w:rPr>
              <w:t>Income Criteria</w:t>
            </w:r>
          </w:p>
        </w:tc>
        <w:tc>
          <w:tcPr>
            <w:tcW w:w="5292" w:type="dxa"/>
            <w:tcBorders>
              <w:top w:val="single" w:sz="4" w:space="0" w:color="auto"/>
              <w:left w:val="single" w:sz="4" w:space="0" w:color="auto"/>
              <w:bottom w:val="single" w:sz="4" w:space="0" w:color="auto"/>
              <w:right w:val="single" w:sz="4" w:space="0" w:color="auto"/>
            </w:tcBorders>
            <w:vAlign w:val="center"/>
          </w:tcPr>
          <w:p w:rsidR="00236183" w:rsidRPr="00E97DC0" w:rsidRDefault="00236183" w:rsidP="00F42AF4">
            <w:pPr>
              <w:keepNext/>
              <w:keepLines/>
              <w:spacing w:after="0" w:line="360" w:lineRule="auto"/>
              <w:jc w:val="center"/>
              <w:rPr>
                <w:rFonts w:ascii="Times New Roman" w:eastAsia="Times New Roman" w:hAnsi="Times New Roman" w:cs="Times New Roman"/>
                <w:b/>
                <w:color w:val="0D0D0D" w:themeColor="text1" w:themeTint="F2"/>
                <w:sz w:val="26"/>
                <w:szCs w:val="26"/>
              </w:rPr>
            </w:pPr>
            <w:r w:rsidRPr="00E97DC0">
              <w:rPr>
                <w:rFonts w:ascii="Times New Roman" w:eastAsia="Times New Roman" w:hAnsi="Times New Roman" w:cs="Times New Roman"/>
                <w:b/>
                <w:color w:val="0D0D0D" w:themeColor="text1" w:themeTint="F2"/>
                <w:sz w:val="26"/>
                <w:szCs w:val="26"/>
              </w:rPr>
              <w:t>Other Criteria</w:t>
            </w:r>
          </w:p>
        </w:tc>
      </w:tr>
      <w:tr w:rsidR="00236183" w:rsidRPr="00E97DC0" w:rsidTr="00E97DC0">
        <w:trPr>
          <w:cantSplit/>
          <w:jc w:val="center"/>
        </w:trPr>
        <w:tc>
          <w:tcPr>
            <w:tcW w:w="1243" w:type="dxa"/>
            <w:tcBorders>
              <w:top w:val="single" w:sz="4" w:space="0" w:color="auto"/>
            </w:tcBorders>
            <w:vAlign w:val="center"/>
          </w:tcPr>
          <w:p w:rsidR="00236183" w:rsidRPr="00E97DC0" w:rsidRDefault="00236183" w:rsidP="00DD17B6">
            <w:pPr>
              <w:keepNext/>
              <w:keepLines/>
              <w:spacing w:after="0" w:line="360" w:lineRule="auto"/>
              <w:outlineLvl w:val="2"/>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CAP</w:t>
            </w:r>
          </w:p>
        </w:tc>
        <w:tc>
          <w:tcPr>
            <w:tcW w:w="2610" w:type="dxa"/>
            <w:tcBorders>
              <w:top w:val="single" w:sz="4" w:space="0" w:color="auto"/>
            </w:tcBorders>
            <w:vAlign w:val="center"/>
          </w:tcPr>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Household income at 150% FPIG or less</w:t>
            </w:r>
          </w:p>
        </w:tc>
        <w:tc>
          <w:tcPr>
            <w:tcW w:w="5292" w:type="dxa"/>
            <w:tcBorders>
              <w:top w:val="single" w:sz="4" w:space="0" w:color="auto"/>
            </w:tcBorders>
          </w:tcPr>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Express an inability to pay service bill</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Apply for a LIHEAP grant</w:t>
            </w:r>
          </w:p>
        </w:tc>
      </w:tr>
      <w:tr w:rsidR="00236183" w:rsidRPr="00E97DC0" w:rsidTr="00E97DC0">
        <w:trPr>
          <w:cantSplit/>
          <w:jc w:val="center"/>
        </w:trPr>
        <w:tc>
          <w:tcPr>
            <w:tcW w:w="1243" w:type="dxa"/>
            <w:vAlign w:val="center"/>
          </w:tcPr>
          <w:p w:rsidR="00236183" w:rsidRPr="00E97DC0" w:rsidRDefault="00236183" w:rsidP="00DD17B6">
            <w:pPr>
              <w:keepNext/>
              <w:keepLines/>
              <w:spacing w:after="0" w:line="360" w:lineRule="auto"/>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LIURP</w:t>
            </w:r>
          </w:p>
          <w:p w:rsidR="00236183" w:rsidRPr="00E97DC0" w:rsidRDefault="00236183" w:rsidP="00DD17B6">
            <w:pPr>
              <w:keepNext/>
              <w:keepLines/>
              <w:spacing w:after="0" w:line="360" w:lineRule="auto"/>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Smart Comfort</w:t>
            </w:r>
          </w:p>
        </w:tc>
        <w:tc>
          <w:tcPr>
            <w:tcW w:w="2610" w:type="dxa"/>
            <w:vAlign w:val="center"/>
          </w:tcPr>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150% FPIG or less</w:t>
            </w:r>
          </w:p>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p>
        </w:tc>
        <w:tc>
          <w:tcPr>
            <w:tcW w:w="5292" w:type="dxa"/>
          </w:tcPr>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Minimum consumption of 500 kWh for base load</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 xml:space="preserve">Resident at address for 6 months </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Households headed by seniors (age 62 and up) with income of 200% FPIG may compose up to half of Smart Comfort visits.</w:t>
            </w:r>
          </w:p>
        </w:tc>
      </w:tr>
      <w:tr w:rsidR="00236183" w:rsidRPr="00E97DC0" w:rsidTr="00E97DC0">
        <w:trPr>
          <w:cantSplit/>
          <w:jc w:val="center"/>
        </w:trPr>
        <w:tc>
          <w:tcPr>
            <w:tcW w:w="1243" w:type="dxa"/>
            <w:vAlign w:val="center"/>
          </w:tcPr>
          <w:p w:rsidR="00236183" w:rsidRPr="00E97DC0" w:rsidRDefault="00236183" w:rsidP="00DD17B6">
            <w:pPr>
              <w:keepNext/>
              <w:keepLines/>
              <w:spacing w:after="0" w:line="360" w:lineRule="auto"/>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Hardship Fund</w:t>
            </w:r>
          </w:p>
        </w:tc>
        <w:tc>
          <w:tcPr>
            <w:tcW w:w="2610" w:type="dxa"/>
            <w:vAlign w:val="center"/>
          </w:tcPr>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200% FPIG or less</w:t>
            </w:r>
          </w:p>
        </w:tc>
        <w:tc>
          <w:tcPr>
            <w:tcW w:w="5292" w:type="dxa"/>
          </w:tcPr>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Household must have paid at least $150 within last 90 days ($100 if age 62 or over).</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Have a balance of $100 ($0 if age 62 or over)</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In Oct, Nov and Feb – must be shut off or near termination</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In Dec and Jan – must be shut off.</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Beginning in March – any service status.</w:t>
            </w:r>
          </w:p>
        </w:tc>
      </w:tr>
      <w:tr w:rsidR="00236183" w:rsidRPr="00E97DC0" w:rsidTr="00E97DC0">
        <w:trPr>
          <w:cantSplit/>
          <w:jc w:val="center"/>
        </w:trPr>
        <w:tc>
          <w:tcPr>
            <w:tcW w:w="1243" w:type="dxa"/>
            <w:vAlign w:val="center"/>
          </w:tcPr>
          <w:p w:rsidR="00236183" w:rsidRPr="00E97DC0" w:rsidRDefault="00236183" w:rsidP="00DD17B6">
            <w:pPr>
              <w:keepNext/>
              <w:keepLines/>
              <w:spacing w:after="0" w:line="360" w:lineRule="auto"/>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CARES</w:t>
            </w:r>
          </w:p>
        </w:tc>
        <w:tc>
          <w:tcPr>
            <w:tcW w:w="2610" w:type="dxa"/>
            <w:vAlign w:val="center"/>
          </w:tcPr>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 xml:space="preserve">Targets those at </w:t>
            </w:r>
          </w:p>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150% FPIG or less</w:t>
            </w:r>
          </w:p>
          <w:p w:rsidR="00236183" w:rsidRPr="00E97DC0" w:rsidRDefault="00236183" w:rsidP="00236183">
            <w:pPr>
              <w:keepNext/>
              <w:keepLines/>
              <w:spacing w:after="0" w:line="360" w:lineRule="auto"/>
              <w:jc w:val="center"/>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(200% for customers age 62 or over)</w:t>
            </w:r>
          </w:p>
        </w:tc>
        <w:tc>
          <w:tcPr>
            <w:tcW w:w="5292" w:type="dxa"/>
          </w:tcPr>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Special needs</w:t>
            </w:r>
          </w:p>
          <w:p w:rsidR="00236183" w:rsidRPr="00E97DC0" w:rsidRDefault="00236183" w:rsidP="00236183">
            <w:pPr>
              <w:keepNext/>
              <w:keepLines/>
              <w:spacing w:after="0" w:line="360" w:lineRule="auto"/>
              <w:ind w:left="288"/>
              <w:rPr>
                <w:rFonts w:ascii="Times New Roman" w:eastAsia="Times New Roman" w:hAnsi="Times New Roman" w:cs="Times New Roman"/>
                <w:color w:val="0D0D0D" w:themeColor="text1" w:themeTint="F2"/>
                <w:sz w:val="26"/>
                <w:szCs w:val="26"/>
              </w:rPr>
            </w:pPr>
            <w:r w:rsidRPr="00E97DC0">
              <w:rPr>
                <w:rFonts w:ascii="Times New Roman" w:eastAsia="Times New Roman" w:hAnsi="Times New Roman" w:cs="Times New Roman"/>
                <w:color w:val="0D0D0D" w:themeColor="text1" w:themeTint="F2"/>
                <w:sz w:val="26"/>
                <w:szCs w:val="26"/>
              </w:rPr>
              <w:t>Extenuating circumstances</w:t>
            </w:r>
          </w:p>
        </w:tc>
      </w:tr>
    </w:tbl>
    <w:p w:rsidR="00236183" w:rsidRPr="00236183" w:rsidRDefault="00236183" w:rsidP="00236183">
      <w:pPr>
        <w:spacing w:after="0" w:line="360" w:lineRule="auto"/>
        <w:rPr>
          <w:rFonts w:ascii="Times New Roman" w:eastAsia="Times New Roman" w:hAnsi="Times New Roman" w:cs="Times New Roman"/>
          <w:b/>
          <w:color w:val="0D0D0D" w:themeColor="text1" w:themeTint="F2"/>
          <w:sz w:val="26"/>
          <w:szCs w:val="26"/>
          <w:u w:val="single"/>
        </w:rPr>
      </w:pPr>
    </w:p>
    <w:p w:rsidR="00236183" w:rsidRPr="00236183" w:rsidRDefault="00236183" w:rsidP="00236183">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rPr>
        <w:t xml:space="preserve"> </w:t>
      </w:r>
      <w:r w:rsidRPr="00236183">
        <w:rPr>
          <w:rFonts w:ascii="Times New Roman" w:eastAsia="Times New Roman" w:hAnsi="Times New Roman" w:cs="Times New Roman"/>
          <w:b/>
          <w:color w:val="0D0D0D" w:themeColor="text1" w:themeTint="F2"/>
          <w:sz w:val="26"/>
          <w:szCs w:val="26"/>
          <w:u w:val="single"/>
        </w:rPr>
        <w:t xml:space="preserve">Projected Needs Assessment  </w:t>
      </w:r>
    </w:p>
    <w:p w:rsidR="00236183" w:rsidRPr="00236183" w:rsidRDefault="00236183" w:rsidP="00236183">
      <w:pPr>
        <w:keepNext/>
        <w:spacing w:after="0" w:line="360" w:lineRule="auto"/>
        <w:ind w:left="1440"/>
        <w:rPr>
          <w:rFonts w:ascii="Times New Roman" w:eastAsia="Times New Roman" w:hAnsi="Times New Roman" w:cs="Times New Roman"/>
          <w:b/>
          <w:color w:val="0D0D0D" w:themeColor="text1" w:themeTint="F2"/>
          <w:sz w:val="26"/>
          <w:szCs w:val="26"/>
          <w:u w:val="single"/>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According to 52 Pa. Code §§ 54.74(b</w:t>
      </w:r>
      <w:proofErr w:type="gramStart"/>
      <w:r w:rsidRPr="00236183">
        <w:rPr>
          <w:rFonts w:ascii="Times New Roman" w:eastAsia="Times New Roman" w:hAnsi="Times New Roman" w:cs="Times New Roman"/>
          <w:color w:val="0D0D0D" w:themeColor="text1" w:themeTint="F2"/>
          <w:sz w:val="26"/>
          <w:szCs w:val="26"/>
        </w:rPr>
        <w:t>)(</w:t>
      </w:r>
      <w:proofErr w:type="gramEnd"/>
      <w:r w:rsidRPr="00236183">
        <w:rPr>
          <w:rFonts w:ascii="Times New Roman" w:eastAsia="Times New Roman" w:hAnsi="Times New Roman" w:cs="Times New Roman"/>
          <w:color w:val="0D0D0D" w:themeColor="text1" w:themeTint="F2"/>
          <w:sz w:val="26"/>
          <w:szCs w:val="26"/>
        </w:rPr>
        <w:t xml:space="preserve">3), a USECP must contain a needs assessment for each component of the plan:  CAP, LIURP, CARES and Hardship Funds.  On February 25, 2010, Duquesne filed its 2011-2013 USECP at M-2010-2161220.  The company filed three amendments to that plan on March 31, May 13 and August 5, 2010.  </w:t>
      </w:r>
      <w:r w:rsidRPr="00236183">
        <w:rPr>
          <w:rFonts w:ascii="Times New Roman" w:eastAsia="Times New Roman" w:hAnsi="Times New Roman" w:cs="Times New Roman"/>
          <w:color w:val="0D0D0D" w:themeColor="text1" w:themeTint="F2"/>
          <w:sz w:val="26"/>
          <w:szCs w:val="26"/>
        </w:rPr>
        <w:lastRenderedPageBreak/>
        <w:t>On November 23, 2010, the Commission entered a Tentative Order soliciting comments from interested parties.  On December 27, 2010, PULP filed comments noting that the plan did not contain a required LIURP needs assessment.  In February 2010, Duquesne, through its reply comments, submitted the necessary needs assessment accordance with 52 Pa. Code §§ 54.74(b</w:t>
      </w:r>
      <w:proofErr w:type="gramStart"/>
      <w:r w:rsidRPr="00236183">
        <w:rPr>
          <w:rFonts w:ascii="Times New Roman" w:eastAsia="Times New Roman" w:hAnsi="Times New Roman" w:cs="Times New Roman"/>
          <w:color w:val="0D0D0D" w:themeColor="text1" w:themeTint="F2"/>
          <w:sz w:val="26"/>
          <w:szCs w:val="26"/>
        </w:rPr>
        <w:t>)(</w:t>
      </w:r>
      <w:proofErr w:type="gramEnd"/>
      <w:r w:rsidRPr="00236183">
        <w:rPr>
          <w:rFonts w:ascii="Times New Roman" w:eastAsia="Times New Roman" w:hAnsi="Times New Roman" w:cs="Times New Roman"/>
          <w:color w:val="0D0D0D" w:themeColor="text1" w:themeTint="F2"/>
          <w:sz w:val="26"/>
          <w:szCs w:val="26"/>
        </w:rPr>
        <w:t xml:space="preserve">3).  Duquesne’s original 2014-2016 Plan submittal contained a needs assessment, but only for the LIURP component of its Plan.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color w:val="0D0D0D" w:themeColor="text1" w:themeTint="F2"/>
          <w:sz w:val="26"/>
          <w:szCs w:val="26"/>
        </w:rPr>
        <w:t>On October 23, 2013, BCS submitted an information request to Duquesne requesting required needs assessment information.  On October 31, the Company provided supplemental information i</w:t>
      </w:r>
      <w:r w:rsidRPr="00236183">
        <w:rPr>
          <w:rFonts w:ascii="Times New Roman" w:eastAsia="Times New Roman" w:hAnsi="Times New Roman" w:cs="Times New Roman"/>
          <w:sz w:val="26"/>
          <w:szCs w:val="26"/>
        </w:rPr>
        <w:t>n accordance with 52 Pa. Code § 54.74(b</w:t>
      </w:r>
      <w:proofErr w:type="gramStart"/>
      <w:r w:rsidRPr="00236183">
        <w:rPr>
          <w:rFonts w:ascii="Times New Roman" w:eastAsia="Times New Roman" w:hAnsi="Times New Roman" w:cs="Times New Roman"/>
          <w:sz w:val="26"/>
          <w:szCs w:val="26"/>
        </w:rPr>
        <w:t>)(</w:t>
      </w:r>
      <w:proofErr w:type="gramEnd"/>
      <w:r w:rsidRPr="00236183">
        <w:rPr>
          <w:rFonts w:ascii="Times New Roman" w:eastAsia="Times New Roman" w:hAnsi="Times New Roman" w:cs="Times New Roman"/>
          <w:sz w:val="26"/>
          <w:szCs w:val="26"/>
        </w:rPr>
        <w:t xml:space="preserve">3).  Using the 2010 census data, Duquesne estimated that 132,781 households it serves in Allegheny and Beaver counties have incomes below 150% of the federal poverty income guidelines.  This figure represents about 25% of Duquesne’s total residential population.  We conclude that Duquesne’s needs assessment complies with Commission regulations.  However, in the future, Duquesne should include such information at the time it files its </w:t>
      </w:r>
      <w:r w:rsidR="00B65AC1">
        <w:rPr>
          <w:rFonts w:ascii="Times New Roman" w:eastAsia="Times New Roman" w:hAnsi="Times New Roman" w:cs="Times New Roman"/>
          <w:sz w:val="26"/>
          <w:szCs w:val="26"/>
        </w:rPr>
        <w:t>USECP plan</w:t>
      </w:r>
      <w:r w:rsidRPr="00236183">
        <w:rPr>
          <w:rFonts w:ascii="Times New Roman" w:eastAsia="Times New Roman" w:hAnsi="Times New Roman" w:cs="Times New Roman"/>
          <w:sz w:val="26"/>
          <w:szCs w:val="26"/>
        </w:rPr>
        <w:t>.</w:t>
      </w:r>
    </w:p>
    <w:p w:rsidR="00236183" w:rsidRPr="00236183" w:rsidRDefault="00236183" w:rsidP="00236183">
      <w:pPr>
        <w:spacing w:after="0" w:line="360" w:lineRule="auto"/>
        <w:rPr>
          <w:rFonts w:ascii="Times New Roman" w:eastAsia="Times New Roman" w:hAnsi="Times New Roman" w:cs="Times New Roman"/>
          <w:b/>
          <w:color w:val="0D0D0D" w:themeColor="text1" w:themeTint="F2"/>
          <w:sz w:val="26"/>
          <w:szCs w:val="26"/>
        </w:rPr>
      </w:pPr>
    </w:p>
    <w:p w:rsidR="00236183" w:rsidRPr="00236183" w:rsidRDefault="00236183" w:rsidP="00236183">
      <w:pPr>
        <w:keepNext/>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color w:val="0D0D0D" w:themeColor="text1" w:themeTint="F2"/>
          <w:sz w:val="26"/>
          <w:szCs w:val="26"/>
        </w:rPr>
        <w:t xml:space="preserve"> </w:t>
      </w:r>
      <w:r w:rsidRPr="00236183">
        <w:rPr>
          <w:rFonts w:ascii="Times New Roman" w:eastAsia="Times New Roman" w:hAnsi="Times New Roman" w:cs="Times New Roman"/>
          <w:b/>
          <w:color w:val="0D0D0D" w:themeColor="text1" w:themeTint="F2"/>
          <w:sz w:val="26"/>
          <w:szCs w:val="26"/>
          <w:u w:val="single"/>
        </w:rPr>
        <w:t>Projected Enrollment Levels</w:t>
      </w: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Table 6 shows Duquesne’s projected enrollment levels for CAP, LIURP, </w:t>
      </w:r>
      <w:proofErr w:type="gramStart"/>
      <w:r w:rsidRPr="00236183">
        <w:rPr>
          <w:rFonts w:ascii="Times New Roman" w:eastAsia="Times New Roman" w:hAnsi="Times New Roman" w:cs="Times New Roman"/>
          <w:color w:val="0D0D0D" w:themeColor="text1" w:themeTint="F2"/>
          <w:sz w:val="26"/>
          <w:szCs w:val="26"/>
        </w:rPr>
        <w:t>Hardship</w:t>
      </w:r>
      <w:proofErr w:type="gramEnd"/>
      <w:r w:rsidRPr="00236183">
        <w:rPr>
          <w:rFonts w:ascii="Times New Roman" w:eastAsia="Times New Roman" w:hAnsi="Times New Roman" w:cs="Times New Roman"/>
          <w:color w:val="0D0D0D" w:themeColor="text1" w:themeTint="F2"/>
          <w:sz w:val="26"/>
          <w:szCs w:val="26"/>
        </w:rPr>
        <w:t xml:space="preserve"> Fund and CARES programs.</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u w:val="single"/>
        </w:rPr>
      </w:pPr>
    </w:p>
    <w:p w:rsidR="00236183" w:rsidRPr="00236183" w:rsidRDefault="00236183" w:rsidP="00371094">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lastRenderedPageBreak/>
        <w:t>Table 6</w:t>
      </w:r>
    </w:p>
    <w:p w:rsidR="00236183" w:rsidRPr="00236183" w:rsidRDefault="00236183" w:rsidP="00371094">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Projected Enrollment Levels</w:t>
      </w:r>
    </w:p>
    <w:tbl>
      <w:tblPr>
        <w:tblW w:w="0" w:type="auto"/>
        <w:jc w:val="center"/>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11"/>
        <w:gridCol w:w="1856"/>
        <w:gridCol w:w="1795"/>
      </w:tblGrid>
      <w:tr w:rsidR="00236183" w:rsidRPr="00236183" w:rsidTr="00371094">
        <w:trPr>
          <w:jc w:val="center"/>
        </w:trPr>
        <w:tc>
          <w:tcPr>
            <w:tcW w:w="1868" w:type="dxa"/>
          </w:tcPr>
          <w:p w:rsidR="00236183" w:rsidRPr="00236183" w:rsidRDefault="00236183" w:rsidP="00371094">
            <w:pPr>
              <w:keepNext/>
              <w:spacing w:after="0" w:line="360" w:lineRule="auto"/>
              <w:rPr>
                <w:rFonts w:ascii="Times New Roman" w:eastAsia="Times New Roman" w:hAnsi="Times New Roman" w:cs="Times New Roman"/>
                <w:b/>
                <w:color w:val="0D0D0D" w:themeColor="text1" w:themeTint="F2"/>
                <w:sz w:val="26"/>
                <w:szCs w:val="26"/>
              </w:rPr>
            </w:pPr>
          </w:p>
        </w:tc>
        <w:tc>
          <w:tcPr>
            <w:tcW w:w="1811" w:type="dxa"/>
            <w:vAlign w:val="center"/>
          </w:tcPr>
          <w:p w:rsidR="00236183" w:rsidRPr="00236183" w:rsidRDefault="00236183" w:rsidP="00371094">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2014</w:t>
            </w:r>
          </w:p>
        </w:tc>
        <w:tc>
          <w:tcPr>
            <w:tcW w:w="1856" w:type="dxa"/>
            <w:vAlign w:val="center"/>
          </w:tcPr>
          <w:p w:rsidR="00236183" w:rsidRPr="00236183" w:rsidRDefault="00236183" w:rsidP="00371094">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2015</w:t>
            </w:r>
          </w:p>
        </w:tc>
        <w:tc>
          <w:tcPr>
            <w:tcW w:w="1795" w:type="dxa"/>
            <w:vAlign w:val="center"/>
          </w:tcPr>
          <w:p w:rsidR="00236183" w:rsidRPr="00236183" w:rsidRDefault="00236183" w:rsidP="00371094">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2016</w:t>
            </w:r>
          </w:p>
        </w:tc>
      </w:tr>
      <w:tr w:rsidR="00236183" w:rsidRPr="00236183" w:rsidTr="00F42AF4">
        <w:trPr>
          <w:jc w:val="center"/>
        </w:trPr>
        <w:tc>
          <w:tcPr>
            <w:tcW w:w="1868" w:type="dxa"/>
            <w:vAlign w:val="center"/>
          </w:tcPr>
          <w:p w:rsidR="00236183" w:rsidRPr="00236183" w:rsidRDefault="00236183" w:rsidP="00F42AF4">
            <w:pPr>
              <w:keepNext/>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CAP</w:t>
            </w:r>
          </w:p>
        </w:tc>
        <w:tc>
          <w:tcPr>
            <w:tcW w:w="1811" w:type="dxa"/>
            <w:vAlign w:val="center"/>
          </w:tcPr>
          <w:p w:rsidR="00236183" w:rsidRPr="00236183" w:rsidRDefault="00B65AC1" w:rsidP="00F42AF4">
            <w:pPr>
              <w:keepNext/>
              <w:spacing w:after="0" w:line="360" w:lineRule="auto"/>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41,650</w:t>
            </w:r>
          </w:p>
        </w:tc>
        <w:tc>
          <w:tcPr>
            <w:tcW w:w="1856" w:type="dxa"/>
            <w:vAlign w:val="center"/>
          </w:tcPr>
          <w:p w:rsidR="00236183" w:rsidRPr="00236183" w:rsidRDefault="00B65AC1" w:rsidP="00F42AF4">
            <w:pPr>
              <w:keepNext/>
              <w:spacing w:after="0" w:line="360" w:lineRule="auto"/>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44,150</w:t>
            </w:r>
          </w:p>
        </w:tc>
        <w:tc>
          <w:tcPr>
            <w:tcW w:w="1795" w:type="dxa"/>
            <w:vAlign w:val="center"/>
          </w:tcPr>
          <w:p w:rsidR="00236183" w:rsidRPr="00236183" w:rsidRDefault="00B65AC1" w:rsidP="00F42AF4">
            <w:pPr>
              <w:keepNext/>
              <w:spacing w:after="0" w:line="360" w:lineRule="auto"/>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46,650</w:t>
            </w:r>
          </w:p>
        </w:tc>
      </w:tr>
      <w:tr w:rsidR="00236183" w:rsidRPr="00236183" w:rsidTr="00F42AF4">
        <w:trPr>
          <w:jc w:val="center"/>
        </w:trPr>
        <w:tc>
          <w:tcPr>
            <w:tcW w:w="1868" w:type="dxa"/>
            <w:vAlign w:val="center"/>
          </w:tcPr>
          <w:p w:rsidR="00236183" w:rsidRPr="00236183" w:rsidRDefault="00236183" w:rsidP="00F42AF4">
            <w:pPr>
              <w:keepNext/>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LIURP</w:t>
            </w:r>
          </w:p>
        </w:tc>
        <w:tc>
          <w:tcPr>
            <w:tcW w:w="1811" w:type="dxa"/>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2,555</w:t>
            </w:r>
          </w:p>
        </w:tc>
        <w:tc>
          <w:tcPr>
            <w:tcW w:w="1856" w:type="dxa"/>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2,555</w:t>
            </w:r>
          </w:p>
        </w:tc>
        <w:tc>
          <w:tcPr>
            <w:tcW w:w="1795" w:type="dxa"/>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2,555</w:t>
            </w:r>
          </w:p>
        </w:tc>
      </w:tr>
      <w:tr w:rsidR="00236183" w:rsidRPr="00236183" w:rsidTr="00F42AF4">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Hardship Fund</w:t>
            </w:r>
          </w:p>
        </w:tc>
        <w:tc>
          <w:tcPr>
            <w:tcW w:w="1811"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1,909</w:t>
            </w:r>
          </w:p>
        </w:tc>
        <w:tc>
          <w:tcPr>
            <w:tcW w:w="1856"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1,909</w:t>
            </w:r>
          </w:p>
        </w:tc>
        <w:tc>
          <w:tcPr>
            <w:tcW w:w="1795"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1,909</w:t>
            </w:r>
          </w:p>
        </w:tc>
      </w:tr>
      <w:tr w:rsidR="00236183" w:rsidRPr="00236183" w:rsidTr="00F42AF4">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CARES</w:t>
            </w:r>
          </w:p>
        </w:tc>
        <w:tc>
          <w:tcPr>
            <w:tcW w:w="1811"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22,000</w:t>
            </w:r>
          </w:p>
        </w:tc>
        <w:tc>
          <w:tcPr>
            <w:tcW w:w="1856"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22,000</w:t>
            </w:r>
          </w:p>
        </w:tc>
        <w:tc>
          <w:tcPr>
            <w:tcW w:w="1795" w:type="dxa"/>
            <w:tcBorders>
              <w:top w:val="single" w:sz="4" w:space="0" w:color="auto"/>
              <w:left w:val="single" w:sz="4" w:space="0" w:color="auto"/>
              <w:bottom w:val="single" w:sz="4" w:space="0" w:color="auto"/>
              <w:right w:val="single" w:sz="4" w:space="0" w:color="auto"/>
            </w:tcBorders>
            <w:vAlign w:val="center"/>
          </w:tcPr>
          <w:p w:rsidR="00236183" w:rsidRPr="00236183" w:rsidRDefault="00236183" w:rsidP="00F42AF4">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22,000</w:t>
            </w:r>
          </w:p>
        </w:tc>
      </w:tr>
    </w:tbl>
    <w:p w:rsidR="00236183" w:rsidRPr="00236183" w:rsidRDefault="00236183" w:rsidP="00236183">
      <w:pPr>
        <w:spacing w:after="0" w:line="360" w:lineRule="auto"/>
        <w:rPr>
          <w:rFonts w:ascii="Times New Roman" w:eastAsia="Times New Roman" w:hAnsi="Times New Roman" w:cs="Times New Roman"/>
          <w:b/>
          <w:color w:val="0D0D0D" w:themeColor="text1" w:themeTint="F2"/>
          <w:sz w:val="24"/>
          <w:szCs w:val="24"/>
        </w:rPr>
      </w:pPr>
    </w:p>
    <w:p w:rsidR="00236183" w:rsidRPr="00236183" w:rsidRDefault="00236183" w:rsidP="00236183">
      <w:pPr>
        <w:numPr>
          <w:ilvl w:val="0"/>
          <w:numId w:val="11"/>
        </w:numPr>
        <w:spacing w:after="0" w:line="360" w:lineRule="auto"/>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CAP Enrollment Levels</w:t>
      </w:r>
    </w:p>
    <w:p w:rsidR="00236183" w:rsidRPr="00236183" w:rsidRDefault="00236183" w:rsidP="00236183">
      <w:pPr>
        <w:spacing w:after="0" w:line="360" w:lineRule="auto"/>
        <w:ind w:left="1080"/>
        <w:contextualSpacing/>
        <w:rPr>
          <w:rFonts w:ascii="Times New Roman" w:eastAsia="Times New Roman" w:hAnsi="Times New Roman" w:cs="Times New Roman"/>
          <w:b/>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Table 7 provides a summary of the projected CAP enrollment levels reported by Duquesne in its 2011-2013 and 2014-2016 USECPs:</w:t>
      </w:r>
    </w:p>
    <w:p w:rsidR="00236183" w:rsidRPr="00236183" w:rsidRDefault="00236183" w:rsidP="00236183">
      <w:pPr>
        <w:spacing w:after="0" w:line="360" w:lineRule="auto"/>
        <w:ind w:firstLine="1440"/>
        <w:jc w:val="center"/>
        <w:rPr>
          <w:rFonts w:ascii="Times New Roman" w:eastAsia="Times New Roman" w:hAnsi="Times New Roman" w:cs="Times New Roman"/>
          <w:sz w:val="26"/>
          <w:szCs w:val="26"/>
        </w:rPr>
      </w:pPr>
    </w:p>
    <w:p w:rsidR="00236183" w:rsidRPr="00236183" w:rsidRDefault="00236183" w:rsidP="00236183">
      <w:pPr>
        <w:spacing w:after="0" w:line="360" w:lineRule="auto"/>
        <w:ind w:left="2880" w:firstLine="1440"/>
        <w:rPr>
          <w:rFonts w:ascii="Times New Roman" w:eastAsia="Times New Roman" w:hAnsi="Times New Roman" w:cs="Times New Roman"/>
          <w:b/>
          <w:sz w:val="28"/>
          <w:szCs w:val="28"/>
        </w:rPr>
      </w:pPr>
      <w:r w:rsidRPr="00236183">
        <w:rPr>
          <w:rFonts w:ascii="Times New Roman" w:eastAsia="Times New Roman" w:hAnsi="Times New Roman" w:cs="Times New Roman"/>
          <w:b/>
          <w:sz w:val="26"/>
          <w:szCs w:val="26"/>
        </w:rPr>
        <w:t>Table</w:t>
      </w:r>
      <w:r w:rsidRPr="00236183">
        <w:rPr>
          <w:rFonts w:ascii="Times New Roman" w:eastAsia="Times New Roman" w:hAnsi="Times New Roman" w:cs="Times New Roman"/>
          <w:b/>
          <w:sz w:val="28"/>
          <w:szCs w:val="28"/>
        </w:rPr>
        <w:t xml:space="preserve"> 7</w:t>
      </w:r>
    </w:p>
    <w:p w:rsidR="00236183" w:rsidRPr="00236183" w:rsidRDefault="00236183" w:rsidP="00236183">
      <w:pPr>
        <w:spacing w:after="0" w:line="360" w:lineRule="auto"/>
        <w:jc w:val="center"/>
        <w:rPr>
          <w:rFonts w:ascii="Times New Roman" w:eastAsia="Times New Roman" w:hAnsi="Times New Roman" w:cs="Times New Roman"/>
          <w:b/>
          <w:bCs/>
          <w:color w:val="000000"/>
          <w:sz w:val="26"/>
          <w:szCs w:val="26"/>
        </w:rPr>
      </w:pPr>
      <w:r w:rsidRPr="00236183">
        <w:rPr>
          <w:rFonts w:ascii="Times New Roman" w:eastAsia="Times New Roman" w:hAnsi="Times New Roman" w:cs="Times New Roman"/>
          <w:b/>
          <w:bCs/>
          <w:color w:val="000000"/>
          <w:sz w:val="26"/>
          <w:szCs w:val="26"/>
        </w:rPr>
        <w:t>Projected Duquesne CAP Enrollment</w:t>
      </w:r>
    </w:p>
    <w:tbl>
      <w:tblPr>
        <w:tblStyle w:val="TableGrid"/>
        <w:tblW w:w="0" w:type="auto"/>
        <w:tblLook w:val="04A0" w:firstRow="1" w:lastRow="0" w:firstColumn="1" w:lastColumn="0" w:noHBand="0" w:noVBand="1"/>
      </w:tblPr>
      <w:tblGrid>
        <w:gridCol w:w="1564"/>
        <w:gridCol w:w="1359"/>
        <w:gridCol w:w="1359"/>
        <w:gridCol w:w="1359"/>
        <w:gridCol w:w="1359"/>
        <w:gridCol w:w="1359"/>
        <w:gridCol w:w="1217"/>
      </w:tblGrid>
      <w:tr w:rsidR="00236183" w:rsidRPr="00236183" w:rsidTr="00E97DC0">
        <w:tc>
          <w:tcPr>
            <w:tcW w:w="1564"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p>
        </w:tc>
        <w:tc>
          <w:tcPr>
            <w:tcW w:w="1359" w:type="dxa"/>
            <w:vAlign w:val="center"/>
          </w:tcPr>
          <w:p w:rsidR="00236183" w:rsidRPr="00DD17B6" w:rsidRDefault="00236183" w:rsidP="00236183">
            <w:pPr>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2011</w:t>
            </w:r>
          </w:p>
        </w:tc>
        <w:tc>
          <w:tcPr>
            <w:tcW w:w="1359" w:type="dxa"/>
            <w:vAlign w:val="center"/>
          </w:tcPr>
          <w:p w:rsidR="00236183" w:rsidRPr="00DD17B6" w:rsidRDefault="00236183" w:rsidP="00236183">
            <w:pPr>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2012</w:t>
            </w:r>
          </w:p>
        </w:tc>
        <w:tc>
          <w:tcPr>
            <w:tcW w:w="1359" w:type="dxa"/>
            <w:vAlign w:val="center"/>
          </w:tcPr>
          <w:p w:rsidR="00236183" w:rsidRPr="00DD17B6" w:rsidRDefault="00236183" w:rsidP="00236183">
            <w:pPr>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2013</w:t>
            </w:r>
          </w:p>
        </w:tc>
        <w:tc>
          <w:tcPr>
            <w:tcW w:w="1359" w:type="dxa"/>
            <w:vAlign w:val="center"/>
          </w:tcPr>
          <w:p w:rsidR="00236183" w:rsidRPr="00DD17B6" w:rsidRDefault="00236183" w:rsidP="00236183">
            <w:pPr>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2014</w:t>
            </w:r>
          </w:p>
        </w:tc>
        <w:tc>
          <w:tcPr>
            <w:tcW w:w="1359" w:type="dxa"/>
            <w:vAlign w:val="center"/>
          </w:tcPr>
          <w:p w:rsidR="00236183" w:rsidRPr="00DD17B6" w:rsidRDefault="00236183" w:rsidP="00236183">
            <w:pPr>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2015</w:t>
            </w:r>
          </w:p>
        </w:tc>
        <w:tc>
          <w:tcPr>
            <w:tcW w:w="1217" w:type="dxa"/>
            <w:vAlign w:val="center"/>
          </w:tcPr>
          <w:p w:rsidR="00236183" w:rsidRPr="00DD17B6" w:rsidRDefault="00236183" w:rsidP="00236183">
            <w:pPr>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2016</w:t>
            </w:r>
          </w:p>
        </w:tc>
      </w:tr>
      <w:tr w:rsidR="00236183" w:rsidRPr="00236183" w:rsidTr="00E97DC0">
        <w:tc>
          <w:tcPr>
            <w:tcW w:w="1564" w:type="dxa"/>
          </w:tcPr>
          <w:p w:rsidR="00236183" w:rsidRPr="00236183" w:rsidRDefault="00236183" w:rsidP="00236183">
            <w:pPr>
              <w:spacing w:line="360" w:lineRule="auto"/>
              <w:rPr>
                <w:rFonts w:ascii="Times New Roman" w:eastAsia="Times New Roman" w:hAnsi="Times New Roman"/>
                <w:color w:val="0D0D0D" w:themeColor="text1" w:themeTint="F2"/>
                <w:sz w:val="26"/>
                <w:szCs w:val="26"/>
              </w:rPr>
            </w:pPr>
            <w:r w:rsidRPr="00236183">
              <w:rPr>
                <w:rFonts w:ascii="Times New Roman" w:eastAsia="Times New Roman" w:hAnsi="Times New Roman"/>
                <w:bCs/>
                <w:color w:val="000000"/>
                <w:sz w:val="26"/>
                <w:szCs w:val="26"/>
              </w:rPr>
              <w:t xml:space="preserve">Projected Enrollment </w:t>
            </w:r>
          </w:p>
        </w:tc>
        <w:tc>
          <w:tcPr>
            <w:tcW w:w="1359" w:type="dxa"/>
            <w:vAlign w:val="center"/>
          </w:tcPr>
          <w:p w:rsidR="00236183" w:rsidRPr="00236183" w:rsidRDefault="00236183" w:rsidP="00236183">
            <w:pPr>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47,200</w:t>
            </w:r>
          </w:p>
        </w:tc>
        <w:tc>
          <w:tcPr>
            <w:tcW w:w="1359" w:type="dxa"/>
            <w:vAlign w:val="center"/>
          </w:tcPr>
          <w:p w:rsidR="00236183" w:rsidRPr="00236183" w:rsidRDefault="00236183" w:rsidP="00236183">
            <w:pPr>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51,900</w:t>
            </w:r>
          </w:p>
        </w:tc>
        <w:tc>
          <w:tcPr>
            <w:tcW w:w="1359" w:type="dxa"/>
            <w:vAlign w:val="center"/>
          </w:tcPr>
          <w:p w:rsidR="00236183" w:rsidRPr="00236183" w:rsidRDefault="00236183" w:rsidP="00236183">
            <w:pPr>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56,600</w:t>
            </w:r>
          </w:p>
        </w:tc>
        <w:tc>
          <w:tcPr>
            <w:tcW w:w="1359" w:type="dxa"/>
            <w:vAlign w:val="center"/>
          </w:tcPr>
          <w:p w:rsidR="00236183" w:rsidRPr="00236183" w:rsidRDefault="00236183" w:rsidP="00236183">
            <w:pPr>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41,650</w:t>
            </w:r>
          </w:p>
        </w:tc>
        <w:tc>
          <w:tcPr>
            <w:tcW w:w="1359" w:type="dxa"/>
            <w:vAlign w:val="center"/>
          </w:tcPr>
          <w:p w:rsidR="00236183" w:rsidRPr="00236183" w:rsidRDefault="00236183" w:rsidP="00236183">
            <w:pPr>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44,150</w:t>
            </w:r>
          </w:p>
        </w:tc>
        <w:tc>
          <w:tcPr>
            <w:tcW w:w="1217" w:type="dxa"/>
            <w:vAlign w:val="center"/>
          </w:tcPr>
          <w:p w:rsidR="00236183" w:rsidRPr="00236183" w:rsidRDefault="00236183" w:rsidP="00236183">
            <w:pPr>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46,650</w:t>
            </w:r>
          </w:p>
        </w:tc>
      </w:tr>
    </w:tbl>
    <w:p w:rsidR="00236183" w:rsidRPr="00236183" w:rsidRDefault="00236183" w:rsidP="00236183">
      <w:pPr>
        <w:spacing w:after="0" w:line="360" w:lineRule="auto"/>
        <w:ind w:firstLine="144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jc w:val="center"/>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In its 2011-2013 USECP, Duquesne projected 47,200 customers in 2011 and estimated that enrollment could reach as high as 56,600 in 2013.  In its 2014-2016 USECP, Duquesne significantly reduces this estimation, with only 46,650 customers expected to be enrolled in CAP by 2016.  Table 8 is a review of actual CAP enrollment numbers reported to BCS and shows that CAP enrollment has not reached 38,000 customers during the past three years:</w:t>
      </w:r>
    </w:p>
    <w:p w:rsidR="00236183" w:rsidRPr="00236183" w:rsidRDefault="00236183" w:rsidP="00236183">
      <w:pPr>
        <w:spacing w:after="0" w:line="360" w:lineRule="auto"/>
        <w:ind w:left="720" w:firstLine="720"/>
        <w:rPr>
          <w:rFonts w:ascii="Times New Roman" w:eastAsia="Times New Roman" w:hAnsi="Times New Roman" w:cs="Times New Roman"/>
          <w:sz w:val="26"/>
          <w:szCs w:val="26"/>
        </w:rPr>
      </w:pPr>
    </w:p>
    <w:p w:rsidR="00236183" w:rsidRPr="00236183" w:rsidRDefault="00236183" w:rsidP="00371094">
      <w:pPr>
        <w:keepNext/>
        <w:spacing w:after="0" w:line="360" w:lineRule="auto"/>
        <w:jc w:val="center"/>
        <w:rPr>
          <w:rFonts w:ascii="Times New Roman" w:eastAsia="Times New Roman" w:hAnsi="Times New Roman" w:cs="Times New Roman"/>
          <w:b/>
          <w:sz w:val="26"/>
          <w:szCs w:val="26"/>
        </w:rPr>
      </w:pPr>
      <w:r w:rsidRPr="00236183">
        <w:rPr>
          <w:rFonts w:ascii="Times New Roman" w:eastAsia="Times New Roman" w:hAnsi="Times New Roman" w:cs="Times New Roman"/>
          <w:b/>
          <w:sz w:val="26"/>
          <w:szCs w:val="26"/>
        </w:rPr>
        <w:lastRenderedPageBreak/>
        <w:t>Table 8</w:t>
      </w:r>
    </w:p>
    <w:p w:rsidR="00236183" w:rsidRPr="00236183" w:rsidRDefault="00236183" w:rsidP="00371094">
      <w:pPr>
        <w:keepNext/>
        <w:spacing w:after="0" w:line="360" w:lineRule="auto"/>
        <w:jc w:val="center"/>
        <w:rPr>
          <w:rFonts w:ascii="Times New Roman" w:eastAsia="Times New Roman" w:hAnsi="Times New Roman" w:cs="Times New Roman"/>
          <w:b/>
          <w:sz w:val="26"/>
          <w:szCs w:val="26"/>
        </w:rPr>
      </w:pPr>
      <w:r w:rsidRPr="00236183">
        <w:rPr>
          <w:rFonts w:ascii="Times New Roman" w:eastAsia="Times New Roman" w:hAnsi="Times New Roman" w:cs="Times New Roman"/>
          <w:b/>
          <w:color w:val="000000"/>
          <w:sz w:val="26"/>
          <w:szCs w:val="26"/>
        </w:rPr>
        <w:t>Actual Duquesne CAP Enrollment</w:t>
      </w:r>
    </w:p>
    <w:tbl>
      <w:tblPr>
        <w:tblStyle w:val="TableGrid"/>
        <w:tblW w:w="0" w:type="auto"/>
        <w:jc w:val="center"/>
        <w:tblInd w:w="720" w:type="dxa"/>
        <w:tblLook w:val="04A0" w:firstRow="1" w:lastRow="0" w:firstColumn="1" w:lastColumn="0" w:noHBand="0" w:noVBand="1"/>
      </w:tblPr>
      <w:tblGrid>
        <w:gridCol w:w="1476"/>
        <w:gridCol w:w="1476"/>
        <w:gridCol w:w="1476"/>
        <w:gridCol w:w="1476"/>
        <w:gridCol w:w="1476"/>
        <w:gridCol w:w="1476"/>
      </w:tblGrid>
      <w:tr w:rsidR="00236183" w:rsidRPr="00236183" w:rsidTr="00DD17B6">
        <w:trPr>
          <w:jc w:val="center"/>
        </w:trPr>
        <w:tc>
          <w:tcPr>
            <w:tcW w:w="1476" w:type="dxa"/>
            <w:vAlign w:val="center"/>
          </w:tcPr>
          <w:p w:rsidR="00236183" w:rsidRPr="00DD17B6" w:rsidRDefault="00236183" w:rsidP="003A1377">
            <w:pPr>
              <w:spacing w:line="360" w:lineRule="auto"/>
              <w:rPr>
                <w:rFonts w:ascii="Times New Roman" w:eastAsia="Times New Roman" w:hAnsi="Times New Roman"/>
                <w:b/>
                <w:color w:val="000000"/>
                <w:sz w:val="26"/>
                <w:szCs w:val="26"/>
              </w:rPr>
            </w:pPr>
          </w:p>
        </w:tc>
        <w:tc>
          <w:tcPr>
            <w:tcW w:w="1476" w:type="dxa"/>
            <w:vAlign w:val="center"/>
          </w:tcPr>
          <w:p w:rsidR="00236183" w:rsidRPr="00DD17B6" w:rsidRDefault="00236183" w:rsidP="00DD17B6">
            <w:pPr>
              <w:spacing w:line="360" w:lineRule="auto"/>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2009</w:t>
            </w:r>
          </w:p>
        </w:tc>
        <w:tc>
          <w:tcPr>
            <w:tcW w:w="1476" w:type="dxa"/>
            <w:vAlign w:val="center"/>
          </w:tcPr>
          <w:p w:rsidR="00236183" w:rsidRPr="00DD17B6" w:rsidRDefault="00236183" w:rsidP="00DD17B6">
            <w:pPr>
              <w:spacing w:line="360" w:lineRule="auto"/>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2010</w:t>
            </w:r>
          </w:p>
        </w:tc>
        <w:tc>
          <w:tcPr>
            <w:tcW w:w="1476" w:type="dxa"/>
            <w:vAlign w:val="center"/>
          </w:tcPr>
          <w:p w:rsidR="00236183" w:rsidRPr="00DD17B6" w:rsidRDefault="00236183" w:rsidP="00DD17B6">
            <w:pPr>
              <w:spacing w:line="360" w:lineRule="auto"/>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2011</w:t>
            </w:r>
          </w:p>
        </w:tc>
        <w:tc>
          <w:tcPr>
            <w:tcW w:w="1476" w:type="dxa"/>
            <w:vAlign w:val="center"/>
          </w:tcPr>
          <w:p w:rsidR="00236183" w:rsidRPr="00DD17B6" w:rsidRDefault="00236183" w:rsidP="00DD17B6">
            <w:pPr>
              <w:spacing w:line="360" w:lineRule="auto"/>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2012</w:t>
            </w:r>
          </w:p>
        </w:tc>
        <w:tc>
          <w:tcPr>
            <w:tcW w:w="1476" w:type="dxa"/>
            <w:vAlign w:val="center"/>
          </w:tcPr>
          <w:p w:rsidR="00236183" w:rsidRPr="00DD17B6" w:rsidRDefault="00236183" w:rsidP="00DD17B6">
            <w:pPr>
              <w:spacing w:line="360" w:lineRule="auto"/>
              <w:jc w:val="center"/>
              <w:rPr>
                <w:rFonts w:ascii="Times New Roman" w:eastAsia="Times New Roman" w:hAnsi="Times New Roman"/>
                <w:b/>
                <w:color w:val="000000"/>
                <w:sz w:val="26"/>
                <w:szCs w:val="26"/>
              </w:rPr>
            </w:pPr>
            <w:r w:rsidRPr="00DD17B6">
              <w:rPr>
                <w:rFonts w:ascii="Times New Roman" w:eastAsia="Times New Roman" w:hAnsi="Times New Roman"/>
                <w:b/>
                <w:color w:val="000000"/>
                <w:sz w:val="26"/>
                <w:szCs w:val="26"/>
              </w:rPr>
              <w:t>2013</w:t>
            </w:r>
          </w:p>
        </w:tc>
      </w:tr>
      <w:tr w:rsidR="00236183" w:rsidRPr="00236183" w:rsidTr="00DD17B6">
        <w:trPr>
          <w:trHeight w:val="620"/>
          <w:jc w:val="center"/>
        </w:trPr>
        <w:tc>
          <w:tcPr>
            <w:tcW w:w="1476" w:type="dxa"/>
            <w:vAlign w:val="center"/>
          </w:tcPr>
          <w:p w:rsidR="00236183" w:rsidRPr="00236183" w:rsidRDefault="00236183" w:rsidP="003A1377">
            <w:pPr>
              <w:jc w:val="both"/>
              <w:rPr>
                <w:rFonts w:ascii="Times New Roman" w:eastAsia="Times New Roman" w:hAnsi="Times New Roman"/>
                <w:bCs/>
                <w:color w:val="000000"/>
                <w:sz w:val="26"/>
                <w:szCs w:val="26"/>
              </w:rPr>
            </w:pPr>
            <w:r w:rsidRPr="00236183">
              <w:rPr>
                <w:rFonts w:ascii="Times New Roman" w:eastAsia="Times New Roman" w:hAnsi="Times New Roman"/>
                <w:bCs/>
                <w:color w:val="000000"/>
                <w:sz w:val="26"/>
                <w:szCs w:val="26"/>
              </w:rPr>
              <w:t>1st Quarter</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N/A</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33,953</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37,186</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37,280</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37,273</w:t>
            </w:r>
          </w:p>
        </w:tc>
      </w:tr>
      <w:tr w:rsidR="00236183" w:rsidRPr="00236183" w:rsidTr="00DD17B6">
        <w:trPr>
          <w:trHeight w:val="620"/>
          <w:jc w:val="center"/>
        </w:trPr>
        <w:tc>
          <w:tcPr>
            <w:tcW w:w="1476" w:type="dxa"/>
            <w:vAlign w:val="center"/>
          </w:tcPr>
          <w:p w:rsidR="00236183" w:rsidRPr="00236183" w:rsidRDefault="00236183" w:rsidP="003A1377">
            <w:pPr>
              <w:jc w:val="both"/>
              <w:rPr>
                <w:rFonts w:ascii="Times New Roman" w:eastAsia="Times New Roman" w:hAnsi="Times New Roman"/>
                <w:bCs/>
                <w:color w:val="000000"/>
                <w:sz w:val="26"/>
                <w:szCs w:val="26"/>
              </w:rPr>
            </w:pPr>
            <w:r w:rsidRPr="00236183">
              <w:rPr>
                <w:rFonts w:ascii="Times New Roman" w:eastAsia="Times New Roman" w:hAnsi="Times New Roman"/>
                <w:bCs/>
                <w:color w:val="000000"/>
                <w:sz w:val="26"/>
                <w:szCs w:val="26"/>
              </w:rPr>
              <w:t>2nd Quarter</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N/A</w:t>
            </w:r>
          </w:p>
        </w:tc>
        <w:tc>
          <w:tcPr>
            <w:tcW w:w="1476" w:type="dxa"/>
            <w:vAlign w:val="center"/>
          </w:tcPr>
          <w:p w:rsidR="00236183" w:rsidRPr="00236183" w:rsidRDefault="00236183" w:rsidP="00DD17B6">
            <w:pPr>
              <w:spacing w:line="360" w:lineRule="auto"/>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34,229</w:t>
            </w:r>
          </w:p>
        </w:tc>
        <w:tc>
          <w:tcPr>
            <w:tcW w:w="1476" w:type="dxa"/>
            <w:vAlign w:val="center"/>
          </w:tcPr>
          <w:p w:rsidR="00236183" w:rsidRPr="00236183" w:rsidRDefault="00236183" w:rsidP="00DD17B6">
            <w:pPr>
              <w:spacing w:line="360" w:lineRule="auto"/>
              <w:jc w:val="center"/>
              <w:rPr>
                <w:rFonts w:ascii="Times New Roman" w:eastAsia="Times New Roman" w:hAnsi="Times New Roman"/>
                <w:color w:val="000000"/>
                <w:sz w:val="26"/>
                <w:szCs w:val="26"/>
              </w:rPr>
            </w:pPr>
            <w:r w:rsidRPr="00236183">
              <w:rPr>
                <w:rFonts w:ascii="Times New Roman" w:eastAsia="Times New Roman" w:hAnsi="Times New Roman"/>
                <w:color w:val="000000"/>
                <w:sz w:val="26"/>
                <w:szCs w:val="26"/>
              </w:rPr>
              <w:t>36,823</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35,870</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37,799</w:t>
            </w:r>
          </w:p>
        </w:tc>
      </w:tr>
      <w:tr w:rsidR="00236183" w:rsidRPr="00236183" w:rsidTr="00DD17B6">
        <w:trPr>
          <w:trHeight w:val="620"/>
          <w:jc w:val="center"/>
        </w:trPr>
        <w:tc>
          <w:tcPr>
            <w:tcW w:w="1476" w:type="dxa"/>
            <w:vAlign w:val="center"/>
          </w:tcPr>
          <w:p w:rsidR="00236183" w:rsidRPr="00236183" w:rsidRDefault="00236183" w:rsidP="003A1377">
            <w:pPr>
              <w:jc w:val="both"/>
              <w:rPr>
                <w:rFonts w:ascii="Times New Roman" w:eastAsia="Times New Roman" w:hAnsi="Times New Roman"/>
                <w:bCs/>
                <w:color w:val="000000"/>
                <w:sz w:val="26"/>
                <w:szCs w:val="26"/>
              </w:rPr>
            </w:pPr>
            <w:r w:rsidRPr="00236183">
              <w:rPr>
                <w:rFonts w:ascii="Times New Roman" w:eastAsia="Times New Roman" w:hAnsi="Times New Roman"/>
                <w:bCs/>
                <w:color w:val="000000"/>
                <w:sz w:val="26"/>
                <w:szCs w:val="26"/>
              </w:rPr>
              <w:t>3rd Quarter</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N/A</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34,752</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37,663</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36,342</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36,929</w:t>
            </w:r>
          </w:p>
        </w:tc>
      </w:tr>
      <w:tr w:rsidR="00236183" w:rsidRPr="00236183" w:rsidTr="00DD17B6">
        <w:trPr>
          <w:trHeight w:val="620"/>
          <w:jc w:val="center"/>
        </w:trPr>
        <w:tc>
          <w:tcPr>
            <w:tcW w:w="1476" w:type="dxa"/>
            <w:vAlign w:val="center"/>
          </w:tcPr>
          <w:p w:rsidR="00236183" w:rsidRPr="00236183" w:rsidRDefault="00236183" w:rsidP="003A1377">
            <w:pPr>
              <w:jc w:val="both"/>
              <w:rPr>
                <w:rFonts w:ascii="Times New Roman" w:eastAsia="Times New Roman" w:hAnsi="Times New Roman"/>
                <w:bCs/>
                <w:color w:val="000000"/>
                <w:sz w:val="26"/>
                <w:szCs w:val="26"/>
              </w:rPr>
            </w:pPr>
            <w:r w:rsidRPr="00236183">
              <w:rPr>
                <w:rFonts w:ascii="Times New Roman" w:eastAsia="Times New Roman" w:hAnsi="Times New Roman"/>
                <w:bCs/>
                <w:color w:val="000000"/>
                <w:sz w:val="26"/>
                <w:szCs w:val="26"/>
              </w:rPr>
              <w:t>4th Quarter</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33,291</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35,981</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37,893</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36,549</w:t>
            </w:r>
          </w:p>
        </w:tc>
        <w:tc>
          <w:tcPr>
            <w:tcW w:w="1476" w:type="dxa"/>
            <w:vAlign w:val="center"/>
          </w:tcPr>
          <w:p w:rsidR="00236183" w:rsidRPr="00236183" w:rsidRDefault="00236183" w:rsidP="00DD17B6">
            <w:pPr>
              <w:spacing w:line="360" w:lineRule="auto"/>
              <w:jc w:val="center"/>
              <w:rPr>
                <w:rFonts w:ascii="Times New Roman" w:eastAsia="Times New Roman" w:hAnsi="Times New Roman"/>
                <w:b/>
                <w:color w:val="000000"/>
                <w:sz w:val="26"/>
                <w:szCs w:val="26"/>
              </w:rPr>
            </w:pPr>
            <w:r w:rsidRPr="00236183">
              <w:rPr>
                <w:rFonts w:ascii="Times New Roman" w:eastAsia="Times New Roman" w:hAnsi="Times New Roman"/>
                <w:color w:val="000000"/>
                <w:sz w:val="26"/>
                <w:szCs w:val="26"/>
              </w:rPr>
              <w:t>N/A</w:t>
            </w:r>
          </w:p>
        </w:tc>
      </w:tr>
    </w:tbl>
    <w:p w:rsidR="00236183" w:rsidRPr="00236183" w:rsidRDefault="00236183" w:rsidP="00236183">
      <w:pPr>
        <w:spacing w:after="0" w:line="240" w:lineRule="auto"/>
        <w:ind w:left="1080"/>
        <w:contextualSpacing/>
        <w:jc w:val="center"/>
        <w:rPr>
          <w:rFonts w:ascii="Verdana" w:eastAsia="Times New Roman" w:hAnsi="Verdana" w:cs="Times New Roman"/>
          <w:i/>
          <w:sz w:val="20"/>
          <w:szCs w:val="20"/>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color w:val="0D0D0D" w:themeColor="text1" w:themeTint="F2"/>
          <w:sz w:val="26"/>
          <w:szCs w:val="26"/>
        </w:rPr>
        <w:t>Based on the comparison of</w:t>
      </w:r>
      <w:r w:rsidRPr="00236183">
        <w:rPr>
          <w:rFonts w:ascii="Times New Roman" w:eastAsia="Times New Roman" w:hAnsi="Times New Roman" w:cs="Times New Roman"/>
          <w:sz w:val="26"/>
          <w:szCs w:val="26"/>
        </w:rPr>
        <w:t xml:space="preserve"> actual vs. projected CAP enrollment numbers, and the current decline of enrollment, Duquesne may wish to revisit its method of estimating future CAP enrollments. </w:t>
      </w:r>
    </w:p>
    <w:p w:rsidR="00236183" w:rsidRPr="00236183" w:rsidRDefault="00236183" w:rsidP="00236183">
      <w:pPr>
        <w:spacing w:after="0" w:line="360" w:lineRule="auto"/>
        <w:ind w:left="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11"/>
        </w:numPr>
        <w:spacing w:after="0" w:line="360" w:lineRule="auto"/>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LIURP Enrollment Levels</w:t>
      </w:r>
    </w:p>
    <w:p w:rsidR="00236183" w:rsidRPr="00236183" w:rsidRDefault="00236183" w:rsidP="00236183">
      <w:pPr>
        <w:spacing w:after="0" w:line="360" w:lineRule="auto"/>
        <w:ind w:left="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enrollment levels shown in Table 6, above, as well as the budget number shown in Table 10, below, reflect what Duquesne describes for LIURP as justifying a needs-based budget of $1,014,600.  Duquesne has found since 2009 that a cost per unit in multi-family structures is higher than the cost per single family dwelling.  Over 4 years, the average job cost is $534.  The budget is based partly upon a needs assessment estimate of 1,900 Smart Comfort visits per year with an average cost of $534 per year ($534 per visit x 1900 visits = $1,014,600).  An additional 655 households are served from the $350,000 reserved for LIURP from </w:t>
      </w:r>
      <w:r w:rsidR="00577C57">
        <w:rPr>
          <w:rFonts w:ascii="Times New Roman" w:eastAsia="Times New Roman" w:hAnsi="Times New Roman" w:cs="Times New Roman"/>
          <w:color w:val="0D0D0D" w:themeColor="text1" w:themeTint="F2"/>
          <w:sz w:val="26"/>
          <w:szCs w:val="26"/>
        </w:rPr>
        <w:t xml:space="preserve">base </w:t>
      </w:r>
      <w:r w:rsidRPr="00236183">
        <w:rPr>
          <w:rFonts w:ascii="Times New Roman" w:eastAsia="Times New Roman" w:hAnsi="Times New Roman" w:cs="Times New Roman"/>
          <w:color w:val="0D0D0D" w:themeColor="text1" w:themeTint="F2"/>
          <w:sz w:val="26"/>
          <w:szCs w:val="26"/>
        </w:rPr>
        <w:t xml:space="preserve">rate settlement </w:t>
      </w:r>
      <w:r w:rsidR="00577C57">
        <w:rPr>
          <w:rFonts w:ascii="Times New Roman" w:eastAsia="Times New Roman" w:hAnsi="Times New Roman" w:cs="Times New Roman"/>
          <w:color w:val="0D0D0D" w:themeColor="text1" w:themeTint="F2"/>
          <w:sz w:val="26"/>
          <w:szCs w:val="26"/>
        </w:rPr>
        <w:t xml:space="preserve">at </w:t>
      </w:r>
      <w:r w:rsidRPr="00236183">
        <w:rPr>
          <w:rFonts w:ascii="Times New Roman" w:eastAsia="Times New Roman" w:hAnsi="Times New Roman" w:cs="Times New Roman"/>
          <w:color w:val="0D0D0D" w:themeColor="text1" w:themeTint="F2"/>
          <w:sz w:val="26"/>
          <w:szCs w:val="26"/>
        </w:rPr>
        <w:t>Docket No. R</w:t>
      </w:r>
      <w:r w:rsidRPr="00236183">
        <w:rPr>
          <w:rFonts w:ascii="Times New Roman" w:eastAsia="Times New Roman" w:hAnsi="Times New Roman" w:cs="Times New Roman"/>
          <w:color w:val="0D0D0D" w:themeColor="text1" w:themeTint="F2"/>
          <w:sz w:val="26"/>
          <w:szCs w:val="26"/>
        </w:rPr>
        <w:noBreakHyphen/>
        <w:t>00061346.</w:t>
      </w:r>
    </w:p>
    <w:p w:rsidR="00236183" w:rsidRPr="00236183" w:rsidRDefault="00236183" w:rsidP="00236183">
      <w:pPr>
        <w:spacing w:after="0" w:line="360" w:lineRule="auto"/>
        <w:ind w:left="720"/>
        <w:rPr>
          <w:rFonts w:ascii="Times New Roman" w:eastAsia="Times New Roman" w:hAnsi="Times New Roman" w:cs="Times New Roman"/>
          <w:color w:val="0D0D0D" w:themeColor="text1" w:themeTint="F2"/>
          <w:sz w:val="26"/>
          <w:szCs w:val="26"/>
        </w:rPr>
      </w:pPr>
    </w:p>
    <w:p w:rsidR="00236183" w:rsidRPr="00236183" w:rsidRDefault="00236183" w:rsidP="003A1377">
      <w:pPr>
        <w:keepNext/>
        <w:numPr>
          <w:ilvl w:val="0"/>
          <w:numId w:val="12"/>
        </w:numPr>
        <w:spacing w:after="0" w:line="360" w:lineRule="auto"/>
        <w:contextualSpacing/>
        <w:rPr>
          <w:rFonts w:ascii="Times New Roman" w:eastAsia="Times New Roman" w:hAnsi="Times New Roman" w:cs="Times New Roman"/>
          <w:b/>
          <w:i/>
          <w:color w:val="0D0D0D" w:themeColor="text1" w:themeTint="F2"/>
          <w:sz w:val="26"/>
          <w:szCs w:val="26"/>
        </w:rPr>
      </w:pPr>
      <w:r w:rsidRPr="00236183">
        <w:rPr>
          <w:rFonts w:ascii="Times New Roman" w:eastAsia="Times New Roman" w:hAnsi="Times New Roman" w:cs="Times New Roman"/>
          <w:b/>
          <w:i/>
          <w:color w:val="0D0D0D" w:themeColor="text1" w:themeTint="F2"/>
          <w:sz w:val="26"/>
          <w:szCs w:val="26"/>
        </w:rPr>
        <w:lastRenderedPageBreak/>
        <w:t>Needs Assessment</w:t>
      </w:r>
    </w:p>
    <w:p w:rsidR="00236183" w:rsidRPr="00236183" w:rsidRDefault="00236183" w:rsidP="003A1377">
      <w:pPr>
        <w:keepNext/>
        <w:spacing w:after="0" w:line="360" w:lineRule="auto"/>
        <w:ind w:left="720"/>
        <w:rPr>
          <w:rFonts w:ascii="Times New Roman" w:eastAsia="Times New Roman" w:hAnsi="Times New Roman" w:cs="Times New Roman"/>
          <w:color w:val="0D0D0D" w:themeColor="text1" w:themeTint="F2"/>
          <w:sz w:val="26"/>
          <w:szCs w:val="26"/>
        </w:rPr>
      </w:pPr>
    </w:p>
    <w:p w:rsidR="00236183" w:rsidRPr="00236183" w:rsidRDefault="00236183" w:rsidP="003A1377">
      <w:pPr>
        <w:keepNext/>
        <w:spacing w:after="0" w:line="360" w:lineRule="auto"/>
        <w:ind w:firstLine="720"/>
        <w:contextualSpacing/>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In its needs assessment for LIURP, Duquesne estimates the number of visits per year for 2014-2016 by dividing the total number of potentially eligible households (37,251) by 20 and rounding the result up to 1,900 visits per year (Amended Plan, p. 22).  </w:t>
      </w:r>
    </w:p>
    <w:p w:rsidR="00236183" w:rsidRPr="00236183" w:rsidRDefault="00236183" w:rsidP="00236183">
      <w:pPr>
        <w:spacing w:after="0" w:line="360" w:lineRule="auto"/>
        <w:ind w:firstLine="720"/>
        <w:contextualSpacing/>
        <w:rPr>
          <w:rFonts w:ascii="Times New Roman" w:eastAsia="Times New Roman" w:hAnsi="Times New Roman" w:cs="Times New Roman"/>
          <w:sz w:val="26"/>
          <w:szCs w:val="26"/>
        </w:rPr>
      </w:pPr>
    </w:p>
    <w:p w:rsidR="00236183" w:rsidRPr="00236183" w:rsidRDefault="00236183" w:rsidP="00236183">
      <w:pPr>
        <w:spacing w:after="0" w:line="360" w:lineRule="auto"/>
        <w:ind w:firstLine="720"/>
        <w:contextualSpacing/>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Proposed Resolution:  The Company should provide in its com</w:t>
      </w:r>
      <w:r w:rsidR="00577C57">
        <w:rPr>
          <w:rFonts w:ascii="Times New Roman" w:eastAsia="Times New Roman" w:hAnsi="Times New Roman" w:cs="Times New Roman"/>
          <w:sz w:val="26"/>
          <w:szCs w:val="26"/>
        </w:rPr>
        <w:t>ments an explanation as to why 20</w:t>
      </w:r>
      <w:r w:rsidRPr="00236183">
        <w:rPr>
          <w:rFonts w:ascii="Times New Roman" w:eastAsia="Times New Roman" w:hAnsi="Times New Roman" w:cs="Times New Roman"/>
          <w:sz w:val="26"/>
          <w:szCs w:val="26"/>
        </w:rPr>
        <w:t xml:space="preserve"> </w:t>
      </w:r>
      <w:proofErr w:type="gramStart"/>
      <w:r w:rsidRPr="00236183">
        <w:rPr>
          <w:rFonts w:ascii="Times New Roman" w:eastAsia="Times New Roman" w:hAnsi="Times New Roman" w:cs="Times New Roman"/>
          <w:sz w:val="26"/>
          <w:szCs w:val="26"/>
        </w:rPr>
        <w:t>was</w:t>
      </w:r>
      <w:proofErr w:type="gramEnd"/>
      <w:r w:rsidRPr="00236183">
        <w:rPr>
          <w:rFonts w:ascii="Times New Roman" w:eastAsia="Times New Roman" w:hAnsi="Times New Roman" w:cs="Times New Roman"/>
          <w:sz w:val="26"/>
          <w:szCs w:val="26"/>
        </w:rPr>
        <w:t xml:space="preserve"> chosen as the divisor.  An additional 655 households are served from the $350,000 reserved for LIURP from </w:t>
      </w:r>
      <w:r w:rsidR="00577C57">
        <w:rPr>
          <w:rFonts w:ascii="Times New Roman" w:eastAsia="Times New Roman" w:hAnsi="Times New Roman" w:cs="Times New Roman"/>
          <w:sz w:val="26"/>
          <w:szCs w:val="26"/>
        </w:rPr>
        <w:t xml:space="preserve">base </w:t>
      </w:r>
      <w:r w:rsidRPr="00236183">
        <w:rPr>
          <w:rFonts w:ascii="Times New Roman" w:eastAsia="Times New Roman" w:hAnsi="Times New Roman" w:cs="Times New Roman"/>
          <w:sz w:val="26"/>
          <w:szCs w:val="26"/>
        </w:rPr>
        <w:t>rate settlem</w:t>
      </w:r>
      <w:r w:rsidR="00577C57">
        <w:rPr>
          <w:rFonts w:ascii="Times New Roman" w:eastAsia="Times New Roman" w:hAnsi="Times New Roman" w:cs="Times New Roman"/>
          <w:sz w:val="26"/>
          <w:szCs w:val="26"/>
        </w:rPr>
        <w:t>ent at</w:t>
      </w:r>
      <w:r w:rsidRPr="00236183">
        <w:rPr>
          <w:rFonts w:ascii="Times New Roman" w:eastAsia="Times New Roman" w:hAnsi="Times New Roman" w:cs="Times New Roman"/>
          <w:sz w:val="26"/>
          <w:szCs w:val="26"/>
        </w:rPr>
        <w:t xml:space="preserve"> Docket No. R</w:t>
      </w:r>
      <w:r w:rsidRPr="00236183">
        <w:rPr>
          <w:rFonts w:ascii="Times New Roman" w:eastAsia="Times New Roman" w:hAnsi="Times New Roman" w:cs="Times New Roman"/>
          <w:sz w:val="26"/>
          <w:szCs w:val="26"/>
        </w:rPr>
        <w:noBreakHyphen/>
        <w:t xml:space="preserve">00061346; bringing the total number of households served through Smart Comfort to 2,555.  This estimate is below actual reported visits for Smart Comfort during the past five years.  Table 9 shows the numbers of actual LIURP jobs completed through Smart Comfort since 2008:    </w:t>
      </w:r>
    </w:p>
    <w:p w:rsidR="00236183" w:rsidRPr="00236183" w:rsidRDefault="00236183" w:rsidP="00236183">
      <w:pPr>
        <w:spacing w:after="0" w:line="360" w:lineRule="auto"/>
        <w:ind w:left="720" w:firstLine="720"/>
        <w:contextualSpacing/>
        <w:rPr>
          <w:rFonts w:ascii="Times New Roman" w:eastAsia="Times New Roman" w:hAnsi="Times New Roman" w:cs="Times New Roman"/>
          <w:sz w:val="26"/>
          <w:szCs w:val="26"/>
        </w:rPr>
      </w:pPr>
    </w:p>
    <w:p w:rsidR="00236183" w:rsidRPr="00236183" w:rsidRDefault="00236183" w:rsidP="00371094">
      <w:pPr>
        <w:keepNext/>
        <w:spacing w:after="0" w:line="360" w:lineRule="auto"/>
        <w:jc w:val="center"/>
        <w:rPr>
          <w:rFonts w:ascii="Times New Roman" w:eastAsia="Calibri" w:hAnsi="Times New Roman" w:cs="Times New Roman"/>
          <w:b/>
          <w:sz w:val="26"/>
          <w:szCs w:val="24"/>
        </w:rPr>
      </w:pPr>
      <w:r w:rsidRPr="00236183">
        <w:rPr>
          <w:rFonts w:ascii="Times New Roman" w:eastAsia="Calibri" w:hAnsi="Times New Roman" w:cs="Times New Roman"/>
          <w:b/>
          <w:sz w:val="26"/>
          <w:szCs w:val="24"/>
        </w:rPr>
        <w:t>Table 9</w:t>
      </w:r>
    </w:p>
    <w:p w:rsidR="00236183" w:rsidRPr="00371094" w:rsidRDefault="00236183" w:rsidP="00371094">
      <w:pPr>
        <w:keepNext/>
        <w:spacing w:after="0" w:line="360" w:lineRule="auto"/>
        <w:jc w:val="center"/>
        <w:rPr>
          <w:rFonts w:ascii="Times New Roman" w:eastAsia="Calibri" w:hAnsi="Times New Roman" w:cs="Times New Roman"/>
          <w:b/>
          <w:sz w:val="26"/>
          <w:szCs w:val="24"/>
        </w:rPr>
      </w:pPr>
      <w:r w:rsidRPr="00236183">
        <w:rPr>
          <w:rFonts w:ascii="Times New Roman" w:eastAsia="Calibri" w:hAnsi="Times New Roman" w:cs="Times New Roman"/>
          <w:b/>
          <w:sz w:val="26"/>
          <w:szCs w:val="24"/>
        </w:rPr>
        <w:t>Duquesne LI</w:t>
      </w:r>
      <w:r w:rsidR="00371094">
        <w:rPr>
          <w:rFonts w:ascii="Times New Roman" w:eastAsia="Calibri" w:hAnsi="Times New Roman" w:cs="Times New Roman"/>
          <w:b/>
          <w:sz w:val="26"/>
          <w:szCs w:val="24"/>
        </w:rPr>
        <w:t>URP Jobs Completed 2008 to 2012</w:t>
      </w:r>
    </w:p>
    <w:tbl>
      <w:tblPr>
        <w:tblW w:w="9383" w:type="dxa"/>
        <w:jc w:val="center"/>
        <w:tblInd w:w="-1022" w:type="dxa"/>
        <w:tblLook w:val="04A0" w:firstRow="1" w:lastRow="0" w:firstColumn="1" w:lastColumn="0" w:noHBand="0" w:noVBand="1"/>
      </w:tblPr>
      <w:tblGrid>
        <w:gridCol w:w="2003"/>
        <w:gridCol w:w="1170"/>
        <w:gridCol w:w="1260"/>
        <w:gridCol w:w="1170"/>
        <w:gridCol w:w="1170"/>
        <w:gridCol w:w="1170"/>
        <w:gridCol w:w="1440"/>
      </w:tblGrid>
      <w:tr w:rsidR="00236183" w:rsidRPr="00E97DC0" w:rsidTr="00371094">
        <w:trPr>
          <w:trHeight w:val="503"/>
          <w:jc w:val="center"/>
        </w:trPr>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rPr>
                <w:rFonts w:ascii="Times New Roman" w:eastAsia="Times New Roman" w:hAnsi="Times New Roman" w:cs="Times New Roman"/>
                <w:b/>
                <w:bCs/>
                <w:color w:val="000000"/>
                <w:sz w:val="26"/>
                <w:szCs w:val="26"/>
              </w:rPr>
            </w:pPr>
            <w:r w:rsidRPr="00371094">
              <w:rPr>
                <w:rFonts w:ascii="Times New Roman" w:eastAsia="Times New Roman" w:hAnsi="Times New Roman" w:cs="Times New Roman"/>
                <w:b/>
                <w:bCs/>
                <w:color w:val="000000"/>
                <w:sz w:val="26"/>
                <w:szCs w:val="26"/>
              </w:rPr>
              <w:t>LIURP Jobs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jc w:val="center"/>
              <w:rPr>
                <w:rFonts w:ascii="Times New Roman" w:eastAsia="Times New Roman" w:hAnsi="Times New Roman" w:cs="Times New Roman"/>
                <w:b/>
                <w:bCs/>
                <w:color w:val="000000"/>
                <w:sz w:val="26"/>
                <w:szCs w:val="26"/>
              </w:rPr>
            </w:pPr>
            <w:r w:rsidRPr="00371094">
              <w:rPr>
                <w:rFonts w:ascii="Times New Roman" w:eastAsia="Calibri" w:hAnsi="Times New Roman" w:cs="Times New Roman"/>
                <w:b/>
                <w:bCs/>
                <w:color w:val="000000"/>
                <w:sz w:val="26"/>
                <w:szCs w:val="26"/>
              </w:rPr>
              <w:t>2008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jc w:val="center"/>
              <w:rPr>
                <w:rFonts w:ascii="Times New Roman" w:eastAsia="Times New Roman" w:hAnsi="Times New Roman" w:cs="Times New Roman"/>
                <w:b/>
                <w:bCs/>
                <w:color w:val="000000"/>
                <w:sz w:val="26"/>
                <w:szCs w:val="26"/>
              </w:rPr>
            </w:pPr>
            <w:r w:rsidRPr="00371094">
              <w:rPr>
                <w:rFonts w:ascii="Times New Roman" w:eastAsia="Calibri" w:hAnsi="Times New Roman" w:cs="Times New Roman"/>
                <w:b/>
                <w:bCs/>
                <w:color w:val="000000"/>
                <w:sz w:val="26"/>
                <w:szCs w:val="26"/>
              </w:rPr>
              <w:t>2009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jc w:val="center"/>
              <w:rPr>
                <w:rFonts w:ascii="Times New Roman" w:eastAsia="Times New Roman" w:hAnsi="Times New Roman" w:cs="Times New Roman"/>
                <w:b/>
                <w:bCs/>
                <w:color w:val="000000"/>
                <w:sz w:val="26"/>
                <w:szCs w:val="26"/>
              </w:rPr>
            </w:pPr>
            <w:r w:rsidRPr="00371094">
              <w:rPr>
                <w:rFonts w:ascii="Times New Roman" w:eastAsia="Calibri" w:hAnsi="Times New Roman" w:cs="Times New Roman"/>
                <w:b/>
                <w:bCs/>
                <w:color w:val="000000"/>
                <w:sz w:val="26"/>
                <w:szCs w:val="26"/>
              </w:rPr>
              <w:t>2010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jc w:val="center"/>
              <w:rPr>
                <w:rFonts w:ascii="Times New Roman" w:eastAsia="Times New Roman" w:hAnsi="Times New Roman" w:cs="Times New Roman"/>
                <w:b/>
                <w:bCs/>
                <w:color w:val="000000"/>
                <w:sz w:val="26"/>
                <w:szCs w:val="26"/>
              </w:rPr>
            </w:pPr>
            <w:r w:rsidRPr="00371094">
              <w:rPr>
                <w:rFonts w:ascii="Times New Roman" w:eastAsia="Calibri" w:hAnsi="Times New Roman" w:cs="Times New Roman"/>
                <w:b/>
                <w:bCs/>
                <w:color w:val="000000"/>
                <w:sz w:val="26"/>
                <w:szCs w:val="26"/>
              </w:rPr>
              <w:t>2011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jc w:val="center"/>
              <w:rPr>
                <w:rFonts w:ascii="Times New Roman" w:eastAsia="Times New Roman" w:hAnsi="Times New Roman" w:cs="Times New Roman"/>
                <w:b/>
                <w:bCs/>
                <w:color w:val="000000"/>
                <w:sz w:val="26"/>
                <w:szCs w:val="26"/>
              </w:rPr>
            </w:pPr>
            <w:r w:rsidRPr="00371094">
              <w:rPr>
                <w:rFonts w:ascii="Times New Roman" w:eastAsia="Calibri" w:hAnsi="Times New Roman" w:cs="Times New Roman"/>
                <w:b/>
                <w:bCs/>
                <w:color w:val="000000"/>
                <w:sz w:val="26"/>
                <w:szCs w:val="26"/>
              </w:rPr>
              <w:t>2012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36183" w:rsidRPr="00371094" w:rsidRDefault="00236183" w:rsidP="00371094">
            <w:pPr>
              <w:keepNext/>
              <w:spacing w:after="0" w:line="240" w:lineRule="auto"/>
              <w:jc w:val="center"/>
              <w:rPr>
                <w:rFonts w:ascii="Times New Roman" w:eastAsia="Times New Roman" w:hAnsi="Times New Roman" w:cs="Times New Roman"/>
                <w:b/>
                <w:bCs/>
                <w:color w:val="000000"/>
                <w:sz w:val="26"/>
                <w:szCs w:val="26"/>
              </w:rPr>
            </w:pPr>
            <w:r w:rsidRPr="00371094">
              <w:rPr>
                <w:rFonts w:ascii="Times New Roman" w:eastAsia="Times New Roman" w:hAnsi="Times New Roman" w:cs="Times New Roman"/>
                <w:b/>
                <w:bCs/>
                <w:color w:val="000000"/>
                <w:sz w:val="26"/>
                <w:szCs w:val="26"/>
              </w:rPr>
              <w:t>Average</w:t>
            </w:r>
          </w:p>
        </w:tc>
      </w:tr>
      <w:tr w:rsidR="00236183" w:rsidRPr="00E97DC0" w:rsidTr="00371094">
        <w:trPr>
          <w:trHeight w:val="440"/>
          <w:jc w:val="center"/>
        </w:trPr>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rPr>
                <w:rFonts w:ascii="Times New Roman" w:eastAsia="Times New Roman" w:hAnsi="Times New Roman" w:cs="Times New Roman"/>
                <w:color w:val="000000"/>
                <w:sz w:val="26"/>
                <w:szCs w:val="26"/>
              </w:rPr>
            </w:pPr>
            <w:proofErr w:type="spellStart"/>
            <w:r w:rsidRPr="00E97DC0">
              <w:rPr>
                <w:rFonts w:ascii="Times New Roman" w:eastAsia="Times New Roman" w:hAnsi="Times New Roman" w:cs="Times New Roman"/>
                <w:color w:val="000000"/>
                <w:sz w:val="26"/>
                <w:szCs w:val="26"/>
              </w:rPr>
              <w:t>Baseload</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4,186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4,072</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3,269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3,227</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2,797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3510.2</w:t>
            </w:r>
          </w:p>
        </w:tc>
      </w:tr>
      <w:tr w:rsidR="00236183" w:rsidRPr="00E97DC0" w:rsidTr="00371094">
        <w:trPr>
          <w:trHeight w:val="530"/>
          <w:jc w:val="center"/>
        </w:trPr>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Water Heating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0.4</w:t>
            </w:r>
          </w:p>
        </w:tc>
      </w:tr>
      <w:tr w:rsidR="00236183" w:rsidRPr="00E97DC0" w:rsidTr="00371094">
        <w:trPr>
          <w:trHeight w:val="530"/>
          <w:jc w:val="center"/>
        </w:trPr>
        <w:tc>
          <w:tcPr>
            <w:tcW w:w="2003" w:type="dxa"/>
            <w:tcBorders>
              <w:top w:val="nil"/>
              <w:left w:val="single" w:sz="4" w:space="0" w:color="auto"/>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Heating Jobs</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3</w:t>
            </w:r>
          </w:p>
        </w:tc>
        <w:tc>
          <w:tcPr>
            <w:tcW w:w="1260" w:type="dxa"/>
            <w:tcBorders>
              <w:top w:val="single" w:sz="4" w:space="0" w:color="auto"/>
              <w:left w:val="nil"/>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178</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367</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3</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Calibri" w:hAnsi="Times New Roman" w:cs="Times New Roman"/>
                <w:color w:val="000000"/>
                <w:sz w:val="26"/>
                <w:szCs w:val="26"/>
              </w:rPr>
              <w:t>210</w:t>
            </w:r>
          </w:p>
        </w:tc>
        <w:tc>
          <w:tcPr>
            <w:tcW w:w="1440" w:type="dxa"/>
            <w:tcBorders>
              <w:top w:val="single" w:sz="4" w:space="0" w:color="auto"/>
              <w:left w:val="nil"/>
              <w:bottom w:val="single" w:sz="12"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color w:val="000000"/>
                <w:sz w:val="26"/>
                <w:szCs w:val="26"/>
              </w:rPr>
            </w:pPr>
            <w:r w:rsidRPr="00E97DC0">
              <w:rPr>
                <w:rFonts w:ascii="Times New Roman" w:eastAsia="Times New Roman" w:hAnsi="Times New Roman" w:cs="Times New Roman"/>
                <w:color w:val="000000"/>
                <w:sz w:val="26"/>
                <w:szCs w:val="26"/>
              </w:rPr>
              <w:t>152.2</w:t>
            </w:r>
          </w:p>
        </w:tc>
      </w:tr>
      <w:tr w:rsidR="00236183" w:rsidRPr="00E97DC0" w:rsidTr="00371094">
        <w:trPr>
          <w:trHeight w:val="510"/>
          <w:jc w:val="center"/>
        </w:trPr>
        <w:tc>
          <w:tcPr>
            <w:tcW w:w="200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Total</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4,189</w:t>
            </w:r>
          </w:p>
        </w:tc>
        <w:tc>
          <w:tcPr>
            <w:tcW w:w="1260" w:type="dxa"/>
            <w:tcBorders>
              <w:top w:val="single" w:sz="12"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4,250</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3,637</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3,231</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3,007</w:t>
            </w:r>
          </w:p>
        </w:tc>
        <w:tc>
          <w:tcPr>
            <w:tcW w:w="1440" w:type="dxa"/>
            <w:tcBorders>
              <w:top w:val="single" w:sz="12" w:space="0" w:color="auto"/>
              <w:left w:val="nil"/>
              <w:bottom w:val="single" w:sz="4" w:space="0" w:color="auto"/>
              <w:right w:val="single" w:sz="4" w:space="0" w:color="auto"/>
            </w:tcBorders>
            <w:shd w:val="clear" w:color="auto" w:fill="auto"/>
            <w:noWrap/>
            <w:vAlign w:val="center"/>
            <w:hideMark/>
          </w:tcPr>
          <w:p w:rsidR="00236183" w:rsidRPr="00E97DC0" w:rsidRDefault="00236183" w:rsidP="00371094">
            <w:pPr>
              <w:keepNext/>
              <w:spacing w:after="0" w:line="240" w:lineRule="auto"/>
              <w:jc w:val="center"/>
              <w:rPr>
                <w:rFonts w:ascii="Times New Roman" w:eastAsia="Times New Roman" w:hAnsi="Times New Roman" w:cs="Times New Roman"/>
                <w:bCs/>
                <w:color w:val="000000"/>
                <w:sz w:val="26"/>
                <w:szCs w:val="26"/>
              </w:rPr>
            </w:pPr>
            <w:r w:rsidRPr="00E97DC0">
              <w:rPr>
                <w:rFonts w:ascii="Times New Roman" w:eastAsia="Times New Roman" w:hAnsi="Times New Roman" w:cs="Times New Roman"/>
                <w:bCs/>
                <w:color w:val="000000"/>
                <w:sz w:val="26"/>
                <w:szCs w:val="26"/>
              </w:rPr>
              <w:t>3,663</w:t>
            </w:r>
          </w:p>
        </w:tc>
      </w:tr>
    </w:tbl>
    <w:p w:rsidR="00236183" w:rsidRPr="00E97DC0" w:rsidRDefault="00236183" w:rsidP="00236183">
      <w:pPr>
        <w:spacing w:after="0" w:line="360" w:lineRule="auto"/>
        <w:ind w:left="720"/>
        <w:contextualSpacing/>
        <w:rPr>
          <w:rFonts w:ascii="Verdana" w:eastAsia="Times New Roman" w:hAnsi="Verdana" w:cs="Times New Roman"/>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The average annual number of all jobs completed by Smart Comfort from 2008 to 2012 was 3,663.  In 2011 and 2012, the Company spent approximately $200,000 more than its LIURP budgeted amount ($1,584,272 and $1,560,620, respectively, as noted in the </w:t>
      </w:r>
      <w:r w:rsidRPr="00236183">
        <w:rPr>
          <w:rFonts w:ascii="Times New Roman" w:eastAsia="Times New Roman" w:hAnsi="Times New Roman" w:cs="Times New Roman"/>
          <w:i/>
          <w:sz w:val="26"/>
          <w:szCs w:val="26"/>
        </w:rPr>
        <w:t>Commission’s 2012 Report on USP &amp; Collections Performance</w:t>
      </w:r>
      <w:r w:rsidRPr="00236183">
        <w:rPr>
          <w:rFonts w:ascii="Times New Roman" w:eastAsia="Times New Roman" w:hAnsi="Times New Roman" w:cs="Times New Roman"/>
          <w:sz w:val="26"/>
          <w:szCs w:val="26"/>
        </w:rPr>
        <w:t xml:space="preserve">).  Duquesne did not indicate if this increase was the result of carried-over funds from previous years. If Smart Comfort meets the projected 2,555 annual household visits from 2014-2016, it will be a </w:t>
      </w:r>
      <w:r w:rsidRPr="00236183">
        <w:rPr>
          <w:rFonts w:ascii="Times New Roman" w:eastAsia="Times New Roman" w:hAnsi="Times New Roman" w:cs="Times New Roman"/>
          <w:sz w:val="26"/>
          <w:szCs w:val="26"/>
        </w:rPr>
        <w:lastRenderedPageBreak/>
        <w:t xml:space="preserve">30% decrease from the average number of households served through this program over the past five years.  Additionally, Duquesne reports that the average cost per Smart Comfort job has decreased from $562 (reported in 2011-2013 USECP) to $534 (reported in 2014-2016 USECP).  Based on these reduced costs, we would anticipate that Duquesne could increase their LIURP budget by 10% to $1,497,760.  This increase, based on the average job cost of $534, would allow the company to do 2,805 jobs which is more in-line with the current level of actual customers served through Smart Comfort. Further, Duquesne has not been accurately reporting the housing types in its data, so there is no way to calculate the number of multifamily units compared to single family dwellings.  While the Company states the cost has increased due to a focus on multifamily units, the figures actually show a decrease in the average job cost from $562 to $534.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577C57" w:rsidP="00236183">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Proposed Resolution</w:t>
      </w:r>
      <w:r w:rsidR="00236183" w:rsidRPr="00236183">
        <w:rPr>
          <w:rFonts w:ascii="Times New Roman" w:eastAsia="Times New Roman" w:hAnsi="Times New Roman" w:cs="Times New Roman"/>
          <w:sz w:val="26"/>
          <w:szCs w:val="26"/>
        </w:rPr>
        <w:t xml:space="preserve">:  </w:t>
      </w:r>
      <w:r w:rsidR="00236183" w:rsidRPr="00236183">
        <w:rPr>
          <w:rFonts w:ascii="Times New Roman" w:eastAsia="Times New Roman" w:hAnsi="Times New Roman" w:cs="Times New Roman"/>
          <w:color w:val="0D0D0D" w:themeColor="text1" w:themeTint="F2"/>
          <w:sz w:val="26"/>
          <w:szCs w:val="26"/>
        </w:rPr>
        <w:t>Duquesne is directed to address these issues further in its comments to this order.</w:t>
      </w:r>
      <w:r w:rsidR="00236183" w:rsidRPr="00236183">
        <w:rPr>
          <w:rFonts w:ascii="Times New Roman" w:eastAsia="Times New Roman" w:hAnsi="Times New Roman" w:cs="Times New Roman"/>
          <w:sz w:val="26"/>
          <w:szCs w:val="26"/>
        </w:rPr>
        <w:t xml:space="preserve">   </w:t>
      </w:r>
    </w:p>
    <w:p w:rsidR="00236183" w:rsidRPr="00236183" w:rsidRDefault="00236183" w:rsidP="00236183">
      <w:pPr>
        <w:spacing w:after="0" w:line="360" w:lineRule="auto"/>
        <w:ind w:left="720"/>
        <w:rPr>
          <w:rFonts w:ascii="Times New Roman" w:eastAsia="Times New Roman" w:hAnsi="Times New Roman" w:cs="Times New Roman"/>
          <w:color w:val="0D0D0D" w:themeColor="text1" w:themeTint="F2"/>
          <w:sz w:val="26"/>
          <w:szCs w:val="26"/>
        </w:rPr>
      </w:pPr>
    </w:p>
    <w:p w:rsidR="00236183" w:rsidRPr="00236183" w:rsidRDefault="00236183" w:rsidP="00236183">
      <w:pPr>
        <w:keepNext/>
        <w:numPr>
          <w:ilvl w:val="0"/>
          <w:numId w:val="11"/>
        </w:numPr>
        <w:spacing w:after="0" w:line="360" w:lineRule="auto"/>
        <w:contextualSpacing/>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 xml:space="preserve"> CARES Enrollment Levels</w:t>
      </w:r>
    </w:p>
    <w:p w:rsidR="00236183" w:rsidRPr="00236183" w:rsidRDefault="00236183" w:rsidP="00236183">
      <w:pPr>
        <w:keepNext/>
        <w:spacing w:after="0" w:line="360" w:lineRule="auto"/>
        <w:ind w:left="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In explaining the projected enrollment numbers for CARES, Duquesne states that the company’s “experience indicates that the number of customers served in CARES is estimated to be 10,000 to 15,000 annually” (Amended Plan, p. 11).  In supplemental information provided by Duquesne regarding its CARES needs assessment, the company revised this projection and estimated that the program will serve approximately 22,000 annually from 2014 through 2016. </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sz w:val="26"/>
          <w:szCs w:val="26"/>
        </w:rPr>
        <w:t xml:space="preserve">At this time, we tentatively find that the projected enrollment levels may adequately serve the need in Duquesne’s service territory.  This tentative approval, however, does not limit the Commission’s ability to determine future enrollment levels </w:t>
      </w:r>
      <w:r w:rsidRPr="00236183">
        <w:rPr>
          <w:rFonts w:ascii="Times New Roman" w:eastAsia="Times New Roman" w:hAnsi="Times New Roman" w:cs="Times New Roman"/>
          <w:sz w:val="26"/>
          <w:szCs w:val="26"/>
        </w:rPr>
        <w:lastRenderedPageBreak/>
        <w:t xml:space="preserve">based on evaluation findings, universal service plan submissions and universal service data.  </w:t>
      </w:r>
    </w:p>
    <w:p w:rsidR="00236183" w:rsidRPr="00236183" w:rsidRDefault="00236183" w:rsidP="00236183">
      <w:pPr>
        <w:spacing w:after="0" w:line="360" w:lineRule="auto"/>
        <w:ind w:firstLine="720"/>
        <w:rPr>
          <w:rFonts w:ascii="Times New Roman" w:eastAsia="Times New Roman" w:hAnsi="Times New Roman" w:cs="Times New Roman"/>
          <w:sz w:val="26"/>
          <w:szCs w:val="26"/>
        </w:rPr>
      </w:pPr>
    </w:p>
    <w:p w:rsidR="00236183" w:rsidRPr="00236183" w:rsidRDefault="00236183" w:rsidP="00236183">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rPr>
        <w:t xml:space="preserve"> </w:t>
      </w:r>
      <w:r w:rsidRPr="00236183">
        <w:rPr>
          <w:rFonts w:ascii="Times New Roman" w:eastAsia="Times New Roman" w:hAnsi="Times New Roman" w:cs="Times New Roman"/>
          <w:b/>
          <w:color w:val="0D0D0D" w:themeColor="text1" w:themeTint="F2"/>
          <w:sz w:val="26"/>
          <w:szCs w:val="26"/>
          <w:u w:val="single"/>
        </w:rPr>
        <w:t>Program Budgets</w:t>
      </w:r>
    </w:p>
    <w:p w:rsidR="00236183" w:rsidRPr="00236183" w:rsidRDefault="00236183" w:rsidP="00236183">
      <w:pPr>
        <w:keepNext/>
        <w:spacing w:after="0" w:line="360" w:lineRule="auto"/>
        <w:ind w:firstLine="720"/>
        <w:rPr>
          <w:rFonts w:ascii="Times New Roman" w:eastAsia="Times New Roman" w:hAnsi="Times New Roman" w:cs="Times New Roman"/>
          <w:color w:val="0D0D0D" w:themeColor="text1" w:themeTint="F2"/>
          <w:sz w:val="26"/>
          <w:szCs w:val="20"/>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0"/>
        </w:rPr>
      </w:pPr>
      <w:r w:rsidRPr="00236183">
        <w:rPr>
          <w:rFonts w:ascii="Times New Roman" w:eastAsia="Times New Roman" w:hAnsi="Times New Roman" w:cs="Times New Roman"/>
          <w:color w:val="0D0D0D" w:themeColor="text1" w:themeTint="F2"/>
          <w:sz w:val="26"/>
          <w:szCs w:val="20"/>
        </w:rPr>
        <w:t xml:space="preserve">Table 10 below shows the proposed budget levels for each universal service component and the calculated average spending per customer for 2014-2016.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0"/>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236183" w:rsidRPr="00236183" w:rsidTr="00E97DC0">
        <w:trPr>
          <w:cantSplit/>
          <w:jc w:val="center"/>
        </w:trPr>
        <w:tc>
          <w:tcPr>
            <w:tcW w:w="8569" w:type="dxa"/>
            <w:gridSpan w:val="4"/>
            <w:tcBorders>
              <w:top w:val="nil"/>
              <w:left w:val="nil"/>
              <w:bottom w:val="single" w:sz="4" w:space="0" w:color="auto"/>
              <w:right w:val="nil"/>
            </w:tcBorders>
          </w:tcPr>
          <w:p w:rsidR="00236183" w:rsidRPr="00236183" w:rsidRDefault="00236183" w:rsidP="00236183">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Table 10</w:t>
            </w:r>
          </w:p>
          <w:p w:rsidR="00236183" w:rsidRPr="00236183" w:rsidRDefault="00236183" w:rsidP="00236183">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Universal Service Program Budgets</w:t>
            </w:r>
          </w:p>
        </w:tc>
      </w:tr>
      <w:tr w:rsidR="00236183" w:rsidRPr="00236183" w:rsidTr="00E97DC0">
        <w:trPr>
          <w:cantSplit/>
          <w:trHeight w:val="377"/>
          <w:jc w:val="center"/>
        </w:trPr>
        <w:tc>
          <w:tcPr>
            <w:tcW w:w="3556" w:type="dxa"/>
            <w:tcBorders>
              <w:top w:val="single" w:sz="4" w:space="0" w:color="auto"/>
            </w:tcBorders>
            <w:vAlign w:val="center"/>
          </w:tcPr>
          <w:p w:rsidR="00236183" w:rsidRPr="00236183" w:rsidRDefault="00236183" w:rsidP="00371094">
            <w:pPr>
              <w:spacing w:after="0" w:line="360" w:lineRule="auto"/>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Universal Service Component</w:t>
            </w:r>
          </w:p>
        </w:tc>
        <w:tc>
          <w:tcPr>
            <w:tcW w:w="1693" w:type="dxa"/>
            <w:tcBorders>
              <w:top w:val="single" w:sz="4" w:space="0" w:color="auto"/>
            </w:tcBorders>
            <w:vAlign w:val="center"/>
          </w:tcPr>
          <w:p w:rsidR="00236183" w:rsidRPr="00236183" w:rsidRDefault="00236183" w:rsidP="00236183">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2014</w:t>
            </w:r>
          </w:p>
        </w:tc>
        <w:tc>
          <w:tcPr>
            <w:tcW w:w="1660" w:type="dxa"/>
            <w:tcBorders>
              <w:top w:val="single" w:sz="4" w:space="0" w:color="auto"/>
            </w:tcBorders>
            <w:vAlign w:val="center"/>
          </w:tcPr>
          <w:p w:rsidR="00236183" w:rsidRPr="00236183" w:rsidRDefault="00236183" w:rsidP="00236183">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2015</w:t>
            </w:r>
          </w:p>
        </w:tc>
        <w:tc>
          <w:tcPr>
            <w:tcW w:w="1660" w:type="dxa"/>
            <w:tcBorders>
              <w:top w:val="single" w:sz="4" w:space="0" w:color="auto"/>
            </w:tcBorders>
            <w:vAlign w:val="center"/>
          </w:tcPr>
          <w:p w:rsidR="00236183" w:rsidRPr="00236183" w:rsidRDefault="00236183" w:rsidP="00236183">
            <w:pPr>
              <w:keepNext/>
              <w:spacing w:after="0" w:line="36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2016</w:t>
            </w:r>
          </w:p>
        </w:tc>
      </w:tr>
      <w:tr w:rsidR="00236183" w:rsidRPr="00236183" w:rsidTr="00E97DC0">
        <w:trPr>
          <w:cantSplit/>
          <w:jc w:val="center"/>
        </w:trPr>
        <w:tc>
          <w:tcPr>
            <w:tcW w:w="3556" w:type="dxa"/>
            <w:vAlign w:val="center"/>
          </w:tcPr>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CAP </w:t>
            </w:r>
          </w:p>
        </w:tc>
        <w:tc>
          <w:tcPr>
            <w:tcW w:w="1693"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$21,191,435</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$22,423,346</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$23,705,256</w:t>
            </w:r>
          </w:p>
        </w:tc>
      </w:tr>
      <w:tr w:rsidR="00236183" w:rsidRPr="00236183" w:rsidTr="00E97DC0">
        <w:trPr>
          <w:cantSplit/>
          <w:jc w:val="center"/>
        </w:trPr>
        <w:tc>
          <w:tcPr>
            <w:tcW w:w="3556" w:type="dxa"/>
            <w:vAlign w:val="center"/>
          </w:tcPr>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LIURP</w:t>
            </w:r>
          </w:p>
        </w:tc>
        <w:tc>
          <w:tcPr>
            <w:tcW w:w="1693"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$1,364,600</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$1,364,600</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$1,364,600</w:t>
            </w:r>
          </w:p>
        </w:tc>
      </w:tr>
      <w:tr w:rsidR="00236183" w:rsidRPr="00236183" w:rsidTr="00E97DC0">
        <w:trPr>
          <w:cantSplit/>
          <w:jc w:val="center"/>
        </w:trPr>
        <w:tc>
          <w:tcPr>
            <w:tcW w:w="3556" w:type="dxa"/>
            <w:vAlign w:val="center"/>
          </w:tcPr>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Hardship Fund*</w:t>
            </w:r>
          </w:p>
        </w:tc>
        <w:tc>
          <w:tcPr>
            <w:tcW w:w="1693"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$75</w:t>
            </w:r>
            <w:r w:rsidR="00577C57">
              <w:rPr>
                <w:rFonts w:ascii="Times New Roman" w:eastAsia="Times New Roman" w:hAnsi="Times New Roman" w:cs="Times New Roman"/>
                <w:color w:val="0D0D0D" w:themeColor="text1" w:themeTint="F2"/>
                <w:sz w:val="26"/>
                <w:szCs w:val="26"/>
              </w:rPr>
              <w:t>0</w:t>
            </w:r>
            <w:r w:rsidRPr="00236183">
              <w:rPr>
                <w:rFonts w:ascii="Times New Roman" w:eastAsia="Times New Roman" w:hAnsi="Times New Roman" w:cs="Times New Roman"/>
                <w:color w:val="0D0D0D" w:themeColor="text1" w:themeTint="F2"/>
                <w:sz w:val="26"/>
                <w:szCs w:val="26"/>
              </w:rPr>
              <w:t>,000</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$75</w:t>
            </w:r>
            <w:r w:rsidR="00577C57">
              <w:rPr>
                <w:rFonts w:ascii="Times New Roman" w:eastAsia="Times New Roman" w:hAnsi="Times New Roman" w:cs="Times New Roman"/>
                <w:color w:val="0D0D0D" w:themeColor="text1" w:themeTint="F2"/>
                <w:sz w:val="26"/>
                <w:szCs w:val="26"/>
              </w:rPr>
              <w:t>0</w:t>
            </w:r>
            <w:r w:rsidRPr="00236183">
              <w:rPr>
                <w:rFonts w:ascii="Times New Roman" w:eastAsia="Times New Roman" w:hAnsi="Times New Roman" w:cs="Times New Roman"/>
                <w:color w:val="0D0D0D" w:themeColor="text1" w:themeTint="F2"/>
                <w:sz w:val="26"/>
                <w:szCs w:val="26"/>
              </w:rPr>
              <w:t>,000</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$75</w:t>
            </w:r>
            <w:r w:rsidR="00577C57">
              <w:rPr>
                <w:rFonts w:ascii="Times New Roman" w:eastAsia="Times New Roman" w:hAnsi="Times New Roman" w:cs="Times New Roman"/>
                <w:color w:val="0D0D0D" w:themeColor="text1" w:themeTint="F2"/>
                <w:sz w:val="26"/>
                <w:szCs w:val="26"/>
              </w:rPr>
              <w:t>0</w:t>
            </w:r>
            <w:r w:rsidRPr="00236183">
              <w:rPr>
                <w:rFonts w:ascii="Times New Roman" w:eastAsia="Times New Roman" w:hAnsi="Times New Roman" w:cs="Times New Roman"/>
                <w:color w:val="0D0D0D" w:themeColor="text1" w:themeTint="F2"/>
                <w:sz w:val="26"/>
                <w:szCs w:val="26"/>
              </w:rPr>
              <w:t>,000</w:t>
            </w:r>
          </w:p>
        </w:tc>
      </w:tr>
      <w:tr w:rsidR="00236183" w:rsidRPr="00236183" w:rsidTr="00E97DC0">
        <w:trPr>
          <w:cantSplit/>
          <w:jc w:val="center"/>
        </w:trPr>
        <w:tc>
          <w:tcPr>
            <w:tcW w:w="3556" w:type="dxa"/>
            <w:vAlign w:val="center"/>
          </w:tcPr>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CARES</w:t>
            </w:r>
          </w:p>
        </w:tc>
        <w:tc>
          <w:tcPr>
            <w:tcW w:w="1693"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$135,000</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$135,000</w:t>
            </w:r>
          </w:p>
        </w:tc>
        <w:tc>
          <w:tcPr>
            <w:tcW w:w="1660" w:type="dxa"/>
            <w:vAlign w:val="center"/>
          </w:tcPr>
          <w:p w:rsidR="00236183" w:rsidRPr="00236183" w:rsidRDefault="00236183" w:rsidP="00236183">
            <w:pPr>
              <w:keepNext/>
              <w:spacing w:after="0" w:line="360" w:lineRule="auto"/>
              <w:jc w:val="center"/>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$135,000</w:t>
            </w:r>
          </w:p>
        </w:tc>
      </w:tr>
      <w:tr w:rsidR="00E0644C" w:rsidRPr="00236183" w:rsidTr="00E0644C">
        <w:trPr>
          <w:cantSplit/>
          <w:jc w:val="center"/>
        </w:trPr>
        <w:tc>
          <w:tcPr>
            <w:tcW w:w="3556" w:type="dxa"/>
            <w:vAlign w:val="center"/>
          </w:tcPr>
          <w:p w:rsidR="00E0644C" w:rsidRPr="00236183" w:rsidRDefault="00E0644C"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Total</w:t>
            </w:r>
          </w:p>
        </w:tc>
        <w:tc>
          <w:tcPr>
            <w:tcW w:w="1693" w:type="dxa"/>
            <w:vAlign w:val="center"/>
          </w:tcPr>
          <w:p w:rsidR="00E0644C" w:rsidRPr="00E0644C" w:rsidRDefault="00E0644C" w:rsidP="00E0644C">
            <w:pPr>
              <w:jc w:val="center"/>
              <w:rPr>
                <w:rFonts w:ascii="Times New Roman" w:hAnsi="Times New Roman" w:cs="Times New Roman"/>
                <w:color w:val="000000"/>
                <w:sz w:val="26"/>
                <w:szCs w:val="26"/>
              </w:rPr>
            </w:pPr>
            <w:r w:rsidRPr="00E0644C">
              <w:rPr>
                <w:rFonts w:ascii="Times New Roman" w:hAnsi="Times New Roman" w:cs="Times New Roman"/>
                <w:color w:val="000000"/>
                <w:sz w:val="26"/>
                <w:szCs w:val="26"/>
              </w:rPr>
              <w:t>$23,441,035</w:t>
            </w:r>
          </w:p>
        </w:tc>
        <w:tc>
          <w:tcPr>
            <w:tcW w:w="1660" w:type="dxa"/>
            <w:vAlign w:val="center"/>
          </w:tcPr>
          <w:p w:rsidR="00E0644C" w:rsidRPr="00E0644C" w:rsidRDefault="00E0644C" w:rsidP="00E0644C">
            <w:pPr>
              <w:jc w:val="center"/>
              <w:rPr>
                <w:rFonts w:ascii="Times New Roman" w:hAnsi="Times New Roman" w:cs="Times New Roman"/>
                <w:color w:val="000000"/>
                <w:sz w:val="26"/>
                <w:szCs w:val="26"/>
              </w:rPr>
            </w:pPr>
            <w:r w:rsidRPr="00E0644C">
              <w:rPr>
                <w:rFonts w:ascii="Times New Roman" w:hAnsi="Times New Roman" w:cs="Times New Roman"/>
                <w:color w:val="000000"/>
                <w:sz w:val="26"/>
                <w:szCs w:val="26"/>
              </w:rPr>
              <w:t>$24,672,946</w:t>
            </w:r>
          </w:p>
        </w:tc>
        <w:tc>
          <w:tcPr>
            <w:tcW w:w="1660" w:type="dxa"/>
            <w:vAlign w:val="center"/>
          </w:tcPr>
          <w:p w:rsidR="00E0644C" w:rsidRPr="00E0644C" w:rsidRDefault="00E0644C" w:rsidP="00E0644C">
            <w:pPr>
              <w:jc w:val="center"/>
              <w:rPr>
                <w:rFonts w:ascii="Times New Roman" w:hAnsi="Times New Roman" w:cs="Times New Roman"/>
                <w:color w:val="000000"/>
                <w:sz w:val="26"/>
                <w:szCs w:val="26"/>
              </w:rPr>
            </w:pPr>
            <w:r w:rsidRPr="00E0644C">
              <w:rPr>
                <w:rFonts w:ascii="Times New Roman" w:hAnsi="Times New Roman" w:cs="Times New Roman"/>
                <w:color w:val="000000"/>
                <w:sz w:val="26"/>
                <w:szCs w:val="26"/>
              </w:rPr>
              <w:t>$25,954,856</w:t>
            </w:r>
          </w:p>
        </w:tc>
      </w:tr>
      <w:tr w:rsidR="009D6B2F" w:rsidRPr="00236183" w:rsidTr="00E97DC0">
        <w:trPr>
          <w:cantSplit/>
          <w:jc w:val="center"/>
        </w:trPr>
        <w:tc>
          <w:tcPr>
            <w:tcW w:w="3556" w:type="dxa"/>
            <w:vAlign w:val="center"/>
          </w:tcPr>
          <w:p w:rsidR="009D6B2F" w:rsidRPr="00236183" w:rsidRDefault="009D6B2F" w:rsidP="00E97DC0">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Average Monthly Spending </w:t>
            </w:r>
          </w:p>
          <w:p w:rsidR="009D6B2F" w:rsidRPr="00236183" w:rsidRDefault="009D6B2F" w:rsidP="00E97DC0">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per Residential Customer  </w:t>
            </w:r>
          </w:p>
          <w:p w:rsidR="009D6B2F" w:rsidRPr="00236183" w:rsidRDefault="009D6B2F" w:rsidP="00E97DC0">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(525,683 total customers)</w:t>
            </w:r>
          </w:p>
        </w:tc>
        <w:tc>
          <w:tcPr>
            <w:tcW w:w="1693" w:type="dxa"/>
            <w:vAlign w:val="center"/>
          </w:tcPr>
          <w:p w:rsidR="009D6B2F" w:rsidRPr="004A288C" w:rsidRDefault="009D6B2F" w:rsidP="00236183">
            <w:pPr>
              <w:keepNext/>
              <w:spacing w:after="0" w:line="240" w:lineRule="auto"/>
              <w:jc w:val="center"/>
              <w:rPr>
                <w:rFonts w:ascii="Times New Roman" w:eastAsia="Times New Roman" w:hAnsi="Times New Roman" w:cs="Times New Roman"/>
                <w:sz w:val="26"/>
                <w:szCs w:val="26"/>
              </w:rPr>
            </w:pPr>
            <w:r w:rsidRPr="009D6B2F">
              <w:rPr>
                <w:rFonts w:ascii="Times New Roman" w:hAnsi="Times New Roman" w:cs="Times New Roman"/>
                <w:color w:val="000000"/>
                <w:sz w:val="26"/>
                <w:szCs w:val="26"/>
              </w:rPr>
              <w:t xml:space="preserve">$3.61 </w:t>
            </w:r>
          </w:p>
        </w:tc>
        <w:tc>
          <w:tcPr>
            <w:tcW w:w="1660" w:type="dxa"/>
            <w:vAlign w:val="center"/>
          </w:tcPr>
          <w:p w:rsidR="009D6B2F" w:rsidRPr="004A288C" w:rsidRDefault="009D6B2F" w:rsidP="00236183">
            <w:pPr>
              <w:keepNext/>
              <w:spacing w:after="0" w:line="240" w:lineRule="auto"/>
              <w:jc w:val="center"/>
              <w:rPr>
                <w:rFonts w:ascii="Times New Roman" w:eastAsia="Times New Roman" w:hAnsi="Times New Roman" w:cs="Times New Roman"/>
                <w:sz w:val="26"/>
                <w:szCs w:val="26"/>
              </w:rPr>
            </w:pPr>
            <w:r w:rsidRPr="009D6B2F">
              <w:rPr>
                <w:rFonts w:ascii="Times New Roman" w:hAnsi="Times New Roman" w:cs="Times New Roman"/>
                <w:color w:val="000000"/>
                <w:sz w:val="26"/>
                <w:szCs w:val="26"/>
              </w:rPr>
              <w:t xml:space="preserve">$3.80 </w:t>
            </w:r>
          </w:p>
        </w:tc>
        <w:tc>
          <w:tcPr>
            <w:tcW w:w="1660" w:type="dxa"/>
            <w:vAlign w:val="center"/>
          </w:tcPr>
          <w:p w:rsidR="009D6B2F" w:rsidRPr="004A288C" w:rsidRDefault="009D6B2F" w:rsidP="00236183">
            <w:pPr>
              <w:keepNext/>
              <w:spacing w:after="0" w:line="240" w:lineRule="auto"/>
              <w:jc w:val="center"/>
              <w:rPr>
                <w:rFonts w:ascii="Times New Roman" w:eastAsia="Times New Roman" w:hAnsi="Times New Roman" w:cs="Times New Roman"/>
                <w:sz w:val="26"/>
                <w:szCs w:val="26"/>
              </w:rPr>
            </w:pPr>
            <w:r w:rsidRPr="009D6B2F">
              <w:rPr>
                <w:rFonts w:ascii="Times New Roman" w:hAnsi="Times New Roman" w:cs="Times New Roman"/>
                <w:color w:val="000000"/>
                <w:sz w:val="26"/>
                <w:szCs w:val="26"/>
              </w:rPr>
              <w:t xml:space="preserve">$4.01 </w:t>
            </w:r>
          </w:p>
        </w:tc>
      </w:tr>
    </w:tbl>
    <w:p w:rsidR="00236183" w:rsidRPr="00236183" w:rsidRDefault="00236183" w:rsidP="00236183">
      <w:pPr>
        <w:spacing w:after="0" w:line="360" w:lineRule="auto"/>
        <w:ind w:left="720"/>
        <w:contextualSpacing/>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 </w:t>
      </w:r>
      <w:r w:rsidR="004A288C">
        <w:rPr>
          <w:rFonts w:ascii="Times New Roman" w:eastAsia="Times New Roman" w:hAnsi="Times New Roman" w:cs="Times New Roman"/>
          <w:color w:val="0D0D0D" w:themeColor="text1" w:themeTint="F2"/>
          <w:sz w:val="26"/>
          <w:szCs w:val="26"/>
        </w:rPr>
        <w:t xml:space="preserve">matches customer contributions for its Hardship Fund up to $375,000 annually. </w:t>
      </w:r>
      <w:r w:rsidR="008A397B">
        <w:rPr>
          <w:rFonts w:ascii="Times New Roman" w:eastAsia="Times New Roman" w:hAnsi="Times New Roman" w:cs="Times New Roman"/>
          <w:color w:val="0D0D0D" w:themeColor="text1" w:themeTint="F2"/>
          <w:sz w:val="26"/>
          <w:szCs w:val="26"/>
        </w:rPr>
        <w:t>In its needs assessment, t</w:t>
      </w:r>
      <w:r w:rsidR="004A288C">
        <w:rPr>
          <w:rFonts w:ascii="Times New Roman" w:eastAsia="Times New Roman" w:hAnsi="Times New Roman" w:cs="Times New Roman"/>
          <w:color w:val="0D0D0D" w:themeColor="text1" w:themeTint="F2"/>
          <w:sz w:val="26"/>
          <w:szCs w:val="26"/>
        </w:rPr>
        <w:t xml:space="preserve">he Company </w:t>
      </w:r>
      <w:r w:rsidR="009050C3">
        <w:rPr>
          <w:rFonts w:ascii="Times New Roman" w:eastAsia="Times New Roman" w:hAnsi="Times New Roman" w:cs="Times New Roman"/>
          <w:color w:val="0D0D0D" w:themeColor="text1" w:themeTint="F2"/>
          <w:sz w:val="26"/>
          <w:szCs w:val="26"/>
        </w:rPr>
        <w:t>projects</w:t>
      </w:r>
      <w:r w:rsidR="009050C3" w:rsidRPr="00236183">
        <w:rPr>
          <w:rFonts w:ascii="Times New Roman" w:eastAsia="Times New Roman" w:hAnsi="Times New Roman" w:cs="Times New Roman"/>
          <w:color w:val="0D0D0D" w:themeColor="text1" w:themeTint="F2"/>
          <w:sz w:val="26"/>
          <w:szCs w:val="26"/>
        </w:rPr>
        <w:t xml:space="preserve"> </w:t>
      </w:r>
      <w:r w:rsidRPr="00236183">
        <w:rPr>
          <w:rFonts w:ascii="Times New Roman" w:eastAsia="Times New Roman" w:hAnsi="Times New Roman" w:cs="Times New Roman"/>
          <w:color w:val="0D0D0D" w:themeColor="text1" w:themeTint="F2"/>
          <w:sz w:val="26"/>
          <w:szCs w:val="26"/>
        </w:rPr>
        <w:t xml:space="preserve">that it </w:t>
      </w:r>
      <w:r w:rsidR="009050C3">
        <w:rPr>
          <w:rFonts w:ascii="Times New Roman" w:eastAsia="Times New Roman" w:hAnsi="Times New Roman" w:cs="Times New Roman"/>
          <w:color w:val="0D0D0D" w:themeColor="text1" w:themeTint="F2"/>
          <w:sz w:val="26"/>
          <w:szCs w:val="26"/>
        </w:rPr>
        <w:t xml:space="preserve">will </w:t>
      </w:r>
      <w:r w:rsidR="00B57FCB">
        <w:rPr>
          <w:rFonts w:ascii="Times New Roman" w:eastAsia="Times New Roman" w:hAnsi="Times New Roman" w:cs="Times New Roman"/>
          <w:color w:val="0D0D0D" w:themeColor="text1" w:themeTint="F2"/>
          <w:sz w:val="26"/>
          <w:szCs w:val="26"/>
        </w:rPr>
        <w:t>fund the</w:t>
      </w:r>
      <w:r w:rsidR="004A288C">
        <w:rPr>
          <w:rFonts w:ascii="Times New Roman" w:eastAsia="Times New Roman" w:hAnsi="Times New Roman" w:cs="Times New Roman"/>
          <w:color w:val="0D0D0D" w:themeColor="text1" w:themeTint="F2"/>
          <w:sz w:val="26"/>
          <w:szCs w:val="26"/>
        </w:rPr>
        <w:t xml:space="preserve"> program </w:t>
      </w:r>
      <w:r w:rsidRPr="00236183">
        <w:rPr>
          <w:rFonts w:ascii="Times New Roman" w:eastAsia="Times New Roman" w:hAnsi="Times New Roman" w:cs="Times New Roman"/>
          <w:color w:val="0D0D0D" w:themeColor="text1" w:themeTint="F2"/>
          <w:sz w:val="26"/>
          <w:szCs w:val="26"/>
        </w:rPr>
        <w:t>at a</w:t>
      </w:r>
      <w:r w:rsidR="008A397B">
        <w:rPr>
          <w:rFonts w:ascii="Times New Roman" w:eastAsia="Times New Roman" w:hAnsi="Times New Roman" w:cs="Times New Roman"/>
          <w:color w:val="0D0D0D" w:themeColor="text1" w:themeTint="F2"/>
          <w:sz w:val="26"/>
          <w:szCs w:val="26"/>
        </w:rPr>
        <w:t>n annual</w:t>
      </w:r>
      <w:r w:rsidRPr="00236183">
        <w:rPr>
          <w:rFonts w:ascii="Times New Roman" w:eastAsia="Times New Roman" w:hAnsi="Times New Roman" w:cs="Times New Roman"/>
          <w:color w:val="0D0D0D" w:themeColor="text1" w:themeTint="F2"/>
          <w:sz w:val="26"/>
          <w:szCs w:val="26"/>
        </w:rPr>
        <w:t xml:space="preserve"> cost of $75</w:t>
      </w:r>
      <w:r w:rsidR="009050C3">
        <w:rPr>
          <w:rFonts w:ascii="Times New Roman" w:eastAsia="Times New Roman" w:hAnsi="Times New Roman" w:cs="Times New Roman"/>
          <w:color w:val="0D0D0D" w:themeColor="text1" w:themeTint="F2"/>
          <w:sz w:val="26"/>
          <w:szCs w:val="26"/>
        </w:rPr>
        <w:t>0</w:t>
      </w:r>
      <w:r w:rsidRPr="00236183">
        <w:rPr>
          <w:rFonts w:ascii="Times New Roman" w:eastAsia="Times New Roman" w:hAnsi="Times New Roman" w:cs="Times New Roman"/>
          <w:color w:val="0D0D0D" w:themeColor="text1" w:themeTint="F2"/>
          <w:sz w:val="26"/>
          <w:szCs w:val="26"/>
        </w:rPr>
        <w:t>,000 per year (</w:t>
      </w:r>
      <w:hyperlink r:id="rId10" w:tgtFrame="_blank" w:history="1">
        <w:r w:rsidR="009050C3" w:rsidRPr="008A397B">
          <w:rPr>
            <w:rStyle w:val="Hyperlink"/>
            <w:rFonts w:ascii="Times New Roman" w:hAnsi="Times New Roman" w:cs="Times New Roman"/>
            <w:bCs/>
            <w:color w:val="auto"/>
            <w:sz w:val="26"/>
            <w:szCs w:val="26"/>
            <w:u w:val="none"/>
          </w:rPr>
          <w:t>2014-2016 USECP Supplemental Information Response from Duquesne</w:t>
        </w:r>
      </w:hyperlink>
      <w:r w:rsidRPr="00236183">
        <w:rPr>
          <w:rFonts w:ascii="Times New Roman" w:eastAsia="Times New Roman" w:hAnsi="Times New Roman" w:cs="Times New Roman"/>
          <w:color w:val="0D0D0D" w:themeColor="text1" w:themeTint="F2"/>
          <w:sz w:val="26"/>
          <w:szCs w:val="26"/>
        </w:rPr>
        <w:t xml:space="preserve">).  Only </w:t>
      </w:r>
      <w:r w:rsidR="009050C3">
        <w:rPr>
          <w:rFonts w:ascii="Times New Roman" w:eastAsia="Times New Roman" w:hAnsi="Times New Roman" w:cs="Times New Roman"/>
          <w:color w:val="0D0D0D" w:themeColor="text1" w:themeTint="F2"/>
          <w:sz w:val="26"/>
          <w:szCs w:val="26"/>
        </w:rPr>
        <w:t>the</w:t>
      </w:r>
      <w:r w:rsidR="009050C3" w:rsidRPr="00236183">
        <w:rPr>
          <w:rFonts w:ascii="Times New Roman" w:eastAsia="Times New Roman" w:hAnsi="Times New Roman" w:cs="Times New Roman"/>
          <w:color w:val="0D0D0D" w:themeColor="text1" w:themeTint="F2"/>
          <w:sz w:val="26"/>
          <w:szCs w:val="26"/>
        </w:rPr>
        <w:t xml:space="preserve"> </w:t>
      </w:r>
      <w:r w:rsidRPr="00236183">
        <w:rPr>
          <w:rFonts w:ascii="Times New Roman" w:eastAsia="Times New Roman" w:hAnsi="Times New Roman" w:cs="Times New Roman"/>
          <w:color w:val="0D0D0D" w:themeColor="text1" w:themeTint="F2"/>
          <w:sz w:val="26"/>
          <w:szCs w:val="26"/>
        </w:rPr>
        <w:t xml:space="preserve">administrative </w:t>
      </w:r>
      <w:r w:rsidR="000F62E4">
        <w:rPr>
          <w:rFonts w:ascii="Times New Roman" w:eastAsia="Times New Roman" w:hAnsi="Times New Roman" w:cs="Times New Roman"/>
          <w:color w:val="0D0D0D" w:themeColor="text1" w:themeTint="F2"/>
          <w:sz w:val="26"/>
          <w:szCs w:val="26"/>
        </w:rPr>
        <w:t>cost of $75,000</w:t>
      </w:r>
      <w:r w:rsidR="009050C3">
        <w:rPr>
          <w:rFonts w:ascii="Times New Roman" w:eastAsia="Times New Roman" w:hAnsi="Times New Roman" w:cs="Times New Roman"/>
          <w:color w:val="0D0D0D" w:themeColor="text1" w:themeTint="F2"/>
          <w:sz w:val="26"/>
          <w:szCs w:val="26"/>
        </w:rPr>
        <w:t xml:space="preserve"> </w:t>
      </w:r>
      <w:r w:rsidR="008A397B">
        <w:rPr>
          <w:rFonts w:ascii="Times New Roman" w:eastAsia="Times New Roman" w:hAnsi="Times New Roman" w:cs="Times New Roman"/>
          <w:color w:val="0D0D0D" w:themeColor="text1" w:themeTint="F2"/>
          <w:sz w:val="26"/>
          <w:szCs w:val="26"/>
        </w:rPr>
        <w:t xml:space="preserve">per year </w:t>
      </w:r>
      <w:r w:rsidRPr="00236183">
        <w:rPr>
          <w:rFonts w:ascii="Times New Roman" w:eastAsia="Times New Roman" w:hAnsi="Times New Roman" w:cs="Times New Roman"/>
          <w:color w:val="0D0D0D" w:themeColor="text1" w:themeTint="F2"/>
          <w:sz w:val="26"/>
          <w:szCs w:val="26"/>
        </w:rPr>
        <w:t>is recovered in base rates</w:t>
      </w:r>
      <w:r w:rsidR="009D6B2F">
        <w:rPr>
          <w:rFonts w:ascii="Times New Roman" w:eastAsia="Times New Roman" w:hAnsi="Times New Roman" w:cs="Times New Roman"/>
          <w:color w:val="0D0D0D" w:themeColor="text1" w:themeTint="F2"/>
          <w:sz w:val="26"/>
          <w:szCs w:val="26"/>
        </w:rPr>
        <w:t xml:space="preserve"> and is counted</w:t>
      </w:r>
      <w:r w:rsidR="00E0644C">
        <w:rPr>
          <w:color w:val="0D0D0D" w:themeColor="text1" w:themeTint="F2"/>
          <w:sz w:val="26"/>
          <w:szCs w:val="26"/>
        </w:rPr>
        <w:t xml:space="preserve"> in the </w:t>
      </w:r>
      <w:r w:rsidR="009D6B2F" w:rsidRPr="009B38F8">
        <w:rPr>
          <w:color w:val="0D0D0D" w:themeColor="text1" w:themeTint="F2"/>
          <w:sz w:val="26"/>
          <w:szCs w:val="26"/>
        </w:rPr>
        <w:t xml:space="preserve">“Average Monthly Spending per </w:t>
      </w:r>
      <w:r w:rsidR="009D6B2F">
        <w:rPr>
          <w:color w:val="0D0D0D" w:themeColor="text1" w:themeTint="F2"/>
          <w:sz w:val="26"/>
          <w:szCs w:val="26"/>
        </w:rPr>
        <w:t xml:space="preserve">Residential </w:t>
      </w:r>
      <w:r w:rsidR="009D6B2F" w:rsidRPr="009B38F8">
        <w:rPr>
          <w:color w:val="0D0D0D" w:themeColor="text1" w:themeTint="F2"/>
          <w:sz w:val="26"/>
          <w:szCs w:val="26"/>
        </w:rPr>
        <w:t>Customer</w:t>
      </w:r>
      <w:r w:rsidR="009D6B2F">
        <w:rPr>
          <w:color w:val="0D0D0D" w:themeColor="text1" w:themeTint="F2"/>
          <w:sz w:val="26"/>
          <w:szCs w:val="26"/>
        </w:rPr>
        <w:t>”</w:t>
      </w:r>
      <w:r w:rsidR="009D6B2F" w:rsidRPr="009B38F8">
        <w:rPr>
          <w:color w:val="0D0D0D" w:themeColor="text1" w:themeTint="F2"/>
          <w:sz w:val="26"/>
          <w:szCs w:val="26"/>
        </w:rPr>
        <w:t>.</w:t>
      </w:r>
      <w:r w:rsidRPr="00236183">
        <w:rPr>
          <w:rFonts w:ascii="Times New Roman" w:eastAsia="Times New Roman" w:hAnsi="Times New Roman" w:cs="Times New Roman"/>
          <w:color w:val="0D0D0D" w:themeColor="text1" w:themeTint="F2"/>
          <w:sz w:val="26"/>
          <w:szCs w:val="26"/>
        </w:rPr>
        <w:t xml:space="preserve">  </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ab/>
        <w:t>At this time, the Commission finds that it is reasonable to presume that these budgets should adequately serve the need in Duquesne’s service territory.  This evaluation, however, is not intended to limit the ability to establish future budgets based on changing needs.</w:t>
      </w:r>
    </w:p>
    <w:p w:rsidR="00236183" w:rsidRPr="00236183" w:rsidRDefault="00236183" w:rsidP="00236183">
      <w:pPr>
        <w:spacing w:after="0" w:line="360" w:lineRule="auto"/>
        <w:ind w:left="720"/>
        <w:contextualSpacing/>
        <w:rPr>
          <w:rFonts w:ascii="Times New Roman" w:eastAsia="Times New Roman" w:hAnsi="Times New Roman" w:cs="Times New Roman"/>
          <w:color w:val="0D0D0D" w:themeColor="text1" w:themeTint="F2"/>
          <w:sz w:val="26"/>
          <w:szCs w:val="26"/>
        </w:rPr>
      </w:pPr>
    </w:p>
    <w:p w:rsidR="00236183" w:rsidRPr="00236183" w:rsidRDefault="00236183" w:rsidP="003A1377">
      <w:pPr>
        <w:keepNext/>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u w:val="single"/>
        </w:rPr>
        <w:t>Use of Community-Based Organizations (CBOs)</w:t>
      </w:r>
    </w:p>
    <w:p w:rsidR="00236183" w:rsidRPr="00236183" w:rsidRDefault="00236183" w:rsidP="003A1377">
      <w:pPr>
        <w:keepNext/>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3A1377">
      <w:pPr>
        <w:keepNext/>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The Competition Act directs the Commission to encourage energy utilities to use community-based organizations to assist in the operation of universal service programs.  </w:t>
      </w:r>
      <w:proofErr w:type="gramStart"/>
      <w:r w:rsidRPr="00236183">
        <w:rPr>
          <w:rFonts w:ascii="Times New Roman" w:eastAsia="Times New Roman" w:hAnsi="Times New Roman" w:cs="Times New Roman"/>
          <w:color w:val="0D0D0D" w:themeColor="text1" w:themeTint="F2"/>
          <w:sz w:val="26"/>
          <w:szCs w:val="26"/>
        </w:rPr>
        <w:t>66 Pa. C.S. § 2804(9).</w:t>
      </w:r>
      <w:proofErr w:type="gramEnd"/>
      <w:r w:rsidRPr="00236183">
        <w:rPr>
          <w:rFonts w:ascii="Times New Roman" w:eastAsia="Times New Roman" w:hAnsi="Times New Roman" w:cs="Times New Roman"/>
          <w:color w:val="0D0D0D" w:themeColor="text1" w:themeTint="F2"/>
          <w:sz w:val="26"/>
          <w:szCs w:val="26"/>
        </w:rPr>
        <w:t xml:space="preserve">  Duquesne utilizes community based organizations to administer its Universal Services Programs.  The Goodwill of Southwestern Pennsylvania and Holy Family Institute administer the CAP and CARES programs; Conservation Consultants Inc. administers the LIURP program; and the Dollar Energy Fund is administered by 45 different community based organizations, including:</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4"/>
          <w:szCs w:val="24"/>
        </w:rPr>
      </w:pPr>
    </w:p>
    <w:p w:rsidR="00236183" w:rsidRPr="00236183" w:rsidRDefault="00236183" w:rsidP="00236183">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Catholic Charities (3 sites)</w:t>
      </w:r>
    </w:p>
    <w:p w:rsidR="00236183" w:rsidRPr="00236183" w:rsidRDefault="00236183" w:rsidP="00236183">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The Salvation Army (4 sites)</w:t>
      </w:r>
    </w:p>
    <w:p w:rsidR="00236183" w:rsidRPr="00236183" w:rsidRDefault="00236183" w:rsidP="00236183">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Primary Care Health Services (2 sites)</w:t>
      </w:r>
    </w:p>
    <w:p w:rsidR="00236183" w:rsidRPr="00236183" w:rsidRDefault="00236183" w:rsidP="00236183">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Holy Family Institute (4 sites)</w:t>
      </w:r>
    </w:p>
    <w:p w:rsidR="00236183" w:rsidRPr="00236183" w:rsidRDefault="00236183" w:rsidP="00236183">
      <w:pPr>
        <w:spacing w:after="0" w:line="360" w:lineRule="auto"/>
        <w:ind w:left="108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Accordingly, we tentatively find that Duquesne’s use of CBOs complies with the intent of the Competition Act.</w:t>
      </w:r>
    </w:p>
    <w:p w:rsidR="00236183" w:rsidRPr="00236183" w:rsidRDefault="00236183" w:rsidP="00236183">
      <w:pPr>
        <w:spacing w:after="0" w:line="360" w:lineRule="auto"/>
        <w:ind w:left="108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236183">
        <w:rPr>
          <w:rFonts w:ascii="Times New Roman" w:eastAsia="Times New Roman" w:hAnsi="Times New Roman" w:cs="Times New Roman"/>
          <w:b/>
          <w:color w:val="0D0D0D" w:themeColor="text1" w:themeTint="F2"/>
          <w:sz w:val="26"/>
          <w:szCs w:val="26"/>
          <w:u w:val="single"/>
        </w:rPr>
        <w:t>Organizational Structure</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The organizational structure for the Duquesne’s Universal Service Programs is as follows:</w:t>
      </w:r>
    </w:p>
    <w:p w:rsidR="00236183" w:rsidRPr="00236183" w:rsidRDefault="00236183" w:rsidP="00236183">
      <w:pPr>
        <w:numPr>
          <w:ilvl w:val="0"/>
          <w:numId w:val="3"/>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One Universal Services Manager</w:t>
      </w:r>
    </w:p>
    <w:p w:rsidR="00236183" w:rsidRPr="00236183" w:rsidRDefault="00236183" w:rsidP="00236183">
      <w:pPr>
        <w:numPr>
          <w:ilvl w:val="0"/>
          <w:numId w:val="3"/>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One Senior Analyst</w:t>
      </w:r>
    </w:p>
    <w:p w:rsidR="00236183" w:rsidRPr="00236183" w:rsidRDefault="00236183" w:rsidP="00236183">
      <w:pPr>
        <w:numPr>
          <w:ilvl w:val="0"/>
          <w:numId w:val="3"/>
        </w:num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Two Customer Service Representatives</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CAP agencies have a staff of 21 employees at 10 sites.  CARES agencies have 4 employees at each of 4 sites.  The LIURP agency has a staff of 11 employees.  The Dollar Energy Fund is staffed by CBO employees at 45 sites.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 xml:space="preserve">V.  Conclusion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In light of the above analysis, the Commission tentatively finds that Duquesne’s Amended Plan for 2014-2016, in conjunction with supplemental information provided by Duquesne, partially complies with the universal service requirements of the Electricity Generation Customer Choice and Competition Act.  We also tentatively find that the Amended Plan also partially complies with the universal service reporting requirements at 52 Pa. Code § 54.74 and the Commission’s CAP Policy Statement at 52 Pa. Code §§ 69.261-69.267 and with the LIURP regulations at 52 Pa. Code §§ 58.1-58.18.  Finally, the Commission’s tentative partial approval of this Amended Plan does not limit the Commission’s authority to order future changes to the Plan based on evaluation findings, universal service data or rate-making considerations.  This Tentative Order sets forth the aspects that Duquesne will need to address for the Amended Plan to be approved.</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In particular, Duquesne is directed to address the following points consistent with the discussion and directions herein: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Application of excess CAP payments to pre-program arrearages;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Application of full CAP credits to customer accounts monthly;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Compliance of Duquesne’s CBOs and contractors with obligations incumbent upon utilities, including accessibility and training;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Duquesne’s outbound call campaign to enroll into CAP customers in danger of termination;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 xml:space="preserve">CAP monitoring activities and referrals to LIURP;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Requirements for customers who complete a zero income form;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Automatic recertification process for CAP customers;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LIURP eligibility criteria for customers with special needs/disabilities</w:t>
      </w:r>
      <w:r w:rsidRPr="00236183">
        <w:rPr>
          <w:rFonts w:ascii="Times New Roman" w:eastAsia="Times New Roman" w:hAnsi="Times New Roman" w:cs="Times New Roman"/>
          <w:sz w:val="26"/>
          <w:szCs w:val="26"/>
        </w:rPr>
        <w:t xml:space="preserve">;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Whether Duquesne intends to increase the percentage of customers beyond 20% in 150%-200% FPIG for LIURP, which would in turn require a waiver of Commission regulations;</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Coordination with NGDCs, consistent with Act 129 mandates, to increase efficiency and cost savings for LIURP;</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sz w:val="26"/>
          <w:szCs w:val="26"/>
        </w:rPr>
        <w:t xml:space="preserve">LIURP reporting procedures to ensure that all variables are addressed with supporting data; </w:t>
      </w:r>
      <w:r w:rsidRPr="00236183">
        <w:rPr>
          <w:rFonts w:ascii="Times New Roman" w:eastAsia="Times New Roman" w:hAnsi="Times New Roman" w:cs="Times New Roman"/>
          <w:color w:val="0D0D0D" w:themeColor="text1" w:themeTint="F2"/>
          <w:sz w:val="26"/>
          <w:szCs w:val="26"/>
        </w:rPr>
        <w:t xml:space="preserve">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Remedial education data relative to Smart Comfort recipients with increased usage;</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Training plans and requirements for weatherization contractors;</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Application of Dollar Energy Fund grants to customer accounts to alleviate hardships</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Separation of Dollar Energy Grant money from dollars recovered through base rates; and </w:t>
      </w:r>
    </w:p>
    <w:p w:rsidR="00236183" w:rsidRPr="00236183" w:rsidRDefault="00236183" w:rsidP="00236183">
      <w:pPr>
        <w:numPr>
          <w:ilvl w:val="0"/>
          <w:numId w:val="18"/>
        </w:numPr>
        <w:spacing w:after="0" w:line="360" w:lineRule="auto"/>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LIURP needs assessment, enrollments, budget, and number of LIURP jobs.</w:t>
      </w:r>
    </w:p>
    <w:p w:rsidR="00236183" w:rsidRPr="00236183" w:rsidRDefault="00236183" w:rsidP="00236183">
      <w:pPr>
        <w:spacing w:after="0" w:line="360" w:lineRule="auto"/>
        <w:ind w:left="1080"/>
        <w:rPr>
          <w:rFonts w:ascii="Times New Roman" w:eastAsia="Times New Roman" w:hAnsi="Times New Roman" w:cs="Times New Roman"/>
          <w:color w:val="0D0D0D" w:themeColor="text1" w:themeTint="F2"/>
          <w:sz w:val="26"/>
          <w:szCs w:val="26"/>
        </w:rPr>
      </w:pPr>
    </w:p>
    <w:p w:rsid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Comments are due twenty (20) days after entry of this order, and reply comments are due ten (10) days thereafter.  If the comments and reply comments raise relevant material factual issues, this matter may be referred to the OALJ for hearing and decision.  If this Tentative Order becomes final without comment, then within 20 days of the end of the comment period, Duquesne shall file a second amended plan to address compliance with the directives contained within this Tentative Order.</w:t>
      </w:r>
    </w:p>
    <w:p w:rsidR="007D0E6D" w:rsidRPr="00236183" w:rsidRDefault="007D0E6D"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371094">
      <w:pPr>
        <w:keepNext/>
        <w:spacing w:after="0" w:line="360" w:lineRule="auto"/>
        <w:ind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lastRenderedPageBreak/>
        <w:t xml:space="preserve">THEREFORE, </w:t>
      </w:r>
    </w:p>
    <w:p w:rsidR="00236183" w:rsidRPr="00236183" w:rsidRDefault="00236183" w:rsidP="00371094">
      <w:pPr>
        <w:keepNext/>
        <w:spacing w:after="0" w:line="360" w:lineRule="auto"/>
        <w:rPr>
          <w:rFonts w:ascii="Times New Roman" w:eastAsia="Times New Roman" w:hAnsi="Times New Roman" w:cs="Times New Roman"/>
          <w:b/>
          <w:color w:val="0D0D0D" w:themeColor="text1" w:themeTint="F2"/>
          <w:sz w:val="26"/>
          <w:szCs w:val="26"/>
        </w:rPr>
      </w:pPr>
    </w:p>
    <w:p w:rsidR="00236183" w:rsidRPr="00236183" w:rsidRDefault="00236183" w:rsidP="00371094">
      <w:pPr>
        <w:keepNext/>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IT IS ORDERED:</w:t>
      </w: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That the Amended Universal Service and Energy Conservation Plan for 2014-2016, as filed on June 28, 2013, is partially approved as consistent with Title 66 of the Pennsylvania Consolidated Statutes, Title 52 of the Pennsylvania Code, and Commission practice.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4"/>
        </w:numPr>
        <w:tabs>
          <w:tab w:val="left" w:pos="720"/>
        </w:tabs>
        <w:autoSpaceDE w:val="0"/>
        <w:autoSpaceDN w:val="0"/>
        <w:adjustRightInd w:val="0"/>
        <w:spacing w:after="0" w:line="360" w:lineRule="auto"/>
        <w:ind w:firstLine="720"/>
        <w:rPr>
          <w:rFonts w:ascii="Times New Roman" w:eastAsia="Times New Roman" w:hAnsi="Times New Roman" w:cs="Times New Roman"/>
          <w:sz w:val="26"/>
          <w:szCs w:val="26"/>
        </w:rPr>
      </w:pPr>
      <w:r w:rsidRPr="00236183">
        <w:rPr>
          <w:rFonts w:ascii="Times New Roman" w:eastAsia="Times New Roman" w:hAnsi="Times New Roman" w:cs="Times New Roman"/>
          <w:color w:val="0D0D0D" w:themeColor="text1" w:themeTint="F2"/>
          <w:sz w:val="26"/>
          <w:szCs w:val="26"/>
        </w:rPr>
        <w:t xml:space="preserve">That a copy of this Tentative Order be served on the Duquesne Light Company, the Office of the Consumer Advocate, the Office of Small Business Advocate, the Bureau of Investigation and Enforcement, and the Coalition for Affordable Utility Services and Energy Efficiency in Pennsylvania.  </w:t>
      </w:r>
      <w:r w:rsidRPr="00236183">
        <w:rPr>
          <w:rFonts w:ascii="Times New Roman" w:eastAsia="Times New Roman" w:hAnsi="Times New Roman" w:cstheme="minorHAnsi"/>
          <w:color w:val="0D0D0D" w:themeColor="text1" w:themeTint="F2"/>
          <w:sz w:val="26"/>
          <w:szCs w:val="26"/>
        </w:rPr>
        <w:t xml:space="preserve">That this Tentative Order also be served on the active parties to the following dockets:  </w:t>
      </w:r>
      <w:r w:rsidRPr="00236183">
        <w:rPr>
          <w:rFonts w:ascii="Times New Roman" w:eastAsia="Times New Roman" w:hAnsi="Times New Roman" w:cs="Times New Roman"/>
          <w:i/>
          <w:color w:val="0D0D0D" w:themeColor="text1" w:themeTint="F2"/>
          <w:sz w:val="26"/>
          <w:szCs w:val="26"/>
        </w:rPr>
        <w:t>Duquesne Light’s USECP for 2011-2013</w:t>
      </w:r>
      <w:r w:rsidRPr="00236183">
        <w:rPr>
          <w:rFonts w:ascii="Times New Roman" w:eastAsia="Times New Roman" w:hAnsi="Times New Roman" w:cs="Times New Roman"/>
          <w:color w:val="0D0D0D" w:themeColor="text1" w:themeTint="F2"/>
          <w:sz w:val="26"/>
          <w:szCs w:val="26"/>
        </w:rPr>
        <w:t xml:space="preserve">, Docket No. M-2010-2161220; and the Duquesne Rate Case Settlement at </w:t>
      </w:r>
      <w:r w:rsidRPr="00236183">
        <w:rPr>
          <w:rFonts w:ascii="Times New Roman" w:eastAsia="Times New Roman" w:hAnsi="Times New Roman" w:cs="Times New Roman"/>
          <w:sz w:val="26"/>
          <w:szCs w:val="26"/>
        </w:rPr>
        <w:t xml:space="preserve">Docket No. R-2010-2179522.  </w:t>
      </w:r>
    </w:p>
    <w:p w:rsidR="00236183" w:rsidRPr="00236183" w:rsidRDefault="00236183" w:rsidP="00236183">
      <w:pPr>
        <w:tabs>
          <w:tab w:val="left" w:pos="720"/>
        </w:tabs>
        <w:autoSpaceDE w:val="0"/>
        <w:autoSpaceDN w:val="0"/>
        <w:adjustRightInd w:val="0"/>
        <w:spacing w:after="0" w:line="360" w:lineRule="auto"/>
        <w:ind w:left="720"/>
        <w:contextualSpacing/>
        <w:rPr>
          <w:rFonts w:ascii="Times New Roman" w:eastAsia="Times New Roman" w:hAnsi="Times New Roman" w:cs="Times New Roman"/>
          <w:sz w:val="26"/>
          <w:szCs w:val="26"/>
        </w:rPr>
      </w:pPr>
    </w:p>
    <w:p w:rsidR="00236183" w:rsidRPr="00236183" w:rsidRDefault="00236183" w:rsidP="00236183">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That a copy of this Tentative Order be posted on the Commission’s website at </w:t>
      </w:r>
      <w:hyperlink r:id="rId11" w:history="1">
        <w:r w:rsidRPr="00236183">
          <w:rPr>
            <w:rFonts w:ascii="Times New Roman" w:eastAsia="Times New Roman" w:hAnsi="Times New Roman" w:cs="Times New Roman"/>
            <w:color w:val="0D0D0D" w:themeColor="text1" w:themeTint="F2"/>
            <w:sz w:val="26"/>
            <w:szCs w:val="26"/>
            <w:u w:val="single"/>
          </w:rPr>
          <w:t>http://www.puc.state.pa.us</w:t>
        </w:r>
      </w:hyperlink>
      <w:r w:rsidRPr="00236183">
        <w:rPr>
          <w:rFonts w:ascii="Times New Roman" w:eastAsia="Times New Roman" w:hAnsi="Times New Roman" w:cs="Times New Roman"/>
          <w:color w:val="0D0D0D" w:themeColor="text1" w:themeTint="F2"/>
          <w:sz w:val="26"/>
          <w:szCs w:val="26"/>
        </w:rPr>
        <w:t>.</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That comments to this Tentative Order shall be electronically filed within twenty (20) days of the entry of this Order, and reply comments shall be electronically filed within ten (10) days thereafter.  Copies may be served on the parties electronically and are due by close of business of the day specified.</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5"/>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That one signed original copy of comments and reply comments shall be filed with the Commission’s Secretary at P.O. Box 3265, Harrisburg, PA 17105-3265. </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236183" w:rsidP="00236183">
      <w:pPr>
        <w:numPr>
          <w:ilvl w:val="0"/>
          <w:numId w:val="5"/>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lastRenderedPageBreak/>
        <w:t xml:space="preserve">That an electronic copy in WORD or WORD-compatible format, of all filed submissions, comments and reply comments be provided to Joseph Magee, Bureau of Consumer Services, at </w:t>
      </w:r>
      <w:hyperlink r:id="rId12" w:history="1">
        <w:r w:rsidRPr="00236183">
          <w:rPr>
            <w:rFonts w:ascii="Times New Roman" w:eastAsia="Times New Roman" w:hAnsi="Times New Roman" w:cs="Times New Roman"/>
            <w:sz w:val="26"/>
            <w:szCs w:val="26"/>
            <w:u w:val="single"/>
          </w:rPr>
          <w:t>jmagee@pa.gov</w:t>
        </w:r>
      </w:hyperlink>
      <w:r w:rsidRPr="00236183">
        <w:rPr>
          <w:rFonts w:ascii="Times New Roman" w:eastAsia="Times New Roman" w:hAnsi="Times New Roman" w:cs="Times New Roman"/>
          <w:color w:val="0D0D0D" w:themeColor="text1" w:themeTint="F2"/>
          <w:sz w:val="26"/>
          <w:szCs w:val="26"/>
        </w:rPr>
        <w:t xml:space="preserve">, to Louise Fink-Smith, Law Bureau, at </w:t>
      </w:r>
      <w:r w:rsidRPr="00236183">
        <w:rPr>
          <w:rFonts w:ascii="Times New Roman" w:eastAsia="Times New Roman" w:hAnsi="Times New Roman" w:cs="Times New Roman"/>
          <w:color w:val="0D0D0D" w:themeColor="text1" w:themeTint="F2"/>
          <w:sz w:val="26"/>
          <w:szCs w:val="26"/>
          <w:u w:val="single"/>
        </w:rPr>
        <w:t>finksmith@pa.gov</w:t>
      </w:r>
      <w:r w:rsidRPr="00236183">
        <w:rPr>
          <w:rFonts w:ascii="Times New Roman" w:eastAsia="Times New Roman" w:hAnsi="Times New Roman" w:cs="Times New Roman"/>
          <w:color w:val="0D0D0D" w:themeColor="text1" w:themeTint="F2"/>
          <w:sz w:val="26"/>
          <w:szCs w:val="26"/>
        </w:rPr>
        <w:t xml:space="preserve">, and to Cyndi Page, Office of Communications, at </w:t>
      </w:r>
      <w:hyperlink r:id="rId13" w:history="1">
        <w:proofErr w:type="spellStart"/>
        <w:r w:rsidRPr="00236183">
          <w:rPr>
            <w:rFonts w:ascii="Times New Roman" w:eastAsia="Times New Roman" w:hAnsi="Times New Roman" w:cs="Times New Roman"/>
            <w:color w:val="0D0D0D" w:themeColor="text1" w:themeTint="F2"/>
            <w:sz w:val="26"/>
            <w:szCs w:val="26"/>
            <w:u w:val="single"/>
          </w:rPr>
          <w:t>cypage</w:t>
        </w:r>
        <w:proofErr w:type="spellEnd"/>
        <w:r w:rsidRPr="00236183">
          <w:rPr>
            <w:rFonts w:ascii="Times New Roman" w:eastAsia="Times New Roman" w:hAnsi="Times New Roman" w:cs="Times New Roman"/>
            <w:color w:val="0D0D0D" w:themeColor="text1" w:themeTint="F2"/>
            <w:sz w:val="26"/>
            <w:szCs w:val="26"/>
            <w:u w:val="single"/>
          </w:rPr>
          <w:t>@ pa.</w:t>
        </w:r>
      </w:hyperlink>
      <w:r w:rsidRPr="00236183">
        <w:rPr>
          <w:rFonts w:ascii="Times New Roman" w:eastAsia="Times New Roman" w:hAnsi="Times New Roman" w:cs="Times New Roman"/>
          <w:color w:val="0D0D0D" w:themeColor="text1" w:themeTint="F2"/>
          <w:sz w:val="26"/>
          <w:szCs w:val="26"/>
          <w:u w:val="single"/>
        </w:rPr>
        <w:t>gov</w:t>
      </w:r>
      <w:r w:rsidRPr="00236183">
        <w:rPr>
          <w:rFonts w:ascii="Times New Roman" w:eastAsia="Times New Roman" w:hAnsi="Times New Roman" w:cs="Times New Roman"/>
          <w:color w:val="0D0D0D" w:themeColor="text1" w:themeTint="F2"/>
          <w:sz w:val="26"/>
          <w:szCs w:val="26"/>
        </w:rPr>
        <w:t>.</w:t>
      </w:r>
    </w:p>
    <w:p w:rsidR="00236183" w:rsidRPr="00236183" w:rsidRDefault="00236183" w:rsidP="002361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236183" w:rsidRDefault="00236183" w:rsidP="00C32074">
      <w:pPr>
        <w:spacing w:after="0" w:line="360" w:lineRule="auto"/>
        <w:ind w:left="1080" w:firstLine="720"/>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7.  That the contact </w:t>
      </w:r>
      <w:bookmarkStart w:id="0" w:name="_GoBack"/>
      <w:bookmarkEnd w:id="0"/>
      <w:r w:rsidRPr="00236183">
        <w:rPr>
          <w:rFonts w:ascii="Times New Roman" w:eastAsia="Times New Roman" w:hAnsi="Times New Roman" w:cs="Times New Roman"/>
          <w:color w:val="0D0D0D" w:themeColor="text1" w:themeTint="F2"/>
          <w:sz w:val="26"/>
          <w:szCs w:val="26"/>
        </w:rPr>
        <w:t xml:space="preserve">person for this Tentative Order is Joseph Magee, Bureau of Consumer Services, </w:t>
      </w:r>
      <w:r w:rsidRPr="00236183">
        <w:rPr>
          <w:rFonts w:ascii="Times New Roman" w:eastAsia="Times New Roman" w:hAnsi="Times New Roman" w:cs="Times New Roman"/>
          <w:sz w:val="26"/>
          <w:szCs w:val="26"/>
        </w:rPr>
        <w:t xml:space="preserve">at </w:t>
      </w:r>
      <w:hyperlink r:id="rId14" w:history="1">
        <w:r w:rsidRPr="00236183">
          <w:rPr>
            <w:rFonts w:ascii="Times New Roman" w:eastAsia="Times New Roman" w:hAnsi="Times New Roman" w:cs="Times New Roman"/>
            <w:sz w:val="26"/>
            <w:szCs w:val="26"/>
            <w:u w:val="single"/>
          </w:rPr>
          <w:t>jmagee@pa.gov</w:t>
        </w:r>
      </w:hyperlink>
      <w:r w:rsidRPr="00236183">
        <w:rPr>
          <w:rFonts w:ascii="Times New Roman" w:eastAsia="Times New Roman" w:hAnsi="Times New Roman" w:cs="Times New Roman"/>
          <w:color w:val="0D0D0D" w:themeColor="text1" w:themeTint="F2"/>
          <w:sz w:val="26"/>
          <w:szCs w:val="26"/>
        </w:rPr>
        <w:t>.</w:t>
      </w:r>
    </w:p>
    <w:p w:rsidR="00236183" w:rsidRPr="00236183" w:rsidRDefault="00236183" w:rsidP="00236183">
      <w:pPr>
        <w:spacing w:after="0" w:line="360" w:lineRule="auto"/>
        <w:ind w:firstLine="720"/>
        <w:rPr>
          <w:rFonts w:ascii="Times New Roman" w:eastAsia="Times New Roman" w:hAnsi="Times New Roman" w:cs="Times New Roman"/>
          <w:color w:val="0D0D0D" w:themeColor="text1" w:themeTint="F2"/>
          <w:sz w:val="26"/>
          <w:szCs w:val="26"/>
        </w:rPr>
      </w:pPr>
    </w:p>
    <w:p w:rsidR="00236183" w:rsidRPr="00236183" w:rsidRDefault="00C32074" w:rsidP="00236183">
      <w:pPr>
        <w:keepNext/>
        <w:spacing w:after="0" w:line="360" w:lineRule="auto"/>
        <w:ind w:firstLine="450"/>
        <w:rPr>
          <w:rFonts w:ascii="Times New Roman" w:eastAsia="Times New Roman" w:hAnsi="Times New Roman" w:cs="Times New Roman"/>
          <w:color w:val="0D0D0D" w:themeColor="text1" w:themeTint="F2"/>
          <w:sz w:val="26"/>
          <w:szCs w:val="26"/>
        </w:rPr>
      </w:pPr>
      <w:r>
        <w:rPr>
          <w:noProof/>
        </w:rPr>
        <w:drawing>
          <wp:anchor distT="0" distB="0" distL="114300" distR="114300" simplePos="0" relativeHeight="251659264" behindDoc="1" locked="0" layoutInCell="1" allowOverlap="1" wp14:anchorId="01755CF0" wp14:editId="0E7B0881">
            <wp:simplePos x="0" y="0"/>
            <wp:positionH relativeFrom="column">
              <wp:posOffset>2514600</wp:posOffset>
            </wp:positionH>
            <wp:positionV relativeFrom="paragraph">
              <wp:posOffset>227965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236183" w:rsidRPr="00236183" w:rsidRDefault="00236183" w:rsidP="00236183">
      <w:pPr>
        <w:keepNext/>
        <w:spacing w:after="0" w:line="360" w:lineRule="auto"/>
        <w:ind w:left="2880" w:firstLine="720"/>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b/>
          <w:color w:val="0D0D0D" w:themeColor="text1" w:themeTint="F2"/>
          <w:sz w:val="26"/>
          <w:szCs w:val="26"/>
        </w:rPr>
        <w:t>BY THE COMMISSION,</w:t>
      </w: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keepNext/>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t>Rosemary Chiavetta</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r>
      <w:r w:rsidRPr="00236183">
        <w:rPr>
          <w:rFonts w:ascii="Times New Roman" w:eastAsia="Times New Roman" w:hAnsi="Times New Roman" w:cs="Times New Roman"/>
          <w:color w:val="0D0D0D" w:themeColor="text1" w:themeTint="F2"/>
          <w:sz w:val="26"/>
          <w:szCs w:val="26"/>
        </w:rPr>
        <w:tab/>
        <w:t>Secretary</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(SEAL)</w:t>
      </w:r>
    </w:p>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ORDER ADOPTED:  December 19, 2013</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4"/>
          <w:szCs w:val="24"/>
        </w:rPr>
      </w:pPr>
      <w:r w:rsidRPr="00236183">
        <w:rPr>
          <w:rFonts w:ascii="Times New Roman" w:eastAsia="Times New Roman" w:hAnsi="Times New Roman" w:cs="Times New Roman"/>
          <w:color w:val="0D0D0D" w:themeColor="text1" w:themeTint="F2"/>
          <w:sz w:val="26"/>
          <w:szCs w:val="26"/>
        </w:rPr>
        <w:t xml:space="preserve">ORDER ENTERED:   </w:t>
      </w:r>
      <w:r w:rsidR="00C32074">
        <w:rPr>
          <w:rFonts w:ascii="Times New Roman" w:eastAsia="Times New Roman" w:hAnsi="Times New Roman" w:cs="Times New Roman"/>
          <w:color w:val="0D0D0D" w:themeColor="text1" w:themeTint="F2"/>
          <w:sz w:val="26"/>
          <w:szCs w:val="26"/>
        </w:rPr>
        <w:t>December 19, 2013</w:t>
      </w:r>
    </w:p>
    <w:p w:rsidR="002F357B" w:rsidRPr="00236183" w:rsidRDefault="002F357B" w:rsidP="00236183"/>
    <w:sectPr w:rsidR="002F357B" w:rsidRPr="00236183" w:rsidSect="00E97DC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D3" w:rsidRDefault="00266CD3" w:rsidP="00236183">
      <w:pPr>
        <w:spacing w:after="0" w:line="240" w:lineRule="auto"/>
      </w:pPr>
      <w:r>
        <w:separator/>
      </w:r>
    </w:p>
  </w:endnote>
  <w:endnote w:type="continuationSeparator" w:id="0">
    <w:p w:rsidR="00266CD3" w:rsidRDefault="00266CD3"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D8" w:rsidRDefault="000C48D8">
    <w:pPr>
      <w:pStyle w:val="Footer"/>
      <w:jc w:val="center"/>
    </w:pPr>
    <w:r>
      <w:fldChar w:fldCharType="begin"/>
    </w:r>
    <w:r>
      <w:instrText xml:space="preserve"> PAGE   \* MERGEFORMAT </w:instrText>
    </w:r>
    <w:r>
      <w:fldChar w:fldCharType="separate"/>
    </w:r>
    <w:r w:rsidR="00C32074">
      <w:rPr>
        <w:noProof/>
      </w:rPr>
      <w:t>39</w:t>
    </w:r>
    <w:r>
      <w:rPr>
        <w:noProof/>
      </w:rPr>
      <w:fldChar w:fldCharType="end"/>
    </w:r>
  </w:p>
  <w:p w:rsidR="000C48D8" w:rsidRDefault="000C4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D3" w:rsidRDefault="00266CD3" w:rsidP="00236183">
      <w:pPr>
        <w:spacing w:after="0" w:line="240" w:lineRule="auto"/>
      </w:pPr>
      <w:r>
        <w:separator/>
      </w:r>
    </w:p>
  </w:footnote>
  <w:footnote w:type="continuationSeparator" w:id="0">
    <w:p w:rsidR="00266CD3" w:rsidRDefault="00266CD3" w:rsidP="00236183">
      <w:pPr>
        <w:spacing w:after="0" w:line="240" w:lineRule="auto"/>
      </w:pPr>
      <w:r>
        <w:continuationSeparator/>
      </w:r>
    </w:p>
  </w:footnote>
  <w:footnote w:id="1">
    <w:p w:rsidR="000C48D8" w:rsidRPr="00334476" w:rsidRDefault="000C48D8" w:rsidP="00236183">
      <w:pPr>
        <w:pStyle w:val="FootnoteText"/>
        <w:rPr>
          <w:color w:val="0D0D0D" w:themeColor="text1" w:themeTint="F2"/>
          <w:sz w:val="22"/>
          <w:szCs w:val="22"/>
        </w:rPr>
      </w:pPr>
      <w:r w:rsidRPr="00334476">
        <w:rPr>
          <w:rStyle w:val="FootnoteReference"/>
          <w:color w:val="0D0D0D" w:themeColor="text1" w:themeTint="F2"/>
          <w:sz w:val="22"/>
          <w:szCs w:val="22"/>
        </w:rPr>
        <w:footnoteRef/>
      </w:r>
      <w:r w:rsidRPr="00334476">
        <w:rPr>
          <w:color w:val="0D0D0D" w:themeColor="text1" w:themeTint="F2"/>
          <w:sz w:val="22"/>
          <w:szCs w:val="22"/>
        </w:rPr>
        <w:t xml:space="preserve">  </w:t>
      </w:r>
      <w:r w:rsidRPr="00334476">
        <w:rPr>
          <w:i/>
          <w:color w:val="0D0D0D" w:themeColor="text1" w:themeTint="F2"/>
          <w:sz w:val="22"/>
          <w:szCs w:val="22"/>
        </w:rPr>
        <w:t>See</w:t>
      </w:r>
      <w:r w:rsidRPr="00334476">
        <w:rPr>
          <w:color w:val="0D0D0D" w:themeColor="text1" w:themeTint="F2"/>
          <w:sz w:val="22"/>
          <w:szCs w:val="22"/>
        </w:rPr>
        <w:t xml:space="preserve"> </w:t>
      </w:r>
      <w:r w:rsidRPr="00334476">
        <w:rPr>
          <w:i/>
          <w:color w:val="0D0D0D" w:themeColor="text1" w:themeTint="F2"/>
          <w:sz w:val="22"/>
          <w:szCs w:val="22"/>
        </w:rPr>
        <w:t>Final Investigatory Order on Customer Assistance Programs:  Funding Levels and Cost Recovery Mechanisms</w:t>
      </w:r>
      <w:r w:rsidRPr="00334476">
        <w:rPr>
          <w:color w:val="0D0D0D" w:themeColor="text1" w:themeTint="F2"/>
          <w:sz w:val="22"/>
          <w:szCs w:val="22"/>
        </w:rPr>
        <w:t>, Docket No. M-00051923, (December 18, 2006) (</w:t>
      </w:r>
      <w:r w:rsidRPr="00334476">
        <w:rPr>
          <w:i/>
          <w:color w:val="0D0D0D" w:themeColor="text1" w:themeTint="F2"/>
          <w:sz w:val="22"/>
          <w:szCs w:val="22"/>
        </w:rPr>
        <w:t>Final Investigatory Order</w:t>
      </w:r>
      <w:r w:rsidRPr="00334476">
        <w:rPr>
          <w:color w:val="0D0D0D" w:themeColor="text1" w:themeTint="F2"/>
          <w:sz w:val="22"/>
          <w:szCs w:val="22"/>
        </w:rPr>
        <w:t>) at 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F65"/>
    <w:multiLevelType w:val="hybridMultilevel"/>
    <w:tmpl w:val="64EE5E8A"/>
    <w:lvl w:ilvl="0" w:tplc="4C6E98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10">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6DEC40D1"/>
    <w:multiLevelType w:val="hybridMultilevel"/>
    <w:tmpl w:val="CB8C458E"/>
    <w:lvl w:ilvl="0" w:tplc="253CF1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4E388D"/>
    <w:multiLevelType w:val="hybridMultilevel"/>
    <w:tmpl w:val="B11E5876"/>
    <w:lvl w:ilvl="0" w:tplc="88EEA414">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83B4F"/>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2"/>
  </w:num>
  <w:num w:numId="4">
    <w:abstractNumId w:val="15"/>
  </w:num>
  <w:num w:numId="5">
    <w:abstractNumId w:val="14"/>
  </w:num>
  <w:num w:numId="6">
    <w:abstractNumId w:val="4"/>
  </w:num>
  <w:num w:numId="7">
    <w:abstractNumId w:val="5"/>
  </w:num>
  <w:num w:numId="8">
    <w:abstractNumId w:val="17"/>
  </w:num>
  <w:num w:numId="9">
    <w:abstractNumId w:val="1"/>
  </w:num>
  <w:num w:numId="10">
    <w:abstractNumId w:val="0"/>
  </w:num>
  <w:num w:numId="11">
    <w:abstractNumId w:val="9"/>
  </w:num>
  <w:num w:numId="12">
    <w:abstractNumId w:val="11"/>
  </w:num>
  <w:num w:numId="13">
    <w:abstractNumId w:val="7"/>
  </w:num>
  <w:num w:numId="14">
    <w:abstractNumId w:val="16"/>
  </w:num>
  <w:num w:numId="15">
    <w:abstractNumId w:val="6"/>
  </w:num>
  <w:num w:numId="16">
    <w:abstractNumId w:val="10"/>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83"/>
    <w:rsid w:val="000118F9"/>
    <w:rsid w:val="000347AE"/>
    <w:rsid w:val="000359B2"/>
    <w:rsid w:val="000412B6"/>
    <w:rsid w:val="000413E8"/>
    <w:rsid w:val="00052B42"/>
    <w:rsid w:val="00060B5D"/>
    <w:rsid w:val="00066C64"/>
    <w:rsid w:val="0008663F"/>
    <w:rsid w:val="00093555"/>
    <w:rsid w:val="000968A0"/>
    <w:rsid w:val="000A7332"/>
    <w:rsid w:val="000B17EE"/>
    <w:rsid w:val="000B17F6"/>
    <w:rsid w:val="000B4D73"/>
    <w:rsid w:val="000C06A0"/>
    <w:rsid w:val="000C1922"/>
    <w:rsid w:val="000C48D8"/>
    <w:rsid w:val="000C4EEA"/>
    <w:rsid w:val="000D67C0"/>
    <w:rsid w:val="000E1656"/>
    <w:rsid w:val="000E3810"/>
    <w:rsid w:val="000E4D94"/>
    <w:rsid w:val="000F54FA"/>
    <w:rsid w:val="000F5E30"/>
    <w:rsid w:val="000F62E4"/>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183"/>
    <w:rsid w:val="002369B0"/>
    <w:rsid w:val="0025016F"/>
    <w:rsid w:val="00266CD3"/>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1094"/>
    <w:rsid w:val="003749C0"/>
    <w:rsid w:val="003773B5"/>
    <w:rsid w:val="00396902"/>
    <w:rsid w:val="00397269"/>
    <w:rsid w:val="003976E5"/>
    <w:rsid w:val="003A1377"/>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288C"/>
    <w:rsid w:val="004A574C"/>
    <w:rsid w:val="004C58DD"/>
    <w:rsid w:val="004C5F6B"/>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56CE4"/>
    <w:rsid w:val="00563453"/>
    <w:rsid w:val="00567BBC"/>
    <w:rsid w:val="005704E3"/>
    <w:rsid w:val="00571B75"/>
    <w:rsid w:val="00577C57"/>
    <w:rsid w:val="00582404"/>
    <w:rsid w:val="00582991"/>
    <w:rsid w:val="005867EF"/>
    <w:rsid w:val="005A17E7"/>
    <w:rsid w:val="005A6C7A"/>
    <w:rsid w:val="005B24F2"/>
    <w:rsid w:val="005B7D8D"/>
    <w:rsid w:val="005C3FC8"/>
    <w:rsid w:val="005C4B56"/>
    <w:rsid w:val="005C7304"/>
    <w:rsid w:val="005F4208"/>
    <w:rsid w:val="00611560"/>
    <w:rsid w:val="00611DA5"/>
    <w:rsid w:val="00617E5A"/>
    <w:rsid w:val="00630223"/>
    <w:rsid w:val="00630AED"/>
    <w:rsid w:val="006451C1"/>
    <w:rsid w:val="00651401"/>
    <w:rsid w:val="006522FD"/>
    <w:rsid w:val="00662A6C"/>
    <w:rsid w:val="00664D60"/>
    <w:rsid w:val="00667E93"/>
    <w:rsid w:val="00680B92"/>
    <w:rsid w:val="00680CB5"/>
    <w:rsid w:val="00681A7F"/>
    <w:rsid w:val="00687981"/>
    <w:rsid w:val="00690589"/>
    <w:rsid w:val="006A1C55"/>
    <w:rsid w:val="006B5747"/>
    <w:rsid w:val="006B5889"/>
    <w:rsid w:val="006D137D"/>
    <w:rsid w:val="006D1438"/>
    <w:rsid w:val="006F6288"/>
    <w:rsid w:val="007006C0"/>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A6511"/>
    <w:rsid w:val="007B0F4D"/>
    <w:rsid w:val="007C021C"/>
    <w:rsid w:val="007D0046"/>
    <w:rsid w:val="007D0E6D"/>
    <w:rsid w:val="007E5045"/>
    <w:rsid w:val="007E5224"/>
    <w:rsid w:val="008007A4"/>
    <w:rsid w:val="00803843"/>
    <w:rsid w:val="00805341"/>
    <w:rsid w:val="008130FC"/>
    <w:rsid w:val="00817564"/>
    <w:rsid w:val="0082039B"/>
    <w:rsid w:val="00821A26"/>
    <w:rsid w:val="00824D2E"/>
    <w:rsid w:val="008255BB"/>
    <w:rsid w:val="008256A7"/>
    <w:rsid w:val="00827C9E"/>
    <w:rsid w:val="00836DAB"/>
    <w:rsid w:val="008430DB"/>
    <w:rsid w:val="00844033"/>
    <w:rsid w:val="008463A2"/>
    <w:rsid w:val="00851B6E"/>
    <w:rsid w:val="00862527"/>
    <w:rsid w:val="00870CEA"/>
    <w:rsid w:val="00876F09"/>
    <w:rsid w:val="00882077"/>
    <w:rsid w:val="00890350"/>
    <w:rsid w:val="00891E2C"/>
    <w:rsid w:val="0089782F"/>
    <w:rsid w:val="008A397B"/>
    <w:rsid w:val="008B7AA3"/>
    <w:rsid w:val="008C591B"/>
    <w:rsid w:val="008D15E0"/>
    <w:rsid w:val="008D6838"/>
    <w:rsid w:val="008E4929"/>
    <w:rsid w:val="009050C3"/>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D6B2F"/>
    <w:rsid w:val="009E749E"/>
    <w:rsid w:val="009F5616"/>
    <w:rsid w:val="00A01190"/>
    <w:rsid w:val="00A031EE"/>
    <w:rsid w:val="00A233CF"/>
    <w:rsid w:val="00A2628D"/>
    <w:rsid w:val="00A266BB"/>
    <w:rsid w:val="00A3185A"/>
    <w:rsid w:val="00A33DF5"/>
    <w:rsid w:val="00A424A1"/>
    <w:rsid w:val="00A476A9"/>
    <w:rsid w:val="00A549E6"/>
    <w:rsid w:val="00A60E2D"/>
    <w:rsid w:val="00A6766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57FCB"/>
    <w:rsid w:val="00B62EF4"/>
    <w:rsid w:val="00B6553E"/>
    <w:rsid w:val="00B65AC1"/>
    <w:rsid w:val="00B73FC8"/>
    <w:rsid w:val="00B85D6E"/>
    <w:rsid w:val="00B9087B"/>
    <w:rsid w:val="00B931AE"/>
    <w:rsid w:val="00BA2E47"/>
    <w:rsid w:val="00BA2EE5"/>
    <w:rsid w:val="00BB1949"/>
    <w:rsid w:val="00BB30C3"/>
    <w:rsid w:val="00BC45F8"/>
    <w:rsid w:val="00BC75A8"/>
    <w:rsid w:val="00BD5830"/>
    <w:rsid w:val="00C0514C"/>
    <w:rsid w:val="00C05A97"/>
    <w:rsid w:val="00C069F7"/>
    <w:rsid w:val="00C110E8"/>
    <w:rsid w:val="00C11E40"/>
    <w:rsid w:val="00C2728B"/>
    <w:rsid w:val="00C30F44"/>
    <w:rsid w:val="00C31F84"/>
    <w:rsid w:val="00C3207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68C1"/>
    <w:rsid w:val="00D77903"/>
    <w:rsid w:val="00D918AC"/>
    <w:rsid w:val="00DA0A0E"/>
    <w:rsid w:val="00DA55B0"/>
    <w:rsid w:val="00DA66C9"/>
    <w:rsid w:val="00DA6EF1"/>
    <w:rsid w:val="00DA701C"/>
    <w:rsid w:val="00DB03D4"/>
    <w:rsid w:val="00DB2018"/>
    <w:rsid w:val="00DB4D1A"/>
    <w:rsid w:val="00DC4499"/>
    <w:rsid w:val="00DC5A1E"/>
    <w:rsid w:val="00DD17B6"/>
    <w:rsid w:val="00DD4C21"/>
    <w:rsid w:val="00DD77E6"/>
    <w:rsid w:val="00DE0637"/>
    <w:rsid w:val="00DE4DBE"/>
    <w:rsid w:val="00DE6BBD"/>
    <w:rsid w:val="00DF4457"/>
    <w:rsid w:val="00E005F9"/>
    <w:rsid w:val="00E016C7"/>
    <w:rsid w:val="00E0644C"/>
    <w:rsid w:val="00E079B5"/>
    <w:rsid w:val="00E13602"/>
    <w:rsid w:val="00E168E5"/>
    <w:rsid w:val="00E20184"/>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97DC0"/>
    <w:rsid w:val="00EA0EE4"/>
    <w:rsid w:val="00EA3D82"/>
    <w:rsid w:val="00EB08C3"/>
    <w:rsid w:val="00EB66B8"/>
    <w:rsid w:val="00EB6E71"/>
    <w:rsid w:val="00EB7126"/>
    <w:rsid w:val="00EC557C"/>
    <w:rsid w:val="00EC60AE"/>
    <w:rsid w:val="00EE0BF5"/>
    <w:rsid w:val="00EE324C"/>
    <w:rsid w:val="00EE5D1C"/>
    <w:rsid w:val="00EF6CFC"/>
    <w:rsid w:val="00EF72CF"/>
    <w:rsid w:val="00F12C35"/>
    <w:rsid w:val="00F1770B"/>
    <w:rsid w:val="00F365B2"/>
    <w:rsid w:val="00F375E1"/>
    <w:rsid w:val="00F4022B"/>
    <w:rsid w:val="00F41689"/>
    <w:rsid w:val="00F42050"/>
    <w:rsid w:val="00F42AF4"/>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basedOn w:val="Normal"/>
    <w:link w:val="FootnoteTextChar"/>
    <w:uiPriority w:val="99"/>
    <w:semiHidden/>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61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rsid w:val="002361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basedOn w:val="Normal"/>
    <w:link w:val="FootnoteTextChar"/>
    <w:uiPriority w:val="99"/>
    <w:semiHidden/>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61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rsid w:val="002361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ypage@state.p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age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state.pa.us"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pcfnapp:8080/WorkplaceR0/getContent?objectStoreName=Region0&amp;vsId=%7BB4240272-954D-421E-9C43-4C356C399B80%7D&amp;id=%7B0BAB41EE-9753-4775-BCAD-0E443294B827%7D&amp;objectType=document" TargetMode="External"/><Relationship Id="rId4" Type="http://schemas.microsoft.com/office/2007/relationships/stylesWithEffects" Target="stylesWithEffects.xml"/><Relationship Id="rId9" Type="http://schemas.openxmlformats.org/officeDocument/2006/relationships/hyperlink" Target="http://www.dollarenergy.org" TargetMode="External"/><Relationship Id="rId14" Type="http://schemas.openxmlformats.org/officeDocument/2006/relationships/hyperlink" Target="mailto:jmag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07D88-9959-4397-944C-A133B615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8748</Words>
  <Characters>49864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Miller, Sara</cp:lastModifiedBy>
  <cp:revision>3</cp:revision>
  <cp:lastPrinted>2013-12-18T17:57:00Z</cp:lastPrinted>
  <dcterms:created xsi:type="dcterms:W3CDTF">2013-12-18T16:44:00Z</dcterms:created>
  <dcterms:modified xsi:type="dcterms:W3CDTF">2013-12-18T17:57:00Z</dcterms:modified>
</cp:coreProperties>
</file>