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97089D" w:rsidRDefault="00176DE0" w:rsidP="00176DE0">
      <w:pPr>
        <w:jc w:val="center"/>
        <w:rPr>
          <w:b/>
          <w:sz w:val="24"/>
          <w:szCs w:val="24"/>
        </w:rPr>
      </w:pPr>
      <w:r w:rsidRPr="0097089D">
        <w:rPr>
          <w:b/>
          <w:sz w:val="24"/>
          <w:szCs w:val="24"/>
        </w:rPr>
        <w:t>BEFORE THE</w:t>
      </w:r>
    </w:p>
    <w:p w:rsidR="00176DE0" w:rsidRPr="0097089D" w:rsidRDefault="00176DE0" w:rsidP="00176DE0">
      <w:pPr>
        <w:jc w:val="center"/>
        <w:rPr>
          <w:b/>
          <w:sz w:val="24"/>
          <w:szCs w:val="24"/>
        </w:rPr>
      </w:pPr>
      <w:r w:rsidRPr="0097089D">
        <w:rPr>
          <w:b/>
          <w:sz w:val="24"/>
          <w:szCs w:val="24"/>
        </w:rPr>
        <w:t>PENNSYLVANIA PUBLIC UTILITY COMMISSION</w:t>
      </w:r>
    </w:p>
    <w:p w:rsidR="00176DE0" w:rsidRDefault="00176DE0" w:rsidP="00176DE0">
      <w:pPr>
        <w:jc w:val="center"/>
        <w:rPr>
          <w:sz w:val="24"/>
          <w:szCs w:val="24"/>
        </w:rPr>
      </w:pPr>
    </w:p>
    <w:p w:rsidR="0097089D" w:rsidRPr="0097089D" w:rsidRDefault="0097089D" w:rsidP="00176DE0">
      <w:pPr>
        <w:jc w:val="center"/>
        <w:rPr>
          <w:sz w:val="24"/>
          <w:szCs w:val="24"/>
        </w:rPr>
      </w:pPr>
    </w:p>
    <w:p w:rsidR="00176DE0" w:rsidRPr="0097089D" w:rsidRDefault="00176DE0" w:rsidP="00176DE0">
      <w:pPr>
        <w:jc w:val="center"/>
        <w:rPr>
          <w:sz w:val="24"/>
          <w:szCs w:val="24"/>
        </w:rPr>
      </w:pPr>
    </w:p>
    <w:p w:rsidR="00176DE0" w:rsidRPr="0097089D" w:rsidRDefault="008B600B" w:rsidP="00176DE0">
      <w:pPr>
        <w:rPr>
          <w:sz w:val="24"/>
          <w:szCs w:val="24"/>
        </w:rPr>
      </w:pPr>
      <w:r w:rsidRPr="0097089D">
        <w:rPr>
          <w:sz w:val="24"/>
          <w:szCs w:val="24"/>
        </w:rPr>
        <w:t>Timothy Stump</w:t>
      </w:r>
      <w:r w:rsidRPr="0097089D">
        <w:rPr>
          <w:sz w:val="24"/>
          <w:szCs w:val="24"/>
        </w:rPr>
        <w:tab/>
      </w:r>
      <w:r w:rsidR="00B86154" w:rsidRPr="0097089D">
        <w:rPr>
          <w:sz w:val="24"/>
          <w:szCs w:val="24"/>
        </w:rPr>
        <w:tab/>
      </w:r>
      <w:r w:rsidR="00176DE0" w:rsidRPr="0097089D">
        <w:rPr>
          <w:sz w:val="24"/>
          <w:szCs w:val="24"/>
        </w:rPr>
        <w:tab/>
      </w:r>
      <w:r w:rsidR="00176DE0" w:rsidRPr="0097089D">
        <w:rPr>
          <w:sz w:val="24"/>
          <w:szCs w:val="24"/>
        </w:rPr>
        <w:tab/>
      </w:r>
      <w:r w:rsidR="00176DE0" w:rsidRPr="0097089D">
        <w:rPr>
          <w:sz w:val="24"/>
          <w:szCs w:val="24"/>
        </w:rPr>
        <w:tab/>
        <w:t>:</w:t>
      </w:r>
    </w:p>
    <w:p w:rsidR="00176DE0" w:rsidRPr="0097089D" w:rsidRDefault="00176DE0" w:rsidP="00176DE0">
      <w:pPr>
        <w:rPr>
          <w:sz w:val="24"/>
          <w:szCs w:val="24"/>
        </w:rPr>
      </w:pP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t>:</w:t>
      </w:r>
    </w:p>
    <w:p w:rsidR="00176DE0" w:rsidRPr="0097089D" w:rsidRDefault="00176DE0" w:rsidP="00176DE0">
      <w:pPr>
        <w:rPr>
          <w:sz w:val="24"/>
          <w:szCs w:val="24"/>
        </w:rPr>
      </w:pPr>
      <w:r w:rsidRPr="0097089D">
        <w:rPr>
          <w:sz w:val="24"/>
          <w:szCs w:val="24"/>
        </w:rPr>
        <w:tab/>
        <w:t>v.</w:t>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t>:</w:t>
      </w:r>
      <w:r w:rsidRPr="0097089D">
        <w:rPr>
          <w:sz w:val="24"/>
          <w:szCs w:val="24"/>
        </w:rPr>
        <w:tab/>
      </w:r>
      <w:r w:rsidR="0097089D">
        <w:rPr>
          <w:sz w:val="24"/>
          <w:szCs w:val="24"/>
        </w:rPr>
        <w:tab/>
      </w:r>
      <w:r w:rsidR="00032929">
        <w:rPr>
          <w:sz w:val="24"/>
          <w:szCs w:val="24"/>
        </w:rPr>
        <w:tab/>
      </w:r>
      <w:r w:rsidR="008B600B" w:rsidRPr="0097089D">
        <w:rPr>
          <w:sz w:val="24"/>
          <w:szCs w:val="24"/>
        </w:rPr>
        <w:t>C</w:t>
      </w:r>
      <w:r w:rsidR="00B97C8E" w:rsidRPr="0097089D">
        <w:rPr>
          <w:sz w:val="24"/>
          <w:szCs w:val="24"/>
        </w:rPr>
        <w:t>-2012-23</w:t>
      </w:r>
      <w:r w:rsidR="008B600B" w:rsidRPr="0097089D">
        <w:rPr>
          <w:sz w:val="24"/>
          <w:szCs w:val="24"/>
        </w:rPr>
        <w:t>13345</w:t>
      </w:r>
    </w:p>
    <w:p w:rsidR="00176DE0" w:rsidRPr="0097089D" w:rsidRDefault="00176DE0" w:rsidP="00176DE0">
      <w:pPr>
        <w:rPr>
          <w:sz w:val="24"/>
          <w:szCs w:val="24"/>
        </w:rPr>
      </w:pP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t>:</w:t>
      </w:r>
    </w:p>
    <w:p w:rsidR="00176DE0" w:rsidRPr="0097089D" w:rsidRDefault="00B97C8E" w:rsidP="00176DE0">
      <w:pPr>
        <w:rPr>
          <w:sz w:val="24"/>
          <w:szCs w:val="24"/>
        </w:rPr>
      </w:pPr>
      <w:r w:rsidRPr="0097089D">
        <w:rPr>
          <w:sz w:val="24"/>
          <w:szCs w:val="24"/>
        </w:rPr>
        <w:t>Metropolitan Edison Company</w:t>
      </w:r>
      <w:r w:rsidR="00092117" w:rsidRPr="0097089D">
        <w:rPr>
          <w:sz w:val="24"/>
          <w:szCs w:val="24"/>
        </w:rPr>
        <w:tab/>
      </w:r>
      <w:r w:rsidR="00176DE0" w:rsidRPr="0097089D">
        <w:rPr>
          <w:sz w:val="24"/>
          <w:szCs w:val="24"/>
        </w:rPr>
        <w:tab/>
      </w:r>
      <w:r w:rsidR="00176DE0" w:rsidRPr="0097089D">
        <w:rPr>
          <w:sz w:val="24"/>
          <w:szCs w:val="24"/>
        </w:rPr>
        <w:tab/>
        <w:t>:</w:t>
      </w:r>
    </w:p>
    <w:p w:rsidR="00176DE0" w:rsidRDefault="00176DE0" w:rsidP="00176DE0">
      <w:pPr>
        <w:rPr>
          <w:sz w:val="24"/>
          <w:szCs w:val="24"/>
        </w:rPr>
      </w:pPr>
    </w:p>
    <w:p w:rsidR="0097089D" w:rsidRPr="0097089D" w:rsidRDefault="0097089D" w:rsidP="00176DE0">
      <w:pPr>
        <w:rPr>
          <w:sz w:val="24"/>
          <w:szCs w:val="24"/>
        </w:rPr>
      </w:pPr>
    </w:p>
    <w:p w:rsidR="00176DE0" w:rsidRPr="0097089D" w:rsidRDefault="00176DE0" w:rsidP="00176DE0">
      <w:pPr>
        <w:rPr>
          <w:sz w:val="24"/>
          <w:szCs w:val="24"/>
        </w:rPr>
      </w:pPr>
    </w:p>
    <w:p w:rsidR="002820A0" w:rsidRPr="0097089D" w:rsidRDefault="002820A0" w:rsidP="002820A0">
      <w:pPr>
        <w:tabs>
          <w:tab w:val="left" w:pos="-720"/>
          <w:tab w:val="left" w:pos="5040"/>
        </w:tabs>
        <w:suppressAutoHyphens/>
        <w:autoSpaceDE w:val="0"/>
        <w:autoSpaceDN w:val="0"/>
        <w:jc w:val="center"/>
        <w:rPr>
          <w:b/>
          <w:spacing w:val="-3"/>
          <w:sz w:val="24"/>
          <w:szCs w:val="24"/>
          <w:u w:val="single"/>
        </w:rPr>
      </w:pPr>
      <w:r w:rsidRPr="0097089D">
        <w:rPr>
          <w:b/>
          <w:spacing w:val="-3"/>
          <w:sz w:val="24"/>
          <w:szCs w:val="24"/>
          <w:u w:val="single"/>
        </w:rPr>
        <w:t>INITIAL DECISION</w:t>
      </w:r>
    </w:p>
    <w:p w:rsidR="002820A0" w:rsidRPr="0097089D" w:rsidRDefault="002820A0" w:rsidP="002820A0">
      <w:pPr>
        <w:tabs>
          <w:tab w:val="left" w:pos="-720"/>
          <w:tab w:val="left" w:pos="5040"/>
        </w:tabs>
        <w:suppressAutoHyphens/>
        <w:autoSpaceDE w:val="0"/>
        <w:autoSpaceDN w:val="0"/>
        <w:jc w:val="center"/>
        <w:rPr>
          <w:b/>
          <w:spacing w:val="-3"/>
          <w:sz w:val="24"/>
          <w:szCs w:val="24"/>
          <w:u w:val="single"/>
        </w:rPr>
      </w:pPr>
    </w:p>
    <w:p w:rsidR="002820A0" w:rsidRPr="0097089D" w:rsidRDefault="002820A0" w:rsidP="002820A0">
      <w:pPr>
        <w:tabs>
          <w:tab w:val="left" w:pos="-720"/>
          <w:tab w:val="left" w:pos="5040"/>
        </w:tabs>
        <w:suppressAutoHyphens/>
        <w:autoSpaceDE w:val="0"/>
        <w:autoSpaceDN w:val="0"/>
        <w:jc w:val="center"/>
        <w:rPr>
          <w:b/>
          <w:spacing w:val="-3"/>
          <w:sz w:val="24"/>
          <w:szCs w:val="24"/>
          <w:u w:val="single"/>
        </w:rPr>
      </w:pPr>
    </w:p>
    <w:p w:rsidR="002820A0" w:rsidRPr="0097089D" w:rsidRDefault="002820A0" w:rsidP="002820A0">
      <w:pPr>
        <w:tabs>
          <w:tab w:val="left" w:pos="-720"/>
          <w:tab w:val="left" w:pos="5040"/>
        </w:tabs>
        <w:suppressAutoHyphens/>
        <w:autoSpaceDE w:val="0"/>
        <w:autoSpaceDN w:val="0"/>
        <w:jc w:val="center"/>
        <w:rPr>
          <w:spacing w:val="-3"/>
          <w:sz w:val="24"/>
          <w:szCs w:val="24"/>
        </w:rPr>
      </w:pPr>
      <w:r w:rsidRPr="0097089D">
        <w:rPr>
          <w:spacing w:val="-3"/>
          <w:sz w:val="24"/>
          <w:szCs w:val="24"/>
        </w:rPr>
        <w:t>Before</w:t>
      </w:r>
    </w:p>
    <w:p w:rsidR="002820A0" w:rsidRPr="0097089D" w:rsidRDefault="002820A0" w:rsidP="002820A0">
      <w:pPr>
        <w:tabs>
          <w:tab w:val="left" w:pos="-720"/>
          <w:tab w:val="left" w:pos="5040"/>
        </w:tabs>
        <w:suppressAutoHyphens/>
        <w:autoSpaceDE w:val="0"/>
        <w:autoSpaceDN w:val="0"/>
        <w:jc w:val="center"/>
        <w:rPr>
          <w:spacing w:val="-3"/>
          <w:sz w:val="24"/>
          <w:szCs w:val="24"/>
        </w:rPr>
      </w:pPr>
      <w:r w:rsidRPr="0097089D">
        <w:rPr>
          <w:spacing w:val="-3"/>
          <w:sz w:val="24"/>
          <w:szCs w:val="24"/>
        </w:rPr>
        <w:t>Dennis J. Buckley</w:t>
      </w:r>
    </w:p>
    <w:p w:rsidR="002820A0" w:rsidRPr="0097089D" w:rsidRDefault="002820A0" w:rsidP="002820A0">
      <w:pPr>
        <w:tabs>
          <w:tab w:val="left" w:pos="-720"/>
          <w:tab w:val="left" w:pos="5040"/>
        </w:tabs>
        <w:suppressAutoHyphens/>
        <w:autoSpaceDE w:val="0"/>
        <w:autoSpaceDN w:val="0"/>
        <w:jc w:val="center"/>
        <w:rPr>
          <w:spacing w:val="-3"/>
          <w:sz w:val="24"/>
          <w:szCs w:val="24"/>
        </w:rPr>
      </w:pPr>
      <w:r w:rsidRPr="0097089D">
        <w:rPr>
          <w:spacing w:val="-3"/>
          <w:sz w:val="24"/>
          <w:szCs w:val="24"/>
        </w:rPr>
        <w:t>Administrative Law Judge</w:t>
      </w:r>
    </w:p>
    <w:p w:rsidR="002820A0" w:rsidRPr="0097089D" w:rsidRDefault="002820A0" w:rsidP="002820A0">
      <w:pPr>
        <w:tabs>
          <w:tab w:val="left" w:pos="-720"/>
          <w:tab w:val="left" w:pos="5040"/>
        </w:tabs>
        <w:suppressAutoHyphens/>
        <w:autoSpaceDE w:val="0"/>
        <w:autoSpaceDN w:val="0"/>
        <w:jc w:val="center"/>
        <w:rPr>
          <w:spacing w:val="-3"/>
          <w:sz w:val="24"/>
          <w:szCs w:val="24"/>
        </w:rPr>
      </w:pPr>
    </w:p>
    <w:p w:rsidR="002820A0" w:rsidRPr="0097089D" w:rsidRDefault="002820A0" w:rsidP="002820A0">
      <w:pPr>
        <w:rPr>
          <w:spacing w:val="-3"/>
          <w:sz w:val="24"/>
          <w:szCs w:val="24"/>
        </w:rPr>
      </w:pPr>
    </w:p>
    <w:p w:rsidR="002820A0" w:rsidRPr="0097089D" w:rsidRDefault="002820A0" w:rsidP="002820A0">
      <w:pPr>
        <w:jc w:val="center"/>
        <w:rPr>
          <w:b/>
          <w:sz w:val="24"/>
          <w:szCs w:val="24"/>
        </w:rPr>
      </w:pPr>
      <w:r w:rsidRPr="0097089D">
        <w:rPr>
          <w:spacing w:val="-3"/>
          <w:sz w:val="24"/>
          <w:szCs w:val="24"/>
          <w:u w:val="single"/>
        </w:rPr>
        <w:t>HISTORY OF THE PROCEEDING</w:t>
      </w:r>
      <w:r w:rsidRPr="0097089D">
        <w:rPr>
          <w:spacing w:val="-3"/>
          <w:sz w:val="24"/>
          <w:szCs w:val="24"/>
        </w:rPr>
        <w:br/>
      </w:r>
    </w:p>
    <w:p w:rsidR="002820A0" w:rsidRPr="0097089D" w:rsidRDefault="002820A0" w:rsidP="002820A0">
      <w:pPr>
        <w:jc w:val="center"/>
        <w:rPr>
          <w:b/>
          <w:sz w:val="24"/>
          <w:szCs w:val="24"/>
        </w:rPr>
      </w:pPr>
    </w:p>
    <w:p w:rsidR="008B600B" w:rsidRPr="0097089D" w:rsidRDefault="002820A0" w:rsidP="002820A0">
      <w:pPr>
        <w:spacing w:line="360" w:lineRule="auto"/>
        <w:rPr>
          <w:sz w:val="24"/>
          <w:szCs w:val="24"/>
        </w:rPr>
      </w:pPr>
      <w:r w:rsidRPr="0097089D">
        <w:rPr>
          <w:sz w:val="24"/>
          <w:szCs w:val="24"/>
        </w:rPr>
        <w:tab/>
      </w:r>
      <w:r w:rsidRPr="0097089D">
        <w:rPr>
          <w:sz w:val="24"/>
          <w:szCs w:val="24"/>
        </w:rPr>
        <w:tab/>
        <w:t xml:space="preserve">This case originated as a Complaint filed on </w:t>
      </w:r>
      <w:r w:rsidR="008B600B" w:rsidRPr="0097089D">
        <w:rPr>
          <w:sz w:val="24"/>
          <w:szCs w:val="24"/>
        </w:rPr>
        <w:t>June 26, 2012</w:t>
      </w:r>
      <w:r w:rsidRPr="0097089D">
        <w:rPr>
          <w:sz w:val="24"/>
          <w:szCs w:val="24"/>
        </w:rPr>
        <w:t xml:space="preserve">, by </w:t>
      </w:r>
      <w:r w:rsidR="008B600B" w:rsidRPr="0097089D">
        <w:rPr>
          <w:sz w:val="24"/>
          <w:szCs w:val="24"/>
        </w:rPr>
        <w:t xml:space="preserve">Timothy Stump </w:t>
      </w:r>
      <w:r w:rsidRPr="0097089D">
        <w:rPr>
          <w:sz w:val="24"/>
          <w:szCs w:val="24"/>
        </w:rPr>
        <w:t xml:space="preserve">(Complainant) against Metropolitan Edison Company (Met-Ed or Company).  The Complaint alleged </w:t>
      </w:r>
      <w:r w:rsidR="008B600B" w:rsidRPr="0097089D">
        <w:rPr>
          <w:sz w:val="24"/>
          <w:szCs w:val="24"/>
        </w:rPr>
        <w:t>that Met-Ed had “willfully endangered” Complainant by wrongfully terminating the Complainant’s electric service.  Complainant requested $100,000 in damages.</w:t>
      </w:r>
    </w:p>
    <w:p w:rsidR="008B600B" w:rsidRPr="0097089D" w:rsidRDefault="008B600B" w:rsidP="002820A0">
      <w:pPr>
        <w:spacing w:line="360" w:lineRule="auto"/>
        <w:rPr>
          <w:sz w:val="24"/>
          <w:szCs w:val="24"/>
        </w:rPr>
      </w:pPr>
    </w:p>
    <w:p w:rsidR="002820A0" w:rsidRPr="0097089D" w:rsidRDefault="002820A0" w:rsidP="002820A0">
      <w:pPr>
        <w:spacing w:line="360" w:lineRule="auto"/>
        <w:rPr>
          <w:sz w:val="24"/>
          <w:szCs w:val="24"/>
        </w:rPr>
      </w:pPr>
      <w:r w:rsidRPr="0097089D">
        <w:rPr>
          <w:sz w:val="24"/>
          <w:szCs w:val="24"/>
        </w:rPr>
        <w:tab/>
      </w:r>
      <w:r w:rsidRPr="0097089D">
        <w:rPr>
          <w:sz w:val="24"/>
          <w:szCs w:val="24"/>
        </w:rPr>
        <w:tab/>
        <w:t xml:space="preserve">On </w:t>
      </w:r>
      <w:r w:rsidR="008B600B" w:rsidRPr="0097089D">
        <w:rPr>
          <w:sz w:val="24"/>
          <w:szCs w:val="24"/>
        </w:rPr>
        <w:t>July 11, 2012</w:t>
      </w:r>
      <w:r w:rsidRPr="0097089D">
        <w:rPr>
          <w:sz w:val="24"/>
          <w:szCs w:val="24"/>
        </w:rPr>
        <w:t xml:space="preserve">, the Secretary of the Commission served the Complaint on </w:t>
      </w:r>
      <w:r w:rsidR="005541E9" w:rsidRPr="0097089D">
        <w:rPr>
          <w:sz w:val="24"/>
          <w:szCs w:val="24"/>
        </w:rPr>
        <w:t>Met-Ed</w:t>
      </w:r>
      <w:r w:rsidRPr="0097089D">
        <w:rPr>
          <w:sz w:val="24"/>
          <w:szCs w:val="24"/>
        </w:rPr>
        <w:t>.</w:t>
      </w:r>
    </w:p>
    <w:p w:rsidR="002820A0" w:rsidRPr="0097089D" w:rsidRDefault="002820A0" w:rsidP="002820A0">
      <w:pPr>
        <w:spacing w:line="360" w:lineRule="auto"/>
        <w:rPr>
          <w:sz w:val="24"/>
          <w:szCs w:val="24"/>
        </w:rPr>
      </w:pPr>
    </w:p>
    <w:p w:rsidR="002820A0" w:rsidRPr="0097089D" w:rsidRDefault="002820A0" w:rsidP="002820A0">
      <w:pPr>
        <w:spacing w:line="360" w:lineRule="auto"/>
        <w:rPr>
          <w:sz w:val="24"/>
          <w:szCs w:val="24"/>
        </w:rPr>
      </w:pPr>
      <w:r w:rsidRPr="0097089D">
        <w:rPr>
          <w:sz w:val="24"/>
          <w:szCs w:val="24"/>
        </w:rPr>
        <w:tab/>
      </w:r>
      <w:r w:rsidRPr="0097089D">
        <w:rPr>
          <w:sz w:val="24"/>
          <w:szCs w:val="24"/>
        </w:rPr>
        <w:tab/>
        <w:t xml:space="preserve">On </w:t>
      </w:r>
      <w:r w:rsidR="005541E9" w:rsidRPr="0097089D">
        <w:rPr>
          <w:sz w:val="24"/>
          <w:szCs w:val="24"/>
        </w:rPr>
        <w:t>J</w:t>
      </w:r>
      <w:r w:rsidR="008B600B" w:rsidRPr="0097089D">
        <w:rPr>
          <w:sz w:val="24"/>
          <w:szCs w:val="24"/>
        </w:rPr>
        <w:t xml:space="preserve">uly 31, </w:t>
      </w:r>
      <w:r w:rsidR="005541E9" w:rsidRPr="0097089D">
        <w:rPr>
          <w:sz w:val="24"/>
          <w:szCs w:val="24"/>
        </w:rPr>
        <w:t>201</w:t>
      </w:r>
      <w:r w:rsidR="008B600B" w:rsidRPr="0097089D">
        <w:rPr>
          <w:sz w:val="24"/>
          <w:szCs w:val="24"/>
        </w:rPr>
        <w:t>2</w:t>
      </w:r>
      <w:r w:rsidRPr="0097089D">
        <w:rPr>
          <w:sz w:val="24"/>
          <w:szCs w:val="24"/>
        </w:rPr>
        <w:t xml:space="preserve">, </w:t>
      </w:r>
      <w:r w:rsidR="005541E9" w:rsidRPr="0097089D">
        <w:rPr>
          <w:sz w:val="24"/>
          <w:szCs w:val="24"/>
        </w:rPr>
        <w:t>Met-Ed</w:t>
      </w:r>
      <w:r w:rsidRPr="0097089D">
        <w:rPr>
          <w:sz w:val="24"/>
          <w:szCs w:val="24"/>
        </w:rPr>
        <w:t xml:space="preserve"> filed an Answer </w:t>
      </w:r>
      <w:r w:rsidR="005541E9" w:rsidRPr="0097089D">
        <w:rPr>
          <w:sz w:val="24"/>
          <w:szCs w:val="24"/>
        </w:rPr>
        <w:t xml:space="preserve">and New Matter </w:t>
      </w:r>
      <w:r w:rsidRPr="0097089D">
        <w:rPr>
          <w:sz w:val="24"/>
          <w:szCs w:val="24"/>
        </w:rPr>
        <w:t>to the Complaint, denying the allegations set forth therein.</w:t>
      </w:r>
      <w:r w:rsidR="005541E9" w:rsidRPr="0097089D">
        <w:rPr>
          <w:sz w:val="24"/>
          <w:szCs w:val="24"/>
        </w:rPr>
        <w:t xml:space="preserve">  </w:t>
      </w:r>
      <w:r w:rsidR="008B600B" w:rsidRPr="0097089D">
        <w:rPr>
          <w:sz w:val="24"/>
          <w:szCs w:val="24"/>
        </w:rPr>
        <w:t xml:space="preserve">In its New Matter, Met-Ed raised the issue of subject matter jurisdiction relative to the Complainant’s request for damages and asked that the Complaint be dismissed with prejudice.  </w:t>
      </w:r>
      <w:r w:rsidR="005541E9" w:rsidRPr="0097089D">
        <w:rPr>
          <w:sz w:val="24"/>
          <w:szCs w:val="24"/>
        </w:rPr>
        <w:t>Complainant never filed a responsive pleading to the New Matter despite the fact that the New Matter was properly endorsed with a Notice to Plead.</w:t>
      </w:r>
    </w:p>
    <w:p w:rsidR="008B600B" w:rsidRPr="0097089D" w:rsidRDefault="008B600B" w:rsidP="002820A0">
      <w:pPr>
        <w:spacing w:line="360" w:lineRule="auto"/>
        <w:rPr>
          <w:sz w:val="24"/>
          <w:szCs w:val="24"/>
        </w:rPr>
      </w:pPr>
    </w:p>
    <w:p w:rsidR="003C017C" w:rsidRDefault="008B600B" w:rsidP="002820A0">
      <w:pPr>
        <w:spacing w:line="360" w:lineRule="auto"/>
        <w:rPr>
          <w:sz w:val="24"/>
          <w:szCs w:val="24"/>
        </w:rPr>
        <w:sectPr w:rsidR="003C017C" w:rsidSect="00032929">
          <w:footerReference w:type="even" r:id="rId8"/>
          <w:footerReference w:type="default" r:id="rId9"/>
          <w:footerReference w:type="first" r:id="rId10"/>
          <w:pgSz w:w="12240" w:h="15840"/>
          <w:pgMar w:top="1296" w:right="1440" w:bottom="1296" w:left="1440" w:header="720" w:footer="720" w:gutter="0"/>
          <w:cols w:space="720"/>
          <w:titlePg/>
          <w:docGrid w:linePitch="360"/>
        </w:sectPr>
      </w:pPr>
      <w:r w:rsidRPr="0097089D">
        <w:rPr>
          <w:sz w:val="24"/>
          <w:szCs w:val="24"/>
        </w:rPr>
        <w:tab/>
      </w:r>
      <w:r w:rsidRPr="0097089D">
        <w:rPr>
          <w:sz w:val="24"/>
          <w:szCs w:val="24"/>
        </w:rPr>
        <w:tab/>
        <w:t>On August 9, 2012, this case was assigned to me as a Motion Judge.</w:t>
      </w:r>
    </w:p>
    <w:p w:rsidR="008B600B" w:rsidRPr="0097089D" w:rsidRDefault="008B600B" w:rsidP="002820A0">
      <w:pPr>
        <w:spacing w:line="360" w:lineRule="auto"/>
        <w:rPr>
          <w:sz w:val="24"/>
          <w:szCs w:val="24"/>
        </w:rPr>
      </w:pPr>
      <w:bookmarkStart w:id="0" w:name="_GoBack"/>
      <w:bookmarkEnd w:id="0"/>
      <w:r w:rsidRPr="0097089D">
        <w:rPr>
          <w:sz w:val="24"/>
          <w:szCs w:val="24"/>
        </w:rPr>
        <w:lastRenderedPageBreak/>
        <w:tab/>
      </w:r>
      <w:r w:rsidRPr="0097089D">
        <w:rPr>
          <w:sz w:val="24"/>
          <w:szCs w:val="24"/>
        </w:rPr>
        <w:tab/>
        <w:t xml:space="preserve">On September 18, 2012, I issued an Order granting in part and denying in part what amounted to a Preliminary Objection with respect to subject matter jurisdiction by Met-Ed.  In that Order, </w:t>
      </w:r>
      <w:r w:rsidR="00F178B6" w:rsidRPr="0097089D">
        <w:rPr>
          <w:sz w:val="24"/>
          <w:szCs w:val="24"/>
        </w:rPr>
        <w:t>I granted Met-Ed’s objection to the request by Complainant for the award of monetary damages, but I asked the Mediation Unit of the Office of Administrative Law Judge (OALJ) to consider a mediation attempt with respect to quality of service issues.</w:t>
      </w:r>
      <w:r w:rsidR="00FE28F2" w:rsidRPr="0097089D">
        <w:rPr>
          <w:rStyle w:val="FootnoteReference"/>
          <w:sz w:val="24"/>
          <w:szCs w:val="24"/>
        </w:rPr>
        <w:footnoteReference w:id="1"/>
      </w:r>
    </w:p>
    <w:p w:rsidR="00F178B6" w:rsidRPr="0097089D" w:rsidRDefault="00F178B6" w:rsidP="002820A0">
      <w:pPr>
        <w:spacing w:line="360" w:lineRule="auto"/>
        <w:rPr>
          <w:sz w:val="24"/>
          <w:szCs w:val="24"/>
        </w:rPr>
      </w:pPr>
    </w:p>
    <w:p w:rsidR="00F178B6" w:rsidRPr="0097089D" w:rsidRDefault="00F178B6" w:rsidP="002820A0">
      <w:pPr>
        <w:spacing w:line="360" w:lineRule="auto"/>
        <w:rPr>
          <w:sz w:val="24"/>
          <w:szCs w:val="24"/>
        </w:rPr>
      </w:pPr>
      <w:r w:rsidRPr="0097089D">
        <w:rPr>
          <w:sz w:val="24"/>
          <w:szCs w:val="24"/>
        </w:rPr>
        <w:tab/>
      </w:r>
      <w:r w:rsidRPr="0097089D">
        <w:rPr>
          <w:sz w:val="24"/>
          <w:szCs w:val="24"/>
        </w:rPr>
        <w:tab/>
        <w:t>On October 22, 2012, an Interim Order was issued by Chief Administrative Law Judge Charles E. Rainey, Jr., setting this case for mediation.  Mediation was not successful, and on March 8, 2013, this case was set for a telephonic hearing on April 4, 2013.  A Notice of Telephonic Hearing was sent to the parties by mail</w:t>
      </w:r>
      <w:r w:rsidR="00627A04" w:rsidRPr="0097089D">
        <w:rPr>
          <w:sz w:val="24"/>
          <w:szCs w:val="24"/>
        </w:rPr>
        <w:t xml:space="preserve"> on March 8, 2013</w:t>
      </w:r>
      <w:r w:rsidRPr="0097089D">
        <w:rPr>
          <w:sz w:val="24"/>
          <w:szCs w:val="24"/>
        </w:rPr>
        <w:t>.</w:t>
      </w:r>
    </w:p>
    <w:p w:rsidR="00F178B6" w:rsidRPr="0097089D" w:rsidRDefault="00F178B6" w:rsidP="002820A0">
      <w:pPr>
        <w:spacing w:line="360" w:lineRule="auto"/>
        <w:rPr>
          <w:sz w:val="24"/>
          <w:szCs w:val="24"/>
        </w:rPr>
      </w:pPr>
    </w:p>
    <w:p w:rsidR="002820A0" w:rsidRPr="0097089D" w:rsidRDefault="00F178B6" w:rsidP="002820A0">
      <w:pPr>
        <w:spacing w:line="360" w:lineRule="auto"/>
        <w:rPr>
          <w:sz w:val="24"/>
          <w:szCs w:val="24"/>
        </w:rPr>
      </w:pPr>
      <w:r w:rsidRPr="0097089D">
        <w:rPr>
          <w:sz w:val="24"/>
          <w:szCs w:val="24"/>
        </w:rPr>
        <w:tab/>
      </w:r>
      <w:r w:rsidRPr="0097089D">
        <w:rPr>
          <w:sz w:val="24"/>
          <w:szCs w:val="24"/>
        </w:rPr>
        <w:tab/>
      </w:r>
      <w:r w:rsidR="005541E9" w:rsidRPr="0097089D">
        <w:rPr>
          <w:sz w:val="24"/>
          <w:szCs w:val="24"/>
        </w:rPr>
        <w:t xml:space="preserve">On </w:t>
      </w:r>
      <w:r w:rsidRPr="0097089D">
        <w:rPr>
          <w:sz w:val="24"/>
          <w:szCs w:val="24"/>
        </w:rPr>
        <w:t>March 13, 2013</w:t>
      </w:r>
      <w:r w:rsidR="005541E9" w:rsidRPr="0097089D">
        <w:rPr>
          <w:sz w:val="24"/>
          <w:szCs w:val="24"/>
        </w:rPr>
        <w:t>, I issued a standard form prehearing Order which was served on both parties.  That Order clearly stated that</w:t>
      </w:r>
      <w:r w:rsidR="001E2544" w:rsidRPr="0097089D">
        <w:rPr>
          <w:sz w:val="24"/>
          <w:szCs w:val="24"/>
        </w:rPr>
        <w:t xml:space="preserve"> failure to appear and to participate in the hearing could result in the entry of a default judgment.</w:t>
      </w:r>
    </w:p>
    <w:p w:rsidR="005541E9" w:rsidRPr="0097089D" w:rsidRDefault="005541E9" w:rsidP="002820A0">
      <w:pPr>
        <w:spacing w:line="360" w:lineRule="auto"/>
        <w:rPr>
          <w:sz w:val="24"/>
          <w:szCs w:val="24"/>
        </w:rPr>
      </w:pPr>
    </w:p>
    <w:p w:rsidR="005541E9" w:rsidRPr="0097089D" w:rsidRDefault="005541E9" w:rsidP="002820A0">
      <w:pPr>
        <w:spacing w:line="360" w:lineRule="auto"/>
        <w:rPr>
          <w:sz w:val="24"/>
          <w:szCs w:val="24"/>
        </w:rPr>
      </w:pPr>
      <w:r w:rsidRPr="0097089D">
        <w:rPr>
          <w:sz w:val="24"/>
          <w:szCs w:val="24"/>
        </w:rPr>
        <w:tab/>
      </w:r>
      <w:r w:rsidRPr="0097089D">
        <w:rPr>
          <w:sz w:val="24"/>
          <w:szCs w:val="24"/>
        </w:rPr>
        <w:tab/>
        <w:t xml:space="preserve">On March </w:t>
      </w:r>
      <w:r w:rsidR="00F178B6" w:rsidRPr="0097089D">
        <w:rPr>
          <w:sz w:val="24"/>
          <w:szCs w:val="24"/>
        </w:rPr>
        <w:t>26</w:t>
      </w:r>
      <w:r w:rsidRPr="0097089D">
        <w:rPr>
          <w:sz w:val="24"/>
          <w:szCs w:val="24"/>
        </w:rPr>
        <w:t>, 2013, counsel for Met-Ed served proposed exhibits on myself and the Complainant in conformity with the instructions in the prehearing Order.</w:t>
      </w:r>
    </w:p>
    <w:p w:rsidR="00F178B6" w:rsidRPr="0097089D" w:rsidRDefault="00F178B6" w:rsidP="002820A0">
      <w:pPr>
        <w:spacing w:line="360" w:lineRule="auto"/>
        <w:rPr>
          <w:sz w:val="24"/>
          <w:szCs w:val="24"/>
        </w:rPr>
      </w:pPr>
    </w:p>
    <w:p w:rsidR="00B535FB" w:rsidRPr="0097089D" w:rsidRDefault="002820A0" w:rsidP="002820A0">
      <w:pPr>
        <w:spacing w:line="360" w:lineRule="auto"/>
        <w:rPr>
          <w:sz w:val="24"/>
          <w:szCs w:val="24"/>
        </w:rPr>
      </w:pPr>
      <w:r w:rsidRPr="0097089D">
        <w:rPr>
          <w:sz w:val="24"/>
          <w:szCs w:val="24"/>
        </w:rPr>
        <w:tab/>
      </w:r>
      <w:r w:rsidRPr="0097089D">
        <w:rPr>
          <w:sz w:val="24"/>
          <w:szCs w:val="24"/>
        </w:rPr>
        <w:tab/>
        <w:t xml:space="preserve">On </w:t>
      </w:r>
      <w:r w:rsidR="00627A04" w:rsidRPr="0097089D">
        <w:rPr>
          <w:sz w:val="24"/>
          <w:szCs w:val="24"/>
        </w:rPr>
        <w:t xml:space="preserve">April 4, 2013, </w:t>
      </w:r>
      <w:r w:rsidRPr="0097089D">
        <w:rPr>
          <w:sz w:val="24"/>
          <w:szCs w:val="24"/>
        </w:rPr>
        <w:t>a</w:t>
      </w:r>
      <w:r w:rsidR="005541E9" w:rsidRPr="0097089D">
        <w:rPr>
          <w:sz w:val="24"/>
          <w:szCs w:val="24"/>
        </w:rPr>
        <w:t xml:space="preserve"> telephonic hearing </w:t>
      </w:r>
      <w:r w:rsidRPr="0097089D">
        <w:rPr>
          <w:sz w:val="24"/>
          <w:szCs w:val="24"/>
        </w:rPr>
        <w:t>in th</w:t>
      </w:r>
      <w:r w:rsidR="005541E9" w:rsidRPr="0097089D">
        <w:rPr>
          <w:sz w:val="24"/>
          <w:szCs w:val="24"/>
        </w:rPr>
        <w:t>is case</w:t>
      </w:r>
      <w:r w:rsidRPr="0097089D">
        <w:rPr>
          <w:sz w:val="24"/>
          <w:szCs w:val="24"/>
        </w:rPr>
        <w:t xml:space="preserve"> convened</w:t>
      </w:r>
      <w:r w:rsidR="00627A04" w:rsidRPr="0097089D">
        <w:rPr>
          <w:sz w:val="24"/>
          <w:szCs w:val="24"/>
        </w:rPr>
        <w:t>, originating from the Commission’s Office</w:t>
      </w:r>
      <w:r w:rsidRPr="0097089D">
        <w:rPr>
          <w:sz w:val="24"/>
          <w:szCs w:val="24"/>
        </w:rPr>
        <w:t xml:space="preserve"> at 400 North Street, Harrisburg, Pennsylvania.  Counsel for </w:t>
      </w:r>
      <w:r w:rsidR="005541E9" w:rsidRPr="0097089D">
        <w:rPr>
          <w:sz w:val="24"/>
          <w:szCs w:val="24"/>
        </w:rPr>
        <w:t xml:space="preserve">Met-Ed, </w:t>
      </w:r>
      <w:r w:rsidR="00627A04" w:rsidRPr="0097089D">
        <w:rPr>
          <w:sz w:val="24"/>
          <w:szCs w:val="24"/>
        </w:rPr>
        <w:t>Patrick Malone</w:t>
      </w:r>
      <w:r w:rsidR="005541E9" w:rsidRPr="0097089D">
        <w:rPr>
          <w:sz w:val="24"/>
          <w:szCs w:val="24"/>
        </w:rPr>
        <w:t xml:space="preserve">, </w:t>
      </w:r>
      <w:r w:rsidR="001E2544" w:rsidRPr="0097089D">
        <w:rPr>
          <w:sz w:val="24"/>
          <w:szCs w:val="24"/>
        </w:rPr>
        <w:t xml:space="preserve">Esquire, </w:t>
      </w:r>
      <w:r w:rsidRPr="0097089D">
        <w:rPr>
          <w:sz w:val="24"/>
          <w:szCs w:val="24"/>
        </w:rPr>
        <w:t xml:space="preserve">was present </w:t>
      </w:r>
      <w:r w:rsidR="005541E9" w:rsidRPr="0097089D">
        <w:rPr>
          <w:sz w:val="24"/>
          <w:szCs w:val="24"/>
        </w:rPr>
        <w:t>by telephone</w:t>
      </w:r>
      <w:r w:rsidR="00B535FB" w:rsidRPr="0097089D">
        <w:rPr>
          <w:sz w:val="24"/>
          <w:szCs w:val="24"/>
        </w:rPr>
        <w:t xml:space="preserve">.  I </w:t>
      </w:r>
      <w:r w:rsidR="00FE28F2" w:rsidRPr="0097089D">
        <w:rPr>
          <w:sz w:val="24"/>
          <w:szCs w:val="24"/>
        </w:rPr>
        <w:t xml:space="preserve">twice </w:t>
      </w:r>
      <w:r w:rsidR="00B535FB" w:rsidRPr="0097089D">
        <w:rPr>
          <w:sz w:val="24"/>
          <w:szCs w:val="24"/>
        </w:rPr>
        <w:t xml:space="preserve">attempted to reach Complainant by telephone, but no one answered.  </w:t>
      </w:r>
      <w:r w:rsidR="00FE28F2" w:rsidRPr="0097089D">
        <w:rPr>
          <w:sz w:val="24"/>
          <w:szCs w:val="24"/>
        </w:rPr>
        <w:t xml:space="preserve">On my second attempt to reach Complainant by phone, </w:t>
      </w:r>
      <w:r w:rsidR="00B535FB" w:rsidRPr="0097089D">
        <w:rPr>
          <w:sz w:val="24"/>
          <w:szCs w:val="24"/>
        </w:rPr>
        <w:t xml:space="preserve">I left </w:t>
      </w:r>
      <w:r w:rsidR="00627A04" w:rsidRPr="0097089D">
        <w:rPr>
          <w:sz w:val="24"/>
          <w:szCs w:val="24"/>
        </w:rPr>
        <w:t>a</w:t>
      </w:r>
      <w:r w:rsidR="002B1966">
        <w:rPr>
          <w:sz w:val="24"/>
          <w:szCs w:val="24"/>
        </w:rPr>
        <w:t xml:space="preserve"> v</w:t>
      </w:r>
      <w:r w:rsidR="00B535FB" w:rsidRPr="0097089D">
        <w:rPr>
          <w:sz w:val="24"/>
          <w:szCs w:val="24"/>
        </w:rPr>
        <w:t>oicemail message advising that the hearing had convened</w:t>
      </w:r>
      <w:r w:rsidR="00FE28F2" w:rsidRPr="0097089D">
        <w:rPr>
          <w:sz w:val="24"/>
          <w:szCs w:val="24"/>
        </w:rPr>
        <w:t>, and</w:t>
      </w:r>
      <w:r w:rsidR="00627A04" w:rsidRPr="0097089D">
        <w:rPr>
          <w:sz w:val="24"/>
          <w:szCs w:val="24"/>
        </w:rPr>
        <w:t xml:space="preserve"> </w:t>
      </w:r>
      <w:r w:rsidR="00B535FB" w:rsidRPr="0097089D">
        <w:rPr>
          <w:sz w:val="24"/>
          <w:szCs w:val="24"/>
        </w:rPr>
        <w:t xml:space="preserve">that unless Complainant participated in the hearing, that Complainant was likely to face a default judgment.  </w:t>
      </w:r>
      <w:r w:rsidR="00627A04" w:rsidRPr="0097089D">
        <w:rPr>
          <w:sz w:val="24"/>
          <w:szCs w:val="24"/>
        </w:rPr>
        <w:t>T</w:t>
      </w:r>
      <w:r w:rsidR="00B535FB" w:rsidRPr="0097089D">
        <w:rPr>
          <w:sz w:val="24"/>
          <w:szCs w:val="24"/>
        </w:rPr>
        <w:t xml:space="preserve">he Complainant </w:t>
      </w:r>
      <w:r w:rsidR="00627A04" w:rsidRPr="0097089D">
        <w:rPr>
          <w:sz w:val="24"/>
          <w:szCs w:val="24"/>
        </w:rPr>
        <w:t>n</w:t>
      </w:r>
      <w:r w:rsidR="00B535FB" w:rsidRPr="0097089D">
        <w:rPr>
          <w:sz w:val="24"/>
          <w:szCs w:val="24"/>
        </w:rPr>
        <w:t xml:space="preserve">ever called the Office of Administrative Law Judge (OALJ).  Mr. </w:t>
      </w:r>
      <w:r w:rsidR="00627A04" w:rsidRPr="0097089D">
        <w:rPr>
          <w:sz w:val="24"/>
          <w:szCs w:val="24"/>
        </w:rPr>
        <w:t>Malone</w:t>
      </w:r>
      <w:r w:rsidR="00B535FB" w:rsidRPr="0097089D">
        <w:rPr>
          <w:sz w:val="24"/>
          <w:szCs w:val="24"/>
        </w:rPr>
        <w:t xml:space="preserve"> moved for the dismissal of the Complaint given Complainant’s failure to prosecute, which Motion I granted subject to issuance of this Initial Decision.  The record in this case consists of a</w:t>
      </w:r>
      <w:r w:rsidR="00627A04" w:rsidRPr="0097089D">
        <w:rPr>
          <w:sz w:val="24"/>
          <w:szCs w:val="24"/>
        </w:rPr>
        <w:t xml:space="preserve"> five</w:t>
      </w:r>
      <w:r w:rsidR="00B535FB" w:rsidRPr="0097089D">
        <w:rPr>
          <w:sz w:val="24"/>
          <w:szCs w:val="24"/>
        </w:rPr>
        <w:t xml:space="preserve"> page transcript</w:t>
      </w:r>
      <w:r w:rsidR="00627A04" w:rsidRPr="0097089D">
        <w:rPr>
          <w:sz w:val="24"/>
          <w:szCs w:val="24"/>
        </w:rPr>
        <w:t>.</w:t>
      </w:r>
      <w:r w:rsidR="00B535FB" w:rsidRPr="0097089D">
        <w:rPr>
          <w:sz w:val="24"/>
          <w:szCs w:val="24"/>
        </w:rPr>
        <w:t xml:space="preserve">  The record closed with the receipt of the transcript in this case on </w:t>
      </w:r>
      <w:r w:rsidR="00627A04" w:rsidRPr="0097089D">
        <w:rPr>
          <w:sz w:val="24"/>
          <w:szCs w:val="24"/>
        </w:rPr>
        <w:t xml:space="preserve">April 18, </w:t>
      </w:r>
      <w:r w:rsidR="00B535FB" w:rsidRPr="0097089D">
        <w:rPr>
          <w:sz w:val="24"/>
          <w:szCs w:val="24"/>
        </w:rPr>
        <w:t>2013.</w:t>
      </w:r>
    </w:p>
    <w:p w:rsidR="00627A04" w:rsidRPr="0097089D" w:rsidRDefault="00627A04" w:rsidP="002820A0">
      <w:pPr>
        <w:spacing w:line="360" w:lineRule="auto"/>
        <w:rPr>
          <w:sz w:val="24"/>
          <w:szCs w:val="24"/>
        </w:rPr>
      </w:pPr>
    </w:p>
    <w:p w:rsidR="00032929" w:rsidRDefault="00B535FB" w:rsidP="002820A0">
      <w:pPr>
        <w:spacing w:line="360" w:lineRule="auto"/>
        <w:rPr>
          <w:sz w:val="24"/>
          <w:szCs w:val="24"/>
        </w:rPr>
        <w:sectPr w:rsidR="00032929" w:rsidSect="00032929">
          <w:footerReference w:type="first" r:id="rId11"/>
          <w:pgSz w:w="12240" w:h="15840"/>
          <w:pgMar w:top="1296" w:right="1440" w:bottom="1296" w:left="1440" w:header="720" w:footer="720" w:gutter="0"/>
          <w:cols w:space="720"/>
          <w:titlePg/>
          <w:docGrid w:linePitch="360"/>
        </w:sectPr>
      </w:pPr>
      <w:r w:rsidRPr="0097089D">
        <w:rPr>
          <w:sz w:val="24"/>
          <w:szCs w:val="24"/>
        </w:rPr>
        <w:tab/>
      </w:r>
      <w:r w:rsidRPr="0097089D">
        <w:rPr>
          <w:sz w:val="24"/>
          <w:szCs w:val="24"/>
        </w:rPr>
        <w:tab/>
        <w:t>This case is now ready for decision.</w:t>
      </w:r>
    </w:p>
    <w:p w:rsidR="00421A56" w:rsidRPr="00421A56" w:rsidRDefault="00421A56" w:rsidP="00421A56">
      <w:pPr>
        <w:spacing w:line="360" w:lineRule="auto"/>
        <w:jc w:val="center"/>
        <w:rPr>
          <w:sz w:val="24"/>
          <w:szCs w:val="24"/>
        </w:rPr>
      </w:pPr>
      <w:r>
        <w:rPr>
          <w:sz w:val="24"/>
          <w:szCs w:val="24"/>
          <w:u w:val="single"/>
        </w:rPr>
        <w:t>FINDINGS OF FACT</w:t>
      </w:r>
    </w:p>
    <w:p w:rsidR="005541E9" w:rsidRDefault="005541E9" w:rsidP="00032929">
      <w:pPr>
        <w:spacing w:line="360" w:lineRule="auto"/>
        <w:rPr>
          <w:sz w:val="24"/>
          <w:szCs w:val="24"/>
        </w:rPr>
      </w:pPr>
    </w:p>
    <w:p w:rsidR="00421A56" w:rsidRDefault="00421A56" w:rsidP="00421A56">
      <w:pPr>
        <w:spacing w:line="360" w:lineRule="auto"/>
        <w:rPr>
          <w:sz w:val="24"/>
          <w:szCs w:val="24"/>
        </w:rPr>
      </w:pPr>
      <w:r>
        <w:rPr>
          <w:sz w:val="24"/>
          <w:szCs w:val="24"/>
        </w:rPr>
        <w:tab/>
      </w:r>
      <w:r>
        <w:rPr>
          <w:sz w:val="24"/>
          <w:szCs w:val="24"/>
        </w:rPr>
        <w:tab/>
        <w:t>1.</w:t>
      </w:r>
      <w:r>
        <w:rPr>
          <w:sz w:val="24"/>
          <w:szCs w:val="24"/>
        </w:rPr>
        <w:tab/>
        <w:t>Timothy Stump, the Complainant in this case, received electric service at #8 Antietam Road, Temple, Pennsylvania from Metropolitan Edison Company during the period of the Complaint.</w:t>
      </w:r>
    </w:p>
    <w:p w:rsidR="00421A56" w:rsidRDefault="00421A56" w:rsidP="00421A56">
      <w:pPr>
        <w:spacing w:line="360" w:lineRule="auto"/>
        <w:rPr>
          <w:sz w:val="24"/>
          <w:szCs w:val="24"/>
        </w:rPr>
      </w:pPr>
    </w:p>
    <w:p w:rsidR="00421A56" w:rsidRDefault="00421A56" w:rsidP="00421A56">
      <w:pPr>
        <w:spacing w:line="360" w:lineRule="auto"/>
        <w:rPr>
          <w:sz w:val="24"/>
          <w:szCs w:val="24"/>
        </w:rPr>
      </w:pPr>
      <w:r>
        <w:rPr>
          <w:sz w:val="24"/>
          <w:szCs w:val="24"/>
        </w:rPr>
        <w:tab/>
      </w:r>
      <w:r>
        <w:rPr>
          <w:sz w:val="24"/>
          <w:szCs w:val="24"/>
        </w:rPr>
        <w:tab/>
        <w:t>2.</w:t>
      </w:r>
      <w:r>
        <w:rPr>
          <w:sz w:val="24"/>
          <w:szCs w:val="24"/>
        </w:rPr>
        <w:tab/>
        <w:t>Metropolitan Edison Company is a Commission jurisdictional provider of electric service.</w:t>
      </w:r>
    </w:p>
    <w:p w:rsidR="00421A56" w:rsidRDefault="00421A56" w:rsidP="00421A56">
      <w:pPr>
        <w:spacing w:line="360" w:lineRule="auto"/>
        <w:rPr>
          <w:sz w:val="24"/>
          <w:szCs w:val="24"/>
        </w:rPr>
      </w:pPr>
    </w:p>
    <w:p w:rsidR="006A7851" w:rsidRDefault="00421A56" w:rsidP="00421A56">
      <w:pPr>
        <w:spacing w:line="360" w:lineRule="auto"/>
        <w:rPr>
          <w:sz w:val="24"/>
          <w:szCs w:val="24"/>
        </w:rPr>
      </w:pPr>
      <w:r>
        <w:rPr>
          <w:sz w:val="24"/>
          <w:szCs w:val="24"/>
        </w:rPr>
        <w:tab/>
      </w:r>
      <w:r>
        <w:rPr>
          <w:sz w:val="24"/>
          <w:szCs w:val="24"/>
        </w:rPr>
        <w:tab/>
        <w:t>3.</w:t>
      </w:r>
      <w:r>
        <w:rPr>
          <w:sz w:val="24"/>
          <w:szCs w:val="24"/>
        </w:rPr>
        <w:tab/>
        <w:t>O</w:t>
      </w:r>
      <w:r w:rsidRPr="00421A56">
        <w:rPr>
          <w:sz w:val="24"/>
          <w:szCs w:val="24"/>
        </w:rPr>
        <w:t xml:space="preserve">n March 8, 2013, </w:t>
      </w:r>
      <w:r>
        <w:rPr>
          <w:sz w:val="24"/>
          <w:szCs w:val="24"/>
        </w:rPr>
        <w:t xml:space="preserve">a </w:t>
      </w:r>
      <w:r w:rsidRPr="00421A56">
        <w:rPr>
          <w:sz w:val="24"/>
          <w:szCs w:val="24"/>
        </w:rPr>
        <w:t xml:space="preserve">Notice of Telephonic Hearing was sent to the parties by mail </w:t>
      </w:r>
      <w:r>
        <w:rPr>
          <w:sz w:val="24"/>
          <w:szCs w:val="24"/>
        </w:rPr>
        <w:t xml:space="preserve">setting </w:t>
      </w:r>
      <w:r w:rsidRPr="00421A56">
        <w:rPr>
          <w:sz w:val="24"/>
          <w:szCs w:val="24"/>
        </w:rPr>
        <w:t xml:space="preserve">this case for a telephonic hearing on April 4, 2013.  </w:t>
      </w:r>
    </w:p>
    <w:p w:rsidR="00421A56" w:rsidRDefault="00421A56" w:rsidP="00421A56">
      <w:pPr>
        <w:spacing w:line="360" w:lineRule="auto"/>
        <w:rPr>
          <w:sz w:val="24"/>
          <w:szCs w:val="24"/>
        </w:rPr>
      </w:pPr>
    </w:p>
    <w:p w:rsidR="00421A56" w:rsidRDefault="00421A56" w:rsidP="00421A56">
      <w:pPr>
        <w:spacing w:line="360" w:lineRule="auto"/>
        <w:rPr>
          <w:sz w:val="24"/>
          <w:szCs w:val="24"/>
        </w:rPr>
      </w:pPr>
      <w:r>
        <w:rPr>
          <w:sz w:val="24"/>
          <w:szCs w:val="24"/>
        </w:rPr>
        <w:tab/>
      </w:r>
      <w:r>
        <w:rPr>
          <w:sz w:val="24"/>
          <w:szCs w:val="24"/>
        </w:rPr>
        <w:tab/>
        <w:t>4.</w:t>
      </w:r>
      <w:r>
        <w:rPr>
          <w:sz w:val="24"/>
          <w:szCs w:val="24"/>
        </w:rPr>
        <w:tab/>
        <w:t xml:space="preserve">On April 4, 2013, a Telephonic Hearing convened, originating from the Commission’s Harrisburg Office.   </w:t>
      </w:r>
      <w:r w:rsidRPr="00421A56">
        <w:rPr>
          <w:sz w:val="24"/>
          <w:szCs w:val="24"/>
        </w:rPr>
        <w:t>Counsel for Met</w:t>
      </w:r>
      <w:r>
        <w:rPr>
          <w:sz w:val="24"/>
          <w:szCs w:val="24"/>
        </w:rPr>
        <w:t>ropolitan Edison Company</w:t>
      </w:r>
      <w:r w:rsidRPr="00421A56">
        <w:rPr>
          <w:sz w:val="24"/>
          <w:szCs w:val="24"/>
        </w:rPr>
        <w:t>, Patrick Malone, Es</w:t>
      </w:r>
      <w:r>
        <w:rPr>
          <w:sz w:val="24"/>
          <w:szCs w:val="24"/>
        </w:rPr>
        <w:t xml:space="preserve">quire, was present by telephone, but Timothy Stump was not available at the telephone number he had provided to the Commission. </w:t>
      </w:r>
    </w:p>
    <w:p w:rsidR="00421A56" w:rsidRPr="0097089D" w:rsidRDefault="00421A56" w:rsidP="00440DA5">
      <w:pPr>
        <w:spacing w:line="360" w:lineRule="auto"/>
        <w:rPr>
          <w:sz w:val="24"/>
          <w:szCs w:val="24"/>
        </w:rPr>
      </w:pPr>
    </w:p>
    <w:p w:rsidR="00440DA5" w:rsidRDefault="002820A0" w:rsidP="00440DA5">
      <w:pPr>
        <w:autoSpaceDE w:val="0"/>
        <w:autoSpaceDN w:val="0"/>
        <w:spacing w:line="360" w:lineRule="auto"/>
        <w:jc w:val="center"/>
        <w:rPr>
          <w:spacing w:val="-3"/>
          <w:sz w:val="24"/>
          <w:szCs w:val="24"/>
          <w:u w:val="single"/>
        </w:rPr>
      </w:pPr>
      <w:r w:rsidRPr="0097089D">
        <w:rPr>
          <w:spacing w:val="-3"/>
          <w:sz w:val="24"/>
          <w:szCs w:val="24"/>
          <w:u w:val="single"/>
        </w:rPr>
        <w:t>DISCUSSION</w:t>
      </w:r>
    </w:p>
    <w:p w:rsidR="00440DA5" w:rsidRDefault="00440DA5" w:rsidP="00440DA5">
      <w:pPr>
        <w:autoSpaceDE w:val="0"/>
        <w:autoSpaceDN w:val="0"/>
        <w:spacing w:line="360" w:lineRule="auto"/>
        <w:jc w:val="center"/>
        <w:rPr>
          <w:spacing w:val="-3"/>
          <w:sz w:val="24"/>
          <w:szCs w:val="24"/>
          <w:u w:val="single"/>
        </w:rPr>
      </w:pPr>
    </w:p>
    <w:p w:rsidR="00421A56" w:rsidRDefault="002820A0" w:rsidP="00440DA5">
      <w:pPr>
        <w:autoSpaceDE w:val="0"/>
        <w:autoSpaceDN w:val="0"/>
        <w:spacing w:line="360" w:lineRule="auto"/>
        <w:rPr>
          <w:spacing w:val="-3"/>
          <w:sz w:val="24"/>
          <w:szCs w:val="24"/>
        </w:rPr>
      </w:pPr>
      <w:r w:rsidRPr="0097089D">
        <w:rPr>
          <w:spacing w:val="-3"/>
          <w:sz w:val="24"/>
          <w:szCs w:val="24"/>
        </w:rPr>
        <w:tab/>
      </w:r>
      <w:r w:rsidRPr="0097089D">
        <w:rPr>
          <w:spacing w:val="-3"/>
          <w:sz w:val="24"/>
          <w:szCs w:val="24"/>
        </w:rPr>
        <w:tab/>
        <w:t xml:space="preserve">Administrative agencies, such as the Commission, are required to provide due process to the parties appearing before them.  </w:t>
      </w:r>
      <w:r w:rsidRPr="0097089D">
        <w:rPr>
          <w:i/>
          <w:spacing w:val="-3"/>
          <w:sz w:val="24"/>
          <w:szCs w:val="24"/>
        </w:rPr>
        <w:t>Schneider v. Pa</w:t>
      </w:r>
      <w:r w:rsidR="002B1966">
        <w:rPr>
          <w:i/>
          <w:spacing w:val="-3"/>
          <w:sz w:val="24"/>
          <w:szCs w:val="24"/>
        </w:rPr>
        <w:t xml:space="preserve"> </w:t>
      </w:r>
      <w:r w:rsidRPr="0097089D">
        <w:rPr>
          <w:i/>
          <w:spacing w:val="-3"/>
          <w:sz w:val="24"/>
          <w:szCs w:val="24"/>
        </w:rPr>
        <w:t>P</w:t>
      </w:r>
      <w:r w:rsidR="002B1966">
        <w:rPr>
          <w:i/>
          <w:spacing w:val="-3"/>
          <w:sz w:val="24"/>
          <w:szCs w:val="24"/>
        </w:rPr>
        <w:t>ub.</w:t>
      </w:r>
      <w:r w:rsidRPr="0097089D">
        <w:rPr>
          <w:i/>
          <w:spacing w:val="-3"/>
          <w:sz w:val="24"/>
          <w:szCs w:val="24"/>
        </w:rPr>
        <w:t>U</w:t>
      </w:r>
      <w:r w:rsidR="002B1966">
        <w:rPr>
          <w:i/>
          <w:spacing w:val="-3"/>
          <w:sz w:val="24"/>
          <w:szCs w:val="24"/>
        </w:rPr>
        <w:t xml:space="preserve">til. </w:t>
      </w:r>
      <w:r w:rsidRPr="0097089D">
        <w:rPr>
          <w:i/>
          <w:spacing w:val="-3"/>
          <w:sz w:val="24"/>
          <w:szCs w:val="24"/>
        </w:rPr>
        <w:t>C</w:t>
      </w:r>
      <w:r w:rsidR="002B1966">
        <w:rPr>
          <w:i/>
          <w:spacing w:val="-3"/>
          <w:sz w:val="24"/>
          <w:szCs w:val="24"/>
        </w:rPr>
        <w:t>omm’n.</w:t>
      </w:r>
      <w:r w:rsidR="006A7851">
        <w:rPr>
          <w:spacing w:val="-3"/>
          <w:sz w:val="24"/>
          <w:szCs w:val="24"/>
        </w:rPr>
        <w:t>, 479 A.2d 10 (Pa. Cmwlth.</w:t>
      </w:r>
      <w:r w:rsidR="00032929">
        <w:rPr>
          <w:spacing w:val="-3"/>
          <w:sz w:val="24"/>
          <w:szCs w:val="24"/>
        </w:rPr>
        <w:t xml:space="preserve"> </w:t>
      </w:r>
      <w:r w:rsidRPr="0097089D">
        <w:rPr>
          <w:spacing w:val="-3"/>
          <w:sz w:val="24"/>
          <w:szCs w:val="24"/>
        </w:rPr>
        <w:t>1984).  This due process requirement is satisfied, however, when the parties are a</w:t>
      </w:r>
      <w:r w:rsidR="002B1966">
        <w:rPr>
          <w:spacing w:val="-3"/>
          <w:sz w:val="24"/>
          <w:szCs w:val="24"/>
        </w:rPr>
        <w:t>ff</w:t>
      </w:r>
      <w:r w:rsidRPr="0097089D">
        <w:rPr>
          <w:spacing w:val="-3"/>
          <w:sz w:val="24"/>
          <w:szCs w:val="24"/>
        </w:rPr>
        <w:t xml:space="preserve">orded notice and the opportunity to appear and be heard. </w:t>
      </w:r>
      <w:r w:rsidR="005A4F3F">
        <w:rPr>
          <w:spacing w:val="-3"/>
          <w:sz w:val="24"/>
          <w:szCs w:val="24"/>
        </w:rPr>
        <w:t xml:space="preserve"> </w:t>
      </w:r>
      <w:r w:rsidRPr="0097089D">
        <w:rPr>
          <w:i/>
          <w:iCs/>
          <w:spacing w:val="-3"/>
          <w:sz w:val="24"/>
          <w:szCs w:val="24"/>
        </w:rPr>
        <w:t>Id.</w:t>
      </w:r>
      <w:r w:rsidRPr="0097089D">
        <w:rPr>
          <w:spacing w:val="-3"/>
          <w:sz w:val="24"/>
          <w:szCs w:val="24"/>
        </w:rPr>
        <w:br/>
      </w:r>
      <w:r w:rsidRPr="0097089D">
        <w:rPr>
          <w:spacing w:val="-3"/>
          <w:sz w:val="24"/>
          <w:szCs w:val="24"/>
        </w:rPr>
        <w:br/>
      </w:r>
      <w:r w:rsidRPr="0097089D">
        <w:rPr>
          <w:spacing w:val="-3"/>
          <w:sz w:val="24"/>
          <w:szCs w:val="24"/>
        </w:rPr>
        <w:tab/>
      </w:r>
      <w:r w:rsidRPr="0097089D">
        <w:rPr>
          <w:spacing w:val="-3"/>
          <w:sz w:val="24"/>
          <w:szCs w:val="24"/>
        </w:rPr>
        <w:tab/>
        <w:t xml:space="preserve">Notice of the telephonic hearing in this case was sent to the parties on </w:t>
      </w:r>
      <w:r w:rsidR="00662270">
        <w:rPr>
          <w:spacing w:val="-3"/>
          <w:sz w:val="24"/>
          <w:szCs w:val="24"/>
        </w:rPr>
        <w:t xml:space="preserve">March </w:t>
      </w:r>
      <w:r w:rsidR="00627A04" w:rsidRPr="0097089D">
        <w:rPr>
          <w:spacing w:val="-3"/>
          <w:sz w:val="24"/>
          <w:szCs w:val="24"/>
        </w:rPr>
        <w:t>8</w:t>
      </w:r>
      <w:r w:rsidR="00662270">
        <w:rPr>
          <w:spacing w:val="-3"/>
          <w:sz w:val="24"/>
          <w:szCs w:val="24"/>
        </w:rPr>
        <w:t xml:space="preserve">, </w:t>
      </w:r>
      <w:r w:rsidR="00175064" w:rsidRPr="0097089D">
        <w:rPr>
          <w:spacing w:val="-3"/>
          <w:sz w:val="24"/>
          <w:szCs w:val="24"/>
        </w:rPr>
        <w:t>2013</w:t>
      </w:r>
      <w:r w:rsidRPr="0097089D">
        <w:rPr>
          <w:spacing w:val="-3"/>
          <w:sz w:val="24"/>
          <w:szCs w:val="24"/>
        </w:rPr>
        <w:t xml:space="preserve">, by regular first-class mail to </w:t>
      </w:r>
      <w:r w:rsidR="00FE28F2" w:rsidRPr="0097089D">
        <w:rPr>
          <w:spacing w:val="-3"/>
          <w:sz w:val="24"/>
          <w:szCs w:val="24"/>
        </w:rPr>
        <w:t xml:space="preserve">counsel for Met-Ed and to </w:t>
      </w:r>
      <w:r w:rsidRPr="0097089D">
        <w:rPr>
          <w:spacing w:val="-3"/>
          <w:sz w:val="24"/>
          <w:szCs w:val="24"/>
        </w:rPr>
        <w:t xml:space="preserve">the address stated </w:t>
      </w:r>
      <w:r w:rsidR="00FE28F2" w:rsidRPr="0097089D">
        <w:rPr>
          <w:spacing w:val="-3"/>
          <w:sz w:val="24"/>
          <w:szCs w:val="24"/>
        </w:rPr>
        <w:t xml:space="preserve">by the Complainant </w:t>
      </w:r>
      <w:r w:rsidRPr="0097089D">
        <w:rPr>
          <w:spacing w:val="-3"/>
          <w:sz w:val="24"/>
          <w:szCs w:val="24"/>
        </w:rPr>
        <w:t xml:space="preserve">on </w:t>
      </w:r>
      <w:r w:rsidR="00FE28F2" w:rsidRPr="0097089D">
        <w:rPr>
          <w:spacing w:val="-3"/>
          <w:sz w:val="24"/>
          <w:szCs w:val="24"/>
        </w:rPr>
        <w:t>his</w:t>
      </w:r>
      <w:r w:rsidRPr="0097089D">
        <w:rPr>
          <w:spacing w:val="-3"/>
          <w:sz w:val="24"/>
          <w:szCs w:val="24"/>
        </w:rPr>
        <w:t xml:space="preserve"> Complaint.  </w:t>
      </w:r>
      <w:r w:rsidR="002B1966">
        <w:rPr>
          <w:spacing w:val="-3"/>
          <w:sz w:val="24"/>
          <w:szCs w:val="24"/>
        </w:rPr>
        <w:t xml:space="preserve">The Notice sent to Complainant was not returned. </w:t>
      </w:r>
      <w:r w:rsidR="00406611">
        <w:rPr>
          <w:spacing w:val="-3"/>
          <w:sz w:val="24"/>
          <w:szCs w:val="24"/>
        </w:rPr>
        <w:t xml:space="preserve"> </w:t>
      </w:r>
      <w:r w:rsidR="00406611" w:rsidRPr="00406611">
        <w:rPr>
          <w:spacing w:val="-3"/>
          <w:sz w:val="24"/>
          <w:szCs w:val="24"/>
        </w:rPr>
        <w:t>Th</w:t>
      </w:r>
      <w:r w:rsidR="00406611">
        <w:rPr>
          <w:spacing w:val="-3"/>
          <w:sz w:val="24"/>
          <w:szCs w:val="24"/>
        </w:rPr>
        <w:t>e</w:t>
      </w:r>
      <w:r w:rsidR="00406611" w:rsidRPr="00406611">
        <w:rPr>
          <w:spacing w:val="-3"/>
          <w:sz w:val="24"/>
          <w:szCs w:val="24"/>
        </w:rPr>
        <w:t xml:space="preserve"> </w:t>
      </w:r>
      <w:r w:rsidR="00406611">
        <w:rPr>
          <w:spacing w:val="-3"/>
          <w:sz w:val="24"/>
          <w:szCs w:val="24"/>
        </w:rPr>
        <w:t xml:space="preserve">Prehearing </w:t>
      </w:r>
      <w:r w:rsidR="00406611" w:rsidRPr="00406611">
        <w:rPr>
          <w:spacing w:val="-3"/>
          <w:sz w:val="24"/>
          <w:szCs w:val="24"/>
        </w:rPr>
        <w:t>Order clearly stated that failure to appear and to participate in the hearing could result in the entry of a default judgment.</w:t>
      </w:r>
      <w:r w:rsidR="00406611">
        <w:rPr>
          <w:spacing w:val="-3"/>
          <w:sz w:val="24"/>
          <w:szCs w:val="24"/>
        </w:rPr>
        <w:t xml:space="preserve">  </w:t>
      </w:r>
      <w:r w:rsidRPr="0097089D">
        <w:rPr>
          <w:spacing w:val="-3"/>
          <w:sz w:val="24"/>
          <w:szCs w:val="24"/>
        </w:rPr>
        <w:t>Th</w:t>
      </w:r>
      <w:r w:rsidR="00177E9B">
        <w:rPr>
          <w:spacing w:val="-3"/>
          <w:sz w:val="24"/>
          <w:szCs w:val="24"/>
        </w:rPr>
        <w:t xml:space="preserve">erefore, the due process rights </w:t>
      </w:r>
      <w:r w:rsidRPr="0097089D">
        <w:rPr>
          <w:spacing w:val="-3"/>
          <w:sz w:val="24"/>
          <w:szCs w:val="24"/>
        </w:rPr>
        <w:t xml:space="preserve">of Complainant have been fully protected.  </w:t>
      </w:r>
      <w:r w:rsidRPr="0097089D">
        <w:rPr>
          <w:i/>
          <w:spacing w:val="-3"/>
          <w:sz w:val="24"/>
          <w:szCs w:val="24"/>
        </w:rPr>
        <w:t>Sentner v. Bell Telephone Company of Pennsylvania</w:t>
      </w:r>
      <w:r w:rsidRPr="0097089D">
        <w:rPr>
          <w:spacing w:val="-3"/>
          <w:sz w:val="24"/>
          <w:szCs w:val="24"/>
        </w:rPr>
        <w:t>, Docket No. F-00161106 (Order entere</w:t>
      </w:r>
      <w:r w:rsidR="00B134F4">
        <w:rPr>
          <w:spacing w:val="-3"/>
          <w:sz w:val="24"/>
          <w:szCs w:val="24"/>
        </w:rPr>
        <w:t>d October 25, 1993); and 52 Pa.</w:t>
      </w:r>
      <w:r w:rsidRPr="0097089D">
        <w:rPr>
          <w:spacing w:val="-3"/>
          <w:sz w:val="24"/>
          <w:szCs w:val="24"/>
        </w:rPr>
        <w:t>Code § 5.245(a).</w:t>
      </w:r>
      <w:r w:rsidRPr="0097089D">
        <w:rPr>
          <w:spacing w:val="-3"/>
          <w:sz w:val="24"/>
          <w:szCs w:val="24"/>
        </w:rPr>
        <w:br/>
      </w:r>
      <w:r w:rsidRPr="0097089D">
        <w:rPr>
          <w:spacing w:val="-3"/>
          <w:sz w:val="24"/>
          <w:szCs w:val="24"/>
        </w:rPr>
        <w:tab/>
      </w:r>
      <w:r w:rsidRPr="0097089D">
        <w:rPr>
          <w:spacing w:val="-3"/>
          <w:sz w:val="24"/>
          <w:szCs w:val="24"/>
        </w:rPr>
        <w:tab/>
        <w:t xml:space="preserve">In this proceeding, Complainant bears the burden of proving by </w:t>
      </w:r>
      <w:r w:rsidR="00421A56">
        <w:rPr>
          <w:spacing w:val="-3"/>
          <w:sz w:val="24"/>
          <w:szCs w:val="24"/>
        </w:rPr>
        <w:t>a preponderance of the evidence</w:t>
      </w:r>
      <w:r w:rsidRPr="0097089D">
        <w:rPr>
          <w:spacing w:val="-3"/>
          <w:sz w:val="24"/>
          <w:szCs w:val="24"/>
        </w:rPr>
        <w:t xml:space="preserve"> that</w:t>
      </w:r>
      <w:r w:rsidR="00627A04" w:rsidRPr="0097089D">
        <w:rPr>
          <w:spacing w:val="-3"/>
          <w:sz w:val="24"/>
          <w:szCs w:val="24"/>
        </w:rPr>
        <w:t xml:space="preserve"> he</w:t>
      </w:r>
      <w:r w:rsidR="00B134F4">
        <w:rPr>
          <w:spacing w:val="-3"/>
          <w:sz w:val="24"/>
          <w:szCs w:val="24"/>
        </w:rPr>
        <w:t xml:space="preserve"> is entitled to relief.  66 Pa.</w:t>
      </w:r>
      <w:r w:rsidRPr="0097089D">
        <w:rPr>
          <w:spacing w:val="-3"/>
          <w:sz w:val="24"/>
          <w:szCs w:val="24"/>
        </w:rPr>
        <w:t xml:space="preserve">C.S. § 332(a).  By failing to appear and present any evidence in support of </w:t>
      </w:r>
      <w:r w:rsidR="00627A04" w:rsidRPr="0097089D">
        <w:rPr>
          <w:spacing w:val="-3"/>
          <w:sz w:val="24"/>
          <w:szCs w:val="24"/>
        </w:rPr>
        <w:t>his</w:t>
      </w:r>
      <w:r w:rsidRPr="0097089D">
        <w:rPr>
          <w:spacing w:val="-3"/>
          <w:sz w:val="24"/>
          <w:szCs w:val="24"/>
        </w:rPr>
        <w:t xml:space="preserve"> Complaint, Complainant has failed to meet this burden.  Thus, the Complaint must be </w:t>
      </w:r>
      <w:r w:rsidRPr="0097089D">
        <w:rPr>
          <w:bCs/>
          <w:spacing w:val="-3"/>
          <w:sz w:val="24"/>
          <w:szCs w:val="24"/>
        </w:rPr>
        <w:t>dismissed with prejudice.</w:t>
      </w:r>
      <w:r w:rsidRPr="0097089D">
        <w:rPr>
          <w:spacing w:val="-3"/>
          <w:sz w:val="24"/>
          <w:szCs w:val="24"/>
        </w:rPr>
        <w:t xml:space="preserve">  </w:t>
      </w:r>
      <w:r w:rsidRPr="0097089D">
        <w:rPr>
          <w:i/>
          <w:spacing w:val="-3"/>
          <w:sz w:val="24"/>
          <w:szCs w:val="24"/>
        </w:rPr>
        <w:t>Jefferson v. UGI Utilities, Inc.</w:t>
      </w:r>
      <w:r w:rsidR="00440DA5">
        <w:rPr>
          <w:spacing w:val="-3"/>
          <w:sz w:val="24"/>
          <w:szCs w:val="24"/>
        </w:rPr>
        <w:t>, Docket No. Z</w:t>
      </w:r>
      <w:r w:rsidR="00440DA5">
        <w:rPr>
          <w:spacing w:val="-3"/>
          <w:sz w:val="24"/>
          <w:szCs w:val="24"/>
        </w:rPr>
        <w:noBreakHyphen/>
      </w:r>
      <w:r w:rsidRPr="0097089D">
        <w:rPr>
          <w:spacing w:val="-3"/>
          <w:sz w:val="24"/>
          <w:szCs w:val="24"/>
        </w:rPr>
        <w:t xml:space="preserve">00269892 (Order entered December 26, 1995).  Accordingly, the merits of the Complaint will not be addressed.  </w:t>
      </w:r>
      <w:r w:rsidRPr="0097089D">
        <w:rPr>
          <w:i/>
          <w:spacing w:val="-3"/>
          <w:sz w:val="24"/>
          <w:szCs w:val="24"/>
        </w:rPr>
        <w:t>Jones v. The Peoples Natural Gas Company, d/b/a Dominion Peoples</w:t>
      </w:r>
      <w:r w:rsidR="00440DA5">
        <w:rPr>
          <w:spacing w:val="-3"/>
          <w:sz w:val="24"/>
          <w:szCs w:val="24"/>
        </w:rPr>
        <w:t>, Docket No. C</w:t>
      </w:r>
      <w:r w:rsidR="00440DA5">
        <w:rPr>
          <w:spacing w:val="-3"/>
          <w:sz w:val="24"/>
          <w:szCs w:val="24"/>
        </w:rPr>
        <w:noBreakHyphen/>
      </w:r>
      <w:r w:rsidRPr="0097089D">
        <w:rPr>
          <w:spacing w:val="-3"/>
          <w:sz w:val="24"/>
          <w:szCs w:val="24"/>
        </w:rPr>
        <w:t xml:space="preserve">20054885 (Order entered February 14, 2006); and </w:t>
      </w:r>
      <w:r w:rsidRPr="0097089D">
        <w:rPr>
          <w:i/>
          <w:spacing w:val="-3"/>
          <w:sz w:val="24"/>
          <w:szCs w:val="24"/>
        </w:rPr>
        <w:t>Mya Lau v. PPL Electric Utilities Corp.</w:t>
      </w:r>
      <w:r w:rsidRPr="0097089D">
        <w:rPr>
          <w:spacing w:val="-3"/>
          <w:sz w:val="24"/>
          <w:szCs w:val="24"/>
        </w:rPr>
        <w:t>, Docket No. F-01816882 (Order entered October 19, 2005).</w:t>
      </w:r>
      <w:r w:rsidRPr="0097089D">
        <w:rPr>
          <w:spacing w:val="-3"/>
          <w:sz w:val="24"/>
          <w:szCs w:val="24"/>
        </w:rPr>
        <w:br/>
      </w:r>
    </w:p>
    <w:p w:rsidR="003C017C" w:rsidRDefault="002820A0" w:rsidP="002820A0">
      <w:pPr>
        <w:autoSpaceDE w:val="0"/>
        <w:autoSpaceDN w:val="0"/>
        <w:spacing w:line="360" w:lineRule="auto"/>
        <w:rPr>
          <w:spacing w:val="-3"/>
          <w:sz w:val="24"/>
          <w:szCs w:val="24"/>
        </w:rPr>
      </w:pPr>
      <w:r w:rsidRPr="0097089D">
        <w:rPr>
          <w:spacing w:val="-3"/>
          <w:sz w:val="24"/>
          <w:szCs w:val="24"/>
        </w:rPr>
        <w:tab/>
      </w:r>
      <w:r w:rsidRPr="0097089D">
        <w:rPr>
          <w:spacing w:val="-3"/>
          <w:sz w:val="24"/>
          <w:szCs w:val="24"/>
        </w:rPr>
        <w:tab/>
      </w:r>
      <w:r w:rsidRPr="0097089D">
        <w:rPr>
          <w:spacing w:val="-3"/>
          <w:sz w:val="24"/>
          <w:szCs w:val="24"/>
        </w:rPr>
        <w:tab/>
      </w:r>
      <w:r w:rsidRPr="0097089D">
        <w:rPr>
          <w:spacing w:val="-3"/>
          <w:sz w:val="24"/>
          <w:szCs w:val="24"/>
        </w:rPr>
        <w:tab/>
      </w:r>
      <w:r w:rsidRPr="0097089D">
        <w:rPr>
          <w:spacing w:val="-3"/>
          <w:sz w:val="24"/>
          <w:szCs w:val="24"/>
        </w:rPr>
        <w:tab/>
      </w:r>
      <w:r w:rsidRPr="0097089D">
        <w:rPr>
          <w:spacing w:val="-3"/>
          <w:sz w:val="24"/>
          <w:szCs w:val="24"/>
          <w:u w:val="single"/>
        </w:rPr>
        <w:t>CONCLUSIONS OF LAW</w:t>
      </w:r>
    </w:p>
    <w:p w:rsidR="003C017C" w:rsidRDefault="003C017C" w:rsidP="002820A0">
      <w:pPr>
        <w:autoSpaceDE w:val="0"/>
        <w:autoSpaceDN w:val="0"/>
        <w:spacing w:line="360" w:lineRule="auto"/>
        <w:rPr>
          <w:spacing w:val="-3"/>
          <w:sz w:val="24"/>
          <w:szCs w:val="24"/>
        </w:rPr>
      </w:pPr>
    </w:p>
    <w:p w:rsidR="00406611" w:rsidRDefault="003C017C" w:rsidP="002820A0">
      <w:pPr>
        <w:autoSpaceDE w:val="0"/>
        <w:autoSpaceDN w:val="0"/>
        <w:spacing w:line="360" w:lineRule="auto"/>
        <w:rPr>
          <w:spacing w:val="-3"/>
          <w:sz w:val="24"/>
          <w:szCs w:val="24"/>
        </w:rPr>
      </w:pPr>
      <w:r>
        <w:rPr>
          <w:spacing w:val="-3"/>
          <w:sz w:val="24"/>
          <w:szCs w:val="24"/>
        </w:rPr>
        <w:tab/>
      </w:r>
      <w:r w:rsidR="00440DA5">
        <w:rPr>
          <w:spacing w:val="-3"/>
          <w:sz w:val="24"/>
          <w:szCs w:val="24"/>
        </w:rPr>
        <w:tab/>
      </w:r>
      <w:r w:rsidR="002820A0" w:rsidRPr="0097089D">
        <w:rPr>
          <w:spacing w:val="-3"/>
          <w:sz w:val="24"/>
          <w:szCs w:val="24"/>
        </w:rPr>
        <w:t>1.</w:t>
      </w:r>
      <w:r w:rsidR="002820A0" w:rsidRPr="0097089D">
        <w:rPr>
          <w:spacing w:val="-3"/>
          <w:sz w:val="24"/>
          <w:szCs w:val="24"/>
        </w:rPr>
        <w:tab/>
        <w:t>The Commission has jurisdiction over the subject matter and the part</w:t>
      </w:r>
      <w:r w:rsidR="00FE28F2" w:rsidRPr="0097089D">
        <w:rPr>
          <w:spacing w:val="-3"/>
          <w:sz w:val="24"/>
          <w:szCs w:val="24"/>
        </w:rPr>
        <w:t>ies to this proceeding.  66 Pa.</w:t>
      </w:r>
      <w:r w:rsidR="002820A0" w:rsidRPr="0097089D">
        <w:rPr>
          <w:spacing w:val="-3"/>
          <w:sz w:val="24"/>
          <w:szCs w:val="24"/>
        </w:rPr>
        <w:t>C.S. § 701.</w:t>
      </w:r>
      <w:r w:rsidR="002820A0" w:rsidRPr="0097089D">
        <w:rPr>
          <w:spacing w:val="-3"/>
          <w:sz w:val="24"/>
          <w:szCs w:val="24"/>
        </w:rPr>
        <w:br/>
      </w:r>
      <w:r w:rsidR="002820A0" w:rsidRPr="0097089D">
        <w:rPr>
          <w:spacing w:val="-3"/>
          <w:sz w:val="24"/>
          <w:szCs w:val="24"/>
        </w:rPr>
        <w:br/>
      </w:r>
      <w:r w:rsidR="002820A0" w:rsidRPr="0097089D">
        <w:rPr>
          <w:spacing w:val="-3"/>
          <w:sz w:val="24"/>
          <w:szCs w:val="24"/>
        </w:rPr>
        <w:tab/>
      </w:r>
      <w:r w:rsidR="002820A0" w:rsidRPr="0097089D">
        <w:rPr>
          <w:spacing w:val="-3"/>
          <w:sz w:val="24"/>
          <w:szCs w:val="24"/>
        </w:rPr>
        <w:tab/>
        <w:t>2.</w:t>
      </w:r>
      <w:r w:rsidR="002820A0" w:rsidRPr="0097089D">
        <w:rPr>
          <w:spacing w:val="-3"/>
          <w:sz w:val="24"/>
          <w:szCs w:val="24"/>
        </w:rPr>
        <w:tab/>
        <w:t xml:space="preserve">The due process rights of Complainant have been fully protected in this proceeding.  </w:t>
      </w:r>
      <w:r w:rsidR="002820A0" w:rsidRPr="0097089D">
        <w:rPr>
          <w:i/>
          <w:spacing w:val="-3"/>
          <w:sz w:val="24"/>
          <w:szCs w:val="24"/>
        </w:rPr>
        <w:t>Sentner v. Bell Telephone Company of Pennsylvania</w:t>
      </w:r>
      <w:r w:rsidR="002820A0" w:rsidRPr="0097089D">
        <w:rPr>
          <w:spacing w:val="-3"/>
          <w:sz w:val="24"/>
          <w:szCs w:val="24"/>
        </w:rPr>
        <w:t>, Docket No. F-00161106 (Order entere</w:t>
      </w:r>
      <w:r w:rsidR="00313E9A">
        <w:rPr>
          <w:spacing w:val="-3"/>
          <w:sz w:val="24"/>
          <w:szCs w:val="24"/>
        </w:rPr>
        <w:t>d October 25, 1993); and 52 Pa.</w:t>
      </w:r>
      <w:r w:rsidR="002820A0" w:rsidRPr="0097089D">
        <w:rPr>
          <w:spacing w:val="-3"/>
          <w:sz w:val="24"/>
          <w:szCs w:val="24"/>
        </w:rPr>
        <w:t>Code § 5.245(a).</w:t>
      </w:r>
      <w:r w:rsidR="002820A0" w:rsidRPr="0097089D">
        <w:rPr>
          <w:spacing w:val="-3"/>
          <w:sz w:val="24"/>
          <w:szCs w:val="24"/>
        </w:rPr>
        <w:br/>
      </w:r>
      <w:r w:rsidR="002820A0" w:rsidRPr="0097089D">
        <w:rPr>
          <w:spacing w:val="-3"/>
          <w:sz w:val="24"/>
          <w:szCs w:val="24"/>
        </w:rPr>
        <w:br/>
      </w:r>
      <w:r w:rsidR="002820A0" w:rsidRPr="0097089D">
        <w:rPr>
          <w:spacing w:val="-3"/>
          <w:sz w:val="24"/>
          <w:szCs w:val="24"/>
        </w:rPr>
        <w:tab/>
      </w:r>
      <w:r w:rsidR="002820A0" w:rsidRPr="0097089D">
        <w:rPr>
          <w:spacing w:val="-3"/>
          <w:sz w:val="24"/>
          <w:szCs w:val="24"/>
        </w:rPr>
        <w:tab/>
        <w:t>3.</w:t>
      </w:r>
      <w:r w:rsidR="002820A0" w:rsidRPr="0097089D">
        <w:rPr>
          <w:spacing w:val="-3"/>
          <w:sz w:val="24"/>
          <w:szCs w:val="24"/>
        </w:rPr>
        <w:tab/>
        <w:t xml:space="preserve">By failing to appear and be heard on his Complaint, Complainant has failed to meet </w:t>
      </w:r>
      <w:r w:rsidR="00627A04" w:rsidRPr="0097089D">
        <w:rPr>
          <w:spacing w:val="-3"/>
          <w:sz w:val="24"/>
          <w:szCs w:val="24"/>
        </w:rPr>
        <w:t>his</w:t>
      </w:r>
      <w:r w:rsidR="002820A0" w:rsidRPr="0097089D">
        <w:rPr>
          <w:spacing w:val="-3"/>
          <w:sz w:val="24"/>
          <w:szCs w:val="24"/>
        </w:rPr>
        <w:t xml:space="preserve"> burden of proving that </w:t>
      </w:r>
      <w:r w:rsidR="00627A04" w:rsidRPr="0097089D">
        <w:rPr>
          <w:spacing w:val="-3"/>
          <w:sz w:val="24"/>
          <w:szCs w:val="24"/>
        </w:rPr>
        <w:t>he</w:t>
      </w:r>
      <w:r w:rsidR="00FE28F2" w:rsidRPr="0097089D">
        <w:rPr>
          <w:spacing w:val="-3"/>
          <w:sz w:val="24"/>
          <w:szCs w:val="24"/>
        </w:rPr>
        <w:t xml:space="preserve"> is entitled to relief.  66 Pa.</w:t>
      </w:r>
      <w:r w:rsidR="002820A0" w:rsidRPr="0097089D">
        <w:rPr>
          <w:spacing w:val="-3"/>
          <w:sz w:val="24"/>
          <w:szCs w:val="24"/>
        </w:rPr>
        <w:t>C.S. § 332(a).</w:t>
      </w:r>
    </w:p>
    <w:p w:rsidR="00406611" w:rsidRPr="0097089D" w:rsidRDefault="00406611" w:rsidP="002820A0">
      <w:pPr>
        <w:autoSpaceDE w:val="0"/>
        <w:autoSpaceDN w:val="0"/>
        <w:spacing w:line="360" w:lineRule="auto"/>
        <w:rPr>
          <w:spacing w:val="-3"/>
          <w:sz w:val="24"/>
          <w:szCs w:val="24"/>
        </w:rPr>
      </w:pPr>
    </w:p>
    <w:p w:rsidR="002820A0" w:rsidRPr="0097089D" w:rsidRDefault="002820A0" w:rsidP="002820A0">
      <w:pPr>
        <w:autoSpaceDE w:val="0"/>
        <w:autoSpaceDN w:val="0"/>
        <w:spacing w:line="360" w:lineRule="auto"/>
        <w:rPr>
          <w:spacing w:val="-3"/>
          <w:sz w:val="24"/>
          <w:szCs w:val="24"/>
        </w:rPr>
      </w:pPr>
    </w:p>
    <w:p w:rsidR="002820A0" w:rsidRPr="0097089D" w:rsidRDefault="002820A0" w:rsidP="002820A0">
      <w:pPr>
        <w:autoSpaceDE w:val="0"/>
        <w:autoSpaceDN w:val="0"/>
        <w:spacing w:line="360" w:lineRule="auto"/>
        <w:jc w:val="center"/>
        <w:rPr>
          <w:spacing w:val="-3"/>
          <w:sz w:val="24"/>
          <w:szCs w:val="24"/>
        </w:rPr>
      </w:pPr>
      <w:r w:rsidRPr="0097089D">
        <w:rPr>
          <w:b/>
          <w:spacing w:val="-3"/>
          <w:sz w:val="24"/>
          <w:szCs w:val="24"/>
          <w:u w:val="single"/>
        </w:rPr>
        <w:t>ORDER</w:t>
      </w:r>
    </w:p>
    <w:p w:rsidR="002820A0" w:rsidRDefault="002820A0" w:rsidP="002820A0">
      <w:pPr>
        <w:autoSpaceDE w:val="0"/>
        <w:autoSpaceDN w:val="0"/>
        <w:spacing w:line="360" w:lineRule="auto"/>
        <w:jc w:val="center"/>
        <w:rPr>
          <w:spacing w:val="-3"/>
          <w:sz w:val="24"/>
          <w:szCs w:val="24"/>
        </w:rPr>
      </w:pPr>
    </w:p>
    <w:p w:rsidR="00313E9A" w:rsidRPr="0097089D" w:rsidRDefault="00313E9A" w:rsidP="002820A0">
      <w:pPr>
        <w:autoSpaceDE w:val="0"/>
        <w:autoSpaceDN w:val="0"/>
        <w:spacing w:line="360" w:lineRule="auto"/>
        <w:jc w:val="center"/>
        <w:rPr>
          <w:spacing w:val="-3"/>
          <w:sz w:val="24"/>
          <w:szCs w:val="24"/>
        </w:rPr>
      </w:pPr>
    </w:p>
    <w:p w:rsidR="002820A0" w:rsidRPr="0097089D" w:rsidRDefault="002820A0" w:rsidP="002820A0">
      <w:pPr>
        <w:tabs>
          <w:tab w:val="left" w:pos="0"/>
        </w:tabs>
        <w:suppressAutoHyphens/>
        <w:autoSpaceDE w:val="0"/>
        <w:autoSpaceDN w:val="0"/>
        <w:spacing w:line="360" w:lineRule="auto"/>
        <w:rPr>
          <w:spacing w:val="-3"/>
          <w:sz w:val="24"/>
          <w:szCs w:val="24"/>
        </w:rPr>
      </w:pPr>
      <w:r w:rsidRPr="0097089D">
        <w:rPr>
          <w:spacing w:val="-3"/>
          <w:sz w:val="24"/>
          <w:szCs w:val="24"/>
        </w:rPr>
        <w:tab/>
      </w:r>
      <w:r w:rsidRPr="0097089D">
        <w:rPr>
          <w:spacing w:val="-3"/>
          <w:sz w:val="24"/>
          <w:szCs w:val="24"/>
        </w:rPr>
        <w:tab/>
        <w:t>THEREFORE,</w:t>
      </w:r>
      <w:r w:rsidRPr="0097089D">
        <w:rPr>
          <w:spacing w:val="-3"/>
          <w:sz w:val="24"/>
          <w:szCs w:val="24"/>
        </w:rPr>
        <w:br/>
      </w:r>
      <w:r w:rsidRPr="0097089D">
        <w:rPr>
          <w:spacing w:val="-3"/>
          <w:sz w:val="24"/>
          <w:szCs w:val="24"/>
        </w:rPr>
        <w:br/>
      </w:r>
      <w:r w:rsidRPr="0097089D">
        <w:rPr>
          <w:spacing w:val="-3"/>
          <w:sz w:val="24"/>
          <w:szCs w:val="24"/>
        </w:rPr>
        <w:tab/>
      </w:r>
      <w:r w:rsidRPr="0097089D">
        <w:rPr>
          <w:spacing w:val="-3"/>
          <w:sz w:val="24"/>
          <w:szCs w:val="24"/>
        </w:rPr>
        <w:tab/>
        <w:t>IT IS ORDERED:</w:t>
      </w:r>
      <w:r w:rsidRPr="0097089D">
        <w:rPr>
          <w:spacing w:val="-3"/>
          <w:sz w:val="24"/>
          <w:szCs w:val="24"/>
        </w:rPr>
        <w:br/>
      </w:r>
      <w:r w:rsidRPr="0097089D">
        <w:rPr>
          <w:spacing w:val="-3"/>
          <w:sz w:val="24"/>
          <w:szCs w:val="24"/>
        </w:rPr>
        <w:br/>
      </w:r>
      <w:r w:rsidRPr="0097089D">
        <w:rPr>
          <w:spacing w:val="-3"/>
          <w:sz w:val="24"/>
          <w:szCs w:val="24"/>
        </w:rPr>
        <w:tab/>
      </w:r>
      <w:r w:rsidRPr="0097089D">
        <w:rPr>
          <w:spacing w:val="-3"/>
          <w:sz w:val="24"/>
          <w:szCs w:val="24"/>
        </w:rPr>
        <w:tab/>
        <w:t>1.</w:t>
      </w:r>
      <w:r w:rsidRPr="0097089D">
        <w:rPr>
          <w:spacing w:val="-3"/>
          <w:sz w:val="24"/>
          <w:szCs w:val="24"/>
        </w:rPr>
        <w:tab/>
        <w:t xml:space="preserve">That the Motion to Dismiss the Complaint of </w:t>
      </w:r>
      <w:r w:rsidR="00627A04" w:rsidRPr="0097089D">
        <w:rPr>
          <w:spacing w:val="-3"/>
          <w:sz w:val="24"/>
          <w:szCs w:val="24"/>
        </w:rPr>
        <w:t>Timothy Stump</w:t>
      </w:r>
      <w:r w:rsidR="00175064" w:rsidRPr="0097089D">
        <w:rPr>
          <w:spacing w:val="-3"/>
          <w:sz w:val="24"/>
          <w:szCs w:val="24"/>
        </w:rPr>
        <w:t xml:space="preserve"> </w:t>
      </w:r>
      <w:r w:rsidRPr="0097089D">
        <w:rPr>
          <w:spacing w:val="-3"/>
          <w:sz w:val="24"/>
          <w:szCs w:val="24"/>
        </w:rPr>
        <w:t xml:space="preserve">raised by </w:t>
      </w:r>
      <w:r w:rsidR="00175064" w:rsidRPr="0097089D">
        <w:rPr>
          <w:spacing w:val="-3"/>
          <w:sz w:val="24"/>
          <w:szCs w:val="24"/>
        </w:rPr>
        <w:t xml:space="preserve">Metropolitan Edison Company </w:t>
      </w:r>
      <w:r w:rsidRPr="0097089D">
        <w:rPr>
          <w:spacing w:val="-3"/>
          <w:sz w:val="24"/>
          <w:szCs w:val="24"/>
        </w:rPr>
        <w:t xml:space="preserve">at Docket No. </w:t>
      </w:r>
      <w:r w:rsidR="00627A04" w:rsidRPr="0097089D">
        <w:rPr>
          <w:spacing w:val="-3"/>
          <w:sz w:val="24"/>
          <w:szCs w:val="24"/>
        </w:rPr>
        <w:t>C</w:t>
      </w:r>
      <w:r w:rsidRPr="0097089D">
        <w:rPr>
          <w:spacing w:val="-3"/>
          <w:sz w:val="24"/>
          <w:szCs w:val="24"/>
        </w:rPr>
        <w:t>-201</w:t>
      </w:r>
      <w:r w:rsidR="00175064" w:rsidRPr="0097089D">
        <w:rPr>
          <w:spacing w:val="-3"/>
          <w:sz w:val="24"/>
          <w:szCs w:val="24"/>
        </w:rPr>
        <w:t>2</w:t>
      </w:r>
      <w:r w:rsidRPr="0097089D">
        <w:rPr>
          <w:spacing w:val="-3"/>
          <w:sz w:val="24"/>
          <w:szCs w:val="24"/>
        </w:rPr>
        <w:t>-23</w:t>
      </w:r>
      <w:r w:rsidR="00627A04" w:rsidRPr="0097089D">
        <w:rPr>
          <w:spacing w:val="-3"/>
          <w:sz w:val="24"/>
          <w:szCs w:val="24"/>
        </w:rPr>
        <w:t>13345</w:t>
      </w:r>
      <w:r w:rsidRPr="0097089D">
        <w:rPr>
          <w:spacing w:val="-3"/>
          <w:sz w:val="24"/>
          <w:szCs w:val="24"/>
        </w:rPr>
        <w:t xml:space="preserve"> is hereby granted.</w:t>
      </w:r>
    </w:p>
    <w:p w:rsidR="002820A0" w:rsidRPr="0097089D" w:rsidRDefault="002820A0" w:rsidP="002820A0">
      <w:pPr>
        <w:tabs>
          <w:tab w:val="left" w:pos="0"/>
        </w:tabs>
        <w:suppressAutoHyphens/>
        <w:autoSpaceDE w:val="0"/>
        <w:autoSpaceDN w:val="0"/>
        <w:spacing w:line="360" w:lineRule="auto"/>
        <w:rPr>
          <w:spacing w:val="-3"/>
          <w:sz w:val="24"/>
          <w:szCs w:val="24"/>
        </w:rPr>
      </w:pPr>
    </w:p>
    <w:p w:rsidR="002820A0" w:rsidRPr="0097089D" w:rsidRDefault="002820A0" w:rsidP="002820A0">
      <w:pPr>
        <w:tabs>
          <w:tab w:val="left" w:pos="0"/>
        </w:tabs>
        <w:suppressAutoHyphens/>
        <w:autoSpaceDE w:val="0"/>
        <w:autoSpaceDN w:val="0"/>
        <w:spacing w:line="360" w:lineRule="auto"/>
        <w:rPr>
          <w:bCs/>
          <w:spacing w:val="-3"/>
          <w:sz w:val="24"/>
          <w:szCs w:val="24"/>
        </w:rPr>
      </w:pPr>
      <w:r w:rsidRPr="0097089D">
        <w:rPr>
          <w:spacing w:val="-3"/>
          <w:sz w:val="24"/>
          <w:szCs w:val="24"/>
        </w:rPr>
        <w:tab/>
      </w:r>
      <w:r w:rsidRPr="0097089D">
        <w:rPr>
          <w:spacing w:val="-3"/>
          <w:sz w:val="24"/>
          <w:szCs w:val="24"/>
        </w:rPr>
        <w:tab/>
        <w:t>2.</w:t>
      </w:r>
      <w:r w:rsidRPr="0097089D">
        <w:rPr>
          <w:spacing w:val="-3"/>
          <w:sz w:val="24"/>
          <w:szCs w:val="24"/>
        </w:rPr>
        <w:tab/>
        <w:t xml:space="preserve">That the Complaint of </w:t>
      </w:r>
      <w:r w:rsidR="00627A04" w:rsidRPr="0097089D">
        <w:rPr>
          <w:spacing w:val="-3"/>
          <w:sz w:val="24"/>
          <w:szCs w:val="24"/>
        </w:rPr>
        <w:t>Timothy Stump</w:t>
      </w:r>
      <w:r w:rsidR="00175064" w:rsidRPr="0097089D">
        <w:rPr>
          <w:spacing w:val="-3"/>
          <w:sz w:val="24"/>
          <w:szCs w:val="24"/>
        </w:rPr>
        <w:t xml:space="preserve"> </w:t>
      </w:r>
      <w:r w:rsidRPr="0097089D">
        <w:rPr>
          <w:spacing w:val="-3"/>
          <w:sz w:val="24"/>
          <w:szCs w:val="24"/>
        </w:rPr>
        <w:t xml:space="preserve">against </w:t>
      </w:r>
      <w:r w:rsidR="00175064" w:rsidRPr="0097089D">
        <w:rPr>
          <w:spacing w:val="-3"/>
          <w:sz w:val="24"/>
          <w:szCs w:val="24"/>
        </w:rPr>
        <w:t>Metropolita</w:t>
      </w:r>
      <w:r w:rsidR="00627A04" w:rsidRPr="0097089D">
        <w:rPr>
          <w:spacing w:val="-3"/>
          <w:sz w:val="24"/>
          <w:szCs w:val="24"/>
        </w:rPr>
        <w:t>n Edison Company at Docket No. C</w:t>
      </w:r>
      <w:r w:rsidR="00175064" w:rsidRPr="0097089D">
        <w:rPr>
          <w:spacing w:val="-3"/>
          <w:sz w:val="24"/>
          <w:szCs w:val="24"/>
        </w:rPr>
        <w:t>-2012-23</w:t>
      </w:r>
      <w:r w:rsidR="00627A04" w:rsidRPr="0097089D">
        <w:rPr>
          <w:spacing w:val="-3"/>
          <w:sz w:val="24"/>
          <w:szCs w:val="24"/>
        </w:rPr>
        <w:t>13345</w:t>
      </w:r>
      <w:r w:rsidR="00175064" w:rsidRPr="0097089D">
        <w:rPr>
          <w:spacing w:val="-3"/>
          <w:sz w:val="24"/>
          <w:szCs w:val="24"/>
        </w:rPr>
        <w:t xml:space="preserve"> </w:t>
      </w:r>
      <w:r w:rsidRPr="0097089D">
        <w:rPr>
          <w:spacing w:val="-3"/>
          <w:sz w:val="24"/>
          <w:szCs w:val="24"/>
        </w:rPr>
        <w:t xml:space="preserve">is hereby </w:t>
      </w:r>
      <w:r w:rsidRPr="0097089D">
        <w:rPr>
          <w:bCs/>
          <w:spacing w:val="-3"/>
          <w:sz w:val="24"/>
          <w:szCs w:val="24"/>
        </w:rPr>
        <w:t>dismissed with prejudice.</w:t>
      </w:r>
    </w:p>
    <w:p w:rsidR="001E2544" w:rsidRPr="0097089D" w:rsidRDefault="001E2544" w:rsidP="002820A0">
      <w:pPr>
        <w:tabs>
          <w:tab w:val="left" w:pos="0"/>
        </w:tabs>
        <w:suppressAutoHyphens/>
        <w:autoSpaceDE w:val="0"/>
        <w:autoSpaceDN w:val="0"/>
        <w:spacing w:line="360" w:lineRule="auto"/>
        <w:rPr>
          <w:bCs/>
          <w:spacing w:val="-3"/>
          <w:sz w:val="24"/>
          <w:szCs w:val="24"/>
        </w:rPr>
      </w:pPr>
    </w:p>
    <w:p w:rsidR="001E2544" w:rsidRPr="0097089D" w:rsidRDefault="001E2544" w:rsidP="002820A0">
      <w:pPr>
        <w:tabs>
          <w:tab w:val="left" w:pos="0"/>
        </w:tabs>
        <w:suppressAutoHyphens/>
        <w:autoSpaceDE w:val="0"/>
        <w:autoSpaceDN w:val="0"/>
        <w:spacing w:line="360" w:lineRule="auto"/>
        <w:rPr>
          <w:bCs/>
          <w:spacing w:val="-3"/>
          <w:sz w:val="24"/>
          <w:szCs w:val="24"/>
        </w:rPr>
      </w:pPr>
      <w:r w:rsidRPr="0097089D">
        <w:rPr>
          <w:bCs/>
          <w:spacing w:val="-3"/>
          <w:sz w:val="24"/>
          <w:szCs w:val="24"/>
        </w:rPr>
        <w:tab/>
      </w:r>
      <w:r w:rsidRPr="0097089D">
        <w:rPr>
          <w:bCs/>
          <w:spacing w:val="-3"/>
          <w:sz w:val="24"/>
          <w:szCs w:val="24"/>
        </w:rPr>
        <w:tab/>
        <w:t>3.</w:t>
      </w:r>
      <w:r w:rsidRPr="0097089D">
        <w:rPr>
          <w:bCs/>
          <w:spacing w:val="-3"/>
          <w:sz w:val="24"/>
          <w:szCs w:val="24"/>
        </w:rPr>
        <w:tab/>
        <w:t xml:space="preserve">That the </w:t>
      </w:r>
      <w:r w:rsidR="00FF30AC">
        <w:rPr>
          <w:bCs/>
          <w:spacing w:val="-3"/>
          <w:sz w:val="24"/>
          <w:szCs w:val="24"/>
        </w:rPr>
        <w:t>docket</w:t>
      </w:r>
      <w:r w:rsidRPr="0097089D">
        <w:rPr>
          <w:bCs/>
          <w:spacing w:val="-3"/>
          <w:sz w:val="24"/>
          <w:szCs w:val="24"/>
        </w:rPr>
        <w:t xml:space="preserve"> in this case is closed.</w:t>
      </w:r>
    </w:p>
    <w:p w:rsidR="002820A0" w:rsidRPr="0097089D" w:rsidRDefault="002820A0" w:rsidP="002820A0">
      <w:pPr>
        <w:autoSpaceDE w:val="0"/>
        <w:autoSpaceDN w:val="0"/>
        <w:spacing w:line="360" w:lineRule="auto"/>
        <w:rPr>
          <w:sz w:val="24"/>
          <w:szCs w:val="24"/>
        </w:rPr>
      </w:pPr>
    </w:p>
    <w:p w:rsidR="002820A0" w:rsidRPr="0097089D" w:rsidRDefault="002820A0" w:rsidP="002820A0">
      <w:pPr>
        <w:autoSpaceDE w:val="0"/>
        <w:autoSpaceDN w:val="0"/>
        <w:spacing w:line="360" w:lineRule="auto"/>
        <w:rPr>
          <w:sz w:val="24"/>
          <w:szCs w:val="24"/>
        </w:rPr>
      </w:pPr>
    </w:p>
    <w:p w:rsidR="002820A0" w:rsidRPr="00A86815" w:rsidRDefault="002820A0" w:rsidP="002820A0">
      <w:pPr>
        <w:widowControl w:val="0"/>
        <w:autoSpaceDE w:val="0"/>
        <w:autoSpaceDN w:val="0"/>
        <w:rPr>
          <w:sz w:val="24"/>
          <w:szCs w:val="24"/>
          <w:u w:val="single"/>
        </w:rPr>
      </w:pPr>
      <w:r w:rsidRPr="0097089D">
        <w:rPr>
          <w:sz w:val="24"/>
          <w:szCs w:val="24"/>
        </w:rPr>
        <w:t xml:space="preserve">Date:  </w:t>
      </w:r>
      <w:r w:rsidRPr="0097089D">
        <w:rPr>
          <w:sz w:val="24"/>
          <w:szCs w:val="24"/>
          <w:u w:val="single"/>
        </w:rPr>
        <w:t xml:space="preserve">December </w:t>
      </w:r>
      <w:r w:rsidR="00175064" w:rsidRPr="0097089D">
        <w:rPr>
          <w:sz w:val="24"/>
          <w:szCs w:val="24"/>
          <w:u w:val="single"/>
        </w:rPr>
        <w:t>1</w:t>
      </w:r>
      <w:r w:rsidR="00627A04" w:rsidRPr="0097089D">
        <w:rPr>
          <w:sz w:val="24"/>
          <w:szCs w:val="24"/>
          <w:u w:val="single"/>
        </w:rPr>
        <w:t>1</w:t>
      </w:r>
      <w:r w:rsidRPr="0097089D">
        <w:rPr>
          <w:sz w:val="24"/>
          <w:szCs w:val="24"/>
          <w:u w:val="single"/>
        </w:rPr>
        <w:t>,</w:t>
      </w:r>
      <w:r w:rsidR="00175064" w:rsidRPr="0097089D">
        <w:rPr>
          <w:sz w:val="24"/>
          <w:szCs w:val="24"/>
          <w:u w:val="single"/>
        </w:rPr>
        <w:t xml:space="preserve"> </w:t>
      </w:r>
      <w:r w:rsidRPr="0097089D">
        <w:rPr>
          <w:sz w:val="24"/>
          <w:szCs w:val="24"/>
          <w:u w:val="single"/>
        </w:rPr>
        <w:t>2013</w:t>
      </w:r>
      <w:r w:rsidRPr="0097089D">
        <w:rPr>
          <w:sz w:val="24"/>
          <w:szCs w:val="24"/>
        </w:rPr>
        <w:tab/>
      </w:r>
      <w:r w:rsidRPr="0097089D">
        <w:rPr>
          <w:sz w:val="24"/>
          <w:szCs w:val="24"/>
        </w:rPr>
        <w:tab/>
      </w:r>
      <w:r w:rsidRPr="0097089D">
        <w:rPr>
          <w:sz w:val="24"/>
          <w:szCs w:val="24"/>
        </w:rPr>
        <w:tab/>
      </w:r>
      <w:r w:rsidRPr="0097089D">
        <w:rPr>
          <w:sz w:val="24"/>
          <w:szCs w:val="24"/>
        </w:rPr>
        <w:tab/>
      </w:r>
      <w:r w:rsidR="00A86815">
        <w:rPr>
          <w:sz w:val="24"/>
          <w:szCs w:val="24"/>
          <w:u w:val="single"/>
        </w:rPr>
        <w:tab/>
        <w:t>/s/</w:t>
      </w:r>
      <w:r w:rsidR="00A86815">
        <w:rPr>
          <w:sz w:val="24"/>
          <w:szCs w:val="24"/>
          <w:u w:val="single"/>
        </w:rPr>
        <w:tab/>
      </w:r>
      <w:r w:rsidR="00A86815">
        <w:rPr>
          <w:sz w:val="24"/>
          <w:szCs w:val="24"/>
          <w:u w:val="single"/>
        </w:rPr>
        <w:tab/>
      </w:r>
      <w:r w:rsidR="00A86815">
        <w:rPr>
          <w:sz w:val="24"/>
          <w:szCs w:val="24"/>
          <w:u w:val="single"/>
        </w:rPr>
        <w:tab/>
      </w:r>
      <w:r w:rsidR="00A86815">
        <w:rPr>
          <w:sz w:val="24"/>
          <w:szCs w:val="24"/>
          <w:u w:val="single"/>
        </w:rPr>
        <w:tab/>
      </w:r>
    </w:p>
    <w:p w:rsidR="002820A0" w:rsidRPr="0097089D" w:rsidRDefault="002820A0" w:rsidP="002820A0">
      <w:pPr>
        <w:widowControl w:val="0"/>
        <w:autoSpaceDE w:val="0"/>
        <w:autoSpaceDN w:val="0"/>
        <w:rPr>
          <w:sz w:val="24"/>
          <w:szCs w:val="24"/>
        </w:rPr>
      </w:pP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t>Dennis J. Buckley</w:t>
      </w:r>
    </w:p>
    <w:p w:rsidR="002820A0" w:rsidRPr="0097089D" w:rsidRDefault="002820A0" w:rsidP="002820A0">
      <w:pPr>
        <w:widowControl w:val="0"/>
        <w:autoSpaceDE w:val="0"/>
        <w:autoSpaceDN w:val="0"/>
        <w:rPr>
          <w:sz w:val="24"/>
          <w:szCs w:val="24"/>
        </w:rPr>
      </w:pP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t>Administrative Law Judge</w:t>
      </w:r>
    </w:p>
    <w:p w:rsidR="002820A0" w:rsidRPr="0097089D" w:rsidRDefault="002820A0" w:rsidP="002820A0">
      <w:pPr>
        <w:spacing w:line="360" w:lineRule="auto"/>
        <w:rPr>
          <w:sz w:val="24"/>
          <w:szCs w:val="24"/>
        </w:rPr>
      </w:pPr>
    </w:p>
    <w:p w:rsidR="002820A0" w:rsidRPr="0097089D" w:rsidRDefault="002820A0" w:rsidP="002820A0">
      <w:pPr>
        <w:spacing w:line="360" w:lineRule="auto"/>
        <w:rPr>
          <w:sz w:val="24"/>
          <w:szCs w:val="24"/>
        </w:rPr>
      </w:pPr>
    </w:p>
    <w:p w:rsidR="002820A0" w:rsidRPr="0097089D" w:rsidRDefault="002820A0" w:rsidP="002820A0">
      <w:pPr>
        <w:spacing w:line="360" w:lineRule="auto"/>
        <w:rPr>
          <w:sz w:val="24"/>
          <w:szCs w:val="24"/>
        </w:rPr>
      </w:pPr>
    </w:p>
    <w:p w:rsidR="00176DE0" w:rsidRPr="0097089D" w:rsidRDefault="00176DE0" w:rsidP="00176DE0">
      <w:pPr>
        <w:rPr>
          <w:sz w:val="24"/>
          <w:szCs w:val="24"/>
        </w:rPr>
      </w:pPr>
    </w:p>
    <w:sectPr w:rsidR="00176DE0" w:rsidRPr="0097089D" w:rsidSect="0097089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3C6" w:rsidRDefault="007213C6">
      <w:r>
        <w:separator/>
      </w:r>
    </w:p>
  </w:endnote>
  <w:endnote w:type="continuationSeparator" w:id="0">
    <w:p w:rsidR="007213C6" w:rsidRDefault="0072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6A7851" w:rsidRDefault="00447316" w:rsidP="00ED3EC8">
    <w:pPr>
      <w:pStyle w:val="Footer"/>
      <w:framePr w:wrap="around" w:vAnchor="text" w:hAnchor="margin" w:xAlign="center" w:y="1"/>
      <w:rPr>
        <w:rStyle w:val="PageNumber"/>
        <w:sz w:val="20"/>
        <w:szCs w:val="20"/>
      </w:rPr>
    </w:pPr>
    <w:r w:rsidRPr="006A7851">
      <w:rPr>
        <w:rStyle w:val="PageNumber"/>
        <w:sz w:val="20"/>
        <w:szCs w:val="20"/>
      </w:rPr>
      <w:fldChar w:fldCharType="begin"/>
    </w:r>
    <w:r w:rsidR="00ED3EC8" w:rsidRPr="006A7851">
      <w:rPr>
        <w:rStyle w:val="PageNumber"/>
        <w:sz w:val="20"/>
        <w:szCs w:val="20"/>
      </w:rPr>
      <w:instrText xml:space="preserve">PAGE  </w:instrText>
    </w:r>
    <w:r w:rsidRPr="006A7851">
      <w:rPr>
        <w:rStyle w:val="PageNumber"/>
        <w:sz w:val="20"/>
        <w:szCs w:val="20"/>
      </w:rPr>
      <w:fldChar w:fldCharType="separate"/>
    </w:r>
    <w:r w:rsidR="003C017C">
      <w:rPr>
        <w:rStyle w:val="PageNumber"/>
        <w:noProof/>
        <w:sz w:val="20"/>
        <w:szCs w:val="20"/>
      </w:rPr>
      <w:t>5</w:t>
    </w:r>
    <w:r w:rsidRPr="006A7851">
      <w:rPr>
        <w:rStyle w:val="PageNumber"/>
        <w:sz w:val="20"/>
        <w:szCs w:val="20"/>
      </w:rPr>
      <w:fldChar w:fldCharType="end"/>
    </w:r>
  </w:p>
  <w:p w:rsidR="00ED3EC8" w:rsidRPr="00440DA5" w:rsidRDefault="00ED3EC8">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DA5" w:rsidRPr="00440DA5" w:rsidRDefault="00440DA5">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119296687"/>
      <w:docPartObj>
        <w:docPartGallery w:val="Page Numbers (Bottom of Page)"/>
        <w:docPartUnique/>
      </w:docPartObj>
    </w:sdtPr>
    <w:sdtEndPr>
      <w:rPr>
        <w:noProof/>
      </w:rPr>
    </w:sdtEndPr>
    <w:sdtContent>
      <w:p w:rsidR="003C017C" w:rsidRPr="003C017C" w:rsidRDefault="003C017C">
        <w:pPr>
          <w:pStyle w:val="Footer"/>
          <w:jc w:val="center"/>
          <w:rPr>
            <w:sz w:val="20"/>
            <w:szCs w:val="20"/>
          </w:rPr>
        </w:pPr>
        <w:r w:rsidRPr="003C017C">
          <w:rPr>
            <w:sz w:val="20"/>
            <w:szCs w:val="20"/>
          </w:rPr>
          <w:fldChar w:fldCharType="begin"/>
        </w:r>
        <w:r w:rsidRPr="003C017C">
          <w:rPr>
            <w:sz w:val="20"/>
            <w:szCs w:val="20"/>
          </w:rPr>
          <w:instrText xml:space="preserve"> PAGE   \* MERGEFORMAT </w:instrText>
        </w:r>
        <w:r w:rsidRPr="003C017C">
          <w:rPr>
            <w:sz w:val="20"/>
            <w:szCs w:val="20"/>
          </w:rPr>
          <w:fldChar w:fldCharType="separate"/>
        </w:r>
        <w:r>
          <w:rPr>
            <w:noProof/>
            <w:sz w:val="20"/>
            <w:szCs w:val="20"/>
          </w:rPr>
          <w:t>3</w:t>
        </w:r>
        <w:r w:rsidRPr="003C017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3C6" w:rsidRDefault="007213C6">
      <w:r>
        <w:separator/>
      </w:r>
    </w:p>
  </w:footnote>
  <w:footnote w:type="continuationSeparator" w:id="0">
    <w:p w:rsidR="007213C6" w:rsidRDefault="007213C6">
      <w:r>
        <w:continuationSeparator/>
      </w:r>
    </w:p>
  </w:footnote>
  <w:footnote w:id="1">
    <w:p w:rsidR="00FE28F2" w:rsidRDefault="00FE28F2">
      <w:pPr>
        <w:pStyle w:val="FootnoteText"/>
      </w:pPr>
      <w:r>
        <w:rPr>
          <w:rStyle w:val="FootnoteReference"/>
        </w:rPr>
        <w:footnoteRef/>
      </w:r>
      <w:r>
        <w:tab/>
        <w:t>Complainant contended that his electric service had been terminated despite his filing of medical certifications with Met-Ed.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4C99"/>
    <w:rsid w:val="00005558"/>
    <w:rsid w:val="000079FE"/>
    <w:rsid w:val="00011DD9"/>
    <w:rsid w:val="00012104"/>
    <w:rsid w:val="0001305A"/>
    <w:rsid w:val="00016E55"/>
    <w:rsid w:val="0002105C"/>
    <w:rsid w:val="00026731"/>
    <w:rsid w:val="00032929"/>
    <w:rsid w:val="00035BB8"/>
    <w:rsid w:val="000541C0"/>
    <w:rsid w:val="000576ED"/>
    <w:rsid w:val="000576F6"/>
    <w:rsid w:val="000605B6"/>
    <w:rsid w:val="00061278"/>
    <w:rsid w:val="00062037"/>
    <w:rsid w:val="000634EB"/>
    <w:rsid w:val="00063801"/>
    <w:rsid w:val="00067CBC"/>
    <w:rsid w:val="000902E3"/>
    <w:rsid w:val="00092117"/>
    <w:rsid w:val="0009220F"/>
    <w:rsid w:val="00092B4E"/>
    <w:rsid w:val="00092E44"/>
    <w:rsid w:val="00093562"/>
    <w:rsid w:val="0009662B"/>
    <w:rsid w:val="000A770B"/>
    <w:rsid w:val="000B339A"/>
    <w:rsid w:val="000C2A2B"/>
    <w:rsid w:val="000C34F3"/>
    <w:rsid w:val="000C6B6E"/>
    <w:rsid w:val="000C6EF0"/>
    <w:rsid w:val="000D29BA"/>
    <w:rsid w:val="000E7EF5"/>
    <w:rsid w:val="000F2E5F"/>
    <w:rsid w:val="001021FB"/>
    <w:rsid w:val="00102A77"/>
    <w:rsid w:val="0010420D"/>
    <w:rsid w:val="001077F1"/>
    <w:rsid w:val="001136A2"/>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064"/>
    <w:rsid w:val="0017580D"/>
    <w:rsid w:val="00176DE0"/>
    <w:rsid w:val="00177E9B"/>
    <w:rsid w:val="00181AB1"/>
    <w:rsid w:val="001857EA"/>
    <w:rsid w:val="00191522"/>
    <w:rsid w:val="00192EB5"/>
    <w:rsid w:val="001966CB"/>
    <w:rsid w:val="001A103D"/>
    <w:rsid w:val="001A216A"/>
    <w:rsid w:val="001A2897"/>
    <w:rsid w:val="001A3A8A"/>
    <w:rsid w:val="001B1B1D"/>
    <w:rsid w:val="001B3D6F"/>
    <w:rsid w:val="001D18FE"/>
    <w:rsid w:val="001D1F1B"/>
    <w:rsid w:val="001E2544"/>
    <w:rsid w:val="001E2642"/>
    <w:rsid w:val="001E3C9A"/>
    <w:rsid w:val="001E5447"/>
    <w:rsid w:val="001E79A7"/>
    <w:rsid w:val="001F0835"/>
    <w:rsid w:val="001F74FC"/>
    <w:rsid w:val="002004A8"/>
    <w:rsid w:val="0021162B"/>
    <w:rsid w:val="002125E4"/>
    <w:rsid w:val="00215381"/>
    <w:rsid w:val="00216C32"/>
    <w:rsid w:val="00216F76"/>
    <w:rsid w:val="002203FA"/>
    <w:rsid w:val="00221A88"/>
    <w:rsid w:val="00232968"/>
    <w:rsid w:val="002337D7"/>
    <w:rsid w:val="00234DB8"/>
    <w:rsid w:val="002369B5"/>
    <w:rsid w:val="002451F7"/>
    <w:rsid w:val="00251E5A"/>
    <w:rsid w:val="00252DB6"/>
    <w:rsid w:val="002546D8"/>
    <w:rsid w:val="00260459"/>
    <w:rsid w:val="002608A7"/>
    <w:rsid w:val="0026705F"/>
    <w:rsid w:val="002704DD"/>
    <w:rsid w:val="002820A0"/>
    <w:rsid w:val="002840E8"/>
    <w:rsid w:val="00284760"/>
    <w:rsid w:val="00287BC6"/>
    <w:rsid w:val="0029096F"/>
    <w:rsid w:val="0029353E"/>
    <w:rsid w:val="00297286"/>
    <w:rsid w:val="002A05C6"/>
    <w:rsid w:val="002A5F4D"/>
    <w:rsid w:val="002B1966"/>
    <w:rsid w:val="002B754D"/>
    <w:rsid w:val="002C1F80"/>
    <w:rsid w:val="002C4F02"/>
    <w:rsid w:val="002E7DDB"/>
    <w:rsid w:val="002F42FC"/>
    <w:rsid w:val="00304AA1"/>
    <w:rsid w:val="00306C33"/>
    <w:rsid w:val="00313E9A"/>
    <w:rsid w:val="00321DB1"/>
    <w:rsid w:val="00323C44"/>
    <w:rsid w:val="00330A67"/>
    <w:rsid w:val="00334F62"/>
    <w:rsid w:val="003364EB"/>
    <w:rsid w:val="003366D5"/>
    <w:rsid w:val="00344C34"/>
    <w:rsid w:val="00354574"/>
    <w:rsid w:val="00360F5F"/>
    <w:rsid w:val="0036124A"/>
    <w:rsid w:val="00364636"/>
    <w:rsid w:val="00365459"/>
    <w:rsid w:val="0036754C"/>
    <w:rsid w:val="003819D6"/>
    <w:rsid w:val="00381B05"/>
    <w:rsid w:val="00386626"/>
    <w:rsid w:val="00390929"/>
    <w:rsid w:val="003A0B9C"/>
    <w:rsid w:val="003A0E5A"/>
    <w:rsid w:val="003A3F15"/>
    <w:rsid w:val="003A7581"/>
    <w:rsid w:val="003B4D40"/>
    <w:rsid w:val="003B5D19"/>
    <w:rsid w:val="003B610B"/>
    <w:rsid w:val="003C017C"/>
    <w:rsid w:val="003C47E8"/>
    <w:rsid w:val="003E2B14"/>
    <w:rsid w:val="003F01A7"/>
    <w:rsid w:val="004047B1"/>
    <w:rsid w:val="00406611"/>
    <w:rsid w:val="00407C2F"/>
    <w:rsid w:val="00411425"/>
    <w:rsid w:val="00412E46"/>
    <w:rsid w:val="00413BA5"/>
    <w:rsid w:val="00421A56"/>
    <w:rsid w:val="00426277"/>
    <w:rsid w:val="004262B3"/>
    <w:rsid w:val="00431130"/>
    <w:rsid w:val="00440DA5"/>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08E"/>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541E9"/>
    <w:rsid w:val="00564A3A"/>
    <w:rsid w:val="005674EF"/>
    <w:rsid w:val="00570C2E"/>
    <w:rsid w:val="00575D4F"/>
    <w:rsid w:val="00575F27"/>
    <w:rsid w:val="0058036C"/>
    <w:rsid w:val="00585BD9"/>
    <w:rsid w:val="00585F33"/>
    <w:rsid w:val="005A1839"/>
    <w:rsid w:val="005A3759"/>
    <w:rsid w:val="005A4F3F"/>
    <w:rsid w:val="005B68AC"/>
    <w:rsid w:val="005C373B"/>
    <w:rsid w:val="005C4AAA"/>
    <w:rsid w:val="005D1442"/>
    <w:rsid w:val="005F064D"/>
    <w:rsid w:val="005F5A21"/>
    <w:rsid w:val="00600458"/>
    <w:rsid w:val="00603824"/>
    <w:rsid w:val="00620850"/>
    <w:rsid w:val="00624D32"/>
    <w:rsid w:val="006273ED"/>
    <w:rsid w:val="00627A04"/>
    <w:rsid w:val="0064750C"/>
    <w:rsid w:val="006621E9"/>
    <w:rsid w:val="00662270"/>
    <w:rsid w:val="00664C73"/>
    <w:rsid w:val="006856E2"/>
    <w:rsid w:val="00695397"/>
    <w:rsid w:val="0069562F"/>
    <w:rsid w:val="006A488D"/>
    <w:rsid w:val="006A7851"/>
    <w:rsid w:val="006B2FA8"/>
    <w:rsid w:val="006B3E08"/>
    <w:rsid w:val="006C4536"/>
    <w:rsid w:val="006C51E2"/>
    <w:rsid w:val="006C71BB"/>
    <w:rsid w:val="006D1276"/>
    <w:rsid w:val="006D45CB"/>
    <w:rsid w:val="006E670A"/>
    <w:rsid w:val="006E6833"/>
    <w:rsid w:val="006E7EC7"/>
    <w:rsid w:val="006F27FC"/>
    <w:rsid w:val="006F3153"/>
    <w:rsid w:val="006F4F6D"/>
    <w:rsid w:val="006F64E8"/>
    <w:rsid w:val="00705262"/>
    <w:rsid w:val="00705CA5"/>
    <w:rsid w:val="00716D0A"/>
    <w:rsid w:val="007213C6"/>
    <w:rsid w:val="00721ECF"/>
    <w:rsid w:val="00725BEA"/>
    <w:rsid w:val="007306D1"/>
    <w:rsid w:val="00732F45"/>
    <w:rsid w:val="00742CE1"/>
    <w:rsid w:val="0074372C"/>
    <w:rsid w:val="00744C7C"/>
    <w:rsid w:val="00747C4D"/>
    <w:rsid w:val="0075585E"/>
    <w:rsid w:val="00761717"/>
    <w:rsid w:val="00767FCA"/>
    <w:rsid w:val="00777F0B"/>
    <w:rsid w:val="0078470A"/>
    <w:rsid w:val="00786751"/>
    <w:rsid w:val="00787AF1"/>
    <w:rsid w:val="007B1039"/>
    <w:rsid w:val="007C2A5F"/>
    <w:rsid w:val="007D5B1C"/>
    <w:rsid w:val="007E0ADA"/>
    <w:rsid w:val="007E5866"/>
    <w:rsid w:val="00803A63"/>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B600B"/>
    <w:rsid w:val="008C03AD"/>
    <w:rsid w:val="008C1485"/>
    <w:rsid w:val="008C39C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089D"/>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815"/>
    <w:rsid w:val="00A86BD8"/>
    <w:rsid w:val="00A87EDF"/>
    <w:rsid w:val="00A91174"/>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34F4"/>
    <w:rsid w:val="00B16D92"/>
    <w:rsid w:val="00B20FAA"/>
    <w:rsid w:val="00B21FBA"/>
    <w:rsid w:val="00B2793E"/>
    <w:rsid w:val="00B35F6A"/>
    <w:rsid w:val="00B41F0B"/>
    <w:rsid w:val="00B42826"/>
    <w:rsid w:val="00B535FB"/>
    <w:rsid w:val="00B55869"/>
    <w:rsid w:val="00B567F1"/>
    <w:rsid w:val="00B569FA"/>
    <w:rsid w:val="00B571D3"/>
    <w:rsid w:val="00B6680C"/>
    <w:rsid w:val="00B759EC"/>
    <w:rsid w:val="00B75F96"/>
    <w:rsid w:val="00B76C5A"/>
    <w:rsid w:val="00B824F8"/>
    <w:rsid w:val="00B86154"/>
    <w:rsid w:val="00B86F52"/>
    <w:rsid w:val="00B91893"/>
    <w:rsid w:val="00B926BD"/>
    <w:rsid w:val="00B97C8E"/>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833D6"/>
    <w:rsid w:val="00C95318"/>
    <w:rsid w:val="00C95A99"/>
    <w:rsid w:val="00C96F6B"/>
    <w:rsid w:val="00CA27F9"/>
    <w:rsid w:val="00CA42D7"/>
    <w:rsid w:val="00CB1D88"/>
    <w:rsid w:val="00CB72BC"/>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178B6"/>
    <w:rsid w:val="00F24E8C"/>
    <w:rsid w:val="00F275FE"/>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E28F2"/>
    <w:rsid w:val="00FF0BE2"/>
    <w:rsid w:val="00FF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820A0"/>
    <w:rPr>
      <w:sz w:val="20"/>
      <w:szCs w:val="20"/>
    </w:rPr>
  </w:style>
  <w:style w:type="character" w:customStyle="1" w:styleId="FootnoteTextChar">
    <w:name w:val="Footnote Text Char"/>
    <w:basedOn w:val="DefaultParagraphFont"/>
    <w:link w:val="FootnoteText"/>
    <w:uiPriority w:val="99"/>
    <w:semiHidden/>
    <w:rsid w:val="002820A0"/>
    <w:rPr>
      <w:rFonts w:eastAsia="Times New Roman"/>
    </w:rPr>
  </w:style>
  <w:style w:type="character" w:styleId="FootnoteReference">
    <w:name w:val="footnote reference"/>
    <w:basedOn w:val="DefaultParagraphFont"/>
    <w:uiPriority w:val="99"/>
    <w:semiHidden/>
    <w:unhideWhenUsed/>
    <w:rsid w:val="002820A0"/>
    <w:rPr>
      <w:vertAlign w:val="superscript"/>
    </w:rPr>
  </w:style>
  <w:style w:type="paragraph" w:styleId="Header">
    <w:name w:val="header"/>
    <w:basedOn w:val="Normal"/>
    <w:link w:val="HeaderChar"/>
    <w:uiPriority w:val="99"/>
    <w:unhideWhenUsed/>
    <w:rsid w:val="006A7851"/>
    <w:pPr>
      <w:tabs>
        <w:tab w:val="center" w:pos="4680"/>
        <w:tab w:val="right" w:pos="9360"/>
      </w:tabs>
    </w:pPr>
  </w:style>
  <w:style w:type="character" w:customStyle="1" w:styleId="HeaderChar">
    <w:name w:val="Header Char"/>
    <w:basedOn w:val="DefaultParagraphFont"/>
    <w:link w:val="Header"/>
    <w:uiPriority w:val="99"/>
    <w:rsid w:val="006A7851"/>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820A0"/>
    <w:rPr>
      <w:sz w:val="20"/>
      <w:szCs w:val="20"/>
    </w:rPr>
  </w:style>
  <w:style w:type="character" w:customStyle="1" w:styleId="FootnoteTextChar">
    <w:name w:val="Footnote Text Char"/>
    <w:basedOn w:val="DefaultParagraphFont"/>
    <w:link w:val="FootnoteText"/>
    <w:uiPriority w:val="99"/>
    <w:semiHidden/>
    <w:rsid w:val="002820A0"/>
    <w:rPr>
      <w:rFonts w:eastAsia="Times New Roman"/>
    </w:rPr>
  </w:style>
  <w:style w:type="character" w:styleId="FootnoteReference">
    <w:name w:val="footnote reference"/>
    <w:basedOn w:val="DefaultParagraphFont"/>
    <w:uiPriority w:val="99"/>
    <w:semiHidden/>
    <w:unhideWhenUsed/>
    <w:rsid w:val="002820A0"/>
    <w:rPr>
      <w:vertAlign w:val="superscript"/>
    </w:rPr>
  </w:style>
  <w:style w:type="paragraph" w:styleId="Header">
    <w:name w:val="header"/>
    <w:basedOn w:val="Normal"/>
    <w:link w:val="HeaderChar"/>
    <w:uiPriority w:val="99"/>
    <w:unhideWhenUsed/>
    <w:rsid w:val="006A7851"/>
    <w:pPr>
      <w:tabs>
        <w:tab w:val="center" w:pos="4680"/>
        <w:tab w:val="right" w:pos="9360"/>
      </w:tabs>
    </w:pPr>
  </w:style>
  <w:style w:type="character" w:customStyle="1" w:styleId="HeaderChar">
    <w:name w:val="Header Char"/>
    <w:basedOn w:val="DefaultParagraphFont"/>
    <w:link w:val="Header"/>
    <w:uiPriority w:val="99"/>
    <w:rsid w:val="006A7851"/>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1F5BB-5D74-4D3C-B558-54A9D202D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6</cp:revision>
  <cp:lastPrinted>2013-12-11T21:12:00Z</cp:lastPrinted>
  <dcterms:created xsi:type="dcterms:W3CDTF">2013-12-20T14:27:00Z</dcterms:created>
  <dcterms:modified xsi:type="dcterms:W3CDTF">2013-12-20T15:27:00Z</dcterms:modified>
</cp:coreProperties>
</file>