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9304FE" w:rsidP="00CB7C08">
      <w:pPr>
        <w:jc w:val="right"/>
        <w:rPr>
          <w:sz w:val="26"/>
          <w:szCs w:val="26"/>
        </w:rPr>
      </w:pPr>
      <w:r>
        <w:rPr>
          <w:sz w:val="26"/>
          <w:szCs w:val="26"/>
        </w:rPr>
        <w:t>P</w:t>
      </w:r>
      <w:r w:rsidRPr="002A5D4B">
        <w:rPr>
          <w:sz w:val="26"/>
          <w:szCs w:val="26"/>
        </w:rPr>
        <w:t xml:space="preserve">ublic Meeting held </w:t>
      </w:r>
      <w:r w:rsidR="00D5566B">
        <w:rPr>
          <w:sz w:val="26"/>
          <w:szCs w:val="26"/>
        </w:rPr>
        <w:t>December 5</w:t>
      </w:r>
      <w:r w:rsidR="009C65B2">
        <w:rPr>
          <w:sz w:val="26"/>
          <w:szCs w:val="26"/>
        </w:rPr>
        <w:t>, 2013</w:t>
      </w:r>
      <w:r w:rsidR="00B01F47">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D5566B" w:rsidRPr="005B05E3" w:rsidRDefault="00D5566B" w:rsidP="00D5566B">
      <w:pPr>
        <w:rPr>
          <w:sz w:val="26"/>
          <w:szCs w:val="26"/>
        </w:rPr>
      </w:pPr>
      <w:r w:rsidRPr="005B05E3">
        <w:rPr>
          <w:sz w:val="26"/>
          <w:szCs w:val="26"/>
        </w:rPr>
        <w:t>Commissioners Present:</w:t>
      </w:r>
    </w:p>
    <w:p w:rsidR="00D5566B" w:rsidRPr="005B05E3" w:rsidRDefault="00D5566B" w:rsidP="00D5566B">
      <w:pPr>
        <w:rPr>
          <w:sz w:val="26"/>
          <w:szCs w:val="26"/>
        </w:rPr>
      </w:pPr>
    </w:p>
    <w:p w:rsidR="00D5566B" w:rsidRPr="005B05E3" w:rsidRDefault="00D5566B" w:rsidP="00D5566B">
      <w:pPr>
        <w:tabs>
          <w:tab w:val="left" w:pos="705"/>
        </w:tabs>
        <w:ind w:firstLine="720"/>
        <w:rPr>
          <w:sz w:val="26"/>
          <w:szCs w:val="26"/>
        </w:rPr>
      </w:pPr>
      <w:r w:rsidRPr="005B05E3">
        <w:rPr>
          <w:sz w:val="26"/>
          <w:szCs w:val="26"/>
        </w:rPr>
        <w:t>Robert F. Powelson, Chairman</w:t>
      </w:r>
    </w:p>
    <w:p w:rsidR="00D5566B" w:rsidRPr="005B05E3" w:rsidRDefault="00D5566B" w:rsidP="00D5566B">
      <w:pPr>
        <w:tabs>
          <w:tab w:val="left" w:pos="705"/>
        </w:tabs>
        <w:ind w:firstLine="720"/>
        <w:rPr>
          <w:sz w:val="26"/>
          <w:szCs w:val="26"/>
        </w:rPr>
      </w:pPr>
      <w:r w:rsidRPr="005B05E3">
        <w:rPr>
          <w:sz w:val="26"/>
          <w:szCs w:val="26"/>
        </w:rPr>
        <w:t>John F. Coleman, Jr., Vice Chairman</w:t>
      </w:r>
    </w:p>
    <w:p w:rsidR="00D5566B" w:rsidRPr="005B05E3" w:rsidRDefault="00D5566B" w:rsidP="00D5566B">
      <w:pPr>
        <w:tabs>
          <w:tab w:val="left" w:pos="705"/>
        </w:tabs>
        <w:ind w:firstLine="720"/>
        <w:rPr>
          <w:sz w:val="26"/>
          <w:szCs w:val="26"/>
        </w:rPr>
      </w:pPr>
      <w:r w:rsidRPr="005B05E3">
        <w:rPr>
          <w:sz w:val="26"/>
          <w:szCs w:val="26"/>
        </w:rPr>
        <w:t>James H. Cawley</w:t>
      </w:r>
    </w:p>
    <w:p w:rsidR="00D5566B" w:rsidRPr="005B05E3" w:rsidRDefault="00D5566B" w:rsidP="00D5566B">
      <w:pPr>
        <w:tabs>
          <w:tab w:val="left" w:pos="705"/>
        </w:tabs>
        <w:ind w:firstLine="720"/>
        <w:rPr>
          <w:sz w:val="26"/>
          <w:szCs w:val="26"/>
        </w:rPr>
      </w:pPr>
      <w:r w:rsidRPr="005B05E3">
        <w:rPr>
          <w:sz w:val="26"/>
          <w:szCs w:val="26"/>
        </w:rPr>
        <w:t>Pamela A. Witmer</w:t>
      </w:r>
    </w:p>
    <w:p w:rsidR="00D5566B" w:rsidRPr="005B05E3" w:rsidRDefault="00D5566B" w:rsidP="00D5566B">
      <w:pPr>
        <w:tabs>
          <w:tab w:val="left" w:pos="705"/>
        </w:tabs>
        <w:ind w:firstLine="720"/>
        <w:rPr>
          <w:sz w:val="26"/>
          <w:szCs w:val="26"/>
        </w:rPr>
      </w:pPr>
      <w:r w:rsidRPr="005B05E3">
        <w:rPr>
          <w:sz w:val="26"/>
          <w:szCs w:val="26"/>
        </w:rPr>
        <w:t>Gladys M. Brown</w:t>
      </w:r>
    </w:p>
    <w:p w:rsidR="00D5566B" w:rsidRPr="005B05E3" w:rsidRDefault="00D5566B" w:rsidP="00D5566B">
      <w:pPr>
        <w:rPr>
          <w:sz w:val="26"/>
          <w:szCs w:val="26"/>
        </w:rPr>
      </w:pPr>
    </w:p>
    <w:p w:rsidR="00AB0F2F" w:rsidRDefault="00AB0F2F" w:rsidP="009304FE"/>
    <w:p w:rsidR="009304FE" w:rsidRDefault="009304FE" w:rsidP="009304FE"/>
    <w:p w:rsidR="00E050C0" w:rsidRPr="00E050C0" w:rsidRDefault="00D5566B" w:rsidP="00E050C0">
      <w:pPr>
        <w:tabs>
          <w:tab w:val="left" w:pos="-720"/>
          <w:tab w:val="left" w:pos="0"/>
        </w:tabs>
        <w:suppressAutoHyphens/>
        <w:rPr>
          <w:sz w:val="26"/>
          <w:szCs w:val="26"/>
        </w:rPr>
      </w:pPr>
      <w:r>
        <w:rPr>
          <w:sz w:val="26"/>
          <w:szCs w:val="26"/>
        </w:rPr>
        <w:t>Fred Lavner</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356356">
        <w:rPr>
          <w:sz w:val="26"/>
          <w:szCs w:val="26"/>
        </w:rPr>
        <w:tab/>
      </w:r>
      <w:r w:rsidR="00356356">
        <w:rPr>
          <w:sz w:val="26"/>
          <w:szCs w:val="26"/>
        </w:rPr>
        <w:tab/>
      </w:r>
      <w:r w:rsidR="001523CA">
        <w:rPr>
          <w:sz w:val="26"/>
          <w:szCs w:val="26"/>
        </w:rPr>
        <w:t xml:space="preserve">     </w:t>
      </w:r>
      <w:r>
        <w:rPr>
          <w:sz w:val="26"/>
          <w:szCs w:val="26"/>
        </w:rPr>
        <w:t>C-2013-2357426</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9C65B2" w:rsidP="00E050C0">
      <w:pPr>
        <w:tabs>
          <w:tab w:val="left" w:pos="-720"/>
          <w:tab w:val="left" w:pos="0"/>
        </w:tabs>
        <w:suppressAutoHyphens/>
        <w:rPr>
          <w:sz w:val="26"/>
          <w:szCs w:val="26"/>
        </w:rPr>
      </w:pPr>
      <w:r>
        <w:rPr>
          <w:sz w:val="26"/>
          <w:szCs w:val="26"/>
        </w:rPr>
        <w:t>PECO Energy Company</w:t>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67105F"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D5566B">
        <w:rPr>
          <w:sz w:val="26"/>
          <w:szCs w:val="26"/>
        </w:rPr>
        <w:t>Joel H. Cheskis</w:t>
      </w:r>
      <w:r w:rsidR="00AA3F68">
        <w:rPr>
          <w:sz w:val="26"/>
          <w:szCs w:val="26"/>
        </w:rPr>
        <w:t xml:space="preserve">, issued on </w:t>
      </w:r>
      <w:r w:rsidR="00D5566B">
        <w:rPr>
          <w:sz w:val="26"/>
          <w:szCs w:val="26"/>
        </w:rPr>
        <w:t>October 17, 2013</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the Initial Decision pursuant to Section 332(h) of the Public Utility Code (Code), 66 Pa. C.S. §</w:t>
      </w:r>
      <w:r w:rsidR="00356356">
        <w:rPr>
          <w:sz w:val="26"/>
          <w:szCs w:val="26"/>
        </w:rPr>
        <w:t> </w:t>
      </w:r>
      <w:r w:rsidR="008B24E5">
        <w:rPr>
          <w:sz w:val="26"/>
          <w:szCs w:val="26"/>
        </w:rPr>
        <w:t xml:space="preserve">332(h).  For the reasons stated below, we </w:t>
      </w:r>
      <w:r w:rsidR="009C1908">
        <w:rPr>
          <w:sz w:val="26"/>
          <w:szCs w:val="26"/>
        </w:rPr>
        <w:t xml:space="preserve">shall </w:t>
      </w:r>
      <w:r w:rsidR="00306310">
        <w:rPr>
          <w:sz w:val="26"/>
          <w:szCs w:val="26"/>
        </w:rPr>
        <w:t>modify the ALJ’s Initial Decision</w:t>
      </w:r>
      <w:r w:rsidR="00356356">
        <w:rPr>
          <w:sz w:val="26"/>
          <w:szCs w:val="26"/>
        </w:rPr>
        <w:t xml:space="preserve"> by denying the Complainant’s request for a payment agreement</w:t>
      </w:r>
      <w:r w:rsidR="005C1345">
        <w:rPr>
          <w:sz w:val="26"/>
          <w:szCs w:val="26"/>
        </w:rPr>
        <w:t>, consisten</w:t>
      </w:r>
      <w:r w:rsidR="00356356">
        <w:rPr>
          <w:sz w:val="26"/>
          <w:szCs w:val="26"/>
        </w:rPr>
        <w:t>t with this Opinion and Order.</w:t>
      </w:r>
    </w:p>
    <w:p w:rsidR="009304FE" w:rsidRDefault="00F55BED" w:rsidP="00356356">
      <w:pPr>
        <w:keepNext/>
        <w:spacing w:line="360" w:lineRule="auto"/>
        <w:jc w:val="center"/>
        <w:rPr>
          <w:b/>
          <w:sz w:val="26"/>
          <w:szCs w:val="26"/>
        </w:rPr>
      </w:pPr>
      <w:r w:rsidRPr="00CA1972">
        <w:rPr>
          <w:b/>
          <w:sz w:val="26"/>
          <w:szCs w:val="26"/>
        </w:rPr>
        <w:lastRenderedPageBreak/>
        <w:t>History of the Proceeding</w:t>
      </w:r>
    </w:p>
    <w:p w:rsidR="00B32735" w:rsidRDefault="00B32735" w:rsidP="00356356">
      <w:pPr>
        <w:keepNext/>
        <w:spacing w:line="360" w:lineRule="auto"/>
        <w:jc w:val="center"/>
        <w:rPr>
          <w:b/>
          <w:sz w:val="26"/>
          <w:szCs w:val="26"/>
        </w:rPr>
      </w:pPr>
    </w:p>
    <w:p w:rsidR="00D5566B" w:rsidRDefault="006A7FE0" w:rsidP="00653FDD">
      <w:pPr>
        <w:spacing w:line="360" w:lineRule="auto"/>
        <w:ind w:firstLine="1440"/>
        <w:rPr>
          <w:sz w:val="26"/>
        </w:rPr>
      </w:pPr>
      <w:r>
        <w:rPr>
          <w:sz w:val="26"/>
        </w:rPr>
        <w:t>On March 12, 2013, Fred Lavner (Complainant) filed a Formal Complaint (Complaint) against PECO Energy Company (PECO), alleging that he had incorrect charges on his electric bill and that PECO provided him with poor customer service.  The Complainant asserted that despite having filed nu</w:t>
      </w:r>
      <w:r w:rsidR="00356356">
        <w:rPr>
          <w:sz w:val="26"/>
        </w:rPr>
        <w:t>merous</w:t>
      </w:r>
      <w:r w:rsidR="003F78A2">
        <w:rPr>
          <w:sz w:val="26"/>
        </w:rPr>
        <w:t xml:space="preserve"> </w:t>
      </w:r>
      <w:r>
        <w:rPr>
          <w:sz w:val="26"/>
        </w:rPr>
        <w:t xml:space="preserve">informal complaints with the Commission against PECO, PECO had not been truthful in responding to his claims and problems.  The Complainant also argued that he did not </w:t>
      </w:r>
      <w:r w:rsidR="00C71CB1">
        <w:rPr>
          <w:sz w:val="26"/>
        </w:rPr>
        <w:t>consistently receive</w:t>
      </w:r>
      <w:r>
        <w:rPr>
          <w:sz w:val="26"/>
        </w:rPr>
        <w:t xml:space="preserve"> bills from PECO for service rendered but that PECO</w:t>
      </w:r>
      <w:r w:rsidR="00C71CB1">
        <w:rPr>
          <w:sz w:val="26"/>
        </w:rPr>
        <w:t>,</w:t>
      </w:r>
      <w:r>
        <w:rPr>
          <w:sz w:val="26"/>
        </w:rPr>
        <w:t xml:space="preserve"> </w:t>
      </w:r>
      <w:r w:rsidR="00C71CB1">
        <w:rPr>
          <w:sz w:val="26"/>
        </w:rPr>
        <w:t>n</w:t>
      </w:r>
      <w:r w:rsidR="00254099">
        <w:rPr>
          <w:sz w:val="26"/>
        </w:rPr>
        <w:t>evertheless,</w:t>
      </w:r>
      <w:r>
        <w:rPr>
          <w:sz w:val="26"/>
        </w:rPr>
        <w:t xml:space="preserve"> issued him notices of default</w:t>
      </w:r>
      <w:r w:rsidR="00C71CB1">
        <w:rPr>
          <w:sz w:val="26"/>
        </w:rPr>
        <w:t xml:space="preserve"> for failure to pay</w:t>
      </w:r>
      <w:r>
        <w:rPr>
          <w:sz w:val="26"/>
        </w:rPr>
        <w:t>.  As relief, the Complainant requested a Payment Agreement.</w:t>
      </w:r>
      <w:r w:rsidR="00C71CB1">
        <w:rPr>
          <w:sz w:val="26"/>
        </w:rPr>
        <w:t xml:space="preserve">  </w:t>
      </w:r>
      <w:proofErr w:type="gramStart"/>
      <w:r w:rsidR="00C71CB1">
        <w:rPr>
          <w:sz w:val="26"/>
        </w:rPr>
        <w:t>Complaint at</w:t>
      </w:r>
      <w:r w:rsidR="00254099">
        <w:rPr>
          <w:sz w:val="26"/>
        </w:rPr>
        <w:t> </w:t>
      </w:r>
      <w:r w:rsidR="00C71CB1">
        <w:rPr>
          <w:sz w:val="26"/>
        </w:rPr>
        <w:t>¶ 4.</w:t>
      </w:r>
      <w:proofErr w:type="gramEnd"/>
    </w:p>
    <w:p w:rsidR="00C71CB1" w:rsidRDefault="00C71CB1" w:rsidP="00653FDD">
      <w:pPr>
        <w:spacing w:line="360" w:lineRule="auto"/>
        <w:ind w:firstLine="1440"/>
        <w:rPr>
          <w:sz w:val="26"/>
        </w:rPr>
      </w:pPr>
    </w:p>
    <w:p w:rsidR="00C71CB1" w:rsidRDefault="00C71CB1" w:rsidP="00653FDD">
      <w:pPr>
        <w:spacing w:line="360" w:lineRule="auto"/>
        <w:ind w:firstLine="1440"/>
        <w:rPr>
          <w:sz w:val="26"/>
        </w:rPr>
      </w:pPr>
      <w:r>
        <w:rPr>
          <w:sz w:val="26"/>
        </w:rPr>
        <w:t xml:space="preserve">On April 24, 2013, PECO filed an Answer and New Matter in response to the Complaint.  In its Answer, PECO denied all material allegations contained in the Complaint.  Specifically, PECO denied that the Complainant was overcharged for his service or that his bills contained errors.  PECO noted that the Complainant had previously received four payment agreements, including two agreements issued by the Commission’s Bureau of Consumer Services (BCS), but failed to keep any of the agreements.  </w:t>
      </w:r>
      <w:proofErr w:type="gramStart"/>
      <w:r>
        <w:rPr>
          <w:sz w:val="26"/>
        </w:rPr>
        <w:t>Answer at 2-4.</w:t>
      </w:r>
      <w:proofErr w:type="gramEnd"/>
      <w:r>
        <w:rPr>
          <w:sz w:val="26"/>
        </w:rPr>
        <w:t xml:space="preserve">  PECO further asserted that the Complainant was not receiving paper bills because he was enrolled in PECO’s optional </w:t>
      </w:r>
      <w:r w:rsidR="00207449">
        <w:rPr>
          <w:sz w:val="26"/>
        </w:rPr>
        <w:t>e</w:t>
      </w:r>
      <w:r w:rsidR="00B56942">
        <w:rPr>
          <w:sz w:val="26"/>
        </w:rPr>
        <w:t xml:space="preserve">lectronic </w:t>
      </w:r>
      <w:r>
        <w:rPr>
          <w:sz w:val="26"/>
        </w:rPr>
        <w:t>billing</w:t>
      </w:r>
      <w:r w:rsidR="007B6863">
        <w:rPr>
          <w:sz w:val="26"/>
        </w:rPr>
        <w:t xml:space="preserve"> (e-billing)</w:t>
      </w:r>
      <w:r>
        <w:rPr>
          <w:sz w:val="26"/>
        </w:rPr>
        <w:t xml:space="preserve">.  </w:t>
      </w:r>
      <w:proofErr w:type="gramStart"/>
      <w:r>
        <w:rPr>
          <w:i/>
          <w:sz w:val="26"/>
        </w:rPr>
        <w:t>Id.</w:t>
      </w:r>
      <w:r>
        <w:rPr>
          <w:sz w:val="26"/>
        </w:rPr>
        <w:t xml:space="preserve"> at 5.</w:t>
      </w:r>
      <w:proofErr w:type="gramEnd"/>
      <w:r>
        <w:rPr>
          <w:sz w:val="26"/>
        </w:rPr>
        <w:t xml:space="preserve">  In its New Matter, PECO alleged that the Complainant was not entitled to receive any additional payment agreement</w:t>
      </w:r>
      <w:r w:rsidR="00B84E4A">
        <w:rPr>
          <w:sz w:val="26"/>
        </w:rPr>
        <w:t xml:space="preserve">s because he had defaulted on two </w:t>
      </w:r>
      <w:r>
        <w:rPr>
          <w:sz w:val="26"/>
        </w:rPr>
        <w:t>prior Commission-issued payment agreement</w:t>
      </w:r>
      <w:r w:rsidR="00B84E4A">
        <w:rPr>
          <w:sz w:val="26"/>
        </w:rPr>
        <w:t>s</w:t>
      </w:r>
      <w:r>
        <w:rPr>
          <w:sz w:val="26"/>
        </w:rPr>
        <w:t xml:space="preserve"> and had not subsequently experienced a change in income.  </w:t>
      </w:r>
      <w:r>
        <w:rPr>
          <w:i/>
          <w:sz w:val="26"/>
        </w:rPr>
        <w:t xml:space="preserve">Id. </w:t>
      </w:r>
      <w:r>
        <w:rPr>
          <w:sz w:val="26"/>
        </w:rPr>
        <w:t xml:space="preserve">at 6-7.  PECO requested that the Complaint be dismissed.  </w:t>
      </w:r>
      <w:proofErr w:type="gramStart"/>
      <w:r>
        <w:rPr>
          <w:i/>
          <w:sz w:val="26"/>
        </w:rPr>
        <w:t>Id.</w:t>
      </w:r>
      <w:r>
        <w:rPr>
          <w:sz w:val="26"/>
        </w:rPr>
        <w:t xml:space="preserve"> at 7.</w:t>
      </w:r>
      <w:proofErr w:type="gramEnd"/>
    </w:p>
    <w:p w:rsidR="00C71CB1" w:rsidRDefault="00C71CB1" w:rsidP="00653FDD">
      <w:pPr>
        <w:spacing w:line="360" w:lineRule="auto"/>
        <w:ind w:firstLine="1440"/>
        <w:rPr>
          <w:sz w:val="26"/>
        </w:rPr>
      </w:pPr>
    </w:p>
    <w:p w:rsidR="00C71CB1" w:rsidRDefault="0091586C" w:rsidP="00653FDD">
      <w:pPr>
        <w:spacing w:line="360" w:lineRule="auto"/>
        <w:ind w:firstLine="1440"/>
        <w:rPr>
          <w:sz w:val="26"/>
        </w:rPr>
      </w:pPr>
      <w:r>
        <w:rPr>
          <w:sz w:val="26"/>
        </w:rPr>
        <w:t>On June 26, 2013, a hearing was held in this matter.  However, prior to the delivery of testimony, PECO requested that the hearing be continued so that it could conduct a high bill investigation at the Complainant’s Service Address to aid in possible settlement discussions.  The Complainant did not oppose this request.</w:t>
      </w:r>
    </w:p>
    <w:p w:rsidR="0091586C" w:rsidRDefault="0091586C" w:rsidP="00653FDD">
      <w:pPr>
        <w:spacing w:line="360" w:lineRule="auto"/>
        <w:ind w:firstLine="1440"/>
        <w:rPr>
          <w:sz w:val="26"/>
        </w:rPr>
      </w:pPr>
    </w:p>
    <w:p w:rsidR="0091586C" w:rsidRDefault="0091586C" w:rsidP="00653FDD">
      <w:pPr>
        <w:spacing w:line="360" w:lineRule="auto"/>
        <w:ind w:firstLine="1440"/>
        <w:rPr>
          <w:sz w:val="26"/>
        </w:rPr>
      </w:pPr>
      <w:r>
        <w:rPr>
          <w:sz w:val="26"/>
        </w:rPr>
        <w:t xml:space="preserve">On July 24, 2013, a second hearing was held.  The Complainant appeared </w:t>
      </w:r>
      <w:r>
        <w:rPr>
          <w:i/>
          <w:sz w:val="26"/>
        </w:rPr>
        <w:t>pro se</w:t>
      </w:r>
      <w:r>
        <w:rPr>
          <w:sz w:val="26"/>
        </w:rPr>
        <w:t xml:space="preserve"> and testified on his own behalf.  PECO was represented by counsel, presented the testimony of two witness, and submitted thirteen exhibits, twelve of which were admitted into the record.  </w:t>
      </w:r>
      <w:r w:rsidR="00F94597">
        <w:rPr>
          <w:sz w:val="26"/>
        </w:rPr>
        <w:t xml:space="preserve">The hearing resulted in a transcript of eighty-two pages.  </w:t>
      </w:r>
    </w:p>
    <w:p w:rsidR="00F94597" w:rsidRDefault="00F94597" w:rsidP="00653FDD">
      <w:pPr>
        <w:spacing w:line="360" w:lineRule="auto"/>
        <w:ind w:firstLine="1440"/>
        <w:rPr>
          <w:sz w:val="26"/>
        </w:rPr>
      </w:pPr>
    </w:p>
    <w:p w:rsidR="00F94597" w:rsidRDefault="00F94597" w:rsidP="00653FDD">
      <w:pPr>
        <w:spacing w:line="360" w:lineRule="auto"/>
        <w:ind w:firstLine="1440"/>
        <w:rPr>
          <w:sz w:val="26"/>
        </w:rPr>
      </w:pPr>
      <w:r>
        <w:rPr>
          <w:sz w:val="26"/>
        </w:rPr>
        <w:t xml:space="preserve">On August 2, 2013, PECO served a late-filed </w:t>
      </w:r>
      <w:r w:rsidR="00B84E4A">
        <w:rPr>
          <w:sz w:val="26"/>
        </w:rPr>
        <w:t>e</w:t>
      </w:r>
      <w:r>
        <w:rPr>
          <w:sz w:val="26"/>
        </w:rPr>
        <w:t>xhibit that was formally admitted into the record by Order dated September 18, 2013.</w:t>
      </w:r>
    </w:p>
    <w:p w:rsidR="00BB09EF" w:rsidRDefault="00BB09EF" w:rsidP="00653FDD">
      <w:pPr>
        <w:spacing w:line="360" w:lineRule="auto"/>
        <w:ind w:firstLine="1440"/>
        <w:rPr>
          <w:sz w:val="26"/>
        </w:rPr>
      </w:pPr>
    </w:p>
    <w:p w:rsidR="00BB09EF" w:rsidRDefault="00BB09EF" w:rsidP="00653FDD">
      <w:pPr>
        <w:spacing w:line="360" w:lineRule="auto"/>
        <w:ind w:firstLine="1440"/>
        <w:rPr>
          <w:sz w:val="26"/>
        </w:rPr>
      </w:pPr>
      <w:r>
        <w:rPr>
          <w:sz w:val="26"/>
        </w:rPr>
        <w:t xml:space="preserve">In </w:t>
      </w:r>
      <w:r w:rsidR="00B84E4A">
        <w:rPr>
          <w:sz w:val="26"/>
        </w:rPr>
        <w:t>the</w:t>
      </w:r>
      <w:r>
        <w:rPr>
          <w:sz w:val="26"/>
        </w:rPr>
        <w:t xml:space="preserve"> Initial Decision, issued on October 17, 2013, ALJ Cheskis</w:t>
      </w:r>
      <w:r w:rsidR="00B84E4A">
        <w:rPr>
          <w:sz w:val="26"/>
        </w:rPr>
        <w:t xml:space="preserve"> </w:t>
      </w:r>
      <w:r w:rsidR="00B56942">
        <w:rPr>
          <w:sz w:val="26"/>
        </w:rPr>
        <w:t>sustained</w:t>
      </w:r>
      <w:r>
        <w:rPr>
          <w:sz w:val="26"/>
        </w:rPr>
        <w:t xml:space="preserve"> the Complaint, in part, and denied it</w:t>
      </w:r>
      <w:r w:rsidR="00EA7B45">
        <w:rPr>
          <w:sz w:val="26"/>
        </w:rPr>
        <w:t>,</w:t>
      </w:r>
      <w:r>
        <w:rPr>
          <w:sz w:val="26"/>
        </w:rPr>
        <w:t xml:space="preserve"> in part, finding that the Complainant did not demonstrate that PECO billed him incorrectly or provided him with poor service.  However, the ALJ granted the Complainant’s request for a payment agreement.  </w:t>
      </w:r>
      <w:proofErr w:type="gramStart"/>
      <w:r>
        <w:rPr>
          <w:sz w:val="26"/>
        </w:rPr>
        <w:t>I.D. at</w:t>
      </w:r>
      <w:r w:rsidR="00EA7B45">
        <w:rPr>
          <w:sz w:val="26"/>
        </w:rPr>
        <w:t> </w:t>
      </w:r>
      <w:r>
        <w:rPr>
          <w:sz w:val="26"/>
        </w:rPr>
        <w:t>22.</w:t>
      </w:r>
      <w:proofErr w:type="gramEnd"/>
    </w:p>
    <w:p w:rsidR="00E91337" w:rsidRPr="0091586C" w:rsidRDefault="00E91337" w:rsidP="00653FDD">
      <w:pPr>
        <w:spacing w:line="360" w:lineRule="auto"/>
        <w:ind w:firstLine="1440"/>
        <w:rPr>
          <w:sz w:val="26"/>
        </w:rPr>
      </w:pPr>
    </w:p>
    <w:p w:rsidR="001A1AD3" w:rsidRPr="00C12C16" w:rsidRDefault="004419DA" w:rsidP="00791EEE">
      <w:pPr>
        <w:jc w:val="center"/>
        <w:rPr>
          <w:b/>
          <w:sz w:val="26"/>
          <w:szCs w:val="26"/>
        </w:rPr>
      </w:pPr>
      <w:r w:rsidRPr="00C12C16">
        <w:rPr>
          <w:b/>
          <w:sz w:val="26"/>
          <w:szCs w:val="26"/>
        </w:rPr>
        <w:t>Discussion</w:t>
      </w:r>
    </w:p>
    <w:p w:rsidR="00D5673B" w:rsidRPr="00C12C16" w:rsidRDefault="00D5673B" w:rsidP="001A1AD3">
      <w:pPr>
        <w:spacing w:line="360" w:lineRule="auto"/>
        <w:jc w:val="center"/>
        <w:rPr>
          <w:sz w:val="26"/>
          <w:szCs w:val="26"/>
        </w:rPr>
      </w:pPr>
    </w:p>
    <w:p w:rsidR="00FB0336" w:rsidRPr="00C12C16" w:rsidRDefault="001448EA" w:rsidP="001448EA">
      <w:pPr>
        <w:spacing w:line="360" w:lineRule="auto"/>
        <w:ind w:firstLine="1440"/>
        <w:rPr>
          <w:rFonts w:ascii="Times New (W1)" w:hAnsi="Times New (W1)"/>
          <w:sz w:val="26"/>
        </w:rPr>
      </w:pPr>
      <w:r w:rsidRPr="00C12C16">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w:t>
      </w:r>
      <w:r w:rsidR="00BB09EF">
        <w:rPr>
          <w:rFonts w:ascii="Times New (W1)" w:hAnsi="Times New (W1)"/>
          <w:sz w:val="26"/>
          <w:szCs w:val="26"/>
        </w:rPr>
        <w:t>PECO</w:t>
      </w:r>
      <w:r w:rsidRPr="00C12C16">
        <w:rPr>
          <w:rFonts w:ascii="Times New (W1)" w:hAnsi="Times New (W1)"/>
          <w:sz w:val="26"/>
          <w:szCs w:val="26"/>
        </w:rPr>
        <w:t xml:space="preserve"> is responsible or accountable for the problem described in the Complaint.  </w:t>
      </w:r>
      <w:r w:rsidRPr="00C12C16">
        <w:rPr>
          <w:rFonts w:ascii="Times New (W1)" w:hAnsi="Times New (W1)"/>
          <w:i/>
          <w:sz w:val="26"/>
          <w:szCs w:val="26"/>
        </w:rPr>
        <w:t>Patterson v. Bell Telephone Company of Pennsylvania</w:t>
      </w:r>
      <w:r w:rsidRPr="00C12C16">
        <w:rPr>
          <w:rFonts w:ascii="Times New (W1)" w:hAnsi="Times New (W1)"/>
          <w:sz w:val="26"/>
          <w:szCs w:val="26"/>
        </w:rPr>
        <w:t xml:space="preserve">, 72 Pa. P.U.C. 196 (1990).  Such a showing must be by a preponderance of the evidence.  </w:t>
      </w:r>
      <w:r w:rsidRPr="00C12C16">
        <w:rPr>
          <w:rFonts w:ascii="Times New (W1)" w:hAnsi="Times New (W1)"/>
          <w:i/>
          <w:iCs/>
          <w:sz w:val="26"/>
          <w:szCs w:val="26"/>
        </w:rPr>
        <w:t>Samuel J. Lansberry, Inc. v. Pa. PUC</w:t>
      </w:r>
      <w:r w:rsidRPr="00C12C16">
        <w:rPr>
          <w:rFonts w:ascii="Times New (W1)" w:hAnsi="Times New (W1)"/>
          <w:sz w:val="26"/>
          <w:szCs w:val="26"/>
        </w:rPr>
        <w:t xml:space="preserve">, 578 A.2d 600 (Pa. Cmwlth. 1990), </w:t>
      </w:r>
      <w:r w:rsidRPr="00C12C16">
        <w:rPr>
          <w:rFonts w:ascii="Times New (W1)" w:hAnsi="Times New (W1)"/>
          <w:i/>
          <w:sz w:val="26"/>
          <w:szCs w:val="26"/>
        </w:rPr>
        <w:t>alloc. denied,</w:t>
      </w:r>
      <w:r w:rsidRPr="00C12C16">
        <w:rPr>
          <w:rFonts w:ascii="Times New (W1)" w:hAnsi="Times New (W1)"/>
          <w:sz w:val="26"/>
          <w:szCs w:val="26"/>
        </w:rPr>
        <w:t xml:space="preserve"> 529 Pa. 654, 602 A.2d 863 (1992).  That is, the Complainant’s evidence must be more convincing, by even the smallest amount, than that presented by </w:t>
      </w:r>
      <w:r w:rsidR="00BB09EF">
        <w:rPr>
          <w:rFonts w:ascii="Times New (W1)" w:hAnsi="Times New (W1)"/>
          <w:sz w:val="26"/>
          <w:szCs w:val="26"/>
        </w:rPr>
        <w:t>PECO</w:t>
      </w:r>
      <w:r w:rsidRPr="00C12C16">
        <w:rPr>
          <w:rFonts w:ascii="Times New (W1)" w:hAnsi="Times New (W1)"/>
          <w:sz w:val="26"/>
          <w:szCs w:val="26"/>
        </w:rPr>
        <w:t xml:space="preserve">.  </w:t>
      </w:r>
      <w:r w:rsidRPr="00C12C16">
        <w:rPr>
          <w:rFonts w:ascii="Times New (W1)" w:hAnsi="Times New (W1)"/>
          <w:i/>
          <w:sz w:val="26"/>
          <w:szCs w:val="26"/>
        </w:rPr>
        <w:t>Se-Ling Hosiery</w:t>
      </w:r>
      <w:r w:rsidR="00180E89" w:rsidRPr="00C12C16">
        <w:rPr>
          <w:rFonts w:ascii="Times New (W1)" w:hAnsi="Times New (W1)"/>
          <w:i/>
          <w:sz w:val="26"/>
          <w:szCs w:val="26"/>
        </w:rPr>
        <w:t>, Inc.</w:t>
      </w:r>
      <w:r w:rsidRPr="00C12C16">
        <w:rPr>
          <w:rFonts w:ascii="Times New (W1)" w:hAnsi="Times New (W1)"/>
          <w:i/>
          <w:sz w:val="26"/>
          <w:szCs w:val="26"/>
        </w:rPr>
        <w:t xml:space="preserve"> v. Margulies</w:t>
      </w:r>
      <w:r w:rsidRPr="00C12C16">
        <w:rPr>
          <w:rFonts w:ascii="Times New (W1)" w:hAnsi="Times New (W1)"/>
          <w:sz w:val="26"/>
          <w:szCs w:val="26"/>
        </w:rPr>
        <w:t xml:space="preserve">, 364 Pa. 45, 70 A.2d 854 (1950).  Additionally, this Commission’s </w:t>
      </w:r>
      <w:r w:rsidRPr="00C12C16">
        <w:rPr>
          <w:rFonts w:ascii="Times New (W1)" w:hAnsi="Times New (W1)"/>
          <w:sz w:val="26"/>
        </w:rPr>
        <w:t xml:space="preserve">decision must be supported by substantial evidence in the record.  More is required than a mere trace of evidence or a </w:t>
      </w:r>
      <w:r w:rsidRPr="00C12C16">
        <w:rPr>
          <w:rFonts w:ascii="Times New (W1)" w:hAnsi="Times New (W1)"/>
          <w:sz w:val="26"/>
        </w:rPr>
        <w:lastRenderedPageBreak/>
        <w:t xml:space="preserve">suspicion of the existence of a fact sought to be established.  </w:t>
      </w:r>
      <w:r w:rsidRPr="00C12C16">
        <w:rPr>
          <w:rFonts w:ascii="Times New (W1)" w:hAnsi="Times New (W1)"/>
          <w:i/>
          <w:sz w:val="26"/>
        </w:rPr>
        <w:t xml:space="preserve">Norfolk &amp; Western Ry. Co. v. Pa. PUC, </w:t>
      </w:r>
      <w:r w:rsidRPr="00C12C16">
        <w:rPr>
          <w:rFonts w:ascii="Times New (W1)" w:hAnsi="Times New (W1)"/>
          <w:sz w:val="26"/>
        </w:rPr>
        <w:t>489 Pa. 109, 413 A.2d 1037 (1980).</w:t>
      </w:r>
      <w:r w:rsidR="00F00E17" w:rsidRPr="00C12C16">
        <w:rPr>
          <w:rFonts w:ascii="Times New (W1)" w:hAnsi="Times New (W1)"/>
          <w:sz w:val="26"/>
        </w:rPr>
        <w:t xml:space="preserve">  </w:t>
      </w:r>
    </w:p>
    <w:p w:rsidR="00FB0336" w:rsidRPr="00C12C16" w:rsidRDefault="00FB0336" w:rsidP="001448EA">
      <w:pPr>
        <w:spacing w:line="360" w:lineRule="auto"/>
        <w:ind w:firstLine="1440"/>
        <w:rPr>
          <w:rFonts w:ascii="Times New (W1)" w:hAnsi="Times New (W1)"/>
          <w:sz w:val="26"/>
        </w:rPr>
      </w:pPr>
    </w:p>
    <w:p w:rsidR="00FB0336" w:rsidRDefault="00FB0336" w:rsidP="00FB0336">
      <w:pPr>
        <w:spacing w:line="360" w:lineRule="auto"/>
        <w:ind w:firstLine="1440"/>
        <w:rPr>
          <w:sz w:val="26"/>
        </w:rPr>
      </w:pPr>
      <w:r w:rsidRPr="00C12C16">
        <w:rPr>
          <w:sz w:val="26"/>
        </w:rPr>
        <w:t xml:space="preserve">Upon the presentation by the Complainant of evidence sufficient to initially satisfy the burden of proof, the burden of going forward with the evidence to rebut the evidence of the Complainant shifts to </w:t>
      </w:r>
      <w:r w:rsidR="00BB09EF">
        <w:rPr>
          <w:sz w:val="26"/>
        </w:rPr>
        <w:t>PECO</w:t>
      </w:r>
      <w:r w:rsidRPr="00C12C16">
        <w:rPr>
          <w:sz w:val="26"/>
        </w:rPr>
        <w:t xml:space="preserve">.  If the evidence presented by the Respondent is of co-equal weight, the Complainant has not satisfied the burden of proof.  The Complainant now has to provide some additional evidence to rebut the evidence of </w:t>
      </w:r>
      <w:r w:rsidR="00BB09EF">
        <w:rPr>
          <w:sz w:val="26"/>
        </w:rPr>
        <w:t>PECO</w:t>
      </w:r>
      <w:r w:rsidRPr="00C12C16">
        <w:rPr>
          <w:sz w:val="26"/>
        </w:rPr>
        <w:t xml:space="preserve">. </w:t>
      </w:r>
      <w:r w:rsidRPr="00C12C16">
        <w:rPr>
          <w:iCs/>
          <w:sz w:val="26"/>
        </w:rPr>
        <w:t xml:space="preserve"> </w:t>
      </w:r>
      <w:hyperlink r:id="rId9" w:history="1">
        <w:r w:rsidRPr="00C12C16">
          <w:rPr>
            <w:rFonts w:eastAsiaTheme="majorEastAsia"/>
            <w:i/>
            <w:iCs/>
            <w:sz w:val="26"/>
          </w:rPr>
          <w:t>Burleson v. Pa. PUC</w:t>
        </w:r>
        <w:r w:rsidRPr="00C12C16">
          <w:rPr>
            <w:rFonts w:eastAsiaTheme="majorEastAsia"/>
            <w:iCs/>
            <w:sz w:val="26"/>
          </w:rPr>
          <w:t xml:space="preserve">, 443 A.2d 1373 (Pa. Cmwlth. 1982), </w:t>
        </w:r>
        <w:r w:rsidRPr="00C12C16">
          <w:rPr>
            <w:rFonts w:eastAsiaTheme="majorEastAsia"/>
            <w:i/>
            <w:iCs/>
            <w:sz w:val="26"/>
          </w:rPr>
          <w:t>aff’d</w:t>
        </w:r>
        <w:r w:rsidRPr="00C12C16">
          <w:rPr>
            <w:rFonts w:eastAsiaTheme="majorEastAsia"/>
            <w:iCs/>
            <w:sz w:val="26"/>
          </w:rPr>
          <w:t>, 501 Pa. 433, 461 A.2d 1234 (1983).</w:t>
        </w:r>
      </w:hyperlink>
      <w:r w:rsidRPr="00C12C16">
        <w:rPr>
          <w:rFonts w:eastAsiaTheme="majorEastAsia"/>
          <w:iCs/>
          <w:sz w:val="26"/>
        </w:rPr>
        <w:t xml:space="preserve">  </w:t>
      </w:r>
      <w:r w:rsidRPr="00C12C16">
        <w:rPr>
          <w:sz w:val="26"/>
        </w:rPr>
        <w:t xml:space="preserve">While the burden of </w:t>
      </w:r>
      <w:r w:rsidR="005618BC" w:rsidRPr="00C12C16">
        <w:rPr>
          <w:sz w:val="26"/>
        </w:rPr>
        <w:t>going forward with the evidence</w:t>
      </w:r>
      <w:r w:rsidRPr="00C12C16">
        <w:rPr>
          <w:sz w:val="26"/>
        </w:rPr>
        <w:t xml:space="preserve"> may </w:t>
      </w:r>
      <w:r w:rsidRPr="00C12C16">
        <w:rPr>
          <w:rFonts w:eastAsiaTheme="majorEastAsia"/>
          <w:sz w:val="26"/>
        </w:rPr>
        <w:t>shift</w:t>
      </w:r>
      <w:r w:rsidRPr="00C12C16">
        <w:rPr>
          <w:sz w:val="26"/>
        </w:rPr>
        <w:t xml:space="preserve"> back and forth during a proceeding, the </w:t>
      </w:r>
      <w:r w:rsidRPr="00C12C16">
        <w:rPr>
          <w:rFonts w:eastAsiaTheme="majorEastAsia"/>
          <w:sz w:val="26"/>
        </w:rPr>
        <w:t>burden of proof</w:t>
      </w:r>
      <w:r w:rsidRPr="00C12C16">
        <w:rPr>
          <w:sz w:val="26"/>
        </w:rPr>
        <w:t xml:space="preserve"> never </w:t>
      </w:r>
      <w:r w:rsidRPr="00C12C16">
        <w:rPr>
          <w:rFonts w:eastAsiaTheme="majorEastAsia"/>
          <w:sz w:val="26"/>
        </w:rPr>
        <w:t>shifts.  The burden of proof</w:t>
      </w:r>
      <w:r w:rsidRPr="00C12C16">
        <w:rPr>
          <w:sz w:val="26"/>
        </w:rPr>
        <w:t xml:space="preserve"> always remains on the party seeking affirmative relief from the Commission.  </w:t>
      </w:r>
      <w:proofErr w:type="gramStart"/>
      <w:r w:rsidRPr="00C12C16">
        <w:rPr>
          <w:i/>
          <w:sz w:val="26"/>
        </w:rPr>
        <w:t xml:space="preserve">Milkie v. Pa. PUC, </w:t>
      </w:r>
      <w:r w:rsidRPr="00C12C16">
        <w:rPr>
          <w:sz w:val="26"/>
        </w:rPr>
        <w:t>768 A.2d 1217 (Pa. Cmwlth. 2001).</w:t>
      </w:r>
      <w:proofErr w:type="gramEnd"/>
    </w:p>
    <w:p w:rsidR="00E91337" w:rsidRDefault="00E91337" w:rsidP="00FB0336">
      <w:pPr>
        <w:spacing w:line="360" w:lineRule="auto"/>
        <w:ind w:firstLine="1440"/>
        <w:rPr>
          <w:sz w:val="26"/>
        </w:rPr>
      </w:pPr>
    </w:p>
    <w:p w:rsidR="00E91337" w:rsidRPr="0016497B" w:rsidRDefault="00E91337" w:rsidP="00E91337">
      <w:pPr>
        <w:spacing w:line="360" w:lineRule="auto"/>
        <w:ind w:firstLine="1440"/>
        <w:rPr>
          <w:sz w:val="26"/>
          <w:szCs w:val="20"/>
        </w:rPr>
      </w:pPr>
      <w:r w:rsidRPr="0016497B">
        <w:rPr>
          <w:sz w:val="26"/>
          <w:szCs w:val="26"/>
        </w:rPr>
        <w:t xml:space="preserve">The burden of proof for “high bill” complaints has been explained in </w:t>
      </w:r>
      <w:r w:rsidRPr="0016497B">
        <w:rPr>
          <w:i/>
          <w:sz w:val="26"/>
          <w:szCs w:val="26"/>
        </w:rPr>
        <w:t>Waldron v. Philadelphia Electric Company</w:t>
      </w:r>
      <w:r w:rsidRPr="0016497B">
        <w:rPr>
          <w:sz w:val="26"/>
          <w:szCs w:val="26"/>
        </w:rPr>
        <w:t xml:space="preserve">, 54 Pa. P.U.C. 98 (1980), and its progeny.  </w:t>
      </w:r>
      <w:r w:rsidRPr="0016497B">
        <w:rPr>
          <w:sz w:val="26"/>
          <w:szCs w:val="20"/>
        </w:rPr>
        <w:t xml:space="preserve">In </w:t>
      </w:r>
      <w:r w:rsidRPr="0016497B">
        <w:rPr>
          <w:i/>
          <w:sz w:val="26"/>
          <w:szCs w:val="26"/>
        </w:rPr>
        <w:t>Waldron</w:t>
      </w:r>
      <w:r w:rsidRPr="0016497B">
        <w:rPr>
          <w:sz w:val="26"/>
          <w:szCs w:val="20"/>
        </w:rPr>
        <w:t xml:space="preserve">, the Commission adopted the Michigan Public Service Commission’s (PSC’s) policy annunciated in </w:t>
      </w:r>
      <w:r w:rsidRPr="0016497B">
        <w:rPr>
          <w:i/>
          <w:sz w:val="26"/>
          <w:szCs w:val="20"/>
        </w:rPr>
        <w:t xml:space="preserve">Hallifax v. O &amp; </w:t>
      </w:r>
      <w:proofErr w:type="gramStart"/>
      <w:r w:rsidRPr="0016497B">
        <w:rPr>
          <w:i/>
          <w:sz w:val="26"/>
          <w:szCs w:val="20"/>
        </w:rPr>
        <w:t>A</w:t>
      </w:r>
      <w:proofErr w:type="gramEnd"/>
      <w:r w:rsidRPr="0016497B">
        <w:rPr>
          <w:i/>
          <w:sz w:val="26"/>
          <w:szCs w:val="20"/>
        </w:rPr>
        <w:t xml:space="preserve"> Electric Co-Op</w:t>
      </w:r>
      <w:r w:rsidRPr="0016497B">
        <w:rPr>
          <w:sz w:val="26"/>
          <w:szCs w:val="20"/>
        </w:rPr>
        <w:t xml:space="preserve">, Case No. </w:t>
      </w:r>
      <w:proofErr w:type="gramStart"/>
      <w:r w:rsidRPr="0016497B">
        <w:rPr>
          <w:sz w:val="26"/>
          <w:szCs w:val="20"/>
        </w:rPr>
        <w:t>U-5825, May 1979, which stated that, while the accuracy of the meter is an important factor in resolving billing disputes, it is not the sole criterion.</w:t>
      </w:r>
      <w:proofErr w:type="gramEnd"/>
      <w:r w:rsidRPr="0016497B">
        <w:rPr>
          <w:sz w:val="26"/>
          <w:szCs w:val="20"/>
        </w:rPr>
        <w:t xml:space="preserve">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16497B" w:rsidDel="000555B3">
        <w:rPr>
          <w:rFonts w:eastAsiaTheme="minorEastAsia"/>
          <w:sz w:val="26"/>
          <w:szCs w:val="20"/>
          <w:vertAlign w:val="superscript"/>
        </w:rPr>
        <w:t xml:space="preserve"> </w:t>
      </w:r>
      <w:r w:rsidRPr="0016497B">
        <w:rPr>
          <w:sz w:val="26"/>
          <w:szCs w:val="20"/>
        </w:rPr>
        <w:t xml:space="preserve">  </w:t>
      </w:r>
      <w:proofErr w:type="gramStart"/>
      <w:r w:rsidRPr="0016497B">
        <w:rPr>
          <w:i/>
          <w:sz w:val="26"/>
          <w:szCs w:val="20"/>
        </w:rPr>
        <w:t>Waldron</w:t>
      </w:r>
      <w:r w:rsidRPr="0016497B">
        <w:rPr>
          <w:sz w:val="26"/>
          <w:szCs w:val="20"/>
        </w:rPr>
        <w:t xml:space="preserve"> at 100.</w:t>
      </w:r>
      <w:proofErr w:type="gramEnd"/>
    </w:p>
    <w:p w:rsidR="00E91337" w:rsidRPr="0016497B" w:rsidRDefault="00E91337" w:rsidP="00E91337">
      <w:pPr>
        <w:spacing w:line="360" w:lineRule="auto"/>
        <w:ind w:firstLine="1440"/>
        <w:rPr>
          <w:sz w:val="26"/>
          <w:szCs w:val="20"/>
        </w:rPr>
      </w:pPr>
    </w:p>
    <w:p w:rsidR="00E91337" w:rsidRPr="0016497B" w:rsidRDefault="00E91337" w:rsidP="00E91337">
      <w:pPr>
        <w:spacing w:line="360" w:lineRule="auto"/>
        <w:ind w:firstLine="1440"/>
        <w:rPr>
          <w:rFonts w:cs="Arial"/>
          <w:sz w:val="26"/>
          <w:szCs w:val="26"/>
        </w:rPr>
      </w:pPr>
      <w:r w:rsidRPr="0016497B">
        <w:rPr>
          <w:rFonts w:cs="Arial"/>
          <w:sz w:val="26"/>
          <w:szCs w:val="26"/>
        </w:rPr>
        <w:t xml:space="preserve">The Commission recently explained the burden of proof set forth in </w:t>
      </w:r>
      <w:r w:rsidRPr="0016497B">
        <w:rPr>
          <w:rFonts w:cs="Arial"/>
          <w:i/>
          <w:sz w:val="26"/>
          <w:szCs w:val="26"/>
        </w:rPr>
        <w:t>Waldron</w:t>
      </w:r>
      <w:r w:rsidRPr="0016497B">
        <w:rPr>
          <w:rFonts w:cs="Arial"/>
          <w:sz w:val="26"/>
          <w:szCs w:val="26"/>
        </w:rPr>
        <w:t xml:space="preserve"> as follows:  </w:t>
      </w:r>
    </w:p>
    <w:p w:rsidR="00E91337" w:rsidRPr="0016497B" w:rsidRDefault="00E91337" w:rsidP="00E91337">
      <w:pPr>
        <w:spacing w:line="360" w:lineRule="auto"/>
        <w:ind w:firstLine="1440"/>
        <w:rPr>
          <w:rFonts w:cs="Arial"/>
          <w:sz w:val="26"/>
          <w:szCs w:val="26"/>
        </w:rPr>
      </w:pPr>
    </w:p>
    <w:p w:rsidR="00E91337" w:rsidRPr="0016497B" w:rsidRDefault="00E91337" w:rsidP="00E91337">
      <w:pPr>
        <w:ind w:left="1440" w:right="1440"/>
        <w:rPr>
          <w:rFonts w:cs="Arial"/>
          <w:sz w:val="26"/>
          <w:szCs w:val="26"/>
        </w:rPr>
      </w:pPr>
      <w:r w:rsidRPr="0016497B">
        <w:rPr>
          <w:rFonts w:cs="Arial"/>
          <w:sz w:val="26"/>
          <w:szCs w:val="26"/>
        </w:rPr>
        <w:lastRenderedPageBreak/>
        <w:t xml:space="preserve">[T]he </w:t>
      </w:r>
      <w:r w:rsidRPr="0016497B">
        <w:rPr>
          <w:rFonts w:cs="Arial"/>
          <w:i/>
          <w:sz w:val="26"/>
          <w:szCs w:val="26"/>
        </w:rPr>
        <w:t xml:space="preserve">Waldron </w:t>
      </w:r>
      <w:r w:rsidRPr="0016497B">
        <w:rPr>
          <w:rFonts w:cs="Arial"/>
          <w:sz w:val="26"/>
          <w:szCs w:val="26"/>
        </w:rPr>
        <w:t xml:space="preserve">Rule allows a complainant to establish a </w:t>
      </w:r>
      <w:r w:rsidRPr="0016497B">
        <w:rPr>
          <w:rFonts w:cs="Arial"/>
          <w:i/>
          <w:sz w:val="26"/>
          <w:szCs w:val="26"/>
        </w:rPr>
        <w:t xml:space="preserve">prima facie </w:t>
      </w:r>
      <w:r w:rsidRPr="0016497B">
        <w:rPr>
          <w:rFonts w:cs="Arial"/>
          <w:sz w:val="26"/>
          <w:szCs w:val="26"/>
        </w:rPr>
        <w:t xml:space="preserve">case in a “high bill” complaint by showing that the disputed bill is abnormally high when compared to prior usage patterns and his or her pattern of usage has not changed </w:t>
      </w:r>
      <w:r w:rsidRPr="0016497B">
        <w:rPr>
          <w:rFonts w:cs="Arial"/>
          <w:i/>
          <w:sz w:val="26"/>
          <w:szCs w:val="26"/>
        </w:rPr>
        <w:t>or</w:t>
      </w:r>
      <w:r w:rsidRPr="0016497B">
        <w:rPr>
          <w:rFonts w:cs="Arial"/>
          <w:sz w:val="26"/>
          <w:szCs w:val="26"/>
        </w:rPr>
        <w:t> </w:t>
      </w:r>
      <w:r w:rsidRPr="0016497B">
        <w:rPr>
          <w:rFonts w:cs="Arial"/>
          <w:i/>
          <w:sz w:val="26"/>
          <w:szCs w:val="26"/>
        </w:rPr>
        <w:t>by providing other relevant evidence showing that the disputed bill is unreasonably high</w:t>
      </w:r>
      <w:r w:rsidRPr="0016497B">
        <w:rPr>
          <w:rFonts w:cs="Arial"/>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16497B">
        <w:rPr>
          <w:rFonts w:cs="Arial"/>
          <w:i/>
          <w:sz w:val="26"/>
          <w:szCs w:val="26"/>
        </w:rPr>
        <w:t>and</w:t>
      </w:r>
      <w:r w:rsidRPr="0016497B">
        <w:rPr>
          <w:rFonts w:cs="Arial"/>
          <w:b/>
          <w:i/>
          <w:sz w:val="26"/>
          <w:szCs w:val="26"/>
        </w:rPr>
        <w:t xml:space="preserve"> </w:t>
      </w:r>
      <w:r w:rsidRPr="0016497B">
        <w:rPr>
          <w:rFonts w:cs="Arial"/>
          <w:i/>
          <w:sz w:val="26"/>
          <w:szCs w:val="26"/>
        </w:rPr>
        <w:t>any other relevant facts or circumstances that come to light during the proceeding</w:t>
      </w:r>
      <w:r w:rsidRPr="0016497B">
        <w:rPr>
          <w:rFonts w:cs="Arial"/>
          <w:sz w:val="26"/>
          <w:szCs w:val="26"/>
        </w:rPr>
        <w:t>.”</w:t>
      </w:r>
    </w:p>
    <w:p w:rsidR="00E91337" w:rsidRPr="0016497B" w:rsidRDefault="00E91337" w:rsidP="00E91337">
      <w:pPr>
        <w:spacing w:line="360" w:lineRule="auto"/>
        <w:ind w:left="1440" w:right="1440"/>
        <w:rPr>
          <w:rFonts w:cs="Arial"/>
          <w:sz w:val="26"/>
          <w:szCs w:val="26"/>
        </w:rPr>
      </w:pPr>
    </w:p>
    <w:p w:rsidR="00E91337" w:rsidRPr="00C12C16" w:rsidRDefault="00E91337" w:rsidP="009B41FE">
      <w:pPr>
        <w:spacing w:line="360" w:lineRule="auto"/>
        <w:rPr>
          <w:sz w:val="26"/>
        </w:rPr>
      </w:pPr>
      <w:r w:rsidRPr="0016497B">
        <w:rPr>
          <w:i/>
          <w:sz w:val="26"/>
          <w:szCs w:val="26"/>
        </w:rPr>
        <w:t>Nehemiah B. Thomas v. PECO Energy Company</w:t>
      </w:r>
      <w:r w:rsidRPr="0016497B">
        <w:rPr>
          <w:sz w:val="26"/>
          <w:szCs w:val="26"/>
        </w:rPr>
        <w:t>, Docket No. C-2010-2187197, at 5 (Order entered November 15, 2011).</w:t>
      </w:r>
    </w:p>
    <w:p w:rsidR="001448EA" w:rsidRPr="00EA7B45" w:rsidRDefault="001448EA" w:rsidP="00EA7B45">
      <w:pPr>
        <w:spacing w:line="360" w:lineRule="auto"/>
        <w:ind w:firstLine="1440"/>
        <w:rPr>
          <w:sz w:val="26"/>
          <w:szCs w:val="26"/>
        </w:rPr>
      </w:pPr>
    </w:p>
    <w:p w:rsidR="0027458E" w:rsidRDefault="009542EE" w:rsidP="00DA2CEC">
      <w:pPr>
        <w:spacing w:line="360" w:lineRule="auto"/>
        <w:ind w:firstLine="1440"/>
        <w:rPr>
          <w:sz w:val="26"/>
          <w:szCs w:val="26"/>
        </w:rPr>
      </w:pPr>
      <w:r w:rsidRPr="00DE139F">
        <w:rPr>
          <w:sz w:val="26"/>
          <w:szCs w:val="26"/>
        </w:rPr>
        <w:t xml:space="preserve">The ALJ </w:t>
      </w:r>
      <w:r w:rsidR="003440BD" w:rsidRPr="00DE139F">
        <w:rPr>
          <w:sz w:val="26"/>
          <w:szCs w:val="26"/>
        </w:rPr>
        <w:t xml:space="preserve">made </w:t>
      </w:r>
      <w:r w:rsidR="00DE139F" w:rsidRPr="00DE139F">
        <w:rPr>
          <w:sz w:val="26"/>
          <w:szCs w:val="26"/>
        </w:rPr>
        <w:t>forty-</w:t>
      </w:r>
      <w:r w:rsidR="00BB09EF">
        <w:rPr>
          <w:sz w:val="26"/>
          <w:szCs w:val="26"/>
        </w:rPr>
        <w:t>two</w:t>
      </w:r>
      <w:r w:rsidR="003440BD" w:rsidRPr="00DE139F">
        <w:rPr>
          <w:sz w:val="26"/>
          <w:szCs w:val="26"/>
        </w:rPr>
        <w:t xml:space="preserve"> Findings of Fact and </w:t>
      </w:r>
      <w:r w:rsidR="00400A4D" w:rsidRPr="00DE139F">
        <w:rPr>
          <w:sz w:val="26"/>
          <w:szCs w:val="26"/>
        </w:rPr>
        <w:t xml:space="preserve">reached </w:t>
      </w:r>
      <w:r w:rsidR="00BB09EF">
        <w:rPr>
          <w:sz w:val="26"/>
          <w:szCs w:val="26"/>
        </w:rPr>
        <w:t>eigh</w:t>
      </w:r>
      <w:r w:rsidR="00DE139F" w:rsidRPr="00DE139F">
        <w:rPr>
          <w:sz w:val="26"/>
          <w:szCs w:val="26"/>
        </w:rPr>
        <w:t>teen</w:t>
      </w:r>
      <w:r w:rsidR="003440BD" w:rsidRPr="00DE139F">
        <w:rPr>
          <w:sz w:val="26"/>
          <w:szCs w:val="26"/>
        </w:rPr>
        <w:t xml:space="preserve"> Conclusions of Law.  I.D. at </w:t>
      </w:r>
      <w:r w:rsidR="00BB09EF">
        <w:rPr>
          <w:sz w:val="26"/>
          <w:szCs w:val="26"/>
        </w:rPr>
        <w:t>3</w:t>
      </w:r>
      <w:r w:rsidR="00002615" w:rsidRPr="00DE139F">
        <w:rPr>
          <w:sz w:val="26"/>
          <w:szCs w:val="26"/>
        </w:rPr>
        <w:t>-</w:t>
      </w:r>
      <w:r w:rsidR="00DE139F" w:rsidRPr="00DE139F">
        <w:rPr>
          <w:sz w:val="26"/>
          <w:szCs w:val="26"/>
        </w:rPr>
        <w:t>8</w:t>
      </w:r>
      <w:r w:rsidR="003440BD" w:rsidRPr="00DE139F">
        <w:rPr>
          <w:sz w:val="26"/>
          <w:szCs w:val="26"/>
        </w:rPr>
        <w:t xml:space="preserve">, </w:t>
      </w:r>
      <w:r w:rsidR="00BB09EF">
        <w:rPr>
          <w:sz w:val="26"/>
          <w:szCs w:val="26"/>
        </w:rPr>
        <w:t>19-21</w:t>
      </w:r>
      <w:r w:rsidR="003440BD" w:rsidRPr="00DE139F">
        <w:rPr>
          <w:sz w:val="26"/>
          <w:szCs w:val="26"/>
        </w:rPr>
        <w:t>.  We shall adopt and incorporate herein by reference the ALJ’s Findings of Fact and Conclusions of Law, unless they are reversed or modified by this Opinion and Order, either expressly or by necessary implication. </w:t>
      </w:r>
    </w:p>
    <w:p w:rsidR="004E66DA" w:rsidRDefault="004E66DA" w:rsidP="00DA2CEC">
      <w:pPr>
        <w:spacing w:line="360" w:lineRule="auto"/>
        <w:ind w:firstLine="1440"/>
        <w:rPr>
          <w:sz w:val="26"/>
          <w:szCs w:val="26"/>
        </w:rPr>
      </w:pPr>
    </w:p>
    <w:p w:rsidR="00F57512" w:rsidRDefault="00F57512" w:rsidP="004E66DA">
      <w:pPr>
        <w:spacing w:line="360" w:lineRule="auto"/>
        <w:rPr>
          <w:b/>
          <w:sz w:val="26"/>
          <w:szCs w:val="26"/>
        </w:rPr>
      </w:pPr>
      <w:r>
        <w:rPr>
          <w:b/>
          <w:sz w:val="26"/>
          <w:szCs w:val="26"/>
        </w:rPr>
        <w:t>ALJ’s Initial Decision</w:t>
      </w:r>
    </w:p>
    <w:p w:rsidR="00F57512" w:rsidRDefault="00F57512" w:rsidP="004E66DA">
      <w:pPr>
        <w:spacing w:line="360" w:lineRule="auto"/>
        <w:rPr>
          <w:b/>
          <w:sz w:val="26"/>
          <w:szCs w:val="26"/>
        </w:rPr>
      </w:pPr>
    </w:p>
    <w:p w:rsidR="004E66DA" w:rsidRPr="00F57512" w:rsidRDefault="00F57512" w:rsidP="004E66DA">
      <w:pPr>
        <w:spacing w:line="360" w:lineRule="auto"/>
        <w:rPr>
          <w:sz w:val="26"/>
          <w:szCs w:val="26"/>
        </w:rPr>
      </w:pPr>
      <w:r>
        <w:rPr>
          <w:sz w:val="26"/>
          <w:szCs w:val="26"/>
        </w:rPr>
        <w:t>1.</w:t>
      </w:r>
      <w:r>
        <w:rPr>
          <w:sz w:val="26"/>
          <w:szCs w:val="26"/>
        </w:rPr>
        <w:tab/>
      </w:r>
      <w:r w:rsidR="00A50BF4" w:rsidRPr="00F57512">
        <w:rPr>
          <w:sz w:val="26"/>
          <w:szCs w:val="26"/>
        </w:rPr>
        <w:t>Allegations of Erroneous Billing</w:t>
      </w:r>
    </w:p>
    <w:p w:rsidR="004E66DA" w:rsidRPr="00251D73" w:rsidRDefault="004E66DA" w:rsidP="004E66DA">
      <w:pPr>
        <w:spacing w:line="360" w:lineRule="auto"/>
        <w:rPr>
          <w:sz w:val="26"/>
          <w:szCs w:val="26"/>
        </w:rPr>
      </w:pPr>
    </w:p>
    <w:p w:rsidR="0058351F" w:rsidRPr="00974BBF" w:rsidRDefault="009077DB" w:rsidP="0058351F">
      <w:pPr>
        <w:spacing w:line="360" w:lineRule="auto"/>
        <w:ind w:firstLine="1440"/>
        <w:rPr>
          <w:sz w:val="26"/>
          <w:szCs w:val="26"/>
        </w:rPr>
      </w:pPr>
      <w:r w:rsidRPr="00974BBF">
        <w:rPr>
          <w:sz w:val="26"/>
          <w:szCs w:val="26"/>
        </w:rPr>
        <w:t xml:space="preserve">The ALJ noted that the Complainant testified that his electric bills were high in the past eighteen months despite the fact that there </w:t>
      </w:r>
      <w:r w:rsidR="00817B2A">
        <w:rPr>
          <w:sz w:val="26"/>
          <w:szCs w:val="26"/>
        </w:rPr>
        <w:t>were</w:t>
      </w:r>
      <w:r w:rsidRPr="00974BBF">
        <w:rPr>
          <w:sz w:val="26"/>
          <w:szCs w:val="26"/>
        </w:rPr>
        <w:t xml:space="preserve"> only two occupants at his Service Address</w:t>
      </w:r>
      <w:r w:rsidR="004A5730">
        <w:rPr>
          <w:sz w:val="26"/>
          <w:szCs w:val="26"/>
        </w:rPr>
        <w:t xml:space="preserve"> and that his</w:t>
      </w:r>
      <w:r w:rsidR="002F5F71" w:rsidRPr="00974BBF">
        <w:rPr>
          <w:sz w:val="26"/>
          <w:szCs w:val="26"/>
        </w:rPr>
        <w:t xml:space="preserve"> Service Address </w:t>
      </w:r>
      <w:r w:rsidR="00817B2A">
        <w:rPr>
          <w:sz w:val="26"/>
          <w:szCs w:val="26"/>
        </w:rPr>
        <w:t>was</w:t>
      </w:r>
      <w:r w:rsidR="002F5F71" w:rsidRPr="00974BBF">
        <w:rPr>
          <w:sz w:val="26"/>
          <w:szCs w:val="26"/>
        </w:rPr>
        <w:t xml:space="preserve"> uninhabited two weeks out of the month</w:t>
      </w:r>
      <w:r w:rsidR="00E17087" w:rsidRPr="00974BBF">
        <w:rPr>
          <w:sz w:val="26"/>
          <w:szCs w:val="26"/>
        </w:rPr>
        <w:t>, during which time HVAC is turned off</w:t>
      </w:r>
      <w:r w:rsidR="002F5F71" w:rsidRPr="00974BBF">
        <w:rPr>
          <w:sz w:val="26"/>
          <w:szCs w:val="26"/>
        </w:rPr>
        <w:t xml:space="preserve">.  In response, the witness for PECO testified that the Complainant’s bills were correct as rendered and that the Complainant’s usage was within the potential for usage that PECO determined </w:t>
      </w:r>
      <w:r w:rsidR="00E17087" w:rsidRPr="00974BBF">
        <w:rPr>
          <w:sz w:val="26"/>
          <w:szCs w:val="26"/>
        </w:rPr>
        <w:t>upon</w:t>
      </w:r>
      <w:r w:rsidR="002F5F71" w:rsidRPr="00974BBF">
        <w:rPr>
          <w:sz w:val="26"/>
          <w:szCs w:val="26"/>
        </w:rPr>
        <w:t xml:space="preserve"> conducting a high bill investigation at the Service Address.  </w:t>
      </w:r>
      <w:r w:rsidR="00181347" w:rsidRPr="00974BBF">
        <w:rPr>
          <w:sz w:val="26"/>
          <w:szCs w:val="26"/>
        </w:rPr>
        <w:t xml:space="preserve">I.D. at 9-10.  </w:t>
      </w:r>
      <w:r w:rsidR="002F5F71" w:rsidRPr="00974BBF">
        <w:rPr>
          <w:sz w:val="26"/>
          <w:szCs w:val="26"/>
        </w:rPr>
        <w:t xml:space="preserve">In addressing the Complainant’s high bill allegation, the ALJ found that </w:t>
      </w:r>
      <w:r w:rsidR="00181347" w:rsidRPr="00974BBF">
        <w:rPr>
          <w:sz w:val="26"/>
          <w:szCs w:val="26"/>
        </w:rPr>
        <w:t xml:space="preserve">the Complainant’s usage history does not support </w:t>
      </w:r>
      <w:r w:rsidR="00181347" w:rsidRPr="00974BBF">
        <w:rPr>
          <w:sz w:val="26"/>
          <w:szCs w:val="26"/>
        </w:rPr>
        <w:lastRenderedPageBreak/>
        <w:t xml:space="preserve">a finding that his utility bill increased unreasonably or that he was billed </w:t>
      </w:r>
      <w:r w:rsidR="004A5730">
        <w:rPr>
          <w:sz w:val="26"/>
          <w:szCs w:val="26"/>
        </w:rPr>
        <w:t>incorrectly</w:t>
      </w:r>
      <w:r w:rsidR="00181347" w:rsidRPr="00974BBF">
        <w:rPr>
          <w:sz w:val="26"/>
          <w:szCs w:val="26"/>
        </w:rPr>
        <w:t xml:space="preserve">.  The ALJ determined that </w:t>
      </w:r>
      <w:r w:rsidR="00E17087" w:rsidRPr="00974BBF">
        <w:rPr>
          <w:sz w:val="26"/>
          <w:szCs w:val="26"/>
        </w:rPr>
        <w:t xml:space="preserve">a comparison of </w:t>
      </w:r>
      <w:r w:rsidR="00181347" w:rsidRPr="00974BBF">
        <w:rPr>
          <w:sz w:val="26"/>
          <w:szCs w:val="26"/>
        </w:rPr>
        <w:t xml:space="preserve">the Complainant’s </w:t>
      </w:r>
      <w:r w:rsidR="00E17087" w:rsidRPr="00974BBF">
        <w:rPr>
          <w:sz w:val="26"/>
          <w:szCs w:val="26"/>
        </w:rPr>
        <w:t>monthly usage data</w:t>
      </w:r>
      <w:r w:rsidR="00181347" w:rsidRPr="00974BBF">
        <w:rPr>
          <w:sz w:val="26"/>
          <w:szCs w:val="26"/>
        </w:rPr>
        <w:t xml:space="preserve"> reveals consistent usage, or even reduced usage, more than it reveals unreasonably high usage.</w:t>
      </w:r>
      <w:r w:rsidR="0079538E" w:rsidRPr="00974BBF">
        <w:rPr>
          <w:sz w:val="26"/>
          <w:szCs w:val="26"/>
        </w:rPr>
        <w:t xml:space="preserve">  </w:t>
      </w:r>
      <w:proofErr w:type="gramStart"/>
      <w:r w:rsidR="0079538E" w:rsidRPr="00974BBF">
        <w:rPr>
          <w:i/>
          <w:sz w:val="26"/>
          <w:szCs w:val="26"/>
        </w:rPr>
        <w:t>Id.</w:t>
      </w:r>
      <w:r w:rsidR="0079538E" w:rsidRPr="00974BBF">
        <w:rPr>
          <w:sz w:val="26"/>
          <w:szCs w:val="26"/>
        </w:rPr>
        <w:t xml:space="preserve"> at 11.</w:t>
      </w:r>
      <w:proofErr w:type="gramEnd"/>
    </w:p>
    <w:p w:rsidR="00181347" w:rsidRPr="00974BBF" w:rsidRDefault="00181347" w:rsidP="0058351F">
      <w:pPr>
        <w:spacing w:line="360" w:lineRule="auto"/>
        <w:ind w:firstLine="1440"/>
        <w:rPr>
          <w:sz w:val="26"/>
          <w:szCs w:val="26"/>
        </w:rPr>
      </w:pPr>
    </w:p>
    <w:p w:rsidR="00C738D5" w:rsidRPr="003821C2" w:rsidRDefault="00181347" w:rsidP="0058351F">
      <w:pPr>
        <w:spacing w:line="360" w:lineRule="auto"/>
        <w:ind w:firstLine="1440"/>
        <w:rPr>
          <w:sz w:val="26"/>
          <w:szCs w:val="26"/>
        </w:rPr>
      </w:pPr>
      <w:r w:rsidRPr="00974BBF">
        <w:rPr>
          <w:sz w:val="26"/>
          <w:szCs w:val="26"/>
        </w:rPr>
        <w:t xml:space="preserve">The ALJ also found that the Complainant failed to </w:t>
      </w:r>
      <w:r w:rsidR="00E17087" w:rsidRPr="00974BBF">
        <w:rPr>
          <w:sz w:val="26"/>
          <w:szCs w:val="26"/>
        </w:rPr>
        <w:t>provide any evidence that would support a finding that his bills were unreasonably high.  In contrast, the ALJ found that PECO provided evidence to show that the Complainant’s meter was operating within PECO and Commission guidelines and that the Complainant was correctly billed.  The ALJ added that</w:t>
      </w:r>
      <w:r w:rsidR="00B25D81">
        <w:rPr>
          <w:sz w:val="26"/>
          <w:szCs w:val="26"/>
        </w:rPr>
        <w:t xml:space="preserve"> just because </w:t>
      </w:r>
      <w:r w:rsidR="00E17087" w:rsidRPr="00974BBF">
        <w:rPr>
          <w:sz w:val="26"/>
          <w:szCs w:val="26"/>
        </w:rPr>
        <w:t xml:space="preserve">the Service Address </w:t>
      </w:r>
      <w:r w:rsidR="00B25D81">
        <w:rPr>
          <w:sz w:val="26"/>
          <w:szCs w:val="26"/>
        </w:rPr>
        <w:t>was</w:t>
      </w:r>
      <w:r w:rsidR="00E17087" w:rsidRPr="00974BBF">
        <w:rPr>
          <w:sz w:val="26"/>
          <w:szCs w:val="26"/>
        </w:rPr>
        <w:t xml:space="preserve"> uninhabited two weeks out of each month with heating and cooling turned off does not demonstrate that PECO incorrectly billed the Complainant</w:t>
      </w:r>
      <w:r w:rsidR="0079538E" w:rsidRPr="00974BBF">
        <w:rPr>
          <w:sz w:val="26"/>
          <w:szCs w:val="26"/>
        </w:rPr>
        <w:t xml:space="preserve">.  </w:t>
      </w:r>
      <w:r w:rsidR="0079538E" w:rsidRPr="00974BBF">
        <w:rPr>
          <w:i/>
          <w:sz w:val="26"/>
          <w:szCs w:val="26"/>
        </w:rPr>
        <w:t>Id</w:t>
      </w:r>
      <w:r w:rsidR="0079538E" w:rsidRPr="00974BBF">
        <w:rPr>
          <w:sz w:val="26"/>
          <w:szCs w:val="26"/>
        </w:rPr>
        <w:t>.</w:t>
      </w:r>
    </w:p>
    <w:p w:rsidR="00587D7D" w:rsidRPr="00817B2A" w:rsidRDefault="00587D7D" w:rsidP="004E66DA">
      <w:pPr>
        <w:spacing w:line="360" w:lineRule="auto"/>
        <w:rPr>
          <w:b/>
          <w:sz w:val="26"/>
          <w:szCs w:val="26"/>
        </w:rPr>
      </w:pPr>
    </w:p>
    <w:p w:rsidR="00587D7D" w:rsidRPr="0028448D" w:rsidRDefault="00F57512" w:rsidP="004E66DA">
      <w:pPr>
        <w:spacing w:line="360" w:lineRule="auto"/>
        <w:rPr>
          <w:sz w:val="26"/>
          <w:szCs w:val="26"/>
        </w:rPr>
      </w:pPr>
      <w:r w:rsidRPr="0028448D">
        <w:rPr>
          <w:sz w:val="26"/>
          <w:szCs w:val="26"/>
        </w:rPr>
        <w:t>2.</w:t>
      </w:r>
      <w:r w:rsidRPr="0028448D">
        <w:rPr>
          <w:sz w:val="26"/>
          <w:szCs w:val="26"/>
        </w:rPr>
        <w:tab/>
      </w:r>
      <w:r w:rsidR="00F00F58" w:rsidRPr="0028448D">
        <w:rPr>
          <w:sz w:val="26"/>
          <w:szCs w:val="26"/>
        </w:rPr>
        <w:t>Allegations of Improper Billing and</w:t>
      </w:r>
      <w:r w:rsidR="00ED5899" w:rsidRPr="0028448D">
        <w:rPr>
          <w:sz w:val="26"/>
          <w:szCs w:val="26"/>
        </w:rPr>
        <w:t xml:space="preserve"> Poor Service</w:t>
      </w:r>
    </w:p>
    <w:p w:rsidR="00587D7D" w:rsidRPr="0028448D" w:rsidRDefault="00587D7D" w:rsidP="004E66DA">
      <w:pPr>
        <w:spacing w:line="360" w:lineRule="auto"/>
        <w:rPr>
          <w:b/>
          <w:sz w:val="26"/>
          <w:szCs w:val="26"/>
        </w:rPr>
      </w:pPr>
    </w:p>
    <w:p w:rsidR="00DA5DF4" w:rsidRPr="0028448D" w:rsidRDefault="00587D7D" w:rsidP="00587D7D">
      <w:pPr>
        <w:spacing w:line="360" w:lineRule="auto"/>
        <w:rPr>
          <w:sz w:val="26"/>
          <w:szCs w:val="26"/>
        </w:rPr>
      </w:pPr>
      <w:r w:rsidRPr="0028448D">
        <w:rPr>
          <w:b/>
          <w:sz w:val="26"/>
          <w:szCs w:val="26"/>
        </w:rPr>
        <w:tab/>
      </w:r>
      <w:r w:rsidRPr="0028448D">
        <w:rPr>
          <w:b/>
          <w:sz w:val="26"/>
          <w:szCs w:val="26"/>
        </w:rPr>
        <w:tab/>
      </w:r>
      <w:r w:rsidR="00F57512" w:rsidRPr="0028448D">
        <w:rPr>
          <w:sz w:val="26"/>
          <w:szCs w:val="26"/>
        </w:rPr>
        <w:t>The</w:t>
      </w:r>
      <w:r w:rsidR="00411FC9" w:rsidRPr="0028448D">
        <w:rPr>
          <w:sz w:val="26"/>
          <w:szCs w:val="26"/>
        </w:rPr>
        <w:t xml:space="preserve"> ALJ </w:t>
      </w:r>
      <w:r w:rsidR="007906AE" w:rsidRPr="0028448D">
        <w:rPr>
          <w:sz w:val="26"/>
          <w:szCs w:val="26"/>
        </w:rPr>
        <w:t xml:space="preserve">also </w:t>
      </w:r>
      <w:r w:rsidR="00411FC9" w:rsidRPr="0028448D">
        <w:rPr>
          <w:sz w:val="26"/>
          <w:szCs w:val="26"/>
        </w:rPr>
        <w:t xml:space="preserve">addressed the Complainant’s averments that PECO </w:t>
      </w:r>
      <w:r w:rsidR="00F57512" w:rsidRPr="0028448D">
        <w:rPr>
          <w:sz w:val="26"/>
          <w:szCs w:val="26"/>
        </w:rPr>
        <w:t>improperly billed him and provided him with poor customer service</w:t>
      </w:r>
      <w:r w:rsidR="00411FC9" w:rsidRPr="0028448D">
        <w:rPr>
          <w:sz w:val="26"/>
          <w:szCs w:val="26"/>
        </w:rPr>
        <w:t>.</w:t>
      </w:r>
    </w:p>
    <w:p w:rsidR="00DA5DF4" w:rsidRPr="0028448D" w:rsidRDefault="00DA5DF4" w:rsidP="00587D7D">
      <w:pPr>
        <w:spacing w:line="360" w:lineRule="auto"/>
        <w:rPr>
          <w:sz w:val="26"/>
          <w:szCs w:val="26"/>
        </w:rPr>
      </w:pPr>
    </w:p>
    <w:p w:rsidR="00DF2C75" w:rsidRPr="0028448D" w:rsidRDefault="00DF2C75" w:rsidP="00DF2C75">
      <w:pPr>
        <w:spacing w:line="360" w:lineRule="auto"/>
        <w:rPr>
          <w:sz w:val="26"/>
          <w:szCs w:val="26"/>
        </w:rPr>
      </w:pPr>
      <w:r w:rsidRPr="0028448D">
        <w:rPr>
          <w:sz w:val="26"/>
          <w:szCs w:val="26"/>
        </w:rPr>
        <w:tab/>
      </w:r>
      <w:r w:rsidRPr="0028448D">
        <w:rPr>
          <w:sz w:val="26"/>
          <w:szCs w:val="26"/>
        </w:rPr>
        <w:tab/>
        <w:t>The Complainant asserted that he often went several months without receiving a bill from PECO and had not received any bill since October 2011.  The witness for PECO responded that the Complainant was enrolled in e-billing from November 28, 2005 to October 28, 2010, during which time his bills were delivered via e</w:t>
      </w:r>
      <w:r>
        <w:rPr>
          <w:sz w:val="26"/>
          <w:szCs w:val="26"/>
        </w:rPr>
        <w:t>-m</w:t>
      </w:r>
      <w:r w:rsidRPr="0028448D">
        <w:rPr>
          <w:sz w:val="26"/>
          <w:szCs w:val="26"/>
        </w:rPr>
        <w:t xml:space="preserve">ail.  The witness added that the Complainant removed himself from e-billing on October 28, 2010, after which time bills were sent to his Service Address.  </w:t>
      </w:r>
      <w:proofErr w:type="gramStart"/>
      <w:r w:rsidRPr="0028448D">
        <w:rPr>
          <w:i/>
          <w:sz w:val="26"/>
          <w:szCs w:val="26"/>
        </w:rPr>
        <w:t>Id.</w:t>
      </w:r>
      <w:r w:rsidRPr="0028448D">
        <w:rPr>
          <w:sz w:val="26"/>
          <w:szCs w:val="26"/>
        </w:rPr>
        <w:t xml:space="preserve"> at 15.</w:t>
      </w:r>
      <w:proofErr w:type="gramEnd"/>
      <w:r w:rsidRPr="0028448D">
        <w:rPr>
          <w:sz w:val="26"/>
          <w:szCs w:val="26"/>
        </w:rPr>
        <w:t xml:space="preserve">  The ALJ found that the Complainant did not meet his burden of proving that PECO violated the Code, any Commission Order or </w:t>
      </w:r>
      <w:r>
        <w:rPr>
          <w:sz w:val="26"/>
          <w:szCs w:val="26"/>
        </w:rPr>
        <w:t>R</w:t>
      </w:r>
      <w:r w:rsidRPr="0028448D">
        <w:rPr>
          <w:sz w:val="26"/>
          <w:szCs w:val="26"/>
        </w:rPr>
        <w:t xml:space="preserve">egulation, or any Commission-approved PECO tariff with regard to his billing.  Citing record evidence, the ALJ noted that the Complainant made approximately twenty payments on his account after opting out of e-billing in October 2010, but only made two payments toward his arrearages between July </w:t>
      </w:r>
      <w:r w:rsidRPr="0028448D">
        <w:rPr>
          <w:sz w:val="26"/>
          <w:szCs w:val="26"/>
        </w:rPr>
        <w:lastRenderedPageBreak/>
        <w:t>2012 and July 2013.  The ALJ concluded that this pattern, uncontested by the Complainant at the hearing, does not support a finding that the Complainant did not receive his monthly electric bills.  The ALJ reasoned that</w:t>
      </w:r>
      <w:r>
        <w:rPr>
          <w:sz w:val="26"/>
          <w:szCs w:val="26"/>
        </w:rPr>
        <w:t>,</w:t>
      </w:r>
      <w:r w:rsidRPr="0028448D">
        <w:rPr>
          <w:sz w:val="26"/>
          <w:szCs w:val="26"/>
        </w:rPr>
        <w:t xml:space="preserve"> because the Complainant recognized during the hearing his responsibility to pay for the utility service he uses, the Complainant was responsible to ensure that he was paying for his utility service even if he was not receiving monthly bills.  </w:t>
      </w:r>
      <w:r w:rsidRPr="0028448D">
        <w:rPr>
          <w:i/>
          <w:sz w:val="26"/>
          <w:szCs w:val="26"/>
        </w:rPr>
        <w:t>Id.</w:t>
      </w:r>
      <w:r w:rsidRPr="0028448D">
        <w:rPr>
          <w:sz w:val="26"/>
          <w:szCs w:val="26"/>
        </w:rPr>
        <w:t xml:space="preserve"> at 15-16.</w:t>
      </w:r>
    </w:p>
    <w:p w:rsidR="007906AE" w:rsidRPr="0028448D" w:rsidRDefault="007906AE" w:rsidP="00587D7D">
      <w:pPr>
        <w:spacing w:line="360" w:lineRule="auto"/>
        <w:rPr>
          <w:sz w:val="26"/>
          <w:szCs w:val="26"/>
        </w:rPr>
      </w:pPr>
    </w:p>
    <w:p w:rsidR="00097048" w:rsidRPr="0028448D" w:rsidRDefault="007906AE" w:rsidP="00587D7D">
      <w:pPr>
        <w:spacing w:line="360" w:lineRule="auto"/>
        <w:rPr>
          <w:sz w:val="26"/>
          <w:szCs w:val="26"/>
        </w:rPr>
      </w:pPr>
      <w:r w:rsidRPr="0028448D">
        <w:rPr>
          <w:sz w:val="26"/>
          <w:szCs w:val="26"/>
        </w:rPr>
        <w:tab/>
      </w:r>
      <w:r w:rsidRPr="0028448D">
        <w:rPr>
          <w:sz w:val="26"/>
          <w:szCs w:val="26"/>
        </w:rPr>
        <w:tab/>
        <w:t>The ALJ opined that</w:t>
      </w:r>
      <w:r w:rsidR="009B41FE">
        <w:rPr>
          <w:sz w:val="26"/>
          <w:szCs w:val="26"/>
        </w:rPr>
        <w:t>,</w:t>
      </w:r>
      <w:r w:rsidRPr="0028448D">
        <w:rPr>
          <w:sz w:val="26"/>
          <w:szCs w:val="26"/>
        </w:rPr>
        <w:t xml:space="preserve"> </w:t>
      </w:r>
      <w:r w:rsidR="0028448D" w:rsidRPr="0028448D">
        <w:rPr>
          <w:sz w:val="26"/>
          <w:szCs w:val="26"/>
        </w:rPr>
        <w:t xml:space="preserve">if the Complainant was not receiving his bills, </w:t>
      </w:r>
      <w:r w:rsidRPr="0028448D">
        <w:rPr>
          <w:sz w:val="26"/>
          <w:szCs w:val="26"/>
        </w:rPr>
        <w:t>the Complainant could have either made estimated payments to ensure that his account balance was not excessively high, or that he could have contacted PECO to obtain his account balance.  Instead, the ALJ noted that the Complainant only remitted two payments from July 2012 to July 2013 despite cont</w:t>
      </w:r>
      <w:r w:rsidR="00780935">
        <w:rPr>
          <w:sz w:val="26"/>
          <w:szCs w:val="26"/>
        </w:rPr>
        <w:t xml:space="preserve">inuing to use PECO’s service.  </w:t>
      </w:r>
      <w:r w:rsidR="00097048" w:rsidRPr="0028448D">
        <w:rPr>
          <w:sz w:val="26"/>
          <w:szCs w:val="26"/>
        </w:rPr>
        <w:t>However, the ALJ also noted that the Complainant made</w:t>
      </w:r>
      <w:r w:rsidR="00780935">
        <w:rPr>
          <w:sz w:val="26"/>
          <w:szCs w:val="26"/>
        </w:rPr>
        <w:t xml:space="preserve"> very clear</w:t>
      </w:r>
      <w:r w:rsidR="00097048" w:rsidRPr="0028448D">
        <w:rPr>
          <w:sz w:val="26"/>
          <w:szCs w:val="26"/>
        </w:rPr>
        <w:t xml:space="preserve"> his desire to receive his monthly bills in paper format</w:t>
      </w:r>
      <w:r w:rsidR="00780935">
        <w:rPr>
          <w:sz w:val="26"/>
          <w:szCs w:val="26"/>
        </w:rPr>
        <w:t>.</w:t>
      </w:r>
      <w:r w:rsidR="00097048" w:rsidRPr="0028448D">
        <w:rPr>
          <w:sz w:val="26"/>
          <w:szCs w:val="26"/>
        </w:rPr>
        <w:t xml:space="preserve">  Therefore, the ALJ directed PECO to ensure that the Complainant no longer </w:t>
      </w:r>
      <w:r w:rsidR="00780935">
        <w:rPr>
          <w:sz w:val="26"/>
          <w:szCs w:val="26"/>
        </w:rPr>
        <w:t xml:space="preserve">be </w:t>
      </w:r>
      <w:r w:rsidR="00097048" w:rsidRPr="0028448D">
        <w:rPr>
          <w:sz w:val="26"/>
          <w:szCs w:val="26"/>
        </w:rPr>
        <w:t xml:space="preserve">billed electronically but only </w:t>
      </w:r>
      <w:r w:rsidR="00780935">
        <w:rPr>
          <w:sz w:val="26"/>
          <w:szCs w:val="26"/>
        </w:rPr>
        <w:t xml:space="preserve">be </w:t>
      </w:r>
      <w:r w:rsidR="00097048" w:rsidRPr="0028448D">
        <w:rPr>
          <w:sz w:val="26"/>
          <w:szCs w:val="26"/>
        </w:rPr>
        <w:t>sent paper bills.</w:t>
      </w:r>
      <w:r w:rsidR="00FD14FE" w:rsidRPr="0028448D">
        <w:rPr>
          <w:i/>
          <w:sz w:val="26"/>
          <w:szCs w:val="26"/>
        </w:rPr>
        <w:t xml:space="preserve">  </w:t>
      </w:r>
      <w:proofErr w:type="gramStart"/>
      <w:r w:rsidR="00FD14FE" w:rsidRPr="0028448D">
        <w:rPr>
          <w:i/>
          <w:sz w:val="26"/>
          <w:szCs w:val="26"/>
        </w:rPr>
        <w:t>Id.</w:t>
      </w:r>
      <w:r w:rsidR="00FD14FE" w:rsidRPr="0028448D">
        <w:rPr>
          <w:sz w:val="26"/>
          <w:szCs w:val="26"/>
        </w:rPr>
        <w:t xml:space="preserve"> at 16.</w:t>
      </w:r>
      <w:proofErr w:type="gramEnd"/>
    </w:p>
    <w:p w:rsidR="00B719B0" w:rsidRPr="00780935" w:rsidRDefault="00B719B0" w:rsidP="00587D7D">
      <w:pPr>
        <w:spacing w:line="360" w:lineRule="auto"/>
        <w:rPr>
          <w:sz w:val="26"/>
          <w:szCs w:val="26"/>
        </w:rPr>
      </w:pPr>
    </w:p>
    <w:p w:rsidR="00B719B0" w:rsidRDefault="00B719B0" w:rsidP="00587D7D">
      <w:pPr>
        <w:spacing w:line="360" w:lineRule="auto"/>
        <w:rPr>
          <w:sz w:val="26"/>
          <w:szCs w:val="26"/>
        </w:rPr>
      </w:pPr>
      <w:r>
        <w:rPr>
          <w:color w:val="FF0000"/>
          <w:sz w:val="26"/>
          <w:szCs w:val="26"/>
        </w:rPr>
        <w:tab/>
      </w:r>
      <w:r>
        <w:rPr>
          <w:color w:val="FF0000"/>
          <w:sz w:val="26"/>
          <w:szCs w:val="26"/>
        </w:rPr>
        <w:tab/>
      </w:r>
      <w:r w:rsidRPr="007906AE">
        <w:rPr>
          <w:sz w:val="26"/>
          <w:szCs w:val="26"/>
        </w:rPr>
        <w:t xml:space="preserve">Regarding the Complainant’s allegations of poor customer service, the ALJ found that the Complainant did not meet his burden of proving that PECO acted unreasonably or contrary to any Commission Order or </w:t>
      </w:r>
      <w:r w:rsidR="00AC6CAC">
        <w:rPr>
          <w:sz w:val="26"/>
          <w:szCs w:val="26"/>
        </w:rPr>
        <w:t>R</w:t>
      </w:r>
      <w:r w:rsidRPr="007906AE">
        <w:rPr>
          <w:sz w:val="26"/>
          <w:szCs w:val="26"/>
        </w:rPr>
        <w:t xml:space="preserve">egulation in its provision of customer service.  The ALJ </w:t>
      </w:r>
      <w:r w:rsidR="00A35284">
        <w:rPr>
          <w:sz w:val="26"/>
          <w:szCs w:val="26"/>
        </w:rPr>
        <w:t xml:space="preserve">applied </w:t>
      </w:r>
      <w:r w:rsidR="00A35284" w:rsidRPr="007906AE">
        <w:rPr>
          <w:sz w:val="26"/>
          <w:szCs w:val="26"/>
        </w:rPr>
        <w:t>Section 1501 of the Code 66 Pa. C.S. § 1501, which charges utilities with providing adequate, efficient, safe, and reasonable service,</w:t>
      </w:r>
      <w:r w:rsidR="00A35284">
        <w:rPr>
          <w:sz w:val="26"/>
          <w:szCs w:val="26"/>
        </w:rPr>
        <w:t xml:space="preserve"> in light of the fact that the </w:t>
      </w:r>
      <w:r w:rsidRPr="007906AE">
        <w:rPr>
          <w:sz w:val="26"/>
          <w:szCs w:val="26"/>
        </w:rPr>
        <w:t xml:space="preserve">Commission </w:t>
      </w:r>
      <w:r w:rsidR="00A35284">
        <w:rPr>
          <w:sz w:val="26"/>
          <w:szCs w:val="26"/>
        </w:rPr>
        <w:t>has no r</w:t>
      </w:r>
      <w:r w:rsidRPr="007906AE">
        <w:rPr>
          <w:sz w:val="26"/>
          <w:szCs w:val="26"/>
        </w:rPr>
        <w:t xml:space="preserve">egulations </w:t>
      </w:r>
      <w:r w:rsidR="00A35284">
        <w:rPr>
          <w:sz w:val="26"/>
          <w:szCs w:val="26"/>
        </w:rPr>
        <w:t xml:space="preserve">that </w:t>
      </w:r>
      <w:r w:rsidRPr="007906AE">
        <w:rPr>
          <w:sz w:val="26"/>
          <w:szCs w:val="26"/>
        </w:rPr>
        <w:t>establish a standard of conduct for public utility customer service representatives</w:t>
      </w:r>
      <w:r w:rsidR="00A35284">
        <w:rPr>
          <w:sz w:val="26"/>
          <w:szCs w:val="26"/>
        </w:rPr>
        <w:t>.</w:t>
      </w:r>
      <w:r w:rsidRPr="007906AE">
        <w:rPr>
          <w:sz w:val="26"/>
          <w:szCs w:val="26"/>
        </w:rPr>
        <w:t xml:space="preserve">  </w:t>
      </w:r>
      <w:r w:rsidR="007906AE" w:rsidRPr="007906AE">
        <w:rPr>
          <w:sz w:val="26"/>
          <w:szCs w:val="26"/>
        </w:rPr>
        <w:t xml:space="preserve">The ALJ found that, </w:t>
      </w:r>
      <w:r w:rsidR="00207449">
        <w:rPr>
          <w:sz w:val="26"/>
          <w:szCs w:val="26"/>
        </w:rPr>
        <w:t>while</w:t>
      </w:r>
      <w:r w:rsidR="007906AE" w:rsidRPr="007906AE">
        <w:rPr>
          <w:sz w:val="26"/>
          <w:szCs w:val="26"/>
        </w:rPr>
        <w:t xml:space="preserve"> a utility customer deserves to be treated with courtesy and respect, the Complainant failed to provide substantial evidence that PECO acted otherwise.</w:t>
      </w:r>
      <w:r w:rsidR="00F00985">
        <w:rPr>
          <w:sz w:val="26"/>
          <w:szCs w:val="26"/>
        </w:rPr>
        <w:t xml:space="preserve">  </w:t>
      </w:r>
      <w:proofErr w:type="gramStart"/>
      <w:r w:rsidR="00F00985">
        <w:rPr>
          <w:i/>
          <w:sz w:val="26"/>
          <w:szCs w:val="26"/>
        </w:rPr>
        <w:t>Id.</w:t>
      </w:r>
      <w:r w:rsidR="00F00985">
        <w:rPr>
          <w:sz w:val="26"/>
          <w:szCs w:val="26"/>
        </w:rPr>
        <w:t xml:space="preserve"> at 17.</w:t>
      </w:r>
      <w:proofErr w:type="gramEnd"/>
    </w:p>
    <w:p w:rsidR="009B41FE" w:rsidRDefault="009B41FE" w:rsidP="00587D7D">
      <w:pPr>
        <w:spacing w:line="360" w:lineRule="auto"/>
        <w:rPr>
          <w:sz w:val="26"/>
          <w:szCs w:val="26"/>
        </w:rPr>
      </w:pPr>
    </w:p>
    <w:p w:rsidR="00F57512" w:rsidRPr="0028448D" w:rsidRDefault="00F57512" w:rsidP="003908FE">
      <w:pPr>
        <w:keepNext/>
        <w:spacing w:line="360" w:lineRule="auto"/>
        <w:rPr>
          <w:sz w:val="26"/>
          <w:szCs w:val="26"/>
        </w:rPr>
      </w:pPr>
      <w:r w:rsidRPr="0028448D">
        <w:rPr>
          <w:sz w:val="26"/>
          <w:szCs w:val="26"/>
        </w:rPr>
        <w:lastRenderedPageBreak/>
        <w:t>3.</w:t>
      </w:r>
      <w:r w:rsidRPr="0028448D">
        <w:rPr>
          <w:sz w:val="26"/>
          <w:szCs w:val="26"/>
        </w:rPr>
        <w:tab/>
        <w:t>Request for a Payment Agreement</w:t>
      </w:r>
    </w:p>
    <w:p w:rsidR="00F57512" w:rsidRPr="0028448D" w:rsidRDefault="00F57512" w:rsidP="003908FE">
      <w:pPr>
        <w:keepNext/>
        <w:spacing w:line="360" w:lineRule="auto"/>
        <w:rPr>
          <w:b/>
          <w:sz w:val="26"/>
          <w:szCs w:val="26"/>
        </w:rPr>
      </w:pPr>
    </w:p>
    <w:p w:rsidR="003D0B03" w:rsidRPr="00D2291E" w:rsidRDefault="00F57512" w:rsidP="00C428D3">
      <w:pPr>
        <w:spacing w:line="360" w:lineRule="auto"/>
        <w:rPr>
          <w:sz w:val="26"/>
          <w:szCs w:val="26"/>
        </w:rPr>
      </w:pPr>
      <w:r w:rsidRPr="0028448D">
        <w:rPr>
          <w:b/>
          <w:sz w:val="26"/>
          <w:szCs w:val="26"/>
        </w:rPr>
        <w:tab/>
      </w:r>
      <w:r w:rsidRPr="0028448D">
        <w:rPr>
          <w:b/>
          <w:sz w:val="26"/>
          <w:szCs w:val="26"/>
        </w:rPr>
        <w:tab/>
      </w:r>
      <w:r w:rsidRPr="0028448D">
        <w:rPr>
          <w:sz w:val="26"/>
          <w:szCs w:val="26"/>
        </w:rPr>
        <w:t>Finally,</w:t>
      </w:r>
      <w:r w:rsidRPr="0028448D">
        <w:rPr>
          <w:b/>
          <w:sz w:val="26"/>
          <w:szCs w:val="26"/>
        </w:rPr>
        <w:t xml:space="preserve"> </w:t>
      </w:r>
      <w:r w:rsidR="00F00985" w:rsidRPr="0028448D">
        <w:rPr>
          <w:sz w:val="26"/>
          <w:szCs w:val="26"/>
        </w:rPr>
        <w:t xml:space="preserve">the ALJ </w:t>
      </w:r>
      <w:r w:rsidRPr="0028448D">
        <w:rPr>
          <w:sz w:val="26"/>
          <w:szCs w:val="26"/>
        </w:rPr>
        <w:t>addressed the Complainant’s request for a reasonable payment agreement a</w:t>
      </w:r>
      <w:r w:rsidR="004059A2">
        <w:rPr>
          <w:sz w:val="26"/>
          <w:szCs w:val="26"/>
        </w:rPr>
        <w:t>gainst</w:t>
      </w:r>
      <w:r w:rsidRPr="0028448D">
        <w:rPr>
          <w:sz w:val="26"/>
          <w:szCs w:val="26"/>
        </w:rPr>
        <w:t xml:space="preserve"> PECO’s assertions that the Complainant is not entitled to any further payment agreement.  </w:t>
      </w:r>
      <w:r w:rsidR="004059A2">
        <w:rPr>
          <w:sz w:val="26"/>
          <w:szCs w:val="26"/>
        </w:rPr>
        <w:t>The ALJ noted that the Complainant had been granted payment agreements by BCS</w:t>
      </w:r>
      <w:r w:rsidR="003908FE">
        <w:rPr>
          <w:sz w:val="26"/>
          <w:szCs w:val="26"/>
        </w:rPr>
        <w:t xml:space="preserve"> two times in the past,</w:t>
      </w:r>
      <w:r w:rsidR="004059A2">
        <w:rPr>
          <w:sz w:val="26"/>
          <w:szCs w:val="26"/>
        </w:rPr>
        <w:t xml:space="preserve"> </w:t>
      </w:r>
      <w:r w:rsidR="003908FE">
        <w:rPr>
          <w:sz w:val="26"/>
          <w:szCs w:val="26"/>
        </w:rPr>
        <w:t xml:space="preserve">and </w:t>
      </w:r>
      <w:r w:rsidR="004059A2">
        <w:rPr>
          <w:sz w:val="26"/>
          <w:szCs w:val="26"/>
        </w:rPr>
        <w:t>that</w:t>
      </w:r>
      <w:r w:rsidR="004059A2" w:rsidRPr="004059A2">
        <w:rPr>
          <w:sz w:val="26"/>
          <w:szCs w:val="26"/>
        </w:rPr>
        <w:t xml:space="preserve"> </w:t>
      </w:r>
      <w:r w:rsidR="004059A2">
        <w:rPr>
          <w:sz w:val="26"/>
          <w:szCs w:val="26"/>
        </w:rPr>
        <w:t xml:space="preserve">the record evidence indicated that the Complainant defaulted on each </w:t>
      </w:r>
      <w:r w:rsidR="003908FE">
        <w:rPr>
          <w:sz w:val="26"/>
          <w:szCs w:val="26"/>
        </w:rPr>
        <w:t xml:space="preserve">of those two </w:t>
      </w:r>
      <w:r w:rsidR="004059A2">
        <w:rPr>
          <w:sz w:val="26"/>
          <w:szCs w:val="26"/>
        </w:rPr>
        <w:t>payment agreement</w:t>
      </w:r>
      <w:r w:rsidR="003908FE">
        <w:rPr>
          <w:sz w:val="26"/>
          <w:szCs w:val="26"/>
        </w:rPr>
        <w:t>s</w:t>
      </w:r>
      <w:r w:rsidR="004059A2">
        <w:rPr>
          <w:sz w:val="26"/>
          <w:szCs w:val="26"/>
        </w:rPr>
        <w:t>.  The ALJ stated that, in order to be eligible for a new payment agreement from the Commission</w:t>
      </w:r>
      <w:r w:rsidR="00C428D3">
        <w:rPr>
          <w:sz w:val="26"/>
          <w:szCs w:val="26"/>
        </w:rPr>
        <w:t xml:space="preserve"> under Section 1405(d) of the Code, 66 Pa. C.S. § 1405(d)</w:t>
      </w:r>
      <w:r w:rsidR="004059A2">
        <w:rPr>
          <w:sz w:val="26"/>
          <w:szCs w:val="26"/>
        </w:rPr>
        <w:t>, the Complainant was required to demonstrate a change in income</w:t>
      </w:r>
      <w:r w:rsidR="00C428D3">
        <w:rPr>
          <w:sz w:val="26"/>
          <w:szCs w:val="26"/>
        </w:rPr>
        <w:t>.  The ALJ explained that a “change in income” is</w:t>
      </w:r>
      <w:r w:rsidR="004059A2">
        <w:rPr>
          <w:sz w:val="26"/>
          <w:szCs w:val="26"/>
        </w:rPr>
        <w:t xml:space="preserve"> defined in </w:t>
      </w:r>
      <w:r w:rsidR="00C428D3">
        <w:rPr>
          <w:sz w:val="26"/>
          <w:szCs w:val="26"/>
        </w:rPr>
        <w:t xml:space="preserve">Section 1403 of the Code, 66 Pa. C.S. § 1403, </w:t>
      </w:r>
      <w:r w:rsidR="004059A2">
        <w:rPr>
          <w:sz w:val="26"/>
          <w:szCs w:val="26"/>
        </w:rPr>
        <w:t xml:space="preserve">as a decrease in household income of 20% or more for a customer </w:t>
      </w:r>
      <w:r w:rsidR="00AC6CAC">
        <w:rPr>
          <w:sz w:val="26"/>
          <w:szCs w:val="26"/>
        </w:rPr>
        <w:t>with</w:t>
      </w:r>
      <w:r w:rsidR="003908FE">
        <w:rPr>
          <w:sz w:val="26"/>
          <w:szCs w:val="26"/>
        </w:rPr>
        <w:t xml:space="preserve"> household income </w:t>
      </w:r>
      <w:r w:rsidR="004059A2">
        <w:rPr>
          <w:sz w:val="26"/>
          <w:szCs w:val="26"/>
        </w:rPr>
        <w:t>above 200% of the federal poverty level</w:t>
      </w:r>
      <w:r w:rsidR="00DA70E4">
        <w:rPr>
          <w:sz w:val="26"/>
          <w:szCs w:val="26"/>
        </w:rPr>
        <w:t>,</w:t>
      </w:r>
      <w:r w:rsidR="004059A2">
        <w:rPr>
          <w:sz w:val="26"/>
          <w:szCs w:val="26"/>
        </w:rPr>
        <w:t xml:space="preserve"> or a decrease in household income of 10% or more if a customer’s household income </w:t>
      </w:r>
      <w:proofErr w:type="gramStart"/>
      <w:r w:rsidR="004059A2">
        <w:rPr>
          <w:sz w:val="26"/>
          <w:szCs w:val="26"/>
        </w:rPr>
        <w:t>is  200</w:t>
      </w:r>
      <w:proofErr w:type="gramEnd"/>
      <w:r w:rsidR="004059A2">
        <w:rPr>
          <w:sz w:val="26"/>
          <w:szCs w:val="26"/>
        </w:rPr>
        <w:t xml:space="preserve">% </w:t>
      </w:r>
      <w:r w:rsidR="00C428D3">
        <w:rPr>
          <w:sz w:val="26"/>
          <w:szCs w:val="26"/>
        </w:rPr>
        <w:t xml:space="preserve">or less </w:t>
      </w:r>
      <w:r w:rsidR="004059A2">
        <w:rPr>
          <w:sz w:val="26"/>
          <w:szCs w:val="26"/>
        </w:rPr>
        <w:t xml:space="preserve">of the federal poverty level. </w:t>
      </w:r>
      <w:r w:rsidR="003D0B03">
        <w:rPr>
          <w:sz w:val="26"/>
          <w:szCs w:val="26"/>
        </w:rPr>
        <w:t xml:space="preserve"> </w:t>
      </w:r>
      <w:r w:rsidR="00D2291E">
        <w:rPr>
          <w:i/>
          <w:sz w:val="26"/>
          <w:szCs w:val="26"/>
        </w:rPr>
        <w:t>Id.</w:t>
      </w:r>
      <w:r w:rsidR="00D2291E">
        <w:rPr>
          <w:sz w:val="26"/>
          <w:szCs w:val="26"/>
        </w:rPr>
        <w:t xml:space="preserve"> at 12-13.</w:t>
      </w:r>
    </w:p>
    <w:p w:rsidR="003D0B03" w:rsidRDefault="003D0B03" w:rsidP="00F57512">
      <w:pPr>
        <w:spacing w:line="360" w:lineRule="auto"/>
        <w:rPr>
          <w:sz w:val="26"/>
          <w:szCs w:val="26"/>
        </w:rPr>
      </w:pPr>
    </w:p>
    <w:p w:rsidR="00097048" w:rsidRPr="00F16828" w:rsidRDefault="003D0B03" w:rsidP="00F57512">
      <w:pPr>
        <w:spacing w:line="360" w:lineRule="auto"/>
        <w:rPr>
          <w:sz w:val="26"/>
          <w:szCs w:val="26"/>
        </w:rPr>
      </w:pPr>
      <w:r>
        <w:rPr>
          <w:sz w:val="26"/>
          <w:szCs w:val="26"/>
        </w:rPr>
        <w:tab/>
      </w:r>
      <w:r>
        <w:rPr>
          <w:sz w:val="26"/>
          <w:szCs w:val="26"/>
        </w:rPr>
        <w:tab/>
        <w:t>The ALJ found that the Complainant experienced a decrease in income of greater than 20% and, therefore, met his burden of proving that he should be issued a new payment agreement.  Specifically, the Complainant testified that his income decreased from $25,000 per month to approximately $5,400 per month.  Citing  Section 1405(b)(</w:t>
      </w:r>
      <w:r w:rsidR="00B23CE9">
        <w:rPr>
          <w:sz w:val="26"/>
          <w:szCs w:val="26"/>
        </w:rPr>
        <w:t>4) of the Code</w:t>
      </w:r>
      <w:r w:rsidR="008F1E28">
        <w:rPr>
          <w:sz w:val="26"/>
          <w:szCs w:val="26"/>
        </w:rPr>
        <w:t>,</w:t>
      </w:r>
      <w:r w:rsidR="00B23CE9">
        <w:rPr>
          <w:sz w:val="26"/>
          <w:szCs w:val="26"/>
        </w:rPr>
        <w:t xml:space="preserve"> </w:t>
      </w:r>
      <w:r>
        <w:rPr>
          <w:sz w:val="26"/>
          <w:szCs w:val="26"/>
        </w:rPr>
        <w:t xml:space="preserve">66 Pa C.S. § 1405(b)(4), the ALJ pointed out that </w:t>
      </w:r>
      <w:r w:rsidR="008F1E28">
        <w:rPr>
          <w:sz w:val="26"/>
          <w:szCs w:val="26"/>
        </w:rPr>
        <w:t>the Complainant’s</w:t>
      </w:r>
      <w:r>
        <w:rPr>
          <w:sz w:val="26"/>
          <w:szCs w:val="26"/>
        </w:rPr>
        <w:t xml:space="preserve"> income level </w:t>
      </w:r>
      <w:r w:rsidR="008F1E28">
        <w:rPr>
          <w:sz w:val="26"/>
          <w:szCs w:val="26"/>
        </w:rPr>
        <w:t>wa</w:t>
      </w:r>
      <w:r>
        <w:rPr>
          <w:sz w:val="26"/>
          <w:szCs w:val="26"/>
        </w:rPr>
        <w:t>s 417% of the federal poverty level, which limit</w:t>
      </w:r>
      <w:r w:rsidR="008F1E28">
        <w:rPr>
          <w:sz w:val="26"/>
          <w:szCs w:val="26"/>
        </w:rPr>
        <w:t>ed</w:t>
      </w:r>
      <w:r>
        <w:rPr>
          <w:sz w:val="26"/>
          <w:szCs w:val="26"/>
        </w:rPr>
        <w:t xml:space="preserve"> the ability of the Commission to order a payment agreement of not more than six months for the Complainant to pay his out</w:t>
      </w:r>
      <w:r w:rsidR="003908FE">
        <w:rPr>
          <w:sz w:val="26"/>
          <w:szCs w:val="26"/>
        </w:rPr>
        <w:t xml:space="preserve">standing balance owed to PECO. </w:t>
      </w:r>
      <w:r>
        <w:rPr>
          <w:sz w:val="26"/>
          <w:szCs w:val="26"/>
        </w:rPr>
        <w:t xml:space="preserve"> </w:t>
      </w:r>
      <w:r w:rsidR="004551AB">
        <w:rPr>
          <w:sz w:val="26"/>
          <w:szCs w:val="26"/>
        </w:rPr>
        <w:t xml:space="preserve">For the above reasons, the </w:t>
      </w:r>
      <w:r w:rsidR="008F1E28">
        <w:rPr>
          <w:sz w:val="26"/>
          <w:szCs w:val="26"/>
        </w:rPr>
        <w:t xml:space="preserve">ALJ </w:t>
      </w:r>
      <w:r w:rsidR="0028448D">
        <w:rPr>
          <w:sz w:val="26"/>
          <w:szCs w:val="26"/>
        </w:rPr>
        <w:t xml:space="preserve">granted the Complainant’s request for </w:t>
      </w:r>
      <w:r w:rsidR="004551AB">
        <w:rPr>
          <w:sz w:val="26"/>
          <w:szCs w:val="26"/>
        </w:rPr>
        <w:t>a payment agreement and directed PECO to bill the Complainant for his current usage plus one-sixth of his outstanding balance until the arrearage is satisfied</w:t>
      </w:r>
      <w:r w:rsidR="00F57512" w:rsidRPr="0028448D">
        <w:rPr>
          <w:sz w:val="26"/>
          <w:szCs w:val="26"/>
        </w:rPr>
        <w:t>.</w:t>
      </w:r>
      <w:r w:rsidR="0028448D">
        <w:rPr>
          <w:sz w:val="26"/>
          <w:szCs w:val="26"/>
        </w:rPr>
        <w:t xml:space="preserve">  </w:t>
      </w:r>
      <w:r>
        <w:rPr>
          <w:sz w:val="26"/>
          <w:szCs w:val="26"/>
        </w:rPr>
        <w:t xml:space="preserve">The ALJ added that, although the Commission is not required to issue a second payment agreement when the Complainant’s change in income provides the same repayment period as the original payment agreement, he was granting a new </w:t>
      </w:r>
      <w:r>
        <w:rPr>
          <w:sz w:val="26"/>
          <w:szCs w:val="26"/>
        </w:rPr>
        <w:lastRenderedPageBreak/>
        <w:t xml:space="preserve">payment agreement in this case due, </w:t>
      </w:r>
      <w:r>
        <w:rPr>
          <w:i/>
          <w:sz w:val="26"/>
          <w:szCs w:val="26"/>
        </w:rPr>
        <w:t>inter alia</w:t>
      </w:r>
      <w:r>
        <w:rPr>
          <w:sz w:val="26"/>
          <w:szCs w:val="26"/>
        </w:rPr>
        <w:t>, to the Complainant’s concerns regarding PECO’s billing method.</w:t>
      </w:r>
      <w:r w:rsidR="00D2291E">
        <w:rPr>
          <w:sz w:val="26"/>
          <w:szCs w:val="26"/>
        </w:rPr>
        <w:t xml:space="preserve">  </w:t>
      </w:r>
      <w:r w:rsidR="00D2291E">
        <w:rPr>
          <w:i/>
          <w:sz w:val="26"/>
          <w:szCs w:val="26"/>
        </w:rPr>
        <w:t xml:space="preserve">Id. </w:t>
      </w:r>
      <w:r w:rsidR="00D2291E">
        <w:rPr>
          <w:sz w:val="26"/>
          <w:szCs w:val="26"/>
        </w:rPr>
        <w:t>at 13-14.</w:t>
      </w:r>
    </w:p>
    <w:p w:rsidR="00411FC9" w:rsidRPr="00F16828" w:rsidRDefault="00411FC9" w:rsidP="00F57512">
      <w:pPr>
        <w:spacing w:line="360" w:lineRule="auto"/>
        <w:rPr>
          <w:sz w:val="26"/>
          <w:szCs w:val="26"/>
        </w:rPr>
      </w:pPr>
    </w:p>
    <w:p w:rsidR="00867150" w:rsidRPr="00284F6E" w:rsidRDefault="00867150" w:rsidP="00587D7D">
      <w:pPr>
        <w:spacing w:line="360" w:lineRule="auto"/>
        <w:rPr>
          <w:b/>
          <w:sz w:val="26"/>
        </w:rPr>
      </w:pPr>
      <w:r w:rsidRPr="00284F6E">
        <w:rPr>
          <w:b/>
          <w:sz w:val="26"/>
        </w:rPr>
        <w:t>Disposition</w:t>
      </w:r>
    </w:p>
    <w:p w:rsidR="00AC275F" w:rsidRPr="00F16828" w:rsidRDefault="00AC275F" w:rsidP="00411FC9">
      <w:pPr>
        <w:spacing w:line="360" w:lineRule="auto"/>
        <w:rPr>
          <w:sz w:val="26"/>
          <w:szCs w:val="26"/>
        </w:rPr>
      </w:pPr>
    </w:p>
    <w:p w:rsidR="00411FC9" w:rsidRDefault="00411FC9" w:rsidP="00411FC9">
      <w:pPr>
        <w:spacing w:line="360" w:lineRule="auto"/>
        <w:ind w:firstLine="1440"/>
        <w:rPr>
          <w:sz w:val="26"/>
          <w:szCs w:val="26"/>
        </w:rPr>
      </w:pPr>
      <w:r w:rsidRPr="000112F2">
        <w:rPr>
          <w:sz w:val="26"/>
          <w:szCs w:val="26"/>
        </w:rPr>
        <w:t>On consideration of the</w:t>
      </w:r>
      <w:r>
        <w:rPr>
          <w:sz w:val="26"/>
          <w:szCs w:val="26"/>
        </w:rPr>
        <w:t xml:space="preserve"> positions of the Parties and the record evidence, we shall modify the Initial Decision of ALJ Cheskis.  </w:t>
      </w:r>
      <w:r w:rsidR="00136E3D">
        <w:rPr>
          <w:sz w:val="26"/>
          <w:szCs w:val="26"/>
        </w:rPr>
        <w:t xml:space="preserve">We agree with the ALJ’s determination that the record does not support a finding that the Complainant’s bills were unreasonably high.  A review of the record indicates that the Complainant’s </w:t>
      </w:r>
      <w:r w:rsidR="009B41FE">
        <w:rPr>
          <w:sz w:val="26"/>
          <w:szCs w:val="26"/>
        </w:rPr>
        <w:t>kWh</w:t>
      </w:r>
      <w:r w:rsidR="00136E3D">
        <w:rPr>
          <w:sz w:val="26"/>
          <w:szCs w:val="26"/>
        </w:rPr>
        <w:t xml:space="preserve"> usage during the past three years reveals a pattern of consistent or reduced usage, and usage that is within the potential for usage at the Complainant’s Service Address.  Likewise, we </w:t>
      </w:r>
      <w:r w:rsidR="0028448D">
        <w:rPr>
          <w:sz w:val="26"/>
          <w:szCs w:val="26"/>
        </w:rPr>
        <w:t xml:space="preserve">concur </w:t>
      </w:r>
      <w:r w:rsidR="00136E3D">
        <w:rPr>
          <w:sz w:val="26"/>
          <w:szCs w:val="26"/>
        </w:rPr>
        <w:t xml:space="preserve">with the ALJ that the record does not support the Complainant’s allegations that PECO </w:t>
      </w:r>
      <w:r w:rsidR="00097048">
        <w:rPr>
          <w:sz w:val="26"/>
          <w:szCs w:val="26"/>
        </w:rPr>
        <w:t xml:space="preserve">billed the Complainant improperly or that it </w:t>
      </w:r>
      <w:r w:rsidR="00136E3D">
        <w:rPr>
          <w:sz w:val="26"/>
          <w:szCs w:val="26"/>
        </w:rPr>
        <w:t xml:space="preserve">provided him with poor service.  As the ALJ points out, the Complainant has not demonstrated that PECO violated any provisions of the Code or its Commission-approved tariff in billing the Complainant.  </w:t>
      </w:r>
      <w:r w:rsidR="003D1C9A">
        <w:rPr>
          <w:sz w:val="26"/>
          <w:szCs w:val="26"/>
        </w:rPr>
        <w:t xml:space="preserve">We further concur with the ALJ that PECO be directed to </w:t>
      </w:r>
      <w:r w:rsidR="0006449F">
        <w:rPr>
          <w:sz w:val="26"/>
          <w:szCs w:val="26"/>
        </w:rPr>
        <w:t xml:space="preserve">discontinue billing the Complainant electronically and to </w:t>
      </w:r>
      <w:r w:rsidR="003D1C9A">
        <w:rPr>
          <w:sz w:val="26"/>
          <w:szCs w:val="26"/>
        </w:rPr>
        <w:t xml:space="preserve">ensure that the Complainant </w:t>
      </w:r>
      <w:r w:rsidR="0006449F">
        <w:rPr>
          <w:sz w:val="26"/>
          <w:szCs w:val="26"/>
        </w:rPr>
        <w:t xml:space="preserve">will </w:t>
      </w:r>
      <w:r w:rsidR="003D1C9A">
        <w:rPr>
          <w:sz w:val="26"/>
          <w:szCs w:val="26"/>
        </w:rPr>
        <w:t xml:space="preserve">only </w:t>
      </w:r>
      <w:r w:rsidR="0006449F">
        <w:rPr>
          <w:sz w:val="26"/>
          <w:szCs w:val="26"/>
        </w:rPr>
        <w:t xml:space="preserve">be sent </w:t>
      </w:r>
      <w:r w:rsidR="003D1C9A">
        <w:rPr>
          <w:sz w:val="26"/>
          <w:szCs w:val="26"/>
        </w:rPr>
        <w:t xml:space="preserve">paper bills.  </w:t>
      </w:r>
      <w:r w:rsidR="00136E3D">
        <w:rPr>
          <w:sz w:val="26"/>
          <w:szCs w:val="26"/>
        </w:rPr>
        <w:t>However, we are of the Opinion that the ALJ has erred in his finding that the Complainant is entitled to a Commission-issued payment agreement.</w:t>
      </w:r>
    </w:p>
    <w:p w:rsidR="00136E3D" w:rsidRDefault="00136E3D" w:rsidP="00411FC9">
      <w:pPr>
        <w:spacing w:line="360" w:lineRule="auto"/>
        <w:ind w:firstLine="1440"/>
        <w:rPr>
          <w:sz w:val="26"/>
          <w:szCs w:val="26"/>
        </w:rPr>
      </w:pPr>
    </w:p>
    <w:p w:rsidR="00136E3D" w:rsidRDefault="00136E3D" w:rsidP="00411FC9">
      <w:pPr>
        <w:spacing w:line="360" w:lineRule="auto"/>
        <w:ind w:firstLine="1440"/>
        <w:rPr>
          <w:sz w:val="26"/>
          <w:szCs w:val="26"/>
        </w:rPr>
      </w:pPr>
      <w:r>
        <w:rPr>
          <w:sz w:val="26"/>
          <w:szCs w:val="26"/>
        </w:rPr>
        <w:t xml:space="preserve">The record in this case indicates that the Complainant defaulted on prior Commission-issued payment agreements in April 2010 and May 2012, as well as two </w:t>
      </w:r>
      <w:r w:rsidR="004C2A0D">
        <w:rPr>
          <w:sz w:val="26"/>
          <w:szCs w:val="26"/>
        </w:rPr>
        <w:t>C</w:t>
      </w:r>
      <w:r>
        <w:rPr>
          <w:sz w:val="26"/>
          <w:szCs w:val="26"/>
        </w:rPr>
        <w:t xml:space="preserve">ompany-issued payment agreements.  However, during the hearing, the Complainant testified that he had a business where his average gross income had been $25,000 per month.  The Complainant also testified that his current income is between $5,400 and $6,000 per month.  Although the ALJ granted the Complainant a new Commission-ordered payment agreement based on this change in income, a closer examination of the record in this proceeding indicates that the Complainant’s change in income in 2010 predates the issuance of the most recent Commission-ordered payment agreement.  </w:t>
      </w:r>
      <w:r>
        <w:rPr>
          <w:sz w:val="26"/>
          <w:szCs w:val="26"/>
        </w:rPr>
        <w:lastRenderedPageBreak/>
        <w:t xml:space="preserve">According to the Complainant’s testimony at the evidentiary hearing held on July 24, 2013, his previous business, which produced $25,000 in income per month, “ended three years ago” in 2010.  </w:t>
      </w:r>
      <w:proofErr w:type="gramStart"/>
      <w:r>
        <w:rPr>
          <w:sz w:val="26"/>
          <w:szCs w:val="26"/>
        </w:rPr>
        <w:t>Tr. at 20.</w:t>
      </w:r>
      <w:proofErr w:type="gramEnd"/>
      <w:r>
        <w:rPr>
          <w:sz w:val="26"/>
          <w:szCs w:val="26"/>
        </w:rPr>
        <w:t xml:space="preserve">  </w:t>
      </w:r>
      <w:r w:rsidR="00815227">
        <w:rPr>
          <w:sz w:val="26"/>
          <w:szCs w:val="26"/>
        </w:rPr>
        <w:t xml:space="preserve">The most recent Commission-ordered payment agreement was granted on May 8, 2012.  </w:t>
      </w:r>
      <w:r>
        <w:rPr>
          <w:sz w:val="26"/>
          <w:szCs w:val="26"/>
        </w:rPr>
        <w:t xml:space="preserve">Our review of the record reveals that the Complainant failed to provide evidence to demonstrate that a change in income occurred </w:t>
      </w:r>
      <w:r w:rsidRPr="009B41FE">
        <w:rPr>
          <w:sz w:val="26"/>
          <w:szCs w:val="26"/>
        </w:rPr>
        <w:t>after</w:t>
      </w:r>
      <w:r>
        <w:rPr>
          <w:sz w:val="26"/>
          <w:szCs w:val="26"/>
        </w:rPr>
        <w:t xml:space="preserve"> the Commission’s issuance of this payment agreement.</w:t>
      </w:r>
    </w:p>
    <w:p w:rsidR="00136E3D" w:rsidRDefault="00136E3D" w:rsidP="00411FC9">
      <w:pPr>
        <w:spacing w:line="360" w:lineRule="auto"/>
        <w:ind w:firstLine="1440"/>
        <w:rPr>
          <w:sz w:val="26"/>
          <w:szCs w:val="26"/>
        </w:rPr>
      </w:pPr>
    </w:p>
    <w:p w:rsidR="003D584F" w:rsidRPr="00612288" w:rsidRDefault="003D584F" w:rsidP="003D584F">
      <w:pPr>
        <w:spacing w:line="360" w:lineRule="auto"/>
        <w:ind w:firstLine="1440"/>
        <w:rPr>
          <w:sz w:val="26"/>
          <w:szCs w:val="26"/>
        </w:rPr>
      </w:pPr>
      <w:r>
        <w:rPr>
          <w:sz w:val="26"/>
          <w:szCs w:val="26"/>
        </w:rPr>
        <w:t xml:space="preserve">We note that Sections 1403 and 1405(d) of the </w:t>
      </w:r>
      <w:r w:rsidR="00B204F4">
        <w:rPr>
          <w:sz w:val="26"/>
          <w:szCs w:val="26"/>
        </w:rPr>
        <w:t>Code</w:t>
      </w:r>
      <w:r>
        <w:rPr>
          <w:sz w:val="26"/>
          <w:szCs w:val="26"/>
        </w:rPr>
        <w:t xml:space="preserve">, </w:t>
      </w:r>
      <w:r w:rsidRPr="00612288">
        <w:rPr>
          <w:sz w:val="26"/>
          <w:szCs w:val="26"/>
        </w:rPr>
        <w:t>66 Pa. C.S. §§ 1403 and 1405(d), read, in pertinent part, as follows:</w:t>
      </w:r>
    </w:p>
    <w:p w:rsidR="003D584F" w:rsidRPr="00251D73" w:rsidRDefault="003D584F" w:rsidP="003D584F">
      <w:pPr>
        <w:spacing w:line="360" w:lineRule="auto"/>
        <w:ind w:firstLine="1440"/>
        <w:rPr>
          <w:sz w:val="26"/>
          <w:szCs w:val="26"/>
        </w:rPr>
      </w:pPr>
    </w:p>
    <w:p w:rsidR="003D584F" w:rsidRPr="0099576D" w:rsidRDefault="003D584F" w:rsidP="003D584F">
      <w:pPr>
        <w:spacing w:line="360" w:lineRule="auto"/>
        <w:ind w:firstLine="1440"/>
        <w:rPr>
          <w:b/>
          <w:sz w:val="26"/>
          <w:szCs w:val="26"/>
        </w:rPr>
      </w:pPr>
      <w:r w:rsidRPr="0099576D">
        <w:rPr>
          <w:b/>
          <w:sz w:val="26"/>
          <w:szCs w:val="26"/>
        </w:rPr>
        <w:t>§ Section 1403. Definitions</w:t>
      </w:r>
    </w:p>
    <w:p w:rsidR="003D584F" w:rsidRPr="0099576D" w:rsidRDefault="003D584F" w:rsidP="003D584F">
      <w:pPr>
        <w:spacing w:line="360" w:lineRule="auto"/>
        <w:ind w:firstLine="1440"/>
        <w:rPr>
          <w:sz w:val="26"/>
          <w:szCs w:val="26"/>
        </w:rPr>
      </w:pPr>
    </w:p>
    <w:p w:rsidR="003D584F" w:rsidRPr="0099576D" w:rsidRDefault="003D584F" w:rsidP="003D584F">
      <w:pPr>
        <w:autoSpaceDE w:val="0"/>
        <w:autoSpaceDN w:val="0"/>
        <w:ind w:left="1440" w:right="1440"/>
        <w:jc w:val="center"/>
        <w:rPr>
          <w:rFonts w:eastAsia="Calibri"/>
          <w:sz w:val="26"/>
          <w:szCs w:val="26"/>
        </w:rPr>
      </w:pPr>
      <w:r w:rsidRPr="0099576D">
        <w:rPr>
          <w:rFonts w:eastAsia="Calibri"/>
          <w:sz w:val="26"/>
          <w:szCs w:val="26"/>
        </w:rPr>
        <w:t>*</w:t>
      </w:r>
      <w:r w:rsidRPr="0099576D">
        <w:rPr>
          <w:rFonts w:eastAsia="Calibri"/>
          <w:sz w:val="26"/>
          <w:szCs w:val="26"/>
        </w:rPr>
        <w:tab/>
        <w:t>*</w:t>
      </w:r>
      <w:r w:rsidRPr="0099576D">
        <w:rPr>
          <w:rFonts w:eastAsia="Calibri"/>
          <w:sz w:val="26"/>
          <w:szCs w:val="26"/>
        </w:rPr>
        <w:tab/>
        <w:t>*</w:t>
      </w:r>
    </w:p>
    <w:p w:rsidR="003D584F" w:rsidRPr="0099576D" w:rsidRDefault="003D584F" w:rsidP="003D584F">
      <w:pPr>
        <w:ind w:firstLine="1440"/>
        <w:rPr>
          <w:sz w:val="26"/>
          <w:szCs w:val="26"/>
        </w:rPr>
      </w:pPr>
    </w:p>
    <w:p w:rsidR="003D584F" w:rsidRPr="0099576D" w:rsidRDefault="003D584F" w:rsidP="003D584F">
      <w:pPr>
        <w:keepNext/>
        <w:keepLines/>
        <w:ind w:left="1440" w:right="1440"/>
        <w:rPr>
          <w:sz w:val="26"/>
          <w:szCs w:val="26"/>
        </w:rPr>
      </w:pPr>
      <w:r w:rsidRPr="0099576D">
        <w:rPr>
          <w:sz w:val="26"/>
          <w:szCs w:val="26"/>
        </w:rPr>
        <w:t xml:space="preserve">“Change in income.”  </w:t>
      </w:r>
      <w:proofErr w:type="gramStart"/>
      <w:r w:rsidRPr="0099576D">
        <w:rPr>
          <w:sz w:val="26"/>
          <w:szCs w:val="26"/>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3D584F" w:rsidRPr="0099576D" w:rsidRDefault="003D584F" w:rsidP="003D584F">
      <w:pPr>
        <w:keepNext/>
        <w:keepLines/>
        <w:ind w:left="1440" w:right="1440"/>
        <w:rPr>
          <w:sz w:val="26"/>
          <w:szCs w:val="26"/>
        </w:rPr>
      </w:pPr>
    </w:p>
    <w:p w:rsidR="003D584F" w:rsidRPr="0099576D" w:rsidRDefault="003D584F" w:rsidP="003D584F">
      <w:pPr>
        <w:autoSpaceDE w:val="0"/>
        <w:autoSpaceDN w:val="0"/>
        <w:ind w:left="1440" w:right="1440"/>
        <w:jc w:val="center"/>
        <w:rPr>
          <w:rFonts w:eastAsia="Calibri"/>
          <w:sz w:val="26"/>
          <w:szCs w:val="26"/>
        </w:rPr>
      </w:pPr>
      <w:r w:rsidRPr="0099576D">
        <w:rPr>
          <w:rFonts w:eastAsia="Calibri"/>
          <w:sz w:val="26"/>
          <w:szCs w:val="26"/>
        </w:rPr>
        <w:t>*</w:t>
      </w:r>
      <w:r w:rsidRPr="0099576D">
        <w:rPr>
          <w:rFonts w:eastAsia="Calibri"/>
          <w:sz w:val="26"/>
          <w:szCs w:val="26"/>
        </w:rPr>
        <w:tab/>
        <w:t>*</w:t>
      </w:r>
      <w:r w:rsidRPr="0099576D">
        <w:rPr>
          <w:rFonts w:eastAsia="Calibri"/>
          <w:sz w:val="26"/>
          <w:szCs w:val="26"/>
        </w:rPr>
        <w:tab/>
        <w:t>*</w:t>
      </w:r>
    </w:p>
    <w:p w:rsidR="003D584F" w:rsidRPr="0099576D" w:rsidRDefault="003D584F" w:rsidP="003D584F">
      <w:pPr>
        <w:keepNext/>
        <w:keepLines/>
        <w:ind w:left="1440" w:right="1440"/>
        <w:rPr>
          <w:sz w:val="26"/>
          <w:szCs w:val="26"/>
        </w:rPr>
      </w:pPr>
    </w:p>
    <w:p w:rsidR="003D584F" w:rsidRPr="0099576D" w:rsidRDefault="003D584F" w:rsidP="003D584F">
      <w:pPr>
        <w:keepNext/>
        <w:keepLines/>
        <w:ind w:left="1440" w:right="1440"/>
        <w:rPr>
          <w:b/>
          <w:sz w:val="26"/>
          <w:szCs w:val="26"/>
        </w:rPr>
      </w:pPr>
      <w:r w:rsidRPr="0099576D">
        <w:rPr>
          <w:b/>
          <w:sz w:val="26"/>
          <w:szCs w:val="26"/>
        </w:rPr>
        <w:t>§ 1405. Payment agreements</w:t>
      </w:r>
    </w:p>
    <w:p w:rsidR="003D584F" w:rsidRPr="0099576D" w:rsidRDefault="003D584F" w:rsidP="003D584F">
      <w:pPr>
        <w:keepNext/>
        <w:keepLines/>
        <w:ind w:left="1440" w:right="1440"/>
        <w:rPr>
          <w:b/>
          <w:sz w:val="26"/>
          <w:szCs w:val="26"/>
        </w:rPr>
      </w:pPr>
    </w:p>
    <w:p w:rsidR="003D584F" w:rsidRPr="0099576D" w:rsidRDefault="003D584F" w:rsidP="003D584F">
      <w:pPr>
        <w:autoSpaceDE w:val="0"/>
        <w:autoSpaceDN w:val="0"/>
        <w:ind w:left="1440" w:right="1440"/>
        <w:jc w:val="center"/>
        <w:rPr>
          <w:b/>
          <w:sz w:val="26"/>
          <w:szCs w:val="26"/>
        </w:rPr>
      </w:pPr>
      <w:r w:rsidRPr="0099576D">
        <w:rPr>
          <w:rFonts w:eastAsia="Calibri"/>
          <w:sz w:val="26"/>
          <w:szCs w:val="26"/>
        </w:rPr>
        <w:t>*</w:t>
      </w:r>
      <w:r w:rsidRPr="0099576D">
        <w:rPr>
          <w:rFonts w:eastAsia="Calibri"/>
          <w:sz w:val="26"/>
          <w:szCs w:val="26"/>
        </w:rPr>
        <w:tab/>
        <w:t>*</w:t>
      </w:r>
      <w:r w:rsidRPr="0099576D">
        <w:rPr>
          <w:rFonts w:eastAsia="Calibri"/>
          <w:sz w:val="26"/>
          <w:szCs w:val="26"/>
        </w:rPr>
        <w:tab/>
        <w:t>*</w:t>
      </w:r>
    </w:p>
    <w:p w:rsidR="003D584F" w:rsidRPr="0099576D" w:rsidRDefault="003D584F" w:rsidP="003D584F">
      <w:pPr>
        <w:keepNext/>
        <w:keepLines/>
        <w:ind w:left="1440" w:right="1440"/>
        <w:rPr>
          <w:b/>
          <w:sz w:val="26"/>
          <w:szCs w:val="26"/>
        </w:rPr>
      </w:pPr>
    </w:p>
    <w:p w:rsidR="003D584F" w:rsidRPr="0099576D" w:rsidRDefault="003D584F" w:rsidP="003D584F">
      <w:pPr>
        <w:keepNext/>
        <w:keepLines/>
        <w:ind w:left="1440" w:right="1440"/>
        <w:rPr>
          <w:sz w:val="26"/>
          <w:szCs w:val="26"/>
        </w:rPr>
      </w:pPr>
      <w:r w:rsidRPr="0099576D">
        <w:rPr>
          <w:b/>
          <w:sz w:val="26"/>
          <w:szCs w:val="26"/>
        </w:rPr>
        <w:tab/>
      </w:r>
      <w:r w:rsidRPr="0099576D">
        <w:rPr>
          <w:sz w:val="26"/>
          <w:szCs w:val="26"/>
        </w:rPr>
        <w:t>(d)</w:t>
      </w:r>
      <w:r w:rsidRPr="0099576D">
        <w:rPr>
          <w:sz w:val="26"/>
          <w:szCs w:val="26"/>
        </w:rPr>
        <w:tab/>
      </w:r>
      <w:r w:rsidRPr="0099576D">
        <w:rPr>
          <w:b/>
          <w:sz w:val="26"/>
          <w:szCs w:val="26"/>
        </w:rPr>
        <w:t>Number of Payment agreements</w:t>
      </w:r>
      <w:proofErr w:type="gramStart"/>
      <w:r w:rsidRPr="0099576D">
        <w:rPr>
          <w:b/>
          <w:sz w:val="26"/>
          <w:szCs w:val="26"/>
        </w:rPr>
        <w:t>.—</w:t>
      </w:r>
      <w:proofErr w:type="gramEnd"/>
      <w:r w:rsidRPr="0099576D">
        <w:rPr>
          <w:b/>
          <w:sz w:val="26"/>
          <w:szCs w:val="26"/>
        </w:rPr>
        <w:t xml:space="preserve"> </w:t>
      </w:r>
      <w:r w:rsidRPr="0099576D">
        <w:rPr>
          <w:sz w:val="26"/>
          <w:szCs w:val="26"/>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agreement with a customer.</w:t>
      </w:r>
    </w:p>
    <w:p w:rsidR="003D584F" w:rsidRDefault="003D584F" w:rsidP="00411FC9">
      <w:pPr>
        <w:spacing w:line="360" w:lineRule="auto"/>
        <w:ind w:firstLine="1440"/>
        <w:rPr>
          <w:sz w:val="26"/>
          <w:szCs w:val="26"/>
        </w:rPr>
      </w:pPr>
    </w:p>
    <w:p w:rsidR="003D584F" w:rsidRDefault="003D584F" w:rsidP="00411FC9">
      <w:pPr>
        <w:spacing w:line="360" w:lineRule="auto"/>
        <w:ind w:firstLine="1440"/>
        <w:rPr>
          <w:sz w:val="26"/>
          <w:szCs w:val="26"/>
        </w:rPr>
      </w:pPr>
    </w:p>
    <w:p w:rsidR="00136E3D" w:rsidRPr="00251D73" w:rsidRDefault="003D584F" w:rsidP="003D584F">
      <w:pPr>
        <w:spacing w:line="360" w:lineRule="auto"/>
        <w:rPr>
          <w:sz w:val="26"/>
          <w:szCs w:val="26"/>
        </w:rPr>
      </w:pPr>
      <w:r>
        <w:rPr>
          <w:sz w:val="26"/>
          <w:szCs w:val="26"/>
        </w:rPr>
        <w:lastRenderedPageBreak/>
        <w:t xml:space="preserve">Hence, the </w:t>
      </w:r>
      <w:r w:rsidR="00136E3D">
        <w:rPr>
          <w:sz w:val="26"/>
          <w:szCs w:val="26"/>
        </w:rPr>
        <w:t xml:space="preserve">Code prohibits </w:t>
      </w:r>
      <w:r w:rsidR="004C2A0D">
        <w:rPr>
          <w:sz w:val="26"/>
          <w:szCs w:val="26"/>
        </w:rPr>
        <w:t>us</w:t>
      </w:r>
      <w:r w:rsidR="00136E3D">
        <w:rPr>
          <w:sz w:val="26"/>
          <w:szCs w:val="26"/>
        </w:rPr>
        <w:t xml:space="preserve"> from establishing a second payment agreement if a customer has defaulted on a previous payment agreement, absent a change in income; however, the change in income must occur after the most-recent </w:t>
      </w:r>
      <w:r w:rsidR="00836F2D">
        <w:rPr>
          <w:sz w:val="26"/>
          <w:szCs w:val="26"/>
        </w:rPr>
        <w:t>Commission</w:t>
      </w:r>
      <w:r w:rsidR="00136E3D">
        <w:rPr>
          <w:sz w:val="26"/>
          <w:szCs w:val="26"/>
        </w:rPr>
        <w:t xml:space="preserve">-ordered </w:t>
      </w:r>
      <w:r w:rsidR="00836F2D">
        <w:rPr>
          <w:sz w:val="26"/>
          <w:szCs w:val="26"/>
        </w:rPr>
        <w:t>payment agreement</w:t>
      </w:r>
      <w:r>
        <w:rPr>
          <w:sz w:val="26"/>
          <w:szCs w:val="26"/>
        </w:rPr>
        <w:t xml:space="preserve"> has been issued</w:t>
      </w:r>
      <w:r w:rsidR="00836F2D">
        <w:rPr>
          <w:sz w:val="26"/>
          <w:szCs w:val="26"/>
        </w:rPr>
        <w:t>.</w:t>
      </w:r>
      <w:r>
        <w:rPr>
          <w:sz w:val="26"/>
          <w:szCs w:val="26"/>
        </w:rPr>
        <w:t xml:space="preserve">  Because there has been no change in income since the Complainant’s May 8, 2012 Commission-issued payment agreement, we cannot issue one in this case</w:t>
      </w:r>
      <w:r w:rsidR="00B204F4">
        <w:rPr>
          <w:sz w:val="26"/>
          <w:szCs w:val="26"/>
        </w:rPr>
        <w:t>.</w:t>
      </w:r>
      <w:r w:rsidR="000D1DF8">
        <w:rPr>
          <w:sz w:val="26"/>
          <w:szCs w:val="26"/>
        </w:rPr>
        <w:t xml:space="preserve">  Accordingly, we shall deny the Complainant’s request for a payment agreement.  </w:t>
      </w:r>
    </w:p>
    <w:p w:rsidR="00AC275F" w:rsidRDefault="00AC275F" w:rsidP="00CC7EF4">
      <w:pPr>
        <w:spacing w:line="360" w:lineRule="auto"/>
        <w:jc w:val="center"/>
        <w:rPr>
          <w:b/>
          <w:sz w:val="26"/>
          <w:szCs w:val="26"/>
        </w:rPr>
      </w:pPr>
    </w:p>
    <w:p w:rsidR="00956972" w:rsidRPr="00F4770C" w:rsidRDefault="00956972" w:rsidP="00CC7EF4">
      <w:pPr>
        <w:spacing w:line="360" w:lineRule="auto"/>
        <w:jc w:val="center"/>
        <w:rPr>
          <w:b/>
          <w:sz w:val="26"/>
          <w:szCs w:val="26"/>
        </w:rPr>
      </w:pPr>
      <w:r w:rsidRPr="00F4770C">
        <w:rPr>
          <w:b/>
          <w:sz w:val="26"/>
          <w:szCs w:val="26"/>
        </w:rPr>
        <w:t>Conclusion</w:t>
      </w:r>
    </w:p>
    <w:p w:rsidR="006C56A5" w:rsidRPr="00F4770C" w:rsidRDefault="006C56A5" w:rsidP="00385898">
      <w:pPr>
        <w:spacing w:line="360" w:lineRule="auto"/>
        <w:rPr>
          <w:sz w:val="26"/>
          <w:szCs w:val="26"/>
        </w:rPr>
      </w:pPr>
    </w:p>
    <w:p w:rsidR="00956972" w:rsidRPr="00F4770C" w:rsidRDefault="006C56A5" w:rsidP="007E3501">
      <w:pPr>
        <w:spacing w:line="360" w:lineRule="auto"/>
        <w:rPr>
          <w:sz w:val="26"/>
          <w:szCs w:val="26"/>
        </w:rPr>
      </w:pPr>
      <w:r w:rsidRPr="00F4770C">
        <w:rPr>
          <w:sz w:val="26"/>
          <w:szCs w:val="26"/>
        </w:rPr>
        <w:tab/>
      </w:r>
      <w:r w:rsidRPr="00F4770C">
        <w:rPr>
          <w:sz w:val="26"/>
          <w:szCs w:val="26"/>
        </w:rPr>
        <w:tab/>
      </w:r>
      <w:r w:rsidR="0023377F" w:rsidRPr="00F4770C">
        <w:rPr>
          <w:sz w:val="26"/>
          <w:szCs w:val="26"/>
        </w:rPr>
        <w:t xml:space="preserve">Based on our review of the </w:t>
      </w:r>
      <w:r w:rsidR="008B496B" w:rsidRPr="00F4770C">
        <w:rPr>
          <w:sz w:val="26"/>
          <w:szCs w:val="26"/>
        </w:rPr>
        <w:t>record</w:t>
      </w:r>
      <w:r w:rsidR="003928E1" w:rsidRPr="00F4770C">
        <w:rPr>
          <w:sz w:val="26"/>
          <w:szCs w:val="26"/>
        </w:rPr>
        <w:t xml:space="preserve">, the ALJ’s Initial Decision, </w:t>
      </w:r>
      <w:r w:rsidR="0023377F" w:rsidRPr="00F4770C">
        <w:rPr>
          <w:sz w:val="26"/>
          <w:szCs w:val="26"/>
        </w:rPr>
        <w:t>and the applicable</w:t>
      </w:r>
      <w:r w:rsidR="003928E1" w:rsidRPr="00F4770C">
        <w:rPr>
          <w:sz w:val="26"/>
          <w:szCs w:val="26"/>
        </w:rPr>
        <w:t xml:space="preserve"> </w:t>
      </w:r>
      <w:r w:rsidR="0023377F" w:rsidRPr="00F4770C">
        <w:rPr>
          <w:sz w:val="26"/>
          <w:szCs w:val="26"/>
        </w:rPr>
        <w:t>law,</w:t>
      </w:r>
      <w:r w:rsidR="00474DBB" w:rsidRPr="00F4770C">
        <w:rPr>
          <w:sz w:val="26"/>
          <w:szCs w:val="26"/>
        </w:rPr>
        <w:t xml:space="preserve"> </w:t>
      </w:r>
      <w:r w:rsidR="00FD497B" w:rsidRPr="00F4770C">
        <w:rPr>
          <w:sz w:val="26"/>
          <w:szCs w:val="26"/>
        </w:rPr>
        <w:t>w</w:t>
      </w:r>
      <w:r w:rsidR="00B265B1" w:rsidRPr="00F4770C">
        <w:rPr>
          <w:sz w:val="26"/>
          <w:szCs w:val="26"/>
        </w:rPr>
        <w:t xml:space="preserve">e </w:t>
      </w:r>
      <w:r w:rsidR="00502D50" w:rsidRPr="00F4770C">
        <w:rPr>
          <w:sz w:val="26"/>
          <w:szCs w:val="26"/>
        </w:rPr>
        <w:t>shall</w:t>
      </w:r>
      <w:r w:rsidR="0019318F" w:rsidRPr="00F4770C">
        <w:rPr>
          <w:sz w:val="26"/>
          <w:szCs w:val="26"/>
        </w:rPr>
        <w:t xml:space="preserve"> </w:t>
      </w:r>
      <w:r w:rsidR="006652C6" w:rsidRPr="00F4770C">
        <w:rPr>
          <w:sz w:val="26"/>
          <w:szCs w:val="26"/>
        </w:rPr>
        <w:t>modify the A</w:t>
      </w:r>
      <w:r w:rsidR="0023377F" w:rsidRPr="00F4770C">
        <w:rPr>
          <w:sz w:val="26"/>
          <w:szCs w:val="26"/>
        </w:rPr>
        <w:t>LJ’s Initial Decision</w:t>
      </w:r>
      <w:r w:rsidR="0019251E" w:rsidRPr="00F4770C">
        <w:rPr>
          <w:sz w:val="26"/>
          <w:szCs w:val="26"/>
        </w:rPr>
        <w:t xml:space="preserve">, </w:t>
      </w:r>
      <w:r w:rsidR="006652C6" w:rsidRPr="00F4770C">
        <w:rPr>
          <w:sz w:val="26"/>
          <w:szCs w:val="26"/>
        </w:rPr>
        <w:t>consistent with</w:t>
      </w:r>
      <w:r w:rsidR="007473AC" w:rsidRPr="00F4770C">
        <w:rPr>
          <w:sz w:val="26"/>
          <w:szCs w:val="26"/>
        </w:rPr>
        <w:t xml:space="preserve"> </w:t>
      </w:r>
      <w:r w:rsidR="0019251E" w:rsidRPr="00F4770C">
        <w:rPr>
          <w:sz w:val="26"/>
          <w:szCs w:val="26"/>
        </w:rPr>
        <w:t>this Opinion and Order</w:t>
      </w:r>
      <w:r w:rsidR="00905434" w:rsidRPr="00F4770C">
        <w:rPr>
          <w:sz w:val="26"/>
          <w:szCs w:val="26"/>
        </w:rPr>
        <w:t>;</w:t>
      </w:r>
      <w:r w:rsidR="00956972" w:rsidRPr="00F4770C">
        <w:rPr>
          <w:sz w:val="26"/>
          <w:szCs w:val="26"/>
        </w:rPr>
        <w:t xml:space="preserve"> </w:t>
      </w:r>
      <w:r w:rsidR="00956972" w:rsidRPr="00F4770C">
        <w:rPr>
          <w:b/>
          <w:sz w:val="26"/>
          <w:szCs w:val="26"/>
        </w:rPr>
        <w:t>THEREFORE,</w:t>
      </w:r>
      <w:r w:rsidR="00956972" w:rsidRPr="00F4770C">
        <w:rPr>
          <w:sz w:val="26"/>
          <w:szCs w:val="26"/>
        </w:rPr>
        <w:t xml:space="preserve"> </w:t>
      </w:r>
    </w:p>
    <w:p w:rsidR="001A1AD3" w:rsidRPr="00F4770C" w:rsidRDefault="001A1AD3" w:rsidP="001A1AD3">
      <w:pPr>
        <w:spacing w:line="360" w:lineRule="auto"/>
        <w:rPr>
          <w:sz w:val="26"/>
          <w:szCs w:val="26"/>
        </w:rPr>
      </w:pPr>
    </w:p>
    <w:p w:rsidR="001A1AD3" w:rsidRPr="00F4770C" w:rsidRDefault="001A1AD3" w:rsidP="001A1AD3">
      <w:pPr>
        <w:spacing w:line="360" w:lineRule="auto"/>
        <w:rPr>
          <w:b/>
          <w:sz w:val="26"/>
          <w:szCs w:val="26"/>
        </w:rPr>
      </w:pPr>
      <w:r w:rsidRPr="00F4770C">
        <w:rPr>
          <w:sz w:val="26"/>
          <w:szCs w:val="26"/>
        </w:rPr>
        <w:tab/>
      </w:r>
      <w:r w:rsidRPr="00F4770C">
        <w:rPr>
          <w:sz w:val="26"/>
          <w:szCs w:val="26"/>
        </w:rPr>
        <w:tab/>
      </w:r>
      <w:r w:rsidRPr="00F4770C">
        <w:rPr>
          <w:b/>
          <w:sz w:val="26"/>
          <w:szCs w:val="26"/>
        </w:rPr>
        <w:t>IT IS ORDERED:</w:t>
      </w:r>
    </w:p>
    <w:p w:rsidR="001A1AD3" w:rsidRPr="00F4770C" w:rsidRDefault="001A1AD3" w:rsidP="001A1AD3">
      <w:pPr>
        <w:spacing w:line="360" w:lineRule="auto"/>
        <w:rPr>
          <w:sz w:val="26"/>
          <w:szCs w:val="26"/>
        </w:rPr>
      </w:pPr>
    </w:p>
    <w:p w:rsidR="00F97807" w:rsidRPr="00F4770C" w:rsidRDefault="001A1AD3" w:rsidP="00F97807">
      <w:pPr>
        <w:spacing w:line="360" w:lineRule="auto"/>
        <w:rPr>
          <w:sz w:val="26"/>
          <w:szCs w:val="26"/>
        </w:rPr>
      </w:pPr>
      <w:r w:rsidRPr="00F4770C">
        <w:rPr>
          <w:sz w:val="26"/>
          <w:szCs w:val="26"/>
        </w:rPr>
        <w:tab/>
      </w:r>
      <w:r w:rsidRPr="00F4770C">
        <w:rPr>
          <w:sz w:val="26"/>
          <w:szCs w:val="26"/>
        </w:rPr>
        <w:tab/>
      </w:r>
      <w:r w:rsidR="0019251E" w:rsidRPr="00F4770C">
        <w:rPr>
          <w:sz w:val="26"/>
          <w:szCs w:val="26"/>
        </w:rPr>
        <w:t>1</w:t>
      </w:r>
      <w:r w:rsidR="00431F78" w:rsidRPr="00F4770C">
        <w:rPr>
          <w:sz w:val="26"/>
          <w:szCs w:val="26"/>
        </w:rPr>
        <w:t>.</w:t>
      </w:r>
      <w:r w:rsidR="00431F78" w:rsidRPr="00F4770C">
        <w:rPr>
          <w:b/>
          <w:sz w:val="26"/>
          <w:szCs w:val="26"/>
        </w:rPr>
        <w:tab/>
      </w:r>
      <w:r w:rsidR="00431F78" w:rsidRPr="00F4770C">
        <w:rPr>
          <w:sz w:val="26"/>
          <w:szCs w:val="26"/>
        </w:rPr>
        <w:t xml:space="preserve">That the </w:t>
      </w:r>
      <w:r w:rsidR="00527A20" w:rsidRPr="00F4770C">
        <w:rPr>
          <w:sz w:val="26"/>
          <w:szCs w:val="26"/>
        </w:rPr>
        <w:t xml:space="preserve">Initial Decision of </w:t>
      </w:r>
      <w:r w:rsidR="00C05103" w:rsidRPr="00F4770C">
        <w:rPr>
          <w:sz w:val="26"/>
          <w:szCs w:val="26"/>
        </w:rPr>
        <w:t xml:space="preserve">Administrative Law </w:t>
      </w:r>
      <w:r w:rsidR="00B809EB" w:rsidRPr="00F4770C">
        <w:rPr>
          <w:sz w:val="26"/>
          <w:szCs w:val="26"/>
        </w:rPr>
        <w:t xml:space="preserve">Judge </w:t>
      </w:r>
      <w:r w:rsidR="00E3700C">
        <w:rPr>
          <w:sz w:val="26"/>
          <w:szCs w:val="26"/>
        </w:rPr>
        <w:t>Joel H. Cheskis</w:t>
      </w:r>
      <w:r w:rsidR="00B809EB" w:rsidRPr="00F4770C">
        <w:rPr>
          <w:sz w:val="26"/>
          <w:szCs w:val="26"/>
        </w:rPr>
        <w:t xml:space="preserve">, issued </w:t>
      </w:r>
      <w:r w:rsidR="00E3700C">
        <w:rPr>
          <w:sz w:val="26"/>
          <w:szCs w:val="26"/>
        </w:rPr>
        <w:t>October 17, 2013</w:t>
      </w:r>
      <w:r w:rsidR="006652C6" w:rsidRPr="00F4770C">
        <w:rPr>
          <w:sz w:val="26"/>
          <w:szCs w:val="26"/>
        </w:rPr>
        <w:t>,</w:t>
      </w:r>
      <w:r w:rsidR="008E45DB" w:rsidRPr="00F4770C">
        <w:rPr>
          <w:sz w:val="26"/>
          <w:szCs w:val="26"/>
        </w:rPr>
        <w:t xml:space="preserve"> </w:t>
      </w:r>
      <w:r w:rsidR="005154BC" w:rsidRPr="00F4770C">
        <w:rPr>
          <w:sz w:val="26"/>
          <w:szCs w:val="26"/>
        </w:rPr>
        <w:t xml:space="preserve">is </w:t>
      </w:r>
      <w:r w:rsidR="007473AC" w:rsidRPr="00F4770C">
        <w:rPr>
          <w:sz w:val="26"/>
          <w:szCs w:val="26"/>
        </w:rPr>
        <w:t>adopted</w:t>
      </w:r>
      <w:r w:rsidR="00527A20" w:rsidRPr="00F4770C">
        <w:rPr>
          <w:sz w:val="26"/>
          <w:szCs w:val="26"/>
        </w:rPr>
        <w:t xml:space="preserve">, </w:t>
      </w:r>
      <w:r w:rsidR="007473AC" w:rsidRPr="00F4770C">
        <w:rPr>
          <w:sz w:val="26"/>
          <w:szCs w:val="26"/>
        </w:rPr>
        <w:t>as modified by</w:t>
      </w:r>
      <w:r w:rsidR="00243CC9" w:rsidRPr="00F4770C">
        <w:rPr>
          <w:sz w:val="26"/>
          <w:szCs w:val="26"/>
        </w:rPr>
        <w:t xml:space="preserve"> this Opinion and Order</w:t>
      </w:r>
      <w:r w:rsidR="00EF782F" w:rsidRPr="00F4770C">
        <w:rPr>
          <w:sz w:val="26"/>
          <w:szCs w:val="26"/>
        </w:rPr>
        <w:t>.</w:t>
      </w:r>
    </w:p>
    <w:p w:rsidR="00120C2F" w:rsidRPr="00F4770C" w:rsidRDefault="00120C2F" w:rsidP="00F97807">
      <w:pPr>
        <w:spacing w:line="360" w:lineRule="auto"/>
        <w:rPr>
          <w:sz w:val="26"/>
          <w:szCs w:val="26"/>
        </w:rPr>
      </w:pPr>
    </w:p>
    <w:p w:rsidR="00CC45DD" w:rsidRDefault="0019251E" w:rsidP="00766448">
      <w:pPr>
        <w:spacing w:line="360" w:lineRule="auto"/>
        <w:ind w:firstLine="1440"/>
        <w:rPr>
          <w:sz w:val="26"/>
          <w:szCs w:val="26"/>
        </w:rPr>
      </w:pPr>
      <w:r w:rsidRPr="00F4770C">
        <w:rPr>
          <w:sz w:val="26"/>
          <w:szCs w:val="26"/>
        </w:rPr>
        <w:t>2</w:t>
      </w:r>
      <w:r w:rsidR="00120C2F" w:rsidRPr="00F4770C">
        <w:rPr>
          <w:sz w:val="26"/>
          <w:szCs w:val="26"/>
        </w:rPr>
        <w:t>.</w:t>
      </w:r>
      <w:r w:rsidR="00120C2F" w:rsidRPr="00F4770C">
        <w:rPr>
          <w:sz w:val="26"/>
          <w:szCs w:val="26"/>
        </w:rPr>
        <w:tab/>
      </w:r>
      <w:r w:rsidR="00DA3BAC" w:rsidRPr="00F4770C">
        <w:rPr>
          <w:sz w:val="26"/>
          <w:szCs w:val="26"/>
        </w:rPr>
        <w:t xml:space="preserve">That </w:t>
      </w:r>
      <w:r w:rsidR="00CC45DD">
        <w:rPr>
          <w:sz w:val="26"/>
          <w:szCs w:val="26"/>
        </w:rPr>
        <w:t>the portion of the Formal Complaint filed by Fred Lavner against PECO Energy Company at Docket No. C-2013-2357426 requesting that he receive his monthly bills in paper form is sustained and PECO Energy Company is</w:t>
      </w:r>
      <w:r w:rsidR="0028448D">
        <w:rPr>
          <w:sz w:val="26"/>
          <w:szCs w:val="26"/>
        </w:rPr>
        <w:t xml:space="preserve"> </w:t>
      </w:r>
      <w:r w:rsidR="00CC45DD">
        <w:rPr>
          <w:sz w:val="26"/>
          <w:szCs w:val="26"/>
        </w:rPr>
        <w:t>directed to provide Mr. Lavner with his monthly bill in paper form going forward</w:t>
      </w:r>
      <w:r w:rsidR="004C2A0D">
        <w:rPr>
          <w:sz w:val="26"/>
          <w:szCs w:val="26"/>
        </w:rPr>
        <w:t>.</w:t>
      </w:r>
    </w:p>
    <w:p w:rsidR="00CC45DD" w:rsidRDefault="00CC45DD" w:rsidP="00766448">
      <w:pPr>
        <w:spacing w:line="360" w:lineRule="auto"/>
        <w:ind w:firstLine="1440"/>
        <w:rPr>
          <w:sz w:val="26"/>
          <w:szCs w:val="26"/>
        </w:rPr>
      </w:pPr>
    </w:p>
    <w:p w:rsidR="00DA70E4" w:rsidRDefault="00CC45DD" w:rsidP="00F567F8">
      <w:pPr>
        <w:spacing w:line="360" w:lineRule="auto"/>
        <w:ind w:firstLine="1440"/>
        <w:rPr>
          <w:sz w:val="26"/>
          <w:szCs w:val="26"/>
        </w:rPr>
      </w:pPr>
      <w:r>
        <w:rPr>
          <w:sz w:val="26"/>
          <w:szCs w:val="26"/>
        </w:rPr>
        <w:t>3.</w:t>
      </w:r>
      <w:r>
        <w:rPr>
          <w:sz w:val="26"/>
          <w:szCs w:val="26"/>
        </w:rPr>
        <w:tab/>
      </w:r>
      <w:r w:rsidR="004C2A0D">
        <w:rPr>
          <w:sz w:val="26"/>
          <w:szCs w:val="26"/>
        </w:rPr>
        <w:t>That t</w:t>
      </w:r>
      <w:r w:rsidR="00DA3BAC" w:rsidRPr="00F4770C">
        <w:rPr>
          <w:sz w:val="26"/>
          <w:szCs w:val="26"/>
        </w:rPr>
        <w:t xml:space="preserve">he </w:t>
      </w:r>
      <w:r w:rsidR="00E3700C">
        <w:rPr>
          <w:sz w:val="26"/>
          <w:szCs w:val="26"/>
        </w:rPr>
        <w:t>F</w:t>
      </w:r>
      <w:r w:rsidR="00DA3BAC" w:rsidRPr="00F4770C">
        <w:rPr>
          <w:sz w:val="26"/>
          <w:szCs w:val="26"/>
        </w:rPr>
        <w:t xml:space="preserve">ormal </w:t>
      </w:r>
      <w:r w:rsidR="00E3700C">
        <w:rPr>
          <w:sz w:val="26"/>
          <w:szCs w:val="26"/>
        </w:rPr>
        <w:t>C</w:t>
      </w:r>
      <w:r w:rsidR="00DA3BAC" w:rsidRPr="00F4770C">
        <w:rPr>
          <w:sz w:val="26"/>
          <w:szCs w:val="26"/>
        </w:rPr>
        <w:t xml:space="preserve">omplaint filed by </w:t>
      </w:r>
      <w:r w:rsidR="00E3700C">
        <w:rPr>
          <w:sz w:val="26"/>
        </w:rPr>
        <w:t>Fred Lavner</w:t>
      </w:r>
      <w:r w:rsidR="00DA3BAC" w:rsidRPr="00F4770C">
        <w:rPr>
          <w:sz w:val="26"/>
          <w:szCs w:val="26"/>
        </w:rPr>
        <w:t xml:space="preserve"> against PECO Energy Company at Docket No. </w:t>
      </w:r>
      <w:r w:rsidR="00E3700C">
        <w:rPr>
          <w:sz w:val="26"/>
          <w:szCs w:val="26"/>
        </w:rPr>
        <w:t>C-2013-2357426</w:t>
      </w:r>
      <w:r w:rsidR="006F7ABC">
        <w:rPr>
          <w:sz w:val="26"/>
          <w:szCs w:val="26"/>
        </w:rPr>
        <w:t xml:space="preserve"> is dismissed in all other </w:t>
      </w:r>
      <w:r w:rsidR="00284F6E">
        <w:rPr>
          <w:sz w:val="26"/>
          <w:szCs w:val="26"/>
        </w:rPr>
        <w:t>resp</w:t>
      </w:r>
      <w:r w:rsidR="006F7ABC">
        <w:rPr>
          <w:sz w:val="26"/>
          <w:szCs w:val="26"/>
        </w:rPr>
        <w:t>ects</w:t>
      </w:r>
      <w:r w:rsidR="00284F6E">
        <w:rPr>
          <w:sz w:val="26"/>
          <w:szCs w:val="26"/>
        </w:rPr>
        <w:t>,</w:t>
      </w:r>
      <w:r w:rsidR="006F7ABC">
        <w:rPr>
          <w:sz w:val="26"/>
          <w:szCs w:val="26"/>
        </w:rPr>
        <w:t xml:space="preserve"> </w:t>
      </w:r>
      <w:r w:rsidR="00E13204">
        <w:rPr>
          <w:sz w:val="26"/>
          <w:szCs w:val="26"/>
        </w:rPr>
        <w:t>consistent with this Opinion and Order</w:t>
      </w:r>
      <w:r w:rsidR="00FF14E7" w:rsidRPr="00F4770C">
        <w:rPr>
          <w:sz w:val="26"/>
          <w:szCs w:val="26"/>
        </w:rPr>
        <w:t>.</w:t>
      </w:r>
    </w:p>
    <w:p w:rsidR="00DA70E4" w:rsidRDefault="00DA70E4" w:rsidP="001A1AD3">
      <w:pPr>
        <w:spacing w:line="360" w:lineRule="auto"/>
        <w:rPr>
          <w:sz w:val="26"/>
          <w:szCs w:val="26"/>
        </w:rPr>
      </w:pPr>
    </w:p>
    <w:p w:rsidR="005D74D6" w:rsidRPr="00F4770C" w:rsidRDefault="00DA70E4" w:rsidP="00F567F8">
      <w:pPr>
        <w:keepNext/>
        <w:spacing w:line="360" w:lineRule="auto"/>
        <w:rPr>
          <w:sz w:val="26"/>
          <w:szCs w:val="26"/>
        </w:rPr>
      </w:pPr>
      <w:r>
        <w:rPr>
          <w:sz w:val="26"/>
          <w:szCs w:val="26"/>
        </w:rPr>
        <w:lastRenderedPageBreak/>
        <w:tab/>
      </w:r>
      <w:r>
        <w:rPr>
          <w:sz w:val="26"/>
          <w:szCs w:val="26"/>
        </w:rPr>
        <w:tab/>
      </w:r>
      <w:r w:rsidR="006F7ABC">
        <w:rPr>
          <w:sz w:val="26"/>
          <w:szCs w:val="26"/>
        </w:rPr>
        <w:t>4</w:t>
      </w:r>
      <w:r w:rsidR="00C8216D" w:rsidRPr="00F4770C">
        <w:rPr>
          <w:sz w:val="26"/>
          <w:szCs w:val="26"/>
        </w:rPr>
        <w:t>.</w:t>
      </w:r>
      <w:r w:rsidR="00C8216D" w:rsidRPr="00F4770C">
        <w:rPr>
          <w:sz w:val="26"/>
          <w:szCs w:val="26"/>
        </w:rPr>
        <w:tab/>
      </w:r>
      <w:r w:rsidR="005D74D6" w:rsidRPr="00F4770C">
        <w:rPr>
          <w:sz w:val="26"/>
          <w:szCs w:val="26"/>
        </w:rPr>
        <w:t>Tha</w:t>
      </w:r>
      <w:r w:rsidR="00E13204">
        <w:rPr>
          <w:sz w:val="26"/>
          <w:szCs w:val="26"/>
        </w:rPr>
        <w:t>t this docket be marked closed.</w:t>
      </w:r>
    </w:p>
    <w:p w:rsidR="005D74D6" w:rsidRPr="00F4770C" w:rsidRDefault="005D74D6" w:rsidP="00F567F8">
      <w:pPr>
        <w:keepNext/>
        <w:spacing w:line="360" w:lineRule="auto"/>
        <w:rPr>
          <w:sz w:val="26"/>
          <w:szCs w:val="26"/>
        </w:rPr>
      </w:pPr>
    </w:p>
    <w:p w:rsidR="00503B2F" w:rsidRPr="003C63B1" w:rsidRDefault="00F14F83" w:rsidP="0019251E">
      <w:pPr>
        <w:spacing w:line="360" w:lineRule="auto"/>
        <w:rPr>
          <w:sz w:val="26"/>
        </w:rPr>
      </w:pPr>
      <w:bookmarkStart w:id="0" w:name="_GoBack"/>
      <w:r>
        <w:rPr>
          <w:noProof/>
        </w:rPr>
        <w:drawing>
          <wp:anchor distT="0" distB="0" distL="114300" distR="114300" simplePos="0" relativeHeight="251659264" behindDoc="1" locked="0" layoutInCell="1" allowOverlap="1" wp14:anchorId="3349814E" wp14:editId="25F26C46">
            <wp:simplePos x="0" y="0"/>
            <wp:positionH relativeFrom="column">
              <wp:posOffset>2987040</wp:posOffset>
            </wp:positionH>
            <wp:positionV relativeFrom="paragraph">
              <wp:posOffset>90805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7206">
        <w:rPr>
          <w:sz w:val="26"/>
          <w:szCs w:val="26"/>
        </w:rPr>
        <w:tab/>
      </w:r>
      <w:r w:rsidR="002E7206">
        <w:rPr>
          <w:sz w:val="26"/>
          <w:szCs w:val="26"/>
        </w:rPr>
        <w:tab/>
      </w:r>
      <w:r w:rsidR="001A1AD3" w:rsidRPr="000D6043">
        <w:rPr>
          <w:sz w:val="26"/>
          <w:szCs w:val="26"/>
        </w:rPr>
        <w:tab/>
      </w:r>
      <w:r w:rsidR="001A1AD3" w:rsidRPr="000D6043">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EC7358" w:rsidRPr="003C63B1" w:rsidRDefault="00EC7358"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E3700C">
        <w:rPr>
          <w:sz w:val="26"/>
        </w:rPr>
        <w:t>December 5</w:t>
      </w:r>
      <w:r w:rsidR="00D32E71">
        <w:rPr>
          <w:sz w:val="26"/>
        </w:rPr>
        <w:t>, 2013</w:t>
      </w:r>
    </w:p>
    <w:p w:rsidR="00503B2F" w:rsidRPr="003C63B1" w:rsidRDefault="00503B2F" w:rsidP="00503B2F">
      <w:pPr>
        <w:tabs>
          <w:tab w:val="left" w:pos="-720"/>
        </w:tabs>
        <w:suppressAutoHyphens/>
        <w:rPr>
          <w:sz w:val="26"/>
        </w:rPr>
      </w:pPr>
    </w:p>
    <w:p w:rsidR="009304FE" w:rsidRDefault="00DD3119" w:rsidP="00A85CF2">
      <w:pPr>
        <w:tabs>
          <w:tab w:val="left" w:pos="-720"/>
        </w:tabs>
        <w:suppressAutoHyphens/>
      </w:pPr>
      <w:r>
        <w:rPr>
          <w:sz w:val="26"/>
        </w:rPr>
        <w:t xml:space="preserve">ORDER ENTERED:  </w:t>
      </w:r>
      <w:r w:rsidR="00F14F83">
        <w:rPr>
          <w:sz w:val="26"/>
        </w:rPr>
        <w:t>December 24, 2013</w:t>
      </w: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29" w:rsidRDefault="00992029">
      <w:r>
        <w:separator/>
      </w:r>
    </w:p>
  </w:endnote>
  <w:endnote w:type="continuationSeparator" w:id="0">
    <w:p w:rsidR="00992029" w:rsidRDefault="0099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rsidR="000B2A1C" w:rsidRDefault="000B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separate"/>
    </w:r>
    <w:r w:rsidR="00F14F83">
      <w:rPr>
        <w:rStyle w:val="PageNumber"/>
        <w:noProof/>
      </w:rPr>
      <w:t>12</w:t>
    </w:r>
    <w:r>
      <w:rPr>
        <w:rStyle w:val="PageNumber"/>
      </w:rPr>
      <w:fldChar w:fldCharType="end"/>
    </w:r>
  </w:p>
  <w:p w:rsidR="000B2A1C" w:rsidRDefault="000B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29" w:rsidRDefault="00992029">
      <w:r>
        <w:separator/>
      </w:r>
    </w:p>
  </w:footnote>
  <w:footnote w:type="continuationSeparator" w:id="0">
    <w:p w:rsidR="00992029" w:rsidRDefault="00992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88B"/>
    <w:rsid w:val="00035F25"/>
    <w:rsid w:val="00037182"/>
    <w:rsid w:val="000378DC"/>
    <w:rsid w:val="0004071F"/>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449F"/>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A1364"/>
    <w:rsid w:val="000A2F11"/>
    <w:rsid w:val="000A35F4"/>
    <w:rsid w:val="000A4C46"/>
    <w:rsid w:val="000A6EB3"/>
    <w:rsid w:val="000A770A"/>
    <w:rsid w:val="000A7F96"/>
    <w:rsid w:val="000B2688"/>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23CA"/>
    <w:rsid w:val="0015662E"/>
    <w:rsid w:val="001572C5"/>
    <w:rsid w:val="0016005F"/>
    <w:rsid w:val="001606BC"/>
    <w:rsid w:val="00160F0A"/>
    <w:rsid w:val="0016115A"/>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1D73"/>
    <w:rsid w:val="00252313"/>
    <w:rsid w:val="00252626"/>
    <w:rsid w:val="00253CC7"/>
    <w:rsid w:val="00254099"/>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5F71"/>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AB1"/>
    <w:rsid w:val="00340B42"/>
    <w:rsid w:val="00340E96"/>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356"/>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9007A"/>
    <w:rsid w:val="003902DE"/>
    <w:rsid w:val="003908FE"/>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78A2"/>
    <w:rsid w:val="00400A4D"/>
    <w:rsid w:val="0040233B"/>
    <w:rsid w:val="004023F4"/>
    <w:rsid w:val="00402479"/>
    <w:rsid w:val="00404C07"/>
    <w:rsid w:val="004051BE"/>
    <w:rsid w:val="004059A2"/>
    <w:rsid w:val="00406D11"/>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BCB"/>
    <w:rsid w:val="00447592"/>
    <w:rsid w:val="004551AB"/>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2A0D"/>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3C0B"/>
    <w:rsid w:val="006B460D"/>
    <w:rsid w:val="006B59EF"/>
    <w:rsid w:val="006C0F2D"/>
    <w:rsid w:val="006C2D84"/>
    <w:rsid w:val="006C3710"/>
    <w:rsid w:val="006C56A5"/>
    <w:rsid w:val="006C58A2"/>
    <w:rsid w:val="006C5BFF"/>
    <w:rsid w:val="006C5D46"/>
    <w:rsid w:val="006C5DAF"/>
    <w:rsid w:val="006C65F1"/>
    <w:rsid w:val="006C73DE"/>
    <w:rsid w:val="006D0207"/>
    <w:rsid w:val="006D04EE"/>
    <w:rsid w:val="006D250A"/>
    <w:rsid w:val="006D3169"/>
    <w:rsid w:val="006D3773"/>
    <w:rsid w:val="006D590F"/>
    <w:rsid w:val="006D60A4"/>
    <w:rsid w:val="006D6E56"/>
    <w:rsid w:val="006E0ACD"/>
    <w:rsid w:val="006E19CA"/>
    <w:rsid w:val="006E270D"/>
    <w:rsid w:val="006E3777"/>
    <w:rsid w:val="006E3E10"/>
    <w:rsid w:val="006E50F1"/>
    <w:rsid w:val="006E7B1A"/>
    <w:rsid w:val="006F0018"/>
    <w:rsid w:val="006F32C7"/>
    <w:rsid w:val="006F381F"/>
    <w:rsid w:val="006F4482"/>
    <w:rsid w:val="006F45BC"/>
    <w:rsid w:val="006F472E"/>
    <w:rsid w:val="006F59DE"/>
    <w:rsid w:val="006F5C13"/>
    <w:rsid w:val="006F7ABC"/>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6EC9"/>
    <w:rsid w:val="00780290"/>
    <w:rsid w:val="00780296"/>
    <w:rsid w:val="00780707"/>
    <w:rsid w:val="00780935"/>
    <w:rsid w:val="00780972"/>
    <w:rsid w:val="00780E2F"/>
    <w:rsid w:val="00781C27"/>
    <w:rsid w:val="00787B2C"/>
    <w:rsid w:val="00787B36"/>
    <w:rsid w:val="00787D24"/>
    <w:rsid w:val="007906AE"/>
    <w:rsid w:val="00791EEE"/>
    <w:rsid w:val="007946EB"/>
    <w:rsid w:val="0079538E"/>
    <w:rsid w:val="0079543C"/>
    <w:rsid w:val="00795F8D"/>
    <w:rsid w:val="00796AEA"/>
    <w:rsid w:val="007A1316"/>
    <w:rsid w:val="007A1DC5"/>
    <w:rsid w:val="007A20AD"/>
    <w:rsid w:val="007A28CD"/>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5C7"/>
    <w:rsid w:val="007F0FF4"/>
    <w:rsid w:val="007F2683"/>
    <w:rsid w:val="007F2956"/>
    <w:rsid w:val="007F2E32"/>
    <w:rsid w:val="007F6940"/>
    <w:rsid w:val="007F6A11"/>
    <w:rsid w:val="008002AA"/>
    <w:rsid w:val="008015EA"/>
    <w:rsid w:val="008018EF"/>
    <w:rsid w:val="0080230D"/>
    <w:rsid w:val="008036FD"/>
    <w:rsid w:val="0080383D"/>
    <w:rsid w:val="00807429"/>
    <w:rsid w:val="00810827"/>
    <w:rsid w:val="008127D6"/>
    <w:rsid w:val="00814E45"/>
    <w:rsid w:val="00815227"/>
    <w:rsid w:val="00815360"/>
    <w:rsid w:val="00817B2A"/>
    <w:rsid w:val="00817DA7"/>
    <w:rsid w:val="0082161C"/>
    <w:rsid w:val="00821B16"/>
    <w:rsid w:val="00823378"/>
    <w:rsid w:val="008243DF"/>
    <w:rsid w:val="0082459D"/>
    <w:rsid w:val="00824CEF"/>
    <w:rsid w:val="008254AB"/>
    <w:rsid w:val="00826480"/>
    <w:rsid w:val="00830148"/>
    <w:rsid w:val="008316AD"/>
    <w:rsid w:val="00831855"/>
    <w:rsid w:val="00832D13"/>
    <w:rsid w:val="0083362F"/>
    <w:rsid w:val="00835315"/>
    <w:rsid w:val="00835AEB"/>
    <w:rsid w:val="00836BE5"/>
    <w:rsid w:val="00836F2D"/>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E28"/>
    <w:rsid w:val="008F1F00"/>
    <w:rsid w:val="008F41ED"/>
    <w:rsid w:val="008F42BB"/>
    <w:rsid w:val="008F47D1"/>
    <w:rsid w:val="008F6D2B"/>
    <w:rsid w:val="008F7005"/>
    <w:rsid w:val="00901E6F"/>
    <w:rsid w:val="0090291C"/>
    <w:rsid w:val="009043BE"/>
    <w:rsid w:val="00905434"/>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4BBF"/>
    <w:rsid w:val="0097619C"/>
    <w:rsid w:val="009765DF"/>
    <w:rsid w:val="00977973"/>
    <w:rsid w:val="00981F79"/>
    <w:rsid w:val="009834E9"/>
    <w:rsid w:val="00983A72"/>
    <w:rsid w:val="009850EF"/>
    <w:rsid w:val="009868FC"/>
    <w:rsid w:val="00986D78"/>
    <w:rsid w:val="00987FE0"/>
    <w:rsid w:val="00990566"/>
    <w:rsid w:val="00991A16"/>
    <w:rsid w:val="00991AA5"/>
    <w:rsid w:val="00992029"/>
    <w:rsid w:val="00993BEE"/>
    <w:rsid w:val="00995CC1"/>
    <w:rsid w:val="009961EE"/>
    <w:rsid w:val="0099682E"/>
    <w:rsid w:val="00996FC8"/>
    <w:rsid w:val="00997386"/>
    <w:rsid w:val="009A0BF1"/>
    <w:rsid w:val="009A23A4"/>
    <w:rsid w:val="009A2E64"/>
    <w:rsid w:val="009A3BAF"/>
    <w:rsid w:val="009A43AF"/>
    <w:rsid w:val="009A4914"/>
    <w:rsid w:val="009A4ED0"/>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5768"/>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284"/>
    <w:rsid w:val="00A3596C"/>
    <w:rsid w:val="00A36B1D"/>
    <w:rsid w:val="00A36D6B"/>
    <w:rsid w:val="00A36E14"/>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CAC"/>
    <w:rsid w:val="00AC6F04"/>
    <w:rsid w:val="00AC7080"/>
    <w:rsid w:val="00AC7204"/>
    <w:rsid w:val="00AD07F3"/>
    <w:rsid w:val="00AD1FB6"/>
    <w:rsid w:val="00AD20E2"/>
    <w:rsid w:val="00AD22B6"/>
    <w:rsid w:val="00AD2ADC"/>
    <w:rsid w:val="00AD2B54"/>
    <w:rsid w:val="00AD46E9"/>
    <w:rsid w:val="00AD5C38"/>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FFE"/>
    <w:rsid w:val="00B229D6"/>
    <w:rsid w:val="00B23CE9"/>
    <w:rsid w:val="00B24127"/>
    <w:rsid w:val="00B24658"/>
    <w:rsid w:val="00B25D81"/>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31F1"/>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19FB"/>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A"/>
    <w:rsid w:val="00C03981"/>
    <w:rsid w:val="00C04218"/>
    <w:rsid w:val="00C04F43"/>
    <w:rsid w:val="00C05103"/>
    <w:rsid w:val="00C0704F"/>
    <w:rsid w:val="00C07844"/>
    <w:rsid w:val="00C07AD3"/>
    <w:rsid w:val="00C100E8"/>
    <w:rsid w:val="00C10BBC"/>
    <w:rsid w:val="00C12C16"/>
    <w:rsid w:val="00C1369E"/>
    <w:rsid w:val="00C139C7"/>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2C75"/>
    <w:rsid w:val="00DF2DAE"/>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72523"/>
    <w:rsid w:val="00E73C65"/>
    <w:rsid w:val="00E741A1"/>
    <w:rsid w:val="00E743EC"/>
    <w:rsid w:val="00E74D5E"/>
    <w:rsid w:val="00E77ADD"/>
    <w:rsid w:val="00E83AD0"/>
    <w:rsid w:val="00E849FB"/>
    <w:rsid w:val="00E84AE9"/>
    <w:rsid w:val="00E865EA"/>
    <w:rsid w:val="00E912EB"/>
    <w:rsid w:val="00E91331"/>
    <w:rsid w:val="00E91337"/>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A7B45"/>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4F83"/>
    <w:rsid w:val="00F1522A"/>
    <w:rsid w:val="00F1579D"/>
    <w:rsid w:val="00F15AA1"/>
    <w:rsid w:val="00F167EB"/>
    <w:rsid w:val="00F16828"/>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67F8"/>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E333-EDD7-44AC-88E2-FA8C0953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2013-12-24T14:38:00Z</cp:lastPrinted>
  <dcterms:created xsi:type="dcterms:W3CDTF">2013-12-23T17:52:00Z</dcterms:created>
  <dcterms:modified xsi:type="dcterms:W3CDTF">2013-12-24T14:38:00Z</dcterms:modified>
</cp:coreProperties>
</file>