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012969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December 30, 2013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Docket No</w:t>
      </w:r>
      <w:r w:rsidR="00C2506C">
        <w:rPr>
          <w:sz w:val="21"/>
          <w:szCs w:val="21"/>
        </w:rPr>
        <w:t>s</w:t>
      </w:r>
      <w:r>
        <w:rPr>
          <w:sz w:val="21"/>
          <w:szCs w:val="21"/>
        </w:rPr>
        <w:t xml:space="preserve">. </w:t>
      </w:r>
      <w:r w:rsidR="00C2506C">
        <w:rPr>
          <w:sz w:val="21"/>
          <w:szCs w:val="21"/>
        </w:rPr>
        <w:t>A</w:t>
      </w:r>
      <w:r w:rsidR="0043103D">
        <w:rPr>
          <w:sz w:val="21"/>
          <w:szCs w:val="21"/>
        </w:rPr>
        <w:t>-</w:t>
      </w:r>
      <w:r w:rsidR="00C2506C">
        <w:rPr>
          <w:sz w:val="21"/>
          <w:szCs w:val="21"/>
        </w:rPr>
        <w:t>2013-2353647</w:t>
      </w:r>
    </w:p>
    <w:p w:rsidR="00C2506C" w:rsidRDefault="00C2506C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A-2013-2353649</w:t>
      </w:r>
    </w:p>
    <w:p w:rsidR="00C2506C" w:rsidRDefault="00C2506C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A-2013-2353651</w:t>
      </w:r>
    </w:p>
    <w:p w:rsidR="00B95A27" w:rsidRDefault="00B95A27" w:rsidP="00B45673">
      <w:pPr>
        <w:rPr>
          <w:sz w:val="21"/>
          <w:szCs w:val="21"/>
        </w:rPr>
      </w:pPr>
    </w:p>
    <w:p w:rsidR="00B45AC9" w:rsidRDefault="00C2506C" w:rsidP="00B45673">
      <w:pPr>
        <w:rPr>
          <w:sz w:val="21"/>
          <w:szCs w:val="21"/>
        </w:rPr>
      </w:pPr>
      <w:r>
        <w:rPr>
          <w:sz w:val="21"/>
          <w:szCs w:val="21"/>
        </w:rPr>
        <w:t>MICHAEL W GANG</w:t>
      </w:r>
    </w:p>
    <w:p w:rsidR="00C2506C" w:rsidRDefault="00C2506C" w:rsidP="00B45673">
      <w:pPr>
        <w:rPr>
          <w:sz w:val="21"/>
          <w:szCs w:val="21"/>
        </w:rPr>
      </w:pPr>
      <w:r>
        <w:rPr>
          <w:sz w:val="21"/>
          <w:szCs w:val="21"/>
        </w:rPr>
        <w:t>POST &amp; SCHELL</w:t>
      </w:r>
    </w:p>
    <w:p w:rsidR="00C2506C" w:rsidRDefault="00C2506C" w:rsidP="00B4567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C2506C" w:rsidRDefault="00C2506C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C2506C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C2506C" w:rsidRDefault="00C2506C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C2506C" w:rsidRPr="00AB60E6" w:rsidRDefault="00C2506C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2506C" w:rsidRDefault="00C2506C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C2506C">
        <w:rPr>
          <w:sz w:val="21"/>
          <w:szCs w:val="21"/>
        </w:rPr>
        <w:t>Peoples Natural Gas Company LLC – Supplement No. 29 to Tariff Gas – Pa. P.U.C. No. 45 and Supplement No. 13 to Tariff Gas – Pa. P.U.C. No. S-2; Compliance Filings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C2506C" w:rsidRDefault="00C2506C" w:rsidP="00B45673">
      <w:pPr>
        <w:rPr>
          <w:sz w:val="21"/>
          <w:szCs w:val="21"/>
        </w:rPr>
      </w:pPr>
    </w:p>
    <w:p w:rsidR="00C2506C" w:rsidRDefault="00C2506C" w:rsidP="00B45673">
      <w:pPr>
        <w:rPr>
          <w:sz w:val="21"/>
          <w:szCs w:val="21"/>
        </w:rPr>
      </w:pP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</w:t>
      </w:r>
      <w:r w:rsidR="00C2506C">
        <w:rPr>
          <w:sz w:val="21"/>
          <w:szCs w:val="21"/>
        </w:rPr>
        <w:t xml:space="preserve"> Mr. Gang: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C2506C">
        <w:rPr>
          <w:sz w:val="21"/>
          <w:szCs w:val="21"/>
        </w:rPr>
        <w:t>November 14, 2013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C2506C">
        <w:rPr>
          <w:sz w:val="21"/>
          <w:szCs w:val="21"/>
        </w:rPr>
        <w:t>Peoples Natural Gas Company LLC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</w:t>
      </w:r>
      <w:r w:rsidR="00C2506C">
        <w:rPr>
          <w:sz w:val="21"/>
          <w:szCs w:val="21"/>
        </w:rPr>
        <w:t>make certain changes in the Company’s tariff necessary to carry out the terms and conditions of the Joint Petition for Approval of Settlement of All Issues fi</w:t>
      </w:r>
      <w:r w:rsidR="00255B27">
        <w:rPr>
          <w:sz w:val="21"/>
          <w:szCs w:val="21"/>
        </w:rPr>
        <w:t xml:space="preserve">led in the above docketed </w:t>
      </w:r>
      <w:r w:rsidR="00C72C73">
        <w:rPr>
          <w:sz w:val="21"/>
          <w:szCs w:val="21"/>
        </w:rPr>
        <w:t>Joint Application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C2506C">
        <w:rPr>
          <w:sz w:val="21"/>
          <w:szCs w:val="21"/>
        </w:rPr>
        <w:t>December 17, 2013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C2506C">
        <w:rPr>
          <w:sz w:val="21"/>
          <w:szCs w:val="21"/>
        </w:rPr>
        <w:t>Supplement No. 29 to Tariff Gas – Pa. P.U.C. No. 45 and Supplement No. 13 to Tariff Gas – Pa. P.U.C. No. S-2</w:t>
      </w:r>
      <w:r w:rsidR="007C45BD">
        <w:rPr>
          <w:sz w:val="21"/>
          <w:szCs w:val="21"/>
        </w:rPr>
        <w:t>,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C2506C">
        <w:rPr>
          <w:sz w:val="21"/>
          <w:szCs w:val="21"/>
        </w:rPr>
        <w:t>December 18, 2013</w:t>
      </w:r>
      <w:r w:rsidR="00E8069B">
        <w:rPr>
          <w:sz w:val="21"/>
          <w:szCs w:val="21"/>
        </w:rPr>
        <w:t xml:space="preserve">.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C2506C">
        <w:rPr>
          <w:sz w:val="21"/>
          <w:szCs w:val="21"/>
        </w:rPr>
        <w:t>the supplements are</w:t>
      </w:r>
      <w:r w:rsidR="00A4155F">
        <w:rPr>
          <w:sz w:val="21"/>
          <w:szCs w:val="21"/>
        </w:rPr>
        <w:t xml:space="preserve"> effective by operation of law according to the effective dates contained on each page.  However, this is without prejudice to any formal complaints timely filed against said tariff revision</w:t>
      </w:r>
      <w:r w:rsidR="00C2506C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012969" w:rsidP="00DD2FE2">
      <w:pPr>
        <w:rPr>
          <w:sz w:val="21"/>
          <w:szCs w:val="21"/>
        </w:rPr>
      </w:pPr>
      <w:bookmarkStart w:id="0" w:name="_GoBack"/>
      <w:r w:rsidRPr="00D43764">
        <w:drawing>
          <wp:anchor distT="0" distB="0" distL="114300" distR="114300" simplePos="0" relativeHeight="251659264" behindDoc="1" locked="0" layoutInCell="1" allowOverlap="1" wp14:anchorId="543E5BCD" wp14:editId="77549C10">
            <wp:simplePos x="0" y="0"/>
            <wp:positionH relativeFrom="column">
              <wp:posOffset>3078480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7A" w:rsidRDefault="00943F7A">
      <w:r>
        <w:separator/>
      </w:r>
    </w:p>
  </w:endnote>
  <w:endnote w:type="continuationSeparator" w:id="0">
    <w:p w:rsidR="00943F7A" w:rsidRDefault="009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7A" w:rsidRDefault="00943F7A">
      <w:r>
        <w:separator/>
      </w:r>
    </w:p>
  </w:footnote>
  <w:footnote w:type="continuationSeparator" w:id="0">
    <w:p w:rsidR="00943F7A" w:rsidRDefault="0094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12969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7C45BD"/>
    <w:rsid w:val="00826337"/>
    <w:rsid w:val="00873C66"/>
    <w:rsid w:val="008A4C7A"/>
    <w:rsid w:val="008C4062"/>
    <w:rsid w:val="008D31D7"/>
    <w:rsid w:val="00920579"/>
    <w:rsid w:val="00926F9A"/>
    <w:rsid w:val="00943F7A"/>
    <w:rsid w:val="00946C8F"/>
    <w:rsid w:val="009527F2"/>
    <w:rsid w:val="00953D93"/>
    <w:rsid w:val="009963A1"/>
    <w:rsid w:val="009D51DE"/>
    <w:rsid w:val="009E0384"/>
    <w:rsid w:val="009E0D89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2506C"/>
    <w:rsid w:val="00C72C73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6</cp:revision>
  <cp:lastPrinted>2013-12-30T14:34:00Z</cp:lastPrinted>
  <dcterms:created xsi:type="dcterms:W3CDTF">2013-12-19T21:55:00Z</dcterms:created>
  <dcterms:modified xsi:type="dcterms:W3CDTF">2013-12-30T14:35:00Z</dcterms:modified>
</cp:coreProperties>
</file>