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A27679" w:rsidP="00CF4780">
      <w:r>
        <w:t>Jason T. Perry</w:t>
      </w:r>
      <w:r>
        <w:tab/>
      </w:r>
      <w:r w:rsidR="00A74FBF">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0962F2">
        <w:t>Docket No. C-201</w:t>
      </w:r>
      <w:r w:rsidR="00A74FBF">
        <w:t>3-</w:t>
      </w:r>
      <w:r w:rsidR="00A27679">
        <w:t>2393169</w:t>
      </w:r>
    </w:p>
    <w:p w:rsidR="00CF4780" w:rsidRDefault="00CF4780" w:rsidP="00CF4780">
      <w:r>
        <w:tab/>
      </w:r>
      <w:r>
        <w:tab/>
      </w:r>
      <w:r>
        <w:tab/>
      </w:r>
      <w:r>
        <w:tab/>
      </w:r>
      <w:r>
        <w:tab/>
      </w:r>
      <w:r>
        <w:tab/>
        <w:t>:</w:t>
      </w:r>
    </w:p>
    <w:p w:rsidR="00CF4780" w:rsidRDefault="00A27679" w:rsidP="00CF4780">
      <w:r>
        <w:t>West Penn Power Company</w:t>
      </w:r>
      <w:r>
        <w:tab/>
      </w:r>
      <w:r w:rsidR="00CF4780">
        <w:tab/>
      </w:r>
      <w:r w:rsidR="00CF4780">
        <w:tab/>
        <w:t>:</w:t>
      </w:r>
    </w:p>
    <w:p w:rsidR="00CF4780" w:rsidRDefault="00CF4780" w:rsidP="00CF4780"/>
    <w:p w:rsidR="00CF4780" w:rsidRDefault="00CF4780" w:rsidP="00CF4780"/>
    <w:p w:rsidR="002B0A5C" w:rsidRDefault="002B0A5C" w:rsidP="00CF4780"/>
    <w:p w:rsidR="00396857" w:rsidRDefault="003B617B" w:rsidP="00396857">
      <w:pPr>
        <w:tabs>
          <w:tab w:val="left" w:pos="3780"/>
          <w:tab w:val="center" w:pos="4680"/>
        </w:tabs>
        <w:suppressAutoHyphens/>
        <w:jc w:val="center"/>
        <w:rPr>
          <w:b/>
          <w:bCs/>
          <w:spacing w:val="-3"/>
          <w:u w:val="single"/>
        </w:rPr>
      </w:pPr>
      <w:r>
        <w:rPr>
          <w:b/>
          <w:bCs/>
          <w:spacing w:val="-3"/>
          <w:u w:val="single"/>
        </w:rPr>
        <w:t xml:space="preserve">ORDER DENYING </w:t>
      </w:r>
      <w:r w:rsidR="00396857">
        <w:rPr>
          <w:b/>
          <w:bCs/>
          <w:spacing w:val="-3"/>
          <w:u w:val="single"/>
        </w:rPr>
        <w:t xml:space="preserve">PRELIMINARY OBJECTIONS </w:t>
      </w:r>
    </w:p>
    <w:p w:rsidR="00396857" w:rsidRDefault="00396857" w:rsidP="00396857">
      <w:pPr>
        <w:tabs>
          <w:tab w:val="center" w:pos="4680"/>
        </w:tabs>
        <w:suppressAutoHyphens/>
        <w:jc w:val="center"/>
        <w:rPr>
          <w:b/>
          <w:bCs/>
          <w:spacing w:val="-3"/>
          <w:u w:val="single"/>
        </w:rPr>
      </w:pPr>
    </w:p>
    <w:p w:rsidR="00396857" w:rsidRDefault="00396857" w:rsidP="00396857">
      <w:pPr>
        <w:tabs>
          <w:tab w:val="center" w:pos="4680"/>
        </w:tabs>
        <w:suppressAutoHyphens/>
        <w:jc w:val="center"/>
        <w:rPr>
          <w:b/>
          <w:bCs/>
          <w:spacing w:val="-3"/>
          <w:u w:val="single"/>
        </w:rPr>
      </w:pPr>
    </w:p>
    <w:p w:rsidR="00396857" w:rsidRDefault="00396857" w:rsidP="00396857">
      <w:pPr>
        <w:tabs>
          <w:tab w:val="center" w:pos="4680"/>
        </w:tabs>
        <w:suppressAutoHyphens/>
        <w:jc w:val="center"/>
        <w:outlineLvl w:val="0"/>
        <w:rPr>
          <w:bCs/>
          <w:spacing w:val="-3"/>
          <w:u w:val="single"/>
        </w:rPr>
      </w:pPr>
      <w:r>
        <w:rPr>
          <w:bCs/>
          <w:spacing w:val="-3"/>
          <w:u w:val="single"/>
        </w:rPr>
        <w:t>HISTORY OF THE PROCEEDING</w:t>
      </w:r>
    </w:p>
    <w:p w:rsidR="00396857" w:rsidRDefault="00396857" w:rsidP="00396857">
      <w:pPr>
        <w:pStyle w:val="ParaTab1"/>
        <w:tabs>
          <w:tab w:val="left" w:pos="2070"/>
        </w:tabs>
        <w:ind w:firstLine="0"/>
        <w:rPr>
          <w:rFonts w:ascii="Times New Roman" w:hAnsi="Times New Roman" w:cs="Times New Roman"/>
        </w:rPr>
      </w:pPr>
    </w:p>
    <w:p w:rsidR="00A74FBF" w:rsidRDefault="00A74FBF" w:rsidP="00CF4780">
      <w:pPr>
        <w:jc w:val="center"/>
        <w:rPr>
          <w:b/>
        </w:rPr>
      </w:pPr>
    </w:p>
    <w:p w:rsidR="00396857" w:rsidRDefault="00396857" w:rsidP="00CF4780">
      <w:pPr>
        <w:spacing w:line="360" w:lineRule="auto"/>
      </w:pPr>
      <w:r>
        <w:tab/>
      </w:r>
      <w:r>
        <w:tab/>
        <w:t xml:space="preserve">On </w:t>
      </w:r>
      <w:r w:rsidR="00A27679">
        <w:t>November 18, 2013</w:t>
      </w:r>
      <w:r>
        <w:t xml:space="preserve">, </w:t>
      </w:r>
      <w:r w:rsidR="00A27679">
        <w:t>Jason T. Perry</w:t>
      </w:r>
      <w:r>
        <w:t xml:space="preserve"> (Complainant) </w:t>
      </w:r>
      <w:r>
        <w:rPr>
          <w:i/>
        </w:rPr>
        <w:t>pro se</w:t>
      </w:r>
      <w:r>
        <w:t xml:space="preserve"> filed a formal Complaint (Complaint) against </w:t>
      </w:r>
      <w:r w:rsidR="00A27679">
        <w:t>West Penn Power Company (West Penn</w:t>
      </w:r>
      <w:r>
        <w:t xml:space="preserve"> or Respondent) with the Pennsylvania Public Utility Commission at Docket No. C-2013-23</w:t>
      </w:r>
      <w:r w:rsidR="00A27679">
        <w:t>93169</w:t>
      </w:r>
      <w:r>
        <w:t xml:space="preserve">. </w:t>
      </w:r>
    </w:p>
    <w:p w:rsidR="00396857" w:rsidRDefault="00396857" w:rsidP="00CF4780">
      <w:pPr>
        <w:spacing w:line="360" w:lineRule="auto"/>
      </w:pPr>
    </w:p>
    <w:p w:rsidR="00A27679" w:rsidRDefault="00396857" w:rsidP="00CF4780">
      <w:pPr>
        <w:spacing w:line="360" w:lineRule="auto"/>
      </w:pPr>
      <w:r>
        <w:tab/>
      </w:r>
      <w:r>
        <w:tab/>
        <w:t xml:space="preserve">Complainant avers </w:t>
      </w:r>
      <w:r w:rsidR="00A27679">
        <w:t>that Respondent is threatening to shut off his service or has already shut off his service.  He further avers that incorrect charges are on his bill and that he is having a reliability,</w:t>
      </w:r>
      <w:r w:rsidR="00EA1742">
        <w:t xml:space="preserve"> </w:t>
      </w:r>
      <w:r w:rsidR="00A27679">
        <w:t>safety</w:t>
      </w:r>
      <w:r w:rsidR="00EA1742">
        <w:t>,</w:t>
      </w:r>
      <w:r w:rsidR="00A27679">
        <w:t xml:space="preserve"> or quality problem with his service.  </w:t>
      </w:r>
      <w:r w:rsidR="00EA1742">
        <w:t xml:space="preserve">Complaint at 2.  </w:t>
      </w:r>
      <w:r w:rsidR="00A27679">
        <w:t xml:space="preserve">Although Complainant is not specific about the details in his complaint, he requests an audit of both of his electric accounts at his current address and a “reimbursement of frivolous/illegal charges.”  Complaint at 3.  This is a timely appeal of a Bureau of Consumer Services (BCS) decision dated November 13, 2013 at Case No. 3113790.  </w:t>
      </w:r>
    </w:p>
    <w:p w:rsidR="00E95F73" w:rsidRDefault="00E95F73" w:rsidP="00CF4780">
      <w:pPr>
        <w:spacing w:line="360" w:lineRule="auto"/>
      </w:pPr>
    </w:p>
    <w:p w:rsidR="00E95F73" w:rsidRDefault="003B617B" w:rsidP="00E95F73">
      <w:pPr>
        <w:spacing w:line="360" w:lineRule="auto"/>
      </w:pPr>
      <w:r>
        <w:tab/>
      </w:r>
      <w:r>
        <w:tab/>
      </w:r>
      <w:r w:rsidR="00E95F73">
        <w:t>The Complaint was served upon West Penn on November 19, 2013.</w:t>
      </w:r>
    </w:p>
    <w:p w:rsidR="00573434" w:rsidRDefault="003B617B" w:rsidP="00CF4780">
      <w:pPr>
        <w:spacing w:line="360" w:lineRule="auto"/>
      </w:pPr>
      <w:r>
        <w:t xml:space="preserve">Respondent filed an Answer and New Matter as well as Preliminary Objections on </w:t>
      </w:r>
      <w:r w:rsidR="00A27679">
        <w:t>December 9, 2013,</w:t>
      </w:r>
      <w:r>
        <w:t xml:space="preserve"> </w:t>
      </w:r>
      <w:r w:rsidR="00A27679">
        <w:t xml:space="preserve">admitting that service at the residence was </w:t>
      </w:r>
      <w:r w:rsidR="00573434">
        <w:t>provided to</w:t>
      </w:r>
      <w:r w:rsidR="00A27679">
        <w:t xml:space="preserve"> </w:t>
      </w:r>
      <w:r w:rsidR="00573434">
        <w:t>Complainant</w:t>
      </w:r>
      <w:r w:rsidR="00A27679">
        <w:t xml:space="preserve"> </w:t>
      </w:r>
      <w:r w:rsidR="00384388">
        <w:t xml:space="preserve">in his name </w:t>
      </w:r>
      <w:r w:rsidR="00573434">
        <w:t>from</w:t>
      </w:r>
      <w:r w:rsidR="00A27679">
        <w:t xml:space="preserve"> June 5, 2012</w:t>
      </w:r>
      <w:r w:rsidR="00573434">
        <w:t xml:space="preserve"> through June 21, 2013, when service was terminated for non-payment.  When Complainant contacted BCS on June 21, 2013, service was restored on the same date.  Respondent avers service is now in the name of </w:t>
      </w:r>
      <w:r w:rsidR="00EA1742">
        <w:t>Thomas Bogacki.  T</w:t>
      </w:r>
      <w:r w:rsidR="00573434">
        <w:t xml:space="preserve">he </w:t>
      </w:r>
      <w:r w:rsidR="00573434">
        <w:lastRenderedPageBreak/>
        <w:t xml:space="preserve">Company </w:t>
      </w:r>
      <w:r w:rsidR="00EA1742">
        <w:t xml:space="preserve">avers that it </w:t>
      </w:r>
      <w:r w:rsidR="00573434">
        <w:t xml:space="preserve">concluded an investigation into </w:t>
      </w:r>
      <w:r w:rsidR="00384388">
        <w:t>Complainant’s</w:t>
      </w:r>
      <w:r w:rsidR="00573434">
        <w:t xml:space="preserve"> </w:t>
      </w:r>
      <w:r w:rsidR="00E95F73">
        <w:t>“</w:t>
      </w:r>
      <w:r w:rsidR="00573434">
        <w:t>shared meter</w:t>
      </w:r>
      <w:r w:rsidR="00E95F73">
        <w:t>”</w:t>
      </w:r>
      <w:r w:rsidR="00573434">
        <w:t xml:space="preserve"> allegation and found a “shared meter” situation existed on or about November 25, 2013.  The Company is willing to work with Complainant to have service transferred back into </w:t>
      </w:r>
      <w:r w:rsidR="00384388">
        <w:t>Complainant’s</w:t>
      </w:r>
      <w:r w:rsidR="00573434">
        <w:t xml:space="preserve"> name consistent with the provisions of 66 Pa. C.S. § 1529.1.  The Company denied frivolous or illegal charges on Complainant’s account.  The Company requests </w:t>
      </w:r>
      <w:r w:rsidR="00384388">
        <w:t>the case be dismissed for lack of standing</w:t>
      </w:r>
      <w:r w:rsidR="00E95F73">
        <w:t xml:space="preserve"> regarding the account prior to June 5, 2012</w:t>
      </w:r>
      <w:r w:rsidR="00384388">
        <w:t xml:space="preserve"> or, in the alternative, </w:t>
      </w:r>
      <w:r w:rsidR="00573434">
        <w:t xml:space="preserve">that the case be referred to the Office of Administrative Law Judge’s Mediation Unit.  </w:t>
      </w:r>
      <w:r w:rsidR="00384388">
        <w:t xml:space="preserve"> </w:t>
      </w:r>
    </w:p>
    <w:p w:rsidR="00573434" w:rsidRDefault="00573434" w:rsidP="00CF4780">
      <w:pPr>
        <w:spacing w:line="360" w:lineRule="auto"/>
      </w:pPr>
    </w:p>
    <w:p w:rsidR="000962F2" w:rsidRPr="007F27A1" w:rsidRDefault="00573434" w:rsidP="00384388">
      <w:pPr>
        <w:spacing w:line="360" w:lineRule="auto"/>
      </w:pPr>
      <w:r>
        <w:tab/>
      </w:r>
      <w:r>
        <w:tab/>
      </w:r>
      <w:r w:rsidR="00384388">
        <w:t>No Answer to the New Matter has been filed and more than 20 days have elapsed.  West Penn</w:t>
      </w:r>
      <w:r w:rsidR="00396857">
        <w:t>’</w:t>
      </w:r>
      <w:r w:rsidR="00384388">
        <w:t>s</w:t>
      </w:r>
      <w:r w:rsidR="000962F2" w:rsidRPr="007F27A1">
        <w:t xml:space="preserve"> Preliminary Objections are ripe for a decision.</w:t>
      </w:r>
    </w:p>
    <w:p w:rsidR="000962F2" w:rsidRPr="007F27A1" w:rsidRDefault="000962F2" w:rsidP="000962F2">
      <w:pPr>
        <w:spacing w:line="360" w:lineRule="auto"/>
        <w:jc w:val="center"/>
        <w:rPr>
          <w:u w:val="single"/>
        </w:rPr>
      </w:pPr>
    </w:p>
    <w:p w:rsidR="004D6973" w:rsidRDefault="004D6973" w:rsidP="004D6973">
      <w:pPr>
        <w:spacing w:line="360" w:lineRule="auto"/>
        <w:jc w:val="center"/>
        <w:rPr>
          <w:u w:val="single"/>
        </w:rPr>
      </w:pPr>
      <w:r>
        <w:rPr>
          <w:u w:val="single"/>
        </w:rPr>
        <w:t>DISCUSSION</w:t>
      </w:r>
    </w:p>
    <w:p w:rsidR="004D6973" w:rsidRDefault="004D6973" w:rsidP="004D6973">
      <w:pPr>
        <w:spacing w:line="360" w:lineRule="auto"/>
        <w:jc w:val="center"/>
        <w:rPr>
          <w:u w:val="single"/>
        </w:rPr>
      </w:pPr>
    </w:p>
    <w:p w:rsidR="004D6973" w:rsidRDefault="004D6973" w:rsidP="004D6973">
      <w:pPr>
        <w:spacing w:line="360" w:lineRule="auto"/>
      </w:pPr>
      <w:r>
        <w:tab/>
      </w:r>
      <w:r>
        <w:tab/>
        <w:t xml:space="preserve">Preliminary objections are appropriate under Commission regulations.  52 Pa. Code § 5.101.  Commission preliminary objection practice is similar to </w:t>
      </w:r>
      <w:smartTag w:uri="urn:schemas-microsoft-com:office:smarttags" w:element="place">
        <w:smartTag w:uri="urn:schemas-microsoft-com:office:smarttags" w:element="State">
          <w:r>
            <w:t>Pennsylvania</w:t>
          </w:r>
        </w:smartTag>
      </w:smartTag>
      <w:r>
        <w:t xml:space="preserve"> civil practice respecting the filing of preliminary objections.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C-000935435 (July 18, 1994).    </w:t>
      </w:r>
    </w:p>
    <w:p w:rsidR="004D6973" w:rsidRDefault="004D6973" w:rsidP="004D6973">
      <w:pPr>
        <w:spacing w:line="360" w:lineRule="auto"/>
      </w:pPr>
    </w:p>
    <w:p w:rsidR="004D6973" w:rsidRDefault="004D6973" w:rsidP="004D6973">
      <w:pPr>
        <w:spacing w:line="360" w:lineRule="auto"/>
        <w:ind w:left="720" w:firstLine="720"/>
      </w:pPr>
      <w:r>
        <w:t>Preliminary objections are limited to the following:</w:t>
      </w:r>
    </w:p>
    <w:p w:rsidR="004D6973" w:rsidRDefault="004D6973" w:rsidP="004D6973">
      <w:pPr>
        <w:spacing w:line="360" w:lineRule="auto"/>
      </w:pPr>
    </w:p>
    <w:p w:rsidR="004D6973" w:rsidRDefault="004D6973" w:rsidP="004D6973">
      <w:pPr>
        <w:ind w:left="1440" w:right="1440"/>
        <w:rPr>
          <w:b/>
        </w:rPr>
      </w:pPr>
      <w:r>
        <w:rPr>
          <w:b/>
        </w:rPr>
        <w:t>§ 5.101.  Preliminary objections.</w:t>
      </w:r>
    </w:p>
    <w:p w:rsidR="004D6973" w:rsidRDefault="004D6973" w:rsidP="004D6973">
      <w:pPr>
        <w:ind w:left="1440" w:right="1440"/>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D6973" w:rsidRDefault="004D6973" w:rsidP="004D6973">
      <w:pPr>
        <w:ind w:left="1440" w:right="1440"/>
        <w:rPr>
          <w:i/>
        </w:rPr>
      </w:pPr>
    </w:p>
    <w:p w:rsidR="004D6973" w:rsidRDefault="004D6973" w:rsidP="004D6973">
      <w:pPr>
        <w:ind w:left="1440" w:right="1440"/>
      </w:pPr>
      <w:r>
        <w:t>(1)  Lack of Commission jurisdiction or improper service of the pleading initiating the proceeding.</w:t>
      </w:r>
    </w:p>
    <w:p w:rsidR="004D6973" w:rsidRDefault="004D6973" w:rsidP="004D6973">
      <w:pPr>
        <w:ind w:left="1440" w:right="1440"/>
      </w:pPr>
    </w:p>
    <w:p w:rsidR="004D6973" w:rsidRDefault="004D6973" w:rsidP="004D6973">
      <w:pPr>
        <w:ind w:left="1440" w:right="1440"/>
      </w:pPr>
      <w:r>
        <w:t>(2)  Failure of a pleading to conform to this chapter or the inclusion of scandalous or impertinent matter.</w:t>
      </w:r>
    </w:p>
    <w:p w:rsidR="004D6973" w:rsidRDefault="004D6973" w:rsidP="004D6973">
      <w:pPr>
        <w:ind w:left="1440" w:right="1440"/>
      </w:pPr>
    </w:p>
    <w:p w:rsidR="004D6973" w:rsidRDefault="004D6973" w:rsidP="004D6973">
      <w:pPr>
        <w:ind w:left="1440" w:right="1440"/>
      </w:pPr>
      <w:r>
        <w:t>(3)  Insufficient specificity of a pleading.</w:t>
      </w:r>
    </w:p>
    <w:p w:rsidR="004D6973" w:rsidRDefault="004D6973" w:rsidP="004D6973">
      <w:pPr>
        <w:ind w:left="1440" w:right="1440"/>
      </w:pPr>
    </w:p>
    <w:p w:rsidR="004D6973" w:rsidRDefault="004D6973" w:rsidP="004D6973">
      <w:pPr>
        <w:ind w:left="1440" w:right="1440"/>
      </w:pPr>
      <w:r>
        <w:t>(4)  Legal insufficiency of a pleading.</w:t>
      </w:r>
    </w:p>
    <w:p w:rsidR="004D6973" w:rsidRDefault="004D6973" w:rsidP="004D6973">
      <w:pPr>
        <w:ind w:left="1440" w:right="1440"/>
      </w:pPr>
    </w:p>
    <w:p w:rsidR="004D6973" w:rsidRDefault="004D6973" w:rsidP="004D6973">
      <w:pPr>
        <w:ind w:left="1440" w:right="1440"/>
      </w:pPr>
      <w:r>
        <w:t>(5) Lack of capacity to sue, nonjoinder of a necessary party or misjoinder of a cause of action.</w:t>
      </w:r>
    </w:p>
    <w:p w:rsidR="004D6973" w:rsidRDefault="004D6973" w:rsidP="004D6973">
      <w:pPr>
        <w:ind w:left="1440" w:right="1440"/>
      </w:pPr>
    </w:p>
    <w:p w:rsidR="004D6973" w:rsidRDefault="004D6973" w:rsidP="004D6973">
      <w:pPr>
        <w:ind w:left="1440" w:right="1440"/>
      </w:pPr>
      <w:r>
        <w:t>(6)  Pendency of a prior proceeding or agreement for alternative dispute resolution.</w:t>
      </w:r>
    </w:p>
    <w:p w:rsidR="004D6973" w:rsidRPr="00D10A1C" w:rsidRDefault="004D6973" w:rsidP="004D6973">
      <w:pPr>
        <w:ind w:left="1440" w:right="1440"/>
        <w:jc w:val="center"/>
      </w:pPr>
      <w:r>
        <w:t xml:space="preserve">* * * </w:t>
      </w:r>
    </w:p>
    <w:p w:rsidR="004D6973" w:rsidRDefault="004D6973" w:rsidP="004D6973">
      <w:pPr>
        <w:ind w:left="1440" w:right="1440"/>
      </w:pPr>
      <w:r>
        <w:t xml:space="preserve">52 Pa. Code § 5.101(a).  </w:t>
      </w:r>
    </w:p>
    <w:p w:rsidR="004D6973" w:rsidRDefault="004D6973" w:rsidP="004D6973">
      <w:pPr>
        <w:spacing w:line="360" w:lineRule="auto"/>
      </w:pPr>
      <w:r>
        <w:tab/>
      </w:r>
      <w:r>
        <w:tab/>
      </w:r>
    </w:p>
    <w:p w:rsidR="004D6973" w:rsidRDefault="004D6973" w:rsidP="004D6973">
      <w:pPr>
        <w:spacing w:line="360" w:lineRule="auto"/>
      </w:pPr>
      <w:r>
        <w:tab/>
      </w:r>
      <w:r>
        <w:tab/>
        <w:t xml:space="preserve">When considering the preliminary objection, the Commission must determine “whether the law says with certainty, based on well-pleading factual averments . . . that no recovery or relief is possible.  </w:t>
      </w:r>
      <w:r>
        <w:rPr>
          <w:i/>
        </w:rPr>
        <w:t xml:space="preserve">P. J. S. v. Pa. State Ethics Commission, </w:t>
      </w:r>
      <w:r>
        <w:t xml:space="preserve">669 A.2d 1105 (Pa. Cmwlth. 1996).  Any doubt must be resolved in favor of the non-moving party by refusing to sustain the preliminary objections.  </w:t>
      </w:r>
      <w:r>
        <w:rPr>
          <w:i/>
        </w:rPr>
        <w:t xml:space="preserve">Boyd v. Ward, </w:t>
      </w:r>
      <w:r>
        <w:t xml:space="preserve">802 A.2d 705 (Pa. Cmwlth. 2002).”  </w:t>
      </w:r>
      <w:r w:rsidRPr="00F87999">
        <w:rPr>
          <w:i/>
        </w:rPr>
        <w:t xml:space="preserve">Dept. of Auditor General, et al. v. State Employees’ Retirement System, et al., </w:t>
      </w:r>
      <w:r>
        <w:t xml:space="preserve">836 A.2d 1053, 1064 (Pa. Cmwlth. 2003).  </w:t>
      </w:r>
      <w:r>
        <w:rPr>
          <w:i/>
        </w:rPr>
        <w:t xml:space="preserve"> </w:t>
      </w:r>
    </w:p>
    <w:p w:rsidR="004D6973" w:rsidRDefault="004D6973" w:rsidP="004D6973">
      <w:pPr>
        <w:spacing w:line="360" w:lineRule="auto"/>
      </w:pPr>
    </w:p>
    <w:p w:rsidR="004D6973" w:rsidRPr="007F27A1" w:rsidRDefault="004D6973" w:rsidP="004D6973">
      <w:pPr>
        <w:tabs>
          <w:tab w:val="left" w:pos="-1440"/>
          <w:tab w:val="left" w:pos="-720"/>
        </w:tabs>
        <w:suppressAutoHyphens/>
        <w:spacing w:line="360" w:lineRule="auto"/>
        <w:ind w:firstLine="1440"/>
      </w:pPr>
      <w:r w:rsidRPr="007F27A1">
        <w:t xml:space="preserve">Commission preliminary motion practice is comparable to Pennsylvania civil practice respecting the filing of preliminary objections.  </w:t>
      </w:r>
      <w:r w:rsidRPr="007F27A1">
        <w:rPr>
          <w:i/>
        </w:rPr>
        <w:t xml:space="preserve">Equitable Small Transportation Intervenors v. Equitable Gas Company, </w:t>
      </w:r>
      <w:r w:rsidRPr="007F27A1">
        <w:t>1994 Pa. PUC LEXIS 69, Docket No. C-00935435 (July 18, 1994).</w:t>
      </w:r>
    </w:p>
    <w:p w:rsidR="004D6973" w:rsidRDefault="004D6973" w:rsidP="004D6973">
      <w:pPr>
        <w:tabs>
          <w:tab w:val="left" w:pos="-1440"/>
          <w:tab w:val="left" w:pos="-720"/>
        </w:tabs>
        <w:suppressAutoHyphens/>
        <w:spacing w:line="360" w:lineRule="auto"/>
        <w:ind w:firstLine="1440"/>
      </w:pPr>
    </w:p>
    <w:p w:rsidR="004D6973" w:rsidRPr="007F27A1" w:rsidRDefault="004D6973" w:rsidP="004D6973">
      <w:pPr>
        <w:tabs>
          <w:tab w:val="left" w:pos="-1440"/>
          <w:tab w:val="left" w:pos="-720"/>
        </w:tabs>
        <w:suppressAutoHyphens/>
        <w:spacing w:line="360" w:lineRule="auto"/>
        <w:ind w:firstLine="1440"/>
      </w:pPr>
      <w:r w:rsidRPr="007F27A1">
        <w:t>The Commission’s regulations provide in pertinent part:</w:t>
      </w:r>
    </w:p>
    <w:p w:rsidR="004D6973" w:rsidRPr="007F27A1" w:rsidRDefault="004D6973" w:rsidP="004D6973">
      <w:pPr>
        <w:tabs>
          <w:tab w:val="left" w:pos="-1440"/>
          <w:tab w:val="left" w:pos="-720"/>
        </w:tabs>
        <w:suppressAutoHyphens/>
        <w:spacing w:line="360" w:lineRule="auto"/>
        <w:ind w:firstLine="1440"/>
      </w:pPr>
    </w:p>
    <w:p w:rsidR="004D6973" w:rsidRPr="007F27A1" w:rsidRDefault="004D6973" w:rsidP="004D6973">
      <w:pPr>
        <w:tabs>
          <w:tab w:val="left" w:pos="-1440"/>
          <w:tab w:val="left" w:pos="-720"/>
        </w:tabs>
        <w:suppressAutoHyphens/>
        <w:ind w:left="720" w:right="720"/>
      </w:pPr>
      <w:r>
        <w:tab/>
      </w:r>
      <w:r w:rsidRPr="007F27A1">
        <w:t>(a)</w:t>
      </w:r>
      <w:r w:rsidRPr="007F27A1">
        <w:tab/>
        <w:t xml:space="preserve">A preliminary motion is available to participants.  The </w:t>
      </w:r>
      <w:r w:rsidRPr="007F27A1">
        <w:tab/>
      </w:r>
      <w:r w:rsidRPr="007F27A1">
        <w:tab/>
      </w:r>
      <w:r w:rsidRPr="007F27A1">
        <w:tab/>
        <w:t xml:space="preserve">preliminary motion shall state specifically the grounds </w:t>
      </w:r>
      <w:r>
        <w:tab/>
      </w:r>
      <w:r>
        <w:tab/>
      </w:r>
      <w:r>
        <w:tab/>
      </w:r>
      <w:r w:rsidRPr="007F27A1">
        <w:t xml:space="preserve">relied upon, the standing of the party and shall be limited to </w:t>
      </w:r>
      <w:r>
        <w:tab/>
      </w:r>
      <w:r>
        <w:tab/>
      </w:r>
      <w:r w:rsidRPr="007F27A1">
        <w:t>the following:</w:t>
      </w:r>
    </w:p>
    <w:p w:rsidR="004D6973" w:rsidRPr="007F27A1" w:rsidRDefault="004D6973" w:rsidP="004D6973">
      <w:pPr>
        <w:tabs>
          <w:tab w:val="left" w:pos="-1440"/>
          <w:tab w:val="left" w:pos="-720"/>
        </w:tabs>
        <w:suppressAutoHyphens/>
        <w:ind w:left="720" w:right="720" w:firstLine="1440"/>
      </w:pPr>
      <w:r w:rsidRPr="007F27A1">
        <w:tab/>
      </w:r>
    </w:p>
    <w:p w:rsidR="004D6973" w:rsidRPr="007F27A1" w:rsidRDefault="004D6973" w:rsidP="004D6973">
      <w:pPr>
        <w:tabs>
          <w:tab w:val="left" w:pos="-1440"/>
          <w:tab w:val="left" w:pos="-720"/>
        </w:tabs>
        <w:suppressAutoHyphens/>
        <w:ind w:left="720" w:right="720" w:firstLine="1440"/>
      </w:pPr>
      <w:r w:rsidRPr="007F27A1">
        <w:t xml:space="preserve">(1) </w:t>
      </w:r>
      <w:r w:rsidRPr="007F27A1">
        <w:tab/>
        <w:t xml:space="preserve">A motion questioning the jurisdiction of the </w:t>
      </w:r>
      <w:r w:rsidRPr="007F27A1">
        <w:tab/>
      </w:r>
      <w:r w:rsidRPr="007F27A1">
        <w:tab/>
      </w:r>
      <w:r w:rsidRPr="007F27A1">
        <w:tab/>
      </w:r>
      <w:r w:rsidRPr="007F27A1">
        <w:tab/>
      </w:r>
      <w:r w:rsidRPr="007F27A1">
        <w:tab/>
        <w:t>Commission.</w:t>
      </w:r>
    </w:p>
    <w:p w:rsidR="004D6973" w:rsidRPr="007F27A1" w:rsidRDefault="004D6973" w:rsidP="004D6973">
      <w:pPr>
        <w:tabs>
          <w:tab w:val="left" w:pos="-1440"/>
          <w:tab w:val="left" w:pos="-720"/>
        </w:tabs>
        <w:suppressAutoHyphens/>
        <w:ind w:left="720" w:right="720" w:firstLine="1440"/>
      </w:pPr>
    </w:p>
    <w:p w:rsidR="004D6973" w:rsidRPr="007F27A1" w:rsidRDefault="004D6973" w:rsidP="004D6973">
      <w:pPr>
        <w:ind w:left="1440" w:right="1440"/>
      </w:pPr>
      <w:r>
        <w:tab/>
        <w:t>(3</w:t>
      </w:r>
      <w:r w:rsidRPr="007F27A1">
        <w:t>)</w:t>
      </w:r>
      <w:r w:rsidRPr="007F27A1">
        <w:tab/>
        <w:t>Insufficient specificity of a pleading.</w:t>
      </w:r>
    </w:p>
    <w:p w:rsidR="004D6973" w:rsidRPr="007F27A1" w:rsidRDefault="004D6973" w:rsidP="004D6973">
      <w:pPr>
        <w:tabs>
          <w:tab w:val="left" w:pos="-1440"/>
          <w:tab w:val="left" w:pos="-720"/>
        </w:tabs>
        <w:suppressAutoHyphens/>
        <w:ind w:left="720" w:right="720" w:firstLine="1440"/>
      </w:pPr>
    </w:p>
    <w:p w:rsidR="004D6973" w:rsidRPr="007F27A1" w:rsidRDefault="004D6973" w:rsidP="004D6973">
      <w:pPr>
        <w:tabs>
          <w:tab w:val="left" w:pos="-1440"/>
          <w:tab w:val="left" w:pos="-720"/>
        </w:tabs>
        <w:suppressAutoHyphens/>
        <w:ind w:left="720" w:right="720" w:firstLine="1440"/>
      </w:pPr>
      <w:r>
        <w:lastRenderedPageBreak/>
        <w:t>(4</w:t>
      </w:r>
      <w:r w:rsidRPr="007F27A1">
        <w:t>)</w:t>
      </w:r>
      <w:r w:rsidRPr="007F27A1">
        <w:tab/>
        <w:t>Legal insufficiency of a pleading.</w:t>
      </w:r>
    </w:p>
    <w:p w:rsidR="004D6973" w:rsidRPr="007F27A1" w:rsidRDefault="004D6973" w:rsidP="004D6973">
      <w:pPr>
        <w:tabs>
          <w:tab w:val="left" w:pos="-1440"/>
          <w:tab w:val="left" w:pos="-720"/>
        </w:tabs>
        <w:suppressAutoHyphens/>
        <w:ind w:left="720" w:right="720" w:firstLine="1440"/>
      </w:pPr>
    </w:p>
    <w:p w:rsidR="004D6973" w:rsidRPr="007F27A1" w:rsidRDefault="004D6973" w:rsidP="004D6973">
      <w:pPr>
        <w:tabs>
          <w:tab w:val="left" w:pos="-1440"/>
          <w:tab w:val="left" w:pos="-720"/>
        </w:tabs>
        <w:suppressAutoHyphens/>
        <w:spacing w:line="360" w:lineRule="auto"/>
        <w:ind w:firstLine="1440"/>
      </w:pPr>
      <w:r w:rsidRPr="007F27A1">
        <w:t>52 Pa.Code § 5.101(a)(1);(3) and (4).</w:t>
      </w:r>
    </w:p>
    <w:p w:rsidR="004D6973" w:rsidRPr="007F27A1" w:rsidRDefault="004D6973" w:rsidP="004D6973">
      <w:pPr>
        <w:tabs>
          <w:tab w:val="left" w:pos="-1440"/>
          <w:tab w:val="left" w:pos="-720"/>
        </w:tabs>
        <w:suppressAutoHyphens/>
        <w:spacing w:line="360" w:lineRule="auto"/>
        <w:ind w:firstLine="1440"/>
      </w:pPr>
    </w:p>
    <w:p w:rsidR="004D6973" w:rsidRPr="007F27A1" w:rsidRDefault="004D6973" w:rsidP="004D6973">
      <w:pPr>
        <w:tabs>
          <w:tab w:val="left" w:pos="-1440"/>
          <w:tab w:val="left" w:pos="-720"/>
        </w:tabs>
        <w:suppressAutoHyphens/>
        <w:spacing w:line="360" w:lineRule="auto"/>
        <w:ind w:firstLine="1440"/>
      </w:pPr>
      <w:r w:rsidRPr="007F27A1">
        <w:t xml:space="preserve">The Commission must act within, and cannot exceed its jurisdiction.  </w:t>
      </w:r>
      <w:r w:rsidRPr="007F27A1">
        <w:rPr>
          <w:i/>
        </w:rPr>
        <w:t xml:space="preserve">City of Pittsburgh v. PUC, </w:t>
      </w:r>
      <w:r w:rsidRPr="007F27A1">
        <w:t xml:space="preserve">157 Pa. Super 595, 43 A.2d 348 (1945).  Jurisdiction may not be conferred by the parties where none exists.  </w:t>
      </w:r>
      <w:r w:rsidRPr="007F27A1">
        <w:rPr>
          <w:i/>
        </w:rPr>
        <w:t xml:space="preserve">Roberts v. Martorano, </w:t>
      </w:r>
      <w:r w:rsidRPr="007F27A1">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rPr>
        <w:t xml:space="preserve">Lehigh Valley Power Comm. V. PUC, </w:t>
      </w:r>
      <w:r w:rsidRPr="007F27A1">
        <w:t xml:space="preserve">128 Pa.Cmwlth. 259, 563 A.2d 548 (1989), </w:t>
      </w:r>
      <w:r w:rsidRPr="007F27A1">
        <w:rPr>
          <w:i/>
        </w:rPr>
        <w:t xml:space="preserve">Edan Transportation Corp. v. PUC, </w:t>
      </w:r>
      <w:r w:rsidRPr="007F27A1">
        <w:t xml:space="preserve">154 Pa.Cmwlth. 21, 623 A.2d 6 (1993).  </w:t>
      </w:r>
    </w:p>
    <w:p w:rsidR="004D6973" w:rsidRDefault="004D6973" w:rsidP="004D6973">
      <w:pPr>
        <w:tabs>
          <w:tab w:val="left" w:pos="-1440"/>
          <w:tab w:val="left" w:pos="-720"/>
        </w:tabs>
        <w:suppressAutoHyphens/>
        <w:spacing w:line="360" w:lineRule="auto"/>
        <w:ind w:firstLine="1440"/>
      </w:pPr>
    </w:p>
    <w:p w:rsidR="004D6973" w:rsidRDefault="004D6973" w:rsidP="004D6973">
      <w:pPr>
        <w:tabs>
          <w:tab w:val="left" w:pos="-1440"/>
          <w:tab w:val="left" w:pos="-720"/>
        </w:tabs>
        <w:suppressAutoHyphens/>
        <w:spacing w:line="360" w:lineRule="auto"/>
        <w:ind w:firstLine="1440"/>
      </w:pPr>
      <w:r>
        <w:t xml:space="preserve">Preliminary objections in civil practice requesting dismissal of a pleading will be granted only where the right to relief is clearly warranted and free from doubt.  </w:t>
      </w:r>
      <w:r w:rsidRPr="001D56D9">
        <w:rPr>
          <w:i/>
        </w:rPr>
        <w:t>Interstate Traveller Services, Inc. v. Pa. Dept. of Environment Resources,</w:t>
      </w:r>
      <w:r>
        <w:t xml:space="preserve"> 406 A.2d 1020 (Pa. 1979); </w:t>
      </w:r>
      <w:r w:rsidRPr="001D56D9">
        <w:rPr>
          <w:i/>
        </w:rPr>
        <w:t>Rivera v. Philadelphia Theological Seminary of St. Charles Borromeo, Inc.</w:t>
      </w:r>
      <w:r>
        <w:t xml:space="preserve">, 595 A.2d 172 (Pa. Super 1991).  The Commission follows this standard.  </w:t>
      </w:r>
      <w:r>
        <w:rPr>
          <w:i/>
        </w:rPr>
        <w:t>Montague v. Philadelphia Electric Company,</w:t>
      </w:r>
      <w:r>
        <w:t xml:space="preserve"> 66 Pa.PUC 24 (1988).</w:t>
      </w:r>
    </w:p>
    <w:p w:rsidR="004D6973" w:rsidRDefault="004D6973" w:rsidP="004D6973">
      <w:pPr>
        <w:tabs>
          <w:tab w:val="left" w:pos="-1440"/>
          <w:tab w:val="left" w:pos="-720"/>
        </w:tabs>
        <w:suppressAutoHyphens/>
        <w:spacing w:line="360" w:lineRule="auto"/>
        <w:ind w:firstLine="1440"/>
      </w:pPr>
    </w:p>
    <w:p w:rsidR="004D6973" w:rsidRDefault="004D6973" w:rsidP="004D6973">
      <w:pPr>
        <w:tabs>
          <w:tab w:val="left" w:pos="-1440"/>
          <w:tab w:val="left" w:pos="-720"/>
        </w:tabs>
        <w:suppressAutoHyphens/>
        <w:spacing w:line="360" w:lineRule="auto"/>
        <w:ind w:firstLine="1440"/>
      </w:pPr>
      <w:r>
        <w:t xml:space="preserve">The Commission must view the complaint in the light most favorable to Complainant and should dismiss the complaint only if it appears that the Complainant would not be entitled to relief under any circumstances as a matter of law.  </w:t>
      </w:r>
      <w:r>
        <w:rPr>
          <w:i/>
        </w:rPr>
        <w:t xml:space="preserve">Equitable Small Transportation Intervenors v. Equitable Gas Company, </w:t>
      </w:r>
      <w:r>
        <w:t>1994 Pa PUC LEXIS 69, Docket No. C-00935435 (1994).</w:t>
      </w:r>
    </w:p>
    <w:p w:rsidR="004D6973" w:rsidRDefault="004D6973" w:rsidP="004D6973">
      <w:pPr>
        <w:tabs>
          <w:tab w:val="left" w:pos="-1440"/>
          <w:tab w:val="left" w:pos="-720"/>
        </w:tabs>
        <w:suppressAutoHyphens/>
        <w:spacing w:line="360" w:lineRule="auto"/>
        <w:ind w:firstLine="1440"/>
      </w:pPr>
    </w:p>
    <w:p w:rsidR="00546C25" w:rsidRDefault="005249A5" w:rsidP="004D6973">
      <w:pPr>
        <w:tabs>
          <w:tab w:val="left" w:pos="-1440"/>
          <w:tab w:val="left" w:pos="-720"/>
        </w:tabs>
        <w:suppressAutoHyphens/>
        <w:spacing w:line="360" w:lineRule="auto"/>
        <w:ind w:firstLine="1440"/>
      </w:pPr>
      <w:r>
        <w:t xml:space="preserve">Viewing the Complaint in this case in the light most favorable to the Complainant, </w:t>
      </w:r>
      <w:r w:rsidR="00E95F73">
        <w:t>Mr. Perry</w:t>
      </w:r>
      <w:r>
        <w:t xml:space="preserve"> </w:t>
      </w:r>
      <w:r w:rsidR="00E95F73">
        <w:t>received electric service</w:t>
      </w:r>
      <w:r w:rsidR="00384388">
        <w:t xml:space="preserve"> at 416 W. New Castle Street, Apt. No. 1, Butler, PA, and he is averring that there was or is a pending termination, that there are incorrect charges on his bill</w:t>
      </w:r>
      <w:r w:rsidR="00EA1742">
        <w:t>,</w:t>
      </w:r>
      <w:r w:rsidR="00384388">
        <w:t xml:space="preserve"> and </w:t>
      </w:r>
      <w:r w:rsidR="00EA1742">
        <w:t xml:space="preserve">that </w:t>
      </w:r>
      <w:r w:rsidR="00384388">
        <w:t xml:space="preserve">there are issues with reliability, safety or quality with his utility service.  He requests an audit of his electric accounts and reimbursement </w:t>
      </w:r>
      <w:r w:rsidR="00384388">
        <w:lastRenderedPageBreak/>
        <w:t xml:space="preserve">or credit for illegal charges.  These are </w:t>
      </w:r>
      <w:r w:rsidR="00EA1742">
        <w:t xml:space="preserve">all </w:t>
      </w:r>
      <w:r w:rsidR="00384388">
        <w:t xml:space="preserve">issues over which the Commission has jurisdiction. </w:t>
      </w:r>
      <w:r w:rsidR="003066CD">
        <w:t xml:space="preserve"> The Commission can decide if a customer was billed incorrectly and can order billing refunds.  Additionally, the Commission can also order civil penalties be paid for violations of Commission regulations and orders. </w:t>
      </w:r>
      <w:r w:rsidR="0002394A">
        <w:t xml:space="preserve"> </w:t>
      </w:r>
    </w:p>
    <w:p w:rsidR="00546C25" w:rsidRDefault="00546C25" w:rsidP="004D6973">
      <w:pPr>
        <w:tabs>
          <w:tab w:val="left" w:pos="-1440"/>
          <w:tab w:val="left" w:pos="-720"/>
        </w:tabs>
        <w:suppressAutoHyphens/>
        <w:spacing w:line="360" w:lineRule="auto"/>
        <w:ind w:firstLine="1440"/>
      </w:pPr>
    </w:p>
    <w:p w:rsidR="00384388" w:rsidRDefault="00546C25" w:rsidP="004D6973">
      <w:pPr>
        <w:tabs>
          <w:tab w:val="left" w:pos="-1440"/>
          <w:tab w:val="left" w:pos="-720"/>
        </w:tabs>
        <w:suppressAutoHyphens/>
        <w:spacing w:line="360" w:lineRule="auto"/>
        <w:ind w:firstLine="1440"/>
      </w:pPr>
      <w:r>
        <w:t xml:space="preserve">Regarding Respondent’s contention that Complainant lacks standing, the law requires a complainant demonstrate an interest in the matter that is substantial, direct and immediate.  </w:t>
      </w:r>
      <w:r>
        <w:rPr>
          <w:i/>
        </w:rPr>
        <w:t xml:space="preserve">William Penn Parking Garage, Inc. et. al. v. City of Pittsburgh, </w:t>
      </w:r>
      <w:r>
        <w:t xml:space="preserve">346 A.2d 269 (Pa. 1975).  </w:t>
      </w:r>
      <w:r w:rsidR="00384388">
        <w:t xml:space="preserve"> </w:t>
      </w:r>
      <w:r w:rsidR="00EA1742">
        <w:t xml:space="preserve">Complainant avers he was a customer of West Penn Power, regarding the service property in question, and </w:t>
      </w:r>
      <w:r w:rsidR="00E95F73">
        <w:t>accepting this as true, Complainant</w:t>
      </w:r>
      <w:r>
        <w:t xml:space="preserve"> has a direct interest in whether he was incorrectly charged and whether the service was unreasonable or unreliable.  I find the complaint shows sufficient standing</w:t>
      </w:r>
      <w:r w:rsidR="00EA1742">
        <w:t xml:space="preserve"> to proceed.  However, since Respondent requested in the alternative that this case go to the </w:t>
      </w:r>
      <w:r w:rsidR="00E95F73">
        <w:t>m</w:t>
      </w:r>
      <w:r w:rsidR="00EA1742">
        <w:t xml:space="preserve">ediation </w:t>
      </w:r>
      <w:r w:rsidR="00E95F73">
        <w:t>u</w:t>
      </w:r>
      <w:r w:rsidR="00EA1742">
        <w:t>nit</w:t>
      </w:r>
      <w:r w:rsidR="00E95F73">
        <w:t xml:space="preserve"> and it appears Respondent is willing to reestablish service in Complainant’s name</w:t>
      </w:r>
      <w:r w:rsidR="00EA1742">
        <w:t xml:space="preserve">, </w:t>
      </w:r>
      <w:r w:rsidR="00E95F73">
        <w:t xml:space="preserve">the complaint will be referred to the mediation unit for mediation review. </w:t>
      </w:r>
    </w:p>
    <w:p w:rsidR="00384388" w:rsidRDefault="00384388" w:rsidP="004D6973">
      <w:pPr>
        <w:tabs>
          <w:tab w:val="left" w:pos="-1440"/>
          <w:tab w:val="left" w:pos="-720"/>
        </w:tabs>
        <w:suppressAutoHyphens/>
        <w:spacing w:line="360" w:lineRule="auto"/>
        <w:ind w:firstLine="1440"/>
      </w:pPr>
    </w:p>
    <w:p w:rsidR="00F814C8" w:rsidRDefault="00F814C8" w:rsidP="00F814C8">
      <w:pPr>
        <w:spacing w:line="360" w:lineRule="auto"/>
        <w:jc w:val="center"/>
        <w:rPr>
          <w:b/>
        </w:rPr>
      </w:pPr>
      <w:r>
        <w:rPr>
          <w:b/>
        </w:rPr>
        <w:t>ORDER</w:t>
      </w:r>
    </w:p>
    <w:p w:rsidR="00F814C8" w:rsidRDefault="00F814C8" w:rsidP="00F814C8">
      <w:pPr>
        <w:spacing w:line="360" w:lineRule="auto"/>
        <w:jc w:val="center"/>
        <w:rPr>
          <w:b/>
        </w:rPr>
      </w:pPr>
    </w:p>
    <w:p w:rsidR="00F814C8" w:rsidRDefault="00F814C8" w:rsidP="00F814C8">
      <w:pPr>
        <w:spacing w:line="360" w:lineRule="auto"/>
      </w:pPr>
      <w:r>
        <w:tab/>
      </w:r>
      <w:r>
        <w:tab/>
        <w:t>THEREFORE,</w:t>
      </w:r>
    </w:p>
    <w:p w:rsidR="00F814C8" w:rsidRDefault="00F814C8" w:rsidP="00F814C8">
      <w:pPr>
        <w:spacing w:line="360" w:lineRule="auto"/>
      </w:pPr>
    </w:p>
    <w:p w:rsidR="00F814C8" w:rsidRDefault="00F814C8" w:rsidP="00F814C8">
      <w:pPr>
        <w:spacing w:line="360" w:lineRule="auto"/>
      </w:pPr>
      <w:r>
        <w:tab/>
      </w:r>
      <w:r>
        <w:tab/>
        <w:t>IT IS ORDERED:</w:t>
      </w:r>
    </w:p>
    <w:p w:rsidR="00F814C8" w:rsidRDefault="00F814C8" w:rsidP="00F814C8">
      <w:pPr>
        <w:spacing w:line="360" w:lineRule="auto"/>
      </w:pPr>
    </w:p>
    <w:p w:rsidR="00913550" w:rsidRDefault="00F814C8" w:rsidP="00F814C8">
      <w:pPr>
        <w:spacing w:line="360" w:lineRule="auto"/>
      </w:pPr>
      <w:r>
        <w:tab/>
      </w:r>
      <w:r>
        <w:tab/>
        <w:t>1.</w:t>
      </w:r>
      <w:r>
        <w:tab/>
        <w:t xml:space="preserve">That the Preliminary Objections filed by </w:t>
      </w:r>
      <w:r w:rsidR="00EA1742">
        <w:t>West Penn Power Company</w:t>
      </w:r>
      <w:r w:rsidR="00172115">
        <w:t xml:space="preserve"> are</w:t>
      </w:r>
      <w:r w:rsidR="00A941FB">
        <w:t xml:space="preserve"> </w:t>
      </w:r>
      <w:r>
        <w:t>d</w:t>
      </w:r>
      <w:r w:rsidR="00913550">
        <w:t>eni</w:t>
      </w:r>
      <w:r>
        <w:t>ed</w:t>
      </w:r>
      <w:r w:rsidR="00913550">
        <w:t>.</w:t>
      </w:r>
    </w:p>
    <w:p w:rsidR="00913550" w:rsidRDefault="00913550" w:rsidP="00F814C8">
      <w:pPr>
        <w:spacing w:line="360" w:lineRule="auto"/>
      </w:pPr>
    </w:p>
    <w:p w:rsidR="00E95F73" w:rsidRDefault="00913550" w:rsidP="00E95F73">
      <w:pPr>
        <w:spacing w:line="360" w:lineRule="auto"/>
      </w:pPr>
      <w:r>
        <w:tab/>
      </w:r>
      <w:r>
        <w:tab/>
      </w:r>
      <w:r w:rsidR="00172115">
        <w:t>2</w:t>
      </w:r>
      <w:r>
        <w:t>.</w:t>
      </w:r>
      <w:r>
        <w:tab/>
      </w:r>
      <w:r w:rsidR="00F814C8">
        <w:t xml:space="preserve">That the </w:t>
      </w:r>
      <w:r w:rsidR="00E95F73">
        <w:t>complaint</w:t>
      </w:r>
      <w:r w:rsidR="00F814C8">
        <w:t xml:space="preserve"> captioned </w:t>
      </w:r>
      <w:r w:rsidR="00384388">
        <w:rPr>
          <w:i/>
        </w:rPr>
        <w:t>Jason T. Perry v. West Penn Power Company</w:t>
      </w:r>
      <w:r w:rsidR="002562D2">
        <w:t>, C-20</w:t>
      </w:r>
      <w:r w:rsidR="00172115">
        <w:t>13-23</w:t>
      </w:r>
      <w:r w:rsidR="00384388">
        <w:t>93169</w:t>
      </w:r>
      <w:r w:rsidR="002562D2">
        <w:t>,</w:t>
      </w:r>
      <w:r w:rsidR="00E95F73">
        <w:t xml:space="preserve"> be referred to our mediation unit for mediation review.</w:t>
      </w:r>
    </w:p>
    <w:p w:rsidR="00F814C8" w:rsidRDefault="00F814C8" w:rsidP="00F814C8">
      <w:pPr>
        <w:spacing w:line="360" w:lineRule="auto"/>
      </w:pPr>
    </w:p>
    <w:p w:rsidR="000962F2" w:rsidRPr="007F27A1" w:rsidRDefault="000962F2" w:rsidP="000962F2">
      <w:pPr>
        <w:spacing w:line="360" w:lineRule="auto"/>
      </w:pPr>
      <w:r>
        <w:tab/>
      </w:r>
      <w:r>
        <w:tab/>
      </w:r>
    </w:p>
    <w:p w:rsidR="000962F2" w:rsidRDefault="000962F2" w:rsidP="000962F2">
      <w:r>
        <w:t xml:space="preserve">Date:  </w:t>
      </w:r>
      <w:r w:rsidR="00384388">
        <w:rPr>
          <w:u w:val="single"/>
        </w:rPr>
        <w:t>December 30, 2013</w:t>
      </w:r>
      <w:r>
        <w:rPr>
          <w:u w:val="single"/>
        </w:rPr>
        <w:t xml:space="preserve"> </w:t>
      </w:r>
      <w:r>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t>Elizabeth Barnes</w:t>
      </w:r>
    </w:p>
    <w:p w:rsidR="00D107F5" w:rsidRDefault="000962F2" w:rsidP="003066CD">
      <w:pPr>
        <w:sectPr w:rsidR="00D107F5" w:rsidSect="004E0FB7">
          <w:footerReference w:type="even" r:id="rId7"/>
          <w:footerReference w:type="default" r:id="rId8"/>
          <w:pgSz w:w="12240" w:h="15840"/>
          <w:pgMar w:top="1440" w:right="1800" w:bottom="1440" w:left="1800" w:header="720" w:footer="720" w:gutter="0"/>
          <w:cols w:space="720"/>
          <w:titlePg/>
          <w:docGrid w:linePitch="360"/>
        </w:sectPr>
      </w:pPr>
      <w:r w:rsidRPr="007F27A1">
        <w:tab/>
      </w:r>
      <w:r w:rsidRPr="007F27A1">
        <w:tab/>
      </w:r>
      <w:r w:rsidRPr="007F27A1">
        <w:tab/>
      </w:r>
      <w:r w:rsidRPr="007F27A1">
        <w:tab/>
      </w:r>
      <w:r w:rsidRPr="007F27A1">
        <w:tab/>
        <w:t>Administrative Law Judge</w:t>
      </w:r>
      <w:r w:rsidR="009A1F82">
        <w:tab/>
      </w:r>
    </w:p>
    <w:p w:rsidR="00D107F5" w:rsidRDefault="00D107F5" w:rsidP="00D107F5">
      <w:pPr>
        <w:contextualSpacing/>
      </w:pPr>
      <w:r>
        <w:rPr>
          <w:rFonts w:ascii="Microsoft Sans Serif"/>
          <w:b/>
          <w:u w:val="single"/>
        </w:rPr>
        <w:lastRenderedPageBreak/>
        <w:t xml:space="preserve">C-2013-2393169 - JASON </w:t>
      </w:r>
      <w:proofErr w:type="gramStart"/>
      <w:r>
        <w:rPr>
          <w:rFonts w:ascii="Microsoft Sans Serif"/>
          <w:b/>
          <w:u w:val="single"/>
        </w:rPr>
        <w:t>PERRY  v</w:t>
      </w:r>
      <w:proofErr w:type="gramEnd"/>
      <w:r>
        <w:rPr>
          <w:rFonts w:ascii="Microsoft Sans Serif"/>
          <w:b/>
          <w:u w:val="single"/>
        </w:rPr>
        <w:t>. WEST PENN POWER CO</w:t>
      </w:r>
      <w:r>
        <w:rPr>
          <w:rFonts w:ascii="Microsoft Sans Serif"/>
          <w:b/>
          <w:u w:val="single"/>
        </w:rPr>
        <w:cr/>
      </w:r>
      <w:r>
        <w:rPr>
          <w:rFonts w:ascii="Microsoft Sans Serif"/>
          <w:b/>
          <w:u w:val="single"/>
        </w:rPr>
        <w:cr/>
      </w:r>
      <w:bookmarkStart w:id="0" w:name="_GoBack"/>
      <w:r>
        <w:rPr>
          <w:rFonts w:ascii="Microsoft Sans Serif"/>
        </w:rPr>
        <w:t>JASON PERRY</w:t>
      </w:r>
      <w:r>
        <w:rPr>
          <w:rFonts w:ascii="Microsoft Sans Serif"/>
        </w:rPr>
        <w:cr/>
        <w:t xml:space="preserve">416 WEST NEW CASTLE </w:t>
      </w:r>
      <w:proofErr w:type="gramStart"/>
      <w:r>
        <w:rPr>
          <w:rFonts w:ascii="Microsoft Sans Serif"/>
        </w:rPr>
        <w:t>STREET</w:t>
      </w:r>
      <w:proofErr w:type="gramEnd"/>
      <w:r>
        <w:rPr>
          <w:rFonts w:ascii="Microsoft Sans Serif"/>
        </w:rPr>
        <w:cr/>
        <w:t>APT 1</w:t>
      </w:r>
      <w:r>
        <w:rPr>
          <w:rFonts w:ascii="Microsoft Sans Serif"/>
        </w:rPr>
        <w:cr/>
        <w:t>BUTLER PA  16001</w:t>
      </w:r>
      <w:bookmarkEnd w:id="0"/>
      <w:r>
        <w:rPr>
          <w:rFonts w:ascii="Microsoft Sans Serif"/>
        </w:rPr>
        <w:cr/>
        <w:t>724.487.4997</w:t>
      </w:r>
      <w:r>
        <w:rPr>
          <w:rFonts w:ascii="Microsoft Sans Serif"/>
        </w:rPr>
        <w:cr/>
      </w:r>
      <w:r>
        <w:rPr>
          <w:rFonts w:ascii="Microsoft Sans Serif"/>
        </w:rPr>
        <w:c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19104</w:t>
      </w:r>
      <w:r>
        <w:rPr>
          <w:rFonts w:ascii="Microsoft Sans Serif"/>
        </w:rPr>
        <w:cr/>
        <w:t>215.495.6524</w:t>
      </w:r>
      <w:r>
        <w:rPr>
          <w:rFonts w:ascii="Microsoft Sans Serif"/>
        </w:rPr>
        <w:cr/>
      </w:r>
      <w:r w:rsidRPr="000B4D51">
        <w:rPr>
          <w:rFonts w:ascii="Microsoft Sans Serif"/>
          <w:b/>
          <w:i/>
        </w:rPr>
        <w:t>E-Serve</w:t>
      </w:r>
      <w:r>
        <w:rPr>
          <w:rFonts w:ascii="Microsoft Sans Serif"/>
        </w:rPr>
        <w:cr/>
      </w:r>
    </w:p>
    <w:p w:rsidR="00D107F5" w:rsidRDefault="00D107F5" w:rsidP="00D107F5">
      <w:pPr>
        <w:contextualSpacing/>
      </w:pPr>
    </w:p>
    <w:p w:rsidR="0085531B" w:rsidRPr="00CF4780" w:rsidRDefault="0085531B" w:rsidP="003066CD"/>
    <w:sectPr w:rsidR="0085531B" w:rsidRPr="00CF478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4E3" w:rsidRDefault="009634E3">
      <w:r>
        <w:separator/>
      </w:r>
    </w:p>
  </w:endnote>
  <w:endnote w:type="continuationSeparator" w:id="0">
    <w:p w:rsidR="009634E3" w:rsidRDefault="0096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separate"/>
    </w:r>
    <w:r w:rsidR="00D107F5">
      <w:rPr>
        <w:rStyle w:val="PageNumber"/>
        <w:noProof/>
      </w:rPr>
      <w:t>5</w:t>
    </w:r>
    <w:r>
      <w:rPr>
        <w:rStyle w:val="PageNumber"/>
      </w:rPr>
      <w:fldChar w:fldCharType="end"/>
    </w:r>
  </w:p>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F5" w:rsidRDefault="00D107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4E3" w:rsidRDefault="009634E3">
      <w:r>
        <w:separator/>
      </w:r>
    </w:p>
  </w:footnote>
  <w:footnote w:type="continuationSeparator" w:id="0">
    <w:p w:rsidR="009634E3" w:rsidRDefault="00963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394A"/>
    <w:rsid w:val="000240FF"/>
    <w:rsid w:val="000315D8"/>
    <w:rsid w:val="00031968"/>
    <w:rsid w:val="000320EA"/>
    <w:rsid w:val="000359CF"/>
    <w:rsid w:val="00037AB9"/>
    <w:rsid w:val="00037FC7"/>
    <w:rsid w:val="0004187E"/>
    <w:rsid w:val="000431CB"/>
    <w:rsid w:val="00044226"/>
    <w:rsid w:val="000446DB"/>
    <w:rsid w:val="00044D65"/>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667F"/>
    <w:rsid w:val="000A741D"/>
    <w:rsid w:val="000A7657"/>
    <w:rsid w:val="000B4662"/>
    <w:rsid w:val="000B4A44"/>
    <w:rsid w:val="000B734F"/>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E7CDC"/>
    <w:rsid w:val="000F0061"/>
    <w:rsid w:val="000F06B1"/>
    <w:rsid w:val="000F2AFC"/>
    <w:rsid w:val="000F3DD5"/>
    <w:rsid w:val="000F4EE1"/>
    <w:rsid w:val="000F546F"/>
    <w:rsid w:val="000F5F2C"/>
    <w:rsid w:val="000F62EA"/>
    <w:rsid w:val="000F6954"/>
    <w:rsid w:val="001004D2"/>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2115"/>
    <w:rsid w:val="00175E13"/>
    <w:rsid w:val="00177450"/>
    <w:rsid w:val="001825C3"/>
    <w:rsid w:val="00185A40"/>
    <w:rsid w:val="00192956"/>
    <w:rsid w:val="00193B60"/>
    <w:rsid w:val="00193C8F"/>
    <w:rsid w:val="00194532"/>
    <w:rsid w:val="00194AF1"/>
    <w:rsid w:val="00195EBA"/>
    <w:rsid w:val="001973E5"/>
    <w:rsid w:val="001A039F"/>
    <w:rsid w:val="001A225A"/>
    <w:rsid w:val="001A4C79"/>
    <w:rsid w:val="001A4DCA"/>
    <w:rsid w:val="001A7526"/>
    <w:rsid w:val="001A77D3"/>
    <w:rsid w:val="001B009E"/>
    <w:rsid w:val="001B0BEE"/>
    <w:rsid w:val="001B39C2"/>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32F"/>
    <w:rsid w:val="002E1EED"/>
    <w:rsid w:val="002E4098"/>
    <w:rsid w:val="002E4FCF"/>
    <w:rsid w:val="002E546C"/>
    <w:rsid w:val="002E6570"/>
    <w:rsid w:val="002F1981"/>
    <w:rsid w:val="002F2838"/>
    <w:rsid w:val="002F2FC5"/>
    <w:rsid w:val="002F3EE1"/>
    <w:rsid w:val="002F6B84"/>
    <w:rsid w:val="003015CD"/>
    <w:rsid w:val="00301F30"/>
    <w:rsid w:val="00302A6D"/>
    <w:rsid w:val="0030574A"/>
    <w:rsid w:val="00305D74"/>
    <w:rsid w:val="003066CD"/>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388"/>
    <w:rsid w:val="00384A39"/>
    <w:rsid w:val="003861F0"/>
    <w:rsid w:val="00391F07"/>
    <w:rsid w:val="003923E4"/>
    <w:rsid w:val="00392D91"/>
    <w:rsid w:val="0039374E"/>
    <w:rsid w:val="00393B86"/>
    <w:rsid w:val="003946AE"/>
    <w:rsid w:val="00395648"/>
    <w:rsid w:val="00396857"/>
    <w:rsid w:val="00396DE8"/>
    <w:rsid w:val="0039789B"/>
    <w:rsid w:val="003A36F3"/>
    <w:rsid w:val="003B053E"/>
    <w:rsid w:val="003B116B"/>
    <w:rsid w:val="003B205A"/>
    <w:rsid w:val="003B5667"/>
    <w:rsid w:val="003B5C86"/>
    <w:rsid w:val="003B617B"/>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6973"/>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249A5"/>
    <w:rsid w:val="005312D7"/>
    <w:rsid w:val="00532B8B"/>
    <w:rsid w:val="00533581"/>
    <w:rsid w:val="00533822"/>
    <w:rsid w:val="005409C5"/>
    <w:rsid w:val="00541FE1"/>
    <w:rsid w:val="00542A59"/>
    <w:rsid w:val="00543B4D"/>
    <w:rsid w:val="005469BF"/>
    <w:rsid w:val="00546C25"/>
    <w:rsid w:val="005470FD"/>
    <w:rsid w:val="00547E46"/>
    <w:rsid w:val="00550669"/>
    <w:rsid w:val="005555A5"/>
    <w:rsid w:val="00561908"/>
    <w:rsid w:val="005624B6"/>
    <w:rsid w:val="005629D6"/>
    <w:rsid w:val="00562D3A"/>
    <w:rsid w:val="0056496B"/>
    <w:rsid w:val="00566FDB"/>
    <w:rsid w:val="005675B1"/>
    <w:rsid w:val="00567A3A"/>
    <w:rsid w:val="00572CAC"/>
    <w:rsid w:val="00573434"/>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A3ABC"/>
    <w:rsid w:val="005A6C80"/>
    <w:rsid w:val="005A6E9D"/>
    <w:rsid w:val="005A7A07"/>
    <w:rsid w:val="005A7F69"/>
    <w:rsid w:val="005B29AE"/>
    <w:rsid w:val="005B3179"/>
    <w:rsid w:val="005B31C8"/>
    <w:rsid w:val="005B4BBE"/>
    <w:rsid w:val="005B53FA"/>
    <w:rsid w:val="005B72FC"/>
    <w:rsid w:val="005C0391"/>
    <w:rsid w:val="005C1D12"/>
    <w:rsid w:val="005C30C9"/>
    <w:rsid w:val="005C5469"/>
    <w:rsid w:val="005C780A"/>
    <w:rsid w:val="005D0166"/>
    <w:rsid w:val="005D26CB"/>
    <w:rsid w:val="005D2A76"/>
    <w:rsid w:val="005D4280"/>
    <w:rsid w:val="005D460A"/>
    <w:rsid w:val="005D5186"/>
    <w:rsid w:val="005D7DB8"/>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6B4F"/>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4687"/>
    <w:rsid w:val="006E5AAC"/>
    <w:rsid w:val="006E660F"/>
    <w:rsid w:val="006F3CEE"/>
    <w:rsid w:val="00704A41"/>
    <w:rsid w:val="00705290"/>
    <w:rsid w:val="00706EAD"/>
    <w:rsid w:val="007071A5"/>
    <w:rsid w:val="0070782F"/>
    <w:rsid w:val="0071063F"/>
    <w:rsid w:val="00711DB4"/>
    <w:rsid w:val="007125E3"/>
    <w:rsid w:val="007148DF"/>
    <w:rsid w:val="007161BC"/>
    <w:rsid w:val="00717239"/>
    <w:rsid w:val="007203F9"/>
    <w:rsid w:val="00720A5D"/>
    <w:rsid w:val="00720BB7"/>
    <w:rsid w:val="00721125"/>
    <w:rsid w:val="0072152C"/>
    <w:rsid w:val="00722A1F"/>
    <w:rsid w:val="00723174"/>
    <w:rsid w:val="007238AB"/>
    <w:rsid w:val="00724502"/>
    <w:rsid w:val="0072657D"/>
    <w:rsid w:val="007269F9"/>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65FE"/>
    <w:rsid w:val="00780448"/>
    <w:rsid w:val="00781D0B"/>
    <w:rsid w:val="00782119"/>
    <w:rsid w:val="007836AD"/>
    <w:rsid w:val="007847DE"/>
    <w:rsid w:val="00786881"/>
    <w:rsid w:val="00787AB7"/>
    <w:rsid w:val="00790749"/>
    <w:rsid w:val="007910EF"/>
    <w:rsid w:val="00793F69"/>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6E5"/>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34E3"/>
    <w:rsid w:val="00965150"/>
    <w:rsid w:val="00965596"/>
    <w:rsid w:val="00971270"/>
    <w:rsid w:val="00975481"/>
    <w:rsid w:val="00980066"/>
    <w:rsid w:val="0098185A"/>
    <w:rsid w:val="00983EA0"/>
    <w:rsid w:val="00986682"/>
    <w:rsid w:val="00991C41"/>
    <w:rsid w:val="00992621"/>
    <w:rsid w:val="009933ED"/>
    <w:rsid w:val="00994E33"/>
    <w:rsid w:val="00995309"/>
    <w:rsid w:val="00997697"/>
    <w:rsid w:val="0099796B"/>
    <w:rsid w:val="009979D7"/>
    <w:rsid w:val="009A1594"/>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230C"/>
    <w:rsid w:val="009C36A8"/>
    <w:rsid w:val="009C3D4C"/>
    <w:rsid w:val="009C51C2"/>
    <w:rsid w:val="009C58E5"/>
    <w:rsid w:val="009C6899"/>
    <w:rsid w:val="009D1AD0"/>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27679"/>
    <w:rsid w:val="00A34056"/>
    <w:rsid w:val="00A36D45"/>
    <w:rsid w:val="00A36D91"/>
    <w:rsid w:val="00A3736C"/>
    <w:rsid w:val="00A408D7"/>
    <w:rsid w:val="00A40DD7"/>
    <w:rsid w:val="00A40F01"/>
    <w:rsid w:val="00A435B6"/>
    <w:rsid w:val="00A45267"/>
    <w:rsid w:val="00A470EF"/>
    <w:rsid w:val="00A47161"/>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4FBF"/>
    <w:rsid w:val="00A75134"/>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377E"/>
    <w:rsid w:val="00B23B96"/>
    <w:rsid w:val="00B23F37"/>
    <w:rsid w:val="00B23F83"/>
    <w:rsid w:val="00B241C8"/>
    <w:rsid w:val="00B2512F"/>
    <w:rsid w:val="00B3163F"/>
    <w:rsid w:val="00B33CB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2E90"/>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178E"/>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41B3"/>
    <w:rsid w:val="00C0435C"/>
    <w:rsid w:val="00C0458C"/>
    <w:rsid w:val="00C05B41"/>
    <w:rsid w:val="00C068A2"/>
    <w:rsid w:val="00C1179D"/>
    <w:rsid w:val="00C134FC"/>
    <w:rsid w:val="00C136D1"/>
    <w:rsid w:val="00C1698C"/>
    <w:rsid w:val="00C16E89"/>
    <w:rsid w:val="00C21E65"/>
    <w:rsid w:val="00C24FB3"/>
    <w:rsid w:val="00C26934"/>
    <w:rsid w:val="00C27176"/>
    <w:rsid w:val="00C2720B"/>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3D16"/>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7F5"/>
    <w:rsid w:val="00D10D2B"/>
    <w:rsid w:val="00D10E80"/>
    <w:rsid w:val="00D11997"/>
    <w:rsid w:val="00D12D7C"/>
    <w:rsid w:val="00D1413E"/>
    <w:rsid w:val="00D15442"/>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DBF"/>
    <w:rsid w:val="00D83BA6"/>
    <w:rsid w:val="00D8644F"/>
    <w:rsid w:val="00D868C0"/>
    <w:rsid w:val="00D9297C"/>
    <w:rsid w:val="00D9314E"/>
    <w:rsid w:val="00D94A3E"/>
    <w:rsid w:val="00D962CC"/>
    <w:rsid w:val="00D96370"/>
    <w:rsid w:val="00D972B0"/>
    <w:rsid w:val="00DA1096"/>
    <w:rsid w:val="00DA16D3"/>
    <w:rsid w:val="00DA19F1"/>
    <w:rsid w:val="00DA4C57"/>
    <w:rsid w:val="00DA65E9"/>
    <w:rsid w:val="00DA734C"/>
    <w:rsid w:val="00DB09EB"/>
    <w:rsid w:val="00DB0E1A"/>
    <w:rsid w:val="00DB303E"/>
    <w:rsid w:val="00DB4421"/>
    <w:rsid w:val="00DB6F9D"/>
    <w:rsid w:val="00DC0281"/>
    <w:rsid w:val="00DC058A"/>
    <w:rsid w:val="00DC4D37"/>
    <w:rsid w:val="00DC4FF6"/>
    <w:rsid w:val="00DD01E3"/>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95F73"/>
    <w:rsid w:val="00EA00D4"/>
    <w:rsid w:val="00EA01A8"/>
    <w:rsid w:val="00EA1742"/>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3844"/>
    <w:rsid w:val="00F85B69"/>
    <w:rsid w:val="00F85F9D"/>
    <w:rsid w:val="00F8648B"/>
    <w:rsid w:val="00F8690A"/>
    <w:rsid w:val="00F90024"/>
    <w:rsid w:val="00F90BC9"/>
    <w:rsid w:val="00F90F6B"/>
    <w:rsid w:val="00F937D6"/>
    <w:rsid w:val="00F94901"/>
    <w:rsid w:val="00F9541D"/>
    <w:rsid w:val="00F965E3"/>
    <w:rsid w:val="00F97AD9"/>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customStyle="1" w:styleId="ParaTab1">
    <w:name w:val="ParaTab 1"/>
    <w:rsid w:val="00396857"/>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D107F5"/>
    <w:pPr>
      <w:tabs>
        <w:tab w:val="center" w:pos="4680"/>
        <w:tab w:val="right" w:pos="9360"/>
      </w:tabs>
    </w:pPr>
  </w:style>
  <w:style w:type="character" w:customStyle="1" w:styleId="HeaderChar">
    <w:name w:val="Header Char"/>
    <w:basedOn w:val="DefaultParagraphFont"/>
    <w:link w:val="Header"/>
    <w:rsid w:val="00D107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E0FB7"/>
    <w:pPr>
      <w:tabs>
        <w:tab w:val="center" w:pos="4320"/>
        <w:tab w:val="right" w:pos="8640"/>
      </w:tabs>
    </w:pPr>
  </w:style>
  <w:style w:type="character" w:styleId="PageNumber">
    <w:name w:val="page number"/>
    <w:basedOn w:val="DefaultParagraphFont"/>
    <w:rsid w:val="004E0FB7"/>
  </w:style>
  <w:style w:type="paragraph" w:customStyle="1" w:styleId="ParaTab1">
    <w:name w:val="ParaTab 1"/>
    <w:rsid w:val="00396857"/>
    <w:pPr>
      <w:tabs>
        <w:tab w:val="left" w:pos="-720"/>
      </w:tabs>
      <w:suppressAutoHyphens/>
      <w:autoSpaceDE w:val="0"/>
      <w:autoSpaceDN w:val="0"/>
      <w:ind w:firstLine="1440"/>
    </w:pPr>
    <w:rPr>
      <w:rFonts w:ascii="CG Times" w:hAnsi="CG Times" w:cs="CG Times"/>
      <w:sz w:val="24"/>
      <w:szCs w:val="24"/>
    </w:rPr>
  </w:style>
  <w:style w:type="paragraph" w:styleId="Header">
    <w:name w:val="header"/>
    <w:basedOn w:val="Normal"/>
    <w:link w:val="HeaderChar"/>
    <w:rsid w:val="00D107F5"/>
    <w:pPr>
      <w:tabs>
        <w:tab w:val="center" w:pos="4680"/>
        <w:tab w:val="right" w:pos="9360"/>
      </w:tabs>
    </w:pPr>
  </w:style>
  <w:style w:type="character" w:customStyle="1" w:styleId="HeaderChar">
    <w:name w:val="Header Char"/>
    <w:basedOn w:val="DefaultParagraphFont"/>
    <w:link w:val="Header"/>
    <w:rsid w:val="00D107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7799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2013-12-30T18:37:00Z</cp:lastPrinted>
  <dcterms:created xsi:type="dcterms:W3CDTF">2013-12-30T18:35:00Z</dcterms:created>
  <dcterms:modified xsi:type="dcterms:W3CDTF">2013-12-30T18:40:00Z</dcterms:modified>
</cp:coreProperties>
</file>