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5C6E3D" w:rsidP="005C6E3D">
      <w:pPr>
        <w:spacing w:line="240" w:lineRule="auto"/>
        <w:rPr>
          <w:b/>
        </w:rPr>
      </w:pPr>
      <w:r>
        <w:rPr>
          <w:b/>
        </w:rPr>
        <w:t>BEFORE THE</w:t>
      </w:r>
    </w:p>
    <w:p w:rsidR="005C6E3D" w:rsidRDefault="005C6E3D" w:rsidP="005C6E3D">
      <w:pPr>
        <w:spacing w:line="240" w:lineRule="auto"/>
        <w:rPr>
          <w:b/>
        </w:rPr>
      </w:pPr>
      <w:r>
        <w:rPr>
          <w:b/>
        </w:rPr>
        <w:t>PENNSYLVANIA PUBLIC UTILITY COMMISSION</w:t>
      </w:r>
    </w:p>
    <w:p w:rsidR="005C6E3D" w:rsidRDefault="005C6E3D" w:rsidP="005C6E3D">
      <w:pPr>
        <w:spacing w:line="240" w:lineRule="auto"/>
        <w:rPr>
          <w:b/>
        </w:rPr>
      </w:pPr>
    </w:p>
    <w:p w:rsidR="005C6E3D" w:rsidRDefault="005C6E3D" w:rsidP="005C6E3D">
      <w:pPr>
        <w:spacing w:line="240" w:lineRule="auto"/>
        <w:rPr>
          <w:b/>
        </w:rPr>
      </w:pPr>
    </w:p>
    <w:p w:rsidR="001E35B6" w:rsidRDefault="001E35B6" w:rsidP="005C6E3D">
      <w:pPr>
        <w:spacing w:line="240" w:lineRule="auto"/>
        <w:rPr>
          <w:b/>
        </w:rPr>
      </w:pPr>
    </w:p>
    <w:p w:rsidR="005C6E3D" w:rsidRDefault="005C6E3D" w:rsidP="005C6E3D">
      <w:pPr>
        <w:spacing w:line="240" w:lineRule="auto"/>
        <w:jc w:val="left"/>
      </w:pPr>
      <w:r>
        <w:t>Jeffrey and Diana Smith</w:t>
      </w:r>
      <w:r>
        <w:tab/>
      </w:r>
      <w:r>
        <w:tab/>
      </w:r>
      <w:r>
        <w:tab/>
      </w:r>
      <w:r>
        <w:tab/>
        <w:t>:</w:t>
      </w:r>
    </w:p>
    <w:p w:rsidR="005C6E3D" w:rsidRDefault="005C6E3D" w:rsidP="005C6E3D">
      <w:pPr>
        <w:spacing w:line="240" w:lineRule="auto"/>
        <w:jc w:val="left"/>
      </w:pPr>
      <w:r>
        <w:tab/>
      </w:r>
      <w:r>
        <w:tab/>
      </w:r>
      <w:r>
        <w:tab/>
      </w:r>
      <w:r>
        <w:tab/>
      </w:r>
      <w:r>
        <w:tab/>
      </w:r>
      <w:r>
        <w:tab/>
      </w:r>
      <w:r>
        <w:tab/>
        <w:t>:</w:t>
      </w:r>
    </w:p>
    <w:p w:rsidR="005C6E3D" w:rsidRDefault="005C6E3D" w:rsidP="005C6E3D">
      <w:pPr>
        <w:spacing w:line="240" w:lineRule="auto"/>
        <w:jc w:val="left"/>
      </w:pPr>
      <w:r>
        <w:tab/>
        <w:t>v.</w:t>
      </w:r>
      <w:r>
        <w:tab/>
      </w:r>
      <w:r>
        <w:tab/>
      </w:r>
      <w:r>
        <w:tab/>
      </w:r>
      <w:r>
        <w:tab/>
      </w:r>
      <w:r>
        <w:tab/>
      </w:r>
      <w:r>
        <w:tab/>
        <w:t>:</w:t>
      </w:r>
      <w:r>
        <w:tab/>
      </w:r>
      <w:r>
        <w:tab/>
      </w:r>
      <w:r>
        <w:tab/>
        <w:t>C-2013-2390683</w:t>
      </w:r>
    </w:p>
    <w:p w:rsidR="005C6E3D" w:rsidRDefault="005C6E3D" w:rsidP="005C6E3D">
      <w:pPr>
        <w:spacing w:line="240" w:lineRule="auto"/>
        <w:jc w:val="left"/>
      </w:pPr>
      <w:r>
        <w:tab/>
      </w:r>
      <w:r>
        <w:tab/>
      </w:r>
      <w:r>
        <w:tab/>
      </w:r>
      <w:r>
        <w:tab/>
      </w:r>
      <w:r>
        <w:tab/>
      </w:r>
      <w:r>
        <w:tab/>
      </w:r>
      <w:r>
        <w:tab/>
        <w:t>:</w:t>
      </w:r>
    </w:p>
    <w:p w:rsidR="005C6E3D" w:rsidRDefault="005C6E3D" w:rsidP="005C6E3D">
      <w:pPr>
        <w:spacing w:line="240" w:lineRule="auto"/>
        <w:jc w:val="left"/>
      </w:pPr>
      <w:r>
        <w:t>PPL Electric Utilities Corporation</w:t>
      </w:r>
      <w:r>
        <w:tab/>
      </w:r>
      <w:r>
        <w:tab/>
      </w:r>
      <w:r>
        <w:tab/>
        <w:t>:</w:t>
      </w:r>
    </w:p>
    <w:p w:rsidR="005C6E3D" w:rsidRDefault="005C6E3D" w:rsidP="005C6E3D">
      <w:pPr>
        <w:spacing w:line="240" w:lineRule="auto"/>
        <w:jc w:val="left"/>
      </w:pPr>
    </w:p>
    <w:p w:rsidR="005C6E3D" w:rsidRDefault="005C6E3D" w:rsidP="005C6E3D">
      <w:pPr>
        <w:spacing w:line="240" w:lineRule="auto"/>
        <w:jc w:val="left"/>
      </w:pPr>
    </w:p>
    <w:p w:rsidR="00A1728F" w:rsidRDefault="00A1728F" w:rsidP="005C6E3D">
      <w:pPr>
        <w:spacing w:line="240" w:lineRule="auto"/>
        <w:jc w:val="left"/>
      </w:pPr>
    </w:p>
    <w:p w:rsidR="005C6E3D" w:rsidRPr="001E35B6" w:rsidRDefault="00A1728F" w:rsidP="005C6E3D">
      <w:pPr>
        <w:spacing w:line="240" w:lineRule="auto"/>
        <w:rPr>
          <w:b/>
          <w:u w:val="single"/>
        </w:rPr>
      </w:pPr>
      <w:r w:rsidRPr="001E35B6">
        <w:rPr>
          <w:b/>
          <w:u w:val="single"/>
        </w:rPr>
        <w:t>ORDER GRANTING IN PART AND DENYING IN PART THE PRELIMINARY OBJECTIONS FILED BY PPL ELECTRIC UTILITIES CORPORATION</w:t>
      </w:r>
    </w:p>
    <w:p w:rsidR="00A1728F" w:rsidRDefault="00A1728F" w:rsidP="005C6E3D">
      <w:pPr>
        <w:spacing w:line="240" w:lineRule="auto"/>
        <w:rPr>
          <w:b/>
        </w:rPr>
      </w:pPr>
    </w:p>
    <w:p w:rsidR="005C6E3D" w:rsidRDefault="005C6E3D" w:rsidP="005C6E3D">
      <w:pPr>
        <w:spacing w:line="240" w:lineRule="auto"/>
        <w:rPr>
          <w:u w:val="single"/>
        </w:rPr>
      </w:pPr>
    </w:p>
    <w:p w:rsidR="005C6E3D" w:rsidRDefault="005C6E3D" w:rsidP="005C6E3D">
      <w:pPr>
        <w:jc w:val="left"/>
      </w:pPr>
      <w:r>
        <w:tab/>
      </w:r>
      <w:r>
        <w:tab/>
        <w:t>On October 9, 2013, Jeffrey and Diana Smith (Complainants) filed a formal Complaint against PPL Electric Utilities Corporation (PPL or Respondent or Company) alleging that PPL has been harassing them for the last fifteen years because of a 100 foot right-of-way running through the Complainants' property which carries a 69</w:t>
      </w:r>
      <w:r w:rsidR="00757802">
        <w:t xml:space="preserve"> </w:t>
      </w:r>
      <w:r>
        <w:t>kV transmission line.  Complainants allege that the Company has tried to widen the right-of-way beyond the 100 feet permitted in the deed which would result in the destruction of hundreds of healthy and irreplaceable trees.  The</w:t>
      </w:r>
      <w:r w:rsidR="00AE1541">
        <w:t xml:space="preserve">y claim that the </w:t>
      </w:r>
      <w:r>
        <w:t>Company has caused major damage to the Complainants' driveway and has ignored the no trespassing signs and locked gates.  Respondent purposely intimidates and harasses the Complainants, and their blatant disregard for soil erosion issues result in repeated flooding of the Complainants' basemen</w:t>
      </w:r>
      <w:r w:rsidR="00F73748">
        <w:t>t</w:t>
      </w:r>
      <w:r>
        <w:t>.  Complainants seek to have the Company's behavior cease, as well as to be compensated for the</w:t>
      </w:r>
      <w:r w:rsidR="00F73748">
        <w:t xml:space="preserve"> damages to their home's foundation, basement and well water system, and 15 years of harassment. </w:t>
      </w:r>
      <w:r w:rsidR="00757802">
        <w:t>Complainants claim that PPL</w:t>
      </w:r>
      <w:r w:rsidR="00F73748">
        <w:t xml:space="preserve"> should also be told not to change the geology of the area and not to retaliate against the Complainants, especially not by raising their electric bill which is currently over $300 per month.    </w:t>
      </w:r>
      <w:r>
        <w:t xml:space="preserve"> </w:t>
      </w:r>
    </w:p>
    <w:p w:rsidR="00F73748" w:rsidRDefault="00F73748" w:rsidP="005C6E3D">
      <w:pPr>
        <w:jc w:val="left"/>
      </w:pPr>
    </w:p>
    <w:p w:rsidR="00CC6393" w:rsidRDefault="00F73748" w:rsidP="005C6E3D">
      <w:pPr>
        <w:jc w:val="left"/>
      </w:pPr>
      <w:r>
        <w:tab/>
      </w:r>
      <w:r>
        <w:tab/>
        <w:t xml:space="preserve">The Complaint was served on November 9, 2013, and on November 27, 2013, PPL filed its Answer and New Matter as well as Preliminary Objections (POs).  The Answer states that its right-of-way permits it to operate and maintain the Quakertown 1-Upper Hanover 929 69 kV transmission line, which provides service to approximately 5,100 PPL Electric customers in Bucks and Montgomery Counties, as well as to the Boroughs of Perkasie and </w:t>
      </w:r>
      <w:r>
        <w:lastRenderedPageBreak/>
        <w:t xml:space="preserve">Quakertown.  </w:t>
      </w:r>
      <w:r w:rsidR="00CC6393">
        <w:t xml:space="preserve">The maintenance includes re-clearing the right-of-way of brush, tree removal, tree pruning, herbicide application, and the identification and removal of "danger trees," which are those located adjacent to the right-of-way and are classified as at risk of falling onto the right-of-way and striking the electric facilities.  </w:t>
      </w:r>
    </w:p>
    <w:p w:rsidR="00CC6393" w:rsidRDefault="00CC6393" w:rsidP="005C6E3D">
      <w:pPr>
        <w:jc w:val="left"/>
      </w:pPr>
    </w:p>
    <w:p w:rsidR="00F73748" w:rsidRDefault="00CC6393" w:rsidP="005C6E3D">
      <w:pPr>
        <w:jc w:val="left"/>
      </w:pPr>
      <w:r>
        <w:tab/>
      </w:r>
      <w:r>
        <w:tab/>
        <w:t>The Answer continues by stating that a 100 foot right-of-way is sufficient for a 69 kV line, and that the Company neither needs nor seeks a wider right-of-way.  When carrying out the maintenance, the Company or its contractor will attempt to contact property owners to notify them of schedule</w:t>
      </w:r>
      <w:r w:rsidR="00351FA2">
        <w:t>d</w:t>
      </w:r>
      <w:r>
        <w:t xml:space="preserve"> work in advance</w:t>
      </w:r>
      <w:r w:rsidR="00351FA2">
        <w:t>.  However, the Answer avers that the Complainants have denied PPL access to the right-of-way to perform the maintenance, despite the numerous outages due to hazard trees making contact with the transmission line that</w:t>
      </w:r>
      <w:r>
        <w:t xml:space="preserve"> </w:t>
      </w:r>
      <w:r w:rsidR="00351FA2">
        <w:t xml:space="preserve">traverses the Complainants' property.  The portion of right-of-way on Complainants' property has been accessed via the right-of-way crossing an adjacent property.  The Complainants' driveway is not used by heavy equipment, and any PPL vehicle using it would be to provide vegetation management information, not to access the right-of-way located 200 feet away.  No work which would result in soil erosion has been performed in the prior three years.  </w:t>
      </w:r>
    </w:p>
    <w:p w:rsidR="00351FA2" w:rsidRDefault="00351FA2" w:rsidP="005C6E3D">
      <w:pPr>
        <w:jc w:val="left"/>
      </w:pPr>
    </w:p>
    <w:p w:rsidR="00351FA2" w:rsidRDefault="00351FA2" w:rsidP="005C6E3D">
      <w:pPr>
        <w:jc w:val="left"/>
      </w:pPr>
      <w:r>
        <w:tab/>
      </w:r>
      <w:r>
        <w:tab/>
        <w:t xml:space="preserve">In New Matter, PPL avers that the stated claims arise from a property dispute over which the Commission does not exercise jurisdiction, including the interpretation of right-of-way and easement agreements.  In addition, the Complainants have requested relief for which the Commission has no authority to grant, including </w:t>
      </w:r>
      <w:r w:rsidR="00757802">
        <w:t xml:space="preserve">monetary </w:t>
      </w:r>
      <w:r>
        <w:t xml:space="preserve">compensation.  </w:t>
      </w:r>
    </w:p>
    <w:p w:rsidR="00757802" w:rsidRDefault="00757802" w:rsidP="005C6E3D">
      <w:pPr>
        <w:jc w:val="left"/>
      </w:pPr>
    </w:p>
    <w:p w:rsidR="00757802" w:rsidRDefault="00757802" w:rsidP="005C6E3D">
      <w:pPr>
        <w:jc w:val="left"/>
      </w:pPr>
      <w:r>
        <w:tab/>
      </w:r>
      <w:r>
        <w:tab/>
        <w:t>The POs state that the Complaint's claims of trespass, property damage, and other claims associated with the valid and irrevocable righ</w:t>
      </w:r>
      <w:r w:rsidR="006E1CE0">
        <w:t>t</w:t>
      </w:r>
      <w:r>
        <w:t>-of-way and easement agreements by and between PPL Electric and Complainants' predecessors in interest</w:t>
      </w:r>
      <w:r w:rsidR="006E1CE0">
        <w:t xml:space="preserve">, including the request for injunctive relief, are beyond the subject matter of the Commission to grant and should, therefore, be dismissed.  </w:t>
      </w:r>
    </w:p>
    <w:p w:rsidR="006E1CE0" w:rsidRDefault="006E1CE0" w:rsidP="005C6E3D">
      <w:pPr>
        <w:jc w:val="left"/>
      </w:pPr>
    </w:p>
    <w:p w:rsidR="006E1CE0" w:rsidRDefault="006E1CE0" w:rsidP="005C6E3D">
      <w:pPr>
        <w:jc w:val="left"/>
      </w:pPr>
      <w:r>
        <w:tab/>
      </w:r>
      <w:r>
        <w:tab/>
        <w:t>The time for responding to both the POs and New Matter has run</w:t>
      </w:r>
      <w:r w:rsidR="00A1728F">
        <w:t>,</w:t>
      </w:r>
      <w:r>
        <w:t xml:space="preserve"> and no responsive pleading has been filed.  </w:t>
      </w:r>
    </w:p>
    <w:p w:rsidR="006E1CE0" w:rsidRDefault="006E1CE0" w:rsidP="005C6E3D">
      <w:pPr>
        <w:jc w:val="left"/>
      </w:pPr>
    </w:p>
    <w:p w:rsidR="006E1CE0" w:rsidRDefault="006E1CE0" w:rsidP="005C6E3D">
      <w:pPr>
        <w:jc w:val="left"/>
      </w:pPr>
      <w:r>
        <w:tab/>
      </w:r>
      <w:r>
        <w:tab/>
        <w:t>On December 31, 2013, the matter was assigned to me.  The POs are ripe for disposition.</w:t>
      </w:r>
    </w:p>
    <w:p w:rsidR="006E1CE0" w:rsidRDefault="006E1CE0" w:rsidP="005C6E3D">
      <w:pPr>
        <w:jc w:val="left"/>
      </w:pPr>
    </w:p>
    <w:p w:rsidR="006E1CE0" w:rsidRDefault="006E1CE0" w:rsidP="006E1CE0">
      <w:pPr>
        <w:rPr>
          <w:u w:val="single"/>
        </w:rPr>
      </w:pPr>
      <w:r>
        <w:rPr>
          <w:u w:val="single"/>
        </w:rPr>
        <w:t>DISCUSSION</w:t>
      </w:r>
    </w:p>
    <w:p w:rsidR="006E1CE0" w:rsidRDefault="006E1CE0" w:rsidP="006E1CE0">
      <w:pPr>
        <w:rPr>
          <w:u w:val="single"/>
        </w:rPr>
      </w:pPr>
    </w:p>
    <w:p w:rsidR="006E1CE0" w:rsidRDefault="006E1CE0" w:rsidP="006E1CE0">
      <w:pPr>
        <w:jc w:val="left"/>
      </w:pPr>
      <w:r>
        <w:tab/>
      </w:r>
      <w:r>
        <w:tab/>
        <w:t xml:space="preserve">Commission preliminary objection practice is similar to Pennsylvania civil practice.  </w:t>
      </w:r>
      <w:r>
        <w:rPr>
          <w:i/>
        </w:rPr>
        <w:t xml:space="preserve">Equitable Small Transportation Interveners v. Equitable Gas Company, </w:t>
      </w:r>
      <w:r>
        <w:t xml:space="preserve">1994 </w:t>
      </w:r>
      <w:smartTag w:uri="urn:schemas-microsoft-com:office:smarttags" w:element="place">
        <w:smartTag w:uri="urn:schemas-microsoft-com:office:smarttags" w:element="State">
          <w:r>
            <w:t>Pa.</w:t>
          </w:r>
        </w:smartTag>
      </w:smartTag>
      <w:r>
        <w:t xml:space="preserve"> PUC LEXIS 69, PUC Docket N</w:t>
      </w:r>
      <w:r w:rsidR="001E35B6">
        <w:t xml:space="preserve">o. C-000935435 (July 18, 1994). </w:t>
      </w:r>
      <w:r>
        <w:t xml:space="preserve"> When considering the preliminary objection, the Commission must determine “whether the law says with certainty, based on well-pleaded factual averments . . . that no recovery or relief is possible.  </w:t>
      </w:r>
      <w:r>
        <w:rPr>
          <w:i/>
        </w:rPr>
        <w:t xml:space="preserve">P. J. S. v. Pa. State Ethics Commission, </w:t>
      </w:r>
      <w:r>
        <w:t xml:space="preserve">669 A.2d 1105 (Pa.Cmwlth. 1996).  Any doubt must be resolved in favor of the non-moving party by refusing to sustain the preliminary objections.  </w:t>
      </w:r>
      <w:r>
        <w:rPr>
          <w:i/>
        </w:rPr>
        <w:t xml:space="preserve">Boyd v. Ward, </w:t>
      </w:r>
      <w:r>
        <w:t xml:space="preserve">802 A.2d 705 (Pa.Cmwlth. 2002).”  </w:t>
      </w:r>
      <w:r w:rsidRPr="00F87999">
        <w:rPr>
          <w:i/>
        </w:rPr>
        <w:t xml:space="preserve">Dept. of Auditor General, et al. v. State Employees’ Retirement System, et al., </w:t>
      </w:r>
      <w:r>
        <w:t xml:space="preserve">836 A.2d 1053, 1064 (Pa.Cmwlth. 2003).  </w:t>
      </w:r>
      <w:r>
        <w:rPr>
          <w:i/>
        </w:rPr>
        <w:t xml:space="preserve"> </w:t>
      </w:r>
    </w:p>
    <w:p w:rsidR="006E1CE0" w:rsidRDefault="006E1CE0" w:rsidP="006E1CE0"/>
    <w:p w:rsidR="006E1CE0" w:rsidRDefault="006E1CE0" w:rsidP="006E1CE0">
      <w:pPr>
        <w:jc w:val="left"/>
      </w:pPr>
      <w:r>
        <w:tab/>
      </w:r>
      <w:r>
        <w:tab/>
        <w:t>Commission regulations regarding preliminary objections are as follows:</w:t>
      </w:r>
    </w:p>
    <w:p w:rsidR="006E1CE0" w:rsidRDefault="006E1CE0" w:rsidP="006E1CE0">
      <w:pPr>
        <w:jc w:val="left"/>
      </w:pPr>
    </w:p>
    <w:p w:rsidR="006E1CE0" w:rsidRDefault="006E1CE0" w:rsidP="006E1CE0">
      <w:pPr>
        <w:spacing w:line="240" w:lineRule="auto"/>
        <w:ind w:left="1440" w:right="1440"/>
        <w:contextualSpacing/>
        <w:jc w:val="left"/>
        <w:rPr>
          <w:b/>
        </w:rPr>
      </w:pPr>
      <w:r>
        <w:rPr>
          <w:b/>
        </w:rPr>
        <w:t>§ 5.101.  Preliminary objections.</w:t>
      </w:r>
    </w:p>
    <w:p w:rsidR="006E1CE0" w:rsidRDefault="006E1CE0" w:rsidP="006E1CE0">
      <w:pPr>
        <w:spacing w:line="240" w:lineRule="auto"/>
        <w:ind w:left="1440" w:right="1440"/>
        <w:contextualSpacing/>
        <w:jc w:val="left"/>
      </w:pPr>
      <w:r>
        <w:t>(a)</w:t>
      </w:r>
      <w:r>
        <w:tab/>
      </w:r>
      <w:r>
        <w:rPr>
          <w:i/>
        </w:rPr>
        <w:t>Grounds.</w:t>
      </w:r>
      <w: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6E1CE0" w:rsidRDefault="006E1CE0" w:rsidP="006E1CE0">
      <w:pPr>
        <w:spacing w:line="240" w:lineRule="auto"/>
        <w:ind w:left="1440" w:right="1440"/>
        <w:contextualSpacing/>
        <w:jc w:val="left"/>
        <w:rPr>
          <w:i/>
        </w:rPr>
      </w:pPr>
    </w:p>
    <w:p w:rsidR="006E1CE0" w:rsidRDefault="006E1CE0" w:rsidP="006E1CE0">
      <w:pPr>
        <w:spacing w:line="240" w:lineRule="auto"/>
        <w:ind w:left="1440" w:right="1440"/>
        <w:contextualSpacing/>
        <w:jc w:val="left"/>
      </w:pPr>
      <w:r>
        <w:t>(1)  Lack of Commission jurisdiction or improper service of the pleading initiating the proceeding.</w:t>
      </w:r>
    </w:p>
    <w:p w:rsidR="006E1CE0" w:rsidRDefault="006E1CE0" w:rsidP="006E1CE0">
      <w:pPr>
        <w:spacing w:line="240" w:lineRule="auto"/>
        <w:ind w:left="1440" w:right="1440"/>
        <w:contextualSpacing/>
        <w:jc w:val="left"/>
      </w:pPr>
    </w:p>
    <w:p w:rsidR="006E1CE0" w:rsidRDefault="006E1CE0" w:rsidP="006E1CE0">
      <w:pPr>
        <w:spacing w:line="240" w:lineRule="auto"/>
        <w:ind w:left="1440" w:right="1440"/>
        <w:contextualSpacing/>
        <w:jc w:val="left"/>
      </w:pPr>
      <w:r>
        <w:t>(2)  Failure of a pleading to conform to this chapter or the inclusion of scandalous or impertinent matter.</w:t>
      </w:r>
    </w:p>
    <w:p w:rsidR="006E1CE0" w:rsidRDefault="006E1CE0" w:rsidP="006E1CE0">
      <w:pPr>
        <w:spacing w:line="240" w:lineRule="auto"/>
        <w:ind w:left="1440" w:right="1440"/>
        <w:contextualSpacing/>
        <w:jc w:val="left"/>
      </w:pPr>
    </w:p>
    <w:p w:rsidR="006E1CE0" w:rsidRDefault="006E1CE0" w:rsidP="006E1CE0">
      <w:pPr>
        <w:spacing w:line="240" w:lineRule="auto"/>
        <w:ind w:left="1440" w:right="1440"/>
        <w:contextualSpacing/>
        <w:jc w:val="left"/>
      </w:pPr>
      <w:r>
        <w:t>(3)  Insufficient specificity of a pleading.</w:t>
      </w:r>
    </w:p>
    <w:p w:rsidR="006E1CE0" w:rsidRDefault="006E1CE0" w:rsidP="006E1CE0">
      <w:pPr>
        <w:spacing w:line="240" w:lineRule="auto"/>
        <w:ind w:left="1440" w:right="1440"/>
        <w:contextualSpacing/>
        <w:jc w:val="left"/>
      </w:pPr>
    </w:p>
    <w:p w:rsidR="006E1CE0" w:rsidRDefault="006E1CE0" w:rsidP="006E1CE0">
      <w:pPr>
        <w:spacing w:line="240" w:lineRule="auto"/>
        <w:ind w:left="1440" w:right="1440"/>
        <w:contextualSpacing/>
        <w:jc w:val="left"/>
      </w:pPr>
      <w:r>
        <w:t>(4)  Legal insufficiency of a pleading.</w:t>
      </w:r>
    </w:p>
    <w:p w:rsidR="006E1CE0" w:rsidRDefault="006E1CE0" w:rsidP="006E1CE0">
      <w:pPr>
        <w:spacing w:line="240" w:lineRule="auto"/>
        <w:ind w:left="1440" w:right="1440"/>
        <w:contextualSpacing/>
        <w:jc w:val="left"/>
      </w:pPr>
    </w:p>
    <w:p w:rsidR="006E1CE0" w:rsidRDefault="006E1CE0" w:rsidP="006E1CE0">
      <w:pPr>
        <w:spacing w:line="240" w:lineRule="auto"/>
        <w:ind w:left="1440" w:right="1440"/>
        <w:contextualSpacing/>
        <w:jc w:val="left"/>
      </w:pPr>
      <w:r>
        <w:t>(5) Lack of capacity to sue, nonjoinder of a necessary party or misjoinder of a cause of action.</w:t>
      </w:r>
    </w:p>
    <w:p w:rsidR="006E1CE0" w:rsidRDefault="006E1CE0" w:rsidP="006E1CE0">
      <w:pPr>
        <w:spacing w:line="240" w:lineRule="auto"/>
        <w:ind w:left="1440" w:right="1440"/>
        <w:contextualSpacing/>
        <w:jc w:val="left"/>
      </w:pPr>
    </w:p>
    <w:p w:rsidR="006E1CE0" w:rsidRDefault="006E1CE0" w:rsidP="006E1CE0">
      <w:pPr>
        <w:spacing w:line="240" w:lineRule="auto"/>
        <w:ind w:left="1440" w:right="1440"/>
        <w:contextualSpacing/>
        <w:jc w:val="left"/>
      </w:pPr>
      <w:r>
        <w:t>(6)  Pendency of a prior proceeding or agreement for alternative dispute resolution.</w:t>
      </w:r>
    </w:p>
    <w:p w:rsidR="006E1CE0" w:rsidRPr="00D10A1C" w:rsidRDefault="006E1CE0" w:rsidP="006E1CE0">
      <w:pPr>
        <w:spacing w:line="240" w:lineRule="auto"/>
        <w:ind w:left="1440" w:right="1440"/>
        <w:contextualSpacing/>
      </w:pPr>
      <w:r>
        <w:t>* * *</w:t>
      </w:r>
    </w:p>
    <w:p w:rsidR="006E1CE0" w:rsidRDefault="006E1CE0" w:rsidP="006E1CE0">
      <w:pPr>
        <w:spacing w:line="240" w:lineRule="auto"/>
        <w:ind w:left="1440" w:right="1440"/>
        <w:contextualSpacing/>
        <w:jc w:val="left"/>
      </w:pPr>
      <w:r>
        <w:t xml:space="preserve">52 Pa. Code § 5.101(a).  </w:t>
      </w:r>
    </w:p>
    <w:p w:rsidR="006E1CE0" w:rsidRDefault="006E1CE0" w:rsidP="006E1CE0">
      <w:pPr>
        <w:ind w:left="1440" w:right="1440"/>
        <w:jc w:val="left"/>
      </w:pPr>
    </w:p>
    <w:p w:rsidR="006E1CE0" w:rsidRPr="000B1667" w:rsidRDefault="006E1CE0" w:rsidP="006E1CE0">
      <w:pPr>
        <w:jc w:val="left"/>
        <w:rPr>
          <w:i/>
        </w:rPr>
      </w:pPr>
      <w:r w:rsidRPr="003E75C6">
        <w:tab/>
      </w:r>
      <w:r>
        <w:tab/>
      </w:r>
      <w:r w:rsidR="000B1667">
        <w:t>As Complainants did not</w:t>
      </w:r>
      <w:r w:rsidR="0047725D">
        <w:t xml:space="preserve"> file a response</w:t>
      </w:r>
      <w:r w:rsidR="000B1667">
        <w:t xml:space="preserve"> to New Matter or POs, o</w:t>
      </w:r>
      <w:r>
        <w:t xml:space="preserve">nly the facts in the Complaint can be presumed to be true in order to determine whether recovery is possible.  </w:t>
      </w:r>
      <w:r w:rsidR="000B1667">
        <w:t xml:space="preserve">As PPL points out, conclusions of law, unwarranted factual inferences, argumentative allegations and expressions of opinion need not be accepted as true.  </w:t>
      </w:r>
      <w:r w:rsidR="000B1667">
        <w:rPr>
          <w:i/>
        </w:rPr>
        <w:t xml:space="preserve">Stanton-Negley Drug Co. v. Dept. of Public Welfare, </w:t>
      </w:r>
      <w:r w:rsidR="000B1667">
        <w:t xml:space="preserve">927 A.2d 671, 673 (Pa.Cmwlth. 2007), citing </w:t>
      </w:r>
      <w:r w:rsidR="000B1667">
        <w:rPr>
          <w:i/>
        </w:rPr>
        <w:t>Meier v. Maleski,</w:t>
      </w:r>
      <w:r w:rsidR="000B1667">
        <w:t xml:space="preserve"> 648 A.2d 595 (Pa. Cmwlth. 1994). </w:t>
      </w:r>
      <w:r w:rsidR="000B1667">
        <w:rPr>
          <w:i/>
        </w:rPr>
        <w:t xml:space="preserve"> </w:t>
      </w:r>
    </w:p>
    <w:p w:rsidR="006E1CE0" w:rsidRDefault="006E1CE0" w:rsidP="006E1CE0">
      <w:pPr>
        <w:jc w:val="left"/>
      </w:pPr>
    </w:p>
    <w:p w:rsidR="006E1CE0" w:rsidRDefault="006E1CE0" w:rsidP="006E1CE0">
      <w:pPr>
        <w:jc w:val="left"/>
      </w:pPr>
      <w:r>
        <w:tab/>
      </w:r>
      <w:r>
        <w:tab/>
        <w:t xml:space="preserve">In order for Complainant to prevail, there must be a statute, regulation or order which the Commission is authorized to enforce.  The Complaint must set forth anything done or omitted to be done by PPL in violation of any law which the Commission has jurisdiction to administer.  66 Pa. C.S. § 701; 52 Pa. Code § 5.21(a).  </w:t>
      </w:r>
    </w:p>
    <w:p w:rsidR="006E1CE0" w:rsidRDefault="006E1CE0" w:rsidP="006E1CE0">
      <w:pPr>
        <w:jc w:val="left"/>
      </w:pPr>
    </w:p>
    <w:p w:rsidR="006E1CE0" w:rsidRDefault="006E1CE0" w:rsidP="006E1CE0">
      <w:pPr>
        <w:jc w:val="left"/>
      </w:pPr>
      <w:r>
        <w:tab/>
      </w:r>
      <w:r>
        <w:tab/>
      </w:r>
      <w:r w:rsidR="002B6139">
        <w:t>Re</w:t>
      </w:r>
      <w:r>
        <w:t>lief sought by the Complaint is a Commission Order directing P</w:t>
      </w:r>
      <w:r w:rsidR="00A1728F">
        <w:t>PL:  (1)</w:t>
      </w:r>
      <w:r w:rsidR="002B6139">
        <w:t xml:space="preserve"> </w:t>
      </w:r>
      <w:r w:rsidR="00A1728F">
        <w:t xml:space="preserve">to stop </w:t>
      </w:r>
      <w:r w:rsidR="002B6139">
        <w:t>trying to cut down, deface, or trespass on property that is not allotted to them in the right-of-way agreement</w:t>
      </w:r>
      <w:r w:rsidR="00A1728F">
        <w:t>; (2)</w:t>
      </w:r>
      <w:r w:rsidR="002B6139">
        <w:t xml:space="preserve"> </w:t>
      </w:r>
      <w:r w:rsidR="00A1728F">
        <w:t xml:space="preserve">to stop </w:t>
      </w:r>
      <w:r w:rsidR="002B6139">
        <w:t>harassing Complainants by phone, email and mail</w:t>
      </w:r>
      <w:r w:rsidR="00A1728F">
        <w:t>; (3)</w:t>
      </w:r>
      <w:r w:rsidR="002B6139">
        <w:t xml:space="preserve"> to pay for damages caused by soil erosion and harassment</w:t>
      </w:r>
      <w:r w:rsidR="00A1728F">
        <w:t>; a</w:t>
      </w:r>
      <w:r w:rsidR="002B6139">
        <w:t xml:space="preserve">nd </w:t>
      </w:r>
      <w:r w:rsidR="00A1728F">
        <w:t xml:space="preserve">(4) </w:t>
      </w:r>
      <w:r w:rsidR="002B6139">
        <w:t xml:space="preserve">to not retaliate against them in any way, including </w:t>
      </w:r>
      <w:r w:rsidR="00A1728F">
        <w:t xml:space="preserve">by </w:t>
      </w:r>
      <w:r w:rsidR="002B6139">
        <w:t xml:space="preserve">raising their electric bill.  </w:t>
      </w:r>
    </w:p>
    <w:p w:rsidR="002B6139" w:rsidRDefault="002B6139" w:rsidP="006E1CE0">
      <w:pPr>
        <w:jc w:val="left"/>
      </w:pPr>
    </w:p>
    <w:p w:rsidR="002B6139" w:rsidRDefault="002B6139" w:rsidP="006E1CE0">
      <w:pPr>
        <w:jc w:val="left"/>
      </w:pPr>
      <w:r>
        <w:tab/>
      </w:r>
      <w:r>
        <w:tab/>
        <w:t>The POs characterize these averments as relating to property rights and interpretation of right-of-way and easement agreements, rendering the Complaint legally insufficient.</w:t>
      </w:r>
    </w:p>
    <w:p w:rsidR="006D1BA3" w:rsidRDefault="006D1BA3" w:rsidP="006E1CE0">
      <w:pPr>
        <w:jc w:val="left"/>
      </w:pPr>
    </w:p>
    <w:p w:rsidR="006D1BA3" w:rsidRDefault="006D1BA3" w:rsidP="006E1CE0">
      <w:pPr>
        <w:jc w:val="left"/>
      </w:pPr>
      <w:r>
        <w:tab/>
      </w:r>
      <w:r>
        <w:tab/>
        <w:t xml:space="preserve">In exchange for the rights and privileges which are given to public utilities by a certificate of public convenience, utilities are required to provide a certain level of service.  </w:t>
      </w:r>
    </w:p>
    <w:p w:rsidR="006D1BA3" w:rsidRDefault="006D1BA3" w:rsidP="006D1BA3">
      <w:pPr>
        <w:contextualSpacing/>
        <w:jc w:val="left"/>
      </w:pPr>
      <w:r>
        <w:t>Section 1501 of the Public Utility Code, requires:</w:t>
      </w:r>
    </w:p>
    <w:p w:rsidR="001E35B6" w:rsidRDefault="001E35B6">
      <w:r>
        <w:br w:type="page"/>
      </w:r>
    </w:p>
    <w:p w:rsidR="006D1BA3" w:rsidRDefault="006D1BA3" w:rsidP="006D1BA3">
      <w:pPr>
        <w:spacing w:line="240" w:lineRule="auto"/>
        <w:ind w:left="1440" w:right="1440"/>
        <w:contextualSpacing/>
        <w:jc w:val="left"/>
      </w:pPr>
      <w:r>
        <w:t>Every public utility shall furnish and maintain adequate, efficient, safe, and reasonable service and facilities, and shall make all such repairs, changes, alterations, substitutions, extensions, and improvements in or to such service and facilities as shall be necessary tor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  Subject to the provisions of this part and the regulations or orders of the commission, every public utility may have reasonable rules and regulations governing the conditions under which it shall be required to render service. . . .</w:t>
      </w:r>
    </w:p>
    <w:p w:rsidR="001E35B6" w:rsidRDefault="001E35B6" w:rsidP="006D1BA3">
      <w:pPr>
        <w:spacing w:line="240" w:lineRule="auto"/>
        <w:ind w:left="1440" w:right="1440"/>
        <w:contextualSpacing/>
        <w:jc w:val="left"/>
      </w:pPr>
    </w:p>
    <w:p w:rsidR="006D1BA3" w:rsidRDefault="006D1BA3" w:rsidP="006D1BA3">
      <w:pPr>
        <w:contextualSpacing/>
        <w:jc w:val="left"/>
      </w:pPr>
      <w:r>
        <w:t>66 Pa.C.S. § 1501 (in pertinent part).</w:t>
      </w:r>
    </w:p>
    <w:p w:rsidR="006D1BA3" w:rsidRDefault="006D1BA3" w:rsidP="006D1BA3">
      <w:pPr>
        <w:contextualSpacing/>
        <w:jc w:val="left"/>
      </w:pPr>
    </w:p>
    <w:p w:rsidR="005A7233" w:rsidRDefault="006D1BA3" w:rsidP="005A7233">
      <w:pPr>
        <w:jc w:val="left"/>
      </w:pPr>
      <w:r>
        <w:tab/>
      </w:r>
      <w:r>
        <w:tab/>
        <w:t>Not all acts or functions performed by a public utility falls under the jurisdiction of the Commission.  Rather, as an administrative agency, t</w:t>
      </w:r>
      <w:r w:rsidR="006E1CE0">
        <w:t xml:space="preserve">he Commission must act within and cannot exceed its jurisdiction.  </w:t>
      </w:r>
      <w:r w:rsidR="006E1CE0">
        <w:rPr>
          <w:i/>
        </w:rPr>
        <w:t>Feingold v. Bell of PA,</w:t>
      </w:r>
      <w:r w:rsidR="006E1CE0">
        <w:t xml:space="preserve"> 383 A.2d 791 (Pa. 1977); </w:t>
      </w:r>
      <w:r w:rsidR="006E1CE0">
        <w:rPr>
          <w:i/>
        </w:rPr>
        <w:t xml:space="preserve">Loma, Inc. v. Pa. Publ. Util. Comm’n, </w:t>
      </w:r>
      <w:r w:rsidR="006E1CE0">
        <w:t xml:space="preserve">682 A.2d 425 (Pa. Cmwlth. 1996).   </w:t>
      </w:r>
      <w:r w:rsidR="00A6366D">
        <w:t>Accordingly, t</w:t>
      </w:r>
      <w:r w:rsidR="006E1CE0">
        <w:t>he Commission is not authorized to grant</w:t>
      </w:r>
      <w:r w:rsidR="00C02604">
        <w:t xml:space="preserve"> monetary damages.</w:t>
      </w:r>
      <w:r w:rsidR="006E1CE0">
        <w:t xml:space="preserve"> </w:t>
      </w:r>
      <w:r w:rsidR="006E1CE0">
        <w:rPr>
          <w:i/>
        </w:rPr>
        <w:t>Elkin v. Bell,</w:t>
      </w:r>
      <w:r w:rsidR="006E1CE0">
        <w:t xml:space="preserve"> 491 Pa. 123, 420 A.2d 371 (1980); </w:t>
      </w:r>
      <w:r w:rsidR="006E1CE0">
        <w:rPr>
          <w:i/>
        </w:rPr>
        <w:t>Feingold v. Bell of PA,</w:t>
      </w:r>
      <w:r w:rsidR="006E1CE0">
        <w:t xml:space="preserve"> 383 A.2d 791 (Pa. 1977); </w:t>
      </w:r>
      <w:r w:rsidR="006E1CE0">
        <w:rPr>
          <w:i/>
        </w:rPr>
        <w:t>Loma, Inc. v. Pa.</w:t>
      </w:r>
      <w:r w:rsidR="00C02604">
        <w:rPr>
          <w:i/>
        </w:rPr>
        <w:t xml:space="preserve"> </w:t>
      </w:r>
      <w:r w:rsidR="006E1CE0">
        <w:rPr>
          <w:i/>
        </w:rPr>
        <w:t>Pub.</w:t>
      </w:r>
      <w:r w:rsidR="00C02604">
        <w:rPr>
          <w:i/>
        </w:rPr>
        <w:t xml:space="preserve"> </w:t>
      </w:r>
      <w:r w:rsidR="006E1CE0">
        <w:rPr>
          <w:i/>
        </w:rPr>
        <w:t>Util.</w:t>
      </w:r>
      <w:r w:rsidR="00C02604">
        <w:rPr>
          <w:i/>
        </w:rPr>
        <w:t xml:space="preserve"> </w:t>
      </w:r>
      <w:r w:rsidR="006E1CE0">
        <w:rPr>
          <w:i/>
        </w:rPr>
        <w:t xml:space="preserve">Comm’n, </w:t>
      </w:r>
      <w:r w:rsidR="006E1CE0">
        <w:t xml:space="preserve">682 A.2d 425 (Pa.Cmwlth. 1996). </w:t>
      </w:r>
    </w:p>
    <w:p w:rsidR="00984FD8" w:rsidRDefault="00984FD8" w:rsidP="005A7233">
      <w:pPr>
        <w:contextualSpacing/>
        <w:jc w:val="left"/>
      </w:pPr>
    </w:p>
    <w:p w:rsidR="00984FD8" w:rsidRDefault="00C02604" w:rsidP="005A7233">
      <w:pPr>
        <w:contextualSpacing/>
        <w:jc w:val="left"/>
      </w:pPr>
      <w:r>
        <w:tab/>
      </w:r>
      <w:r>
        <w:tab/>
        <w:t>PPL points out</w:t>
      </w:r>
      <w:r w:rsidR="00984FD8">
        <w:t xml:space="preserve"> that the Commission itself has determined that it is not the proper forum for resolving property rights controversies, and that statement is correct.  The interpretation of legal instruments related to property rights, such as those granting easements and rights-of-way, are a matter for a court of general jurisdiction.  </w:t>
      </w:r>
      <w:r>
        <w:rPr>
          <w:i/>
        </w:rPr>
        <w:t xml:space="preserve">Fiorello v. PECO Energy Company, </w:t>
      </w:r>
      <w:r>
        <w:t xml:space="preserve">Docket No. C-00971088 (Order entered September 14, 1999)(the Commission found a valid right-of-way and the interpretation of that agreement was held to be a substantive property rights issues within the court of common pleas' jurisdiction); </w:t>
      </w:r>
      <w:r>
        <w:rPr>
          <w:i/>
        </w:rPr>
        <w:t xml:space="preserve">Lou Amati/Amati Service Station v. West Penn Power Co. and Bell Atlantic-Pennsylvania, Inc., </w:t>
      </w:r>
      <w:r>
        <w:t xml:space="preserve">Docket C-00945872, (Order entered October 25, 1996)(the Commission does not have subject matter jurisdiction over questions of trespass and the scope and validity of a utility's right-of-way); </w:t>
      </w:r>
      <w:r>
        <w:rPr>
          <w:i/>
        </w:rPr>
        <w:t xml:space="preserve">Edward Boczar v. PPL Electric Utilities Corporation, </w:t>
      </w:r>
      <w:r>
        <w:t xml:space="preserve">Docket No. C-20016332 (Order entered February 10, 2003)(the Commission does not have jurisdiction to determine if utility's facilities are situated within a valid right-of-way; such matters are within the exclusive jurisdiction of the Court of Common Pleas); </w:t>
      </w:r>
      <w:r w:rsidR="00984FD8">
        <w:rPr>
          <w:i/>
        </w:rPr>
        <w:t xml:space="preserve">Anne E. Perrige v. Metropolitan Edison Co., </w:t>
      </w:r>
      <w:r w:rsidR="00984FD8">
        <w:t>Docket No. C-00004110 (Order entered July 3, 2003)</w:t>
      </w:r>
      <w:r>
        <w:t xml:space="preserve">(the Commission does not have jurisdiction to determine the true location of the utility's right-of-way); </w:t>
      </w:r>
      <w:r>
        <w:rPr>
          <w:i/>
        </w:rPr>
        <w:t xml:space="preserve">Stefanoski v. Pennsylvania-American Water Co., </w:t>
      </w:r>
      <w:r>
        <w:t>Docket No. C-20078219 (Order entered September 22, 2008)(The commission does not have jurisdiction to interpret a right-of-way</w:t>
      </w:r>
      <w:r w:rsidR="00A6366D">
        <w:t>)</w:t>
      </w:r>
      <w:r>
        <w:t>.</w:t>
      </w:r>
      <w:r w:rsidR="00984FD8">
        <w:t xml:space="preserve">  </w:t>
      </w:r>
    </w:p>
    <w:p w:rsidR="006D1CA9" w:rsidRDefault="006D1CA9" w:rsidP="005A7233">
      <w:pPr>
        <w:contextualSpacing/>
        <w:jc w:val="left"/>
      </w:pPr>
    </w:p>
    <w:p w:rsidR="00C94175" w:rsidRDefault="006D1CA9" w:rsidP="005A7233">
      <w:pPr>
        <w:contextualSpacing/>
        <w:jc w:val="left"/>
      </w:pPr>
      <w:r>
        <w:tab/>
      </w:r>
      <w:r>
        <w:tab/>
        <w:t>Therefore, the POs shall be granted insofar as they seek a determination that the Commission will not award monetary damages to the Complainant and neither will the Commission interpret the right-of-way or easement instrument to determine what is does or does not grant.  However, the Complaint also alleges that the utility has acted in an unacceptable way in its dealings with Complainants.</w:t>
      </w:r>
    </w:p>
    <w:p w:rsidR="00C94175" w:rsidRDefault="006D1CA9" w:rsidP="006D1BA3">
      <w:pPr>
        <w:contextualSpacing/>
        <w:jc w:val="left"/>
      </w:pPr>
      <w:r>
        <w:tab/>
      </w:r>
      <w:r>
        <w:tab/>
      </w:r>
    </w:p>
    <w:p w:rsidR="00AA0285" w:rsidRDefault="005A7233" w:rsidP="005A7233">
      <w:pPr>
        <w:contextualSpacing/>
        <w:jc w:val="left"/>
      </w:pPr>
      <w:r>
        <w:tab/>
      </w:r>
      <w:r>
        <w:tab/>
      </w:r>
      <w:r w:rsidR="00C94175">
        <w:t>The legislature intended the Public Utility Code to preempt the field of</w:t>
      </w:r>
      <w:r w:rsidR="006D1CA9">
        <w:t xml:space="preserve"> public utility regulation against</w:t>
      </w:r>
      <w:r w:rsidR="00C94175">
        <w:t xml:space="preserve"> conflicting municipal ordinances, intending the Commission to be the sole regulator of public utilities' facilities and services</w:t>
      </w:r>
      <w:r w:rsidR="00AA0285">
        <w:t>:</w:t>
      </w:r>
    </w:p>
    <w:p w:rsidR="00AA0285" w:rsidRDefault="00AA0285" w:rsidP="005A7233">
      <w:pPr>
        <w:contextualSpacing/>
        <w:jc w:val="left"/>
      </w:pPr>
    </w:p>
    <w:p w:rsidR="006D1CA9" w:rsidRDefault="00AA0285" w:rsidP="00984FD8">
      <w:pPr>
        <w:spacing w:line="240" w:lineRule="auto"/>
        <w:ind w:left="1440" w:right="1440"/>
        <w:contextualSpacing/>
        <w:jc w:val="left"/>
      </w:pPr>
      <w:r>
        <w:t>First, we conclude publi</w:t>
      </w:r>
      <w:r w:rsidR="00C94175">
        <w:t>c utility service embraces vegetation management.  Certain acts,</w:t>
      </w:r>
      <w:r>
        <w:t xml:space="preserve"> done while rendering utility service, fall within the ambit of the PUC's jurisdiction under 66 Pa.C.S.</w:t>
      </w:r>
    </w:p>
    <w:p w:rsidR="005A7233" w:rsidRDefault="00AA0285" w:rsidP="00984FD8">
      <w:pPr>
        <w:spacing w:line="240" w:lineRule="auto"/>
        <w:ind w:left="1440" w:right="1440"/>
        <w:contextualSpacing/>
        <w:jc w:val="left"/>
      </w:pPr>
      <w:r>
        <w:t>§ 1501 over character of utility service.</w:t>
      </w:r>
      <w:r w:rsidR="00C94175">
        <w:t xml:space="preserve"> </w:t>
      </w:r>
      <w:r>
        <w:t>See W. Penn Power, 478 A.2d at 77</w:t>
      </w:r>
      <w:r w:rsidR="00984FD8">
        <w:rPr>
          <w:rStyle w:val="FootnoteReference"/>
        </w:rPr>
        <w:footnoteReference w:id="1"/>
      </w:r>
      <w:r>
        <w:t>.  In particular, vegetation management activities by an electric utility fall within the Public Utility Code's definition of service in 66 Pa. C.S. § 102.  Id.  Utility service "is not confined to the distribution of electrical energy, but includes 'any and all acts' related to that function."  Id.  (citing 66 Pa. C.S. § 102).  See also Popowsky, 652 A.2d at 1389 ("utility's maintenance of vegetation is a regulated service even though fault, either on the part of the utility or the customer, has no relevance to the existence of vegetation maintenance as a service.")</w:t>
      </w:r>
    </w:p>
    <w:p w:rsidR="007157B4" w:rsidRPr="00C94175" w:rsidRDefault="007157B4" w:rsidP="00984FD8">
      <w:pPr>
        <w:spacing w:line="240" w:lineRule="auto"/>
        <w:ind w:left="1440" w:right="1440"/>
        <w:contextualSpacing/>
        <w:jc w:val="left"/>
      </w:pPr>
    </w:p>
    <w:p w:rsidR="005A7233" w:rsidRDefault="00AA0285" w:rsidP="005A7233">
      <w:pPr>
        <w:contextualSpacing/>
        <w:jc w:val="left"/>
      </w:pPr>
      <w:r>
        <w:rPr>
          <w:i/>
        </w:rPr>
        <w:t>PECO Energy Co. v. Township of Upper Dublin, et al.,</w:t>
      </w:r>
      <w:r w:rsidR="00A6366D">
        <w:t>(</w:t>
      </w:r>
      <w:r w:rsidR="00A6366D">
        <w:rPr>
          <w:i/>
        </w:rPr>
        <w:t>PECO v. Upper Dublin),</w:t>
      </w:r>
      <w:r>
        <w:rPr>
          <w:i/>
        </w:rPr>
        <w:t xml:space="preserve"> </w:t>
      </w:r>
      <w:r>
        <w:t>922 A.2d 966 (Pa.Cmwlth. 2007),</w:t>
      </w:r>
    </w:p>
    <w:p w:rsidR="00AA0285" w:rsidRDefault="00AA0285" w:rsidP="005A7233">
      <w:pPr>
        <w:contextualSpacing/>
        <w:jc w:val="left"/>
      </w:pPr>
    </w:p>
    <w:p w:rsidR="00AA0285" w:rsidRDefault="00AA0285" w:rsidP="005A7233">
      <w:pPr>
        <w:contextualSpacing/>
        <w:jc w:val="left"/>
      </w:pPr>
      <w:r>
        <w:tab/>
      </w:r>
      <w:r>
        <w:tab/>
        <w:t xml:space="preserve">With an eye toward </w:t>
      </w:r>
      <w:r w:rsidR="008167AE">
        <w:t xml:space="preserve">promoting </w:t>
      </w:r>
      <w:r>
        <w:t>electric reliability, the Commission has promulgated regulations which require electric utilities to prepare and file a biennial plan for the maintenance of its facilities</w:t>
      </w:r>
      <w:r w:rsidR="008167AE">
        <w:t xml:space="preserve">, including vegetation clearance and records.  52 Pa.Code § 57.198(f), (m).  </w:t>
      </w:r>
      <w:r w:rsidR="00A55C0E">
        <w:t>The Commonwealth Court stated:</w:t>
      </w:r>
    </w:p>
    <w:p w:rsidR="007157B4" w:rsidRDefault="007157B4" w:rsidP="005A7233">
      <w:pPr>
        <w:contextualSpacing/>
        <w:jc w:val="left"/>
      </w:pPr>
    </w:p>
    <w:p w:rsidR="00A55C0E" w:rsidRDefault="00A55C0E" w:rsidP="00A55C0E">
      <w:pPr>
        <w:spacing w:line="240" w:lineRule="auto"/>
        <w:ind w:left="1440" w:right="1440"/>
        <w:contextualSpacing/>
        <w:jc w:val="left"/>
      </w:pPr>
      <w:r>
        <w:t>These plans, and subsequent revisions, must be accepted by the PUC.  Proposed 52 Pa. Code § 57.198(b)(c).  R.R. at 719a.  Additionally, the proposed regulations</w:t>
      </w:r>
      <w:r>
        <w:rPr>
          <w:rStyle w:val="FootnoteReference"/>
        </w:rPr>
        <w:footnoteReference w:id="2"/>
      </w:r>
      <w:r>
        <w:t xml:space="preserve"> require minimum vegetation management "treatment cycles" of four years for distribution facilities and five years for transmission facilities.  Proposed 52 Pa. Code 57.198(e)(1); R.R. at 720a.</w:t>
      </w:r>
    </w:p>
    <w:p w:rsidR="00A55C0E" w:rsidRDefault="00A55C0E" w:rsidP="00A55C0E">
      <w:pPr>
        <w:spacing w:line="240" w:lineRule="auto"/>
        <w:ind w:left="1440" w:right="1440"/>
        <w:contextualSpacing/>
        <w:jc w:val="left"/>
      </w:pPr>
      <w:r>
        <w:tab/>
        <w:t>In addition to the proposed regulations which will occupy the field of utility vegetation management, the PUC's existing electric safety and reliability regulations require electric distribution companies to operate and maintain their transmission facilities "in conformity with the applicable requirements of the National Electric Safety Code [(NESC)]."  52 Pa. Code</w:t>
      </w:r>
      <w:r w:rsidR="007157B4">
        <w:t xml:space="preserve"> § </w:t>
      </w:r>
      <w:r>
        <w:t xml:space="preserve">57.193(a).  The NESC requires an electric provider to trim or remove trees that may interfere with electric lines.  See NESC </w:t>
      </w:r>
      <w:r w:rsidR="007157B4">
        <w:t>§ </w:t>
      </w:r>
      <w:r>
        <w:t>218.A.1.</w:t>
      </w:r>
    </w:p>
    <w:p w:rsidR="008167AE" w:rsidRDefault="008167AE" w:rsidP="00A55C0E">
      <w:pPr>
        <w:spacing w:line="240" w:lineRule="auto"/>
        <w:ind w:left="1440" w:right="1440"/>
        <w:contextualSpacing/>
        <w:jc w:val="left"/>
      </w:pPr>
    </w:p>
    <w:p w:rsidR="008167AE" w:rsidRPr="00A6366D" w:rsidRDefault="00A6366D" w:rsidP="005A7233">
      <w:pPr>
        <w:contextualSpacing/>
        <w:jc w:val="left"/>
      </w:pPr>
      <w:r>
        <w:rPr>
          <w:i/>
        </w:rPr>
        <w:t>PECO v. Upper Dublin</w:t>
      </w:r>
      <w:r>
        <w:t xml:space="preserve"> at 1004.</w:t>
      </w:r>
    </w:p>
    <w:p w:rsidR="008167AE" w:rsidRDefault="008167AE" w:rsidP="005A7233">
      <w:pPr>
        <w:contextualSpacing/>
        <w:jc w:val="left"/>
      </w:pPr>
    </w:p>
    <w:p w:rsidR="00033795" w:rsidRDefault="00033795" w:rsidP="005A7233">
      <w:pPr>
        <w:contextualSpacing/>
        <w:jc w:val="left"/>
      </w:pPr>
      <w:r>
        <w:tab/>
      </w:r>
      <w:r>
        <w:tab/>
        <w:t>Although the interpretation of the easement or right-of-way instrument itself is not subject to Commission review, the manner in which vegetation management is provided falls within the definition of "service," in Section 1501</w:t>
      </w:r>
      <w:r w:rsidR="0047725D">
        <w:t>,</w:t>
      </w:r>
      <w:r>
        <w:t xml:space="preserve"> 66 Pa.C.S. § 1501</w:t>
      </w:r>
      <w:r w:rsidR="0047725D">
        <w:t>, and therefore is within the jurisdiction of the Commission</w:t>
      </w:r>
      <w:r>
        <w:t>.</w:t>
      </w:r>
    </w:p>
    <w:p w:rsidR="00033795" w:rsidRDefault="00033795" w:rsidP="005A7233">
      <w:pPr>
        <w:contextualSpacing/>
        <w:jc w:val="left"/>
      </w:pPr>
    </w:p>
    <w:p w:rsidR="005A7233" w:rsidRPr="004634EB" w:rsidRDefault="00033795" w:rsidP="005A7233">
      <w:pPr>
        <w:contextualSpacing/>
        <w:jc w:val="left"/>
      </w:pPr>
      <w:r>
        <w:tab/>
      </w:r>
      <w:r>
        <w:tab/>
      </w:r>
      <w:r w:rsidR="007157B4">
        <w:t>In</w:t>
      </w:r>
      <w:r w:rsidR="006E1CE0">
        <w:t xml:space="preserve"> </w:t>
      </w:r>
      <w:r w:rsidR="006E1CE0" w:rsidRPr="00F77FF1">
        <w:rPr>
          <w:i/>
        </w:rPr>
        <w:t>Lolly v. Duquesne Light Company</w:t>
      </w:r>
      <w:r w:rsidR="006E1CE0">
        <w:rPr>
          <w:i/>
        </w:rPr>
        <w:t xml:space="preserve">, </w:t>
      </w:r>
      <w:r w:rsidR="006E1CE0">
        <w:t xml:space="preserve">Docket No. Docket No. C-2010-2167824 (Order entered May 9, 2011), the Commission noted that where a claim for a remedy which is beyond the ability of the Commission to grant is accompanied by an allegation of a violation of the Public Utility Code, such as the failure to provide safe, adequate, reasonable or efficient service under Section 1501, 66 Pa.C.S. § 1501, the Commission may consider the allegation.  </w:t>
      </w:r>
      <w:r w:rsidR="006E1CE0">
        <w:rPr>
          <w:i/>
        </w:rPr>
        <w:t xml:space="preserve">See also </w:t>
      </w:r>
      <w:r w:rsidR="006E1CE0" w:rsidRPr="004634EB">
        <w:rPr>
          <w:i/>
        </w:rPr>
        <w:t>DeFrancesco v. Western Pennsylvania Water Co.</w:t>
      </w:r>
      <w:r w:rsidR="006E1CE0" w:rsidRPr="004634EB">
        <w:t xml:space="preserve">, 453 A.2d 595 (Pa. 1982). </w:t>
      </w:r>
      <w:r w:rsidR="005A7233">
        <w:t xml:space="preserve"> </w:t>
      </w:r>
      <w:r w:rsidR="005A7233" w:rsidRPr="00F77FF1">
        <w:rPr>
          <w:i/>
        </w:rPr>
        <w:t>Lolly v. Duquesne Light Company</w:t>
      </w:r>
      <w:r w:rsidR="005A7233">
        <w:rPr>
          <w:i/>
        </w:rPr>
        <w:t>,</w:t>
      </w:r>
      <w:r w:rsidR="005A7233" w:rsidRPr="004634EB">
        <w:t xml:space="preserve"> </w:t>
      </w:r>
      <w:r w:rsidR="005A7233">
        <w:t xml:space="preserve">Docket No. C-2010-2167824 </w:t>
      </w:r>
      <w:r w:rsidR="005A7233" w:rsidRPr="004634EB">
        <w:t>(Order entered May 9, 2011).</w:t>
      </w:r>
    </w:p>
    <w:p w:rsidR="009D0365" w:rsidRDefault="005A7233" w:rsidP="0001391A">
      <w:pPr>
        <w:contextualSpacing/>
        <w:jc w:val="left"/>
      </w:pPr>
      <w:r>
        <w:tab/>
      </w:r>
      <w:r>
        <w:tab/>
      </w:r>
      <w:r w:rsidRPr="004634EB">
        <w:t xml:space="preserve">“[i]nappropriate and unreasonable treatment to customers can be interpreted as inadequate service….”  </w:t>
      </w:r>
      <w:r w:rsidRPr="004634EB">
        <w:rPr>
          <w:i/>
        </w:rPr>
        <w:t>See, Edward T. O’Toole v. Metropolitan Edison Company</w:t>
      </w:r>
      <w:r w:rsidRPr="004634EB">
        <w:t>, Docket No. C-20030854 (Order entered May 9, 2005).</w:t>
      </w:r>
    </w:p>
    <w:p w:rsidR="0001391A" w:rsidRDefault="0001391A" w:rsidP="0001391A">
      <w:pPr>
        <w:contextualSpacing/>
        <w:jc w:val="left"/>
      </w:pPr>
    </w:p>
    <w:p w:rsidR="009D0365" w:rsidRDefault="009D0365" w:rsidP="009D0365">
      <w:pPr>
        <w:jc w:val="left"/>
      </w:pPr>
      <w:r>
        <w:tab/>
      </w:r>
      <w:r>
        <w:tab/>
        <w:t xml:space="preserve">In the present case, the remedy sought is not within the power of the Commission to grant, </w:t>
      </w:r>
      <w:r w:rsidR="0047725D">
        <w:t xml:space="preserve">but </w:t>
      </w:r>
      <w:r>
        <w:t>whether or not the utility provided adequate customer service falls squarely within the Commission's jurisdiction.  Therefore, the POs are granted insofar as they seek to clarify that the Commission will n</w:t>
      </w:r>
      <w:r w:rsidR="00033795">
        <w:t>either</w:t>
      </w:r>
      <w:r>
        <w:t xml:space="preserve"> award monetary damages to the Complainant</w:t>
      </w:r>
      <w:r w:rsidR="00033795">
        <w:t xml:space="preserve"> nor interpret the right-of-way agreement</w:t>
      </w:r>
      <w:r>
        <w:t xml:space="preserve">.  However, the POs are denied insofar as they seek dismissal of the Complaint.  It will be scheduled for a formal hearing, and the Complainant will be given an opportunity to prove that </w:t>
      </w:r>
      <w:r w:rsidR="00033795">
        <w:t>PPL</w:t>
      </w:r>
      <w:r>
        <w:t xml:space="preserve"> has provided service which is inadequate, unsafe, inefficient, and/or unreasonable.  66 Pa. C.S. § 1501.  </w:t>
      </w:r>
      <w:r w:rsidR="00033795">
        <w:t>PPL</w:t>
      </w:r>
      <w:r>
        <w:t xml:space="preserve"> is warned that a Commission finding of a violation of Section 1501 of the Public Utility Code may result in the imposition of a civil penalty.</w:t>
      </w:r>
    </w:p>
    <w:p w:rsidR="006E1CE0" w:rsidRDefault="006E1CE0" w:rsidP="006E1CE0">
      <w:pPr>
        <w:jc w:val="left"/>
      </w:pPr>
    </w:p>
    <w:p w:rsidR="006E1CE0" w:rsidRDefault="006E1CE0" w:rsidP="006E1CE0">
      <w:pPr>
        <w:jc w:val="left"/>
      </w:pPr>
      <w:r>
        <w:tab/>
      </w:r>
      <w:r>
        <w:tab/>
        <w:t xml:space="preserve">Complainants are cautioned that </w:t>
      </w:r>
      <w:r w:rsidR="00AE1541">
        <w:t xml:space="preserve">they will bear the burden of proving that specific actions of the utility </w:t>
      </w:r>
      <w:r w:rsidR="0047725D">
        <w:t xml:space="preserve">within a stated timeframe </w:t>
      </w:r>
      <w:r w:rsidR="00AE1541">
        <w:t xml:space="preserve">were violations of the statute, regulations, or orders of the Commission.  Complainants are advised that </w:t>
      </w:r>
      <w:r>
        <w:t>even if they prove that P</w:t>
      </w:r>
      <w:r w:rsidR="00033795">
        <w:t>PL</w:t>
      </w:r>
      <w:r>
        <w:t xml:space="preserve">'s behavior has fallen short of what is legally required of a public utility in terms of customer service, the Commission will </w:t>
      </w:r>
      <w:r w:rsidR="00033795">
        <w:t>only address those issues over which it exercises jurisdiction.  The remedies</w:t>
      </w:r>
      <w:r>
        <w:t xml:space="preserve"> available </w:t>
      </w:r>
      <w:r w:rsidR="00033795">
        <w:t>include the i</w:t>
      </w:r>
      <w:r>
        <w:t>mpos</w:t>
      </w:r>
      <w:r w:rsidR="00033795">
        <w:t>ition of</w:t>
      </w:r>
      <w:r>
        <w:t xml:space="preserve"> a civil penalty </w:t>
      </w:r>
      <w:r w:rsidR="00033795">
        <w:t xml:space="preserve">on the utility, </w:t>
      </w:r>
      <w:r>
        <w:t>which is payable to the Commonwealth of Pennsylvania's General Fund</w:t>
      </w:r>
      <w:r w:rsidR="00033795">
        <w:t xml:space="preserve"> (no portion of any civil penalty will be </w:t>
      </w:r>
      <w:r w:rsidR="0047725D">
        <w:t>awarded</w:t>
      </w:r>
      <w:r w:rsidR="00033795">
        <w:t xml:space="preserve"> to Complainants), and direction to the utility that it make appropriate changes to its manner of addressing Complainants, if appropriate</w:t>
      </w:r>
      <w:r>
        <w:t>.  Should the Complainants decide not to pursue this action, they may file a withdrawal of the Complaint or contact P</w:t>
      </w:r>
      <w:r w:rsidR="00033795">
        <w:t>PL</w:t>
      </w:r>
      <w:r>
        <w:t>, which will file a certificate of satisfaction.</w:t>
      </w:r>
    </w:p>
    <w:p w:rsidR="006E1CE0" w:rsidRDefault="006E1CE0" w:rsidP="006E1CE0">
      <w:pPr>
        <w:jc w:val="left"/>
      </w:pPr>
    </w:p>
    <w:p w:rsidR="0001391A" w:rsidRDefault="00033795" w:rsidP="0001391A">
      <w:pPr>
        <w:jc w:val="left"/>
      </w:pPr>
      <w:r>
        <w:tab/>
      </w:r>
      <w:r>
        <w:tab/>
      </w:r>
    </w:p>
    <w:p w:rsidR="0001391A" w:rsidRDefault="0001391A">
      <w:r>
        <w:br w:type="page"/>
      </w:r>
    </w:p>
    <w:p w:rsidR="0047725D" w:rsidRDefault="0001391A" w:rsidP="0001391A">
      <w:pPr>
        <w:jc w:val="left"/>
      </w:pPr>
      <w:r>
        <w:tab/>
      </w:r>
      <w:r>
        <w:tab/>
      </w:r>
      <w:r w:rsidR="00033795">
        <w:t>THEREFORE,</w:t>
      </w:r>
    </w:p>
    <w:p w:rsidR="0001391A" w:rsidRDefault="0001391A" w:rsidP="0001391A">
      <w:pPr>
        <w:jc w:val="left"/>
      </w:pPr>
    </w:p>
    <w:p w:rsidR="00033795" w:rsidRDefault="00033795" w:rsidP="006E1CE0">
      <w:pPr>
        <w:jc w:val="left"/>
      </w:pPr>
      <w:r>
        <w:tab/>
      </w:r>
      <w:r>
        <w:tab/>
        <w:t>IT IS ORDERED:</w:t>
      </w:r>
    </w:p>
    <w:p w:rsidR="00033795" w:rsidRDefault="00033795" w:rsidP="006E1CE0">
      <w:pPr>
        <w:jc w:val="left"/>
      </w:pPr>
    </w:p>
    <w:p w:rsidR="00033795" w:rsidRDefault="00033795" w:rsidP="006E1CE0">
      <w:pPr>
        <w:jc w:val="left"/>
      </w:pPr>
      <w:r>
        <w:tab/>
      </w:r>
      <w:r>
        <w:tab/>
        <w:t>1.</w:t>
      </w:r>
      <w:r>
        <w:tab/>
        <w:t xml:space="preserve">That the Preliminary Objections filed by PPL Electric Utilities Corporation in the case captioned </w:t>
      </w:r>
      <w:r>
        <w:rPr>
          <w:i/>
        </w:rPr>
        <w:t>Jeffrey and Diana Smith v. PPL Electric Utilities Corporation</w:t>
      </w:r>
      <w:r>
        <w:t>, Docket No. C-2013-2390683, are granted insofar as they seek a determination that the Commission will not award monetary damages to the Complainant nor interpret the right-of-way or easement instrument to determine what is does or does not grant.</w:t>
      </w:r>
    </w:p>
    <w:p w:rsidR="00033795" w:rsidRDefault="00033795" w:rsidP="006E1CE0">
      <w:pPr>
        <w:jc w:val="left"/>
      </w:pPr>
    </w:p>
    <w:p w:rsidR="00033795" w:rsidRDefault="00033795" w:rsidP="006E1CE0">
      <w:pPr>
        <w:jc w:val="left"/>
      </w:pPr>
      <w:r>
        <w:tab/>
      </w:r>
      <w:r>
        <w:tab/>
        <w:t>2.</w:t>
      </w:r>
      <w:r>
        <w:tab/>
        <w:t xml:space="preserve">That the Preliminary Objections filed by PPL Electric Utilities Corporation in the case captioned </w:t>
      </w:r>
      <w:r>
        <w:rPr>
          <w:i/>
        </w:rPr>
        <w:t>Jeffrey and Diana Smith v. PPL Electric Utilities Corporation</w:t>
      </w:r>
      <w:r>
        <w:t>, Docket No. C-2013-2390683</w:t>
      </w:r>
      <w:r w:rsidR="00AE1541">
        <w:t>, are denied insofar as they seek dismissal of the Complaint.</w:t>
      </w:r>
    </w:p>
    <w:p w:rsidR="00AE1541" w:rsidRDefault="00AE1541" w:rsidP="006E1CE0">
      <w:pPr>
        <w:jc w:val="left"/>
      </w:pPr>
    </w:p>
    <w:p w:rsidR="00AE1541" w:rsidRDefault="00AE1541" w:rsidP="006E1CE0">
      <w:pPr>
        <w:jc w:val="left"/>
      </w:pPr>
      <w:r>
        <w:tab/>
      </w:r>
      <w:r>
        <w:tab/>
        <w:t>3.</w:t>
      </w:r>
      <w:r>
        <w:tab/>
        <w:t>That this matter be set for hearing.</w:t>
      </w:r>
    </w:p>
    <w:p w:rsidR="0047725D" w:rsidRDefault="0047725D" w:rsidP="006E1CE0">
      <w:pPr>
        <w:jc w:val="left"/>
      </w:pPr>
    </w:p>
    <w:p w:rsidR="00AE1541" w:rsidRDefault="00AE1541" w:rsidP="006E1CE0">
      <w:pPr>
        <w:jc w:val="left"/>
      </w:pPr>
    </w:p>
    <w:p w:rsidR="00AE1541" w:rsidRDefault="00AE1541" w:rsidP="00AE1541">
      <w:pPr>
        <w:spacing w:line="240" w:lineRule="auto"/>
        <w:jc w:val="left"/>
      </w:pPr>
      <w:r>
        <w:t>Dated:</w:t>
      </w:r>
      <w:r>
        <w:tab/>
      </w:r>
      <w:r>
        <w:rPr>
          <w:u w:val="single"/>
        </w:rPr>
        <w:t>January 7, 2013</w:t>
      </w:r>
      <w:r>
        <w:tab/>
      </w:r>
      <w:r>
        <w:tab/>
      </w:r>
      <w:r>
        <w:tab/>
      </w:r>
      <w:r>
        <w:tab/>
      </w:r>
      <w:r>
        <w:tab/>
        <w:t>_____________________________</w:t>
      </w:r>
    </w:p>
    <w:p w:rsidR="00AE1541" w:rsidRDefault="00AE1541" w:rsidP="00AE1541">
      <w:pPr>
        <w:spacing w:line="240" w:lineRule="auto"/>
        <w:jc w:val="left"/>
      </w:pPr>
      <w:r>
        <w:tab/>
      </w:r>
      <w:r>
        <w:tab/>
      </w:r>
      <w:r>
        <w:tab/>
      </w:r>
      <w:r>
        <w:tab/>
      </w:r>
      <w:r>
        <w:tab/>
      </w:r>
      <w:r>
        <w:tab/>
      </w:r>
      <w:r>
        <w:tab/>
      </w:r>
      <w:r>
        <w:tab/>
        <w:t>Susan D. Colwell</w:t>
      </w:r>
    </w:p>
    <w:p w:rsidR="00AE1541" w:rsidRDefault="00AE1541" w:rsidP="00AE1541">
      <w:pPr>
        <w:spacing w:line="240" w:lineRule="auto"/>
        <w:jc w:val="left"/>
      </w:pPr>
      <w:r>
        <w:tab/>
      </w:r>
      <w:r>
        <w:tab/>
      </w:r>
      <w:r>
        <w:tab/>
      </w:r>
      <w:r>
        <w:tab/>
      </w:r>
      <w:r>
        <w:tab/>
      </w:r>
      <w:r>
        <w:tab/>
      </w:r>
      <w:r>
        <w:tab/>
      </w:r>
      <w:r>
        <w:tab/>
        <w:t>Administrative Law Judge</w:t>
      </w:r>
    </w:p>
    <w:p w:rsidR="0001391A" w:rsidRDefault="0001391A" w:rsidP="00AE1541">
      <w:pPr>
        <w:spacing w:line="240" w:lineRule="auto"/>
        <w:jc w:val="left"/>
      </w:pPr>
    </w:p>
    <w:p w:rsidR="0001391A" w:rsidRDefault="0001391A" w:rsidP="00AE1541">
      <w:pPr>
        <w:spacing w:line="240" w:lineRule="auto"/>
        <w:jc w:val="left"/>
        <w:sectPr w:rsidR="0001391A" w:rsidSect="00AE1541">
          <w:footerReference w:type="default" r:id="rId8"/>
          <w:pgSz w:w="12240" w:h="15840"/>
          <w:pgMar w:top="1440" w:right="1440" w:bottom="1440" w:left="1440" w:header="720" w:footer="720" w:gutter="0"/>
          <w:cols w:space="720"/>
          <w:titlePg/>
          <w:docGrid w:linePitch="360"/>
        </w:sectPr>
      </w:pPr>
    </w:p>
    <w:p w:rsidR="0001391A" w:rsidRDefault="0001391A" w:rsidP="0001391A">
      <w:pPr>
        <w:spacing w:line="240" w:lineRule="auto"/>
        <w:contextualSpacing/>
        <w:jc w:val="left"/>
        <w:rPr>
          <w:rFonts w:ascii="Microsoft Sans Serif"/>
        </w:rPr>
      </w:pPr>
      <w:r>
        <w:rPr>
          <w:rFonts w:ascii="Microsoft Sans Serif"/>
          <w:b/>
          <w:u w:val="single"/>
        </w:rPr>
        <w:t>C-2013-2390683 - JEFFREY &amp; DIANA SMITH v. PPL ELECTRIC UTILITIES CORP</w:t>
      </w:r>
      <w:r>
        <w:rPr>
          <w:rFonts w:ascii="Microsoft Sans Serif"/>
          <w:b/>
          <w:u w:val="single"/>
        </w:rPr>
        <w:cr/>
      </w:r>
      <w:r>
        <w:rPr>
          <w:rFonts w:ascii="Microsoft Sans Serif"/>
          <w:b/>
          <w:u w:val="single"/>
        </w:rPr>
        <w:cr/>
      </w:r>
      <w:r>
        <w:rPr>
          <w:rFonts w:ascii="Microsoft Sans Serif"/>
        </w:rPr>
        <w:t>JESSICA R ROGERS ESQUIRE</w:t>
      </w:r>
      <w:r>
        <w:rPr>
          <w:rFonts w:ascii="Microsoft Sans Serif"/>
        </w:rPr>
        <w:cr/>
        <w:t>P</w:t>
      </w:r>
      <w:r>
        <w:rPr>
          <w:rFonts w:ascii="Microsoft Sans Serif"/>
        </w:rPr>
        <w:t>OST &amp; SCHELL</w:t>
      </w:r>
      <w:r>
        <w:rPr>
          <w:rFonts w:ascii="Microsoft Sans Serif"/>
        </w:rPr>
        <w:cr/>
        <w:t>17 N</w:t>
      </w:r>
      <w:r>
        <w:rPr>
          <w:rFonts w:ascii="Microsoft Sans Serif"/>
        </w:rPr>
        <w:t xml:space="preserve"> SECOND STREET</w:t>
      </w:r>
      <w:r>
        <w:rPr>
          <w:rFonts w:ascii="Microsoft Sans Serif"/>
        </w:rPr>
        <w:t xml:space="preserve"> </w:t>
      </w:r>
      <w:r>
        <w:rPr>
          <w:rFonts w:ascii="Microsoft Sans Serif"/>
        </w:rPr>
        <w:t>12TH FL</w:t>
      </w:r>
      <w:r>
        <w:rPr>
          <w:rFonts w:ascii="Microsoft Sans Serif"/>
        </w:rPr>
        <w:t xml:space="preserve"> </w:t>
      </w:r>
      <w:r>
        <w:rPr>
          <w:rFonts w:ascii="Microsoft Sans Serif"/>
        </w:rPr>
        <w:cr/>
        <w:t>HARRISBURG PA  17101-1601</w:t>
      </w:r>
      <w:r>
        <w:rPr>
          <w:rFonts w:ascii="Microsoft Sans Serif"/>
        </w:rPr>
        <w:cr/>
        <w:t>717-612-6018</w:t>
      </w:r>
    </w:p>
    <w:p w:rsidR="0001391A" w:rsidRDefault="0001391A" w:rsidP="0001391A">
      <w:pPr>
        <w:spacing w:line="240" w:lineRule="auto"/>
        <w:contextualSpacing/>
        <w:jc w:val="left"/>
        <w:rPr>
          <w:rFonts w:ascii="Microsoft Sans Serif"/>
          <w:b/>
          <w:i/>
        </w:rPr>
      </w:pPr>
      <w:r w:rsidRPr="00B51057">
        <w:rPr>
          <w:rFonts w:ascii="Microsoft Sans Serif"/>
          <w:b/>
          <w:i/>
        </w:rPr>
        <w:t>E-Serve</w:t>
      </w:r>
      <w:r w:rsidRPr="00B51057">
        <w:rPr>
          <w:rFonts w:ascii="Microsoft Sans Serif"/>
          <w:b/>
          <w:i/>
        </w:rPr>
        <w:cr/>
      </w:r>
    </w:p>
    <w:p w:rsidR="0001391A" w:rsidRPr="00B51057" w:rsidRDefault="0001391A" w:rsidP="0001391A">
      <w:pPr>
        <w:spacing w:line="240" w:lineRule="auto"/>
        <w:contextualSpacing/>
        <w:jc w:val="left"/>
        <w:rPr>
          <w:rFonts w:ascii="Microsoft Sans Serif"/>
          <w:b/>
          <w:i/>
        </w:rPr>
      </w:pPr>
    </w:p>
    <w:p w:rsidR="0001391A" w:rsidRDefault="0001391A" w:rsidP="0001391A">
      <w:pPr>
        <w:spacing w:line="240" w:lineRule="auto"/>
        <w:contextualSpacing/>
        <w:jc w:val="left"/>
      </w:pPr>
      <w:r>
        <w:rPr>
          <w:rFonts w:ascii="Microsoft Sans Serif"/>
        </w:rPr>
        <w:t>JEFFREY &amp; DIANA SMITH</w:t>
      </w:r>
      <w:r>
        <w:rPr>
          <w:rFonts w:ascii="Microsoft Sans Serif"/>
        </w:rPr>
        <w:cr/>
        <w:t>1660 UPPER RIDGE RD</w:t>
      </w:r>
      <w:r>
        <w:rPr>
          <w:rFonts w:ascii="Microsoft Sans Serif"/>
        </w:rPr>
        <w:cr/>
        <w:t>PENNSBURG PA  18073</w:t>
      </w:r>
      <w:r>
        <w:rPr>
          <w:rFonts w:ascii="Microsoft Sans Serif"/>
        </w:rPr>
        <w:cr/>
        <w:t>215-541-1130</w:t>
      </w:r>
      <w:r>
        <w:rPr>
          <w:rFonts w:ascii="Microsoft Sans Serif"/>
        </w:rPr>
        <w:cr/>
      </w:r>
    </w:p>
    <w:p w:rsidR="0001391A" w:rsidRPr="00AE1541" w:rsidRDefault="0001391A" w:rsidP="00AE1541">
      <w:pPr>
        <w:spacing w:line="240" w:lineRule="auto"/>
        <w:jc w:val="left"/>
      </w:pPr>
      <w:bookmarkStart w:id="0" w:name="_GoBack"/>
      <w:bookmarkEnd w:id="0"/>
    </w:p>
    <w:sectPr w:rsidR="0001391A" w:rsidRPr="00AE154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5FD" w:rsidRDefault="00F175FD" w:rsidP="00A55C0E">
      <w:pPr>
        <w:spacing w:line="240" w:lineRule="auto"/>
      </w:pPr>
      <w:r>
        <w:separator/>
      </w:r>
    </w:p>
  </w:endnote>
  <w:endnote w:type="continuationSeparator" w:id="0">
    <w:p w:rsidR="00F175FD" w:rsidRDefault="00F175FD" w:rsidP="00A55C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5475439"/>
      <w:docPartObj>
        <w:docPartGallery w:val="Page Numbers (Bottom of Page)"/>
        <w:docPartUnique/>
      </w:docPartObj>
    </w:sdtPr>
    <w:sdtEndPr>
      <w:rPr>
        <w:noProof/>
        <w:sz w:val="20"/>
        <w:szCs w:val="20"/>
      </w:rPr>
    </w:sdtEndPr>
    <w:sdtContent>
      <w:p w:rsidR="00AE1541" w:rsidRPr="001E35B6" w:rsidRDefault="00AE1541">
        <w:pPr>
          <w:pStyle w:val="Footer"/>
          <w:rPr>
            <w:sz w:val="20"/>
            <w:szCs w:val="20"/>
          </w:rPr>
        </w:pPr>
        <w:r w:rsidRPr="001E35B6">
          <w:rPr>
            <w:sz w:val="20"/>
            <w:szCs w:val="20"/>
          </w:rPr>
          <w:fldChar w:fldCharType="begin"/>
        </w:r>
        <w:r w:rsidRPr="001E35B6">
          <w:rPr>
            <w:sz w:val="20"/>
            <w:szCs w:val="20"/>
          </w:rPr>
          <w:instrText xml:space="preserve"> PAGE   \* MERGEFORMAT </w:instrText>
        </w:r>
        <w:r w:rsidRPr="001E35B6">
          <w:rPr>
            <w:sz w:val="20"/>
            <w:szCs w:val="20"/>
          </w:rPr>
          <w:fldChar w:fldCharType="separate"/>
        </w:r>
        <w:r w:rsidR="00446CDB">
          <w:rPr>
            <w:noProof/>
            <w:sz w:val="20"/>
            <w:szCs w:val="20"/>
          </w:rPr>
          <w:t>9</w:t>
        </w:r>
        <w:r w:rsidRPr="001E35B6">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91A" w:rsidRPr="001E35B6" w:rsidRDefault="0001391A">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5FD" w:rsidRDefault="00F175FD" w:rsidP="007157B4">
      <w:pPr>
        <w:spacing w:line="240" w:lineRule="auto"/>
        <w:jc w:val="left"/>
      </w:pPr>
      <w:r>
        <w:separator/>
      </w:r>
    </w:p>
  </w:footnote>
  <w:footnote w:type="continuationSeparator" w:id="0">
    <w:p w:rsidR="00F175FD" w:rsidRDefault="00F175FD" w:rsidP="00A55C0E">
      <w:pPr>
        <w:spacing w:line="240" w:lineRule="auto"/>
      </w:pPr>
      <w:r>
        <w:continuationSeparator/>
      </w:r>
    </w:p>
  </w:footnote>
  <w:footnote w:id="1">
    <w:p w:rsidR="00984FD8" w:rsidRPr="00984FD8" w:rsidRDefault="00984FD8" w:rsidP="00984FD8">
      <w:pPr>
        <w:pStyle w:val="FootnoteText"/>
        <w:jc w:val="left"/>
      </w:pPr>
      <w:r>
        <w:rPr>
          <w:rStyle w:val="FootnoteReference"/>
        </w:rPr>
        <w:footnoteRef/>
      </w:r>
      <w:r>
        <w:t xml:space="preserve"> </w:t>
      </w:r>
      <w:r w:rsidR="007157B4">
        <w:tab/>
      </w:r>
      <w:r>
        <w:rPr>
          <w:i/>
        </w:rPr>
        <w:t xml:space="preserve">West Penn Power v. Pa. Pub. Util. Comm'n, </w:t>
      </w:r>
      <w:r>
        <w:t>578 A.2d 75 (Pa.Cmwlth. 1990).</w:t>
      </w:r>
    </w:p>
  </w:footnote>
  <w:footnote w:id="2">
    <w:p w:rsidR="00A55C0E" w:rsidRDefault="00A55C0E" w:rsidP="00A55C0E">
      <w:pPr>
        <w:pStyle w:val="FootnoteText"/>
        <w:jc w:val="left"/>
      </w:pPr>
      <w:r>
        <w:rPr>
          <w:rStyle w:val="FootnoteReference"/>
        </w:rPr>
        <w:footnoteRef/>
      </w:r>
      <w:r>
        <w:t xml:space="preserve"> </w:t>
      </w:r>
      <w:r w:rsidR="007157B4">
        <w:tab/>
      </w:r>
      <w:r>
        <w:t>The regulations were proposed at the time of the Commonwealth Court decision but have become effective.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E3D"/>
    <w:rsid w:val="00001E3A"/>
    <w:rsid w:val="00001EF6"/>
    <w:rsid w:val="000028EA"/>
    <w:rsid w:val="00003D11"/>
    <w:rsid w:val="00004AA3"/>
    <w:rsid w:val="00005558"/>
    <w:rsid w:val="000079FE"/>
    <w:rsid w:val="00012104"/>
    <w:rsid w:val="00012655"/>
    <w:rsid w:val="0001305A"/>
    <w:rsid w:val="0001391A"/>
    <w:rsid w:val="00016E55"/>
    <w:rsid w:val="0002023D"/>
    <w:rsid w:val="00020760"/>
    <w:rsid w:val="0002105C"/>
    <w:rsid w:val="0002110E"/>
    <w:rsid w:val="00022B3F"/>
    <w:rsid w:val="00025D7A"/>
    <w:rsid w:val="000304BF"/>
    <w:rsid w:val="00032379"/>
    <w:rsid w:val="0003306B"/>
    <w:rsid w:val="00033303"/>
    <w:rsid w:val="00033795"/>
    <w:rsid w:val="000338CD"/>
    <w:rsid w:val="000349FE"/>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667"/>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BB3"/>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5B6"/>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6139"/>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3D9F"/>
    <w:rsid w:val="00334F62"/>
    <w:rsid w:val="00336496"/>
    <w:rsid w:val="003364EB"/>
    <w:rsid w:val="00336CE8"/>
    <w:rsid w:val="003425CF"/>
    <w:rsid w:val="0034272B"/>
    <w:rsid w:val="00342BFE"/>
    <w:rsid w:val="00344C34"/>
    <w:rsid w:val="00345C65"/>
    <w:rsid w:val="00346679"/>
    <w:rsid w:val="003470E8"/>
    <w:rsid w:val="0035100D"/>
    <w:rsid w:val="00351FA2"/>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DB"/>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118F"/>
    <w:rsid w:val="0047725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A7233"/>
    <w:rsid w:val="005B3D45"/>
    <w:rsid w:val="005B78C4"/>
    <w:rsid w:val="005C373B"/>
    <w:rsid w:val="005C3DD2"/>
    <w:rsid w:val="005C4AAA"/>
    <w:rsid w:val="005C610A"/>
    <w:rsid w:val="005C6E3D"/>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241C"/>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BA3"/>
    <w:rsid w:val="006D1CA9"/>
    <w:rsid w:val="006D1E5C"/>
    <w:rsid w:val="006D2C14"/>
    <w:rsid w:val="006D3945"/>
    <w:rsid w:val="006D4C15"/>
    <w:rsid w:val="006D7692"/>
    <w:rsid w:val="006E1753"/>
    <w:rsid w:val="006E1CE0"/>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57B4"/>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57802"/>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7AE"/>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4FD8"/>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0365"/>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1728F"/>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5C0E"/>
    <w:rsid w:val="00A57796"/>
    <w:rsid w:val="00A57AB1"/>
    <w:rsid w:val="00A635D9"/>
    <w:rsid w:val="00A6366D"/>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285"/>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541"/>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3FC5"/>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604"/>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4175"/>
    <w:rsid w:val="00C95318"/>
    <w:rsid w:val="00C95A99"/>
    <w:rsid w:val="00C96497"/>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639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314E"/>
    <w:rsid w:val="00F1597D"/>
    <w:rsid w:val="00F16EF8"/>
    <w:rsid w:val="00F16FAB"/>
    <w:rsid w:val="00F170B7"/>
    <w:rsid w:val="00F175FD"/>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3748"/>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55C0E"/>
    <w:pPr>
      <w:spacing w:line="240" w:lineRule="auto"/>
    </w:pPr>
    <w:rPr>
      <w:sz w:val="20"/>
      <w:szCs w:val="20"/>
    </w:rPr>
  </w:style>
  <w:style w:type="character" w:customStyle="1" w:styleId="FootnoteTextChar">
    <w:name w:val="Footnote Text Char"/>
    <w:basedOn w:val="DefaultParagraphFont"/>
    <w:link w:val="FootnoteText"/>
    <w:uiPriority w:val="99"/>
    <w:semiHidden/>
    <w:rsid w:val="00A55C0E"/>
    <w:rPr>
      <w:sz w:val="20"/>
      <w:szCs w:val="20"/>
    </w:rPr>
  </w:style>
  <w:style w:type="character" w:styleId="FootnoteReference">
    <w:name w:val="footnote reference"/>
    <w:basedOn w:val="DefaultParagraphFont"/>
    <w:uiPriority w:val="99"/>
    <w:semiHidden/>
    <w:unhideWhenUsed/>
    <w:rsid w:val="00A55C0E"/>
    <w:rPr>
      <w:vertAlign w:val="superscript"/>
    </w:rPr>
  </w:style>
  <w:style w:type="paragraph" w:styleId="Header">
    <w:name w:val="header"/>
    <w:basedOn w:val="Normal"/>
    <w:link w:val="HeaderChar"/>
    <w:uiPriority w:val="99"/>
    <w:unhideWhenUsed/>
    <w:rsid w:val="00AE1541"/>
    <w:pPr>
      <w:tabs>
        <w:tab w:val="center" w:pos="4680"/>
        <w:tab w:val="right" w:pos="9360"/>
      </w:tabs>
      <w:spacing w:line="240" w:lineRule="auto"/>
    </w:pPr>
  </w:style>
  <w:style w:type="character" w:customStyle="1" w:styleId="HeaderChar">
    <w:name w:val="Header Char"/>
    <w:basedOn w:val="DefaultParagraphFont"/>
    <w:link w:val="Header"/>
    <w:uiPriority w:val="99"/>
    <w:rsid w:val="00AE1541"/>
  </w:style>
  <w:style w:type="paragraph" w:styleId="Footer">
    <w:name w:val="footer"/>
    <w:basedOn w:val="Normal"/>
    <w:link w:val="FooterChar"/>
    <w:uiPriority w:val="99"/>
    <w:unhideWhenUsed/>
    <w:rsid w:val="00AE1541"/>
    <w:pPr>
      <w:tabs>
        <w:tab w:val="center" w:pos="4680"/>
        <w:tab w:val="right" w:pos="9360"/>
      </w:tabs>
      <w:spacing w:line="240" w:lineRule="auto"/>
    </w:pPr>
  </w:style>
  <w:style w:type="character" w:customStyle="1" w:styleId="FooterChar">
    <w:name w:val="Footer Char"/>
    <w:basedOn w:val="DefaultParagraphFont"/>
    <w:link w:val="Footer"/>
    <w:uiPriority w:val="99"/>
    <w:rsid w:val="00AE1541"/>
  </w:style>
  <w:style w:type="paragraph" w:styleId="BalloonText">
    <w:name w:val="Balloon Text"/>
    <w:basedOn w:val="Normal"/>
    <w:link w:val="BalloonTextChar"/>
    <w:uiPriority w:val="99"/>
    <w:semiHidden/>
    <w:unhideWhenUsed/>
    <w:rsid w:val="004772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2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55C0E"/>
    <w:pPr>
      <w:spacing w:line="240" w:lineRule="auto"/>
    </w:pPr>
    <w:rPr>
      <w:sz w:val="20"/>
      <w:szCs w:val="20"/>
    </w:rPr>
  </w:style>
  <w:style w:type="character" w:customStyle="1" w:styleId="FootnoteTextChar">
    <w:name w:val="Footnote Text Char"/>
    <w:basedOn w:val="DefaultParagraphFont"/>
    <w:link w:val="FootnoteText"/>
    <w:uiPriority w:val="99"/>
    <w:semiHidden/>
    <w:rsid w:val="00A55C0E"/>
    <w:rPr>
      <w:sz w:val="20"/>
      <w:szCs w:val="20"/>
    </w:rPr>
  </w:style>
  <w:style w:type="character" w:styleId="FootnoteReference">
    <w:name w:val="footnote reference"/>
    <w:basedOn w:val="DefaultParagraphFont"/>
    <w:uiPriority w:val="99"/>
    <w:semiHidden/>
    <w:unhideWhenUsed/>
    <w:rsid w:val="00A55C0E"/>
    <w:rPr>
      <w:vertAlign w:val="superscript"/>
    </w:rPr>
  </w:style>
  <w:style w:type="paragraph" w:styleId="Header">
    <w:name w:val="header"/>
    <w:basedOn w:val="Normal"/>
    <w:link w:val="HeaderChar"/>
    <w:uiPriority w:val="99"/>
    <w:unhideWhenUsed/>
    <w:rsid w:val="00AE1541"/>
    <w:pPr>
      <w:tabs>
        <w:tab w:val="center" w:pos="4680"/>
        <w:tab w:val="right" w:pos="9360"/>
      </w:tabs>
      <w:spacing w:line="240" w:lineRule="auto"/>
    </w:pPr>
  </w:style>
  <w:style w:type="character" w:customStyle="1" w:styleId="HeaderChar">
    <w:name w:val="Header Char"/>
    <w:basedOn w:val="DefaultParagraphFont"/>
    <w:link w:val="Header"/>
    <w:uiPriority w:val="99"/>
    <w:rsid w:val="00AE1541"/>
  </w:style>
  <w:style w:type="paragraph" w:styleId="Footer">
    <w:name w:val="footer"/>
    <w:basedOn w:val="Normal"/>
    <w:link w:val="FooterChar"/>
    <w:uiPriority w:val="99"/>
    <w:unhideWhenUsed/>
    <w:rsid w:val="00AE1541"/>
    <w:pPr>
      <w:tabs>
        <w:tab w:val="center" w:pos="4680"/>
        <w:tab w:val="right" w:pos="9360"/>
      </w:tabs>
      <w:spacing w:line="240" w:lineRule="auto"/>
    </w:pPr>
  </w:style>
  <w:style w:type="character" w:customStyle="1" w:styleId="FooterChar">
    <w:name w:val="Footer Char"/>
    <w:basedOn w:val="DefaultParagraphFont"/>
    <w:link w:val="Footer"/>
    <w:uiPriority w:val="99"/>
    <w:rsid w:val="00AE1541"/>
  </w:style>
  <w:style w:type="paragraph" w:styleId="BalloonText">
    <w:name w:val="Balloon Text"/>
    <w:basedOn w:val="Normal"/>
    <w:link w:val="BalloonTextChar"/>
    <w:uiPriority w:val="99"/>
    <w:semiHidden/>
    <w:unhideWhenUsed/>
    <w:rsid w:val="004772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2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D9F81-24D7-4414-98BD-04A7748B2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2612</Words>
  <Characters>14895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4</cp:revision>
  <cp:lastPrinted>2014-01-07T14:48:00Z</cp:lastPrinted>
  <dcterms:created xsi:type="dcterms:W3CDTF">2014-01-07T17:48:00Z</dcterms:created>
  <dcterms:modified xsi:type="dcterms:W3CDTF">2014-01-07T18:07:00Z</dcterms:modified>
</cp:coreProperties>
</file>