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8C6145" w:rsidRDefault="00124E02" w:rsidP="00391F40">
      <w:pPr>
        <w:pStyle w:val="TxBrc2"/>
        <w:spacing w:line="240" w:lineRule="auto"/>
        <w:ind w:firstLine="0"/>
        <w:rPr>
          <w:b/>
          <w:szCs w:val="26"/>
        </w:rPr>
      </w:pPr>
      <w:r w:rsidRPr="008C6145">
        <w:rPr>
          <w:b/>
          <w:szCs w:val="26"/>
        </w:rPr>
        <w:t>PENNSYLVANIA</w:t>
      </w:r>
    </w:p>
    <w:p w:rsidR="007C4D87" w:rsidRPr="008C6145" w:rsidRDefault="007C4D87" w:rsidP="00391F40">
      <w:pPr>
        <w:pStyle w:val="TxBrc2"/>
        <w:spacing w:line="240" w:lineRule="auto"/>
        <w:ind w:firstLine="0"/>
        <w:rPr>
          <w:b/>
          <w:szCs w:val="26"/>
        </w:rPr>
      </w:pPr>
      <w:r w:rsidRPr="008C6145">
        <w:rPr>
          <w:b/>
          <w:szCs w:val="26"/>
        </w:rPr>
        <w:t>PUBLIC UTILITY COMMISSION</w:t>
      </w:r>
    </w:p>
    <w:p w:rsidR="007C4D87" w:rsidRPr="008C6145" w:rsidRDefault="00124E02" w:rsidP="00391F40">
      <w:pPr>
        <w:pStyle w:val="TxBrc2"/>
        <w:spacing w:line="240" w:lineRule="auto"/>
        <w:ind w:firstLine="0"/>
        <w:rPr>
          <w:b/>
          <w:szCs w:val="26"/>
        </w:rPr>
      </w:pPr>
      <w:r w:rsidRPr="008C6145">
        <w:rPr>
          <w:b/>
          <w:szCs w:val="26"/>
        </w:rPr>
        <w:t>Harrisburg, PA 17105</w:t>
      </w:r>
    </w:p>
    <w:p w:rsidR="007C4D87" w:rsidRPr="008C6145" w:rsidRDefault="007C4D87" w:rsidP="007C4D87">
      <w:pPr>
        <w:pStyle w:val="TxBrc2"/>
        <w:spacing w:line="240" w:lineRule="auto"/>
        <w:rPr>
          <w:szCs w:val="26"/>
        </w:rPr>
      </w:pPr>
    </w:p>
    <w:p w:rsidR="007C4D87" w:rsidRPr="008C6145" w:rsidRDefault="007C4D87" w:rsidP="007C4D87">
      <w:pPr>
        <w:pStyle w:val="TxBrc2"/>
        <w:spacing w:line="240" w:lineRule="auto"/>
        <w:rPr>
          <w:szCs w:val="26"/>
        </w:rPr>
      </w:pPr>
    </w:p>
    <w:p w:rsidR="007C4D87" w:rsidRPr="008C6145" w:rsidRDefault="007D5D09" w:rsidP="007C4D87">
      <w:pPr>
        <w:pStyle w:val="TxBrc2"/>
        <w:spacing w:line="240" w:lineRule="auto"/>
        <w:jc w:val="right"/>
        <w:rPr>
          <w:szCs w:val="26"/>
        </w:rPr>
      </w:pPr>
      <w:r w:rsidRPr="008C6145">
        <w:rPr>
          <w:szCs w:val="26"/>
        </w:rPr>
        <w:t>Public Meeting held</w:t>
      </w:r>
      <w:r w:rsidR="00863C81" w:rsidRPr="008C6145">
        <w:rPr>
          <w:szCs w:val="26"/>
        </w:rPr>
        <w:t xml:space="preserve"> </w:t>
      </w:r>
      <w:r w:rsidR="001A6CB1">
        <w:rPr>
          <w:szCs w:val="26"/>
        </w:rPr>
        <w:t>January</w:t>
      </w:r>
      <w:r w:rsidR="00724834">
        <w:rPr>
          <w:szCs w:val="26"/>
        </w:rPr>
        <w:t xml:space="preserve"> </w:t>
      </w:r>
      <w:r w:rsidR="0053086E">
        <w:rPr>
          <w:szCs w:val="26"/>
        </w:rPr>
        <w:t>9</w:t>
      </w:r>
      <w:r w:rsidR="001A6CB1">
        <w:rPr>
          <w:szCs w:val="26"/>
        </w:rPr>
        <w:t>, 2014</w:t>
      </w:r>
    </w:p>
    <w:p w:rsidR="007C4D87" w:rsidRPr="008C6145" w:rsidRDefault="007C4D87" w:rsidP="00236926">
      <w:pPr>
        <w:ind w:firstLine="0"/>
        <w:rPr>
          <w:szCs w:val="26"/>
        </w:rPr>
      </w:pPr>
    </w:p>
    <w:p w:rsidR="007C4D87" w:rsidRPr="008C6145" w:rsidRDefault="007C4D87" w:rsidP="00934217">
      <w:pPr>
        <w:spacing w:line="240" w:lineRule="auto"/>
        <w:ind w:firstLine="0"/>
        <w:rPr>
          <w:szCs w:val="26"/>
        </w:rPr>
      </w:pPr>
      <w:r w:rsidRPr="008C6145">
        <w:rPr>
          <w:szCs w:val="26"/>
        </w:rPr>
        <w:t>Commissioners Present:</w:t>
      </w:r>
    </w:p>
    <w:p w:rsidR="007C4D87" w:rsidRPr="008C6145" w:rsidRDefault="007C4D87" w:rsidP="00934217">
      <w:pPr>
        <w:spacing w:line="240" w:lineRule="auto"/>
        <w:ind w:firstLine="0"/>
        <w:rPr>
          <w:szCs w:val="26"/>
        </w:rPr>
      </w:pPr>
    </w:p>
    <w:p w:rsidR="006E5F60" w:rsidRPr="008C6145" w:rsidRDefault="006E5F60" w:rsidP="00934217">
      <w:pPr>
        <w:spacing w:line="240" w:lineRule="auto"/>
        <w:ind w:firstLine="0"/>
        <w:rPr>
          <w:szCs w:val="26"/>
        </w:rPr>
      </w:pPr>
      <w:r w:rsidRPr="008C6145">
        <w:rPr>
          <w:szCs w:val="26"/>
        </w:rPr>
        <w:t>Robert F. Powelson, Chairman</w:t>
      </w:r>
    </w:p>
    <w:p w:rsidR="008D1A55" w:rsidRPr="008C6145" w:rsidRDefault="006E5F60" w:rsidP="00934217">
      <w:pPr>
        <w:spacing w:line="240" w:lineRule="auto"/>
        <w:ind w:firstLine="0"/>
        <w:rPr>
          <w:szCs w:val="26"/>
        </w:rPr>
      </w:pPr>
      <w:r w:rsidRPr="008C6145">
        <w:rPr>
          <w:szCs w:val="26"/>
        </w:rPr>
        <w:t>John F. Coleman, Jr., Vice Chairman</w:t>
      </w:r>
    </w:p>
    <w:p w:rsidR="006E5F60" w:rsidRPr="008C6145" w:rsidRDefault="006E5F60" w:rsidP="00934217">
      <w:pPr>
        <w:spacing w:line="240" w:lineRule="auto"/>
        <w:ind w:firstLine="0"/>
        <w:rPr>
          <w:szCs w:val="26"/>
        </w:rPr>
      </w:pPr>
      <w:r w:rsidRPr="008C6145">
        <w:rPr>
          <w:szCs w:val="26"/>
        </w:rPr>
        <w:t>James H. Cawley</w:t>
      </w:r>
    </w:p>
    <w:p w:rsidR="00C71D54" w:rsidRDefault="00C71D54" w:rsidP="00934217">
      <w:pPr>
        <w:spacing w:line="240" w:lineRule="auto"/>
        <w:ind w:firstLine="0"/>
        <w:rPr>
          <w:szCs w:val="26"/>
        </w:rPr>
      </w:pPr>
      <w:r w:rsidRPr="008C6145">
        <w:rPr>
          <w:szCs w:val="26"/>
        </w:rPr>
        <w:t>Pamela A. Witmer</w:t>
      </w:r>
    </w:p>
    <w:p w:rsidR="00724834" w:rsidRPr="008C6145" w:rsidRDefault="00724834" w:rsidP="00934217">
      <w:pPr>
        <w:spacing w:line="240" w:lineRule="auto"/>
        <w:ind w:firstLine="0"/>
        <w:rPr>
          <w:szCs w:val="26"/>
        </w:rPr>
      </w:pPr>
      <w:r>
        <w:rPr>
          <w:szCs w:val="26"/>
        </w:rPr>
        <w:t>Gladys M. Brown</w:t>
      </w:r>
    </w:p>
    <w:p w:rsidR="007C4D87" w:rsidRPr="008C6145" w:rsidRDefault="007C4D87" w:rsidP="00934217">
      <w:pPr>
        <w:spacing w:line="240" w:lineRule="auto"/>
        <w:ind w:firstLine="0"/>
        <w:rPr>
          <w:szCs w:val="26"/>
        </w:rPr>
      </w:pPr>
    </w:p>
    <w:p w:rsidR="006B6E19" w:rsidRPr="008C6145" w:rsidRDefault="006B6E19" w:rsidP="00934217">
      <w:pPr>
        <w:spacing w:line="240" w:lineRule="auto"/>
        <w:ind w:firstLine="0"/>
        <w:rPr>
          <w:szCs w:val="26"/>
        </w:rPr>
      </w:pPr>
    </w:p>
    <w:tbl>
      <w:tblPr>
        <w:tblW w:w="9648" w:type="dxa"/>
        <w:tblLook w:val="04A0" w:firstRow="1" w:lastRow="0" w:firstColumn="1" w:lastColumn="0" w:noHBand="0" w:noVBand="1"/>
      </w:tblPr>
      <w:tblGrid>
        <w:gridCol w:w="5778"/>
        <w:gridCol w:w="3870"/>
      </w:tblGrid>
      <w:tr w:rsidR="004F2DB6" w:rsidRPr="008C6145" w:rsidTr="003D45E4">
        <w:trPr>
          <w:trHeight w:val="1548"/>
        </w:trPr>
        <w:tc>
          <w:tcPr>
            <w:tcW w:w="5778" w:type="dxa"/>
          </w:tcPr>
          <w:p w:rsidR="00A7545C" w:rsidRPr="008C6145" w:rsidRDefault="00A7545C" w:rsidP="00A357A0">
            <w:pPr>
              <w:ind w:firstLine="0"/>
            </w:pPr>
            <w:r w:rsidRPr="008C6145">
              <w:t>Larry Moyer</w:t>
            </w:r>
          </w:p>
          <w:p w:rsidR="00A357A0" w:rsidRPr="008C6145" w:rsidRDefault="00A357A0" w:rsidP="00A357A0">
            <w:pPr>
              <w:ind w:firstLine="0"/>
            </w:pPr>
            <w:r w:rsidRPr="008C6145">
              <w:tab/>
              <w:t>v.</w:t>
            </w:r>
            <w:r w:rsidRPr="008C6145">
              <w:tab/>
            </w:r>
            <w:r w:rsidRPr="008C6145">
              <w:tab/>
            </w:r>
          </w:p>
          <w:p w:rsidR="004F2DB6" w:rsidRPr="008C6145" w:rsidRDefault="00A7545C" w:rsidP="00A7545C">
            <w:pPr>
              <w:ind w:firstLine="0"/>
              <w:rPr>
                <w:bCs/>
                <w:szCs w:val="26"/>
              </w:rPr>
            </w:pPr>
            <w:r w:rsidRPr="008C6145">
              <w:rPr>
                <w:bCs/>
                <w:szCs w:val="26"/>
              </w:rPr>
              <w:t xml:space="preserve">PPL Electric Utilities Corporation </w:t>
            </w:r>
          </w:p>
        </w:tc>
        <w:tc>
          <w:tcPr>
            <w:tcW w:w="3870" w:type="dxa"/>
          </w:tcPr>
          <w:p w:rsidR="004F2DB6" w:rsidRPr="008C6145" w:rsidRDefault="00E85AE3" w:rsidP="00A7545C">
            <w:pPr>
              <w:pStyle w:val="TxBrc4"/>
              <w:tabs>
                <w:tab w:val="left" w:pos="204"/>
              </w:tabs>
              <w:spacing w:line="240" w:lineRule="auto"/>
              <w:ind w:firstLine="0"/>
              <w:jc w:val="right"/>
              <w:rPr>
                <w:bCs/>
                <w:szCs w:val="26"/>
              </w:rPr>
            </w:pPr>
            <w:r w:rsidRPr="008C6145">
              <w:t>C</w:t>
            </w:r>
            <w:r w:rsidR="00A357A0" w:rsidRPr="008C6145">
              <w:t>-201</w:t>
            </w:r>
            <w:r w:rsidRPr="008C6145">
              <w:t>1</w:t>
            </w:r>
            <w:r w:rsidR="00A357A0" w:rsidRPr="008C6145">
              <w:t>-2</w:t>
            </w:r>
            <w:r w:rsidRPr="008C6145">
              <w:t>27</w:t>
            </w:r>
            <w:r w:rsidR="00A7545C" w:rsidRPr="008C6145">
              <w:t>3645</w:t>
            </w:r>
          </w:p>
        </w:tc>
      </w:tr>
    </w:tbl>
    <w:p w:rsidR="00CF5650" w:rsidRPr="008C6145" w:rsidRDefault="00CF5650" w:rsidP="00934217">
      <w:pPr>
        <w:pStyle w:val="TxBrc4"/>
        <w:tabs>
          <w:tab w:val="left" w:pos="204"/>
        </w:tabs>
        <w:spacing w:line="240" w:lineRule="auto"/>
        <w:ind w:firstLine="0"/>
        <w:jc w:val="left"/>
        <w:rPr>
          <w:b/>
          <w:bCs/>
          <w:szCs w:val="26"/>
        </w:rPr>
      </w:pPr>
    </w:p>
    <w:p w:rsidR="007C4D87" w:rsidRPr="008C6145" w:rsidRDefault="007C4D87" w:rsidP="00934217">
      <w:pPr>
        <w:pStyle w:val="TxBrc4"/>
        <w:tabs>
          <w:tab w:val="left" w:pos="204"/>
        </w:tabs>
        <w:spacing w:line="240" w:lineRule="auto"/>
        <w:ind w:firstLine="0"/>
        <w:rPr>
          <w:b/>
          <w:bCs/>
          <w:szCs w:val="26"/>
          <w:u w:val="single" w:color="000000"/>
        </w:rPr>
      </w:pPr>
      <w:r w:rsidRPr="008C6145">
        <w:rPr>
          <w:b/>
          <w:bCs/>
          <w:szCs w:val="26"/>
        </w:rPr>
        <w:t>OPINION AND ORDER</w:t>
      </w:r>
    </w:p>
    <w:p w:rsidR="007C4D87" w:rsidRPr="008C6145" w:rsidRDefault="007C4D87" w:rsidP="00934217">
      <w:pPr>
        <w:tabs>
          <w:tab w:val="left" w:pos="204"/>
        </w:tabs>
        <w:spacing w:line="240" w:lineRule="auto"/>
        <w:ind w:firstLine="0"/>
        <w:rPr>
          <w:b/>
          <w:bCs/>
          <w:szCs w:val="26"/>
        </w:rPr>
      </w:pPr>
    </w:p>
    <w:p w:rsidR="00FB6E05" w:rsidRPr="008C6145" w:rsidRDefault="00FB6E05" w:rsidP="00934217">
      <w:pPr>
        <w:spacing w:line="240" w:lineRule="auto"/>
        <w:ind w:firstLine="0"/>
        <w:rPr>
          <w:b/>
          <w:szCs w:val="26"/>
        </w:rPr>
      </w:pPr>
    </w:p>
    <w:p w:rsidR="000F118B" w:rsidRPr="008C6145" w:rsidRDefault="000F118B" w:rsidP="00934217">
      <w:pPr>
        <w:spacing w:line="240" w:lineRule="auto"/>
        <w:ind w:firstLine="0"/>
        <w:rPr>
          <w:szCs w:val="26"/>
        </w:rPr>
      </w:pPr>
      <w:r w:rsidRPr="008C6145">
        <w:rPr>
          <w:b/>
          <w:szCs w:val="26"/>
        </w:rPr>
        <w:t>BY THE COMMISSION:</w:t>
      </w:r>
    </w:p>
    <w:p w:rsidR="000F118B" w:rsidRPr="009F6C8B" w:rsidRDefault="000F118B" w:rsidP="003C5AF0">
      <w:pPr>
        <w:rPr>
          <w:szCs w:val="26"/>
        </w:rPr>
      </w:pPr>
    </w:p>
    <w:p w:rsidR="007E13B1" w:rsidRPr="008C6145" w:rsidRDefault="003C5AF0" w:rsidP="007D7CDE">
      <w:r w:rsidRPr="008C6145">
        <w:t xml:space="preserve">Before the Pennsylvania Public Utility Commission (Commission) for consideration and disposition </w:t>
      </w:r>
      <w:r w:rsidR="00134001" w:rsidRPr="008C6145">
        <w:t>are</w:t>
      </w:r>
      <w:r w:rsidR="008A741A" w:rsidRPr="008C6145">
        <w:t>:</w:t>
      </w:r>
      <w:r w:rsidR="009F6C8B">
        <w:t xml:space="preserve"> </w:t>
      </w:r>
      <w:r w:rsidR="008A741A" w:rsidRPr="008C6145">
        <w:t xml:space="preserve"> (1)</w:t>
      </w:r>
      <w:r w:rsidR="00134001" w:rsidRPr="008C6145">
        <w:t xml:space="preserve"> the Exceptions filed by </w:t>
      </w:r>
      <w:r w:rsidR="003A37D8" w:rsidRPr="008C6145">
        <w:t>Larry Moyer</w:t>
      </w:r>
      <w:r w:rsidR="004C56E4" w:rsidRPr="008C6145">
        <w:t xml:space="preserve"> (Complainant</w:t>
      </w:r>
      <w:r w:rsidR="003A37D8" w:rsidRPr="008C6145">
        <w:t>)</w:t>
      </w:r>
      <w:r w:rsidR="00591445" w:rsidRPr="008C6145">
        <w:t xml:space="preserve"> </w:t>
      </w:r>
      <w:r w:rsidR="00134001" w:rsidRPr="008C6145">
        <w:t xml:space="preserve">on </w:t>
      </w:r>
      <w:r w:rsidR="003A37D8" w:rsidRPr="008C6145">
        <w:t>March 15, 2013,</w:t>
      </w:r>
      <w:r w:rsidR="004C56E4" w:rsidRPr="008C6145">
        <w:t xml:space="preserve"> </w:t>
      </w:r>
      <w:r w:rsidR="00134001" w:rsidRPr="008C6145">
        <w:t xml:space="preserve">to the Initial Decision (I.D.) of Administrative Law Judge (ALJ) </w:t>
      </w:r>
      <w:r w:rsidR="00186222" w:rsidRPr="008C6145">
        <w:t>Cynthia Williams Fordham</w:t>
      </w:r>
      <w:r w:rsidR="00134001" w:rsidRPr="008C6145">
        <w:t xml:space="preserve">, issued on </w:t>
      </w:r>
      <w:r w:rsidR="00186222" w:rsidRPr="008C6145">
        <w:t>February 22</w:t>
      </w:r>
      <w:r w:rsidR="00E85AE3" w:rsidRPr="008C6145">
        <w:t xml:space="preserve">, </w:t>
      </w:r>
      <w:r w:rsidR="007D7CDE" w:rsidRPr="008C6145">
        <w:t>201</w:t>
      </w:r>
      <w:r w:rsidR="00186222" w:rsidRPr="008C6145">
        <w:t>3</w:t>
      </w:r>
      <w:r w:rsidR="00C96E47" w:rsidRPr="008C6145">
        <w:t>, with a Request</w:t>
      </w:r>
      <w:r w:rsidR="0093583C" w:rsidRPr="008C6145">
        <w:t xml:space="preserve"> for Oral Argument before the Commission </w:t>
      </w:r>
      <w:r w:rsidR="005802D8" w:rsidRPr="008C6145">
        <w:t>(</w:t>
      </w:r>
      <w:r w:rsidR="00C96E47" w:rsidRPr="008C6145">
        <w:t>Request</w:t>
      </w:r>
      <w:r w:rsidR="005802D8" w:rsidRPr="008C6145">
        <w:t xml:space="preserve"> for Oral Argument</w:t>
      </w:r>
      <w:r w:rsidR="00C96E47" w:rsidRPr="008C6145">
        <w:t>); and (2</w:t>
      </w:r>
      <w:r w:rsidR="0093583C" w:rsidRPr="008C6145">
        <w:t>) the Petition to Reopen the Record (Petition</w:t>
      </w:r>
      <w:r w:rsidR="00823E97" w:rsidRPr="008C6145">
        <w:t>)</w:t>
      </w:r>
      <w:r w:rsidR="0093583C" w:rsidRPr="008C6145">
        <w:t xml:space="preserve"> filed by the Complainant on May 8, 2013.  PPL Electric Utilities Corporation (PPL or Company) filed</w:t>
      </w:r>
      <w:r w:rsidR="00134001" w:rsidRPr="008C6145">
        <w:t xml:space="preserve"> </w:t>
      </w:r>
      <w:r w:rsidR="004C56E4" w:rsidRPr="008C6145">
        <w:t xml:space="preserve">Reply Exceptions </w:t>
      </w:r>
      <w:r w:rsidR="007D7CDE" w:rsidRPr="008C6145">
        <w:t xml:space="preserve">on </w:t>
      </w:r>
      <w:r w:rsidR="00186222" w:rsidRPr="008C6145">
        <w:t>March 29, 2013</w:t>
      </w:r>
      <w:r w:rsidR="0093583C" w:rsidRPr="008C6145">
        <w:t>, and an Answer</w:t>
      </w:r>
      <w:r w:rsidR="00C96E47" w:rsidRPr="008C6145">
        <w:t xml:space="preserve"> to</w:t>
      </w:r>
      <w:r w:rsidR="0093583C" w:rsidRPr="008C6145">
        <w:t xml:space="preserve"> the Petition</w:t>
      </w:r>
      <w:r w:rsidR="00823E97" w:rsidRPr="008C6145">
        <w:t xml:space="preserve"> </w:t>
      </w:r>
      <w:r w:rsidR="0093583C" w:rsidRPr="008C6145">
        <w:t>(Answer</w:t>
      </w:r>
      <w:r w:rsidR="009716EA" w:rsidRPr="008C6145">
        <w:t xml:space="preserve"> to Petition</w:t>
      </w:r>
      <w:r w:rsidR="0093583C" w:rsidRPr="008C6145">
        <w:t xml:space="preserve">) on May 20, 2013. </w:t>
      </w:r>
      <w:r w:rsidR="004C56E4" w:rsidRPr="008C6145">
        <w:t xml:space="preserve"> </w:t>
      </w:r>
      <w:r w:rsidR="00134001" w:rsidRPr="008C6145">
        <w:t>For the reasons delineated</w:t>
      </w:r>
      <w:r w:rsidR="00C96E47" w:rsidRPr="008C6145">
        <w:t xml:space="preserve">, </w:t>
      </w:r>
      <w:r w:rsidR="00C96E47" w:rsidRPr="008C6145">
        <w:rPr>
          <w:i/>
        </w:rPr>
        <w:t>infra</w:t>
      </w:r>
      <w:r w:rsidR="00C96E47" w:rsidRPr="008C6145">
        <w:t>,</w:t>
      </w:r>
      <w:r w:rsidR="00134001" w:rsidRPr="008C6145">
        <w:t xml:space="preserve"> </w:t>
      </w:r>
      <w:r w:rsidR="003D45E4" w:rsidRPr="008C6145">
        <w:t>we shall</w:t>
      </w:r>
      <w:r w:rsidR="004B5281" w:rsidRPr="008C6145">
        <w:t xml:space="preserve">, </w:t>
      </w:r>
      <w:r w:rsidR="004B5281" w:rsidRPr="008C6145">
        <w:rPr>
          <w:i/>
        </w:rPr>
        <w:t>inter alia</w:t>
      </w:r>
      <w:r w:rsidR="0093583C" w:rsidRPr="008C6145">
        <w:rPr>
          <w:i/>
        </w:rPr>
        <w:t xml:space="preserve">: </w:t>
      </w:r>
      <w:r w:rsidR="009F6C8B">
        <w:rPr>
          <w:i/>
        </w:rPr>
        <w:t xml:space="preserve"> </w:t>
      </w:r>
      <w:r w:rsidR="0093583C" w:rsidRPr="008C6145">
        <w:t>(1)</w:t>
      </w:r>
      <w:r w:rsidR="003D45E4" w:rsidRPr="008C6145">
        <w:t xml:space="preserve"> </w:t>
      </w:r>
      <w:r w:rsidR="007D6C3D" w:rsidRPr="008C6145">
        <w:t xml:space="preserve">grant, in part, </w:t>
      </w:r>
      <w:r w:rsidR="003D45E4" w:rsidRPr="008C6145">
        <w:t>the</w:t>
      </w:r>
      <w:r w:rsidR="004C56E4" w:rsidRPr="008C6145">
        <w:t xml:space="preserve"> Complainant</w:t>
      </w:r>
      <w:r w:rsidR="001903CC" w:rsidRPr="008C6145">
        <w:t>’</w:t>
      </w:r>
      <w:r w:rsidR="004C56E4" w:rsidRPr="008C6145">
        <w:t xml:space="preserve">s </w:t>
      </w:r>
      <w:r w:rsidR="00134001" w:rsidRPr="008C6145">
        <w:t>Exception</w:t>
      </w:r>
      <w:r w:rsidR="003D45E4" w:rsidRPr="008C6145">
        <w:t>s</w:t>
      </w:r>
      <w:r w:rsidR="004B5281" w:rsidRPr="008C6145">
        <w:t xml:space="preserve">; </w:t>
      </w:r>
      <w:r w:rsidR="0093583C" w:rsidRPr="008C6145">
        <w:t xml:space="preserve">(2) deny the </w:t>
      </w:r>
      <w:r w:rsidR="00295406" w:rsidRPr="008C6145">
        <w:t>Request</w:t>
      </w:r>
      <w:r w:rsidR="0093583C" w:rsidRPr="008C6145">
        <w:t xml:space="preserve"> for Oral Argument; </w:t>
      </w:r>
      <w:r w:rsidR="00651474" w:rsidRPr="008C6145">
        <w:t xml:space="preserve">and </w:t>
      </w:r>
      <w:r w:rsidR="0093583C" w:rsidRPr="008C6145">
        <w:t>(3)</w:t>
      </w:r>
      <w:r w:rsidR="000009A4" w:rsidRPr="008C6145">
        <w:t xml:space="preserve"> grant the Petition to Reopen.</w:t>
      </w:r>
    </w:p>
    <w:p w:rsidR="005C68E9" w:rsidRPr="008C6145" w:rsidRDefault="007E13B1" w:rsidP="00E208A3">
      <w:pPr>
        <w:pStyle w:val="Heading1"/>
      </w:pPr>
      <w:r w:rsidRPr="008C6145">
        <w:lastRenderedPageBreak/>
        <w:t>H</w:t>
      </w:r>
      <w:r w:rsidR="005C68E9" w:rsidRPr="008C6145">
        <w:t>istory of the Proceeding</w:t>
      </w:r>
    </w:p>
    <w:p w:rsidR="00200123" w:rsidRPr="008C6145" w:rsidRDefault="00134001" w:rsidP="00202F78">
      <w:pPr>
        <w:ind w:firstLine="0"/>
      </w:pPr>
      <w:r w:rsidRPr="008C6145">
        <w:t xml:space="preserve"> </w:t>
      </w:r>
    </w:p>
    <w:p w:rsidR="006056AE" w:rsidRPr="008C6145" w:rsidRDefault="00A7545C" w:rsidP="00A14F9A">
      <w:pPr>
        <w:spacing w:after="120"/>
      </w:pPr>
      <w:r w:rsidRPr="008C6145">
        <w:t xml:space="preserve">On November 15, 2011, </w:t>
      </w:r>
      <w:r w:rsidR="00823E97" w:rsidRPr="008C6145">
        <w:t xml:space="preserve">the </w:t>
      </w:r>
      <w:r w:rsidR="00295406" w:rsidRPr="008C6145">
        <w:t>Complainant</w:t>
      </w:r>
      <w:r w:rsidRPr="008C6145">
        <w:t xml:space="preserve">, through counsel, filed a </w:t>
      </w:r>
      <w:r w:rsidR="006056AE" w:rsidRPr="008C6145">
        <w:t>F</w:t>
      </w:r>
      <w:r w:rsidRPr="008C6145">
        <w:t xml:space="preserve">ormal </w:t>
      </w:r>
      <w:r w:rsidR="006056AE" w:rsidRPr="008C6145">
        <w:t>C</w:t>
      </w:r>
      <w:r w:rsidRPr="008C6145">
        <w:t xml:space="preserve">omplaint </w:t>
      </w:r>
      <w:r w:rsidR="000310F7" w:rsidRPr="008C6145">
        <w:t xml:space="preserve">(Complaint) </w:t>
      </w:r>
      <w:r w:rsidRPr="008C6145">
        <w:t xml:space="preserve">against PPL regarding </w:t>
      </w:r>
      <w:r w:rsidR="006056AE" w:rsidRPr="008C6145">
        <w:t xml:space="preserve">the billing and payments for electric service to his house and </w:t>
      </w:r>
      <w:r w:rsidR="00295406" w:rsidRPr="008C6145">
        <w:t>his</w:t>
      </w:r>
      <w:r w:rsidR="006056AE" w:rsidRPr="008C6145">
        <w:t xml:space="preserve"> solar panels connected to PPL</w:t>
      </w:r>
      <w:r w:rsidR="001903CC" w:rsidRPr="008C6145">
        <w:t>’</w:t>
      </w:r>
      <w:r w:rsidR="000310F7" w:rsidRPr="008C6145">
        <w:t xml:space="preserve">s distribution system </w:t>
      </w:r>
      <w:r w:rsidR="00DD7584" w:rsidRPr="008C6145">
        <w:t xml:space="preserve">at a separate location </w:t>
      </w:r>
      <w:r w:rsidRPr="008C6145">
        <w:t xml:space="preserve">in </w:t>
      </w:r>
      <w:proofErr w:type="spellStart"/>
      <w:r w:rsidRPr="008C6145">
        <w:t>Klingerstown</w:t>
      </w:r>
      <w:proofErr w:type="spellEnd"/>
      <w:r w:rsidRPr="008C6145">
        <w:t xml:space="preserve">, PA.  </w:t>
      </w:r>
      <w:r w:rsidR="00295406" w:rsidRPr="008C6145">
        <w:t>The Complainant</w:t>
      </w:r>
      <w:r w:rsidR="009716EA" w:rsidRPr="008C6145">
        <w:t xml:space="preserve"> </w:t>
      </w:r>
      <w:r w:rsidRPr="008C6145">
        <w:t xml:space="preserve">alleged, </w:t>
      </w:r>
      <w:r w:rsidR="006056AE" w:rsidRPr="008C6145">
        <w:rPr>
          <w:i/>
        </w:rPr>
        <w:t>inter alia</w:t>
      </w:r>
      <w:r w:rsidR="006056AE" w:rsidRPr="008C6145">
        <w:t xml:space="preserve">, </w:t>
      </w:r>
      <w:r w:rsidR="000009A4" w:rsidRPr="008C6145">
        <w:t>the following:</w:t>
      </w:r>
    </w:p>
    <w:p w:rsidR="00842DEF" w:rsidRPr="008C6145" w:rsidRDefault="00842DEF" w:rsidP="00823E97">
      <w:pPr>
        <w:pStyle w:val="ListParagraph"/>
        <w:numPr>
          <w:ilvl w:val="0"/>
          <w:numId w:val="25"/>
        </w:numPr>
        <w:spacing w:after="240" w:line="240" w:lineRule="auto"/>
        <w:ind w:left="1080"/>
      </w:pPr>
      <w:r w:rsidRPr="008C6145">
        <w:t>t</w:t>
      </w:r>
      <w:r w:rsidR="00A7545C" w:rsidRPr="008C6145">
        <w:t xml:space="preserve">hat </w:t>
      </w:r>
      <w:r w:rsidR="00295406" w:rsidRPr="008C6145">
        <w:t>he</w:t>
      </w:r>
      <w:r w:rsidR="00A7545C" w:rsidRPr="008C6145">
        <w:t xml:space="preserve"> contacted </w:t>
      </w:r>
      <w:r w:rsidRPr="008C6145">
        <w:t xml:space="preserve">PPL </w:t>
      </w:r>
      <w:r w:rsidR="00A7545C" w:rsidRPr="008C6145">
        <w:t xml:space="preserve">regarding the installation of solar panels at his property; </w:t>
      </w:r>
    </w:p>
    <w:p w:rsidR="00842DEF" w:rsidRPr="008C6145" w:rsidRDefault="00842DEF" w:rsidP="00823E97">
      <w:pPr>
        <w:pStyle w:val="ListParagraph"/>
        <w:numPr>
          <w:ilvl w:val="0"/>
          <w:numId w:val="25"/>
        </w:numPr>
        <w:spacing w:after="240" w:line="240" w:lineRule="auto"/>
        <w:ind w:left="1080"/>
      </w:pPr>
      <w:r w:rsidRPr="008C6145">
        <w:t>t</w:t>
      </w:r>
      <w:r w:rsidR="00A7545C" w:rsidRPr="008C6145">
        <w:t xml:space="preserve">hat </w:t>
      </w:r>
      <w:r w:rsidRPr="008C6145">
        <w:t xml:space="preserve">PPL assigned an </w:t>
      </w:r>
      <w:r w:rsidR="00A7545C" w:rsidRPr="008C6145">
        <w:t xml:space="preserve">account number to the meter on </w:t>
      </w:r>
      <w:r w:rsidR="00295406" w:rsidRPr="008C6145">
        <w:t>his</w:t>
      </w:r>
      <w:r w:rsidR="00A7545C" w:rsidRPr="008C6145">
        <w:t xml:space="preserve"> house </w:t>
      </w:r>
      <w:r w:rsidR="00D80899" w:rsidRPr="008C6145">
        <w:t>(satellite account)</w:t>
      </w:r>
      <w:r w:rsidR="00295406" w:rsidRPr="008C6145">
        <w:t>,</w:t>
      </w:r>
      <w:r w:rsidR="00D80899" w:rsidRPr="008C6145">
        <w:t xml:space="preserve"> </w:t>
      </w:r>
      <w:r w:rsidR="00A7545C" w:rsidRPr="008C6145">
        <w:t xml:space="preserve">and assigned </w:t>
      </w:r>
      <w:r w:rsidR="00295406" w:rsidRPr="008C6145">
        <w:t xml:space="preserve">an </w:t>
      </w:r>
      <w:r w:rsidR="00A7545C" w:rsidRPr="008C6145">
        <w:t xml:space="preserve">account number to the meter associated with </w:t>
      </w:r>
      <w:r w:rsidR="00295406" w:rsidRPr="008C6145">
        <w:t>his</w:t>
      </w:r>
      <w:r w:rsidR="000310F7" w:rsidRPr="008C6145">
        <w:t xml:space="preserve"> </w:t>
      </w:r>
      <w:r w:rsidR="00A7545C" w:rsidRPr="008C6145">
        <w:t>solar panels</w:t>
      </w:r>
      <w:r w:rsidR="00D80899" w:rsidRPr="008C6145">
        <w:t xml:space="preserve"> (host account)</w:t>
      </w:r>
      <w:r w:rsidR="00A7545C" w:rsidRPr="008C6145">
        <w:t xml:space="preserve">; </w:t>
      </w:r>
    </w:p>
    <w:p w:rsidR="00842DEF" w:rsidRPr="008C6145" w:rsidRDefault="00842DEF" w:rsidP="00823E97">
      <w:pPr>
        <w:pStyle w:val="ListParagraph"/>
        <w:numPr>
          <w:ilvl w:val="0"/>
          <w:numId w:val="25"/>
        </w:numPr>
        <w:spacing w:after="240" w:line="240" w:lineRule="auto"/>
        <w:ind w:left="1080"/>
      </w:pPr>
      <w:r w:rsidRPr="008C6145">
        <w:t>th</w:t>
      </w:r>
      <w:r w:rsidR="00A7545C" w:rsidRPr="008C6145">
        <w:t xml:space="preserve">at the solar panels were mounted, inspected and approved by </w:t>
      </w:r>
      <w:r w:rsidR="000310F7" w:rsidRPr="008C6145">
        <w:t>PPL</w:t>
      </w:r>
      <w:r w:rsidR="00A7545C" w:rsidRPr="008C6145">
        <w:t xml:space="preserve"> in March 2009; </w:t>
      </w:r>
    </w:p>
    <w:p w:rsidR="00842DEF" w:rsidRPr="008C6145" w:rsidRDefault="00842DEF" w:rsidP="00823E97">
      <w:pPr>
        <w:pStyle w:val="ListParagraph"/>
        <w:numPr>
          <w:ilvl w:val="0"/>
          <w:numId w:val="25"/>
        </w:numPr>
        <w:spacing w:after="240" w:line="240" w:lineRule="auto"/>
        <w:ind w:left="1080"/>
      </w:pPr>
      <w:r w:rsidRPr="008C6145">
        <w:t>th</w:t>
      </w:r>
      <w:r w:rsidR="00A7545C" w:rsidRPr="008C6145">
        <w:t xml:space="preserve">at </w:t>
      </w:r>
      <w:r w:rsidR="00295406" w:rsidRPr="008C6145">
        <w:t>he</w:t>
      </w:r>
      <w:r w:rsidR="00A7545C" w:rsidRPr="008C6145">
        <w:t xml:space="preserve"> did not receive credits or payments for the electricity that was generated by his solar panels between April 2009 and February 2010; </w:t>
      </w:r>
    </w:p>
    <w:p w:rsidR="00842DEF" w:rsidRPr="008C6145" w:rsidRDefault="00842DEF" w:rsidP="00823E97">
      <w:pPr>
        <w:pStyle w:val="ListParagraph"/>
        <w:numPr>
          <w:ilvl w:val="0"/>
          <w:numId w:val="25"/>
        </w:numPr>
        <w:spacing w:after="240" w:line="240" w:lineRule="auto"/>
        <w:ind w:left="1080"/>
      </w:pPr>
      <w:r w:rsidRPr="008C6145">
        <w:t>t</w:t>
      </w:r>
      <w:r w:rsidR="00A7545C" w:rsidRPr="008C6145">
        <w:t xml:space="preserve">hat the checks that </w:t>
      </w:r>
      <w:r w:rsidR="00295406" w:rsidRPr="008C6145">
        <w:t>he</w:t>
      </w:r>
      <w:r w:rsidR="009716EA" w:rsidRPr="008C6145">
        <w:t xml:space="preserve"> </w:t>
      </w:r>
      <w:r w:rsidR="00A7545C" w:rsidRPr="008C6145">
        <w:t>received since April 2010</w:t>
      </w:r>
      <w:r w:rsidR="000009A4" w:rsidRPr="008C6145">
        <w:t>,</w:t>
      </w:r>
      <w:r w:rsidR="00A7545C" w:rsidRPr="008C6145">
        <w:t xml:space="preserve"> did not have an accounting or explanation of the payment;</w:t>
      </w:r>
    </w:p>
    <w:p w:rsidR="00842DEF" w:rsidRPr="008C6145" w:rsidRDefault="00842DEF" w:rsidP="00823E97">
      <w:pPr>
        <w:pStyle w:val="ListParagraph"/>
        <w:numPr>
          <w:ilvl w:val="0"/>
          <w:numId w:val="25"/>
        </w:numPr>
        <w:spacing w:after="240" w:line="240" w:lineRule="auto"/>
        <w:ind w:left="1080"/>
        <w:rPr>
          <w:szCs w:val="26"/>
        </w:rPr>
      </w:pPr>
      <w:r w:rsidRPr="008C6145">
        <w:t>t</w:t>
      </w:r>
      <w:r w:rsidR="00A7545C" w:rsidRPr="008C6145">
        <w:t>hat</w:t>
      </w:r>
      <w:r w:rsidR="000310F7" w:rsidRPr="008C6145">
        <w:t xml:space="preserve"> PPL </w:t>
      </w:r>
      <w:r w:rsidR="00A7545C" w:rsidRPr="008C6145">
        <w:t>failed to properly aggregate</w:t>
      </w:r>
      <w:r w:rsidR="009716EA" w:rsidRPr="008C6145">
        <w:t xml:space="preserve"> </w:t>
      </w:r>
      <w:r w:rsidR="00295406" w:rsidRPr="008C6145">
        <w:t>his</w:t>
      </w:r>
      <w:r w:rsidR="00A7545C" w:rsidRPr="008C6145">
        <w:t xml:space="preserve"> accounts according to the virtual net metering provisions in the </w:t>
      </w:r>
      <w:r w:rsidR="000310F7" w:rsidRPr="008C6145">
        <w:t>Company</w:t>
      </w:r>
      <w:r w:rsidR="001903CC" w:rsidRPr="008C6145">
        <w:t>’</w:t>
      </w:r>
      <w:r w:rsidR="000310F7" w:rsidRPr="008C6145">
        <w:t>s</w:t>
      </w:r>
      <w:r w:rsidRPr="008C6145">
        <w:t xml:space="preserve"> Net Metering </w:t>
      </w:r>
      <w:r w:rsidR="00887A59" w:rsidRPr="008C6145">
        <w:t xml:space="preserve">for Renewable Customer-Generators </w:t>
      </w:r>
      <w:r w:rsidR="00295406" w:rsidRPr="008C6145">
        <w:t>R</w:t>
      </w:r>
      <w:r w:rsidRPr="008C6145">
        <w:t>ider; and</w:t>
      </w:r>
    </w:p>
    <w:p w:rsidR="00842DEF" w:rsidRPr="00BB2015" w:rsidRDefault="00842DEF" w:rsidP="00823E97">
      <w:pPr>
        <w:pStyle w:val="ListParagraph"/>
        <w:numPr>
          <w:ilvl w:val="0"/>
          <w:numId w:val="25"/>
        </w:numPr>
        <w:spacing w:after="240" w:line="240" w:lineRule="auto"/>
        <w:ind w:left="1080"/>
        <w:rPr>
          <w:szCs w:val="26"/>
        </w:rPr>
      </w:pPr>
      <w:proofErr w:type="gramStart"/>
      <w:r w:rsidRPr="008C6145">
        <w:t>that</w:t>
      </w:r>
      <w:proofErr w:type="gramEnd"/>
      <w:r w:rsidRPr="008C6145">
        <w:t xml:space="preserve"> PPL </w:t>
      </w:r>
      <w:r w:rsidR="000009A4" w:rsidRPr="008C6145">
        <w:t>did</w:t>
      </w:r>
      <w:r w:rsidRPr="008C6145">
        <w:t xml:space="preserve"> not fully credited </w:t>
      </w:r>
      <w:r w:rsidR="00295406" w:rsidRPr="008C6145">
        <w:t>him</w:t>
      </w:r>
      <w:r w:rsidRPr="008C6145">
        <w:t xml:space="preserve"> for all of the electricity generated by his solar panels and delivered to PPL since March 2009. </w:t>
      </w:r>
    </w:p>
    <w:p w:rsidR="00A7545C" w:rsidRPr="008C6145" w:rsidRDefault="00842DEF" w:rsidP="00BB2015">
      <w:pPr>
        <w:ind w:firstLine="0"/>
        <w:rPr>
          <w:szCs w:val="26"/>
        </w:rPr>
      </w:pPr>
      <w:r w:rsidRPr="008C6145">
        <w:t>Complaint at 6-8.  As relief, t</w:t>
      </w:r>
      <w:r w:rsidR="00A7545C" w:rsidRPr="008C6145">
        <w:t xml:space="preserve">he Complainant requested that the Commission order </w:t>
      </w:r>
      <w:r w:rsidRPr="008C6145">
        <w:t xml:space="preserve">PPL </w:t>
      </w:r>
      <w:r w:rsidR="00A7545C" w:rsidRPr="008C6145">
        <w:t xml:space="preserve">to apply virtual net metering to </w:t>
      </w:r>
      <w:r w:rsidR="009716EA" w:rsidRPr="008C6145">
        <w:t>his</w:t>
      </w:r>
      <w:r w:rsidR="00A7545C" w:rsidRPr="008C6145">
        <w:t xml:space="preserve"> two accounts</w:t>
      </w:r>
      <w:r w:rsidR="009716EA" w:rsidRPr="008C6145">
        <w:t>,</w:t>
      </w:r>
      <w:r w:rsidR="00A7545C" w:rsidRPr="008C6145">
        <w:t xml:space="preserve"> disclose all credits and/or payments that have been made to </w:t>
      </w:r>
      <w:r w:rsidR="009716EA" w:rsidRPr="008C6145">
        <w:t>him,</w:t>
      </w:r>
      <w:r w:rsidR="00A7545C" w:rsidRPr="008C6145">
        <w:t xml:space="preserve"> and, if</w:t>
      </w:r>
      <w:r w:rsidR="00A7545C" w:rsidRPr="008C6145">
        <w:rPr>
          <w:szCs w:val="26"/>
        </w:rPr>
        <w:t xml:space="preserve"> necessary, fully reimburse </w:t>
      </w:r>
      <w:r w:rsidR="009716EA" w:rsidRPr="008C6145">
        <w:rPr>
          <w:szCs w:val="26"/>
        </w:rPr>
        <w:t>him</w:t>
      </w:r>
      <w:r w:rsidR="00A7545C" w:rsidRPr="008C6145">
        <w:rPr>
          <w:szCs w:val="26"/>
        </w:rPr>
        <w:t xml:space="preserve"> for the electricity generated. </w:t>
      </w:r>
      <w:r w:rsidR="000310F7" w:rsidRPr="008C6145">
        <w:rPr>
          <w:szCs w:val="26"/>
        </w:rPr>
        <w:t xml:space="preserve"> </w:t>
      </w:r>
      <w:proofErr w:type="gramStart"/>
      <w:r w:rsidR="000310F7" w:rsidRPr="008C6145">
        <w:rPr>
          <w:i/>
          <w:szCs w:val="26"/>
        </w:rPr>
        <w:t>Id</w:t>
      </w:r>
      <w:r w:rsidR="000310F7" w:rsidRPr="008C6145">
        <w:rPr>
          <w:szCs w:val="26"/>
        </w:rPr>
        <w:t>. at 9.</w:t>
      </w:r>
      <w:proofErr w:type="gramEnd"/>
      <w:r w:rsidR="000310F7" w:rsidRPr="008C6145">
        <w:rPr>
          <w:szCs w:val="26"/>
        </w:rPr>
        <w:t xml:space="preserve"> </w:t>
      </w:r>
    </w:p>
    <w:p w:rsidR="00B0133D" w:rsidRPr="008C6145" w:rsidRDefault="00B0133D" w:rsidP="00F14837"/>
    <w:p w:rsidR="00BD71F0" w:rsidRPr="008C6145" w:rsidRDefault="00BD71F0" w:rsidP="00F14837">
      <w:r w:rsidRPr="008C6145">
        <w:t>On December 8, 2011, PPL filed an Answer to the Complaint (Answer</w:t>
      </w:r>
      <w:r w:rsidR="00C0750A" w:rsidRPr="008C6145">
        <w:t xml:space="preserve"> to Complaint) </w:t>
      </w:r>
      <w:r w:rsidRPr="008C6145">
        <w:t xml:space="preserve">wherein it requested that the Complaint be dismissed.  </w:t>
      </w:r>
      <w:r w:rsidR="00A14F9A" w:rsidRPr="008C6145">
        <w:t xml:space="preserve">Notwithstanding its request for dismissal, </w:t>
      </w:r>
      <w:r w:rsidRPr="008C6145">
        <w:t>PPL averred that the Commission</w:t>
      </w:r>
      <w:r w:rsidR="001903CC" w:rsidRPr="008C6145">
        <w:t>’</w:t>
      </w:r>
      <w:r w:rsidRPr="008C6145">
        <w:t xml:space="preserve">s mediation process </w:t>
      </w:r>
      <w:r w:rsidR="00295406" w:rsidRPr="008C6145">
        <w:t xml:space="preserve">would be </w:t>
      </w:r>
      <w:r w:rsidRPr="008C6145">
        <w:t xml:space="preserve">an </w:t>
      </w:r>
      <w:r w:rsidRPr="008C6145">
        <w:lastRenderedPageBreak/>
        <w:t xml:space="preserve">appropriate forum to address and resolve the issues </w:t>
      </w:r>
      <w:r w:rsidR="00D80899" w:rsidRPr="008C6145">
        <w:t>addressed</w:t>
      </w:r>
      <w:r w:rsidRPr="008C6145">
        <w:t xml:space="preserve"> in the Complaint.  Therefore, PPL requested that the Complaint be assigned to the </w:t>
      </w:r>
      <w:r w:rsidR="00295406" w:rsidRPr="008C6145">
        <w:t>M</w:t>
      </w:r>
      <w:r w:rsidRPr="008C6145">
        <w:t>ediato</w:t>
      </w:r>
      <w:r w:rsidR="00B37FD0" w:rsidRPr="008C6145">
        <w:t>r</w:t>
      </w:r>
      <w:r w:rsidRPr="008C6145">
        <w:t xml:space="preserve"> of the Office of Administrative Law Judge </w:t>
      </w:r>
      <w:r w:rsidR="00FF13AC" w:rsidRPr="008C6145">
        <w:t xml:space="preserve">(OALJ) </w:t>
      </w:r>
      <w:r w:rsidRPr="008C6145">
        <w:t>pursuant to 52 Pa. Code § 69.392(b</w:t>
      </w:r>
      <w:proofErr w:type="gramStart"/>
      <w:r w:rsidRPr="008C6145">
        <w:t>)(</w:t>
      </w:r>
      <w:proofErr w:type="gramEnd"/>
      <w:r w:rsidRPr="008C6145">
        <w:t xml:space="preserve">2).  </w:t>
      </w:r>
      <w:proofErr w:type="gramStart"/>
      <w:r w:rsidRPr="008C6145">
        <w:t xml:space="preserve">Answer </w:t>
      </w:r>
      <w:r w:rsidR="00C0750A" w:rsidRPr="008C6145">
        <w:t xml:space="preserve">to Complaint </w:t>
      </w:r>
      <w:r w:rsidRPr="008C6145">
        <w:t>at 1.</w:t>
      </w:r>
      <w:proofErr w:type="gramEnd"/>
      <w:r w:rsidRPr="008C6145">
        <w:t xml:space="preserve"> </w:t>
      </w:r>
    </w:p>
    <w:p w:rsidR="00BD71F0" w:rsidRPr="008C6145" w:rsidRDefault="00BD71F0" w:rsidP="00F14837"/>
    <w:p w:rsidR="00114F43" w:rsidRPr="008C6145" w:rsidRDefault="00114F43" w:rsidP="00F14837">
      <w:r w:rsidRPr="008C6145">
        <w:t>In its Answer</w:t>
      </w:r>
      <w:r w:rsidR="004D429C" w:rsidRPr="008C6145">
        <w:t xml:space="preserve"> to Complaint</w:t>
      </w:r>
      <w:r w:rsidRPr="008C6145">
        <w:t xml:space="preserve">, PPL acknowledged that </w:t>
      </w:r>
      <w:r w:rsidR="003A5F75" w:rsidRPr="008C6145">
        <w:t>it failed to aggregate the excess, uncredited kilowatt-hours generated from the Complainant</w:t>
      </w:r>
      <w:r w:rsidR="001903CC" w:rsidRPr="008C6145">
        <w:t>’</w:t>
      </w:r>
      <w:r w:rsidR="003A5F75" w:rsidRPr="008C6145">
        <w:t xml:space="preserve">s solar panels with the usage at his residence for the months March 2009 through December 2009.  </w:t>
      </w:r>
      <w:proofErr w:type="gramStart"/>
      <w:r w:rsidR="00A869E0" w:rsidRPr="008C6145">
        <w:rPr>
          <w:i/>
        </w:rPr>
        <w:t>Id.</w:t>
      </w:r>
      <w:r w:rsidR="00A869E0" w:rsidRPr="008C6145">
        <w:t xml:space="preserve"> at 5.</w:t>
      </w:r>
      <w:proofErr w:type="gramEnd"/>
      <w:r w:rsidR="00A869E0" w:rsidRPr="008C6145">
        <w:t xml:space="preserve">  </w:t>
      </w:r>
      <w:r w:rsidR="003A5F75" w:rsidRPr="008C6145">
        <w:t>P</w:t>
      </w:r>
      <w:r w:rsidR="00A869E0" w:rsidRPr="008C6145">
        <w:t xml:space="preserve">PL also addressed, </w:t>
      </w:r>
      <w:r w:rsidR="00A869E0" w:rsidRPr="008C6145">
        <w:rPr>
          <w:i/>
        </w:rPr>
        <w:t>inter alia</w:t>
      </w:r>
      <w:r w:rsidR="00A869E0" w:rsidRPr="008C6145">
        <w:t xml:space="preserve">, the payments it made to the Complainant for the excess generation produced by </w:t>
      </w:r>
      <w:r w:rsidR="00295406" w:rsidRPr="008C6145">
        <w:t>Complainant</w:t>
      </w:r>
      <w:r w:rsidR="001903CC" w:rsidRPr="008C6145">
        <w:t>’</w:t>
      </w:r>
      <w:r w:rsidR="00A869E0" w:rsidRPr="008C6145">
        <w:t xml:space="preserve">s solar panels and </w:t>
      </w:r>
      <w:r w:rsidR="004D429C" w:rsidRPr="008C6145">
        <w:t xml:space="preserve">the </w:t>
      </w:r>
      <w:r w:rsidR="00A869E0" w:rsidRPr="008C6145">
        <w:t xml:space="preserve">credits </w:t>
      </w:r>
      <w:r w:rsidR="004D429C" w:rsidRPr="008C6145">
        <w:t xml:space="preserve">that were </w:t>
      </w:r>
      <w:r w:rsidR="00A869E0" w:rsidRPr="008C6145">
        <w:t xml:space="preserve">applied to his residential account </w:t>
      </w:r>
      <w:r w:rsidR="004D7AD4" w:rsidRPr="008C6145">
        <w:t xml:space="preserve">between January 2010 </w:t>
      </w:r>
      <w:r w:rsidR="00A869E0" w:rsidRPr="008C6145">
        <w:t>and</w:t>
      </w:r>
      <w:r w:rsidR="004D7AD4" w:rsidRPr="008C6145">
        <w:t xml:space="preserve"> August 2011.  </w:t>
      </w:r>
      <w:r w:rsidR="004D7AD4" w:rsidRPr="008C6145">
        <w:rPr>
          <w:i/>
        </w:rPr>
        <w:t>Id</w:t>
      </w:r>
      <w:r w:rsidR="004D7AD4" w:rsidRPr="008C6145">
        <w:t xml:space="preserve">. at 6-8. </w:t>
      </w:r>
      <w:r w:rsidR="00A869E0" w:rsidRPr="008C6145">
        <w:t xml:space="preserve"> </w:t>
      </w:r>
    </w:p>
    <w:p w:rsidR="00B03625" w:rsidRPr="008C6145" w:rsidRDefault="00B03625" w:rsidP="00F14837"/>
    <w:p w:rsidR="00BD71F0" w:rsidRPr="008C6145" w:rsidRDefault="004D7AD4" w:rsidP="00F14837">
      <w:r w:rsidRPr="008C6145">
        <w:t xml:space="preserve">By Interim Order </w:t>
      </w:r>
      <w:r w:rsidR="00684D39" w:rsidRPr="008C6145">
        <w:t>issued December 9, 2011, Chief ALJ Charles E. Rainey directed the Parties to hold a conference and attempt resolve th</w:t>
      </w:r>
      <w:r w:rsidR="00A46769" w:rsidRPr="008C6145">
        <w:t>e</w:t>
      </w:r>
      <w:r w:rsidR="00684D39" w:rsidRPr="008C6145">
        <w:t xml:space="preserve"> matter by January 6, 2012.  The Interim Order also directed PPL to file a report </w:t>
      </w:r>
      <w:r w:rsidR="00B37FD0" w:rsidRPr="008C6145">
        <w:t xml:space="preserve">with </w:t>
      </w:r>
      <w:r w:rsidR="00684D39" w:rsidRPr="008C6145">
        <w:t>the Commission</w:t>
      </w:r>
      <w:r w:rsidR="001903CC" w:rsidRPr="008C6145">
        <w:t>’</w:t>
      </w:r>
      <w:r w:rsidR="00684D39" w:rsidRPr="008C6145">
        <w:t>s Mediator with</w:t>
      </w:r>
      <w:r w:rsidR="00823E97" w:rsidRPr="008C6145">
        <w:t>in</w:t>
      </w:r>
      <w:r w:rsidR="00792618" w:rsidRPr="008C6145">
        <w:t xml:space="preserve"> ten days of the conference.</w:t>
      </w:r>
    </w:p>
    <w:p w:rsidR="00A46769" w:rsidRPr="008C6145" w:rsidRDefault="00A46769" w:rsidP="00F14837"/>
    <w:p w:rsidR="00A46769" w:rsidRPr="008C6145" w:rsidRDefault="00A46769" w:rsidP="00BE58C2">
      <w:r w:rsidRPr="008C6145">
        <w:t xml:space="preserve">By letter dated January 10, 2012, </w:t>
      </w:r>
      <w:r w:rsidR="00823E97" w:rsidRPr="008C6145">
        <w:t xml:space="preserve">PPL </w:t>
      </w:r>
      <w:r w:rsidRPr="008C6145">
        <w:t xml:space="preserve">reported that the Parties held a telephonic conference on January 6, 2012.  </w:t>
      </w:r>
      <w:r w:rsidR="00B37FD0" w:rsidRPr="008C6145">
        <w:t>PPL</w:t>
      </w:r>
      <w:r w:rsidR="00BE58C2" w:rsidRPr="008C6145">
        <w:t xml:space="preserve"> explained that, a</w:t>
      </w:r>
      <w:r w:rsidRPr="008C6145">
        <w:t xml:space="preserve">lthough the </w:t>
      </w:r>
      <w:r w:rsidR="00823E97" w:rsidRPr="008C6145">
        <w:t>P</w:t>
      </w:r>
      <w:r w:rsidRPr="008C6145">
        <w:t xml:space="preserve">arties did not resolve the matter, </w:t>
      </w:r>
      <w:r w:rsidR="00BE58C2" w:rsidRPr="008C6145">
        <w:t>PPL</w:t>
      </w:r>
      <w:r w:rsidRPr="008C6145">
        <w:t xml:space="preserve"> submitted a proposal for the Complainant to consider</w:t>
      </w:r>
      <w:r w:rsidR="00BE58C2" w:rsidRPr="008C6145">
        <w:t xml:space="preserve"> and the Parties agreed to further discuss the matter.  </w:t>
      </w:r>
      <w:r w:rsidR="00B37FD0" w:rsidRPr="008C6145">
        <w:t>PPL</w:t>
      </w:r>
      <w:r w:rsidR="00823E97" w:rsidRPr="008C6145">
        <w:t xml:space="preserve"> </w:t>
      </w:r>
      <w:r w:rsidR="00BE58C2" w:rsidRPr="008C6145">
        <w:t>stated that the Parties agreed that it was unnecessary to proceed to f</w:t>
      </w:r>
      <w:r w:rsidR="00792618" w:rsidRPr="008C6145">
        <w:t>ormal litigation at that time.</w:t>
      </w:r>
    </w:p>
    <w:p w:rsidR="00A46769" w:rsidRPr="008C6145" w:rsidRDefault="00A46769" w:rsidP="00F14837"/>
    <w:p w:rsidR="00DC1539" w:rsidRPr="008C6145" w:rsidRDefault="00DC1539" w:rsidP="009F6C8B">
      <w:pPr>
        <w:pStyle w:val="FootnoteText"/>
        <w:widowControl/>
        <w:rPr>
          <w:sz w:val="26"/>
          <w:szCs w:val="26"/>
        </w:rPr>
      </w:pPr>
      <w:r w:rsidRPr="008C6145">
        <w:rPr>
          <w:sz w:val="26"/>
          <w:szCs w:val="26"/>
        </w:rPr>
        <w:t xml:space="preserve">The matter was referred to the </w:t>
      </w:r>
      <w:r w:rsidR="00C8637F" w:rsidRPr="008C6145">
        <w:rPr>
          <w:sz w:val="26"/>
          <w:szCs w:val="26"/>
        </w:rPr>
        <w:t>Commission</w:t>
      </w:r>
      <w:r w:rsidR="001903CC" w:rsidRPr="008C6145">
        <w:rPr>
          <w:sz w:val="26"/>
          <w:szCs w:val="26"/>
        </w:rPr>
        <w:t>’</w:t>
      </w:r>
      <w:r w:rsidR="00C8637F" w:rsidRPr="008C6145">
        <w:rPr>
          <w:sz w:val="26"/>
          <w:szCs w:val="26"/>
        </w:rPr>
        <w:t xml:space="preserve">s </w:t>
      </w:r>
      <w:r w:rsidRPr="008C6145">
        <w:rPr>
          <w:sz w:val="26"/>
          <w:szCs w:val="26"/>
        </w:rPr>
        <w:t>Mediation Unit</w:t>
      </w:r>
      <w:r w:rsidR="007642DD" w:rsidRPr="008C6145">
        <w:rPr>
          <w:sz w:val="26"/>
          <w:szCs w:val="26"/>
        </w:rPr>
        <w:t xml:space="preserve"> and a </w:t>
      </w:r>
      <w:r w:rsidRPr="008C6145">
        <w:rPr>
          <w:sz w:val="26"/>
          <w:szCs w:val="26"/>
        </w:rPr>
        <w:t>mediation session was held as scheduled on April 10, 2012.  Subsequent to the mediation session, it was determined that the case was no longer appropriate for mediation and mediati</w:t>
      </w:r>
      <w:r w:rsidR="00792618" w:rsidRPr="008C6145">
        <w:rPr>
          <w:sz w:val="26"/>
          <w:szCs w:val="26"/>
        </w:rPr>
        <w:t xml:space="preserve">on was terminated.  </w:t>
      </w:r>
      <w:proofErr w:type="gramStart"/>
      <w:r w:rsidR="00792618" w:rsidRPr="008C6145">
        <w:rPr>
          <w:sz w:val="26"/>
          <w:szCs w:val="26"/>
        </w:rPr>
        <w:t>I.D. at 3.</w:t>
      </w:r>
      <w:proofErr w:type="gramEnd"/>
    </w:p>
    <w:p w:rsidR="00DC1539" w:rsidRPr="008C6145" w:rsidRDefault="00DC1539" w:rsidP="00DC1539">
      <w:pPr>
        <w:ind w:firstLine="0"/>
        <w:rPr>
          <w:szCs w:val="26"/>
        </w:rPr>
      </w:pPr>
    </w:p>
    <w:p w:rsidR="00977750" w:rsidRPr="008C6145" w:rsidRDefault="00DC1539" w:rsidP="00F14837">
      <w:r w:rsidRPr="008C6145">
        <w:lastRenderedPageBreak/>
        <w:t>A hearing was held on August 15, 2012</w:t>
      </w:r>
      <w:r w:rsidR="00C8637F" w:rsidRPr="008C6145">
        <w:t>,</w:t>
      </w:r>
      <w:r w:rsidRPr="008C6145">
        <w:t xml:space="preserve"> in Philadelphia before ALJ Fordham.  </w:t>
      </w:r>
      <w:r w:rsidR="0064137F" w:rsidRPr="008C6145">
        <w:t xml:space="preserve">The Complainant appeared </w:t>
      </w:r>
      <w:r w:rsidR="0064137F" w:rsidRPr="008C6145">
        <w:rPr>
          <w:i/>
        </w:rPr>
        <w:t xml:space="preserve">pro se, </w:t>
      </w:r>
      <w:r w:rsidR="0064137F" w:rsidRPr="008C6145">
        <w:t xml:space="preserve">testified on his own behalf and presented two witnesses.  </w:t>
      </w:r>
      <w:r w:rsidR="00823E97" w:rsidRPr="008C6145">
        <w:t xml:space="preserve">The </w:t>
      </w:r>
      <w:r w:rsidR="00295406" w:rsidRPr="008C6145">
        <w:t>Complainant</w:t>
      </w:r>
      <w:r w:rsidR="0064137F" w:rsidRPr="008C6145">
        <w:t xml:space="preserve"> introduced </w:t>
      </w:r>
      <w:r w:rsidR="00977750" w:rsidRPr="008C6145">
        <w:t>twenty</w:t>
      </w:r>
      <w:r w:rsidR="0064137F" w:rsidRPr="008C6145">
        <w:t xml:space="preserve"> exhibits</w:t>
      </w:r>
      <w:r w:rsidR="00544352" w:rsidRPr="008C6145">
        <w:t>,</w:t>
      </w:r>
      <w:r w:rsidR="0064137F" w:rsidRPr="008C6145">
        <w:t xml:space="preserve"> </w:t>
      </w:r>
      <w:r w:rsidR="00544352" w:rsidRPr="008C6145">
        <w:t>of which</w:t>
      </w:r>
      <w:r w:rsidR="0064137F" w:rsidRPr="008C6145">
        <w:t xml:space="preserve"> </w:t>
      </w:r>
      <w:r w:rsidR="00977750" w:rsidRPr="008C6145">
        <w:t>ten</w:t>
      </w:r>
      <w:r w:rsidR="0064137F" w:rsidRPr="008C6145">
        <w:t xml:space="preserve"> were admitted into the record.  PPL presented two </w:t>
      </w:r>
      <w:r w:rsidR="00977750" w:rsidRPr="008C6145">
        <w:t>witnesses</w:t>
      </w:r>
      <w:r w:rsidR="0064137F" w:rsidRPr="008C6145">
        <w:t xml:space="preserve"> </w:t>
      </w:r>
      <w:r w:rsidR="00977750" w:rsidRPr="008C6145">
        <w:t>and introduced ten exhibits</w:t>
      </w:r>
      <w:r w:rsidR="00823E97" w:rsidRPr="008C6145">
        <w:t>, n</w:t>
      </w:r>
      <w:r w:rsidR="00977750" w:rsidRPr="008C6145">
        <w:t xml:space="preserve">ine of </w:t>
      </w:r>
      <w:r w:rsidR="00823E97" w:rsidRPr="008C6145">
        <w:t>which</w:t>
      </w:r>
      <w:r w:rsidR="00977750" w:rsidRPr="008C6145">
        <w:t xml:space="preserve"> were admitted into the record.  The hearing resulted in a transcript of </w:t>
      </w:r>
      <w:r w:rsidR="00544352" w:rsidRPr="008C6145">
        <w:t>254</w:t>
      </w:r>
      <w:r w:rsidR="00977750" w:rsidRPr="008C6145">
        <w:t xml:space="preserve"> pages.  The record was closed upon the receipt of the transcript on September 7, 2012.</w:t>
      </w:r>
    </w:p>
    <w:p w:rsidR="00977750" w:rsidRPr="008C6145" w:rsidRDefault="00977750" w:rsidP="00F14837"/>
    <w:p w:rsidR="00C0750A" w:rsidRPr="008C6145" w:rsidRDefault="00B0133D" w:rsidP="00A25C53">
      <w:r w:rsidRPr="008C6145">
        <w:t xml:space="preserve">By Initial Decision issued </w:t>
      </w:r>
      <w:r w:rsidR="007145E2" w:rsidRPr="008C6145">
        <w:t>February 22, 2013,</w:t>
      </w:r>
      <w:r w:rsidRPr="008C6145">
        <w:t xml:space="preserve"> the ALJ dismissed the Complaint.  </w:t>
      </w:r>
      <w:r w:rsidR="007145E2" w:rsidRPr="008C6145">
        <w:t xml:space="preserve">As noted, </w:t>
      </w:r>
      <w:r w:rsidR="007145E2" w:rsidRPr="008C6145">
        <w:rPr>
          <w:i/>
        </w:rPr>
        <w:t>supra</w:t>
      </w:r>
      <w:r w:rsidR="007145E2" w:rsidRPr="008C6145">
        <w:t xml:space="preserve">, </w:t>
      </w:r>
      <w:r w:rsidR="00E7432D" w:rsidRPr="008C6145">
        <w:t>on March 15, 2013,</w:t>
      </w:r>
      <w:r w:rsidR="00E7432D" w:rsidRPr="008C6145">
        <w:rPr>
          <w:rStyle w:val="FootnoteReference"/>
        </w:rPr>
        <w:footnoteReference w:id="1"/>
      </w:r>
      <w:r w:rsidR="00E7432D" w:rsidRPr="008C6145">
        <w:t xml:space="preserve"> the Complainant filed Ex</w:t>
      </w:r>
      <w:r w:rsidR="00544352" w:rsidRPr="008C6145">
        <w:t>ceptions to the Initial Decision</w:t>
      </w:r>
      <w:r w:rsidR="00223AD4" w:rsidRPr="008C6145">
        <w:t xml:space="preserve">.  Also on March 15, 2013, the Complainant filed </w:t>
      </w:r>
      <w:r w:rsidR="00544352" w:rsidRPr="008C6145">
        <w:t>a</w:t>
      </w:r>
      <w:r w:rsidR="007642DD" w:rsidRPr="008C6145">
        <w:t xml:space="preserve"> R</w:t>
      </w:r>
      <w:r w:rsidR="00E37CCE" w:rsidRPr="008C6145">
        <w:t xml:space="preserve">equest for </w:t>
      </w:r>
      <w:r w:rsidR="007642DD" w:rsidRPr="008C6145">
        <w:t>O</w:t>
      </w:r>
      <w:r w:rsidR="00E37CCE" w:rsidRPr="008C6145">
        <w:t xml:space="preserve">ral </w:t>
      </w:r>
      <w:r w:rsidR="007642DD" w:rsidRPr="008C6145">
        <w:t>A</w:t>
      </w:r>
      <w:r w:rsidR="00E37CCE" w:rsidRPr="008C6145">
        <w:t>rgument</w:t>
      </w:r>
      <w:r w:rsidR="007642DD" w:rsidRPr="008C6145">
        <w:t xml:space="preserve">. </w:t>
      </w:r>
      <w:r w:rsidR="00C0750A" w:rsidRPr="008C6145">
        <w:t xml:space="preserve"> PPL filed Reply </w:t>
      </w:r>
      <w:r w:rsidR="00792618" w:rsidRPr="008C6145">
        <w:t>Exceptions on March 29, 2013.</w:t>
      </w:r>
    </w:p>
    <w:p w:rsidR="00C0750A" w:rsidRPr="008C6145" w:rsidRDefault="00C0750A" w:rsidP="00A25C53"/>
    <w:p w:rsidR="00980FC1" w:rsidRPr="008C6145" w:rsidRDefault="00C0750A" w:rsidP="00A25C53">
      <w:r w:rsidRPr="008C6145">
        <w:t xml:space="preserve">On May </w:t>
      </w:r>
      <w:r w:rsidR="00980FC1" w:rsidRPr="008C6145">
        <w:t>8</w:t>
      </w:r>
      <w:r w:rsidRPr="008C6145">
        <w:t xml:space="preserve">, 2013, </w:t>
      </w:r>
      <w:r w:rsidR="00544352" w:rsidRPr="008C6145">
        <w:t xml:space="preserve">the </w:t>
      </w:r>
      <w:r w:rsidR="00295406" w:rsidRPr="008C6145">
        <w:t>Complainant</w:t>
      </w:r>
      <w:r w:rsidRPr="008C6145">
        <w:t xml:space="preserve"> filed </w:t>
      </w:r>
      <w:r w:rsidR="00823E97" w:rsidRPr="008C6145">
        <w:t>a</w:t>
      </w:r>
      <w:r w:rsidR="007642DD" w:rsidRPr="008C6145">
        <w:t xml:space="preserve"> </w:t>
      </w:r>
      <w:r w:rsidR="004B6FBC" w:rsidRPr="008C6145">
        <w:t xml:space="preserve">Petition to </w:t>
      </w:r>
      <w:proofErr w:type="gramStart"/>
      <w:r w:rsidR="004B6FBC" w:rsidRPr="008C6145">
        <w:t>Reopen</w:t>
      </w:r>
      <w:proofErr w:type="gramEnd"/>
      <w:r w:rsidR="004B6FBC" w:rsidRPr="008C6145">
        <w:t xml:space="preserve"> and additional evidence to support his Complaint.  In th</w:t>
      </w:r>
      <w:r w:rsidR="00DB64C1" w:rsidRPr="008C6145">
        <w:t>is</w:t>
      </w:r>
      <w:r w:rsidR="004B6FBC" w:rsidRPr="008C6145">
        <w:t xml:space="preserve"> Petition, the Complainant requests that the Commission either consider the new evidence as part of </w:t>
      </w:r>
      <w:r w:rsidR="007642DD" w:rsidRPr="008C6145">
        <w:t>its</w:t>
      </w:r>
      <w:r w:rsidR="004B6FBC" w:rsidRPr="008C6145">
        <w:t xml:space="preserve"> consideration of the Exceptions</w:t>
      </w:r>
      <w:r w:rsidR="00980FC1" w:rsidRPr="008C6145">
        <w:t>,</w:t>
      </w:r>
      <w:r w:rsidR="004B6FBC" w:rsidRPr="008C6145">
        <w:t xml:space="preserve"> or </w:t>
      </w:r>
      <w:r w:rsidR="00980FC1" w:rsidRPr="008C6145">
        <w:t xml:space="preserve">reopen the record to examine the new evidence.  </w:t>
      </w:r>
      <w:proofErr w:type="gramStart"/>
      <w:r w:rsidR="00980FC1" w:rsidRPr="008C6145">
        <w:t>Petition at 3.</w:t>
      </w:r>
      <w:proofErr w:type="gramEnd"/>
      <w:r w:rsidR="00980FC1" w:rsidRPr="008C6145">
        <w:t xml:space="preserve">  PPL filed an Answer to </w:t>
      </w:r>
      <w:r w:rsidR="00DB64C1" w:rsidRPr="008C6145">
        <w:t xml:space="preserve">the </w:t>
      </w:r>
      <w:r w:rsidR="00980FC1" w:rsidRPr="008C6145">
        <w:t>Petition</w:t>
      </w:r>
      <w:r w:rsidR="00DB64C1" w:rsidRPr="008C6145">
        <w:t xml:space="preserve"> </w:t>
      </w:r>
      <w:r w:rsidR="00980FC1" w:rsidRPr="008C6145">
        <w:t xml:space="preserve">on May 20, 2013, requesting that the Petition be denied. </w:t>
      </w:r>
    </w:p>
    <w:p w:rsidR="00980FC1" w:rsidRPr="008C6145" w:rsidRDefault="00980FC1" w:rsidP="00A25C53"/>
    <w:p w:rsidR="00980FC1" w:rsidRPr="008C6145" w:rsidRDefault="00980FC1" w:rsidP="00A25C53">
      <w:r w:rsidRPr="008C6145">
        <w:t xml:space="preserve">On May 21, 2013, the Complainant filed additional documents to support his Petition </w:t>
      </w:r>
      <w:r w:rsidR="00DB64C1" w:rsidRPr="008C6145">
        <w:t xml:space="preserve">to Reopen </w:t>
      </w:r>
      <w:r w:rsidRPr="008C6145">
        <w:t xml:space="preserve">(May 21, 2013 Filing).  By letter </w:t>
      </w:r>
      <w:r w:rsidR="00211CF7" w:rsidRPr="008C6145">
        <w:t>filed</w:t>
      </w:r>
      <w:r w:rsidRPr="008C6145">
        <w:t xml:space="preserve"> May 31, 2013, PPL aver</w:t>
      </w:r>
      <w:r w:rsidR="003E464E" w:rsidRPr="008C6145">
        <w:t>red</w:t>
      </w:r>
      <w:r w:rsidRPr="008C6145">
        <w:t xml:space="preserve"> that the May 21, 2013 Filing appears to be a </w:t>
      </w:r>
      <w:r w:rsidR="003E464E" w:rsidRPr="008C6145">
        <w:t>second Petition to Reopen the Record</w:t>
      </w:r>
      <w:r w:rsidR="00CD7CA8" w:rsidRPr="008C6145">
        <w:t>,</w:t>
      </w:r>
      <w:r w:rsidR="003E464E" w:rsidRPr="008C6145">
        <w:t xml:space="preserve"> and requested that the second Petition be denied. </w:t>
      </w:r>
    </w:p>
    <w:p w:rsidR="00321166" w:rsidRPr="008C6145" w:rsidRDefault="00321166" w:rsidP="00A25C53"/>
    <w:p w:rsidR="00321166" w:rsidRPr="008C6145" w:rsidRDefault="00321166" w:rsidP="00321166">
      <w:r w:rsidRPr="008C6145">
        <w:t xml:space="preserve">On July 24, 2013, </w:t>
      </w:r>
      <w:r w:rsidR="00295406" w:rsidRPr="008C6145">
        <w:t>Complainant</w:t>
      </w:r>
      <w:r w:rsidRPr="008C6145">
        <w:t xml:space="preserve"> filed additional information to support his Exceptions, </w:t>
      </w:r>
      <w:r w:rsidR="00823E97" w:rsidRPr="008C6145">
        <w:t>R</w:t>
      </w:r>
      <w:r w:rsidRPr="008C6145">
        <w:t xml:space="preserve">equest for </w:t>
      </w:r>
      <w:r w:rsidR="00823E97" w:rsidRPr="008C6145">
        <w:t>O</w:t>
      </w:r>
      <w:r w:rsidRPr="008C6145">
        <w:t xml:space="preserve">ral </w:t>
      </w:r>
      <w:r w:rsidR="00960EFA" w:rsidRPr="008C6145">
        <w:t>Argument</w:t>
      </w:r>
      <w:r w:rsidRPr="008C6145">
        <w:t xml:space="preserve">, and Petition </w:t>
      </w:r>
      <w:r w:rsidR="00CD7CA8" w:rsidRPr="008C6145">
        <w:t xml:space="preserve">to Reopen </w:t>
      </w:r>
      <w:r w:rsidRPr="008C6145">
        <w:t xml:space="preserve">(July 24, 2013 Filing).  </w:t>
      </w:r>
      <w:r w:rsidRPr="008C6145">
        <w:lastRenderedPageBreak/>
        <w:t xml:space="preserve">By letter </w:t>
      </w:r>
      <w:r w:rsidR="00CD7CA8" w:rsidRPr="008C6145">
        <w:t>filed</w:t>
      </w:r>
      <w:r w:rsidRPr="008C6145">
        <w:t xml:space="preserve"> August 1, 2013, PPL averred that the July 24, 2013 Filing appears to be a third Petition to Reopen the Record and </w:t>
      </w:r>
      <w:r w:rsidR="00CD7CA8" w:rsidRPr="008C6145">
        <w:t>r</w:t>
      </w:r>
      <w:r w:rsidRPr="008C6145">
        <w:t xml:space="preserve">equested that the third Petition be denied. </w:t>
      </w:r>
    </w:p>
    <w:p w:rsidR="006170F0" w:rsidRPr="008C6145" w:rsidRDefault="00C0750A" w:rsidP="00A25C53">
      <w:r w:rsidRPr="008C6145">
        <w:t xml:space="preserve"> </w:t>
      </w:r>
    </w:p>
    <w:p w:rsidR="001B0588" w:rsidRPr="008C6145" w:rsidRDefault="00AB05BE" w:rsidP="007642DD">
      <w:pPr>
        <w:pStyle w:val="Heading1"/>
      </w:pPr>
      <w:r w:rsidRPr="008C6145">
        <w:rPr>
          <w:color w:val="92D050"/>
        </w:rPr>
        <w:t xml:space="preserve"> </w:t>
      </w:r>
      <w:r w:rsidR="00D35050" w:rsidRPr="008C6145">
        <w:t>D</w:t>
      </w:r>
      <w:r w:rsidR="001B0588" w:rsidRPr="008C6145">
        <w:t>iscussion</w:t>
      </w:r>
    </w:p>
    <w:p w:rsidR="003E464E" w:rsidRPr="008C6145" w:rsidRDefault="003E464E" w:rsidP="007642DD">
      <w:pPr>
        <w:keepNext/>
      </w:pPr>
    </w:p>
    <w:p w:rsidR="003E464E" w:rsidRPr="008C6145" w:rsidRDefault="003E464E" w:rsidP="007642DD">
      <w:pPr>
        <w:pStyle w:val="Heading2"/>
        <w:ind w:hanging="720"/>
      </w:pPr>
      <w:r w:rsidRPr="008C6145">
        <w:t>Burden of Proof</w:t>
      </w:r>
    </w:p>
    <w:p w:rsidR="003E464E" w:rsidRPr="008C6145" w:rsidRDefault="003E464E" w:rsidP="007642DD">
      <w:pPr>
        <w:keepNext/>
        <w:rPr>
          <w:szCs w:val="26"/>
        </w:rPr>
      </w:pPr>
    </w:p>
    <w:p w:rsidR="003E464E" w:rsidRPr="008C6145" w:rsidRDefault="003E464E" w:rsidP="007642DD">
      <w:pPr>
        <w:keepNext/>
        <w:suppressAutoHyphens/>
        <w:rPr>
          <w:spacing w:val="-3"/>
          <w:szCs w:val="26"/>
          <w:u w:val="single"/>
        </w:rPr>
      </w:pPr>
      <w:r w:rsidRPr="008C6145">
        <w:rPr>
          <w:szCs w:val="26"/>
        </w:rPr>
        <w:t xml:space="preserve">As the proponent of a rule or order, the Complainant in this proceeding bears the burden of proof pursuant to Section 332(a) of the Public Utility Code (Code), 66 Pa. C.S. § 332(a).  To satisfy this burden, the Complainant must demonstrate that </w:t>
      </w:r>
      <w:r w:rsidR="00EC0BC3" w:rsidRPr="008C6145">
        <w:rPr>
          <w:szCs w:val="26"/>
        </w:rPr>
        <w:t>PPL</w:t>
      </w:r>
      <w:r w:rsidRPr="008C6145">
        <w:rPr>
          <w:szCs w:val="26"/>
        </w:rPr>
        <w:t xml:space="preserve"> was responsible for the problems alleged in his Complaint through a violation of the Code, or a regulation or order of the Commission.  This must be shown by a preponderance of the evidence.  </w:t>
      </w:r>
      <w:proofErr w:type="gramStart"/>
      <w:r w:rsidRPr="008C6145">
        <w:rPr>
          <w:szCs w:val="26"/>
        </w:rPr>
        <w:t xml:space="preserve">66 Pa. C.S. § 701; </w:t>
      </w:r>
      <w:r w:rsidRPr="008C6145">
        <w:rPr>
          <w:i/>
          <w:szCs w:val="26"/>
        </w:rPr>
        <w:t>Patterson v.</w:t>
      </w:r>
      <w:proofErr w:type="gramEnd"/>
      <w:r w:rsidRPr="008C6145">
        <w:rPr>
          <w:i/>
          <w:szCs w:val="26"/>
        </w:rPr>
        <w:t xml:space="preserve"> </w:t>
      </w:r>
      <w:proofErr w:type="gramStart"/>
      <w:r w:rsidRPr="008C6145">
        <w:rPr>
          <w:i/>
          <w:szCs w:val="26"/>
        </w:rPr>
        <w:t>The Bell Telephone Company of Pennsylvania,</w:t>
      </w:r>
      <w:r w:rsidRPr="008C6145">
        <w:rPr>
          <w:szCs w:val="26"/>
        </w:rPr>
        <w:t xml:space="preserve"> 72 Pa. P.U.C. 196 (1990).</w:t>
      </w:r>
      <w:proofErr w:type="gramEnd"/>
      <w:r w:rsidRPr="008C6145">
        <w:rPr>
          <w:szCs w:val="26"/>
        </w:rPr>
        <w:t xml:space="preserve">  Preponderance of the evidence means that the party with the burden of proof must present evidence that is more convincing than that presented by the other party.  </w:t>
      </w:r>
      <w:proofErr w:type="gramStart"/>
      <w:r w:rsidRPr="008C6145">
        <w:rPr>
          <w:i/>
          <w:szCs w:val="26"/>
        </w:rPr>
        <w:t xml:space="preserve">Samuel J. </w:t>
      </w:r>
      <w:proofErr w:type="spellStart"/>
      <w:r w:rsidRPr="008C6145">
        <w:rPr>
          <w:i/>
          <w:szCs w:val="26"/>
        </w:rPr>
        <w:t>Lansberry</w:t>
      </w:r>
      <w:proofErr w:type="spellEnd"/>
      <w:r w:rsidRPr="008C6145">
        <w:rPr>
          <w:i/>
          <w:szCs w:val="26"/>
        </w:rPr>
        <w:t xml:space="preserve">, Inc. v. Pa. PUC, </w:t>
      </w:r>
      <w:r w:rsidRPr="008C6145">
        <w:rPr>
          <w:szCs w:val="26"/>
        </w:rPr>
        <w:t>578 A.2d 600 (Pa. Cmwlth. 1990)</w:t>
      </w:r>
      <w:r w:rsidR="00CD7CA8" w:rsidRPr="008C6145">
        <w:rPr>
          <w:szCs w:val="26"/>
        </w:rPr>
        <w:t>,</w:t>
      </w:r>
      <w:r w:rsidRPr="008C6145">
        <w:rPr>
          <w:szCs w:val="26"/>
        </w:rPr>
        <w:t xml:space="preserve"> </w:t>
      </w:r>
      <w:proofErr w:type="spellStart"/>
      <w:r w:rsidRPr="008C6145">
        <w:rPr>
          <w:i/>
          <w:szCs w:val="26"/>
        </w:rPr>
        <w:t>alloc</w:t>
      </w:r>
      <w:proofErr w:type="spellEnd"/>
      <w:r w:rsidRPr="008C6145">
        <w:rPr>
          <w:i/>
          <w:szCs w:val="26"/>
        </w:rPr>
        <w:t>.</w:t>
      </w:r>
      <w:proofErr w:type="gramEnd"/>
      <w:r w:rsidRPr="008C6145">
        <w:rPr>
          <w:i/>
          <w:szCs w:val="26"/>
        </w:rPr>
        <w:t xml:space="preserve"> </w:t>
      </w:r>
      <w:proofErr w:type="gramStart"/>
      <w:r w:rsidRPr="008C6145">
        <w:rPr>
          <w:i/>
          <w:szCs w:val="26"/>
        </w:rPr>
        <w:t>den</w:t>
      </w:r>
      <w:r w:rsidRPr="008C6145">
        <w:rPr>
          <w:szCs w:val="26"/>
        </w:rPr>
        <w:t>., 529 Pa. 654,</w:t>
      </w:r>
      <w:r w:rsidR="00CD7CA8" w:rsidRPr="008C6145">
        <w:rPr>
          <w:szCs w:val="26"/>
        </w:rPr>
        <w:t xml:space="preserve"> </w:t>
      </w:r>
      <w:r w:rsidRPr="008C6145">
        <w:rPr>
          <w:szCs w:val="26"/>
        </w:rPr>
        <w:t>602 A.2d 863 (1992).</w:t>
      </w:r>
      <w:proofErr w:type="gramEnd"/>
      <w:r w:rsidRPr="008C6145">
        <w:rPr>
          <w:szCs w:val="26"/>
        </w:rPr>
        <w:t xml:space="preserve">  In addition, the Commission</w:t>
      </w:r>
      <w:r w:rsidR="001903CC" w:rsidRPr="008C6145">
        <w:rPr>
          <w:szCs w:val="26"/>
        </w:rPr>
        <w:t>’</w:t>
      </w:r>
      <w:r w:rsidRPr="008C6145">
        <w:rPr>
          <w:szCs w:val="26"/>
        </w:rPr>
        <w:t xml:space="preserve">s findings of fact must be supported by </w:t>
      </w:r>
      <w:r w:rsidR="001903CC" w:rsidRPr="008C6145">
        <w:rPr>
          <w:szCs w:val="26"/>
        </w:rPr>
        <w:t>“</w:t>
      </w:r>
      <w:r w:rsidRPr="008C6145">
        <w:rPr>
          <w:szCs w:val="26"/>
        </w:rPr>
        <w:t>substantial evidence,</w:t>
      </w:r>
      <w:r w:rsidR="001903CC" w:rsidRPr="008C6145">
        <w:rPr>
          <w:szCs w:val="26"/>
        </w:rPr>
        <w:t>”</w:t>
      </w:r>
      <w:r w:rsidRPr="008C6145">
        <w:rPr>
          <w:szCs w:val="26"/>
        </w:rPr>
        <w:t xml:space="preserve"> which consists of evidence that a reasonable mind might accept as adequate to support a conclusion.  A mere </w:t>
      </w:r>
      <w:r w:rsidR="001903CC" w:rsidRPr="008C6145">
        <w:rPr>
          <w:szCs w:val="26"/>
        </w:rPr>
        <w:t>“</w:t>
      </w:r>
      <w:r w:rsidRPr="008C6145">
        <w:rPr>
          <w:szCs w:val="26"/>
        </w:rPr>
        <w:t>trace of evidence or a suspicion of the existence of a fact</w:t>
      </w:r>
      <w:r w:rsidR="001903CC" w:rsidRPr="008C6145">
        <w:rPr>
          <w:szCs w:val="26"/>
        </w:rPr>
        <w:t>”</w:t>
      </w:r>
      <w:r w:rsidRPr="008C6145">
        <w:rPr>
          <w:szCs w:val="26"/>
        </w:rPr>
        <w:t xml:space="preserve"> is insufficient.  </w:t>
      </w:r>
      <w:proofErr w:type="gramStart"/>
      <w:r w:rsidRPr="008C6145">
        <w:rPr>
          <w:i/>
          <w:szCs w:val="26"/>
        </w:rPr>
        <w:t>Norfolk and Western Railway v. Pa. PUC</w:t>
      </w:r>
      <w:r w:rsidRPr="008C6145">
        <w:rPr>
          <w:szCs w:val="26"/>
        </w:rPr>
        <w:t>, 489 Pa. 109, 413 A.2d 1037 (1980).</w:t>
      </w:r>
      <w:proofErr w:type="gramEnd"/>
    </w:p>
    <w:p w:rsidR="003E464E" w:rsidRPr="008C6145" w:rsidRDefault="003E464E" w:rsidP="003E464E">
      <w:pPr>
        <w:rPr>
          <w:szCs w:val="26"/>
        </w:rPr>
      </w:pPr>
    </w:p>
    <w:p w:rsidR="003E464E" w:rsidRPr="008C6145" w:rsidRDefault="003E464E" w:rsidP="003E464E">
      <w:pPr>
        <w:rPr>
          <w:i/>
          <w:szCs w:val="26"/>
        </w:rPr>
      </w:pPr>
      <w:r w:rsidRPr="008C6145">
        <w:rPr>
          <w:szCs w:val="26"/>
        </w:rPr>
        <w:t xml:space="preserve">Upon the presentation by the Complainant of evidence sufficient to initially satisfy the burden of proof, the burden of going forward with the evidence, sometimes called the burden of persuasion, to rebut the evidence of the Complainant shifts to </w:t>
      </w:r>
      <w:r w:rsidR="00EC0BC3" w:rsidRPr="008C6145">
        <w:rPr>
          <w:szCs w:val="26"/>
        </w:rPr>
        <w:t>PPL</w:t>
      </w:r>
      <w:r w:rsidRPr="008C6145">
        <w:rPr>
          <w:szCs w:val="26"/>
        </w:rPr>
        <w:t xml:space="preserve">.  If the evidence presented by </w:t>
      </w:r>
      <w:r w:rsidR="00EC0BC3" w:rsidRPr="008C6145">
        <w:rPr>
          <w:szCs w:val="26"/>
        </w:rPr>
        <w:t>PPL</w:t>
      </w:r>
      <w:r w:rsidRPr="008C6145">
        <w:rPr>
          <w:szCs w:val="26"/>
        </w:rPr>
        <w:t xml:space="preserve"> is of co-equal weight, the Complainant has not satisfied</w:t>
      </w:r>
      <w:r w:rsidR="00CD7CA8" w:rsidRPr="008C6145">
        <w:rPr>
          <w:szCs w:val="26"/>
        </w:rPr>
        <w:t xml:space="preserve"> his</w:t>
      </w:r>
      <w:r w:rsidRPr="008C6145">
        <w:rPr>
          <w:szCs w:val="26"/>
        </w:rPr>
        <w:t xml:space="preserve"> burden of proof.  The Complainant now has to provide some additional evidence to </w:t>
      </w:r>
      <w:r w:rsidRPr="008C6145">
        <w:rPr>
          <w:szCs w:val="26"/>
        </w:rPr>
        <w:lastRenderedPageBreak/>
        <w:t xml:space="preserve">rebut the evidence of </w:t>
      </w:r>
      <w:r w:rsidR="00EC0BC3" w:rsidRPr="008C6145">
        <w:rPr>
          <w:szCs w:val="26"/>
        </w:rPr>
        <w:t>PPL</w:t>
      </w:r>
      <w:r w:rsidRPr="008C6145">
        <w:rPr>
          <w:szCs w:val="26"/>
        </w:rPr>
        <w:t xml:space="preserve">. </w:t>
      </w:r>
      <w:r w:rsidRPr="008C6145">
        <w:rPr>
          <w:iCs/>
          <w:szCs w:val="26"/>
        </w:rPr>
        <w:t xml:space="preserve"> </w:t>
      </w:r>
      <w:hyperlink r:id="rId9" w:history="1">
        <w:r w:rsidRPr="008C6145">
          <w:rPr>
            <w:rStyle w:val="Hyperlink"/>
            <w:i/>
            <w:iCs/>
            <w:color w:val="auto"/>
            <w:szCs w:val="26"/>
            <w:u w:val="none"/>
          </w:rPr>
          <w:t>Burleson v. Pa. PUC</w:t>
        </w:r>
        <w:r w:rsidRPr="008C6145">
          <w:rPr>
            <w:rStyle w:val="Hyperlink"/>
            <w:iCs/>
            <w:color w:val="auto"/>
            <w:szCs w:val="26"/>
            <w:u w:val="none"/>
          </w:rPr>
          <w:t xml:space="preserve">, 443 A.2d 1373 (Pa. Cmwlth. 1982), </w:t>
        </w:r>
        <w:r w:rsidRPr="008C6145">
          <w:rPr>
            <w:rStyle w:val="Hyperlink"/>
            <w:i/>
            <w:iCs/>
            <w:color w:val="auto"/>
            <w:szCs w:val="26"/>
            <w:u w:val="none"/>
          </w:rPr>
          <w:t>aff</w:t>
        </w:r>
        <w:r w:rsidR="001903CC" w:rsidRPr="008C6145">
          <w:rPr>
            <w:rStyle w:val="Hyperlink"/>
            <w:i/>
            <w:iCs/>
            <w:color w:val="auto"/>
            <w:szCs w:val="26"/>
            <w:u w:val="none"/>
          </w:rPr>
          <w:t>’</w:t>
        </w:r>
        <w:r w:rsidRPr="008C6145">
          <w:rPr>
            <w:rStyle w:val="Hyperlink"/>
            <w:i/>
            <w:iCs/>
            <w:color w:val="auto"/>
            <w:szCs w:val="26"/>
            <w:u w:val="none"/>
          </w:rPr>
          <w:t>d</w:t>
        </w:r>
        <w:r w:rsidRPr="008C6145">
          <w:rPr>
            <w:rStyle w:val="Hyperlink"/>
            <w:iCs/>
            <w:color w:val="auto"/>
            <w:szCs w:val="26"/>
            <w:u w:val="none"/>
          </w:rPr>
          <w:t>, 501 Pa. 433, 461 A.2d 1234 (1983).</w:t>
        </w:r>
      </w:hyperlink>
    </w:p>
    <w:p w:rsidR="003E464E" w:rsidRPr="008C6145" w:rsidRDefault="003E464E" w:rsidP="003E464E">
      <w:pPr>
        <w:rPr>
          <w:szCs w:val="26"/>
        </w:rPr>
      </w:pPr>
    </w:p>
    <w:p w:rsidR="003E464E" w:rsidRPr="008C6145" w:rsidRDefault="003E464E" w:rsidP="003E464E">
      <w:pPr>
        <w:rPr>
          <w:szCs w:val="26"/>
        </w:rPr>
      </w:pPr>
      <w:r w:rsidRPr="008C6145">
        <w:rPr>
          <w:szCs w:val="26"/>
        </w:rPr>
        <w:t xml:space="preserve">While the burden of persuasion may </w:t>
      </w:r>
      <w:r w:rsidRPr="008C6145">
        <w:rPr>
          <w:rStyle w:val="term1"/>
          <w:b w:val="0"/>
          <w:szCs w:val="26"/>
        </w:rPr>
        <w:t>shift</w:t>
      </w:r>
      <w:r w:rsidRPr="008C6145">
        <w:rPr>
          <w:b/>
          <w:szCs w:val="26"/>
        </w:rPr>
        <w:t xml:space="preserve"> </w:t>
      </w:r>
      <w:r w:rsidRPr="008C6145">
        <w:rPr>
          <w:szCs w:val="26"/>
        </w:rPr>
        <w:t xml:space="preserve">back and forth during a proceeding, the </w:t>
      </w:r>
      <w:r w:rsidRPr="008C6145">
        <w:rPr>
          <w:rStyle w:val="term1"/>
          <w:b w:val="0"/>
          <w:szCs w:val="26"/>
        </w:rPr>
        <w:t>burden of proof</w:t>
      </w:r>
      <w:r w:rsidRPr="008C6145">
        <w:rPr>
          <w:b/>
          <w:szCs w:val="26"/>
        </w:rPr>
        <w:t xml:space="preserve"> </w:t>
      </w:r>
      <w:r w:rsidRPr="008C6145">
        <w:rPr>
          <w:szCs w:val="26"/>
        </w:rPr>
        <w:t xml:space="preserve">never </w:t>
      </w:r>
      <w:r w:rsidRPr="008C6145">
        <w:rPr>
          <w:rStyle w:val="term1"/>
          <w:b w:val="0"/>
          <w:szCs w:val="26"/>
        </w:rPr>
        <w:t>shifts.  The burden of proof</w:t>
      </w:r>
      <w:r w:rsidRPr="008C6145">
        <w:rPr>
          <w:szCs w:val="26"/>
        </w:rPr>
        <w:t xml:space="preserve"> always remains on the party seeking affirmative relief from the Commission.  </w:t>
      </w:r>
      <w:proofErr w:type="gramStart"/>
      <w:r w:rsidRPr="008C6145">
        <w:rPr>
          <w:i/>
          <w:szCs w:val="26"/>
        </w:rPr>
        <w:t xml:space="preserve">Milkie v. Pa. PUC, </w:t>
      </w:r>
      <w:r w:rsidRPr="008C6145">
        <w:rPr>
          <w:szCs w:val="26"/>
        </w:rPr>
        <w:t>768 A.2d 1217 (Pa. Cmwlth. 2001).</w:t>
      </w:r>
      <w:proofErr w:type="gramEnd"/>
    </w:p>
    <w:p w:rsidR="00D80899" w:rsidRPr="008C6145" w:rsidRDefault="00D80899" w:rsidP="003E464E">
      <w:pPr>
        <w:rPr>
          <w:szCs w:val="26"/>
        </w:rPr>
      </w:pPr>
    </w:p>
    <w:p w:rsidR="003E464E" w:rsidRPr="008C6145" w:rsidRDefault="003E464E" w:rsidP="00A138E1">
      <w:pPr>
        <w:pStyle w:val="Heading2"/>
        <w:ind w:hanging="720"/>
      </w:pPr>
      <w:r w:rsidRPr="008C6145">
        <w:t xml:space="preserve">Petition to Reopen the Record and the May 21, 2013 </w:t>
      </w:r>
      <w:r w:rsidR="004D429C" w:rsidRPr="008C6145">
        <w:t xml:space="preserve">and June 24, 2013 </w:t>
      </w:r>
      <w:r w:rsidRPr="008C6145">
        <w:t>Filing</w:t>
      </w:r>
      <w:r w:rsidR="004D429C" w:rsidRPr="008C6145">
        <w:t>s</w:t>
      </w:r>
    </w:p>
    <w:p w:rsidR="003E464E" w:rsidRPr="008C6145" w:rsidRDefault="003E464E" w:rsidP="00A138E1">
      <w:pPr>
        <w:keepNext/>
        <w:ind w:left="1440" w:hanging="720"/>
      </w:pPr>
    </w:p>
    <w:p w:rsidR="00137549" w:rsidRPr="008C6145" w:rsidRDefault="00137549" w:rsidP="00A138E1">
      <w:pPr>
        <w:keepNext/>
      </w:pPr>
      <w:r w:rsidRPr="008C6145">
        <w:t xml:space="preserve">As </w:t>
      </w:r>
      <w:r w:rsidR="00D95BEC" w:rsidRPr="008C6145">
        <w:t>indicated</w:t>
      </w:r>
      <w:r w:rsidRPr="008C6145">
        <w:t xml:space="preserve">, </w:t>
      </w:r>
      <w:r w:rsidRPr="008C6145">
        <w:rPr>
          <w:i/>
        </w:rPr>
        <w:t>supra</w:t>
      </w:r>
      <w:r w:rsidRPr="008C6145">
        <w:t xml:space="preserve">, the Complainant </w:t>
      </w:r>
      <w:r w:rsidR="00D95BEC" w:rsidRPr="008C6145">
        <w:t xml:space="preserve">filed a Petition to Reopen the Record pursuant to 52 Pa. Code § 5.571 </w:t>
      </w:r>
      <w:r w:rsidR="003D5905" w:rsidRPr="008C6145">
        <w:t xml:space="preserve">on May 8, 2013, </w:t>
      </w:r>
      <w:r w:rsidR="00D95BEC" w:rsidRPr="008C6145">
        <w:t xml:space="preserve">and submitted additional information on </w:t>
      </w:r>
      <w:r w:rsidR="00D80899" w:rsidRPr="008C6145">
        <w:t>M</w:t>
      </w:r>
      <w:r w:rsidR="00CD7CA8" w:rsidRPr="008C6145">
        <w:t>a</w:t>
      </w:r>
      <w:r w:rsidR="00D80899" w:rsidRPr="008C6145">
        <w:t xml:space="preserve">y 8, 2013, </w:t>
      </w:r>
      <w:r w:rsidR="00D95BEC" w:rsidRPr="008C6145">
        <w:t>Ma</w:t>
      </w:r>
      <w:r w:rsidR="009A192F" w:rsidRPr="008C6145">
        <w:t>y 21, 2013, and July 24, 2013.</w:t>
      </w:r>
    </w:p>
    <w:p w:rsidR="00D95BEC" w:rsidRPr="008C6145" w:rsidRDefault="00D95BEC" w:rsidP="00D95BEC"/>
    <w:p w:rsidR="00A138E1" w:rsidRPr="008C6145" w:rsidRDefault="00D95BEC" w:rsidP="00D95BEC">
      <w:r w:rsidRPr="008C6145">
        <w:t xml:space="preserve">As discussed in our disposition of the Exceptions, </w:t>
      </w:r>
      <w:r w:rsidRPr="008C6145">
        <w:rPr>
          <w:i/>
        </w:rPr>
        <w:t>infra,</w:t>
      </w:r>
      <w:r w:rsidRPr="008C6145">
        <w:t xml:space="preserve"> we find that the record developed in this proceeding does not contain sufficient information to determine </w:t>
      </w:r>
      <w:r w:rsidR="00CD7CA8" w:rsidRPr="008C6145">
        <w:t>whether</w:t>
      </w:r>
      <w:r w:rsidRPr="008C6145">
        <w:t xml:space="preserve"> PPL properly credited or paid for the net generation from </w:t>
      </w:r>
      <w:r w:rsidR="00823E97" w:rsidRPr="008C6145">
        <w:t xml:space="preserve">the </w:t>
      </w:r>
      <w:r w:rsidR="00295406" w:rsidRPr="008C6145">
        <w:t>Complainant</w:t>
      </w:r>
      <w:r w:rsidR="001903CC" w:rsidRPr="008C6145">
        <w:t>’</w:t>
      </w:r>
      <w:r w:rsidRPr="008C6145">
        <w:t>s solar panels.  Consequently</w:t>
      </w:r>
      <w:r w:rsidR="00A138E1" w:rsidRPr="008C6145">
        <w:t>,</w:t>
      </w:r>
      <w:r w:rsidRPr="008C6145">
        <w:t xml:space="preserve"> we shall remand this proceeding to the OALJ for the limited purpose of </w:t>
      </w:r>
      <w:r w:rsidR="00CD7CA8" w:rsidRPr="008C6145">
        <w:t>including</w:t>
      </w:r>
      <w:r w:rsidRPr="008C6145">
        <w:t xml:space="preserve"> a complete history of </w:t>
      </w:r>
      <w:r w:rsidR="00823E97" w:rsidRPr="008C6145">
        <w:t xml:space="preserve">the </w:t>
      </w:r>
      <w:r w:rsidR="00CD7CA8" w:rsidRPr="008C6145">
        <w:t>Complainant</w:t>
      </w:r>
      <w:r w:rsidR="001903CC" w:rsidRPr="008C6145">
        <w:t>’</w:t>
      </w:r>
      <w:r w:rsidR="00CD7CA8" w:rsidRPr="008C6145">
        <w:t>s</w:t>
      </w:r>
      <w:r w:rsidRPr="008C6145">
        <w:t xml:space="preserve"> host and satellite accounts from April 2009 through </w:t>
      </w:r>
      <w:r w:rsidR="00523C0E" w:rsidRPr="008C6145">
        <w:t>May</w:t>
      </w:r>
      <w:r w:rsidR="00E240AF" w:rsidRPr="008C6145">
        <w:t xml:space="preserve"> </w:t>
      </w:r>
      <w:r w:rsidRPr="008C6145">
        <w:t>2013</w:t>
      </w:r>
      <w:r w:rsidR="00CD7CA8" w:rsidRPr="008C6145">
        <w:t xml:space="preserve"> in the record of this proceeding</w:t>
      </w:r>
      <w:r w:rsidR="00E240AF" w:rsidRPr="008C6145">
        <w:t>.</w:t>
      </w:r>
      <w:r w:rsidRPr="008C6145">
        <w:t xml:space="preserve">  In order to </w:t>
      </w:r>
      <w:r w:rsidR="00A138E1" w:rsidRPr="008C6145">
        <w:t xml:space="preserve">adequately </w:t>
      </w:r>
      <w:r w:rsidRPr="008C6145">
        <w:t>develop the re</w:t>
      </w:r>
      <w:r w:rsidR="00A138E1" w:rsidRPr="008C6145">
        <w:t xml:space="preserve">cord, </w:t>
      </w:r>
      <w:r w:rsidRPr="008C6145">
        <w:t xml:space="preserve">we shall direct PPL to </w:t>
      </w:r>
      <w:r w:rsidR="00CD7CA8" w:rsidRPr="008C6145">
        <w:t>file</w:t>
      </w:r>
      <w:r w:rsidR="00823E97" w:rsidRPr="008C6145">
        <w:t>,</w:t>
      </w:r>
      <w:r w:rsidR="00CD7CA8" w:rsidRPr="008C6145">
        <w:t xml:space="preserve"> within sixty days, a re</w:t>
      </w:r>
      <w:r w:rsidRPr="008C6145">
        <w:t>vised version of PPL Exhibit No. 7 that reflects the Complainant</w:t>
      </w:r>
      <w:r w:rsidR="001903CC" w:rsidRPr="008C6145">
        <w:t>’</w:t>
      </w:r>
      <w:r w:rsidRPr="008C6145">
        <w:t xml:space="preserve">s </w:t>
      </w:r>
      <w:r w:rsidRPr="008C6145">
        <w:rPr>
          <w:i/>
        </w:rPr>
        <w:t>actual</w:t>
      </w:r>
      <w:r w:rsidRPr="008C6145">
        <w:t xml:space="preserve"> data, including meter readings, if available, for the period April 2009 through </w:t>
      </w:r>
      <w:r w:rsidR="00523C0E" w:rsidRPr="008C6145">
        <w:t>May</w:t>
      </w:r>
      <w:r w:rsidRPr="008C6145">
        <w:t xml:space="preserve"> 2013.  </w:t>
      </w:r>
    </w:p>
    <w:p w:rsidR="00823E97" w:rsidRPr="008C6145" w:rsidRDefault="00823E97" w:rsidP="00D95BEC"/>
    <w:p w:rsidR="00A138E1" w:rsidRPr="008C6145" w:rsidRDefault="00806335" w:rsidP="00A138E1">
      <w:r w:rsidRPr="008C6145">
        <w:t>Also, as discussed</w:t>
      </w:r>
      <w:r w:rsidRPr="008C6145">
        <w:rPr>
          <w:i/>
        </w:rPr>
        <w:t>, infra</w:t>
      </w:r>
      <w:r w:rsidRPr="008C6145">
        <w:t>, f</w:t>
      </w:r>
      <w:r w:rsidR="00A138E1" w:rsidRPr="008C6145">
        <w:t xml:space="preserve">ollowing the </w:t>
      </w:r>
      <w:r w:rsidR="00523C0E" w:rsidRPr="008C6145">
        <w:t>filing</w:t>
      </w:r>
      <w:r w:rsidR="00A138E1" w:rsidRPr="008C6145">
        <w:t xml:space="preserve"> of </w:t>
      </w:r>
      <w:r w:rsidR="00523C0E" w:rsidRPr="008C6145">
        <w:t xml:space="preserve">this </w:t>
      </w:r>
      <w:r w:rsidR="00A138E1" w:rsidRPr="008C6145">
        <w:t xml:space="preserve">information by PPL, we encourage the Parties to </w:t>
      </w:r>
      <w:r w:rsidR="003D5905" w:rsidRPr="008C6145">
        <w:t xml:space="preserve">meet and </w:t>
      </w:r>
      <w:r w:rsidR="0045485C">
        <w:t>discuss</w:t>
      </w:r>
      <w:r w:rsidR="00A138E1" w:rsidRPr="008C6145">
        <w:t xml:space="preserve"> </w:t>
      </w:r>
      <w:r w:rsidR="00523C0E" w:rsidRPr="008C6145">
        <w:t xml:space="preserve">the </w:t>
      </w:r>
      <w:r w:rsidR="00295406" w:rsidRPr="008C6145">
        <w:t>Complainant</w:t>
      </w:r>
      <w:r w:rsidR="001903CC" w:rsidRPr="008C6145">
        <w:t>’</w:t>
      </w:r>
      <w:r w:rsidR="00A138E1" w:rsidRPr="008C6145">
        <w:t>s actual bills and virtual metering statements</w:t>
      </w:r>
      <w:r w:rsidR="00823E97" w:rsidRPr="008C6145">
        <w:t>,</w:t>
      </w:r>
      <w:r w:rsidR="00A138E1" w:rsidRPr="008C6145">
        <w:t xml:space="preserve"> and attempt to resolve the Complainant</w:t>
      </w:r>
      <w:r w:rsidR="001903CC" w:rsidRPr="008C6145">
        <w:t>’</w:t>
      </w:r>
      <w:r w:rsidR="00A138E1" w:rsidRPr="008C6145">
        <w:t xml:space="preserve">s concerns with his billing, credits and payments.  At that time, </w:t>
      </w:r>
      <w:r w:rsidR="00523C0E" w:rsidRPr="008C6145">
        <w:t xml:space="preserve">the </w:t>
      </w:r>
      <w:r w:rsidR="00295406" w:rsidRPr="008C6145">
        <w:t>Complainant</w:t>
      </w:r>
      <w:r w:rsidR="00A138E1" w:rsidRPr="008C6145">
        <w:t xml:space="preserve"> should present all of his </w:t>
      </w:r>
      <w:r w:rsidRPr="008C6145">
        <w:t xml:space="preserve">monthly </w:t>
      </w:r>
      <w:r w:rsidR="00A138E1" w:rsidRPr="008C6145">
        <w:lastRenderedPageBreak/>
        <w:t xml:space="preserve">bills </w:t>
      </w:r>
      <w:r w:rsidRPr="008C6145">
        <w:t xml:space="preserve">and statements from April 2009 </w:t>
      </w:r>
      <w:r w:rsidR="00A138E1" w:rsidRPr="008C6145">
        <w:t xml:space="preserve">through </w:t>
      </w:r>
      <w:r w:rsidR="00A37EA1">
        <w:t>the last monthly bills rendered prior to the entry date of the Opinion and Order</w:t>
      </w:r>
      <w:r w:rsidRPr="008C6145">
        <w:t>,</w:t>
      </w:r>
      <w:r w:rsidR="00A138E1" w:rsidRPr="008C6145">
        <w:t xml:space="preserve"> </w:t>
      </w:r>
      <w:r w:rsidRPr="008C6145">
        <w:t>so that his monthly billings and statements for both the host and satellite account</w:t>
      </w:r>
      <w:r w:rsidR="00523C0E" w:rsidRPr="008C6145">
        <w:t>s</w:t>
      </w:r>
      <w:r w:rsidRPr="008C6145">
        <w:t xml:space="preserve"> may be reconciled with the information to be provided by PPL.  </w:t>
      </w:r>
      <w:r w:rsidR="00A138E1" w:rsidRPr="008C6145">
        <w:t>If the Complainant</w:t>
      </w:r>
      <w:r w:rsidR="001903CC" w:rsidRPr="008C6145">
        <w:t>’</w:t>
      </w:r>
      <w:r w:rsidRPr="008C6145">
        <w:t xml:space="preserve">s concerns cannot be resolved through the informal discussions with PPL, </w:t>
      </w:r>
      <w:r w:rsidR="00A138E1" w:rsidRPr="008C6145">
        <w:t xml:space="preserve">the Complainant may </w:t>
      </w:r>
      <w:r w:rsidRPr="008C6145">
        <w:t xml:space="preserve">submit his monthly bills into the record as part of any further proceedings conducted by OALJ.  </w:t>
      </w:r>
      <w:r w:rsidR="009D15C6" w:rsidRPr="008C6145">
        <w:t xml:space="preserve">Accordingly, we shall grant the Petition to </w:t>
      </w:r>
      <w:proofErr w:type="gramStart"/>
      <w:r w:rsidR="00523C0E" w:rsidRPr="008C6145">
        <w:t>Reopen</w:t>
      </w:r>
      <w:proofErr w:type="gramEnd"/>
      <w:r w:rsidR="00523C0E" w:rsidRPr="008C6145">
        <w:t xml:space="preserve"> to </w:t>
      </w:r>
      <w:r w:rsidR="009D15C6" w:rsidRPr="008C6145">
        <w:t>the extent that</w:t>
      </w:r>
      <w:r w:rsidR="00D80899" w:rsidRPr="008C6145">
        <w:t xml:space="preserve"> </w:t>
      </w:r>
      <w:r w:rsidR="00823E97" w:rsidRPr="008C6145">
        <w:t xml:space="preserve">we </w:t>
      </w:r>
      <w:r w:rsidR="00523C0E" w:rsidRPr="008C6145">
        <w:t xml:space="preserve">shall </w:t>
      </w:r>
      <w:r w:rsidR="009D15C6" w:rsidRPr="008C6145">
        <w:t>direct PPL to provide</w:t>
      </w:r>
      <w:r w:rsidR="00523C0E" w:rsidRPr="008C6145">
        <w:t xml:space="preserve"> this </w:t>
      </w:r>
      <w:r w:rsidR="009D15C6" w:rsidRPr="008C6145">
        <w:t>additional information</w:t>
      </w:r>
      <w:r w:rsidR="00523C0E" w:rsidRPr="008C6145">
        <w:t>,</w:t>
      </w:r>
      <w:r w:rsidR="009D15C6" w:rsidRPr="008C6145">
        <w:t xml:space="preserve"> and</w:t>
      </w:r>
      <w:r w:rsidR="00523C0E" w:rsidRPr="008C6145">
        <w:t>,</w:t>
      </w:r>
      <w:r w:rsidR="009D15C6" w:rsidRPr="008C6145">
        <w:t xml:space="preserve"> </w:t>
      </w:r>
      <w:r w:rsidR="00523C0E" w:rsidRPr="008C6145">
        <w:t>will allow</w:t>
      </w:r>
      <w:r w:rsidR="009D15C6" w:rsidRPr="008C6145">
        <w:t xml:space="preserve"> the Complainant </w:t>
      </w:r>
      <w:r w:rsidR="00523C0E" w:rsidRPr="008C6145">
        <w:t xml:space="preserve">to </w:t>
      </w:r>
      <w:r w:rsidR="009D15C6" w:rsidRPr="008C6145">
        <w:t>submit his monthly bills and other statements</w:t>
      </w:r>
      <w:r w:rsidR="007207BB" w:rsidRPr="008C6145">
        <w:t xml:space="preserve"> from PPL </w:t>
      </w:r>
      <w:r w:rsidR="009D15C6" w:rsidRPr="008C6145">
        <w:t xml:space="preserve">into the record if further proceedings are warranted.  The </w:t>
      </w:r>
      <w:r w:rsidR="00E240AF" w:rsidRPr="008C6145">
        <w:t>P</w:t>
      </w:r>
      <w:r w:rsidR="009D15C6" w:rsidRPr="008C6145">
        <w:t>etition is denied in all other respects</w:t>
      </w:r>
      <w:r w:rsidR="00E240AF" w:rsidRPr="008C6145">
        <w:t xml:space="preserve"> and the information submitted by </w:t>
      </w:r>
      <w:r w:rsidR="00823E97" w:rsidRPr="008C6145">
        <w:t xml:space="preserve">the </w:t>
      </w:r>
      <w:r w:rsidR="00295406" w:rsidRPr="008C6145">
        <w:t>Complainant</w:t>
      </w:r>
      <w:r w:rsidR="00E240AF" w:rsidRPr="008C6145">
        <w:t xml:space="preserve"> following the close of the record shall not be considered at this juncture.  </w:t>
      </w:r>
    </w:p>
    <w:p w:rsidR="00D95BEC" w:rsidRPr="008C6145" w:rsidRDefault="00A138E1" w:rsidP="00D95BEC">
      <w:r w:rsidRPr="008C6145">
        <w:t xml:space="preserve"> </w:t>
      </w:r>
    </w:p>
    <w:p w:rsidR="003E464E" w:rsidRPr="008C6145" w:rsidRDefault="003E464E" w:rsidP="003E464E">
      <w:pPr>
        <w:pStyle w:val="Heading2"/>
        <w:ind w:hanging="720"/>
      </w:pPr>
      <w:r w:rsidRPr="008C6145">
        <w:t>Request for Oral Argument</w:t>
      </w:r>
    </w:p>
    <w:p w:rsidR="003E464E" w:rsidRPr="008C6145" w:rsidRDefault="003E464E" w:rsidP="003E464E"/>
    <w:p w:rsidR="008D0061" w:rsidRPr="008C6145" w:rsidRDefault="0037579A" w:rsidP="008D0061">
      <w:pPr>
        <w:rPr>
          <w:szCs w:val="26"/>
        </w:rPr>
      </w:pPr>
      <w:r w:rsidRPr="008C6145">
        <w:t xml:space="preserve">As noted, </w:t>
      </w:r>
      <w:r w:rsidRPr="008C6145">
        <w:rPr>
          <w:i/>
        </w:rPr>
        <w:t>supra</w:t>
      </w:r>
      <w:r w:rsidRPr="008C6145">
        <w:t xml:space="preserve">, </w:t>
      </w:r>
      <w:r w:rsidR="00823E97" w:rsidRPr="008C6145">
        <w:t xml:space="preserve">on </w:t>
      </w:r>
      <w:r w:rsidRPr="008C6145">
        <w:t xml:space="preserve">March 15, 2013, </w:t>
      </w:r>
      <w:r w:rsidR="00823E97" w:rsidRPr="008C6145">
        <w:t xml:space="preserve">the </w:t>
      </w:r>
      <w:r w:rsidR="00295406" w:rsidRPr="008C6145">
        <w:t>Complainant</w:t>
      </w:r>
      <w:r w:rsidRPr="008C6145">
        <w:t xml:space="preserve"> </w:t>
      </w:r>
      <w:r w:rsidR="00823E97" w:rsidRPr="008C6145">
        <w:t>submitted a R</w:t>
      </w:r>
      <w:r w:rsidRPr="008C6145">
        <w:t>equest</w:t>
      </w:r>
      <w:r w:rsidR="00823E97" w:rsidRPr="008C6145">
        <w:t xml:space="preserve"> </w:t>
      </w:r>
      <w:r w:rsidRPr="008C6145">
        <w:t xml:space="preserve">for </w:t>
      </w:r>
      <w:r w:rsidR="00823E97" w:rsidRPr="008C6145">
        <w:t>O</w:t>
      </w:r>
      <w:r w:rsidRPr="008C6145">
        <w:t xml:space="preserve">ral </w:t>
      </w:r>
      <w:r w:rsidR="00823E97" w:rsidRPr="008C6145">
        <w:t>A</w:t>
      </w:r>
      <w:r w:rsidRPr="008C6145">
        <w:t xml:space="preserve">rgument before the Commission </w:t>
      </w:r>
      <w:r w:rsidR="006042B3" w:rsidRPr="008C6145">
        <w:t>with</w:t>
      </w:r>
      <w:r w:rsidRPr="008C6145">
        <w:t xml:space="preserve"> his Exceptions.  </w:t>
      </w:r>
      <w:r w:rsidR="00223AD4" w:rsidRPr="008C6145">
        <w:t>The Complainant</w:t>
      </w:r>
      <w:r w:rsidR="001903CC" w:rsidRPr="008C6145">
        <w:t>’</w:t>
      </w:r>
      <w:r w:rsidR="00223AD4" w:rsidRPr="008C6145">
        <w:t xml:space="preserve">s request consists of one sentence, with no further explanation of the reasons why oral argument would be appropriate or necessary in this case.  </w:t>
      </w:r>
      <w:r w:rsidR="008D0061" w:rsidRPr="008C6145">
        <w:rPr>
          <w:szCs w:val="26"/>
        </w:rPr>
        <w:t xml:space="preserve">We note that Section 5.538(b) of our Regulations, 52 Pa. Code § 5.538(b), provides that requests for oral argument may be filed, in writing, with exceptions to initial, tentative or recommended decisions.  The Complainant technically complied with this provision, but did not include any justification or support </w:t>
      </w:r>
      <w:r w:rsidR="006042B3" w:rsidRPr="008C6145">
        <w:rPr>
          <w:szCs w:val="26"/>
        </w:rPr>
        <w:t xml:space="preserve">for </w:t>
      </w:r>
      <w:r w:rsidR="008D0061" w:rsidRPr="008C6145">
        <w:rPr>
          <w:szCs w:val="26"/>
        </w:rPr>
        <w:t xml:space="preserve">his request.  Given the high volume of cases adjudicated by the Commission, it would be impractical to schedule oral argument before the Commission in most cases.  Oral argument before the Commission is scheduled only in rare instances, for example in cases that raise questions of general policy of such importance that oral argument would be appropriate.  </w:t>
      </w:r>
      <w:proofErr w:type="gramStart"/>
      <w:r w:rsidR="008D0061" w:rsidRPr="008C6145">
        <w:rPr>
          <w:i/>
          <w:szCs w:val="26"/>
        </w:rPr>
        <w:t>See</w:t>
      </w:r>
      <w:r w:rsidR="008D0061" w:rsidRPr="008C6145">
        <w:rPr>
          <w:szCs w:val="26"/>
        </w:rPr>
        <w:t xml:space="preserve">, </w:t>
      </w:r>
      <w:r w:rsidR="008D0061" w:rsidRPr="008C6145">
        <w:rPr>
          <w:i/>
          <w:szCs w:val="26"/>
        </w:rPr>
        <w:t>e.g.</w:t>
      </w:r>
      <w:r w:rsidR="008D0061" w:rsidRPr="008C6145">
        <w:rPr>
          <w:szCs w:val="26"/>
        </w:rPr>
        <w:t xml:space="preserve">, </w:t>
      </w:r>
      <w:r w:rsidR="008D0061" w:rsidRPr="008C6145">
        <w:rPr>
          <w:i/>
          <w:szCs w:val="26"/>
        </w:rPr>
        <w:t>Level 3 Communications v. Marianna &amp; Scenery Hill Telephone Co</w:t>
      </w:r>
      <w:r w:rsidR="008D0061" w:rsidRPr="008C6145">
        <w:rPr>
          <w:szCs w:val="26"/>
        </w:rPr>
        <w:t>., Docket No.</w:t>
      </w:r>
      <w:proofErr w:type="gramEnd"/>
      <w:r w:rsidR="008D0061" w:rsidRPr="008C6145">
        <w:rPr>
          <w:szCs w:val="26"/>
        </w:rPr>
        <w:t xml:space="preserve"> C-20028114 (2003); </w:t>
      </w:r>
      <w:r w:rsidR="008D0061" w:rsidRPr="008C6145">
        <w:rPr>
          <w:i/>
          <w:szCs w:val="26"/>
        </w:rPr>
        <w:t>Petition of Metropolitan Edison Co</w:t>
      </w:r>
      <w:r w:rsidR="008D0061" w:rsidRPr="008C6145">
        <w:rPr>
          <w:szCs w:val="26"/>
        </w:rPr>
        <w:t xml:space="preserve">., Docket No. </w:t>
      </w:r>
      <w:proofErr w:type="gramStart"/>
      <w:r w:rsidR="008D0061" w:rsidRPr="008C6145">
        <w:rPr>
          <w:szCs w:val="26"/>
        </w:rPr>
        <w:t xml:space="preserve">P-00900429 (1993); </w:t>
      </w:r>
      <w:r w:rsidR="008D0061" w:rsidRPr="008C6145">
        <w:rPr>
          <w:i/>
          <w:szCs w:val="26"/>
        </w:rPr>
        <w:t>Re Fowler and Williams</w:t>
      </w:r>
      <w:r w:rsidR="008D0061" w:rsidRPr="008C6145">
        <w:rPr>
          <w:szCs w:val="26"/>
        </w:rPr>
        <w:t>, 56 Pa. P.U.C. 272 (1982).</w:t>
      </w:r>
      <w:proofErr w:type="gramEnd"/>
      <w:r w:rsidR="008D0061" w:rsidRPr="008C6145">
        <w:rPr>
          <w:szCs w:val="26"/>
        </w:rPr>
        <w:t xml:space="preserve">  We are not persuaded by the Complainant</w:t>
      </w:r>
      <w:r w:rsidR="001903CC" w:rsidRPr="008C6145">
        <w:rPr>
          <w:szCs w:val="26"/>
        </w:rPr>
        <w:t>’</w:t>
      </w:r>
      <w:r w:rsidR="008D0061" w:rsidRPr="008C6145">
        <w:rPr>
          <w:szCs w:val="26"/>
        </w:rPr>
        <w:t xml:space="preserve">s one-sentence request </w:t>
      </w:r>
      <w:r w:rsidR="008D0061" w:rsidRPr="008C6145">
        <w:rPr>
          <w:szCs w:val="26"/>
        </w:rPr>
        <w:lastRenderedPageBreak/>
        <w:t>that an oral argument in this particular case would be an efficient use of the Commission</w:t>
      </w:r>
      <w:r w:rsidR="001903CC" w:rsidRPr="008C6145">
        <w:rPr>
          <w:szCs w:val="26"/>
        </w:rPr>
        <w:t>’</w:t>
      </w:r>
      <w:r w:rsidR="008D0061" w:rsidRPr="008C6145">
        <w:rPr>
          <w:szCs w:val="26"/>
        </w:rPr>
        <w:t>s resources.  The Complainant</w:t>
      </w:r>
      <w:r w:rsidR="001903CC" w:rsidRPr="008C6145">
        <w:rPr>
          <w:szCs w:val="26"/>
        </w:rPr>
        <w:t>’</w:t>
      </w:r>
      <w:r w:rsidR="008D0061" w:rsidRPr="008C6145">
        <w:rPr>
          <w:szCs w:val="26"/>
        </w:rPr>
        <w:t>s Request for Oral Argument accordingly is denied.</w:t>
      </w:r>
    </w:p>
    <w:p w:rsidR="007207BB" w:rsidRPr="008C6145" w:rsidRDefault="00AA02F4" w:rsidP="003E464E">
      <w:r w:rsidRPr="008C6145">
        <w:t xml:space="preserve"> </w:t>
      </w:r>
    </w:p>
    <w:p w:rsidR="003E464E" w:rsidRPr="008C6145" w:rsidRDefault="003E464E" w:rsidP="003E464E">
      <w:pPr>
        <w:pStyle w:val="Heading2"/>
        <w:ind w:hanging="720"/>
      </w:pPr>
      <w:r w:rsidRPr="008C6145">
        <w:t>Exceptions to the Initial Decision</w:t>
      </w:r>
    </w:p>
    <w:p w:rsidR="003E464E" w:rsidRPr="008C6145" w:rsidRDefault="003E464E" w:rsidP="003E464E">
      <w:pPr>
        <w:widowControl w:val="0"/>
        <w:rPr>
          <w:szCs w:val="26"/>
        </w:rPr>
      </w:pPr>
    </w:p>
    <w:p w:rsidR="003E464E" w:rsidRPr="008C6145" w:rsidRDefault="003E464E" w:rsidP="00145570">
      <w:pPr>
        <w:rPr>
          <w:szCs w:val="26"/>
        </w:rPr>
      </w:pPr>
      <w:r w:rsidRPr="008C6145">
        <w:rPr>
          <w:szCs w:val="26"/>
        </w:rPr>
        <w:t xml:space="preserve">We note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proofErr w:type="gramStart"/>
      <w:r w:rsidRPr="008C6145">
        <w:rPr>
          <w:i/>
          <w:szCs w:val="26"/>
        </w:rPr>
        <w:t>Consolidated Rail Corporation v. Pa. PUC</w:t>
      </w:r>
      <w:r w:rsidRPr="008C6145">
        <w:rPr>
          <w:szCs w:val="26"/>
        </w:rPr>
        <w:t xml:space="preserve">, 625 A.2d 741 (Pa. Cmwlth. 1993); </w:t>
      </w:r>
      <w:r w:rsidRPr="008C6145">
        <w:rPr>
          <w:i/>
          <w:szCs w:val="26"/>
        </w:rPr>
        <w:t>see also</w:t>
      </w:r>
      <w:r w:rsidRPr="008C6145">
        <w:rPr>
          <w:szCs w:val="26"/>
        </w:rPr>
        <w:t xml:space="preserve">, </w:t>
      </w:r>
      <w:r w:rsidRPr="008C6145">
        <w:rPr>
          <w:i/>
          <w:szCs w:val="26"/>
        </w:rPr>
        <w:t>generally</w:t>
      </w:r>
      <w:r w:rsidRPr="008C6145">
        <w:rPr>
          <w:szCs w:val="26"/>
        </w:rPr>
        <w:t xml:space="preserve">, </w:t>
      </w:r>
      <w:r w:rsidRPr="008C6145">
        <w:rPr>
          <w:i/>
          <w:szCs w:val="26"/>
        </w:rPr>
        <w:t>University of Pennsylvania v. Pa. PUC</w:t>
      </w:r>
      <w:r w:rsidRPr="008C6145">
        <w:rPr>
          <w:szCs w:val="26"/>
        </w:rPr>
        <w:t>, 485 A.2d 1217 (Pa. Cmwlth. 1984).</w:t>
      </w:r>
      <w:proofErr w:type="gramEnd"/>
    </w:p>
    <w:p w:rsidR="003E464E" w:rsidRPr="008C6145" w:rsidRDefault="003E464E" w:rsidP="006B37DA">
      <w:pPr>
        <w:rPr>
          <w:szCs w:val="26"/>
        </w:rPr>
      </w:pPr>
    </w:p>
    <w:p w:rsidR="00804C91" w:rsidRPr="008C6145" w:rsidRDefault="00804C91" w:rsidP="006B37DA">
      <w:pPr>
        <w:rPr>
          <w:szCs w:val="26"/>
        </w:rPr>
      </w:pPr>
      <w:r w:rsidRPr="008C6145">
        <w:rPr>
          <w:szCs w:val="26"/>
        </w:rPr>
        <w:t xml:space="preserve">The ALJ made </w:t>
      </w:r>
      <w:r w:rsidR="00AB05BE" w:rsidRPr="008C6145">
        <w:rPr>
          <w:szCs w:val="26"/>
        </w:rPr>
        <w:t>forty-nine</w:t>
      </w:r>
      <w:r w:rsidR="00D35050" w:rsidRPr="008C6145">
        <w:rPr>
          <w:szCs w:val="26"/>
        </w:rPr>
        <w:t xml:space="preserve"> </w:t>
      </w:r>
      <w:r w:rsidRPr="008C6145">
        <w:rPr>
          <w:szCs w:val="26"/>
        </w:rPr>
        <w:t xml:space="preserve">Findings of Fact and reached </w:t>
      </w:r>
      <w:r w:rsidR="00AB05BE" w:rsidRPr="008C6145">
        <w:rPr>
          <w:szCs w:val="26"/>
        </w:rPr>
        <w:t xml:space="preserve">ten </w:t>
      </w:r>
      <w:r w:rsidRPr="008C6145">
        <w:rPr>
          <w:szCs w:val="26"/>
        </w:rPr>
        <w:t xml:space="preserve">Conclusions of Law.  </w:t>
      </w:r>
      <w:r w:rsidR="0041779E" w:rsidRPr="008C6145">
        <w:rPr>
          <w:szCs w:val="26"/>
        </w:rPr>
        <w:t xml:space="preserve">I.D. at </w:t>
      </w:r>
      <w:r w:rsidR="00AB05BE" w:rsidRPr="008C6145">
        <w:rPr>
          <w:szCs w:val="26"/>
        </w:rPr>
        <w:t>4</w:t>
      </w:r>
      <w:r w:rsidR="00DF01A1" w:rsidRPr="008C6145">
        <w:rPr>
          <w:szCs w:val="26"/>
        </w:rPr>
        <w:t>-</w:t>
      </w:r>
      <w:r w:rsidR="00AB05BE" w:rsidRPr="008C6145">
        <w:rPr>
          <w:szCs w:val="26"/>
        </w:rPr>
        <w:t>11,</w:t>
      </w:r>
      <w:r w:rsidR="00F44CF5" w:rsidRPr="008C6145">
        <w:rPr>
          <w:szCs w:val="26"/>
        </w:rPr>
        <w:t xml:space="preserve"> </w:t>
      </w:r>
      <w:r w:rsidR="00AB05BE" w:rsidRPr="008C6145">
        <w:rPr>
          <w:szCs w:val="26"/>
        </w:rPr>
        <w:t>29-30.</w:t>
      </w:r>
      <w:r w:rsidR="0041779E" w:rsidRPr="008C6145">
        <w:rPr>
          <w:szCs w:val="26"/>
        </w:rPr>
        <w:t xml:space="preserve">  </w:t>
      </w:r>
      <w:r w:rsidRPr="008C6145">
        <w:rPr>
          <w:szCs w:val="26"/>
        </w:rPr>
        <w:t>The Findings of Fact and Conclusions of Law are incorporated herein by reference and are adopted without comment unless they are either expressly or by necessary implication rejected or modified by this Opinion and Order.</w:t>
      </w:r>
    </w:p>
    <w:p w:rsidR="006B37DA" w:rsidRPr="009A3A3D" w:rsidRDefault="006B37DA" w:rsidP="006B37DA">
      <w:pPr>
        <w:rPr>
          <w:szCs w:val="26"/>
        </w:rPr>
      </w:pPr>
    </w:p>
    <w:p w:rsidR="00145570" w:rsidRPr="008C6145" w:rsidRDefault="00145570" w:rsidP="00145570">
      <w:pPr>
        <w:pStyle w:val="Heading3"/>
      </w:pPr>
      <w:r w:rsidRPr="008C6145">
        <w:t>Inconsistencies in PPL</w:t>
      </w:r>
      <w:r w:rsidR="001903CC" w:rsidRPr="008C6145">
        <w:t>’</w:t>
      </w:r>
      <w:r w:rsidRPr="008C6145">
        <w:t>s Records</w:t>
      </w:r>
      <w:r w:rsidR="000C4B1E" w:rsidRPr="008C6145">
        <w:t>, Billing and Payments</w:t>
      </w:r>
    </w:p>
    <w:p w:rsidR="003634B5" w:rsidRPr="008C6145" w:rsidRDefault="003634B5" w:rsidP="00A14C08"/>
    <w:p w:rsidR="001D7C01" w:rsidRPr="008C6145" w:rsidRDefault="001D7C01" w:rsidP="001D7C01">
      <w:pPr>
        <w:pStyle w:val="Heading4"/>
      </w:pPr>
      <w:r w:rsidRPr="008C6145">
        <w:t>Initial Decision</w:t>
      </w:r>
    </w:p>
    <w:p w:rsidR="001D7C01" w:rsidRPr="008C6145" w:rsidRDefault="001D7C01" w:rsidP="00FE2988"/>
    <w:p w:rsidR="009A3A3D" w:rsidRDefault="00FE2988" w:rsidP="00861603">
      <w:pPr>
        <w:pStyle w:val="BodyText"/>
      </w:pPr>
      <w:r w:rsidRPr="008C6145">
        <w:t xml:space="preserve">The ALJ acknowledged that PPL did not apply credits from </w:t>
      </w:r>
      <w:r w:rsidR="003F5FC2" w:rsidRPr="008C6145">
        <w:t xml:space="preserve">the </w:t>
      </w:r>
      <w:r w:rsidR="00295406" w:rsidRPr="008C6145">
        <w:t>Complainant</w:t>
      </w:r>
      <w:r w:rsidR="001903CC" w:rsidRPr="008C6145">
        <w:t>’</w:t>
      </w:r>
      <w:r w:rsidRPr="008C6145">
        <w:t xml:space="preserve">s host account to his satellite account during the period between June 2010 and December 2010.  </w:t>
      </w:r>
      <w:r w:rsidR="007D6A0D" w:rsidRPr="008C6145">
        <w:t>The ALJ noted</w:t>
      </w:r>
      <w:r w:rsidRPr="008C6145">
        <w:t xml:space="preserve"> that PPL agreed to pay the Complainant $537.27 to reimburse </w:t>
      </w:r>
      <w:r w:rsidR="007D6A0D" w:rsidRPr="008C6145">
        <w:t>him</w:t>
      </w:r>
      <w:r w:rsidRPr="008C6145">
        <w:t xml:space="preserve"> </w:t>
      </w:r>
      <w:r w:rsidR="008142A8" w:rsidRPr="008C6145">
        <w:t xml:space="preserve">for credits earned during this period. </w:t>
      </w:r>
      <w:r w:rsidRPr="008C6145">
        <w:t xml:space="preserve"> </w:t>
      </w:r>
      <w:r w:rsidR="00861603" w:rsidRPr="008C6145">
        <w:t xml:space="preserve">Otherwise, the ALJ found that PPL has provided credits to </w:t>
      </w:r>
      <w:r w:rsidR="008142A8" w:rsidRPr="008C6145">
        <w:t xml:space="preserve">the </w:t>
      </w:r>
      <w:r w:rsidR="00295406" w:rsidRPr="008C6145">
        <w:t>Complainant</w:t>
      </w:r>
      <w:r w:rsidR="00861603" w:rsidRPr="008C6145">
        <w:t xml:space="preserve"> in accordance with its </w:t>
      </w:r>
      <w:r w:rsidR="008142A8" w:rsidRPr="008C6145">
        <w:t xml:space="preserve">prevailing </w:t>
      </w:r>
      <w:r w:rsidR="00DA0D4E" w:rsidRPr="008C6145">
        <w:t>N</w:t>
      </w:r>
      <w:r w:rsidR="008142A8" w:rsidRPr="008C6145">
        <w:t>et</w:t>
      </w:r>
      <w:r w:rsidR="00DA0D4E" w:rsidRPr="008C6145">
        <w:t xml:space="preserve"> M</w:t>
      </w:r>
      <w:r w:rsidR="008142A8" w:rsidRPr="008C6145">
        <w:t xml:space="preserve">etering </w:t>
      </w:r>
    </w:p>
    <w:p w:rsidR="00861603" w:rsidRPr="008C6145" w:rsidRDefault="00DA0D4E" w:rsidP="009A3A3D">
      <w:pPr>
        <w:pStyle w:val="BodyText"/>
        <w:ind w:firstLine="0"/>
        <w:rPr>
          <w:szCs w:val="26"/>
        </w:rPr>
      </w:pPr>
      <w:proofErr w:type="gramStart"/>
      <w:r w:rsidRPr="008C6145">
        <w:lastRenderedPageBreak/>
        <w:t>T</w:t>
      </w:r>
      <w:r w:rsidR="00861603" w:rsidRPr="008C6145">
        <w:t>ariff</w:t>
      </w:r>
      <w:r w:rsidR="008142A8" w:rsidRPr="008C6145">
        <w:t>s</w:t>
      </w:r>
      <w:r w:rsidR="00861603" w:rsidRPr="008C6145">
        <w:t>.</w:t>
      </w:r>
      <w:proofErr w:type="gramEnd"/>
      <w:r w:rsidR="008142A8" w:rsidRPr="008C6145">
        <w:rPr>
          <w:rStyle w:val="FootnoteReference"/>
        </w:rPr>
        <w:footnoteReference w:id="2"/>
      </w:r>
      <w:r w:rsidR="00861603" w:rsidRPr="008C6145">
        <w:t xml:space="preserve">  </w:t>
      </w:r>
      <w:r w:rsidR="00861603" w:rsidRPr="008C6145">
        <w:rPr>
          <w:szCs w:val="26"/>
        </w:rPr>
        <w:t>The AL</w:t>
      </w:r>
      <w:r w:rsidR="003F5FC2" w:rsidRPr="008C6145">
        <w:rPr>
          <w:szCs w:val="26"/>
        </w:rPr>
        <w:t>J</w:t>
      </w:r>
      <w:r w:rsidR="00861603" w:rsidRPr="008C6145">
        <w:rPr>
          <w:szCs w:val="26"/>
        </w:rPr>
        <w:t xml:space="preserve"> also found that the Complainant failed to prove</w:t>
      </w:r>
      <w:r w:rsidR="00A57398" w:rsidRPr="008C6145">
        <w:rPr>
          <w:szCs w:val="26"/>
        </w:rPr>
        <w:t>,</w:t>
      </w:r>
      <w:r w:rsidR="00861603" w:rsidRPr="008C6145">
        <w:rPr>
          <w:szCs w:val="26"/>
        </w:rPr>
        <w:t xml:space="preserve"> by a preponderance of the evidence</w:t>
      </w:r>
      <w:r w:rsidR="00A57398" w:rsidRPr="008C6145">
        <w:rPr>
          <w:szCs w:val="26"/>
        </w:rPr>
        <w:t>,</w:t>
      </w:r>
      <w:r w:rsidR="00861603" w:rsidRPr="008C6145">
        <w:rPr>
          <w:szCs w:val="26"/>
        </w:rPr>
        <w:t xml:space="preserve"> that </w:t>
      </w:r>
      <w:r w:rsidR="007D6A0D" w:rsidRPr="008C6145">
        <w:rPr>
          <w:szCs w:val="26"/>
        </w:rPr>
        <w:t>PPL</w:t>
      </w:r>
      <w:r w:rsidR="00861603" w:rsidRPr="008C6145">
        <w:rPr>
          <w:szCs w:val="26"/>
        </w:rPr>
        <w:t xml:space="preserve"> </w:t>
      </w:r>
      <w:r w:rsidR="00A57398" w:rsidRPr="008C6145">
        <w:rPr>
          <w:szCs w:val="26"/>
        </w:rPr>
        <w:t>im</w:t>
      </w:r>
      <w:r w:rsidR="00861603" w:rsidRPr="008C6145">
        <w:rPr>
          <w:szCs w:val="26"/>
        </w:rPr>
        <w:t>properly aggregate</w:t>
      </w:r>
      <w:r w:rsidRPr="008C6145">
        <w:rPr>
          <w:szCs w:val="26"/>
        </w:rPr>
        <w:t>d</w:t>
      </w:r>
      <w:r w:rsidR="00861603" w:rsidRPr="008C6145">
        <w:rPr>
          <w:szCs w:val="26"/>
        </w:rPr>
        <w:t xml:space="preserve"> the Complainant</w:t>
      </w:r>
      <w:r w:rsidR="001903CC" w:rsidRPr="008C6145">
        <w:rPr>
          <w:szCs w:val="26"/>
        </w:rPr>
        <w:t>’</w:t>
      </w:r>
      <w:r w:rsidR="00861603" w:rsidRPr="008C6145">
        <w:rPr>
          <w:szCs w:val="26"/>
        </w:rPr>
        <w:t>s accounts</w:t>
      </w:r>
      <w:r w:rsidRPr="008C6145">
        <w:rPr>
          <w:szCs w:val="26"/>
        </w:rPr>
        <w:t>,</w:t>
      </w:r>
      <w:r w:rsidR="00861603" w:rsidRPr="008C6145">
        <w:rPr>
          <w:szCs w:val="26"/>
        </w:rPr>
        <w:t xml:space="preserve"> or that </w:t>
      </w:r>
      <w:r w:rsidR="007D6A0D" w:rsidRPr="008C6145">
        <w:rPr>
          <w:szCs w:val="26"/>
        </w:rPr>
        <w:t xml:space="preserve">PPL </w:t>
      </w:r>
      <w:r w:rsidR="00861603" w:rsidRPr="008C6145">
        <w:rPr>
          <w:szCs w:val="26"/>
        </w:rPr>
        <w:t>failed to fully reimburse the Complainant for the electricity generated.</w:t>
      </w:r>
      <w:r w:rsidR="001903CC" w:rsidRPr="008C6145">
        <w:rPr>
          <w:szCs w:val="26"/>
        </w:rPr>
        <w:t xml:space="preserve">  I.D. at 15-16.</w:t>
      </w:r>
    </w:p>
    <w:p w:rsidR="00FE2988" w:rsidRPr="008C6145" w:rsidRDefault="00FE2988" w:rsidP="00FE2988"/>
    <w:p w:rsidR="001D7C01" w:rsidRPr="008C6145" w:rsidRDefault="001D7C01" w:rsidP="00A57398">
      <w:pPr>
        <w:pStyle w:val="Heading4"/>
        <w:keepNext/>
      </w:pPr>
      <w:r w:rsidRPr="008C6145">
        <w:t>Complainant</w:t>
      </w:r>
      <w:r w:rsidR="001903CC" w:rsidRPr="008C6145">
        <w:t>’</w:t>
      </w:r>
      <w:r w:rsidRPr="008C6145">
        <w:t>s Exceptions</w:t>
      </w:r>
    </w:p>
    <w:p w:rsidR="001D7C01" w:rsidRPr="008C6145" w:rsidRDefault="001D7C01" w:rsidP="00A57398">
      <w:pPr>
        <w:keepNext/>
      </w:pPr>
    </w:p>
    <w:p w:rsidR="00145570" w:rsidRPr="008C6145" w:rsidRDefault="00145570" w:rsidP="00A57398">
      <w:pPr>
        <w:keepNext/>
      </w:pPr>
      <w:r w:rsidRPr="008C6145">
        <w:t xml:space="preserve">In his Exceptions, </w:t>
      </w:r>
      <w:r w:rsidR="00DA0D4E" w:rsidRPr="008C6145">
        <w:t xml:space="preserve">the </w:t>
      </w:r>
      <w:r w:rsidR="00295406" w:rsidRPr="008C6145">
        <w:t>Complainant</w:t>
      </w:r>
      <w:r w:rsidRPr="008C6145">
        <w:t xml:space="preserve"> argues that the glaring inconsistencies in the Company</w:t>
      </w:r>
      <w:r w:rsidR="001903CC" w:rsidRPr="008C6145">
        <w:t>’</w:t>
      </w:r>
      <w:r w:rsidRPr="008C6145">
        <w:t>s records appear</w:t>
      </w:r>
      <w:r w:rsidR="00DA0D4E" w:rsidRPr="008C6145">
        <w:t>ed</w:t>
      </w:r>
      <w:r w:rsidRPr="008C6145">
        <w:t xml:space="preserve"> to go unnoticed by the Initial Decision.</w:t>
      </w:r>
      <w:r w:rsidR="00A14C08" w:rsidRPr="008C6145">
        <w:t xml:space="preserve">  </w:t>
      </w:r>
      <w:r w:rsidR="00E345D9" w:rsidRPr="008C6145">
        <w:t>The Complainant states that, f</w:t>
      </w:r>
      <w:r w:rsidRPr="008C6145">
        <w:t xml:space="preserve">or four years, </w:t>
      </w:r>
      <w:r w:rsidR="00DA0D4E" w:rsidRPr="008C6145">
        <w:t>PPL</w:t>
      </w:r>
      <w:r w:rsidRPr="008C6145">
        <w:t xml:space="preserve"> has been issuing credit</w:t>
      </w:r>
      <w:r w:rsidR="00DA0D4E" w:rsidRPr="008C6145">
        <w:t>s</w:t>
      </w:r>
      <w:r w:rsidRPr="008C6145">
        <w:t xml:space="preserve"> to </w:t>
      </w:r>
      <w:r w:rsidR="00A57398" w:rsidRPr="008C6145">
        <w:t>him</w:t>
      </w:r>
      <w:r w:rsidRPr="008C6145">
        <w:t>, but only</w:t>
      </w:r>
      <w:r w:rsidR="00A14C08" w:rsidRPr="008C6145">
        <w:t xml:space="preserve"> </w:t>
      </w:r>
      <w:r w:rsidRPr="008C6145">
        <w:t>sporadically, and in an incoherent, confusing manner.</w:t>
      </w:r>
      <w:r w:rsidR="003634B5" w:rsidRPr="008C6145">
        <w:t xml:space="preserve">  </w:t>
      </w:r>
      <w:r w:rsidR="00DA0D4E" w:rsidRPr="008C6145">
        <w:t xml:space="preserve">The </w:t>
      </w:r>
      <w:r w:rsidR="00295406" w:rsidRPr="008C6145">
        <w:t>Complainant</w:t>
      </w:r>
      <w:r w:rsidR="003634B5" w:rsidRPr="008C6145">
        <w:t xml:space="preserve"> submits that PPL</w:t>
      </w:r>
      <w:r w:rsidR="001903CC" w:rsidRPr="008C6145">
        <w:t>’</w:t>
      </w:r>
      <w:r w:rsidR="003634B5" w:rsidRPr="008C6145">
        <w:t xml:space="preserve">s monthly billing records are </w:t>
      </w:r>
      <w:r w:rsidR="001903CC" w:rsidRPr="008C6145">
        <w:t>“</w:t>
      </w:r>
      <w:r w:rsidR="003634B5" w:rsidRPr="008C6145">
        <w:t>inconsistent and unreliable</w:t>
      </w:r>
      <w:r w:rsidR="00DA0D4E" w:rsidRPr="008C6145">
        <w:t>,</w:t>
      </w:r>
      <w:r w:rsidR="001903CC" w:rsidRPr="008C6145">
        <w:t>”</w:t>
      </w:r>
      <w:r w:rsidR="003634B5" w:rsidRPr="008C6145">
        <w:t xml:space="preserve"> and the Company has been unable to defend those monthly bills.  </w:t>
      </w:r>
      <w:proofErr w:type="gramStart"/>
      <w:r w:rsidR="003634B5" w:rsidRPr="008C6145">
        <w:t>Exc. at 4.</w:t>
      </w:r>
      <w:proofErr w:type="gramEnd"/>
      <w:r w:rsidR="003634B5" w:rsidRPr="008C6145">
        <w:t xml:space="preserve">  </w:t>
      </w:r>
      <w:r w:rsidR="0038436D" w:rsidRPr="008C6145">
        <w:t>The Complainant states that PPL Exhibit No. 5 (Actual Credits Applied) shows d</w:t>
      </w:r>
      <w:r w:rsidRPr="008C6145">
        <w:t>elayed payments,</w:t>
      </w:r>
      <w:r w:rsidR="0038436D" w:rsidRPr="008C6145">
        <w:t xml:space="preserve"> </w:t>
      </w:r>
      <w:r w:rsidRPr="008C6145">
        <w:t xml:space="preserve">payments in </w:t>
      </w:r>
      <w:r w:rsidR="001903CC" w:rsidRPr="008C6145">
        <w:t>“</w:t>
      </w:r>
      <w:r w:rsidRPr="008C6145">
        <w:t>lump sum fashion</w:t>
      </w:r>
      <w:r w:rsidR="00A57398" w:rsidRPr="008C6145">
        <w:t>,</w:t>
      </w:r>
      <w:r w:rsidR="001903CC" w:rsidRPr="008C6145">
        <w:t>”</w:t>
      </w:r>
      <w:r w:rsidRPr="008C6145">
        <w:t xml:space="preserve"> and long gaps without any payment at all.</w:t>
      </w:r>
      <w:r w:rsidR="0038436D" w:rsidRPr="008C6145">
        <w:t xml:space="preserve">  </w:t>
      </w:r>
      <w:r w:rsidR="00CC27C1" w:rsidRPr="008C6145">
        <w:t xml:space="preserve">The </w:t>
      </w:r>
      <w:r w:rsidR="00295406" w:rsidRPr="008C6145">
        <w:t>Complainant</w:t>
      </w:r>
      <w:r w:rsidR="0038436D" w:rsidRPr="008C6145">
        <w:t xml:space="preserve"> avers that t</w:t>
      </w:r>
      <w:r w:rsidRPr="008C6145">
        <w:t>hese irregularities were overlooked</w:t>
      </w:r>
      <w:r w:rsidR="003F5FC2" w:rsidRPr="008C6145">
        <w:t>,</w:t>
      </w:r>
      <w:r w:rsidR="0038436D" w:rsidRPr="008C6145">
        <w:t xml:space="preserve"> and that PPL </w:t>
      </w:r>
      <w:r w:rsidRPr="008C6145">
        <w:t xml:space="preserve">Exhibit </w:t>
      </w:r>
      <w:r w:rsidR="0038436D" w:rsidRPr="008C6145">
        <w:t>No. 5</w:t>
      </w:r>
      <w:r w:rsidRPr="008C6145">
        <w:t xml:space="preserve"> did not receive proper scrutiny.</w:t>
      </w:r>
      <w:r w:rsidR="0038436D" w:rsidRPr="008C6145">
        <w:t xml:space="preserve">  </w:t>
      </w:r>
      <w:proofErr w:type="gramStart"/>
      <w:r w:rsidR="0038436D" w:rsidRPr="008C6145">
        <w:t>Exc. at 4.</w:t>
      </w:r>
      <w:proofErr w:type="gramEnd"/>
    </w:p>
    <w:p w:rsidR="0038436D" w:rsidRPr="008C6145" w:rsidRDefault="0038436D" w:rsidP="00A14C08"/>
    <w:p w:rsidR="0038436D" w:rsidRPr="008C6145" w:rsidRDefault="00CC27C1" w:rsidP="00A14C08">
      <w:r w:rsidRPr="008C6145">
        <w:t xml:space="preserve">The </w:t>
      </w:r>
      <w:r w:rsidR="00295406" w:rsidRPr="008C6145">
        <w:t>Complainant</w:t>
      </w:r>
      <w:r w:rsidR="0030579C" w:rsidRPr="008C6145">
        <w:t xml:space="preserve"> opines that credits have been applied </w:t>
      </w:r>
      <w:r w:rsidR="001903CC" w:rsidRPr="008C6145">
        <w:t>“</w:t>
      </w:r>
      <w:r w:rsidR="0030579C" w:rsidRPr="008C6145">
        <w:t>sporadically and improperly</w:t>
      </w:r>
      <w:r w:rsidR="001903CC" w:rsidRPr="008C6145">
        <w:t>”</w:t>
      </w:r>
      <w:r w:rsidR="0030579C" w:rsidRPr="008C6145">
        <w:t xml:space="preserve"> because PPL failed to implement proper procedures for handling virtual </w:t>
      </w:r>
      <w:r w:rsidRPr="008C6145">
        <w:t xml:space="preserve">net </w:t>
      </w:r>
      <w:r w:rsidR="0030579C" w:rsidRPr="008C6145">
        <w:t xml:space="preserve">metering.  </w:t>
      </w:r>
      <w:r w:rsidR="0030579C" w:rsidRPr="008C6145">
        <w:rPr>
          <w:i/>
        </w:rPr>
        <w:t>Id.</w:t>
      </w:r>
      <w:r w:rsidR="0030579C" w:rsidRPr="008C6145">
        <w:t xml:space="preserve">  The Complainant states that PPL employs a manual proces</w:t>
      </w:r>
      <w:r w:rsidR="00311C68" w:rsidRPr="008C6145">
        <w:t xml:space="preserve">s for billing which may explain many of the irregularities in his billing.  </w:t>
      </w:r>
      <w:r w:rsidR="00311C68" w:rsidRPr="008C6145">
        <w:rPr>
          <w:i/>
        </w:rPr>
        <w:t>Id.</w:t>
      </w:r>
    </w:p>
    <w:p w:rsidR="00311C68" w:rsidRPr="008C6145" w:rsidRDefault="00311C68" w:rsidP="00A14C08"/>
    <w:p w:rsidR="009040D4" w:rsidRPr="008C6145" w:rsidRDefault="00CC27C1" w:rsidP="00A14C08">
      <w:r w:rsidRPr="008C6145">
        <w:t xml:space="preserve">The </w:t>
      </w:r>
      <w:r w:rsidR="00295406" w:rsidRPr="008C6145">
        <w:t>Complainant</w:t>
      </w:r>
      <w:r w:rsidR="00311C68" w:rsidRPr="008C6145">
        <w:t xml:space="preserve"> avers that the Initial Decision is </w:t>
      </w:r>
      <w:r w:rsidR="001903CC" w:rsidRPr="008C6145">
        <w:t>“</w:t>
      </w:r>
      <w:r w:rsidR="00311C68" w:rsidRPr="008C6145">
        <w:t>erroneous</w:t>
      </w:r>
      <w:r w:rsidR="001903CC" w:rsidRPr="008C6145">
        <w:t>”</w:t>
      </w:r>
      <w:r w:rsidR="00311C68" w:rsidRPr="008C6145">
        <w:t xml:space="preserve"> when it finds that PPL has provided credits to </w:t>
      </w:r>
      <w:r w:rsidR="00A57398" w:rsidRPr="008C6145">
        <w:t>him</w:t>
      </w:r>
      <w:r w:rsidR="00311C68" w:rsidRPr="008C6145">
        <w:t xml:space="preserve"> in accordance with its </w:t>
      </w:r>
      <w:r w:rsidRPr="008C6145">
        <w:t>Net Metering T</w:t>
      </w:r>
      <w:r w:rsidR="00311C68" w:rsidRPr="008C6145">
        <w:t xml:space="preserve">ariff.  </w:t>
      </w:r>
      <w:proofErr w:type="gramStart"/>
      <w:r w:rsidR="00311C68" w:rsidRPr="008C6145">
        <w:lastRenderedPageBreak/>
        <w:t>Exc. at 5</w:t>
      </w:r>
      <w:r w:rsidR="00113930" w:rsidRPr="008C6145">
        <w:t>.</w:t>
      </w:r>
      <w:proofErr w:type="gramEnd"/>
      <w:r w:rsidR="00311C68" w:rsidRPr="008C6145">
        <w:t xml:space="preserve">  The Complainant recommends that t</w:t>
      </w:r>
      <w:r w:rsidR="00145570" w:rsidRPr="008C6145">
        <w:t>he Commission order a complete and accurate re-issue of</w:t>
      </w:r>
      <w:r w:rsidR="00311C68" w:rsidRPr="008C6145">
        <w:t xml:space="preserve"> </w:t>
      </w:r>
      <w:r w:rsidR="00145570" w:rsidRPr="008C6145">
        <w:t xml:space="preserve">all billing transactions in </w:t>
      </w:r>
      <w:r w:rsidR="00311C68" w:rsidRPr="008C6145">
        <w:t xml:space="preserve">his </w:t>
      </w:r>
      <w:r w:rsidR="00145570" w:rsidRPr="008C6145">
        <w:t xml:space="preserve">two accounts since January </w:t>
      </w:r>
      <w:r w:rsidR="00581183" w:rsidRPr="008C6145">
        <w:t>1</w:t>
      </w:r>
      <w:r w:rsidR="00145570" w:rsidRPr="008C6145">
        <w:t>, 2010.</w:t>
      </w:r>
    </w:p>
    <w:p w:rsidR="001D7C01" w:rsidRPr="008C6145" w:rsidRDefault="001D7C01" w:rsidP="00A14C08"/>
    <w:p w:rsidR="001D7C01" w:rsidRPr="008C6145" w:rsidRDefault="001D7C01" w:rsidP="002E79A1">
      <w:pPr>
        <w:pStyle w:val="Heading4"/>
      </w:pPr>
      <w:r w:rsidRPr="008C6145">
        <w:t>PPL</w:t>
      </w:r>
      <w:r w:rsidR="001903CC" w:rsidRPr="008C6145">
        <w:t>’</w:t>
      </w:r>
      <w:r w:rsidRPr="008C6145">
        <w:t>s Reply Exceptions</w:t>
      </w:r>
    </w:p>
    <w:p w:rsidR="001D7C01" w:rsidRPr="008C6145" w:rsidRDefault="001D7C01" w:rsidP="00A14C08"/>
    <w:p w:rsidR="00581183" w:rsidRPr="008C6145" w:rsidRDefault="003D6FBF" w:rsidP="003D6FBF">
      <w:r w:rsidRPr="008C6145">
        <w:t xml:space="preserve">As background, PPL explains that </w:t>
      </w:r>
      <w:proofErr w:type="gramStart"/>
      <w:r w:rsidRPr="008C6145">
        <w:t>t</w:t>
      </w:r>
      <w:r w:rsidR="00581183" w:rsidRPr="008C6145">
        <w:t>he Complainant</w:t>
      </w:r>
      <w:r w:rsidR="001903CC" w:rsidRPr="008C6145">
        <w:t>’</w:t>
      </w:r>
      <w:r w:rsidR="00581183" w:rsidRPr="008C6145">
        <w:t xml:space="preserve">s </w:t>
      </w:r>
      <w:r w:rsidR="00581183" w:rsidRPr="008C6145">
        <w:rPr>
          <w:iCs/>
        </w:rPr>
        <w:t>4.75</w:t>
      </w:r>
      <w:r w:rsidR="00581183" w:rsidRPr="008C6145">
        <w:rPr>
          <w:i/>
          <w:iCs/>
        </w:rPr>
        <w:t xml:space="preserve"> </w:t>
      </w:r>
      <w:r w:rsidR="00581183" w:rsidRPr="008C6145">
        <w:t>kW solar array, which became operational in March 2009,</w:t>
      </w:r>
      <w:proofErr w:type="gramEnd"/>
      <w:r w:rsidR="00581183" w:rsidRPr="008C6145">
        <w:t xml:space="preserve"> is</w:t>
      </w:r>
      <w:r w:rsidRPr="008C6145">
        <w:t xml:space="preserve"> </w:t>
      </w:r>
      <w:r w:rsidR="00581183" w:rsidRPr="008C6145">
        <w:t xml:space="preserve">located approximately 600 yards from his residence. </w:t>
      </w:r>
      <w:r w:rsidRPr="008C6145">
        <w:t xml:space="preserve"> R. Exc. at 8</w:t>
      </w:r>
      <w:r w:rsidR="00E345D9" w:rsidRPr="008C6145">
        <w:t xml:space="preserve">. </w:t>
      </w:r>
      <w:r w:rsidR="00581183" w:rsidRPr="008C6145">
        <w:t xml:space="preserve"> PPL </w:t>
      </w:r>
      <w:r w:rsidRPr="008C6145">
        <w:t xml:space="preserve">submits that its </w:t>
      </w:r>
      <w:r w:rsidR="00CC27C1" w:rsidRPr="008C6145">
        <w:t>Net Metering Tariff</w:t>
      </w:r>
      <w:r w:rsidR="00581183" w:rsidRPr="008C6145">
        <w:t xml:space="preserve"> in effect at </w:t>
      </w:r>
      <w:r w:rsidRPr="008C6145">
        <w:t xml:space="preserve">that </w:t>
      </w:r>
      <w:r w:rsidR="00581183" w:rsidRPr="008C6145">
        <w:t>time provided, in pertinent part, as</w:t>
      </w:r>
      <w:r w:rsidRPr="008C6145">
        <w:t xml:space="preserve"> </w:t>
      </w:r>
      <w:r w:rsidR="00581183" w:rsidRPr="008C6145">
        <w:t>follows:</w:t>
      </w:r>
    </w:p>
    <w:p w:rsidR="003D6FBF" w:rsidRPr="008C6145" w:rsidRDefault="003D6FBF" w:rsidP="003D6FBF"/>
    <w:p w:rsidR="003D6FBF" w:rsidRPr="008C6145" w:rsidRDefault="00581183" w:rsidP="003D6FBF">
      <w:pPr>
        <w:spacing w:line="240" w:lineRule="auto"/>
        <w:ind w:left="1440" w:right="1440" w:firstLine="0"/>
      </w:pPr>
      <w:r w:rsidRPr="008C6145">
        <w:t>The customer-generator will receive a credit for each kilowatt-hour received by</w:t>
      </w:r>
      <w:r w:rsidR="003D6FBF" w:rsidRPr="008C6145">
        <w:t xml:space="preserve"> </w:t>
      </w:r>
      <w:r w:rsidRPr="008C6145">
        <w:t>the Company up to the total amount of electricity delivered to the Customer by</w:t>
      </w:r>
      <w:r w:rsidR="003D6FBF" w:rsidRPr="008C6145">
        <w:t xml:space="preserve"> </w:t>
      </w:r>
      <w:r w:rsidRPr="008C6145">
        <w:t>the Company during the billing period at the full retail rate consistent with</w:t>
      </w:r>
      <w:r w:rsidR="003D6FBF" w:rsidRPr="008C6145">
        <w:t xml:space="preserve"> </w:t>
      </w:r>
      <w:r w:rsidR="00CC27C1" w:rsidRPr="008C6145">
        <w:t>C</w:t>
      </w:r>
      <w:r w:rsidRPr="008C6145">
        <w:t xml:space="preserve">ommission regulations. </w:t>
      </w:r>
      <w:r w:rsidR="009A3A3D">
        <w:t xml:space="preserve"> </w:t>
      </w:r>
      <w:r w:rsidRPr="008C6145">
        <w:t>On an annual basis, the Company will compensate the</w:t>
      </w:r>
      <w:r w:rsidR="003D6FBF" w:rsidRPr="008C6145">
        <w:t xml:space="preserve"> </w:t>
      </w:r>
      <w:r w:rsidRPr="008C6145">
        <w:t>customer-generator for kilowatt-hours received from the customer-generator</w:t>
      </w:r>
      <w:r w:rsidR="003D6FBF" w:rsidRPr="008C6145">
        <w:t xml:space="preserve"> </w:t>
      </w:r>
      <w:r w:rsidRPr="008C6145">
        <w:t xml:space="preserve">during the preceding year at the </w:t>
      </w:r>
      <w:r w:rsidR="001903CC" w:rsidRPr="008C6145">
        <w:t>“</w:t>
      </w:r>
      <w:r w:rsidRPr="008C6145">
        <w:t>full retail value for all energy produced</w:t>
      </w:r>
      <w:r w:rsidR="001903CC" w:rsidRPr="008C6145">
        <w:t>”</w:t>
      </w:r>
      <w:r w:rsidR="003D6FBF" w:rsidRPr="008C6145">
        <w:t xml:space="preserve"> </w:t>
      </w:r>
      <w:r w:rsidRPr="008C6145">
        <w:t xml:space="preserve">consistent with Commission regulations. </w:t>
      </w:r>
      <w:r w:rsidR="001903CC" w:rsidRPr="008C6145">
        <w:t xml:space="preserve"> </w:t>
      </w:r>
      <w:r w:rsidRPr="008C6145">
        <w:t>The customer-generator is responsible</w:t>
      </w:r>
      <w:r w:rsidR="003D6FBF" w:rsidRPr="008C6145">
        <w:t xml:space="preserve"> </w:t>
      </w:r>
      <w:r w:rsidRPr="008C6145">
        <w:t>for the customer charge, demand charge and other applicable charges under the</w:t>
      </w:r>
      <w:r w:rsidR="003D6FBF" w:rsidRPr="008C6145">
        <w:t xml:space="preserve"> </w:t>
      </w:r>
      <w:r w:rsidRPr="008C6145">
        <w:t>applicable Rate Schedule.</w:t>
      </w:r>
    </w:p>
    <w:p w:rsidR="003D6FBF" w:rsidRPr="008C6145" w:rsidRDefault="003D6FBF" w:rsidP="003D6FBF">
      <w:pPr>
        <w:spacing w:line="240" w:lineRule="auto"/>
        <w:ind w:left="1440" w:right="1440" w:firstLine="0"/>
      </w:pPr>
    </w:p>
    <w:p w:rsidR="00581183" w:rsidRPr="008C6145" w:rsidRDefault="003D6FBF" w:rsidP="003D6FBF">
      <w:pPr>
        <w:spacing w:line="240" w:lineRule="auto"/>
        <w:ind w:right="1440" w:firstLine="0"/>
      </w:pPr>
      <w:r w:rsidRPr="008C6145">
        <w:t xml:space="preserve">R. Exc. at 8 </w:t>
      </w:r>
      <w:r w:rsidR="00581183" w:rsidRPr="008C6145">
        <w:t>(</w:t>
      </w:r>
      <w:r w:rsidRPr="008C6145">
        <w:t>citing PPL Ex</w:t>
      </w:r>
      <w:r w:rsidR="00E345D9" w:rsidRPr="008C6145">
        <w:t>h</w:t>
      </w:r>
      <w:r w:rsidRPr="008C6145">
        <w:t>. 3</w:t>
      </w:r>
      <w:r w:rsidR="00581183" w:rsidRPr="008C6145">
        <w:t>)</w:t>
      </w:r>
      <w:r w:rsidRPr="008C6145">
        <w:t>.</w:t>
      </w:r>
    </w:p>
    <w:p w:rsidR="003D6FBF" w:rsidRPr="008C6145" w:rsidRDefault="003D6FBF" w:rsidP="003D6FBF">
      <w:pPr>
        <w:ind w:right="1440" w:firstLine="0"/>
      </w:pPr>
    </w:p>
    <w:p w:rsidR="00581183" w:rsidRPr="008C6145" w:rsidRDefault="00581183" w:rsidP="003D6FBF">
      <w:pPr>
        <w:rPr>
          <w:i/>
        </w:rPr>
      </w:pPr>
      <w:r w:rsidRPr="008C6145">
        <w:t>PPL explain</w:t>
      </w:r>
      <w:r w:rsidR="003D6FBF" w:rsidRPr="008C6145">
        <w:t>s</w:t>
      </w:r>
      <w:r w:rsidRPr="008C6145">
        <w:t xml:space="preserve"> that initially the Company appl</w:t>
      </w:r>
      <w:r w:rsidR="00C75AB6" w:rsidRPr="008C6145">
        <w:t>ied</w:t>
      </w:r>
      <w:r w:rsidRPr="008C6145">
        <w:t xml:space="preserve"> virtual metering to</w:t>
      </w:r>
      <w:r w:rsidR="003D6FBF" w:rsidRPr="008C6145">
        <w:t xml:space="preserve"> the </w:t>
      </w:r>
      <w:r w:rsidRPr="008C6145">
        <w:t>Complainant</w:t>
      </w:r>
      <w:r w:rsidR="001903CC" w:rsidRPr="008C6145">
        <w:t>’</w:t>
      </w:r>
      <w:r w:rsidRPr="008C6145">
        <w:t xml:space="preserve">s two accounts during the period of March 2009 through May 2010. </w:t>
      </w:r>
      <w:r w:rsidR="003D6FBF" w:rsidRPr="008C6145">
        <w:t xml:space="preserve"> </w:t>
      </w:r>
      <w:r w:rsidRPr="008C6145">
        <w:t xml:space="preserve">PPL </w:t>
      </w:r>
      <w:r w:rsidR="00CC27C1" w:rsidRPr="008C6145">
        <w:t>states</w:t>
      </w:r>
      <w:r w:rsidR="00A57398" w:rsidRPr="008C6145">
        <w:t xml:space="preserve"> that it </w:t>
      </w:r>
      <w:r w:rsidRPr="008C6145">
        <w:t>sent the Complainant two checks in April 2010</w:t>
      </w:r>
      <w:r w:rsidR="00A57398" w:rsidRPr="008C6145">
        <w:t>,</w:t>
      </w:r>
      <w:r w:rsidRPr="008C6145">
        <w:t xml:space="preserve"> to</w:t>
      </w:r>
      <w:r w:rsidR="003D6FBF" w:rsidRPr="008C6145">
        <w:t xml:space="preserve"> </w:t>
      </w:r>
      <w:r w:rsidRPr="008C6145">
        <w:t>compensate the Complainant at the full retail rate for the excess generation produced between</w:t>
      </w:r>
      <w:r w:rsidR="003D6FBF" w:rsidRPr="008C6145">
        <w:t xml:space="preserve"> </w:t>
      </w:r>
      <w:r w:rsidRPr="008C6145">
        <w:t>March 2009 and December 2009.</w:t>
      </w:r>
      <w:r w:rsidR="00032357" w:rsidRPr="008C6145">
        <w:rPr>
          <w:rStyle w:val="FootnoteReference"/>
        </w:rPr>
        <w:footnoteReference w:id="3"/>
      </w:r>
      <w:r w:rsidRPr="008C6145">
        <w:t xml:space="preserve"> </w:t>
      </w:r>
      <w:r w:rsidR="003D6FBF" w:rsidRPr="008C6145">
        <w:t xml:space="preserve"> </w:t>
      </w:r>
      <w:r w:rsidRPr="008C6145">
        <w:t xml:space="preserve">PPL </w:t>
      </w:r>
      <w:r w:rsidR="003E7176" w:rsidRPr="008C6145">
        <w:t xml:space="preserve">submits that it </w:t>
      </w:r>
      <w:r w:rsidRPr="008C6145">
        <w:t>also applied credits in lump sums for the excess</w:t>
      </w:r>
      <w:r w:rsidR="003D6FBF" w:rsidRPr="008C6145">
        <w:t xml:space="preserve"> </w:t>
      </w:r>
      <w:r w:rsidRPr="008C6145">
        <w:t xml:space="preserve">generation produced during the </w:t>
      </w:r>
      <w:r w:rsidR="00D75BD5" w:rsidRPr="008C6145">
        <w:t>p</w:t>
      </w:r>
      <w:r w:rsidRPr="008C6145">
        <w:t xml:space="preserve">eriod of January 2010 through May 2010. </w:t>
      </w:r>
      <w:r w:rsidR="003E7176" w:rsidRPr="008C6145">
        <w:lastRenderedPageBreak/>
        <w:t>R.</w:t>
      </w:r>
      <w:r w:rsidR="009A3A3D">
        <w:t> </w:t>
      </w:r>
      <w:r w:rsidR="003E7176" w:rsidRPr="008C6145">
        <w:t xml:space="preserve">Exc. at 8. </w:t>
      </w:r>
      <w:r w:rsidR="007E6A70" w:rsidRPr="008C6145">
        <w:t xml:space="preserve"> </w:t>
      </w:r>
      <w:r w:rsidR="003E7176" w:rsidRPr="008C6145">
        <w:t xml:space="preserve">PPL states that </w:t>
      </w:r>
      <w:r w:rsidRPr="008C6145">
        <w:rPr>
          <w:szCs w:val="27"/>
        </w:rPr>
        <w:t>it did not apply credits on a monthly basis because the</w:t>
      </w:r>
      <w:r w:rsidR="003E7176" w:rsidRPr="008C6145">
        <w:rPr>
          <w:szCs w:val="27"/>
        </w:rPr>
        <w:t xml:space="preserve"> </w:t>
      </w:r>
      <w:r w:rsidRPr="008C6145">
        <w:rPr>
          <w:szCs w:val="27"/>
        </w:rPr>
        <w:t xml:space="preserve">Commission-approved </w:t>
      </w:r>
      <w:r w:rsidR="00CC27C1" w:rsidRPr="008C6145">
        <w:rPr>
          <w:szCs w:val="27"/>
        </w:rPr>
        <w:t xml:space="preserve">Net </w:t>
      </w:r>
      <w:r w:rsidR="003F5FC2" w:rsidRPr="008C6145">
        <w:rPr>
          <w:szCs w:val="27"/>
        </w:rPr>
        <w:t>M</w:t>
      </w:r>
      <w:r w:rsidR="00CC27C1" w:rsidRPr="008C6145">
        <w:rPr>
          <w:szCs w:val="27"/>
        </w:rPr>
        <w:t xml:space="preserve">etering Tariff </w:t>
      </w:r>
      <w:r w:rsidRPr="008C6145">
        <w:rPr>
          <w:szCs w:val="27"/>
        </w:rPr>
        <w:t>in effect at the time did not require credits to be applied on a</w:t>
      </w:r>
      <w:r w:rsidR="003E7176" w:rsidRPr="008C6145">
        <w:rPr>
          <w:szCs w:val="27"/>
        </w:rPr>
        <w:t xml:space="preserve"> </w:t>
      </w:r>
      <w:r w:rsidRPr="008C6145">
        <w:rPr>
          <w:szCs w:val="27"/>
        </w:rPr>
        <w:t xml:space="preserve">monthly basis. </w:t>
      </w:r>
      <w:r w:rsidR="003E7176" w:rsidRPr="008C6145">
        <w:rPr>
          <w:szCs w:val="27"/>
        </w:rPr>
        <w:t xml:space="preserve"> </w:t>
      </w:r>
      <w:proofErr w:type="gramStart"/>
      <w:r w:rsidR="00A57398" w:rsidRPr="008C6145">
        <w:rPr>
          <w:i/>
          <w:szCs w:val="27"/>
        </w:rPr>
        <w:t>Id.</w:t>
      </w:r>
      <w:r w:rsidR="00A57398" w:rsidRPr="008C6145">
        <w:rPr>
          <w:szCs w:val="27"/>
        </w:rPr>
        <w:t xml:space="preserve"> </w:t>
      </w:r>
      <w:r w:rsidR="003E7176" w:rsidRPr="008C6145">
        <w:rPr>
          <w:szCs w:val="27"/>
        </w:rPr>
        <w:t>at 9</w:t>
      </w:r>
      <w:r w:rsidR="007E6A70" w:rsidRPr="008C6145">
        <w:rPr>
          <w:szCs w:val="27"/>
        </w:rPr>
        <w:t>.</w:t>
      </w:r>
      <w:proofErr w:type="gramEnd"/>
      <w:r w:rsidR="007E6A70" w:rsidRPr="008C6145">
        <w:rPr>
          <w:szCs w:val="27"/>
        </w:rPr>
        <w:t xml:space="preserve">  Consequently, </w:t>
      </w:r>
      <w:r w:rsidR="003E7176" w:rsidRPr="008C6145">
        <w:rPr>
          <w:iCs/>
        </w:rPr>
        <w:t xml:space="preserve">PPL avers that, consistent with the Initial Decision, </w:t>
      </w:r>
      <w:r w:rsidRPr="008C6145">
        <w:rPr>
          <w:szCs w:val="27"/>
        </w:rPr>
        <w:t>the payments and credits made to the Complainant for</w:t>
      </w:r>
      <w:r w:rsidR="003E7176" w:rsidRPr="008C6145">
        <w:rPr>
          <w:szCs w:val="27"/>
        </w:rPr>
        <w:t xml:space="preserve"> </w:t>
      </w:r>
      <w:r w:rsidRPr="008C6145">
        <w:rPr>
          <w:szCs w:val="27"/>
        </w:rPr>
        <w:t>excess, unused generation produced during the period of March 2009 through May 2010 were</w:t>
      </w:r>
      <w:r w:rsidR="003E7176" w:rsidRPr="008C6145">
        <w:rPr>
          <w:szCs w:val="27"/>
        </w:rPr>
        <w:t xml:space="preserve"> </w:t>
      </w:r>
      <w:r w:rsidRPr="008C6145">
        <w:rPr>
          <w:szCs w:val="27"/>
        </w:rPr>
        <w:t>consistent with PPL</w:t>
      </w:r>
      <w:r w:rsidR="001903CC" w:rsidRPr="008C6145">
        <w:rPr>
          <w:szCs w:val="27"/>
        </w:rPr>
        <w:t>’</w:t>
      </w:r>
      <w:r w:rsidRPr="008C6145">
        <w:rPr>
          <w:szCs w:val="27"/>
        </w:rPr>
        <w:t xml:space="preserve">s </w:t>
      </w:r>
      <w:r w:rsidR="00CC27C1" w:rsidRPr="008C6145">
        <w:rPr>
          <w:szCs w:val="27"/>
        </w:rPr>
        <w:t>Net Metering Tariff</w:t>
      </w:r>
      <w:r w:rsidRPr="008C6145">
        <w:rPr>
          <w:szCs w:val="27"/>
        </w:rPr>
        <w:t xml:space="preserve"> in effect at the time.</w:t>
      </w:r>
      <w:r w:rsidR="003E7176" w:rsidRPr="008C6145">
        <w:rPr>
          <w:szCs w:val="27"/>
        </w:rPr>
        <w:t xml:space="preserve">  </w:t>
      </w:r>
      <w:r w:rsidR="007E6A70" w:rsidRPr="008C6145">
        <w:rPr>
          <w:i/>
          <w:szCs w:val="27"/>
        </w:rPr>
        <w:t xml:space="preserve">Id. </w:t>
      </w:r>
    </w:p>
    <w:p w:rsidR="00581183" w:rsidRPr="008C6145" w:rsidRDefault="00581183" w:rsidP="003D6FBF">
      <w:pPr>
        <w:rPr>
          <w:b/>
          <w:szCs w:val="26"/>
        </w:rPr>
      </w:pPr>
    </w:p>
    <w:p w:rsidR="006555AD" w:rsidRPr="008C6145" w:rsidRDefault="006555AD" w:rsidP="003D6FBF">
      <w:pPr>
        <w:rPr>
          <w:szCs w:val="26"/>
        </w:rPr>
      </w:pPr>
      <w:r w:rsidRPr="008C6145">
        <w:rPr>
          <w:szCs w:val="26"/>
        </w:rPr>
        <w:t xml:space="preserve">PPL explains that in June 2010, it determined that </w:t>
      </w:r>
      <w:r w:rsidR="00CC27C1" w:rsidRPr="008C6145">
        <w:rPr>
          <w:szCs w:val="26"/>
        </w:rPr>
        <w:t xml:space="preserve">the </w:t>
      </w:r>
      <w:r w:rsidR="00295406" w:rsidRPr="008C6145">
        <w:rPr>
          <w:szCs w:val="26"/>
        </w:rPr>
        <w:t>Complainant</w:t>
      </w:r>
      <w:r w:rsidR="001903CC" w:rsidRPr="008C6145">
        <w:rPr>
          <w:szCs w:val="26"/>
        </w:rPr>
        <w:t>’</w:t>
      </w:r>
      <w:r w:rsidRPr="008C6145">
        <w:rPr>
          <w:szCs w:val="26"/>
        </w:rPr>
        <w:t xml:space="preserve">s host account did not qualify for </w:t>
      </w:r>
      <w:r w:rsidR="00CC27C1" w:rsidRPr="008C6145">
        <w:rPr>
          <w:szCs w:val="26"/>
        </w:rPr>
        <w:t>net</w:t>
      </w:r>
      <w:r w:rsidR="000303DA">
        <w:rPr>
          <w:szCs w:val="26"/>
        </w:rPr>
        <w:t xml:space="preserve"> or virtual</w:t>
      </w:r>
      <w:r w:rsidR="00CC27C1" w:rsidRPr="008C6145">
        <w:rPr>
          <w:szCs w:val="26"/>
        </w:rPr>
        <w:t xml:space="preserve"> </w:t>
      </w:r>
      <w:r w:rsidRPr="008C6145">
        <w:rPr>
          <w:szCs w:val="26"/>
        </w:rPr>
        <w:t>metering because it did not have any non-generational load as required by PPL</w:t>
      </w:r>
      <w:r w:rsidR="001903CC" w:rsidRPr="008C6145">
        <w:rPr>
          <w:szCs w:val="26"/>
        </w:rPr>
        <w:t>’</w:t>
      </w:r>
      <w:r w:rsidRPr="008C6145">
        <w:rPr>
          <w:szCs w:val="26"/>
        </w:rPr>
        <w:t xml:space="preserve">s </w:t>
      </w:r>
      <w:r w:rsidR="00CC27C1" w:rsidRPr="008C6145">
        <w:rPr>
          <w:szCs w:val="26"/>
        </w:rPr>
        <w:t xml:space="preserve">Net </w:t>
      </w:r>
      <w:r w:rsidR="00032357" w:rsidRPr="008C6145">
        <w:rPr>
          <w:szCs w:val="26"/>
        </w:rPr>
        <w:t>M</w:t>
      </w:r>
      <w:r w:rsidR="00CC27C1" w:rsidRPr="008C6145">
        <w:rPr>
          <w:szCs w:val="26"/>
        </w:rPr>
        <w:t>etering T</w:t>
      </w:r>
      <w:r w:rsidRPr="008C6145">
        <w:rPr>
          <w:szCs w:val="26"/>
        </w:rPr>
        <w:t xml:space="preserve">ariff.  PPL submits that, as a result, it discontinued virtual metering and credits were not applied </w:t>
      </w:r>
      <w:r w:rsidR="007504CC" w:rsidRPr="008C6145">
        <w:rPr>
          <w:szCs w:val="26"/>
        </w:rPr>
        <w:t>to the Complainant</w:t>
      </w:r>
      <w:r w:rsidR="001903CC" w:rsidRPr="008C6145">
        <w:rPr>
          <w:szCs w:val="26"/>
        </w:rPr>
        <w:t>’</w:t>
      </w:r>
      <w:r w:rsidR="007504CC" w:rsidRPr="008C6145">
        <w:rPr>
          <w:szCs w:val="26"/>
        </w:rPr>
        <w:t xml:space="preserve">s account for the period June 2010 through December 2010.  </w:t>
      </w:r>
      <w:r w:rsidR="00AD26B3" w:rsidRPr="008C6145">
        <w:rPr>
          <w:i/>
          <w:szCs w:val="26"/>
        </w:rPr>
        <w:t>Id.</w:t>
      </w:r>
      <w:r w:rsidR="00AD26B3" w:rsidRPr="008C6145">
        <w:rPr>
          <w:szCs w:val="26"/>
        </w:rPr>
        <w:t xml:space="preserve"> </w:t>
      </w:r>
    </w:p>
    <w:p w:rsidR="00AD26B3" w:rsidRPr="008C6145" w:rsidRDefault="00AD26B3" w:rsidP="003D6FBF">
      <w:pPr>
        <w:rPr>
          <w:szCs w:val="26"/>
        </w:rPr>
      </w:pPr>
    </w:p>
    <w:p w:rsidR="00AD26B3" w:rsidRPr="008C6145" w:rsidRDefault="00AD26B3" w:rsidP="003D6FBF">
      <w:pPr>
        <w:rPr>
          <w:iCs/>
          <w:szCs w:val="26"/>
        </w:rPr>
      </w:pPr>
      <w:r w:rsidRPr="008C6145">
        <w:rPr>
          <w:szCs w:val="26"/>
        </w:rPr>
        <w:t xml:space="preserve">PPL states that, in response to an informal complaint filed by </w:t>
      </w:r>
      <w:r w:rsidR="00CC27C1" w:rsidRPr="008C6145">
        <w:rPr>
          <w:szCs w:val="26"/>
        </w:rPr>
        <w:t xml:space="preserve">the </w:t>
      </w:r>
      <w:r w:rsidR="00295406" w:rsidRPr="008C6145">
        <w:rPr>
          <w:szCs w:val="26"/>
        </w:rPr>
        <w:t>Complainant</w:t>
      </w:r>
      <w:r w:rsidR="00F560EC" w:rsidRPr="008C6145">
        <w:rPr>
          <w:szCs w:val="26"/>
        </w:rPr>
        <w:t xml:space="preserve"> with </w:t>
      </w:r>
      <w:r w:rsidRPr="008C6145">
        <w:rPr>
          <w:szCs w:val="26"/>
        </w:rPr>
        <w:t>the Commission</w:t>
      </w:r>
      <w:r w:rsidR="001903CC" w:rsidRPr="008C6145">
        <w:rPr>
          <w:szCs w:val="26"/>
        </w:rPr>
        <w:t>’</w:t>
      </w:r>
      <w:r w:rsidRPr="008C6145">
        <w:rPr>
          <w:szCs w:val="26"/>
        </w:rPr>
        <w:t xml:space="preserve">s Bureau of Consumer Services, the Company agreed to allow the Complainant to participate in the virtual metering program.  PPL explains that it applied credits to </w:t>
      </w:r>
      <w:r w:rsidR="00CC27C1" w:rsidRPr="008C6145">
        <w:rPr>
          <w:szCs w:val="26"/>
        </w:rPr>
        <w:t xml:space="preserve">the </w:t>
      </w:r>
      <w:r w:rsidR="00295406" w:rsidRPr="008C6145">
        <w:rPr>
          <w:szCs w:val="26"/>
        </w:rPr>
        <w:t>Complainant</w:t>
      </w:r>
      <w:r w:rsidR="001903CC" w:rsidRPr="008C6145">
        <w:rPr>
          <w:szCs w:val="26"/>
        </w:rPr>
        <w:t>’</w:t>
      </w:r>
      <w:r w:rsidRPr="008C6145">
        <w:rPr>
          <w:szCs w:val="26"/>
        </w:rPr>
        <w:t xml:space="preserve">s account </w:t>
      </w:r>
      <w:r w:rsidR="0043659D" w:rsidRPr="008C6145">
        <w:rPr>
          <w:szCs w:val="26"/>
        </w:rPr>
        <w:t xml:space="preserve">in September 2011, for all excess generation produced by his host account since January 2011.  PPL submits that, consistent with its </w:t>
      </w:r>
      <w:r w:rsidR="00CC27C1" w:rsidRPr="008C6145">
        <w:rPr>
          <w:szCs w:val="26"/>
        </w:rPr>
        <w:t>Net Metering Tariff</w:t>
      </w:r>
      <w:r w:rsidR="0043659D" w:rsidRPr="008C6145">
        <w:rPr>
          <w:szCs w:val="26"/>
        </w:rPr>
        <w:t xml:space="preserve">, it has applied virtual metering to </w:t>
      </w:r>
      <w:r w:rsidR="00CC27C1" w:rsidRPr="008C6145">
        <w:rPr>
          <w:szCs w:val="26"/>
        </w:rPr>
        <w:t xml:space="preserve">the </w:t>
      </w:r>
      <w:r w:rsidR="00295406" w:rsidRPr="008C6145">
        <w:rPr>
          <w:szCs w:val="26"/>
        </w:rPr>
        <w:t>Complainant</w:t>
      </w:r>
      <w:r w:rsidR="001903CC" w:rsidRPr="008C6145">
        <w:rPr>
          <w:szCs w:val="26"/>
        </w:rPr>
        <w:t>’</w:t>
      </w:r>
      <w:r w:rsidR="0043659D" w:rsidRPr="008C6145">
        <w:rPr>
          <w:szCs w:val="26"/>
        </w:rPr>
        <w:t>s account</w:t>
      </w:r>
      <w:r w:rsidR="00CC27C1" w:rsidRPr="008C6145">
        <w:rPr>
          <w:szCs w:val="26"/>
        </w:rPr>
        <w:t>,</w:t>
      </w:r>
      <w:r w:rsidR="0043659D" w:rsidRPr="008C6145">
        <w:rPr>
          <w:szCs w:val="26"/>
        </w:rPr>
        <w:t xml:space="preserve"> with a cash-out of any excess, unused credits at the end of the PJM Planning Year</w:t>
      </w:r>
      <w:r w:rsidR="00CC27C1" w:rsidRPr="008C6145">
        <w:rPr>
          <w:szCs w:val="26"/>
        </w:rPr>
        <w:t>,</w:t>
      </w:r>
      <w:r w:rsidR="0043659D" w:rsidRPr="008C6145">
        <w:rPr>
          <w:szCs w:val="26"/>
        </w:rPr>
        <w:t xml:space="preserve"> at PPL</w:t>
      </w:r>
      <w:r w:rsidR="001903CC" w:rsidRPr="008C6145">
        <w:rPr>
          <w:szCs w:val="26"/>
        </w:rPr>
        <w:t>’</w:t>
      </w:r>
      <w:r w:rsidR="0043659D" w:rsidRPr="008C6145">
        <w:rPr>
          <w:szCs w:val="26"/>
        </w:rPr>
        <w:t xml:space="preserve">s </w:t>
      </w:r>
      <w:r w:rsidR="00032357" w:rsidRPr="008C6145">
        <w:rPr>
          <w:szCs w:val="26"/>
        </w:rPr>
        <w:t>p</w:t>
      </w:r>
      <w:r w:rsidR="0043659D" w:rsidRPr="008C6145">
        <w:rPr>
          <w:szCs w:val="26"/>
        </w:rPr>
        <w:t>rice</w:t>
      </w:r>
      <w:r w:rsidR="00032357" w:rsidRPr="008C6145">
        <w:rPr>
          <w:szCs w:val="26"/>
        </w:rPr>
        <w:t xml:space="preserve"> </w:t>
      </w:r>
      <w:r w:rsidR="0043659D" w:rsidRPr="008C6145">
        <w:rPr>
          <w:szCs w:val="26"/>
        </w:rPr>
        <w:t>to</w:t>
      </w:r>
      <w:r w:rsidR="00032357" w:rsidRPr="008C6145">
        <w:rPr>
          <w:szCs w:val="26"/>
        </w:rPr>
        <w:t xml:space="preserve"> c</w:t>
      </w:r>
      <w:r w:rsidR="0043659D" w:rsidRPr="008C6145">
        <w:rPr>
          <w:szCs w:val="26"/>
        </w:rPr>
        <w:t xml:space="preserve">ompare since September 2011.  </w:t>
      </w:r>
      <w:r w:rsidR="007E6A70" w:rsidRPr="008C6145">
        <w:rPr>
          <w:i/>
          <w:szCs w:val="26"/>
        </w:rPr>
        <w:t>Id</w:t>
      </w:r>
      <w:r w:rsidR="007E6A70" w:rsidRPr="008C6145">
        <w:rPr>
          <w:szCs w:val="26"/>
        </w:rPr>
        <w:t xml:space="preserve">.  </w:t>
      </w:r>
      <w:r w:rsidR="001D7C01" w:rsidRPr="008C6145">
        <w:rPr>
          <w:iCs/>
          <w:szCs w:val="26"/>
        </w:rPr>
        <w:t>PPL avers that, if the Commission determines that PPL</w:t>
      </w:r>
      <w:r w:rsidR="001903CC" w:rsidRPr="008C6145">
        <w:rPr>
          <w:iCs/>
          <w:szCs w:val="26"/>
        </w:rPr>
        <w:t>’</w:t>
      </w:r>
      <w:r w:rsidR="001D7C01" w:rsidRPr="008C6145">
        <w:rPr>
          <w:iCs/>
          <w:szCs w:val="26"/>
        </w:rPr>
        <w:t xml:space="preserve">s decision to allow </w:t>
      </w:r>
      <w:r w:rsidR="00CC27C1" w:rsidRPr="008C6145">
        <w:rPr>
          <w:iCs/>
          <w:szCs w:val="26"/>
        </w:rPr>
        <w:t xml:space="preserve">the </w:t>
      </w:r>
      <w:r w:rsidR="00295406" w:rsidRPr="008C6145">
        <w:rPr>
          <w:iCs/>
          <w:szCs w:val="26"/>
        </w:rPr>
        <w:t>Complainant</w:t>
      </w:r>
      <w:r w:rsidR="001D7C01" w:rsidRPr="008C6145">
        <w:rPr>
          <w:iCs/>
          <w:szCs w:val="26"/>
        </w:rPr>
        <w:t xml:space="preserve"> to participate in the virtual metering program is contrary to its </w:t>
      </w:r>
      <w:r w:rsidR="00CC27C1" w:rsidRPr="008C6145">
        <w:rPr>
          <w:iCs/>
          <w:szCs w:val="26"/>
        </w:rPr>
        <w:t>Net Metering Tariff</w:t>
      </w:r>
      <w:r w:rsidR="001D7C01" w:rsidRPr="008C6145">
        <w:rPr>
          <w:iCs/>
          <w:szCs w:val="26"/>
        </w:rPr>
        <w:t xml:space="preserve">, the Commission should order PPL to prospectively discontinue virtual metering for the Complainant.  </w:t>
      </w:r>
      <w:proofErr w:type="gramStart"/>
      <w:r w:rsidR="007E6A70" w:rsidRPr="008C6145">
        <w:rPr>
          <w:i/>
          <w:iCs/>
          <w:szCs w:val="26"/>
        </w:rPr>
        <w:t>Id</w:t>
      </w:r>
      <w:r w:rsidR="007E6A70" w:rsidRPr="008C6145">
        <w:rPr>
          <w:iCs/>
          <w:szCs w:val="26"/>
        </w:rPr>
        <w:t>. at 10.</w:t>
      </w:r>
      <w:proofErr w:type="gramEnd"/>
      <w:r w:rsidR="001D7C01" w:rsidRPr="008C6145">
        <w:rPr>
          <w:iCs/>
          <w:szCs w:val="26"/>
        </w:rPr>
        <w:t xml:space="preserve"> </w:t>
      </w:r>
    </w:p>
    <w:p w:rsidR="00A675A9" w:rsidRPr="008C6145" w:rsidRDefault="00A675A9" w:rsidP="003D6FBF">
      <w:pPr>
        <w:rPr>
          <w:iCs/>
          <w:szCs w:val="26"/>
        </w:rPr>
      </w:pPr>
    </w:p>
    <w:p w:rsidR="001D7C01" w:rsidRPr="008C6145" w:rsidRDefault="002E79A1" w:rsidP="003D6FBF">
      <w:pPr>
        <w:rPr>
          <w:szCs w:val="26"/>
        </w:rPr>
      </w:pPr>
      <w:r w:rsidRPr="008C6145">
        <w:rPr>
          <w:iCs/>
          <w:szCs w:val="26"/>
        </w:rPr>
        <w:lastRenderedPageBreak/>
        <w:t xml:space="preserve">In response to </w:t>
      </w:r>
      <w:r w:rsidR="00CC27C1" w:rsidRPr="008C6145">
        <w:rPr>
          <w:iCs/>
          <w:szCs w:val="26"/>
        </w:rPr>
        <w:t xml:space="preserve">the </w:t>
      </w:r>
      <w:r w:rsidR="00295406" w:rsidRPr="008C6145">
        <w:rPr>
          <w:iCs/>
          <w:szCs w:val="26"/>
        </w:rPr>
        <w:t>Complainant</w:t>
      </w:r>
      <w:r w:rsidR="001903CC" w:rsidRPr="008C6145">
        <w:rPr>
          <w:iCs/>
          <w:szCs w:val="26"/>
        </w:rPr>
        <w:t>’</w:t>
      </w:r>
      <w:r w:rsidRPr="008C6145">
        <w:rPr>
          <w:iCs/>
          <w:szCs w:val="26"/>
        </w:rPr>
        <w:t>s Exception regarding its manual billing process, PPL explains that, unlike net metering</w:t>
      </w:r>
      <w:r w:rsidR="00D023DA">
        <w:rPr>
          <w:rStyle w:val="FootnoteReference"/>
        </w:rPr>
        <w:footnoteReference w:id="4"/>
      </w:r>
      <w:r w:rsidR="00D023DA">
        <w:t xml:space="preserve"> </w:t>
      </w:r>
      <w:r w:rsidRPr="008C6145">
        <w:rPr>
          <w:iCs/>
          <w:szCs w:val="26"/>
        </w:rPr>
        <w:t xml:space="preserve"> that utilizes one meter, virtual metering employs two meters at different locations.  PPL states that its billing system currently is unable to associate two separate accounts that are read and billed independently.  PPL avers that, because there</w:t>
      </w:r>
      <w:r w:rsidR="00A675A9" w:rsidRPr="008C6145">
        <w:rPr>
          <w:iCs/>
          <w:szCs w:val="26"/>
        </w:rPr>
        <w:t xml:space="preserve"> are</w:t>
      </w:r>
      <w:r w:rsidRPr="008C6145">
        <w:rPr>
          <w:iCs/>
          <w:szCs w:val="26"/>
        </w:rPr>
        <w:t xml:space="preserve"> only about eighty participants in the virtual metering pro</w:t>
      </w:r>
      <w:r w:rsidR="00CD3972" w:rsidRPr="008C6145">
        <w:rPr>
          <w:iCs/>
          <w:szCs w:val="26"/>
        </w:rPr>
        <w:t>gram</w:t>
      </w:r>
      <w:r w:rsidRPr="008C6145">
        <w:rPr>
          <w:iCs/>
          <w:szCs w:val="26"/>
        </w:rPr>
        <w:t xml:space="preserve">, automating the billing process for </w:t>
      </w:r>
      <w:r w:rsidR="0053086E">
        <w:rPr>
          <w:iCs/>
          <w:szCs w:val="26"/>
        </w:rPr>
        <w:t>virtual</w:t>
      </w:r>
      <w:r w:rsidRPr="008C6145">
        <w:rPr>
          <w:iCs/>
          <w:szCs w:val="26"/>
        </w:rPr>
        <w:t xml:space="preserve"> metering customers would not be a prudent expense at this time. </w:t>
      </w:r>
      <w:r w:rsidR="007E6A70" w:rsidRPr="008C6145">
        <w:rPr>
          <w:iCs/>
          <w:szCs w:val="26"/>
        </w:rPr>
        <w:t xml:space="preserve"> </w:t>
      </w:r>
      <w:proofErr w:type="gramStart"/>
      <w:r w:rsidR="007E6A70" w:rsidRPr="008C6145">
        <w:rPr>
          <w:i/>
          <w:iCs/>
          <w:szCs w:val="26"/>
        </w:rPr>
        <w:t>Id</w:t>
      </w:r>
      <w:r w:rsidR="007E6A70" w:rsidRPr="008C6145">
        <w:rPr>
          <w:iCs/>
          <w:szCs w:val="26"/>
        </w:rPr>
        <w:t>. at 11.</w:t>
      </w:r>
      <w:proofErr w:type="gramEnd"/>
      <w:r w:rsidR="007E6A70" w:rsidRPr="008C6145">
        <w:rPr>
          <w:iCs/>
          <w:szCs w:val="26"/>
        </w:rPr>
        <w:t xml:space="preserve"> </w:t>
      </w:r>
      <w:r w:rsidRPr="008C6145">
        <w:rPr>
          <w:iCs/>
          <w:szCs w:val="26"/>
        </w:rPr>
        <w:t xml:space="preserve"> PPL also </w:t>
      </w:r>
      <w:r w:rsidR="00113930" w:rsidRPr="008C6145">
        <w:rPr>
          <w:iCs/>
          <w:szCs w:val="26"/>
        </w:rPr>
        <w:t>points out that there is nothing in Chapter 14 of the Code, Chapter 56 of the Commission</w:t>
      </w:r>
      <w:r w:rsidR="001903CC" w:rsidRPr="008C6145">
        <w:rPr>
          <w:iCs/>
          <w:szCs w:val="26"/>
        </w:rPr>
        <w:t>’</w:t>
      </w:r>
      <w:r w:rsidR="00113930" w:rsidRPr="008C6145">
        <w:rPr>
          <w:iCs/>
          <w:szCs w:val="26"/>
        </w:rPr>
        <w:t xml:space="preserve">s </w:t>
      </w:r>
      <w:r w:rsidR="00CC27C1" w:rsidRPr="008C6145">
        <w:rPr>
          <w:iCs/>
          <w:szCs w:val="26"/>
        </w:rPr>
        <w:t>R</w:t>
      </w:r>
      <w:r w:rsidR="00113930" w:rsidRPr="008C6145">
        <w:rPr>
          <w:iCs/>
          <w:szCs w:val="26"/>
        </w:rPr>
        <w:t xml:space="preserve">egulations or the billing </w:t>
      </w:r>
      <w:r w:rsidR="00113930" w:rsidRPr="008C6145">
        <w:rPr>
          <w:iCs/>
          <w:szCs w:val="26"/>
        </w:rPr>
        <w:lastRenderedPageBreak/>
        <w:t>provisions of PPL</w:t>
      </w:r>
      <w:r w:rsidR="001903CC" w:rsidRPr="008C6145">
        <w:rPr>
          <w:iCs/>
          <w:szCs w:val="26"/>
        </w:rPr>
        <w:t>’</w:t>
      </w:r>
      <w:r w:rsidR="00113930" w:rsidRPr="008C6145">
        <w:rPr>
          <w:iCs/>
          <w:szCs w:val="26"/>
        </w:rPr>
        <w:t xml:space="preserve">s </w:t>
      </w:r>
      <w:r w:rsidR="00CC27C1" w:rsidRPr="008C6145">
        <w:rPr>
          <w:iCs/>
          <w:szCs w:val="26"/>
        </w:rPr>
        <w:t>T</w:t>
      </w:r>
      <w:r w:rsidR="00113930" w:rsidRPr="008C6145">
        <w:rPr>
          <w:iCs/>
          <w:szCs w:val="26"/>
        </w:rPr>
        <w:t xml:space="preserve">ariff that requires PPL to undertake automated billing for virtual </w:t>
      </w:r>
      <w:r w:rsidR="0066117D" w:rsidRPr="008C6145">
        <w:rPr>
          <w:iCs/>
          <w:szCs w:val="26"/>
        </w:rPr>
        <w:t xml:space="preserve">metering </w:t>
      </w:r>
      <w:r w:rsidR="00113930" w:rsidRPr="008C6145">
        <w:rPr>
          <w:iCs/>
          <w:szCs w:val="26"/>
        </w:rPr>
        <w:t>customers.  R. Exc.</w:t>
      </w:r>
      <w:r w:rsidR="0066117D" w:rsidRPr="008C6145">
        <w:rPr>
          <w:iCs/>
          <w:szCs w:val="26"/>
        </w:rPr>
        <w:t xml:space="preserve"> </w:t>
      </w:r>
      <w:r w:rsidR="00113930" w:rsidRPr="008C6145">
        <w:rPr>
          <w:iCs/>
          <w:szCs w:val="26"/>
        </w:rPr>
        <w:t xml:space="preserve">at 11-12. </w:t>
      </w:r>
    </w:p>
    <w:p w:rsidR="00E27FEA" w:rsidRPr="008C6145" w:rsidRDefault="00E27FEA" w:rsidP="005406C8"/>
    <w:p w:rsidR="00113930" w:rsidRPr="008C6145" w:rsidRDefault="00113930" w:rsidP="005406C8">
      <w:r w:rsidRPr="008C6145">
        <w:t xml:space="preserve">PPL argues that the Commission should reject </w:t>
      </w:r>
      <w:r w:rsidR="0066117D" w:rsidRPr="008C6145">
        <w:t xml:space="preserve">the </w:t>
      </w:r>
      <w:r w:rsidR="00295406" w:rsidRPr="008C6145">
        <w:t>Complainant</w:t>
      </w:r>
      <w:r w:rsidR="001903CC" w:rsidRPr="008C6145">
        <w:t>’</w:t>
      </w:r>
      <w:r w:rsidRPr="008C6145">
        <w:t>s request that the Company re-issue all billing transactions for the Complainant</w:t>
      </w:r>
      <w:r w:rsidR="001903CC" w:rsidRPr="008C6145">
        <w:t>’</w:t>
      </w:r>
      <w:r w:rsidRPr="008C6145">
        <w:t xml:space="preserve">s accounts back to January 2010.  PPL states that it provided a detailed explanation of the manual process it currently uses to aggregate host and satellite accounts under the virtual </w:t>
      </w:r>
      <w:r w:rsidR="0066117D" w:rsidRPr="008C6145">
        <w:t xml:space="preserve">net metering </w:t>
      </w:r>
      <w:r w:rsidRPr="008C6145">
        <w:t xml:space="preserve">program.  </w:t>
      </w:r>
      <w:proofErr w:type="gramStart"/>
      <w:r w:rsidR="00A30750" w:rsidRPr="008C6145">
        <w:rPr>
          <w:i/>
        </w:rPr>
        <w:t>Id.</w:t>
      </w:r>
      <w:r w:rsidR="00A30750" w:rsidRPr="008C6145">
        <w:t xml:space="preserve"> at 12 </w:t>
      </w:r>
      <w:r w:rsidRPr="008C6145">
        <w:t>(citing Tr. at 214-216).</w:t>
      </w:r>
      <w:proofErr w:type="gramEnd"/>
      <w:r w:rsidRPr="008C6145">
        <w:t xml:space="preserve">  </w:t>
      </w:r>
      <w:r w:rsidR="005406C8" w:rsidRPr="008C6145">
        <w:t xml:space="preserve">PPL notes that it provides a detailed, twelve-month worksheet to each virtual </w:t>
      </w:r>
      <w:r w:rsidR="0066117D" w:rsidRPr="008C6145">
        <w:t xml:space="preserve">net </w:t>
      </w:r>
      <w:r w:rsidR="005406C8" w:rsidRPr="008C6145">
        <w:t>metering customer at the end of the PJM Planning Year.</w:t>
      </w:r>
      <w:r w:rsidR="00213C8A" w:rsidRPr="008C6145">
        <w:rPr>
          <w:rStyle w:val="FootnoteReference"/>
        </w:rPr>
        <w:footnoteReference w:id="5"/>
      </w:r>
      <w:r w:rsidR="005406C8" w:rsidRPr="008C6145">
        <w:t xml:space="preserve">  PPL explains that the worksheet shows the monthly meter readings, the monthly excess kWh generation produced from the host account, the monthly credits applied to the satellite account, the unused credits that are banked and carried forward to a subsequent billing period, and any cash-outs for any excess, unused credits that remain at the end of the PJM Planning Year.  PPL states that this is the very same information that is used by the Company to prepare the separate bills issued for the host and satellite accounts.  R. Exc. at 13 (citing Tr. at 223, 228).  </w:t>
      </w:r>
    </w:p>
    <w:p w:rsidR="00113930" w:rsidRPr="008C6145" w:rsidRDefault="00113930" w:rsidP="00EE3935">
      <w:pPr>
        <w:autoSpaceDE w:val="0"/>
        <w:autoSpaceDN w:val="0"/>
        <w:adjustRightInd w:val="0"/>
        <w:ind w:firstLine="0"/>
      </w:pPr>
    </w:p>
    <w:p w:rsidR="005406C8" w:rsidRPr="008C6145" w:rsidRDefault="00611D93" w:rsidP="00CD3972">
      <w:pPr>
        <w:pStyle w:val="Heading4"/>
        <w:keepNext/>
        <w:widowControl w:val="0"/>
      </w:pPr>
      <w:r w:rsidRPr="008C6145">
        <w:t>Disposition</w:t>
      </w:r>
    </w:p>
    <w:p w:rsidR="005406C8" w:rsidRPr="008C6145" w:rsidRDefault="005406C8" w:rsidP="00CD3972">
      <w:pPr>
        <w:keepNext/>
        <w:widowControl w:val="0"/>
        <w:autoSpaceDE w:val="0"/>
        <w:autoSpaceDN w:val="0"/>
        <w:adjustRightInd w:val="0"/>
        <w:ind w:firstLine="0"/>
      </w:pPr>
    </w:p>
    <w:p w:rsidR="00290BB8" w:rsidRDefault="00A71B2E" w:rsidP="00CD3972">
      <w:pPr>
        <w:keepNext/>
        <w:widowControl w:val="0"/>
        <w:rPr>
          <w:iCs/>
          <w:szCs w:val="26"/>
        </w:rPr>
      </w:pPr>
      <w:r w:rsidRPr="008C6145">
        <w:t xml:space="preserve">As discussed, </w:t>
      </w:r>
      <w:r w:rsidRPr="008C6145">
        <w:rPr>
          <w:i/>
        </w:rPr>
        <w:t>supra</w:t>
      </w:r>
      <w:r w:rsidRPr="008C6145">
        <w:t>, P</w:t>
      </w:r>
      <w:r w:rsidRPr="008C6145">
        <w:rPr>
          <w:iCs/>
          <w:szCs w:val="26"/>
        </w:rPr>
        <w:t>PL</w:t>
      </w:r>
      <w:r w:rsidR="001903CC" w:rsidRPr="008C6145">
        <w:rPr>
          <w:iCs/>
          <w:szCs w:val="26"/>
        </w:rPr>
        <w:t>’</w:t>
      </w:r>
      <w:r w:rsidRPr="008C6145">
        <w:rPr>
          <w:iCs/>
          <w:szCs w:val="26"/>
        </w:rPr>
        <w:t>s billing system is unable to associate two separate accounts that are read and billed independently</w:t>
      </w:r>
      <w:r w:rsidR="00E7798B" w:rsidRPr="008C6145">
        <w:rPr>
          <w:iCs/>
          <w:szCs w:val="26"/>
        </w:rPr>
        <w:t xml:space="preserve"> on the monthly bills of </w:t>
      </w:r>
    </w:p>
    <w:p w:rsidR="00290BB8" w:rsidRDefault="00290BB8">
      <w:pPr>
        <w:spacing w:line="240" w:lineRule="auto"/>
        <w:ind w:firstLine="0"/>
        <w:rPr>
          <w:iCs/>
          <w:szCs w:val="26"/>
        </w:rPr>
      </w:pPr>
      <w:r>
        <w:rPr>
          <w:iCs/>
          <w:szCs w:val="26"/>
        </w:rPr>
        <w:br w:type="page"/>
      </w:r>
    </w:p>
    <w:p w:rsidR="00DB147F" w:rsidRPr="008C6145" w:rsidRDefault="00E7798B" w:rsidP="00290BB8">
      <w:pPr>
        <w:keepNext/>
        <w:widowControl w:val="0"/>
        <w:ind w:firstLine="0"/>
        <w:rPr>
          <w:iCs/>
          <w:szCs w:val="26"/>
        </w:rPr>
      </w:pPr>
      <w:proofErr w:type="gramStart"/>
      <w:r w:rsidRPr="008C6145">
        <w:rPr>
          <w:iCs/>
          <w:szCs w:val="26"/>
        </w:rPr>
        <w:lastRenderedPageBreak/>
        <w:t>customers</w:t>
      </w:r>
      <w:proofErr w:type="gramEnd"/>
      <w:r w:rsidRPr="008C6145">
        <w:rPr>
          <w:iCs/>
          <w:szCs w:val="26"/>
        </w:rPr>
        <w:t xml:space="preserve"> with virtual</w:t>
      </w:r>
      <w:r w:rsidR="005C05B6">
        <w:rPr>
          <w:iCs/>
          <w:szCs w:val="26"/>
        </w:rPr>
        <w:t>ly aggregated</w:t>
      </w:r>
      <w:r w:rsidRPr="008C6145">
        <w:rPr>
          <w:iCs/>
          <w:szCs w:val="26"/>
        </w:rPr>
        <w:t xml:space="preserve"> meter</w:t>
      </w:r>
      <w:r w:rsidR="005C05B6">
        <w:rPr>
          <w:iCs/>
          <w:szCs w:val="26"/>
        </w:rPr>
        <w:t>s</w:t>
      </w:r>
      <w:r w:rsidR="00A71B2E" w:rsidRPr="008C6145">
        <w:rPr>
          <w:iCs/>
          <w:szCs w:val="26"/>
        </w:rPr>
        <w:t>.</w:t>
      </w:r>
      <w:r w:rsidR="005C05B6">
        <w:rPr>
          <w:rStyle w:val="FootnoteReference"/>
          <w:iCs/>
          <w:szCs w:val="26"/>
        </w:rPr>
        <w:footnoteReference w:id="6"/>
      </w:r>
      <w:r w:rsidR="00A71B2E" w:rsidRPr="008C6145">
        <w:rPr>
          <w:iCs/>
          <w:szCs w:val="26"/>
        </w:rPr>
        <w:t xml:space="preserve">  </w:t>
      </w:r>
      <w:r w:rsidR="00DB6375" w:rsidRPr="008C6145">
        <w:rPr>
          <w:iCs/>
          <w:szCs w:val="26"/>
        </w:rPr>
        <w:t xml:space="preserve">Therefore, </w:t>
      </w:r>
      <w:r w:rsidR="00A71B2E" w:rsidRPr="008C6145">
        <w:rPr>
          <w:iCs/>
          <w:szCs w:val="26"/>
        </w:rPr>
        <w:t xml:space="preserve">it may be difficult for </w:t>
      </w:r>
      <w:r w:rsidR="00E345D9" w:rsidRPr="008C6145">
        <w:rPr>
          <w:iCs/>
          <w:szCs w:val="26"/>
        </w:rPr>
        <w:t xml:space="preserve">customers with </w:t>
      </w:r>
      <w:r w:rsidR="00A71B2E" w:rsidRPr="008C6145">
        <w:rPr>
          <w:iCs/>
          <w:szCs w:val="26"/>
        </w:rPr>
        <w:t>virtual</w:t>
      </w:r>
      <w:r w:rsidR="005C05B6">
        <w:rPr>
          <w:iCs/>
          <w:szCs w:val="26"/>
        </w:rPr>
        <w:t xml:space="preserve">ly aggregated </w:t>
      </w:r>
      <w:r w:rsidR="00A71B2E" w:rsidRPr="008C6145">
        <w:rPr>
          <w:iCs/>
          <w:szCs w:val="26"/>
        </w:rPr>
        <w:t>mete</w:t>
      </w:r>
      <w:r w:rsidR="00E345D9" w:rsidRPr="008C6145">
        <w:rPr>
          <w:iCs/>
          <w:szCs w:val="26"/>
        </w:rPr>
        <w:t>r</w:t>
      </w:r>
      <w:r w:rsidR="005C05B6">
        <w:rPr>
          <w:iCs/>
          <w:szCs w:val="26"/>
        </w:rPr>
        <w:t>s</w:t>
      </w:r>
      <w:r w:rsidR="00A71B2E" w:rsidRPr="008C6145">
        <w:rPr>
          <w:iCs/>
          <w:szCs w:val="26"/>
        </w:rPr>
        <w:t xml:space="preserve"> to </w:t>
      </w:r>
      <w:r w:rsidR="00572AB1" w:rsidRPr="008C6145">
        <w:rPr>
          <w:iCs/>
          <w:szCs w:val="26"/>
        </w:rPr>
        <w:t>determine</w:t>
      </w:r>
      <w:r w:rsidR="00A71B2E" w:rsidRPr="008C6145">
        <w:rPr>
          <w:iCs/>
          <w:szCs w:val="26"/>
        </w:rPr>
        <w:t xml:space="preserve"> the impact</w:t>
      </w:r>
      <w:r w:rsidR="00122736" w:rsidRPr="008C6145">
        <w:rPr>
          <w:iCs/>
          <w:szCs w:val="26"/>
        </w:rPr>
        <w:t xml:space="preserve"> of</w:t>
      </w:r>
      <w:r w:rsidR="00A71B2E" w:rsidRPr="008C6145">
        <w:rPr>
          <w:iCs/>
          <w:szCs w:val="26"/>
        </w:rPr>
        <w:t xml:space="preserve"> </w:t>
      </w:r>
      <w:r w:rsidR="00DB6375" w:rsidRPr="008C6145">
        <w:rPr>
          <w:iCs/>
          <w:szCs w:val="26"/>
        </w:rPr>
        <w:t xml:space="preserve">the net generation from a host account on a satellite account from the individual monthly bills for each account.  </w:t>
      </w:r>
      <w:r w:rsidR="00DB147F" w:rsidRPr="008C6145">
        <w:rPr>
          <w:iCs/>
          <w:szCs w:val="26"/>
        </w:rPr>
        <w:t>Consequently, customers with virtual</w:t>
      </w:r>
      <w:r w:rsidR="005C05B6">
        <w:rPr>
          <w:iCs/>
          <w:szCs w:val="26"/>
        </w:rPr>
        <w:t>ly aggregated</w:t>
      </w:r>
      <w:r w:rsidR="0066117D" w:rsidRPr="008C6145">
        <w:rPr>
          <w:iCs/>
          <w:szCs w:val="26"/>
        </w:rPr>
        <w:t xml:space="preserve"> </w:t>
      </w:r>
      <w:r w:rsidR="00DB147F" w:rsidRPr="008C6145">
        <w:rPr>
          <w:iCs/>
          <w:szCs w:val="26"/>
        </w:rPr>
        <w:t>meter</w:t>
      </w:r>
      <w:r w:rsidR="005C05B6">
        <w:rPr>
          <w:iCs/>
          <w:szCs w:val="26"/>
        </w:rPr>
        <w:t>s</w:t>
      </w:r>
      <w:r w:rsidR="00DB147F" w:rsidRPr="008C6145">
        <w:rPr>
          <w:iCs/>
          <w:szCs w:val="26"/>
        </w:rPr>
        <w:t xml:space="preserve"> need a separate tabulation that shows how credits were generated and applied, and how annual cash payouts, if any, were calculated.  As noted, </w:t>
      </w:r>
      <w:r w:rsidR="00DB147F" w:rsidRPr="008C6145">
        <w:rPr>
          <w:i/>
          <w:iCs/>
          <w:szCs w:val="26"/>
        </w:rPr>
        <w:t>supra</w:t>
      </w:r>
      <w:r w:rsidR="00DB147F" w:rsidRPr="008C6145">
        <w:rPr>
          <w:iCs/>
          <w:szCs w:val="26"/>
        </w:rPr>
        <w:t xml:space="preserve">, PPL has been providing </w:t>
      </w:r>
      <w:r w:rsidR="008E66EE" w:rsidRPr="008C6145">
        <w:rPr>
          <w:iCs/>
          <w:szCs w:val="26"/>
        </w:rPr>
        <w:t xml:space="preserve">such </w:t>
      </w:r>
      <w:proofErr w:type="gramStart"/>
      <w:r w:rsidR="00DB147F" w:rsidRPr="008C6145">
        <w:rPr>
          <w:iCs/>
          <w:szCs w:val="26"/>
        </w:rPr>
        <w:t>a tabulation</w:t>
      </w:r>
      <w:proofErr w:type="gramEnd"/>
      <w:r w:rsidR="00DB147F" w:rsidRPr="008C6145">
        <w:rPr>
          <w:iCs/>
          <w:szCs w:val="26"/>
        </w:rPr>
        <w:t xml:space="preserve"> to customers for the 2012 and 2013 PJM </w:t>
      </w:r>
      <w:r w:rsidR="00CD3972" w:rsidRPr="008C6145">
        <w:rPr>
          <w:iCs/>
          <w:szCs w:val="26"/>
        </w:rPr>
        <w:t>P</w:t>
      </w:r>
      <w:r w:rsidR="00DB147F" w:rsidRPr="008C6145">
        <w:rPr>
          <w:iCs/>
          <w:szCs w:val="26"/>
        </w:rPr>
        <w:t xml:space="preserve">lanning </w:t>
      </w:r>
      <w:r w:rsidR="00CD3972" w:rsidRPr="008C6145">
        <w:rPr>
          <w:iCs/>
          <w:szCs w:val="26"/>
        </w:rPr>
        <w:t>Y</w:t>
      </w:r>
      <w:r w:rsidR="00572AB1" w:rsidRPr="008C6145">
        <w:rPr>
          <w:iCs/>
          <w:szCs w:val="26"/>
        </w:rPr>
        <w:t>ears.</w:t>
      </w:r>
    </w:p>
    <w:p w:rsidR="00DB147F" w:rsidRPr="008C6145" w:rsidRDefault="00DB147F" w:rsidP="00015896">
      <w:pPr>
        <w:widowControl w:val="0"/>
        <w:rPr>
          <w:iCs/>
          <w:szCs w:val="26"/>
        </w:rPr>
      </w:pPr>
    </w:p>
    <w:p w:rsidR="008E66EE" w:rsidRDefault="0066117D" w:rsidP="00A30750">
      <w:r w:rsidRPr="008C6145">
        <w:t xml:space="preserve">The </w:t>
      </w:r>
      <w:r w:rsidR="00295406" w:rsidRPr="008C6145">
        <w:t>Complainant</w:t>
      </w:r>
      <w:r w:rsidR="00D43A5C" w:rsidRPr="008C6145">
        <w:t xml:space="preserve"> argues</w:t>
      </w:r>
      <w:r w:rsidR="00D43A5C" w:rsidRPr="008C6145">
        <w:rPr>
          <w:i/>
        </w:rPr>
        <w:t>, inter alia</w:t>
      </w:r>
      <w:r w:rsidR="00D43A5C" w:rsidRPr="008C6145">
        <w:t>, that PPL</w:t>
      </w:r>
      <w:r w:rsidR="001903CC" w:rsidRPr="008C6145">
        <w:t>’</w:t>
      </w:r>
      <w:r w:rsidR="00D43A5C" w:rsidRPr="008C6145">
        <w:t>s monthly billing records are inconsistent and unreliable and the Company has been unable to defend those monthly bills.  However, neither the Complainant</w:t>
      </w:r>
      <w:r w:rsidR="001903CC" w:rsidRPr="008C6145">
        <w:t>’</w:t>
      </w:r>
      <w:r w:rsidR="00D43A5C" w:rsidRPr="008C6145">
        <w:t xml:space="preserve">s monthly bills nor an exhibit reflecting the pertinent information presented on </w:t>
      </w:r>
      <w:r w:rsidRPr="008C6145">
        <w:t>his</w:t>
      </w:r>
      <w:r w:rsidR="00D43A5C" w:rsidRPr="008C6145">
        <w:t xml:space="preserve"> actual bills </w:t>
      </w:r>
      <w:r w:rsidRPr="008C6145">
        <w:t>were</w:t>
      </w:r>
      <w:r w:rsidR="00D43A5C" w:rsidRPr="008C6145">
        <w:t xml:space="preserve"> included </w:t>
      </w:r>
      <w:r w:rsidRPr="008C6145">
        <w:t>i</w:t>
      </w:r>
      <w:r w:rsidR="00D43A5C" w:rsidRPr="008C6145">
        <w:t>n the record of this proceeding.</w:t>
      </w:r>
      <w:r w:rsidR="008E66EE" w:rsidRPr="008C6145">
        <w:rPr>
          <w:rStyle w:val="FootnoteReference"/>
        </w:rPr>
        <w:footnoteReference w:id="7"/>
      </w:r>
      <w:r w:rsidR="00D43A5C" w:rsidRPr="008C6145">
        <w:t xml:space="preserve"> </w:t>
      </w:r>
    </w:p>
    <w:p w:rsidR="0053086E" w:rsidRPr="008C6145" w:rsidRDefault="0053086E" w:rsidP="00A30750"/>
    <w:p w:rsidR="00E3544B" w:rsidRPr="008C6145" w:rsidRDefault="00DB4FAF" w:rsidP="00E3544B">
      <w:r w:rsidRPr="008C6145">
        <w:t xml:space="preserve">PPL avers that it provided credits to </w:t>
      </w:r>
      <w:r w:rsidR="0066117D" w:rsidRPr="008C6145">
        <w:t xml:space="preserve">the </w:t>
      </w:r>
      <w:r w:rsidR="00295406" w:rsidRPr="008C6145">
        <w:t>Complainant</w:t>
      </w:r>
      <w:r w:rsidRPr="008C6145">
        <w:t xml:space="preserve"> for his excess generation in accordance with its </w:t>
      </w:r>
      <w:r w:rsidR="0066117D" w:rsidRPr="008C6145">
        <w:t>Net Metering Tariff</w:t>
      </w:r>
      <w:r w:rsidR="00A30750" w:rsidRPr="008C6145">
        <w:t>,</w:t>
      </w:r>
      <w:r w:rsidR="00E3544B" w:rsidRPr="008C6145">
        <w:t xml:space="preserve"> but </w:t>
      </w:r>
      <w:r w:rsidRPr="008C6145">
        <w:t xml:space="preserve">the record does not contain a complete tabulation that ties </w:t>
      </w:r>
      <w:r w:rsidR="0066117D" w:rsidRPr="008C6145">
        <w:t xml:space="preserve">the </w:t>
      </w:r>
      <w:r w:rsidR="00295406" w:rsidRPr="008C6145">
        <w:t>Complainant</w:t>
      </w:r>
      <w:r w:rsidR="001903CC" w:rsidRPr="008C6145">
        <w:t>’</w:t>
      </w:r>
      <w:r w:rsidRPr="008C6145">
        <w:t xml:space="preserve">s monthly bills to the amounts credited on the satellite account and the cash-out payment made to the Complainant.  </w:t>
      </w:r>
      <w:r w:rsidR="00E3544B" w:rsidRPr="008C6145">
        <w:t>We recognize that PPL placed a schedule on the record reflecting the monthly credits applied to</w:t>
      </w:r>
      <w:r w:rsidR="0066117D" w:rsidRPr="008C6145">
        <w:t xml:space="preserve"> the</w:t>
      </w:r>
      <w:r w:rsidR="00E3544B" w:rsidRPr="008C6145">
        <w:t xml:space="preserve"> </w:t>
      </w:r>
      <w:r w:rsidR="00295406" w:rsidRPr="008C6145">
        <w:lastRenderedPageBreak/>
        <w:t>Complainant</w:t>
      </w:r>
      <w:r w:rsidR="001903CC" w:rsidRPr="008C6145">
        <w:t>’</w:t>
      </w:r>
      <w:r w:rsidR="00E3544B" w:rsidRPr="008C6145">
        <w:t>s account and the two cash</w:t>
      </w:r>
      <w:r w:rsidR="0066117D" w:rsidRPr="008C6145">
        <w:t>-</w:t>
      </w:r>
      <w:r w:rsidR="00E3544B" w:rsidRPr="008C6145">
        <w:t xml:space="preserve">out payments remitted to the Complainant in April 2010.  </w:t>
      </w:r>
      <w:proofErr w:type="gramStart"/>
      <w:r w:rsidR="00E3544B" w:rsidRPr="008C6145">
        <w:t>PPL Exh.</w:t>
      </w:r>
      <w:proofErr w:type="gramEnd"/>
      <w:r w:rsidR="00E3544B" w:rsidRPr="008C6145">
        <w:t xml:space="preserve"> No 5.  However, PPL Exhibit No. 5 does not reflect how the credits were generated by the host account, how the credits were applied to the satellite account, how the credits affected the Complainant</w:t>
      </w:r>
      <w:r w:rsidR="001903CC" w:rsidRPr="008C6145">
        <w:t>’</w:t>
      </w:r>
      <w:r w:rsidR="00E3544B" w:rsidRPr="008C6145">
        <w:t>s net bill on the satellite account</w:t>
      </w:r>
      <w:r w:rsidR="0066117D" w:rsidRPr="008C6145">
        <w:t>,</w:t>
      </w:r>
      <w:r w:rsidR="00E3544B" w:rsidRPr="008C6145">
        <w:t xml:space="preserve"> and how the cash</w:t>
      </w:r>
      <w:r w:rsidR="00F17EFB" w:rsidRPr="008C6145">
        <w:t>-</w:t>
      </w:r>
      <w:r w:rsidR="00572AB1" w:rsidRPr="008C6145">
        <w:t>outs were calculated.</w:t>
      </w:r>
    </w:p>
    <w:p w:rsidR="0066117D" w:rsidRPr="008C6145" w:rsidRDefault="0066117D" w:rsidP="00E3544B"/>
    <w:p w:rsidR="00E3544B" w:rsidRPr="008C6145" w:rsidRDefault="00D426DD" w:rsidP="00D426DD">
      <w:r w:rsidRPr="008C6145">
        <w:t xml:space="preserve">PPL Exhibit No. 7 contains the </w:t>
      </w:r>
      <w:r w:rsidRPr="008C6145">
        <w:rPr>
          <w:i/>
        </w:rPr>
        <w:t>type</w:t>
      </w:r>
      <w:r w:rsidRPr="008C6145">
        <w:t xml:space="preserve"> of information that would enable the Commission to review the Complainant</w:t>
      </w:r>
      <w:r w:rsidR="001903CC" w:rsidRPr="008C6145">
        <w:t>’</w:t>
      </w:r>
      <w:r w:rsidRPr="008C6145">
        <w:t>s bills and determine if PPL improperly credited or paid for the net generation from the Complainant</w:t>
      </w:r>
      <w:r w:rsidR="001903CC" w:rsidRPr="008C6145">
        <w:t>’</w:t>
      </w:r>
      <w:r w:rsidRPr="008C6145">
        <w:t xml:space="preserve">s solar panels.  A portion of the information presented in PPL Exhibit No. 7 has been compiled into a single schedule, </w:t>
      </w:r>
      <w:r w:rsidR="00913BF1" w:rsidRPr="008C6145">
        <w:t xml:space="preserve">presented as an Appendix to this Opinion and Order. </w:t>
      </w:r>
      <w:r w:rsidRPr="008C6145">
        <w:t xml:space="preserve"> However, PPL Exhibit No. 7 is a recreation of the Complainant</w:t>
      </w:r>
      <w:r w:rsidR="001903CC" w:rsidRPr="008C6145">
        <w:t>’</w:t>
      </w:r>
      <w:r w:rsidRPr="008C6145">
        <w:t>s accounts presented by PPL to demonstrate the maximum benefit that he could have realized had he qualified for virtual meter</w:t>
      </w:r>
      <w:r w:rsidR="0012102F">
        <w:t xml:space="preserve"> aggregation</w:t>
      </w:r>
      <w:r w:rsidRPr="008C6145">
        <w:t xml:space="preserve"> continuously since March 2009.  </w:t>
      </w:r>
      <w:proofErr w:type="gramStart"/>
      <w:r w:rsidRPr="008C6145">
        <w:t>Tr. at 182, 184.</w:t>
      </w:r>
      <w:proofErr w:type="gramEnd"/>
      <w:r w:rsidRPr="008C6145">
        <w:t xml:space="preserve">  In addition, some of the information on PPL Exhibit No. 7 does not match the information on Exhibit No. 5.</w:t>
      </w:r>
      <w:r w:rsidR="00BB2015">
        <w:t xml:space="preserve">  </w:t>
      </w:r>
      <w:r w:rsidRPr="008C6145">
        <w:t>Therefore, even if the Complainant</w:t>
      </w:r>
      <w:r w:rsidR="001903CC" w:rsidRPr="008C6145">
        <w:t>’</w:t>
      </w:r>
      <w:r w:rsidRPr="008C6145">
        <w:t xml:space="preserve">s billing history was contained in the record, PPL Exhibit </w:t>
      </w:r>
      <w:r w:rsidR="00E3544B" w:rsidRPr="008C6145">
        <w:t xml:space="preserve">No. 7 </w:t>
      </w:r>
      <w:r w:rsidR="006738E8" w:rsidRPr="008C6145">
        <w:t xml:space="preserve">in its present form could not </w:t>
      </w:r>
      <w:r w:rsidR="00E3544B" w:rsidRPr="008C6145">
        <w:t>be used to determine if PPL</w:t>
      </w:r>
      <w:r w:rsidR="001903CC" w:rsidRPr="008C6145">
        <w:t>’</w:t>
      </w:r>
      <w:r w:rsidR="00E3544B" w:rsidRPr="008C6145">
        <w:t xml:space="preserve">s credits and payments were in compliance with its </w:t>
      </w:r>
      <w:r w:rsidR="00776986" w:rsidRPr="008C6145">
        <w:t>T</w:t>
      </w:r>
      <w:r w:rsidR="00E3544B" w:rsidRPr="008C6145">
        <w:t xml:space="preserve">ariff.  </w:t>
      </w:r>
    </w:p>
    <w:p w:rsidR="00E3544B" w:rsidRPr="008C6145" w:rsidRDefault="00E3544B" w:rsidP="00E3544B"/>
    <w:p w:rsidR="006738E8" w:rsidRPr="008C6145" w:rsidRDefault="006738E8" w:rsidP="006738E8">
      <w:pPr>
        <w:widowControl w:val="0"/>
      </w:pPr>
      <w:r w:rsidRPr="008C6145">
        <w:t xml:space="preserve">Arguably, the Complainant did not satisfy his burden of proving that he was </w:t>
      </w:r>
      <w:r w:rsidR="00776986" w:rsidRPr="008C6145">
        <w:t xml:space="preserve">not </w:t>
      </w:r>
      <w:r w:rsidRPr="008C6145">
        <w:t>properly billed by PPL and that PPL</w:t>
      </w:r>
      <w:r w:rsidR="00776986" w:rsidRPr="008C6145">
        <w:t xml:space="preserve"> did not </w:t>
      </w:r>
      <w:r w:rsidRPr="008C6145">
        <w:t>properly credit or pa</w:t>
      </w:r>
      <w:r w:rsidR="00776986" w:rsidRPr="008C6145">
        <w:t>y</w:t>
      </w:r>
      <w:r w:rsidRPr="008C6145">
        <w:t xml:space="preserve"> him for his net generation from his solar array.  However, </w:t>
      </w:r>
      <w:r w:rsidR="003B1D78" w:rsidRPr="008C6145">
        <w:t xml:space="preserve">it is well settled that the burden of producing evidence may be placed on the party who can discharge the burden most easily, or who has peculiar means of knowledge of the facts.  </w:t>
      </w:r>
      <w:r w:rsidR="003B1D78" w:rsidRPr="008C6145">
        <w:rPr>
          <w:i/>
        </w:rPr>
        <w:t xml:space="preserve">Andrew </w:t>
      </w:r>
      <w:proofErr w:type="spellStart"/>
      <w:r w:rsidR="003B1D78" w:rsidRPr="008C6145">
        <w:rPr>
          <w:i/>
        </w:rPr>
        <w:t>Maholik</w:t>
      </w:r>
      <w:proofErr w:type="spellEnd"/>
      <w:r w:rsidR="003B1D78" w:rsidRPr="008C6145">
        <w:rPr>
          <w:i/>
        </w:rPr>
        <w:t xml:space="preserve"> v. PECO Energy Company</w:t>
      </w:r>
      <w:r w:rsidR="003B1D78" w:rsidRPr="008C6145">
        <w:t xml:space="preserve">, Docket No. F-2011-2263263 (Order entered August 2, 2013); </w:t>
      </w:r>
      <w:r w:rsidR="003B1D78" w:rsidRPr="008C6145">
        <w:rPr>
          <w:i/>
        </w:rPr>
        <w:t>Barrett v. Otis Elevator Co.</w:t>
      </w:r>
      <w:r w:rsidR="003B1D78" w:rsidRPr="008C6145">
        <w:t xml:space="preserve">, 431 Pa. 446, 246 A.2d 668 (1968); </w:t>
      </w:r>
      <w:r w:rsidR="003B1D78" w:rsidRPr="008C6145">
        <w:rPr>
          <w:i/>
        </w:rPr>
        <w:t>Shaffer v. The Commonwealth Telephone Co.</w:t>
      </w:r>
      <w:r w:rsidR="003B1D78" w:rsidRPr="008C6145">
        <w:t xml:space="preserve">, Docket No. </w:t>
      </w:r>
      <w:proofErr w:type="gramStart"/>
      <w:r w:rsidR="003B1D78" w:rsidRPr="008C6145">
        <w:t>C-00924648 (Order entered January 24, 1995).</w:t>
      </w:r>
      <w:proofErr w:type="gramEnd"/>
      <w:r w:rsidR="00DE0534" w:rsidRPr="008C6145">
        <w:t xml:space="preserve">  Since the Complainant may not be in possession of all of the information necessary to definitively resolve the issues regarding his billing, credits and payments, we shall direct PPL to </w:t>
      </w:r>
      <w:r w:rsidR="00CD3972" w:rsidRPr="008C6145">
        <w:t>file</w:t>
      </w:r>
      <w:r w:rsidR="00DE0534" w:rsidRPr="008C6145">
        <w:t xml:space="preserve"> </w:t>
      </w:r>
      <w:r w:rsidR="00DE0534" w:rsidRPr="008C6145">
        <w:lastRenderedPageBreak/>
        <w:t>additional information on the record</w:t>
      </w:r>
      <w:r w:rsidR="00CD3972" w:rsidRPr="008C6145">
        <w:t xml:space="preserve"> within sixty days of the entry of this Opinion and Order</w:t>
      </w:r>
      <w:r w:rsidR="00DE0534" w:rsidRPr="008C6145">
        <w:t xml:space="preserve">.  </w:t>
      </w:r>
      <w:r w:rsidR="00CD3972" w:rsidRPr="008C6145">
        <w:t xml:space="preserve">Specifically, we shall direct PPL to file a revised version of Exhibit No. 7 that contains actual data for the period </w:t>
      </w:r>
      <w:r w:rsidR="001503C4">
        <w:t xml:space="preserve">from </w:t>
      </w:r>
      <w:r w:rsidR="00CD3972" w:rsidRPr="008C6145">
        <w:t>M</w:t>
      </w:r>
      <w:r w:rsidR="005203FD">
        <w:t>arch</w:t>
      </w:r>
      <w:r w:rsidR="00CD3972" w:rsidRPr="008C6145">
        <w:t xml:space="preserve"> 2009 </w:t>
      </w:r>
      <w:r w:rsidR="001503C4">
        <w:t xml:space="preserve">to the </w:t>
      </w:r>
      <w:r w:rsidR="00E51EF6">
        <w:t xml:space="preserve">last </w:t>
      </w:r>
      <w:r w:rsidR="00A37EA1">
        <w:t xml:space="preserve">monthly </w:t>
      </w:r>
      <w:r w:rsidR="00E51EF6">
        <w:t>billing period</w:t>
      </w:r>
      <w:r w:rsidR="00A37EA1">
        <w:t xml:space="preserve">s for each of Mr. Moyer’s two accounts that ended </w:t>
      </w:r>
      <w:r w:rsidR="00E51EF6">
        <w:t>prior to the entry date of this Opinion and Order</w:t>
      </w:r>
      <w:r w:rsidR="00CD3972" w:rsidRPr="008C6145">
        <w:t>.  This information should be presented in a format that enables the Parties to directly associate the monthly bills with the credits and cash-out payments.</w:t>
      </w:r>
      <w:r w:rsidR="007E68AE" w:rsidRPr="008C6145">
        <w:rPr>
          <w:rStyle w:val="FootnoteReference"/>
        </w:rPr>
        <w:footnoteReference w:id="8"/>
      </w:r>
      <w:r w:rsidR="00CD3972" w:rsidRPr="008C6145">
        <w:t xml:space="preserve">  </w:t>
      </w:r>
      <w:r w:rsidR="00DE0534" w:rsidRPr="008C6145">
        <w:t xml:space="preserve">Accordingly, we shall </w:t>
      </w:r>
      <w:r w:rsidR="00CA1F6C" w:rsidRPr="008C6145">
        <w:t>grant the Complainant</w:t>
      </w:r>
      <w:r w:rsidR="001903CC" w:rsidRPr="008C6145">
        <w:t>’</w:t>
      </w:r>
      <w:r w:rsidR="00CA1F6C" w:rsidRPr="008C6145">
        <w:t>s Exceptions regarding the accuracy of PPL</w:t>
      </w:r>
      <w:r w:rsidR="001903CC" w:rsidRPr="008C6145">
        <w:t>’</w:t>
      </w:r>
      <w:r w:rsidR="00CA1F6C" w:rsidRPr="008C6145">
        <w:t xml:space="preserve">s records, billing and payments to the extent that we are remanding this proceeding </w:t>
      </w:r>
      <w:r w:rsidR="00DE0534" w:rsidRPr="008C6145">
        <w:t>to the OALJ for the further development of the record</w:t>
      </w:r>
      <w:r w:rsidR="00776986" w:rsidRPr="008C6145">
        <w:t>.</w:t>
      </w:r>
      <w:r w:rsidR="00E51EF6">
        <w:t xml:space="preserve">  We shall also vacate the Initial Decision to the extent that it found that PPL </w:t>
      </w:r>
      <w:r w:rsidR="00067FA0">
        <w:t>properly provided credits to the Complainant</w:t>
      </w:r>
      <w:r w:rsidR="00261676">
        <w:t>.</w:t>
      </w:r>
      <w:r w:rsidR="00067FA0">
        <w:t xml:space="preserve"> </w:t>
      </w:r>
    </w:p>
    <w:p w:rsidR="007E68AE" w:rsidRPr="008C6145" w:rsidRDefault="007E68AE" w:rsidP="009468C7"/>
    <w:p w:rsidR="009468C7" w:rsidRPr="008C6145" w:rsidRDefault="009468C7" w:rsidP="009468C7">
      <w:r w:rsidRPr="008C6145">
        <w:t>Pursuant to our Regulations at 52 Pa Code § 5.231, it is the Commission</w:t>
      </w:r>
      <w:r w:rsidR="001903CC" w:rsidRPr="008C6145">
        <w:t>’</w:t>
      </w:r>
      <w:r w:rsidRPr="008C6145">
        <w:t xml:space="preserve">s policy to promote settlements.  Therefore, following the submission of the </w:t>
      </w:r>
      <w:r w:rsidR="00236C4B" w:rsidRPr="008C6145">
        <w:t>information</w:t>
      </w:r>
      <w:r w:rsidRPr="008C6145">
        <w:t xml:space="preserve"> by PPL, </w:t>
      </w:r>
      <w:r w:rsidRPr="008C6145">
        <w:rPr>
          <w:i/>
        </w:rPr>
        <w:t>supra</w:t>
      </w:r>
      <w:r w:rsidRPr="008C6145">
        <w:t xml:space="preserve">, we encourage the Parties to </w:t>
      </w:r>
      <w:r w:rsidR="00236C4B" w:rsidRPr="008C6145">
        <w:t xml:space="preserve">meet </w:t>
      </w:r>
      <w:r w:rsidR="00067FA0">
        <w:t>and review</w:t>
      </w:r>
      <w:r w:rsidRPr="008C6145">
        <w:t xml:space="preserve"> </w:t>
      </w:r>
      <w:r w:rsidR="00776986" w:rsidRPr="008C6145">
        <w:t xml:space="preserve">the </w:t>
      </w:r>
      <w:r w:rsidR="00295406" w:rsidRPr="008C6145">
        <w:t>Complainant</w:t>
      </w:r>
      <w:r w:rsidR="001903CC" w:rsidRPr="008C6145">
        <w:t>’</w:t>
      </w:r>
      <w:r w:rsidRPr="008C6145">
        <w:t xml:space="preserve">s actual bills and the </w:t>
      </w:r>
      <w:r w:rsidR="00236C4B" w:rsidRPr="008C6145">
        <w:t>information to be supplied by PPL</w:t>
      </w:r>
      <w:r w:rsidR="00776986" w:rsidRPr="008C6145">
        <w:t>,</w:t>
      </w:r>
      <w:r w:rsidR="00236C4B" w:rsidRPr="008C6145">
        <w:t xml:space="preserve"> </w:t>
      </w:r>
      <w:r w:rsidRPr="008C6145">
        <w:t>and</w:t>
      </w:r>
      <w:r w:rsidR="00776986" w:rsidRPr="008C6145">
        <w:t>,</w:t>
      </w:r>
      <w:r w:rsidRPr="008C6145">
        <w:t xml:space="preserve"> attempt to resolve the Complainant</w:t>
      </w:r>
      <w:r w:rsidR="001903CC" w:rsidRPr="008C6145">
        <w:t>’</w:t>
      </w:r>
      <w:r w:rsidRPr="008C6145">
        <w:t>s concerns with his billing, credits and payments.  If the Complainant</w:t>
      </w:r>
      <w:r w:rsidR="001903CC" w:rsidRPr="008C6145">
        <w:t>’</w:t>
      </w:r>
      <w:r w:rsidRPr="008C6145">
        <w:t xml:space="preserve">s concerns cannot be </w:t>
      </w:r>
      <w:r w:rsidR="00236C4B" w:rsidRPr="008C6145">
        <w:t>resolved</w:t>
      </w:r>
      <w:r w:rsidRPr="008C6145">
        <w:t xml:space="preserve">, the Complainant may request further hearings for the limited purpose </w:t>
      </w:r>
      <w:r w:rsidR="00236C4B" w:rsidRPr="008C6145">
        <w:t xml:space="preserve">of addressing any inconsistencies between </w:t>
      </w:r>
      <w:r w:rsidR="00776986" w:rsidRPr="008C6145">
        <w:t>his</w:t>
      </w:r>
      <w:r w:rsidR="00236C4B" w:rsidRPr="008C6145">
        <w:t xml:space="preserve"> billings and the credits and payments provided </w:t>
      </w:r>
      <w:r w:rsidR="00776986" w:rsidRPr="008C6145">
        <w:t>by PPL</w:t>
      </w:r>
      <w:r w:rsidR="00236C4B" w:rsidRPr="008C6145">
        <w:t xml:space="preserve"> as a result of the virtual</w:t>
      </w:r>
      <w:r w:rsidR="00776986" w:rsidRPr="008C6145">
        <w:t xml:space="preserve"> </w:t>
      </w:r>
      <w:r w:rsidR="00F31305">
        <w:t>aggregation of Complainant’s</w:t>
      </w:r>
      <w:r w:rsidR="00F31305" w:rsidRPr="008C6145">
        <w:t xml:space="preserve"> </w:t>
      </w:r>
      <w:r w:rsidR="00236C4B" w:rsidRPr="008C6145">
        <w:t>account</w:t>
      </w:r>
      <w:r w:rsidR="006F1569" w:rsidRPr="008C6145">
        <w:t>s</w:t>
      </w:r>
      <w:r w:rsidR="00236C4B" w:rsidRPr="008C6145">
        <w:t xml:space="preserve">.  </w:t>
      </w:r>
      <w:r w:rsidR="00865E5A" w:rsidRPr="008C6145">
        <w:t xml:space="preserve">If </w:t>
      </w:r>
      <w:r w:rsidR="00776986" w:rsidRPr="008C6145">
        <w:t xml:space="preserve">the </w:t>
      </w:r>
      <w:r w:rsidR="00295406" w:rsidRPr="008C6145">
        <w:t>Complainant</w:t>
      </w:r>
      <w:r w:rsidR="00865E5A" w:rsidRPr="008C6145">
        <w:t xml:space="preserve"> requests further hearings, </w:t>
      </w:r>
      <w:r w:rsidR="00776986" w:rsidRPr="008C6145">
        <w:t>he</w:t>
      </w:r>
      <w:r w:rsidR="00865E5A" w:rsidRPr="008C6145">
        <w:t xml:space="preserve"> must be prepared to demonstrate that </w:t>
      </w:r>
      <w:r w:rsidR="002E0637" w:rsidRPr="008C6145">
        <w:t xml:space="preserve">the </w:t>
      </w:r>
      <w:r w:rsidR="000D591B" w:rsidRPr="008C6145">
        <w:t xml:space="preserve">specific </w:t>
      </w:r>
      <w:r w:rsidR="002E0637" w:rsidRPr="008C6145">
        <w:t>credits and payments made by PPL are inaccurate based on his actual bills, meter readings</w:t>
      </w:r>
      <w:r w:rsidR="006F1569" w:rsidRPr="008C6145">
        <w:t>, his payments made to PPL, or</w:t>
      </w:r>
      <w:r w:rsidR="002E0637" w:rsidRPr="008C6145">
        <w:t xml:space="preserve"> the cash-out payments received from PPL. </w:t>
      </w:r>
    </w:p>
    <w:p w:rsidR="009468C7" w:rsidRPr="008C6145" w:rsidRDefault="009468C7" w:rsidP="00E3544B"/>
    <w:p w:rsidR="00395C84" w:rsidRPr="008C6145" w:rsidRDefault="00395C84" w:rsidP="00395C84">
      <w:r w:rsidRPr="008C6145">
        <w:t>The Complainant was not credited for excess generation for the period of June 20</w:t>
      </w:r>
      <w:r w:rsidR="00F27291" w:rsidRPr="008C6145">
        <w:t>10</w:t>
      </w:r>
      <w:r w:rsidRPr="008C6145">
        <w:t xml:space="preserve"> through December 2010.  </w:t>
      </w:r>
      <w:proofErr w:type="gramStart"/>
      <w:r w:rsidRPr="008C6145">
        <w:t xml:space="preserve">Tr. </w:t>
      </w:r>
      <w:r w:rsidR="00724834">
        <w:t xml:space="preserve">at </w:t>
      </w:r>
      <w:r w:rsidRPr="008C6145">
        <w:t>172.</w:t>
      </w:r>
      <w:proofErr w:type="gramEnd"/>
      <w:r w:rsidRPr="008C6145">
        <w:t xml:space="preserve">  PPL has agreed to fully compensate </w:t>
      </w:r>
      <w:r w:rsidR="00776986" w:rsidRPr="008C6145">
        <w:t>him</w:t>
      </w:r>
      <w:r w:rsidRPr="008C6145">
        <w:t xml:space="preserve"> </w:t>
      </w:r>
      <w:r w:rsidRPr="008C6145">
        <w:lastRenderedPageBreak/>
        <w:t xml:space="preserve">for the value of all of the credits and cash-outs he would have received for excess generation as if </w:t>
      </w:r>
      <w:r w:rsidR="007E68AE" w:rsidRPr="008C6145">
        <w:t xml:space="preserve">PPL had deemed him to be </w:t>
      </w:r>
      <w:r w:rsidRPr="008C6145">
        <w:t>qualified for virtual meter</w:t>
      </w:r>
      <w:r w:rsidR="00F31305">
        <w:t xml:space="preserve"> aggregation</w:t>
      </w:r>
      <w:r w:rsidRPr="008C6145">
        <w:t xml:space="preserve"> the entire time.</w:t>
      </w:r>
      <w:r w:rsidR="007E68AE" w:rsidRPr="008C6145">
        <w:rPr>
          <w:rStyle w:val="FootnoteReference"/>
        </w:rPr>
        <w:footnoteReference w:id="9"/>
      </w:r>
      <w:r w:rsidRPr="008C6145">
        <w:t xml:space="preserve">  PPL estimated that the net difference between what the Complainant actually received and </w:t>
      </w:r>
      <w:r w:rsidR="007E68AE" w:rsidRPr="008C6145">
        <w:t>w</w:t>
      </w:r>
      <w:r w:rsidRPr="008C6145">
        <w:t xml:space="preserve">ould have received </w:t>
      </w:r>
      <w:r w:rsidR="007E68AE" w:rsidRPr="008C6145">
        <w:t xml:space="preserve">as a net metering customer </w:t>
      </w:r>
      <w:r w:rsidRPr="008C6145">
        <w:t xml:space="preserve">is $537.25, including interest.  R. Exc. at 18.  PPL states that to </w:t>
      </w:r>
      <w:r w:rsidR="001903CC" w:rsidRPr="008C6145">
        <w:t>“</w:t>
      </w:r>
      <w:r w:rsidRPr="008C6145">
        <w:t>fully and finally</w:t>
      </w:r>
      <w:r w:rsidR="001903CC" w:rsidRPr="008C6145">
        <w:t>”</w:t>
      </w:r>
      <w:r w:rsidRPr="008C6145">
        <w:t xml:space="preserve"> resolve this </w:t>
      </w:r>
      <w:proofErr w:type="gramStart"/>
      <w:r w:rsidRPr="008C6145">
        <w:t>matter,</w:t>
      </w:r>
      <w:proofErr w:type="gramEnd"/>
      <w:r w:rsidRPr="008C6145">
        <w:t xml:space="preserve"> it remains willing to provide this payment to the Complainant.  </w:t>
      </w:r>
      <w:r w:rsidRPr="008C6145">
        <w:rPr>
          <w:i/>
        </w:rPr>
        <w:t>Id.</w:t>
      </w:r>
      <w:r w:rsidRPr="008C6145">
        <w:t xml:space="preserve">  In order to facilitate the resolution of these outstanding credits and payments, </w:t>
      </w:r>
      <w:r w:rsidR="00865E5A" w:rsidRPr="008C6145">
        <w:t xml:space="preserve">we </w:t>
      </w:r>
      <w:r w:rsidR="007E68AE" w:rsidRPr="008C6145">
        <w:t xml:space="preserve">also </w:t>
      </w:r>
      <w:r w:rsidR="00865E5A" w:rsidRPr="008C6145">
        <w:t xml:space="preserve">shall direct PPL to </w:t>
      </w:r>
      <w:r w:rsidR="00E76557" w:rsidRPr="008C6145">
        <w:t>d</w:t>
      </w:r>
      <w:r w:rsidR="00865E5A" w:rsidRPr="008C6145">
        <w:t xml:space="preserve">emonstrate the </w:t>
      </w:r>
      <w:r w:rsidR="002E0637" w:rsidRPr="008C6145">
        <w:t xml:space="preserve">basis for the </w:t>
      </w:r>
      <w:r w:rsidR="00865E5A" w:rsidRPr="008C6145">
        <w:t xml:space="preserve">calculation of the outstanding credits and payments in a manner that is directly linked to the billing, credit and payout information to be supplied by PPL. </w:t>
      </w:r>
    </w:p>
    <w:p w:rsidR="00395C84" w:rsidRPr="008C6145" w:rsidRDefault="00395C84" w:rsidP="00E3544B"/>
    <w:p w:rsidR="00BA4986" w:rsidRPr="008C6145" w:rsidRDefault="00BA4986" w:rsidP="006F1569">
      <w:pPr>
        <w:pStyle w:val="Heading3"/>
      </w:pPr>
      <w:r w:rsidRPr="008C6145">
        <w:t xml:space="preserve">Eligibility for </w:t>
      </w:r>
      <w:r w:rsidR="00F31305">
        <w:t>Net</w:t>
      </w:r>
      <w:r w:rsidR="00F31305" w:rsidRPr="008C6145">
        <w:t xml:space="preserve"> </w:t>
      </w:r>
      <w:r w:rsidRPr="008C6145">
        <w:t>Metering</w:t>
      </w:r>
    </w:p>
    <w:p w:rsidR="00BA4986" w:rsidRPr="008C6145" w:rsidRDefault="00BA4986" w:rsidP="006F1569">
      <w:pPr>
        <w:keepNext/>
      </w:pPr>
    </w:p>
    <w:p w:rsidR="009C0470" w:rsidRPr="008C6145" w:rsidRDefault="005A11B4" w:rsidP="006F1569">
      <w:pPr>
        <w:pStyle w:val="Heading4"/>
        <w:keepNext/>
        <w:numPr>
          <w:ilvl w:val="0"/>
          <w:numId w:val="26"/>
        </w:numPr>
        <w:ind w:left="2880" w:hanging="720"/>
      </w:pPr>
      <w:r w:rsidRPr="008C6145">
        <w:t>Initial Decision</w:t>
      </w:r>
    </w:p>
    <w:p w:rsidR="005A11B4" w:rsidRPr="008C6145" w:rsidRDefault="005A11B4" w:rsidP="006F1569">
      <w:pPr>
        <w:pStyle w:val="Heading4"/>
        <w:keepNext/>
        <w:numPr>
          <w:ilvl w:val="0"/>
          <w:numId w:val="0"/>
        </w:numPr>
        <w:spacing w:line="360" w:lineRule="auto"/>
        <w:ind w:left="2880" w:hanging="720"/>
      </w:pPr>
    </w:p>
    <w:p w:rsidR="00E76557" w:rsidRPr="008C6145" w:rsidRDefault="005A11B4" w:rsidP="00E76557">
      <w:r w:rsidRPr="008C6145">
        <w:t xml:space="preserve">The ALJ stated that </w:t>
      </w:r>
      <w:r w:rsidR="001C7837" w:rsidRPr="008C6145">
        <w:t xml:space="preserve">net </w:t>
      </w:r>
      <w:r w:rsidRPr="008C6145">
        <w:t xml:space="preserve">metering is only available to installations </w:t>
      </w:r>
      <w:r w:rsidR="00904839" w:rsidRPr="008C6145">
        <w:t>in PPL</w:t>
      </w:r>
      <w:r w:rsidR="001903CC" w:rsidRPr="008C6145">
        <w:t>’</w:t>
      </w:r>
      <w:r w:rsidR="00904839" w:rsidRPr="008C6145">
        <w:t xml:space="preserve">s service territory </w:t>
      </w:r>
      <w:r w:rsidRPr="008C6145">
        <w:t>where a portion of the electricity generated by the renewable energy generating system offsets part or all of the customer generator</w:t>
      </w:r>
      <w:r w:rsidR="001903CC" w:rsidRPr="008C6145">
        <w:t>’</w:t>
      </w:r>
      <w:r w:rsidRPr="008C6145">
        <w:t xml:space="preserve">s requirements for electricity.  The ALJ </w:t>
      </w:r>
      <w:r w:rsidR="007E68AE" w:rsidRPr="008C6145">
        <w:t>concluded</w:t>
      </w:r>
      <w:r w:rsidRPr="008C6145">
        <w:t xml:space="preserve"> that </w:t>
      </w:r>
      <w:r w:rsidR="001903CC" w:rsidRPr="008C6145">
        <w:t>“</w:t>
      </w:r>
      <w:r w:rsidRPr="008C6145">
        <w:t xml:space="preserve">there should be usage or load </w:t>
      </w:r>
      <w:r w:rsidR="001C7837" w:rsidRPr="008C6145">
        <w:t>that exists [</w:t>
      </w:r>
      <w:r w:rsidRPr="008C6145">
        <w:t>at the host account</w:t>
      </w:r>
      <w:r w:rsidR="001C7837" w:rsidRPr="008C6145">
        <w:t>] regardless of whether the generation equipment is in place.</w:t>
      </w:r>
      <w:r w:rsidR="001903CC" w:rsidRPr="008C6145">
        <w:t>”</w:t>
      </w:r>
      <w:r w:rsidR="001C7837" w:rsidRPr="008C6145">
        <w:t xml:space="preserve">  </w:t>
      </w:r>
      <w:proofErr w:type="gramStart"/>
      <w:r w:rsidR="001C7837" w:rsidRPr="008C6145">
        <w:t>I.D. at 13.</w:t>
      </w:r>
      <w:proofErr w:type="gramEnd"/>
      <w:r w:rsidR="001C7837" w:rsidRPr="008C6145">
        <w:t xml:space="preserve"> </w:t>
      </w:r>
      <w:r w:rsidRPr="008C6145">
        <w:t xml:space="preserve"> </w:t>
      </w:r>
      <w:r w:rsidR="00904839" w:rsidRPr="008C6145">
        <w:t>The ALJ noted that it was undisputed that the Complainant only has a light on the host account.  The ALJ found that the evidence supported PPL</w:t>
      </w:r>
      <w:r w:rsidR="001903CC" w:rsidRPr="008C6145">
        <w:t>’</w:t>
      </w:r>
      <w:r w:rsidR="00904839" w:rsidRPr="008C6145">
        <w:t xml:space="preserve">s determination that </w:t>
      </w:r>
      <w:r w:rsidR="001C7837" w:rsidRPr="008C6145">
        <w:t xml:space="preserve">the </w:t>
      </w:r>
      <w:r w:rsidR="00295406" w:rsidRPr="008C6145">
        <w:t>Complainant</w:t>
      </w:r>
      <w:r w:rsidR="00904839" w:rsidRPr="008C6145">
        <w:t xml:space="preserve"> did not qualify for </w:t>
      </w:r>
      <w:r w:rsidR="00422C71">
        <w:t xml:space="preserve">net or </w:t>
      </w:r>
      <w:r w:rsidR="00904839" w:rsidRPr="008C6145">
        <w:t>virtual</w:t>
      </w:r>
      <w:r w:rsidR="001C7837" w:rsidRPr="008C6145">
        <w:t xml:space="preserve"> </w:t>
      </w:r>
      <w:r w:rsidR="00904839" w:rsidRPr="008C6145">
        <w:t>metering because there was</w:t>
      </w:r>
      <w:r w:rsidR="00E76557" w:rsidRPr="008C6145">
        <w:t xml:space="preserve"> no </w:t>
      </w:r>
      <w:r w:rsidR="00904839" w:rsidRPr="008C6145">
        <w:t xml:space="preserve">non-generational load at the host account.  </w:t>
      </w:r>
      <w:r w:rsidR="001C7837" w:rsidRPr="008C6145">
        <w:rPr>
          <w:i/>
        </w:rPr>
        <w:t>Id</w:t>
      </w:r>
      <w:r w:rsidR="001C7837" w:rsidRPr="008C6145">
        <w:t xml:space="preserve">. </w:t>
      </w:r>
      <w:r w:rsidR="00904839" w:rsidRPr="008C6145">
        <w:t xml:space="preserve"> </w:t>
      </w:r>
      <w:proofErr w:type="gramStart"/>
      <w:r w:rsidR="00904839" w:rsidRPr="008C6145">
        <w:t>at</w:t>
      </w:r>
      <w:proofErr w:type="gramEnd"/>
      <w:r w:rsidR="00904839" w:rsidRPr="008C6145">
        <w:t xml:space="preserve"> 13-14.  </w:t>
      </w:r>
    </w:p>
    <w:p w:rsidR="00E76557" w:rsidRPr="008C6145" w:rsidRDefault="00E76557" w:rsidP="00E76557"/>
    <w:p w:rsidR="00360BA9" w:rsidRPr="008C6145" w:rsidRDefault="00360BA9" w:rsidP="00E86F83">
      <w:pPr>
        <w:pStyle w:val="Heading4"/>
        <w:keepNext/>
      </w:pPr>
      <w:r w:rsidRPr="008C6145">
        <w:lastRenderedPageBreak/>
        <w:t>Complainant</w:t>
      </w:r>
      <w:r w:rsidR="001903CC" w:rsidRPr="008C6145">
        <w:t>’</w:t>
      </w:r>
      <w:r w:rsidRPr="008C6145">
        <w:t>s Exceptions</w:t>
      </w:r>
    </w:p>
    <w:p w:rsidR="00360BA9" w:rsidRPr="008C6145" w:rsidRDefault="00360BA9" w:rsidP="00E86F83">
      <w:pPr>
        <w:pStyle w:val="Heading4"/>
        <w:keepNext/>
        <w:numPr>
          <w:ilvl w:val="0"/>
          <w:numId w:val="0"/>
        </w:numPr>
        <w:spacing w:line="360" w:lineRule="auto"/>
        <w:ind w:left="2880" w:hanging="720"/>
      </w:pPr>
    </w:p>
    <w:p w:rsidR="00EB7421" w:rsidRPr="008C6145" w:rsidRDefault="001C7837" w:rsidP="00E86F83">
      <w:pPr>
        <w:keepNext/>
        <w:rPr>
          <w:i/>
        </w:rPr>
      </w:pPr>
      <w:r w:rsidRPr="008C6145">
        <w:t xml:space="preserve">The </w:t>
      </w:r>
      <w:r w:rsidR="00295406" w:rsidRPr="008C6145">
        <w:t>Complainant</w:t>
      </w:r>
      <w:r w:rsidR="00360BA9" w:rsidRPr="008C6145">
        <w:t xml:space="preserve"> states that neither a </w:t>
      </w:r>
      <w:r w:rsidR="001903CC" w:rsidRPr="008C6145">
        <w:t>“</w:t>
      </w:r>
      <w:r w:rsidR="00360BA9" w:rsidRPr="008C6145">
        <w:t>load</w:t>
      </w:r>
      <w:r w:rsidR="001903CC" w:rsidRPr="008C6145">
        <w:t>”</w:t>
      </w:r>
      <w:r w:rsidR="00360BA9" w:rsidRPr="008C6145">
        <w:t xml:space="preserve"> nor </w:t>
      </w:r>
      <w:r w:rsidR="001903CC" w:rsidRPr="008C6145">
        <w:t>“</w:t>
      </w:r>
      <w:r w:rsidR="00360BA9" w:rsidRPr="008C6145">
        <w:t>minimum load</w:t>
      </w:r>
      <w:r w:rsidR="001903CC" w:rsidRPr="008C6145">
        <w:t>”</w:t>
      </w:r>
      <w:r w:rsidR="00360BA9" w:rsidRPr="008C6145">
        <w:t xml:space="preserve"> requirement is specified in the law or in PPL</w:t>
      </w:r>
      <w:r w:rsidR="001903CC" w:rsidRPr="008C6145">
        <w:t>’</w:t>
      </w:r>
      <w:r w:rsidR="00360BA9" w:rsidRPr="008C6145">
        <w:t xml:space="preserve">s </w:t>
      </w:r>
      <w:r w:rsidRPr="008C6145">
        <w:t>Net Metering T</w:t>
      </w:r>
      <w:r w:rsidR="00360BA9" w:rsidRPr="008C6145">
        <w:t xml:space="preserve">ariff.  </w:t>
      </w:r>
      <w:proofErr w:type="gramStart"/>
      <w:r w:rsidR="00360BA9" w:rsidRPr="008C6145">
        <w:t>Exc. at 5.</w:t>
      </w:r>
      <w:proofErr w:type="gramEnd"/>
      <w:r w:rsidR="00360BA9" w:rsidRPr="008C6145">
        <w:t xml:space="preserve">  The Complainant argues that</w:t>
      </w:r>
      <w:r w:rsidR="00EB7421" w:rsidRPr="008C6145">
        <w:t>,</w:t>
      </w:r>
      <w:r w:rsidR="00360BA9" w:rsidRPr="008C6145">
        <w:t xml:space="preserve"> in virtual metering</w:t>
      </w:r>
      <w:r w:rsidR="00EB7421" w:rsidRPr="008C6145">
        <w:t>,</w:t>
      </w:r>
      <w:r w:rsidR="00360BA9" w:rsidRPr="008C6145">
        <w:t xml:space="preserve"> </w:t>
      </w:r>
      <w:r w:rsidRPr="008C6145">
        <w:t>load</w:t>
      </w:r>
      <w:r w:rsidR="00360BA9" w:rsidRPr="008C6145">
        <w:t xml:space="preserve"> should not be a requirement of the host site. </w:t>
      </w:r>
      <w:r w:rsidR="000520F1" w:rsidRPr="008C6145">
        <w:t xml:space="preserve"> </w:t>
      </w:r>
      <w:r w:rsidRPr="008C6145">
        <w:t xml:space="preserve">The </w:t>
      </w:r>
      <w:r w:rsidR="00295406" w:rsidRPr="008C6145">
        <w:t>Complainant</w:t>
      </w:r>
      <w:r w:rsidR="00360BA9" w:rsidRPr="008C6145">
        <w:t xml:space="preserve"> avers that, if some specific load is to be required, it must be defined, and the Initial Decision fails to offer a definition.  </w:t>
      </w:r>
      <w:r w:rsidR="00360BA9" w:rsidRPr="008C6145">
        <w:rPr>
          <w:i/>
        </w:rPr>
        <w:t>Id</w:t>
      </w:r>
      <w:r w:rsidR="00360BA9" w:rsidRPr="008C6145">
        <w:t>. at 5-6.</w:t>
      </w:r>
      <w:r w:rsidR="00EB7421" w:rsidRPr="008C6145">
        <w:t xml:space="preserve">  </w:t>
      </w:r>
      <w:r w:rsidRPr="008C6145">
        <w:t xml:space="preserve">The </w:t>
      </w:r>
      <w:r w:rsidR="00295406" w:rsidRPr="008C6145">
        <w:t>Complainant</w:t>
      </w:r>
      <w:r w:rsidR="00EB7421" w:rsidRPr="008C6145">
        <w:t xml:space="preserve"> also avers that his system i</w:t>
      </w:r>
      <w:r w:rsidRPr="008C6145">
        <w:t>s</w:t>
      </w:r>
      <w:r w:rsidR="00EB7421" w:rsidRPr="008C6145">
        <w:t xml:space="preserve"> unfairly regarded </w:t>
      </w:r>
      <w:proofErr w:type="gramStart"/>
      <w:r w:rsidR="000520F1" w:rsidRPr="008C6145">
        <w:t>as</w:t>
      </w:r>
      <w:r w:rsidR="00EB7421" w:rsidRPr="008C6145">
        <w:t xml:space="preserve"> an </w:t>
      </w:r>
      <w:r w:rsidR="001903CC" w:rsidRPr="008C6145">
        <w:t>“</w:t>
      </w:r>
      <w:r w:rsidR="00EB7421" w:rsidRPr="008C6145">
        <w:t>exception</w:t>
      </w:r>
      <w:r w:rsidR="001903CC" w:rsidRPr="008C6145">
        <w:t>”</w:t>
      </w:r>
      <w:r w:rsidR="00EB7421" w:rsidRPr="008C6145">
        <w:t xml:space="preserve"> to PPL</w:t>
      </w:r>
      <w:r w:rsidR="001903CC" w:rsidRPr="008C6145">
        <w:t>’</w:t>
      </w:r>
      <w:r w:rsidR="00EB7421" w:rsidRPr="008C6145">
        <w:t>s requirements</w:t>
      </w:r>
      <w:proofErr w:type="gramEnd"/>
      <w:r w:rsidR="00EB7421" w:rsidRPr="008C6145">
        <w:t xml:space="preserve">.  </w:t>
      </w:r>
      <w:proofErr w:type="gramStart"/>
      <w:r w:rsidR="00EB7421" w:rsidRPr="008C6145">
        <w:rPr>
          <w:i/>
        </w:rPr>
        <w:t>Id</w:t>
      </w:r>
      <w:r w:rsidR="00EB7421" w:rsidRPr="008C6145">
        <w:t>. at 6.</w:t>
      </w:r>
      <w:proofErr w:type="gramEnd"/>
      <w:r w:rsidR="00EB7421" w:rsidRPr="008C6145">
        <w:t xml:space="preserve">  This status puts his system in jeopardy because he is at risk of having his credits terminated again, as they were in 2011.  </w:t>
      </w:r>
      <w:r w:rsidR="00EB7421" w:rsidRPr="008C6145">
        <w:rPr>
          <w:i/>
        </w:rPr>
        <w:t>Id.</w:t>
      </w:r>
      <w:r w:rsidR="00EB7421" w:rsidRPr="008C6145">
        <w:t xml:space="preserve"> at 6-7.  </w:t>
      </w:r>
      <w:r w:rsidR="00784297" w:rsidRPr="008C6145">
        <w:t xml:space="preserve">The </w:t>
      </w:r>
      <w:r w:rsidR="00295406" w:rsidRPr="008C6145">
        <w:t>Complainant</w:t>
      </w:r>
      <w:r w:rsidR="00EB7421" w:rsidRPr="008C6145">
        <w:t xml:space="preserve"> requests that the Commission determine that his system is qualified with or without a load requirement.  If the Commission were to determine otherwise, the Complainant requests that the Commission indicate clearly what is required to qualify and permit the Complainant reasonable time to qualify. </w:t>
      </w:r>
      <w:r w:rsidR="007E68AE" w:rsidRPr="008C6145">
        <w:t xml:space="preserve"> </w:t>
      </w:r>
      <w:r w:rsidR="007B33BE" w:rsidRPr="008C6145">
        <w:rPr>
          <w:i/>
        </w:rPr>
        <w:t xml:space="preserve">Id. </w:t>
      </w:r>
    </w:p>
    <w:p w:rsidR="00BF0305" w:rsidRPr="008C6145" w:rsidRDefault="00BF0305" w:rsidP="00BF0305">
      <w:pPr>
        <w:rPr>
          <w:i/>
        </w:rPr>
      </w:pPr>
    </w:p>
    <w:p w:rsidR="00360BA9" w:rsidRPr="008C6145" w:rsidRDefault="0067169C" w:rsidP="006F1569">
      <w:pPr>
        <w:pStyle w:val="Heading4"/>
        <w:keepNext/>
      </w:pPr>
      <w:r w:rsidRPr="008C6145">
        <w:t>PPL</w:t>
      </w:r>
      <w:r w:rsidR="001903CC" w:rsidRPr="008C6145">
        <w:t>’</w:t>
      </w:r>
      <w:r w:rsidRPr="008C6145">
        <w:t>s Reply Exceptions</w:t>
      </w:r>
    </w:p>
    <w:p w:rsidR="0067169C" w:rsidRPr="008C6145" w:rsidRDefault="0067169C" w:rsidP="006F1569">
      <w:pPr>
        <w:pStyle w:val="Heading4"/>
        <w:keepNext/>
        <w:numPr>
          <w:ilvl w:val="0"/>
          <w:numId w:val="0"/>
        </w:numPr>
        <w:spacing w:line="360" w:lineRule="auto"/>
        <w:ind w:left="2880" w:hanging="720"/>
      </w:pPr>
    </w:p>
    <w:p w:rsidR="0067169C" w:rsidRPr="008C6145" w:rsidRDefault="0067169C" w:rsidP="006F1569">
      <w:pPr>
        <w:keepNext/>
      </w:pPr>
      <w:r w:rsidRPr="008C6145">
        <w:t>PPL explains that the Commission</w:t>
      </w:r>
      <w:r w:rsidR="001903CC" w:rsidRPr="008C6145">
        <w:t>’</w:t>
      </w:r>
      <w:r w:rsidRPr="008C6145">
        <w:t xml:space="preserve">s </w:t>
      </w:r>
      <w:r w:rsidR="00784297" w:rsidRPr="008C6145">
        <w:t>R</w:t>
      </w:r>
      <w:r w:rsidRPr="008C6145">
        <w:t xml:space="preserve">egulations require electric distribution companies to </w:t>
      </w:r>
      <w:r w:rsidR="001903CC" w:rsidRPr="008C6145">
        <w:t>“</w:t>
      </w:r>
      <w:r w:rsidRPr="008C6145">
        <w:t>offer net metering to customer-generators that generate electricity on the customer-generator</w:t>
      </w:r>
      <w:r w:rsidR="001903CC" w:rsidRPr="008C6145">
        <w:t>’</w:t>
      </w:r>
      <w:r w:rsidRPr="008C6145">
        <w:t>s side of the meter using Tier I or Tier II alternative energy sources, on a first come, first served basis.</w:t>
      </w:r>
      <w:r w:rsidR="001903CC" w:rsidRPr="008C6145">
        <w:t>”</w:t>
      </w:r>
      <w:r w:rsidRPr="008C6145">
        <w:t xml:space="preserve">  R. Exc. at 14 (citing </w:t>
      </w:r>
      <w:r w:rsidRPr="008C6145">
        <w:rPr>
          <w:iCs/>
        </w:rPr>
        <w:t>52</w:t>
      </w:r>
      <w:r w:rsidRPr="008C6145">
        <w:rPr>
          <w:i/>
          <w:iCs/>
        </w:rPr>
        <w:t xml:space="preserve"> </w:t>
      </w:r>
      <w:r w:rsidRPr="008C6145">
        <w:t xml:space="preserve">Pa. Code </w:t>
      </w:r>
      <w:r w:rsidR="007E68AE" w:rsidRPr="008C6145">
        <w:br/>
      </w:r>
      <w:r w:rsidRPr="008C6145">
        <w:t>§ 75.13(a))</w:t>
      </w:r>
      <w:r w:rsidR="00210A6C" w:rsidRPr="008C6145">
        <w:t>.</w:t>
      </w:r>
      <w:r w:rsidRPr="008C6145">
        <w:t xml:space="preserve">  PPL states that the Commission</w:t>
      </w:r>
      <w:r w:rsidR="001903CC" w:rsidRPr="008C6145">
        <w:t>’</w:t>
      </w:r>
      <w:r w:rsidRPr="008C6145">
        <w:t xml:space="preserve">s </w:t>
      </w:r>
      <w:r w:rsidR="00784297" w:rsidRPr="008C6145">
        <w:t>R</w:t>
      </w:r>
      <w:r w:rsidRPr="008C6145">
        <w:t xml:space="preserve">egulations further require all electric distribution companies to file a </w:t>
      </w:r>
      <w:r w:rsidR="006F1569" w:rsidRPr="008C6145">
        <w:t>t</w:t>
      </w:r>
      <w:r w:rsidRPr="008C6145">
        <w:t xml:space="preserve">ariff for net metering. </w:t>
      </w:r>
      <w:r w:rsidR="00B03869" w:rsidRPr="008C6145">
        <w:t xml:space="preserve"> R. </w:t>
      </w:r>
      <w:r w:rsidRPr="008C6145">
        <w:t xml:space="preserve">Exc. at 14 (citing 52 Pa. Code § </w:t>
      </w:r>
      <w:r w:rsidRPr="008C6145">
        <w:rPr>
          <w:iCs/>
        </w:rPr>
        <w:t>75.13(b)).</w:t>
      </w:r>
      <w:r w:rsidRPr="008C6145">
        <w:rPr>
          <w:i/>
          <w:iCs/>
        </w:rPr>
        <w:t xml:space="preserve">  </w:t>
      </w:r>
      <w:r w:rsidRPr="008C6145">
        <w:rPr>
          <w:iCs/>
        </w:rPr>
        <w:t>PPL submits</w:t>
      </w:r>
      <w:r w:rsidR="00B03869" w:rsidRPr="008C6145">
        <w:rPr>
          <w:iCs/>
        </w:rPr>
        <w:t xml:space="preserve"> that its </w:t>
      </w:r>
      <w:r w:rsidRPr="008C6145">
        <w:t xml:space="preserve">Commission-approved </w:t>
      </w:r>
      <w:r w:rsidR="006F1569" w:rsidRPr="008C6145">
        <w:t xml:space="preserve">Net Metering </w:t>
      </w:r>
      <w:r w:rsidR="00784297" w:rsidRPr="008C6145">
        <w:t>T</w:t>
      </w:r>
      <w:r w:rsidRPr="008C6145">
        <w:t xml:space="preserve">ariff provides that net and virtual metering is </w:t>
      </w:r>
      <w:r w:rsidR="001903CC" w:rsidRPr="008C6145">
        <w:t>“</w:t>
      </w:r>
      <w:r w:rsidRPr="008C6145">
        <w:t>available to installations where any portion of the electricity generated by the renewable energy generating system offsets part or all of the customer-generator</w:t>
      </w:r>
      <w:r w:rsidR="001903CC" w:rsidRPr="008C6145">
        <w:t>’</w:t>
      </w:r>
      <w:r w:rsidRPr="008C6145">
        <w:t>s requirements for electricity.</w:t>
      </w:r>
      <w:r w:rsidR="001903CC" w:rsidRPr="008C6145">
        <w:t>”</w:t>
      </w:r>
      <w:r w:rsidRPr="008C6145">
        <w:t xml:space="preserve"> </w:t>
      </w:r>
      <w:r w:rsidR="00B03869" w:rsidRPr="008C6145">
        <w:t xml:space="preserve"> R. Exc</w:t>
      </w:r>
      <w:r w:rsidR="00F43A25" w:rsidRPr="008C6145">
        <w:t>.</w:t>
      </w:r>
      <w:r w:rsidR="00B03869" w:rsidRPr="008C6145">
        <w:t xml:space="preserve"> at 14 (citing </w:t>
      </w:r>
      <w:r w:rsidRPr="008C6145">
        <w:t xml:space="preserve">PPL </w:t>
      </w:r>
      <w:proofErr w:type="spellStart"/>
      <w:r w:rsidRPr="008C6145">
        <w:t>Ex</w:t>
      </w:r>
      <w:r w:rsidR="00B03869" w:rsidRPr="008C6145">
        <w:t>hs</w:t>
      </w:r>
      <w:proofErr w:type="spellEnd"/>
      <w:r w:rsidRPr="008C6145">
        <w:t>. 3, 4)</w:t>
      </w:r>
      <w:r w:rsidR="00210A6C" w:rsidRPr="008C6145">
        <w:t xml:space="preserve">. </w:t>
      </w:r>
      <w:r w:rsidRPr="008C6145">
        <w:t xml:space="preserve"> PPL </w:t>
      </w:r>
      <w:r w:rsidR="00210A6C" w:rsidRPr="008C6145">
        <w:t xml:space="preserve">avers that </w:t>
      </w:r>
      <w:r w:rsidRPr="008C6145">
        <w:t xml:space="preserve">this </w:t>
      </w:r>
      <w:r w:rsidR="00210A6C" w:rsidRPr="008C6145">
        <w:t xml:space="preserve">provision of its </w:t>
      </w:r>
      <w:r w:rsidR="006F1569" w:rsidRPr="008C6145">
        <w:t>T</w:t>
      </w:r>
      <w:r w:rsidR="00210A6C" w:rsidRPr="008C6145">
        <w:t xml:space="preserve">ariff </w:t>
      </w:r>
      <w:r w:rsidRPr="008C6145">
        <w:t xml:space="preserve">means that there should be usage or a load that exists regardless of whether the generation equipment is in place. </w:t>
      </w:r>
      <w:r w:rsidR="00210A6C" w:rsidRPr="008C6145">
        <w:t xml:space="preserve"> R. Exc. at 14 </w:t>
      </w:r>
      <w:r w:rsidRPr="008C6145">
        <w:t>(</w:t>
      </w:r>
      <w:r w:rsidR="00210A6C" w:rsidRPr="008C6145">
        <w:t xml:space="preserve">citing </w:t>
      </w:r>
      <w:r w:rsidR="00210A6C" w:rsidRPr="008C6145">
        <w:lastRenderedPageBreak/>
        <w:t xml:space="preserve">Tr. at </w:t>
      </w:r>
      <w:r w:rsidRPr="008C6145">
        <w:t xml:space="preserve">155-56, 162.)  </w:t>
      </w:r>
      <w:r w:rsidR="00210A6C" w:rsidRPr="008C6145">
        <w:t>PPL submits that t</w:t>
      </w:r>
      <w:r w:rsidRPr="008C6145">
        <w:t>he Complainant</w:t>
      </w:r>
      <w:r w:rsidR="001903CC" w:rsidRPr="008C6145">
        <w:t>’</w:t>
      </w:r>
      <w:r w:rsidRPr="008C6145">
        <w:t xml:space="preserve">s expert consultant, </w:t>
      </w:r>
      <w:r w:rsidR="00210A6C" w:rsidRPr="008C6145">
        <w:t xml:space="preserve">Ron </w:t>
      </w:r>
      <w:proofErr w:type="spellStart"/>
      <w:r w:rsidR="00210A6C" w:rsidRPr="008C6145">
        <w:t>Celentano</w:t>
      </w:r>
      <w:proofErr w:type="spellEnd"/>
      <w:r w:rsidR="00210A6C" w:rsidRPr="008C6145">
        <w:t xml:space="preserve">, </w:t>
      </w:r>
      <w:r w:rsidRPr="008C6145">
        <w:t>the President of the Pennsylvania Solar Energy Industries Association, agreed with PPL</w:t>
      </w:r>
      <w:r w:rsidR="001903CC" w:rsidRPr="008C6145">
        <w:t>’</w:t>
      </w:r>
      <w:r w:rsidR="006F1569" w:rsidRPr="008C6145">
        <w:t>s</w:t>
      </w:r>
      <w:r w:rsidRPr="008C6145">
        <w:t xml:space="preserve"> interpretation of its </w:t>
      </w:r>
      <w:r w:rsidR="006F1569" w:rsidRPr="008C6145">
        <w:t>T</w:t>
      </w:r>
      <w:r w:rsidRPr="008C6145">
        <w:t>ariff</w:t>
      </w:r>
      <w:r w:rsidR="00210A6C" w:rsidRPr="008C6145">
        <w:t xml:space="preserve">.  PPL points to Mr. </w:t>
      </w:r>
      <w:proofErr w:type="spellStart"/>
      <w:r w:rsidR="00210A6C" w:rsidRPr="008C6145">
        <w:t>Celentano</w:t>
      </w:r>
      <w:r w:rsidR="001903CC" w:rsidRPr="008C6145">
        <w:t>’</w:t>
      </w:r>
      <w:r w:rsidR="00210A6C" w:rsidRPr="008C6145">
        <w:t>s</w:t>
      </w:r>
      <w:proofErr w:type="spellEnd"/>
      <w:r w:rsidR="00210A6C" w:rsidRPr="008C6145">
        <w:t xml:space="preserve"> testimony </w:t>
      </w:r>
      <w:r w:rsidRPr="008C6145">
        <w:t>that, under the Alternative Energy Portfolio Standards Act and the Commission</w:t>
      </w:r>
      <w:r w:rsidR="001903CC" w:rsidRPr="008C6145">
        <w:t>’</w:t>
      </w:r>
      <w:r w:rsidRPr="008C6145">
        <w:t xml:space="preserve">s </w:t>
      </w:r>
      <w:r w:rsidR="006F1569" w:rsidRPr="008C6145">
        <w:t>R</w:t>
      </w:r>
      <w:r w:rsidRPr="008C6145">
        <w:t xml:space="preserve">egulations, </w:t>
      </w:r>
      <w:r w:rsidR="001903CC" w:rsidRPr="008C6145">
        <w:t>“</w:t>
      </w:r>
      <w:r w:rsidRPr="008C6145">
        <w:t>there would have to be load on both accounts</w:t>
      </w:r>
      <w:r w:rsidR="00E76557" w:rsidRPr="008C6145">
        <w:t xml:space="preserve"> </w:t>
      </w:r>
      <w:r w:rsidR="00F96BA8" w:rsidRPr="008C6145">
        <w:t xml:space="preserve"> </w:t>
      </w:r>
      <w:r w:rsidRPr="008C6145">
        <w:t>...</w:t>
      </w:r>
      <w:r w:rsidR="00E76557" w:rsidRPr="008C6145">
        <w:t xml:space="preserve">  </w:t>
      </w:r>
      <w:r w:rsidRPr="008C6145">
        <w:t>you can</w:t>
      </w:r>
      <w:r w:rsidR="001903CC" w:rsidRPr="008C6145">
        <w:t>’</w:t>
      </w:r>
      <w:r w:rsidRPr="008C6145">
        <w:t xml:space="preserve">t have a </w:t>
      </w:r>
      <w:r w:rsidR="000520F1" w:rsidRPr="008C6145">
        <w:t>standalone</w:t>
      </w:r>
      <w:r w:rsidRPr="008C6145">
        <w:t xml:space="preserve"> account without a load because then you are what we call a grid supplier and you</w:t>
      </w:r>
      <w:r w:rsidR="001903CC" w:rsidRPr="008C6145">
        <w:t>’</w:t>
      </w:r>
      <w:r w:rsidRPr="008C6145">
        <w:t>re just putting power onto the grid, not serving any load.</w:t>
      </w:r>
      <w:r w:rsidR="001903CC" w:rsidRPr="008C6145">
        <w:t>”</w:t>
      </w:r>
      <w:r w:rsidRPr="008C6145">
        <w:t xml:space="preserve"> </w:t>
      </w:r>
      <w:r w:rsidR="007E68AE" w:rsidRPr="008C6145">
        <w:t xml:space="preserve"> </w:t>
      </w:r>
      <w:r w:rsidR="009E3053" w:rsidRPr="008C6145">
        <w:t xml:space="preserve">R. Exc. at 14 </w:t>
      </w:r>
      <w:r w:rsidRPr="008C6145">
        <w:t>(</w:t>
      </w:r>
      <w:r w:rsidR="007E68AE" w:rsidRPr="008C6145">
        <w:t>c</w:t>
      </w:r>
      <w:r w:rsidR="009E3053" w:rsidRPr="008C6145">
        <w:t xml:space="preserve">iting </w:t>
      </w:r>
      <w:r w:rsidRPr="008C6145">
        <w:t xml:space="preserve">Tr. </w:t>
      </w:r>
      <w:r w:rsidR="007E68AE" w:rsidRPr="008C6145">
        <w:t xml:space="preserve">at </w:t>
      </w:r>
      <w:r w:rsidRPr="008C6145">
        <w:t>106-</w:t>
      </w:r>
      <w:r w:rsidR="007E68AE" w:rsidRPr="008C6145">
        <w:t>1</w:t>
      </w:r>
      <w:r w:rsidRPr="008C6145">
        <w:t>07)</w:t>
      </w:r>
      <w:r w:rsidR="00F96BA8" w:rsidRPr="008C6145">
        <w:t>.</w:t>
      </w:r>
      <w:r w:rsidRPr="008C6145">
        <w:t xml:space="preserve"> </w:t>
      </w:r>
    </w:p>
    <w:p w:rsidR="00210A6C" w:rsidRPr="008C6145" w:rsidRDefault="00210A6C" w:rsidP="0067169C"/>
    <w:p w:rsidR="008308B0" w:rsidRPr="008C6145" w:rsidRDefault="00F96BA8" w:rsidP="0067169C">
      <w:pPr>
        <w:rPr>
          <w:szCs w:val="27"/>
        </w:rPr>
      </w:pPr>
      <w:r w:rsidRPr="008C6145">
        <w:t xml:space="preserve">PPL states that </w:t>
      </w:r>
      <w:r w:rsidR="0067169C" w:rsidRPr="008C6145">
        <w:t>it is undisputed that the only load on the Complainant</w:t>
      </w:r>
      <w:r w:rsidR="001903CC" w:rsidRPr="008C6145">
        <w:t>’</w:t>
      </w:r>
      <w:r w:rsidR="0067169C" w:rsidRPr="008C6145">
        <w:t xml:space="preserve">s host account is a light that would not be there if the solar panels were not installed. </w:t>
      </w:r>
      <w:r w:rsidR="006F1569" w:rsidRPr="008C6145">
        <w:t xml:space="preserve"> </w:t>
      </w:r>
      <w:r w:rsidRPr="008C6145">
        <w:t>R. Exc. at</w:t>
      </w:r>
      <w:r w:rsidR="005240FB">
        <w:t> </w:t>
      </w:r>
      <w:r w:rsidRPr="008C6145">
        <w:t xml:space="preserve">14 </w:t>
      </w:r>
      <w:r w:rsidR="0067169C" w:rsidRPr="008C6145">
        <w:t>(</w:t>
      </w:r>
      <w:r w:rsidRPr="008C6145">
        <w:t xml:space="preserve">citing </w:t>
      </w:r>
      <w:r w:rsidR="0067169C" w:rsidRPr="008C6145">
        <w:t>Tr.</w:t>
      </w:r>
      <w:r w:rsidR="007E68AE" w:rsidRPr="008C6145">
        <w:t xml:space="preserve"> at</w:t>
      </w:r>
      <w:r w:rsidR="0067169C" w:rsidRPr="008C6145">
        <w:t xml:space="preserve"> 61, 169)</w:t>
      </w:r>
      <w:r w:rsidRPr="008C6145">
        <w:t>.</w:t>
      </w:r>
      <w:r w:rsidR="0067169C" w:rsidRPr="008C6145">
        <w:t xml:space="preserve">  </w:t>
      </w:r>
      <w:r w:rsidRPr="008C6145">
        <w:t>PPL explains that t</w:t>
      </w:r>
      <w:r w:rsidR="0067169C" w:rsidRPr="008C6145">
        <w:t xml:space="preserve">he Complainant repeatedly </w:t>
      </w:r>
      <w:r w:rsidR="006F1569" w:rsidRPr="008C6145">
        <w:t>was a</w:t>
      </w:r>
      <w:r w:rsidR="0067169C" w:rsidRPr="008C6145">
        <w:t xml:space="preserve">dvised of the requirement for non-generational load and the fact that his system did not qualify for virtual metering. </w:t>
      </w:r>
      <w:r w:rsidRPr="008C6145">
        <w:t xml:space="preserve"> PPL note</w:t>
      </w:r>
      <w:r w:rsidR="000D1661" w:rsidRPr="008C6145">
        <w:t xml:space="preserve">s </w:t>
      </w:r>
      <w:r w:rsidRPr="008C6145">
        <w:t>that the</w:t>
      </w:r>
      <w:r w:rsidR="0067169C" w:rsidRPr="008C6145">
        <w:t xml:space="preserve"> Complainant conceded that PPL advised him that his host account should not have been approved for virtual</w:t>
      </w:r>
      <w:r w:rsidR="006F1569" w:rsidRPr="008C6145">
        <w:t xml:space="preserve"> </w:t>
      </w:r>
      <w:r w:rsidR="0067169C" w:rsidRPr="008C6145">
        <w:t xml:space="preserve">metering and will not be </w:t>
      </w:r>
      <w:r w:rsidR="00083CB2" w:rsidRPr="008C6145">
        <w:t>approved</w:t>
      </w:r>
      <w:r w:rsidR="0067169C" w:rsidRPr="008C6145">
        <w:t xml:space="preserve"> for other customers. </w:t>
      </w:r>
      <w:r w:rsidRPr="008C6145">
        <w:t xml:space="preserve"> R. Exc. at 14 </w:t>
      </w:r>
      <w:r w:rsidR="0067169C" w:rsidRPr="008C6145">
        <w:t>(</w:t>
      </w:r>
      <w:r w:rsidRPr="008C6145">
        <w:t xml:space="preserve">citing </w:t>
      </w:r>
      <w:r w:rsidR="0067169C" w:rsidRPr="008C6145">
        <w:t xml:space="preserve">Tr. </w:t>
      </w:r>
      <w:r w:rsidR="007E68AE" w:rsidRPr="008C6145">
        <w:t xml:space="preserve">at </w:t>
      </w:r>
      <w:r w:rsidR="0067169C" w:rsidRPr="008C6145">
        <w:rPr>
          <w:iCs/>
        </w:rPr>
        <w:t>55-60)</w:t>
      </w:r>
      <w:r w:rsidRPr="008C6145">
        <w:rPr>
          <w:iCs/>
        </w:rPr>
        <w:t>.</w:t>
      </w:r>
      <w:r w:rsidR="0067169C" w:rsidRPr="008C6145">
        <w:rPr>
          <w:iCs/>
        </w:rPr>
        <w:t xml:space="preserve"> </w:t>
      </w:r>
      <w:r w:rsidRPr="008C6145">
        <w:t xml:space="preserve"> </w:t>
      </w:r>
      <w:r w:rsidR="000D1661" w:rsidRPr="008C6145">
        <w:t xml:space="preserve">PPL submits that, </w:t>
      </w:r>
      <w:r w:rsidR="0067169C" w:rsidRPr="008C6145">
        <w:t>because</w:t>
      </w:r>
      <w:r w:rsidR="00083CB2" w:rsidRPr="008C6145">
        <w:t xml:space="preserve"> the</w:t>
      </w:r>
      <w:r w:rsidR="0067169C" w:rsidRPr="008C6145">
        <w:t xml:space="preserve"> </w:t>
      </w:r>
      <w:r w:rsidR="00295406" w:rsidRPr="008C6145">
        <w:t>Complainant</w:t>
      </w:r>
      <w:r w:rsidR="000D1661" w:rsidRPr="008C6145">
        <w:t xml:space="preserve"> did not have </w:t>
      </w:r>
      <w:r w:rsidR="0067169C" w:rsidRPr="008C6145">
        <w:rPr>
          <w:szCs w:val="27"/>
        </w:rPr>
        <w:t>any non-generational load</w:t>
      </w:r>
      <w:r w:rsidR="00083CB2" w:rsidRPr="008C6145">
        <w:rPr>
          <w:szCs w:val="27"/>
        </w:rPr>
        <w:t xml:space="preserve"> at his host account</w:t>
      </w:r>
      <w:r w:rsidR="000D1661" w:rsidRPr="008C6145">
        <w:rPr>
          <w:szCs w:val="27"/>
        </w:rPr>
        <w:t>,</w:t>
      </w:r>
      <w:r w:rsidR="0067169C" w:rsidRPr="008C6145">
        <w:rPr>
          <w:szCs w:val="27"/>
        </w:rPr>
        <w:t xml:space="preserve"> </w:t>
      </w:r>
      <w:r w:rsidR="00422C71">
        <w:rPr>
          <w:szCs w:val="27"/>
        </w:rPr>
        <w:t xml:space="preserve">it determined that Complainant’s host account did not qualify for net or virtual metering </w:t>
      </w:r>
      <w:r w:rsidR="0067169C" w:rsidRPr="008C6145">
        <w:rPr>
          <w:szCs w:val="27"/>
        </w:rPr>
        <w:t>as required under PPL</w:t>
      </w:r>
      <w:r w:rsidR="001903CC" w:rsidRPr="008C6145">
        <w:rPr>
          <w:szCs w:val="27"/>
        </w:rPr>
        <w:t>’</w:t>
      </w:r>
      <w:r w:rsidR="00083CB2" w:rsidRPr="008C6145">
        <w:rPr>
          <w:szCs w:val="27"/>
        </w:rPr>
        <w:t xml:space="preserve">s Net Metering </w:t>
      </w:r>
      <w:r w:rsidR="00A0204C" w:rsidRPr="008C6145">
        <w:rPr>
          <w:szCs w:val="27"/>
        </w:rPr>
        <w:t>Tariff</w:t>
      </w:r>
      <w:r w:rsidR="00A0204C" w:rsidRPr="008C6145">
        <w:rPr>
          <w:iCs/>
          <w:szCs w:val="26"/>
        </w:rPr>
        <w:t>;</w:t>
      </w:r>
      <w:r w:rsidR="0067169C" w:rsidRPr="008C6145">
        <w:rPr>
          <w:iCs/>
          <w:szCs w:val="21"/>
        </w:rPr>
        <w:t xml:space="preserve"> </w:t>
      </w:r>
      <w:r w:rsidR="0067169C" w:rsidRPr="008C6145">
        <w:rPr>
          <w:szCs w:val="27"/>
        </w:rPr>
        <w:t xml:space="preserve">the Company discontinued virtual metering of </w:t>
      </w:r>
      <w:r w:rsidR="007E68AE" w:rsidRPr="008C6145">
        <w:rPr>
          <w:szCs w:val="27"/>
        </w:rPr>
        <w:t xml:space="preserve">the </w:t>
      </w:r>
      <w:r w:rsidR="0067169C" w:rsidRPr="008C6145">
        <w:rPr>
          <w:szCs w:val="27"/>
        </w:rPr>
        <w:t>Complainant</w:t>
      </w:r>
      <w:r w:rsidR="001903CC" w:rsidRPr="008C6145">
        <w:rPr>
          <w:szCs w:val="27"/>
        </w:rPr>
        <w:t>’</w:t>
      </w:r>
      <w:r w:rsidR="0067169C" w:rsidRPr="008C6145">
        <w:rPr>
          <w:szCs w:val="27"/>
        </w:rPr>
        <w:t xml:space="preserve">s accounts in June 2010. </w:t>
      </w:r>
      <w:r w:rsidR="007E68AE" w:rsidRPr="008C6145">
        <w:rPr>
          <w:szCs w:val="27"/>
        </w:rPr>
        <w:t xml:space="preserve"> </w:t>
      </w:r>
      <w:r w:rsidR="000D1661" w:rsidRPr="008C6145">
        <w:rPr>
          <w:szCs w:val="27"/>
        </w:rPr>
        <w:t xml:space="preserve">R. Exc. at </w:t>
      </w:r>
      <w:r w:rsidR="008308B0" w:rsidRPr="008C6145">
        <w:rPr>
          <w:szCs w:val="27"/>
        </w:rPr>
        <w:t>14-</w:t>
      </w:r>
      <w:r w:rsidR="000D1661" w:rsidRPr="008C6145">
        <w:rPr>
          <w:szCs w:val="27"/>
        </w:rPr>
        <w:t xml:space="preserve">15 </w:t>
      </w:r>
      <w:r w:rsidR="0067169C" w:rsidRPr="008C6145">
        <w:rPr>
          <w:szCs w:val="27"/>
        </w:rPr>
        <w:t>(</w:t>
      </w:r>
      <w:r w:rsidR="000D1661" w:rsidRPr="008C6145">
        <w:rPr>
          <w:szCs w:val="27"/>
        </w:rPr>
        <w:t xml:space="preserve">citing </w:t>
      </w:r>
      <w:r w:rsidR="0067169C" w:rsidRPr="008C6145">
        <w:rPr>
          <w:szCs w:val="27"/>
        </w:rPr>
        <w:t xml:space="preserve">Tr. </w:t>
      </w:r>
      <w:r w:rsidR="007E68AE" w:rsidRPr="008C6145">
        <w:rPr>
          <w:szCs w:val="27"/>
        </w:rPr>
        <w:t xml:space="preserve">at </w:t>
      </w:r>
      <w:r w:rsidR="00C15269">
        <w:rPr>
          <w:szCs w:val="27"/>
        </w:rPr>
        <w:t>167</w:t>
      </w:r>
      <w:r w:rsidR="00C15269">
        <w:rPr>
          <w:szCs w:val="27"/>
        </w:rPr>
        <w:noBreakHyphen/>
      </w:r>
      <w:r w:rsidR="007E68AE" w:rsidRPr="008C6145">
        <w:rPr>
          <w:szCs w:val="27"/>
        </w:rPr>
        <w:t>1</w:t>
      </w:r>
      <w:r w:rsidR="0067169C" w:rsidRPr="008C6145">
        <w:rPr>
          <w:szCs w:val="27"/>
        </w:rPr>
        <w:t>69, 172; PPL Ex</w:t>
      </w:r>
      <w:r w:rsidR="008308B0" w:rsidRPr="008C6145">
        <w:rPr>
          <w:szCs w:val="27"/>
        </w:rPr>
        <w:t>h</w:t>
      </w:r>
      <w:r w:rsidR="0067169C" w:rsidRPr="008C6145">
        <w:rPr>
          <w:szCs w:val="27"/>
        </w:rPr>
        <w:t xml:space="preserve">. </w:t>
      </w:r>
      <w:proofErr w:type="gramStart"/>
      <w:r w:rsidR="0067169C" w:rsidRPr="008C6145">
        <w:rPr>
          <w:szCs w:val="27"/>
        </w:rPr>
        <w:t xml:space="preserve">No. </w:t>
      </w:r>
      <w:r w:rsidR="0067169C" w:rsidRPr="008C6145">
        <w:rPr>
          <w:iCs/>
          <w:szCs w:val="26"/>
        </w:rPr>
        <w:t>5</w:t>
      </w:r>
      <w:r w:rsidR="0067169C" w:rsidRPr="008C6145">
        <w:rPr>
          <w:iCs/>
          <w:szCs w:val="21"/>
        </w:rPr>
        <w:t>)</w:t>
      </w:r>
      <w:r w:rsidRPr="008C6145">
        <w:rPr>
          <w:iCs/>
          <w:szCs w:val="21"/>
        </w:rPr>
        <w:t>.</w:t>
      </w:r>
      <w:proofErr w:type="gramEnd"/>
      <w:r w:rsidR="008308B0" w:rsidRPr="008C6145">
        <w:rPr>
          <w:iCs/>
          <w:szCs w:val="21"/>
        </w:rPr>
        <w:t xml:space="preserve">  </w:t>
      </w:r>
      <w:r w:rsidR="008308B0" w:rsidRPr="008C6145">
        <w:rPr>
          <w:iCs/>
          <w:szCs w:val="26"/>
        </w:rPr>
        <w:t xml:space="preserve">PPL also explains that, in an effort to settle </w:t>
      </w:r>
      <w:r w:rsidR="00083CB2" w:rsidRPr="008C6145">
        <w:rPr>
          <w:iCs/>
          <w:szCs w:val="26"/>
        </w:rPr>
        <w:t>the</w:t>
      </w:r>
      <w:r w:rsidR="0067169C" w:rsidRPr="008C6145">
        <w:rPr>
          <w:szCs w:val="27"/>
        </w:rPr>
        <w:t xml:space="preserve"> Informal Complaint </w:t>
      </w:r>
      <w:r w:rsidR="008308B0" w:rsidRPr="008C6145">
        <w:rPr>
          <w:szCs w:val="27"/>
        </w:rPr>
        <w:t xml:space="preserve">that </w:t>
      </w:r>
      <w:r w:rsidR="007A6E2F">
        <w:rPr>
          <w:szCs w:val="27"/>
        </w:rPr>
        <w:t xml:space="preserve">the </w:t>
      </w:r>
      <w:r w:rsidR="00295406" w:rsidRPr="008C6145">
        <w:rPr>
          <w:szCs w:val="27"/>
        </w:rPr>
        <w:t>Complainant</w:t>
      </w:r>
      <w:r w:rsidR="008308B0" w:rsidRPr="008C6145">
        <w:rPr>
          <w:szCs w:val="27"/>
        </w:rPr>
        <w:t xml:space="preserve"> filed </w:t>
      </w:r>
      <w:r w:rsidR="0067169C" w:rsidRPr="008C6145">
        <w:rPr>
          <w:szCs w:val="27"/>
        </w:rPr>
        <w:t>with the Commission</w:t>
      </w:r>
      <w:r w:rsidR="001903CC" w:rsidRPr="008C6145">
        <w:rPr>
          <w:szCs w:val="27"/>
        </w:rPr>
        <w:t>’</w:t>
      </w:r>
      <w:r w:rsidR="0067169C" w:rsidRPr="008C6145">
        <w:rPr>
          <w:szCs w:val="27"/>
        </w:rPr>
        <w:t>s Bureau</w:t>
      </w:r>
      <w:r w:rsidR="000D1661" w:rsidRPr="008C6145">
        <w:rPr>
          <w:szCs w:val="27"/>
        </w:rPr>
        <w:t xml:space="preserve"> </w:t>
      </w:r>
      <w:r w:rsidR="0067169C" w:rsidRPr="008C6145">
        <w:rPr>
          <w:szCs w:val="27"/>
        </w:rPr>
        <w:t>of Consumer Services</w:t>
      </w:r>
      <w:r w:rsidR="008308B0" w:rsidRPr="008C6145">
        <w:rPr>
          <w:szCs w:val="27"/>
        </w:rPr>
        <w:t xml:space="preserve">, PPL </w:t>
      </w:r>
      <w:r w:rsidR="0067169C" w:rsidRPr="008C6145">
        <w:rPr>
          <w:szCs w:val="27"/>
        </w:rPr>
        <w:t xml:space="preserve">agreed to allow </w:t>
      </w:r>
      <w:r w:rsidR="007E68AE" w:rsidRPr="008C6145">
        <w:rPr>
          <w:szCs w:val="27"/>
        </w:rPr>
        <w:t xml:space="preserve">the </w:t>
      </w:r>
      <w:r w:rsidR="0067169C" w:rsidRPr="008C6145">
        <w:rPr>
          <w:szCs w:val="27"/>
        </w:rPr>
        <w:t>Complainant to participate in the virtual metering program</w:t>
      </w:r>
      <w:r w:rsidR="008308B0" w:rsidRPr="008C6145">
        <w:rPr>
          <w:szCs w:val="27"/>
        </w:rPr>
        <w:t xml:space="preserve"> and </w:t>
      </w:r>
      <w:r w:rsidR="0067169C" w:rsidRPr="008C6145">
        <w:rPr>
          <w:szCs w:val="27"/>
        </w:rPr>
        <w:t>applied credits to the Complainant</w:t>
      </w:r>
      <w:r w:rsidR="001903CC" w:rsidRPr="008C6145">
        <w:rPr>
          <w:szCs w:val="27"/>
        </w:rPr>
        <w:t>’</w:t>
      </w:r>
      <w:r w:rsidR="0067169C" w:rsidRPr="008C6145">
        <w:rPr>
          <w:szCs w:val="27"/>
        </w:rPr>
        <w:t>s account in September</w:t>
      </w:r>
      <w:r w:rsidR="000D1661" w:rsidRPr="008C6145">
        <w:rPr>
          <w:szCs w:val="27"/>
        </w:rPr>
        <w:t xml:space="preserve"> </w:t>
      </w:r>
      <w:r w:rsidR="0067169C" w:rsidRPr="008C6145">
        <w:rPr>
          <w:szCs w:val="27"/>
        </w:rPr>
        <w:t>2011 for all excess generation produced by his host account since January 2011</w:t>
      </w:r>
      <w:r w:rsidR="007A6E2F">
        <w:rPr>
          <w:szCs w:val="27"/>
        </w:rPr>
        <w:t>.  R. Exc. at 15.</w:t>
      </w:r>
    </w:p>
    <w:p w:rsidR="008308B0" w:rsidRPr="008C6145" w:rsidRDefault="008308B0" w:rsidP="0067169C">
      <w:pPr>
        <w:rPr>
          <w:szCs w:val="27"/>
        </w:rPr>
      </w:pPr>
    </w:p>
    <w:p w:rsidR="0067169C" w:rsidRPr="008C6145" w:rsidRDefault="008308B0" w:rsidP="008308B0">
      <w:pPr>
        <w:rPr>
          <w:i/>
        </w:rPr>
      </w:pPr>
      <w:r w:rsidRPr="008C6145">
        <w:rPr>
          <w:szCs w:val="27"/>
        </w:rPr>
        <w:t>PPL avers that, t</w:t>
      </w:r>
      <w:r w:rsidR="0067169C" w:rsidRPr="008C6145">
        <w:rPr>
          <w:szCs w:val="27"/>
        </w:rPr>
        <w:t>o the extent that the</w:t>
      </w:r>
      <w:r w:rsidR="000D1661" w:rsidRPr="008C6145">
        <w:rPr>
          <w:szCs w:val="27"/>
        </w:rPr>
        <w:t xml:space="preserve"> </w:t>
      </w:r>
      <w:r w:rsidR="0067169C" w:rsidRPr="008C6145">
        <w:rPr>
          <w:szCs w:val="27"/>
        </w:rPr>
        <w:t xml:space="preserve">Commission concludes that </w:t>
      </w:r>
      <w:r w:rsidRPr="008C6145">
        <w:rPr>
          <w:szCs w:val="27"/>
        </w:rPr>
        <w:t xml:space="preserve">permitting </w:t>
      </w:r>
      <w:r w:rsidR="00295406" w:rsidRPr="008C6145">
        <w:rPr>
          <w:szCs w:val="27"/>
        </w:rPr>
        <w:t>Complainant</w:t>
      </w:r>
      <w:r w:rsidRPr="008C6145">
        <w:rPr>
          <w:szCs w:val="27"/>
        </w:rPr>
        <w:t xml:space="preserve"> to participate in virtual metering is</w:t>
      </w:r>
      <w:r w:rsidR="0067169C" w:rsidRPr="008C6145">
        <w:rPr>
          <w:szCs w:val="27"/>
        </w:rPr>
        <w:t xml:space="preserve"> inconsistent with the Company</w:t>
      </w:r>
      <w:r w:rsidR="001903CC" w:rsidRPr="008C6145">
        <w:rPr>
          <w:szCs w:val="27"/>
        </w:rPr>
        <w:t>’</w:t>
      </w:r>
      <w:r w:rsidR="0067169C" w:rsidRPr="008C6145">
        <w:rPr>
          <w:szCs w:val="27"/>
        </w:rPr>
        <w:t xml:space="preserve">s </w:t>
      </w:r>
      <w:r w:rsidR="00083CB2" w:rsidRPr="008C6145">
        <w:rPr>
          <w:szCs w:val="27"/>
        </w:rPr>
        <w:t>Net Metering T</w:t>
      </w:r>
      <w:r w:rsidR="0067169C" w:rsidRPr="008C6145">
        <w:rPr>
          <w:szCs w:val="27"/>
        </w:rPr>
        <w:t>ariff provisions, the</w:t>
      </w:r>
      <w:r w:rsidR="000D1661" w:rsidRPr="008C6145">
        <w:rPr>
          <w:szCs w:val="27"/>
        </w:rPr>
        <w:t xml:space="preserve"> </w:t>
      </w:r>
      <w:r w:rsidR="0067169C" w:rsidRPr="008C6145">
        <w:rPr>
          <w:szCs w:val="27"/>
        </w:rPr>
        <w:t xml:space="preserve">Commission should order PPL to discontinue virtual metering </w:t>
      </w:r>
      <w:r w:rsidR="007A6E2F">
        <w:rPr>
          <w:szCs w:val="27"/>
        </w:rPr>
        <w:t xml:space="preserve">prospectively </w:t>
      </w:r>
      <w:r w:rsidR="0067169C" w:rsidRPr="008C6145">
        <w:rPr>
          <w:szCs w:val="27"/>
        </w:rPr>
        <w:t>for</w:t>
      </w:r>
      <w:r w:rsidR="000D1661" w:rsidRPr="008C6145">
        <w:rPr>
          <w:szCs w:val="27"/>
        </w:rPr>
        <w:t xml:space="preserve"> </w:t>
      </w:r>
      <w:r w:rsidR="007E68AE" w:rsidRPr="008C6145">
        <w:rPr>
          <w:szCs w:val="27"/>
        </w:rPr>
        <w:t xml:space="preserve">the </w:t>
      </w:r>
      <w:r w:rsidR="0067169C" w:rsidRPr="008C6145">
        <w:rPr>
          <w:szCs w:val="27"/>
        </w:rPr>
        <w:t>Complainant.</w:t>
      </w:r>
      <w:r w:rsidRPr="008C6145">
        <w:rPr>
          <w:szCs w:val="27"/>
        </w:rPr>
        <w:t xml:space="preserve">  Alternatively, PPL argues that </w:t>
      </w:r>
      <w:r w:rsidR="0067169C" w:rsidRPr="008C6145">
        <w:rPr>
          <w:szCs w:val="27"/>
        </w:rPr>
        <w:t xml:space="preserve">assuming, </w:t>
      </w:r>
      <w:proofErr w:type="gramStart"/>
      <w:r w:rsidR="0067169C" w:rsidRPr="008C6145">
        <w:rPr>
          <w:i/>
          <w:iCs/>
          <w:szCs w:val="26"/>
        </w:rPr>
        <w:lastRenderedPageBreak/>
        <w:t>arguendo</w:t>
      </w:r>
      <w:r w:rsidR="0067169C" w:rsidRPr="008C6145">
        <w:rPr>
          <w:i/>
          <w:iCs/>
          <w:szCs w:val="25"/>
        </w:rPr>
        <w:t xml:space="preserve">, </w:t>
      </w:r>
      <w:r w:rsidR="0067169C" w:rsidRPr="008C6145">
        <w:rPr>
          <w:szCs w:val="27"/>
        </w:rPr>
        <w:t>that</w:t>
      </w:r>
      <w:proofErr w:type="gramEnd"/>
      <w:r w:rsidR="0067169C" w:rsidRPr="008C6145">
        <w:rPr>
          <w:szCs w:val="27"/>
        </w:rPr>
        <w:t xml:space="preserve"> </w:t>
      </w:r>
      <w:r w:rsidR="007E68AE" w:rsidRPr="008C6145">
        <w:rPr>
          <w:szCs w:val="27"/>
        </w:rPr>
        <w:t xml:space="preserve">the </w:t>
      </w:r>
      <w:r w:rsidR="0067169C" w:rsidRPr="008C6145">
        <w:rPr>
          <w:szCs w:val="27"/>
        </w:rPr>
        <w:t>Complainant</w:t>
      </w:r>
      <w:r w:rsidR="001903CC" w:rsidRPr="008C6145">
        <w:rPr>
          <w:szCs w:val="27"/>
        </w:rPr>
        <w:t>’</w:t>
      </w:r>
      <w:r w:rsidR="0067169C" w:rsidRPr="008C6145">
        <w:rPr>
          <w:szCs w:val="27"/>
        </w:rPr>
        <w:t>s host account did qualify for</w:t>
      </w:r>
      <w:r w:rsidR="000D1661" w:rsidRPr="008C6145">
        <w:rPr>
          <w:szCs w:val="27"/>
        </w:rPr>
        <w:t xml:space="preserve"> </w:t>
      </w:r>
      <w:r w:rsidR="0067169C" w:rsidRPr="008C6145">
        <w:rPr>
          <w:szCs w:val="27"/>
        </w:rPr>
        <w:t>virtual metering under PPL</w:t>
      </w:r>
      <w:r w:rsidR="001903CC" w:rsidRPr="008C6145">
        <w:rPr>
          <w:szCs w:val="27"/>
        </w:rPr>
        <w:t>’</w:t>
      </w:r>
      <w:r w:rsidR="007E68AE" w:rsidRPr="008C6145">
        <w:rPr>
          <w:szCs w:val="27"/>
        </w:rPr>
        <w:t>s N</w:t>
      </w:r>
      <w:r w:rsidR="00083CB2" w:rsidRPr="008C6145">
        <w:rPr>
          <w:szCs w:val="27"/>
        </w:rPr>
        <w:t>et Metering Tariff</w:t>
      </w:r>
      <w:r w:rsidR="0067169C" w:rsidRPr="008C6145">
        <w:rPr>
          <w:szCs w:val="27"/>
        </w:rPr>
        <w:t>, the Complainant has not been harmed</w:t>
      </w:r>
      <w:r w:rsidR="00E76557" w:rsidRPr="008C6145">
        <w:rPr>
          <w:szCs w:val="27"/>
        </w:rPr>
        <w:t>.  PPL explains that</w:t>
      </w:r>
      <w:r w:rsidRPr="008C6145">
        <w:rPr>
          <w:szCs w:val="27"/>
        </w:rPr>
        <w:t xml:space="preserve"> </w:t>
      </w:r>
      <w:r w:rsidR="00083CB2" w:rsidRPr="008C6145">
        <w:rPr>
          <w:szCs w:val="27"/>
        </w:rPr>
        <w:t xml:space="preserve">it </w:t>
      </w:r>
      <w:r w:rsidRPr="008C6145">
        <w:rPr>
          <w:szCs w:val="27"/>
        </w:rPr>
        <w:t xml:space="preserve">has </w:t>
      </w:r>
      <w:r w:rsidR="00E76557" w:rsidRPr="008C6145">
        <w:rPr>
          <w:szCs w:val="27"/>
        </w:rPr>
        <w:t xml:space="preserve">agreed </w:t>
      </w:r>
      <w:r w:rsidR="0067169C" w:rsidRPr="008C6145">
        <w:rPr>
          <w:szCs w:val="27"/>
        </w:rPr>
        <w:t>to settle the</w:t>
      </w:r>
      <w:r w:rsidR="000D1661" w:rsidRPr="008C6145">
        <w:rPr>
          <w:szCs w:val="27"/>
        </w:rPr>
        <w:t xml:space="preserve"> </w:t>
      </w:r>
      <w:r w:rsidR="0067169C" w:rsidRPr="008C6145">
        <w:rPr>
          <w:szCs w:val="27"/>
        </w:rPr>
        <w:t xml:space="preserve">issues </w:t>
      </w:r>
      <w:proofErr w:type="gramStart"/>
      <w:r w:rsidR="0067169C" w:rsidRPr="008C6145">
        <w:rPr>
          <w:szCs w:val="27"/>
        </w:rPr>
        <w:t>raised</w:t>
      </w:r>
      <w:proofErr w:type="gramEnd"/>
      <w:r w:rsidR="0067169C" w:rsidRPr="008C6145">
        <w:rPr>
          <w:szCs w:val="27"/>
        </w:rPr>
        <w:t xml:space="preserve"> in the Compliant by fully compensating </w:t>
      </w:r>
      <w:r w:rsidR="00083CB2" w:rsidRPr="008C6145">
        <w:rPr>
          <w:szCs w:val="27"/>
        </w:rPr>
        <w:t xml:space="preserve">the </w:t>
      </w:r>
      <w:r w:rsidR="0067169C" w:rsidRPr="008C6145">
        <w:rPr>
          <w:szCs w:val="27"/>
        </w:rPr>
        <w:t>Complainant for the value of the</w:t>
      </w:r>
      <w:r w:rsidR="000D1661" w:rsidRPr="008C6145">
        <w:rPr>
          <w:szCs w:val="27"/>
        </w:rPr>
        <w:t xml:space="preserve"> </w:t>
      </w:r>
      <w:r w:rsidR="0067169C" w:rsidRPr="008C6145">
        <w:rPr>
          <w:szCs w:val="27"/>
        </w:rPr>
        <w:t xml:space="preserve">credits, plus interest, </w:t>
      </w:r>
      <w:r w:rsidR="00E76557" w:rsidRPr="008C6145">
        <w:rPr>
          <w:szCs w:val="27"/>
        </w:rPr>
        <w:t xml:space="preserve">that </w:t>
      </w:r>
      <w:r w:rsidR="0067169C" w:rsidRPr="008C6145">
        <w:rPr>
          <w:szCs w:val="27"/>
        </w:rPr>
        <w:t xml:space="preserve">he would have received for excess generation as if his accounts qualified for virtual </w:t>
      </w:r>
      <w:r w:rsidR="00083CB2" w:rsidRPr="008C6145">
        <w:rPr>
          <w:szCs w:val="27"/>
        </w:rPr>
        <w:t xml:space="preserve">net </w:t>
      </w:r>
      <w:r w:rsidR="0067169C" w:rsidRPr="008C6145">
        <w:rPr>
          <w:szCs w:val="27"/>
        </w:rPr>
        <w:t>metering</w:t>
      </w:r>
      <w:r w:rsidR="00083CB2" w:rsidRPr="008C6145">
        <w:rPr>
          <w:szCs w:val="27"/>
        </w:rPr>
        <w:t>.</w:t>
      </w:r>
      <w:r w:rsidR="000D1661" w:rsidRPr="008C6145">
        <w:rPr>
          <w:szCs w:val="27"/>
        </w:rPr>
        <w:t xml:space="preserve"> </w:t>
      </w:r>
      <w:r w:rsidRPr="008C6145">
        <w:rPr>
          <w:szCs w:val="27"/>
        </w:rPr>
        <w:t xml:space="preserve"> </w:t>
      </w:r>
      <w:r w:rsidRPr="008C6145">
        <w:rPr>
          <w:i/>
          <w:szCs w:val="27"/>
        </w:rPr>
        <w:t xml:space="preserve">Id. </w:t>
      </w:r>
    </w:p>
    <w:p w:rsidR="00360BA9" w:rsidRPr="008C6145" w:rsidRDefault="00360BA9" w:rsidP="00BA4986"/>
    <w:p w:rsidR="003F2A6F" w:rsidRPr="008C6145" w:rsidRDefault="003F2A6F" w:rsidP="002E49CC">
      <w:pPr>
        <w:pStyle w:val="Heading4"/>
        <w:keepNext/>
      </w:pPr>
      <w:r w:rsidRPr="008C6145">
        <w:t>Disposition</w:t>
      </w:r>
    </w:p>
    <w:p w:rsidR="003F2A6F" w:rsidRDefault="003F2A6F" w:rsidP="002E49CC">
      <w:pPr>
        <w:keepNext/>
      </w:pPr>
    </w:p>
    <w:p w:rsidR="00D023DA" w:rsidRDefault="001A3B46" w:rsidP="00E86F83">
      <w:pPr>
        <w:keepNext/>
      </w:pPr>
      <w:r>
        <w:t xml:space="preserve">As noted, </w:t>
      </w:r>
      <w:r w:rsidRPr="001A3B46">
        <w:rPr>
          <w:i/>
        </w:rPr>
        <w:t>supra</w:t>
      </w:r>
      <w:r>
        <w:t xml:space="preserve">, PPL </w:t>
      </w:r>
      <w:r w:rsidR="001503C4">
        <w:t xml:space="preserve">has </w:t>
      </w:r>
      <w:r>
        <w:t xml:space="preserve">agreed </w:t>
      </w:r>
      <w:r w:rsidR="001503C4">
        <w:t xml:space="preserve">that it will waive its objections to </w:t>
      </w:r>
      <w:r>
        <w:t>Mr. Moyer</w:t>
      </w:r>
      <w:r w:rsidR="001503C4">
        <w:t xml:space="preserve">’s </w:t>
      </w:r>
      <w:r>
        <w:t>participat</w:t>
      </w:r>
      <w:r w:rsidR="001503C4">
        <w:t>ion</w:t>
      </w:r>
      <w:r>
        <w:t xml:space="preserve"> in its virtual metering program in an effort to settle the issues and concerns raised in his Complaint.  R. Exc. at 10, 15-16.  </w:t>
      </w:r>
      <w:r w:rsidR="0045485C">
        <w:t>Considering this wa</w:t>
      </w:r>
      <w:r w:rsidR="00261676">
        <w:t>i</w:t>
      </w:r>
      <w:r w:rsidR="0045485C">
        <w:t xml:space="preserve">ver, </w:t>
      </w:r>
      <w:r>
        <w:t xml:space="preserve">we find that it is not necessary for the Commission to address the issue of </w:t>
      </w:r>
      <w:r w:rsidR="00040414">
        <w:t xml:space="preserve">the </w:t>
      </w:r>
      <w:r w:rsidR="0045485C">
        <w:t>prior</w:t>
      </w:r>
      <w:r w:rsidR="00724834">
        <w:t xml:space="preserve"> </w:t>
      </w:r>
      <w:r>
        <w:t xml:space="preserve">eligibility </w:t>
      </w:r>
      <w:r w:rsidR="00040414">
        <w:t>of</w:t>
      </w:r>
    </w:p>
    <w:p w:rsidR="001A3B46" w:rsidRDefault="00040414" w:rsidP="00D023DA">
      <w:pPr>
        <w:widowControl w:val="0"/>
        <w:ind w:firstLine="0"/>
      </w:pPr>
      <w:r>
        <w:t xml:space="preserve">Mr. Moyer’s 4.75 kW solar </w:t>
      </w:r>
      <w:proofErr w:type="gramStart"/>
      <w:r>
        <w:t>array</w:t>
      </w:r>
      <w:proofErr w:type="gramEnd"/>
      <w:r>
        <w:t xml:space="preserve"> and his residence </w:t>
      </w:r>
      <w:r w:rsidR="001A3B46">
        <w:t>for net metering</w:t>
      </w:r>
      <w:r w:rsidR="00D023DA">
        <w:t xml:space="preserve"> </w:t>
      </w:r>
      <w:r w:rsidR="006F38FC">
        <w:t xml:space="preserve">or virtual meter aggregation </w:t>
      </w:r>
      <w:r w:rsidR="001A3B46">
        <w:t xml:space="preserve">in this proceeding.  </w:t>
      </w:r>
      <w:r w:rsidR="0045485C">
        <w:t xml:space="preserve">With respect to Mr. Moyer’s prospective eligibility for </w:t>
      </w:r>
      <w:r w:rsidR="00BA14FF">
        <w:t xml:space="preserve">net metering or </w:t>
      </w:r>
      <w:r w:rsidR="0045485C">
        <w:t>virtual meter</w:t>
      </w:r>
      <w:r w:rsidR="00BA14FF">
        <w:t xml:space="preserve"> aggregation</w:t>
      </w:r>
      <w:r w:rsidR="0045485C">
        <w:t>,</w:t>
      </w:r>
      <w:r w:rsidR="00E51EF6">
        <w:t xml:space="preserve"> consistent</w:t>
      </w:r>
      <w:r w:rsidR="0045485C">
        <w:t xml:space="preserve"> with the wa</w:t>
      </w:r>
      <w:r w:rsidR="00261676">
        <w:t>i</w:t>
      </w:r>
      <w:r w:rsidR="0045485C">
        <w:t xml:space="preserve">ver discussed, </w:t>
      </w:r>
      <w:r w:rsidR="0045485C" w:rsidRPr="0045485C">
        <w:rPr>
          <w:i/>
        </w:rPr>
        <w:t>supra</w:t>
      </w:r>
      <w:r w:rsidR="0045485C">
        <w:t xml:space="preserve">, we shall order PPL to continue to permit Mr. Moyer to </w:t>
      </w:r>
      <w:r w:rsidR="00D664F8">
        <w:t xml:space="preserve">utilize </w:t>
      </w:r>
      <w:r w:rsidR="0045485C">
        <w:t>net metering</w:t>
      </w:r>
      <w:r w:rsidR="00BA14FF">
        <w:t xml:space="preserve"> and virtual meter aggregation</w:t>
      </w:r>
      <w:r w:rsidR="0045485C">
        <w:t xml:space="preserve"> for his existing 4.7</w:t>
      </w:r>
      <w:r w:rsidR="009F0EE7">
        <w:t>5</w:t>
      </w:r>
      <w:r w:rsidR="0045485C">
        <w:t xml:space="preserve"> kW solar array </w:t>
      </w:r>
      <w:r w:rsidR="009F0EE7">
        <w:t>and residence in the future</w:t>
      </w:r>
      <w:r w:rsidR="00726188">
        <w:t xml:space="preserve"> (subject to future changes in applicable laws or tariffs). </w:t>
      </w:r>
      <w:r w:rsidR="009F0EE7">
        <w:t xml:space="preserve"> </w:t>
      </w:r>
      <w:r w:rsidR="001503C4">
        <w:t>Because we have determined that it is not necessary to address this issue in this proceeding</w:t>
      </w:r>
      <w:r w:rsidR="00A0204C">
        <w:t xml:space="preserve"> and due to the fact that</w:t>
      </w:r>
      <w:r w:rsidR="001503C4">
        <w:t xml:space="preserve"> we </w:t>
      </w:r>
      <w:r w:rsidR="00A0204C">
        <w:t xml:space="preserve">are vacating </w:t>
      </w:r>
      <w:r w:rsidR="001503C4">
        <w:t>the Initial Decision</w:t>
      </w:r>
      <w:r w:rsidR="009F0EE7">
        <w:t xml:space="preserve">, </w:t>
      </w:r>
      <w:r w:rsidR="00726188">
        <w:t xml:space="preserve">we shall </w:t>
      </w:r>
      <w:r w:rsidR="009F0EE7">
        <w:t>refer th</w:t>
      </w:r>
      <w:r w:rsidR="00261676">
        <w:t xml:space="preserve">e legal issue raised by this proceeding </w:t>
      </w:r>
      <w:r w:rsidR="00045DBA">
        <w:t xml:space="preserve">to the Commission’s Law Bureau </w:t>
      </w:r>
      <w:r w:rsidR="00726188">
        <w:t xml:space="preserve">to </w:t>
      </w:r>
      <w:r w:rsidR="00261676">
        <w:t>consider</w:t>
      </w:r>
      <w:r w:rsidR="00726188">
        <w:t xml:space="preserve"> whether our regulations need to be clarified</w:t>
      </w:r>
      <w:r w:rsidR="00261676">
        <w:t>.</w:t>
      </w:r>
    </w:p>
    <w:p w:rsidR="001A3B46" w:rsidRDefault="001A3B46" w:rsidP="001A3B46"/>
    <w:p w:rsidR="0090331F" w:rsidRPr="008C6145" w:rsidRDefault="0090331F" w:rsidP="00E208A3">
      <w:pPr>
        <w:pStyle w:val="Heading1"/>
      </w:pPr>
      <w:r w:rsidRPr="008C6145">
        <w:t>Conclusion</w:t>
      </w:r>
    </w:p>
    <w:p w:rsidR="0090331F" w:rsidRPr="00C40723" w:rsidRDefault="0090331F" w:rsidP="00404834">
      <w:pPr>
        <w:rPr>
          <w:rFonts w:ascii="Times New Roman Bold" w:hAnsi="Times New Roman Bold"/>
          <w:b/>
        </w:rPr>
      </w:pPr>
    </w:p>
    <w:p w:rsidR="006125C6" w:rsidRPr="008C6145" w:rsidRDefault="00E208A3" w:rsidP="00070838">
      <w:pPr>
        <w:rPr>
          <w:b/>
          <w:szCs w:val="26"/>
        </w:rPr>
      </w:pPr>
      <w:r w:rsidRPr="008C6145">
        <w:t xml:space="preserve">Based on the forgoing discussion, </w:t>
      </w:r>
      <w:r w:rsidR="00353CA5" w:rsidRPr="008C6145">
        <w:t xml:space="preserve">we </w:t>
      </w:r>
      <w:r w:rsidR="00C879DD" w:rsidRPr="008C6145">
        <w:t>shall</w:t>
      </w:r>
      <w:r w:rsidRPr="008C6145">
        <w:t xml:space="preserve"> </w:t>
      </w:r>
      <w:r w:rsidR="00AA7393">
        <w:t xml:space="preserve">vacate </w:t>
      </w:r>
      <w:r w:rsidR="001503C4">
        <w:t xml:space="preserve">the Initial Decision and </w:t>
      </w:r>
      <w:r w:rsidRPr="008C6145">
        <w:t>remand this case to the OALJ for further proceedings as may be required to address the accuracy of the bills</w:t>
      </w:r>
      <w:r w:rsidR="00040414">
        <w:t xml:space="preserve"> and</w:t>
      </w:r>
      <w:r w:rsidRPr="008C6145">
        <w:t xml:space="preserve"> credits provided by PPL for </w:t>
      </w:r>
      <w:r w:rsidR="009856B9" w:rsidRPr="008C6145">
        <w:t xml:space="preserve">the </w:t>
      </w:r>
      <w:r w:rsidR="00295406" w:rsidRPr="008C6145">
        <w:t>Complainant</w:t>
      </w:r>
      <w:r w:rsidR="001903CC" w:rsidRPr="008C6145">
        <w:t>’</w:t>
      </w:r>
      <w:r w:rsidRPr="008C6145">
        <w:t xml:space="preserve">s </w:t>
      </w:r>
      <w:r w:rsidR="00A0204C">
        <w:t xml:space="preserve">net metered </w:t>
      </w:r>
      <w:r w:rsidRPr="008C6145">
        <w:t>virtual</w:t>
      </w:r>
      <w:r w:rsidR="00A0204C">
        <w:t>ly aggregated</w:t>
      </w:r>
      <w:r w:rsidR="009856B9" w:rsidRPr="008C6145">
        <w:t xml:space="preserve"> </w:t>
      </w:r>
      <w:r w:rsidR="00E86F83">
        <w:t xml:space="preserve">metering </w:t>
      </w:r>
      <w:r w:rsidRPr="008C6145">
        <w:t>accounts.  The Complainant</w:t>
      </w:r>
      <w:r w:rsidR="001903CC" w:rsidRPr="008C6145">
        <w:t>’</w:t>
      </w:r>
      <w:r w:rsidRPr="008C6145">
        <w:t>s Exceptions are granted to the extent that:</w:t>
      </w:r>
      <w:r w:rsidR="00C40723">
        <w:t xml:space="preserve"> </w:t>
      </w:r>
      <w:r w:rsidR="00C15269">
        <w:t xml:space="preserve"> </w:t>
      </w:r>
      <w:r w:rsidRPr="008C6145">
        <w:t xml:space="preserve">(1) </w:t>
      </w:r>
      <w:r w:rsidR="002D143D" w:rsidRPr="008C6145">
        <w:t>this case is remanded for the limited purpose of further developing the record with regard to the bills</w:t>
      </w:r>
      <w:r w:rsidR="0032784E">
        <w:t xml:space="preserve"> and </w:t>
      </w:r>
      <w:r w:rsidR="002D143D" w:rsidRPr="008C6145">
        <w:t xml:space="preserve">credits received by </w:t>
      </w:r>
      <w:r w:rsidR="00363EE5" w:rsidRPr="008C6145">
        <w:t xml:space="preserve">Mr. </w:t>
      </w:r>
      <w:r w:rsidR="002D143D" w:rsidRPr="008C6145">
        <w:t>Moyer</w:t>
      </w:r>
      <w:r w:rsidR="005B3719" w:rsidRPr="008C6145">
        <w:t>;</w:t>
      </w:r>
      <w:r w:rsidR="002D143D" w:rsidRPr="008C6145">
        <w:t xml:space="preserve"> and (2) we find that </w:t>
      </w:r>
      <w:r w:rsidR="0032784E">
        <w:lastRenderedPageBreak/>
        <w:t>PPL</w:t>
      </w:r>
      <w:r w:rsidR="001955E0">
        <w:t xml:space="preserve"> has waived its objection t</w:t>
      </w:r>
      <w:r w:rsidR="00261676">
        <w:t>o</w:t>
      </w:r>
      <w:r w:rsidR="001955E0">
        <w:t xml:space="preserve"> </w:t>
      </w:r>
      <w:r w:rsidR="00C3632D">
        <w:t>net</w:t>
      </w:r>
      <w:r w:rsidR="001955E0">
        <w:t xml:space="preserve"> meter</w:t>
      </w:r>
      <w:r w:rsidR="0032784E">
        <w:t xml:space="preserve"> Mr. Moyer’s 4.75 kW solar array and </w:t>
      </w:r>
      <w:r w:rsidR="00C3632D">
        <w:t>virtually aggregate his two existing metering accounts</w:t>
      </w:r>
      <w:r w:rsidR="001955E0">
        <w:t>.</w:t>
      </w:r>
      <w:r w:rsidR="0032784E">
        <w:t xml:space="preserve"> </w:t>
      </w:r>
      <w:r w:rsidR="00C504EF">
        <w:t xml:space="preserve"> </w:t>
      </w:r>
      <w:r w:rsidR="007D6C3D" w:rsidRPr="008C6145">
        <w:t xml:space="preserve">By this Opinion and Order we shall </w:t>
      </w:r>
      <w:r w:rsidR="001503C4">
        <w:t xml:space="preserve">vacate </w:t>
      </w:r>
      <w:r w:rsidR="002D143D" w:rsidRPr="008C6145">
        <w:t xml:space="preserve">the Initial Decision and </w:t>
      </w:r>
      <w:r w:rsidR="00E9372A" w:rsidRPr="008C6145">
        <w:t>sustain</w:t>
      </w:r>
      <w:r w:rsidR="00651474" w:rsidRPr="008C6145">
        <w:t xml:space="preserve"> the </w:t>
      </w:r>
      <w:r w:rsidR="00E9372A" w:rsidRPr="008C6145">
        <w:t>Complaint</w:t>
      </w:r>
      <w:r w:rsidR="001503C4">
        <w:t>,</w:t>
      </w:r>
      <w:r w:rsidR="00E9372A" w:rsidRPr="008C6145">
        <w:t xml:space="preserve"> </w:t>
      </w:r>
      <w:r w:rsidR="0090331F" w:rsidRPr="008C6145">
        <w:rPr>
          <w:b/>
          <w:szCs w:val="26"/>
        </w:rPr>
        <w:t>THE</w:t>
      </w:r>
      <w:r w:rsidR="00045D50" w:rsidRPr="008C6145">
        <w:rPr>
          <w:b/>
          <w:szCs w:val="26"/>
        </w:rPr>
        <w:t>REFORE</w:t>
      </w:r>
      <w:r w:rsidR="00EC2792" w:rsidRPr="008C6145">
        <w:rPr>
          <w:b/>
          <w:szCs w:val="26"/>
        </w:rPr>
        <w:t>,</w:t>
      </w:r>
    </w:p>
    <w:p w:rsidR="00175FB6" w:rsidRPr="008C6145" w:rsidRDefault="00175FB6" w:rsidP="00175FB6">
      <w:pPr>
        <w:spacing w:line="240" w:lineRule="auto"/>
        <w:ind w:firstLine="0"/>
        <w:rPr>
          <w:b/>
          <w:szCs w:val="26"/>
        </w:rPr>
      </w:pPr>
    </w:p>
    <w:p w:rsidR="006125C6" w:rsidRPr="008C6145" w:rsidRDefault="007F5655" w:rsidP="00DE0102">
      <w:pPr>
        <w:keepNext/>
        <w:ind w:firstLine="0"/>
        <w:rPr>
          <w:b/>
          <w:szCs w:val="26"/>
        </w:rPr>
      </w:pPr>
      <w:r w:rsidRPr="008C6145">
        <w:rPr>
          <w:b/>
          <w:szCs w:val="26"/>
        </w:rPr>
        <w:tab/>
      </w:r>
      <w:r w:rsidRPr="008C6145">
        <w:rPr>
          <w:b/>
          <w:szCs w:val="26"/>
        </w:rPr>
        <w:tab/>
      </w:r>
      <w:r w:rsidR="00F930D7" w:rsidRPr="008C6145">
        <w:rPr>
          <w:b/>
          <w:szCs w:val="26"/>
        </w:rPr>
        <w:t>IT IS ORDERED:</w:t>
      </w:r>
    </w:p>
    <w:p w:rsidR="00DF0981" w:rsidRPr="008C6145" w:rsidRDefault="00DF0981" w:rsidP="00DE0102">
      <w:pPr>
        <w:keepNext/>
        <w:spacing w:line="240" w:lineRule="auto"/>
        <w:rPr>
          <w:szCs w:val="26"/>
        </w:rPr>
      </w:pPr>
    </w:p>
    <w:p w:rsidR="007F5655" w:rsidRPr="008C6145" w:rsidRDefault="007F5655" w:rsidP="00DE0102">
      <w:pPr>
        <w:keepNext/>
        <w:tabs>
          <w:tab w:val="left" w:pos="-720"/>
        </w:tabs>
        <w:suppressAutoHyphens/>
        <w:ind w:firstLine="0"/>
        <w:rPr>
          <w:rFonts w:ascii="Times New Roman Bold" w:hAnsi="Times New Roman Bold"/>
          <w:szCs w:val="26"/>
        </w:rPr>
      </w:pPr>
      <w:r w:rsidRPr="008C6145">
        <w:rPr>
          <w:szCs w:val="26"/>
        </w:rPr>
        <w:tab/>
      </w:r>
      <w:r w:rsidRPr="008C6145">
        <w:rPr>
          <w:szCs w:val="26"/>
        </w:rPr>
        <w:tab/>
        <w:t>1.</w:t>
      </w:r>
      <w:r w:rsidRPr="008C6145">
        <w:rPr>
          <w:szCs w:val="26"/>
        </w:rPr>
        <w:tab/>
      </w:r>
      <w:r w:rsidR="00E64FDA" w:rsidRPr="008C6145">
        <w:rPr>
          <w:szCs w:val="26"/>
        </w:rPr>
        <w:t>That the</w:t>
      </w:r>
      <w:r w:rsidR="00E64FDA" w:rsidRPr="008C6145">
        <w:rPr>
          <w:b/>
          <w:szCs w:val="26"/>
        </w:rPr>
        <w:t xml:space="preserve"> </w:t>
      </w:r>
      <w:r w:rsidR="002C36A9" w:rsidRPr="008C6145">
        <w:t xml:space="preserve">Exceptions to the Initial Decision of Administrative Law </w:t>
      </w:r>
      <w:r w:rsidR="001D2FF3" w:rsidRPr="008C6145">
        <w:t>Judge Cynthia Williams Fordham</w:t>
      </w:r>
      <w:r w:rsidR="0063178C" w:rsidRPr="008C6145">
        <w:t>,</w:t>
      </w:r>
      <w:r w:rsidR="002C36A9" w:rsidRPr="008C6145">
        <w:t xml:space="preserve"> filed by </w:t>
      </w:r>
      <w:r w:rsidR="0063178C" w:rsidRPr="008C6145">
        <w:t xml:space="preserve">Larry Moyer </w:t>
      </w:r>
      <w:r w:rsidR="002C36A9" w:rsidRPr="008C6145">
        <w:t xml:space="preserve">on </w:t>
      </w:r>
      <w:r w:rsidR="0063178C" w:rsidRPr="008C6145">
        <w:t>March 15, 2013</w:t>
      </w:r>
      <w:r w:rsidR="007D6C3D" w:rsidRPr="008C6145">
        <w:t>,</w:t>
      </w:r>
      <w:r w:rsidR="002C36A9" w:rsidRPr="008C6145">
        <w:t xml:space="preserve"> are </w:t>
      </w:r>
      <w:r w:rsidR="009040D4" w:rsidRPr="008C6145">
        <w:t xml:space="preserve">granted, in part, consistent with this Opinion and Order. </w:t>
      </w:r>
      <w:r w:rsidR="00321D4B" w:rsidRPr="008C6145">
        <w:t xml:space="preserve"> </w:t>
      </w:r>
    </w:p>
    <w:p w:rsidR="007F5655" w:rsidRPr="008C6145" w:rsidRDefault="007F5655" w:rsidP="00404834">
      <w:pPr>
        <w:tabs>
          <w:tab w:val="left" w:pos="-720"/>
        </w:tabs>
        <w:suppressAutoHyphens/>
        <w:spacing w:line="240" w:lineRule="auto"/>
        <w:ind w:left="1440" w:firstLine="0"/>
        <w:rPr>
          <w:rFonts w:ascii="Times New Roman Bold" w:hAnsi="Times New Roman Bold"/>
          <w:b/>
          <w:szCs w:val="26"/>
        </w:rPr>
      </w:pPr>
    </w:p>
    <w:p w:rsidR="00C504EF" w:rsidRDefault="007F5655" w:rsidP="007F5655">
      <w:pPr>
        <w:tabs>
          <w:tab w:val="left" w:pos="-720"/>
        </w:tabs>
        <w:suppressAutoHyphens/>
        <w:ind w:firstLine="0"/>
        <w:rPr>
          <w:szCs w:val="26"/>
        </w:rPr>
      </w:pPr>
      <w:r w:rsidRPr="008C6145">
        <w:rPr>
          <w:szCs w:val="26"/>
        </w:rPr>
        <w:tab/>
      </w:r>
      <w:r w:rsidRPr="008C6145">
        <w:rPr>
          <w:szCs w:val="26"/>
        </w:rPr>
        <w:tab/>
      </w:r>
      <w:r w:rsidR="00A37EA1">
        <w:rPr>
          <w:szCs w:val="26"/>
        </w:rPr>
        <w:t>2.</w:t>
      </w:r>
      <w:r w:rsidR="00A37EA1">
        <w:rPr>
          <w:szCs w:val="26"/>
        </w:rPr>
        <w:tab/>
      </w:r>
      <w:r w:rsidR="00C504EF">
        <w:rPr>
          <w:szCs w:val="26"/>
        </w:rPr>
        <w:t xml:space="preserve">That the Request for Oral Argument filed by Larry Moyer on </w:t>
      </w:r>
      <w:r w:rsidR="00DE0102">
        <w:rPr>
          <w:szCs w:val="26"/>
        </w:rPr>
        <w:br/>
      </w:r>
      <w:r w:rsidR="00C504EF">
        <w:rPr>
          <w:szCs w:val="26"/>
        </w:rPr>
        <w:t>May 8, 2013, is denied.</w:t>
      </w:r>
    </w:p>
    <w:p w:rsidR="00C504EF" w:rsidRDefault="00C504EF" w:rsidP="007F5655">
      <w:pPr>
        <w:tabs>
          <w:tab w:val="left" w:pos="-720"/>
        </w:tabs>
        <w:suppressAutoHyphens/>
        <w:ind w:firstLine="0"/>
        <w:rPr>
          <w:szCs w:val="26"/>
        </w:rPr>
      </w:pPr>
    </w:p>
    <w:p w:rsidR="00C504EF" w:rsidRDefault="00A37EA1" w:rsidP="007F5655">
      <w:pPr>
        <w:tabs>
          <w:tab w:val="left" w:pos="-720"/>
        </w:tabs>
        <w:suppressAutoHyphens/>
        <w:ind w:firstLine="0"/>
        <w:rPr>
          <w:szCs w:val="26"/>
        </w:rPr>
      </w:pPr>
      <w:r>
        <w:rPr>
          <w:szCs w:val="26"/>
        </w:rPr>
        <w:tab/>
      </w:r>
      <w:r>
        <w:rPr>
          <w:szCs w:val="26"/>
        </w:rPr>
        <w:tab/>
        <w:t>3.</w:t>
      </w:r>
      <w:r>
        <w:rPr>
          <w:szCs w:val="26"/>
        </w:rPr>
        <w:tab/>
      </w:r>
      <w:r w:rsidR="00C504EF">
        <w:rPr>
          <w:szCs w:val="26"/>
        </w:rPr>
        <w:t xml:space="preserve">That the Request to Reopen the Record filed by Larry Moyer on May 8, 2013, is granted </w:t>
      </w:r>
      <w:r w:rsidR="00C504EF" w:rsidRPr="008C6145">
        <w:t>for the limited purpose of further developing the record with regard to the bills</w:t>
      </w:r>
      <w:r w:rsidR="00C504EF">
        <w:t xml:space="preserve"> and </w:t>
      </w:r>
      <w:r w:rsidR="00C504EF" w:rsidRPr="008C6145">
        <w:t>credits received by Mr. Moyer</w:t>
      </w:r>
      <w:r w:rsidR="00C504EF">
        <w:t xml:space="preserve"> from PPL Electric Utilities Corporation. </w:t>
      </w:r>
      <w:r w:rsidR="00C504EF">
        <w:rPr>
          <w:szCs w:val="26"/>
        </w:rPr>
        <w:t xml:space="preserve"> </w:t>
      </w:r>
    </w:p>
    <w:p w:rsidR="00C504EF" w:rsidRDefault="00C504EF" w:rsidP="007F5655">
      <w:pPr>
        <w:tabs>
          <w:tab w:val="left" w:pos="-720"/>
        </w:tabs>
        <w:suppressAutoHyphens/>
        <w:ind w:firstLine="0"/>
        <w:rPr>
          <w:szCs w:val="26"/>
        </w:rPr>
      </w:pPr>
    </w:p>
    <w:p w:rsidR="0071426C" w:rsidRPr="008C6145" w:rsidRDefault="00C504EF" w:rsidP="007F5655">
      <w:pPr>
        <w:tabs>
          <w:tab w:val="left" w:pos="-720"/>
        </w:tabs>
        <w:suppressAutoHyphens/>
        <w:ind w:firstLine="0"/>
        <w:rPr>
          <w:szCs w:val="26"/>
        </w:rPr>
      </w:pPr>
      <w:r>
        <w:rPr>
          <w:szCs w:val="26"/>
        </w:rPr>
        <w:tab/>
      </w:r>
      <w:r>
        <w:rPr>
          <w:szCs w:val="26"/>
        </w:rPr>
        <w:tab/>
      </w:r>
      <w:r w:rsidR="00A37EA1">
        <w:rPr>
          <w:szCs w:val="26"/>
        </w:rPr>
        <w:t>4</w:t>
      </w:r>
      <w:r w:rsidR="007F5655" w:rsidRPr="008C6145">
        <w:rPr>
          <w:szCs w:val="26"/>
        </w:rPr>
        <w:t>.</w:t>
      </w:r>
      <w:r w:rsidR="007F5655" w:rsidRPr="008C6145">
        <w:rPr>
          <w:szCs w:val="26"/>
        </w:rPr>
        <w:tab/>
        <w:t>T</w:t>
      </w:r>
      <w:r w:rsidR="0071426C" w:rsidRPr="008C6145">
        <w:rPr>
          <w:szCs w:val="26"/>
        </w:rPr>
        <w:t xml:space="preserve">hat the </w:t>
      </w:r>
      <w:r w:rsidR="005D327E" w:rsidRPr="008C6145">
        <w:rPr>
          <w:szCs w:val="26"/>
        </w:rPr>
        <w:t>Initial</w:t>
      </w:r>
      <w:r w:rsidR="0071426C" w:rsidRPr="008C6145">
        <w:rPr>
          <w:szCs w:val="26"/>
        </w:rPr>
        <w:t xml:space="preserve"> Decision of </w:t>
      </w:r>
      <w:r w:rsidR="00E07226" w:rsidRPr="008C6145">
        <w:rPr>
          <w:szCs w:val="26"/>
        </w:rPr>
        <w:t xml:space="preserve">Administrative Law </w:t>
      </w:r>
      <w:r w:rsidR="00EC2792" w:rsidRPr="008C6145">
        <w:rPr>
          <w:szCs w:val="26"/>
        </w:rPr>
        <w:t xml:space="preserve">Judge </w:t>
      </w:r>
      <w:r w:rsidR="0063178C" w:rsidRPr="008C6145">
        <w:t>Cynthia Williams Fordham</w:t>
      </w:r>
      <w:r w:rsidR="00E64FDA" w:rsidRPr="008C6145">
        <w:rPr>
          <w:szCs w:val="26"/>
        </w:rPr>
        <w:t>,</w:t>
      </w:r>
      <w:r w:rsidR="001708DF" w:rsidRPr="008C6145">
        <w:rPr>
          <w:szCs w:val="26"/>
        </w:rPr>
        <w:t xml:space="preserve"> </w:t>
      </w:r>
      <w:r w:rsidR="00EC2792" w:rsidRPr="008C6145">
        <w:rPr>
          <w:szCs w:val="26"/>
        </w:rPr>
        <w:t xml:space="preserve">issued </w:t>
      </w:r>
      <w:r w:rsidR="0063178C" w:rsidRPr="008C6145">
        <w:rPr>
          <w:szCs w:val="26"/>
        </w:rPr>
        <w:t>February 22, 2013, is</w:t>
      </w:r>
      <w:r w:rsidR="001503C4">
        <w:rPr>
          <w:szCs w:val="26"/>
        </w:rPr>
        <w:t xml:space="preserve"> vacated</w:t>
      </w:r>
      <w:r w:rsidR="0063178C" w:rsidRPr="008C6145">
        <w:rPr>
          <w:szCs w:val="26"/>
        </w:rPr>
        <w:t>.</w:t>
      </w:r>
    </w:p>
    <w:p w:rsidR="005D327E" w:rsidRPr="008C6145" w:rsidRDefault="005D327E" w:rsidP="00404834">
      <w:pPr>
        <w:tabs>
          <w:tab w:val="left" w:pos="-720"/>
        </w:tabs>
        <w:suppressAutoHyphens/>
        <w:spacing w:line="240" w:lineRule="auto"/>
        <w:ind w:firstLine="0"/>
        <w:rPr>
          <w:szCs w:val="26"/>
        </w:rPr>
      </w:pPr>
    </w:p>
    <w:p w:rsidR="00C504EF" w:rsidRPr="008C6145" w:rsidRDefault="007F5655" w:rsidP="0063178C">
      <w:pPr>
        <w:tabs>
          <w:tab w:val="left" w:pos="-720"/>
        </w:tabs>
        <w:suppressAutoHyphens/>
        <w:ind w:firstLine="0"/>
        <w:rPr>
          <w:szCs w:val="26"/>
        </w:rPr>
      </w:pPr>
      <w:r w:rsidRPr="008C6145">
        <w:rPr>
          <w:szCs w:val="26"/>
        </w:rPr>
        <w:tab/>
      </w:r>
      <w:r w:rsidRPr="008C6145">
        <w:rPr>
          <w:szCs w:val="26"/>
        </w:rPr>
        <w:tab/>
      </w:r>
      <w:r w:rsidR="00A37EA1">
        <w:rPr>
          <w:szCs w:val="26"/>
        </w:rPr>
        <w:t>5</w:t>
      </w:r>
      <w:r w:rsidR="003A3F50" w:rsidRPr="008C6145">
        <w:rPr>
          <w:szCs w:val="26"/>
        </w:rPr>
        <w:t>.</w:t>
      </w:r>
      <w:r w:rsidR="003A3F50" w:rsidRPr="008C6145">
        <w:rPr>
          <w:szCs w:val="26"/>
        </w:rPr>
        <w:tab/>
        <w:t xml:space="preserve">That the Complaint against </w:t>
      </w:r>
      <w:r w:rsidR="0063178C" w:rsidRPr="008C6145">
        <w:rPr>
          <w:szCs w:val="26"/>
        </w:rPr>
        <w:t>PPL Electric Utilities Corporation</w:t>
      </w:r>
      <w:r w:rsidR="003A3F50" w:rsidRPr="008C6145">
        <w:rPr>
          <w:szCs w:val="26"/>
        </w:rPr>
        <w:t xml:space="preserve">, filed on November 15, 2011, by </w:t>
      </w:r>
      <w:r w:rsidR="0063178C" w:rsidRPr="008C6145">
        <w:rPr>
          <w:szCs w:val="26"/>
        </w:rPr>
        <w:t xml:space="preserve">Larry Moyer </w:t>
      </w:r>
      <w:r w:rsidR="003A3F50" w:rsidRPr="008C6145">
        <w:rPr>
          <w:szCs w:val="26"/>
        </w:rPr>
        <w:t xml:space="preserve">is </w:t>
      </w:r>
      <w:r w:rsidR="0063178C" w:rsidRPr="008C6145">
        <w:rPr>
          <w:szCs w:val="26"/>
        </w:rPr>
        <w:t xml:space="preserve">sustained, consistent with this Opinion and Order. </w:t>
      </w:r>
    </w:p>
    <w:p w:rsidR="00DC767F" w:rsidRPr="008C6145" w:rsidRDefault="00DC767F" w:rsidP="00DC767F">
      <w:pPr>
        <w:tabs>
          <w:tab w:val="left" w:pos="-720"/>
        </w:tabs>
        <w:suppressAutoHyphens/>
        <w:spacing w:line="240" w:lineRule="auto"/>
        <w:ind w:firstLine="0"/>
        <w:rPr>
          <w:szCs w:val="26"/>
        </w:rPr>
      </w:pPr>
    </w:p>
    <w:p w:rsidR="005A745D" w:rsidRPr="008C6145" w:rsidRDefault="00DC767F" w:rsidP="00DC767F">
      <w:pPr>
        <w:tabs>
          <w:tab w:val="left" w:pos="-720"/>
        </w:tabs>
        <w:suppressAutoHyphens/>
        <w:ind w:firstLine="0"/>
        <w:rPr>
          <w:szCs w:val="26"/>
        </w:rPr>
      </w:pPr>
      <w:r w:rsidRPr="008C6145">
        <w:rPr>
          <w:szCs w:val="26"/>
        </w:rPr>
        <w:tab/>
      </w:r>
      <w:r w:rsidRPr="008C6145">
        <w:rPr>
          <w:szCs w:val="26"/>
        </w:rPr>
        <w:tab/>
      </w:r>
      <w:r w:rsidR="00A37EA1">
        <w:rPr>
          <w:szCs w:val="26"/>
        </w:rPr>
        <w:t>6</w:t>
      </w:r>
      <w:r w:rsidRPr="008C6145">
        <w:rPr>
          <w:szCs w:val="26"/>
        </w:rPr>
        <w:t>.</w:t>
      </w:r>
      <w:r w:rsidRPr="008C6145">
        <w:rPr>
          <w:szCs w:val="26"/>
        </w:rPr>
        <w:tab/>
      </w:r>
      <w:r w:rsidR="0063178C" w:rsidRPr="008C6145">
        <w:rPr>
          <w:szCs w:val="26"/>
        </w:rPr>
        <w:t xml:space="preserve">That within sixty </w:t>
      </w:r>
      <w:r w:rsidR="00E83615" w:rsidRPr="008C6145">
        <w:rPr>
          <w:szCs w:val="26"/>
        </w:rPr>
        <w:t xml:space="preserve">(60) </w:t>
      </w:r>
      <w:r w:rsidR="0063178C" w:rsidRPr="008C6145">
        <w:rPr>
          <w:szCs w:val="26"/>
        </w:rPr>
        <w:t xml:space="preserve">days of the entry of this Opinion and Order, PPL Electric Utilities Corporation shall </w:t>
      </w:r>
      <w:r w:rsidR="00651474" w:rsidRPr="008C6145">
        <w:rPr>
          <w:szCs w:val="26"/>
        </w:rPr>
        <w:t>file with</w:t>
      </w:r>
      <w:r w:rsidR="0063178C" w:rsidRPr="008C6145">
        <w:rPr>
          <w:szCs w:val="26"/>
        </w:rPr>
        <w:t xml:space="preserve"> the Office of Administrative Law Judge, the Commission Secretary and Mr. L</w:t>
      </w:r>
      <w:r w:rsidR="005A745D" w:rsidRPr="008C6145">
        <w:rPr>
          <w:szCs w:val="26"/>
        </w:rPr>
        <w:t xml:space="preserve">arry Moyer, a tabulation that reflects the following </w:t>
      </w:r>
      <w:r w:rsidR="00A45773" w:rsidRPr="008C6145">
        <w:rPr>
          <w:i/>
          <w:szCs w:val="26"/>
        </w:rPr>
        <w:t>actual</w:t>
      </w:r>
      <w:r w:rsidR="00A45773" w:rsidRPr="008C6145">
        <w:rPr>
          <w:szCs w:val="26"/>
        </w:rPr>
        <w:t xml:space="preserve"> </w:t>
      </w:r>
      <w:r w:rsidR="005A745D" w:rsidRPr="008C6145">
        <w:rPr>
          <w:szCs w:val="26"/>
        </w:rPr>
        <w:t>information on a monthly basis between Ma</w:t>
      </w:r>
      <w:r w:rsidR="005203FD">
        <w:rPr>
          <w:szCs w:val="26"/>
        </w:rPr>
        <w:t xml:space="preserve">rch </w:t>
      </w:r>
      <w:r w:rsidR="005A745D" w:rsidRPr="008C6145">
        <w:rPr>
          <w:szCs w:val="26"/>
        </w:rPr>
        <w:t xml:space="preserve">2009 and </w:t>
      </w:r>
      <w:r w:rsidR="005203FD">
        <w:rPr>
          <w:szCs w:val="26"/>
        </w:rPr>
        <w:t xml:space="preserve">the </w:t>
      </w:r>
      <w:r w:rsidR="00067FA0">
        <w:rPr>
          <w:szCs w:val="26"/>
        </w:rPr>
        <w:t xml:space="preserve">last full monthly </w:t>
      </w:r>
      <w:r w:rsidR="00067FA0">
        <w:rPr>
          <w:szCs w:val="26"/>
        </w:rPr>
        <w:lastRenderedPageBreak/>
        <w:t xml:space="preserve">billing periods for the two accounts at issue in this proceeding that ended prior to the </w:t>
      </w:r>
      <w:r w:rsidR="005203FD">
        <w:rPr>
          <w:szCs w:val="26"/>
        </w:rPr>
        <w:t>entry date of this Opinion and Order.</w:t>
      </w:r>
    </w:p>
    <w:p w:rsidR="00C709DD" w:rsidRPr="008C6145" w:rsidRDefault="00C709DD" w:rsidP="00C709DD">
      <w:pPr>
        <w:tabs>
          <w:tab w:val="left" w:pos="-720"/>
        </w:tabs>
        <w:suppressAutoHyphens/>
        <w:spacing w:line="240" w:lineRule="auto"/>
        <w:ind w:firstLine="0"/>
        <w:rPr>
          <w:szCs w:val="26"/>
        </w:rPr>
      </w:pPr>
    </w:p>
    <w:p w:rsidR="005A745D" w:rsidRPr="008C6145" w:rsidRDefault="005A745D" w:rsidP="00C42BD6">
      <w:pPr>
        <w:pStyle w:val="ListParagraph"/>
        <w:numPr>
          <w:ilvl w:val="0"/>
          <w:numId w:val="28"/>
        </w:numPr>
        <w:tabs>
          <w:tab w:val="left" w:pos="-720"/>
        </w:tabs>
        <w:suppressAutoHyphens/>
        <w:spacing w:after="120" w:line="240" w:lineRule="auto"/>
        <w:ind w:left="2880" w:hanging="720"/>
        <w:rPr>
          <w:szCs w:val="26"/>
        </w:rPr>
      </w:pPr>
      <w:r w:rsidRPr="008C6145">
        <w:rPr>
          <w:szCs w:val="26"/>
        </w:rPr>
        <w:t xml:space="preserve">the meter readings at the host and satellite locations; </w:t>
      </w:r>
    </w:p>
    <w:p w:rsidR="005A745D" w:rsidRPr="008C6145" w:rsidRDefault="005A745D" w:rsidP="00C42BD6">
      <w:pPr>
        <w:pStyle w:val="ListParagraph"/>
        <w:numPr>
          <w:ilvl w:val="0"/>
          <w:numId w:val="28"/>
        </w:numPr>
        <w:tabs>
          <w:tab w:val="left" w:pos="-720"/>
        </w:tabs>
        <w:suppressAutoHyphens/>
        <w:spacing w:after="120" w:line="240" w:lineRule="auto"/>
        <w:ind w:left="2880" w:hanging="720"/>
        <w:rPr>
          <w:szCs w:val="26"/>
        </w:rPr>
      </w:pPr>
      <w:r w:rsidRPr="008C6145">
        <w:rPr>
          <w:szCs w:val="26"/>
        </w:rPr>
        <w:t>the excess generation from the host account that was applied to the satellite account;</w:t>
      </w:r>
    </w:p>
    <w:p w:rsidR="00651474" w:rsidRPr="008C6145" w:rsidRDefault="00651474" w:rsidP="00C42BD6">
      <w:pPr>
        <w:pStyle w:val="ListParagraph"/>
        <w:numPr>
          <w:ilvl w:val="0"/>
          <w:numId w:val="28"/>
        </w:numPr>
        <w:tabs>
          <w:tab w:val="left" w:pos="-720"/>
        </w:tabs>
        <w:suppressAutoHyphens/>
        <w:spacing w:after="120" w:line="240" w:lineRule="auto"/>
        <w:ind w:left="2880" w:hanging="720"/>
        <w:rPr>
          <w:szCs w:val="26"/>
        </w:rPr>
      </w:pPr>
      <w:r w:rsidRPr="008C6145">
        <w:rPr>
          <w:szCs w:val="26"/>
        </w:rPr>
        <w:t>the rate that was used to place a value on the excess generation from the host account that was applied to the satellite account;</w:t>
      </w:r>
    </w:p>
    <w:p w:rsidR="005A745D" w:rsidRPr="008C6145" w:rsidRDefault="005A745D" w:rsidP="00C42BD6">
      <w:pPr>
        <w:pStyle w:val="ListParagraph"/>
        <w:numPr>
          <w:ilvl w:val="0"/>
          <w:numId w:val="28"/>
        </w:numPr>
        <w:tabs>
          <w:tab w:val="left" w:pos="-720"/>
        </w:tabs>
        <w:suppressAutoHyphens/>
        <w:spacing w:after="120" w:line="240" w:lineRule="auto"/>
        <w:ind w:left="2880" w:hanging="720"/>
        <w:rPr>
          <w:szCs w:val="26"/>
        </w:rPr>
      </w:pPr>
      <w:r w:rsidRPr="008C6145">
        <w:rPr>
          <w:szCs w:val="26"/>
        </w:rPr>
        <w:t>the usage at the satellite account;</w:t>
      </w:r>
    </w:p>
    <w:p w:rsidR="00DC767F" w:rsidRPr="008C6145" w:rsidRDefault="00DC767F" w:rsidP="00C42BD6">
      <w:pPr>
        <w:pStyle w:val="ListParagraph"/>
        <w:numPr>
          <w:ilvl w:val="0"/>
          <w:numId w:val="28"/>
        </w:numPr>
        <w:tabs>
          <w:tab w:val="left" w:pos="-720"/>
        </w:tabs>
        <w:suppressAutoHyphens/>
        <w:spacing w:after="120" w:line="240" w:lineRule="auto"/>
        <w:ind w:left="2880" w:hanging="720"/>
        <w:rPr>
          <w:szCs w:val="26"/>
        </w:rPr>
      </w:pPr>
      <w:r w:rsidRPr="008C6145">
        <w:rPr>
          <w:szCs w:val="26"/>
        </w:rPr>
        <w:t xml:space="preserve">any net usage that was billed to </w:t>
      </w:r>
      <w:r w:rsidR="00295406" w:rsidRPr="008C6145">
        <w:rPr>
          <w:szCs w:val="26"/>
        </w:rPr>
        <w:t>Complainant</w:t>
      </w:r>
      <w:r w:rsidRPr="008C6145">
        <w:rPr>
          <w:szCs w:val="26"/>
        </w:rPr>
        <w:t xml:space="preserve"> for the satellite account</w:t>
      </w:r>
      <w:r w:rsidR="00AA7393">
        <w:rPr>
          <w:szCs w:val="26"/>
        </w:rPr>
        <w:t>;</w:t>
      </w:r>
      <w:r w:rsidRPr="008C6145">
        <w:rPr>
          <w:szCs w:val="26"/>
        </w:rPr>
        <w:t xml:space="preserve"> </w:t>
      </w:r>
    </w:p>
    <w:p w:rsidR="00A37B5C" w:rsidRPr="008C6145" w:rsidRDefault="00A37B5C" w:rsidP="00C42BD6">
      <w:pPr>
        <w:pStyle w:val="ListParagraph"/>
        <w:numPr>
          <w:ilvl w:val="0"/>
          <w:numId w:val="28"/>
        </w:numPr>
        <w:tabs>
          <w:tab w:val="left" w:pos="-720"/>
        </w:tabs>
        <w:suppressAutoHyphens/>
        <w:spacing w:after="120" w:line="240" w:lineRule="auto"/>
        <w:ind w:left="2880" w:hanging="720"/>
        <w:rPr>
          <w:szCs w:val="26"/>
        </w:rPr>
      </w:pPr>
      <w:r w:rsidRPr="008C6145">
        <w:rPr>
          <w:szCs w:val="26"/>
        </w:rPr>
        <w:t>any payments made by Mr. Moyer</w:t>
      </w:r>
      <w:r w:rsidR="00AA7393">
        <w:rPr>
          <w:szCs w:val="26"/>
        </w:rPr>
        <w:t>;</w:t>
      </w:r>
      <w:r w:rsidRPr="008C6145">
        <w:rPr>
          <w:szCs w:val="26"/>
        </w:rPr>
        <w:t xml:space="preserve"> </w:t>
      </w:r>
    </w:p>
    <w:p w:rsidR="00DC767F" w:rsidRPr="008C6145" w:rsidRDefault="00DC767F" w:rsidP="00C42BD6">
      <w:pPr>
        <w:pStyle w:val="ListParagraph"/>
        <w:numPr>
          <w:ilvl w:val="0"/>
          <w:numId w:val="28"/>
        </w:numPr>
        <w:tabs>
          <w:tab w:val="left" w:pos="-720"/>
        </w:tabs>
        <w:suppressAutoHyphens/>
        <w:spacing w:after="120" w:line="240" w:lineRule="auto"/>
        <w:ind w:left="2880" w:hanging="720"/>
        <w:rPr>
          <w:szCs w:val="26"/>
        </w:rPr>
      </w:pPr>
      <w:r w:rsidRPr="008C6145">
        <w:rPr>
          <w:szCs w:val="26"/>
        </w:rPr>
        <w:t>any excess energy that was banked at the satellite account</w:t>
      </w:r>
      <w:r w:rsidR="00DE0102">
        <w:rPr>
          <w:szCs w:val="26"/>
        </w:rPr>
        <w:t>;</w:t>
      </w:r>
    </w:p>
    <w:p w:rsidR="005A745D" w:rsidRPr="008C6145" w:rsidRDefault="00DC767F" w:rsidP="00C42BD6">
      <w:pPr>
        <w:pStyle w:val="ListParagraph"/>
        <w:numPr>
          <w:ilvl w:val="0"/>
          <w:numId w:val="28"/>
        </w:numPr>
        <w:tabs>
          <w:tab w:val="left" w:pos="-720"/>
        </w:tabs>
        <w:suppressAutoHyphens/>
        <w:spacing w:after="120" w:line="240" w:lineRule="auto"/>
        <w:ind w:left="2880" w:hanging="720"/>
        <w:rPr>
          <w:szCs w:val="26"/>
        </w:rPr>
      </w:pPr>
      <w:r w:rsidRPr="008C6145">
        <w:rPr>
          <w:szCs w:val="26"/>
        </w:rPr>
        <w:t xml:space="preserve">the total energy banked; </w:t>
      </w:r>
      <w:r w:rsidR="005B3719" w:rsidRPr="008C6145">
        <w:rPr>
          <w:szCs w:val="26"/>
        </w:rPr>
        <w:t xml:space="preserve">and </w:t>
      </w:r>
    </w:p>
    <w:p w:rsidR="00DC767F" w:rsidRDefault="00DC767F" w:rsidP="00C42BD6">
      <w:pPr>
        <w:pStyle w:val="ListParagraph"/>
        <w:numPr>
          <w:ilvl w:val="0"/>
          <w:numId w:val="28"/>
        </w:numPr>
        <w:tabs>
          <w:tab w:val="left" w:pos="-720"/>
        </w:tabs>
        <w:suppressAutoHyphens/>
        <w:spacing w:after="120" w:line="240" w:lineRule="auto"/>
        <w:ind w:left="2880" w:hanging="720"/>
        <w:rPr>
          <w:szCs w:val="26"/>
        </w:rPr>
      </w:pPr>
      <w:proofErr w:type="gramStart"/>
      <w:r w:rsidRPr="008C6145">
        <w:rPr>
          <w:szCs w:val="26"/>
        </w:rPr>
        <w:t>any</w:t>
      </w:r>
      <w:proofErr w:type="gramEnd"/>
      <w:r w:rsidRPr="008C6145">
        <w:rPr>
          <w:szCs w:val="26"/>
        </w:rPr>
        <w:t xml:space="preserve"> cash</w:t>
      </w:r>
      <w:r w:rsidR="002526CB" w:rsidRPr="008C6145">
        <w:rPr>
          <w:szCs w:val="26"/>
        </w:rPr>
        <w:t>-</w:t>
      </w:r>
      <w:r w:rsidRPr="008C6145">
        <w:rPr>
          <w:szCs w:val="26"/>
        </w:rPr>
        <w:t xml:space="preserve">out payments made to </w:t>
      </w:r>
      <w:r w:rsidR="00295406" w:rsidRPr="008C6145">
        <w:rPr>
          <w:szCs w:val="26"/>
        </w:rPr>
        <w:t>Complainant</w:t>
      </w:r>
      <w:r w:rsidR="00651474" w:rsidRPr="008C6145">
        <w:rPr>
          <w:szCs w:val="26"/>
        </w:rPr>
        <w:t xml:space="preserve"> and the </w:t>
      </w:r>
      <w:r w:rsidR="00CD3972" w:rsidRPr="008C6145">
        <w:rPr>
          <w:szCs w:val="26"/>
        </w:rPr>
        <w:t>p</w:t>
      </w:r>
      <w:r w:rsidR="00651474" w:rsidRPr="008C6145">
        <w:rPr>
          <w:szCs w:val="26"/>
        </w:rPr>
        <w:t xml:space="preserve">rice to </w:t>
      </w:r>
      <w:r w:rsidR="00CD3972" w:rsidRPr="008C6145">
        <w:rPr>
          <w:szCs w:val="26"/>
        </w:rPr>
        <w:t>c</w:t>
      </w:r>
      <w:r w:rsidR="00651474" w:rsidRPr="008C6145">
        <w:rPr>
          <w:szCs w:val="26"/>
        </w:rPr>
        <w:t>ompare used to calculate those cash</w:t>
      </w:r>
      <w:r w:rsidR="00E830F4" w:rsidRPr="008C6145">
        <w:rPr>
          <w:szCs w:val="26"/>
        </w:rPr>
        <w:t>-out</w:t>
      </w:r>
      <w:r w:rsidR="00651474" w:rsidRPr="008C6145">
        <w:rPr>
          <w:szCs w:val="26"/>
        </w:rPr>
        <w:t xml:space="preserve"> payments</w:t>
      </w:r>
      <w:r w:rsidRPr="008C6145">
        <w:rPr>
          <w:szCs w:val="26"/>
        </w:rPr>
        <w:t>.</w:t>
      </w:r>
    </w:p>
    <w:p w:rsidR="0032784E" w:rsidRPr="0032784E" w:rsidRDefault="0032784E" w:rsidP="0032784E">
      <w:pPr>
        <w:tabs>
          <w:tab w:val="left" w:pos="-720"/>
        </w:tabs>
        <w:suppressAutoHyphens/>
        <w:spacing w:after="120" w:line="240" w:lineRule="auto"/>
        <w:ind w:left="2160" w:firstLine="0"/>
        <w:rPr>
          <w:szCs w:val="26"/>
        </w:rPr>
      </w:pPr>
    </w:p>
    <w:p w:rsidR="00C709DD" w:rsidRPr="008C6145" w:rsidRDefault="00C709DD" w:rsidP="00C40723">
      <w:pPr>
        <w:ind w:firstLine="0"/>
        <w:rPr>
          <w:szCs w:val="26"/>
        </w:rPr>
      </w:pPr>
      <w:r w:rsidRPr="008C6145">
        <w:rPr>
          <w:szCs w:val="26"/>
        </w:rPr>
        <w:tab/>
      </w:r>
      <w:r w:rsidRPr="008C6145">
        <w:rPr>
          <w:szCs w:val="26"/>
        </w:rPr>
        <w:tab/>
      </w:r>
      <w:r w:rsidR="00A37EA1">
        <w:rPr>
          <w:szCs w:val="26"/>
        </w:rPr>
        <w:t>7</w:t>
      </w:r>
      <w:r w:rsidRPr="008C6145">
        <w:rPr>
          <w:szCs w:val="26"/>
        </w:rPr>
        <w:t xml:space="preserve">. </w:t>
      </w:r>
      <w:r w:rsidRPr="008C6145">
        <w:rPr>
          <w:szCs w:val="26"/>
        </w:rPr>
        <w:tab/>
      </w:r>
      <w:r w:rsidR="00B2747A" w:rsidRPr="008C6145">
        <w:rPr>
          <w:szCs w:val="26"/>
        </w:rPr>
        <w:t xml:space="preserve">That </w:t>
      </w:r>
      <w:r w:rsidRPr="008C6145">
        <w:rPr>
          <w:szCs w:val="26"/>
        </w:rPr>
        <w:t xml:space="preserve">PPL Electric Utilities Corporation shall </w:t>
      </w:r>
      <w:r w:rsidR="00B2747A" w:rsidRPr="008C6145">
        <w:rPr>
          <w:szCs w:val="26"/>
        </w:rPr>
        <w:t xml:space="preserve">utilize the relevant data </w:t>
      </w:r>
      <w:r w:rsidRPr="008C6145">
        <w:rPr>
          <w:szCs w:val="26"/>
        </w:rPr>
        <w:t>submit</w:t>
      </w:r>
      <w:r w:rsidR="00B2747A" w:rsidRPr="008C6145">
        <w:rPr>
          <w:szCs w:val="26"/>
        </w:rPr>
        <w:t xml:space="preserve">ted in response to Ordering Paragraph No. </w:t>
      </w:r>
      <w:r w:rsidR="006A0C2F">
        <w:rPr>
          <w:szCs w:val="26"/>
        </w:rPr>
        <w:t>6</w:t>
      </w:r>
      <w:r w:rsidR="00B2747A" w:rsidRPr="008C6145">
        <w:rPr>
          <w:szCs w:val="26"/>
        </w:rPr>
        <w:t xml:space="preserve">, </w:t>
      </w:r>
      <w:r w:rsidR="00B2747A" w:rsidRPr="008C6145">
        <w:rPr>
          <w:i/>
          <w:szCs w:val="26"/>
        </w:rPr>
        <w:t>supra</w:t>
      </w:r>
      <w:r w:rsidR="00B2747A" w:rsidRPr="008C6145">
        <w:rPr>
          <w:szCs w:val="26"/>
        </w:rPr>
        <w:t xml:space="preserve">, to demonstrate </w:t>
      </w:r>
      <w:r w:rsidR="00E83615" w:rsidRPr="008C6145">
        <w:rPr>
          <w:szCs w:val="26"/>
        </w:rPr>
        <w:t>the amount of credits and cash</w:t>
      </w:r>
      <w:r w:rsidR="002526CB" w:rsidRPr="008C6145">
        <w:rPr>
          <w:szCs w:val="26"/>
        </w:rPr>
        <w:t>-</w:t>
      </w:r>
      <w:r w:rsidR="00E83615" w:rsidRPr="008C6145">
        <w:rPr>
          <w:szCs w:val="26"/>
        </w:rPr>
        <w:t xml:space="preserve">out payments </w:t>
      </w:r>
      <w:r w:rsidR="00295406" w:rsidRPr="008C6145">
        <w:rPr>
          <w:szCs w:val="26"/>
        </w:rPr>
        <w:t>Complainant</w:t>
      </w:r>
      <w:r w:rsidR="00E83615" w:rsidRPr="008C6145">
        <w:rPr>
          <w:szCs w:val="26"/>
        </w:rPr>
        <w:t xml:space="preserve"> </w:t>
      </w:r>
      <w:r w:rsidR="00A37B5C" w:rsidRPr="008C6145">
        <w:rPr>
          <w:szCs w:val="26"/>
        </w:rPr>
        <w:t>sh</w:t>
      </w:r>
      <w:r w:rsidR="00E83615" w:rsidRPr="008C6145">
        <w:rPr>
          <w:szCs w:val="26"/>
        </w:rPr>
        <w:t xml:space="preserve">ould have </w:t>
      </w:r>
      <w:r w:rsidR="00516C1A" w:rsidRPr="008C6145">
        <w:rPr>
          <w:szCs w:val="26"/>
        </w:rPr>
        <w:t xml:space="preserve">received </w:t>
      </w:r>
      <w:r w:rsidR="00E83615" w:rsidRPr="008C6145">
        <w:rPr>
          <w:szCs w:val="26"/>
        </w:rPr>
        <w:t xml:space="preserve">between </w:t>
      </w:r>
      <w:r w:rsidR="00560B3C">
        <w:rPr>
          <w:szCs w:val="26"/>
        </w:rPr>
        <w:t>April</w:t>
      </w:r>
      <w:r w:rsidR="00A37B5C" w:rsidRPr="008C6145">
        <w:rPr>
          <w:szCs w:val="26"/>
        </w:rPr>
        <w:t xml:space="preserve"> 2009</w:t>
      </w:r>
      <w:r w:rsidR="0050259C">
        <w:rPr>
          <w:szCs w:val="26"/>
        </w:rPr>
        <w:t>,</w:t>
      </w:r>
      <w:r w:rsidR="00E83615" w:rsidRPr="008C6145">
        <w:rPr>
          <w:szCs w:val="26"/>
        </w:rPr>
        <w:t xml:space="preserve"> </w:t>
      </w:r>
      <w:r w:rsidR="00272E7B" w:rsidRPr="008C6145">
        <w:rPr>
          <w:szCs w:val="26"/>
        </w:rPr>
        <w:t>and</w:t>
      </w:r>
      <w:r w:rsidR="00E83615" w:rsidRPr="008C6145">
        <w:rPr>
          <w:szCs w:val="26"/>
        </w:rPr>
        <w:t xml:space="preserve"> </w:t>
      </w:r>
      <w:r w:rsidR="00E1548A">
        <w:rPr>
          <w:szCs w:val="26"/>
        </w:rPr>
        <w:t xml:space="preserve">the monthly billing periods ending prior to </w:t>
      </w:r>
      <w:r w:rsidR="006A0C2F">
        <w:rPr>
          <w:szCs w:val="26"/>
        </w:rPr>
        <w:t>the entry date of this Opinion and Order.</w:t>
      </w:r>
      <w:r w:rsidR="00B2747A" w:rsidRPr="008C6145">
        <w:rPr>
          <w:szCs w:val="26"/>
        </w:rPr>
        <w:t xml:space="preserve"> </w:t>
      </w:r>
      <w:r w:rsidR="00294250">
        <w:rPr>
          <w:szCs w:val="26"/>
        </w:rPr>
        <w:t xml:space="preserve"> </w:t>
      </w:r>
      <w:r w:rsidR="00E83615" w:rsidRPr="008C6145">
        <w:rPr>
          <w:szCs w:val="26"/>
        </w:rPr>
        <w:t>This information shall be submitted to the Of</w:t>
      </w:r>
      <w:r w:rsidRPr="008C6145">
        <w:rPr>
          <w:szCs w:val="26"/>
        </w:rPr>
        <w:t>fice of Administrative Law Judge, the Commission Secretary and Mr. Larry Moyer</w:t>
      </w:r>
      <w:r w:rsidR="00E83615" w:rsidRPr="008C6145">
        <w:rPr>
          <w:szCs w:val="26"/>
        </w:rPr>
        <w:t xml:space="preserve"> within sixty (60) days of the entry of this Opinion and Order. </w:t>
      </w:r>
    </w:p>
    <w:p w:rsidR="00DC767F" w:rsidRPr="008C6145" w:rsidRDefault="00DC767F" w:rsidP="0063178C">
      <w:pPr>
        <w:tabs>
          <w:tab w:val="left" w:pos="-720"/>
        </w:tabs>
        <w:suppressAutoHyphens/>
        <w:ind w:firstLine="0"/>
        <w:rPr>
          <w:szCs w:val="26"/>
        </w:rPr>
      </w:pPr>
    </w:p>
    <w:p w:rsidR="00A45773" w:rsidRDefault="00A45773" w:rsidP="00DE0102">
      <w:pPr>
        <w:tabs>
          <w:tab w:val="left" w:pos="-720"/>
        </w:tabs>
        <w:suppressAutoHyphens/>
        <w:ind w:firstLine="0"/>
        <w:rPr>
          <w:szCs w:val="26"/>
        </w:rPr>
      </w:pPr>
      <w:r w:rsidRPr="008C6145">
        <w:rPr>
          <w:szCs w:val="26"/>
        </w:rPr>
        <w:tab/>
      </w:r>
      <w:r w:rsidRPr="008C6145">
        <w:rPr>
          <w:szCs w:val="26"/>
        </w:rPr>
        <w:tab/>
      </w:r>
      <w:r w:rsidR="00A37EA1">
        <w:rPr>
          <w:szCs w:val="26"/>
        </w:rPr>
        <w:t>8</w:t>
      </w:r>
      <w:r w:rsidRPr="008C6145">
        <w:rPr>
          <w:szCs w:val="26"/>
        </w:rPr>
        <w:t>.</w:t>
      </w:r>
      <w:r w:rsidRPr="008C6145">
        <w:rPr>
          <w:szCs w:val="26"/>
        </w:rPr>
        <w:tab/>
      </w:r>
      <w:r w:rsidR="00272E7B" w:rsidRPr="008C6145">
        <w:rPr>
          <w:szCs w:val="26"/>
        </w:rPr>
        <w:t xml:space="preserve">That following the submission of data to be supplied by PPL pursuant to Ordering </w:t>
      </w:r>
      <w:r w:rsidR="00A37B5C" w:rsidRPr="008C6145">
        <w:rPr>
          <w:szCs w:val="26"/>
        </w:rPr>
        <w:t>P</w:t>
      </w:r>
      <w:r w:rsidR="00272E7B" w:rsidRPr="008C6145">
        <w:rPr>
          <w:szCs w:val="26"/>
        </w:rPr>
        <w:t xml:space="preserve">aragraphs Nos. </w:t>
      </w:r>
      <w:r w:rsidR="006A0C2F">
        <w:rPr>
          <w:szCs w:val="26"/>
        </w:rPr>
        <w:t>6</w:t>
      </w:r>
      <w:r w:rsidR="00272E7B" w:rsidRPr="008C6145">
        <w:rPr>
          <w:szCs w:val="26"/>
        </w:rPr>
        <w:t xml:space="preserve"> and </w:t>
      </w:r>
      <w:r w:rsidR="006A0C2F">
        <w:rPr>
          <w:szCs w:val="26"/>
        </w:rPr>
        <w:t>7</w:t>
      </w:r>
      <w:r w:rsidR="00272E7B" w:rsidRPr="008C6145">
        <w:rPr>
          <w:szCs w:val="26"/>
        </w:rPr>
        <w:t xml:space="preserve">, </w:t>
      </w:r>
      <w:r w:rsidR="00272E7B" w:rsidRPr="008C6145">
        <w:rPr>
          <w:i/>
          <w:szCs w:val="26"/>
        </w:rPr>
        <w:t>supra</w:t>
      </w:r>
      <w:r w:rsidR="00272E7B" w:rsidRPr="008C6145">
        <w:rPr>
          <w:szCs w:val="26"/>
        </w:rPr>
        <w:t xml:space="preserve">, if PPL Electric Utilities </w:t>
      </w:r>
      <w:r w:rsidR="005C2AEC" w:rsidRPr="008C6145">
        <w:rPr>
          <w:szCs w:val="26"/>
        </w:rPr>
        <w:t xml:space="preserve">Corporation </w:t>
      </w:r>
      <w:r w:rsidR="00272E7B" w:rsidRPr="008C6145">
        <w:rPr>
          <w:szCs w:val="26"/>
        </w:rPr>
        <w:t>and Mr. Larry Moyer a</w:t>
      </w:r>
      <w:r w:rsidR="00014B3E" w:rsidRPr="008C6145">
        <w:rPr>
          <w:szCs w:val="26"/>
        </w:rPr>
        <w:t xml:space="preserve">re unable to </w:t>
      </w:r>
      <w:r w:rsidR="00A37B5C" w:rsidRPr="008C6145">
        <w:rPr>
          <w:szCs w:val="26"/>
        </w:rPr>
        <w:t xml:space="preserve">agree </w:t>
      </w:r>
      <w:r w:rsidR="00014B3E" w:rsidRPr="008C6145">
        <w:rPr>
          <w:szCs w:val="26"/>
        </w:rPr>
        <w:t>on the issues related to billing, credits and payments, Mr. Larry Moyer may request that the O</w:t>
      </w:r>
      <w:r w:rsidR="005C2AEC" w:rsidRPr="008C6145">
        <w:rPr>
          <w:szCs w:val="26"/>
        </w:rPr>
        <w:t>ffice of Administrative Law Judge</w:t>
      </w:r>
      <w:r w:rsidR="00014B3E" w:rsidRPr="008C6145">
        <w:rPr>
          <w:szCs w:val="26"/>
        </w:rPr>
        <w:t xml:space="preserve"> schedule further hearings.  Mr.</w:t>
      </w:r>
      <w:r w:rsidR="00A37B5C" w:rsidRPr="008C6145">
        <w:rPr>
          <w:szCs w:val="26"/>
        </w:rPr>
        <w:t xml:space="preserve"> </w:t>
      </w:r>
      <w:r w:rsidR="00014B3E" w:rsidRPr="008C6145">
        <w:rPr>
          <w:szCs w:val="26"/>
        </w:rPr>
        <w:t>Moyer</w:t>
      </w:r>
      <w:r w:rsidR="001903CC" w:rsidRPr="008C6145">
        <w:rPr>
          <w:szCs w:val="26"/>
        </w:rPr>
        <w:t>’</w:t>
      </w:r>
      <w:r w:rsidR="00014B3E" w:rsidRPr="008C6145">
        <w:rPr>
          <w:szCs w:val="26"/>
        </w:rPr>
        <w:t xml:space="preserve">s request for further hearings must </w:t>
      </w:r>
      <w:r w:rsidR="00014B3E" w:rsidRPr="008C6145">
        <w:rPr>
          <w:szCs w:val="26"/>
        </w:rPr>
        <w:lastRenderedPageBreak/>
        <w:t xml:space="preserve">delineate </w:t>
      </w:r>
      <w:r w:rsidR="00014B3E" w:rsidRPr="008C6145">
        <w:rPr>
          <w:i/>
          <w:szCs w:val="26"/>
        </w:rPr>
        <w:t xml:space="preserve">specific </w:t>
      </w:r>
      <w:r w:rsidR="00014B3E" w:rsidRPr="008C6145">
        <w:rPr>
          <w:szCs w:val="26"/>
        </w:rPr>
        <w:t>error</w:t>
      </w:r>
      <w:r w:rsidRPr="008C6145">
        <w:rPr>
          <w:szCs w:val="26"/>
        </w:rPr>
        <w:t>s</w:t>
      </w:r>
      <w:r w:rsidR="00014B3E" w:rsidRPr="008C6145">
        <w:rPr>
          <w:szCs w:val="26"/>
        </w:rPr>
        <w:t xml:space="preserve"> in the bills, credit</w:t>
      </w:r>
      <w:r w:rsidR="002526CB" w:rsidRPr="008C6145">
        <w:rPr>
          <w:szCs w:val="26"/>
        </w:rPr>
        <w:t>s</w:t>
      </w:r>
      <w:r w:rsidR="00014B3E" w:rsidRPr="008C6145">
        <w:rPr>
          <w:szCs w:val="26"/>
        </w:rPr>
        <w:t xml:space="preserve"> and payments rendered by PPL </w:t>
      </w:r>
      <w:r w:rsidR="005C2AEC" w:rsidRPr="008C6145">
        <w:rPr>
          <w:szCs w:val="26"/>
        </w:rPr>
        <w:t xml:space="preserve">Electric Utilities Corporation </w:t>
      </w:r>
      <w:r w:rsidR="00014B3E" w:rsidRPr="008C6145">
        <w:rPr>
          <w:szCs w:val="26"/>
        </w:rPr>
        <w:t xml:space="preserve">between </w:t>
      </w:r>
      <w:r w:rsidR="00560B3C">
        <w:rPr>
          <w:szCs w:val="26"/>
        </w:rPr>
        <w:t>April</w:t>
      </w:r>
      <w:r w:rsidRPr="008C6145">
        <w:rPr>
          <w:szCs w:val="26"/>
        </w:rPr>
        <w:t xml:space="preserve"> 2009</w:t>
      </w:r>
      <w:r w:rsidR="0050259C">
        <w:rPr>
          <w:szCs w:val="26"/>
        </w:rPr>
        <w:t>,</w:t>
      </w:r>
      <w:r w:rsidRPr="008C6145">
        <w:rPr>
          <w:szCs w:val="26"/>
        </w:rPr>
        <w:t xml:space="preserve"> and </w:t>
      </w:r>
      <w:r w:rsidR="00725033">
        <w:rPr>
          <w:szCs w:val="26"/>
        </w:rPr>
        <w:t xml:space="preserve">the </w:t>
      </w:r>
      <w:r w:rsidR="00E1548A">
        <w:rPr>
          <w:szCs w:val="26"/>
        </w:rPr>
        <w:t xml:space="preserve">monthly billing periods ending prior to </w:t>
      </w:r>
      <w:r w:rsidR="006A0C2F">
        <w:rPr>
          <w:szCs w:val="26"/>
        </w:rPr>
        <w:t>e</w:t>
      </w:r>
      <w:r w:rsidR="00725033">
        <w:rPr>
          <w:szCs w:val="26"/>
        </w:rPr>
        <w:t xml:space="preserve">ntry </w:t>
      </w:r>
      <w:r w:rsidR="006A0C2F">
        <w:rPr>
          <w:szCs w:val="26"/>
        </w:rPr>
        <w:t xml:space="preserve">date </w:t>
      </w:r>
      <w:r w:rsidR="00725033">
        <w:rPr>
          <w:szCs w:val="26"/>
        </w:rPr>
        <w:t xml:space="preserve">of this Opinion and Order. </w:t>
      </w:r>
      <w:r w:rsidRPr="008C6145">
        <w:rPr>
          <w:szCs w:val="26"/>
        </w:rPr>
        <w:t xml:space="preserve"> </w:t>
      </w:r>
    </w:p>
    <w:p w:rsidR="00E86F83" w:rsidRDefault="00E86F83" w:rsidP="00DE0102">
      <w:pPr>
        <w:tabs>
          <w:tab w:val="left" w:pos="-720"/>
        </w:tabs>
        <w:suppressAutoHyphens/>
        <w:ind w:firstLine="0"/>
        <w:rPr>
          <w:szCs w:val="26"/>
        </w:rPr>
      </w:pPr>
    </w:p>
    <w:p w:rsidR="005601A7" w:rsidRPr="008C6145" w:rsidRDefault="00A37EA1" w:rsidP="00471E99">
      <w:pPr>
        <w:keepNext/>
        <w:keepLines/>
        <w:tabs>
          <w:tab w:val="left" w:pos="-720"/>
        </w:tabs>
        <w:suppressAutoHyphens/>
        <w:ind w:firstLine="0"/>
        <w:rPr>
          <w:szCs w:val="26"/>
        </w:rPr>
      </w:pPr>
      <w:r>
        <w:tab/>
      </w:r>
      <w:r>
        <w:tab/>
        <w:t>9.</w:t>
      </w:r>
      <w:r>
        <w:tab/>
      </w:r>
      <w:r w:rsidR="005601A7">
        <w:t>That PPL Electric Utilities Corporation shall permit Mr. Moyer to net meter his 4.75 kW solar array and</w:t>
      </w:r>
      <w:r w:rsidR="00A0204C">
        <w:t xml:space="preserve"> virtually aggregate his two existing metering accounts</w:t>
      </w:r>
      <w:r w:rsidR="005601A7">
        <w:t xml:space="preserve"> </w:t>
      </w:r>
      <w:r w:rsidR="005203FD">
        <w:t xml:space="preserve">from when Mr. Moyer’s solar array was first connected to PPL Electric Utilities Corporation’s system in March 2009, and prospectively, </w:t>
      </w:r>
      <w:r w:rsidR="006A0C2F">
        <w:t>subject to changes in applicable laws or tariffs.</w:t>
      </w:r>
    </w:p>
    <w:p w:rsidR="00A45773" w:rsidRDefault="00A45773" w:rsidP="0063178C">
      <w:pPr>
        <w:tabs>
          <w:tab w:val="left" w:pos="-720"/>
        </w:tabs>
        <w:suppressAutoHyphens/>
        <w:ind w:firstLine="0"/>
        <w:rPr>
          <w:szCs w:val="26"/>
        </w:rPr>
      </w:pPr>
    </w:p>
    <w:p w:rsidR="006A0C2F" w:rsidRDefault="00A37EA1" w:rsidP="006A0C2F">
      <w:r>
        <w:rPr>
          <w:szCs w:val="26"/>
        </w:rPr>
        <w:t>10.</w:t>
      </w:r>
      <w:r>
        <w:rPr>
          <w:szCs w:val="26"/>
        </w:rPr>
        <w:tab/>
      </w:r>
      <w:r w:rsidR="00725033">
        <w:rPr>
          <w:szCs w:val="26"/>
        </w:rPr>
        <w:t xml:space="preserve">That the Secretary shall serve a copy of this Opinion and Order on the </w:t>
      </w:r>
      <w:r w:rsidR="00E1548A">
        <w:rPr>
          <w:szCs w:val="26"/>
        </w:rPr>
        <w:t>Commission’s</w:t>
      </w:r>
      <w:r w:rsidR="00725033">
        <w:rPr>
          <w:szCs w:val="26"/>
        </w:rPr>
        <w:t xml:space="preserve"> Law Bureau </w:t>
      </w:r>
      <w:r w:rsidR="006A0C2F">
        <w:rPr>
          <w:szCs w:val="26"/>
        </w:rPr>
        <w:t>and the Law Bureau shall advise the Commission on w</w:t>
      </w:r>
      <w:r w:rsidR="006A0C2F">
        <w:t xml:space="preserve">hether our Regulations need to be clarified to address the issues raised in this proceeding. </w:t>
      </w:r>
    </w:p>
    <w:p w:rsidR="00725033" w:rsidRDefault="00725033" w:rsidP="0063178C">
      <w:pPr>
        <w:tabs>
          <w:tab w:val="left" w:pos="-720"/>
        </w:tabs>
        <w:suppressAutoHyphens/>
        <w:ind w:firstLine="0"/>
        <w:rPr>
          <w:szCs w:val="26"/>
        </w:rPr>
      </w:pPr>
    </w:p>
    <w:p w:rsidR="00725033" w:rsidRPr="008C6145" w:rsidRDefault="00725033" w:rsidP="0063178C">
      <w:pPr>
        <w:tabs>
          <w:tab w:val="left" w:pos="-720"/>
        </w:tabs>
        <w:suppressAutoHyphens/>
        <w:ind w:firstLine="0"/>
        <w:rPr>
          <w:szCs w:val="26"/>
        </w:rPr>
      </w:pPr>
    </w:p>
    <w:p w:rsidR="00F930D7" w:rsidRPr="00FB1A21" w:rsidRDefault="00E2169F" w:rsidP="00272E7B">
      <w:pPr>
        <w:tabs>
          <w:tab w:val="left" w:pos="-720"/>
        </w:tabs>
        <w:suppressAutoHyphens/>
        <w:ind w:firstLine="0"/>
        <w:rPr>
          <w:b/>
          <w:szCs w:val="26"/>
        </w:rPr>
      </w:pPr>
      <w:bookmarkStart w:id="0" w:name="_GoBack"/>
      <w:r w:rsidRPr="00D43764">
        <w:rPr>
          <w:noProof/>
        </w:rPr>
        <w:drawing>
          <wp:anchor distT="0" distB="0" distL="114300" distR="114300" simplePos="0" relativeHeight="251659264" behindDoc="1" locked="0" layoutInCell="1" allowOverlap="1" wp14:anchorId="575727EC" wp14:editId="45A38005">
            <wp:simplePos x="0" y="0"/>
            <wp:positionH relativeFrom="column">
              <wp:posOffset>3055620</wp:posOffset>
            </wp:positionH>
            <wp:positionV relativeFrom="paragraph">
              <wp:posOffset>57785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A745D" w:rsidRPr="008C6145">
        <w:rPr>
          <w:color w:val="00B050"/>
          <w:szCs w:val="26"/>
        </w:rPr>
        <w:t xml:space="preserve"> </w:t>
      </w:r>
      <w:r w:rsidR="007F5655" w:rsidRPr="008C6145">
        <w:rPr>
          <w:color w:val="00B050"/>
          <w:szCs w:val="26"/>
        </w:rPr>
        <w:tab/>
      </w:r>
      <w:r w:rsidR="00272E7B" w:rsidRPr="008C6145">
        <w:rPr>
          <w:color w:val="00B050"/>
          <w:szCs w:val="26"/>
        </w:rPr>
        <w:tab/>
      </w:r>
      <w:r w:rsidR="00272E7B" w:rsidRPr="008C6145">
        <w:rPr>
          <w:color w:val="00B050"/>
          <w:szCs w:val="26"/>
        </w:rPr>
        <w:tab/>
      </w:r>
      <w:r w:rsidR="00272E7B" w:rsidRPr="008C6145">
        <w:rPr>
          <w:color w:val="00B050"/>
          <w:szCs w:val="26"/>
        </w:rPr>
        <w:tab/>
      </w:r>
      <w:r w:rsidR="00272E7B" w:rsidRPr="008C6145">
        <w:rPr>
          <w:color w:val="00B050"/>
          <w:szCs w:val="26"/>
        </w:rPr>
        <w:tab/>
      </w:r>
      <w:r w:rsidR="00272E7B" w:rsidRPr="008C6145">
        <w:rPr>
          <w:color w:val="00B050"/>
          <w:szCs w:val="26"/>
        </w:rPr>
        <w:tab/>
      </w:r>
      <w:r w:rsidR="00272E7B" w:rsidRPr="008C6145">
        <w:rPr>
          <w:color w:val="00B050"/>
          <w:szCs w:val="26"/>
        </w:rPr>
        <w:tab/>
      </w:r>
      <w:r w:rsidR="00F930D7" w:rsidRPr="00FB1A21">
        <w:rPr>
          <w:b/>
          <w:szCs w:val="26"/>
        </w:rPr>
        <w:t>BY THE COMMISSION,</w:t>
      </w:r>
    </w:p>
    <w:p w:rsidR="00F930D7" w:rsidRPr="008C6145" w:rsidRDefault="00F930D7" w:rsidP="009B2B7B">
      <w:pPr>
        <w:tabs>
          <w:tab w:val="left" w:pos="-720"/>
        </w:tabs>
        <w:suppressAutoHyphens/>
        <w:ind w:left="5040" w:firstLine="0"/>
        <w:rPr>
          <w:szCs w:val="26"/>
        </w:rPr>
      </w:pPr>
    </w:p>
    <w:p w:rsidR="00F930D7" w:rsidRPr="008C6145" w:rsidRDefault="00F930D7" w:rsidP="009B2B7B">
      <w:pPr>
        <w:tabs>
          <w:tab w:val="left" w:pos="-720"/>
        </w:tabs>
        <w:suppressAutoHyphens/>
        <w:ind w:left="5040" w:firstLine="0"/>
        <w:rPr>
          <w:szCs w:val="26"/>
        </w:rPr>
      </w:pPr>
    </w:p>
    <w:p w:rsidR="00F930D7" w:rsidRPr="008C6145" w:rsidRDefault="009B2B7B" w:rsidP="009B2B7B">
      <w:pPr>
        <w:tabs>
          <w:tab w:val="left" w:pos="-720"/>
        </w:tabs>
        <w:suppressAutoHyphens/>
        <w:spacing w:line="240" w:lineRule="auto"/>
        <w:ind w:left="5040" w:firstLine="0"/>
        <w:rPr>
          <w:szCs w:val="26"/>
        </w:rPr>
      </w:pPr>
      <w:r w:rsidRPr="008C6145">
        <w:rPr>
          <w:szCs w:val="26"/>
        </w:rPr>
        <w:t>Rosemary Chiavetta</w:t>
      </w:r>
    </w:p>
    <w:p w:rsidR="00F930D7" w:rsidRPr="008C6145" w:rsidRDefault="00F930D7" w:rsidP="009B2B7B">
      <w:pPr>
        <w:tabs>
          <w:tab w:val="left" w:pos="-720"/>
        </w:tabs>
        <w:suppressAutoHyphens/>
        <w:spacing w:line="240" w:lineRule="auto"/>
        <w:ind w:left="5040" w:firstLine="0"/>
        <w:rPr>
          <w:szCs w:val="26"/>
        </w:rPr>
      </w:pPr>
      <w:r w:rsidRPr="008C6145">
        <w:rPr>
          <w:szCs w:val="26"/>
        </w:rPr>
        <w:t>Secretary</w:t>
      </w:r>
    </w:p>
    <w:p w:rsidR="00031444" w:rsidRPr="008C6145" w:rsidRDefault="00031444" w:rsidP="009B2B7B">
      <w:pPr>
        <w:tabs>
          <w:tab w:val="left" w:pos="-720"/>
        </w:tabs>
        <w:suppressAutoHyphens/>
        <w:spacing w:line="240" w:lineRule="auto"/>
        <w:ind w:left="5040" w:firstLine="0"/>
        <w:rPr>
          <w:szCs w:val="26"/>
        </w:rPr>
      </w:pPr>
    </w:p>
    <w:p w:rsidR="00F930D7" w:rsidRPr="008C6145" w:rsidRDefault="00F930D7" w:rsidP="00DF35F2">
      <w:pPr>
        <w:tabs>
          <w:tab w:val="left" w:pos="-720"/>
        </w:tabs>
        <w:suppressAutoHyphens/>
        <w:ind w:firstLine="0"/>
        <w:rPr>
          <w:szCs w:val="26"/>
        </w:rPr>
      </w:pPr>
      <w:r w:rsidRPr="008C6145">
        <w:rPr>
          <w:szCs w:val="26"/>
        </w:rPr>
        <w:t>(SEAL)</w:t>
      </w:r>
    </w:p>
    <w:p w:rsidR="00353CA5" w:rsidRPr="008C6145" w:rsidRDefault="00353CA5" w:rsidP="00DF35F2">
      <w:pPr>
        <w:tabs>
          <w:tab w:val="left" w:pos="-720"/>
        </w:tabs>
        <w:suppressAutoHyphens/>
        <w:ind w:firstLine="0"/>
        <w:rPr>
          <w:szCs w:val="26"/>
        </w:rPr>
      </w:pPr>
    </w:p>
    <w:p w:rsidR="00F930D7" w:rsidRPr="008C6145" w:rsidRDefault="00475B8B" w:rsidP="00DF35F2">
      <w:pPr>
        <w:tabs>
          <w:tab w:val="left" w:pos="-720"/>
        </w:tabs>
        <w:suppressAutoHyphens/>
        <w:ind w:firstLine="0"/>
        <w:rPr>
          <w:szCs w:val="26"/>
        </w:rPr>
      </w:pPr>
      <w:r w:rsidRPr="008C6145">
        <w:rPr>
          <w:szCs w:val="26"/>
        </w:rPr>
        <w:t>ORDER ADOPTED:</w:t>
      </w:r>
      <w:r w:rsidR="00C879DD" w:rsidRPr="008C6145">
        <w:rPr>
          <w:szCs w:val="26"/>
        </w:rPr>
        <w:t xml:space="preserve"> </w:t>
      </w:r>
      <w:r w:rsidR="001A6CB1">
        <w:rPr>
          <w:szCs w:val="26"/>
        </w:rPr>
        <w:t>January</w:t>
      </w:r>
      <w:r w:rsidR="00724834">
        <w:rPr>
          <w:szCs w:val="26"/>
        </w:rPr>
        <w:t xml:space="preserve"> </w:t>
      </w:r>
      <w:r w:rsidR="008B2641">
        <w:rPr>
          <w:szCs w:val="26"/>
        </w:rPr>
        <w:t>9</w:t>
      </w:r>
      <w:r w:rsidR="001A6CB1">
        <w:rPr>
          <w:szCs w:val="26"/>
        </w:rPr>
        <w:t>,</w:t>
      </w:r>
      <w:r w:rsidR="000B4046" w:rsidRPr="008C6145">
        <w:rPr>
          <w:szCs w:val="26"/>
        </w:rPr>
        <w:t xml:space="preserve"> </w:t>
      </w:r>
      <w:r w:rsidRPr="008C6145">
        <w:rPr>
          <w:szCs w:val="26"/>
        </w:rPr>
        <w:t>201</w:t>
      </w:r>
      <w:r w:rsidR="001A6CB1">
        <w:rPr>
          <w:szCs w:val="26"/>
        </w:rPr>
        <w:t>4</w:t>
      </w:r>
    </w:p>
    <w:p w:rsidR="00B06023" w:rsidRPr="008C6145" w:rsidRDefault="00B677FB" w:rsidP="003160CE">
      <w:pPr>
        <w:tabs>
          <w:tab w:val="left" w:pos="-720"/>
        </w:tabs>
        <w:suppressAutoHyphens/>
        <w:ind w:firstLine="0"/>
        <w:rPr>
          <w:szCs w:val="26"/>
        </w:rPr>
        <w:sectPr w:rsidR="00B06023" w:rsidRPr="008C6145" w:rsidSect="00960EFA">
          <w:footerReference w:type="even" r:id="rId11"/>
          <w:footerReference w:type="default" r:id="rId12"/>
          <w:footerReference w:type="first" r:id="rId13"/>
          <w:pgSz w:w="12240" w:h="15840" w:code="1"/>
          <w:pgMar w:top="1440" w:right="1440" w:bottom="1440" w:left="1440" w:header="720" w:footer="720" w:gutter="0"/>
          <w:cols w:space="720"/>
          <w:titlePg/>
          <w:docGrid w:linePitch="360"/>
        </w:sectPr>
      </w:pPr>
      <w:r w:rsidRPr="008C6145">
        <w:rPr>
          <w:szCs w:val="26"/>
        </w:rPr>
        <w:t>ORDER ENTERED:</w:t>
      </w:r>
      <w:r w:rsidR="00D45463" w:rsidRPr="008C6145">
        <w:rPr>
          <w:szCs w:val="26"/>
        </w:rPr>
        <w:t xml:space="preserve">  </w:t>
      </w:r>
      <w:r w:rsidR="00E2169F">
        <w:rPr>
          <w:szCs w:val="26"/>
        </w:rPr>
        <w:t>January 9, 2014</w:t>
      </w:r>
    </w:p>
    <w:tbl>
      <w:tblPr>
        <w:tblW w:w="12690" w:type="dxa"/>
        <w:tblInd w:w="-162" w:type="dxa"/>
        <w:tblLayout w:type="fixed"/>
        <w:tblLook w:val="04A0" w:firstRow="1" w:lastRow="0" w:firstColumn="1" w:lastColumn="0" w:noHBand="0" w:noVBand="1"/>
      </w:tblPr>
      <w:tblGrid>
        <w:gridCol w:w="1710"/>
        <w:gridCol w:w="990"/>
        <w:gridCol w:w="1080"/>
        <w:gridCol w:w="1080"/>
        <w:gridCol w:w="1080"/>
        <w:gridCol w:w="1080"/>
        <w:gridCol w:w="1080"/>
        <w:gridCol w:w="1440"/>
        <w:gridCol w:w="900"/>
        <w:gridCol w:w="900"/>
        <w:gridCol w:w="180"/>
        <w:gridCol w:w="1170"/>
      </w:tblGrid>
      <w:tr w:rsidR="00122736" w:rsidRPr="008C6145" w:rsidTr="00040414">
        <w:trPr>
          <w:trHeight w:val="345"/>
        </w:trPr>
        <w:tc>
          <w:tcPr>
            <w:tcW w:w="12690" w:type="dxa"/>
            <w:gridSpan w:val="12"/>
            <w:tcBorders>
              <w:top w:val="nil"/>
              <w:left w:val="nil"/>
              <w:bottom w:val="nil"/>
              <w:right w:val="nil"/>
            </w:tcBorders>
          </w:tcPr>
          <w:p w:rsidR="00122736" w:rsidRPr="008C6145" w:rsidRDefault="00122736" w:rsidP="000D722D">
            <w:pPr>
              <w:spacing w:line="240" w:lineRule="auto"/>
              <w:ind w:firstLine="0"/>
              <w:jc w:val="center"/>
              <w:rPr>
                <w:b/>
                <w:color w:val="000000"/>
                <w:szCs w:val="28"/>
              </w:rPr>
            </w:pPr>
            <w:r w:rsidRPr="008C6145">
              <w:rPr>
                <w:b/>
                <w:color w:val="000000"/>
                <w:szCs w:val="28"/>
              </w:rPr>
              <w:lastRenderedPageBreak/>
              <w:t>Appendix - Compilation of PPL Exhibit No. 7</w:t>
            </w:r>
          </w:p>
        </w:tc>
      </w:tr>
      <w:tr w:rsidR="00D6601F" w:rsidRPr="008C6145" w:rsidTr="00040414">
        <w:trPr>
          <w:trHeight w:val="461"/>
        </w:trPr>
        <w:tc>
          <w:tcPr>
            <w:tcW w:w="1710" w:type="dxa"/>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c>
          <w:tcPr>
            <w:tcW w:w="990" w:type="dxa"/>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c>
          <w:tcPr>
            <w:tcW w:w="1080" w:type="dxa"/>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c>
          <w:tcPr>
            <w:tcW w:w="1080" w:type="dxa"/>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c>
          <w:tcPr>
            <w:tcW w:w="1080" w:type="dxa"/>
            <w:tcBorders>
              <w:top w:val="nil"/>
              <w:left w:val="nil"/>
              <w:bottom w:val="single" w:sz="4" w:space="0" w:color="auto"/>
              <w:right w:val="nil"/>
            </w:tcBorders>
          </w:tcPr>
          <w:p w:rsidR="00D6601F" w:rsidRPr="008C6145" w:rsidRDefault="00D6601F" w:rsidP="000D722D">
            <w:pPr>
              <w:spacing w:line="240" w:lineRule="auto"/>
              <w:ind w:firstLine="0"/>
              <w:rPr>
                <w:rFonts w:ascii="Calibri" w:hAnsi="Calibri"/>
                <w:color w:val="000000"/>
                <w:szCs w:val="22"/>
              </w:rPr>
            </w:pPr>
          </w:p>
        </w:tc>
        <w:tc>
          <w:tcPr>
            <w:tcW w:w="1080" w:type="dxa"/>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c>
          <w:tcPr>
            <w:tcW w:w="1080" w:type="dxa"/>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c>
          <w:tcPr>
            <w:tcW w:w="1440" w:type="dxa"/>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c>
          <w:tcPr>
            <w:tcW w:w="900" w:type="dxa"/>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c>
          <w:tcPr>
            <w:tcW w:w="900" w:type="dxa"/>
            <w:tcBorders>
              <w:top w:val="nil"/>
              <w:left w:val="nil"/>
              <w:bottom w:val="single" w:sz="4" w:space="0" w:color="auto"/>
              <w:right w:val="nil"/>
            </w:tcBorders>
          </w:tcPr>
          <w:p w:rsidR="00D6601F" w:rsidRPr="008C6145" w:rsidRDefault="00D6601F" w:rsidP="000D722D">
            <w:pPr>
              <w:spacing w:line="240" w:lineRule="auto"/>
              <w:ind w:firstLine="0"/>
              <w:rPr>
                <w:rFonts w:ascii="Calibri" w:hAnsi="Calibri"/>
                <w:color w:val="000000"/>
                <w:szCs w:val="22"/>
              </w:rPr>
            </w:pPr>
          </w:p>
        </w:tc>
        <w:tc>
          <w:tcPr>
            <w:tcW w:w="1350" w:type="dxa"/>
            <w:gridSpan w:val="2"/>
            <w:tcBorders>
              <w:top w:val="nil"/>
              <w:left w:val="nil"/>
              <w:bottom w:val="single" w:sz="4" w:space="0" w:color="auto"/>
              <w:right w:val="nil"/>
            </w:tcBorders>
            <w:shd w:val="clear" w:color="auto" w:fill="auto"/>
            <w:noWrap/>
            <w:vAlign w:val="bottom"/>
            <w:hideMark/>
          </w:tcPr>
          <w:p w:rsidR="00D6601F" w:rsidRPr="008C6145" w:rsidRDefault="00D6601F" w:rsidP="000D722D">
            <w:pPr>
              <w:spacing w:line="240" w:lineRule="auto"/>
              <w:ind w:firstLine="0"/>
              <w:rPr>
                <w:rFonts w:ascii="Calibri" w:hAnsi="Calibri"/>
                <w:color w:val="000000"/>
                <w:szCs w:val="22"/>
              </w:rPr>
            </w:pPr>
          </w:p>
        </w:tc>
      </w:tr>
      <w:tr w:rsidR="00D6601F" w:rsidRPr="008C6145" w:rsidTr="00040414">
        <w:trPr>
          <w:trHeight w:val="747"/>
        </w:trPr>
        <w:tc>
          <w:tcPr>
            <w:tcW w:w="1710" w:type="dxa"/>
            <w:vMerge w:val="restart"/>
            <w:tcBorders>
              <w:top w:val="single" w:sz="4" w:space="0" w:color="auto"/>
              <w:left w:val="single" w:sz="4" w:space="0" w:color="auto"/>
              <w:right w:val="single" w:sz="4" w:space="0" w:color="auto"/>
            </w:tcBorders>
            <w:shd w:val="clear" w:color="auto" w:fill="auto"/>
            <w:vAlign w:val="center"/>
            <w:hideMark/>
          </w:tcPr>
          <w:p w:rsidR="00D6601F" w:rsidRPr="008C6145" w:rsidRDefault="00D6601F" w:rsidP="000D722D">
            <w:pPr>
              <w:spacing w:line="240" w:lineRule="auto"/>
              <w:ind w:firstLine="0"/>
              <w:jc w:val="center"/>
              <w:rPr>
                <w:color w:val="000000"/>
              </w:rPr>
            </w:pPr>
            <w:r w:rsidRPr="008C6145">
              <w:rPr>
                <w:color w:val="000000"/>
              </w:rPr>
              <w:t>Billing Month</w:t>
            </w:r>
          </w:p>
        </w:tc>
        <w:tc>
          <w:tcPr>
            <w:tcW w:w="990" w:type="dxa"/>
            <w:vMerge w:val="restart"/>
            <w:tcBorders>
              <w:top w:val="single" w:sz="4" w:space="0" w:color="auto"/>
              <w:left w:val="single" w:sz="4" w:space="0" w:color="auto"/>
              <w:right w:val="single" w:sz="4" w:space="0" w:color="auto"/>
            </w:tcBorders>
            <w:shd w:val="clear" w:color="auto" w:fill="auto"/>
            <w:vAlign w:val="center"/>
            <w:hideMark/>
          </w:tcPr>
          <w:p w:rsidR="00D6601F" w:rsidRPr="008C6145" w:rsidRDefault="00D6601F" w:rsidP="000D722D">
            <w:pPr>
              <w:spacing w:line="240" w:lineRule="auto"/>
              <w:ind w:firstLine="0"/>
              <w:jc w:val="center"/>
              <w:rPr>
                <w:color w:val="000000"/>
              </w:rPr>
            </w:pPr>
            <w:r w:rsidRPr="008C6145">
              <w:rPr>
                <w:color w:val="000000"/>
              </w:rPr>
              <w:t>Host Excess kWh</w:t>
            </w:r>
          </w:p>
        </w:tc>
        <w:tc>
          <w:tcPr>
            <w:tcW w:w="1080" w:type="dxa"/>
            <w:vMerge w:val="restart"/>
            <w:tcBorders>
              <w:top w:val="single" w:sz="4" w:space="0" w:color="auto"/>
              <w:left w:val="single" w:sz="4" w:space="0" w:color="auto"/>
              <w:right w:val="single" w:sz="4" w:space="0" w:color="auto"/>
            </w:tcBorders>
            <w:shd w:val="clear" w:color="auto" w:fill="auto"/>
            <w:vAlign w:val="center"/>
            <w:hideMark/>
          </w:tcPr>
          <w:p w:rsidR="00D6601F" w:rsidRPr="008C6145" w:rsidRDefault="00D6601F" w:rsidP="000D722D">
            <w:pPr>
              <w:spacing w:line="240" w:lineRule="auto"/>
              <w:ind w:firstLine="0"/>
              <w:jc w:val="center"/>
              <w:rPr>
                <w:color w:val="000000"/>
              </w:rPr>
            </w:pPr>
            <w:r w:rsidRPr="008C6145">
              <w:rPr>
                <w:color w:val="000000"/>
              </w:rPr>
              <w:t>Satellite Usage kWh</w:t>
            </w:r>
          </w:p>
        </w:tc>
        <w:tc>
          <w:tcPr>
            <w:tcW w:w="1080" w:type="dxa"/>
            <w:vMerge w:val="restart"/>
            <w:tcBorders>
              <w:top w:val="single" w:sz="4" w:space="0" w:color="auto"/>
              <w:left w:val="single" w:sz="4" w:space="0" w:color="auto"/>
              <w:right w:val="single" w:sz="4" w:space="0" w:color="auto"/>
            </w:tcBorders>
            <w:shd w:val="clear" w:color="auto" w:fill="auto"/>
            <w:vAlign w:val="center"/>
            <w:hideMark/>
          </w:tcPr>
          <w:p w:rsidR="00D6601F" w:rsidRPr="008C6145" w:rsidRDefault="00D6601F" w:rsidP="000D722D">
            <w:pPr>
              <w:spacing w:line="240" w:lineRule="auto"/>
              <w:ind w:firstLine="0"/>
              <w:jc w:val="center"/>
              <w:rPr>
                <w:color w:val="000000"/>
              </w:rPr>
            </w:pPr>
            <w:r w:rsidRPr="008C6145">
              <w:rPr>
                <w:color w:val="000000"/>
              </w:rPr>
              <w:t>kWh Applied to Satellite</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D6601F" w:rsidRPr="008C6145" w:rsidRDefault="00D6601F" w:rsidP="00D410D6">
            <w:pPr>
              <w:spacing w:line="240" w:lineRule="auto"/>
              <w:ind w:firstLine="0"/>
              <w:jc w:val="center"/>
              <w:rPr>
                <w:color w:val="000000"/>
              </w:rPr>
            </w:pPr>
            <w:r w:rsidRPr="008C6145">
              <w:rPr>
                <w:color w:val="000000"/>
              </w:rPr>
              <w:t>Value of kWh Applied to Satellite</w:t>
            </w:r>
            <w:r w:rsidR="000D722D" w:rsidRPr="008C6145">
              <w:rPr>
                <w:rStyle w:val="FootnoteReference"/>
                <w:color w:val="000000"/>
              </w:rPr>
              <w:footnoteReference w:id="10"/>
            </w:r>
          </w:p>
        </w:tc>
        <w:tc>
          <w:tcPr>
            <w:tcW w:w="1080" w:type="dxa"/>
            <w:vMerge w:val="restart"/>
            <w:tcBorders>
              <w:top w:val="single" w:sz="4" w:space="0" w:color="auto"/>
              <w:left w:val="single" w:sz="4" w:space="0" w:color="auto"/>
              <w:right w:val="single" w:sz="4" w:space="0" w:color="auto"/>
            </w:tcBorders>
            <w:shd w:val="clear" w:color="auto" w:fill="auto"/>
            <w:vAlign w:val="center"/>
            <w:hideMark/>
          </w:tcPr>
          <w:p w:rsidR="00D6601F" w:rsidRPr="008C6145" w:rsidRDefault="00D6601F" w:rsidP="000D722D">
            <w:pPr>
              <w:spacing w:line="240" w:lineRule="auto"/>
              <w:ind w:firstLine="0"/>
              <w:jc w:val="center"/>
              <w:rPr>
                <w:color w:val="000000"/>
              </w:rPr>
            </w:pPr>
            <w:r w:rsidRPr="008C6145">
              <w:rPr>
                <w:color w:val="000000"/>
              </w:rPr>
              <w:t>kWh Banked</w:t>
            </w:r>
          </w:p>
        </w:tc>
        <w:tc>
          <w:tcPr>
            <w:tcW w:w="1440" w:type="dxa"/>
            <w:vMerge w:val="restart"/>
            <w:tcBorders>
              <w:top w:val="single" w:sz="4" w:space="0" w:color="auto"/>
              <w:left w:val="single" w:sz="4" w:space="0" w:color="auto"/>
              <w:right w:val="single" w:sz="4" w:space="0" w:color="auto"/>
            </w:tcBorders>
            <w:shd w:val="clear" w:color="auto" w:fill="auto"/>
            <w:vAlign w:val="center"/>
            <w:hideMark/>
          </w:tcPr>
          <w:p w:rsidR="00D6601F" w:rsidRPr="008C6145" w:rsidRDefault="00D6601F" w:rsidP="000D722D">
            <w:pPr>
              <w:spacing w:line="240" w:lineRule="auto"/>
              <w:ind w:firstLine="0"/>
              <w:jc w:val="center"/>
              <w:rPr>
                <w:color w:val="000000"/>
              </w:rPr>
            </w:pPr>
            <w:r w:rsidRPr="008C6145">
              <w:rPr>
                <w:color w:val="000000"/>
              </w:rPr>
              <w:t>Cumulative Total kWh Banked</w:t>
            </w:r>
          </w:p>
        </w:tc>
        <w:tc>
          <w:tcPr>
            <w:tcW w:w="900" w:type="dxa"/>
            <w:vMerge w:val="restart"/>
            <w:tcBorders>
              <w:top w:val="single" w:sz="4" w:space="0" w:color="auto"/>
              <w:left w:val="single" w:sz="4" w:space="0" w:color="auto"/>
              <w:right w:val="single" w:sz="4" w:space="0" w:color="auto"/>
            </w:tcBorders>
            <w:shd w:val="clear" w:color="auto" w:fill="auto"/>
            <w:vAlign w:val="center"/>
            <w:hideMark/>
          </w:tcPr>
          <w:p w:rsidR="00D6601F" w:rsidRPr="008C6145" w:rsidRDefault="00D6601F" w:rsidP="000D722D">
            <w:pPr>
              <w:spacing w:line="240" w:lineRule="auto"/>
              <w:ind w:firstLine="0"/>
              <w:jc w:val="center"/>
              <w:rPr>
                <w:color w:val="000000"/>
              </w:rPr>
            </w:pPr>
            <w:r w:rsidRPr="008C6145">
              <w:rPr>
                <w:color w:val="000000"/>
              </w:rPr>
              <w:t>kWh Billed</w:t>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D6601F" w:rsidRPr="008C6145" w:rsidRDefault="00D6601F" w:rsidP="00C42BD6">
            <w:pPr>
              <w:spacing w:line="240" w:lineRule="auto"/>
              <w:ind w:firstLine="0"/>
              <w:jc w:val="center"/>
              <w:rPr>
                <w:color w:val="000000"/>
              </w:rPr>
            </w:pPr>
            <w:r w:rsidRPr="008C6145">
              <w:rPr>
                <w:color w:val="000000"/>
              </w:rPr>
              <w:t>Cash-Out Payment</w:t>
            </w:r>
            <w:r w:rsidR="00C42BD6" w:rsidRPr="008C6145">
              <w:rPr>
                <w:color w:val="000000"/>
                <w:vertAlign w:val="superscript"/>
              </w:rPr>
              <w:t>15</w:t>
            </w:r>
          </w:p>
        </w:tc>
      </w:tr>
      <w:tr w:rsidR="00D6601F" w:rsidRPr="008C6145" w:rsidTr="00040414">
        <w:trPr>
          <w:trHeight w:val="746"/>
        </w:trPr>
        <w:tc>
          <w:tcPr>
            <w:tcW w:w="1710" w:type="dxa"/>
            <w:vMerge/>
            <w:tcBorders>
              <w:left w:val="single" w:sz="4" w:space="0" w:color="auto"/>
              <w:bottom w:val="single" w:sz="4" w:space="0" w:color="auto"/>
              <w:right w:val="single" w:sz="4" w:space="0" w:color="auto"/>
            </w:tcBorders>
            <w:shd w:val="clear" w:color="auto" w:fill="auto"/>
            <w:vAlign w:val="center"/>
          </w:tcPr>
          <w:p w:rsidR="00D6601F" w:rsidRPr="008C6145" w:rsidRDefault="00D6601F" w:rsidP="000D722D">
            <w:pPr>
              <w:spacing w:line="240" w:lineRule="auto"/>
              <w:ind w:firstLine="0"/>
              <w:jc w:val="center"/>
              <w:rPr>
                <w:color w:val="000000"/>
              </w:rPr>
            </w:pPr>
          </w:p>
        </w:tc>
        <w:tc>
          <w:tcPr>
            <w:tcW w:w="990" w:type="dxa"/>
            <w:vMerge/>
            <w:tcBorders>
              <w:left w:val="single" w:sz="4" w:space="0" w:color="auto"/>
              <w:bottom w:val="single" w:sz="4" w:space="0" w:color="auto"/>
              <w:right w:val="single" w:sz="4" w:space="0" w:color="auto"/>
            </w:tcBorders>
            <w:shd w:val="clear" w:color="auto" w:fill="auto"/>
            <w:vAlign w:val="center"/>
          </w:tcPr>
          <w:p w:rsidR="00D6601F" w:rsidRPr="008C6145" w:rsidRDefault="00D6601F" w:rsidP="000D722D">
            <w:pPr>
              <w:spacing w:line="240" w:lineRule="auto"/>
              <w:ind w:firstLine="0"/>
              <w:jc w:val="center"/>
              <w:rPr>
                <w:color w:val="000000"/>
              </w:rPr>
            </w:pPr>
          </w:p>
        </w:tc>
        <w:tc>
          <w:tcPr>
            <w:tcW w:w="1080" w:type="dxa"/>
            <w:vMerge/>
            <w:tcBorders>
              <w:left w:val="single" w:sz="4" w:space="0" w:color="auto"/>
              <w:bottom w:val="single" w:sz="4" w:space="0" w:color="auto"/>
              <w:right w:val="single" w:sz="4" w:space="0" w:color="auto"/>
            </w:tcBorders>
            <w:shd w:val="clear" w:color="auto" w:fill="auto"/>
            <w:vAlign w:val="center"/>
          </w:tcPr>
          <w:p w:rsidR="00D6601F" w:rsidRPr="008C6145" w:rsidRDefault="00D6601F" w:rsidP="000D722D">
            <w:pPr>
              <w:spacing w:line="240" w:lineRule="auto"/>
              <w:ind w:firstLine="0"/>
              <w:jc w:val="center"/>
              <w:rPr>
                <w:color w:val="000000"/>
              </w:rPr>
            </w:pPr>
          </w:p>
        </w:tc>
        <w:tc>
          <w:tcPr>
            <w:tcW w:w="1080" w:type="dxa"/>
            <w:vMerge/>
            <w:tcBorders>
              <w:left w:val="single" w:sz="4" w:space="0" w:color="auto"/>
              <w:bottom w:val="single" w:sz="4" w:space="0" w:color="auto"/>
              <w:right w:val="single" w:sz="4" w:space="0" w:color="auto"/>
            </w:tcBorders>
            <w:shd w:val="clear" w:color="auto" w:fill="auto"/>
            <w:vAlign w:val="center"/>
          </w:tcPr>
          <w:p w:rsidR="00D6601F" w:rsidRPr="008C6145" w:rsidRDefault="00D6601F" w:rsidP="000D722D">
            <w:pPr>
              <w:spacing w:line="240" w:lineRule="auto"/>
              <w:ind w:firstLine="0"/>
              <w:jc w:val="center"/>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D6601F" w:rsidRPr="008C6145" w:rsidRDefault="00AB5BCA" w:rsidP="00D410D6">
            <w:pPr>
              <w:spacing w:line="240" w:lineRule="auto"/>
              <w:ind w:firstLine="0"/>
              <w:jc w:val="center"/>
              <w:rPr>
                <w:color w:val="000000"/>
              </w:rPr>
            </w:pPr>
            <w:r w:rsidRPr="008C6145">
              <w:rPr>
                <w:color w:val="000000"/>
              </w:rPr>
              <w:t>Cents</w:t>
            </w:r>
            <w:r w:rsidR="00D6601F" w:rsidRPr="008C6145">
              <w:rPr>
                <w:color w:val="000000"/>
              </w:rPr>
              <w:t xml:space="preserve"> per kWh</w:t>
            </w:r>
          </w:p>
        </w:tc>
        <w:tc>
          <w:tcPr>
            <w:tcW w:w="1080" w:type="dxa"/>
            <w:tcBorders>
              <w:top w:val="single" w:sz="4" w:space="0" w:color="auto"/>
              <w:left w:val="single" w:sz="4" w:space="0" w:color="auto"/>
              <w:bottom w:val="single" w:sz="4" w:space="0" w:color="auto"/>
              <w:right w:val="single" w:sz="4" w:space="0" w:color="auto"/>
            </w:tcBorders>
            <w:vAlign w:val="center"/>
          </w:tcPr>
          <w:p w:rsidR="00D6601F" w:rsidRPr="008C6145" w:rsidRDefault="00D6601F" w:rsidP="00D410D6">
            <w:pPr>
              <w:spacing w:line="240" w:lineRule="auto"/>
              <w:ind w:firstLine="0"/>
              <w:jc w:val="center"/>
              <w:rPr>
                <w:color w:val="000000"/>
              </w:rPr>
            </w:pPr>
            <w:r w:rsidRPr="008C6145">
              <w:rPr>
                <w:color w:val="000000"/>
              </w:rPr>
              <w:t>Credit</w:t>
            </w:r>
          </w:p>
        </w:tc>
        <w:tc>
          <w:tcPr>
            <w:tcW w:w="1080" w:type="dxa"/>
            <w:vMerge/>
            <w:tcBorders>
              <w:left w:val="single" w:sz="4" w:space="0" w:color="auto"/>
              <w:bottom w:val="single" w:sz="4" w:space="0" w:color="auto"/>
              <w:right w:val="single" w:sz="4" w:space="0" w:color="auto"/>
            </w:tcBorders>
            <w:shd w:val="clear" w:color="auto" w:fill="auto"/>
            <w:vAlign w:val="center"/>
          </w:tcPr>
          <w:p w:rsidR="00D6601F" w:rsidRPr="008C6145" w:rsidRDefault="00D6601F" w:rsidP="000D722D">
            <w:pPr>
              <w:spacing w:line="240" w:lineRule="auto"/>
              <w:ind w:firstLine="0"/>
              <w:jc w:val="center"/>
              <w:rPr>
                <w:color w:val="000000"/>
              </w:rPr>
            </w:pPr>
          </w:p>
        </w:tc>
        <w:tc>
          <w:tcPr>
            <w:tcW w:w="1440" w:type="dxa"/>
            <w:vMerge/>
            <w:tcBorders>
              <w:left w:val="single" w:sz="4" w:space="0" w:color="auto"/>
              <w:bottom w:val="single" w:sz="4" w:space="0" w:color="auto"/>
              <w:right w:val="single" w:sz="4" w:space="0" w:color="auto"/>
            </w:tcBorders>
            <w:shd w:val="clear" w:color="auto" w:fill="auto"/>
            <w:vAlign w:val="center"/>
          </w:tcPr>
          <w:p w:rsidR="00D6601F" w:rsidRPr="008C6145" w:rsidRDefault="00D6601F" w:rsidP="000D722D">
            <w:pPr>
              <w:spacing w:line="240" w:lineRule="auto"/>
              <w:ind w:firstLine="0"/>
              <w:jc w:val="center"/>
              <w:rPr>
                <w:color w:val="000000"/>
              </w:rPr>
            </w:pPr>
          </w:p>
        </w:tc>
        <w:tc>
          <w:tcPr>
            <w:tcW w:w="900" w:type="dxa"/>
            <w:vMerge/>
            <w:tcBorders>
              <w:left w:val="single" w:sz="4" w:space="0" w:color="auto"/>
              <w:bottom w:val="single" w:sz="4" w:space="0" w:color="auto"/>
              <w:right w:val="single" w:sz="4" w:space="0" w:color="auto"/>
            </w:tcBorders>
            <w:shd w:val="clear" w:color="auto" w:fill="auto"/>
            <w:vAlign w:val="center"/>
          </w:tcPr>
          <w:p w:rsidR="00D6601F" w:rsidRPr="008C6145" w:rsidRDefault="00D6601F" w:rsidP="000D722D">
            <w:pPr>
              <w:spacing w:line="240" w:lineRule="auto"/>
              <w:ind w:firstLine="0"/>
              <w:jc w:val="center"/>
              <w:rPr>
                <w:color w:val="000000"/>
              </w:rPr>
            </w:pPr>
          </w:p>
        </w:tc>
        <w:tc>
          <w:tcPr>
            <w:tcW w:w="900" w:type="dxa"/>
            <w:tcBorders>
              <w:left w:val="single" w:sz="4" w:space="0" w:color="auto"/>
              <w:bottom w:val="single" w:sz="4" w:space="0" w:color="auto"/>
              <w:right w:val="single" w:sz="4" w:space="0" w:color="auto"/>
            </w:tcBorders>
            <w:vAlign w:val="center"/>
          </w:tcPr>
          <w:p w:rsidR="00D6601F" w:rsidRPr="008C6145" w:rsidRDefault="00AB5BCA" w:rsidP="00D6601F">
            <w:pPr>
              <w:spacing w:line="240" w:lineRule="auto"/>
              <w:ind w:firstLine="0"/>
              <w:jc w:val="center"/>
              <w:rPr>
                <w:color w:val="000000"/>
              </w:rPr>
            </w:pPr>
            <w:r w:rsidRPr="008C6145">
              <w:rPr>
                <w:color w:val="000000"/>
              </w:rPr>
              <w:t>Cents per kWh</w:t>
            </w:r>
          </w:p>
        </w:tc>
        <w:tc>
          <w:tcPr>
            <w:tcW w:w="1350" w:type="dxa"/>
            <w:gridSpan w:val="2"/>
            <w:tcBorders>
              <w:left w:val="single" w:sz="4" w:space="0" w:color="auto"/>
              <w:bottom w:val="single" w:sz="4" w:space="0" w:color="auto"/>
              <w:right w:val="single" w:sz="4" w:space="0" w:color="auto"/>
            </w:tcBorders>
            <w:vAlign w:val="center"/>
          </w:tcPr>
          <w:p w:rsidR="00D6601F" w:rsidRPr="008C6145" w:rsidRDefault="00D6601F" w:rsidP="00D6601F">
            <w:pPr>
              <w:spacing w:line="240" w:lineRule="auto"/>
              <w:ind w:firstLine="0"/>
              <w:jc w:val="center"/>
              <w:rPr>
                <w:color w:val="000000"/>
              </w:rPr>
            </w:pPr>
            <w:r w:rsidRPr="008C6145">
              <w:rPr>
                <w:color w:val="000000"/>
              </w:rPr>
              <w:t>Payment</w:t>
            </w:r>
          </w:p>
        </w:tc>
      </w:tr>
      <w:tr w:rsidR="00D6601F" w:rsidRPr="008C6145" w:rsidTr="00040414">
        <w:trPr>
          <w:trHeight w:val="315"/>
        </w:trPr>
        <w:tc>
          <w:tcPr>
            <w:tcW w:w="171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April-09</w:t>
            </w:r>
          </w:p>
        </w:tc>
        <w:tc>
          <w:tcPr>
            <w:tcW w:w="99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9</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center"/>
            <w:hideMark/>
          </w:tcPr>
          <w:p w:rsidR="00D6601F" w:rsidRPr="008C6145" w:rsidRDefault="00D6601F" w:rsidP="000D722D">
            <w:pPr>
              <w:spacing w:line="240" w:lineRule="auto"/>
              <w:ind w:firstLine="0"/>
              <w:jc w:val="right"/>
              <w:rPr>
                <w:color w:val="000000"/>
              </w:rPr>
            </w:pPr>
            <w:r w:rsidRPr="008C6145">
              <w:rPr>
                <w:color w:val="000000"/>
              </w:rPr>
              <w:t>565</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9</w:t>
            </w:r>
          </w:p>
        </w:tc>
        <w:tc>
          <w:tcPr>
            <w:tcW w:w="1080" w:type="dxa"/>
            <w:tcBorders>
              <w:top w:val="single"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10.777</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$0.97 </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144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556</w:t>
            </w:r>
          </w:p>
        </w:tc>
        <w:tc>
          <w:tcPr>
            <w:tcW w:w="900" w:type="dxa"/>
            <w:tcBorders>
              <w:top w:val="single"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May-09</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569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321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321</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10.376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$33.31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248</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248</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June-09</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562</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326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326</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10.365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$33.79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236</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484</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July-09</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576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185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185</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10.800</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$19.98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391</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875</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August-09</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614</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288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288</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10.454</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$30.11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326</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rsidR="00D6601F" w:rsidRPr="008C6145" w:rsidRDefault="00D6601F" w:rsidP="000D722D">
            <w:pPr>
              <w:spacing w:line="240" w:lineRule="auto"/>
              <w:ind w:firstLine="0"/>
              <w:jc w:val="right"/>
              <w:rPr>
                <w:color w:val="000000"/>
              </w:rPr>
            </w:pPr>
            <w:r w:rsidRPr="008C6145">
              <w:rPr>
                <w:color w:val="000000"/>
              </w:rPr>
              <w:t>1,201</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5B6561">
            <w:pPr>
              <w:spacing w:line="240" w:lineRule="auto"/>
              <w:ind w:hanging="108"/>
              <w:jc w:val="right"/>
              <w:rPr>
                <w:color w:val="000000"/>
              </w:rPr>
            </w:pPr>
            <w:r w:rsidRPr="008C6145">
              <w:rPr>
                <w:color w:val="000000"/>
              </w:rPr>
              <w:t>September-09</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571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215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215</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10.716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$23.04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356</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1,557</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October-09</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427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329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329</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10.358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$34.08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98</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1,655</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5B6561">
            <w:pPr>
              <w:spacing w:line="240" w:lineRule="auto"/>
              <w:ind w:hanging="108"/>
              <w:jc w:val="right"/>
              <w:rPr>
                <w:color w:val="000000"/>
              </w:rPr>
            </w:pPr>
            <w:r w:rsidRPr="008C6145">
              <w:rPr>
                <w:color w:val="000000"/>
              </w:rPr>
              <w:t>November-09</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358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562</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-204</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10.080</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$56.65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-204</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1,451</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5B6561">
            <w:pPr>
              <w:spacing w:line="240" w:lineRule="auto"/>
              <w:ind w:hanging="108"/>
              <w:jc w:val="right"/>
              <w:rPr>
                <w:color w:val="000000"/>
              </w:rPr>
            </w:pPr>
            <w:r w:rsidRPr="008C6145">
              <w:rPr>
                <w:color w:val="000000"/>
              </w:rPr>
              <w:t>December-09</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218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456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-238</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10.173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$46.39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-238</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1,213</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vAlign w:val="center"/>
          </w:tcPr>
          <w:p w:rsidR="00D6601F" w:rsidRPr="008C6145" w:rsidRDefault="00D6601F" w:rsidP="006823F5">
            <w:pPr>
              <w:spacing w:line="240" w:lineRule="auto"/>
              <w:ind w:firstLine="0"/>
              <w:jc w:val="right"/>
              <w:rPr>
                <w:color w:val="000000"/>
              </w:rPr>
            </w:pPr>
            <w:r w:rsidRPr="008C6145">
              <w:rPr>
                <w:color w:val="000000"/>
              </w:rPr>
              <w:t>8.196</w:t>
            </w: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$141.38</w:t>
            </w: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January-10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317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779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317</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D6601F">
            <w:pPr>
              <w:spacing w:line="240" w:lineRule="auto"/>
              <w:ind w:firstLine="0"/>
              <w:jc w:val="right"/>
              <w:rPr>
                <w:color w:val="000000"/>
              </w:rPr>
            </w:pPr>
            <w:r w:rsidRPr="008C6145">
              <w:rPr>
                <w:color w:val="000000"/>
              </w:rPr>
              <w:t>13.025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$41.29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462</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February-10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318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376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318</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13.025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$41.42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58</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March-10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374</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439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374</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12.994</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$48.60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65</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D6601F"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April-10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587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384</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384</w:t>
            </w:r>
          </w:p>
        </w:tc>
        <w:tc>
          <w:tcPr>
            <w:tcW w:w="108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r w:rsidRPr="008C6145">
              <w:rPr>
                <w:color w:val="000000"/>
              </w:rPr>
              <w:t>12.992</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 xml:space="preserve">$49.89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203</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203</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D6601F" w:rsidRPr="008C6145" w:rsidRDefault="00D6601F" w:rsidP="000D722D">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D6601F" w:rsidRPr="008C6145" w:rsidRDefault="00D6601F"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May-10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593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305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305</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r w:rsidRPr="008C6145">
              <w:rPr>
                <w:color w:val="000000"/>
              </w:rPr>
              <w:t>13.029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 xml:space="preserve">$39.74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288</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491</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June-10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554</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233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233</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r w:rsidRPr="008C6145">
              <w:rPr>
                <w:color w:val="000000"/>
              </w:rPr>
              <w:t>13.081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 xml:space="preserve">$30.48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321</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812</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p>
        </w:tc>
      </w:tr>
      <w:tr w:rsidR="005B6561" w:rsidRPr="008C6145" w:rsidTr="00040414">
        <w:trPr>
          <w:trHeight w:val="345"/>
        </w:trPr>
        <w:tc>
          <w:tcPr>
            <w:tcW w:w="12690" w:type="dxa"/>
            <w:gridSpan w:val="12"/>
            <w:tcBorders>
              <w:top w:val="nil"/>
              <w:left w:val="nil"/>
              <w:right w:val="nil"/>
            </w:tcBorders>
          </w:tcPr>
          <w:p w:rsidR="005B6561" w:rsidRPr="008C6145" w:rsidRDefault="005B6561" w:rsidP="000D722D">
            <w:pPr>
              <w:spacing w:line="240" w:lineRule="auto"/>
              <w:ind w:firstLine="0"/>
              <w:jc w:val="center"/>
              <w:rPr>
                <w:b/>
                <w:color w:val="000000"/>
                <w:szCs w:val="28"/>
              </w:rPr>
            </w:pPr>
            <w:r w:rsidRPr="008C6145">
              <w:rPr>
                <w:b/>
                <w:color w:val="000000"/>
                <w:szCs w:val="28"/>
              </w:rPr>
              <w:lastRenderedPageBreak/>
              <w:t xml:space="preserve">Appendix - Compilation of PPL Exhibit No. 7 </w:t>
            </w:r>
            <w:r w:rsidRPr="008C6145">
              <w:rPr>
                <w:color w:val="000000"/>
                <w:szCs w:val="28"/>
              </w:rPr>
              <w:t>(Continued)</w:t>
            </w:r>
          </w:p>
        </w:tc>
      </w:tr>
      <w:tr w:rsidR="005B6561" w:rsidRPr="008C6145" w:rsidTr="00040414">
        <w:trPr>
          <w:trHeight w:val="458"/>
        </w:trPr>
        <w:tc>
          <w:tcPr>
            <w:tcW w:w="1710" w:type="dxa"/>
            <w:tcBorders>
              <w:bottom w:val="single" w:sz="4" w:space="0" w:color="auto"/>
            </w:tcBorders>
            <w:shd w:val="clear" w:color="auto" w:fill="auto"/>
            <w:noWrap/>
            <w:vAlign w:val="bottom"/>
          </w:tcPr>
          <w:p w:rsidR="005B6561" w:rsidRPr="008C6145" w:rsidRDefault="005B6561" w:rsidP="000D722D">
            <w:pPr>
              <w:spacing w:line="240" w:lineRule="auto"/>
              <w:ind w:firstLine="0"/>
              <w:rPr>
                <w:color w:val="000000"/>
              </w:rPr>
            </w:pPr>
          </w:p>
        </w:tc>
        <w:tc>
          <w:tcPr>
            <w:tcW w:w="99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44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90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080" w:type="dxa"/>
            <w:gridSpan w:val="2"/>
            <w:tcBorders>
              <w:bottom w:val="single" w:sz="4" w:space="0" w:color="auto"/>
            </w:tcBorders>
          </w:tcPr>
          <w:p w:rsidR="005B6561" w:rsidRPr="008C6145" w:rsidRDefault="005B6561" w:rsidP="000D722D">
            <w:pPr>
              <w:spacing w:line="240" w:lineRule="auto"/>
              <w:ind w:firstLine="0"/>
              <w:jc w:val="right"/>
              <w:rPr>
                <w:color w:val="000000"/>
              </w:rPr>
            </w:pPr>
          </w:p>
        </w:tc>
        <w:tc>
          <w:tcPr>
            <w:tcW w:w="117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r>
      <w:tr w:rsidR="005B6561" w:rsidRPr="008C6145" w:rsidTr="00040414">
        <w:trPr>
          <w:trHeight w:val="658"/>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r w:rsidRPr="008C6145">
              <w:rPr>
                <w:color w:val="000000"/>
              </w:rPr>
              <w:t>Billing Month</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r w:rsidRPr="008C6145">
              <w:rPr>
                <w:color w:val="000000"/>
              </w:rPr>
              <w:t>Host Excess kWh</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r w:rsidRPr="008C6145">
              <w:rPr>
                <w:color w:val="000000"/>
              </w:rPr>
              <w:t>Satellite Usage kWh</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r w:rsidRPr="008C6145">
              <w:rPr>
                <w:color w:val="000000"/>
              </w:rPr>
              <w:t>kWh Applied to Satellite</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B6561" w:rsidRPr="008C6145" w:rsidRDefault="005B6561" w:rsidP="00D6601F">
            <w:pPr>
              <w:spacing w:line="240" w:lineRule="auto"/>
              <w:ind w:firstLine="0"/>
              <w:jc w:val="center"/>
              <w:rPr>
                <w:color w:val="000000"/>
              </w:rPr>
            </w:pPr>
            <w:r w:rsidRPr="008C6145">
              <w:rPr>
                <w:color w:val="000000"/>
              </w:rPr>
              <w:t>Value of kWh Applied to Satellite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r w:rsidRPr="008C6145">
              <w:rPr>
                <w:color w:val="000000"/>
              </w:rPr>
              <w:t>kWh Banked</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r w:rsidRPr="008C6145">
              <w:rPr>
                <w:color w:val="000000"/>
              </w:rPr>
              <w:t>Cumulative Total kWh Banked</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r w:rsidRPr="008C6145">
              <w:rPr>
                <w:color w:val="000000"/>
              </w:rPr>
              <w:t>kWh Billed</w:t>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5B6561" w:rsidRPr="008C6145" w:rsidRDefault="005B6561" w:rsidP="00F17EFB">
            <w:pPr>
              <w:spacing w:line="240" w:lineRule="auto"/>
              <w:ind w:firstLine="0"/>
              <w:jc w:val="center"/>
              <w:rPr>
                <w:color w:val="000000"/>
              </w:rPr>
            </w:pPr>
            <w:r w:rsidRPr="008C6145">
              <w:rPr>
                <w:color w:val="000000"/>
              </w:rPr>
              <w:t>Cash-Out Payments</w:t>
            </w:r>
          </w:p>
        </w:tc>
      </w:tr>
      <w:tr w:rsidR="005B6561" w:rsidRPr="008C6145" w:rsidTr="00040414">
        <w:trPr>
          <w:trHeight w:val="658"/>
        </w:trPr>
        <w:tc>
          <w:tcPr>
            <w:tcW w:w="17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5B6561" w:rsidRPr="008C6145" w:rsidRDefault="005B6561" w:rsidP="00D6601F">
            <w:pPr>
              <w:spacing w:line="240" w:lineRule="auto"/>
              <w:ind w:firstLine="0"/>
              <w:jc w:val="center"/>
              <w:rPr>
                <w:color w:val="000000"/>
              </w:rPr>
            </w:pPr>
            <w:r w:rsidRPr="008C6145">
              <w:rPr>
                <w:color w:val="000000"/>
              </w:rPr>
              <w:t>Cents per kWh</w:t>
            </w:r>
          </w:p>
        </w:tc>
        <w:tc>
          <w:tcPr>
            <w:tcW w:w="1080" w:type="dxa"/>
            <w:tcBorders>
              <w:top w:val="single" w:sz="4" w:space="0" w:color="auto"/>
              <w:left w:val="single" w:sz="4" w:space="0" w:color="auto"/>
              <w:bottom w:val="single" w:sz="4" w:space="0" w:color="auto"/>
              <w:right w:val="single" w:sz="4" w:space="0" w:color="auto"/>
            </w:tcBorders>
            <w:vAlign w:val="center"/>
          </w:tcPr>
          <w:p w:rsidR="005B6561" w:rsidRPr="008C6145" w:rsidRDefault="005B6561" w:rsidP="00D6601F">
            <w:pPr>
              <w:spacing w:line="240" w:lineRule="auto"/>
              <w:ind w:firstLine="0"/>
              <w:jc w:val="center"/>
              <w:rPr>
                <w:color w:val="000000"/>
              </w:rPr>
            </w:pPr>
            <w:r w:rsidRPr="008C6145">
              <w:rPr>
                <w:color w:val="000000"/>
              </w:rPr>
              <w:t>Credit</w:t>
            </w:r>
          </w:p>
        </w:tc>
        <w:tc>
          <w:tcPr>
            <w:tcW w:w="10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0D722D">
            <w:pPr>
              <w:spacing w:line="240" w:lineRule="auto"/>
              <w:ind w:firstLine="0"/>
              <w:jc w:val="center"/>
              <w:rPr>
                <w:color w:val="000000"/>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B6561" w:rsidRPr="008C6145" w:rsidRDefault="005B6561" w:rsidP="0090254A">
            <w:pPr>
              <w:spacing w:line="240" w:lineRule="auto"/>
              <w:ind w:firstLine="0"/>
              <w:jc w:val="center"/>
              <w:rPr>
                <w:color w:val="000000"/>
              </w:rPr>
            </w:pPr>
            <w:r w:rsidRPr="008C6145">
              <w:rPr>
                <w:color w:val="000000"/>
              </w:rPr>
              <w:t>Cents per kWh</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90254A">
            <w:pPr>
              <w:spacing w:line="240" w:lineRule="auto"/>
              <w:ind w:firstLine="0"/>
              <w:jc w:val="center"/>
              <w:rPr>
                <w:color w:val="000000"/>
              </w:rPr>
            </w:pPr>
            <w:r w:rsidRPr="008C6145">
              <w:rPr>
                <w:color w:val="000000"/>
              </w:rPr>
              <w:t>Payment</w:t>
            </w:r>
          </w:p>
        </w:tc>
      </w:tr>
      <w:tr w:rsidR="005B6561" w:rsidRPr="008C6145" w:rsidTr="00040414">
        <w:trPr>
          <w:trHeight w:val="315"/>
        </w:trPr>
        <w:tc>
          <w:tcPr>
            <w:tcW w:w="171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July-10</w:t>
            </w:r>
          </w:p>
        </w:tc>
        <w:tc>
          <w:tcPr>
            <w:tcW w:w="99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674</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254</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254</w:t>
            </w:r>
          </w:p>
        </w:tc>
        <w:tc>
          <w:tcPr>
            <w:tcW w:w="1080" w:type="dxa"/>
            <w:tcBorders>
              <w:top w:val="single"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r w:rsidRPr="008C6145">
              <w:rPr>
                <w:color w:val="000000"/>
              </w:rPr>
              <w:t>13.062</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 xml:space="preserve">$33.18 </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420</w:t>
            </w:r>
          </w:p>
        </w:tc>
        <w:tc>
          <w:tcPr>
            <w:tcW w:w="144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1,232</w:t>
            </w:r>
          </w:p>
        </w:tc>
        <w:tc>
          <w:tcPr>
            <w:tcW w:w="90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1080" w:type="dxa"/>
            <w:gridSpan w:val="2"/>
            <w:tcBorders>
              <w:top w:val="single"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p>
        </w:tc>
        <w:tc>
          <w:tcPr>
            <w:tcW w:w="1170" w:type="dxa"/>
            <w:tcBorders>
              <w:top w:val="single"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p>
        </w:tc>
      </w:tr>
      <w:tr w:rsidR="005B6561" w:rsidRPr="008C6145" w:rsidTr="00040414">
        <w:trPr>
          <w:trHeight w:val="315"/>
        </w:trPr>
        <w:tc>
          <w:tcPr>
            <w:tcW w:w="171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August-10</w:t>
            </w:r>
          </w:p>
        </w:tc>
        <w:tc>
          <w:tcPr>
            <w:tcW w:w="99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579</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216</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216</w:t>
            </w:r>
          </w:p>
        </w:tc>
        <w:tc>
          <w:tcPr>
            <w:tcW w:w="1080" w:type="dxa"/>
            <w:tcBorders>
              <w:top w:val="single"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13.342</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$28.82 </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363</w:t>
            </w:r>
          </w:p>
        </w:tc>
        <w:tc>
          <w:tcPr>
            <w:tcW w:w="144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1,595</w:t>
            </w:r>
          </w:p>
        </w:tc>
        <w:tc>
          <w:tcPr>
            <w:tcW w:w="90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single"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p>
        </w:tc>
        <w:tc>
          <w:tcPr>
            <w:tcW w:w="117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5B6561">
            <w:pPr>
              <w:spacing w:line="240" w:lineRule="auto"/>
              <w:ind w:left="-108" w:firstLine="0"/>
              <w:jc w:val="right"/>
              <w:rPr>
                <w:color w:val="000000"/>
              </w:rPr>
            </w:pPr>
            <w:r w:rsidRPr="008C6145">
              <w:rPr>
                <w:color w:val="000000"/>
              </w:rPr>
              <w:t>September-10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563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267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287</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13.285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$38.13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276</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1,871</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October-10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541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292</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292</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13.277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$38.77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249</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2,120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5B6561">
            <w:pPr>
              <w:spacing w:line="240" w:lineRule="auto"/>
              <w:ind w:hanging="108"/>
              <w:jc w:val="right"/>
              <w:rPr>
                <w:color w:val="000000"/>
              </w:rPr>
            </w:pPr>
            <w:r w:rsidRPr="008C6145">
              <w:rPr>
                <w:color w:val="000000"/>
              </w:rPr>
              <w:t>November-10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410</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351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351</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13.247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$46.50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59</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2,179</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5B6561">
            <w:pPr>
              <w:spacing w:line="240" w:lineRule="auto"/>
              <w:ind w:hanging="108"/>
              <w:jc w:val="right"/>
              <w:rPr>
                <w:color w:val="000000"/>
              </w:rPr>
            </w:pPr>
            <w:r w:rsidRPr="008C6145">
              <w:rPr>
                <w:color w:val="000000"/>
              </w:rPr>
              <w:t>December-10</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293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383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383</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13.229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$50.67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-90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2,089</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vAlign w:val="center"/>
          </w:tcPr>
          <w:p w:rsidR="005B6561" w:rsidRPr="008C6145" w:rsidRDefault="005B6561" w:rsidP="006823F5">
            <w:pPr>
              <w:spacing w:line="240" w:lineRule="auto"/>
              <w:ind w:firstLine="0"/>
              <w:jc w:val="right"/>
              <w:rPr>
                <w:color w:val="000000"/>
              </w:rPr>
            </w:pPr>
            <w:r w:rsidRPr="008C6145">
              <w:rPr>
                <w:color w:val="000000"/>
              </w:rPr>
              <w:t>12.012</w:t>
            </w: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$250.93</w:t>
            </w: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740137">
            <w:pPr>
              <w:spacing w:line="240" w:lineRule="auto"/>
              <w:ind w:firstLine="0"/>
              <w:jc w:val="right"/>
              <w:rPr>
                <w:color w:val="000000"/>
              </w:rPr>
            </w:pPr>
            <w:r w:rsidRPr="008C6145">
              <w:rPr>
                <w:color w:val="000000"/>
              </w:rPr>
              <w:t>Jan.-Feb. -11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579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1,586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579</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12.557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$72.71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1,007</w:t>
            </w:r>
          </w:p>
        </w:tc>
        <w:tc>
          <w:tcPr>
            <w:tcW w:w="1080" w:type="dxa"/>
            <w:gridSpan w:val="2"/>
            <w:tcBorders>
              <w:top w:val="dashSmallGap" w:sz="4" w:space="0" w:color="auto"/>
              <w:left w:val="single" w:sz="4" w:space="0" w:color="auto"/>
              <w:bottom w:val="dashSmallGap" w:sz="4" w:space="0" w:color="auto"/>
              <w:right w:val="single" w:sz="4" w:space="0" w:color="auto"/>
            </w:tcBorders>
            <w:vAlign w:val="center"/>
          </w:tcPr>
          <w:p w:rsidR="005B6561" w:rsidRPr="008C6145" w:rsidRDefault="005B6561" w:rsidP="006823F5">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March-11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451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576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451</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12.552</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$56.61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125</w:t>
            </w:r>
          </w:p>
        </w:tc>
        <w:tc>
          <w:tcPr>
            <w:tcW w:w="1080" w:type="dxa"/>
            <w:gridSpan w:val="2"/>
            <w:tcBorders>
              <w:top w:val="dashSmallGap" w:sz="4" w:space="0" w:color="auto"/>
              <w:left w:val="single" w:sz="4" w:space="0" w:color="auto"/>
              <w:bottom w:val="dashSmallGap" w:sz="4" w:space="0" w:color="auto"/>
              <w:right w:val="single" w:sz="4" w:space="0" w:color="auto"/>
            </w:tcBorders>
            <w:vAlign w:val="center"/>
          </w:tcPr>
          <w:p w:rsidR="005B6561" w:rsidRPr="008C6145" w:rsidRDefault="005B6561" w:rsidP="006823F5">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April-11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426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591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426</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12.556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$53.49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165</w:t>
            </w:r>
          </w:p>
        </w:tc>
        <w:tc>
          <w:tcPr>
            <w:tcW w:w="1080" w:type="dxa"/>
            <w:gridSpan w:val="2"/>
            <w:tcBorders>
              <w:top w:val="dashSmallGap" w:sz="4" w:space="0" w:color="auto"/>
              <w:left w:val="single" w:sz="4" w:space="0" w:color="auto"/>
              <w:bottom w:val="dashSmallGap" w:sz="4" w:space="0" w:color="auto"/>
              <w:right w:val="single" w:sz="4" w:space="0" w:color="auto"/>
            </w:tcBorders>
            <w:vAlign w:val="center"/>
          </w:tcPr>
          <w:p w:rsidR="005B6561" w:rsidRPr="008C6145" w:rsidRDefault="005B6561" w:rsidP="006823F5">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May-11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476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441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441</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12.555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$55.37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35</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35</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vAlign w:val="center"/>
          </w:tcPr>
          <w:p w:rsidR="005B6561" w:rsidRPr="008C6145" w:rsidRDefault="005B6561" w:rsidP="006823F5">
            <w:pPr>
              <w:spacing w:line="240" w:lineRule="auto"/>
              <w:ind w:firstLine="0"/>
              <w:jc w:val="right"/>
              <w:rPr>
                <w:color w:val="000000"/>
              </w:rPr>
            </w:pPr>
            <w:r w:rsidRPr="008C6145">
              <w:rPr>
                <w:color w:val="000000"/>
              </w:rPr>
              <w:t>9.766</w:t>
            </w: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$3.42</w:t>
            </w: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June-11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539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217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217</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12.078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$26.21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322</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322</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July-11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648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303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303</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12.079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$36.60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345</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667</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Pr>
                <w:color w:val="000000"/>
              </w:rPr>
              <w:t>August-11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444</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327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327</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12.079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$39.50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117</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784</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5B6561">
            <w:pPr>
              <w:spacing w:line="240" w:lineRule="auto"/>
              <w:ind w:hanging="108"/>
              <w:jc w:val="right"/>
              <w:rPr>
                <w:color w:val="000000"/>
              </w:rPr>
            </w:pPr>
            <w:r w:rsidRPr="008C6145">
              <w:rPr>
                <w:color w:val="000000"/>
              </w:rPr>
              <w:t>September-11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206</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206</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11.718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$24.14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-206</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578</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October-11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353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353</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11.713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$41.35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-353</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225</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5B6561">
            <w:pPr>
              <w:spacing w:line="240" w:lineRule="auto"/>
              <w:ind w:hanging="108"/>
              <w:jc w:val="right"/>
              <w:rPr>
                <w:color w:val="000000"/>
              </w:rPr>
            </w:pPr>
            <w:r w:rsidRPr="008C6145">
              <w:rPr>
                <w:color w:val="000000"/>
              </w:rPr>
              <w:t>November-11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124</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240</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240</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11.712</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 xml:space="preserve">$28.11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-116</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109</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hanging="108"/>
              <w:jc w:val="right"/>
              <w:rPr>
                <w:color w:val="000000"/>
              </w:rPr>
            </w:pPr>
            <w:r w:rsidRPr="008C6145">
              <w:rPr>
                <w:color w:val="000000"/>
              </w:rPr>
              <w:t>December-11</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301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379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379</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r w:rsidRPr="008C6145">
              <w:rPr>
                <w:color w:val="000000"/>
              </w:rPr>
              <w:t>11.077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 xml:space="preserve">$41.98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-78</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31</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0D722D">
            <w:pPr>
              <w:spacing w:line="240" w:lineRule="auto"/>
              <w:ind w:firstLine="0"/>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January-12</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309</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1,098</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340</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r w:rsidRPr="008C6145">
              <w:rPr>
                <w:color w:val="000000"/>
              </w:rPr>
              <w:t>11.083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 xml:space="preserve">$37.68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758</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0D722D">
            <w:pPr>
              <w:spacing w:line="240" w:lineRule="auto"/>
              <w:ind w:firstLine="0"/>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February-12</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293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561</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293</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r w:rsidRPr="008C6145">
              <w:rPr>
                <w:color w:val="000000"/>
              </w:rPr>
              <w:t>11.083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 xml:space="preserve">$32.47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268</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March-12</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480</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595</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480</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jc w:val="right"/>
              <w:rPr>
                <w:color w:val="000000"/>
              </w:rPr>
            </w:pPr>
            <w:r w:rsidRPr="008C6145">
              <w:rPr>
                <w:color w:val="000000"/>
              </w:rPr>
              <w:t>10.288</w:t>
            </w:r>
          </w:p>
        </w:tc>
        <w:tc>
          <w:tcPr>
            <w:tcW w:w="1080" w:type="dxa"/>
            <w:tcBorders>
              <w:top w:val="dashSmallGap" w:sz="4" w:space="0" w:color="auto"/>
              <w:left w:val="single" w:sz="4" w:space="0" w:color="auto"/>
              <w:bottom w:val="dashSmallGap" w:sz="4" w:space="0" w:color="auto"/>
              <w:right w:val="single" w:sz="4" w:space="0" w:color="auto"/>
            </w:tcBorders>
            <w:vAlign w:val="bottom"/>
          </w:tcPr>
          <w:p w:rsidR="005B6561" w:rsidRPr="008C6145" w:rsidRDefault="005B6561" w:rsidP="001A3B46">
            <w:pPr>
              <w:spacing w:line="240" w:lineRule="auto"/>
              <w:ind w:firstLine="0"/>
              <w:jc w:val="right"/>
              <w:rPr>
                <w:color w:val="000000"/>
              </w:rPr>
            </w:pPr>
            <w:r w:rsidRPr="008C6145">
              <w:rPr>
                <w:color w:val="000000"/>
              </w:rPr>
              <w:t xml:space="preserve">$49.38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tcPr>
          <w:p w:rsidR="005B6561" w:rsidRPr="008C6145" w:rsidRDefault="005B6561" w:rsidP="001A3B46">
            <w:pPr>
              <w:spacing w:line="240" w:lineRule="auto"/>
              <w:ind w:firstLine="0"/>
              <w:jc w:val="right"/>
              <w:rPr>
                <w:color w:val="000000"/>
              </w:rPr>
            </w:pPr>
            <w:r w:rsidRPr="008C6145">
              <w:rPr>
                <w:color w:val="000000"/>
              </w:rPr>
              <w:t>115</w:t>
            </w:r>
          </w:p>
        </w:tc>
        <w:tc>
          <w:tcPr>
            <w:tcW w:w="1080" w:type="dxa"/>
            <w:gridSpan w:val="2"/>
            <w:tcBorders>
              <w:top w:val="dashSmallGap" w:sz="4" w:space="0" w:color="auto"/>
              <w:left w:val="single" w:sz="4" w:space="0" w:color="auto"/>
              <w:bottom w:val="dashSmallGap" w:sz="4" w:space="0" w:color="auto"/>
              <w:right w:val="single" w:sz="4" w:space="0" w:color="auto"/>
            </w:tcBorders>
          </w:tcPr>
          <w:p w:rsidR="005B6561" w:rsidRPr="008C6145" w:rsidRDefault="005B6561" w:rsidP="001A3B46">
            <w:pPr>
              <w:spacing w:line="240" w:lineRule="auto"/>
              <w:ind w:firstLine="0"/>
              <w:rPr>
                <w:color w:val="000000"/>
              </w:rPr>
            </w:pPr>
          </w:p>
        </w:tc>
        <w:tc>
          <w:tcPr>
            <w:tcW w:w="117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rPr>
                <w:color w:val="000000"/>
              </w:rPr>
            </w:pPr>
          </w:p>
        </w:tc>
      </w:tr>
      <w:tr w:rsidR="005B6561" w:rsidRPr="008C6145" w:rsidTr="00040414">
        <w:trPr>
          <w:trHeight w:val="315"/>
        </w:trPr>
        <w:tc>
          <w:tcPr>
            <w:tcW w:w="12690" w:type="dxa"/>
            <w:gridSpan w:val="12"/>
            <w:shd w:val="clear" w:color="auto" w:fill="auto"/>
            <w:noWrap/>
            <w:vAlign w:val="bottom"/>
          </w:tcPr>
          <w:p w:rsidR="005B6561" w:rsidRPr="008C6145" w:rsidRDefault="005B6561" w:rsidP="005B6561">
            <w:pPr>
              <w:spacing w:line="240" w:lineRule="auto"/>
              <w:ind w:firstLine="0"/>
              <w:jc w:val="center"/>
              <w:rPr>
                <w:color w:val="000000"/>
              </w:rPr>
            </w:pPr>
            <w:r w:rsidRPr="008C6145">
              <w:rPr>
                <w:b/>
                <w:color w:val="000000"/>
                <w:szCs w:val="28"/>
              </w:rPr>
              <w:lastRenderedPageBreak/>
              <w:t xml:space="preserve">Appendix - Compilation of PPL Exhibit No. 7 </w:t>
            </w:r>
            <w:r w:rsidRPr="008C6145">
              <w:rPr>
                <w:color w:val="000000"/>
                <w:szCs w:val="28"/>
              </w:rPr>
              <w:t>(Continued)</w:t>
            </w:r>
          </w:p>
        </w:tc>
      </w:tr>
      <w:tr w:rsidR="005B6561" w:rsidRPr="008C6145" w:rsidTr="00040414">
        <w:trPr>
          <w:trHeight w:val="461"/>
        </w:trPr>
        <w:tc>
          <w:tcPr>
            <w:tcW w:w="171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99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vAlign w:val="bottom"/>
          </w:tcPr>
          <w:p w:rsidR="005B6561" w:rsidRPr="008C6145" w:rsidRDefault="005B6561" w:rsidP="000D722D">
            <w:pPr>
              <w:spacing w:line="240" w:lineRule="auto"/>
              <w:ind w:firstLine="0"/>
              <w:jc w:val="right"/>
              <w:rPr>
                <w:color w:val="000000"/>
              </w:rPr>
            </w:pPr>
          </w:p>
        </w:tc>
        <w:tc>
          <w:tcPr>
            <w:tcW w:w="108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144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900" w:type="dxa"/>
            <w:tcBorders>
              <w:bottom w:val="single" w:sz="4" w:space="0" w:color="auto"/>
            </w:tcBorders>
            <w:shd w:val="clear" w:color="auto" w:fill="auto"/>
            <w:noWrap/>
            <w:vAlign w:val="bottom"/>
          </w:tcPr>
          <w:p w:rsidR="005B6561" w:rsidRPr="008C6145" w:rsidRDefault="005B6561" w:rsidP="000D722D">
            <w:pPr>
              <w:spacing w:line="240" w:lineRule="auto"/>
              <w:ind w:firstLine="0"/>
              <w:jc w:val="right"/>
              <w:rPr>
                <w:color w:val="000000"/>
              </w:rPr>
            </w:pPr>
          </w:p>
        </w:tc>
        <w:tc>
          <w:tcPr>
            <w:tcW w:w="900" w:type="dxa"/>
            <w:tcBorders>
              <w:bottom w:val="single" w:sz="4" w:space="0" w:color="auto"/>
            </w:tcBorders>
          </w:tcPr>
          <w:p w:rsidR="005B6561" w:rsidRPr="008C6145" w:rsidRDefault="005B6561" w:rsidP="000D722D">
            <w:pPr>
              <w:spacing w:line="240" w:lineRule="auto"/>
              <w:ind w:firstLine="0"/>
              <w:rPr>
                <w:color w:val="000000"/>
              </w:rPr>
            </w:pPr>
          </w:p>
        </w:tc>
        <w:tc>
          <w:tcPr>
            <w:tcW w:w="1350" w:type="dxa"/>
            <w:gridSpan w:val="2"/>
            <w:tcBorders>
              <w:bottom w:val="single" w:sz="4" w:space="0" w:color="auto"/>
            </w:tcBorders>
            <w:shd w:val="clear" w:color="auto" w:fill="auto"/>
            <w:noWrap/>
            <w:vAlign w:val="bottom"/>
          </w:tcPr>
          <w:p w:rsidR="005B6561" w:rsidRPr="008C6145" w:rsidRDefault="005B6561" w:rsidP="000D722D">
            <w:pPr>
              <w:spacing w:line="240" w:lineRule="auto"/>
              <w:ind w:firstLine="0"/>
              <w:rPr>
                <w:color w:val="000000"/>
              </w:rPr>
            </w:pPr>
          </w:p>
        </w:tc>
      </w:tr>
      <w:tr w:rsidR="005B6561" w:rsidRPr="008C6145" w:rsidTr="00040414">
        <w:trPr>
          <w:trHeight w:val="662"/>
        </w:trPr>
        <w:tc>
          <w:tcPr>
            <w:tcW w:w="1710" w:type="dxa"/>
            <w:vMerge w:val="restart"/>
            <w:tcBorders>
              <w:top w:val="single" w:sz="4" w:space="0" w:color="auto"/>
              <w:left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r w:rsidRPr="008C6145">
              <w:rPr>
                <w:color w:val="000000"/>
              </w:rPr>
              <w:t>Billing Month</w:t>
            </w:r>
          </w:p>
        </w:tc>
        <w:tc>
          <w:tcPr>
            <w:tcW w:w="990" w:type="dxa"/>
            <w:vMerge w:val="restart"/>
            <w:tcBorders>
              <w:top w:val="single" w:sz="4" w:space="0" w:color="auto"/>
              <w:left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r w:rsidRPr="008C6145">
              <w:rPr>
                <w:color w:val="000000"/>
              </w:rPr>
              <w:t>Host Excess kWh</w:t>
            </w: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r w:rsidRPr="008C6145">
              <w:rPr>
                <w:color w:val="000000"/>
              </w:rPr>
              <w:t>Satellite Usage kWh</w:t>
            </w: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r w:rsidRPr="008C6145">
              <w:rPr>
                <w:color w:val="000000"/>
              </w:rPr>
              <w:t>kWh Applied to Satellite</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B6561" w:rsidRPr="008C6145" w:rsidRDefault="005B6561" w:rsidP="001A3B46">
            <w:pPr>
              <w:spacing w:line="240" w:lineRule="auto"/>
              <w:ind w:firstLine="0"/>
              <w:jc w:val="center"/>
              <w:rPr>
                <w:color w:val="000000"/>
              </w:rPr>
            </w:pPr>
            <w:r w:rsidRPr="008C6145">
              <w:rPr>
                <w:color w:val="000000"/>
              </w:rPr>
              <w:t>Value of kWh Applied to Satellite</w:t>
            </w:r>
          </w:p>
        </w:tc>
        <w:tc>
          <w:tcPr>
            <w:tcW w:w="1080" w:type="dxa"/>
            <w:vMerge w:val="restart"/>
            <w:tcBorders>
              <w:top w:val="single" w:sz="4" w:space="0" w:color="auto"/>
              <w:left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r w:rsidRPr="008C6145">
              <w:rPr>
                <w:color w:val="000000"/>
              </w:rPr>
              <w:t>kWh Banked</w:t>
            </w:r>
          </w:p>
        </w:tc>
        <w:tc>
          <w:tcPr>
            <w:tcW w:w="1440" w:type="dxa"/>
            <w:vMerge w:val="restart"/>
            <w:tcBorders>
              <w:top w:val="single" w:sz="4" w:space="0" w:color="auto"/>
              <w:left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r w:rsidRPr="008C6145">
              <w:rPr>
                <w:color w:val="000000"/>
              </w:rPr>
              <w:t>Cumulative Total kWh Banked</w:t>
            </w:r>
          </w:p>
        </w:tc>
        <w:tc>
          <w:tcPr>
            <w:tcW w:w="900" w:type="dxa"/>
            <w:vMerge w:val="restart"/>
            <w:tcBorders>
              <w:top w:val="single" w:sz="4" w:space="0" w:color="auto"/>
              <w:left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r w:rsidRPr="008C6145">
              <w:rPr>
                <w:color w:val="000000"/>
              </w:rPr>
              <w:t>kWh Billed</w:t>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5B6561" w:rsidRPr="008C6145" w:rsidRDefault="005B6561" w:rsidP="005B6561">
            <w:pPr>
              <w:spacing w:line="240" w:lineRule="auto"/>
              <w:ind w:firstLine="0"/>
              <w:jc w:val="center"/>
              <w:rPr>
                <w:color w:val="000000"/>
              </w:rPr>
            </w:pPr>
            <w:r w:rsidRPr="008C6145">
              <w:rPr>
                <w:color w:val="000000"/>
              </w:rPr>
              <w:t>Cash-Out Payments</w:t>
            </w:r>
          </w:p>
        </w:tc>
      </w:tr>
      <w:tr w:rsidR="005B6561" w:rsidRPr="008C6145" w:rsidTr="00040414">
        <w:trPr>
          <w:trHeight w:val="315"/>
        </w:trPr>
        <w:tc>
          <w:tcPr>
            <w:tcW w:w="1710" w:type="dxa"/>
            <w:vMerge/>
            <w:tcBorders>
              <w:left w:val="single" w:sz="4" w:space="0" w:color="auto"/>
              <w:bottom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p>
        </w:tc>
        <w:tc>
          <w:tcPr>
            <w:tcW w:w="990" w:type="dxa"/>
            <w:vMerge/>
            <w:tcBorders>
              <w:left w:val="single" w:sz="4" w:space="0" w:color="auto"/>
              <w:bottom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p>
        </w:tc>
        <w:tc>
          <w:tcPr>
            <w:tcW w:w="1080" w:type="dxa"/>
            <w:vMerge/>
            <w:tcBorders>
              <w:left w:val="single" w:sz="4" w:space="0" w:color="auto"/>
              <w:bottom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rsidR="005B6561" w:rsidRPr="008C6145" w:rsidRDefault="005B6561" w:rsidP="001A3B46">
            <w:pPr>
              <w:spacing w:line="240" w:lineRule="auto"/>
              <w:ind w:firstLine="0"/>
              <w:jc w:val="center"/>
              <w:rPr>
                <w:color w:val="000000"/>
              </w:rPr>
            </w:pPr>
            <w:r w:rsidRPr="008C6145">
              <w:rPr>
                <w:color w:val="000000"/>
              </w:rPr>
              <w:t>Cents per kWh</w:t>
            </w:r>
          </w:p>
        </w:tc>
        <w:tc>
          <w:tcPr>
            <w:tcW w:w="1080" w:type="dxa"/>
            <w:tcBorders>
              <w:top w:val="single" w:sz="4" w:space="0" w:color="auto"/>
              <w:left w:val="single" w:sz="4" w:space="0" w:color="auto"/>
              <w:bottom w:val="single" w:sz="4" w:space="0" w:color="auto"/>
              <w:right w:val="single" w:sz="4" w:space="0" w:color="auto"/>
            </w:tcBorders>
            <w:vAlign w:val="center"/>
          </w:tcPr>
          <w:p w:rsidR="005B6561" w:rsidRPr="008C6145" w:rsidRDefault="005B6561" w:rsidP="001A3B46">
            <w:pPr>
              <w:spacing w:line="240" w:lineRule="auto"/>
              <w:ind w:firstLine="0"/>
              <w:jc w:val="center"/>
              <w:rPr>
                <w:color w:val="000000"/>
              </w:rPr>
            </w:pPr>
            <w:r w:rsidRPr="008C6145">
              <w:rPr>
                <w:color w:val="000000"/>
              </w:rPr>
              <w:t>Credit</w:t>
            </w:r>
          </w:p>
        </w:tc>
        <w:tc>
          <w:tcPr>
            <w:tcW w:w="1080" w:type="dxa"/>
            <w:vMerge/>
            <w:tcBorders>
              <w:left w:val="single" w:sz="4" w:space="0" w:color="auto"/>
              <w:bottom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p>
        </w:tc>
        <w:tc>
          <w:tcPr>
            <w:tcW w:w="1440" w:type="dxa"/>
            <w:vMerge/>
            <w:tcBorders>
              <w:left w:val="single" w:sz="4" w:space="0" w:color="auto"/>
              <w:bottom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p>
        </w:tc>
        <w:tc>
          <w:tcPr>
            <w:tcW w:w="900" w:type="dxa"/>
            <w:vMerge/>
            <w:tcBorders>
              <w:left w:val="single" w:sz="4" w:space="0" w:color="auto"/>
              <w:bottom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5B6561" w:rsidRPr="008C6145" w:rsidRDefault="005B6561" w:rsidP="001A3B46">
            <w:pPr>
              <w:spacing w:line="240" w:lineRule="auto"/>
              <w:ind w:firstLine="0"/>
              <w:jc w:val="center"/>
              <w:rPr>
                <w:color w:val="000000"/>
              </w:rPr>
            </w:pPr>
            <w:r w:rsidRPr="008C6145">
              <w:rPr>
                <w:color w:val="000000"/>
              </w:rPr>
              <w:t>Cents per kWh</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B6561" w:rsidRPr="008C6145" w:rsidRDefault="005B6561" w:rsidP="001A3B46">
            <w:pPr>
              <w:spacing w:line="240" w:lineRule="auto"/>
              <w:ind w:firstLine="0"/>
              <w:jc w:val="center"/>
              <w:rPr>
                <w:color w:val="000000"/>
              </w:rPr>
            </w:pPr>
            <w:r w:rsidRPr="008C6145">
              <w:rPr>
                <w:color w:val="000000"/>
              </w:rPr>
              <w:t>Payment</w:t>
            </w:r>
          </w:p>
        </w:tc>
      </w:tr>
      <w:tr w:rsidR="005B6561" w:rsidRPr="008C6145" w:rsidTr="00040414">
        <w:trPr>
          <w:trHeight w:val="315"/>
        </w:trPr>
        <w:tc>
          <w:tcPr>
            <w:tcW w:w="171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April-12</w:t>
            </w:r>
          </w:p>
        </w:tc>
        <w:tc>
          <w:tcPr>
            <w:tcW w:w="99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598</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428</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428</w:t>
            </w:r>
          </w:p>
        </w:tc>
        <w:tc>
          <w:tcPr>
            <w:tcW w:w="1080" w:type="dxa"/>
            <w:tcBorders>
              <w:top w:val="single"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10.288</w:t>
            </w:r>
          </w:p>
        </w:tc>
        <w:tc>
          <w:tcPr>
            <w:tcW w:w="1080" w:type="dxa"/>
            <w:tcBorders>
              <w:top w:val="single" w:sz="4" w:space="0" w:color="auto"/>
              <w:left w:val="single" w:sz="4" w:space="0" w:color="auto"/>
              <w:bottom w:val="dashSmallGap" w:sz="4" w:space="0" w:color="auto"/>
              <w:right w:val="single" w:sz="4" w:space="0" w:color="auto"/>
            </w:tcBorders>
            <w:vAlign w:val="bottom"/>
          </w:tcPr>
          <w:p w:rsidR="005B6561" w:rsidRPr="008C6145" w:rsidRDefault="005B6561" w:rsidP="000D722D">
            <w:pPr>
              <w:spacing w:line="240" w:lineRule="auto"/>
              <w:ind w:firstLine="0"/>
              <w:jc w:val="right"/>
              <w:rPr>
                <w:color w:val="000000"/>
              </w:rPr>
            </w:pPr>
            <w:r w:rsidRPr="008C6145">
              <w:rPr>
                <w:color w:val="000000"/>
              </w:rPr>
              <w:t xml:space="preserve">$44.03 </w:t>
            </w:r>
          </w:p>
        </w:tc>
        <w:tc>
          <w:tcPr>
            <w:tcW w:w="108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170</w:t>
            </w:r>
          </w:p>
        </w:tc>
        <w:tc>
          <w:tcPr>
            <w:tcW w:w="144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170</w:t>
            </w:r>
          </w:p>
        </w:tc>
        <w:tc>
          <w:tcPr>
            <w:tcW w:w="900" w:type="dxa"/>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900" w:type="dxa"/>
            <w:tcBorders>
              <w:top w:val="single"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rPr>
                <w:color w:val="000000"/>
              </w:rPr>
            </w:pPr>
          </w:p>
        </w:tc>
        <w:tc>
          <w:tcPr>
            <w:tcW w:w="1350" w:type="dxa"/>
            <w:gridSpan w:val="2"/>
            <w:tcBorders>
              <w:top w:val="single"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rPr>
                <w:color w:val="000000"/>
              </w:rPr>
            </w:pPr>
          </w:p>
        </w:tc>
      </w:tr>
      <w:tr w:rsidR="005B6561" w:rsidRPr="008C6145" w:rsidTr="00040414">
        <w:trPr>
          <w:trHeight w:val="315"/>
        </w:trPr>
        <w:tc>
          <w:tcPr>
            <w:tcW w:w="171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May-12</w:t>
            </w:r>
          </w:p>
        </w:tc>
        <w:tc>
          <w:tcPr>
            <w:tcW w:w="99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493</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347</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347</w:t>
            </w:r>
          </w:p>
        </w:tc>
        <w:tc>
          <w:tcPr>
            <w:tcW w:w="1080" w:type="dxa"/>
            <w:tcBorders>
              <w:top w:val="dashSmallGap" w:sz="4" w:space="0" w:color="auto"/>
              <w:left w:val="single" w:sz="4" w:space="0" w:color="auto"/>
              <w:bottom w:val="dashSmallGap" w:sz="4" w:space="0" w:color="auto"/>
              <w:right w:val="single" w:sz="4" w:space="0" w:color="auto"/>
            </w:tcBorders>
          </w:tcPr>
          <w:p w:rsidR="005B6561" w:rsidRPr="008C6145" w:rsidRDefault="005B6561" w:rsidP="000D722D">
            <w:pPr>
              <w:spacing w:line="240" w:lineRule="auto"/>
              <w:ind w:firstLine="0"/>
              <w:jc w:val="right"/>
              <w:rPr>
                <w:color w:val="000000"/>
              </w:rPr>
            </w:pPr>
            <w:r w:rsidRPr="008C6145">
              <w:rPr>
                <w:color w:val="000000"/>
              </w:rPr>
              <w:t>10.288</w:t>
            </w:r>
          </w:p>
        </w:tc>
        <w:tc>
          <w:tcPr>
            <w:tcW w:w="1080" w:type="dxa"/>
            <w:tcBorders>
              <w:top w:val="dashSmallGap" w:sz="4" w:space="0" w:color="auto"/>
              <w:left w:val="single" w:sz="4" w:space="0" w:color="auto"/>
              <w:bottom w:val="dashSmallGap" w:sz="4" w:space="0" w:color="auto"/>
              <w:right w:val="single" w:sz="4" w:space="0" w:color="auto"/>
            </w:tcBorders>
            <w:vAlign w:val="bottom"/>
          </w:tcPr>
          <w:p w:rsidR="005B6561" w:rsidRPr="008C6145" w:rsidRDefault="005B6561" w:rsidP="000D722D">
            <w:pPr>
              <w:spacing w:line="240" w:lineRule="auto"/>
              <w:ind w:firstLine="0"/>
              <w:jc w:val="right"/>
              <w:rPr>
                <w:color w:val="000000"/>
              </w:rPr>
            </w:pPr>
            <w:r w:rsidRPr="008C6145">
              <w:rPr>
                <w:color w:val="000000"/>
              </w:rPr>
              <w:t xml:space="preserve">$35.70 </w:t>
            </w:r>
          </w:p>
        </w:tc>
        <w:tc>
          <w:tcPr>
            <w:tcW w:w="108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146</w:t>
            </w:r>
          </w:p>
        </w:tc>
        <w:tc>
          <w:tcPr>
            <w:tcW w:w="144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316</w:t>
            </w:r>
          </w:p>
        </w:tc>
        <w:tc>
          <w:tcPr>
            <w:tcW w:w="900" w:type="dxa"/>
            <w:tcBorders>
              <w:top w:val="dashSmallGap" w:sz="4" w:space="0" w:color="auto"/>
              <w:left w:val="single" w:sz="4" w:space="0" w:color="auto"/>
              <w:bottom w:val="dashSmallGap" w:sz="4" w:space="0" w:color="auto"/>
              <w:right w:val="single" w:sz="4" w:space="0" w:color="auto"/>
            </w:tcBorders>
            <w:shd w:val="clear" w:color="auto" w:fill="auto"/>
            <w:noWrap/>
            <w:vAlign w:val="bottom"/>
            <w:hideMark/>
          </w:tcPr>
          <w:p w:rsidR="005B6561" w:rsidRPr="008C6145" w:rsidRDefault="005B6561" w:rsidP="000D722D">
            <w:pPr>
              <w:spacing w:line="240" w:lineRule="auto"/>
              <w:ind w:firstLine="0"/>
              <w:jc w:val="right"/>
              <w:rPr>
                <w:color w:val="000000"/>
              </w:rPr>
            </w:pPr>
            <w:r w:rsidRPr="008C6145">
              <w:rPr>
                <w:color w:val="000000"/>
              </w:rPr>
              <w:t>0</w:t>
            </w:r>
          </w:p>
        </w:tc>
        <w:tc>
          <w:tcPr>
            <w:tcW w:w="900" w:type="dxa"/>
            <w:tcBorders>
              <w:top w:val="dashSmallGap" w:sz="4" w:space="0" w:color="auto"/>
              <w:left w:val="single" w:sz="4" w:space="0" w:color="auto"/>
              <w:bottom w:val="dashSmallGap" w:sz="4" w:space="0" w:color="auto"/>
              <w:right w:val="single" w:sz="4" w:space="0" w:color="auto"/>
            </w:tcBorders>
            <w:vAlign w:val="center"/>
          </w:tcPr>
          <w:p w:rsidR="005B6561" w:rsidRPr="008C6145" w:rsidRDefault="005B6561" w:rsidP="00AB5BCA">
            <w:pPr>
              <w:spacing w:line="240" w:lineRule="auto"/>
              <w:ind w:firstLine="0"/>
              <w:jc w:val="right"/>
              <w:rPr>
                <w:color w:val="000000"/>
              </w:rPr>
            </w:pPr>
            <w:r w:rsidRPr="008C6145">
              <w:rPr>
                <w:color w:val="000000"/>
              </w:rPr>
              <w:t>6.387</w:t>
            </w:r>
          </w:p>
        </w:tc>
        <w:tc>
          <w:tcPr>
            <w:tcW w:w="1350" w:type="dxa"/>
            <w:gridSpan w:val="2"/>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rsidR="005B6561" w:rsidRPr="008C6145" w:rsidRDefault="005B6561" w:rsidP="00AB5BCA">
            <w:pPr>
              <w:spacing w:line="240" w:lineRule="auto"/>
              <w:ind w:firstLine="0"/>
              <w:jc w:val="right"/>
              <w:rPr>
                <w:color w:val="000000"/>
              </w:rPr>
            </w:pPr>
            <w:r w:rsidRPr="008C6145">
              <w:rPr>
                <w:color w:val="000000"/>
              </w:rPr>
              <w:t>$20.18</w:t>
            </w:r>
          </w:p>
        </w:tc>
      </w:tr>
    </w:tbl>
    <w:p w:rsidR="00B06023" w:rsidRPr="008C6145" w:rsidRDefault="00B06023" w:rsidP="000D722D">
      <w:pPr>
        <w:tabs>
          <w:tab w:val="left" w:pos="-720"/>
        </w:tabs>
        <w:suppressAutoHyphens/>
        <w:ind w:firstLine="0"/>
        <w:rPr>
          <w:szCs w:val="26"/>
        </w:rPr>
      </w:pPr>
    </w:p>
    <w:sectPr w:rsidR="00B06023" w:rsidRPr="008C6145" w:rsidSect="00352995">
      <w:footerReference w:type="default" r:id="rId14"/>
      <w:pgSz w:w="15840" w:h="12240" w:orient="landscape"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53" w:rsidRDefault="006A4D53">
      <w:r>
        <w:separator/>
      </w:r>
    </w:p>
  </w:endnote>
  <w:endnote w:type="continuationSeparator" w:id="0">
    <w:p w:rsidR="006A4D53" w:rsidRDefault="006A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6E" w:rsidRDefault="0053086E"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3086E" w:rsidRDefault="00530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6E" w:rsidRDefault="0053086E"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E2169F">
      <w:rPr>
        <w:rStyle w:val="PageNumber"/>
        <w:noProof/>
      </w:rPr>
      <w:t>23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6E" w:rsidRDefault="0053086E" w:rsidP="00352995">
    <w:pPr>
      <w:pStyle w:val="Footer"/>
      <w:ind w:firstLine="0"/>
      <w:jc w:val="center"/>
    </w:pPr>
  </w:p>
  <w:p w:rsidR="0053086E" w:rsidRDefault="005308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15782"/>
      <w:docPartObj>
        <w:docPartGallery w:val="Page Numbers (Bottom of Page)"/>
        <w:docPartUnique/>
      </w:docPartObj>
    </w:sdtPr>
    <w:sdtEndPr>
      <w:rPr>
        <w:noProof/>
      </w:rPr>
    </w:sdtEndPr>
    <w:sdtContent>
      <w:p w:rsidR="0053086E" w:rsidRDefault="0053086E" w:rsidP="00352995">
        <w:pPr>
          <w:pStyle w:val="Footer"/>
          <w:ind w:firstLine="0"/>
          <w:jc w:val="center"/>
        </w:pPr>
        <w:r>
          <w:fldChar w:fldCharType="begin"/>
        </w:r>
        <w:r>
          <w:instrText xml:space="preserve"> PAGE   \* MERGEFORMAT </w:instrText>
        </w:r>
        <w:r>
          <w:fldChar w:fldCharType="separate"/>
        </w:r>
        <w:r w:rsidR="00E2169F">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53" w:rsidRDefault="006A4D53">
      <w:r>
        <w:separator/>
      </w:r>
    </w:p>
  </w:footnote>
  <w:footnote w:type="continuationSeparator" w:id="0">
    <w:p w:rsidR="006A4D53" w:rsidRDefault="006A4D53">
      <w:r>
        <w:continuationSeparator/>
      </w:r>
    </w:p>
  </w:footnote>
  <w:footnote w:id="1">
    <w:p w:rsidR="0053086E" w:rsidRPr="00E7432D" w:rsidRDefault="0053086E" w:rsidP="00E7432D">
      <w:pPr>
        <w:pStyle w:val="FootnoteText"/>
        <w:spacing w:line="240" w:lineRule="auto"/>
        <w:ind w:firstLine="720"/>
        <w:rPr>
          <w:sz w:val="26"/>
          <w:szCs w:val="26"/>
        </w:rPr>
      </w:pPr>
      <w:r w:rsidRPr="00E7432D">
        <w:rPr>
          <w:rStyle w:val="FootnoteReference"/>
          <w:sz w:val="26"/>
          <w:szCs w:val="26"/>
        </w:rPr>
        <w:footnoteRef/>
      </w:r>
      <w:r w:rsidRPr="00E7432D">
        <w:rPr>
          <w:sz w:val="26"/>
          <w:szCs w:val="26"/>
        </w:rPr>
        <w:t xml:space="preserve"> </w:t>
      </w:r>
      <w:r>
        <w:rPr>
          <w:sz w:val="26"/>
          <w:szCs w:val="26"/>
        </w:rPr>
        <w:tab/>
      </w:r>
      <w:r w:rsidRPr="00E7432D">
        <w:rPr>
          <w:sz w:val="26"/>
          <w:szCs w:val="26"/>
        </w:rPr>
        <w:t>The Complainant did not serve PPL with the Exceptions.  By letter dated March 19, 2013, the Commission</w:t>
      </w:r>
      <w:r>
        <w:rPr>
          <w:sz w:val="26"/>
          <w:szCs w:val="26"/>
        </w:rPr>
        <w:t>’s</w:t>
      </w:r>
      <w:r w:rsidRPr="00E7432D">
        <w:rPr>
          <w:sz w:val="26"/>
          <w:szCs w:val="26"/>
        </w:rPr>
        <w:t xml:space="preserve"> Secretary transmitted a copy of the Exceptions to PPL and established a deadline of March 29, 2013, for </w:t>
      </w:r>
      <w:r>
        <w:rPr>
          <w:sz w:val="26"/>
          <w:szCs w:val="26"/>
        </w:rPr>
        <w:t>R</w:t>
      </w:r>
      <w:r w:rsidRPr="00E7432D">
        <w:rPr>
          <w:sz w:val="26"/>
          <w:szCs w:val="26"/>
        </w:rPr>
        <w:t xml:space="preserve">eply Exceptions. </w:t>
      </w:r>
    </w:p>
  </w:footnote>
  <w:footnote w:id="2">
    <w:p w:rsidR="0053086E" w:rsidRPr="00DA0D4E" w:rsidRDefault="0053086E" w:rsidP="009A192F">
      <w:pPr>
        <w:pStyle w:val="FootnoteText"/>
        <w:spacing w:line="240" w:lineRule="auto"/>
        <w:ind w:firstLine="720"/>
        <w:rPr>
          <w:sz w:val="26"/>
          <w:szCs w:val="26"/>
        </w:rPr>
      </w:pPr>
      <w:r w:rsidRPr="00DA0D4E">
        <w:rPr>
          <w:rStyle w:val="FootnoteReference"/>
          <w:sz w:val="26"/>
          <w:szCs w:val="26"/>
        </w:rPr>
        <w:footnoteRef/>
      </w:r>
      <w:r w:rsidRPr="00DA0D4E">
        <w:rPr>
          <w:sz w:val="26"/>
          <w:szCs w:val="26"/>
        </w:rPr>
        <w:tab/>
        <w:t>Supplement No. 60</w:t>
      </w:r>
      <w:r>
        <w:rPr>
          <w:sz w:val="26"/>
          <w:szCs w:val="26"/>
        </w:rPr>
        <w:t xml:space="preserve"> </w:t>
      </w:r>
      <w:r w:rsidRPr="00DA0D4E">
        <w:rPr>
          <w:sz w:val="26"/>
          <w:szCs w:val="26"/>
        </w:rPr>
        <w:t xml:space="preserve">to Tariff </w:t>
      </w:r>
      <w:r>
        <w:rPr>
          <w:sz w:val="26"/>
          <w:szCs w:val="26"/>
        </w:rPr>
        <w:t>-</w:t>
      </w:r>
      <w:r w:rsidRPr="00DA0D4E">
        <w:rPr>
          <w:sz w:val="26"/>
          <w:szCs w:val="26"/>
        </w:rPr>
        <w:t xml:space="preserve"> Electric Pa. PUC. No. 201, First Revised Page No</w:t>
      </w:r>
      <w:r>
        <w:rPr>
          <w:sz w:val="26"/>
          <w:szCs w:val="26"/>
        </w:rPr>
        <w:t>s</w:t>
      </w:r>
      <w:r w:rsidRPr="00DA0D4E">
        <w:rPr>
          <w:sz w:val="26"/>
          <w:szCs w:val="26"/>
        </w:rPr>
        <w:t xml:space="preserve">. 19L.2 – </w:t>
      </w:r>
      <w:r>
        <w:rPr>
          <w:sz w:val="26"/>
          <w:szCs w:val="26"/>
        </w:rPr>
        <w:t>19L.4</w:t>
      </w:r>
      <w:r w:rsidRPr="00DA0D4E">
        <w:rPr>
          <w:sz w:val="26"/>
          <w:szCs w:val="26"/>
        </w:rPr>
        <w:t>, and Supplement No. 102 to Tariff</w:t>
      </w:r>
      <w:r>
        <w:rPr>
          <w:sz w:val="26"/>
          <w:szCs w:val="26"/>
        </w:rPr>
        <w:t xml:space="preserve"> -</w:t>
      </w:r>
      <w:r w:rsidRPr="00DA0D4E">
        <w:rPr>
          <w:sz w:val="26"/>
          <w:szCs w:val="26"/>
        </w:rPr>
        <w:t xml:space="preserve"> Electric Pa. P.U.C. No. 201, Third Revised Page </w:t>
      </w:r>
      <w:r>
        <w:rPr>
          <w:sz w:val="26"/>
          <w:szCs w:val="26"/>
        </w:rPr>
        <w:t>Nos.</w:t>
      </w:r>
      <w:r w:rsidRPr="00DA0D4E">
        <w:rPr>
          <w:sz w:val="26"/>
          <w:szCs w:val="26"/>
        </w:rPr>
        <w:t>19L</w:t>
      </w:r>
      <w:r>
        <w:rPr>
          <w:sz w:val="26"/>
          <w:szCs w:val="26"/>
        </w:rPr>
        <w:t>.</w:t>
      </w:r>
      <w:r w:rsidRPr="00DA0D4E">
        <w:rPr>
          <w:sz w:val="26"/>
          <w:szCs w:val="26"/>
        </w:rPr>
        <w:t xml:space="preserve">2 – </w:t>
      </w:r>
      <w:r>
        <w:rPr>
          <w:sz w:val="26"/>
          <w:szCs w:val="26"/>
        </w:rPr>
        <w:t>19L.4</w:t>
      </w:r>
      <w:r w:rsidRPr="00DA0D4E">
        <w:rPr>
          <w:sz w:val="26"/>
          <w:szCs w:val="26"/>
        </w:rPr>
        <w:t xml:space="preserve">, Net Metering for Renewable Customer Generators (Net </w:t>
      </w:r>
      <w:r>
        <w:rPr>
          <w:sz w:val="26"/>
          <w:szCs w:val="26"/>
        </w:rPr>
        <w:t>M</w:t>
      </w:r>
      <w:r w:rsidRPr="00DA0D4E">
        <w:rPr>
          <w:sz w:val="26"/>
          <w:szCs w:val="26"/>
        </w:rPr>
        <w:t>etering Tariff).  These tariffs were placed on the record as PPL Exhibits Nos. 3 and 4.</w:t>
      </w:r>
    </w:p>
  </w:footnote>
  <w:footnote w:id="3">
    <w:p w:rsidR="0053086E" w:rsidRPr="00032357" w:rsidRDefault="0053086E" w:rsidP="00032357">
      <w:pPr>
        <w:pStyle w:val="FootnoteText"/>
        <w:spacing w:line="240" w:lineRule="auto"/>
        <w:ind w:firstLine="720"/>
        <w:rPr>
          <w:sz w:val="26"/>
          <w:szCs w:val="26"/>
        </w:rPr>
      </w:pPr>
      <w:r w:rsidRPr="00032357">
        <w:rPr>
          <w:rStyle w:val="FootnoteReference"/>
          <w:sz w:val="26"/>
          <w:szCs w:val="26"/>
        </w:rPr>
        <w:footnoteRef/>
      </w:r>
      <w:r w:rsidRPr="00032357">
        <w:rPr>
          <w:sz w:val="26"/>
          <w:szCs w:val="26"/>
        </w:rPr>
        <w:t xml:space="preserve"> </w:t>
      </w:r>
      <w:r w:rsidRPr="00032357">
        <w:rPr>
          <w:sz w:val="26"/>
          <w:szCs w:val="26"/>
        </w:rPr>
        <w:tab/>
        <w:t>The Commission</w:t>
      </w:r>
      <w:r>
        <w:rPr>
          <w:sz w:val="26"/>
          <w:szCs w:val="26"/>
        </w:rPr>
        <w:t>’</w:t>
      </w:r>
      <w:r w:rsidRPr="00032357">
        <w:rPr>
          <w:sz w:val="26"/>
          <w:szCs w:val="26"/>
        </w:rPr>
        <w:t xml:space="preserve">s Regulations at 52 Pa. Code § 75.13(d) require that customer-generators be compensated </w:t>
      </w:r>
      <w:r>
        <w:rPr>
          <w:sz w:val="26"/>
          <w:szCs w:val="26"/>
        </w:rPr>
        <w:t xml:space="preserve">for excess generation </w:t>
      </w:r>
      <w:r w:rsidRPr="00032357">
        <w:rPr>
          <w:sz w:val="26"/>
          <w:szCs w:val="26"/>
        </w:rPr>
        <w:t>at the EDC</w:t>
      </w:r>
      <w:r>
        <w:rPr>
          <w:sz w:val="26"/>
          <w:szCs w:val="26"/>
        </w:rPr>
        <w:t>’</w:t>
      </w:r>
      <w:r w:rsidRPr="00032357">
        <w:rPr>
          <w:sz w:val="26"/>
          <w:szCs w:val="26"/>
        </w:rPr>
        <w:t xml:space="preserve">s </w:t>
      </w:r>
      <w:r>
        <w:rPr>
          <w:sz w:val="26"/>
          <w:szCs w:val="26"/>
        </w:rPr>
        <w:t>p</w:t>
      </w:r>
      <w:r w:rsidRPr="00032357">
        <w:rPr>
          <w:sz w:val="26"/>
          <w:szCs w:val="26"/>
        </w:rPr>
        <w:t xml:space="preserve">rice to </w:t>
      </w:r>
      <w:r>
        <w:rPr>
          <w:sz w:val="26"/>
          <w:szCs w:val="26"/>
        </w:rPr>
        <w:t>c</w:t>
      </w:r>
      <w:r w:rsidRPr="00032357">
        <w:rPr>
          <w:sz w:val="26"/>
          <w:szCs w:val="26"/>
        </w:rPr>
        <w:t xml:space="preserve">ompare. </w:t>
      </w:r>
    </w:p>
  </w:footnote>
  <w:footnote w:id="4">
    <w:p w:rsidR="00D023DA" w:rsidRPr="00975E82" w:rsidRDefault="00D023DA" w:rsidP="00D023DA">
      <w:pPr>
        <w:pStyle w:val="FootnoteText"/>
        <w:keepNext/>
        <w:ind w:firstLine="720"/>
        <w:rPr>
          <w:sz w:val="26"/>
          <w:szCs w:val="26"/>
        </w:rPr>
      </w:pPr>
      <w:r w:rsidRPr="00D023DA">
        <w:rPr>
          <w:rStyle w:val="FootnoteReference"/>
          <w:sz w:val="26"/>
          <w:szCs w:val="26"/>
        </w:rPr>
        <w:footnoteRef/>
      </w:r>
      <w:r w:rsidRPr="00D023DA">
        <w:rPr>
          <w:sz w:val="26"/>
          <w:szCs w:val="26"/>
        </w:rPr>
        <w:t xml:space="preserve"> </w:t>
      </w:r>
      <w:r>
        <w:tab/>
      </w:r>
      <w:r w:rsidRPr="00975E82">
        <w:rPr>
          <w:sz w:val="26"/>
          <w:szCs w:val="26"/>
        </w:rPr>
        <w:t xml:space="preserve">The Act and Commission regulations define “net metering” as follows:  </w:t>
      </w:r>
    </w:p>
    <w:p w:rsidR="00D023DA" w:rsidRPr="00975E82" w:rsidRDefault="00D023DA" w:rsidP="00D023DA">
      <w:pPr>
        <w:pStyle w:val="FootnoteText"/>
        <w:keepNext/>
        <w:spacing w:line="240" w:lineRule="auto"/>
        <w:ind w:left="720" w:right="720" w:firstLine="0"/>
        <w:rPr>
          <w:sz w:val="26"/>
          <w:szCs w:val="26"/>
        </w:rPr>
      </w:pPr>
      <w:r w:rsidRPr="00975E82">
        <w:rPr>
          <w:sz w:val="26"/>
          <w:szCs w:val="26"/>
        </w:rPr>
        <w:t>The means of measuring the difference between the electricity supplied by the electric utility and the electricity generated by a customer-generator when any portion of the electricity generated by the alternative energy generating system is used to offset part or all of the customer-generator’s requirements for electricity.  Virtual meter aggregation on properties owned or leased and operated by a customer-generator and located within two miles of the boundaries of the customer-generator’s property and within a single electric distribution company’s service territory shall be eligible for net metering.</w:t>
      </w:r>
    </w:p>
    <w:p w:rsidR="00D023DA" w:rsidRPr="00975E82" w:rsidRDefault="00D023DA" w:rsidP="00D023DA">
      <w:pPr>
        <w:pStyle w:val="FootnoteText"/>
        <w:keepNext/>
        <w:spacing w:line="240" w:lineRule="auto"/>
        <w:ind w:left="720" w:right="720" w:firstLine="0"/>
        <w:rPr>
          <w:sz w:val="26"/>
          <w:szCs w:val="26"/>
        </w:rPr>
      </w:pPr>
    </w:p>
    <w:p w:rsidR="00D023DA" w:rsidRPr="00975E82" w:rsidRDefault="00D023DA" w:rsidP="00290BB8">
      <w:pPr>
        <w:pStyle w:val="FootnoteText"/>
        <w:keepNext/>
        <w:ind w:firstLine="0"/>
        <w:rPr>
          <w:sz w:val="26"/>
          <w:szCs w:val="26"/>
        </w:rPr>
      </w:pPr>
      <w:r w:rsidRPr="00975E82">
        <w:rPr>
          <w:sz w:val="26"/>
          <w:szCs w:val="26"/>
        </w:rPr>
        <w:t xml:space="preserve">The Act and Commission’s regulations define “customer-generator” as follows:  </w:t>
      </w:r>
    </w:p>
    <w:p w:rsidR="00290BB8" w:rsidRDefault="00D023DA" w:rsidP="00D023DA">
      <w:pPr>
        <w:pStyle w:val="FootnoteText"/>
        <w:keepNext/>
        <w:spacing w:line="240" w:lineRule="auto"/>
        <w:ind w:left="720" w:right="720" w:firstLine="0"/>
        <w:rPr>
          <w:sz w:val="26"/>
          <w:szCs w:val="26"/>
        </w:rPr>
      </w:pPr>
      <w:r w:rsidRPr="00975E82">
        <w:rPr>
          <w:sz w:val="26"/>
          <w:szCs w:val="26"/>
        </w:rPr>
        <w:t xml:space="preserve">A nonutility owner or operator of a net metered distributed generation system with a nameplate capacity of not greater than 50 kilowatts if installed at a residential service or not larger than 3,000 kilowatts at other customer service locations, except for customers whose systems are above three megawatts and up to five megawatts who make their systems available to operate in parallel with the electric utility during grid emergencies as defined by the regional transmission organization or where a </w:t>
      </w:r>
      <w:proofErr w:type="spellStart"/>
      <w:r w:rsidRPr="00975E82">
        <w:rPr>
          <w:sz w:val="26"/>
          <w:szCs w:val="26"/>
        </w:rPr>
        <w:t>microgrid</w:t>
      </w:r>
      <w:proofErr w:type="spellEnd"/>
      <w:r w:rsidRPr="00975E82">
        <w:rPr>
          <w:sz w:val="26"/>
          <w:szCs w:val="26"/>
        </w:rPr>
        <w:t xml:space="preserve"> is in place for the primary or secondary purpose of maintaining critical infrastructure, such as homeland security assignments, emergency services facilities, hospitals, traffic signals, wastewater treatment plants or telecommunications facilities, provided that technical rules for operating generators interconnected with facilities of an electric distribution company, electric cooperative or municipal electric system have been promulgated by the Institute</w:t>
      </w:r>
      <w:r>
        <w:t xml:space="preserve"> </w:t>
      </w:r>
      <w:r w:rsidRPr="00975E82">
        <w:rPr>
          <w:sz w:val="26"/>
          <w:szCs w:val="26"/>
        </w:rPr>
        <w:t>of Electrical and Electronic Engineers and the Pennsylvania Public Utility Commission.</w:t>
      </w:r>
      <w:r>
        <w:rPr>
          <w:sz w:val="26"/>
          <w:szCs w:val="26"/>
        </w:rPr>
        <w:t xml:space="preserve">  </w:t>
      </w:r>
    </w:p>
    <w:p w:rsidR="00290BB8" w:rsidRDefault="00290BB8" w:rsidP="00D023DA">
      <w:pPr>
        <w:pStyle w:val="FootnoteText"/>
        <w:keepNext/>
        <w:spacing w:line="240" w:lineRule="auto"/>
        <w:ind w:left="720" w:right="720" w:firstLine="0"/>
        <w:rPr>
          <w:sz w:val="26"/>
          <w:szCs w:val="26"/>
        </w:rPr>
      </w:pPr>
    </w:p>
    <w:p w:rsidR="00D023DA" w:rsidRPr="00975E82" w:rsidRDefault="00D023DA" w:rsidP="00991996">
      <w:pPr>
        <w:pStyle w:val="FootnoteText"/>
        <w:keepNext/>
        <w:spacing w:line="240" w:lineRule="auto"/>
        <w:ind w:right="720" w:firstLine="0"/>
        <w:rPr>
          <w:sz w:val="26"/>
          <w:szCs w:val="26"/>
        </w:rPr>
      </w:pPr>
      <w:r w:rsidRPr="00975E82">
        <w:rPr>
          <w:i/>
          <w:sz w:val="26"/>
          <w:szCs w:val="26"/>
        </w:rPr>
        <w:t>See</w:t>
      </w:r>
      <w:r w:rsidRPr="00975E82">
        <w:rPr>
          <w:sz w:val="26"/>
          <w:szCs w:val="26"/>
        </w:rPr>
        <w:t>, 73 P.S. § 1648.2.</w:t>
      </w:r>
    </w:p>
  </w:footnote>
  <w:footnote w:id="5">
    <w:p w:rsidR="0053086E" w:rsidRPr="00747BB3" w:rsidRDefault="0053086E" w:rsidP="00213C8A">
      <w:pPr>
        <w:pStyle w:val="FootnoteText"/>
        <w:spacing w:line="240" w:lineRule="auto"/>
        <w:ind w:firstLine="720"/>
        <w:rPr>
          <w:sz w:val="26"/>
          <w:szCs w:val="26"/>
        </w:rPr>
      </w:pPr>
      <w:r w:rsidRPr="00213C8A">
        <w:rPr>
          <w:rStyle w:val="FootnoteReference"/>
          <w:sz w:val="26"/>
          <w:szCs w:val="26"/>
        </w:rPr>
        <w:footnoteRef/>
      </w:r>
      <w:r w:rsidRPr="00213C8A">
        <w:rPr>
          <w:sz w:val="26"/>
          <w:szCs w:val="26"/>
        </w:rPr>
        <w:t xml:space="preserve"> </w:t>
      </w:r>
      <w:r>
        <w:tab/>
      </w:r>
      <w:r w:rsidRPr="00747BB3">
        <w:rPr>
          <w:sz w:val="26"/>
          <w:szCs w:val="26"/>
        </w:rPr>
        <w:t xml:space="preserve">The record indicates that this information may have been supplied to virtual metering customers </w:t>
      </w:r>
      <w:r>
        <w:rPr>
          <w:sz w:val="26"/>
          <w:szCs w:val="26"/>
        </w:rPr>
        <w:t xml:space="preserve">only </w:t>
      </w:r>
      <w:r w:rsidRPr="00747BB3">
        <w:rPr>
          <w:sz w:val="26"/>
          <w:szCs w:val="26"/>
        </w:rPr>
        <w:t xml:space="preserve">for the 2012 and 2013 PJM </w:t>
      </w:r>
      <w:r>
        <w:rPr>
          <w:sz w:val="26"/>
          <w:szCs w:val="26"/>
        </w:rPr>
        <w:t>P</w:t>
      </w:r>
      <w:r w:rsidRPr="00747BB3">
        <w:rPr>
          <w:sz w:val="26"/>
          <w:szCs w:val="26"/>
        </w:rPr>
        <w:t xml:space="preserve">lanning </w:t>
      </w:r>
      <w:r>
        <w:rPr>
          <w:sz w:val="26"/>
          <w:szCs w:val="26"/>
        </w:rPr>
        <w:t>Y</w:t>
      </w:r>
      <w:r w:rsidRPr="00747BB3">
        <w:rPr>
          <w:sz w:val="26"/>
          <w:szCs w:val="26"/>
        </w:rPr>
        <w:t>ears.  In his direct examination, PPL witness Mr. Cannon explained that for 2012, upon a customer</w:t>
      </w:r>
      <w:r>
        <w:rPr>
          <w:sz w:val="26"/>
          <w:szCs w:val="26"/>
        </w:rPr>
        <w:t>’</w:t>
      </w:r>
      <w:r w:rsidRPr="00747BB3">
        <w:rPr>
          <w:sz w:val="26"/>
          <w:szCs w:val="26"/>
        </w:rPr>
        <w:t xml:space="preserve">s request, PPL would provide its virtual </w:t>
      </w:r>
      <w:r>
        <w:rPr>
          <w:sz w:val="26"/>
          <w:szCs w:val="26"/>
        </w:rPr>
        <w:t xml:space="preserve">net </w:t>
      </w:r>
      <w:r w:rsidRPr="00747BB3">
        <w:rPr>
          <w:sz w:val="26"/>
          <w:szCs w:val="26"/>
        </w:rPr>
        <w:t xml:space="preserve">metering customers a calculation sheet similar to PPL Exhibit No. 7 </w:t>
      </w:r>
      <w:r>
        <w:rPr>
          <w:sz w:val="26"/>
          <w:szCs w:val="26"/>
        </w:rPr>
        <w:t>with information such as</w:t>
      </w:r>
      <w:r w:rsidRPr="00747BB3">
        <w:rPr>
          <w:sz w:val="26"/>
          <w:szCs w:val="26"/>
        </w:rPr>
        <w:t xml:space="preserve"> meter readings.  Mr. Cannon also explained that for the 2013 PJM </w:t>
      </w:r>
      <w:r>
        <w:rPr>
          <w:sz w:val="26"/>
          <w:szCs w:val="26"/>
        </w:rPr>
        <w:t>P</w:t>
      </w:r>
      <w:r w:rsidRPr="00747BB3">
        <w:rPr>
          <w:sz w:val="26"/>
          <w:szCs w:val="26"/>
        </w:rPr>
        <w:t xml:space="preserve">lanning </w:t>
      </w:r>
      <w:r>
        <w:rPr>
          <w:sz w:val="26"/>
          <w:szCs w:val="26"/>
        </w:rPr>
        <w:t>Y</w:t>
      </w:r>
      <w:r w:rsidRPr="00747BB3">
        <w:rPr>
          <w:sz w:val="26"/>
          <w:szCs w:val="26"/>
        </w:rPr>
        <w:t>ear, PPL would provide these statements to all virtual metering customers as a standard practice.</w:t>
      </w:r>
      <w:r>
        <w:rPr>
          <w:sz w:val="26"/>
          <w:szCs w:val="26"/>
        </w:rPr>
        <w:t xml:space="preserve">  </w:t>
      </w:r>
      <w:proofErr w:type="gramStart"/>
      <w:r>
        <w:rPr>
          <w:sz w:val="26"/>
          <w:szCs w:val="26"/>
        </w:rPr>
        <w:t>Tr. at 221.</w:t>
      </w:r>
      <w:proofErr w:type="gramEnd"/>
      <w:r>
        <w:rPr>
          <w:sz w:val="26"/>
          <w:szCs w:val="26"/>
        </w:rPr>
        <w:t xml:space="preserve"> </w:t>
      </w:r>
    </w:p>
  </w:footnote>
  <w:footnote w:id="6">
    <w:p w:rsidR="0053086E" w:rsidRPr="0053086E" w:rsidRDefault="0053086E" w:rsidP="0053086E">
      <w:pPr>
        <w:pStyle w:val="FootnoteText"/>
        <w:ind w:firstLine="720"/>
        <w:rPr>
          <w:sz w:val="26"/>
          <w:szCs w:val="26"/>
        </w:rPr>
      </w:pPr>
      <w:r w:rsidRPr="0053086E">
        <w:rPr>
          <w:rStyle w:val="FootnoteReference"/>
          <w:sz w:val="26"/>
          <w:szCs w:val="26"/>
        </w:rPr>
        <w:footnoteRef/>
      </w:r>
      <w:r w:rsidRPr="0053086E">
        <w:rPr>
          <w:sz w:val="26"/>
          <w:szCs w:val="26"/>
        </w:rPr>
        <w:t xml:space="preserve"> </w:t>
      </w:r>
      <w:r w:rsidRPr="0053086E">
        <w:rPr>
          <w:sz w:val="26"/>
          <w:szCs w:val="26"/>
        </w:rPr>
        <w:tab/>
      </w:r>
      <w:r>
        <w:rPr>
          <w:sz w:val="26"/>
          <w:szCs w:val="26"/>
        </w:rPr>
        <w:t xml:space="preserve">The Commission’s regulations at </w:t>
      </w:r>
      <w:r w:rsidRPr="0053086E">
        <w:rPr>
          <w:sz w:val="26"/>
          <w:szCs w:val="26"/>
        </w:rPr>
        <w:t>52 Pa. Code § 75.12</w:t>
      </w:r>
      <w:r>
        <w:rPr>
          <w:sz w:val="26"/>
          <w:szCs w:val="26"/>
        </w:rPr>
        <w:t xml:space="preserve"> define “v</w:t>
      </w:r>
      <w:r w:rsidRPr="0053086E">
        <w:rPr>
          <w:sz w:val="26"/>
          <w:szCs w:val="26"/>
        </w:rPr>
        <w:t>irtual meter aggregation</w:t>
      </w:r>
      <w:r>
        <w:rPr>
          <w:sz w:val="26"/>
          <w:szCs w:val="26"/>
        </w:rPr>
        <w:t>”</w:t>
      </w:r>
      <w:r w:rsidRPr="0053086E">
        <w:rPr>
          <w:sz w:val="26"/>
          <w:szCs w:val="26"/>
        </w:rPr>
        <w:t xml:space="preserve"> as follows:  </w:t>
      </w:r>
    </w:p>
    <w:p w:rsidR="0053086E" w:rsidRPr="0053086E" w:rsidRDefault="0053086E" w:rsidP="0053086E">
      <w:pPr>
        <w:pStyle w:val="FootnoteText"/>
        <w:spacing w:line="240" w:lineRule="auto"/>
        <w:ind w:left="720" w:right="720" w:firstLine="0"/>
        <w:rPr>
          <w:sz w:val="26"/>
          <w:szCs w:val="26"/>
        </w:rPr>
      </w:pPr>
      <w:r w:rsidRPr="0053086E">
        <w:rPr>
          <w:sz w:val="26"/>
          <w:szCs w:val="26"/>
        </w:rPr>
        <w:t>The combination of readings and billing for all meters regardless of rate class on properties owned or leased and operated by a customer-generator by means of the EDC’s billing process, rather than through physical rewiring of the customer-generator’s property for a physical, single point of contact.  Virtual meter aggregation on properties owned or leased and operated by a customer-generator and located within 2 miles of the boundaries of the customer-generator’s property and within a single electric distribution company’s service territory shall be eligible for net metering.</w:t>
      </w:r>
    </w:p>
    <w:p w:rsidR="0053086E" w:rsidRPr="0053086E" w:rsidRDefault="0053086E" w:rsidP="0053086E">
      <w:pPr>
        <w:pStyle w:val="FootnoteText"/>
        <w:spacing w:line="240" w:lineRule="auto"/>
        <w:ind w:firstLine="720"/>
        <w:rPr>
          <w:sz w:val="26"/>
          <w:szCs w:val="26"/>
        </w:rPr>
      </w:pPr>
    </w:p>
  </w:footnote>
  <w:footnote w:id="7">
    <w:p w:rsidR="0053086E" w:rsidRPr="008E66EE" w:rsidRDefault="0053086E" w:rsidP="008E66EE">
      <w:pPr>
        <w:pStyle w:val="FootnoteText"/>
        <w:spacing w:line="240" w:lineRule="auto"/>
        <w:ind w:firstLine="720"/>
        <w:rPr>
          <w:sz w:val="26"/>
          <w:szCs w:val="26"/>
        </w:rPr>
      </w:pPr>
      <w:r w:rsidRPr="008E66EE">
        <w:rPr>
          <w:rStyle w:val="FootnoteReference"/>
          <w:sz w:val="26"/>
          <w:szCs w:val="26"/>
        </w:rPr>
        <w:footnoteRef/>
      </w:r>
      <w:r w:rsidRPr="008E66EE">
        <w:rPr>
          <w:sz w:val="26"/>
          <w:szCs w:val="26"/>
        </w:rPr>
        <w:t xml:space="preserve"> </w:t>
      </w:r>
      <w:r>
        <w:rPr>
          <w:sz w:val="26"/>
          <w:szCs w:val="26"/>
        </w:rPr>
        <w:tab/>
      </w:r>
      <w:r w:rsidRPr="008E66EE">
        <w:rPr>
          <w:sz w:val="26"/>
          <w:szCs w:val="26"/>
        </w:rPr>
        <w:t xml:space="preserve">The Complainant did submit a few bills after the record was closed. </w:t>
      </w:r>
    </w:p>
  </w:footnote>
  <w:footnote w:id="8">
    <w:p w:rsidR="0053086E" w:rsidRPr="007E68AE" w:rsidRDefault="0053086E" w:rsidP="007E68AE">
      <w:pPr>
        <w:pStyle w:val="FootnoteText"/>
        <w:spacing w:line="240" w:lineRule="auto"/>
        <w:ind w:firstLine="720"/>
        <w:rPr>
          <w:sz w:val="26"/>
          <w:szCs w:val="26"/>
        </w:rPr>
      </w:pPr>
      <w:r w:rsidRPr="007E68AE">
        <w:rPr>
          <w:rStyle w:val="FootnoteReference"/>
          <w:sz w:val="26"/>
          <w:szCs w:val="26"/>
        </w:rPr>
        <w:footnoteRef/>
      </w:r>
      <w:r w:rsidRPr="007E68AE">
        <w:rPr>
          <w:sz w:val="26"/>
          <w:szCs w:val="26"/>
        </w:rPr>
        <w:t xml:space="preserve"> </w:t>
      </w:r>
      <w:r>
        <w:rPr>
          <w:sz w:val="26"/>
          <w:szCs w:val="26"/>
        </w:rPr>
        <w:tab/>
      </w:r>
      <w:r w:rsidRPr="007E68AE">
        <w:rPr>
          <w:sz w:val="26"/>
          <w:szCs w:val="26"/>
        </w:rPr>
        <w:t xml:space="preserve">Absent an objection from the Complainant, the revisions to Exhibit No. 7 shall be included in the formal record of this proceeding. </w:t>
      </w:r>
    </w:p>
  </w:footnote>
  <w:footnote w:id="9">
    <w:p w:rsidR="0053086E" w:rsidRPr="007E68AE" w:rsidRDefault="0053086E" w:rsidP="007E68AE">
      <w:pPr>
        <w:pStyle w:val="FootnoteText"/>
        <w:ind w:firstLine="720"/>
        <w:rPr>
          <w:sz w:val="26"/>
          <w:szCs w:val="26"/>
        </w:rPr>
      </w:pPr>
      <w:r w:rsidRPr="007E68AE">
        <w:rPr>
          <w:rStyle w:val="FootnoteReference"/>
          <w:sz w:val="26"/>
          <w:szCs w:val="26"/>
        </w:rPr>
        <w:footnoteRef/>
      </w:r>
      <w:r w:rsidRPr="007E68AE">
        <w:rPr>
          <w:sz w:val="26"/>
          <w:szCs w:val="26"/>
        </w:rPr>
        <w:t xml:space="preserve"> </w:t>
      </w:r>
      <w:r>
        <w:tab/>
      </w:r>
      <w:r w:rsidRPr="007E68AE">
        <w:rPr>
          <w:sz w:val="26"/>
          <w:szCs w:val="26"/>
        </w:rPr>
        <w:t>The Complainant</w:t>
      </w:r>
      <w:r>
        <w:rPr>
          <w:sz w:val="26"/>
          <w:szCs w:val="26"/>
        </w:rPr>
        <w:t>’</w:t>
      </w:r>
      <w:r w:rsidRPr="007E68AE">
        <w:rPr>
          <w:sz w:val="26"/>
          <w:szCs w:val="26"/>
        </w:rPr>
        <w:t>s eligibility for virtual meter</w:t>
      </w:r>
      <w:r>
        <w:rPr>
          <w:sz w:val="26"/>
          <w:szCs w:val="26"/>
        </w:rPr>
        <w:t xml:space="preserve"> aggregation</w:t>
      </w:r>
      <w:r w:rsidRPr="007E68AE">
        <w:rPr>
          <w:sz w:val="26"/>
          <w:szCs w:val="26"/>
        </w:rPr>
        <w:t xml:space="preserve"> is discussed, </w:t>
      </w:r>
      <w:r w:rsidRPr="007E68AE">
        <w:rPr>
          <w:i/>
          <w:sz w:val="26"/>
          <w:szCs w:val="26"/>
        </w:rPr>
        <w:t>infra</w:t>
      </w:r>
      <w:r w:rsidRPr="007E68AE">
        <w:rPr>
          <w:sz w:val="26"/>
          <w:szCs w:val="26"/>
        </w:rPr>
        <w:t xml:space="preserve">. </w:t>
      </w:r>
    </w:p>
  </w:footnote>
  <w:footnote w:id="10">
    <w:p w:rsidR="0053086E" w:rsidRPr="000D722D" w:rsidRDefault="0053086E" w:rsidP="000D722D">
      <w:pPr>
        <w:pStyle w:val="FootnoteText"/>
        <w:spacing w:line="240" w:lineRule="auto"/>
        <w:ind w:firstLine="720"/>
        <w:rPr>
          <w:sz w:val="26"/>
          <w:szCs w:val="26"/>
        </w:rPr>
      </w:pPr>
      <w:r w:rsidRPr="000D722D">
        <w:rPr>
          <w:rStyle w:val="FootnoteReference"/>
          <w:sz w:val="26"/>
          <w:szCs w:val="26"/>
        </w:rPr>
        <w:footnoteRef/>
      </w:r>
      <w:r w:rsidRPr="000D722D">
        <w:rPr>
          <w:sz w:val="26"/>
          <w:szCs w:val="26"/>
        </w:rPr>
        <w:t xml:space="preserve"> </w:t>
      </w:r>
      <w:r>
        <w:rPr>
          <w:sz w:val="26"/>
          <w:szCs w:val="26"/>
        </w:rPr>
        <w:tab/>
      </w:r>
      <w:r w:rsidRPr="000D722D">
        <w:rPr>
          <w:sz w:val="26"/>
          <w:szCs w:val="26"/>
        </w:rPr>
        <w:t xml:space="preserve">The value of the credits applied to the satellite account was based on “the full retail value” of </w:t>
      </w:r>
      <w:r>
        <w:rPr>
          <w:sz w:val="26"/>
          <w:szCs w:val="26"/>
        </w:rPr>
        <w:t>the rate applied to the satellite account (</w:t>
      </w:r>
      <w:r w:rsidRPr="000D722D">
        <w:rPr>
          <w:sz w:val="26"/>
          <w:szCs w:val="26"/>
        </w:rPr>
        <w:t>Rate RS</w:t>
      </w:r>
      <w:r>
        <w:rPr>
          <w:sz w:val="26"/>
          <w:szCs w:val="26"/>
        </w:rPr>
        <w:t>)</w:t>
      </w:r>
      <w:r w:rsidRPr="000D722D">
        <w:rPr>
          <w:sz w:val="26"/>
          <w:szCs w:val="26"/>
        </w:rPr>
        <w:t xml:space="preserve"> and the cash-out payment was based on the </w:t>
      </w:r>
      <w:r>
        <w:rPr>
          <w:sz w:val="26"/>
          <w:szCs w:val="26"/>
        </w:rPr>
        <w:t>p</w:t>
      </w:r>
      <w:r w:rsidRPr="000D722D">
        <w:rPr>
          <w:sz w:val="26"/>
          <w:szCs w:val="26"/>
        </w:rPr>
        <w:t xml:space="preserve">rice to </w:t>
      </w:r>
      <w:r>
        <w:rPr>
          <w:sz w:val="26"/>
          <w:szCs w:val="26"/>
        </w:rPr>
        <w:t>c</w:t>
      </w:r>
      <w:r w:rsidRPr="000D722D">
        <w:rPr>
          <w:sz w:val="26"/>
          <w:szCs w:val="26"/>
        </w:rPr>
        <w:t xml:space="preserve">ompare for </w:t>
      </w:r>
      <w:r>
        <w:rPr>
          <w:sz w:val="26"/>
          <w:szCs w:val="26"/>
        </w:rPr>
        <w:t>the host account (R</w:t>
      </w:r>
      <w:r w:rsidRPr="000D722D">
        <w:rPr>
          <w:sz w:val="26"/>
          <w:szCs w:val="26"/>
        </w:rPr>
        <w:t>ate GS</w:t>
      </w:r>
      <w:r>
        <w:rPr>
          <w:sz w:val="26"/>
          <w:szCs w:val="26"/>
        </w:rPr>
        <w:t>-1)</w:t>
      </w:r>
      <w:r w:rsidRPr="000D722D">
        <w:rPr>
          <w:sz w:val="26"/>
          <w:szCs w:val="26"/>
        </w:rPr>
        <w:t xml:space="preserve">.  </w:t>
      </w:r>
      <w:proofErr w:type="gramStart"/>
      <w:r>
        <w:rPr>
          <w:sz w:val="26"/>
          <w:szCs w:val="26"/>
        </w:rPr>
        <w:t>Tr. at 175, 180.</w:t>
      </w:r>
      <w:proofErr w:type="gramEnd"/>
      <w:r w:rsidRPr="000D722D">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032A"/>
    <w:multiLevelType w:val="hybridMultilevel"/>
    <w:tmpl w:val="3DBCA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47D14"/>
    <w:multiLevelType w:val="hybridMultilevel"/>
    <w:tmpl w:val="948056A8"/>
    <w:lvl w:ilvl="0" w:tplc="4914EC78">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6BB71A5"/>
    <w:multiLevelType w:val="hybridMultilevel"/>
    <w:tmpl w:val="187A89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8445169"/>
    <w:multiLevelType w:val="hybridMultilevel"/>
    <w:tmpl w:val="3006BF5A"/>
    <w:lvl w:ilvl="0" w:tplc="9252B850">
      <w:start w:val="1"/>
      <w:numFmt w:val="decimal"/>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A754F72"/>
    <w:multiLevelType w:val="hybridMultilevel"/>
    <w:tmpl w:val="3CB080F2"/>
    <w:lvl w:ilvl="0" w:tplc="4914EC78">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BA623B8"/>
    <w:multiLevelType w:val="hybridMultilevel"/>
    <w:tmpl w:val="05A01A58"/>
    <w:lvl w:ilvl="0" w:tplc="992CCB84">
      <w:start w:val="1"/>
      <w:numFmt w:val="decimal"/>
      <w:pStyle w:val="Heading3"/>
      <w:lvlText w:val="%1."/>
      <w:lvlJc w:val="left"/>
      <w:pPr>
        <w:ind w:left="5670" w:hanging="360"/>
      </w:pPr>
      <w:rPr>
        <w:rFonts w:cs="Times New Roman" w:hint="default"/>
      </w:rPr>
    </w:lvl>
    <w:lvl w:ilvl="1" w:tplc="04090019" w:tentative="1">
      <w:start w:val="1"/>
      <w:numFmt w:val="lowerLetter"/>
      <w:lvlText w:val="%2."/>
      <w:lvlJc w:val="left"/>
      <w:pPr>
        <w:ind w:left="10620" w:hanging="360"/>
      </w:pPr>
    </w:lvl>
    <w:lvl w:ilvl="2" w:tplc="0409001B" w:tentative="1">
      <w:start w:val="1"/>
      <w:numFmt w:val="lowerRoman"/>
      <w:lvlText w:val="%3."/>
      <w:lvlJc w:val="right"/>
      <w:pPr>
        <w:ind w:left="11340" w:hanging="180"/>
      </w:pPr>
    </w:lvl>
    <w:lvl w:ilvl="3" w:tplc="0409000F" w:tentative="1">
      <w:start w:val="1"/>
      <w:numFmt w:val="decimal"/>
      <w:lvlText w:val="%4."/>
      <w:lvlJc w:val="left"/>
      <w:pPr>
        <w:ind w:left="12060" w:hanging="360"/>
      </w:pPr>
    </w:lvl>
    <w:lvl w:ilvl="4" w:tplc="04090019" w:tentative="1">
      <w:start w:val="1"/>
      <w:numFmt w:val="lowerLetter"/>
      <w:lvlText w:val="%5."/>
      <w:lvlJc w:val="left"/>
      <w:pPr>
        <w:ind w:left="12780" w:hanging="360"/>
      </w:pPr>
    </w:lvl>
    <w:lvl w:ilvl="5" w:tplc="0409001B" w:tentative="1">
      <w:start w:val="1"/>
      <w:numFmt w:val="lowerRoman"/>
      <w:lvlText w:val="%6."/>
      <w:lvlJc w:val="right"/>
      <w:pPr>
        <w:ind w:left="13500" w:hanging="180"/>
      </w:pPr>
    </w:lvl>
    <w:lvl w:ilvl="6" w:tplc="0409000F" w:tentative="1">
      <w:start w:val="1"/>
      <w:numFmt w:val="decimal"/>
      <w:lvlText w:val="%7."/>
      <w:lvlJc w:val="left"/>
      <w:pPr>
        <w:ind w:left="14220" w:hanging="360"/>
      </w:pPr>
    </w:lvl>
    <w:lvl w:ilvl="7" w:tplc="04090019" w:tentative="1">
      <w:start w:val="1"/>
      <w:numFmt w:val="lowerLetter"/>
      <w:lvlText w:val="%8."/>
      <w:lvlJc w:val="left"/>
      <w:pPr>
        <w:ind w:left="14940" w:hanging="360"/>
      </w:pPr>
    </w:lvl>
    <w:lvl w:ilvl="8" w:tplc="0409001B" w:tentative="1">
      <w:start w:val="1"/>
      <w:numFmt w:val="lowerRoman"/>
      <w:lvlText w:val="%9."/>
      <w:lvlJc w:val="right"/>
      <w:pPr>
        <w:ind w:left="15660" w:hanging="180"/>
      </w:pPr>
    </w:lvl>
  </w:abstractNum>
  <w:abstractNum w:abstractNumId="6">
    <w:nsid w:val="11FF0E68"/>
    <w:multiLevelType w:val="hybridMultilevel"/>
    <w:tmpl w:val="44B2D390"/>
    <w:lvl w:ilvl="0" w:tplc="5EF8DC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77209540">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F5370"/>
    <w:multiLevelType w:val="hybridMultilevel"/>
    <w:tmpl w:val="39828440"/>
    <w:lvl w:ilvl="0" w:tplc="093EDE6A">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D5E5801"/>
    <w:multiLevelType w:val="hybridMultilevel"/>
    <w:tmpl w:val="433224B4"/>
    <w:lvl w:ilvl="0" w:tplc="3B78B926">
      <w:start w:val="1"/>
      <w:numFmt w:val="lowerLetter"/>
      <w:pStyle w:val="Heading4"/>
      <w:lvlText w:val="%1."/>
      <w:lvlJc w:val="left"/>
      <w:pPr>
        <w:ind w:left="18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2D86672"/>
    <w:multiLevelType w:val="hybridMultilevel"/>
    <w:tmpl w:val="BE2E78B6"/>
    <w:lvl w:ilvl="0" w:tplc="5A6C6290">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101EA"/>
    <w:multiLevelType w:val="hybridMultilevel"/>
    <w:tmpl w:val="43E8952C"/>
    <w:lvl w:ilvl="0" w:tplc="FEEA1E3E">
      <w:start w:val="1"/>
      <w:numFmt w:val="upperLetter"/>
      <w:pStyle w:val="Head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9D7E28"/>
    <w:multiLevelType w:val="hybridMultilevel"/>
    <w:tmpl w:val="9DFC3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9246D3"/>
    <w:multiLevelType w:val="hybridMultilevel"/>
    <w:tmpl w:val="90B2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7D374D"/>
    <w:multiLevelType w:val="hybridMultilevel"/>
    <w:tmpl w:val="B798C6D0"/>
    <w:lvl w:ilvl="0" w:tplc="CD92EC9E">
      <w:start w:val="1"/>
      <w:numFmt w:val="upperRoman"/>
      <w:pStyle w:val="Heading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06659"/>
    <w:multiLevelType w:val="hybridMultilevel"/>
    <w:tmpl w:val="489CD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A207CE9"/>
    <w:multiLevelType w:val="hybridMultilevel"/>
    <w:tmpl w:val="82B82F22"/>
    <w:lvl w:ilvl="0" w:tplc="B386C7B2">
      <w:start w:val="1"/>
      <w:numFmt w:val="decimal"/>
      <w:lvlText w:val="%1."/>
      <w:lvlJc w:val="left"/>
      <w:pPr>
        <w:ind w:left="3600" w:hanging="2160"/>
      </w:pPr>
      <w:rPr>
        <w:rFonts w:hint="default"/>
        <w:b w:val="0"/>
        <w:color w:val="auto"/>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num w:numId="1">
    <w:abstractNumId w:val="15"/>
  </w:num>
  <w:num w:numId="2">
    <w:abstractNumId w:val="3"/>
  </w:num>
  <w:num w:numId="3">
    <w:abstractNumId w:val="2"/>
  </w:num>
  <w:num w:numId="4">
    <w:abstractNumId w:val="8"/>
  </w:num>
  <w:num w:numId="5">
    <w:abstractNumId w:val="13"/>
  </w:num>
  <w:num w:numId="6">
    <w:abstractNumId w:val="5"/>
  </w:num>
  <w:num w:numId="7">
    <w:abstractNumId w:val="8"/>
    <w:lvlOverride w:ilvl="0">
      <w:startOverride w:val="1"/>
    </w:lvlOverride>
  </w:num>
  <w:num w:numId="8">
    <w:abstractNumId w:val="5"/>
    <w:lvlOverride w:ilvl="0">
      <w:startOverride w:val="1"/>
    </w:lvlOverride>
  </w:num>
  <w:num w:numId="9">
    <w:abstractNumId w:val="8"/>
  </w:num>
  <w:num w:numId="10">
    <w:abstractNumId w:val="7"/>
  </w:num>
  <w:num w:numId="11">
    <w:abstractNumId w:val="10"/>
  </w:num>
  <w:num w:numId="12">
    <w:abstractNumId w:val="4"/>
  </w:num>
  <w:num w:numId="13">
    <w:abstractNumId w:val="1"/>
  </w:num>
  <w:num w:numId="14">
    <w:abstractNumId w:val="9"/>
  </w:num>
  <w:num w:numId="15">
    <w:abstractNumId w:val="8"/>
    <w:lvlOverride w:ilvl="0">
      <w:startOverride w:val="1"/>
    </w:lvlOverride>
  </w:num>
  <w:num w:numId="16">
    <w:abstractNumId w:val="8"/>
    <w:lvlOverride w:ilvl="0">
      <w:startOverride w:val="1"/>
    </w:lvlOverride>
  </w:num>
  <w:num w:numId="17">
    <w:abstractNumId w:val="6"/>
  </w:num>
  <w:num w:numId="18">
    <w:abstractNumId w:val="8"/>
    <w:lvlOverride w:ilvl="0">
      <w:startOverride w:val="1"/>
    </w:lvlOverride>
  </w:num>
  <w:num w:numId="19">
    <w:abstractNumId w:val="8"/>
  </w:num>
  <w:num w:numId="20">
    <w:abstractNumId w:val="12"/>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14"/>
  </w:num>
  <w:num w:numId="26">
    <w:abstractNumId w:val="8"/>
    <w:lvlOverride w:ilvl="0">
      <w:startOverride w:val="1"/>
    </w:lvlOverride>
  </w:num>
  <w:num w:numId="27">
    <w:abstractNumId w:val="0"/>
  </w:num>
  <w:num w:numId="2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9A4"/>
    <w:rsid w:val="000014E2"/>
    <w:rsid w:val="000037C4"/>
    <w:rsid w:val="00003B9D"/>
    <w:rsid w:val="00003CE8"/>
    <w:rsid w:val="0000428F"/>
    <w:rsid w:val="00004ABB"/>
    <w:rsid w:val="00004F6D"/>
    <w:rsid w:val="000053B4"/>
    <w:rsid w:val="00005A5F"/>
    <w:rsid w:val="00006183"/>
    <w:rsid w:val="000063D1"/>
    <w:rsid w:val="000067A2"/>
    <w:rsid w:val="00006BA5"/>
    <w:rsid w:val="00007103"/>
    <w:rsid w:val="00007669"/>
    <w:rsid w:val="000076FF"/>
    <w:rsid w:val="00007782"/>
    <w:rsid w:val="00007CB1"/>
    <w:rsid w:val="00007ECA"/>
    <w:rsid w:val="00011C32"/>
    <w:rsid w:val="0001218C"/>
    <w:rsid w:val="00012686"/>
    <w:rsid w:val="00013957"/>
    <w:rsid w:val="00013C41"/>
    <w:rsid w:val="000142D3"/>
    <w:rsid w:val="000143C4"/>
    <w:rsid w:val="00014762"/>
    <w:rsid w:val="00014B3E"/>
    <w:rsid w:val="00015184"/>
    <w:rsid w:val="000156E2"/>
    <w:rsid w:val="00015896"/>
    <w:rsid w:val="00015D57"/>
    <w:rsid w:val="000167DB"/>
    <w:rsid w:val="00020113"/>
    <w:rsid w:val="0002095D"/>
    <w:rsid w:val="00020C31"/>
    <w:rsid w:val="00020DB4"/>
    <w:rsid w:val="0002107F"/>
    <w:rsid w:val="0002192E"/>
    <w:rsid w:val="0002251A"/>
    <w:rsid w:val="00023324"/>
    <w:rsid w:val="00023550"/>
    <w:rsid w:val="00023680"/>
    <w:rsid w:val="000236BD"/>
    <w:rsid w:val="00023BEA"/>
    <w:rsid w:val="00024846"/>
    <w:rsid w:val="00024A2F"/>
    <w:rsid w:val="000254F8"/>
    <w:rsid w:val="000260D5"/>
    <w:rsid w:val="00026292"/>
    <w:rsid w:val="0002653D"/>
    <w:rsid w:val="000265D0"/>
    <w:rsid w:val="00026B92"/>
    <w:rsid w:val="0002736E"/>
    <w:rsid w:val="00027B63"/>
    <w:rsid w:val="00027E6F"/>
    <w:rsid w:val="000303DA"/>
    <w:rsid w:val="00030A5E"/>
    <w:rsid w:val="000310F7"/>
    <w:rsid w:val="00031444"/>
    <w:rsid w:val="00031BBE"/>
    <w:rsid w:val="00032357"/>
    <w:rsid w:val="00032D16"/>
    <w:rsid w:val="00033140"/>
    <w:rsid w:val="0003342B"/>
    <w:rsid w:val="0003373D"/>
    <w:rsid w:val="00033814"/>
    <w:rsid w:val="00033DB2"/>
    <w:rsid w:val="0003455A"/>
    <w:rsid w:val="00034ED0"/>
    <w:rsid w:val="000354E7"/>
    <w:rsid w:val="00037894"/>
    <w:rsid w:val="00040414"/>
    <w:rsid w:val="000404BD"/>
    <w:rsid w:val="00040737"/>
    <w:rsid w:val="00040EC2"/>
    <w:rsid w:val="00040F84"/>
    <w:rsid w:val="00040FDC"/>
    <w:rsid w:val="00041D7C"/>
    <w:rsid w:val="00041DF9"/>
    <w:rsid w:val="00042223"/>
    <w:rsid w:val="0004250B"/>
    <w:rsid w:val="00042541"/>
    <w:rsid w:val="00042931"/>
    <w:rsid w:val="00042A39"/>
    <w:rsid w:val="00042A8A"/>
    <w:rsid w:val="000430E8"/>
    <w:rsid w:val="00045231"/>
    <w:rsid w:val="00045323"/>
    <w:rsid w:val="00045B3E"/>
    <w:rsid w:val="00045D0F"/>
    <w:rsid w:val="00045D50"/>
    <w:rsid w:val="00045DBA"/>
    <w:rsid w:val="00046544"/>
    <w:rsid w:val="00046A88"/>
    <w:rsid w:val="00046B1E"/>
    <w:rsid w:val="00046D3B"/>
    <w:rsid w:val="00046F80"/>
    <w:rsid w:val="00047F2F"/>
    <w:rsid w:val="000508E1"/>
    <w:rsid w:val="00051036"/>
    <w:rsid w:val="00051E02"/>
    <w:rsid w:val="000520F1"/>
    <w:rsid w:val="000522E4"/>
    <w:rsid w:val="000527AB"/>
    <w:rsid w:val="00052B91"/>
    <w:rsid w:val="00052D4A"/>
    <w:rsid w:val="00052D5F"/>
    <w:rsid w:val="0005412F"/>
    <w:rsid w:val="000545BD"/>
    <w:rsid w:val="00054CFD"/>
    <w:rsid w:val="00054FB2"/>
    <w:rsid w:val="000552F8"/>
    <w:rsid w:val="00055DFA"/>
    <w:rsid w:val="000563EF"/>
    <w:rsid w:val="000564F3"/>
    <w:rsid w:val="00056678"/>
    <w:rsid w:val="0005777D"/>
    <w:rsid w:val="00057957"/>
    <w:rsid w:val="0006066A"/>
    <w:rsid w:val="000613F0"/>
    <w:rsid w:val="000618BD"/>
    <w:rsid w:val="000619A9"/>
    <w:rsid w:val="00061B1F"/>
    <w:rsid w:val="000621E4"/>
    <w:rsid w:val="000625BB"/>
    <w:rsid w:val="00062B01"/>
    <w:rsid w:val="00062B99"/>
    <w:rsid w:val="0006357E"/>
    <w:rsid w:val="00063EF6"/>
    <w:rsid w:val="000655C9"/>
    <w:rsid w:val="000655FA"/>
    <w:rsid w:val="000657A4"/>
    <w:rsid w:val="00066479"/>
    <w:rsid w:val="00066742"/>
    <w:rsid w:val="00066CD6"/>
    <w:rsid w:val="00067295"/>
    <w:rsid w:val="00067A73"/>
    <w:rsid w:val="00067DE5"/>
    <w:rsid w:val="00067FA0"/>
    <w:rsid w:val="00070122"/>
    <w:rsid w:val="0007013B"/>
    <w:rsid w:val="00070838"/>
    <w:rsid w:val="00070983"/>
    <w:rsid w:val="00070AFC"/>
    <w:rsid w:val="00071006"/>
    <w:rsid w:val="00071A21"/>
    <w:rsid w:val="000720D0"/>
    <w:rsid w:val="0007288A"/>
    <w:rsid w:val="000728AD"/>
    <w:rsid w:val="000733E6"/>
    <w:rsid w:val="00073F0A"/>
    <w:rsid w:val="00073FAB"/>
    <w:rsid w:val="00074C59"/>
    <w:rsid w:val="00074EAD"/>
    <w:rsid w:val="00076A4F"/>
    <w:rsid w:val="00077BD9"/>
    <w:rsid w:val="000805D8"/>
    <w:rsid w:val="0008068C"/>
    <w:rsid w:val="0008080B"/>
    <w:rsid w:val="00080BB7"/>
    <w:rsid w:val="00080F10"/>
    <w:rsid w:val="00081C61"/>
    <w:rsid w:val="00081DF8"/>
    <w:rsid w:val="00082B20"/>
    <w:rsid w:val="000835EC"/>
    <w:rsid w:val="00083739"/>
    <w:rsid w:val="00083CB2"/>
    <w:rsid w:val="00083F86"/>
    <w:rsid w:val="0008405F"/>
    <w:rsid w:val="00084CFD"/>
    <w:rsid w:val="00084FCF"/>
    <w:rsid w:val="000857F9"/>
    <w:rsid w:val="00085923"/>
    <w:rsid w:val="00085C33"/>
    <w:rsid w:val="000862CE"/>
    <w:rsid w:val="000864AB"/>
    <w:rsid w:val="00086B0F"/>
    <w:rsid w:val="00087BB0"/>
    <w:rsid w:val="00087BE3"/>
    <w:rsid w:val="000902DC"/>
    <w:rsid w:val="00090436"/>
    <w:rsid w:val="000905E2"/>
    <w:rsid w:val="000906FA"/>
    <w:rsid w:val="00090A90"/>
    <w:rsid w:val="00091BDB"/>
    <w:rsid w:val="00091ECC"/>
    <w:rsid w:val="000920FF"/>
    <w:rsid w:val="0009364A"/>
    <w:rsid w:val="000937CC"/>
    <w:rsid w:val="00093887"/>
    <w:rsid w:val="00093A9A"/>
    <w:rsid w:val="00094014"/>
    <w:rsid w:val="000943F2"/>
    <w:rsid w:val="0009499B"/>
    <w:rsid w:val="00094F2A"/>
    <w:rsid w:val="000951AD"/>
    <w:rsid w:val="0009555D"/>
    <w:rsid w:val="00096062"/>
    <w:rsid w:val="00096304"/>
    <w:rsid w:val="00096F60"/>
    <w:rsid w:val="0009789B"/>
    <w:rsid w:val="00097D1A"/>
    <w:rsid w:val="000A0EF6"/>
    <w:rsid w:val="000A0FA1"/>
    <w:rsid w:val="000A15BF"/>
    <w:rsid w:val="000A1647"/>
    <w:rsid w:val="000A1FD2"/>
    <w:rsid w:val="000A2723"/>
    <w:rsid w:val="000A2D4A"/>
    <w:rsid w:val="000A3531"/>
    <w:rsid w:val="000A3AB9"/>
    <w:rsid w:val="000A3D6D"/>
    <w:rsid w:val="000A47B1"/>
    <w:rsid w:val="000A4D27"/>
    <w:rsid w:val="000A524A"/>
    <w:rsid w:val="000A5D9B"/>
    <w:rsid w:val="000A690F"/>
    <w:rsid w:val="000A6B3F"/>
    <w:rsid w:val="000A71D0"/>
    <w:rsid w:val="000A71E0"/>
    <w:rsid w:val="000B1568"/>
    <w:rsid w:val="000B1A16"/>
    <w:rsid w:val="000B2425"/>
    <w:rsid w:val="000B2922"/>
    <w:rsid w:val="000B2C23"/>
    <w:rsid w:val="000B2E16"/>
    <w:rsid w:val="000B32CF"/>
    <w:rsid w:val="000B4046"/>
    <w:rsid w:val="000B41D4"/>
    <w:rsid w:val="000B43AE"/>
    <w:rsid w:val="000B43D3"/>
    <w:rsid w:val="000B47FF"/>
    <w:rsid w:val="000B4A79"/>
    <w:rsid w:val="000B4F08"/>
    <w:rsid w:val="000B56E6"/>
    <w:rsid w:val="000B6CBE"/>
    <w:rsid w:val="000B744E"/>
    <w:rsid w:val="000B7F17"/>
    <w:rsid w:val="000C05F0"/>
    <w:rsid w:val="000C10BB"/>
    <w:rsid w:val="000C19C7"/>
    <w:rsid w:val="000C1CE5"/>
    <w:rsid w:val="000C1E13"/>
    <w:rsid w:val="000C210B"/>
    <w:rsid w:val="000C2610"/>
    <w:rsid w:val="000C26A1"/>
    <w:rsid w:val="000C3756"/>
    <w:rsid w:val="000C4A82"/>
    <w:rsid w:val="000C4B1E"/>
    <w:rsid w:val="000C5194"/>
    <w:rsid w:val="000C5A9A"/>
    <w:rsid w:val="000C5D76"/>
    <w:rsid w:val="000C6F63"/>
    <w:rsid w:val="000D1661"/>
    <w:rsid w:val="000D1801"/>
    <w:rsid w:val="000D38E6"/>
    <w:rsid w:val="000D4004"/>
    <w:rsid w:val="000D481F"/>
    <w:rsid w:val="000D4977"/>
    <w:rsid w:val="000D4D17"/>
    <w:rsid w:val="000D53C1"/>
    <w:rsid w:val="000D591B"/>
    <w:rsid w:val="000D5C68"/>
    <w:rsid w:val="000D6779"/>
    <w:rsid w:val="000D682C"/>
    <w:rsid w:val="000D6A7B"/>
    <w:rsid w:val="000D722D"/>
    <w:rsid w:val="000D7904"/>
    <w:rsid w:val="000D7A9C"/>
    <w:rsid w:val="000E2310"/>
    <w:rsid w:val="000E2AFC"/>
    <w:rsid w:val="000E2C94"/>
    <w:rsid w:val="000E316C"/>
    <w:rsid w:val="000E3685"/>
    <w:rsid w:val="000E3AE6"/>
    <w:rsid w:val="000E3DC8"/>
    <w:rsid w:val="000E4FEE"/>
    <w:rsid w:val="000E59B8"/>
    <w:rsid w:val="000E59C6"/>
    <w:rsid w:val="000E5C54"/>
    <w:rsid w:val="000E6295"/>
    <w:rsid w:val="000E64A4"/>
    <w:rsid w:val="000E6CB9"/>
    <w:rsid w:val="000E6ECE"/>
    <w:rsid w:val="000E7072"/>
    <w:rsid w:val="000F0738"/>
    <w:rsid w:val="000F118B"/>
    <w:rsid w:val="000F1E50"/>
    <w:rsid w:val="000F2E80"/>
    <w:rsid w:val="000F398D"/>
    <w:rsid w:val="000F3CC9"/>
    <w:rsid w:val="000F3E98"/>
    <w:rsid w:val="000F48AA"/>
    <w:rsid w:val="000F6201"/>
    <w:rsid w:val="000F6F6F"/>
    <w:rsid w:val="000F78CD"/>
    <w:rsid w:val="000F78E5"/>
    <w:rsid w:val="000F797B"/>
    <w:rsid w:val="0010001A"/>
    <w:rsid w:val="0010041F"/>
    <w:rsid w:val="0010070E"/>
    <w:rsid w:val="00100760"/>
    <w:rsid w:val="00100847"/>
    <w:rsid w:val="0010170A"/>
    <w:rsid w:val="00101C64"/>
    <w:rsid w:val="00103F99"/>
    <w:rsid w:val="0010404F"/>
    <w:rsid w:val="00104EC3"/>
    <w:rsid w:val="0010564E"/>
    <w:rsid w:val="001063D0"/>
    <w:rsid w:val="00106794"/>
    <w:rsid w:val="001071D3"/>
    <w:rsid w:val="00107935"/>
    <w:rsid w:val="00107A4E"/>
    <w:rsid w:val="00107C89"/>
    <w:rsid w:val="00110368"/>
    <w:rsid w:val="001112A6"/>
    <w:rsid w:val="00112765"/>
    <w:rsid w:val="00113015"/>
    <w:rsid w:val="00113081"/>
    <w:rsid w:val="00113127"/>
    <w:rsid w:val="001134B3"/>
    <w:rsid w:val="00113930"/>
    <w:rsid w:val="001141CB"/>
    <w:rsid w:val="00114B79"/>
    <w:rsid w:val="00114F43"/>
    <w:rsid w:val="001155B1"/>
    <w:rsid w:val="00115B43"/>
    <w:rsid w:val="00115D11"/>
    <w:rsid w:val="00115DB1"/>
    <w:rsid w:val="00116184"/>
    <w:rsid w:val="0011648F"/>
    <w:rsid w:val="0011689A"/>
    <w:rsid w:val="0011739B"/>
    <w:rsid w:val="0012014C"/>
    <w:rsid w:val="0012102F"/>
    <w:rsid w:val="00121141"/>
    <w:rsid w:val="00121D33"/>
    <w:rsid w:val="00122736"/>
    <w:rsid w:val="00122AA3"/>
    <w:rsid w:val="001231CF"/>
    <w:rsid w:val="001239B8"/>
    <w:rsid w:val="00124DEF"/>
    <w:rsid w:val="00124E02"/>
    <w:rsid w:val="001253F4"/>
    <w:rsid w:val="00125B05"/>
    <w:rsid w:val="00125BB4"/>
    <w:rsid w:val="00125EDF"/>
    <w:rsid w:val="00125F85"/>
    <w:rsid w:val="00126206"/>
    <w:rsid w:val="00126428"/>
    <w:rsid w:val="0012663E"/>
    <w:rsid w:val="001266A8"/>
    <w:rsid w:val="001266BA"/>
    <w:rsid w:val="00126800"/>
    <w:rsid w:val="00126ED9"/>
    <w:rsid w:val="001273C0"/>
    <w:rsid w:val="001300EA"/>
    <w:rsid w:val="001302ED"/>
    <w:rsid w:val="001304B2"/>
    <w:rsid w:val="001308B8"/>
    <w:rsid w:val="001316C4"/>
    <w:rsid w:val="001333DA"/>
    <w:rsid w:val="00133834"/>
    <w:rsid w:val="00133E4F"/>
    <w:rsid w:val="00134001"/>
    <w:rsid w:val="00134829"/>
    <w:rsid w:val="00134B8C"/>
    <w:rsid w:val="00134EE0"/>
    <w:rsid w:val="0013571D"/>
    <w:rsid w:val="00135DC2"/>
    <w:rsid w:val="001362A2"/>
    <w:rsid w:val="001368F3"/>
    <w:rsid w:val="00136AA1"/>
    <w:rsid w:val="00137549"/>
    <w:rsid w:val="0013798A"/>
    <w:rsid w:val="00140001"/>
    <w:rsid w:val="0014098F"/>
    <w:rsid w:val="00141633"/>
    <w:rsid w:val="001424E2"/>
    <w:rsid w:val="0014335A"/>
    <w:rsid w:val="00143E0C"/>
    <w:rsid w:val="00144A9E"/>
    <w:rsid w:val="001451DF"/>
    <w:rsid w:val="00145570"/>
    <w:rsid w:val="00145A3F"/>
    <w:rsid w:val="00146048"/>
    <w:rsid w:val="00146076"/>
    <w:rsid w:val="00146274"/>
    <w:rsid w:val="001468B6"/>
    <w:rsid w:val="00146E34"/>
    <w:rsid w:val="0014753A"/>
    <w:rsid w:val="00147CB0"/>
    <w:rsid w:val="00147DCE"/>
    <w:rsid w:val="001503C4"/>
    <w:rsid w:val="00151E31"/>
    <w:rsid w:val="00151FF7"/>
    <w:rsid w:val="001528D1"/>
    <w:rsid w:val="00152990"/>
    <w:rsid w:val="00152F14"/>
    <w:rsid w:val="00153F36"/>
    <w:rsid w:val="00154301"/>
    <w:rsid w:val="00154ADD"/>
    <w:rsid w:val="00154C9F"/>
    <w:rsid w:val="00155DDA"/>
    <w:rsid w:val="00155E8A"/>
    <w:rsid w:val="001566C2"/>
    <w:rsid w:val="00157002"/>
    <w:rsid w:val="0015757E"/>
    <w:rsid w:val="00157DCB"/>
    <w:rsid w:val="0016061C"/>
    <w:rsid w:val="00160DA3"/>
    <w:rsid w:val="0016165C"/>
    <w:rsid w:val="00161CAB"/>
    <w:rsid w:val="00161DAB"/>
    <w:rsid w:val="00161EBB"/>
    <w:rsid w:val="00163187"/>
    <w:rsid w:val="001633D8"/>
    <w:rsid w:val="001635F3"/>
    <w:rsid w:val="0016378F"/>
    <w:rsid w:val="00163B2C"/>
    <w:rsid w:val="00164229"/>
    <w:rsid w:val="001645EB"/>
    <w:rsid w:val="00164CCE"/>
    <w:rsid w:val="00164E04"/>
    <w:rsid w:val="001658A5"/>
    <w:rsid w:val="001665CE"/>
    <w:rsid w:val="001673EC"/>
    <w:rsid w:val="00170063"/>
    <w:rsid w:val="001705A8"/>
    <w:rsid w:val="001708DF"/>
    <w:rsid w:val="0017108B"/>
    <w:rsid w:val="001716F5"/>
    <w:rsid w:val="00171AFE"/>
    <w:rsid w:val="00171C16"/>
    <w:rsid w:val="00171C1E"/>
    <w:rsid w:val="0017214B"/>
    <w:rsid w:val="001727EC"/>
    <w:rsid w:val="00172A67"/>
    <w:rsid w:val="00172C79"/>
    <w:rsid w:val="0017301D"/>
    <w:rsid w:val="00173174"/>
    <w:rsid w:val="001754B4"/>
    <w:rsid w:val="00175800"/>
    <w:rsid w:val="00175FB6"/>
    <w:rsid w:val="001763B4"/>
    <w:rsid w:val="00176F74"/>
    <w:rsid w:val="00180528"/>
    <w:rsid w:val="0018058F"/>
    <w:rsid w:val="001806B9"/>
    <w:rsid w:val="00180EDF"/>
    <w:rsid w:val="001814DF"/>
    <w:rsid w:val="001815BF"/>
    <w:rsid w:val="00181CAD"/>
    <w:rsid w:val="0018222D"/>
    <w:rsid w:val="001831A3"/>
    <w:rsid w:val="00183895"/>
    <w:rsid w:val="00184493"/>
    <w:rsid w:val="00184535"/>
    <w:rsid w:val="00185194"/>
    <w:rsid w:val="0018594C"/>
    <w:rsid w:val="001861CE"/>
    <w:rsid w:val="00186222"/>
    <w:rsid w:val="00187783"/>
    <w:rsid w:val="00190394"/>
    <w:rsid w:val="001903CC"/>
    <w:rsid w:val="0019063F"/>
    <w:rsid w:val="00190D46"/>
    <w:rsid w:val="00191183"/>
    <w:rsid w:val="00191399"/>
    <w:rsid w:val="0019152A"/>
    <w:rsid w:val="0019161B"/>
    <w:rsid w:val="00191EA8"/>
    <w:rsid w:val="00192596"/>
    <w:rsid w:val="00192686"/>
    <w:rsid w:val="00192A46"/>
    <w:rsid w:val="00192E22"/>
    <w:rsid w:val="00193171"/>
    <w:rsid w:val="0019320B"/>
    <w:rsid w:val="001944BD"/>
    <w:rsid w:val="0019475B"/>
    <w:rsid w:val="001955E0"/>
    <w:rsid w:val="0019650F"/>
    <w:rsid w:val="00196519"/>
    <w:rsid w:val="00197330"/>
    <w:rsid w:val="00197676"/>
    <w:rsid w:val="00197F2A"/>
    <w:rsid w:val="001A0E91"/>
    <w:rsid w:val="001A2552"/>
    <w:rsid w:val="001A2A86"/>
    <w:rsid w:val="001A2E2F"/>
    <w:rsid w:val="001A3B46"/>
    <w:rsid w:val="001A431C"/>
    <w:rsid w:val="001A485D"/>
    <w:rsid w:val="001A4FF7"/>
    <w:rsid w:val="001A504D"/>
    <w:rsid w:val="001A51F1"/>
    <w:rsid w:val="001A5399"/>
    <w:rsid w:val="001A5F47"/>
    <w:rsid w:val="001A6704"/>
    <w:rsid w:val="001A6CB1"/>
    <w:rsid w:val="001A72E9"/>
    <w:rsid w:val="001A7F70"/>
    <w:rsid w:val="001B0327"/>
    <w:rsid w:val="001B0588"/>
    <w:rsid w:val="001B0A2D"/>
    <w:rsid w:val="001B217A"/>
    <w:rsid w:val="001B2F98"/>
    <w:rsid w:val="001B3194"/>
    <w:rsid w:val="001B335E"/>
    <w:rsid w:val="001B3746"/>
    <w:rsid w:val="001B37A8"/>
    <w:rsid w:val="001B3DD4"/>
    <w:rsid w:val="001B3E4A"/>
    <w:rsid w:val="001B3E73"/>
    <w:rsid w:val="001B4547"/>
    <w:rsid w:val="001B5059"/>
    <w:rsid w:val="001B54FA"/>
    <w:rsid w:val="001B5838"/>
    <w:rsid w:val="001B591B"/>
    <w:rsid w:val="001B66DB"/>
    <w:rsid w:val="001B73B6"/>
    <w:rsid w:val="001C00B7"/>
    <w:rsid w:val="001C01F6"/>
    <w:rsid w:val="001C0369"/>
    <w:rsid w:val="001C073E"/>
    <w:rsid w:val="001C0ADE"/>
    <w:rsid w:val="001C136B"/>
    <w:rsid w:val="001C142B"/>
    <w:rsid w:val="001C1653"/>
    <w:rsid w:val="001C28CD"/>
    <w:rsid w:val="001C3784"/>
    <w:rsid w:val="001C466E"/>
    <w:rsid w:val="001C46D4"/>
    <w:rsid w:val="001C4ECE"/>
    <w:rsid w:val="001C5D79"/>
    <w:rsid w:val="001C615E"/>
    <w:rsid w:val="001C6618"/>
    <w:rsid w:val="001C6E68"/>
    <w:rsid w:val="001C6E9A"/>
    <w:rsid w:val="001C7837"/>
    <w:rsid w:val="001C7B4B"/>
    <w:rsid w:val="001D06A8"/>
    <w:rsid w:val="001D1F2F"/>
    <w:rsid w:val="001D2656"/>
    <w:rsid w:val="001D2FF3"/>
    <w:rsid w:val="001D3013"/>
    <w:rsid w:val="001D323A"/>
    <w:rsid w:val="001D3376"/>
    <w:rsid w:val="001D33A8"/>
    <w:rsid w:val="001D37AC"/>
    <w:rsid w:val="001D3D46"/>
    <w:rsid w:val="001D414C"/>
    <w:rsid w:val="001D4845"/>
    <w:rsid w:val="001D4D94"/>
    <w:rsid w:val="001D4F5A"/>
    <w:rsid w:val="001D5798"/>
    <w:rsid w:val="001D59C3"/>
    <w:rsid w:val="001D59D1"/>
    <w:rsid w:val="001D6265"/>
    <w:rsid w:val="001D65AC"/>
    <w:rsid w:val="001D66EB"/>
    <w:rsid w:val="001D67E5"/>
    <w:rsid w:val="001D6FDD"/>
    <w:rsid w:val="001D7182"/>
    <w:rsid w:val="001D7453"/>
    <w:rsid w:val="001D77F5"/>
    <w:rsid w:val="001D7C01"/>
    <w:rsid w:val="001E0C89"/>
    <w:rsid w:val="001E10DA"/>
    <w:rsid w:val="001E1A41"/>
    <w:rsid w:val="001E1A4E"/>
    <w:rsid w:val="001E1D19"/>
    <w:rsid w:val="001E1EE7"/>
    <w:rsid w:val="001E247B"/>
    <w:rsid w:val="001E254C"/>
    <w:rsid w:val="001E3AB2"/>
    <w:rsid w:val="001E3C03"/>
    <w:rsid w:val="001E3D23"/>
    <w:rsid w:val="001E3E18"/>
    <w:rsid w:val="001E3F4F"/>
    <w:rsid w:val="001E44F3"/>
    <w:rsid w:val="001E48DF"/>
    <w:rsid w:val="001E48E2"/>
    <w:rsid w:val="001E55C3"/>
    <w:rsid w:val="001E5728"/>
    <w:rsid w:val="001E6236"/>
    <w:rsid w:val="001E779B"/>
    <w:rsid w:val="001E7A60"/>
    <w:rsid w:val="001E7B70"/>
    <w:rsid w:val="001E7CBC"/>
    <w:rsid w:val="001F01C9"/>
    <w:rsid w:val="001F143A"/>
    <w:rsid w:val="001F18F5"/>
    <w:rsid w:val="001F22ED"/>
    <w:rsid w:val="001F2A56"/>
    <w:rsid w:val="001F2F6E"/>
    <w:rsid w:val="001F3552"/>
    <w:rsid w:val="001F379B"/>
    <w:rsid w:val="001F3C84"/>
    <w:rsid w:val="001F3E1C"/>
    <w:rsid w:val="001F44D8"/>
    <w:rsid w:val="001F4CF2"/>
    <w:rsid w:val="001F5A5F"/>
    <w:rsid w:val="001F5C67"/>
    <w:rsid w:val="001F5FAB"/>
    <w:rsid w:val="001F60E7"/>
    <w:rsid w:val="001F641B"/>
    <w:rsid w:val="001F6B71"/>
    <w:rsid w:val="001F71E5"/>
    <w:rsid w:val="001F74B3"/>
    <w:rsid w:val="001F7B45"/>
    <w:rsid w:val="00200123"/>
    <w:rsid w:val="00200514"/>
    <w:rsid w:val="00201C29"/>
    <w:rsid w:val="00201E5D"/>
    <w:rsid w:val="002025BE"/>
    <w:rsid w:val="00202E10"/>
    <w:rsid w:val="00202F78"/>
    <w:rsid w:val="002033DD"/>
    <w:rsid w:val="002035CF"/>
    <w:rsid w:val="002036B0"/>
    <w:rsid w:val="00204E86"/>
    <w:rsid w:val="00206C5F"/>
    <w:rsid w:val="002105F6"/>
    <w:rsid w:val="00210A6C"/>
    <w:rsid w:val="00210D44"/>
    <w:rsid w:val="00211CF7"/>
    <w:rsid w:val="002121E9"/>
    <w:rsid w:val="002123BE"/>
    <w:rsid w:val="00213AAA"/>
    <w:rsid w:val="00213C8A"/>
    <w:rsid w:val="00213F9D"/>
    <w:rsid w:val="002143FF"/>
    <w:rsid w:val="00214C50"/>
    <w:rsid w:val="0021558E"/>
    <w:rsid w:val="002159FA"/>
    <w:rsid w:val="00215C7F"/>
    <w:rsid w:val="002160BA"/>
    <w:rsid w:val="0021652D"/>
    <w:rsid w:val="00216F09"/>
    <w:rsid w:val="002170B3"/>
    <w:rsid w:val="00217390"/>
    <w:rsid w:val="0022007B"/>
    <w:rsid w:val="00221063"/>
    <w:rsid w:val="0022142D"/>
    <w:rsid w:val="00221719"/>
    <w:rsid w:val="00221A5C"/>
    <w:rsid w:val="00221F5B"/>
    <w:rsid w:val="00222FF4"/>
    <w:rsid w:val="00223AD4"/>
    <w:rsid w:val="00224928"/>
    <w:rsid w:val="00224963"/>
    <w:rsid w:val="00224988"/>
    <w:rsid w:val="002252E9"/>
    <w:rsid w:val="00225401"/>
    <w:rsid w:val="002254CF"/>
    <w:rsid w:val="00225594"/>
    <w:rsid w:val="00226331"/>
    <w:rsid w:val="00226B3F"/>
    <w:rsid w:val="002273FE"/>
    <w:rsid w:val="002277FC"/>
    <w:rsid w:val="00227B2B"/>
    <w:rsid w:val="00227D70"/>
    <w:rsid w:val="0023105C"/>
    <w:rsid w:val="00231592"/>
    <w:rsid w:val="00231CD2"/>
    <w:rsid w:val="00231D80"/>
    <w:rsid w:val="002326EA"/>
    <w:rsid w:val="00232729"/>
    <w:rsid w:val="002330B1"/>
    <w:rsid w:val="00233468"/>
    <w:rsid w:val="002334E8"/>
    <w:rsid w:val="0023446E"/>
    <w:rsid w:val="002345F0"/>
    <w:rsid w:val="002347A4"/>
    <w:rsid w:val="002348FD"/>
    <w:rsid w:val="00234D8E"/>
    <w:rsid w:val="00234E6E"/>
    <w:rsid w:val="0023513F"/>
    <w:rsid w:val="00235316"/>
    <w:rsid w:val="00235529"/>
    <w:rsid w:val="00235CCB"/>
    <w:rsid w:val="00236128"/>
    <w:rsid w:val="002364FF"/>
    <w:rsid w:val="00236926"/>
    <w:rsid w:val="00236C4B"/>
    <w:rsid w:val="00236CBF"/>
    <w:rsid w:val="002379A2"/>
    <w:rsid w:val="00240CB9"/>
    <w:rsid w:val="00240E69"/>
    <w:rsid w:val="00240F91"/>
    <w:rsid w:val="00241A02"/>
    <w:rsid w:val="00241C08"/>
    <w:rsid w:val="00241D3F"/>
    <w:rsid w:val="00241F6D"/>
    <w:rsid w:val="002420A3"/>
    <w:rsid w:val="00242254"/>
    <w:rsid w:val="00242C87"/>
    <w:rsid w:val="00244025"/>
    <w:rsid w:val="002445A6"/>
    <w:rsid w:val="00244806"/>
    <w:rsid w:val="0024515D"/>
    <w:rsid w:val="002451D9"/>
    <w:rsid w:val="00245B72"/>
    <w:rsid w:val="00245D23"/>
    <w:rsid w:val="00245D95"/>
    <w:rsid w:val="002464E9"/>
    <w:rsid w:val="00246FA9"/>
    <w:rsid w:val="002472D3"/>
    <w:rsid w:val="0024765F"/>
    <w:rsid w:val="002476A6"/>
    <w:rsid w:val="00250064"/>
    <w:rsid w:val="002505A3"/>
    <w:rsid w:val="0025105B"/>
    <w:rsid w:val="00251AAD"/>
    <w:rsid w:val="00251B6F"/>
    <w:rsid w:val="002526CB"/>
    <w:rsid w:val="00252E75"/>
    <w:rsid w:val="002533A0"/>
    <w:rsid w:val="00254DEB"/>
    <w:rsid w:val="002558AC"/>
    <w:rsid w:val="00255FB1"/>
    <w:rsid w:val="00256403"/>
    <w:rsid w:val="0025694E"/>
    <w:rsid w:val="00257060"/>
    <w:rsid w:val="00257618"/>
    <w:rsid w:val="00257DC2"/>
    <w:rsid w:val="00260AFC"/>
    <w:rsid w:val="00260D58"/>
    <w:rsid w:val="00261676"/>
    <w:rsid w:val="00261837"/>
    <w:rsid w:val="0026203F"/>
    <w:rsid w:val="002623B1"/>
    <w:rsid w:val="002626B2"/>
    <w:rsid w:val="00263684"/>
    <w:rsid w:val="00264CF5"/>
    <w:rsid w:val="002650F4"/>
    <w:rsid w:val="0026639E"/>
    <w:rsid w:val="002669CB"/>
    <w:rsid w:val="00266A6E"/>
    <w:rsid w:val="00266EEC"/>
    <w:rsid w:val="0026762C"/>
    <w:rsid w:val="002677BF"/>
    <w:rsid w:val="00270428"/>
    <w:rsid w:val="00270A60"/>
    <w:rsid w:val="00270B1C"/>
    <w:rsid w:val="002710D4"/>
    <w:rsid w:val="002712E6"/>
    <w:rsid w:val="00271702"/>
    <w:rsid w:val="00272417"/>
    <w:rsid w:val="002726B2"/>
    <w:rsid w:val="002727AD"/>
    <w:rsid w:val="00272E7B"/>
    <w:rsid w:val="0027333B"/>
    <w:rsid w:val="0027373C"/>
    <w:rsid w:val="00273AAD"/>
    <w:rsid w:val="00274117"/>
    <w:rsid w:val="0027416E"/>
    <w:rsid w:val="00274337"/>
    <w:rsid w:val="00274517"/>
    <w:rsid w:val="002755B1"/>
    <w:rsid w:val="00275B4F"/>
    <w:rsid w:val="00276425"/>
    <w:rsid w:val="00276CA1"/>
    <w:rsid w:val="00276DC8"/>
    <w:rsid w:val="00276DCF"/>
    <w:rsid w:val="00277345"/>
    <w:rsid w:val="00277DF4"/>
    <w:rsid w:val="00277FC0"/>
    <w:rsid w:val="00280216"/>
    <w:rsid w:val="0028027D"/>
    <w:rsid w:val="00280CAD"/>
    <w:rsid w:val="00280CBA"/>
    <w:rsid w:val="0028189B"/>
    <w:rsid w:val="002819C1"/>
    <w:rsid w:val="00281BB3"/>
    <w:rsid w:val="00281BC5"/>
    <w:rsid w:val="002827D0"/>
    <w:rsid w:val="002829CC"/>
    <w:rsid w:val="00283511"/>
    <w:rsid w:val="00284019"/>
    <w:rsid w:val="002841FD"/>
    <w:rsid w:val="002843A9"/>
    <w:rsid w:val="00284FF5"/>
    <w:rsid w:val="00285349"/>
    <w:rsid w:val="00286511"/>
    <w:rsid w:val="00287481"/>
    <w:rsid w:val="00287863"/>
    <w:rsid w:val="00287E9B"/>
    <w:rsid w:val="002903F9"/>
    <w:rsid w:val="00290BB8"/>
    <w:rsid w:val="0029118A"/>
    <w:rsid w:val="002917E3"/>
    <w:rsid w:val="00291B87"/>
    <w:rsid w:val="00291BB0"/>
    <w:rsid w:val="00291E00"/>
    <w:rsid w:val="0029221D"/>
    <w:rsid w:val="002924E5"/>
    <w:rsid w:val="00292D2B"/>
    <w:rsid w:val="0029325F"/>
    <w:rsid w:val="00293877"/>
    <w:rsid w:val="00293BC4"/>
    <w:rsid w:val="00293D30"/>
    <w:rsid w:val="00293F23"/>
    <w:rsid w:val="00294250"/>
    <w:rsid w:val="00294481"/>
    <w:rsid w:val="00294C59"/>
    <w:rsid w:val="00294F86"/>
    <w:rsid w:val="0029503D"/>
    <w:rsid w:val="00295406"/>
    <w:rsid w:val="002957B8"/>
    <w:rsid w:val="00295A5E"/>
    <w:rsid w:val="00296685"/>
    <w:rsid w:val="00296A9B"/>
    <w:rsid w:val="002A08C8"/>
    <w:rsid w:val="002A0A9B"/>
    <w:rsid w:val="002A0BF0"/>
    <w:rsid w:val="002A15A4"/>
    <w:rsid w:val="002A1C0A"/>
    <w:rsid w:val="002A1DAA"/>
    <w:rsid w:val="002A24E2"/>
    <w:rsid w:val="002A285B"/>
    <w:rsid w:val="002A3367"/>
    <w:rsid w:val="002A3372"/>
    <w:rsid w:val="002A33F1"/>
    <w:rsid w:val="002A3705"/>
    <w:rsid w:val="002A3E63"/>
    <w:rsid w:val="002A3EA5"/>
    <w:rsid w:val="002A418C"/>
    <w:rsid w:val="002A42AC"/>
    <w:rsid w:val="002A5123"/>
    <w:rsid w:val="002A512A"/>
    <w:rsid w:val="002A5345"/>
    <w:rsid w:val="002A575C"/>
    <w:rsid w:val="002A5845"/>
    <w:rsid w:val="002A5C6C"/>
    <w:rsid w:val="002A61B4"/>
    <w:rsid w:val="002A63AD"/>
    <w:rsid w:val="002A6D70"/>
    <w:rsid w:val="002A7463"/>
    <w:rsid w:val="002A78F1"/>
    <w:rsid w:val="002A7BDD"/>
    <w:rsid w:val="002A7ED9"/>
    <w:rsid w:val="002B0665"/>
    <w:rsid w:val="002B0E51"/>
    <w:rsid w:val="002B0EED"/>
    <w:rsid w:val="002B135C"/>
    <w:rsid w:val="002B1624"/>
    <w:rsid w:val="002B1B65"/>
    <w:rsid w:val="002B21ED"/>
    <w:rsid w:val="002B3332"/>
    <w:rsid w:val="002B3703"/>
    <w:rsid w:val="002B3C25"/>
    <w:rsid w:val="002B3D3A"/>
    <w:rsid w:val="002B416C"/>
    <w:rsid w:val="002B44CF"/>
    <w:rsid w:val="002B4C7F"/>
    <w:rsid w:val="002B4D16"/>
    <w:rsid w:val="002B4F49"/>
    <w:rsid w:val="002B566A"/>
    <w:rsid w:val="002B591E"/>
    <w:rsid w:val="002B6227"/>
    <w:rsid w:val="002B7574"/>
    <w:rsid w:val="002B7D6F"/>
    <w:rsid w:val="002C0989"/>
    <w:rsid w:val="002C183D"/>
    <w:rsid w:val="002C1E3A"/>
    <w:rsid w:val="002C36A9"/>
    <w:rsid w:val="002C4606"/>
    <w:rsid w:val="002C4F03"/>
    <w:rsid w:val="002C57B1"/>
    <w:rsid w:val="002C5974"/>
    <w:rsid w:val="002C610E"/>
    <w:rsid w:val="002C7EDE"/>
    <w:rsid w:val="002D0014"/>
    <w:rsid w:val="002D0C06"/>
    <w:rsid w:val="002D0FF5"/>
    <w:rsid w:val="002D143D"/>
    <w:rsid w:val="002D249D"/>
    <w:rsid w:val="002D4126"/>
    <w:rsid w:val="002D446C"/>
    <w:rsid w:val="002D460D"/>
    <w:rsid w:val="002D46D8"/>
    <w:rsid w:val="002D5084"/>
    <w:rsid w:val="002D513E"/>
    <w:rsid w:val="002D5909"/>
    <w:rsid w:val="002D5AF0"/>
    <w:rsid w:val="002D5BCB"/>
    <w:rsid w:val="002D6727"/>
    <w:rsid w:val="002D67DB"/>
    <w:rsid w:val="002D7278"/>
    <w:rsid w:val="002D7A66"/>
    <w:rsid w:val="002D7CE0"/>
    <w:rsid w:val="002D7D22"/>
    <w:rsid w:val="002D7F24"/>
    <w:rsid w:val="002E023D"/>
    <w:rsid w:val="002E0637"/>
    <w:rsid w:val="002E0CBC"/>
    <w:rsid w:val="002E15AC"/>
    <w:rsid w:val="002E1672"/>
    <w:rsid w:val="002E1822"/>
    <w:rsid w:val="002E1FB3"/>
    <w:rsid w:val="002E2C9D"/>
    <w:rsid w:val="002E34E5"/>
    <w:rsid w:val="002E3661"/>
    <w:rsid w:val="002E37A0"/>
    <w:rsid w:val="002E4566"/>
    <w:rsid w:val="002E49CC"/>
    <w:rsid w:val="002E4BB6"/>
    <w:rsid w:val="002E55EA"/>
    <w:rsid w:val="002E6E37"/>
    <w:rsid w:val="002E7446"/>
    <w:rsid w:val="002E78A3"/>
    <w:rsid w:val="002E79A1"/>
    <w:rsid w:val="002E7E94"/>
    <w:rsid w:val="002E7F6C"/>
    <w:rsid w:val="002F0008"/>
    <w:rsid w:val="002F032B"/>
    <w:rsid w:val="002F04E7"/>
    <w:rsid w:val="002F0ABE"/>
    <w:rsid w:val="002F1497"/>
    <w:rsid w:val="002F1595"/>
    <w:rsid w:val="002F1919"/>
    <w:rsid w:val="002F206F"/>
    <w:rsid w:val="002F2360"/>
    <w:rsid w:val="002F25A1"/>
    <w:rsid w:val="002F25F1"/>
    <w:rsid w:val="002F2817"/>
    <w:rsid w:val="002F29F2"/>
    <w:rsid w:val="002F323D"/>
    <w:rsid w:val="002F35D9"/>
    <w:rsid w:val="002F3CE6"/>
    <w:rsid w:val="002F40F8"/>
    <w:rsid w:val="002F4240"/>
    <w:rsid w:val="002F447C"/>
    <w:rsid w:val="002F4731"/>
    <w:rsid w:val="002F47B2"/>
    <w:rsid w:val="002F4A82"/>
    <w:rsid w:val="002F4C13"/>
    <w:rsid w:val="002F5621"/>
    <w:rsid w:val="002F56D8"/>
    <w:rsid w:val="002F5732"/>
    <w:rsid w:val="002F5F19"/>
    <w:rsid w:val="002F5FC8"/>
    <w:rsid w:val="002F6529"/>
    <w:rsid w:val="002F68EB"/>
    <w:rsid w:val="002F7B06"/>
    <w:rsid w:val="0030050E"/>
    <w:rsid w:val="00300643"/>
    <w:rsid w:val="00300DC7"/>
    <w:rsid w:val="003024B6"/>
    <w:rsid w:val="00302D46"/>
    <w:rsid w:val="0030357E"/>
    <w:rsid w:val="003046EF"/>
    <w:rsid w:val="003056FC"/>
    <w:rsid w:val="0030579C"/>
    <w:rsid w:val="00305E88"/>
    <w:rsid w:val="00306870"/>
    <w:rsid w:val="00306940"/>
    <w:rsid w:val="003070DA"/>
    <w:rsid w:val="003071E9"/>
    <w:rsid w:val="003072C2"/>
    <w:rsid w:val="00307E7A"/>
    <w:rsid w:val="0031036E"/>
    <w:rsid w:val="00310886"/>
    <w:rsid w:val="00311C03"/>
    <w:rsid w:val="00311C68"/>
    <w:rsid w:val="00311DBC"/>
    <w:rsid w:val="00312237"/>
    <w:rsid w:val="00312751"/>
    <w:rsid w:val="00312C66"/>
    <w:rsid w:val="003131D1"/>
    <w:rsid w:val="003133FB"/>
    <w:rsid w:val="0031360A"/>
    <w:rsid w:val="00313FB1"/>
    <w:rsid w:val="00314ACE"/>
    <w:rsid w:val="00314E09"/>
    <w:rsid w:val="00314F20"/>
    <w:rsid w:val="00314F96"/>
    <w:rsid w:val="00314FAC"/>
    <w:rsid w:val="003157C1"/>
    <w:rsid w:val="003160CE"/>
    <w:rsid w:val="0031652F"/>
    <w:rsid w:val="003167BE"/>
    <w:rsid w:val="00317137"/>
    <w:rsid w:val="003174B5"/>
    <w:rsid w:val="0031751D"/>
    <w:rsid w:val="00317A2B"/>
    <w:rsid w:val="00317F81"/>
    <w:rsid w:val="00321166"/>
    <w:rsid w:val="00321D4B"/>
    <w:rsid w:val="00322113"/>
    <w:rsid w:val="0032260A"/>
    <w:rsid w:val="00322ED8"/>
    <w:rsid w:val="00323427"/>
    <w:rsid w:val="0032384A"/>
    <w:rsid w:val="00324606"/>
    <w:rsid w:val="00324B38"/>
    <w:rsid w:val="00325697"/>
    <w:rsid w:val="003260A8"/>
    <w:rsid w:val="00326454"/>
    <w:rsid w:val="00326DAD"/>
    <w:rsid w:val="00326E07"/>
    <w:rsid w:val="00327251"/>
    <w:rsid w:val="0032784E"/>
    <w:rsid w:val="00327B43"/>
    <w:rsid w:val="00327F61"/>
    <w:rsid w:val="003301C3"/>
    <w:rsid w:val="003307CA"/>
    <w:rsid w:val="00330DE0"/>
    <w:rsid w:val="00330F1C"/>
    <w:rsid w:val="00330F95"/>
    <w:rsid w:val="00331291"/>
    <w:rsid w:val="00331B1D"/>
    <w:rsid w:val="0033376B"/>
    <w:rsid w:val="00333AA5"/>
    <w:rsid w:val="00334377"/>
    <w:rsid w:val="00334691"/>
    <w:rsid w:val="00334936"/>
    <w:rsid w:val="00334BAF"/>
    <w:rsid w:val="00335073"/>
    <w:rsid w:val="003355E0"/>
    <w:rsid w:val="003357FA"/>
    <w:rsid w:val="0033687F"/>
    <w:rsid w:val="003374F2"/>
    <w:rsid w:val="003401D9"/>
    <w:rsid w:val="00340944"/>
    <w:rsid w:val="00340C90"/>
    <w:rsid w:val="0034161B"/>
    <w:rsid w:val="00341BF1"/>
    <w:rsid w:val="00341CD4"/>
    <w:rsid w:val="003422EF"/>
    <w:rsid w:val="00342BC5"/>
    <w:rsid w:val="00343B75"/>
    <w:rsid w:val="00343D8B"/>
    <w:rsid w:val="0034490E"/>
    <w:rsid w:val="00345818"/>
    <w:rsid w:val="0034688C"/>
    <w:rsid w:val="00346DDC"/>
    <w:rsid w:val="003470E7"/>
    <w:rsid w:val="003471C7"/>
    <w:rsid w:val="00347B77"/>
    <w:rsid w:val="00350A39"/>
    <w:rsid w:val="00351738"/>
    <w:rsid w:val="00352000"/>
    <w:rsid w:val="00352995"/>
    <w:rsid w:val="00352A36"/>
    <w:rsid w:val="003530D6"/>
    <w:rsid w:val="00353A8E"/>
    <w:rsid w:val="00353CA5"/>
    <w:rsid w:val="00353D4E"/>
    <w:rsid w:val="003544E6"/>
    <w:rsid w:val="0035456C"/>
    <w:rsid w:val="0035460C"/>
    <w:rsid w:val="0035463E"/>
    <w:rsid w:val="00354C09"/>
    <w:rsid w:val="00355FFD"/>
    <w:rsid w:val="003560D3"/>
    <w:rsid w:val="003565EC"/>
    <w:rsid w:val="0035663C"/>
    <w:rsid w:val="00356ED4"/>
    <w:rsid w:val="00360BA9"/>
    <w:rsid w:val="00360C9B"/>
    <w:rsid w:val="00362120"/>
    <w:rsid w:val="003621F7"/>
    <w:rsid w:val="00362BAF"/>
    <w:rsid w:val="003634B5"/>
    <w:rsid w:val="00363EE5"/>
    <w:rsid w:val="0036464E"/>
    <w:rsid w:val="0036497D"/>
    <w:rsid w:val="00364B05"/>
    <w:rsid w:val="00364B79"/>
    <w:rsid w:val="00364DFD"/>
    <w:rsid w:val="00365D4E"/>
    <w:rsid w:val="00366684"/>
    <w:rsid w:val="0036759E"/>
    <w:rsid w:val="0036786C"/>
    <w:rsid w:val="00367B85"/>
    <w:rsid w:val="00367C77"/>
    <w:rsid w:val="003708B4"/>
    <w:rsid w:val="00371AE5"/>
    <w:rsid w:val="00371B31"/>
    <w:rsid w:val="0037220C"/>
    <w:rsid w:val="003731A2"/>
    <w:rsid w:val="003734E2"/>
    <w:rsid w:val="003735F8"/>
    <w:rsid w:val="00373BAB"/>
    <w:rsid w:val="00373BB5"/>
    <w:rsid w:val="00373C0A"/>
    <w:rsid w:val="00373D9C"/>
    <w:rsid w:val="00374E74"/>
    <w:rsid w:val="00375428"/>
    <w:rsid w:val="0037563E"/>
    <w:rsid w:val="0037579A"/>
    <w:rsid w:val="003761C9"/>
    <w:rsid w:val="00376BCB"/>
    <w:rsid w:val="00376DC7"/>
    <w:rsid w:val="0037769E"/>
    <w:rsid w:val="003779E0"/>
    <w:rsid w:val="003802F9"/>
    <w:rsid w:val="0038048A"/>
    <w:rsid w:val="003808DA"/>
    <w:rsid w:val="00380E3F"/>
    <w:rsid w:val="00380E4A"/>
    <w:rsid w:val="00381684"/>
    <w:rsid w:val="00381BEE"/>
    <w:rsid w:val="0038245B"/>
    <w:rsid w:val="00382905"/>
    <w:rsid w:val="00384105"/>
    <w:rsid w:val="00384150"/>
    <w:rsid w:val="003841AC"/>
    <w:rsid w:val="0038436D"/>
    <w:rsid w:val="00385253"/>
    <w:rsid w:val="00385598"/>
    <w:rsid w:val="00385713"/>
    <w:rsid w:val="00385BFF"/>
    <w:rsid w:val="00385CED"/>
    <w:rsid w:val="00386240"/>
    <w:rsid w:val="00387247"/>
    <w:rsid w:val="003874FD"/>
    <w:rsid w:val="003900CC"/>
    <w:rsid w:val="0039036B"/>
    <w:rsid w:val="003908DC"/>
    <w:rsid w:val="003910C4"/>
    <w:rsid w:val="003912B2"/>
    <w:rsid w:val="00391845"/>
    <w:rsid w:val="00391BCF"/>
    <w:rsid w:val="00391F40"/>
    <w:rsid w:val="00392C2A"/>
    <w:rsid w:val="00392D4D"/>
    <w:rsid w:val="003930DA"/>
    <w:rsid w:val="00393142"/>
    <w:rsid w:val="003931F8"/>
    <w:rsid w:val="003937DD"/>
    <w:rsid w:val="00393D89"/>
    <w:rsid w:val="00393FA7"/>
    <w:rsid w:val="003951D9"/>
    <w:rsid w:val="00395220"/>
    <w:rsid w:val="0039543F"/>
    <w:rsid w:val="00395C84"/>
    <w:rsid w:val="00395F2D"/>
    <w:rsid w:val="00395F64"/>
    <w:rsid w:val="00397DA0"/>
    <w:rsid w:val="003A0091"/>
    <w:rsid w:val="003A0BB9"/>
    <w:rsid w:val="003A1124"/>
    <w:rsid w:val="003A1469"/>
    <w:rsid w:val="003A230C"/>
    <w:rsid w:val="003A26EA"/>
    <w:rsid w:val="003A2C92"/>
    <w:rsid w:val="003A2E4B"/>
    <w:rsid w:val="003A33EC"/>
    <w:rsid w:val="003A342A"/>
    <w:rsid w:val="003A37D8"/>
    <w:rsid w:val="003A3ECF"/>
    <w:rsid w:val="003A3F50"/>
    <w:rsid w:val="003A462A"/>
    <w:rsid w:val="003A475D"/>
    <w:rsid w:val="003A4C63"/>
    <w:rsid w:val="003A4FD1"/>
    <w:rsid w:val="003A53FC"/>
    <w:rsid w:val="003A5F75"/>
    <w:rsid w:val="003A6EBD"/>
    <w:rsid w:val="003A7154"/>
    <w:rsid w:val="003A7726"/>
    <w:rsid w:val="003B0680"/>
    <w:rsid w:val="003B1D78"/>
    <w:rsid w:val="003B1FA6"/>
    <w:rsid w:val="003B2243"/>
    <w:rsid w:val="003B2CDB"/>
    <w:rsid w:val="003B2F3A"/>
    <w:rsid w:val="003B3001"/>
    <w:rsid w:val="003B4653"/>
    <w:rsid w:val="003B490A"/>
    <w:rsid w:val="003B4B39"/>
    <w:rsid w:val="003B4EAE"/>
    <w:rsid w:val="003B500D"/>
    <w:rsid w:val="003B5323"/>
    <w:rsid w:val="003B54B1"/>
    <w:rsid w:val="003B563F"/>
    <w:rsid w:val="003B6EE5"/>
    <w:rsid w:val="003B7596"/>
    <w:rsid w:val="003B7FD3"/>
    <w:rsid w:val="003C032B"/>
    <w:rsid w:val="003C0667"/>
    <w:rsid w:val="003C09A0"/>
    <w:rsid w:val="003C1AB2"/>
    <w:rsid w:val="003C228C"/>
    <w:rsid w:val="003C2CFA"/>
    <w:rsid w:val="003C3074"/>
    <w:rsid w:val="003C3331"/>
    <w:rsid w:val="003C347F"/>
    <w:rsid w:val="003C3E3E"/>
    <w:rsid w:val="003C50B0"/>
    <w:rsid w:val="003C50B2"/>
    <w:rsid w:val="003C50BE"/>
    <w:rsid w:val="003C520C"/>
    <w:rsid w:val="003C534F"/>
    <w:rsid w:val="003C5AF0"/>
    <w:rsid w:val="003C5B19"/>
    <w:rsid w:val="003C5CA5"/>
    <w:rsid w:val="003C62AA"/>
    <w:rsid w:val="003C63B1"/>
    <w:rsid w:val="003C6BB4"/>
    <w:rsid w:val="003C714B"/>
    <w:rsid w:val="003C792E"/>
    <w:rsid w:val="003D1348"/>
    <w:rsid w:val="003D1981"/>
    <w:rsid w:val="003D1B0A"/>
    <w:rsid w:val="003D20BE"/>
    <w:rsid w:val="003D2219"/>
    <w:rsid w:val="003D23CB"/>
    <w:rsid w:val="003D30F3"/>
    <w:rsid w:val="003D34C1"/>
    <w:rsid w:val="003D378F"/>
    <w:rsid w:val="003D418F"/>
    <w:rsid w:val="003D45E4"/>
    <w:rsid w:val="003D4822"/>
    <w:rsid w:val="003D4CA2"/>
    <w:rsid w:val="003D4EDA"/>
    <w:rsid w:val="003D50F4"/>
    <w:rsid w:val="003D542A"/>
    <w:rsid w:val="003D5905"/>
    <w:rsid w:val="003D5FCF"/>
    <w:rsid w:val="003D6034"/>
    <w:rsid w:val="003D6275"/>
    <w:rsid w:val="003D65E7"/>
    <w:rsid w:val="003D6D81"/>
    <w:rsid w:val="003D6FBF"/>
    <w:rsid w:val="003D71D5"/>
    <w:rsid w:val="003D77D8"/>
    <w:rsid w:val="003E0CB6"/>
    <w:rsid w:val="003E41C2"/>
    <w:rsid w:val="003E43C6"/>
    <w:rsid w:val="003E464E"/>
    <w:rsid w:val="003E4C2D"/>
    <w:rsid w:val="003E4D21"/>
    <w:rsid w:val="003E521C"/>
    <w:rsid w:val="003E540E"/>
    <w:rsid w:val="003E6082"/>
    <w:rsid w:val="003E66A7"/>
    <w:rsid w:val="003E6742"/>
    <w:rsid w:val="003E67B8"/>
    <w:rsid w:val="003E6DF7"/>
    <w:rsid w:val="003E6E82"/>
    <w:rsid w:val="003E7176"/>
    <w:rsid w:val="003E7432"/>
    <w:rsid w:val="003E7538"/>
    <w:rsid w:val="003E78B6"/>
    <w:rsid w:val="003F05B9"/>
    <w:rsid w:val="003F0674"/>
    <w:rsid w:val="003F0C5B"/>
    <w:rsid w:val="003F0C84"/>
    <w:rsid w:val="003F0D04"/>
    <w:rsid w:val="003F0F3B"/>
    <w:rsid w:val="003F0FB2"/>
    <w:rsid w:val="003F1069"/>
    <w:rsid w:val="003F1162"/>
    <w:rsid w:val="003F1194"/>
    <w:rsid w:val="003F11F6"/>
    <w:rsid w:val="003F1B79"/>
    <w:rsid w:val="003F1F7E"/>
    <w:rsid w:val="003F2A6F"/>
    <w:rsid w:val="003F2D3D"/>
    <w:rsid w:val="003F361F"/>
    <w:rsid w:val="003F38E7"/>
    <w:rsid w:val="003F3DD7"/>
    <w:rsid w:val="003F472D"/>
    <w:rsid w:val="003F4826"/>
    <w:rsid w:val="003F5806"/>
    <w:rsid w:val="003F5FC2"/>
    <w:rsid w:val="003F60F2"/>
    <w:rsid w:val="003F62C7"/>
    <w:rsid w:val="003F70DD"/>
    <w:rsid w:val="003F72E7"/>
    <w:rsid w:val="003F7C41"/>
    <w:rsid w:val="00400531"/>
    <w:rsid w:val="004009AC"/>
    <w:rsid w:val="00400ED4"/>
    <w:rsid w:val="0040104A"/>
    <w:rsid w:val="0040167D"/>
    <w:rsid w:val="00401B8A"/>
    <w:rsid w:val="00402034"/>
    <w:rsid w:val="004020F9"/>
    <w:rsid w:val="004021A1"/>
    <w:rsid w:val="00402B42"/>
    <w:rsid w:val="00402C60"/>
    <w:rsid w:val="00402EBD"/>
    <w:rsid w:val="00402F2A"/>
    <w:rsid w:val="004030FB"/>
    <w:rsid w:val="004034D0"/>
    <w:rsid w:val="00403821"/>
    <w:rsid w:val="00403B76"/>
    <w:rsid w:val="004042B2"/>
    <w:rsid w:val="004042F4"/>
    <w:rsid w:val="00404834"/>
    <w:rsid w:val="004056AA"/>
    <w:rsid w:val="004061F6"/>
    <w:rsid w:val="00406588"/>
    <w:rsid w:val="0040689B"/>
    <w:rsid w:val="00410525"/>
    <w:rsid w:val="0041057E"/>
    <w:rsid w:val="00410D73"/>
    <w:rsid w:val="004116E8"/>
    <w:rsid w:val="0041486E"/>
    <w:rsid w:val="00414E86"/>
    <w:rsid w:val="00414FE7"/>
    <w:rsid w:val="00415452"/>
    <w:rsid w:val="00415863"/>
    <w:rsid w:val="00415A94"/>
    <w:rsid w:val="004162B0"/>
    <w:rsid w:val="00416F3D"/>
    <w:rsid w:val="0041779E"/>
    <w:rsid w:val="00417C9A"/>
    <w:rsid w:val="004202EB"/>
    <w:rsid w:val="004207C4"/>
    <w:rsid w:val="00420B60"/>
    <w:rsid w:val="00420F7C"/>
    <w:rsid w:val="0042164E"/>
    <w:rsid w:val="00421C8E"/>
    <w:rsid w:val="0042274C"/>
    <w:rsid w:val="0042299B"/>
    <w:rsid w:val="00422C71"/>
    <w:rsid w:val="004236D8"/>
    <w:rsid w:val="00423C1C"/>
    <w:rsid w:val="00424134"/>
    <w:rsid w:val="004248EA"/>
    <w:rsid w:val="0042568E"/>
    <w:rsid w:val="00425846"/>
    <w:rsid w:val="0042684D"/>
    <w:rsid w:val="00426B2A"/>
    <w:rsid w:val="00426D82"/>
    <w:rsid w:val="004277F7"/>
    <w:rsid w:val="00427882"/>
    <w:rsid w:val="00427DDE"/>
    <w:rsid w:val="004306E0"/>
    <w:rsid w:val="00430A9B"/>
    <w:rsid w:val="004310DF"/>
    <w:rsid w:val="00431313"/>
    <w:rsid w:val="00431D20"/>
    <w:rsid w:val="0043201E"/>
    <w:rsid w:val="00432734"/>
    <w:rsid w:val="00432C5A"/>
    <w:rsid w:val="00433EBF"/>
    <w:rsid w:val="00434CCE"/>
    <w:rsid w:val="00434F82"/>
    <w:rsid w:val="004359DB"/>
    <w:rsid w:val="00435C49"/>
    <w:rsid w:val="00435D69"/>
    <w:rsid w:val="00436536"/>
    <w:rsid w:val="0043659D"/>
    <w:rsid w:val="00436765"/>
    <w:rsid w:val="004367E5"/>
    <w:rsid w:val="00437585"/>
    <w:rsid w:val="0044010B"/>
    <w:rsid w:val="00440DE0"/>
    <w:rsid w:val="004411BD"/>
    <w:rsid w:val="0044188D"/>
    <w:rsid w:val="004419BA"/>
    <w:rsid w:val="00441B98"/>
    <w:rsid w:val="00441D93"/>
    <w:rsid w:val="00441FD3"/>
    <w:rsid w:val="00441FF5"/>
    <w:rsid w:val="004430E7"/>
    <w:rsid w:val="00443457"/>
    <w:rsid w:val="004435C0"/>
    <w:rsid w:val="00443682"/>
    <w:rsid w:val="00443C44"/>
    <w:rsid w:val="00444581"/>
    <w:rsid w:val="00446546"/>
    <w:rsid w:val="0044688F"/>
    <w:rsid w:val="00446B66"/>
    <w:rsid w:val="00450755"/>
    <w:rsid w:val="004519DF"/>
    <w:rsid w:val="00451ED3"/>
    <w:rsid w:val="00452444"/>
    <w:rsid w:val="004536E4"/>
    <w:rsid w:val="004539F7"/>
    <w:rsid w:val="00453BB1"/>
    <w:rsid w:val="00453F80"/>
    <w:rsid w:val="0045485C"/>
    <w:rsid w:val="00454BBC"/>
    <w:rsid w:val="00454F41"/>
    <w:rsid w:val="00455A14"/>
    <w:rsid w:val="00455EA8"/>
    <w:rsid w:val="004560D6"/>
    <w:rsid w:val="0045665F"/>
    <w:rsid w:val="004566CD"/>
    <w:rsid w:val="0045759F"/>
    <w:rsid w:val="0045766A"/>
    <w:rsid w:val="00457B3A"/>
    <w:rsid w:val="00457E0D"/>
    <w:rsid w:val="004609C1"/>
    <w:rsid w:val="00460B2E"/>
    <w:rsid w:val="00460CFE"/>
    <w:rsid w:val="00460D82"/>
    <w:rsid w:val="00461677"/>
    <w:rsid w:val="00461AFA"/>
    <w:rsid w:val="00461E29"/>
    <w:rsid w:val="00462DA2"/>
    <w:rsid w:val="00462DEA"/>
    <w:rsid w:val="004631AC"/>
    <w:rsid w:val="004631F4"/>
    <w:rsid w:val="004639F6"/>
    <w:rsid w:val="00463D0C"/>
    <w:rsid w:val="00463ED4"/>
    <w:rsid w:val="00463EDB"/>
    <w:rsid w:val="00464120"/>
    <w:rsid w:val="00465881"/>
    <w:rsid w:val="00465AA2"/>
    <w:rsid w:val="00466991"/>
    <w:rsid w:val="00467522"/>
    <w:rsid w:val="00467602"/>
    <w:rsid w:val="00471BD3"/>
    <w:rsid w:val="00471C0F"/>
    <w:rsid w:val="00471E99"/>
    <w:rsid w:val="00472614"/>
    <w:rsid w:val="004726E5"/>
    <w:rsid w:val="004732FF"/>
    <w:rsid w:val="004752AD"/>
    <w:rsid w:val="0047538B"/>
    <w:rsid w:val="00475B8B"/>
    <w:rsid w:val="0047615C"/>
    <w:rsid w:val="004764C9"/>
    <w:rsid w:val="00476AF8"/>
    <w:rsid w:val="004770F5"/>
    <w:rsid w:val="0047746E"/>
    <w:rsid w:val="004775F9"/>
    <w:rsid w:val="004777B2"/>
    <w:rsid w:val="00477B25"/>
    <w:rsid w:val="004805DC"/>
    <w:rsid w:val="004806CF"/>
    <w:rsid w:val="004808FD"/>
    <w:rsid w:val="00480DC1"/>
    <w:rsid w:val="004817EE"/>
    <w:rsid w:val="00481C47"/>
    <w:rsid w:val="00481CE9"/>
    <w:rsid w:val="004820A9"/>
    <w:rsid w:val="00482493"/>
    <w:rsid w:val="00483036"/>
    <w:rsid w:val="0048341C"/>
    <w:rsid w:val="00483548"/>
    <w:rsid w:val="00483883"/>
    <w:rsid w:val="00483908"/>
    <w:rsid w:val="00484115"/>
    <w:rsid w:val="00484276"/>
    <w:rsid w:val="004846DB"/>
    <w:rsid w:val="00484B23"/>
    <w:rsid w:val="00485169"/>
    <w:rsid w:val="00485865"/>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658"/>
    <w:rsid w:val="00496A32"/>
    <w:rsid w:val="00496AE4"/>
    <w:rsid w:val="0049740A"/>
    <w:rsid w:val="00497E01"/>
    <w:rsid w:val="00497E16"/>
    <w:rsid w:val="004A02FE"/>
    <w:rsid w:val="004A03A9"/>
    <w:rsid w:val="004A041A"/>
    <w:rsid w:val="004A04F4"/>
    <w:rsid w:val="004A0908"/>
    <w:rsid w:val="004A10E4"/>
    <w:rsid w:val="004A1125"/>
    <w:rsid w:val="004A1B8A"/>
    <w:rsid w:val="004A2BAB"/>
    <w:rsid w:val="004A2F81"/>
    <w:rsid w:val="004A2F8E"/>
    <w:rsid w:val="004A34BD"/>
    <w:rsid w:val="004A3548"/>
    <w:rsid w:val="004A48DD"/>
    <w:rsid w:val="004A493E"/>
    <w:rsid w:val="004A49B5"/>
    <w:rsid w:val="004A4A43"/>
    <w:rsid w:val="004A5582"/>
    <w:rsid w:val="004A5A39"/>
    <w:rsid w:val="004A5F53"/>
    <w:rsid w:val="004A6343"/>
    <w:rsid w:val="004A64E4"/>
    <w:rsid w:val="004A66AB"/>
    <w:rsid w:val="004A692C"/>
    <w:rsid w:val="004A6CD9"/>
    <w:rsid w:val="004A6FE6"/>
    <w:rsid w:val="004B0097"/>
    <w:rsid w:val="004B08BF"/>
    <w:rsid w:val="004B0DEC"/>
    <w:rsid w:val="004B1366"/>
    <w:rsid w:val="004B175F"/>
    <w:rsid w:val="004B26AB"/>
    <w:rsid w:val="004B2E32"/>
    <w:rsid w:val="004B35DF"/>
    <w:rsid w:val="004B398E"/>
    <w:rsid w:val="004B3E16"/>
    <w:rsid w:val="004B4C50"/>
    <w:rsid w:val="004B4D74"/>
    <w:rsid w:val="004B50FE"/>
    <w:rsid w:val="004B5281"/>
    <w:rsid w:val="004B5686"/>
    <w:rsid w:val="004B59E5"/>
    <w:rsid w:val="004B59E9"/>
    <w:rsid w:val="004B5ED7"/>
    <w:rsid w:val="004B5F69"/>
    <w:rsid w:val="004B64F1"/>
    <w:rsid w:val="004B6D18"/>
    <w:rsid w:val="004B6D4A"/>
    <w:rsid w:val="004B6FBC"/>
    <w:rsid w:val="004B78ED"/>
    <w:rsid w:val="004B7ED9"/>
    <w:rsid w:val="004C1A16"/>
    <w:rsid w:val="004C212E"/>
    <w:rsid w:val="004C21AA"/>
    <w:rsid w:val="004C2721"/>
    <w:rsid w:val="004C316E"/>
    <w:rsid w:val="004C3363"/>
    <w:rsid w:val="004C3423"/>
    <w:rsid w:val="004C388B"/>
    <w:rsid w:val="004C4196"/>
    <w:rsid w:val="004C433E"/>
    <w:rsid w:val="004C4785"/>
    <w:rsid w:val="004C49FD"/>
    <w:rsid w:val="004C4F76"/>
    <w:rsid w:val="004C5051"/>
    <w:rsid w:val="004C56E4"/>
    <w:rsid w:val="004C5C8D"/>
    <w:rsid w:val="004C602A"/>
    <w:rsid w:val="004C6118"/>
    <w:rsid w:val="004C6711"/>
    <w:rsid w:val="004C6DAD"/>
    <w:rsid w:val="004C7083"/>
    <w:rsid w:val="004C7C16"/>
    <w:rsid w:val="004D0AF9"/>
    <w:rsid w:val="004D10A5"/>
    <w:rsid w:val="004D165A"/>
    <w:rsid w:val="004D1790"/>
    <w:rsid w:val="004D190E"/>
    <w:rsid w:val="004D1F2D"/>
    <w:rsid w:val="004D21F8"/>
    <w:rsid w:val="004D2222"/>
    <w:rsid w:val="004D2A68"/>
    <w:rsid w:val="004D2A8B"/>
    <w:rsid w:val="004D2B49"/>
    <w:rsid w:val="004D3E9A"/>
    <w:rsid w:val="004D429C"/>
    <w:rsid w:val="004D4689"/>
    <w:rsid w:val="004D48C8"/>
    <w:rsid w:val="004D4C65"/>
    <w:rsid w:val="004D4C7D"/>
    <w:rsid w:val="004D52B3"/>
    <w:rsid w:val="004D5985"/>
    <w:rsid w:val="004D6093"/>
    <w:rsid w:val="004D60E7"/>
    <w:rsid w:val="004D6B97"/>
    <w:rsid w:val="004D6F50"/>
    <w:rsid w:val="004D72A9"/>
    <w:rsid w:val="004D770D"/>
    <w:rsid w:val="004D77E9"/>
    <w:rsid w:val="004D7AD4"/>
    <w:rsid w:val="004E004A"/>
    <w:rsid w:val="004E092A"/>
    <w:rsid w:val="004E1CE9"/>
    <w:rsid w:val="004E3774"/>
    <w:rsid w:val="004E419D"/>
    <w:rsid w:val="004E49DE"/>
    <w:rsid w:val="004E4EFD"/>
    <w:rsid w:val="004E4FE5"/>
    <w:rsid w:val="004E51A2"/>
    <w:rsid w:val="004E5437"/>
    <w:rsid w:val="004E5C74"/>
    <w:rsid w:val="004E5DDF"/>
    <w:rsid w:val="004E66EC"/>
    <w:rsid w:val="004E6C97"/>
    <w:rsid w:val="004F0A74"/>
    <w:rsid w:val="004F10F2"/>
    <w:rsid w:val="004F189C"/>
    <w:rsid w:val="004F21BA"/>
    <w:rsid w:val="004F2658"/>
    <w:rsid w:val="004F2DB6"/>
    <w:rsid w:val="004F3213"/>
    <w:rsid w:val="004F3833"/>
    <w:rsid w:val="004F43E2"/>
    <w:rsid w:val="004F4871"/>
    <w:rsid w:val="004F4B8E"/>
    <w:rsid w:val="004F5507"/>
    <w:rsid w:val="004F5A2F"/>
    <w:rsid w:val="004F5D35"/>
    <w:rsid w:val="004F5EF2"/>
    <w:rsid w:val="004F679A"/>
    <w:rsid w:val="004F6EC0"/>
    <w:rsid w:val="004F733E"/>
    <w:rsid w:val="004F7F9E"/>
    <w:rsid w:val="005004C2"/>
    <w:rsid w:val="00500AB5"/>
    <w:rsid w:val="00500B7C"/>
    <w:rsid w:val="00501CC3"/>
    <w:rsid w:val="0050259C"/>
    <w:rsid w:val="00503165"/>
    <w:rsid w:val="0050342A"/>
    <w:rsid w:val="005035AE"/>
    <w:rsid w:val="00503770"/>
    <w:rsid w:val="00503A01"/>
    <w:rsid w:val="00504117"/>
    <w:rsid w:val="00504A71"/>
    <w:rsid w:val="00504F63"/>
    <w:rsid w:val="0050542C"/>
    <w:rsid w:val="005066D9"/>
    <w:rsid w:val="00506BEE"/>
    <w:rsid w:val="00507A2D"/>
    <w:rsid w:val="0051054B"/>
    <w:rsid w:val="00510FC4"/>
    <w:rsid w:val="00511C75"/>
    <w:rsid w:val="005120DB"/>
    <w:rsid w:val="005132A8"/>
    <w:rsid w:val="00513565"/>
    <w:rsid w:val="005137D4"/>
    <w:rsid w:val="00513B6D"/>
    <w:rsid w:val="00513D53"/>
    <w:rsid w:val="005144A8"/>
    <w:rsid w:val="00514971"/>
    <w:rsid w:val="00514E62"/>
    <w:rsid w:val="005151C2"/>
    <w:rsid w:val="0051567B"/>
    <w:rsid w:val="00515C68"/>
    <w:rsid w:val="00516B9E"/>
    <w:rsid w:val="00516C1A"/>
    <w:rsid w:val="00517062"/>
    <w:rsid w:val="005170BC"/>
    <w:rsid w:val="005170F7"/>
    <w:rsid w:val="00517717"/>
    <w:rsid w:val="00517C0A"/>
    <w:rsid w:val="00517DD4"/>
    <w:rsid w:val="005203FD"/>
    <w:rsid w:val="005207EF"/>
    <w:rsid w:val="00520D24"/>
    <w:rsid w:val="00521A59"/>
    <w:rsid w:val="00521ED2"/>
    <w:rsid w:val="00522688"/>
    <w:rsid w:val="00523775"/>
    <w:rsid w:val="005237B8"/>
    <w:rsid w:val="00523C0E"/>
    <w:rsid w:val="00523EB6"/>
    <w:rsid w:val="00523EB7"/>
    <w:rsid w:val="005240FB"/>
    <w:rsid w:val="0052437D"/>
    <w:rsid w:val="00524689"/>
    <w:rsid w:val="00525B42"/>
    <w:rsid w:val="00525D4F"/>
    <w:rsid w:val="00526235"/>
    <w:rsid w:val="00526605"/>
    <w:rsid w:val="00526D4E"/>
    <w:rsid w:val="00527D95"/>
    <w:rsid w:val="0053020D"/>
    <w:rsid w:val="0053086E"/>
    <w:rsid w:val="0053089F"/>
    <w:rsid w:val="00530D6B"/>
    <w:rsid w:val="0053132A"/>
    <w:rsid w:val="00531782"/>
    <w:rsid w:val="00531EFD"/>
    <w:rsid w:val="005320A1"/>
    <w:rsid w:val="00532E1F"/>
    <w:rsid w:val="00532EE5"/>
    <w:rsid w:val="005334AC"/>
    <w:rsid w:val="005336A8"/>
    <w:rsid w:val="005338BD"/>
    <w:rsid w:val="00533977"/>
    <w:rsid w:val="005339E3"/>
    <w:rsid w:val="00533FF2"/>
    <w:rsid w:val="0053456C"/>
    <w:rsid w:val="0053568C"/>
    <w:rsid w:val="00535743"/>
    <w:rsid w:val="00535889"/>
    <w:rsid w:val="005360ED"/>
    <w:rsid w:val="00536274"/>
    <w:rsid w:val="00536568"/>
    <w:rsid w:val="00536C16"/>
    <w:rsid w:val="00536CEF"/>
    <w:rsid w:val="00536F5B"/>
    <w:rsid w:val="005370EA"/>
    <w:rsid w:val="005378A5"/>
    <w:rsid w:val="00537AAD"/>
    <w:rsid w:val="00540472"/>
    <w:rsid w:val="00540565"/>
    <w:rsid w:val="005406C8"/>
    <w:rsid w:val="00540EF0"/>
    <w:rsid w:val="00541915"/>
    <w:rsid w:val="00542F87"/>
    <w:rsid w:val="00543594"/>
    <w:rsid w:val="00543EAC"/>
    <w:rsid w:val="00544352"/>
    <w:rsid w:val="00544AAC"/>
    <w:rsid w:val="00544F81"/>
    <w:rsid w:val="005455B8"/>
    <w:rsid w:val="00545710"/>
    <w:rsid w:val="00545B87"/>
    <w:rsid w:val="0054694F"/>
    <w:rsid w:val="005469A0"/>
    <w:rsid w:val="0054710A"/>
    <w:rsid w:val="005475EC"/>
    <w:rsid w:val="0055011E"/>
    <w:rsid w:val="005514C1"/>
    <w:rsid w:val="005520F0"/>
    <w:rsid w:val="00552E19"/>
    <w:rsid w:val="00552F06"/>
    <w:rsid w:val="005536CD"/>
    <w:rsid w:val="00553E47"/>
    <w:rsid w:val="00554072"/>
    <w:rsid w:val="0055442B"/>
    <w:rsid w:val="00554CE3"/>
    <w:rsid w:val="00554F2A"/>
    <w:rsid w:val="00554FF2"/>
    <w:rsid w:val="0055661D"/>
    <w:rsid w:val="00556FFD"/>
    <w:rsid w:val="00557490"/>
    <w:rsid w:val="00557BB5"/>
    <w:rsid w:val="005601A7"/>
    <w:rsid w:val="005602A6"/>
    <w:rsid w:val="00560866"/>
    <w:rsid w:val="00560B3C"/>
    <w:rsid w:val="00560DB2"/>
    <w:rsid w:val="00560DCA"/>
    <w:rsid w:val="005612C9"/>
    <w:rsid w:val="00561ED3"/>
    <w:rsid w:val="00562672"/>
    <w:rsid w:val="00562B6A"/>
    <w:rsid w:val="00562B7F"/>
    <w:rsid w:val="00562EB6"/>
    <w:rsid w:val="00562F97"/>
    <w:rsid w:val="005638F2"/>
    <w:rsid w:val="00563962"/>
    <w:rsid w:val="005640BB"/>
    <w:rsid w:val="005641A9"/>
    <w:rsid w:val="005654B7"/>
    <w:rsid w:val="00565D5C"/>
    <w:rsid w:val="00567059"/>
    <w:rsid w:val="00567368"/>
    <w:rsid w:val="005673A1"/>
    <w:rsid w:val="005675A5"/>
    <w:rsid w:val="005675BE"/>
    <w:rsid w:val="0056788E"/>
    <w:rsid w:val="00567C4A"/>
    <w:rsid w:val="00570D0D"/>
    <w:rsid w:val="0057148B"/>
    <w:rsid w:val="00571666"/>
    <w:rsid w:val="00571D87"/>
    <w:rsid w:val="00572496"/>
    <w:rsid w:val="00572520"/>
    <w:rsid w:val="005726A0"/>
    <w:rsid w:val="00572705"/>
    <w:rsid w:val="00572AB1"/>
    <w:rsid w:val="00572D5C"/>
    <w:rsid w:val="0057337C"/>
    <w:rsid w:val="00573518"/>
    <w:rsid w:val="005737B3"/>
    <w:rsid w:val="00574381"/>
    <w:rsid w:val="00574EAD"/>
    <w:rsid w:val="005755D9"/>
    <w:rsid w:val="0057617A"/>
    <w:rsid w:val="00576CAF"/>
    <w:rsid w:val="00576E6C"/>
    <w:rsid w:val="00577118"/>
    <w:rsid w:val="005771D7"/>
    <w:rsid w:val="005774E5"/>
    <w:rsid w:val="0057765F"/>
    <w:rsid w:val="005802D8"/>
    <w:rsid w:val="00580B8E"/>
    <w:rsid w:val="00581183"/>
    <w:rsid w:val="005823A1"/>
    <w:rsid w:val="0058252B"/>
    <w:rsid w:val="00582C9B"/>
    <w:rsid w:val="00583AB7"/>
    <w:rsid w:val="00583B81"/>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0F3"/>
    <w:rsid w:val="005913E0"/>
    <w:rsid w:val="00591445"/>
    <w:rsid w:val="00591B1B"/>
    <w:rsid w:val="00591B83"/>
    <w:rsid w:val="00592FBC"/>
    <w:rsid w:val="00592FE0"/>
    <w:rsid w:val="0059319F"/>
    <w:rsid w:val="00593910"/>
    <w:rsid w:val="00593B1E"/>
    <w:rsid w:val="00593BEE"/>
    <w:rsid w:val="00594316"/>
    <w:rsid w:val="005946C3"/>
    <w:rsid w:val="0059598A"/>
    <w:rsid w:val="00595AC9"/>
    <w:rsid w:val="00595D8E"/>
    <w:rsid w:val="00596095"/>
    <w:rsid w:val="00596F7F"/>
    <w:rsid w:val="0059780D"/>
    <w:rsid w:val="005A053B"/>
    <w:rsid w:val="005A05C9"/>
    <w:rsid w:val="005A0B9C"/>
    <w:rsid w:val="005A0F4D"/>
    <w:rsid w:val="005A11B4"/>
    <w:rsid w:val="005A2090"/>
    <w:rsid w:val="005A3893"/>
    <w:rsid w:val="005A44C6"/>
    <w:rsid w:val="005A4737"/>
    <w:rsid w:val="005A4914"/>
    <w:rsid w:val="005A4DDF"/>
    <w:rsid w:val="005A55B1"/>
    <w:rsid w:val="005A6A93"/>
    <w:rsid w:val="005A745D"/>
    <w:rsid w:val="005A7CE7"/>
    <w:rsid w:val="005B0F78"/>
    <w:rsid w:val="005B19E2"/>
    <w:rsid w:val="005B1ADC"/>
    <w:rsid w:val="005B2882"/>
    <w:rsid w:val="005B2C34"/>
    <w:rsid w:val="005B35CD"/>
    <w:rsid w:val="005B36F9"/>
    <w:rsid w:val="005B3719"/>
    <w:rsid w:val="005B3795"/>
    <w:rsid w:val="005B39E0"/>
    <w:rsid w:val="005B4C0C"/>
    <w:rsid w:val="005B578C"/>
    <w:rsid w:val="005B5F04"/>
    <w:rsid w:val="005B6561"/>
    <w:rsid w:val="005B67A7"/>
    <w:rsid w:val="005B6DCD"/>
    <w:rsid w:val="005B77D5"/>
    <w:rsid w:val="005C00AA"/>
    <w:rsid w:val="005C04F3"/>
    <w:rsid w:val="005C05B6"/>
    <w:rsid w:val="005C108E"/>
    <w:rsid w:val="005C10CF"/>
    <w:rsid w:val="005C158C"/>
    <w:rsid w:val="005C1829"/>
    <w:rsid w:val="005C214E"/>
    <w:rsid w:val="005C24AF"/>
    <w:rsid w:val="005C2AEC"/>
    <w:rsid w:val="005C3BEC"/>
    <w:rsid w:val="005C3F87"/>
    <w:rsid w:val="005C446F"/>
    <w:rsid w:val="005C5385"/>
    <w:rsid w:val="005C53C6"/>
    <w:rsid w:val="005C57C3"/>
    <w:rsid w:val="005C5A90"/>
    <w:rsid w:val="005C5DCF"/>
    <w:rsid w:val="005C62CB"/>
    <w:rsid w:val="005C64C5"/>
    <w:rsid w:val="005C68E9"/>
    <w:rsid w:val="005C728F"/>
    <w:rsid w:val="005C7FCB"/>
    <w:rsid w:val="005D00D8"/>
    <w:rsid w:val="005D04FC"/>
    <w:rsid w:val="005D0700"/>
    <w:rsid w:val="005D0E3A"/>
    <w:rsid w:val="005D1AA6"/>
    <w:rsid w:val="005D1E75"/>
    <w:rsid w:val="005D256D"/>
    <w:rsid w:val="005D2A9E"/>
    <w:rsid w:val="005D327E"/>
    <w:rsid w:val="005D3491"/>
    <w:rsid w:val="005D35F2"/>
    <w:rsid w:val="005D3818"/>
    <w:rsid w:val="005D3C87"/>
    <w:rsid w:val="005D3FAD"/>
    <w:rsid w:val="005D4F52"/>
    <w:rsid w:val="005D5818"/>
    <w:rsid w:val="005D62C8"/>
    <w:rsid w:val="005D6604"/>
    <w:rsid w:val="005D66F5"/>
    <w:rsid w:val="005D6987"/>
    <w:rsid w:val="005D6B26"/>
    <w:rsid w:val="005D6E11"/>
    <w:rsid w:val="005D76ED"/>
    <w:rsid w:val="005D7DA7"/>
    <w:rsid w:val="005D7E71"/>
    <w:rsid w:val="005E0A7E"/>
    <w:rsid w:val="005E0EB2"/>
    <w:rsid w:val="005E1D7D"/>
    <w:rsid w:val="005E1E06"/>
    <w:rsid w:val="005E2843"/>
    <w:rsid w:val="005E3CAB"/>
    <w:rsid w:val="005E434C"/>
    <w:rsid w:val="005E4500"/>
    <w:rsid w:val="005E50C6"/>
    <w:rsid w:val="005E5287"/>
    <w:rsid w:val="005E586C"/>
    <w:rsid w:val="005E5B52"/>
    <w:rsid w:val="005E5B81"/>
    <w:rsid w:val="005E663C"/>
    <w:rsid w:val="005E66B3"/>
    <w:rsid w:val="005E725B"/>
    <w:rsid w:val="005E72E3"/>
    <w:rsid w:val="005E782A"/>
    <w:rsid w:val="005E7B66"/>
    <w:rsid w:val="005E7CCD"/>
    <w:rsid w:val="005F0301"/>
    <w:rsid w:val="005F0A43"/>
    <w:rsid w:val="005F16E8"/>
    <w:rsid w:val="005F1C6B"/>
    <w:rsid w:val="005F22C5"/>
    <w:rsid w:val="005F254E"/>
    <w:rsid w:val="005F2634"/>
    <w:rsid w:val="005F282F"/>
    <w:rsid w:val="005F2AF0"/>
    <w:rsid w:val="005F2F36"/>
    <w:rsid w:val="005F2F38"/>
    <w:rsid w:val="005F38D9"/>
    <w:rsid w:val="005F3D59"/>
    <w:rsid w:val="005F4015"/>
    <w:rsid w:val="005F431C"/>
    <w:rsid w:val="005F4BD9"/>
    <w:rsid w:val="005F5240"/>
    <w:rsid w:val="005F5268"/>
    <w:rsid w:val="005F58AA"/>
    <w:rsid w:val="005F5CB2"/>
    <w:rsid w:val="005F60C3"/>
    <w:rsid w:val="005F65B2"/>
    <w:rsid w:val="005F7393"/>
    <w:rsid w:val="005F77B6"/>
    <w:rsid w:val="00601295"/>
    <w:rsid w:val="0060201E"/>
    <w:rsid w:val="00602481"/>
    <w:rsid w:val="00602D23"/>
    <w:rsid w:val="00603A12"/>
    <w:rsid w:val="00603AEC"/>
    <w:rsid w:val="00603D65"/>
    <w:rsid w:val="006042B3"/>
    <w:rsid w:val="0060455E"/>
    <w:rsid w:val="00604732"/>
    <w:rsid w:val="0060473E"/>
    <w:rsid w:val="0060476C"/>
    <w:rsid w:val="00604B8F"/>
    <w:rsid w:val="006056AE"/>
    <w:rsid w:val="006057BD"/>
    <w:rsid w:val="00605878"/>
    <w:rsid w:val="006060FC"/>
    <w:rsid w:val="00607A53"/>
    <w:rsid w:val="00607BB6"/>
    <w:rsid w:val="00610747"/>
    <w:rsid w:val="00610CC0"/>
    <w:rsid w:val="00610CDF"/>
    <w:rsid w:val="00611044"/>
    <w:rsid w:val="006115DD"/>
    <w:rsid w:val="00611686"/>
    <w:rsid w:val="00611C3D"/>
    <w:rsid w:val="00611D93"/>
    <w:rsid w:val="00612034"/>
    <w:rsid w:val="006124D0"/>
    <w:rsid w:val="006125C6"/>
    <w:rsid w:val="00612965"/>
    <w:rsid w:val="00612E93"/>
    <w:rsid w:val="00612EE6"/>
    <w:rsid w:val="00613436"/>
    <w:rsid w:val="00613463"/>
    <w:rsid w:val="0061375E"/>
    <w:rsid w:val="006138D1"/>
    <w:rsid w:val="00614195"/>
    <w:rsid w:val="00614446"/>
    <w:rsid w:val="00614455"/>
    <w:rsid w:val="006149B6"/>
    <w:rsid w:val="00614F19"/>
    <w:rsid w:val="006150F6"/>
    <w:rsid w:val="00615F26"/>
    <w:rsid w:val="00616618"/>
    <w:rsid w:val="006167C3"/>
    <w:rsid w:val="00616845"/>
    <w:rsid w:val="00616CE3"/>
    <w:rsid w:val="006170F0"/>
    <w:rsid w:val="00617242"/>
    <w:rsid w:val="0061779F"/>
    <w:rsid w:val="00617CC6"/>
    <w:rsid w:val="006200F6"/>
    <w:rsid w:val="0062066F"/>
    <w:rsid w:val="00620BC0"/>
    <w:rsid w:val="00620E4A"/>
    <w:rsid w:val="006211BA"/>
    <w:rsid w:val="006212B0"/>
    <w:rsid w:val="0062375E"/>
    <w:rsid w:val="006238A4"/>
    <w:rsid w:val="0062414F"/>
    <w:rsid w:val="00624513"/>
    <w:rsid w:val="00624805"/>
    <w:rsid w:val="00625042"/>
    <w:rsid w:val="00626092"/>
    <w:rsid w:val="00626675"/>
    <w:rsid w:val="00626B93"/>
    <w:rsid w:val="00627241"/>
    <w:rsid w:val="006278C3"/>
    <w:rsid w:val="006279BD"/>
    <w:rsid w:val="006306D0"/>
    <w:rsid w:val="006316A8"/>
    <w:rsid w:val="0063178C"/>
    <w:rsid w:val="00632006"/>
    <w:rsid w:val="00632B71"/>
    <w:rsid w:val="00633D07"/>
    <w:rsid w:val="00633EF3"/>
    <w:rsid w:val="0063437A"/>
    <w:rsid w:val="006345FD"/>
    <w:rsid w:val="006346C3"/>
    <w:rsid w:val="006348CC"/>
    <w:rsid w:val="00634F6E"/>
    <w:rsid w:val="0063539F"/>
    <w:rsid w:val="006354E1"/>
    <w:rsid w:val="006358AA"/>
    <w:rsid w:val="00635E6A"/>
    <w:rsid w:val="006360D1"/>
    <w:rsid w:val="00636590"/>
    <w:rsid w:val="0063694A"/>
    <w:rsid w:val="00636B42"/>
    <w:rsid w:val="006370BC"/>
    <w:rsid w:val="006377D3"/>
    <w:rsid w:val="00637B3B"/>
    <w:rsid w:val="0064137F"/>
    <w:rsid w:val="0064180E"/>
    <w:rsid w:val="006419C8"/>
    <w:rsid w:val="00642734"/>
    <w:rsid w:val="00642BC3"/>
    <w:rsid w:val="006431F8"/>
    <w:rsid w:val="00643333"/>
    <w:rsid w:val="00643FBF"/>
    <w:rsid w:val="00644038"/>
    <w:rsid w:val="0064464C"/>
    <w:rsid w:val="006448CB"/>
    <w:rsid w:val="00644BA7"/>
    <w:rsid w:val="00644F90"/>
    <w:rsid w:val="00645524"/>
    <w:rsid w:val="0064583A"/>
    <w:rsid w:val="006458D7"/>
    <w:rsid w:val="0064644D"/>
    <w:rsid w:val="00646F9D"/>
    <w:rsid w:val="00647000"/>
    <w:rsid w:val="0064718D"/>
    <w:rsid w:val="0064727E"/>
    <w:rsid w:val="006474CF"/>
    <w:rsid w:val="00647753"/>
    <w:rsid w:val="00647981"/>
    <w:rsid w:val="00647DDB"/>
    <w:rsid w:val="00650B60"/>
    <w:rsid w:val="006511C6"/>
    <w:rsid w:val="00651282"/>
    <w:rsid w:val="00651474"/>
    <w:rsid w:val="00651EE3"/>
    <w:rsid w:val="0065243D"/>
    <w:rsid w:val="00652BD3"/>
    <w:rsid w:val="00652EAD"/>
    <w:rsid w:val="006537DF"/>
    <w:rsid w:val="00653944"/>
    <w:rsid w:val="00653D8E"/>
    <w:rsid w:val="0065464F"/>
    <w:rsid w:val="00654884"/>
    <w:rsid w:val="006549C3"/>
    <w:rsid w:val="00654AAB"/>
    <w:rsid w:val="006555AD"/>
    <w:rsid w:val="00655A5D"/>
    <w:rsid w:val="00655BE9"/>
    <w:rsid w:val="00655BFE"/>
    <w:rsid w:val="00655CAA"/>
    <w:rsid w:val="0065626C"/>
    <w:rsid w:val="006562B7"/>
    <w:rsid w:val="00656388"/>
    <w:rsid w:val="0065643B"/>
    <w:rsid w:val="00656466"/>
    <w:rsid w:val="006564B2"/>
    <w:rsid w:val="00656BA7"/>
    <w:rsid w:val="00656F0E"/>
    <w:rsid w:val="00657487"/>
    <w:rsid w:val="00657B8B"/>
    <w:rsid w:val="00660340"/>
    <w:rsid w:val="006607B8"/>
    <w:rsid w:val="0066117D"/>
    <w:rsid w:val="006617AA"/>
    <w:rsid w:val="00661853"/>
    <w:rsid w:val="00661D0F"/>
    <w:rsid w:val="00663C4F"/>
    <w:rsid w:val="00664513"/>
    <w:rsid w:val="00664D72"/>
    <w:rsid w:val="00665B17"/>
    <w:rsid w:val="00665CB4"/>
    <w:rsid w:val="0066651C"/>
    <w:rsid w:val="0066726B"/>
    <w:rsid w:val="006675CA"/>
    <w:rsid w:val="006710AA"/>
    <w:rsid w:val="0067169C"/>
    <w:rsid w:val="00672788"/>
    <w:rsid w:val="0067321B"/>
    <w:rsid w:val="006735B5"/>
    <w:rsid w:val="006736DA"/>
    <w:rsid w:val="006738E8"/>
    <w:rsid w:val="0067396E"/>
    <w:rsid w:val="00673FB6"/>
    <w:rsid w:val="006742AD"/>
    <w:rsid w:val="006744D8"/>
    <w:rsid w:val="006747C8"/>
    <w:rsid w:val="00674BA0"/>
    <w:rsid w:val="00674EB5"/>
    <w:rsid w:val="00675345"/>
    <w:rsid w:val="00675CF5"/>
    <w:rsid w:val="00676083"/>
    <w:rsid w:val="006766EF"/>
    <w:rsid w:val="0067712B"/>
    <w:rsid w:val="00677DE2"/>
    <w:rsid w:val="00680015"/>
    <w:rsid w:val="006805A3"/>
    <w:rsid w:val="00680F1C"/>
    <w:rsid w:val="00680F9E"/>
    <w:rsid w:val="00680FAC"/>
    <w:rsid w:val="006810CC"/>
    <w:rsid w:val="006811B0"/>
    <w:rsid w:val="006819E9"/>
    <w:rsid w:val="00681B2B"/>
    <w:rsid w:val="00681EC4"/>
    <w:rsid w:val="006822A4"/>
    <w:rsid w:val="006823F5"/>
    <w:rsid w:val="00682AC5"/>
    <w:rsid w:val="00683DA5"/>
    <w:rsid w:val="00684439"/>
    <w:rsid w:val="00684B2C"/>
    <w:rsid w:val="00684C70"/>
    <w:rsid w:val="00684D39"/>
    <w:rsid w:val="00685135"/>
    <w:rsid w:val="00686544"/>
    <w:rsid w:val="0068663A"/>
    <w:rsid w:val="00686D1F"/>
    <w:rsid w:val="00686E76"/>
    <w:rsid w:val="00687656"/>
    <w:rsid w:val="006906A6"/>
    <w:rsid w:val="006906F6"/>
    <w:rsid w:val="00691798"/>
    <w:rsid w:val="00692757"/>
    <w:rsid w:val="00692818"/>
    <w:rsid w:val="00692C61"/>
    <w:rsid w:val="00695F5C"/>
    <w:rsid w:val="006962CA"/>
    <w:rsid w:val="00696975"/>
    <w:rsid w:val="00696F48"/>
    <w:rsid w:val="00697F5C"/>
    <w:rsid w:val="006A00D6"/>
    <w:rsid w:val="006A0821"/>
    <w:rsid w:val="006A0C2F"/>
    <w:rsid w:val="006A0CCE"/>
    <w:rsid w:val="006A0F71"/>
    <w:rsid w:val="006A10E7"/>
    <w:rsid w:val="006A16F1"/>
    <w:rsid w:val="006A1982"/>
    <w:rsid w:val="006A1D11"/>
    <w:rsid w:val="006A21DD"/>
    <w:rsid w:val="006A3697"/>
    <w:rsid w:val="006A4C94"/>
    <w:rsid w:val="006A4D53"/>
    <w:rsid w:val="006A553A"/>
    <w:rsid w:val="006A63D4"/>
    <w:rsid w:val="006A66CB"/>
    <w:rsid w:val="006A70CF"/>
    <w:rsid w:val="006A70FE"/>
    <w:rsid w:val="006A7361"/>
    <w:rsid w:val="006A76C8"/>
    <w:rsid w:val="006A77AF"/>
    <w:rsid w:val="006A79FE"/>
    <w:rsid w:val="006A7A3E"/>
    <w:rsid w:val="006A7B36"/>
    <w:rsid w:val="006B0674"/>
    <w:rsid w:val="006B068F"/>
    <w:rsid w:val="006B07D3"/>
    <w:rsid w:val="006B09AF"/>
    <w:rsid w:val="006B0C5D"/>
    <w:rsid w:val="006B37DA"/>
    <w:rsid w:val="006B3A97"/>
    <w:rsid w:val="006B40E1"/>
    <w:rsid w:val="006B4128"/>
    <w:rsid w:val="006B4503"/>
    <w:rsid w:val="006B4651"/>
    <w:rsid w:val="006B46A7"/>
    <w:rsid w:val="006B4AF7"/>
    <w:rsid w:val="006B4E30"/>
    <w:rsid w:val="006B4EFC"/>
    <w:rsid w:val="006B54E3"/>
    <w:rsid w:val="006B55ED"/>
    <w:rsid w:val="006B6B17"/>
    <w:rsid w:val="006B6B34"/>
    <w:rsid w:val="006B6E19"/>
    <w:rsid w:val="006B78EB"/>
    <w:rsid w:val="006C041C"/>
    <w:rsid w:val="006C149D"/>
    <w:rsid w:val="006C20FF"/>
    <w:rsid w:val="006C23AF"/>
    <w:rsid w:val="006C329B"/>
    <w:rsid w:val="006C3684"/>
    <w:rsid w:val="006C4246"/>
    <w:rsid w:val="006C4B7B"/>
    <w:rsid w:val="006C4C89"/>
    <w:rsid w:val="006C50AA"/>
    <w:rsid w:val="006C55E3"/>
    <w:rsid w:val="006C63CF"/>
    <w:rsid w:val="006C663B"/>
    <w:rsid w:val="006C697E"/>
    <w:rsid w:val="006C768A"/>
    <w:rsid w:val="006C7FD0"/>
    <w:rsid w:val="006D0419"/>
    <w:rsid w:val="006D0D18"/>
    <w:rsid w:val="006D0E86"/>
    <w:rsid w:val="006D10EB"/>
    <w:rsid w:val="006D2099"/>
    <w:rsid w:val="006D22AB"/>
    <w:rsid w:val="006D2982"/>
    <w:rsid w:val="006D2CFF"/>
    <w:rsid w:val="006D324C"/>
    <w:rsid w:val="006D453F"/>
    <w:rsid w:val="006D46A7"/>
    <w:rsid w:val="006D4742"/>
    <w:rsid w:val="006D4DF3"/>
    <w:rsid w:val="006D61DF"/>
    <w:rsid w:val="006D657A"/>
    <w:rsid w:val="006D7949"/>
    <w:rsid w:val="006E0191"/>
    <w:rsid w:val="006E04A6"/>
    <w:rsid w:val="006E0506"/>
    <w:rsid w:val="006E06C1"/>
    <w:rsid w:val="006E0C0F"/>
    <w:rsid w:val="006E1279"/>
    <w:rsid w:val="006E1384"/>
    <w:rsid w:val="006E13C0"/>
    <w:rsid w:val="006E21D0"/>
    <w:rsid w:val="006E2364"/>
    <w:rsid w:val="006E251D"/>
    <w:rsid w:val="006E2FC9"/>
    <w:rsid w:val="006E3194"/>
    <w:rsid w:val="006E3407"/>
    <w:rsid w:val="006E3A8B"/>
    <w:rsid w:val="006E422D"/>
    <w:rsid w:val="006E5209"/>
    <w:rsid w:val="006E53CF"/>
    <w:rsid w:val="006E540C"/>
    <w:rsid w:val="006E5461"/>
    <w:rsid w:val="006E54E0"/>
    <w:rsid w:val="006E59DD"/>
    <w:rsid w:val="006E5A76"/>
    <w:rsid w:val="006E5F60"/>
    <w:rsid w:val="006E64A5"/>
    <w:rsid w:val="006E64C3"/>
    <w:rsid w:val="006E6AA5"/>
    <w:rsid w:val="006E6D13"/>
    <w:rsid w:val="006E79D5"/>
    <w:rsid w:val="006E7DAE"/>
    <w:rsid w:val="006E7DB5"/>
    <w:rsid w:val="006E7E92"/>
    <w:rsid w:val="006F0037"/>
    <w:rsid w:val="006F0A4B"/>
    <w:rsid w:val="006F1569"/>
    <w:rsid w:val="006F161A"/>
    <w:rsid w:val="006F2908"/>
    <w:rsid w:val="006F3382"/>
    <w:rsid w:val="006F3626"/>
    <w:rsid w:val="006F38FC"/>
    <w:rsid w:val="006F3C9D"/>
    <w:rsid w:val="006F4284"/>
    <w:rsid w:val="006F51A2"/>
    <w:rsid w:val="006F5A07"/>
    <w:rsid w:val="006F63D8"/>
    <w:rsid w:val="006F69D2"/>
    <w:rsid w:val="006F755D"/>
    <w:rsid w:val="006F7830"/>
    <w:rsid w:val="006F7E19"/>
    <w:rsid w:val="0070013D"/>
    <w:rsid w:val="00700AE1"/>
    <w:rsid w:val="00700C5B"/>
    <w:rsid w:val="00701026"/>
    <w:rsid w:val="007014A9"/>
    <w:rsid w:val="0070181C"/>
    <w:rsid w:val="00701E1B"/>
    <w:rsid w:val="00702544"/>
    <w:rsid w:val="00703336"/>
    <w:rsid w:val="007036FB"/>
    <w:rsid w:val="00703B53"/>
    <w:rsid w:val="00704252"/>
    <w:rsid w:val="0070447F"/>
    <w:rsid w:val="007052D2"/>
    <w:rsid w:val="00706021"/>
    <w:rsid w:val="00706471"/>
    <w:rsid w:val="007065E2"/>
    <w:rsid w:val="00707C9F"/>
    <w:rsid w:val="00710303"/>
    <w:rsid w:val="0071042E"/>
    <w:rsid w:val="00710560"/>
    <w:rsid w:val="007116A6"/>
    <w:rsid w:val="0071426C"/>
    <w:rsid w:val="007145E2"/>
    <w:rsid w:val="0071497C"/>
    <w:rsid w:val="00714B2F"/>
    <w:rsid w:val="00714B78"/>
    <w:rsid w:val="007151EE"/>
    <w:rsid w:val="00715439"/>
    <w:rsid w:val="00715556"/>
    <w:rsid w:val="007155BD"/>
    <w:rsid w:val="00715673"/>
    <w:rsid w:val="0071646D"/>
    <w:rsid w:val="007169CC"/>
    <w:rsid w:val="0071714A"/>
    <w:rsid w:val="00717452"/>
    <w:rsid w:val="007207BB"/>
    <w:rsid w:val="0072091A"/>
    <w:rsid w:val="007218F4"/>
    <w:rsid w:val="00721D23"/>
    <w:rsid w:val="0072304E"/>
    <w:rsid w:val="007232CD"/>
    <w:rsid w:val="00724834"/>
    <w:rsid w:val="00724916"/>
    <w:rsid w:val="00725033"/>
    <w:rsid w:val="007255AD"/>
    <w:rsid w:val="00726188"/>
    <w:rsid w:val="00726C22"/>
    <w:rsid w:val="00730AC8"/>
    <w:rsid w:val="007311CB"/>
    <w:rsid w:val="0073192C"/>
    <w:rsid w:val="00732045"/>
    <w:rsid w:val="00732288"/>
    <w:rsid w:val="007325DF"/>
    <w:rsid w:val="00733046"/>
    <w:rsid w:val="0073325E"/>
    <w:rsid w:val="007333C4"/>
    <w:rsid w:val="007335CC"/>
    <w:rsid w:val="007343F8"/>
    <w:rsid w:val="00734FD4"/>
    <w:rsid w:val="00735CB7"/>
    <w:rsid w:val="007367C2"/>
    <w:rsid w:val="0073743E"/>
    <w:rsid w:val="007377B8"/>
    <w:rsid w:val="00737A9D"/>
    <w:rsid w:val="00737AAD"/>
    <w:rsid w:val="00740072"/>
    <w:rsid w:val="00740137"/>
    <w:rsid w:val="0074068B"/>
    <w:rsid w:val="007407DE"/>
    <w:rsid w:val="00741B32"/>
    <w:rsid w:val="00742835"/>
    <w:rsid w:val="0074293C"/>
    <w:rsid w:val="00742DB6"/>
    <w:rsid w:val="007430D6"/>
    <w:rsid w:val="0074330C"/>
    <w:rsid w:val="007434DA"/>
    <w:rsid w:val="00743860"/>
    <w:rsid w:val="00743ABD"/>
    <w:rsid w:val="00743B1A"/>
    <w:rsid w:val="00743CD6"/>
    <w:rsid w:val="0074461E"/>
    <w:rsid w:val="00744E83"/>
    <w:rsid w:val="00745376"/>
    <w:rsid w:val="00745CBB"/>
    <w:rsid w:val="00745CC7"/>
    <w:rsid w:val="00745F11"/>
    <w:rsid w:val="00746092"/>
    <w:rsid w:val="00746244"/>
    <w:rsid w:val="0074647A"/>
    <w:rsid w:val="007465BC"/>
    <w:rsid w:val="00746646"/>
    <w:rsid w:val="007466EF"/>
    <w:rsid w:val="00746B0F"/>
    <w:rsid w:val="00747424"/>
    <w:rsid w:val="00747BB3"/>
    <w:rsid w:val="00747CE5"/>
    <w:rsid w:val="007504CC"/>
    <w:rsid w:val="00751EFB"/>
    <w:rsid w:val="007521C2"/>
    <w:rsid w:val="00752F7A"/>
    <w:rsid w:val="00754070"/>
    <w:rsid w:val="007542EA"/>
    <w:rsid w:val="00754478"/>
    <w:rsid w:val="00754529"/>
    <w:rsid w:val="007545EC"/>
    <w:rsid w:val="00754E51"/>
    <w:rsid w:val="00755BA8"/>
    <w:rsid w:val="00755DA3"/>
    <w:rsid w:val="00755E83"/>
    <w:rsid w:val="0075631F"/>
    <w:rsid w:val="00757D8C"/>
    <w:rsid w:val="007604A1"/>
    <w:rsid w:val="007604B0"/>
    <w:rsid w:val="007604B6"/>
    <w:rsid w:val="00760660"/>
    <w:rsid w:val="00760682"/>
    <w:rsid w:val="00760F67"/>
    <w:rsid w:val="00761938"/>
    <w:rsid w:val="00762C2A"/>
    <w:rsid w:val="00763A5D"/>
    <w:rsid w:val="00763EC3"/>
    <w:rsid w:val="00764025"/>
    <w:rsid w:val="00764148"/>
    <w:rsid w:val="007642DD"/>
    <w:rsid w:val="0076457F"/>
    <w:rsid w:val="00764FF0"/>
    <w:rsid w:val="00765317"/>
    <w:rsid w:val="00765716"/>
    <w:rsid w:val="00765A30"/>
    <w:rsid w:val="0076602D"/>
    <w:rsid w:val="00766E7C"/>
    <w:rsid w:val="00767962"/>
    <w:rsid w:val="0077080B"/>
    <w:rsid w:val="00771267"/>
    <w:rsid w:val="007712A8"/>
    <w:rsid w:val="007724FB"/>
    <w:rsid w:val="00772E06"/>
    <w:rsid w:val="00773E13"/>
    <w:rsid w:val="00773F0C"/>
    <w:rsid w:val="00773FD3"/>
    <w:rsid w:val="007746F0"/>
    <w:rsid w:val="007748FE"/>
    <w:rsid w:val="00774B13"/>
    <w:rsid w:val="00774BDF"/>
    <w:rsid w:val="007750B1"/>
    <w:rsid w:val="007751A0"/>
    <w:rsid w:val="00775594"/>
    <w:rsid w:val="00775F34"/>
    <w:rsid w:val="00775F4E"/>
    <w:rsid w:val="00776401"/>
    <w:rsid w:val="00776986"/>
    <w:rsid w:val="00776BAD"/>
    <w:rsid w:val="00777526"/>
    <w:rsid w:val="0077758C"/>
    <w:rsid w:val="0078055D"/>
    <w:rsid w:val="00780D60"/>
    <w:rsid w:val="007816A3"/>
    <w:rsid w:val="007819F4"/>
    <w:rsid w:val="00781EC3"/>
    <w:rsid w:val="00782A42"/>
    <w:rsid w:val="007841A9"/>
    <w:rsid w:val="00784297"/>
    <w:rsid w:val="0078434D"/>
    <w:rsid w:val="00784C85"/>
    <w:rsid w:val="00784FC9"/>
    <w:rsid w:val="007850BA"/>
    <w:rsid w:val="00785FD0"/>
    <w:rsid w:val="007869B5"/>
    <w:rsid w:val="0078716F"/>
    <w:rsid w:val="0078762A"/>
    <w:rsid w:val="0078769A"/>
    <w:rsid w:val="00787AF0"/>
    <w:rsid w:val="00787C76"/>
    <w:rsid w:val="0079076F"/>
    <w:rsid w:val="00790AFF"/>
    <w:rsid w:val="0079100F"/>
    <w:rsid w:val="00791395"/>
    <w:rsid w:val="007914C3"/>
    <w:rsid w:val="00791EA6"/>
    <w:rsid w:val="00792618"/>
    <w:rsid w:val="007930D4"/>
    <w:rsid w:val="00794D62"/>
    <w:rsid w:val="00794D85"/>
    <w:rsid w:val="0079556B"/>
    <w:rsid w:val="00795B41"/>
    <w:rsid w:val="00795D86"/>
    <w:rsid w:val="007969EE"/>
    <w:rsid w:val="00796CB8"/>
    <w:rsid w:val="007971A5"/>
    <w:rsid w:val="00797967"/>
    <w:rsid w:val="007A0ACB"/>
    <w:rsid w:val="007A13E7"/>
    <w:rsid w:val="007A1569"/>
    <w:rsid w:val="007A1744"/>
    <w:rsid w:val="007A23FD"/>
    <w:rsid w:val="007A24D5"/>
    <w:rsid w:val="007A26A6"/>
    <w:rsid w:val="007A296A"/>
    <w:rsid w:val="007A3348"/>
    <w:rsid w:val="007A4136"/>
    <w:rsid w:val="007A4588"/>
    <w:rsid w:val="007A4C70"/>
    <w:rsid w:val="007A4E21"/>
    <w:rsid w:val="007A512C"/>
    <w:rsid w:val="007A5761"/>
    <w:rsid w:val="007A5BAC"/>
    <w:rsid w:val="007A6022"/>
    <w:rsid w:val="007A664E"/>
    <w:rsid w:val="007A6E2F"/>
    <w:rsid w:val="007A6E68"/>
    <w:rsid w:val="007A7A88"/>
    <w:rsid w:val="007B05EE"/>
    <w:rsid w:val="007B0F07"/>
    <w:rsid w:val="007B1821"/>
    <w:rsid w:val="007B260E"/>
    <w:rsid w:val="007B3290"/>
    <w:rsid w:val="007B33BE"/>
    <w:rsid w:val="007B363C"/>
    <w:rsid w:val="007B3A8D"/>
    <w:rsid w:val="007B3C06"/>
    <w:rsid w:val="007B3F97"/>
    <w:rsid w:val="007B4D73"/>
    <w:rsid w:val="007B5DD8"/>
    <w:rsid w:val="007B5EA7"/>
    <w:rsid w:val="007B643E"/>
    <w:rsid w:val="007B6AE3"/>
    <w:rsid w:val="007C1D31"/>
    <w:rsid w:val="007C2070"/>
    <w:rsid w:val="007C2458"/>
    <w:rsid w:val="007C2D30"/>
    <w:rsid w:val="007C32AB"/>
    <w:rsid w:val="007C3EA3"/>
    <w:rsid w:val="007C3FD8"/>
    <w:rsid w:val="007C4033"/>
    <w:rsid w:val="007C40BB"/>
    <w:rsid w:val="007C4485"/>
    <w:rsid w:val="007C48A1"/>
    <w:rsid w:val="007C48C7"/>
    <w:rsid w:val="007C4BCA"/>
    <w:rsid w:val="007C4D87"/>
    <w:rsid w:val="007C5099"/>
    <w:rsid w:val="007C5153"/>
    <w:rsid w:val="007C56B5"/>
    <w:rsid w:val="007C5F5C"/>
    <w:rsid w:val="007C6B3A"/>
    <w:rsid w:val="007C764B"/>
    <w:rsid w:val="007C7EF2"/>
    <w:rsid w:val="007D052A"/>
    <w:rsid w:val="007D0932"/>
    <w:rsid w:val="007D0BD4"/>
    <w:rsid w:val="007D0D31"/>
    <w:rsid w:val="007D0E83"/>
    <w:rsid w:val="007D1928"/>
    <w:rsid w:val="007D19DA"/>
    <w:rsid w:val="007D28A3"/>
    <w:rsid w:val="007D3BAC"/>
    <w:rsid w:val="007D3DCA"/>
    <w:rsid w:val="007D3FF3"/>
    <w:rsid w:val="007D412F"/>
    <w:rsid w:val="007D4ED1"/>
    <w:rsid w:val="007D5B9A"/>
    <w:rsid w:val="007D5D09"/>
    <w:rsid w:val="007D5FF9"/>
    <w:rsid w:val="007D6215"/>
    <w:rsid w:val="007D6718"/>
    <w:rsid w:val="007D6A0D"/>
    <w:rsid w:val="007D6C3D"/>
    <w:rsid w:val="007D7343"/>
    <w:rsid w:val="007D7661"/>
    <w:rsid w:val="007D7CDE"/>
    <w:rsid w:val="007E0583"/>
    <w:rsid w:val="007E13B1"/>
    <w:rsid w:val="007E15EA"/>
    <w:rsid w:val="007E16DA"/>
    <w:rsid w:val="007E1E6F"/>
    <w:rsid w:val="007E1ECC"/>
    <w:rsid w:val="007E2155"/>
    <w:rsid w:val="007E28E8"/>
    <w:rsid w:val="007E3502"/>
    <w:rsid w:val="007E3B6C"/>
    <w:rsid w:val="007E493A"/>
    <w:rsid w:val="007E56A0"/>
    <w:rsid w:val="007E5BF1"/>
    <w:rsid w:val="007E6285"/>
    <w:rsid w:val="007E68AE"/>
    <w:rsid w:val="007E69A5"/>
    <w:rsid w:val="007E6A70"/>
    <w:rsid w:val="007E71FD"/>
    <w:rsid w:val="007E7207"/>
    <w:rsid w:val="007E761E"/>
    <w:rsid w:val="007F014A"/>
    <w:rsid w:val="007F0576"/>
    <w:rsid w:val="007F14A3"/>
    <w:rsid w:val="007F188B"/>
    <w:rsid w:val="007F262D"/>
    <w:rsid w:val="007F2A26"/>
    <w:rsid w:val="007F2D4A"/>
    <w:rsid w:val="007F35AB"/>
    <w:rsid w:val="007F4A6D"/>
    <w:rsid w:val="007F5655"/>
    <w:rsid w:val="007F5B6F"/>
    <w:rsid w:val="007F5CCA"/>
    <w:rsid w:val="007F5E7B"/>
    <w:rsid w:val="007F654D"/>
    <w:rsid w:val="007F6971"/>
    <w:rsid w:val="007F6B9F"/>
    <w:rsid w:val="007F6C93"/>
    <w:rsid w:val="007F7AAC"/>
    <w:rsid w:val="007F7CBF"/>
    <w:rsid w:val="00800100"/>
    <w:rsid w:val="00800EB3"/>
    <w:rsid w:val="00801560"/>
    <w:rsid w:val="00801FAF"/>
    <w:rsid w:val="008027F6"/>
    <w:rsid w:val="008035CE"/>
    <w:rsid w:val="00804238"/>
    <w:rsid w:val="00804BC5"/>
    <w:rsid w:val="00804C91"/>
    <w:rsid w:val="00805F37"/>
    <w:rsid w:val="008060B6"/>
    <w:rsid w:val="00806335"/>
    <w:rsid w:val="00806556"/>
    <w:rsid w:val="0080695B"/>
    <w:rsid w:val="00806AA7"/>
    <w:rsid w:val="00806AAC"/>
    <w:rsid w:val="00807A12"/>
    <w:rsid w:val="00807DB4"/>
    <w:rsid w:val="00810502"/>
    <w:rsid w:val="0081052C"/>
    <w:rsid w:val="00811102"/>
    <w:rsid w:val="00811572"/>
    <w:rsid w:val="0081274F"/>
    <w:rsid w:val="008127EF"/>
    <w:rsid w:val="00814001"/>
    <w:rsid w:val="008142A8"/>
    <w:rsid w:val="00815763"/>
    <w:rsid w:val="0081581D"/>
    <w:rsid w:val="00815AEA"/>
    <w:rsid w:val="00815C4F"/>
    <w:rsid w:val="008161BA"/>
    <w:rsid w:val="008163DE"/>
    <w:rsid w:val="0081669A"/>
    <w:rsid w:val="008169FC"/>
    <w:rsid w:val="00816A09"/>
    <w:rsid w:val="00816C53"/>
    <w:rsid w:val="00816E95"/>
    <w:rsid w:val="00816EF0"/>
    <w:rsid w:val="008174FA"/>
    <w:rsid w:val="008179D4"/>
    <w:rsid w:val="0082090E"/>
    <w:rsid w:val="008216EB"/>
    <w:rsid w:val="00822DCE"/>
    <w:rsid w:val="00822E56"/>
    <w:rsid w:val="00823164"/>
    <w:rsid w:val="008233B5"/>
    <w:rsid w:val="0082342E"/>
    <w:rsid w:val="00823E97"/>
    <w:rsid w:val="00824567"/>
    <w:rsid w:val="008251ED"/>
    <w:rsid w:val="00825218"/>
    <w:rsid w:val="00825F96"/>
    <w:rsid w:val="00827290"/>
    <w:rsid w:val="00827EE8"/>
    <w:rsid w:val="008302EC"/>
    <w:rsid w:val="00830380"/>
    <w:rsid w:val="008308B0"/>
    <w:rsid w:val="00830993"/>
    <w:rsid w:val="00830D2E"/>
    <w:rsid w:val="008315B7"/>
    <w:rsid w:val="008315FF"/>
    <w:rsid w:val="00831A74"/>
    <w:rsid w:val="00833755"/>
    <w:rsid w:val="00833AA3"/>
    <w:rsid w:val="00834097"/>
    <w:rsid w:val="0083450A"/>
    <w:rsid w:val="008345EF"/>
    <w:rsid w:val="00834EFA"/>
    <w:rsid w:val="00834F62"/>
    <w:rsid w:val="0083537C"/>
    <w:rsid w:val="008356AB"/>
    <w:rsid w:val="00835A62"/>
    <w:rsid w:val="008409F7"/>
    <w:rsid w:val="00840A2E"/>
    <w:rsid w:val="00842CF1"/>
    <w:rsid w:val="00842DEF"/>
    <w:rsid w:val="00842F8E"/>
    <w:rsid w:val="00843799"/>
    <w:rsid w:val="00843DF8"/>
    <w:rsid w:val="008447C0"/>
    <w:rsid w:val="00844C26"/>
    <w:rsid w:val="00845CFB"/>
    <w:rsid w:val="008460F9"/>
    <w:rsid w:val="0084671D"/>
    <w:rsid w:val="00846803"/>
    <w:rsid w:val="008468B5"/>
    <w:rsid w:val="00846FF2"/>
    <w:rsid w:val="00847191"/>
    <w:rsid w:val="00847E9C"/>
    <w:rsid w:val="008513ED"/>
    <w:rsid w:val="00851BBB"/>
    <w:rsid w:val="00853071"/>
    <w:rsid w:val="0085319E"/>
    <w:rsid w:val="008533FD"/>
    <w:rsid w:val="00853849"/>
    <w:rsid w:val="00853AC8"/>
    <w:rsid w:val="00854292"/>
    <w:rsid w:val="00854A14"/>
    <w:rsid w:val="00855730"/>
    <w:rsid w:val="008559A8"/>
    <w:rsid w:val="00855FE1"/>
    <w:rsid w:val="00856396"/>
    <w:rsid w:val="00856CC9"/>
    <w:rsid w:val="00856E39"/>
    <w:rsid w:val="00857689"/>
    <w:rsid w:val="00857ECC"/>
    <w:rsid w:val="00857FFC"/>
    <w:rsid w:val="00860570"/>
    <w:rsid w:val="00861603"/>
    <w:rsid w:val="00861742"/>
    <w:rsid w:val="00862FDD"/>
    <w:rsid w:val="008633F1"/>
    <w:rsid w:val="008637A4"/>
    <w:rsid w:val="00863C81"/>
    <w:rsid w:val="00864A40"/>
    <w:rsid w:val="00865E5A"/>
    <w:rsid w:val="00865EFA"/>
    <w:rsid w:val="0086636B"/>
    <w:rsid w:val="00866461"/>
    <w:rsid w:val="00866ADD"/>
    <w:rsid w:val="00870576"/>
    <w:rsid w:val="00870CC5"/>
    <w:rsid w:val="00870DB5"/>
    <w:rsid w:val="00870F89"/>
    <w:rsid w:val="00871793"/>
    <w:rsid w:val="00871B07"/>
    <w:rsid w:val="00872826"/>
    <w:rsid w:val="00872DF4"/>
    <w:rsid w:val="00873481"/>
    <w:rsid w:val="008750DC"/>
    <w:rsid w:val="00875363"/>
    <w:rsid w:val="00875C59"/>
    <w:rsid w:val="0087608C"/>
    <w:rsid w:val="00877100"/>
    <w:rsid w:val="008771DD"/>
    <w:rsid w:val="00877344"/>
    <w:rsid w:val="00877763"/>
    <w:rsid w:val="0087781D"/>
    <w:rsid w:val="00877A7E"/>
    <w:rsid w:val="008809DD"/>
    <w:rsid w:val="0088182E"/>
    <w:rsid w:val="008818AA"/>
    <w:rsid w:val="0088281B"/>
    <w:rsid w:val="008828F7"/>
    <w:rsid w:val="008830A6"/>
    <w:rsid w:val="0088344E"/>
    <w:rsid w:val="008836D0"/>
    <w:rsid w:val="00883A9D"/>
    <w:rsid w:val="00883ECC"/>
    <w:rsid w:val="008847E4"/>
    <w:rsid w:val="00884A08"/>
    <w:rsid w:val="00884A8C"/>
    <w:rsid w:val="00884F5F"/>
    <w:rsid w:val="008851A0"/>
    <w:rsid w:val="00885ACB"/>
    <w:rsid w:val="00885DDF"/>
    <w:rsid w:val="00886E73"/>
    <w:rsid w:val="00887A59"/>
    <w:rsid w:val="00890FD9"/>
    <w:rsid w:val="00891228"/>
    <w:rsid w:val="008917A5"/>
    <w:rsid w:val="00892289"/>
    <w:rsid w:val="00892DC1"/>
    <w:rsid w:val="00892F84"/>
    <w:rsid w:val="008931A4"/>
    <w:rsid w:val="008932A5"/>
    <w:rsid w:val="008942C3"/>
    <w:rsid w:val="008943B6"/>
    <w:rsid w:val="008949A4"/>
    <w:rsid w:val="00895FDE"/>
    <w:rsid w:val="0089718B"/>
    <w:rsid w:val="00897199"/>
    <w:rsid w:val="00897AB8"/>
    <w:rsid w:val="00897B39"/>
    <w:rsid w:val="008A0549"/>
    <w:rsid w:val="008A09C1"/>
    <w:rsid w:val="008A0D7B"/>
    <w:rsid w:val="008A1035"/>
    <w:rsid w:val="008A12C0"/>
    <w:rsid w:val="008A195A"/>
    <w:rsid w:val="008A1A5E"/>
    <w:rsid w:val="008A1CEF"/>
    <w:rsid w:val="008A2377"/>
    <w:rsid w:val="008A3E9C"/>
    <w:rsid w:val="008A48EB"/>
    <w:rsid w:val="008A4906"/>
    <w:rsid w:val="008A490F"/>
    <w:rsid w:val="008A4DD7"/>
    <w:rsid w:val="008A510C"/>
    <w:rsid w:val="008A58A7"/>
    <w:rsid w:val="008A5955"/>
    <w:rsid w:val="008A5E34"/>
    <w:rsid w:val="008A6683"/>
    <w:rsid w:val="008A66CA"/>
    <w:rsid w:val="008A6B55"/>
    <w:rsid w:val="008A741A"/>
    <w:rsid w:val="008A775F"/>
    <w:rsid w:val="008A7A60"/>
    <w:rsid w:val="008A7B0F"/>
    <w:rsid w:val="008B02C7"/>
    <w:rsid w:val="008B033D"/>
    <w:rsid w:val="008B063B"/>
    <w:rsid w:val="008B1255"/>
    <w:rsid w:val="008B1898"/>
    <w:rsid w:val="008B1AA5"/>
    <w:rsid w:val="008B2641"/>
    <w:rsid w:val="008B2E52"/>
    <w:rsid w:val="008B2EDE"/>
    <w:rsid w:val="008B32AB"/>
    <w:rsid w:val="008B32AD"/>
    <w:rsid w:val="008B398E"/>
    <w:rsid w:val="008B3A40"/>
    <w:rsid w:val="008B410E"/>
    <w:rsid w:val="008B4629"/>
    <w:rsid w:val="008B4635"/>
    <w:rsid w:val="008B50E2"/>
    <w:rsid w:val="008B5CA1"/>
    <w:rsid w:val="008B75C7"/>
    <w:rsid w:val="008B7CCD"/>
    <w:rsid w:val="008C0543"/>
    <w:rsid w:val="008C05BB"/>
    <w:rsid w:val="008C113B"/>
    <w:rsid w:val="008C1241"/>
    <w:rsid w:val="008C180B"/>
    <w:rsid w:val="008C2905"/>
    <w:rsid w:val="008C29BC"/>
    <w:rsid w:val="008C2B31"/>
    <w:rsid w:val="008C3A5C"/>
    <w:rsid w:val="008C3E03"/>
    <w:rsid w:val="008C3E5C"/>
    <w:rsid w:val="008C3E67"/>
    <w:rsid w:val="008C442E"/>
    <w:rsid w:val="008C4BCD"/>
    <w:rsid w:val="008C53B8"/>
    <w:rsid w:val="008C569E"/>
    <w:rsid w:val="008C56F9"/>
    <w:rsid w:val="008C5AE3"/>
    <w:rsid w:val="008C5C81"/>
    <w:rsid w:val="008C6145"/>
    <w:rsid w:val="008C6173"/>
    <w:rsid w:val="008C6357"/>
    <w:rsid w:val="008C6658"/>
    <w:rsid w:val="008C68E5"/>
    <w:rsid w:val="008C7081"/>
    <w:rsid w:val="008C78DB"/>
    <w:rsid w:val="008C7AFD"/>
    <w:rsid w:val="008D0061"/>
    <w:rsid w:val="008D14B3"/>
    <w:rsid w:val="008D1841"/>
    <w:rsid w:val="008D18FF"/>
    <w:rsid w:val="008D1A55"/>
    <w:rsid w:val="008D29BA"/>
    <w:rsid w:val="008D3313"/>
    <w:rsid w:val="008D3A69"/>
    <w:rsid w:val="008D4069"/>
    <w:rsid w:val="008D44CA"/>
    <w:rsid w:val="008D4764"/>
    <w:rsid w:val="008D4B52"/>
    <w:rsid w:val="008D6C56"/>
    <w:rsid w:val="008D6DD8"/>
    <w:rsid w:val="008D728B"/>
    <w:rsid w:val="008D72B5"/>
    <w:rsid w:val="008D753B"/>
    <w:rsid w:val="008E00E2"/>
    <w:rsid w:val="008E05AC"/>
    <w:rsid w:val="008E0863"/>
    <w:rsid w:val="008E18CE"/>
    <w:rsid w:val="008E19D3"/>
    <w:rsid w:val="008E1C03"/>
    <w:rsid w:val="008E25A4"/>
    <w:rsid w:val="008E2A3E"/>
    <w:rsid w:val="008E3200"/>
    <w:rsid w:val="008E330D"/>
    <w:rsid w:val="008E3E4D"/>
    <w:rsid w:val="008E6638"/>
    <w:rsid w:val="008E66EE"/>
    <w:rsid w:val="008E6FC9"/>
    <w:rsid w:val="008E75C4"/>
    <w:rsid w:val="008E78F6"/>
    <w:rsid w:val="008E7C80"/>
    <w:rsid w:val="008F0CB0"/>
    <w:rsid w:val="008F0E5D"/>
    <w:rsid w:val="008F3381"/>
    <w:rsid w:val="008F55EC"/>
    <w:rsid w:val="008F5613"/>
    <w:rsid w:val="008F57E1"/>
    <w:rsid w:val="008F5BF5"/>
    <w:rsid w:val="008F6242"/>
    <w:rsid w:val="008F705A"/>
    <w:rsid w:val="008F78BD"/>
    <w:rsid w:val="008F7CBD"/>
    <w:rsid w:val="008F7F4B"/>
    <w:rsid w:val="009000B4"/>
    <w:rsid w:val="009001ED"/>
    <w:rsid w:val="00900491"/>
    <w:rsid w:val="0090062F"/>
    <w:rsid w:val="00900CCD"/>
    <w:rsid w:val="00901F21"/>
    <w:rsid w:val="0090254A"/>
    <w:rsid w:val="00902B72"/>
    <w:rsid w:val="00903013"/>
    <w:rsid w:val="0090331F"/>
    <w:rsid w:val="00903BB1"/>
    <w:rsid w:val="009040D4"/>
    <w:rsid w:val="00904839"/>
    <w:rsid w:val="0090541C"/>
    <w:rsid w:val="009057B0"/>
    <w:rsid w:val="00906CB5"/>
    <w:rsid w:val="00907370"/>
    <w:rsid w:val="0090766B"/>
    <w:rsid w:val="00907AEF"/>
    <w:rsid w:val="009105A8"/>
    <w:rsid w:val="00911DAA"/>
    <w:rsid w:val="00913506"/>
    <w:rsid w:val="0091380E"/>
    <w:rsid w:val="0091392B"/>
    <w:rsid w:val="00913BF1"/>
    <w:rsid w:val="00913C7D"/>
    <w:rsid w:val="00914313"/>
    <w:rsid w:val="00915BA2"/>
    <w:rsid w:val="0091637B"/>
    <w:rsid w:val="00916FC4"/>
    <w:rsid w:val="009178E2"/>
    <w:rsid w:val="00917CA8"/>
    <w:rsid w:val="00917E64"/>
    <w:rsid w:val="009200DE"/>
    <w:rsid w:val="00920D02"/>
    <w:rsid w:val="00921309"/>
    <w:rsid w:val="0092170E"/>
    <w:rsid w:val="009223B1"/>
    <w:rsid w:val="009231DE"/>
    <w:rsid w:val="00923862"/>
    <w:rsid w:val="00924350"/>
    <w:rsid w:val="009243CD"/>
    <w:rsid w:val="00924AD9"/>
    <w:rsid w:val="009250D9"/>
    <w:rsid w:val="009255C0"/>
    <w:rsid w:val="00925686"/>
    <w:rsid w:val="00925846"/>
    <w:rsid w:val="00925BDE"/>
    <w:rsid w:val="009263C8"/>
    <w:rsid w:val="00926A98"/>
    <w:rsid w:val="00926E19"/>
    <w:rsid w:val="00926F8E"/>
    <w:rsid w:val="00927D29"/>
    <w:rsid w:val="00927F50"/>
    <w:rsid w:val="00930CCA"/>
    <w:rsid w:val="00930D62"/>
    <w:rsid w:val="00931303"/>
    <w:rsid w:val="00931B2F"/>
    <w:rsid w:val="00932484"/>
    <w:rsid w:val="009328E1"/>
    <w:rsid w:val="00933B8A"/>
    <w:rsid w:val="00933C39"/>
    <w:rsid w:val="00933C53"/>
    <w:rsid w:val="00933C64"/>
    <w:rsid w:val="00934217"/>
    <w:rsid w:val="009347F0"/>
    <w:rsid w:val="00934F56"/>
    <w:rsid w:val="009351E9"/>
    <w:rsid w:val="009354D0"/>
    <w:rsid w:val="0093583C"/>
    <w:rsid w:val="00936BF0"/>
    <w:rsid w:val="0094071F"/>
    <w:rsid w:val="00940C59"/>
    <w:rsid w:val="00941928"/>
    <w:rsid w:val="00941A79"/>
    <w:rsid w:val="00941CDE"/>
    <w:rsid w:val="00941D5C"/>
    <w:rsid w:val="0094305F"/>
    <w:rsid w:val="00943D24"/>
    <w:rsid w:val="00943FB4"/>
    <w:rsid w:val="009441EB"/>
    <w:rsid w:val="00945827"/>
    <w:rsid w:val="009460C5"/>
    <w:rsid w:val="00946473"/>
    <w:rsid w:val="009466A2"/>
    <w:rsid w:val="009468C7"/>
    <w:rsid w:val="009473C0"/>
    <w:rsid w:val="00947782"/>
    <w:rsid w:val="00947B6A"/>
    <w:rsid w:val="00951B49"/>
    <w:rsid w:val="00951B6F"/>
    <w:rsid w:val="00952321"/>
    <w:rsid w:val="0095269D"/>
    <w:rsid w:val="00952A4C"/>
    <w:rsid w:val="00954531"/>
    <w:rsid w:val="00954C7D"/>
    <w:rsid w:val="00955356"/>
    <w:rsid w:val="009556C8"/>
    <w:rsid w:val="009566E9"/>
    <w:rsid w:val="00956774"/>
    <w:rsid w:val="00956B12"/>
    <w:rsid w:val="00956D75"/>
    <w:rsid w:val="00956EC4"/>
    <w:rsid w:val="00957024"/>
    <w:rsid w:val="009573DB"/>
    <w:rsid w:val="0095791C"/>
    <w:rsid w:val="00957A0D"/>
    <w:rsid w:val="00957EE5"/>
    <w:rsid w:val="0096047A"/>
    <w:rsid w:val="00960C8F"/>
    <w:rsid w:val="00960EFA"/>
    <w:rsid w:val="00961449"/>
    <w:rsid w:val="00961F42"/>
    <w:rsid w:val="00963DF9"/>
    <w:rsid w:val="009641CE"/>
    <w:rsid w:val="00964FF6"/>
    <w:rsid w:val="00965AAE"/>
    <w:rsid w:val="009666B8"/>
    <w:rsid w:val="009677A6"/>
    <w:rsid w:val="009700E2"/>
    <w:rsid w:val="00971571"/>
    <w:rsid w:val="009716EA"/>
    <w:rsid w:val="00972AF0"/>
    <w:rsid w:val="00972CC3"/>
    <w:rsid w:val="00972CDD"/>
    <w:rsid w:val="00972DE3"/>
    <w:rsid w:val="009733F4"/>
    <w:rsid w:val="00974D41"/>
    <w:rsid w:val="00974F8B"/>
    <w:rsid w:val="00975231"/>
    <w:rsid w:val="009757AD"/>
    <w:rsid w:val="00975E82"/>
    <w:rsid w:val="00976CB1"/>
    <w:rsid w:val="00976CF9"/>
    <w:rsid w:val="0097733F"/>
    <w:rsid w:val="0097761C"/>
    <w:rsid w:val="00977750"/>
    <w:rsid w:val="0097786D"/>
    <w:rsid w:val="00977D60"/>
    <w:rsid w:val="0098021F"/>
    <w:rsid w:val="00980254"/>
    <w:rsid w:val="009804BC"/>
    <w:rsid w:val="0098056F"/>
    <w:rsid w:val="00980C14"/>
    <w:rsid w:val="00980FC1"/>
    <w:rsid w:val="00981087"/>
    <w:rsid w:val="009817B3"/>
    <w:rsid w:val="00981B5A"/>
    <w:rsid w:val="00981CD8"/>
    <w:rsid w:val="009828E6"/>
    <w:rsid w:val="00982B5C"/>
    <w:rsid w:val="009830F0"/>
    <w:rsid w:val="00983E69"/>
    <w:rsid w:val="009842E8"/>
    <w:rsid w:val="0098445E"/>
    <w:rsid w:val="00984CCF"/>
    <w:rsid w:val="009856B9"/>
    <w:rsid w:val="00985912"/>
    <w:rsid w:val="00985B95"/>
    <w:rsid w:val="009873A8"/>
    <w:rsid w:val="00987731"/>
    <w:rsid w:val="009903C3"/>
    <w:rsid w:val="009911B8"/>
    <w:rsid w:val="00991240"/>
    <w:rsid w:val="00991996"/>
    <w:rsid w:val="00991D0D"/>
    <w:rsid w:val="00992022"/>
    <w:rsid w:val="00992188"/>
    <w:rsid w:val="009937C8"/>
    <w:rsid w:val="00993CE9"/>
    <w:rsid w:val="009945AF"/>
    <w:rsid w:val="00994798"/>
    <w:rsid w:val="00994BB4"/>
    <w:rsid w:val="009956C6"/>
    <w:rsid w:val="00995810"/>
    <w:rsid w:val="00995AF9"/>
    <w:rsid w:val="00996107"/>
    <w:rsid w:val="00996161"/>
    <w:rsid w:val="009966EB"/>
    <w:rsid w:val="00996980"/>
    <w:rsid w:val="00996B37"/>
    <w:rsid w:val="00996F4A"/>
    <w:rsid w:val="009A03F9"/>
    <w:rsid w:val="009A0770"/>
    <w:rsid w:val="009A07F1"/>
    <w:rsid w:val="009A192F"/>
    <w:rsid w:val="009A1E3E"/>
    <w:rsid w:val="009A2234"/>
    <w:rsid w:val="009A2B34"/>
    <w:rsid w:val="009A339B"/>
    <w:rsid w:val="009A3A3D"/>
    <w:rsid w:val="009A4393"/>
    <w:rsid w:val="009A4587"/>
    <w:rsid w:val="009A473B"/>
    <w:rsid w:val="009A4D0F"/>
    <w:rsid w:val="009A4E46"/>
    <w:rsid w:val="009A53CD"/>
    <w:rsid w:val="009A5412"/>
    <w:rsid w:val="009A5443"/>
    <w:rsid w:val="009A5C2E"/>
    <w:rsid w:val="009A62BD"/>
    <w:rsid w:val="009A68C4"/>
    <w:rsid w:val="009B0368"/>
    <w:rsid w:val="009B067A"/>
    <w:rsid w:val="009B151E"/>
    <w:rsid w:val="009B1531"/>
    <w:rsid w:val="009B1F2B"/>
    <w:rsid w:val="009B20D5"/>
    <w:rsid w:val="009B25EE"/>
    <w:rsid w:val="009B260E"/>
    <w:rsid w:val="009B2B7B"/>
    <w:rsid w:val="009B2EAB"/>
    <w:rsid w:val="009B3615"/>
    <w:rsid w:val="009B4949"/>
    <w:rsid w:val="009B5202"/>
    <w:rsid w:val="009B5248"/>
    <w:rsid w:val="009B5369"/>
    <w:rsid w:val="009B54C2"/>
    <w:rsid w:val="009B595D"/>
    <w:rsid w:val="009B614D"/>
    <w:rsid w:val="009B7FF8"/>
    <w:rsid w:val="009C0421"/>
    <w:rsid w:val="009C0470"/>
    <w:rsid w:val="009C243F"/>
    <w:rsid w:val="009C2B57"/>
    <w:rsid w:val="009C3183"/>
    <w:rsid w:val="009C3292"/>
    <w:rsid w:val="009C34B7"/>
    <w:rsid w:val="009C4216"/>
    <w:rsid w:val="009C4931"/>
    <w:rsid w:val="009C560E"/>
    <w:rsid w:val="009C5CCE"/>
    <w:rsid w:val="009D0053"/>
    <w:rsid w:val="009D06DC"/>
    <w:rsid w:val="009D14A4"/>
    <w:rsid w:val="009D15C6"/>
    <w:rsid w:val="009D27C5"/>
    <w:rsid w:val="009D2DE4"/>
    <w:rsid w:val="009D4447"/>
    <w:rsid w:val="009D4FAF"/>
    <w:rsid w:val="009D56DF"/>
    <w:rsid w:val="009D5929"/>
    <w:rsid w:val="009D62CA"/>
    <w:rsid w:val="009D657F"/>
    <w:rsid w:val="009D6F47"/>
    <w:rsid w:val="009D709A"/>
    <w:rsid w:val="009D7A23"/>
    <w:rsid w:val="009E0841"/>
    <w:rsid w:val="009E0A63"/>
    <w:rsid w:val="009E0CA6"/>
    <w:rsid w:val="009E0F06"/>
    <w:rsid w:val="009E1841"/>
    <w:rsid w:val="009E19EC"/>
    <w:rsid w:val="009E3053"/>
    <w:rsid w:val="009E31D1"/>
    <w:rsid w:val="009E3542"/>
    <w:rsid w:val="009E3600"/>
    <w:rsid w:val="009E3C4D"/>
    <w:rsid w:val="009E4C4A"/>
    <w:rsid w:val="009E6437"/>
    <w:rsid w:val="009E6F71"/>
    <w:rsid w:val="009E75FD"/>
    <w:rsid w:val="009E7A26"/>
    <w:rsid w:val="009E7BE5"/>
    <w:rsid w:val="009E7C7B"/>
    <w:rsid w:val="009F002D"/>
    <w:rsid w:val="009F008B"/>
    <w:rsid w:val="009F032C"/>
    <w:rsid w:val="009F0675"/>
    <w:rsid w:val="009F083B"/>
    <w:rsid w:val="009F0EBF"/>
    <w:rsid w:val="009F0EE7"/>
    <w:rsid w:val="009F15FC"/>
    <w:rsid w:val="009F228E"/>
    <w:rsid w:val="009F3A49"/>
    <w:rsid w:val="009F3E7B"/>
    <w:rsid w:val="009F545E"/>
    <w:rsid w:val="009F56C1"/>
    <w:rsid w:val="009F5744"/>
    <w:rsid w:val="009F6C8B"/>
    <w:rsid w:val="009F6F62"/>
    <w:rsid w:val="009F713E"/>
    <w:rsid w:val="009F75F3"/>
    <w:rsid w:val="00A00C96"/>
    <w:rsid w:val="00A00E69"/>
    <w:rsid w:val="00A013C3"/>
    <w:rsid w:val="00A01486"/>
    <w:rsid w:val="00A01882"/>
    <w:rsid w:val="00A01964"/>
    <w:rsid w:val="00A0204C"/>
    <w:rsid w:val="00A02AD4"/>
    <w:rsid w:val="00A03886"/>
    <w:rsid w:val="00A038DC"/>
    <w:rsid w:val="00A03C71"/>
    <w:rsid w:val="00A03D35"/>
    <w:rsid w:val="00A04974"/>
    <w:rsid w:val="00A04C1F"/>
    <w:rsid w:val="00A05000"/>
    <w:rsid w:val="00A05297"/>
    <w:rsid w:val="00A067CD"/>
    <w:rsid w:val="00A06F56"/>
    <w:rsid w:val="00A07925"/>
    <w:rsid w:val="00A11298"/>
    <w:rsid w:val="00A11A18"/>
    <w:rsid w:val="00A11AE6"/>
    <w:rsid w:val="00A11D33"/>
    <w:rsid w:val="00A133F1"/>
    <w:rsid w:val="00A138E1"/>
    <w:rsid w:val="00A1491F"/>
    <w:rsid w:val="00A14C08"/>
    <w:rsid w:val="00A14C3C"/>
    <w:rsid w:val="00A14F9A"/>
    <w:rsid w:val="00A14FEC"/>
    <w:rsid w:val="00A14FF8"/>
    <w:rsid w:val="00A152AB"/>
    <w:rsid w:val="00A15769"/>
    <w:rsid w:val="00A163E3"/>
    <w:rsid w:val="00A173D3"/>
    <w:rsid w:val="00A179C5"/>
    <w:rsid w:val="00A179F4"/>
    <w:rsid w:val="00A17A67"/>
    <w:rsid w:val="00A200E0"/>
    <w:rsid w:val="00A20628"/>
    <w:rsid w:val="00A20789"/>
    <w:rsid w:val="00A20F90"/>
    <w:rsid w:val="00A2289C"/>
    <w:rsid w:val="00A22BCA"/>
    <w:rsid w:val="00A2333B"/>
    <w:rsid w:val="00A24C57"/>
    <w:rsid w:val="00A24DBF"/>
    <w:rsid w:val="00A24F05"/>
    <w:rsid w:val="00A258C1"/>
    <w:rsid w:val="00A2596F"/>
    <w:rsid w:val="00A25A7F"/>
    <w:rsid w:val="00A25B71"/>
    <w:rsid w:val="00A25BAF"/>
    <w:rsid w:val="00A25C53"/>
    <w:rsid w:val="00A25D3B"/>
    <w:rsid w:val="00A25F82"/>
    <w:rsid w:val="00A26D7D"/>
    <w:rsid w:val="00A2769B"/>
    <w:rsid w:val="00A27B94"/>
    <w:rsid w:val="00A300A3"/>
    <w:rsid w:val="00A30141"/>
    <w:rsid w:val="00A302AC"/>
    <w:rsid w:val="00A30750"/>
    <w:rsid w:val="00A3127F"/>
    <w:rsid w:val="00A341E0"/>
    <w:rsid w:val="00A347DB"/>
    <w:rsid w:val="00A357A0"/>
    <w:rsid w:val="00A35BC2"/>
    <w:rsid w:val="00A35DEE"/>
    <w:rsid w:val="00A3639B"/>
    <w:rsid w:val="00A363DD"/>
    <w:rsid w:val="00A367EF"/>
    <w:rsid w:val="00A36FE7"/>
    <w:rsid w:val="00A374DE"/>
    <w:rsid w:val="00A37B5C"/>
    <w:rsid w:val="00A37EA1"/>
    <w:rsid w:val="00A4181A"/>
    <w:rsid w:val="00A41D4E"/>
    <w:rsid w:val="00A422F0"/>
    <w:rsid w:val="00A4270F"/>
    <w:rsid w:val="00A42C1B"/>
    <w:rsid w:val="00A435B9"/>
    <w:rsid w:val="00A43D32"/>
    <w:rsid w:val="00A44239"/>
    <w:rsid w:val="00A44506"/>
    <w:rsid w:val="00A44BA0"/>
    <w:rsid w:val="00A45773"/>
    <w:rsid w:val="00A45CFA"/>
    <w:rsid w:val="00A45E20"/>
    <w:rsid w:val="00A46769"/>
    <w:rsid w:val="00A46E52"/>
    <w:rsid w:val="00A47E51"/>
    <w:rsid w:val="00A47E71"/>
    <w:rsid w:val="00A47F3E"/>
    <w:rsid w:val="00A505E9"/>
    <w:rsid w:val="00A505F9"/>
    <w:rsid w:val="00A50660"/>
    <w:rsid w:val="00A511CA"/>
    <w:rsid w:val="00A512CD"/>
    <w:rsid w:val="00A512F3"/>
    <w:rsid w:val="00A52009"/>
    <w:rsid w:val="00A52E4C"/>
    <w:rsid w:val="00A5400A"/>
    <w:rsid w:val="00A54B3D"/>
    <w:rsid w:val="00A54CBB"/>
    <w:rsid w:val="00A54D3D"/>
    <w:rsid w:val="00A54DB5"/>
    <w:rsid w:val="00A55A82"/>
    <w:rsid w:val="00A560C4"/>
    <w:rsid w:val="00A5631B"/>
    <w:rsid w:val="00A56CBE"/>
    <w:rsid w:val="00A56EEB"/>
    <w:rsid w:val="00A57398"/>
    <w:rsid w:val="00A575CF"/>
    <w:rsid w:val="00A57CDC"/>
    <w:rsid w:val="00A6028F"/>
    <w:rsid w:val="00A604E3"/>
    <w:rsid w:val="00A60DD8"/>
    <w:rsid w:val="00A619B1"/>
    <w:rsid w:val="00A61D2F"/>
    <w:rsid w:val="00A61D6F"/>
    <w:rsid w:val="00A61D72"/>
    <w:rsid w:val="00A61DF8"/>
    <w:rsid w:val="00A61E1E"/>
    <w:rsid w:val="00A63FDD"/>
    <w:rsid w:val="00A640A5"/>
    <w:rsid w:val="00A64F41"/>
    <w:rsid w:val="00A64FA2"/>
    <w:rsid w:val="00A65414"/>
    <w:rsid w:val="00A661F2"/>
    <w:rsid w:val="00A669C1"/>
    <w:rsid w:val="00A66A93"/>
    <w:rsid w:val="00A67190"/>
    <w:rsid w:val="00A675A9"/>
    <w:rsid w:val="00A67844"/>
    <w:rsid w:val="00A679B0"/>
    <w:rsid w:val="00A7013E"/>
    <w:rsid w:val="00A707CF"/>
    <w:rsid w:val="00A707DA"/>
    <w:rsid w:val="00A70ED3"/>
    <w:rsid w:val="00A710C9"/>
    <w:rsid w:val="00A7123C"/>
    <w:rsid w:val="00A71380"/>
    <w:rsid w:val="00A71B2E"/>
    <w:rsid w:val="00A72869"/>
    <w:rsid w:val="00A72A9B"/>
    <w:rsid w:val="00A72B36"/>
    <w:rsid w:val="00A72B6C"/>
    <w:rsid w:val="00A72E45"/>
    <w:rsid w:val="00A735F7"/>
    <w:rsid w:val="00A7364A"/>
    <w:rsid w:val="00A737C9"/>
    <w:rsid w:val="00A73C39"/>
    <w:rsid w:val="00A74F97"/>
    <w:rsid w:val="00A75196"/>
    <w:rsid w:val="00A7545C"/>
    <w:rsid w:val="00A756EB"/>
    <w:rsid w:val="00A75B3B"/>
    <w:rsid w:val="00A761A3"/>
    <w:rsid w:val="00A76DD2"/>
    <w:rsid w:val="00A8050A"/>
    <w:rsid w:val="00A80661"/>
    <w:rsid w:val="00A807DC"/>
    <w:rsid w:val="00A80B34"/>
    <w:rsid w:val="00A814C1"/>
    <w:rsid w:val="00A81E83"/>
    <w:rsid w:val="00A8233C"/>
    <w:rsid w:val="00A8238F"/>
    <w:rsid w:val="00A832E5"/>
    <w:rsid w:val="00A8362C"/>
    <w:rsid w:val="00A83657"/>
    <w:rsid w:val="00A861E3"/>
    <w:rsid w:val="00A8697D"/>
    <w:rsid w:val="00A869E0"/>
    <w:rsid w:val="00A86CCE"/>
    <w:rsid w:val="00A87F56"/>
    <w:rsid w:val="00A91524"/>
    <w:rsid w:val="00A919F9"/>
    <w:rsid w:val="00A91C83"/>
    <w:rsid w:val="00A91F22"/>
    <w:rsid w:val="00A92102"/>
    <w:rsid w:val="00A92595"/>
    <w:rsid w:val="00A925A6"/>
    <w:rsid w:val="00A927AB"/>
    <w:rsid w:val="00A92A0D"/>
    <w:rsid w:val="00A93469"/>
    <w:rsid w:val="00A93552"/>
    <w:rsid w:val="00A93713"/>
    <w:rsid w:val="00A937C9"/>
    <w:rsid w:val="00A937CE"/>
    <w:rsid w:val="00A93BFE"/>
    <w:rsid w:val="00A94A2E"/>
    <w:rsid w:val="00A95298"/>
    <w:rsid w:val="00A97438"/>
    <w:rsid w:val="00AA0153"/>
    <w:rsid w:val="00AA02F4"/>
    <w:rsid w:val="00AA0BD8"/>
    <w:rsid w:val="00AA0FA8"/>
    <w:rsid w:val="00AA1709"/>
    <w:rsid w:val="00AA18F9"/>
    <w:rsid w:val="00AA1AB1"/>
    <w:rsid w:val="00AA1DA0"/>
    <w:rsid w:val="00AA1EE0"/>
    <w:rsid w:val="00AA22F5"/>
    <w:rsid w:val="00AA2954"/>
    <w:rsid w:val="00AA2CB7"/>
    <w:rsid w:val="00AA3573"/>
    <w:rsid w:val="00AA401A"/>
    <w:rsid w:val="00AA4994"/>
    <w:rsid w:val="00AA4C83"/>
    <w:rsid w:val="00AA54DA"/>
    <w:rsid w:val="00AA5C63"/>
    <w:rsid w:val="00AA71EF"/>
    <w:rsid w:val="00AA7263"/>
    <w:rsid w:val="00AA7393"/>
    <w:rsid w:val="00AA7B68"/>
    <w:rsid w:val="00AB04BA"/>
    <w:rsid w:val="00AB05BE"/>
    <w:rsid w:val="00AB15D7"/>
    <w:rsid w:val="00AB1756"/>
    <w:rsid w:val="00AB1D91"/>
    <w:rsid w:val="00AB2052"/>
    <w:rsid w:val="00AB3124"/>
    <w:rsid w:val="00AB33EE"/>
    <w:rsid w:val="00AB3552"/>
    <w:rsid w:val="00AB3CB9"/>
    <w:rsid w:val="00AB4741"/>
    <w:rsid w:val="00AB4C5D"/>
    <w:rsid w:val="00AB5294"/>
    <w:rsid w:val="00AB59E6"/>
    <w:rsid w:val="00AB5BCA"/>
    <w:rsid w:val="00AB5C43"/>
    <w:rsid w:val="00AB5F23"/>
    <w:rsid w:val="00AB60B4"/>
    <w:rsid w:val="00AB73A1"/>
    <w:rsid w:val="00AB73F0"/>
    <w:rsid w:val="00AB7B58"/>
    <w:rsid w:val="00AB7D06"/>
    <w:rsid w:val="00AC0234"/>
    <w:rsid w:val="00AC0994"/>
    <w:rsid w:val="00AC0D41"/>
    <w:rsid w:val="00AC15B4"/>
    <w:rsid w:val="00AC1ECB"/>
    <w:rsid w:val="00AC2056"/>
    <w:rsid w:val="00AC2D9A"/>
    <w:rsid w:val="00AC363E"/>
    <w:rsid w:val="00AC3A19"/>
    <w:rsid w:val="00AC3A6D"/>
    <w:rsid w:val="00AC44F1"/>
    <w:rsid w:val="00AC5EA1"/>
    <w:rsid w:val="00AC63A1"/>
    <w:rsid w:val="00AC6654"/>
    <w:rsid w:val="00AD03D6"/>
    <w:rsid w:val="00AD068E"/>
    <w:rsid w:val="00AD06CD"/>
    <w:rsid w:val="00AD0723"/>
    <w:rsid w:val="00AD118D"/>
    <w:rsid w:val="00AD1670"/>
    <w:rsid w:val="00AD2075"/>
    <w:rsid w:val="00AD24F5"/>
    <w:rsid w:val="00AD26B3"/>
    <w:rsid w:val="00AD2863"/>
    <w:rsid w:val="00AD30A8"/>
    <w:rsid w:val="00AD36FA"/>
    <w:rsid w:val="00AD381D"/>
    <w:rsid w:val="00AD3930"/>
    <w:rsid w:val="00AD3BA4"/>
    <w:rsid w:val="00AD3E2B"/>
    <w:rsid w:val="00AD4444"/>
    <w:rsid w:val="00AD48CA"/>
    <w:rsid w:val="00AD4D09"/>
    <w:rsid w:val="00AD4E8A"/>
    <w:rsid w:val="00AD54D8"/>
    <w:rsid w:val="00AD5719"/>
    <w:rsid w:val="00AD5FFB"/>
    <w:rsid w:val="00AD618C"/>
    <w:rsid w:val="00AD63AE"/>
    <w:rsid w:val="00AD6AA9"/>
    <w:rsid w:val="00AD6DB0"/>
    <w:rsid w:val="00AD6F3F"/>
    <w:rsid w:val="00AE0615"/>
    <w:rsid w:val="00AE1283"/>
    <w:rsid w:val="00AE13E4"/>
    <w:rsid w:val="00AE1B96"/>
    <w:rsid w:val="00AE24DE"/>
    <w:rsid w:val="00AE337E"/>
    <w:rsid w:val="00AE349C"/>
    <w:rsid w:val="00AE43CB"/>
    <w:rsid w:val="00AE4727"/>
    <w:rsid w:val="00AE4C3A"/>
    <w:rsid w:val="00AE4E94"/>
    <w:rsid w:val="00AE52C4"/>
    <w:rsid w:val="00AE579D"/>
    <w:rsid w:val="00AE592B"/>
    <w:rsid w:val="00AE6105"/>
    <w:rsid w:val="00AE6502"/>
    <w:rsid w:val="00AE6750"/>
    <w:rsid w:val="00AE7557"/>
    <w:rsid w:val="00AF01C9"/>
    <w:rsid w:val="00AF0526"/>
    <w:rsid w:val="00AF0615"/>
    <w:rsid w:val="00AF0F58"/>
    <w:rsid w:val="00AF127B"/>
    <w:rsid w:val="00AF14DD"/>
    <w:rsid w:val="00AF1912"/>
    <w:rsid w:val="00AF1B37"/>
    <w:rsid w:val="00AF1D5B"/>
    <w:rsid w:val="00AF2131"/>
    <w:rsid w:val="00AF2252"/>
    <w:rsid w:val="00AF2758"/>
    <w:rsid w:val="00AF3830"/>
    <w:rsid w:val="00AF3E10"/>
    <w:rsid w:val="00AF3E16"/>
    <w:rsid w:val="00AF4392"/>
    <w:rsid w:val="00AF460D"/>
    <w:rsid w:val="00AF49BA"/>
    <w:rsid w:val="00AF5D12"/>
    <w:rsid w:val="00AF5D81"/>
    <w:rsid w:val="00AF6FE4"/>
    <w:rsid w:val="00AF73C0"/>
    <w:rsid w:val="00B00374"/>
    <w:rsid w:val="00B007F4"/>
    <w:rsid w:val="00B00961"/>
    <w:rsid w:val="00B0133D"/>
    <w:rsid w:val="00B01E93"/>
    <w:rsid w:val="00B02EE7"/>
    <w:rsid w:val="00B02F7F"/>
    <w:rsid w:val="00B03625"/>
    <w:rsid w:val="00B03869"/>
    <w:rsid w:val="00B03CE4"/>
    <w:rsid w:val="00B0439C"/>
    <w:rsid w:val="00B05B76"/>
    <w:rsid w:val="00B06023"/>
    <w:rsid w:val="00B06406"/>
    <w:rsid w:val="00B0667D"/>
    <w:rsid w:val="00B06C90"/>
    <w:rsid w:val="00B07227"/>
    <w:rsid w:val="00B0739C"/>
    <w:rsid w:val="00B0776B"/>
    <w:rsid w:val="00B078E3"/>
    <w:rsid w:val="00B07C15"/>
    <w:rsid w:val="00B111C2"/>
    <w:rsid w:val="00B116AA"/>
    <w:rsid w:val="00B119FF"/>
    <w:rsid w:val="00B12570"/>
    <w:rsid w:val="00B13569"/>
    <w:rsid w:val="00B1368A"/>
    <w:rsid w:val="00B14445"/>
    <w:rsid w:val="00B14AA3"/>
    <w:rsid w:val="00B14B30"/>
    <w:rsid w:val="00B14CE0"/>
    <w:rsid w:val="00B14D85"/>
    <w:rsid w:val="00B150D2"/>
    <w:rsid w:val="00B1526B"/>
    <w:rsid w:val="00B1602B"/>
    <w:rsid w:val="00B1678B"/>
    <w:rsid w:val="00B16A1D"/>
    <w:rsid w:val="00B17058"/>
    <w:rsid w:val="00B17F4F"/>
    <w:rsid w:val="00B17F82"/>
    <w:rsid w:val="00B20172"/>
    <w:rsid w:val="00B20254"/>
    <w:rsid w:val="00B2074F"/>
    <w:rsid w:val="00B20854"/>
    <w:rsid w:val="00B21DE1"/>
    <w:rsid w:val="00B220E2"/>
    <w:rsid w:val="00B227AE"/>
    <w:rsid w:val="00B22AE9"/>
    <w:rsid w:val="00B22B2C"/>
    <w:rsid w:val="00B22DCA"/>
    <w:rsid w:val="00B22E62"/>
    <w:rsid w:val="00B23621"/>
    <w:rsid w:val="00B23D15"/>
    <w:rsid w:val="00B23F04"/>
    <w:rsid w:val="00B244D9"/>
    <w:rsid w:val="00B245A4"/>
    <w:rsid w:val="00B24955"/>
    <w:rsid w:val="00B24FB2"/>
    <w:rsid w:val="00B256FC"/>
    <w:rsid w:val="00B26113"/>
    <w:rsid w:val="00B2747A"/>
    <w:rsid w:val="00B277B4"/>
    <w:rsid w:val="00B305A6"/>
    <w:rsid w:val="00B30918"/>
    <w:rsid w:val="00B31EE0"/>
    <w:rsid w:val="00B32D52"/>
    <w:rsid w:val="00B3319D"/>
    <w:rsid w:val="00B332CA"/>
    <w:rsid w:val="00B34374"/>
    <w:rsid w:val="00B34464"/>
    <w:rsid w:val="00B35B68"/>
    <w:rsid w:val="00B360D4"/>
    <w:rsid w:val="00B36E9C"/>
    <w:rsid w:val="00B37C4A"/>
    <w:rsid w:val="00B37FD0"/>
    <w:rsid w:val="00B4115D"/>
    <w:rsid w:val="00B417DC"/>
    <w:rsid w:val="00B42AE9"/>
    <w:rsid w:val="00B4359F"/>
    <w:rsid w:val="00B4381B"/>
    <w:rsid w:val="00B43DE1"/>
    <w:rsid w:val="00B441E2"/>
    <w:rsid w:val="00B446F0"/>
    <w:rsid w:val="00B44812"/>
    <w:rsid w:val="00B45134"/>
    <w:rsid w:val="00B46D35"/>
    <w:rsid w:val="00B46F20"/>
    <w:rsid w:val="00B47B4D"/>
    <w:rsid w:val="00B47C5F"/>
    <w:rsid w:val="00B50973"/>
    <w:rsid w:val="00B50F40"/>
    <w:rsid w:val="00B50F47"/>
    <w:rsid w:val="00B51114"/>
    <w:rsid w:val="00B51592"/>
    <w:rsid w:val="00B535BF"/>
    <w:rsid w:val="00B53B66"/>
    <w:rsid w:val="00B547B2"/>
    <w:rsid w:val="00B549A2"/>
    <w:rsid w:val="00B54D75"/>
    <w:rsid w:val="00B55144"/>
    <w:rsid w:val="00B55483"/>
    <w:rsid w:val="00B558E2"/>
    <w:rsid w:val="00B55DDD"/>
    <w:rsid w:val="00B570DD"/>
    <w:rsid w:val="00B570E2"/>
    <w:rsid w:val="00B57965"/>
    <w:rsid w:val="00B579A0"/>
    <w:rsid w:val="00B57CE5"/>
    <w:rsid w:val="00B60248"/>
    <w:rsid w:val="00B6141C"/>
    <w:rsid w:val="00B62C56"/>
    <w:rsid w:val="00B63330"/>
    <w:rsid w:val="00B6402E"/>
    <w:rsid w:val="00B64CEA"/>
    <w:rsid w:val="00B65666"/>
    <w:rsid w:val="00B657A5"/>
    <w:rsid w:val="00B65E29"/>
    <w:rsid w:val="00B66541"/>
    <w:rsid w:val="00B66DC3"/>
    <w:rsid w:val="00B67088"/>
    <w:rsid w:val="00B677FB"/>
    <w:rsid w:val="00B67FDB"/>
    <w:rsid w:val="00B70842"/>
    <w:rsid w:val="00B71828"/>
    <w:rsid w:val="00B71995"/>
    <w:rsid w:val="00B7379E"/>
    <w:rsid w:val="00B73FB2"/>
    <w:rsid w:val="00B73FF0"/>
    <w:rsid w:val="00B75111"/>
    <w:rsid w:val="00B755F6"/>
    <w:rsid w:val="00B758A6"/>
    <w:rsid w:val="00B7605A"/>
    <w:rsid w:val="00B763AA"/>
    <w:rsid w:val="00B7656A"/>
    <w:rsid w:val="00B76632"/>
    <w:rsid w:val="00B76AAE"/>
    <w:rsid w:val="00B770D8"/>
    <w:rsid w:val="00B77946"/>
    <w:rsid w:val="00B77951"/>
    <w:rsid w:val="00B77E34"/>
    <w:rsid w:val="00B801B8"/>
    <w:rsid w:val="00B80332"/>
    <w:rsid w:val="00B80333"/>
    <w:rsid w:val="00B80CCD"/>
    <w:rsid w:val="00B811EF"/>
    <w:rsid w:val="00B8176D"/>
    <w:rsid w:val="00B832E1"/>
    <w:rsid w:val="00B83605"/>
    <w:rsid w:val="00B837C3"/>
    <w:rsid w:val="00B83AED"/>
    <w:rsid w:val="00B83F0A"/>
    <w:rsid w:val="00B858BA"/>
    <w:rsid w:val="00B85B26"/>
    <w:rsid w:val="00B85E95"/>
    <w:rsid w:val="00B8630D"/>
    <w:rsid w:val="00B869CB"/>
    <w:rsid w:val="00B90912"/>
    <w:rsid w:val="00B9116D"/>
    <w:rsid w:val="00B91928"/>
    <w:rsid w:val="00B91BC2"/>
    <w:rsid w:val="00B92624"/>
    <w:rsid w:val="00B92CB6"/>
    <w:rsid w:val="00B9442A"/>
    <w:rsid w:val="00B94FF4"/>
    <w:rsid w:val="00B95361"/>
    <w:rsid w:val="00B95504"/>
    <w:rsid w:val="00B95877"/>
    <w:rsid w:val="00B960A1"/>
    <w:rsid w:val="00B96642"/>
    <w:rsid w:val="00B97543"/>
    <w:rsid w:val="00B97B99"/>
    <w:rsid w:val="00B97E22"/>
    <w:rsid w:val="00BA0717"/>
    <w:rsid w:val="00BA0930"/>
    <w:rsid w:val="00BA0BCC"/>
    <w:rsid w:val="00BA14FF"/>
    <w:rsid w:val="00BA1D26"/>
    <w:rsid w:val="00BA34E1"/>
    <w:rsid w:val="00BA3BFC"/>
    <w:rsid w:val="00BA41C3"/>
    <w:rsid w:val="00BA42AB"/>
    <w:rsid w:val="00BA4986"/>
    <w:rsid w:val="00BA51E3"/>
    <w:rsid w:val="00BA59E4"/>
    <w:rsid w:val="00BA5BAB"/>
    <w:rsid w:val="00BA6EF3"/>
    <w:rsid w:val="00BA7390"/>
    <w:rsid w:val="00BA79CA"/>
    <w:rsid w:val="00BA7DCD"/>
    <w:rsid w:val="00BB075F"/>
    <w:rsid w:val="00BB07F8"/>
    <w:rsid w:val="00BB095C"/>
    <w:rsid w:val="00BB1A80"/>
    <w:rsid w:val="00BB1E4C"/>
    <w:rsid w:val="00BB1E57"/>
    <w:rsid w:val="00BB2015"/>
    <w:rsid w:val="00BB28D0"/>
    <w:rsid w:val="00BB3251"/>
    <w:rsid w:val="00BB4301"/>
    <w:rsid w:val="00BB4F41"/>
    <w:rsid w:val="00BB59A8"/>
    <w:rsid w:val="00BB611D"/>
    <w:rsid w:val="00BB6B83"/>
    <w:rsid w:val="00BC0426"/>
    <w:rsid w:val="00BC0F8A"/>
    <w:rsid w:val="00BC175D"/>
    <w:rsid w:val="00BC1F40"/>
    <w:rsid w:val="00BC239A"/>
    <w:rsid w:val="00BC2864"/>
    <w:rsid w:val="00BC2878"/>
    <w:rsid w:val="00BC28BF"/>
    <w:rsid w:val="00BC315B"/>
    <w:rsid w:val="00BC394A"/>
    <w:rsid w:val="00BC3E36"/>
    <w:rsid w:val="00BC42FB"/>
    <w:rsid w:val="00BC49AA"/>
    <w:rsid w:val="00BC4C00"/>
    <w:rsid w:val="00BC4DA9"/>
    <w:rsid w:val="00BC50A9"/>
    <w:rsid w:val="00BC5868"/>
    <w:rsid w:val="00BC6146"/>
    <w:rsid w:val="00BC6905"/>
    <w:rsid w:val="00BC7CDA"/>
    <w:rsid w:val="00BD137B"/>
    <w:rsid w:val="00BD144F"/>
    <w:rsid w:val="00BD18E1"/>
    <w:rsid w:val="00BD1A8A"/>
    <w:rsid w:val="00BD20B7"/>
    <w:rsid w:val="00BD2154"/>
    <w:rsid w:val="00BD2E6E"/>
    <w:rsid w:val="00BD3054"/>
    <w:rsid w:val="00BD3D26"/>
    <w:rsid w:val="00BD4394"/>
    <w:rsid w:val="00BD4451"/>
    <w:rsid w:val="00BD48ED"/>
    <w:rsid w:val="00BD4B18"/>
    <w:rsid w:val="00BD5373"/>
    <w:rsid w:val="00BD54B4"/>
    <w:rsid w:val="00BD57C6"/>
    <w:rsid w:val="00BD5BDB"/>
    <w:rsid w:val="00BD6851"/>
    <w:rsid w:val="00BD71F0"/>
    <w:rsid w:val="00BD7F4A"/>
    <w:rsid w:val="00BE0D5E"/>
    <w:rsid w:val="00BE14C0"/>
    <w:rsid w:val="00BE14C1"/>
    <w:rsid w:val="00BE1D38"/>
    <w:rsid w:val="00BE1E64"/>
    <w:rsid w:val="00BE263B"/>
    <w:rsid w:val="00BE26A4"/>
    <w:rsid w:val="00BE3376"/>
    <w:rsid w:val="00BE33CC"/>
    <w:rsid w:val="00BE34C9"/>
    <w:rsid w:val="00BE34F8"/>
    <w:rsid w:val="00BE35A8"/>
    <w:rsid w:val="00BE4185"/>
    <w:rsid w:val="00BE474C"/>
    <w:rsid w:val="00BE564C"/>
    <w:rsid w:val="00BE58C2"/>
    <w:rsid w:val="00BE5ED1"/>
    <w:rsid w:val="00BE6324"/>
    <w:rsid w:val="00BE6FD6"/>
    <w:rsid w:val="00BE74EF"/>
    <w:rsid w:val="00BE7727"/>
    <w:rsid w:val="00BE7770"/>
    <w:rsid w:val="00BE78E7"/>
    <w:rsid w:val="00BF0305"/>
    <w:rsid w:val="00BF185C"/>
    <w:rsid w:val="00BF1D90"/>
    <w:rsid w:val="00BF2B24"/>
    <w:rsid w:val="00BF2EDE"/>
    <w:rsid w:val="00BF31F5"/>
    <w:rsid w:val="00BF3224"/>
    <w:rsid w:val="00BF34C0"/>
    <w:rsid w:val="00BF3664"/>
    <w:rsid w:val="00BF3701"/>
    <w:rsid w:val="00BF4B45"/>
    <w:rsid w:val="00BF4C52"/>
    <w:rsid w:val="00BF4F59"/>
    <w:rsid w:val="00BF5359"/>
    <w:rsid w:val="00BF5808"/>
    <w:rsid w:val="00BF6926"/>
    <w:rsid w:val="00BF74E1"/>
    <w:rsid w:val="00C00B2A"/>
    <w:rsid w:val="00C00B67"/>
    <w:rsid w:val="00C012E0"/>
    <w:rsid w:val="00C0199D"/>
    <w:rsid w:val="00C01C6B"/>
    <w:rsid w:val="00C01F36"/>
    <w:rsid w:val="00C0288D"/>
    <w:rsid w:val="00C02A33"/>
    <w:rsid w:val="00C02FE4"/>
    <w:rsid w:val="00C0325A"/>
    <w:rsid w:val="00C03E20"/>
    <w:rsid w:val="00C03E73"/>
    <w:rsid w:val="00C04840"/>
    <w:rsid w:val="00C04950"/>
    <w:rsid w:val="00C04A94"/>
    <w:rsid w:val="00C0548A"/>
    <w:rsid w:val="00C059E2"/>
    <w:rsid w:val="00C06447"/>
    <w:rsid w:val="00C06633"/>
    <w:rsid w:val="00C06B2C"/>
    <w:rsid w:val="00C074D7"/>
    <w:rsid w:val="00C0750A"/>
    <w:rsid w:val="00C104B5"/>
    <w:rsid w:val="00C10EA9"/>
    <w:rsid w:val="00C1122F"/>
    <w:rsid w:val="00C11569"/>
    <w:rsid w:val="00C1205A"/>
    <w:rsid w:val="00C12D8F"/>
    <w:rsid w:val="00C12FFE"/>
    <w:rsid w:val="00C13458"/>
    <w:rsid w:val="00C13820"/>
    <w:rsid w:val="00C13838"/>
    <w:rsid w:val="00C146EA"/>
    <w:rsid w:val="00C14B1A"/>
    <w:rsid w:val="00C15269"/>
    <w:rsid w:val="00C15434"/>
    <w:rsid w:val="00C154C3"/>
    <w:rsid w:val="00C15BE1"/>
    <w:rsid w:val="00C17098"/>
    <w:rsid w:val="00C17406"/>
    <w:rsid w:val="00C17DF8"/>
    <w:rsid w:val="00C2047B"/>
    <w:rsid w:val="00C204C6"/>
    <w:rsid w:val="00C2097E"/>
    <w:rsid w:val="00C20B7C"/>
    <w:rsid w:val="00C20CC7"/>
    <w:rsid w:val="00C210A5"/>
    <w:rsid w:val="00C2152E"/>
    <w:rsid w:val="00C24B98"/>
    <w:rsid w:val="00C25109"/>
    <w:rsid w:val="00C25ED3"/>
    <w:rsid w:val="00C263EA"/>
    <w:rsid w:val="00C26457"/>
    <w:rsid w:val="00C26912"/>
    <w:rsid w:val="00C26D51"/>
    <w:rsid w:val="00C274A2"/>
    <w:rsid w:val="00C275F2"/>
    <w:rsid w:val="00C27818"/>
    <w:rsid w:val="00C27A7E"/>
    <w:rsid w:val="00C31E04"/>
    <w:rsid w:val="00C31F76"/>
    <w:rsid w:val="00C320C2"/>
    <w:rsid w:val="00C32CD2"/>
    <w:rsid w:val="00C33284"/>
    <w:rsid w:val="00C3373E"/>
    <w:rsid w:val="00C34611"/>
    <w:rsid w:val="00C34D07"/>
    <w:rsid w:val="00C35408"/>
    <w:rsid w:val="00C35F6C"/>
    <w:rsid w:val="00C36118"/>
    <w:rsid w:val="00C3632D"/>
    <w:rsid w:val="00C36892"/>
    <w:rsid w:val="00C378DD"/>
    <w:rsid w:val="00C4004F"/>
    <w:rsid w:val="00C402C9"/>
    <w:rsid w:val="00C403AB"/>
    <w:rsid w:val="00C40723"/>
    <w:rsid w:val="00C4150A"/>
    <w:rsid w:val="00C41901"/>
    <w:rsid w:val="00C4213A"/>
    <w:rsid w:val="00C42BD6"/>
    <w:rsid w:val="00C42C52"/>
    <w:rsid w:val="00C42CEF"/>
    <w:rsid w:val="00C42F34"/>
    <w:rsid w:val="00C43087"/>
    <w:rsid w:val="00C4366E"/>
    <w:rsid w:val="00C438C0"/>
    <w:rsid w:val="00C43D83"/>
    <w:rsid w:val="00C44718"/>
    <w:rsid w:val="00C4479B"/>
    <w:rsid w:val="00C448BD"/>
    <w:rsid w:val="00C458DA"/>
    <w:rsid w:val="00C45AC5"/>
    <w:rsid w:val="00C45DA0"/>
    <w:rsid w:val="00C467A4"/>
    <w:rsid w:val="00C47F72"/>
    <w:rsid w:val="00C50111"/>
    <w:rsid w:val="00C502B2"/>
    <w:rsid w:val="00C5043A"/>
    <w:rsid w:val="00C504EF"/>
    <w:rsid w:val="00C5073D"/>
    <w:rsid w:val="00C51519"/>
    <w:rsid w:val="00C51B67"/>
    <w:rsid w:val="00C51EA1"/>
    <w:rsid w:val="00C52C32"/>
    <w:rsid w:val="00C53012"/>
    <w:rsid w:val="00C533E7"/>
    <w:rsid w:val="00C5361C"/>
    <w:rsid w:val="00C53902"/>
    <w:rsid w:val="00C53C17"/>
    <w:rsid w:val="00C5427B"/>
    <w:rsid w:val="00C54859"/>
    <w:rsid w:val="00C5552C"/>
    <w:rsid w:val="00C5567F"/>
    <w:rsid w:val="00C55681"/>
    <w:rsid w:val="00C557F3"/>
    <w:rsid w:val="00C55BCA"/>
    <w:rsid w:val="00C60079"/>
    <w:rsid w:val="00C60B82"/>
    <w:rsid w:val="00C60BF5"/>
    <w:rsid w:val="00C61DD6"/>
    <w:rsid w:val="00C6202E"/>
    <w:rsid w:val="00C62535"/>
    <w:rsid w:val="00C62DAD"/>
    <w:rsid w:val="00C63365"/>
    <w:rsid w:val="00C63810"/>
    <w:rsid w:val="00C64245"/>
    <w:rsid w:val="00C64702"/>
    <w:rsid w:val="00C64CC8"/>
    <w:rsid w:val="00C65090"/>
    <w:rsid w:val="00C650FC"/>
    <w:rsid w:val="00C65198"/>
    <w:rsid w:val="00C654EF"/>
    <w:rsid w:val="00C663D3"/>
    <w:rsid w:val="00C66A9A"/>
    <w:rsid w:val="00C70398"/>
    <w:rsid w:val="00C708FE"/>
    <w:rsid w:val="00C709DD"/>
    <w:rsid w:val="00C70FA1"/>
    <w:rsid w:val="00C717CE"/>
    <w:rsid w:val="00C719D3"/>
    <w:rsid w:val="00C71D54"/>
    <w:rsid w:val="00C71E46"/>
    <w:rsid w:val="00C72723"/>
    <w:rsid w:val="00C7381E"/>
    <w:rsid w:val="00C73DFC"/>
    <w:rsid w:val="00C74ABE"/>
    <w:rsid w:val="00C74D7B"/>
    <w:rsid w:val="00C7541A"/>
    <w:rsid w:val="00C756A7"/>
    <w:rsid w:val="00C758F2"/>
    <w:rsid w:val="00C75AB6"/>
    <w:rsid w:val="00C76111"/>
    <w:rsid w:val="00C76A20"/>
    <w:rsid w:val="00C77FA8"/>
    <w:rsid w:val="00C804A6"/>
    <w:rsid w:val="00C80704"/>
    <w:rsid w:val="00C807D0"/>
    <w:rsid w:val="00C80AF2"/>
    <w:rsid w:val="00C81124"/>
    <w:rsid w:val="00C813EF"/>
    <w:rsid w:val="00C8178C"/>
    <w:rsid w:val="00C81837"/>
    <w:rsid w:val="00C823AA"/>
    <w:rsid w:val="00C82805"/>
    <w:rsid w:val="00C84138"/>
    <w:rsid w:val="00C846F4"/>
    <w:rsid w:val="00C84B2B"/>
    <w:rsid w:val="00C84F99"/>
    <w:rsid w:val="00C8514D"/>
    <w:rsid w:val="00C8595E"/>
    <w:rsid w:val="00C85FC1"/>
    <w:rsid w:val="00C8637F"/>
    <w:rsid w:val="00C879DD"/>
    <w:rsid w:val="00C906AB"/>
    <w:rsid w:val="00C9110B"/>
    <w:rsid w:val="00C9113B"/>
    <w:rsid w:val="00C91761"/>
    <w:rsid w:val="00C91864"/>
    <w:rsid w:val="00C91D89"/>
    <w:rsid w:val="00C9223E"/>
    <w:rsid w:val="00C922F6"/>
    <w:rsid w:val="00C9238B"/>
    <w:rsid w:val="00C924F8"/>
    <w:rsid w:val="00C92B66"/>
    <w:rsid w:val="00C93287"/>
    <w:rsid w:val="00C94392"/>
    <w:rsid w:val="00C948D3"/>
    <w:rsid w:val="00C9516E"/>
    <w:rsid w:val="00C95607"/>
    <w:rsid w:val="00C9562C"/>
    <w:rsid w:val="00C95779"/>
    <w:rsid w:val="00C9641C"/>
    <w:rsid w:val="00C96C09"/>
    <w:rsid w:val="00C96E0C"/>
    <w:rsid w:val="00C96E47"/>
    <w:rsid w:val="00C9770A"/>
    <w:rsid w:val="00C978C2"/>
    <w:rsid w:val="00CA10E0"/>
    <w:rsid w:val="00CA10F3"/>
    <w:rsid w:val="00CA1A91"/>
    <w:rsid w:val="00CA1BF6"/>
    <w:rsid w:val="00CA1F6C"/>
    <w:rsid w:val="00CA26BA"/>
    <w:rsid w:val="00CA2BE1"/>
    <w:rsid w:val="00CA3165"/>
    <w:rsid w:val="00CA326E"/>
    <w:rsid w:val="00CA3ABF"/>
    <w:rsid w:val="00CA5F04"/>
    <w:rsid w:val="00CA610F"/>
    <w:rsid w:val="00CA67CC"/>
    <w:rsid w:val="00CA6DE5"/>
    <w:rsid w:val="00CA7ACE"/>
    <w:rsid w:val="00CB048A"/>
    <w:rsid w:val="00CB0A56"/>
    <w:rsid w:val="00CB0AF9"/>
    <w:rsid w:val="00CB10D8"/>
    <w:rsid w:val="00CB1227"/>
    <w:rsid w:val="00CB1AA1"/>
    <w:rsid w:val="00CB2596"/>
    <w:rsid w:val="00CB25A8"/>
    <w:rsid w:val="00CB26D3"/>
    <w:rsid w:val="00CB2E31"/>
    <w:rsid w:val="00CB306A"/>
    <w:rsid w:val="00CB34C1"/>
    <w:rsid w:val="00CB3BC7"/>
    <w:rsid w:val="00CB466E"/>
    <w:rsid w:val="00CB5997"/>
    <w:rsid w:val="00CB59E5"/>
    <w:rsid w:val="00CB6226"/>
    <w:rsid w:val="00CB6439"/>
    <w:rsid w:val="00CB658B"/>
    <w:rsid w:val="00CB71DF"/>
    <w:rsid w:val="00CB7F26"/>
    <w:rsid w:val="00CC08E7"/>
    <w:rsid w:val="00CC0AE3"/>
    <w:rsid w:val="00CC0D70"/>
    <w:rsid w:val="00CC12EB"/>
    <w:rsid w:val="00CC1A5C"/>
    <w:rsid w:val="00CC1FB6"/>
    <w:rsid w:val="00CC24F4"/>
    <w:rsid w:val="00CC27C1"/>
    <w:rsid w:val="00CC298D"/>
    <w:rsid w:val="00CC2F60"/>
    <w:rsid w:val="00CC3442"/>
    <w:rsid w:val="00CC3BA6"/>
    <w:rsid w:val="00CC530F"/>
    <w:rsid w:val="00CC5DBC"/>
    <w:rsid w:val="00CC5FA4"/>
    <w:rsid w:val="00CC5FCE"/>
    <w:rsid w:val="00CC69D3"/>
    <w:rsid w:val="00CC6EF4"/>
    <w:rsid w:val="00CC7A58"/>
    <w:rsid w:val="00CC7C0B"/>
    <w:rsid w:val="00CD0683"/>
    <w:rsid w:val="00CD0DF1"/>
    <w:rsid w:val="00CD3972"/>
    <w:rsid w:val="00CD3B27"/>
    <w:rsid w:val="00CD435D"/>
    <w:rsid w:val="00CD45FE"/>
    <w:rsid w:val="00CD4D58"/>
    <w:rsid w:val="00CD5266"/>
    <w:rsid w:val="00CD5819"/>
    <w:rsid w:val="00CD5900"/>
    <w:rsid w:val="00CD5A7C"/>
    <w:rsid w:val="00CD5AA8"/>
    <w:rsid w:val="00CD5D68"/>
    <w:rsid w:val="00CD5E3C"/>
    <w:rsid w:val="00CD5F21"/>
    <w:rsid w:val="00CD68CA"/>
    <w:rsid w:val="00CD70A0"/>
    <w:rsid w:val="00CD71B7"/>
    <w:rsid w:val="00CD7CA8"/>
    <w:rsid w:val="00CD7EF7"/>
    <w:rsid w:val="00CE0037"/>
    <w:rsid w:val="00CE17C7"/>
    <w:rsid w:val="00CE186B"/>
    <w:rsid w:val="00CE20E5"/>
    <w:rsid w:val="00CE2961"/>
    <w:rsid w:val="00CE3285"/>
    <w:rsid w:val="00CE3343"/>
    <w:rsid w:val="00CE3377"/>
    <w:rsid w:val="00CE3AE8"/>
    <w:rsid w:val="00CE4329"/>
    <w:rsid w:val="00CE44BB"/>
    <w:rsid w:val="00CE48CA"/>
    <w:rsid w:val="00CE4B02"/>
    <w:rsid w:val="00CE4C69"/>
    <w:rsid w:val="00CE5440"/>
    <w:rsid w:val="00CE5591"/>
    <w:rsid w:val="00CE6350"/>
    <w:rsid w:val="00CE6B97"/>
    <w:rsid w:val="00CE6E11"/>
    <w:rsid w:val="00CE6EB9"/>
    <w:rsid w:val="00CE6F76"/>
    <w:rsid w:val="00CE7291"/>
    <w:rsid w:val="00CE7922"/>
    <w:rsid w:val="00CF0917"/>
    <w:rsid w:val="00CF2421"/>
    <w:rsid w:val="00CF276C"/>
    <w:rsid w:val="00CF30E8"/>
    <w:rsid w:val="00CF347E"/>
    <w:rsid w:val="00CF4190"/>
    <w:rsid w:val="00CF473E"/>
    <w:rsid w:val="00CF47CA"/>
    <w:rsid w:val="00CF490D"/>
    <w:rsid w:val="00CF4B7A"/>
    <w:rsid w:val="00CF5143"/>
    <w:rsid w:val="00CF514B"/>
    <w:rsid w:val="00CF54F9"/>
    <w:rsid w:val="00CF5650"/>
    <w:rsid w:val="00CF633A"/>
    <w:rsid w:val="00CF66E3"/>
    <w:rsid w:val="00CF68A1"/>
    <w:rsid w:val="00CF6CA1"/>
    <w:rsid w:val="00CF7E65"/>
    <w:rsid w:val="00CF7FAA"/>
    <w:rsid w:val="00D005A3"/>
    <w:rsid w:val="00D00995"/>
    <w:rsid w:val="00D018D3"/>
    <w:rsid w:val="00D01A8D"/>
    <w:rsid w:val="00D01CB0"/>
    <w:rsid w:val="00D023DA"/>
    <w:rsid w:val="00D02D2F"/>
    <w:rsid w:val="00D02F20"/>
    <w:rsid w:val="00D03C57"/>
    <w:rsid w:val="00D03C98"/>
    <w:rsid w:val="00D045C6"/>
    <w:rsid w:val="00D04EC2"/>
    <w:rsid w:val="00D04F22"/>
    <w:rsid w:val="00D05423"/>
    <w:rsid w:val="00D05458"/>
    <w:rsid w:val="00D05836"/>
    <w:rsid w:val="00D05B45"/>
    <w:rsid w:val="00D071B5"/>
    <w:rsid w:val="00D073F2"/>
    <w:rsid w:val="00D11D74"/>
    <w:rsid w:val="00D1220B"/>
    <w:rsid w:val="00D124FF"/>
    <w:rsid w:val="00D133A7"/>
    <w:rsid w:val="00D14DB4"/>
    <w:rsid w:val="00D15B7D"/>
    <w:rsid w:val="00D15C26"/>
    <w:rsid w:val="00D15D0E"/>
    <w:rsid w:val="00D17708"/>
    <w:rsid w:val="00D17DF2"/>
    <w:rsid w:val="00D20C21"/>
    <w:rsid w:val="00D218EE"/>
    <w:rsid w:val="00D21BAA"/>
    <w:rsid w:val="00D225B9"/>
    <w:rsid w:val="00D22B45"/>
    <w:rsid w:val="00D24333"/>
    <w:rsid w:val="00D24E57"/>
    <w:rsid w:val="00D24E58"/>
    <w:rsid w:val="00D252EB"/>
    <w:rsid w:val="00D2693C"/>
    <w:rsid w:val="00D26B65"/>
    <w:rsid w:val="00D26D3C"/>
    <w:rsid w:val="00D27046"/>
    <w:rsid w:val="00D270D9"/>
    <w:rsid w:val="00D27B42"/>
    <w:rsid w:val="00D3015D"/>
    <w:rsid w:val="00D30D2A"/>
    <w:rsid w:val="00D30D94"/>
    <w:rsid w:val="00D3130B"/>
    <w:rsid w:val="00D31735"/>
    <w:rsid w:val="00D317AF"/>
    <w:rsid w:val="00D32671"/>
    <w:rsid w:val="00D32789"/>
    <w:rsid w:val="00D327D3"/>
    <w:rsid w:val="00D33C78"/>
    <w:rsid w:val="00D34005"/>
    <w:rsid w:val="00D3485A"/>
    <w:rsid w:val="00D34E4E"/>
    <w:rsid w:val="00D35014"/>
    <w:rsid w:val="00D35050"/>
    <w:rsid w:val="00D35502"/>
    <w:rsid w:val="00D3581B"/>
    <w:rsid w:val="00D358D1"/>
    <w:rsid w:val="00D35CC1"/>
    <w:rsid w:val="00D3730B"/>
    <w:rsid w:val="00D4049F"/>
    <w:rsid w:val="00D40776"/>
    <w:rsid w:val="00D407E4"/>
    <w:rsid w:val="00D410D6"/>
    <w:rsid w:val="00D41D89"/>
    <w:rsid w:val="00D4205C"/>
    <w:rsid w:val="00D426DD"/>
    <w:rsid w:val="00D42C92"/>
    <w:rsid w:val="00D43493"/>
    <w:rsid w:val="00D43A5C"/>
    <w:rsid w:val="00D4436D"/>
    <w:rsid w:val="00D44824"/>
    <w:rsid w:val="00D448A1"/>
    <w:rsid w:val="00D44A9E"/>
    <w:rsid w:val="00D44BED"/>
    <w:rsid w:val="00D44C46"/>
    <w:rsid w:val="00D44C51"/>
    <w:rsid w:val="00D44EA5"/>
    <w:rsid w:val="00D4509C"/>
    <w:rsid w:val="00D45463"/>
    <w:rsid w:val="00D46129"/>
    <w:rsid w:val="00D46131"/>
    <w:rsid w:val="00D4650D"/>
    <w:rsid w:val="00D47320"/>
    <w:rsid w:val="00D477F2"/>
    <w:rsid w:val="00D509BE"/>
    <w:rsid w:val="00D50A5C"/>
    <w:rsid w:val="00D50A73"/>
    <w:rsid w:val="00D51596"/>
    <w:rsid w:val="00D51C60"/>
    <w:rsid w:val="00D51DA5"/>
    <w:rsid w:val="00D52868"/>
    <w:rsid w:val="00D52BF9"/>
    <w:rsid w:val="00D532B4"/>
    <w:rsid w:val="00D53CE9"/>
    <w:rsid w:val="00D543C3"/>
    <w:rsid w:val="00D54AA7"/>
    <w:rsid w:val="00D54C4E"/>
    <w:rsid w:val="00D54CFA"/>
    <w:rsid w:val="00D54E54"/>
    <w:rsid w:val="00D5555C"/>
    <w:rsid w:val="00D558DF"/>
    <w:rsid w:val="00D55CE7"/>
    <w:rsid w:val="00D56560"/>
    <w:rsid w:val="00D56902"/>
    <w:rsid w:val="00D56B63"/>
    <w:rsid w:val="00D56E9B"/>
    <w:rsid w:val="00D56F85"/>
    <w:rsid w:val="00D5706D"/>
    <w:rsid w:val="00D575E2"/>
    <w:rsid w:val="00D6023F"/>
    <w:rsid w:val="00D609AE"/>
    <w:rsid w:val="00D60B2C"/>
    <w:rsid w:val="00D60D4E"/>
    <w:rsid w:val="00D60F52"/>
    <w:rsid w:val="00D61A6D"/>
    <w:rsid w:val="00D62E02"/>
    <w:rsid w:val="00D62E4D"/>
    <w:rsid w:val="00D63336"/>
    <w:rsid w:val="00D635D4"/>
    <w:rsid w:val="00D63CD6"/>
    <w:rsid w:val="00D6444C"/>
    <w:rsid w:val="00D64D96"/>
    <w:rsid w:val="00D65A03"/>
    <w:rsid w:val="00D6601F"/>
    <w:rsid w:val="00D6619C"/>
    <w:rsid w:val="00D664F8"/>
    <w:rsid w:val="00D66E3E"/>
    <w:rsid w:val="00D6718E"/>
    <w:rsid w:val="00D6782C"/>
    <w:rsid w:val="00D7091A"/>
    <w:rsid w:val="00D71A49"/>
    <w:rsid w:val="00D71A94"/>
    <w:rsid w:val="00D72A68"/>
    <w:rsid w:val="00D7385B"/>
    <w:rsid w:val="00D750B6"/>
    <w:rsid w:val="00D75303"/>
    <w:rsid w:val="00D75505"/>
    <w:rsid w:val="00D757EF"/>
    <w:rsid w:val="00D7584A"/>
    <w:rsid w:val="00D75A5F"/>
    <w:rsid w:val="00D75BD5"/>
    <w:rsid w:val="00D75F5F"/>
    <w:rsid w:val="00D765AC"/>
    <w:rsid w:val="00D76BAA"/>
    <w:rsid w:val="00D776E6"/>
    <w:rsid w:val="00D776EC"/>
    <w:rsid w:val="00D778CC"/>
    <w:rsid w:val="00D77981"/>
    <w:rsid w:val="00D80899"/>
    <w:rsid w:val="00D809EC"/>
    <w:rsid w:val="00D81206"/>
    <w:rsid w:val="00D8181F"/>
    <w:rsid w:val="00D825D0"/>
    <w:rsid w:val="00D827DA"/>
    <w:rsid w:val="00D82A00"/>
    <w:rsid w:val="00D82B9E"/>
    <w:rsid w:val="00D82BB2"/>
    <w:rsid w:val="00D83A19"/>
    <w:rsid w:val="00D84218"/>
    <w:rsid w:val="00D84E10"/>
    <w:rsid w:val="00D85716"/>
    <w:rsid w:val="00D86215"/>
    <w:rsid w:val="00D86811"/>
    <w:rsid w:val="00D86DF0"/>
    <w:rsid w:val="00D87F22"/>
    <w:rsid w:val="00D91055"/>
    <w:rsid w:val="00D9146B"/>
    <w:rsid w:val="00D91909"/>
    <w:rsid w:val="00D919D0"/>
    <w:rsid w:val="00D91BCA"/>
    <w:rsid w:val="00D91E17"/>
    <w:rsid w:val="00D93814"/>
    <w:rsid w:val="00D93C86"/>
    <w:rsid w:val="00D945E6"/>
    <w:rsid w:val="00D94669"/>
    <w:rsid w:val="00D946D4"/>
    <w:rsid w:val="00D95A96"/>
    <w:rsid w:val="00D95BEC"/>
    <w:rsid w:val="00D95D35"/>
    <w:rsid w:val="00D96150"/>
    <w:rsid w:val="00D9635B"/>
    <w:rsid w:val="00D977A3"/>
    <w:rsid w:val="00D97DA0"/>
    <w:rsid w:val="00DA0B20"/>
    <w:rsid w:val="00DA0B86"/>
    <w:rsid w:val="00DA0D4E"/>
    <w:rsid w:val="00DA239D"/>
    <w:rsid w:val="00DA23F1"/>
    <w:rsid w:val="00DA2712"/>
    <w:rsid w:val="00DA2D9A"/>
    <w:rsid w:val="00DA3E36"/>
    <w:rsid w:val="00DA42C4"/>
    <w:rsid w:val="00DA4A5E"/>
    <w:rsid w:val="00DA4B7A"/>
    <w:rsid w:val="00DA5548"/>
    <w:rsid w:val="00DA55EE"/>
    <w:rsid w:val="00DA5ECA"/>
    <w:rsid w:val="00DA6298"/>
    <w:rsid w:val="00DA6384"/>
    <w:rsid w:val="00DA65EC"/>
    <w:rsid w:val="00DA6B25"/>
    <w:rsid w:val="00DA737C"/>
    <w:rsid w:val="00DA7385"/>
    <w:rsid w:val="00DA761D"/>
    <w:rsid w:val="00DA76CC"/>
    <w:rsid w:val="00DA7B6E"/>
    <w:rsid w:val="00DB02A2"/>
    <w:rsid w:val="00DB0403"/>
    <w:rsid w:val="00DB041C"/>
    <w:rsid w:val="00DB04BD"/>
    <w:rsid w:val="00DB0F76"/>
    <w:rsid w:val="00DB147F"/>
    <w:rsid w:val="00DB1B64"/>
    <w:rsid w:val="00DB2AF2"/>
    <w:rsid w:val="00DB2FE0"/>
    <w:rsid w:val="00DB4215"/>
    <w:rsid w:val="00DB490C"/>
    <w:rsid w:val="00DB4FAF"/>
    <w:rsid w:val="00DB5D19"/>
    <w:rsid w:val="00DB6375"/>
    <w:rsid w:val="00DB64C1"/>
    <w:rsid w:val="00DB65AF"/>
    <w:rsid w:val="00DB6EB8"/>
    <w:rsid w:val="00DB77AF"/>
    <w:rsid w:val="00DB77EF"/>
    <w:rsid w:val="00DB79FA"/>
    <w:rsid w:val="00DB7C79"/>
    <w:rsid w:val="00DC0169"/>
    <w:rsid w:val="00DC086B"/>
    <w:rsid w:val="00DC0A87"/>
    <w:rsid w:val="00DC1285"/>
    <w:rsid w:val="00DC1539"/>
    <w:rsid w:val="00DC20F5"/>
    <w:rsid w:val="00DC2303"/>
    <w:rsid w:val="00DC38D9"/>
    <w:rsid w:val="00DC4139"/>
    <w:rsid w:val="00DC413D"/>
    <w:rsid w:val="00DC49CD"/>
    <w:rsid w:val="00DC4C4C"/>
    <w:rsid w:val="00DC4C5F"/>
    <w:rsid w:val="00DC5C4D"/>
    <w:rsid w:val="00DC5D4B"/>
    <w:rsid w:val="00DC60FE"/>
    <w:rsid w:val="00DC62DB"/>
    <w:rsid w:val="00DC6371"/>
    <w:rsid w:val="00DC6838"/>
    <w:rsid w:val="00DC7384"/>
    <w:rsid w:val="00DC767F"/>
    <w:rsid w:val="00DD01C7"/>
    <w:rsid w:val="00DD0293"/>
    <w:rsid w:val="00DD1D6D"/>
    <w:rsid w:val="00DD2227"/>
    <w:rsid w:val="00DD239C"/>
    <w:rsid w:val="00DD2755"/>
    <w:rsid w:val="00DD2E86"/>
    <w:rsid w:val="00DD311F"/>
    <w:rsid w:val="00DD3D21"/>
    <w:rsid w:val="00DD3F8A"/>
    <w:rsid w:val="00DD48CF"/>
    <w:rsid w:val="00DD4AC8"/>
    <w:rsid w:val="00DD5087"/>
    <w:rsid w:val="00DD60FF"/>
    <w:rsid w:val="00DD64B3"/>
    <w:rsid w:val="00DD6E2E"/>
    <w:rsid w:val="00DD6F1A"/>
    <w:rsid w:val="00DD6F40"/>
    <w:rsid w:val="00DD752C"/>
    <w:rsid w:val="00DD7577"/>
    <w:rsid w:val="00DD7584"/>
    <w:rsid w:val="00DD76AC"/>
    <w:rsid w:val="00DD7706"/>
    <w:rsid w:val="00DD7F21"/>
    <w:rsid w:val="00DE0081"/>
    <w:rsid w:val="00DE0102"/>
    <w:rsid w:val="00DE024F"/>
    <w:rsid w:val="00DE0534"/>
    <w:rsid w:val="00DE0EB3"/>
    <w:rsid w:val="00DE1505"/>
    <w:rsid w:val="00DE27C8"/>
    <w:rsid w:val="00DE35FA"/>
    <w:rsid w:val="00DE3B45"/>
    <w:rsid w:val="00DE4F08"/>
    <w:rsid w:val="00DE5829"/>
    <w:rsid w:val="00DE5F57"/>
    <w:rsid w:val="00DE67F9"/>
    <w:rsid w:val="00DE7068"/>
    <w:rsid w:val="00DE7171"/>
    <w:rsid w:val="00DE738A"/>
    <w:rsid w:val="00DE7C45"/>
    <w:rsid w:val="00DF01A1"/>
    <w:rsid w:val="00DF03C6"/>
    <w:rsid w:val="00DF0981"/>
    <w:rsid w:val="00DF0A26"/>
    <w:rsid w:val="00DF1185"/>
    <w:rsid w:val="00DF134E"/>
    <w:rsid w:val="00DF24B5"/>
    <w:rsid w:val="00DF297B"/>
    <w:rsid w:val="00DF2B72"/>
    <w:rsid w:val="00DF2C7A"/>
    <w:rsid w:val="00DF3138"/>
    <w:rsid w:val="00DF35F2"/>
    <w:rsid w:val="00DF3918"/>
    <w:rsid w:val="00DF58D3"/>
    <w:rsid w:val="00DF5A80"/>
    <w:rsid w:val="00DF5BAB"/>
    <w:rsid w:val="00DF67A8"/>
    <w:rsid w:val="00DF6E53"/>
    <w:rsid w:val="00DF6EBA"/>
    <w:rsid w:val="00DF7304"/>
    <w:rsid w:val="00E00082"/>
    <w:rsid w:val="00E000A0"/>
    <w:rsid w:val="00E00442"/>
    <w:rsid w:val="00E00BB9"/>
    <w:rsid w:val="00E00C92"/>
    <w:rsid w:val="00E00F7C"/>
    <w:rsid w:val="00E01529"/>
    <w:rsid w:val="00E01CF8"/>
    <w:rsid w:val="00E02109"/>
    <w:rsid w:val="00E02790"/>
    <w:rsid w:val="00E02890"/>
    <w:rsid w:val="00E02B8D"/>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3CC"/>
    <w:rsid w:val="00E10B04"/>
    <w:rsid w:val="00E10B51"/>
    <w:rsid w:val="00E1193F"/>
    <w:rsid w:val="00E13175"/>
    <w:rsid w:val="00E13925"/>
    <w:rsid w:val="00E13949"/>
    <w:rsid w:val="00E13B3D"/>
    <w:rsid w:val="00E14D40"/>
    <w:rsid w:val="00E1526D"/>
    <w:rsid w:val="00E1548A"/>
    <w:rsid w:val="00E15AAC"/>
    <w:rsid w:val="00E16BA5"/>
    <w:rsid w:val="00E177DB"/>
    <w:rsid w:val="00E202F5"/>
    <w:rsid w:val="00E208A3"/>
    <w:rsid w:val="00E2169F"/>
    <w:rsid w:val="00E22282"/>
    <w:rsid w:val="00E22B0C"/>
    <w:rsid w:val="00E22F8F"/>
    <w:rsid w:val="00E234D4"/>
    <w:rsid w:val="00E240AF"/>
    <w:rsid w:val="00E242BF"/>
    <w:rsid w:val="00E24751"/>
    <w:rsid w:val="00E256A9"/>
    <w:rsid w:val="00E259EB"/>
    <w:rsid w:val="00E26293"/>
    <w:rsid w:val="00E26501"/>
    <w:rsid w:val="00E272EE"/>
    <w:rsid w:val="00E27F2F"/>
    <w:rsid w:val="00E27FEA"/>
    <w:rsid w:val="00E27FF5"/>
    <w:rsid w:val="00E30353"/>
    <w:rsid w:val="00E30772"/>
    <w:rsid w:val="00E30FE6"/>
    <w:rsid w:val="00E31623"/>
    <w:rsid w:val="00E323B4"/>
    <w:rsid w:val="00E32490"/>
    <w:rsid w:val="00E32FC7"/>
    <w:rsid w:val="00E3336A"/>
    <w:rsid w:val="00E33CAD"/>
    <w:rsid w:val="00E33CE9"/>
    <w:rsid w:val="00E3459D"/>
    <w:rsid w:val="00E345D9"/>
    <w:rsid w:val="00E34743"/>
    <w:rsid w:val="00E3544B"/>
    <w:rsid w:val="00E35672"/>
    <w:rsid w:val="00E35788"/>
    <w:rsid w:val="00E35C54"/>
    <w:rsid w:val="00E36AAB"/>
    <w:rsid w:val="00E36D89"/>
    <w:rsid w:val="00E37125"/>
    <w:rsid w:val="00E37757"/>
    <w:rsid w:val="00E37CCE"/>
    <w:rsid w:val="00E405EF"/>
    <w:rsid w:val="00E40987"/>
    <w:rsid w:val="00E40D45"/>
    <w:rsid w:val="00E411A6"/>
    <w:rsid w:val="00E41715"/>
    <w:rsid w:val="00E41B94"/>
    <w:rsid w:val="00E41C7C"/>
    <w:rsid w:val="00E4202E"/>
    <w:rsid w:val="00E424A9"/>
    <w:rsid w:val="00E425B4"/>
    <w:rsid w:val="00E43D3D"/>
    <w:rsid w:val="00E43DCD"/>
    <w:rsid w:val="00E4542E"/>
    <w:rsid w:val="00E46545"/>
    <w:rsid w:val="00E473C1"/>
    <w:rsid w:val="00E47876"/>
    <w:rsid w:val="00E47C70"/>
    <w:rsid w:val="00E50626"/>
    <w:rsid w:val="00E50ECA"/>
    <w:rsid w:val="00E511BC"/>
    <w:rsid w:val="00E51489"/>
    <w:rsid w:val="00E51CAF"/>
    <w:rsid w:val="00E51EF6"/>
    <w:rsid w:val="00E521A2"/>
    <w:rsid w:val="00E533BA"/>
    <w:rsid w:val="00E534D9"/>
    <w:rsid w:val="00E5358F"/>
    <w:rsid w:val="00E53707"/>
    <w:rsid w:val="00E5392E"/>
    <w:rsid w:val="00E5408C"/>
    <w:rsid w:val="00E54837"/>
    <w:rsid w:val="00E54A44"/>
    <w:rsid w:val="00E54F1A"/>
    <w:rsid w:val="00E55165"/>
    <w:rsid w:val="00E552B8"/>
    <w:rsid w:val="00E55E35"/>
    <w:rsid w:val="00E5674F"/>
    <w:rsid w:val="00E56FAC"/>
    <w:rsid w:val="00E577D3"/>
    <w:rsid w:val="00E60020"/>
    <w:rsid w:val="00E60746"/>
    <w:rsid w:val="00E60B7A"/>
    <w:rsid w:val="00E6126E"/>
    <w:rsid w:val="00E61654"/>
    <w:rsid w:val="00E62228"/>
    <w:rsid w:val="00E62348"/>
    <w:rsid w:val="00E6384B"/>
    <w:rsid w:val="00E638DD"/>
    <w:rsid w:val="00E63A6E"/>
    <w:rsid w:val="00E63D03"/>
    <w:rsid w:val="00E64079"/>
    <w:rsid w:val="00E646DA"/>
    <w:rsid w:val="00E64A74"/>
    <w:rsid w:val="00E64FDA"/>
    <w:rsid w:val="00E65951"/>
    <w:rsid w:val="00E65F6D"/>
    <w:rsid w:val="00E6658A"/>
    <w:rsid w:val="00E669DA"/>
    <w:rsid w:val="00E66AEB"/>
    <w:rsid w:val="00E66C8D"/>
    <w:rsid w:val="00E671EC"/>
    <w:rsid w:val="00E6789C"/>
    <w:rsid w:val="00E67CC4"/>
    <w:rsid w:val="00E701A8"/>
    <w:rsid w:val="00E702AA"/>
    <w:rsid w:val="00E70816"/>
    <w:rsid w:val="00E70A92"/>
    <w:rsid w:val="00E70AFE"/>
    <w:rsid w:val="00E7169A"/>
    <w:rsid w:val="00E716B1"/>
    <w:rsid w:val="00E7335F"/>
    <w:rsid w:val="00E735D3"/>
    <w:rsid w:val="00E73749"/>
    <w:rsid w:val="00E7377E"/>
    <w:rsid w:val="00E737AB"/>
    <w:rsid w:val="00E74258"/>
    <w:rsid w:val="00E7432D"/>
    <w:rsid w:val="00E743FE"/>
    <w:rsid w:val="00E7477E"/>
    <w:rsid w:val="00E75AB1"/>
    <w:rsid w:val="00E75D1E"/>
    <w:rsid w:val="00E761A3"/>
    <w:rsid w:val="00E76516"/>
    <w:rsid w:val="00E76557"/>
    <w:rsid w:val="00E767C7"/>
    <w:rsid w:val="00E76911"/>
    <w:rsid w:val="00E776CE"/>
    <w:rsid w:val="00E776EB"/>
    <w:rsid w:val="00E7798B"/>
    <w:rsid w:val="00E77F52"/>
    <w:rsid w:val="00E8040F"/>
    <w:rsid w:val="00E81024"/>
    <w:rsid w:val="00E81220"/>
    <w:rsid w:val="00E812D4"/>
    <w:rsid w:val="00E81700"/>
    <w:rsid w:val="00E817A9"/>
    <w:rsid w:val="00E81E67"/>
    <w:rsid w:val="00E821FF"/>
    <w:rsid w:val="00E82EDC"/>
    <w:rsid w:val="00E830F4"/>
    <w:rsid w:val="00E83615"/>
    <w:rsid w:val="00E8378D"/>
    <w:rsid w:val="00E845E3"/>
    <w:rsid w:val="00E84613"/>
    <w:rsid w:val="00E84678"/>
    <w:rsid w:val="00E84C72"/>
    <w:rsid w:val="00E85714"/>
    <w:rsid w:val="00E857A9"/>
    <w:rsid w:val="00E85AE3"/>
    <w:rsid w:val="00E86648"/>
    <w:rsid w:val="00E86E2B"/>
    <w:rsid w:val="00E86F6E"/>
    <w:rsid w:val="00E86F83"/>
    <w:rsid w:val="00E8749C"/>
    <w:rsid w:val="00E87CD0"/>
    <w:rsid w:val="00E87F92"/>
    <w:rsid w:val="00E90182"/>
    <w:rsid w:val="00E90400"/>
    <w:rsid w:val="00E9107C"/>
    <w:rsid w:val="00E91659"/>
    <w:rsid w:val="00E919F9"/>
    <w:rsid w:val="00E91F24"/>
    <w:rsid w:val="00E9213F"/>
    <w:rsid w:val="00E931E9"/>
    <w:rsid w:val="00E935EA"/>
    <w:rsid w:val="00E9372A"/>
    <w:rsid w:val="00E93A22"/>
    <w:rsid w:val="00E93F3C"/>
    <w:rsid w:val="00E93F94"/>
    <w:rsid w:val="00E9510C"/>
    <w:rsid w:val="00E95665"/>
    <w:rsid w:val="00E95B78"/>
    <w:rsid w:val="00E96976"/>
    <w:rsid w:val="00E969ED"/>
    <w:rsid w:val="00E96E70"/>
    <w:rsid w:val="00E97348"/>
    <w:rsid w:val="00EA003C"/>
    <w:rsid w:val="00EA0AD8"/>
    <w:rsid w:val="00EA120A"/>
    <w:rsid w:val="00EA138C"/>
    <w:rsid w:val="00EA18D9"/>
    <w:rsid w:val="00EA1D3A"/>
    <w:rsid w:val="00EA2210"/>
    <w:rsid w:val="00EA2C4B"/>
    <w:rsid w:val="00EA44D5"/>
    <w:rsid w:val="00EA47A0"/>
    <w:rsid w:val="00EA5F0C"/>
    <w:rsid w:val="00EA6200"/>
    <w:rsid w:val="00EA6861"/>
    <w:rsid w:val="00EA7963"/>
    <w:rsid w:val="00EA7B96"/>
    <w:rsid w:val="00EB03BE"/>
    <w:rsid w:val="00EB0A28"/>
    <w:rsid w:val="00EB214A"/>
    <w:rsid w:val="00EB2579"/>
    <w:rsid w:val="00EB279B"/>
    <w:rsid w:val="00EB3110"/>
    <w:rsid w:val="00EB3278"/>
    <w:rsid w:val="00EB4A2A"/>
    <w:rsid w:val="00EB4BA1"/>
    <w:rsid w:val="00EB5692"/>
    <w:rsid w:val="00EB5BBE"/>
    <w:rsid w:val="00EB5D25"/>
    <w:rsid w:val="00EB5D93"/>
    <w:rsid w:val="00EB5F20"/>
    <w:rsid w:val="00EB60C6"/>
    <w:rsid w:val="00EB63A7"/>
    <w:rsid w:val="00EB72ED"/>
    <w:rsid w:val="00EB7421"/>
    <w:rsid w:val="00EC0BC3"/>
    <w:rsid w:val="00EC0CC3"/>
    <w:rsid w:val="00EC1138"/>
    <w:rsid w:val="00EC146F"/>
    <w:rsid w:val="00EC1806"/>
    <w:rsid w:val="00EC1B95"/>
    <w:rsid w:val="00EC20FB"/>
    <w:rsid w:val="00EC2193"/>
    <w:rsid w:val="00EC2792"/>
    <w:rsid w:val="00EC2C8B"/>
    <w:rsid w:val="00EC35C2"/>
    <w:rsid w:val="00EC3AAF"/>
    <w:rsid w:val="00EC3B3F"/>
    <w:rsid w:val="00EC3D05"/>
    <w:rsid w:val="00EC420B"/>
    <w:rsid w:val="00EC477E"/>
    <w:rsid w:val="00EC4E9B"/>
    <w:rsid w:val="00EC58B0"/>
    <w:rsid w:val="00EC5F9B"/>
    <w:rsid w:val="00EC776A"/>
    <w:rsid w:val="00EC77B2"/>
    <w:rsid w:val="00EC7CF1"/>
    <w:rsid w:val="00ED0EBB"/>
    <w:rsid w:val="00ED119A"/>
    <w:rsid w:val="00ED1D3F"/>
    <w:rsid w:val="00ED2530"/>
    <w:rsid w:val="00ED2562"/>
    <w:rsid w:val="00ED2633"/>
    <w:rsid w:val="00ED2A57"/>
    <w:rsid w:val="00ED2ADE"/>
    <w:rsid w:val="00ED2CE7"/>
    <w:rsid w:val="00ED2EF1"/>
    <w:rsid w:val="00ED399C"/>
    <w:rsid w:val="00ED3DDA"/>
    <w:rsid w:val="00ED461C"/>
    <w:rsid w:val="00ED46EB"/>
    <w:rsid w:val="00ED543E"/>
    <w:rsid w:val="00ED5792"/>
    <w:rsid w:val="00ED588A"/>
    <w:rsid w:val="00ED5A5F"/>
    <w:rsid w:val="00ED5DCA"/>
    <w:rsid w:val="00ED707A"/>
    <w:rsid w:val="00ED70E4"/>
    <w:rsid w:val="00ED748A"/>
    <w:rsid w:val="00ED7799"/>
    <w:rsid w:val="00EE05C0"/>
    <w:rsid w:val="00EE0AD5"/>
    <w:rsid w:val="00EE0DE7"/>
    <w:rsid w:val="00EE1E4A"/>
    <w:rsid w:val="00EE2717"/>
    <w:rsid w:val="00EE2A2F"/>
    <w:rsid w:val="00EE3115"/>
    <w:rsid w:val="00EE32A2"/>
    <w:rsid w:val="00EE3935"/>
    <w:rsid w:val="00EE416C"/>
    <w:rsid w:val="00EE43E1"/>
    <w:rsid w:val="00EE480F"/>
    <w:rsid w:val="00EE4965"/>
    <w:rsid w:val="00EE5145"/>
    <w:rsid w:val="00EE51B3"/>
    <w:rsid w:val="00EE5303"/>
    <w:rsid w:val="00EE55C2"/>
    <w:rsid w:val="00EE5C7B"/>
    <w:rsid w:val="00EE5DB5"/>
    <w:rsid w:val="00EE5F02"/>
    <w:rsid w:val="00EE601D"/>
    <w:rsid w:val="00EE7BFF"/>
    <w:rsid w:val="00EF0643"/>
    <w:rsid w:val="00EF06E2"/>
    <w:rsid w:val="00EF0E7C"/>
    <w:rsid w:val="00EF166B"/>
    <w:rsid w:val="00EF1F7C"/>
    <w:rsid w:val="00EF2464"/>
    <w:rsid w:val="00EF31F4"/>
    <w:rsid w:val="00EF3357"/>
    <w:rsid w:val="00EF366F"/>
    <w:rsid w:val="00EF3728"/>
    <w:rsid w:val="00EF4228"/>
    <w:rsid w:val="00EF47EC"/>
    <w:rsid w:val="00EF5102"/>
    <w:rsid w:val="00EF5559"/>
    <w:rsid w:val="00EF67A9"/>
    <w:rsid w:val="00F00023"/>
    <w:rsid w:val="00F004CF"/>
    <w:rsid w:val="00F015D9"/>
    <w:rsid w:val="00F02770"/>
    <w:rsid w:val="00F031F6"/>
    <w:rsid w:val="00F039A9"/>
    <w:rsid w:val="00F039EE"/>
    <w:rsid w:val="00F03A45"/>
    <w:rsid w:val="00F03AF3"/>
    <w:rsid w:val="00F040C4"/>
    <w:rsid w:val="00F042EB"/>
    <w:rsid w:val="00F04CAC"/>
    <w:rsid w:val="00F05866"/>
    <w:rsid w:val="00F05B4F"/>
    <w:rsid w:val="00F05F1C"/>
    <w:rsid w:val="00F0653E"/>
    <w:rsid w:val="00F06CFB"/>
    <w:rsid w:val="00F06E46"/>
    <w:rsid w:val="00F072D4"/>
    <w:rsid w:val="00F078BC"/>
    <w:rsid w:val="00F100C6"/>
    <w:rsid w:val="00F10807"/>
    <w:rsid w:val="00F10B5B"/>
    <w:rsid w:val="00F117AC"/>
    <w:rsid w:val="00F11AF2"/>
    <w:rsid w:val="00F11D12"/>
    <w:rsid w:val="00F12B34"/>
    <w:rsid w:val="00F12E89"/>
    <w:rsid w:val="00F13C39"/>
    <w:rsid w:val="00F13F17"/>
    <w:rsid w:val="00F14837"/>
    <w:rsid w:val="00F1515F"/>
    <w:rsid w:val="00F155E1"/>
    <w:rsid w:val="00F159EA"/>
    <w:rsid w:val="00F1793C"/>
    <w:rsid w:val="00F17EFB"/>
    <w:rsid w:val="00F2021B"/>
    <w:rsid w:val="00F203C8"/>
    <w:rsid w:val="00F20675"/>
    <w:rsid w:val="00F20851"/>
    <w:rsid w:val="00F20864"/>
    <w:rsid w:val="00F20FDA"/>
    <w:rsid w:val="00F217DC"/>
    <w:rsid w:val="00F21AD5"/>
    <w:rsid w:val="00F2248B"/>
    <w:rsid w:val="00F2268F"/>
    <w:rsid w:val="00F2293A"/>
    <w:rsid w:val="00F22F6F"/>
    <w:rsid w:val="00F23609"/>
    <w:rsid w:val="00F239E1"/>
    <w:rsid w:val="00F24906"/>
    <w:rsid w:val="00F2523E"/>
    <w:rsid w:val="00F26575"/>
    <w:rsid w:val="00F26A7B"/>
    <w:rsid w:val="00F26E52"/>
    <w:rsid w:val="00F27291"/>
    <w:rsid w:val="00F2734C"/>
    <w:rsid w:val="00F27836"/>
    <w:rsid w:val="00F30459"/>
    <w:rsid w:val="00F30522"/>
    <w:rsid w:val="00F30A7C"/>
    <w:rsid w:val="00F31305"/>
    <w:rsid w:val="00F328B5"/>
    <w:rsid w:val="00F32AF4"/>
    <w:rsid w:val="00F32B32"/>
    <w:rsid w:val="00F334AF"/>
    <w:rsid w:val="00F3427E"/>
    <w:rsid w:val="00F342C3"/>
    <w:rsid w:val="00F3541A"/>
    <w:rsid w:val="00F3555F"/>
    <w:rsid w:val="00F35FBC"/>
    <w:rsid w:val="00F3626E"/>
    <w:rsid w:val="00F377B9"/>
    <w:rsid w:val="00F3780E"/>
    <w:rsid w:val="00F37B77"/>
    <w:rsid w:val="00F37CA7"/>
    <w:rsid w:val="00F405EB"/>
    <w:rsid w:val="00F415B9"/>
    <w:rsid w:val="00F42E56"/>
    <w:rsid w:val="00F439BE"/>
    <w:rsid w:val="00F43A25"/>
    <w:rsid w:val="00F43F2A"/>
    <w:rsid w:val="00F4415F"/>
    <w:rsid w:val="00F441D2"/>
    <w:rsid w:val="00F44311"/>
    <w:rsid w:val="00F443A8"/>
    <w:rsid w:val="00F44585"/>
    <w:rsid w:val="00F44952"/>
    <w:rsid w:val="00F44CF5"/>
    <w:rsid w:val="00F44D01"/>
    <w:rsid w:val="00F44D47"/>
    <w:rsid w:val="00F452D2"/>
    <w:rsid w:val="00F45987"/>
    <w:rsid w:val="00F45E99"/>
    <w:rsid w:val="00F45E9B"/>
    <w:rsid w:val="00F46235"/>
    <w:rsid w:val="00F465CA"/>
    <w:rsid w:val="00F466B2"/>
    <w:rsid w:val="00F469F8"/>
    <w:rsid w:val="00F47569"/>
    <w:rsid w:val="00F475E9"/>
    <w:rsid w:val="00F478A5"/>
    <w:rsid w:val="00F50460"/>
    <w:rsid w:val="00F50792"/>
    <w:rsid w:val="00F5192A"/>
    <w:rsid w:val="00F5211F"/>
    <w:rsid w:val="00F5374E"/>
    <w:rsid w:val="00F538C9"/>
    <w:rsid w:val="00F53AAA"/>
    <w:rsid w:val="00F54505"/>
    <w:rsid w:val="00F54786"/>
    <w:rsid w:val="00F549A5"/>
    <w:rsid w:val="00F54E3E"/>
    <w:rsid w:val="00F54EE3"/>
    <w:rsid w:val="00F560EC"/>
    <w:rsid w:val="00F56700"/>
    <w:rsid w:val="00F57B08"/>
    <w:rsid w:val="00F57CAF"/>
    <w:rsid w:val="00F63B4E"/>
    <w:rsid w:val="00F63E0F"/>
    <w:rsid w:val="00F64304"/>
    <w:rsid w:val="00F643A5"/>
    <w:rsid w:val="00F646A0"/>
    <w:rsid w:val="00F6471D"/>
    <w:rsid w:val="00F64849"/>
    <w:rsid w:val="00F65910"/>
    <w:rsid w:val="00F659CF"/>
    <w:rsid w:val="00F662A5"/>
    <w:rsid w:val="00F6654B"/>
    <w:rsid w:val="00F6665C"/>
    <w:rsid w:val="00F6698F"/>
    <w:rsid w:val="00F66C5F"/>
    <w:rsid w:val="00F66D57"/>
    <w:rsid w:val="00F66F99"/>
    <w:rsid w:val="00F671FB"/>
    <w:rsid w:val="00F67C25"/>
    <w:rsid w:val="00F70042"/>
    <w:rsid w:val="00F70449"/>
    <w:rsid w:val="00F715C6"/>
    <w:rsid w:val="00F7174E"/>
    <w:rsid w:val="00F71BBF"/>
    <w:rsid w:val="00F73333"/>
    <w:rsid w:val="00F7348B"/>
    <w:rsid w:val="00F74CF8"/>
    <w:rsid w:val="00F74F12"/>
    <w:rsid w:val="00F751DE"/>
    <w:rsid w:val="00F75233"/>
    <w:rsid w:val="00F75472"/>
    <w:rsid w:val="00F754B1"/>
    <w:rsid w:val="00F7576C"/>
    <w:rsid w:val="00F75EEE"/>
    <w:rsid w:val="00F77766"/>
    <w:rsid w:val="00F77A2F"/>
    <w:rsid w:val="00F77A6E"/>
    <w:rsid w:val="00F77DF9"/>
    <w:rsid w:val="00F804CA"/>
    <w:rsid w:val="00F80BFC"/>
    <w:rsid w:val="00F80E0A"/>
    <w:rsid w:val="00F8174F"/>
    <w:rsid w:val="00F8211D"/>
    <w:rsid w:val="00F826DA"/>
    <w:rsid w:val="00F829F1"/>
    <w:rsid w:val="00F82ABC"/>
    <w:rsid w:val="00F83969"/>
    <w:rsid w:val="00F83FBB"/>
    <w:rsid w:val="00F844DB"/>
    <w:rsid w:val="00F845C9"/>
    <w:rsid w:val="00F85BEB"/>
    <w:rsid w:val="00F85F64"/>
    <w:rsid w:val="00F86512"/>
    <w:rsid w:val="00F868D6"/>
    <w:rsid w:val="00F86937"/>
    <w:rsid w:val="00F8737E"/>
    <w:rsid w:val="00F87833"/>
    <w:rsid w:val="00F91553"/>
    <w:rsid w:val="00F919D8"/>
    <w:rsid w:val="00F91CD5"/>
    <w:rsid w:val="00F92C22"/>
    <w:rsid w:val="00F93044"/>
    <w:rsid w:val="00F930D7"/>
    <w:rsid w:val="00F93455"/>
    <w:rsid w:val="00F944B6"/>
    <w:rsid w:val="00F9461E"/>
    <w:rsid w:val="00F9587C"/>
    <w:rsid w:val="00F95902"/>
    <w:rsid w:val="00F96BA8"/>
    <w:rsid w:val="00F972BE"/>
    <w:rsid w:val="00F97B00"/>
    <w:rsid w:val="00FA012E"/>
    <w:rsid w:val="00FA02FB"/>
    <w:rsid w:val="00FA0348"/>
    <w:rsid w:val="00FA0A09"/>
    <w:rsid w:val="00FA1EAB"/>
    <w:rsid w:val="00FA24BB"/>
    <w:rsid w:val="00FA29EC"/>
    <w:rsid w:val="00FA2B50"/>
    <w:rsid w:val="00FA3687"/>
    <w:rsid w:val="00FA36B7"/>
    <w:rsid w:val="00FA4F84"/>
    <w:rsid w:val="00FA4FE5"/>
    <w:rsid w:val="00FA52CB"/>
    <w:rsid w:val="00FA5805"/>
    <w:rsid w:val="00FA5EB0"/>
    <w:rsid w:val="00FA696C"/>
    <w:rsid w:val="00FA7D99"/>
    <w:rsid w:val="00FA7DED"/>
    <w:rsid w:val="00FB0B74"/>
    <w:rsid w:val="00FB17C6"/>
    <w:rsid w:val="00FB1A21"/>
    <w:rsid w:val="00FB1A4B"/>
    <w:rsid w:val="00FB1E0D"/>
    <w:rsid w:val="00FB24F5"/>
    <w:rsid w:val="00FB4490"/>
    <w:rsid w:val="00FB4F67"/>
    <w:rsid w:val="00FB53D7"/>
    <w:rsid w:val="00FB5C48"/>
    <w:rsid w:val="00FB648B"/>
    <w:rsid w:val="00FB6D02"/>
    <w:rsid w:val="00FB6E05"/>
    <w:rsid w:val="00FB7137"/>
    <w:rsid w:val="00FB7563"/>
    <w:rsid w:val="00FC02AB"/>
    <w:rsid w:val="00FC12B7"/>
    <w:rsid w:val="00FC1335"/>
    <w:rsid w:val="00FC1AB4"/>
    <w:rsid w:val="00FC2EFA"/>
    <w:rsid w:val="00FC3B6A"/>
    <w:rsid w:val="00FC3E6F"/>
    <w:rsid w:val="00FC411C"/>
    <w:rsid w:val="00FC4351"/>
    <w:rsid w:val="00FC47A0"/>
    <w:rsid w:val="00FC4D9F"/>
    <w:rsid w:val="00FC4F1A"/>
    <w:rsid w:val="00FC5798"/>
    <w:rsid w:val="00FC5B9E"/>
    <w:rsid w:val="00FC5F71"/>
    <w:rsid w:val="00FC62CD"/>
    <w:rsid w:val="00FC6727"/>
    <w:rsid w:val="00FC6961"/>
    <w:rsid w:val="00FC6BF2"/>
    <w:rsid w:val="00FC78C4"/>
    <w:rsid w:val="00FD0077"/>
    <w:rsid w:val="00FD09AC"/>
    <w:rsid w:val="00FD1D62"/>
    <w:rsid w:val="00FD21AC"/>
    <w:rsid w:val="00FD22DA"/>
    <w:rsid w:val="00FD4573"/>
    <w:rsid w:val="00FD50A9"/>
    <w:rsid w:val="00FD5550"/>
    <w:rsid w:val="00FD587D"/>
    <w:rsid w:val="00FD5F73"/>
    <w:rsid w:val="00FD63B1"/>
    <w:rsid w:val="00FD682C"/>
    <w:rsid w:val="00FD6ACC"/>
    <w:rsid w:val="00FD796B"/>
    <w:rsid w:val="00FE066B"/>
    <w:rsid w:val="00FE08EA"/>
    <w:rsid w:val="00FE0DE0"/>
    <w:rsid w:val="00FE1220"/>
    <w:rsid w:val="00FE1D0E"/>
    <w:rsid w:val="00FE2752"/>
    <w:rsid w:val="00FE292D"/>
    <w:rsid w:val="00FE2988"/>
    <w:rsid w:val="00FE2D43"/>
    <w:rsid w:val="00FE2D67"/>
    <w:rsid w:val="00FE3252"/>
    <w:rsid w:val="00FE32CB"/>
    <w:rsid w:val="00FE353B"/>
    <w:rsid w:val="00FE39E9"/>
    <w:rsid w:val="00FE40FE"/>
    <w:rsid w:val="00FE43CB"/>
    <w:rsid w:val="00FE5137"/>
    <w:rsid w:val="00FE5563"/>
    <w:rsid w:val="00FE5763"/>
    <w:rsid w:val="00FE6714"/>
    <w:rsid w:val="00FE6E33"/>
    <w:rsid w:val="00FF0413"/>
    <w:rsid w:val="00FF0809"/>
    <w:rsid w:val="00FF0C24"/>
    <w:rsid w:val="00FF0DDA"/>
    <w:rsid w:val="00FF104A"/>
    <w:rsid w:val="00FF13AC"/>
    <w:rsid w:val="00FF1449"/>
    <w:rsid w:val="00FF181A"/>
    <w:rsid w:val="00FF2AD3"/>
    <w:rsid w:val="00FF3586"/>
    <w:rsid w:val="00FF3737"/>
    <w:rsid w:val="00FF37F3"/>
    <w:rsid w:val="00FF4357"/>
    <w:rsid w:val="00FF45E5"/>
    <w:rsid w:val="00FF4912"/>
    <w:rsid w:val="00FF4B7B"/>
    <w:rsid w:val="00FF4E92"/>
    <w:rsid w:val="00FF6191"/>
    <w:rsid w:val="00FF6650"/>
    <w:rsid w:val="00FF6D5A"/>
    <w:rsid w:val="00FF6F77"/>
    <w:rsid w:val="00FF6FAB"/>
    <w:rsid w:val="00FF701D"/>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6AE"/>
    <w:pPr>
      <w:spacing w:line="360" w:lineRule="auto"/>
      <w:ind w:firstLine="1440"/>
    </w:pPr>
    <w:rPr>
      <w:sz w:val="26"/>
      <w:szCs w:val="24"/>
    </w:rPr>
  </w:style>
  <w:style w:type="paragraph" w:styleId="Heading1">
    <w:name w:val="heading 1"/>
    <w:basedOn w:val="Normal"/>
    <w:next w:val="Normal"/>
    <w:qFormat/>
    <w:rsid w:val="00EB5D25"/>
    <w:pPr>
      <w:keepNext/>
      <w:numPr>
        <w:numId w:val="5"/>
      </w:numPr>
      <w:spacing w:line="240" w:lineRule="auto"/>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3E464E"/>
    <w:pPr>
      <w:keepNext/>
      <w:numPr>
        <w:numId w:val="11"/>
      </w:numPr>
      <w:spacing w:line="240" w:lineRule="auto"/>
      <w:outlineLvl w:val="1"/>
    </w:pPr>
    <w:rPr>
      <w:rFonts w:cs="Arial"/>
      <w:b/>
      <w:bCs/>
      <w:iCs/>
      <w:szCs w:val="28"/>
    </w:rPr>
  </w:style>
  <w:style w:type="paragraph" w:styleId="Heading3">
    <w:name w:val="heading 3"/>
    <w:basedOn w:val="Normal"/>
    <w:next w:val="Normal"/>
    <w:qFormat/>
    <w:rsid w:val="00202E10"/>
    <w:pPr>
      <w:keepNext/>
      <w:numPr>
        <w:numId w:val="6"/>
      </w:numPr>
      <w:spacing w:line="240" w:lineRule="auto"/>
      <w:ind w:left="2160" w:hanging="720"/>
      <w:outlineLvl w:val="2"/>
    </w:pPr>
    <w:rPr>
      <w:rFonts w:cs="Arial"/>
      <w:b/>
      <w:bCs/>
      <w:szCs w:val="26"/>
    </w:rPr>
  </w:style>
  <w:style w:type="paragraph" w:styleId="Heading4">
    <w:name w:val="heading 4"/>
    <w:basedOn w:val="Normal"/>
    <w:qFormat/>
    <w:rsid w:val="00FF6650"/>
    <w:pPr>
      <w:numPr>
        <w:numId w:val="19"/>
      </w:numPr>
      <w:spacing w:line="240" w:lineRule="auto"/>
      <w:ind w:left="288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uiPriority w:val="99"/>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uiPriority w:val="99"/>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link w:val="FooterChar"/>
    <w:uiPriority w:val="99"/>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uiPriority w:val="99"/>
    <w:rsid w:val="00216F09"/>
    <w:rPr>
      <w:rFonts w:ascii="Tahoma" w:hAnsi="Tahoma" w:cs="Tahoma"/>
      <w:sz w:val="16"/>
      <w:szCs w:val="16"/>
    </w:rPr>
  </w:style>
  <w:style w:type="character" w:customStyle="1" w:styleId="BalloonTextChar">
    <w:name w:val="Balloon Text Char"/>
    <w:link w:val="BalloonText"/>
    <w:uiPriority w:val="99"/>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CB1AA1"/>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6AE"/>
    <w:pPr>
      <w:spacing w:line="360" w:lineRule="auto"/>
      <w:ind w:firstLine="1440"/>
    </w:pPr>
    <w:rPr>
      <w:sz w:val="26"/>
      <w:szCs w:val="24"/>
    </w:rPr>
  </w:style>
  <w:style w:type="paragraph" w:styleId="Heading1">
    <w:name w:val="heading 1"/>
    <w:basedOn w:val="Normal"/>
    <w:next w:val="Normal"/>
    <w:qFormat/>
    <w:rsid w:val="00EB5D25"/>
    <w:pPr>
      <w:keepNext/>
      <w:numPr>
        <w:numId w:val="5"/>
      </w:numPr>
      <w:spacing w:line="240" w:lineRule="auto"/>
      <w:ind w:hanging="720"/>
      <w:outlineLvl w:val="0"/>
    </w:pPr>
    <w:rPr>
      <w:rFonts w:ascii="Times New Roman Bold" w:hAnsi="Times New Roman Bold" w:cs="Arial"/>
      <w:b/>
      <w:bCs/>
      <w:kern w:val="32"/>
      <w:szCs w:val="32"/>
    </w:rPr>
  </w:style>
  <w:style w:type="paragraph" w:styleId="Heading2">
    <w:name w:val="heading 2"/>
    <w:basedOn w:val="Normal"/>
    <w:next w:val="Normal"/>
    <w:qFormat/>
    <w:rsid w:val="003E464E"/>
    <w:pPr>
      <w:keepNext/>
      <w:numPr>
        <w:numId w:val="11"/>
      </w:numPr>
      <w:spacing w:line="240" w:lineRule="auto"/>
      <w:outlineLvl w:val="1"/>
    </w:pPr>
    <w:rPr>
      <w:rFonts w:cs="Arial"/>
      <w:b/>
      <w:bCs/>
      <w:iCs/>
      <w:szCs w:val="28"/>
    </w:rPr>
  </w:style>
  <w:style w:type="paragraph" w:styleId="Heading3">
    <w:name w:val="heading 3"/>
    <w:basedOn w:val="Normal"/>
    <w:next w:val="Normal"/>
    <w:qFormat/>
    <w:rsid w:val="00202E10"/>
    <w:pPr>
      <w:keepNext/>
      <w:numPr>
        <w:numId w:val="6"/>
      </w:numPr>
      <w:spacing w:line="240" w:lineRule="auto"/>
      <w:ind w:left="2160" w:hanging="720"/>
      <w:outlineLvl w:val="2"/>
    </w:pPr>
    <w:rPr>
      <w:rFonts w:cs="Arial"/>
      <w:b/>
      <w:bCs/>
      <w:szCs w:val="26"/>
    </w:rPr>
  </w:style>
  <w:style w:type="paragraph" w:styleId="Heading4">
    <w:name w:val="heading 4"/>
    <w:basedOn w:val="Normal"/>
    <w:qFormat/>
    <w:rsid w:val="00FF6650"/>
    <w:pPr>
      <w:numPr>
        <w:numId w:val="19"/>
      </w:numPr>
      <w:spacing w:line="240" w:lineRule="auto"/>
      <w:ind w:left="288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uiPriority w:val="99"/>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uiPriority w:val="99"/>
    <w:rsid w:val="007C4D87"/>
    <w:rPr>
      <w:vertAlign w:val="superscript"/>
    </w:rPr>
  </w:style>
  <w:style w:type="character" w:styleId="Hyperlink">
    <w:name w:val="Hyperlink"/>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link w:val="FooterChar"/>
    <w:uiPriority w:val="99"/>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rsid w:val="00BC175D"/>
    <w:rPr>
      <w:b/>
      <w:bCs/>
    </w:rPr>
  </w:style>
  <w:style w:type="character" w:customStyle="1" w:styleId="pmterms11">
    <w:name w:val="pmterms11"/>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uiPriority w:val="99"/>
    <w:rsid w:val="00216F09"/>
    <w:rPr>
      <w:rFonts w:ascii="Tahoma" w:hAnsi="Tahoma" w:cs="Tahoma"/>
      <w:sz w:val="16"/>
      <w:szCs w:val="16"/>
    </w:rPr>
  </w:style>
  <w:style w:type="character" w:customStyle="1" w:styleId="BalloonTextChar">
    <w:name w:val="Balloon Text Char"/>
    <w:link w:val="BalloonText"/>
    <w:uiPriority w:val="99"/>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2B7574"/>
    <w:pPr>
      <w:ind w:left="720"/>
    </w:pPr>
  </w:style>
  <w:style w:type="paragraph" w:styleId="EndnoteText">
    <w:name w:val="endnote text"/>
    <w:basedOn w:val="Normal"/>
    <w:link w:val="EndnoteTextChar"/>
    <w:rsid w:val="00CF4B7A"/>
    <w:rPr>
      <w:sz w:val="20"/>
      <w:szCs w:val="20"/>
    </w:rPr>
  </w:style>
  <w:style w:type="character" w:customStyle="1" w:styleId="EndnoteTextChar">
    <w:name w:val="Endnote Text Char"/>
    <w:basedOn w:val="DefaultParagraphFont"/>
    <w:link w:val="EndnoteText"/>
    <w:rsid w:val="00CF4B7A"/>
  </w:style>
  <w:style w:type="character" w:styleId="EndnoteReference">
    <w:name w:val="endnote reference"/>
    <w:rsid w:val="00CF4B7A"/>
    <w:rPr>
      <w:vertAlign w:val="superscript"/>
    </w:rPr>
  </w:style>
  <w:style w:type="paragraph" w:customStyle="1" w:styleId="ParaTab1">
    <w:name w:val="ParaTab 1"/>
    <w:rsid w:val="002159FA"/>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CB1AA1"/>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3380577">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0421002-0BF8-4CF0-82ED-1BA9207E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26</Pages>
  <Words>6201</Words>
  <Characters>35346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41465</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10</cp:revision>
  <cp:lastPrinted>2014-01-09T14:27:00Z</cp:lastPrinted>
  <dcterms:created xsi:type="dcterms:W3CDTF">2013-12-16T22:17:00Z</dcterms:created>
  <dcterms:modified xsi:type="dcterms:W3CDTF">2014-01-09T14:27:00Z</dcterms:modified>
</cp:coreProperties>
</file>