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0D5109" w:rsidP="000D5109">
      <w:pPr>
        <w:spacing w:line="240" w:lineRule="auto"/>
        <w:rPr>
          <w:b/>
        </w:rPr>
      </w:pPr>
      <w:r>
        <w:rPr>
          <w:b/>
        </w:rPr>
        <w:t>BEFORE THE</w:t>
      </w:r>
    </w:p>
    <w:p w:rsidR="000D5109" w:rsidRDefault="000D5109" w:rsidP="000D5109">
      <w:pPr>
        <w:spacing w:line="240" w:lineRule="auto"/>
        <w:rPr>
          <w:b/>
        </w:rPr>
      </w:pPr>
      <w:r>
        <w:rPr>
          <w:b/>
        </w:rPr>
        <w:t>PENNSYLVANIA PUBLIC UTILITY COMMISSION</w:t>
      </w:r>
    </w:p>
    <w:p w:rsidR="000D5109" w:rsidRDefault="000D5109" w:rsidP="000D5109">
      <w:pPr>
        <w:spacing w:line="240" w:lineRule="auto"/>
        <w:rPr>
          <w:b/>
        </w:rPr>
      </w:pPr>
    </w:p>
    <w:p w:rsidR="000D5109" w:rsidRDefault="000D5109" w:rsidP="000D5109">
      <w:pPr>
        <w:spacing w:line="240" w:lineRule="auto"/>
        <w:rPr>
          <w:b/>
        </w:rPr>
      </w:pPr>
    </w:p>
    <w:p w:rsidR="000D5109" w:rsidRDefault="000D5109" w:rsidP="000D5109">
      <w:pPr>
        <w:spacing w:line="240" w:lineRule="auto"/>
        <w:jc w:val="left"/>
      </w:pPr>
      <w:r>
        <w:t>Henry Gonzalez</w:t>
      </w:r>
      <w:r>
        <w:tab/>
      </w:r>
      <w:r>
        <w:tab/>
      </w:r>
      <w:r>
        <w:tab/>
      </w:r>
      <w:r>
        <w:tab/>
      </w:r>
      <w:r>
        <w:tab/>
        <w:t>:</w:t>
      </w:r>
    </w:p>
    <w:p w:rsidR="000D5109" w:rsidRDefault="000D5109" w:rsidP="000D5109">
      <w:pPr>
        <w:spacing w:line="240" w:lineRule="auto"/>
        <w:jc w:val="left"/>
      </w:pPr>
      <w:r>
        <w:tab/>
      </w:r>
      <w:r>
        <w:tab/>
      </w:r>
      <w:r>
        <w:tab/>
      </w:r>
      <w:r>
        <w:tab/>
      </w:r>
      <w:r>
        <w:tab/>
      </w:r>
      <w:r>
        <w:tab/>
      </w:r>
      <w:r>
        <w:tab/>
        <w:t>:</w:t>
      </w:r>
    </w:p>
    <w:p w:rsidR="000D5109" w:rsidRDefault="000D5109" w:rsidP="000D5109">
      <w:pPr>
        <w:spacing w:line="240" w:lineRule="auto"/>
        <w:jc w:val="left"/>
      </w:pPr>
      <w:r>
        <w:tab/>
        <w:t>v.</w:t>
      </w:r>
      <w:r>
        <w:tab/>
      </w:r>
      <w:r>
        <w:tab/>
      </w:r>
      <w:r>
        <w:tab/>
      </w:r>
      <w:r>
        <w:tab/>
      </w:r>
      <w:r>
        <w:tab/>
      </w:r>
      <w:r>
        <w:tab/>
        <w:t>:</w:t>
      </w:r>
      <w:r>
        <w:tab/>
      </w:r>
      <w:r>
        <w:tab/>
      </w:r>
      <w:r>
        <w:tab/>
        <w:t>C-2013-2393573</w:t>
      </w:r>
    </w:p>
    <w:p w:rsidR="000D5109" w:rsidRDefault="000D5109" w:rsidP="000D5109">
      <w:pPr>
        <w:spacing w:line="240" w:lineRule="auto"/>
        <w:jc w:val="left"/>
      </w:pPr>
      <w:r>
        <w:tab/>
      </w:r>
      <w:r>
        <w:tab/>
      </w:r>
      <w:r>
        <w:tab/>
      </w:r>
      <w:r>
        <w:tab/>
      </w:r>
      <w:r>
        <w:tab/>
      </w:r>
      <w:r>
        <w:tab/>
      </w:r>
      <w:r>
        <w:tab/>
        <w:t>:</w:t>
      </w:r>
      <w:r w:rsidR="001E49A1">
        <w:tab/>
      </w:r>
      <w:r w:rsidR="001E49A1">
        <w:tab/>
      </w:r>
      <w:r w:rsidR="001E49A1">
        <w:tab/>
        <w:t>C-2013-2392521</w:t>
      </w:r>
    </w:p>
    <w:p w:rsidR="000D5109" w:rsidRDefault="000D5109" w:rsidP="000D5109">
      <w:pPr>
        <w:spacing w:line="240" w:lineRule="auto"/>
        <w:jc w:val="left"/>
      </w:pPr>
      <w:r>
        <w:t>Philadelphia Gas Works</w:t>
      </w:r>
      <w:r>
        <w:tab/>
      </w:r>
      <w:r>
        <w:tab/>
      </w:r>
      <w:r>
        <w:tab/>
      </w:r>
      <w:r>
        <w:tab/>
        <w:t>:</w:t>
      </w:r>
    </w:p>
    <w:p w:rsidR="001E49A1" w:rsidRDefault="001E49A1" w:rsidP="000D5109">
      <w:pPr>
        <w:spacing w:line="240" w:lineRule="auto"/>
        <w:jc w:val="left"/>
      </w:pPr>
    </w:p>
    <w:p w:rsidR="000D5109" w:rsidRDefault="000D5109" w:rsidP="000D5109">
      <w:pPr>
        <w:spacing w:line="240" w:lineRule="auto"/>
        <w:jc w:val="left"/>
      </w:pPr>
    </w:p>
    <w:p w:rsidR="000D5109" w:rsidRDefault="000D5109" w:rsidP="000D5109">
      <w:pPr>
        <w:spacing w:line="240" w:lineRule="auto"/>
        <w:jc w:val="left"/>
      </w:pPr>
    </w:p>
    <w:p w:rsidR="00E70DE8" w:rsidRDefault="00C64595" w:rsidP="000D5109">
      <w:pPr>
        <w:spacing w:line="240" w:lineRule="auto"/>
        <w:rPr>
          <w:b/>
        </w:rPr>
      </w:pPr>
      <w:r>
        <w:rPr>
          <w:b/>
        </w:rPr>
        <w:t xml:space="preserve"> PREHEARING </w:t>
      </w:r>
      <w:r w:rsidR="000807DC">
        <w:rPr>
          <w:b/>
        </w:rPr>
        <w:t xml:space="preserve">ORDER </w:t>
      </w:r>
    </w:p>
    <w:p w:rsidR="00E70DE8" w:rsidRDefault="00E70DE8" w:rsidP="000D5109">
      <w:pPr>
        <w:spacing w:line="240" w:lineRule="auto"/>
        <w:rPr>
          <w:b/>
        </w:rPr>
      </w:pPr>
    </w:p>
    <w:p w:rsidR="00E70DE8" w:rsidRDefault="00E70DE8" w:rsidP="000D5109">
      <w:pPr>
        <w:spacing w:line="240" w:lineRule="auto"/>
        <w:rPr>
          <w:b/>
        </w:rPr>
      </w:pPr>
      <w:r>
        <w:rPr>
          <w:b/>
        </w:rPr>
        <w:t xml:space="preserve">CONSOLIDATING THE DOCKETS, </w:t>
      </w:r>
      <w:r w:rsidR="000807DC">
        <w:rPr>
          <w:b/>
        </w:rPr>
        <w:t xml:space="preserve">GRANTING IN PART AND DENYING </w:t>
      </w:r>
    </w:p>
    <w:p w:rsidR="000D5109" w:rsidRDefault="000807DC" w:rsidP="000D5109">
      <w:pPr>
        <w:spacing w:line="240" w:lineRule="auto"/>
      </w:pPr>
      <w:r>
        <w:rPr>
          <w:b/>
        </w:rPr>
        <w:t>IN PART THE PRELIMINARY OBJECTIONS OF PHILADELPHIA GAS WORKS</w:t>
      </w:r>
      <w:r w:rsidR="00E70DE8">
        <w:rPr>
          <w:b/>
        </w:rPr>
        <w:t>, AND PROVIDING PREHEARING DIRECTION</w:t>
      </w:r>
    </w:p>
    <w:p w:rsidR="000D5109" w:rsidRDefault="000D5109" w:rsidP="000D5109">
      <w:pPr>
        <w:spacing w:line="240" w:lineRule="auto"/>
      </w:pPr>
    </w:p>
    <w:p w:rsidR="000D5109" w:rsidRDefault="000D5109" w:rsidP="000D5109">
      <w:pPr>
        <w:spacing w:line="240" w:lineRule="auto"/>
      </w:pPr>
    </w:p>
    <w:p w:rsidR="000D5109" w:rsidRDefault="000D5109" w:rsidP="000D5109">
      <w:pPr>
        <w:spacing w:line="240" w:lineRule="auto"/>
        <w:rPr>
          <w:u w:val="single"/>
        </w:rPr>
      </w:pPr>
    </w:p>
    <w:p w:rsidR="000D5109" w:rsidRPr="000D5109" w:rsidRDefault="000D5109" w:rsidP="000D5109">
      <w:pPr>
        <w:jc w:val="left"/>
      </w:pPr>
      <w:r>
        <w:tab/>
      </w:r>
      <w:r>
        <w:tab/>
        <w:t xml:space="preserve">The purpose of this </w:t>
      </w:r>
      <w:r w:rsidR="000807DC">
        <w:t>Order</w:t>
      </w:r>
      <w:r>
        <w:t xml:space="preserve"> is to </w:t>
      </w:r>
      <w:r w:rsidR="001E49A1">
        <w:t>consolidate two complaints</w:t>
      </w:r>
      <w:r w:rsidR="00E70DE8">
        <w:t xml:space="preserve">, </w:t>
      </w:r>
      <w:r w:rsidR="001E49A1">
        <w:t xml:space="preserve">to </w:t>
      </w:r>
      <w:r>
        <w:t xml:space="preserve">grant the preliminary objections </w:t>
      </w:r>
      <w:r w:rsidR="000807DC">
        <w:t>in part by clearly stating the portion of the complaint which can be evaluated in a formal Commission proceeding and by denying the request to dis</w:t>
      </w:r>
      <w:r>
        <w:t xml:space="preserve">miss the </w:t>
      </w:r>
      <w:r w:rsidR="000807DC">
        <w:t>entire</w:t>
      </w:r>
      <w:r>
        <w:t xml:space="preserve"> co</w:t>
      </w:r>
      <w:r w:rsidR="000807DC">
        <w:t>mplaint</w:t>
      </w:r>
      <w:r w:rsidR="00E70DE8">
        <w:t>, and providing guidance for the scheduled evidentiary hearing</w:t>
      </w:r>
      <w:r>
        <w:t>.</w:t>
      </w:r>
    </w:p>
    <w:p w:rsidR="000D5109" w:rsidRDefault="000D5109" w:rsidP="000D5109">
      <w:pPr>
        <w:spacing w:line="240" w:lineRule="auto"/>
      </w:pPr>
    </w:p>
    <w:p w:rsidR="001E49A1" w:rsidRDefault="000D5109" w:rsidP="000D5109">
      <w:pPr>
        <w:jc w:val="left"/>
      </w:pPr>
      <w:r>
        <w:tab/>
      </w:r>
      <w:r>
        <w:tab/>
        <w:t xml:space="preserve">On </w:t>
      </w:r>
      <w:r w:rsidR="001E49A1">
        <w:t xml:space="preserve">October 21, 2013, </w:t>
      </w:r>
      <w:r>
        <w:t>Henry Gonzalez (Complainant)</w:t>
      </w:r>
      <w:r w:rsidR="00E0709B">
        <w:t>, represented by Peter Katevatis, Esq.,</w:t>
      </w:r>
      <w:r>
        <w:t xml:space="preserve"> filed a formal Complaint </w:t>
      </w:r>
      <w:r w:rsidR="005C0AC2">
        <w:t xml:space="preserve">(First Complaint) </w:t>
      </w:r>
      <w:r>
        <w:t>against Philadelphia Gas Works (PGW or respondent or utility) alleging that he had</w:t>
      </w:r>
      <w:r w:rsidR="001E49A1">
        <w:t xml:space="preserve"> received notice of a municipal lien placed on his property at 15117 Beverly Drive, Philadelphia in the amount of $9744.22 with no explanation of how this amount accrued.  Complainant attempted to discern the policies of PGW regarding notice to property owners and for filing a criminal complaint when PGW knows that a crime, here theft of gas, has been committed.  </w:t>
      </w:r>
      <w:r w:rsidR="005C0AC2">
        <w:t xml:space="preserve">Docket No. C-2013-2392521 was assigned to the First Complaint. </w:t>
      </w:r>
    </w:p>
    <w:p w:rsidR="00E0709B" w:rsidRDefault="00E0709B" w:rsidP="000D5109">
      <w:pPr>
        <w:jc w:val="left"/>
      </w:pPr>
    </w:p>
    <w:p w:rsidR="00190539" w:rsidRDefault="00E0709B" w:rsidP="000D5109">
      <w:pPr>
        <w:jc w:val="left"/>
      </w:pPr>
      <w:r>
        <w:tab/>
      </w:r>
      <w:r>
        <w:tab/>
        <w:t xml:space="preserve">On November 12, 2013, Complainant, again represented by Peter Katevatis, Esq., filed a second Complaint </w:t>
      </w:r>
      <w:r w:rsidR="005C0AC2">
        <w:t xml:space="preserve">(Second Complaint) </w:t>
      </w:r>
      <w:r>
        <w:t xml:space="preserve">against PGW alleging that PGW's billing, in the form of a municipal lien, was unjustified and incorrect as PGW had failed to properly notify the property owner of the situation prior to filing the lien; that PGW was negligent in failing to shut </w:t>
      </w:r>
      <w:r>
        <w:lastRenderedPageBreak/>
        <w:t xml:space="preserve">off gas service to the premises for an unreasonable length of time, and that the lack of PGW's mitigating action results in its being responsible for the bill, not the property owner.  </w:t>
      </w:r>
      <w:r w:rsidR="005C0AC2">
        <w:t>Docket No. C-2013-2393573 was assigned to the Second Complaint.</w:t>
      </w:r>
    </w:p>
    <w:p w:rsidR="005C0AC2" w:rsidRDefault="005C0AC2" w:rsidP="000D5109">
      <w:pPr>
        <w:jc w:val="left"/>
      </w:pPr>
    </w:p>
    <w:p w:rsidR="005C0AC2" w:rsidRDefault="005C0AC2" w:rsidP="000D5109">
      <w:pPr>
        <w:jc w:val="left"/>
      </w:pPr>
      <w:r>
        <w:tab/>
      </w:r>
      <w:r>
        <w:tab/>
        <w:t>On November 14, 2013, the Commission's Secretary served the First Complaint on PGW.  On November 21, 2013, the Commission's Secretary served the Second Complaint on PGW.</w:t>
      </w:r>
    </w:p>
    <w:p w:rsidR="005C0AC2" w:rsidRDefault="005C0AC2" w:rsidP="000D5109">
      <w:pPr>
        <w:jc w:val="left"/>
      </w:pPr>
    </w:p>
    <w:p w:rsidR="00190539" w:rsidRDefault="00190539" w:rsidP="000D5109">
      <w:pPr>
        <w:jc w:val="left"/>
      </w:pPr>
      <w:r>
        <w:tab/>
      </w:r>
      <w:r>
        <w:tab/>
      </w:r>
      <w:r w:rsidR="00936B5A">
        <w:t>On December 4, 2013, PGW filed its Answer and Preliminary Objections</w:t>
      </w:r>
      <w:r w:rsidR="005C0AC2">
        <w:t xml:space="preserve"> to the First Complaint</w:t>
      </w:r>
      <w:r w:rsidR="00936B5A">
        <w:t>.  In its Answer, PGW averred that on Augu</w:t>
      </w:r>
      <w:r w:rsidR="00E0709B">
        <w:t>st</w:t>
      </w:r>
      <w:r w:rsidR="00936B5A">
        <w:t xml:space="preserve"> 10, 2004, PGW terminated the gas service at the service address for nonpayment.  On August 6, 2013, PGW was conducting an unbilled use investigation at the service address and found the gas on with an "unknown" meter at the property.  PGW removed the meter and shut off service.  </w:t>
      </w:r>
      <w:r w:rsidR="008D7D48">
        <w:t xml:space="preserve">On August 7, 2013, </w:t>
      </w:r>
      <w:proofErr w:type="spellStart"/>
      <w:r w:rsidR="008D7D48">
        <w:t>Melicia</w:t>
      </w:r>
      <w:proofErr w:type="spellEnd"/>
      <w:r w:rsidR="008D7D48">
        <w:t xml:space="preserve"> McDonald applied for service at the service address.  PGW determined that </w:t>
      </w:r>
      <w:proofErr w:type="spellStart"/>
      <w:r w:rsidR="008D7D48">
        <w:t>Melicia</w:t>
      </w:r>
      <w:proofErr w:type="spellEnd"/>
      <w:r w:rsidR="008D7D48">
        <w:t xml:space="preserve"> McDonald was linked to the service address since 2001 and billed her account for unauthorized usage from August 6, 2009 through August 19, 2013, for $9,744.22.  On August 19, 2013, the City of Philadelphia, as owner of PGW, filed a municipal lien against the service address.</w:t>
      </w:r>
    </w:p>
    <w:p w:rsidR="008D7D48" w:rsidRDefault="008D7D48" w:rsidP="000D5109">
      <w:pPr>
        <w:jc w:val="left"/>
      </w:pPr>
    </w:p>
    <w:p w:rsidR="008D7D48" w:rsidRDefault="008D7D48" w:rsidP="000D5109">
      <w:pPr>
        <w:jc w:val="left"/>
      </w:pPr>
      <w:r>
        <w:tab/>
      </w:r>
      <w:r>
        <w:tab/>
        <w:t>The POs seek dismissal of the request for removal of the lien as beyond the jurisdiction of the Commission</w:t>
      </w:r>
      <w:r w:rsidR="00F04F5E">
        <w:t>.</w:t>
      </w:r>
    </w:p>
    <w:p w:rsidR="00F04F5E" w:rsidRDefault="00F04F5E" w:rsidP="000D5109">
      <w:pPr>
        <w:jc w:val="left"/>
      </w:pPr>
    </w:p>
    <w:p w:rsidR="00F04F5E" w:rsidRDefault="00F04F5E" w:rsidP="000D5109">
      <w:pPr>
        <w:jc w:val="left"/>
      </w:pPr>
      <w:r>
        <w:tab/>
      </w:r>
      <w:r>
        <w:tab/>
        <w:t>On December 10, 2013, Complainant filed his response to POs which contests PGW's claim that the Commission is without jurisdiction to address the Complaint as there is an issue of whether PGW provided proper notice under the Public Utility Code</w:t>
      </w:r>
      <w:r w:rsidR="00E0709B">
        <w:t>.</w:t>
      </w:r>
    </w:p>
    <w:p w:rsidR="001E49A1" w:rsidRDefault="001E49A1" w:rsidP="000D5109">
      <w:pPr>
        <w:jc w:val="left"/>
      </w:pPr>
    </w:p>
    <w:p w:rsidR="000807DC" w:rsidRDefault="000807DC" w:rsidP="000D5109">
      <w:pPr>
        <w:jc w:val="left"/>
      </w:pPr>
      <w:r>
        <w:tab/>
      </w:r>
      <w:r>
        <w:tab/>
        <w:t>On December 11, 2013, PGW filed its Answer and Preliminary Objections (POs)</w:t>
      </w:r>
      <w:r w:rsidR="005C0AC2">
        <w:t xml:space="preserve"> to the Second Complaint</w:t>
      </w:r>
      <w:r>
        <w:t>.  The Answer admits that a lien of $9,744.22 was filed against the property at 15117 Beverly Drive, Philadelphia PA in August 2013</w:t>
      </w:r>
      <w:r w:rsidR="00791435">
        <w:t xml:space="preserve"> but denies that the action was inappropriate.  Rather, PGW avers that it terminated service at the subject address on August 10, 2004 for nonpayment.  On August 6, 2013, PGW was conducting an unbilled use investigation at the service address and found the gas on with an "unknown" meter at the property.  PGW </w:t>
      </w:r>
      <w:r w:rsidR="00791435">
        <w:lastRenderedPageBreak/>
        <w:t xml:space="preserve">removed the meter and shut off service.  On August 7, 2013, </w:t>
      </w:r>
      <w:proofErr w:type="spellStart"/>
      <w:r w:rsidR="00791435">
        <w:t>Melicia</w:t>
      </w:r>
      <w:proofErr w:type="spellEnd"/>
      <w:r w:rsidR="00791435">
        <w:t xml:space="preserve"> McDonald applied for service at the service address.  PGW determined that </w:t>
      </w:r>
      <w:proofErr w:type="spellStart"/>
      <w:r w:rsidR="00791435">
        <w:t>Melicia</w:t>
      </w:r>
      <w:proofErr w:type="spellEnd"/>
      <w:r w:rsidR="00791435">
        <w:t xml:space="preserve"> McDonald was linked to the service address since 2001 and billed her account for unauthorized usage from August 6, 2009 through August 19, 2013, for $9,744.22.  On August 19, 2013, the City of Philadelphia, as owner of PGW, filed a municipal lien against the service address.</w:t>
      </w:r>
    </w:p>
    <w:p w:rsidR="00791435" w:rsidRDefault="00791435" w:rsidP="000D5109">
      <w:pPr>
        <w:jc w:val="left"/>
      </w:pPr>
    </w:p>
    <w:p w:rsidR="00791435" w:rsidRDefault="00791435" w:rsidP="000D5109">
      <w:pPr>
        <w:jc w:val="left"/>
      </w:pPr>
      <w:r>
        <w:tab/>
      </w:r>
      <w:r>
        <w:tab/>
        <w:t>The POs repeat the allegations in the Answer and state further that POs may be based upon impertinent matter, which is what a formal complaint against the filing of a municipal lien is.  The POs move to strike the requested relief as impertinent matter and dismiss the Complaint for lack of jurisdiction.</w:t>
      </w:r>
    </w:p>
    <w:p w:rsidR="005C0AC2" w:rsidRDefault="005C0AC2" w:rsidP="000D5109">
      <w:pPr>
        <w:jc w:val="left"/>
      </w:pPr>
    </w:p>
    <w:p w:rsidR="005C0AC2" w:rsidRDefault="005C0AC2" w:rsidP="000D5109">
      <w:pPr>
        <w:jc w:val="left"/>
      </w:pPr>
      <w:r>
        <w:tab/>
      </w:r>
      <w:r>
        <w:tab/>
        <w:t>On December 30, 2013, the First Complaint was assigned to Administrative Law Judge Kandace Melillo by Motion Judge Assignment Notice.</w:t>
      </w:r>
    </w:p>
    <w:p w:rsidR="00791435" w:rsidRDefault="00791435" w:rsidP="000D5109">
      <w:pPr>
        <w:jc w:val="left"/>
      </w:pPr>
    </w:p>
    <w:p w:rsidR="00791435" w:rsidRDefault="00791435" w:rsidP="000D5109">
      <w:pPr>
        <w:jc w:val="left"/>
      </w:pPr>
      <w:r>
        <w:tab/>
      </w:r>
      <w:r>
        <w:tab/>
      </w:r>
      <w:r w:rsidR="002B656B">
        <w:t xml:space="preserve">On January 6, 2014, a telephonic hearing notice scheduled the </w:t>
      </w:r>
      <w:r w:rsidR="005C0AC2">
        <w:t xml:space="preserve">Second </w:t>
      </w:r>
      <w:proofErr w:type="gramStart"/>
      <w:r w:rsidR="005C0AC2">
        <w:t xml:space="preserve">Complaint </w:t>
      </w:r>
      <w:r w:rsidR="002B656B">
        <w:t xml:space="preserve"> for</w:t>
      </w:r>
      <w:proofErr w:type="gramEnd"/>
      <w:r w:rsidR="002B656B">
        <w:t xml:space="preserve"> hearing on February 6, 2013, and </w:t>
      </w:r>
      <w:r>
        <w:t xml:space="preserve">assigned </w:t>
      </w:r>
      <w:r w:rsidR="002B656B">
        <w:t xml:space="preserve">the matter </w:t>
      </w:r>
      <w:r>
        <w:t>to me</w:t>
      </w:r>
      <w:r w:rsidR="002B656B">
        <w:t>.</w:t>
      </w:r>
    </w:p>
    <w:p w:rsidR="00791435" w:rsidRDefault="00791435" w:rsidP="000D5109">
      <w:pPr>
        <w:jc w:val="left"/>
      </w:pPr>
    </w:p>
    <w:p w:rsidR="00242292" w:rsidRDefault="00791435" w:rsidP="00242292">
      <w:pPr>
        <w:jc w:val="left"/>
        <w:rPr>
          <w:u w:val="single"/>
        </w:rPr>
      </w:pPr>
      <w:r>
        <w:tab/>
      </w:r>
      <w:r>
        <w:tab/>
        <w:t xml:space="preserve">The time for filing a response to the POs has run and no responsive pleading has been filed.  </w:t>
      </w:r>
      <w:r w:rsidR="002B656B">
        <w:t xml:space="preserve">The POs </w:t>
      </w:r>
      <w:r w:rsidR="00242292">
        <w:t xml:space="preserve">in both dockets </w:t>
      </w:r>
      <w:r w:rsidR="002B656B">
        <w:t>are ripe for disposition.</w:t>
      </w:r>
      <w:r w:rsidR="00242292">
        <w:t xml:space="preserve">  The two dockets involve the same parties and make the same claims arising from the same set of facts.  Consolidation is justified for the sake of judicial efficiency and will result in no prejudice to either party.  </w:t>
      </w:r>
      <w:r w:rsidR="00242292">
        <w:rPr>
          <w:i/>
        </w:rPr>
        <w:t xml:space="preserve">See </w:t>
      </w:r>
      <w:proofErr w:type="spellStart"/>
      <w:r w:rsidR="00242292">
        <w:t>Pa.R.C.P</w:t>
      </w:r>
      <w:proofErr w:type="spellEnd"/>
      <w:r w:rsidR="00242292">
        <w:t xml:space="preserve">. 213.  Consequently, the First Complaint was reassigned to me, and in this Order, the two dockets are consolidated.  </w:t>
      </w:r>
    </w:p>
    <w:p w:rsidR="002B656B" w:rsidRDefault="002B656B" w:rsidP="000D5109">
      <w:pPr>
        <w:jc w:val="left"/>
      </w:pPr>
    </w:p>
    <w:p w:rsidR="002B656B" w:rsidRDefault="002B656B" w:rsidP="002B656B">
      <w:pPr>
        <w:rPr>
          <w:u w:val="single"/>
        </w:rPr>
      </w:pPr>
      <w:r>
        <w:rPr>
          <w:u w:val="single"/>
        </w:rPr>
        <w:t>DISCUSSION</w:t>
      </w:r>
    </w:p>
    <w:p w:rsidR="002B656B" w:rsidRDefault="002B656B" w:rsidP="002B656B">
      <w:pPr>
        <w:rPr>
          <w:u w:val="single"/>
        </w:rPr>
      </w:pPr>
    </w:p>
    <w:p w:rsidR="002B656B" w:rsidRDefault="005C0AC2" w:rsidP="002B656B">
      <w:pPr>
        <w:jc w:val="left"/>
      </w:pPr>
      <w:r>
        <w:tab/>
      </w:r>
      <w:r>
        <w:tab/>
      </w:r>
      <w:r w:rsidR="002B656B">
        <w:tab/>
      </w:r>
      <w:r w:rsidR="002B656B">
        <w:tab/>
        <w:t xml:space="preserve">Commission preliminary objection practice is similar to Pennsylvania civil practice.  </w:t>
      </w:r>
      <w:r w:rsidR="002B656B">
        <w:rPr>
          <w:i/>
        </w:rPr>
        <w:t xml:space="preserve">Equitable Small Transportation Interveners v. Equitable Gas Company, </w:t>
      </w:r>
      <w:r w:rsidR="002B656B">
        <w:t xml:space="preserve">1994 </w:t>
      </w:r>
      <w:smartTag w:uri="urn:schemas-microsoft-com:office:smarttags" w:element="place">
        <w:smartTag w:uri="urn:schemas-microsoft-com:office:smarttags" w:element="State">
          <w:r w:rsidR="002B656B">
            <w:t>Pa.</w:t>
          </w:r>
        </w:smartTag>
      </w:smartTag>
      <w:r w:rsidR="002B656B">
        <w:t xml:space="preserve"> PUC LEXIS 69, PUC Docket No. </w:t>
      </w:r>
      <w:proofErr w:type="gramStart"/>
      <w:r w:rsidR="002B656B">
        <w:t>C-000935435 (July 18, 1994).</w:t>
      </w:r>
      <w:proofErr w:type="gramEnd"/>
      <w:r w:rsidR="002B656B">
        <w:t xml:space="preserve">  When considering the preliminary objection, the Commission must determine “whether the law says with certainty, based on well-pleaded factual averments . . . that no recovery or relief is possible.  </w:t>
      </w:r>
      <w:proofErr w:type="gramStart"/>
      <w:r w:rsidR="002B656B">
        <w:rPr>
          <w:i/>
        </w:rPr>
        <w:lastRenderedPageBreak/>
        <w:t xml:space="preserve">P. J. S. v. Pa. State Ethics Commission, </w:t>
      </w:r>
      <w:r w:rsidR="002B656B">
        <w:t>669 A.2d 1105 (Pa.Cmwlth. 1996).</w:t>
      </w:r>
      <w:proofErr w:type="gramEnd"/>
      <w:r w:rsidR="002B656B">
        <w:t xml:space="preserve">  Any doubt must be resolved in favor of the non-moving party by refusing to sustain the preliminary objections.  </w:t>
      </w:r>
      <w:proofErr w:type="gramStart"/>
      <w:r w:rsidR="002B656B">
        <w:rPr>
          <w:i/>
        </w:rPr>
        <w:t xml:space="preserve">Boyd v. Ward, </w:t>
      </w:r>
      <w:r w:rsidR="002B656B">
        <w:t>802 A.2d 705 (Pa.Cmwlth. 2002).”</w:t>
      </w:r>
      <w:proofErr w:type="gramEnd"/>
      <w:r w:rsidR="002B656B">
        <w:t xml:space="preserve">  </w:t>
      </w:r>
      <w:proofErr w:type="gramStart"/>
      <w:r w:rsidR="002B656B" w:rsidRPr="00F87999">
        <w:rPr>
          <w:i/>
        </w:rPr>
        <w:t xml:space="preserve">Dept. of Auditor General, et al. v. State Employees’ Retirement System, et al., </w:t>
      </w:r>
      <w:r w:rsidR="002B656B">
        <w:t>836 A.2d 1053, 1064 (Pa.Cmwlth. 2003).</w:t>
      </w:r>
      <w:proofErr w:type="gramEnd"/>
      <w:r w:rsidR="002B656B">
        <w:t xml:space="preserve">  </w:t>
      </w:r>
      <w:r w:rsidR="002B656B">
        <w:rPr>
          <w:i/>
        </w:rPr>
        <w:t xml:space="preserve"> </w:t>
      </w:r>
    </w:p>
    <w:p w:rsidR="002B656B" w:rsidRDefault="002B656B" w:rsidP="002B656B"/>
    <w:p w:rsidR="002B656B" w:rsidRDefault="002B656B" w:rsidP="002B656B">
      <w:pPr>
        <w:jc w:val="left"/>
      </w:pPr>
      <w:r>
        <w:tab/>
      </w:r>
      <w:r>
        <w:tab/>
        <w:t>Commission regulations regarding preliminary objections are as follows:</w:t>
      </w:r>
    </w:p>
    <w:p w:rsidR="002B656B" w:rsidRDefault="002B656B" w:rsidP="002B656B">
      <w:pPr>
        <w:jc w:val="left"/>
      </w:pPr>
    </w:p>
    <w:p w:rsidR="002B656B" w:rsidRDefault="002B656B" w:rsidP="002B656B">
      <w:pPr>
        <w:spacing w:line="240" w:lineRule="auto"/>
        <w:ind w:left="1440" w:right="1440"/>
        <w:contextualSpacing/>
        <w:jc w:val="left"/>
        <w:rPr>
          <w:b/>
        </w:rPr>
      </w:pPr>
      <w:r>
        <w:rPr>
          <w:b/>
        </w:rPr>
        <w:t xml:space="preserve">§ 5.101.  </w:t>
      </w:r>
      <w:proofErr w:type="gramStart"/>
      <w:r>
        <w:rPr>
          <w:b/>
        </w:rPr>
        <w:t>Preliminary objections.</w:t>
      </w:r>
      <w:proofErr w:type="gramEnd"/>
    </w:p>
    <w:p w:rsidR="00CC6D2F" w:rsidRDefault="00CC6D2F" w:rsidP="002B656B">
      <w:pPr>
        <w:spacing w:line="240" w:lineRule="auto"/>
        <w:ind w:left="1440" w:right="1440"/>
        <w:contextualSpacing/>
        <w:jc w:val="left"/>
        <w:rPr>
          <w:b/>
        </w:rPr>
      </w:pPr>
    </w:p>
    <w:p w:rsidR="002B656B" w:rsidRDefault="002B656B" w:rsidP="002B656B">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2B656B" w:rsidRDefault="002B656B" w:rsidP="002B656B">
      <w:pPr>
        <w:spacing w:line="240" w:lineRule="auto"/>
        <w:ind w:left="1440" w:right="1440"/>
        <w:contextualSpacing/>
        <w:jc w:val="left"/>
        <w:rPr>
          <w:i/>
        </w:rPr>
      </w:pPr>
    </w:p>
    <w:p w:rsidR="002B656B" w:rsidRDefault="002B656B" w:rsidP="002B656B">
      <w:pPr>
        <w:spacing w:line="240" w:lineRule="auto"/>
        <w:ind w:left="1440" w:right="1440"/>
        <w:contextualSpacing/>
        <w:jc w:val="left"/>
      </w:pPr>
      <w:r>
        <w:t>(1)  Lack of Commission jurisdiction or improper service of the pleading initiating the proceeding.</w:t>
      </w:r>
    </w:p>
    <w:p w:rsidR="002B656B" w:rsidRDefault="002B656B" w:rsidP="002B656B">
      <w:pPr>
        <w:spacing w:line="240" w:lineRule="auto"/>
        <w:ind w:left="1440" w:right="1440"/>
        <w:contextualSpacing/>
        <w:jc w:val="left"/>
      </w:pPr>
    </w:p>
    <w:p w:rsidR="002B656B" w:rsidRDefault="002B656B" w:rsidP="002B656B">
      <w:pPr>
        <w:spacing w:line="240" w:lineRule="auto"/>
        <w:ind w:left="1440" w:right="1440"/>
        <w:contextualSpacing/>
        <w:jc w:val="left"/>
      </w:pPr>
      <w:r>
        <w:t>(2)  Failure of a pleading to conform to this chapter or the inclusion of scandalous or impertinent matter.</w:t>
      </w:r>
    </w:p>
    <w:p w:rsidR="002B656B" w:rsidRDefault="002B656B" w:rsidP="002B656B">
      <w:pPr>
        <w:spacing w:line="240" w:lineRule="auto"/>
        <w:ind w:left="1440" w:right="1440"/>
        <w:contextualSpacing/>
        <w:jc w:val="left"/>
      </w:pPr>
    </w:p>
    <w:p w:rsidR="002B656B" w:rsidRDefault="002B656B" w:rsidP="002B656B">
      <w:pPr>
        <w:spacing w:line="240" w:lineRule="auto"/>
        <w:ind w:left="1440" w:right="1440"/>
        <w:contextualSpacing/>
        <w:jc w:val="left"/>
      </w:pPr>
      <w:r>
        <w:t>(3)  Insufficient specificity of a pleading.</w:t>
      </w:r>
    </w:p>
    <w:p w:rsidR="002B656B" w:rsidRDefault="002B656B" w:rsidP="002B656B">
      <w:pPr>
        <w:spacing w:line="240" w:lineRule="auto"/>
        <w:ind w:left="1440" w:right="1440"/>
        <w:contextualSpacing/>
        <w:jc w:val="left"/>
      </w:pPr>
    </w:p>
    <w:p w:rsidR="002B656B" w:rsidRDefault="002B656B" w:rsidP="002B656B">
      <w:pPr>
        <w:spacing w:line="240" w:lineRule="auto"/>
        <w:ind w:left="1440" w:right="1440"/>
        <w:contextualSpacing/>
        <w:jc w:val="left"/>
      </w:pPr>
      <w:r>
        <w:t>(4)  Legal insufficiency of a pleading.</w:t>
      </w:r>
    </w:p>
    <w:p w:rsidR="002B656B" w:rsidRDefault="002B656B" w:rsidP="002B656B">
      <w:pPr>
        <w:spacing w:line="240" w:lineRule="auto"/>
        <w:ind w:left="1440" w:right="1440"/>
        <w:contextualSpacing/>
        <w:jc w:val="left"/>
      </w:pPr>
    </w:p>
    <w:p w:rsidR="002B656B" w:rsidRDefault="002B656B" w:rsidP="002B656B">
      <w:pPr>
        <w:spacing w:line="240" w:lineRule="auto"/>
        <w:ind w:left="1440" w:right="1440"/>
        <w:contextualSpacing/>
        <w:jc w:val="left"/>
      </w:pPr>
      <w:r>
        <w:t>(5) Lack of capacity to sue, nonjoinder of a necessary party or misjoinder of a cause of action.</w:t>
      </w:r>
    </w:p>
    <w:p w:rsidR="002B656B" w:rsidRDefault="002B656B" w:rsidP="002B656B">
      <w:pPr>
        <w:spacing w:line="240" w:lineRule="auto"/>
        <w:ind w:left="1440" w:right="1440"/>
        <w:contextualSpacing/>
        <w:jc w:val="left"/>
      </w:pPr>
    </w:p>
    <w:p w:rsidR="002B656B" w:rsidRDefault="002B656B" w:rsidP="002B656B">
      <w:pPr>
        <w:spacing w:line="240" w:lineRule="auto"/>
        <w:ind w:left="1440" w:right="1440"/>
        <w:contextualSpacing/>
        <w:jc w:val="left"/>
      </w:pPr>
      <w:r>
        <w:t>(6)  Pendency of a prior proceeding or agreement for alternative dispute resolution.</w:t>
      </w:r>
    </w:p>
    <w:p w:rsidR="002B656B" w:rsidRPr="00D10A1C" w:rsidRDefault="002B656B" w:rsidP="002B656B">
      <w:pPr>
        <w:spacing w:line="240" w:lineRule="auto"/>
        <w:ind w:left="1440" w:right="1440"/>
        <w:contextualSpacing/>
      </w:pPr>
      <w:r>
        <w:t>* * *</w:t>
      </w:r>
    </w:p>
    <w:p w:rsidR="002B656B" w:rsidRDefault="002B656B" w:rsidP="002B656B">
      <w:pPr>
        <w:spacing w:line="240" w:lineRule="auto"/>
        <w:ind w:left="1440" w:right="1440"/>
        <w:contextualSpacing/>
        <w:jc w:val="left"/>
      </w:pPr>
      <w:proofErr w:type="gramStart"/>
      <w:r>
        <w:t>52 Pa. Code § 5.101(a).</w:t>
      </w:r>
      <w:proofErr w:type="gramEnd"/>
      <w:r>
        <w:t xml:space="preserve">  </w:t>
      </w:r>
    </w:p>
    <w:p w:rsidR="002B656B" w:rsidRDefault="002B656B" w:rsidP="002B656B">
      <w:pPr>
        <w:ind w:left="1440" w:right="1440"/>
        <w:jc w:val="left"/>
      </w:pPr>
    </w:p>
    <w:p w:rsidR="002B656B" w:rsidRPr="000B1667" w:rsidRDefault="002B656B" w:rsidP="002B656B">
      <w:pPr>
        <w:jc w:val="left"/>
        <w:rPr>
          <w:i/>
        </w:rPr>
      </w:pPr>
      <w:r w:rsidRPr="003E75C6">
        <w:tab/>
      </w:r>
      <w:r>
        <w:tab/>
      </w:r>
      <w:r w:rsidRPr="003E75C6">
        <w:t xml:space="preserve"> </w:t>
      </w:r>
      <w:r w:rsidR="008060A4">
        <w:t>O</w:t>
      </w:r>
      <w:r>
        <w:t>nly the facts in the Complaint</w:t>
      </w:r>
      <w:r w:rsidR="008060A4">
        <w:t>s</w:t>
      </w:r>
      <w:r>
        <w:t xml:space="preserve"> </w:t>
      </w:r>
      <w:r w:rsidR="008060A4">
        <w:t xml:space="preserve">and Complainant's response to POs </w:t>
      </w:r>
      <w:r>
        <w:t xml:space="preserve">can be presumed to be true in order to determine whether recovery is possible.  Conclusions of law, unwarranted factual inferences, argumentative allegations and expressions of opinion need not be accepted as true.  </w:t>
      </w:r>
      <w:r>
        <w:rPr>
          <w:i/>
        </w:rPr>
        <w:t>Stanton-</w:t>
      </w:r>
      <w:proofErr w:type="spellStart"/>
      <w:r>
        <w:rPr>
          <w:i/>
        </w:rPr>
        <w:t>Negley</w:t>
      </w:r>
      <w:proofErr w:type="spellEnd"/>
      <w:r>
        <w:rPr>
          <w:i/>
        </w:rPr>
        <w:t xml:space="preserve"> Drug Co. v. Dept. of Public Welfare, </w:t>
      </w:r>
      <w:r>
        <w:t xml:space="preserve">927 A.2d 671, 673 (Pa.Cmwlth. 2007), citing </w:t>
      </w:r>
      <w:r>
        <w:rPr>
          <w:i/>
        </w:rPr>
        <w:t xml:space="preserve">Meier v. </w:t>
      </w:r>
      <w:proofErr w:type="spellStart"/>
      <w:r>
        <w:rPr>
          <w:i/>
        </w:rPr>
        <w:t>Maleski</w:t>
      </w:r>
      <w:proofErr w:type="spellEnd"/>
      <w:r>
        <w:rPr>
          <w:i/>
        </w:rPr>
        <w:t>,</w:t>
      </w:r>
      <w:r>
        <w:t xml:space="preserve"> 648 A.2d 595 (Pa.Cmwlth. 1994). </w:t>
      </w:r>
      <w:r>
        <w:rPr>
          <w:i/>
        </w:rPr>
        <w:t xml:space="preserve"> </w:t>
      </w:r>
    </w:p>
    <w:p w:rsidR="002B656B" w:rsidRDefault="002B656B" w:rsidP="002B656B">
      <w:pPr>
        <w:jc w:val="left"/>
      </w:pPr>
      <w:r>
        <w:tab/>
      </w:r>
      <w:r>
        <w:tab/>
      </w:r>
    </w:p>
    <w:p w:rsidR="002B656B" w:rsidRDefault="002B656B" w:rsidP="002B656B">
      <w:pPr>
        <w:jc w:val="left"/>
      </w:pPr>
      <w:r>
        <w:lastRenderedPageBreak/>
        <w:tab/>
      </w:r>
      <w:r>
        <w:tab/>
        <w:t>In order for Complainant to prevail, there must be a statute, regulation or order which the Commission is authorized to enforce.  The Complaint</w:t>
      </w:r>
      <w:r w:rsidR="008060A4">
        <w:t>s</w:t>
      </w:r>
      <w:r>
        <w:t xml:space="preserve"> must set forth anything done or omitted to be done by PGW in violation of any law which the Commission has jurisdiction to adminis</w:t>
      </w:r>
      <w:r w:rsidR="00242292">
        <w:t xml:space="preserve">ter.  </w:t>
      </w:r>
      <w:proofErr w:type="gramStart"/>
      <w:r w:rsidR="00242292">
        <w:t>66 Pa.C.S.</w:t>
      </w:r>
      <w:proofErr w:type="gramEnd"/>
      <w:r w:rsidR="00242292">
        <w:t xml:space="preserve"> § 701; 52 Pa.</w:t>
      </w:r>
      <w:r>
        <w:t xml:space="preserve">Code § 5.21(a).  </w:t>
      </w:r>
    </w:p>
    <w:p w:rsidR="00F87096" w:rsidRDefault="00F87096" w:rsidP="002B656B">
      <w:pPr>
        <w:jc w:val="left"/>
      </w:pPr>
    </w:p>
    <w:p w:rsidR="002B656B" w:rsidRDefault="00F87096" w:rsidP="002B656B">
      <w:pPr>
        <w:jc w:val="left"/>
      </w:pPr>
      <w:r>
        <w:tab/>
      </w:r>
      <w:r>
        <w:tab/>
        <w:t>The Complaint</w:t>
      </w:r>
      <w:r w:rsidR="008060A4">
        <w:t>s</w:t>
      </w:r>
      <w:r>
        <w:t xml:space="preserve"> allege that PGW provided gas service to </w:t>
      </w:r>
      <w:r w:rsidR="00CC6D2F">
        <w:t>Complainant's</w:t>
      </w:r>
      <w:r w:rsidR="00DA6D0A">
        <w:t xml:space="preserve"> tenant at a multi-unit dwelling at 15117 Beverly Drive for over ten years without payment and never shut off service or notified </w:t>
      </w:r>
      <w:r w:rsidR="00DB642B">
        <w:t>Complainant</w:t>
      </w:r>
      <w:r w:rsidR="00DA6D0A">
        <w:t xml:space="preserve"> that there might be an issue that impacts him.  The Complaint alleges further that PGW failed to monitor gas usage or take any mitigating action in violation of the Public Utility Code</w:t>
      </w:r>
      <w:r w:rsidR="00906B91">
        <w:rPr>
          <w:rStyle w:val="FootnoteReference"/>
        </w:rPr>
        <w:footnoteReference w:id="1"/>
      </w:r>
      <w:r w:rsidR="00DA6D0A">
        <w:t>.</w:t>
      </w:r>
      <w:r w:rsidR="00906B91">
        <w:t xml:space="preserve"> </w:t>
      </w:r>
    </w:p>
    <w:p w:rsidR="002B656B" w:rsidRDefault="002B656B" w:rsidP="000D5109">
      <w:pPr>
        <w:jc w:val="left"/>
      </w:pPr>
    </w:p>
    <w:p w:rsidR="00DB642B" w:rsidRPr="0021115D" w:rsidRDefault="00906B91" w:rsidP="00DB642B">
      <w:pPr>
        <w:jc w:val="left"/>
      </w:pPr>
      <w:r>
        <w:tab/>
      </w:r>
      <w:r>
        <w:tab/>
      </w:r>
      <w:r w:rsidR="00DB642B">
        <w:t>The Preliminary Objections</w:t>
      </w:r>
      <w:r w:rsidR="00DB642B" w:rsidRPr="0021115D">
        <w:t xml:space="preserve"> question the Commission’s subject matter jurisdiction and </w:t>
      </w:r>
      <w:r w:rsidR="00DB642B">
        <w:t>state</w:t>
      </w:r>
      <w:r w:rsidR="00DB642B" w:rsidRPr="0021115D">
        <w:t xml:space="preserve"> that the portion of the Complaint seeking relief in the form of a Commission order that </w:t>
      </w:r>
      <w:r w:rsidR="00DB642B">
        <w:t xml:space="preserve">the arrearage of the tenant, which is now represented by </w:t>
      </w:r>
      <w:r w:rsidR="00DB642B" w:rsidRPr="0021115D">
        <w:t>the City’s lien</w:t>
      </w:r>
      <w:r w:rsidR="00DB642B">
        <w:t>s,</w:t>
      </w:r>
      <w:r w:rsidR="00DB642B" w:rsidRPr="0021115D">
        <w:t xml:space="preserve"> be </w:t>
      </w:r>
      <w:r w:rsidR="00DB642B">
        <w:t>waived, should</w:t>
      </w:r>
      <w:r w:rsidR="00DB642B" w:rsidRPr="0021115D">
        <w:t xml:space="preserve"> be stricken as impertinent matter.</w:t>
      </w:r>
    </w:p>
    <w:p w:rsidR="00DB642B" w:rsidRPr="0021115D" w:rsidRDefault="00DB642B" w:rsidP="00DB642B">
      <w:pPr>
        <w:ind w:firstLine="1440"/>
        <w:jc w:val="left"/>
      </w:pPr>
    </w:p>
    <w:p w:rsidR="00DB642B" w:rsidRPr="0021115D" w:rsidRDefault="00DB642B" w:rsidP="00DB642B">
      <w:pPr>
        <w:spacing w:line="240" w:lineRule="auto"/>
        <w:ind w:left="1440" w:right="1440"/>
        <w:jc w:val="left"/>
      </w:pPr>
      <w:r w:rsidRPr="0021115D">
        <w:t>Jurisdiction relates solely to the competency of the particular court or administrative body to determine controversies of the general class to which the case then presented for its consideration belongs.</w:t>
      </w:r>
    </w:p>
    <w:p w:rsidR="00DB642B" w:rsidRPr="0021115D" w:rsidRDefault="00DB642B" w:rsidP="00DB642B">
      <w:pPr>
        <w:spacing w:line="240" w:lineRule="auto"/>
        <w:ind w:left="1440" w:right="1440"/>
        <w:jc w:val="left"/>
      </w:pPr>
      <w:proofErr w:type="gramStart"/>
      <w:r w:rsidRPr="0021115D">
        <w:rPr>
          <w:i/>
        </w:rPr>
        <w:t>Riedel v.</w:t>
      </w:r>
      <w:proofErr w:type="gramEnd"/>
      <w:r w:rsidRPr="0021115D">
        <w:rPr>
          <w:i/>
        </w:rPr>
        <w:t xml:space="preserve"> The Human Relations Comm’n </w:t>
      </w:r>
      <w:proofErr w:type="gramStart"/>
      <w:r w:rsidRPr="0021115D">
        <w:rPr>
          <w:i/>
        </w:rPr>
        <w:t>Of</w:t>
      </w:r>
      <w:proofErr w:type="gramEnd"/>
      <w:r w:rsidRPr="0021115D">
        <w:rPr>
          <w:i/>
        </w:rPr>
        <w:t xml:space="preserve"> the City Of Reading</w:t>
      </w:r>
      <w:r w:rsidRPr="0021115D">
        <w:t>, 559 Pa. 33; 39, 739 A.2d 121; 124 (1999).</w:t>
      </w:r>
    </w:p>
    <w:p w:rsidR="00DB642B" w:rsidRPr="0021115D" w:rsidRDefault="00DB642B" w:rsidP="00DB642B">
      <w:pPr>
        <w:ind w:firstLine="1440"/>
        <w:jc w:val="left"/>
      </w:pPr>
    </w:p>
    <w:p w:rsidR="00DB642B" w:rsidRPr="0021115D" w:rsidRDefault="00DB642B" w:rsidP="00DB642B">
      <w:pPr>
        <w:ind w:firstLine="1440"/>
        <w:jc w:val="left"/>
      </w:pPr>
      <w:r w:rsidRPr="0021115D">
        <w:t xml:space="preserve">The Commission must act within, and cannot exceed, its jurisdiction.  </w:t>
      </w:r>
      <w:r w:rsidR="00242292">
        <w:rPr>
          <w:i/>
        </w:rPr>
        <w:t xml:space="preserve">City of Pittsburgh v. </w:t>
      </w:r>
      <w:proofErr w:type="spellStart"/>
      <w:r w:rsidR="00242292">
        <w:rPr>
          <w:i/>
        </w:rPr>
        <w:t>Pa.</w:t>
      </w:r>
      <w:r w:rsidRPr="0021115D">
        <w:rPr>
          <w:i/>
        </w:rPr>
        <w:t>Pub</w:t>
      </w:r>
      <w:r w:rsidR="00242292">
        <w:rPr>
          <w:i/>
        </w:rPr>
        <w:t>.</w:t>
      </w:r>
      <w:r w:rsidRPr="0021115D">
        <w:rPr>
          <w:i/>
        </w:rPr>
        <w:t>Util</w:t>
      </w:r>
      <w:r w:rsidR="00242292">
        <w:rPr>
          <w:i/>
        </w:rPr>
        <w:t>.</w:t>
      </w:r>
      <w:r w:rsidRPr="0021115D">
        <w:rPr>
          <w:i/>
        </w:rPr>
        <w:t>Comm’n</w:t>
      </w:r>
      <w:proofErr w:type="spellEnd"/>
      <w:r w:rsidR="00CC6D2F">
        <w:t xml:space="preserve">, </w:t>
      </w:r>
      <w:proofErr w:type="gramStart"/>
      <w:r w:rsidR="00CC6D2F">
        <w:t xml:space="preserve">157 </w:t>
      </w:r>
      <w:proofErr w:type="spellStart"/>
      <w:r w:rsidR="00CC6D2F">
        <w:t>Pa.Super</w:t>
      </w:r>
      <w:proofErr w:type="spellEnd"/>
      <w:proofErr w:type="gramEnd"/>
      <w:r w:rsidR="00CC6D2F">
        <w:t xml:space="preserve">. </w:t>
      </w:r>
      <w:proofErr w:type="gramStart"/>
      <w:r w:rsidRPr="0021115D">
        <w:t>595, 43 A.2d 348 (1945).</w:t>
      </w:r>
      <w:proofErr w:type="gramEnd"/>
    </w:p>
    <w:p w:rsidR="00DB642B" w:rsidRPr="0021115D" w:rsidRDefault="00DB642B" w:rsidP="00DB642B">
      <w:pPr>
        <w:ind w:firstLine="1440"/>
        <w:jc w:val="left"/>
      </w:pPr>
    </w:p>
    <w:p w:rsidR="00DB642B" w:rsidRPr="0021115D" w:rsidRDefault="00DB642B" w:rsidP="00DB642B">
      <w:pPr>
        <w:ind w:firstLine="1440"/>
        <w:jc w:val="left"/>
      </w:pPr>
      <w:r w:rsidRPr="0021115D">
        <w:t xml:space="preserve">Subject matter jurisdiction is a prerequisite to the exercise of the power to decide a controversy.  </w:t>
      </w:r>
      <w:r w:rsidRPr="0021115D">
        <w:rPr>
          <w:iCs/>
        </w:rPr>
        <w:t>Cf</w:t>
      </w:r>
      <w:r w:rsidRPr="0021115D">
        <w:t xml:space="preserve">., </w:t>
      </w:r>
      <w:r w:rsidRPr="0021115D">
        <w:rPr>
          <w:i/>
        </w:rPr>
        <w:t>Hughes v. Pa. State Police</w:t>
      </w:r>
      <w:r w:rsidRPr="0021115D">
        <w:t xml:space="preserve">, </w:t>
      </w:r>
      <w:proofErr w:type="gramStart"/>
      <w:r w:rsidRPr="0021115D">
        <w:t>152 Pa.Cmwlth</w:t>
      </w:r>
      <w:proofErr w:type="gramEnd"/>
      <w:r w:rsidRPr="0021115D">
        <w:t xml:space="preserve">. </w:t>
      </w:r>
      <w:proofErr w:type="gramStart"/>
      <w:r w:rsidRPr="0021115D">
        <w:t>409, 619 A.2d 390 (1992), app. denied, 536 Pa. 633, 637 A.2d 293 (1993).</w:t>
      </w:r>
      <w:proofErr w:type="gramEnd"/>
    </w:p>
    <w:p w:rsidR="00DB642B" w:rsidRPr="0021115D" w:rsidRDefault="00DB642B" w:rsidP="00DB642B">
      <w:pPr>
        <w:ind w:firstLine="1440"/>
        <w:jc w:val="left"/>
      </w:pPr>
    </w:p>
    <w:p w:rsidR="00DB642B" w:rsidRPr="0021115D" w:rsidRDefault="00DB642B" w:rsidP="00DB642B">
      <w:pPr>
        <w:ind w:firstLine="1440"/>
        <w:jc w:val="left"/>
      </w:pPr>
      <w:r w:rsidRPr="0021115D">
        <w:t xml:space="preserve">Jurisdiction may not be conferred by the parties where none exists.  </w:t>
      </w:r>
      <w:proofErr w:type="gramStart"/>
      <w:r w:rsidRPr="0021115D">
        <w:rPr>
          <w:i/>
        </w:rPr>
        <w:t xml:space="preserve">Roberts v. </w:t>
      </w:r>
      <w:proofErr w:type="spellStart"/>
      <w:r w:rsidRPr="0021115D">
        <w:rPr>
          <w:i/>
        </w:rPr>
        <w:t>Martorano</w:t>
      </w:r>
      <w:proofErr w:type="spellEnd"/>
      <w:r w:rsidRPr="0021115D">
        <w:t>, 427 Pa. 581, 235 A.2d 602 (1967).</w:t>
      </w:r>
      <w:proofErr w:type="gramEnd"/>
      <w:r w:rsidRPr="0021115D">
        <w:t xml:space="preserve">  Neither silence nor agreement of the parties will confer jurisdiction where it otherwise would not exist, </w:t>
      </w:r>
      <w:r w:rsidRPr="0021115D">
        <w:rPr>
          <w:i/>
        </w:rPr>
        <w:t>Commonwealth v. Van</w:t>
      </w:r>
      <w:r w:rsidR="00CC6D2F">
        <w:rPr>
          <w:i/>
        </w:rPr>
        <w:t xml:space="preserve"> </w:t>
      </w:r>
      <w:proofErr w:type="spellStart"/>
      <w:r w:rsidRPr="0021115D">
        <w:rPr>
          <w:i/>
        </w:rPr>
        <w:t>Buskirk</w:t>
      </w:r>
      <w:proofErr w:type="spellEnd"/>
      <w:r w:rsidRPr="0021115D">
        <w:t xml:space="preserve">, 303 </w:t>
      </w:r>
      <w:proofErr w:type="spellStart"/>
      <w:r w:rsidRPr="0021115D">
        <w:t>Pa.Super</w:t>
      </w:r>
      <w:proofErr w:type="spellEnd"/>
      <w:r w:rsidRPr="0021115D">
        <w:t xml:space="preserve">. 148, 449 A.2d 621 (1982), nor can jurisdiction be obtained by waiver or estoppel, </w:t>
      </w:r>
      <w:r w:rsidRPr="0021115D">
        <w:rPr>
          <w:i/>
        </w:rPr>
        <w:t>Scott v. Bristol Twp. Police Dep’t</w:t>
      </w:r>
      <w:r w:rsidRPr="0021115D">
        <w:t>, 669 A.2d 457 (Pa.Cmwlth. 1995).</w:t>
      </w:r>
    </w:p>
    <w:p w:rsidR="00DB642B" w:rsidRPr="0021115D" w:rsidRDefault="00DB642B" w:rsidP="00DB642B">
      <w:pPr>
        <w:ind w:firstLine="1440"/>
        <w:jc w:val="left"/>
      </w:pPr>
    </w:p>
    <w:p w:rsidR="00923C8E" w:rsidRDefault="00DB642B" w:rsidP="00DB642B">
      <w:pPr>
        <w:ind w:firstLine="1440"/>
        <w:jc w:val="left"/>
      </w:pPr>
      <w:r w:rsidRPr="0021115D">
        <w:t xml:space="preserve">Keeping the foregoing principles regarding jurisdiction in mind, the issue is whether or not the Commission has jurisdiction </w:t>
      </w:r>
      <w:r w:rsidR="00923C8E">
        <w:t xml:space="preserve">over any claims set forth in the Complaints.  </w:t>
      </w:r>
    </w:p>
    <w:p w:rsidR="00513AD0" w:rsidRDefault="00513AD0" w:rsidP="00DB642B">
      <w:pPr>
        <w:ind w:firstLine="1440"/>
        <w:jc w:val="left"/>
      </w:pPr>
    </w:p>
    <w:p w:rsidR="00923C8E" w:rsidRPr="00513AD0" w:rsidRDefault="00923C8E" w:rsidP="00513AD0">
      <w:pPr>
        <w:jc w:val="left"/>
        <w:rPr>
          <w:b/>
        </w:rPr>
      </w:pPr>
      <w:r w:rsidRPr="00513AD0">
        <w:rPr>
          <w:b/>
        </w:rPr>
        <w:t>Liens</w:t>
      </w:r>
    </w:p>
    <w:p w:rsidR="00DB642B" w:rsidRPr="0021115D" w:rsidRDefault="00C97B30" w:rsidP="00DB642B">
      <w:pPr>
        <w:ind w:firstLine="1440"/>
        <w:jc w:val="left"/>
      </w:pPr>
      <w:r>
        <w:t>T</w:t>
      </w:r>
      <w:r w:rsidR="00DB642B">
        <w:t xml:space="preserve">he tenant’s </w:t>
      </w:r>
      <w:r>
        <w:t>unpaid usage</w:t>
      </w:r>
      <w:r w:rsidR="00DB642B">
        <w:t xml:space="preserve"> is now represented</w:t>
      </w:r>
      <w:r>
        <w:t xml:space="preserve"> by a municipal lien filed against the subject property</w:t>
      </w:r>
      <w:r w:rsidR="00DB642B" w:rsidRPr="0021115D">
        <w:t>.</w:t>
      </w:r>
    </w:p>
    <w:p w:rsidR="00DB642B" w:rsidRPr="0021115D" w:rsidRDefault="00DB642B" w:rsidP="00DB642B">
      <w:pPr>
        <w:ind w:firstLine="1440"/>
        <w:jc w:val="left"/>
      </w:pPr>
    </w:p>
    <w:p w:rsidR="00DB642B" w:rsidRPr="0021115D" w:rsidRDefault="00DB642B" w:rsidP="00DB642B">
      <w:pPr>
        <w:ind w:firstLine="1440"/>
        <w:jc w:val="left"/>
      </w:pPr>
      <w:r w:rsidRPr="0021115D">
        <w:t>Acting under the authority and power granted in the Municipal Claim and Tax Lien Law, 53 P.S. § 7101 et seq., the City files a lien to enforce municipal claims against property for unpaid natural gas service rendered by respondent at a specific property.</w:t>
      </w:r>
    </w:p>
    <w:p w:rsidR="00DB642B" w:rsidRPr="0021115D" w:rsidRDefault="00DB642B" w:rsidP="00DB642B">
      <w:pPr>
        <w:ind w:firstLine="1440"/>
        <w:jc w:val="left"/>
      </w:pPr>
    </w:p>
    <w:p w:rsidR="00DB642B" w:rsidRPr="0021115D" w:rsidRDefault="00DB642B" w:rsidP="00DB642B">
      <w:pPr>
        <w:ind w:firstLine="1440"/>
        <w:jc w:val="left"/>
      </w:pPr>
      <w:r w:rsidRPr="0021115D">
        <w:t xml:space="preserve">Only the City, being a municipality, can file a municipal lien.  Respondent is a municipal utility that is wholly owned by the City.  Respondent consists only of the real and personal assets that are used to manufacture and deliver natural gas to entities within the City’s borders.  </w:t>
      </w:r>
      <w:proofErr w:type="gramStart"/>
      <w:r w:rsidRPr="0021115D">
        <w:rPr>
          <w:i/>
        </w:rPr>
        <w:t>Public Advocate v. Philadelphia Gas Comm’n</w:t>
      </w:r>
      <w:r w:rsidRPr="0021115D">
        <w:t>, 544 Pa. 129, 674 A.2d 1056 (1996).</w:t>
      </w:r>
      <w:proofErr w:type="gramEnd"/>
    </w:p>
    <w:p w:rsidR="00DB642B" w:rsidRPr="0021115D" w:rsidRDefault="00DB642B" w:rsidP="00DB642B">
      <w:pPr>
        <w:ind w:firstLine="1440"/>
        <w:jc w:val="left"/>
      </w:pPr>
    </w:p>
    <w:p w:rsidR="00DB642B" w:rsidRPr="0021115D" w:rsidRDefault="00DB642B" w:rsidP="00DB642B">
      <w:pPr>
        <w:ind w:firstLine="1440"/>
        <w:jc w:val="left"/>
      </w:pPr>
      <w:r w:rsidRPr="0021115D">
        <w:t>Respondent does not meet the legal definition of an entity authorized to file a lien to enforce a municipal claim as set forth in the Municipal Claim and Tax Lien Law.  See, 53 P.S. § 7101.  Consequently, when respondent provides natural gas service to an entity within the borders of the City and is not paid, it is the City that has a municipal claim which it can enforce by way of a lien on the property that was provided natural gas service.</w:t>
      </w:r>
    </w:p>
    <w:p w:rsidR="00DB642B" w:rsidRPr="0021115D" w:rsidRDefault="00DB642B" w:rsidP="00DB642B">
      <w:pPr>
        <w:ind w:firstLine="1440"/>
        <w:jc w:val="left"/>
      </w:pPr>
    </w:p>
    <w:p w:rsidR="00DB642B" w:rsidRPr="0021115D" w:rsidRDefault="00DB642B" w:rsidP="00DB642B">
      <w:pPr>
        <w:ind w:firstLine="1440"/>
        <w:jc w:val="left"/>
      </w:pPr>
      <w:r w:rsidRPr="0021115D">
        <w:t xml:space="preserve">The procedure which the City must follow to establish a lien on a specific property, such as the Premises, is set forth in the Municipal Claim and Tax Lien Law.  See, 53 </w:t>
      </w:r>
      <w:r w:rsidRPr="0021115D">
        <w:lastRenderedPageBreak/>
        <w:t xml:space="preserve">P.S. §§ 7106(b), (c), 7143.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21115D">
        <w:rPr>
          <w:i/>
        </w:rPr>
        <w:t>Newberry Twp. v. Stambaugh</w:t>
      </w:r>
      <w:r w:rsidRPr="0021115D">
        <w:t xml:space="preserve">, 848 A.2d 173 (Pa.Cmwlth. 2004), app. denied, 580 Pa. 708, 860 A.2d 491 (2004), 53 P.S. §§ 7106(c), 7283.  Ultimate recovery of the amount of the municipal claims resulting in the lien is effectuated by a court ordered sheriff’s sale.  </w:t>
      </w:r>
      <w:proofErr w:type="gramStart"/>
      <w:r w:rsidRPr="0021115D">
        <w:t>53 P.S. § 7283.</w:t>
      </w:r>
      <w:proofErr w:type="gramEnd"/>
    </w:p>
    <w:p w:rsidR="00DB642B" w:rsidRPr="0021115D" w:rsidRDefault="00DB642B" w:rsidP="00DB642B">
      <w:pPr>
        <w:ind w:firstLine="1440"/>
        <w:jc w:val="left"/>
      </w:pPr>
    </w:p>
    <w:p w:rsidR="00DB642B" w:rsidRDefault="00DB642B" w:rsidP="00DB642B">
      <w:pPr>
        <w:ind w:firstLine="1440"/>
        <w:jc w:val="left"/>
      </w:pPr>
      <w:r w:rsidRPr="0021115D">
        <w:t>The proceeding to obtain and enforce the City’s municipal claim lien is an in rem proceeding.</w:t>
      </w:r>
      <w:r w:rsidRPr="0021115D">
        <w:rPr>
          <w:rStyle w:val="FootnoteReference"/>
        </w:rPr>
        <w:footnoteReference w:id="2"/>
      </w:r>
      <w:r w:rsidRPr="0021115D">
        <w:t xml:space="preserve">  “Accordingly, the lien is either valid or invalid as to the property in question rather than as to the respective property interests involved.”  </w:t>
      </w:r>
      <w:r w:rsidRPr="0021115D">
        <w:rPr>
          <w:i/>
        </w:rPr>
        <w:t xml:space="preserve">Borough of Towanda v. </w:t>
      </w:r>
      <w:proofErr w:type="spellStart"/>
      <w:r w:rsidRPr="0021115D">
        <w:rPr>
          <w:i/>
        </w:rPr>
        <w:t>Brannaka</w:t>
      </w:r>
      <w:proofErr w:type="spellEnd"/>
      <w:r w:rsidRPr="0021115D">
        <w:t xml:space="preserve">, </w:t>
      </w:r>
      <w:proofErr w:type="gramStart"/>
      <w:r w:rsidRPr="0021115D">
        <w:t xml:space="preserve">61 </w:t>
      </w:r>
      <w:proofErr w:type="spellStart"/>
      <w:r w:rsidRPr="0021115D">
        <w:t>Pa.Cmw</w:t>
      </w:r>
      <w:r>
        <w:t>lth</w:t>
      </w:r>
      <w:proofErr w:type="spellEnd"/>
      <w:proofErr w:type="gramEnd"/>
      <w:r>
        <w:t xml:space="preserve">. </w:t>
      </w:r>
      <w:proofErr w:type="gramStart"/>
      <w:r>
        <w:t>622, 625-626, 434 A.2d 889,</w:t>
      </w:r>
      <w:r w:rsidRPr="0021115D">
        <w:t xml:space="preserve"> 891 (1981).</w:t>
      </w:r>
      <w:proofErr w:type="gramEnd"/>
      <w:r w:rsidRPr="0021115D">
        <w:t xml:space="preserve">  What this means is </w:t>
      </w:r>
      <w:proofErr w:type="gramStart"/>
      <w:r w:rsidRPr="0021115D">
        <w:t>that the</w:t>
      </w:r>
      <w:proofErr w:type="gramEnd"/>
      <w:r w:rsidRPr="0021115D">
        <w:t xml:space="preserve"> Premises, not complainant nor h</w:t>
      </w:r>
      <w:r>
        <w:t>er</w:t>
      </w:r>
      <w:r w:rsidRPr="0021115D">
        <w:t xml:space="preserve"> tenant, is responsible for satisfying the claim secured by the municipal lien.  No personal responsibility is asserted against the complainant by the filing of the lien on the Premises.  </w:t>
      </w:r>
      <w:proofErr w:type="gramStart"/>
      <w:r w:rsidRPr="0021115D">
        <w:rPr>
          <w:i/>
        </w:rPr>
        <w:t>Philadelphia v. Northwood Textile Mills, Inc.</w:t>
      </w:r>
      <w:r w:rsidRPr="0021115D">
        <w:t>, 395 Pa. 112, 149 A.2d 60 (1959).</w:t>
      </w:r>
      <w:proofErr w:type="gramEnd"/>
      <w:r w:rsidRPr="0021115D">
        <w:t xml:space="preserve">  See, also, </w:t>
      </w:r>
      <w:r w:rsidRPr="0021115D">
        <w:rPr>
          <w:i/>
        </w:rPr>
        <w:t>Ransom v. Marrazzo</w:t>
      </w:r>
      <w:r w:rsidRPr="0021115D">
        <w:t>, 848 F.2d 398 (3d Cir. 1988).</w:t>
      </w:r>
      <w:r>
        <w:t xml:space="preserve">  This does not prevent payment of the amount due and satisfaction of the lien.  </w:t>
      </w:r>
    </w:p>
    <w:p w:rsidR="00DB642B" w:rsidRPr="0021115D" w:rsidRDefault="00DB642B" w:rsidP="00DB642B">
      <w:pPr>
        <w:ind w:firstLine="1440"/>
        <w:jc w:val="left"/>
      </w:pPr>
    </w:p>
    <w:p w:rsidR="00DB642B" w:rsidRPr="0021115D" w:rsidRDefault="00DB642B" w:rsidP="00DB642B">
      <w:pPr>
        <w:ind w:firstLine="1440"/>
        <w:jc w:val="left"/>
      </w:pPr>
      <w:r>
        <w:t xml:space="preserve">Therefore, </w:t>
      </w:r>
      <w:r w:rsidRPr="0021115D">
        <w:t>the entire proceeding for the effectuation of and defense to the statutory lien of the City is within the jurisdiction of the Court of Common Pleas of Philadelphia County</w:t>
      </w:r>
      <w:r w:rsidRPr="0021115D">
        <w:rPr>
          <w:rStyle w:val="FootnoteReference"/>
        </w:rPr>
        <w:footnoteReference w:id="3"/>
      </w:r>
      <w:r w:rsidRPr="0021115D">
        <w:t>, not the Commission.  Municipal lien proceedings are exclusively matters of judicial, not administrative, jurisdiction.</w:t>
      </w:r>
    </w:p>
    <w:p w:rsidR="00DB642B" w:rsidRPr="0021115D" w:rsidRDefault="00DB642B" w:rsidP="00DB642B">
      <w:pPr>
        <w:ind w:firstLine="1440"/>
        <w:jc w:val="left"/>
      </w:pPr>
    </w:p>
    <w:p w:rsidR="00DB642B" w:rsidRPr="0021115D" w:rsidRDefault="00DB642B" w:rsidP="00DB642B">
      <w:pPr>
        <w:ind w:firstLine="1440"/>
        <w:jc w:val="left"/>
      </w:pPr>
      <w:proofErr w:type="gramStart"/>
      <w:r w:rsidRPr="0021115D">
        <w:t>Additionally, keeping in mind that the lien is that of the City, not respondent, as to the lien proceeding there is no public utility involved.</w:t>
      </w:r>
      <w:proofErr w:type="gramEnd"/>
      <w:r w:rsidRPr="0021115D">
        <w:t xml:space="preserve">  In obtaining a municipal lien upon the Premises, the City is acting in its capacity as a municipality only.  The Commission is given </w:t>
      </w:r>
      <w:r w:rsidRPr="0021115D">
        <w:lastRenderedPageBreak/>
        <w:t xml:space="preserve">jurisdiction over public utilities by the Public Utility Code, 66 </w:t>
      </w:r>
      <w:proofErr w:type="spellStart"/>
      <w:r w:rsidRPr="0021115D">
        <w:t>Pa.C.S.A</w:t>
      </w:r>
      <w:proofErr w:type="spellEnd"/>
      <w:r w:rsidRPr="0021115D">
        <w:t xml:space="preserve">. </w:t>
      </w:r>
      <w:proofErr w:type="gramStart"/>
      <w:r w:rsidRPr="0021115D">
        <w:t>§ 101 et seq., not over municipalities acting in their municipal capacity.</w:t>
      </w:r>
      <w:proofErr w:type="gramEnd"/>
      <w:r w:rsidRPr="0021115D">
        <w:rPr>
          <w:rStyle w:val="FootnoteReference"/>
        </w:rPr>
        <w:footnoteReference w:id="4"/>
      </w:r>
    </w:p>
    <w:p w:rsidR="00DB642B" w:rsidRPr="0021115D" w:rsidRDefault="00DB642B" w:rsidP="00DB642B">
      <w:pPr>
        <w:ind w:firstLine="1440"/>
        <w:jc w:val="left"/>
      </w:pPr>
    </w:p>
    <w:p w:rsidR="00DB642B" w:rsidRPr="0021115D" w:rsidRDefault="00DB642B" w:rsidP="00DB642B">
      <w:pPr>
        <w:ind w:firstLine="1440"/>
        <w:jc w:val="left"/>
      </w:pPr>
      <w:r w:rsidRPr="0021115D">
        <w:t xml:space="preserve">The Commission has repeatedly recognized its lack of subject matter jurisdiction in cases involving a dispute over a municipal lien placed upon a property.  </w:t>
      </w:r>
      <w:r w:rsidRPr="0021115D">
        <w:rPr>
          <w:i/>
        </w:rPr>
        <w:t xml:space="preserve">Cornelia </w:t>
      </w:r>
      <w:proofErr w:type="spellStart"/>
      <w:r w:rsidRPr="0021115D">
        <w:rPr>
          <w:i/>
        </w:rPr>
        <w:t>Strowder</w:t>
      </w:r>
      <w:proofErr w:type="spellEnd"/>
      <w:r w:rsidRPr="0021115D">
        <w:rPr>
          <w:i/>
        </w:rPr>
        <w:t xml:space="preserve"> v. Philadelphia Gas Works</w:t>
      </w:r>
      <w:r w:rsidRPr="0021115D">
        <w:t>, 2002 WL 32069511 (2002) (</w:t>
      </w:r>
      <w:proofErr w:type="spellStart"/>
      <w:r w:rsidRPr="0021115D">
        <w:rPr>
          <w:i/>
        </w:rPr>
        <w:t>Strowder</w:t>
      </w:r>
      <w:proofErr w:type="spellEnd"/>
      <w:r w:rsidRPr="0021115D">
        <w:t xml:space="preserve">), </w:t>
      </w:r>
      <w:r w:rsidRPr="0021115D">
        <w:rPr>
          <w:i/>
        </w:rPr>
        <w:t>Debra Williams Lawrence v. Philadelphia Gas Works</w:t>
      </w:r>
      <w:r w:rsidR="00CC6D2F">
        <w:t>, Docket Number C-20066672 (</w:t>
      </w:r>
      <w:r w:rsidRPr="0021115D">
        <w:t>Final Order entered January 22, 2007</w:t>
      </w:r>
      <w:r w:rsidR="00CC6D2F">
        <w:t>)</w:t>
      </w:r>
      <w:r w:rsidRPr="0021115D">
        <w:t xml:space="preserve"> (</w:t>
      </w:r>
      <w:r w:rsidRPr="0021115D">
        <w:rPr>
          <w:i/>
        </w:rPr>
        <w:t>Lawrence</w:t>
      </w:r>
      <w:r w:rsidRPr="0021115D">
        <w:t xml:space="preserve">), </w:t>
      </w:r>
      <w:r w:rsidRPr="0021115D">
        <w:rPr>
          <w:i/>
        </w:rPr>
        <w:t>Tina L. Francis-Young v. Philadelphia Gas Works</w:t>
      </w:r>
      <w:r w:rsidRPr="0021115D">
        <w:t xml:space="preserve">, Docket Number </w:t>
      </w:r>
    </w:p>
    <w:p w:rsidR="00DB642B" w:rsidRPr="0021115D" w:rsidRDefault="00CC6D2F" w:rsidP="00DB642B">
      <w:pPr>
        <w:jc w:val="left"/>
      </w:pPr>
      <w:r>
        <w:t>C-2008-2029672 (</w:t>
      </w:r>
      <w:r w:rsidR="00DB642B" w:rsidRPr="0021115D">
        <w:t>Final Order entered February 23, 2009</w:t>
      </w:r>
      <w:r>
        <w:t>)</w:t>
      </w:r>
      <w:r w:rsidR="00DB642B" w:rsidRPr="0021115D">
        <w:t xml:space="preserve"> (</w:t>
      </w:r>
      <w:r w:rsidR="00DB642B" w:rsidRPr="0021115D">
        <w:rPr>
          <w:i/>
        </w:rPr>
        <w:t>Young</w:t>
      </w:r>
      <w:r w:rsidR="00DB642B" w:rsidRPr="0021115D">
        <w:t xml:space="preserve">), </w:t>
      </w:r>
      <w:r w:rsidR="00DB642B" w:rsidRPr="0021115D">
        <w:rPr>
          <w:i/>
        </w:rPr>
        <w:t xml:space="preserve">Dung </w:t>
      </w:r>
      <w:proofErr w:type="spellStart"/>
      <w:r w:rsidR="00DB642B" w:rsidRPr="0021115D">
        <w:rPr>
          <w:i/>
        </w:rPr>
        <w:t>Phat</w:t>
      </w:r>
      <w:proofErr w:type="spellEnd"/>
      <w:r w:rsidR="00DB642B" w:rsidRPr="0021115D">
        <w:rPr>
          <w:i/>
        </w:rPr>
        <w:t>, LLC v. Philadelphia Gas Works</w:t>
      </w:r>
      <w:r>
        <w:t>, Docket Number C-2009-2135667 (</w:t>
      </w:r>
      <w:r w:rsidR="00DB642B" w:rsidRPr="0021115D">
        <w:t>Final Order entered January 13, 2010</w:t>
      </w:r>
      <w:r>
        <w:t>)</w:t>
      </w:r>
      <w:r w:rsidR="00DB642B" w:rsidRPr="0021115D">
        <w:t xml:space="preserve"> (</w:t>
      </w:r>
      <w:r w:rsidR="00DB642B" w:rsidRPr="0021115D">
        <w:rPr>
          <w:i/>
        </w:rPr>
        <w:t xml:space="preserve">Dung </w:t>
      </w:r>
      <w:proofErr w:type="spellStart"/>
      <w:r w:rsidR="00DB642B" w:rsidRPr="0021115D">
        <w:rPr>
          <w:i/>
        </w:rPr>
        <w:t>Phat</w:t>
      </w:r>
      <w:proofErr w:type="spellEnd"/>
      <w:r w:rsidR="00DB642B" w:rsidRPr="0021115D">
        <w:t xml:space="preserve">), </w:t>
      </w:r>
      <w:r w:rsidR="00DB642B" w:rsidRPr="0021115D">
        <w:rPr>
          <w:i/>
        </w:rPr>
        <w:t>David Golan v. Philadelphia Gas Works</w:t>
      </w:r>
      <w:r>
        <w:t>, Docket Number C-2009-2138115</w:t>
      </w:r>
      <w:r w:rsidR="00DB642B" w:rsidRPr="0021115D">
        <w:t xml:space="preserve"> </w:t>
      </w:r>
      <w:r>
        <w:t>(</w:t>
      </w:r>
      <w:r w:rsidR="00DB642B" w:rsidRPr="0021115D">
        <w:t>Final Order entered February 4, 2010</w:t>
      </w:r>
      <w:r>
        <w:t>)</w:t>
      </w:r>
      <w:r w:rsidR="00DB642B" w:rsidRPr="0021115D">
        <w:t xml:space="preserve"> (</w:t>
      </w:r>
      <w:r w:rsidR="00DB642B" w:rsidRPr="0021115D">
        <w:rPr>
          <w:i/>
        </w:rPr>
        <w:t>Golan</w:t>
      </w:r>
      <w:r w:rsidR="00DB642B" w:rsidRPr="0021115D">
        <w:t xml:space="preserve">), </w:t>
      </w:r>
      <w:r w:rsidR="00DB642B" w:rsidRPr="0021115D">
        <w:rPr>
          <w:i/>
        </w:rPr>
        <w:t xml:space="preserve">2020 West </w:t>
      </w:r>
      <w:proofErr w:type="spellStart"/>
      <w:r w:rsidR="00DB642B" w:rsidRPr="0021115D">
        <w:rPr>
          <w:i/>
        </w:rPr>
        <w:t>Passyunk</w:t>
      </w:r>
      <w:proofErr w:type="spellEnd"/>
      <w:r w:rsidR="00DB642B" w:rsidRPr="0021115D">
        <w:rPr>
          <w:i/>
        </w:rPr>
        <w:t xml:space="preserve"> Avenue Inc. v. Philadelphia Gas Works</w:t>
      </w:r>
      <w:r>
        <w:t>, Docket Number C-2009-2138727 (</w:t>
      </w:r>
      <w:r w:rsidR="00DB642B" w:rsidRPr="0021115D">
        <w:t>Final Order entered February 4, 2010</w:t>
      </w:r>
      <w:r>
        <w:t>)</w:t>
      </w:r>
      <w:r w:rsidR="00DB642B" w:rsidRPr="0021115D">
        <w:t xml:space="preserve"> (</w:t>
      </w:r>
      <w:r w:rsidR="00DB642B" w:rsidRPr="0021115D">
        <w:rPr>
          <w:i/>
        </w:rPr>
        <w:t xml:space="preserve">2020 West </w:t>
      </w:r>
      <w:proofErr w:type="spellStart"/>
      <w:r w:rsidR="00DB642B" w:rsidRPr="0021115D">
        <w:rPr>
          <w:i/>
        </w:rPr>
        <w:t>Passyunk</w:t>
      </w:r>
      <w:proofErr w:type="spellEnd"/>
      <w:r w:rsidR="00DB642B" w:rsidRPr="0021115D">
        <w:t xml:space="preserve">), </w:t>
      </w:r>
      <w:r w:rsidR="00DB642B" w:rsidRPr="0021115D">
        <w:rPr>
          <w:i/>
        </w:rPr>
        <w:t>Jean Charles v. Philadelphia Gas Works</w:t>
      </w:r>
      <w:r>
        <w:t>, Docket Number C-2009-2138638 (</w:t>
      </w:r>
      <w:r w:rsidR="00DB642B" w:rsidRPr="0021115D">
        <w:t>Final Order entered February 5, 2010</w:t>
      </w:r>
      <w:r>
        <w:t>)</w:t>
      </w:r>
      <w:r w:rsidR="00DB642B" w:rsidRPr="0021115D">
        <w:t xml:space="preserve"> (</w:t>
      </w:r>
      <w:r w:rsidR="00DB642B" w:rsidRPr="0021115D">
        <w:rPr>
          <w:i/>
        </w:rPr>
        <w:t>Charles</w:t>
      </w:r>
      <w:r w:rsidR="00DB642B" w:rsidRPr="0021115D">
        <w:t>).</w:t>
      </w:r>
    </w:p>
    <w:p w:rsidR="00DB642B" w:rsidRPr="0021115D" w:rsidRDefault="00DB642B" w:rsidP="00DB642B">
      <w:pPr>
        <w:ind w:firstLine="1440"/>
        <w:jc w:val="left"/>
      </w:pPr>
    </w:p>
    <w:p w:rsidR="00DB642B" w:rsidRPr="0021115D" w:rsidRDefault="00DB642B" w:rsidP="00DB642B">
      <w:pPr>
        <w:ind w:firstLine="1440"/>
        <w:jc w:val="left"/>
      </w:pPr>
      <w:r w:rsidRPr="0021115D">
        <w:t xml:space="preserve">These Commission decisions are consistent with established principles of jurisdiction and are buttressed by two separate provisions of the Public Utility Code, 66 </w:t>
      </w:r>
      <w:proofErr w:type="spellStart"/>
      <w:r w:rsidRPr="0021115D">
        <w:t>Pa.C.S.A</w:t>
      </w:r>
      <w:proofErr w:type="spellEnd"/>
      <w:r w:rsidRPr="0021115D">
        <w:t xml:space="preserve">. </w:t>
      </w:r>
      <w:proofErr w:type="gramStart"/>
      <w:r w:rsidRPr="0021115D">
        <w:t>§ 101 et seq. (Code).</w:t>
      </w:r>
      <w:proofErr w:type="gramEnd"/>
    </w:p>
    <w:p w:rsidR="00DB642B" w:rsidRPr="0021115D" w:rsidRDefault="00DB642B" w:rsidP="00DB642B">
      <w:pPr>
        <w:ind w:firstLine="1440"/>
        <w:jc w:val="left"/>
      </w:pPr>
    </w:p>
    <w:p w:rsidR="00DB642B" w:rsidRDefault="00DB642B" w:rsidP="00DB642B">
      <w:pPr>
        <w:ind w:firstLine="1440"/>
        <w:jc w:val="left"/>
      </w:pPr>
      <w:proofErr w:type="gramStart"/>
      <w:r w:rsidRPr="0021115D">
        <w:t xml:space="preserve">66 </w:t>
      </w:r>
      <w:proofErr w:type="spellStart"/>
      <w:r w:rsidRPr="0021115D">
        <w:t>Pa.C.S.A</w:t>
      </w:r>
      <w:proofErr w:type="spellEnd"/>
      <w:r w:rsidRPr="0021115D">
        <w:t>.</w:t>
      </w:r>
      <w:proofErr w:type="gramEnd"/>
      <w:r w:rsidRPr="0021115D">
        <w:t xml:space="preserve"> § 1414(a) provides:</w:t>
      </w:r>
    </w:p>
    <w:p w:rsidR="00DB642B" w:rsidRPr="0021115D" w:rsidRDefault="00DB642B" w:rsidP="00DB642B">
      <w:pPr>
        <w:ind w:firstLine="1440"/>
        <w:jc w:val="left"/>
      </w:pPr>
    </w:p>
    <w:p w:rsidR="00DB642B" w:rsidRPr="0021115D" w:rsidRDefault="00DB642B" w:rsidP="00DB642B">
      <w:pPr>
        <w:widowControl w:val="0"/>
        <w:adjustRightInd w:val="0"/>
        <w:spacing w:line="240" w:lineRule="auto"/>
        <w:ind w:left="1440" w:right="1440"/>
        <w:jc w:val="left"/>
        <w:rPr>
          <w:color w:val="000000"/>
        </w:rPr>
      </w:pPr>
      <w:r>
        <w:rPr>
          <w:b/>
          <w:bCs/>
          <w:color w:val="000000"/>
        </w:rPr>
        <w:t>(a)</w:t>
      </w:r>
      <w:r>
        <w:rPr>
          <w:b/>
          <w:bCs/>
          <w:color w:val="000000"/>
        </w:rPr>
        <w:tab/>
      </w:r>
      <w:r w:rsidRPr="0021115D">
        <w:rPr>
          <w:b/>
          <w:bCs/>
          <w:color w:val="000000"/>
        </w:rPr>
        <w:t>General rule.--</w:t>
      </w:r>
      <w:r w:rsidRPr="0021115D">
        <w:rPr>
          <w:color w:val="000000"/>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w:t>
      </w:r>
      <w:r w:rsidRPr="0021115D">
        <w:rPr>
          <w:color w:val="000000"/>
        </w:rPr>
        <w:lastRenderedPageBreak/>
        <w:t xml:space="preserve">to sections 3 and 9 of the act of May 16, 1923 (P.L. 207, No. 153), </w:t>
      </w:r>
      <w:bookmarkStart w:id="0" w:name="Document1zz[FN1]"/>
      <w:bookmarkEnd w:id="0"/>
      <w:r w:rsidRPr="0021115D">
        <w:rPr>
          <w:color w:val="000000"/>
        </w:rPr>
        <w:t xml:space="preserve">referred to as the Municipal Claim and Tax Lien Law, and chapter 22 </w:t>
      </w:r>
      <w:bookmarkStart w:id="1" w:name="Document1zz[FN2]"/>
      <w:bookmarkEnd w:id="1"/>
      <w:r w:rsidRPr="0021115D">
        <w:rPr>
          <w:color w:val="000000"/>
        </w:rPr>
        <w:t>(relating to natural gas competition).</w:t>
      </w:r>
    </w:p>
    <w:p w:rsidR="00DB642B" w:rsidRPr="0021115D" w:rsidRDefault="00DB642B" w:rsidP="00DB642B">
      <w:pPr>
        <w:widowControl w:val="0"/>
        <w:adjustRightInd w:val="0"/>
        <w:spacing w:line="240" w:lineRule="auto"/>
        <w:ind w:left="1440" w:right="1440"/>
        <w:jc w:val="left"/>
        <w:rPr>
          <w:color w:val="000000"/>
        </w:rPr>
      </w:pPr>
      <w:proofErr w:type="gramStart"/>
      <w:r w:rsidRPr="0021115D">
        <w:rPr>
          <w:bCs/>
          <w:color w:val="000000"/>
        </w:rPr>
        <w:t xml:space="preserve">66 </w:t>
      </w:r>
      <w:proofErr w:type="spellStart"/>
      <w:r w:rsidRPr="0021115D">
        <w:rPr>
          <w:bCs/>
          <w:color w:val="000000"/>
        </w:rPr>
        <w:t>Pa.</w:t>
      </w:r>
      <w:r w:rsidRPr="0021115D">
        <w:rPr>
          <w:color w:val="000000"/>
        </w:rPr>
        <w:t>C.S.A</w:t>
      </w:r>
      <w:proofErr w:type="spellEnd"/>
      <w:r w:rsidRPr="0021115D">
        <w:rPr>
          <w:color w:val="000000"/>
        </w:rPr>
        <w:t>.</w:t>
      </w:r>
      <w:proofErr w:type="gramEnd"/>
      <w:r w:rsidRPr="0021115D">
        <w:rPr>
          <w:color w:val="000000"/>
        </w:rPr>
        <w:t xml:space="preserve"> § 1414(a) (footnotes omitted)</w:t>
      </w:r>
    </w:p>
    <w:p w:rsidR="00DB642B" w:rsidRPr="0021115D" w:rsidRDefault="00DB642B" w:rsidP="00DB642B">
      <w:pPr>
        <w:ind w:firstLine="1440"/>
        <w:jc w:val="left"/>
      </w:pPr>
    </w:p>
    <w:p w:rsidR="00DB642B" w:rsidRPr="0021115D" w:rsidRDefault="00DB642B" w:rsidP="00DB642B">
      <w:pPr>
        <w:ind w:firstLine="1440"/>
        <w:jc w:val="left"/>
        <w:rPr>
          <w:color w:val="000000"/>
        </w:rPr>
      </w:pPr>
      <w:r w:rsidRPr="0021115D">
        <w:t xml:space="preserve">Code section 1414(a) reiterates the General Assembly’s determination that the previously existing right of the City to enforce payment for natural gas service rendered by the respondent through the municipal claim and lien procedure of the </w:t>
      </w:r>
      <w:r w:rsidRPr="0021115D">
        <w:rPr>
          <w:color w:val="000000"/>
        </w:rPr>
        <w:t>Municipal Claim and Tax Lien Law remains unabated.</w:t>
      </w:r>
    </w:p>
    <w:p w:rsidR="00DB642B" w:rsidRPr="0021115D" w:rsidRDefault="00DB642B" w:rsidP="00DB642B">
      <w:pPr>
        <w:ind w:firstLine="1440"/>
        <w:jc w:val="left"/>
        <w:rPr>
          <w:color w:val="000000"/>
        </w:rPr>
      </w:pPr>
    </w:p>
    <w:p w:rsidR="00DB642B" w:rsidRDefault="00DB642B" w:rsidP="00DB642B">
      <w:pPr>
        <w:ind w:firstLine="1440"/>
        <w:jc w:val="left"/>
        <w:outlineLvl w:val="0"/>
        <w:rPr>
          <w:color w:val="000000"/>
        </w:rPr>
      </w:pPr>
      <w:r w:rsidRPr="0021115D">
        <w:rPr>
          <w:color w:val="000000"/>
        </w:rPr>
        <w:t xml:space="preserve">The reference to “chapter 22” (of the Code) in section 1414(a) is especially </w:t>
      </w:r>
    </w:p>
    <w:p w:rsidR="00DB642B" w:rsidRDefault="00DB642B" w:rsidP="00DB642B">
      <w:pPr>
        <w:jc w:val="left"/>
        <w:rPr>
          <w:color w:val="000000"/>
        </w:rPr>
      </w:pPr>
      <w:proofErr w:type="gramStart"/>
      <w:r w:rsidRPr="0021115D">
        <w:rPr>
          <w:color w:val="000000"/>
        </w:rPr>
        <w:t>revealing</w:t>
      </w:r>
      <w:proofErr w:type="gramEnd"/>
      <w:r w:rsidRPr="0021115D">
        <w:rPr>
          <w:color w:val="000000"/>
        </w:rPr>
        <w:t xml:space="preserve"> as to the legislature’s intent.</w:t>
      </w:r>
    </w:p>
    <w:p w:rsidR="00DB642B" w:rsidRPr="0021115D" w:rsidRDefault="00DB642B" w:rsidP="00DB642B">
      <w:pPr>
        <w:jc w:val="left"/>
        <w:rPr>
          <w:color w:val="000000"/>
        </w:rPr>
      </w:pPr>
    </w:p>
    <w:p w:rsidR="00DB642B" w:rsidRDefault="00DB642B" w:rsidP="00DB642B">
      <w:pPr>
        <w:ind w:firstLine="1440"/>
        <w:jc w:val="left"/>
        <w:rPr>
          <w:color w:val="000000"/>
        </w:rPr>
      </w:pPr>
      <w:proofErr w:type="gramStart"/>
      <w:r w:rsidRPr="0021115D">
        <w:rPr>
          <w:color w:val="000000"/>
        </w:rPr>
        <w:t xml:space="preserve">66 </w:t>
      </w:r>
      <w:proofErr w:type="spellStart"/>
      <w:r w:rsidRPr="0021115D">
        <w:rPr>
          <w:color w:val="000000"/>
        </w:rPr>
        <w:t>Pa.C.S.A</w:t>
      </w:r>
      <w:proofErr w:type="spellEnd"/>
      <w:r w:rsidRPr="0021115D">
        <w:rPr>
          <w:color w:val="000000"/>
        </w:rPr>
        <w:t>.</w:t>
      </w:r>
      <w:proofErr w:type="gramEnd"/>
      <w:r w:rsidRPr="0021115D">
        <w:rPr>
          <w:color w:val="000000"/>
        </w:rPr>
        <w:t xml:space="preserve"> § 2212(n) states:</w:t>
      </w:r>
    </w:p>
    <w:p w:rsidR="00DB642B" w:rsidRPr="0021115D" w:rsidRDefault="00DB642B" w:rsidP="00DB642B">
      <w:pPr>
        <w:ind w:firstLine="1440"/>
        <w:jc w:val="left"/>
        <w:rPr>
          <w:color w:val="000000"/>
        </w:rPr>
      </w:pPr>
    </w:p>
    <w:p w:rsidR="00DB642B" w:rsidRPr="0021115D" w:rsidRDefault="00DB642B" w:rsidP="00DB642B">
      <w:pPr>
        <w:widowControl w:val="0"/>
        <w:adjustRightInd w:val="0"/>
        <w:spacing w:line="240" w:lineRule="auto"/>
        <w:ind w:left="1440" w:right="1440"/>
        <w:jc w:val="left"/>
        <w:rPr>
          <w:color w:val="000000"/>
        </w:rPr>
      </w:pPr>
      <w:r>
        <w:rPr>
          <w:b/>
          <w:bCs/>
          <w:color w:val="000000"/>
        </w:rPr>
        <w:t>(n)</w:t>
      </w:r>
      <w:r>
        <w:rPr>
          <w:b/>
          <w:bCs/>
          <w:color w:val="000000"/>
        </w:rPr>
        <w:tab/>
      </w:r>
      <w:r w:rsidRPr="0021115D">
        <w:rPr>
          <w:b/>
          <w:bCs/>
          <w:color w:val="000000"/>
        </w:rPr>
        <w:t>Collections.--</w:t>
      </w:r>
      <w:r w:rsidRPr="0021115D">
        <w:rPr>
          <w:color w:val="000000"/>
        </w:rPr>
        <w:t>Nothing contained in this title shall abrogate the power of a city natural gas distribution operation to collect delinquent receivables through the imposition of liens pursuant to section 3 of the act of May 16, 1923 (P.L. 207, No. 153),</w:t>
      </w:r>
      <w:bookmarkStart w:id="2" w:name="Document1zz[FN6]"/>
      <w:bookmarkEnd w:id="2"/>
      <w:r w:rsidRPr="0021115D">
        <w:rPr>
          <w:color w:val="000000"/>
        </w:rPr>
        <w:t xml:space="preserve"> referred to as the Municipal Claim and Tax Lien Law, or otherwise.</w:t>
      </w:r>
    </w:p>
    <w:p w:rsidR="00DB642B" w:rsidRPr="0021115D" w:rsidRDefault="00DB642B" w:rsidP="00DB642B">
      <w:pPr>
        <w:widowControl w:val="0"/>
        <w:adjustRightInd w:val="0"/>
        <w:spacing w:line="240" w:lineRule="auto"/>
        <w:ind w:left="1440" w:right="1440"/>
        <w:jc w:val="left"/>
        <w:rPr>
          <w:color w:val="000000"/>
        </w:rPr>
      </w:pPr>
      <w:proofErr w:type="gramStart"/>
      <w:r w:rsidRPr="0021115D">
        <w:rPr>
          <w:color w:val="000000"/>
        </w:rPr>
        <w:t xml:space="preserve">66 </w:t>
      </w:r>
      <w:proofErr w:type="spellStart"/>
      <w:r w:rsidRPr="0021115D">
        <w:rPr>
          <w:color w:val="000000"/>
        </w:rPr>
        <w:t>Pa.C.S.A</w:t>
      </w:r>
      <w:proofErr w:type="spellEnd"/>
      <w:r w:rsidRPr="0021115D">
        <w:rPr>
          <w:color w:val="000000"/>
        </w:rPr>
        <w:t>.</w:t>
      </w:r>
      <w:proofErr w:type="gramEnd"/>
      <w:r w:rsidRPr="0021115D">
        <w:rPr>
          <w:color w:val="000000"/>
        </w:rPr>
        <w:t xml:space="preserve"> § 2212(n) (footnote omitted)</w:t>
      </w:r>
    </w:p>
    <w:p w:rsidR="00DB642B" w:rsidRPr="0021115D" w:rsidRDefault="00DB642B" w:rsidP="00DB642B">
      <w:pPr>
        <w:ind w:firstLine="1440"/>
        <w:jc w:val="left"/>
      </w:pPr>
    </w:p>
    <w:p w:rsidR="00DB642B" w:rsidRPr="0021115D" w:rsidRDefault="00DB642B" w:rsidP="00DB642B">
      <w:pPr>
        <w:ind w:firstLine="1440"/>
        <w:jc w:val="left"/>
        <w:rPr>
          <w:color w:val="000000"/>
        </w:rPr>
      </w:pPr>
      <w:r w:rsidRPr="0021115D">
        <w:t>Code section 2212(n) specifically states that “[n]</w:t>
      </w:r>
      <w:proofErr w:type="spellStart"/>
      <w:r w:rsidRPr="0021115D">
        <w:t>othing</w:t>
      </w:r>
      <w:proofErr w:type="spellEnd"/>
      <w:r w:rsidRPr="0021115D">
        <w:rPr>
          <w:color w:val="000000"/>
        </w:rPr>
        <w:t xml:space="preserve"> contained in this </w:t>
      </w:r>
      <w:r w:rsidRPr="0021115D">
        <w:rPr>
          <w:color w:val="000000"/>
          <w:u w:val="single"/>
        </w:rPr>
        <w:t>title</w:t>
      </w:r>
      <w:r w:rsidRPr="0021115D">
        <w:rPr>
          <w:color w:val="000000"/>
        </w:rPr>
        <w:t>”, that is</w:t>
      </w:r>
      <w:r w:rsidR="00CC6D2F">
        <w:rPr>
          <w:color w:val="000000"/>
        </w:rPr>
        <w:t>,</w:t>
      </w:r>
      <w:r w:rsidRPr="0021115D">
        <w:rPr>
          <w:color w:val="000000"/>
        </w:rPr>
        <w:t xml:space="preserve"> Title 66, the entire Code, shall abrogate the right of the City to collect unpaid bills for natural gas service through the mechanisms provided by the Municipal Claim and Tax Lien Law.  As explained above, those mechanisms are not within the jurisdiction of the Commission.</w:t>
      </w:r>
    </w:p>
    <w:p w:rsidR="00DB642B" w:rsidRPr="0021115D" w:rsidRDefault="00DB642B" w:rsidP="00DB642B">
      <w:pPr>
        <w:ind w:firstLine="1440"/>
        <w:jc w:val="left"/>
        <w:rPr>
          <w:color w:val="000000"/>
        </w:rPr>
      </w:pPr>
    </w:p>
    <w:p w:rsidR="00DB642B" w:rsidRPr="0021115D" w:rsidRDefault="00DB642B" w:rsidP="00DB642B">
      <w:pPr>
        <w:ind w:firstLine="1440"/>
        <w:jc w:val="left"/>
        <w:rPr>
          <w:color w:val="000000"/>
        </w:rPr>
      </w:pPr>
      <w:r w:rsidRPr="0021115D">
        <w:rPr>
          <w:color w:val="000000"/>
        </w:rPr>
        <w:t xml:space="preserve">The Commission’s </w:t>
      </w:r>
      <w:r w:rsidRPr="0021115D">
        <w:t xml:space="preserve">holdings in </w:t>
      </w:r>
      <w:proofErr w:type="spellStart"/>
      <w:r w:rsidRPr="0021115D">
        <w:rPr>
          <w:i/>
        </w:rPr>
        <w:t>Strowder</w:t>
      </w:r>
      <w:proofErr w:type="spellEnd"/>
      <w:r w:rsidRPr="0021115D">
        <w:t xml:space="preserve">, </w:t>
      </w:r>
      <w:r w:rsidRPr="0021115D">
        <w:rPr>
          <w:i/>
        </w:rPr>
        <w:t>Lawrence</w:t>
      </w:r>
      <w:r w:rsidRPr="0021115D">
        <w:t xml:space="preserve">, </w:t>
      </w:r>
      <w:r w:rsidRPr="0021115D">
        <w:rPr>
          <w:i/>
        </w:rPr>
        <w:t>Young</w:t>
      </w:r>
      <w:r w:rsidRPr="0021115D">
        <w:t xml:space="preserve">, </w:t>
      </w:r>
      <w:r w:rsidRPr="0021115D">
        <w:rPr>
          <w:i/>
        </w:rPr>
        <w:t xml:space="preserve">Dung </w:t>
      </w:r>
      <w:proofErr w:type="spellStart"/>
      <w:r w:rsidRPr="0021115D">
        <w:rPr>
          <w:i/>
        </w:rPr>
        <w:t>Phat</w:t>
      </w:r>
      <w:proofErr w:type="spellEnd"/>
      <w:r w:rsidRPr="0021115D">
        <w:t xml:space="preserve">, </w:t>
      </w:r>
      <w:r w:rsidRPr="0021115D">
        <w:rPr>
          <w:i/>
        </w:rPr>
        <w:t>Golan</w:t>
      </w:r>
      <w:r w:rsidRPr="0021115D">
        <w:t xml:space="preserve">, </w:t>
      </w:r>
      <w:r w:rsidRPr="0021115D">
        <w:rPr>
          <w:i/>
        </w:rPr>
        <w:t xml:space="preserve">2020 West </w:t>
      </w:r>
      <w:proofErr w:type="spellStart"/>
      <w:r w:rsidRPr="0021115D">
        <w:rPr>
          <w:i/>
        </w:rPr>
        <w:t>Passyunk</w:t>
      </w:r>
      <w:proofErr w:type="spellEnd"/>
      <w:r w:rsidRPr="0021115D">
        <w:t xml:space="preserve"> and </w:t>
      </w:r>
      <w:r w:rsidRPr="0021115D">
        <w:rPr>
          <w:i/>
        </w:rPr>
        <w:t>Charles</w:t>
      </w:r>
      <w:r w:rsidRPr="0021115D">
        <w:t xml:space="preserve"> that it does not have subject matter jurisdiction over cases such as this o</w:t>
      </w:r>
      <w:r w:rsidR="000F75DB">
        <w:t>ne, simply means that the</w:t>
      </w:r>
      <w:r w:rsidRPr="0021115D">
        <w:t xml:space="preserve"> Complainant’s relief, if any, must be obtained under the procedures established by </w:t>
      </w:r>
      <w:r w:rsidRPr="0021115D">
        <w:rPr>
          <w:color w:val="000000"/>
        </w:rPr>
        <w:t>the Municipal Claim and Tax Lien Law.  Respondent’s Preliminary Objection under 52 Pa.Code § 5.101(a</w:t>
      </w:r>
      <w:proofErr w:type="gramStart"/>
      <w:r w:rsidRPr="0021115D">
        <w:rPr>
          <w:color w:val="000000"/>
        </w:rPr>
        <w:t>)(</w:t>
      </w:r>
      <w:proofErr w:type="gramEnd"/>
      <w:r w:rsidRPr="0021115D">
        <w:rPr>
          <w:color w:val="000000"/>
        </w:rPr>
        <w:t>1) challenging the Commission’s subject matter jurisdiction is sustained.</w:t>
      </w:r>
    </w:p>
    <w:p w:rsidR="00DB642B" w:rsidRDefault="00DB642B" w:rsidP="00DB642B">
      <w:pPr>
        <w:ind w:firstLine="1440"/>
        <w:jc w:val="left"/>
        <w:rPr>
          <w:color w:val="000000"/>
        </w:rPr>
      </w:pPr>
    </w:p>
    <w:p w:rsidR="00DB642B" w:rsidRPr="00A70E7C" w:rsidRDefault="00DB642B" w:rsidP="00DB642B">
      <w:pPr>
        <w:ind w:firstLine="1440"/>
        <w:jc w:val="left"/>
        <w:rPr>
          <w:color w:val="000000"/>
        </w:rPr>
      </w:pPr>
      <w:r>
        <w:rPr>
          <w:color w:val="000000"/>
        </w:rPr>
        <w:lastRenderedPageBreak/>
        <w:t xml:space="preserve">The remaining question is whether there is an allegation of a justiciable claim </w:t>
      </w:r>
      <w:r w:rsidR="001705AB">
        <w:rPr>
          <w:color w:val="000000"/>
        </w:rPr>
        <w:t>regarding service following disposal of the lien issue.</w:t>
      </w:r>
      <w:r w:rsidR="00A70E7C">
        <w:rPr>
          <w:color w:val="000000"/>
        </w:rPr>
        <w:t xml:space="preserve">  </w:t>
      </w:r>
      <w:r w:rsidR="00A70E7C">
        <w:rPr>
          <w:i/>
          <w:color w:val="000000"/>
        </w:rPr>
        <w:t xml:space="preserve">Berger Development, LP v. Philadelphia Gas Works, </w:t>
      </w:r>
      <w:r w:rsidR="00A70E7C">
        <w:rPr>
          <w:color w:val="000000"/>
        </w:rPr>
        <w:t xml:space="preserve">Docket No. C-2012-2340584 (Order entered May 9, 2013).  </w:t>
      </w:r>
    </w:p>
    <w:p w:rsidR="001705AB" w:rsidRDefault="001705AB" w:rsidP="00DB642B">
      <w:pPr>
        <w:ind w:firstLine="1440"/>
        <w:jc w:val="left"/>
        <w:rPr>
          <w:color w:val="000000"/>
        </w:rPr>
      </w:pPr>
    </w:p>
    <w:p w:rsidR="00C97B30" w:rsidRDefault="00C97B30" w:rsidP="00C97B30">
      <w:pPr>
        <w:jc w:val="left"/>
        <w:rPr>
          <w:b/>
          <w:color w:val="000000"/>
        </w:rPr>
      </w:pPr>
      <w:r>
        <w:rPr>
          <w:b/>
          <w:color w:val="000000"/>
        </w:rPr>
        <w:t xml:space="preserve">Service </w:t>
      </w:r>
    </w:p>
    <w:p w:rsidR="00C97B30" w:rsidRPr="00C97B30" w:rsidRDefault="00C97B30" w:rsidP="00C97B30">
      <w:pPr>
        <w:jc w:val="left"/>
        <w:rPr>
          <w:b/>
          <w:color w:val="000000"/>
        </w:rPr>
      </w:pPr>
    </w:p>
    <w:p w:rsidR="001705AB" w:rsidRDefault="001705AB" w:rsidP="001705AB">
      <w:pPr>
        <w:jc w:val="left"/>
      </w:pPr>
      <w:r>
        <w:tab/>
      </w:r>
      <w:r>
        <w:tab/>
        <w:t xml:space="preserve">In exchange for the rights and privileges which are given to public utilities by a certificate of public convenience, utilities are required to provide a certain level of service.  </w:t>
      </w:r>
    </w:p>
    <w:p w:rsidR="001705AB" w:rsidRDefault="001705AB" w:rsidP="001705AB">
      <w:pPr>
        <w:contextualSpacing/>
        <w:jc w:val="left"/>
      </w:pPr>
      <w:r>
        <w:t>Section 1501 of the Public Utility Code, requires:</w:t>
      </w:r>
    </w:p>
    <w:p w:rsidR="001705AB" w:rsidRDefault="001705AB" w:rsidP="001705AB">
      <w:pPr>
        <w:spacing w:line="240" w:lineRule="auto"/>
        <w:ind w:left="1440" w:right="1440"/>
        <w:contextualSpacing/>
        <w:jc w:val="left"/>
      </w:pPr>
      <w: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 . .</w:t>
      </w:r>
    </w:p>
    <w:p w:rsidR="001705AB" w:rsidRDefault="001705AB" w:rsidP="001705AB">
      <w:pPr>
        <w:contextualSpacing/>
        <w:jc w:val="left"/>
      </w:pPr>
      <w:proofErr w:type="gramStart"/>
      <w:r>
        <w:t>66 Pa.C.S.</w:t>
      </w:r>
      <w:proofErr w:type="gramEnd"/>
      <w:r>
        <w:t xml:space="preserve"> § 1501 (in pertinent part).</w:t>
      </w:r>
    </w:p>
    <w:p w:rsidR="001705AB" w:rsidRDefault="001705AB" w:rsidP="001705AB">
      <w:pPr>
        <w:contextualSpacing/>
        <w:jc w:val="left"/>
      </w:pPr>
    </w:p>
    <w:p w:rsidR="001705AB" w:rsidRDefault="001705AB" w:rsidP="001705AB">
      <w:pPr>
        <w:contextualSpacing/>
        <w:jc w:val="left"/>
      </w:pPr>
      <w:r>
        <w:tab/>
      </w:r>
      <w:r>
        <w:tab/>
        <w:t>Complainant alleges that PGW failed to terminate service in a reasonable time</w:t>
      </w:r>
      <w:r w:rsidR="00A70E7C">
        <w:t>, that PGW should have been monitoring the account in order to terminate before the accrual of such a large arrearage, and that PGW filed the lien</w:t>
      </w:r>
      <w:r>
        <w:t xml:space="preserve"> without proper notice</w:t>
      </w:r>
      <w:r w:rsidR="00A70E7C">
        <w:t xml:space="preserve"> to Complainant</w:t>
      </w:r>
      <w:r>
        <w:t xml:space="preserve">.  </w:t>
      </w:r>
      <w:r w:rsidR="00C97B30">
        <w:t xml:space="preserve">In addition, the Complainant seeks information regarding PGW's policies regarding the notification of property owners and for filing a criminal complaint when a crime, i.e., theft of gas, has been committed.  </w:t>
      </w:r>
    </w:p>
    <w:p w:rsidR="00642DDC" w:rsidRDefault="00642DDC" w:rsidP="001705AB">
      <w:pPr>
        <w:contextualSpacing/>
        <w:jc w:val="left"/>
      </w:pPr>
    </w:p>
    <w:p w:rsidR="00F75E21" w:rsidRDefault="00F75E21" w:rsidP="001705AB">
      <w:pPr>
        <w:contextualSpacing/>
        <w:jc w:val="left"/>
      </w:pPr>
      <w:r>
        <w:tab/>
      </w:r>
      <w:r>
        <w:tab/>
        <w:t xml:space="preserve">These are service issues which will be set for hearing.  Complainant is warned that he has the burden of proving with substantial evidence that the actions of PGW fall short of the standard set by some provision of the Public Utility Code, or a regulation or order of the Commission.  </w:t>
      </w:r>
      <w:r w:rsidR="00A5693C">
        <w:t xml:space="preserve">Complainant is cautioned further that, even if he succeeds in carrying his burden </w:t>
      </w:r>
      <w:r w:rsidR="00A5693C">
        <w:lastRenderedPageBreak/>
        <w:t xml:space="preserve">of proof, the remedy will be limited to a Commission directive regarding future utility behavior and/or the imposition of a civil penalty which is payable to the Commonwealth of Pennsylvania's general fund.  The Commission has no authority to award monetary damages to a complainant, and no monetary award will result.  </w:t>
      </w:r>
    </w:p>
    <w:p w:rsidR="00A5693C" w:rsidRDefault="00A5693C" w:rsidP="001705AB">
      <w:pPr>
        <w:contextualSpacing/>
        <w:jc w:val="left"/>
      </w:pPr>
    </w:p>
    <w:p w:rsidR="00A5693C" w:rsidRDefault="00A5693C" w:rsidP="001705AB">
      <w:pPr>
        <w:contextualSpacing/>
        <w:jc w:val="left"/>
      </w:pPr>
      <w:r>
        <w:tab/>
      </w:r>
      <w:r>
        <w:tab/>
        <w:t>Should Complainant decide not to pursue his service Complaint, he may withdraw his Complaints in writing, or by authorizing PGW to file a certificate of satisfaction.  Should he desire to pursue his service Complaint, the ordering paragraphs provide additional guidance to the parties.</w:t>
      </w:r>
    </w:p>
    <w:p w:rsidR="00A5693C" w:rsidRDefault="00A5693C" w:rsidP="001705AB">
      <w:pPr>
        <w:contextualSpacing/>
        <w:jc w:val="left"/>
      </w:pPr>
    </w:p>
    <w:p w:rsidR="00A5693C" w:rsidRDefault="00E70DE8" w:rsidP="001705AB">
      <w:pPr>
        <w:contextualSpacing/>
        <w:jc w:val="left"/>
      </w:pPr>
      <w:r>
        <w:tab/>
      </w:r>
      <w:r>
        <w:tab/>
      </w:r>
      <w:r w:rsidR="00A5693C">
        <w:t>THEREFORE,</w:t>
      </w:r>
    </w:p>
    <w:p w:rsidR="00A5693C" w:rsidRDefault="00A5693C" w:rsidP="001705AB">
      <w:pPr>
        <w:contextualSpacing/>
        <w:jc w:val="left"/>
      </w:pPr>
    </w:p>
    <w:p w:rsidR="00A5693C" w:rsidRDefault="00E70DE8" w:rsidP="001705AB">
      <w:pPr>
        <w:contextualSpacing/>
        <w:jc w:val="left"/>
      </w:pPr>
      <w:r>
        <w:tab/>
      </w:r>
      <w:r>
        <w:tab/>
      </w:r>
      <w:r w:rsidR="00A5693C">
        <w:t xml:space="preserve">IT IS ORDERED: </w:t>
      </w:r>
    </w:p>
    <w:p w:rsidR="00A5693C" w:rsidRDefault="00A5693C" w:rsidP="001705AB">
      <w:pPr>
        <w:contextualSpacing/>
        <w:jc w:val="left"/>
      </w:pPr>
    </w:p>
    <w:p w:rsidR="00A5693C" w:rsidRDefault="00A5693C" w:rsidP="001705AB">
      <w:pPr>
        <w:contextualSpacing/>
        <w:jc w:val="left"/>
      </w:pPr>
      <w:r>
        <w:tab/>
      </w:r>
      <w:r>
        <w:tab/>
        <w:t>1.</w:t>
      </w:r>
      <w:r>
        <w:tab/>
        <w:t>That the cases captioned Henry Gonzalez v. Philadelphia Gas Works, at Docket Nos. C-2013-2392521 and C-2013-</w:t>
      </w:r>
      <w:proofErr w:type="gramStart"/>
      <w:r>
        <w:t>2393573,</w:t>
      </w:r>
      <w:proofErr w:type="gramEnd"/>
      <w:r>
        <w:t xml:space="preserve"> are consolidated.</w:t>
      </w:r>
    </w:p>
    <w:p w:rsidR="00E70DE8" w:rsidRDefault="00E70DE8" w:rsidP="001705AB">
      <w:pPr>
        <w:contextualSpacing/>
        <w:jc w:val="left"/>
      </w:pPr>
    </w:p>
    <w:p w:rsidR="00E70DE8" w:rsidRDefault="00E70DE8" w:rsidP="001705AB">
      <w:pPr>
        <w:contextualSpacing/>
        <w:jc w:val="left"/>
      </w:pPr>
      <w:r>
        <w:tab/>
      </w:r>
      <w:r>
        <w:tab/>
        <w:t>2.</w:t>
      </w:r>
      <w:r>
        <w:tab/>
        <w:t>That the Preliminary Objections filed by Philadelphia Gas Works in the cases captioned Henry Gonzalez v. Philadelphia Gas Works, at Docket Nos. C-2013-2392521 and C-2013-</w:t>
      </w:r>
      <w:proofErr w:type="gramStart"/>
      <w:r>
        <w:t>2393573,</w:t>
      </w:r>
      <w:proofErr w:type="gramEnd"/>
      <w:r>
        <w:t xml:space="preserve"> are granted insofar as they seek to bar consideration of the issue of the municipal lien filed against the premises at 15117 Beverly Drive, Philadelphia PA 19116.</w:t>
      </w:r>
    </w:p>
    <w:p w:rsidR="00E70DE8" w:rsidRDefault="00E70DE8" w:rsidP="001705AB">
      <w:pPr>
        <w:contextualSpacing/>
        <w:jc w:val="left"/>
      </w:pPr>
    </w:p>
    <w:p w:rsidR="00E70DE8" w:rsidRDefault="00E70DE8" w:rsidP="001705AB">
      <w:pPr>
        <w:contextualSpacing/>
        <w:jc w:val="left"/>
      </w:pPr>
      <w:r>
        <w:tab/>
      </w:r>
      <w:r>
        <w:tab/>
        <w:t>3.</w:t>
      </w:r>
      <w:r>
        <w:tab/>
        <w:t>That the Preliminary Objections filed by Philadelphia Gas Works in the cases captioned Henry Gonzalez v. Philadelphia Gas Works, at Docket Nos. C-2013-2392521 and C-2013-</w:t>
      </w:r>
      <w:proofErr w:type="gramStart"/>
      <w:r>
        <w:t>2393573,</w:t>
      </w:r>
      <w:proofErr w:type="gramEnd"/>
      <w:r>
        <w:t xml:space="preserve"> are denied insofar as they seek dismissal of the Complaints.</w:t>
      </w:r>
    </w:p>
    <w:p w:rsidR="00E70DE8" w:rsidRDefault="00E70DE8" w:rsidP="001705AB">
      <w:pPr>
        <w:contextualSpacing/>
        <w:jc w:val="left"/>
      </w:pPr>
    </w:p>
    <w:p w:rsidR="00A5693C" w:rsidRDefault="00E70DE8" w:rsidP="00E70DE8">
      <w:pPr>
        <w:contextualSpacing/>
        <w:jc w:val="left"/>
        <w:rPr>
          <w:b/>
        </w:rPr>
      </w:pPr>
      <w:r>
        <w:tab/>
      </w:r>
      <w:r>
        <w:tab/>
        <w:t>4.</w:t>
      </w:r>
      <w:r>
        <w:tab/>
        <w:t>That a</w:t>
      </w:r>
      <w:r w:rsidR="00A5693C">
        <w:t xml:space="preserve">n </w:t>
      </w:r>
      <w:r w:rsidR="00A5693C" w:rsidRPr="00D31591">
        <w:rPr>
          <w:u w:val="single"/>
        </w:rPr>
        <w:t>initial telephonic hearing</w:t>
      </w:r>
      <w:r w:rsidR="00A5693C">
        <w:t xml:space="preserve"> is scheduled for </w:t>
      </w:r>
      <w:r w:rsidR="00242292">
        <w:t>Thursday, February 6, 2014 at 10:00 am</w:t>
      </w:r>
      <w:r w:rsidR="00A5693C">
        <w:rPr>
          <w:b/>
        </w:rPr>
        <w:t xml:space="preserve">.  </w:t>
      </w:r>
      <w:r w:rsidR="00A5693C">
        <w:t>You must be available at this time or you may lose your case.  If you will be at a different telephone number than the number provided on your Complaint or Answer, then you MUST provide that telephone number at least three days prior to the hearing.</w:t>
      </w:r>
      <w:r w:rsidR="00A5693C">
        <w:rPr>
          <w:b/>
        </w:rPr>
        <w:t xml:space="preserve">  </w:t>
      </w:r>
      <w:r w:rsidR="00A5693C" w:rsidRPr="008F0C8C">
        <w:t>The parties are directed to comply with the requirements</w:t>
      </w:r>
      <w:r>
        <w:t xml:space="preserve"> set forth in these ordering paragraphs.</w:t>
      </w:r>
    </w:p>
    <w:p w:rsidR="00A5693C" w:rsidRDefault="00A5693C" w:rsidP="00A5693C"/>
    <w:p w:rsidR="00A5693C" w:rsidRDefault="00A5693C" w:rsidP="00E70DE8">
      <w:pPr>
        <w:jc w:val="left"/>
      </w:pPr>
      <w:r>
        <w:tab/>
      </w:r>
      <w:r>
        <w:tab/>
      </w:r>
      <w:r w:rsidR="00E70DE8">
        <w:t>5</w:t>
      </w:r>
      <w:r>
        <w:t>.</w:t>
      </w:r>
      <w: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A5693C" w:rsidRDefault="00A5693C" w:rsidP="00E70DE8">
      <w:pPr>
        <w:jc w:val="left"/>
      </w:pPr>
    </w:p>
    <w:p w:rsidR="00A5693C" w:rsidRDefault="00A5693C" w:rsidP="00E70DE8">
      <w:pPr>
        <w:jc w:val="left"/>
      </w:pPr>
      <w:r>
        <w:tab/>
      </w:r>
      <w:r>
        <w:tab/>
      </w:r>
      <w:r w:rsidR="00E70DE8">
        <w:t>6</w:t>
      </w:r>
      <w:r>
        <w:t>.</w:t>
      </w:r>
      <w: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 xml:space="preserve"> represent you.  </w:t>
      </w:r>
      <w:r w:rsidRPr="009F2885">
        <w:rPr>
          <w:b/>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t xml:space="preserve"> Unless you are an attorney, you may not represent someone else.  Attorneys shall comply with the Commission’s appearance requirements.  </w:t>
      </w:r>
      <w:proofErr w:type="gramStart"/>
      <w:r>
        <w:t>52 Pa.Code § 1.24(b).</w:t>
      </w:r>
      <w:proofErr w:type="gramEnd"/>
      <w:r>
        <w:t xml:space="preserve">  References to the Pa.Code may be accessed at www.pacode.com.</w:t>
      </w:r>
    </w:p>
    <w:p w:rsidR="00A5693C" w:rsidRDefault="00A5693C" w:rsidP="00E70DE8">
      <w:pPr>
        <w:jc w:val="left"/>
      </w:pPr>
    </w:p>
    <w:p w:rsidR="00A5693C" w:rsidRDefault="00A5693C" w:rsidP="00E70DE8">
      <w:pPr>
        <w:jc w:val="left"/>
        <w:rPr>
          <w:i/>
        </w:rPr>
      </w:pPr>
      <w:r>
        <w:tab/>
      </w:r>
      <w:r>
        <w:tab/>
      </w:r>
      <w:r w:rsidR="00E70DE8">
        <w:t>7</w:t>
      </w:r>
      <w:r>
        <w:t>.</w:t>
      </w:r>
      <w:r>
        <w:tab/>
        <w:t xml:space="preserve">A request for a change of the scheduled hearing date must be submitted in writing no later than five (5) days prior to the hearing.  </w:t>
      </w:r>
      <w:proofErr w:type="gramStart"/>
      <w:r>
        <w:t>52 Pa.Code § 1.15(b).</w:t>
      </w:r>
      <w:proofErr w:type="gramEnd"/>
      <w:r>
        <w:t xml:space="preserve">  </w:t>
      </w:r>
      <w:r w:rsidRPr="00067460">
        <w:rPr>
          <w:u w:val="single"/>
        </w:rPr>
        <w:t>The requesting party must contact the other party to determine whether there is agreement to the change prior to contacting the presiding officer.</w:t>
      </w:r>
      <w:r>
        <w:t xml:space="preserve">  Requests for changes of initial hearings must be sent to me with copies to all parties of record.  </w:t>
      </w:r>
      <w:r w:rsidRPr="00BB5DAE">
        <w:rPr>
          <w:i/>
        </w:rPr>
        <w:t xml:space="preserve">Changes are granted only in rare situations where sufficient cause exists.  </w:t>
      </w:r>
    </w:p>
    <w:p w:rsidR="00A5693C" w:rsidRDefault="00A5693C" w:rsidP="00E70DE8">
      <w:pPr>
        <w:jc w:val="left"/>
        <w:rPr>
          <w:i/>
        </w:rPr>
      </w:pPr>
    </w:p>
    <w:p w:rsidR="00A5693C" w:rsidRPr="00BC4B62" w:rsidRDefault="00A5693C" w:rsidP="00E70DE8">
      <w:pPr>
        <w:jc w:val="left"/>
      </w:pPr>
      <w:r>
        <w:rPr>
          <w:i/>
        </w:rPr>
        <w:tab/>
      </w:r>
      <w:r>
        <w:rPr>
          <w:i/>
        </w:rPr>
        <w:tab/>
      </w:r>
      <w:r w:rsidR="00E70DE8" w:rsidRPr="00E70DE8">
        <w:t>8</w:t>
      </w:r>
      <w:r>
        <w:t>.</w:t>
      </w:r>
      <w: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t>P.O</w:t>
          </w:r>
          <w:proofErr w:type="gramEnd"/>
          <w:r>
            <w:t>. Box 3265</w:t>
          </w:r>
        </w:smartTag>
        <w:r>
          <w:t xml:space="preserve">, </w:t>
        </w:r>
        <w:smartTag w:uri="urn:schemas-microsoft-com:office:smarttags" w:element="City">
          <w:r>
            <w:t>Harrisburg</w:t>
          </w:r>
        </w:smartTag>
        <w:r>
          <w:t xml:space="preserve"> </w:t>
        </w:r>
        <w:smartTag w:uri="urn:schemas-microsoft-com:office:smarttags" w:element="State">
          <w:r>
            <w:t>PA</w:t>
          </w:r>
        </w:smartTag>
        <w:r>
          <w:t xml:space="preserve">  </w:t>
        </w:r>
        <w:smartTag w:uri="urn:schemas-microsoft-com:office:smarttags" w:element="PostalCode">
          <w:r>
            <w:t>17105-3265</w:t>
          </w:r>
        </w:smartTag>
      </w:smartTag>
    </w:p>
    <w:p w:rsidR="00A5693C" w:rsidRDefault="00A5693C" w:rsidP="00E70DE8">
      <w:pPr>
        <w:jc w:val="left"/>
      </w:pPr>
    </w:p>
    <w:p w:rsidR="00A5693C" w:rsidRDefault="00A5693C" w:rsidP="00E70DE8">
      <w:pPr>
        <w:jc w:val="left"/>
        <w:rPr>
          <w:b/>
        </w:rPr>
      </w:pPr>
      <w:r>
        <w:tab/>
      </w:r>
      <w:r>
        <w:tab/>
      </w:r>
      <w:r w:rsidR="00E70DE8">
        <w:t>9</w:t>
      </w:r>
      <w:r>
        <w:t>.</w:t>
      </w:r>
      <w:r>
        <w:tab/>
      </w:r>
      <w:r>
        <w:rPr>
          <w:b/>
        </w:rPr>
        <w:t xml:space="preserve">YOU WILL LOSE THIS CASE IF YOU DO NOT TAKE PART IN THIS HEARING AND PRESENT EVIDENCE ON THE ISSUES </w:t>
      </w:r>
      <w:proofErr w:type="gramStart"/>
      <w:r>
        <w:rPr>
          <w:b/>
        </w:rPr>
        <w:t>RAISED</w:t>
      </w:r>
      <w:proofErr w:type="gramEnd"/>
      <w:r>
        <w:rPr>
          <w:b/>
        </w:rPr>
        <w:t>.</w:t>
      </w:r>
    </w:p>
    <w:p w:rsidR="00A5693C" w:rsidRDefault="00A5693C" w:rsidP="00E70DE8">
      <w:pPr>
        <w:jc w:val="left"/>
      </w:pPr>
    </w:p>
    <w:p w:rsidR="00A5693C" w:rsidRDefault="00A5693C" w:rsidP="00E70DE8">
      <w:pPr>
        <w:jc w:val="left"/>
      </w:pPr>
      <w:r>
        <w:lastRenderedPageBreak/>
        <w:tab/>
      </w:r>
      <w:r>
        <w:tab/>
      </w:r>
      <w:r w:rsidR="00E70DE8">
        <w:t>10</w:t>
      </w:r>
      <w:r>
        <w:t>.</w:t>
      </w:r>
      <w:r>
        <w:tab/>
        <w:t xml:space="preserve">This hearing is a formal proceeding and will be conducted in accordance with the Commission’s rules of practice and procedure.  </w:t>
      </w:r>
      <w:proofErr w:type="gramStart"/>
      <w:r>
        <w:t>52 Pa.Code Chapters 1, 3 and 5.</w:t>
      </w:r>
      <w:proofErr w:type="gramEnd"/>
    </w:p>
    <w:p w:rsidR="00A5693C" w:rsidRDefault="00A5693C" w:rsidP="00E70DE8">
      <w:pPr>
        <w:jc w:val="left"/>
      </w:pPr>
    </w:p>
    <w:p w:rsidR="00A5693C" w:rsidRDefault="00A5693C" w:rsidP="00E70DE8">
      <w:pPr>
        <w:jc w:val="left"/>
        <w:rPr>
          <w:b/>
        </w:rPr>
      </w:pPr>
      <w:r>
        <w:tab/>
      </w:r>
      <w:r>
        <w:tab/>
      </w:r>
      <w:r w:rsidR="00E70DE8">
        <w:t>11</w:t>
      </w:r>
      <w:r>
        <w:t>.</w:t>
      </w:r>
      <w:r>
        <w:tab/>
      </w:r>
      <w:r w:rsidRPr="005663FA">
        <w:rPr>
          <w:b/>
        </w:rPr>
        <w:t xml:space="preserve">Commission policy is to encourage settlements.  </w:t>
      </w:r>
      <w:proofErr w:type="gramStart"/>
      <w:r w:rsidRPr="005663FA">
        <w:rPr>
          <w:b/>
        </w:rPr>
        <w:t>52 Pa.Code</w:t>
      </w:r>
      <w:proofErr w:type="gramEnd"/>
      <w:r w:rsidRPr="005663FA">
        <w:rPr>
          <w:b/>
        </w:rPr>
        <w:t xml:space="preserve"> </w:t>
      </w:r>
    </w:p>
    <w:p w:rsidR="00A5693C" w:rsidRDefault="00A5693C" w:rsidP="00E70DE8">
      <w:pPr>
        <w:jc w:val="left"/>
        <w:rPr>
          <w:b/>
        </w:rPr>
      </w:pPr>
      <w:r w:rsidRPr="005663FA">
        <w:rPr>
          <w:b/>
        </w:rPr>
        <w:t xml:space="preserve">§ 5.231(a).  </w:t>
      </w:r>
      <w:r>
        <w:rPr>
          <w:b/>
        </w:rPr>
        <w:t>Utility is required to contact Complainant</w:t>
      </w:r>
      <w:r w:rsidRPr="005663FA">
        <w:rPr>
          <w:b/>
        </w:rPr>
        <w:t xml:space="preserve"> to discuss informally the possible settlement of this case </w:t>
      </w:r>
      <w:r>
        <w:rPr>
          <w:b/>
        </w:rPr>
        <w:t xml:space="preserve">as soon as possible but no later than </w:t>
      </w:r>
      <w:r w:rsidRPr="005663FA">
        <w:rPr>
          <w:b/>
        </w:rPr>
        <w:t>at least one week before the hearing.  If you are unable to settle this case, you may still resolve as many questions or issues as possible during your informal discussion.</w:t>
      </w:r>
      <w:r>
        <w:rPr>
          <w:b/>
        </w:rPr>
        <w:t xml:space="preserve"> </w:t>
      </w:r>
    </w:p>
    <w:p w:rsidR="00A5693C" w:rsidRDefault="00A5693C" w:rsidP="00E70DE8">
      <w:pPr>
        <w:jc w:val="left"/>
        <w:rPr>
          <w:b/>
        </w:rPr>
      </w:pPr>
    </w:p>
    <w:p w:rsidR="00A5693C" w:rsidRDefault="00A5693C" w:rsidP="00E70DE8">
      <w:pPr>
        <w:jc w:val="left"/>
      </w:pPr>
      <w:r>
        <w:rPr>
          <w:b/>
        </w:rPr>
        <w:tab/>
      </w:r>
      <w:r>
        <w:rPr>
          <w:b/>
        </w:rPr>
        <w:tab/>
      </w:r>
      <w:r w:rsidR="00E70DE8">
        <w:t>12</w:t>
      </w:r>
      <w:r w:rsidRPr="00F31176">
        <w:t>.</w:t>
      </w:r>
      <w:r>
        <w:tab/>
        <w:t>If you intend to subpoena witnesses for the hearing, you should review the procedures established in 52 Pa.Code § 5.421.  You must submit your written application to me sufficiently in advance of the hearing date so that the other parties will have the required ten (10) days’ notice to answer or object, and so you will have enough time to receive the subpoena and serve it.</w:t>
      </w:r>
    </w:p>
    <w:p w:rsidR="00A5693C" w:rsidRDefault="00A5693C" w:rsidP="00E70DE8">
      <w:pPr>
        <w:jc w:val="left"/>
      </w:pPr>
    </w:p>
    <w:p w:rsidR="00A5693C" w:rsidRDefault="00A5693C" w:rsidP="00E70DE8">
      <w:pPr>
        <w:jc w:val="left"/>
      </w:pPr>
      <w:r>
        <w:tab/>
      </w:r>
      <w:r>
        <w:tab/>
      </w:r>
      <w:r w:rsidR="00E70DE8">
        <w:t>13</w:t>
      </w:r>
      <w:r>
        <w:t>.</w:t>
      </w:r>
      <w:r>
        <w:tab/>
        <w:t xml:space="preserve">Complainant bears the burden of proving the case and should be prepared to prove claims with testimony and documentary evidence.  </w:t>
      </w:r>
    </w:p>
    <w:p w:rsidR="00A5693C" w:rsidRDefault="00A5693C" w:rsidP="00E70DE8">
      <w:pPr>
        <w:jc w:val="left"/>
      </w:pPr>
    </w:p>
    <w:p w:rsidR="00A5693C" w:rsidRDefault="00A5693C" w:rsidP="00E70DE8">
      <w:pPr>
        <w:jc w:val="left"/>
      </w:pPr>
      <w:r>
        <w:tab/>
      </w:r>
      <w:r>
        <w:tab/>
        <w:t>1</w:t>
      </w:r>
      <w:r w:rsidR="00E70DE8">
        <w:t>4</w:t>
      </w:r>
      <w:r>
        <w:t>.</w:t>
      </w:r>
      <w: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t>Pa.</w:t>
          </w:r>
        </w:smartTag>
      </w:smartTag>
      <w:r>
        <w:t xml:space="preserve"> C.S. </w:t>
      </w:r>
    </w:p>
    <w:p w:rsidR="00A5693C" w:rsidRDefault="00A5693C" w:rsidP="00E70DE8">
      <w:pPr>
        <w:jc w:val="left"/>
      </w:pPr>
      <w:r>
        <w:t>§ 3301 or other provision of the Public Utility Code.</w:t>
      </w:r>
    </w:p>
    <w:p w:rsidR="00A5693C" w:rsidRDefault="00A5693C" w:rsidP="00E70DE8">
      <w:pPr>
        <w:jc w:val="left"/>
      </w:pPr>
    </w:p>
    <w:p w:rsidR="00A5693C" w:rsidRDefault="00A5693C" w:rsidP="00E70DE8">
      <w:pPr>
        <w:jc w:val="left"/>
      </w:pPr>
    </w:p>
    <w:p w:rsidR="00A5693C" w:rsidRDefault="00A5693C" w:rsidP="00E70DE8">
      <w:pPr>
        <w:spacing w:line="240" w:lineRule="auto"/>
        <w:jc w:val="left"/>
      </w:pPr>
      <w:r w:rsidRPr="0030236D">
        <w:t>Dated:</w:t>
      </w:r>
      <w:r w:rsidRPr="0030236D">
        <w:tab/>
      </w:r>
      <w:r w:rsidR="00E70DE8">
        <w:rPr>
          <w:u w:val="single"/>
        </w:rPr>
        <w:t>January 9, 2014</w:t>
      </w:r>
      <w:r>
        <w:tab/>
      </w:r>
      <w:r>
        <w:tab/>
      </w:r>
      <w:r>
        <w:tab/>
        <w:t>_______________________________________</w:t>
      </w:r>
    </w:p>
    <w:p w:rsidR="00A5693C" w:rsidRDefault="00A5693C" w:rsidP="00E70DE8">
      <w:pPr>
        <w:spacing w:line="240" w:lineRule="auto"/>
        <w:jc w:val="left"/>
      </w:pPr>
      <w:r>
        <w:tab/>
      </w:r>
      <w:r>
        <w:tab/>
      </w:r>
      <w:r>
        <w:tab/>
      </w:r>
      <w:r>
        <w:tab/>
      </w:r>
      <w:r>
        <w:tab/>
      </w:r>
      <w:r>
        <w:tab/>
        <w:t>Susan D. Colwell</w:t>
      </w:r>
    </w:p>
    <w:p w:rsidR="00606E02" w:rsidRDefault="00A5693C" w:rsidP="00E70DE8">
      <w:pPr>
        <w:spacing w:line="240" w:lineRule="auto"/>
        <w:jc w:val="left"/>
        <w:sectPr w:rsidR="00606E02" w:rsidSect="00E70DE8">
          <w:footerReference w:type="default" r:id="rId8"/>
          <w:pgSz w:w="12240" w:h="15840"/>
          <w:pgMar w:top="1440" w:right="1440" w:bottom="1440" w:left="1440" w:header="720" w:footer="720" w:gutter="0"/>
          <w:cols w:space="720"/>
          <w:titlePg/>
          <w:docGrid w:linePitch="360"/>
        </w:sectPr>
      </w:pPr>
      <w:r>
        <w:tab/>
      </w:r>
      <w:r>
        <w:tab/>
      </w:r>
      <w:r>
        <w:tab/>
      </w:r>
      <w:r>
        <w:tab/>
      </w:r>
      <w:r>
        <w:tab/>
      </w:r>
      <w:r>
        <w:tab/>
        <w:t>Administrative Law Judge</w:t>
      </w:r>
    </w:p>
    <w:p w:rsidR="00606E02" w:rsidRDefault="00606E02" w:rsidP="00606E02">
      <w:pPr>
        <w:spacing w:line="240" w:lineRule="auto"/>
        <w:contextualSpacing/>
        <w:jc w:val="left"/>
        <w:rPr>
          <w:rFonts w:ascii="Arial monospaced for SAP" w:hAnsi="Arial monospaced for SAP"/>
        </w:rPr>
      </w:pPr>
      <w:r w:rsidRPr="004273DE">
        <w:rPr>
          <w:rFonts w:ascii="Arial monospaced for SAP" w:hAnsi="Arial monospaced for SAP"/>
          <w:b/>
          <w:u w:val="single"/>
        </w:rPr>
        <w:lastRenderedPageBreak/>
        <w:t>C-2013-2393573 - HENRY GONZALEZ v. PHILADELPHIA GAS WORKS</w:t>
      </w:r>
      <w:r w:rsidRPr="004273DE">
        <w:rPr>
          <w:rFonts w:ascii="Arial monospaced for SAP" w:hAnsi="Arial monospaced for SAP"/>
          <w:b/>
          <w:u w:val="single"/>
        </w:rPr>
        <w:cr/>
      </w:r>
      <w:r w:rsidRPr="004273DE">
        <w:rPr>
          <w:rFonts w:ascii="Arial monospaced for SAP" w:hAnsi="Arial monospaced for SAP"/>
          <w:b/>
          <w:u w:val="single"/>
        </w:rPr>
        <w:cr/>
      </w:r>
      <w:r w:rsidRPr="004273DE">
        <w:rPr>
          <w:rFonts w:ascii="Arial monospaced for SAP" w:hAnsi="Arial monospaced for SAP"/>
        </w:rPr>
        <w:t>PETER KATEVATIS ESQ</w:t>
      </w:r>
      <w:r w:rsidRPr="004273DE">
        <w:rPr>
          <w:rFonts w:ascii="Arial monospaced for SAP" w:hAnsi="Arial monospaced for SAP"/>
        </w:rPr>
        <w:cr/>
        <w:t>2318 PEROT STREET</w:t>
      </w:r>
      <w:r w:rsidRPr="004273DE">
        <w:rPr>
          <w:rFonts w:ascii="Arial monospaced for SAP" w:hAnsi="Arial monospaced for SAP"/>
        </w:rPr>
        <w:cr/>
        <w:t>PHILADELPHIA PA  19130</w:t>
      </w:r>
      <w:r w:rsidRPr="004273DE">
        <w:rPr>
          <w:rFonts w:ascii="Arial monospaced for SAP" w:hAnsi="Arial monospaced for SAP"/>
        </w:rPr>
        <w:cr/>
        <w:t>215.485.0362</w:t>
      </w:r>
      <w:r w:rsidRPr="004273DE">
        <w:rPr>
          <w:rFonts w:ascii="Arial monospaced for SAP" w:hAnsi="Arial monospaced for SAP"/>
        </w:rPr>
        <w:cr/>
      </w:r>
    </w:p>
    <w:p w:rsidR="00606E02" w:rsidRPr="004273DE" w:rsidRDefault="00606E02" w:rsidP="00606E02">
      <w:pPr>
        <w:spacing w:line="240" w:lineRule="auto"/>
        <w:contextualSpacing/>
        <w:jc w:val="left"/>
        <w:rPr>
          <w:rFonts w:ascii="Arial monospaced for SAP" w:hAnsi="Arial monospaced for SAP"/>
        </w:rPr>
      </w:pPr>
      <w:bookmarkStart w:id="3" w:name="_GoBack"/>
      <w:r w:rsidRPr="004273DE">
        <w:rPr>
          <w:rFonts w:ascii="Arial monospaced for SAP" w:hAnsi="Arial monospaced for SAP"/>
        </w:rPr>
        <w:t>HENRY GONZALEZ</w:t>
      </w:r>
      <w:r w:rsidRPr="004273DE">
        <w:rPr>
          <w:rFonts w:ascii="Arial monospaced for SAP" w:hAnsi="Arial monospaced for SAP"/>
        </w:rPr>
        <w:cr/>
        <w:t>2140 RAC</w:t>
      </w:r>
      <w:r>
        <w:rPr>
          <w:rFonts w:ascii="Arial monospaced for SAP" w:hAnsi="Arial monospaced for SAP"/>
        </w:rPr>
        <w:t>E ST</w:t>
      </w:r>
      <w:r>
        <w:rPr>
          <w:rFonts w:ascii="Arial monospaced for SAP" w:hAnsi="Arial monospaced for SAP"/>
        </w:rPr>
        <w:cr/>
        <w:t>PHILADELPHIA PA  19103</w:t>
      </w:r>
      <w:r>
        <w:rPr>
          <w:rFonts w:ascii="Arial monospaced for SAP" w:hAnsi="Arial monospaced for SAP"/>
        </w:rPr>
        <w:cr/>
      </w:r>
      <w:bookmarkEnd w:id="3"/>
      <w:r>
        <w:rPr>
          <w:rFonts w:ascii="Arial monospaced for SAP" w:hAnsi="Arial monospaced for SAP"/>
        </w:rPr>
        <w:t>267.324.</w:t>
      </w:r>
      <w:r w:rsidRPr="004273DE">
        <w:rPr>
          <w:rFonts w:ascii="Arial monospaced for SAP" w:hAnsi="Arial monospaced for SAP"/>
        </w:rPr>
        <w:t>5254</w:t>
      </w:r>
      <w:r w:rsidRPr="004273DE">
        <w:rPr>
          <w:rFonts w:ascii="Arial monospaced for SAP" w:hAnsi="Arial monospaced for SAP"/>
        </w:rPr>
        <w:cr/>
      </w:r>
    </w:p>
    <w:p w:rsidR="00606E02" w:rsidRPr="004273DE" w:rsidRDefault="00606E02" w:rsidP="00606E02">
      <w:pPr>
        <w:spacing w:line="240" w:lineRule="auto"/>
        <w:contextualSpacing/>
        <w:jc w:val="left"/>
        <w:rPr>
          <w:rFonts w:ascii="Arial monospaced for SAP" w:hAnsi="Arial monospaced for SAP"/>
          <w:b/>
          <w:i/>
          <w:u w:val="single"/>
        </w:rPr>
      </w:pPr>
      <w:r w:rsidRPr="004273DE">
        <w:rPr>
          <w:rFonts w:ascii="Arial monospaced for SAP" w:hAnsi="Arial monospaced for SAP"/>
        </w:rPr>
        <w:t>LAURETO FARINAS ESQUIRE</w:t>
      </w:r>
      <w:r w:rsidRPr="004273DE">
        <w:rPr>
          <w:rFonts w:ascii="Arial monospaced for SAP" w:hAnsi="Arial monospaced for SAP"/>
        </w:rPr>
        <w:cr/>
        <w:t>PHILADELPHIA GAS WORKS</w:t>
      </w:r>
      <w:r w:rsidRPr="004273DE">
        <w:rPr>
          <w:rFonts w:ascii="Arial monospaced for SAP" w:hAnsi="Arial monospaced for SAP"/>
        </w:rPr>
        <w:cr/>
        <w:t>4TH FLOOR</w:t>
      </w:r>
      <w:r w:rsidRPr="004273DE">
        <w:rPr>
          <w:rFonts w:ascii="Arial monospaced for SAP" w:hAnsi="Arial monospaced for SAP"/>
        </w:rPr>
        <w:cr/>
        <w:t>800 W MONTGOMERY AVENUE</w:t>
      </w:r>
      <w:r w:rsidRPr="004273DE">
        <w:rPr>
          <w:rFonts w:ascii="Arial monospaced for SAP" w:hAnsi="Arial monospaced for SAP"/>
        </w:rPr>
        <w:cr/>
        <w:t>PHILADELPHIA PA  19122</w:t>
      </w:r>
      <w:r w:rsidRPr="004273DE">
        <w:rPr>
          <w:rFonts w:ascii="Arial monospaced for SAP" w:hAnsi="Arial monospaced for SAP"/>
        </w:rPr>
        <w:cr/>
        <w:t>215.684.6982</w:t>
      </w:r>
      <w:r w:rsidRPr="004273DE">
        <w:rPr>
          <w:rFonts w:ascii="Arial monospaced for SAP" w:hAnsi="Arial monospaced for SAP"/>
        </w:rPr>
        <w:cr/>
      </w:r>
      <w:r>
        <w:rPr>
          <w:rFonts w:ascii="Arial monospaced for SAP" w:hAnsi="Arial monospaced for SAP"/>
          <w:b/>
          <w:i/>
          <w:u w:val="single"/>
        </w:rPr>
        <w:t>E-Serve</w:t>
      </w:r>
    </w:p>
    <w:p w:rsidR="00A5693C" w:rsidRPr="00411ECF" w:rsidRDefault="00A5693C" w:rsidP="00E70DE8">
      <w:pPr>
        <w:spacing w:line="240" w:lineRule="auto"/>
        <w:jc w:val="left"/>
        <w:rPr>
          <w:b/>
        </w:rPr>
      </w:pPr>
    </w:p>
    <w:sectPr w:rsidR="00A5693C" w:rsidRPr="00411E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FDA" w:rsidRDefault="00175FDA" w:rsidP="00906B91">
      <w:pPr>
        <w:spacing w:line="240" w:lineRule="auto"/>
      </w:pPr>
      <w:r>
        <w:separator/>
      </w:r>
    </w:p>
  </w:endnote>
  <w:endnote w:type="continuationSeparator" w:id="0">
    <w:p w:rsidR="00175FDA" w:rsidRDefault="00175FDA" w:rsidP="00906B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81600"/>
      <w:docPartObj>
        <w:docPartGallery w:val="Page Numbers (Bottom of Page)"/>
        <w:docPartUnique/>
      </w:docPartObj>
    </w:sdtPr>
    <w:sdtEndPr>
      <w:rPr>
        <w:noProof/>
      </w:rPr>
    </w:sdtEndPr>
    <w:sdtContent>
      <w:p w:rsidR="00E70DE8" w:rsidRDefault="00E70DE8">
        <w:pPr>
          <w:pStyle w:val="Footer"/>
        </w:pPr>
        <w:r>
          <w:fldChar w:fldCharType="begin"/>
        </w:r>
        <w:r>
          <w:instrText xml:space="preserve"> PAGE   \* MERGEFORMAT </w:instrText>
        </w:r>
        <w:r>
          <w:fldChar w:fldCharType="separate"/>
        </w:r>
        <w:r w:rsidR="00606E02">
          <w:rPr>
            <w:noProof/>
          </w:rPr>
          <w:t>13</w:t>
        </w:r>
        <w:r>
          <w:rPr>
            <w:noProof/>
          </w:rPr>
          <w:fldChar w:fldCharType="end"/>
        </w:r>
      </w:p>
    </w:sdtContent>
  </w:sdt>
  <w:p w:rsidR="00E70DE8" w:rsidRDefault="00E70D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E02" w:rsidRDefault="00606E02">
    <w:pPr>
      <w:pStyle w:val="Footer"/>
    </w:pPr>
  </w:p>
  <w:p w:rsidR="00606E02" w:rsidRDefault="00606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FDA" w:rsidRDefault="00175FDA" w:rsidP="00906B91">
      <w:pPr>
        <w:spacing w:line="240" w:lineRule="auto"/>
      </w:pPr>
      <w:r>
        <w:separator/>
      </w:r>
    </w:p>
  </w:footnote>
  <w:footnote w:type="continuationSeparator" w:id="0">
    <w:p w:rsidR="00175FDA" w:rsidRDefault="00175FDA" w:rsidP="00906B91">
      <w:pPr>
        <w:spacing w:line="240" w:lineRule="auto"/>
      </w:pPr>
      <w:r>
        <w:continuationSeparator/>
      </w:r>
    </w:p>
  </w:footnote>
  <w:footnote w:id="1">
    <w:p w:rsidR="00906B91" w:rsidRPr="00906B91" w:rsidRDefault="00906B91" w:rsidP="00906B91">
      <w:pPr>
        <w:spacing w:line="240" w:lineRule="auto"/>
        <w:jc w:val="left"/>
        <w:rPr>
          <w:sz w:val="20"/>
          <w:szCs w:val="20"/>
        </w:rPr>
      </w:pPr>
      <w:r>
        <w:rPr>
          <w:rStyle w:val="FootnoteReference"/>
        </w:rPr>
        <w:footnoteRef/>
      </w:r>
      <w:r>
        <w:t xml:space="preserve"> </w:t>
      </w:r>
      <w:r w:rsidRPr="00906B91">
        <w:rPr>
          <w:sz w:val="20"/>
          <w:szCs w:val="20"/>
        </w:rPr>
        <w:t xml:space="preserve">Complainant cites to 66 Pa.C.S. § 1529.1 to support his claim, which is the section that requires rental units to either be individually metered or all accounts placed in the name of the landlord where any appliance or outlet located in a common area is attached to the meter of one of the tenants, </w:t>
      </w:r>
      <w:r w:rsidR="00CC6D2F">
        <w:rPr>
          <w:sz w:val="20"/>
          <w:szCs w:val="20"/>
        </w:rPr>
        <w:t xml:space="preserve">creating an unacceptable situation </w:t>
      </w:r>
      <w:r w:rsidRPr="00906B91">
        <w:rPr>
          <w:sz w:val="20"/>
          <w:szCs w:val="20"/>
        </w:rPr>
        <w:t xml:space="preserve">commonly referred to as "foreign load."  It is not immediately apparent how this </w:t>
      </w:r>
      <w:r w:rsidR="00717D7E">
        <w:rPr>
          <w:sz w:val="20"/>
          <w:szCs w:val="20"/>
        </w:rPr>
        <w:t xml:space="preserve">particular section of the </w:t>
      </w:r>
      <w:r w:rsidRPr="00906B91">
        <w:rPr>
          <w:sz w:val="20"/>
          <w:szCs w:val="20"/>
        </w:rPr>
        <w:t xml:space="preserve">statute applies to the case at hand.  </w:t>
      </w:r>
    </w:p>
    <w:p w:rsidR="00906B91" w:rsidRDefault="00906B91" w:rsidP="00906B91">
      <w:pPr>
        <w:pStyle w:val="FootnoteText"/>
        <w:jc w:val="left"/>
      </w:pPr>
    </w:p>
  </w:footnote>
  <w:footnote w:id="2">
    <w:p w:rsidR="00DB642B" w:rsidRPr="00C863BA" w:rsidRDefault="00DB642B" w:rsidP="00242292">
      <w:pPr>
        <w:pStyle w:val="FootnoteText"/>
        <w:jc w:val="left"/>
      </w:pPr>
      <w:r w:rsidRPr="00C863BA">
        <w:rPr>
          <w:rStyle w:val="FootnoteReference"/>
        </w:rPr>
        <w:footnoteRef/>
      </w:r>
      <w:r w:rsidRPr="00C863BA">
        <w:tab/>
        <w:t xml:space="preserve">“A technical term used to designate proceedings or actions instituted </w:t>
      </w:r>
      <w:r w:rsidRPr="00C863BA">
        <w:rPr>
          <w:i/>
        </w:rPr>
        <w:t>against the thing,</w:t>
      </w:r>
      <w:r w:rsidRPr="00C863BA">
        <w:t xml:space="preserve"> in contradistinction to personal actions, which are said to be </w:t>
      </w:r>
      <w:r w:rsidRPr="00C863BA">
        <w:rPr>
          <w:i/>
        </w:rPr>
        <w:t>in personam</w:t>
      </w:r>
      <w:r w:rsidRPr="00C863BA">
        <w:t xml:space="preserve">.  An ‘action in rem’ is a proceeding that takes no cognizance of owner but determines right in specific property against </w:t>
      </w:r>
      <w:proofErr w:type="gramStart"/>
      <w:r w:rsidRPr="00C863BA">
        <w:t>all the</w:t>
      </w:r>
      <w:proofErr w:type="gramEnd"/>
      <w:r w:rsidRPr="00C863BA">
        <w:t xml:space="preserve"> world, equally binding on everyone.”  Black’s Law Dictionary 713 (5</w:t>
      </w:r>
      <w:r w:rsidRPr="00C863BA">
        <w:rPr>
          <w:vertAlign w:val="superscript"/>
        </w:rPr>
        <w:t>th</w:t>
      </w:r>
      <w:r w:rsidRPr="00C863BA">
        <w:t xml:space="preserve"> ed. 1979).</w:t>
      </w:r>
    </w:p>
  </w:footnote>
  <w:footnote w:id="3">
    <w:p w:rsidR="00DB642B" w:rsidRPr="008D7410" w:rsidRDefault="00DB642B" w:rsidP="00242292">
      <w:pPr>
        <w:pStyle w:val="FootnoteText"/>
        <w:jc w:val="left"/>
      </w:pPr>
      <w:r w:rsidRPr="008D7410">
        <w:rPr>
          <w:rStyle w:val="FootnoteReference"/>
        </w:rPr>
        <w:footnoteRef/>
      </w:r>
      <w:r w:rsidRPr="008D7410">
        <w:tab/>
        <w:t xml:space="preserve">Or the Municipal Court of Philadelphia if the amount is within its jurisdiction.  </w:t>
      </w:r>
      <w:proofErr w:type="gramStart"/>
      <w:r w:rsidRPr="008D7410">
        <w:t>53 P.S. § 7101 et seq.</w:t>
      </w:r>
      <w:proofErr w:type="gramEnd"/>
    </w:p>
  </w:footnote>
  <w:footnote w:id="4">
    <w:p w:rsidR="00DB642B" w:rsidRPr="00816091" w:rsidRDefault="00DB642B" w:rsidP="00C97B30">
      <w:pPr>
        <w:pStyle w:val="FootnoteText"/>
        <w:jc w:val="left"/>
      </w:pPr>
      <w:r w:rsidRPr="00816091">
        <w:rPr>
          <w:rStyle w:val="FootnoteReference"/>
        </w:rPr>
        <w:footnoteRef/>
      </w:r>
      <w:r w:rsidRPr="00816091">
        <w:tab/>
        <w:t xml:space="preserve">The Commission has jurisdiction over municipalities providing public utility service outside of their municipal boundaries, but </w:t>
      </w:r>
      <w:r w:rsidRPr="00816091">
        <w:rPr>
          <w:u w:val="single"/>
        </w:rPr>
        <w:t>only</w:t>
      </w:r>
      <w:r w:rsidRPr="00816091">
        <w:t xml:space="preserve"> as to the public utility service being rendered.  </w:t>
      </w:r>
      <w:r w:rsidRPr="00816091">
        <w:rPr>
          <w:i/>
        </w:rPr>
        <w:t>Petition of Borough of Boyertown</w:t>
      </w:r>
      <w:r w:rsidRPr="00816091">
        <w:t xml:space="preserve">, </w:t>
      </w:r>
      <w:proofErr w:type="gramStart"/>
      <w:r w:rsidRPr="00816091">
        <w:t>77 Pa.Cmwlth</w:t>
      </w:r>
      <w:proofErr w:type="gramEnd"/>
      <w:r w:rsidRPr="00816091">
        <w:t xml:space="preserve">. </w:t>
      </w:r>
      <w:proofErr w:type="gramStart"/>
      <w:r w:rsidRPr="00816091">
        <w:t>357, 466 A.2d 239 (1983).</w:t>
      </w:r>
      <w:proofErr w:type="gramEnd"/>
      <w:r w:rsidRPr="00816091">
        <w:t xml:space="preserve">  The instant case does not involve municipal extra-territorial service, nor is the lien </w:t>
      </w:r>
      <w:proofErr w:type="gramStart"/>
      <w:r w:rsidRPr="00816091">
        <w:t>proceeding</w:t>
      </w:r>
      <w:proofErr w:type="gramEnd"/>
      <w:r w:rsidRPr="00816091">
        <w:t xml:space="preserve"> public utility service.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0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07DC"/>
    <w:rsid w:val="00082363"/>
    <w:rsid w:val="000852E5"/>
    <w:rsid w:val="00085A52"/>
    <w:rsid w:val="00086449"/>
    <w:rsid w:val="0008652E"/>
    <w:rsid w:val="000902E3"/>
    <w:rsid w:val="0009043B"/>
    <w:rsid w:val="00091F08"/>
    <w:rsid w:val="0009220F"/>
    <w:rsid w:val="00092B4E"/>
    <w:rsid w:val="00092E44"/>
    <w:rsid w:val="0009318F"/>
    <w:rsid w:val="000931F7"/>
    <w:rsid w:val="00093562"/>
    <w:rsid w:val="00093E43"/>
    <w:rsid w:val="00094432"/>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109"/>
    <w:rsid w:val="000D5763"/>
    <w:rsid w:val="000E2F36"/>
    <w:rsid w:val="000E44C4"/>
    <w:rsid w:val="000E49E6"/>
    <w:rsid w:val="000E4A42"/>
    <w:rsid w:val="000E503F"/>
    <w:rsid w:val="000E6827"/>
    <w:rsid w:val="000E71B3"/>
    <w:rsid w:val="000E7515"/>
    <w:rsid w:val="000E7EF5"/>
    <w:rsid w:val="000F0C00"/>
    <w:rsid w:val="000F1890"/>
    <w:rsid w:val="000F2E5F"/>
    <w:rsid w:val="000F3819"/>
    <w:rsid w:val="000F47F1"/>
    <w:rsid w:val="000F51F1"/>
    <w:rsid w:val="000F678B"/>
    <w:rsid w:val="000F680A"/>
    <w:rsid w:val="000F75DB"/>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5AB"/>
    <w:rsid w:val="00170FE6"/>
    <w:rsid w:val="00171416"/>
    <w:rsid w:val="00172857"/>
    <w:rsid w:val="00172B0B"/>
    <w:rsid w:val="00172E8C"/>
    <w:rsid w:val="00173570"/>
    <w:rsid w:val="00173C70"/>
    <w:rsid w:val="00174F7E"/>
    <w:rsid w:val="0017580D"/>
    <w:rsid w:val="00175F76"/>
    <w:rsid w:val="00175FDA"/>
    <w:rsid w:val="00176C44"/>
    <w:rsid w:val="00181AB1"/>
    <w:rsid w:val="001857EA"/>
    <w:rsid w:val="00186328"/>
    <w:rsid w:val="001868F5"/>
    <w:rsid w:val="00190539"/>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49A1"/>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92"/>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656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0E7"/>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3AD0"/>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0AC2"/>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6E02"/>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2DDC"/>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08C0"/>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17D7E"/>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5F0E"/>
    <w:rsid w:val="00786FA8"/>
    <w:rsid w:val="00787AF1"/>
    <w:rsid w:val="0079132B"/>
    <w:rsid w:val="00791435"/>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0A4"/>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D48"/>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06B91"/>
    <w:rsid w:val="00910398"/>
    <w:rsid w:val="0091039C"/>
    <w:rsid w:val="00911640"/>
    <w:rsid w:val="0091213F"/>
    <w:rsid w:val="00912783"/>
    <w:rsid w:val="00913D36"/>
    <w:rsid w:val="0091451C"/>
    <w:rsid w:val="00915C3E"/>
    <w:rsid w:val="00915D45"/>
    <w:rsid w:val="00916C5E"/>
    <w:rsid w:val="00920088"/>
    <w:rsid w:val="00922DF5"/>
    <w:rsid w:val="00923349"/>
    <w:rsid w:val="00923C8E"/>
    <w:rsid w:val="00923CE8"/>
    <w:rsid w:val="009252D3"/>
    <w:rsid w:val="00926002"/>
    <w:rsid w:val="00930061"/>
    <w:rsid w:val="00930EBA"/>
    <w:rsid w:val="0093151F"/>
    <w:rsid w:val="0093268C"/>
    <w:rsid w:val="00934728"/>
    <w:rsid w:val="009347A5"/>
    <w:rsid w:val="00935580"/>
    <w:rsid w:val="009366E0"/>
    <w:rsid w:val="00936B5A"/>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693C"/>
    <w:rsid w:val="00A57796"/>
    <w:rsid w:val="00A57AB1"/>
    <w:rsid w:val="00A635D9"/>
    <w:rsid w:val="00A64C8D"/>
    <w:rsid w:val="00A6721B"/>
    <w:rsid w:val="00A70355"/>
    <w:rsid w:val="00A7046F"/>
    <w:rsid w:val="00A70E7C"/>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595"/>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B30"/>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6D2F"/>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2514"/>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D0A"/>
    <w:rsid w:val="00DA756A"/>
    <w:rsid w:val="00DA7819"/>
    <w:rsid w:val="00DA78D9"/>
    <w:rsid w:val="00DA7E64"/>
    <w:rsid w:val="00DA7E6E"/>
    <w:rsid w:val="00DB07B8"/>
    <w:rsid w:val="00DB2D76"/>
    <w:rsid w:val="00DB345B"/>
    <w:rsid w:val="00DB3871"/>
    <w:rsid w:val="00DB38BB"/>
    <w:rsid w:val="00DB45E2"/>
    <w:rsid w:val="00DB4F49"/>
    <w:rsid w:val="00DB642B"/>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0709B"/>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5A1C"/>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0DE8"/>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4F5E"/>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5E21"/>
    <w:rsid w:val="00F76633"/>
    <w:rsid w:val="00F77EEC"/>
    <w:rsid w:val="00F81710"/>
    <w:rsid w:val="00F81FF7"/>
    <w:rsid w:val="00F83E64"/>
    <w:rsid w:val="00F86EF9"/>
    <w:rsid w:val="00F86FB1"/>
    <w:rsid w:val="00F87096"/>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C9"/>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06B91"/>
    <w:pPr>
      <w:spacing w:line="240" w:lineRule="auto"/>
    </w:pPr>
    <w:rPr>
      <w:sz w:val="20"/>
      <w:szCs w:val="20"/>
    </w:rPr>
  </w:style>
  <w:style w:type="character" w:customStyle="1" w:styleId="FootnoteTextChar">
    <w:name w:val="Footnote Text Char"/>
    <w:basedOn w:val="DefaultParagraphFont"/>
    <w:link w:val="FootnoteText"/>
    <w:uiPriority w:val="99"/>
    <w:semiHidden/>
    <w:rsid w:val="00906B91"/>
    <w:rPr>
      <w:sz w:val="20"/>
      <w:szCs w:val="20"/>
    </w:rPr>
  </w:style>
  <w:style w:type="character" w:styleId="FootnoteReference">
    <w:name w:val="footnote reference"/>
    <w:basedOn w:val="DefaultParagraphFont"/>
    <w:uiPriority w:val="99"/>
    <w:semiHidden/>
    <w:unhideWhenUsed/>
    <w:rsid w:val="00906B91"/>
    <w:rPr>
      <w:vertAlign w:val="superscript"/>
    </w:rPr>
  </w:style>
  <w:style w:type="paragraph" w:styleId="Header">
    <w:name w:val="header"/>
    <w:basedOn w:val="Normal"/>
    <w:link w:val="HeaderChar"/>
    <w:uiPriority w:val="99"/>
    <w:unhideWhenUsed/>
    <w:rsid w:val="00E70DE8"/>
    <w:pPr>
      <w:tabs>
        <w:tab w:val="center" w:pos="4680"/>
        <w:tab w:val="right" w:pos="9360"/>
      </w:tabs>
      <w:spacing w:line="240" w:lineRule="auto"/>
    </w:pPr>
  </w:style>
  <w:style w:type="character" w:customStyle="1" w:styleId="HeaderChar">
    <w:name w:val="Header Char"/>
    <w:basedOn w:val="DefaultParagraphFont"/>
    <w:link w:val="Header"/>
    <w:uiPriority w:val="99"/>
    <w:rsid w:val="00E70DE8"/>
  </w:style>
  <w:style w:type="paragraph" w:styleId="Footer">
    <w:name w:val="footer"/>
    <w:basedOn w:val="Normal"/>
    <w:link w:val="FooterChar"/>
    <w:uiPriority w:val="99"/>
    <w:unhideWhenUsed/>
    <w:rsid w:val="00E70DE8"/>
    <w:pPr>
      <w:tabs>
        <w:tab w:val="center" w:pos="4680"/>
        <w:tab w:val="right" w:pos="9360"/>
      </w:tabs>
      <w:spacing w:line="240" w:lineRule="auto"/>
    </w:pPr>
  </w:style>
  <w:style w:type="character" w:customStyle="1" w:styleId="FooterChar">
    <w:name w:val="Footer Char"/>
    <w:basedOn w:val="DefaultParagraphFont"/>
    <w:link w:val="Footer"/>
    <w:uiPriority w:val="99"/>
    <w:rsid w:val="00E70DE8"/>
  </w:style>
  <w:style w:type="paragraph" w:styleId="BalloonText">
    <w:name w:val="Balloon Text"/>
    <w:basedOn w:val="Normal"/>
    <w:link w:val="BalloonTextChar"/>
    <w:uiPriority w:val="99"/>
    <w:semiHidden/>
    <w:unhideWhenUsed/>
    <w:rsid w:val="00C645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06B91"/>
    <w:pPr>
      <w:spacing w:line="240" w:lineRule="auto"/>
    </w:pPr>
    <w:rPr>
      <w:sz w:val="20"/>
      <w:szCs w:val="20"/>
    </w:rPr>
  </w:style>
  <w:style w:type="character" w:customStyle="1" w:styleId="FootnoteTextChar">
    <w:name w:val="Footnote Text Char"/>
    <w:basedOn w:val="DefaultParagraphFont"/>
    <w:link w:val="FootnoteText"/>
    <w:uiPriority w:val="99"/>
    <w:semiHidden/>
    <w:rsid w:val="00906B91"/>
    <w:rPr>
      <w:sz w:val="20"/>
      <w:szCs w:val="20"/>
    </w:rPr>
  </w:style>
  <w:style w:type="character" w:styleId="FootnoteReference">
    <w:name w:val="footnote reference"/>
    <w:basedOn w:val="DefaultParagraphFont"/>
    <w:uiPriority w:val="99"/>
    <w:semiHidden/>
    <w:unhideWhenUsed/>
    <w:rsid w:val="00906B91"/>
    <w:rPr>
      <w:vertAlign w:val="superscript"/>
    </w:rPr>
  </w:style>
  <w:style w:type="paragraph" w:styleId="Header">
    <w:name w:val="header"/>
    <w:basedOn w:val="Normal"/>
    <w:link w:val="HeaderChar"/>
    <w:uiPriority w:val="99"/>
    <w:unhideWhenUsed/>
    <w:rsid w:val="00E70DE8"/>
    <w:pPr>
      <w:tabs>
        <w:tab w:val="center" w:pos="4680"/>
        <w:tab w:val="right" w:pos="9360"/>
      </w:tabs>
      <w:spacing w:line="240" w:lineRule="auto"/>
    </w:pPr>
  </w:style>
  <w:style w:type="character" w:customStyle="1" w:styleId="HeaderChar">
    <w:name w:val="Header Char"/>
    <w:basedOn w:val="DefaultParagraphFont"/>
    <w:link w:val="Header"/>
    <w:uiPriority w:val="99"/>
    <w:rsid w:val="00E70DE8"/>
  </w:style>
  <w:style w:type="paragraph" w:styleId="Footer">
    <w:name w:val="footer"/>
    <w:basedOn w:val="Normal"/>
    <w:link w:val="FooterChar"/>
    <w:uiPriority w:val="99"/>
    <w:unhideWhenUsed/>
    <w:rsid w:val="00E70DE8"/>
    <w:pPr>
      <w:tabs>
        <w:tab w:val="center" w:pos="4680"/>
        <w:tab w:val="right" w:pos="9360"/>
      </w:tabs>
      <w:spacing w:line="240" w:lineRule="auto"/>
    </w:pPr>
  </w:style>
  <w:style w:type="character" w:customStyle="1" w:styleId="FooterChar">
    <w:name w:val="Footer Char"/>
    <w:basedOn w:val="DefaultParagraphFont"/>
    <w:link w:val="Footer"/>
    <w:uiPriority w:val="99"/>
    <w:rsid w:val="00E70DE8"/>
  </w:style>
  <w:style w:type="paragraph" w:styleId="BalloonText">
    <w:name w:val="Balloon Text"/>
    <w:basedOn w:val="Normal"/>
    <w:link w:val="BalloonTextChar"/>
    <w:uiPriority w:val="99"/>
    <w:semiHidden/>
    <w:unhideWhenUsed/>
    <w:rsid w:val="00C645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B1880-9439-4986-97AE-229B880F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2014-01-09T20:37:00Z</cp:lastPrinted>
  <dcterms:created xsi:type="dcterms:W3CDTF">2014-01-09T20:33:00Z</dcterms:created>
  <dcterms:modified xsi:type="dcterms:W3CDTF">2014-01-09T20:43:00Z</dcterms:modified>
</cp:coreProperties>
</file>