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B04" w:rsidRPr="00CA4675" w:rsidRDefault="00F14B04" w:rsidP="00F14B04">
      <w:pPr>
        <w:spacing w:line="240" w:lineRule="auto"/>
        <w:rPr>
          <w:b/>
        </w:rPr>
      </w:pPr>
      <w:r w:rsidRPr="00CA4675">
        <w:rPr>
          <w:b/>
        </w:rPr>
        <w:t>BEFORE THE</w:t>
      </w:r>
    </w:p>
    <w:p w:rsidR="00F14B04" w:rsidRPr="00CA4675" w:rsidRDefault="00F14B04" w:rsidP="00F14B04">
      <w:pPr>
        <w:spacing w:line="240" w:lineRule="auto"/>
        <w:rPr>
          <w:b/>
        </w:rPr>
      </w:pPr>
      <w:r w:rsidRPr="00CA4675">
        <w:rPr>
          <w:b/>
        </w:rPr>
        <w:t>PENNSYLVANIA PUBLIC UTILITY COMMISSION</w:t>
      </w:r>
    </w:p>
    <w:p w:rsidR="00F14B04" w:rsidRDefault="00F14B04" w:rsidP="00F14B04">
      <w:pPr>
        <w:spacing w:line="240" w:lineRule="auto"/>
        <w:rPr>
          <w:b/>
        </w:rPr>
      </w:pPr>
    </w:p>
    <w:p w:rsidR="00CA4675" w:rsidRPr="00CA4675" w:rsidRDefault="00CA4675" w:rsidP="00F14B04">
      <w:pPr>
        <w:spacing w:line="240" w:lineRule="auto"/>
        <w:rPr>
          <w:b/>
        </w:rPr>
      </w:pPr>
    </w:p>
    <w:p w:rsidR="00F14B04" w:rsidRPr="00CA4675" w:rsidRDefault="00F14B04" w:rsidP="00F14B04">
      <w:pPr>
        <w:spacing w:line="240" w:lineRule="auto"/>
        <w:rPr>
          <w:b/>
        </w:rPr>
      </w:pPr>
    </w:p>
    <w:p w:rsidR="00F14B04" w:rsidRPr="00CA4675" w:rsidRDefault="00F14B04" w:rsidP="00F14B04">
      <w:pPr>
        <w:spacing w:line="240" w:lineRule="auto"/>
        <w:jc w:val="left"/>
      </w:pPr>
      <w:r w:rsidRPr="00CA4675">
        <w:t>Jere Lefever</w:t>
      </w:r>
      <w:r w:rsidRPr="00CA4675">
        <w:tab/>
      </w:r>
      <w:r w:rsidRPr="00CA4675">
        <w:tab/>
      </w:r>
      <w:r w:rsidRPr="00CA4675">
        <w:tab/>
      </w:r>
      <w:r w:rsidRPr="00CA4675">
        <w:tab/>
      </w:r>
      <w:r w:rsidRPr="00CA4675">
        <w:tab/>
      </w:r>
      <w:r w:rsidRPr="00CA4675">
        <w:tab/>
        <w:t>:</w:t>
      </w:r>
    </w:p>
    <w:p w:rsidR="00F14B04" w:rsidRPr="00CA4675" w:rsidRDefault="00F14B04" w:rsidP="00F14B04">
      <w:pPr>
        <w:spacing w:line="240" w:lineRule="auto"/>
        <w:jc w:val="left"/>
      </w:pPr>
      <w:r w:rsidRPr="00CA4675">
        <w:tab/>
      </w:r>
      <w:r w:rsidRPr="00CA4675">
        <w:tab/>
      </w:r>
      <w:r w:rsidRPr="00CA4675">
        <w:tab/>
      </w:r>
      <w:r w:rsidRPr="00CA4675">
        <w:tab/>
      </w:r>
      <w:r w:rsidRPr="00CA4675">
        <w:tab/>
      </w:r>
      <w:r w:rsidRPr="00CA4675">
        <w:tab/>
      </w:r>
      <w:r w:rsidRPr="00CA4675">
        <w:tab/>
        <w:t>:</w:t>
      </w:r>
    </w:p>
    <w:p w:rsidR="00F14B04" w:rsidRPr="00CA4675" w:rsidRDefault="00F14B04" w:rsidP="00F14B04">
      <w:pPr>
        <w:spacing w:line="240" w:lineRule="auto"/>
        <w:jc w:val="left"/>
      </w:pPr>
      <w:r w:rsidRPr="00CA4675">
        <w:tab/>
        <w:t>v.</w:t>
      </w:r>
      <w:r w:rsidRPr="00CA4675">
        <w:tab/>
      </w:r>
      <w:r w:rsidRPr="00CA4675">
        <w:tab/>
      </w:r>
      <w:r w:rsidRPr="00CA4675">
        <w:tab/>
      </w:r>
      <w:r w:rsidRPr="00CA4675">
        <w:tab/>
      </w:r>
      <w:r w:rsidRPr="00CA4675">
        <w:tab/>
      </w:r>
      <w:r w:rsidRPr="00CA4675">
        <w:tab/>
      </w:r>
      <w:r w:rsidR="00CA4675">
        <w:t>:</w:t>
      </w:r>
      <w:r w:rsidR="00CA4675">
        <w:tab/>
      </w:r>
      <w:r w:rsidR="00CA4675">
        <w:tab/>
      </w:r>
      <w:r w:rsidR="00930855">
        <w:tab/>
      </w:r>
      <w:r w:rsidRPr="00CA4675">
        <w:t>C-2013-2367314</w:t>
      </w:r>
    </w:p>
    <w:p w:rsidR="00F14B04" w:rsidRPr="00CA4675" w:rsidRDefault="00F14B04" w:rsidP="00F14B04">
      <w:pPr>
        <w:spacing w:line="240" w:lineRule="auto"/>
        <w:jc w:val="left"/>
      </w:pPr>
      <w:r w:rsidRPr="00CA4675">
        <w:tab/>
      </w:r>
      <w:r w:rsidRPr="00CA4675">
        <w:tab/>
      </w:r>
      <w:r w:rsidRPr="00CA4675">
        <w:tab/>
      </w:r>
      <w:r w:rsidRPr="00CA4675">
        <w:tab/>
      </w:r>
      <w:r w:rsidRPr="00CA4675">
        <w:tab/>
      </w:r>
      <w:r w:rsidRPr="00CA4675">
        <w:tab/>
      </w:r>
      <w:r w:rsidRPr="00CA4675">
        <w:tab/>
        <w:t>:</w:t>
      </w:r>
    </w:p>
    <w:p w:rsidR="00F14B04" w:rsidRPr="00CA4675" w:rsidRDefault="00F14B04" w:rsidP="00F14B04">
      <w:pPr>
        <w:spacing w:line="240" w:lineRule="auto"/>
        <w:jc w:val="left"/>
      </w:pPr>
      <w:r w:rsidRPr="00CA4675">
        <w:t>PPL Electric Utilities Corporation</w:t>
      </w:r>
      <w:r w:rsidRPr="00CA4675">
        <w:tab/>
      </w:r>
      <w:r w:rsidRPr="00CA4675">
        <w:tab/>
      </w:r>
      <w:r w:rsidRPr="00CA4675">
        <w:tab/>
        <w:t>:</w:t>
      </w:r>
    </w:p>
    <w:p w:rsidR="00F14B04" w:rsidRDefault="00F14B04" w:rsidP="00F14B04">
      <w:pPr>
        <w:spacing w:line="240" w:lineRule="auto"/>
        <w:jc w:val="left"/>
      </w:pPr>
    </w:p>
    <w:p w:rsidR="00CA4675" w:rsidRPr="00CA4675" w:rsidRDefault="00CA4675" w:rsidP="00F14B04">
      <w:pPr>
        <w:spacing w:line="240" w:lineRule="auto"/>
        <w:jc w:val="left"/>
      </w:pPr>
    </w:p>
    <w:p w:rsidR="00F14B04" w:rsidRPr="00CA4675" w:rsidRDefault="00F14B04" w:rsidP="00F14B04">
      <w:pPr>
        <w:spacing w:line="240" w:lineRule="auto"/>
        <w:jc w:val="left"/>
      </w:pPr>
    </w:p>
    <w:p w:rsidR="00F14B04" w:rsidRPr="00CA4675" w:rsidRDefault="00F14B04" w:rsidP="00F14B04">
      <w:pPr>
        <w:spacing w:line="240" w:lineRule="auto"/>
        <w:rPr>
          <w:b/>
          <w:u w:val="single"/>
        </w:rPr>
      </w:pPr>
      <w:r w:rsidRPr="00CA4675">
        <w:rPr>
          <w:b/>
          <w:u w:val="single"/>
        </w:rPr>
        <w:t>INITIAL DECISION</w:t>
      </w:r>
    </w:p>
    <w:p w:rsidR="00F14B04" w:rsidRPr="00CA4675" w:rsidRDefault="00F14B04" w:rsidP="00F14B04">
      <w:pPr>
        <w:spacing w:line="240" w:lineRule="auto"/>
        <w:rPr>
          <w:b/>
          <w:u w:val="single"/>
        </w:rPr>
      </w:pPr>
    </w:p>
    <w:p w:rsidR="00F14B04" w:rsidRPr="00CA4675" w:rsidRDefault="00F14B04" w:rsidP="00F14B04">
      <w:pPr>
        <w:spacing w:line="240" w:lineRule="auto"/>
      </w:pPr>
      <w:bookmarkStart w:id="0" w:name="_GoBack"/>
      <w:bookmarkEnd w:id="0"/>
    </w:p>
    <w:p w:rsidR="00F14B04" w:rsidRPr="00CA4675" w:rsidRDefault="00F14B04" w:rsidP="00F14B04">
      <w:pPr>
        <w:spacing w:line="240" w:lineRule="auto"/>
      </w:pPr>
      <w:r w:rsidRPr="00CA4675">
        <w:t>Before</w:t>
      </w:r>
    </w:p>
    <w:p w:rsidR="00F14B04" w:rsidRPr="00CA4675" w:rsidRDefault="00F14B04" w:rsidP="00F14B04">
      <w:pPr>
        <w:spacing w:line="240" w:lineRule="auto"/>
      </w:pPr>
      <w:r w:rsidRPr="00CA4675">
        <w:t>Susan D. Colwell</w:t>
      </w:r>
    </w:p>
    <w:p w:rsidR="00F14B04" w:rsidRPr="00CA4675" w:rsidRDefault="00F14B04" w:rsidP="00F14B04">
      <w:pPr>
        <w:spacing w:line="240" w:lineRule="auto"/>
      </w:pPr>
      <w:r w:rsidRPr="00CA4675">
        <w:t>Administrative Law Judge</w:t>
      </w:r>
    </w:p>
    <w:p w:rsidR="00F14B04" w:rsidRPr="00CA4675" w:rsidRDefault="00F14B04" w:rsidP="00F14B04">
      <w:pPr>
        <w:spacing w:line="240" w:lineRule="auto"/>
      </w:pPr>
    </w:p>
    <w:p w:rsidR="00F14B04" w:rsidRPr="00CA4675" w:rsidRDefault="00F14B04" w:rsidP="00F14B04">
      <w:pPr>
        <w:spacing w:line="240" w:lineRule="auto"/>
      </w:pPr>
    </w:p>
    <w:p w:rsidR="00F14B04" w:rsidRPr="00CA4675" w:rsidRDefault="00F14B04" w:rsidP="00F14B04">
      <w:pPr>
        <w:spacing w:line="240" w:lineRule="auto"/>
        <w:rPr>
          <w:u w:val="single"/>
        </w:rPr>
      </w:pPr>
      <w:r w:rsidRPr="00CA4675">
        <w:rPr>
          <w:u w:val="single"/>
        </w:rPr>
        <w:t>HISTORY OF THE PROCEEDING</w:t>
      </w:r>
    </w:p>
    <w:p w:rsidR="00F14B04" w:rsidRPr="00CA4675" w:rsidRDefault="00F14B04" w:rsidP="00F14B04">
      <w:pPr>
        <w:spacing w:line="240" w:lineRule="auto"/>
        <w:rPr>
          <w:u w:val="single"/>
        </w:rPr>
      </w:pPr>
    </w:p>
    <w:p w:rsidR="00F14B04" w:rsidRPr="00CA4675" w:rsidRDefault="00F14B04" w:rsidP="00F14B04">
      <w:pPr>
        <w:spacing w:line="240" w:lineRule="auto"/>
      </w:pPr>
    </w:p>
    <w:p w:rsidR="00F14B04" w:rsidRPr="00CA4675" w:rsidRDefault="00F14B04" w:rsidP="00F14B04">
      <w:pPr>
        <w:jc w:val="left"/>
      </w:pPr>
      <w:r w:rsidRPr="00CA4675">
        <w:tab/>
      </w:r>
      <w:r w:rsidRPr="00CA4675">
        <w:tab/>
        <w:t xml:space="preserve">On May 31, 2013, Jere Lefever (Complainant) filed a formal Complaint against PPL Electric Utilities Corporation (Respondent or PPL or Company) alleging that he should not be responsible for the arrearage </w:t>
      </w:r>
      <w:r w:rsidR="009166EC" w:rsidRPr="00CA4675">
        <w:t>accrued by his tenant prior to her account being transferred to him following service termination for nonpayment and discovery of foreign load on her meter.  He addressed the situation, and the Company placed the service back in the tenant's name but failed to remove the tenant's arrearage from his bill.</w:t>
      </w:r>
    </w:p>
    <w:p w:rsidR="009166EC" w:rsidRPr="00CA4675" w:rsidRDefault="009166EC" w:rsidP="00F14B04">
      <w:pPr>
        <w:jc w:val="left"/>
      </w:pPr>
    </w:p>
    <w:p w:rsidR="009166EC" w:rsidRPr="00CA4675" w:rsidRDefault="009166EC" w:rsidP="00F14B04">
      <w:pPr>
        <w:jc w:val="left"/>
      </w:pPr>
      <w:r w:rsidRPr="00CA4675">
        <w:tab/>
      </w:r>
      <w:r w:rsidRPr="00CA4675">
        <w:tab/>
        <w:t>On June 27, 2013, PPL filed its Answer admitting the allegations and stating further that the Company actions were in accordance with applicable law.</w:t>
      </w:r>
    </w:p>
    <w:p w:rsidR="009166EC" w:rsidRPr="00CA4675" w:rsidRDefault="009166EC" w:rsidP="00F14B04">
      <w:pPr>
        <w:jc w:val="left"/>
      </w:pPr>
    </w:p>
    <w:p w:rsidR="009166EC" w:rsidRPr="00CA4675" w:rsidRDefault="009166EC" w:rsidP="00F14B04">
      <w:pPr>
        <w:jc w:val="left"/>
      </w:pPr>
      <w:r w:rsidRPr="00CA4675">
        <w:tab/>
      </w:r>
      <w:r w:rsidRPr="00CA4675">
        <w:tab/>
        <w:t xml:space="preserve">On October 25, 2013, </w:t>
      </w:r>
      <w:r w:rsidR="00C01D56" w:rsidRPr="00CA4675">
        <w:t>a telephonic hearing notice was issued which set the evidentiary hearing for November 25, 2013 and assigned the matter to me.  I issued a prehearing order on October 28, 2013, which set forth some of the requirements for a formal proceeding before the Commission.</w:t>
      </w:r>
    </w:p>
    <w:p w:rsidR="00C01D56" w:rsidRPr="00CA4675" w:rsidRDefault="00C01D56" w:rsidP="00F14B04">
      <w:pPr>
        <w:jc w:val="left"/>
      </w:pPr>
    </w:p>
    <w:p w:rsidR="00C01D56" w:rsidRPr="00CA4675" w:rsidRDefault="00C01D56" w:rsidP="002044BE">
      <w:pPr>
        <w:jc w:val="left"/>
      </w:pPr>
      <w:r w:rsidRPr="00CA4675">
        <w:lastRenderedPageBreak/>
        <w:tab/>
      </w:r>
      <w:r w:rsidRPr="00CA4675">
        <w:tab/>
        <w:t xml:space="preserve">The hearing was convened as scheduled with the Complainant appearing on his own behalf.  PPL was represented </w:t>
      </w:r>
      <w:r w:rsidR="00287316" w:rsidRPr="00CA4675">
        <w:t xml:space="preserve">by Andrew Ralston, Esq., who entered his appearance following the hearing.  He presented one witness.  The hearing resulted in a transcript and the record closed upon its receipt on </w:t>
      </w:r>
      <w:r w:rsidR="00E13262" w:rsidRPr="00CA4675">
        <w:t>December 19, 2013.</w:t>
      </w:r>
    </w:p>
    <w:p w:rsidR="00287316" w:rsidRPr="00CA4675" w:rsidRDefault="00287316" w:rsidP="002044BE">
      <w:pPr>
        <w:jc w:val="left"/>
      </w:pPr>
    </w:p>
    <w:p w:rsidR="00287316" w:rsidRPr="00CA4675" w:rsidRDefault="00287316" w:rsidP="002044BE">
      <w:pPr>
        <w:jc w:val="left"/>
      </w:pPr>
      <w:r w:rsidRPr="00CA4675">
        <w:tab/>
      </w:r>
      <w:r w:rsidRPr="00CA4675">
        <w:tab/>
        <w:t>The matter is now ripe for disposition.</w:t>
      </w:r>
    </w:p>
    <w:p w:rsidR="00223621" w:rsidRPr="00CA4675" w:rsidRDefault="00223621" w:rsidP="002044BE">
      <w:pPr>
        <w:jc w:val="left"/>
      </w:pPr>
    </w:p>
    <w:p w:rsidR="00287316" w:rsidRPr="00CA4675" w:rsidRDefault="00287316" w:rsidP="002044BE">
      <w:pPr>
        <w:rPr>
          <w:u w:val="single"/>
        </w:rPr>
      </w:pPr>
      <w:r w:rsidRPr="00CA4675">
        <w:rPr>
          <w:u w:val="single"/>
        </w:rPr>
        <w:t>FINDINGS OF FACT</w:t>
      </w:r>
    </w:p>
    <w:p w:rsidR="00287316" w:rsidRPr="00CA4675" w:rsidRDefault="00287316" w:rsidP="002044BE">
      <w:pPr>
        <w:rPr>
          <w:u w:val="single"/>
        </w:rPr>
      </w:pPr>
    </w:p>
    <w:p w:rsidR="00287316" w:rsidRPr="00CA4675" w:rsidRDefault="00287316" w:rsidP="002044BE">
      <w:pPr>
        <w:jc w:val="left"/>
      </w:pPr>
      <w:r w:rsidRPr="00CA4675">
        <w:tab/>
      </w:r>
      <w:r w:rsidRPr="00CA4675">
        <w:tab/>
        <w:t>1.</w:t>
      </w:r>
      <w:r w:rsidRPr="00CA4675">
        <w:tab/>
        <w:t xml:space="preserve">Complainant is Jere Lefever, </w:t>
      </w:r>
      <w:r w:rsidR="00955DF6" w:rsidRPr="00CA4675">
        <w:t>107 Eis</w:t>
      </w:r>
      <w:r w:rsidR="00B77189">
        <w:t xml:space="preserve">enhower Boulevard, Lancaster PA </w:t>
      </w:r>
      <w:r w:rsidR="00955DF6" w:rsidRPr="00CA4675">
        <w:t>17603.</w:t>
      </w:r>
      <w:r w:rsidR="00E13262" w:rsidRPr="00CA4675">
        <w:t xml:space="preserve">  Tr. 7.</w:t>
      </w:r>
    </w:p>
    <w:p w:rsidR="00955DF6" w:rsidRPr="00CA4675" w:rsidRDefault="00955DF6" w:rsidP="002044BE">
      <w:pPr>
        <w:jc w:val="left"/>
      </w:pPr>
    </w:p>
    <w:p w:rsidR="00955DF6" w:rsidRPr="00CA4675" w:rsidRDefault="00955DF6" w:rsidP="002044BE">
      <w:pPr>
        <w:jc w:val="left"/>
      </w:pPr>
      <w:r w:rsidRPr="00CA4675">
        <w:tab/>
      </w:r>
      <w:r w:rsidRPr="00CA4675">
        <w:tab/>
        <w:t>2.</w:t>
      </w:r>
      <w:r w:rsidRPr="00CA4675">
        <w:tab/>
        <w:t>Respondent is PPL Electric Utilities Corporation, a jurisdictional public utility providing residential electric service in the Commonwealth of Pennsylvania.</w:t>
      </w:r>
    </w:p>
    <w:p w:rsidR="00955DF6" w:rsidRPr="00CA4675" w:rsidRDefault="00955DF6" w:rsidP="002044BE">
      <w:pPr>
        <w:jc w:val="left"/>
      </w:pPr>
    </w:p>
    <w:p w:rsidR="00955DF6" w:rsidRPr="00CA4675" w:rsidRDefault="00955DF6" w:rsidP="002044BE">
      <w:pPr>
        <w:jc w:val="left"/>
      </w:pPr>
      <w:r w:rsidRPr="00CA4675">
        <w:tab/>
      </w:r>
      <w:r w:rsidRPr="00CA4675">
        <w:tab/>
        <w:t>3.</w:t>
      </w:r>
      <w:r w:rsidRPr="00CA4675">
        <w:tab/>
      </w:r>
      <w:r w:rsidR="00D1785A" w:rsidRPr="00CA4675">
        <w:t xml:space="preserve">Complainant owns property located at 1314 Newport Road, Manheim, which he leases. </w:t>
      </w:r>
      <w:r w:rsidR="00E13262" w:rsidRPr="00CA4675">
        <w:t>Tr. 7-8.</w:t>
      </w:r>
    </w:p>
    <w:p w:rsidR="00D1785A" w:rsidRPr="00CA4675" w:rsidRDefault="00D1785A" w:rsidP="002044BE">
      <w:pPr>
        <w:jc w:val="left"/>
      </w:pPr>
    </w:p>
    <w:p w:rsidR="00D1785A" w:rsidRPr="00CA4675" w:rsidRDefault="00D1785A" w:rsidP="002044BE">
      <w:pPr>
        <w:jc w:val="left"/>
      </w:pPr>
      <w:r w:rsidRPr="00CA4675">
        <w:tab/>
      </w:r>
      <w:r w:rsidRPr="00CA4675">
        <w:tab/>
        <w:t>4.</w:t>
      </w:r>
      <w:r w:rsidRPr="00CA4675">
        <w:tab/>
        <w:t>Complainant's parents own and live at 1316 Newport Road, Manheim.</w:t>
      </w:r>
      <w:r w:rsidR="006332BA">
        <w:t xml:space="preserve">  Tr. </w:t>
      </w:r>
      <w:r w:rsidR="00E13262" w:rsidRPr="00CA4675">
        <w:t>8.</w:t>
      </w:r>
    </w:p>
    <w:p w:rsidR="00D1785A" w:rsidRPr="00CA4675" w:rsidRDefault="00D1785A" w:rsidP="002044BE">
      <w:pPr>
        <w:jc w:val="left"/>
      </w:pPr>
    </w:p>
    <w:p w:rsidR="00D1785A" w:rsidRPr="00CA4675" w:rsidRDefault="00D1785A" w:rsidP="002044BE">
      <w:pPr>
        <w:jc w:val="left"/>
      </w:pPr>
      <w:r w:rsidRPr="00CA4675">
        <w:tab/>
      </w:r>
      <w:r w:rsidRPr="00CA4675">
        <w:tab/>
        <w:t>5.</w:t>
      </w:r>
      <w:r w:rsidRPr="00CA4675">
        <w:tab/>
        <w:t>On August 19, 2012, there was no water flowing to 1316 Newport Road.</w:t>
      </w:r>
      <w:r w:rsidR="00E13262" w:rsidRPr="00CA4675">
        <w:t xml:space="preserve">  Tr. 8.</w:t>
      </w:r>
    </w:p>
    <w:p w:rsidR="00D1785A" w:rsidRPr="00CA4675" w:rsidRDefault="00D1785A" w:rsidP="002044BE">
      <w:pPr>
        <w:jc w:val="left"/>
      </w:pPr>
    </w:p>
    <w:p w:rsidR="00D1785A" w:rsidRPr="00CA4675" w:rsidRDefault="00D1785A" w:rsidP="002044BE">
      <w:pPr>
        <w:jc w:val="left"/>
      </w:pPr>
      <w:r w:rsidRPr="00CA4675">
        <w:tab/>
      </w:r>
      <w:r w:rsidRPr="00CA4675">
        <w:tab/>
        <w:t>6.</w:t>
      </w:r>
      <w:r w:rsidRPr="00CA4675">
        <w:tab/>
        <w:t>Electric service was terminated at 1314 Newport Road due to nonpayment.</w:t>
      </w:r>
      <w:r w:rsidR="00E13262" w:rsidRPr="00CA4675">
        <w:t xml:space="preserve">  Tr. 7.</w:t>
      </w:r>
    </w:p>
    <w:p w:rsidR="00D1785A" w:rsidRPr="00CA4675" w:rsidRDefault="00D1785A" w:rsidP="002044BE">
      <w:pPr>
        <w:jc w:val="left"/>
      </w:pPr>
    </w:p>
    <w:p w:rsidR="00D1785A" w:rsidRPr="00CA4675" w:rsidRDefault="00D1785A" w:rsidP="002044BE">
      <w:pPr>
        <w:jc w:val="left"/>
      </w:pPr>
      <w:r w:rsidRPr="00CA4675">
        <w:tab/>
      </w:r>
      <w:r w:rsidRPr="00CA4675">
        <w:tab/>
        <w:t>7.</w:t>
      </w:r>
      <w:r w:rsidRPr="00CA4675">
        <w:tab/>
        <w:t>Complainant discovered that the water pump to both 1314 and 1316 Newport Road was connected to the electric meter for service to 1314 Newport Road.</w:t>
      </w:r>
      <w:r w:rsidR="00E13262" w:rsidRPr="00CA4675">
        <w:t xml:space="preserve">  Tr. 8.</w:t>
      </w:r>
    </w:p>
    <w:p w:rsidR="00D1785A" w:rsidRPr="00CA4675" w:rsidRDefault="00D1785A" w:rsidP="002044BE">
      <w:pPr>
        <w:jc w:val="left"/>
      </w:pPr>
    </w:p>
    <w:p w:rsidR="00D1785A" w:rsidRPr="00CA4675" w:rsidRDefault="00D1785A" w:rsidP="002044BE">
      <w:pPr>
        <w:jc w:val="left"/>
      </w:pPr>
      <w:r w:rsidRPr="00CA4675">
        <w:tab/>
      </w:r>
      <w:r w:rsidRPr="00CA4675">
        <w:tab/>
        <w:t>8.</w:t>
      </w:r>
      <w:r w:rsidRPr="00CA4675">
        <w:tab/>
        <w:t>Complainant reported the situation to PPL, and PPL transferred the arrearage accrued by his tenant at 1314 Newport Road to his account.</w:t>
      </w:r>
      <w:r w:rsidR="00E13262" w:rsidRPr="00CA4675">
        <w:t xml:space="preserve">  Tr. 8.</w:t>
      </w:r>
    </w:p>
    <w:p w:rsidR="00D1785A" w:rsidRPr="00CA4675" w:rsidRDefault="00D1785A" w:rsidP="002044BE">
      <w:pPr>
        <w:jc w:val="left"/>
      </w:pPr>
    </w:p>
    <w:p w:rsidR="00D1785A" w:rsidRPr="00CA4675" w:rsidRDefault="00D1785A" w:rsidP="002044BE">
      <w:pPr>
        <w:jc w:val="left"/>
      </w:pPr>
      <w:r w:rsidRPr="00CA4675">
        <w:tab/>
      </w:r>
      <w:r w:rsidRPr="00CA4675">
        <w:tab/>
        <w:t>9.</w:t>
      </w:r>
      <w:r w:rsidRPr="00CA4675">
        <w:tab/>
        <w:t>Complainant rewired the water pump so that the electricity is provided by his parents' meter at 1316 Newport Road.</w:t>
      </w:r>
      <w:r w:rsidR="00E13262" w:rsidRPr="00CA4675">
        <w:t xml:space="preserve">  </w:t>
      </w:r>
      <w:r w:rsidR="00B95E16" w:rsidRPr="00CA4675">
        <w:t>Tr. 10.</w:t>
      </w:r>
    </w:p>
    <w:p w:rsidR="00D1785A" w:rsidRPr="00CA4675" w:rsidRDefault="00D1785A" w:rsidP="002044BE">
      <w:pPr>
        <w:jc w:val="left"/>
      </w:pPr>
    </w:p>
    <w:p w:rsidR="00D1785A" w:rsidRPr="00CA4675" w:rsidRDefault="00D1785A" w:rsidP="002044BE">
      <w:pPr>
        <w:jc w:val="left"/>
      </w:pPr>
      <w:r w:rsidRPr="00CA4675">
        <w:tab/>
      </w:r>
      <w:r w:rsidRPr="00CA4675">
        <w:tab/>
        <w:t>10.</w:t>
      </w:r>
      <w:r w:rsidRPr="00CA4675">
        <w:tab/>
        <w:t>Complainant and his tenant signed the form that PPL required which indicates that the foreign load situation was rectified and faxed it to the Company.</w:t>
      </w:r>
      <w:r w:rsidR="00B95E16" w:rsidRPr="00CA4675">
        <w:t xml:space="preserve">  Tr. 10.</w:t>
      </w:r>
    </w:p>
    <w:p w:rsidR="00D1785A" w:rsidRPr="00CA4675" w:rsidRDefault="00D1785A" w:rsidP="002044BE">
      <w:pPr>
        <w:jc w:val="left"/>
      </w:pPr>
    </w:p>
    <w:p w:rsidR="00B95E16" w:rsidRPr="00CA4675" w:rsidRDefault="00B95E16" w:rsidP="002044BE">
      <w:pPr>
        <w:jc w:val="left"/>
      </w:pPr>
      <w:r w:rsidRPr="00CA4675">
        <w:tab/>
      </w:r>
      <w:r w:rsidRPr="00CA4675">
        <w:tab/>
        <w:t>11.</w:t>
      </w:r>
      <w:r w:rsidRPr="00CA4675">
        <w:tab/>
        <w:t>Karen Braas, customer contact representative for PPL Electric Utilities Corporation, appeared and testified on behalf of Respondent.  Tr. 17.</w:t>
      </w:r>
    </w:p>
    <w:p w:rsidR="00B95E16" w:rsidRPr="00CA4675" w:rsidRDefault="00B95E16" w:rsidP="002044BE">
      <w:pPr>
        <w:jc w:val="left"/>
      </w:pPr>
    </w:p>
    <w:p w:rsidR="008B3952" w:rsidRPr="00CA4675" w:rsidRDefault="009E7DEC" w:rsidP="002044BE">
      <w:pPr>
        <w:jc w:val="left"/>
      </w:pPr>
      <w:r>
        <w:tab/>
      </w:r>
      <w:r>
        <w:tab/>
        <w:t>1</w:t>
      </w:r>
      <w:r w:rsidR="00B77189">
        <w:t>2</w:t>
      </w:r>
      <w:r w:rsidR="00D1785A" w:rsidRPr="00CA4675">
        <w:t>.</w:t>
      </w:r>
      <w:r w:rsidR="00D1785A" w:rsidRPr="00CA4675">
        <w:tab/>
      </w:r>
      <w:r w:rsidR="008B3952" w:rsidRPr="00CA4675">
        <w:t>PPL placed the electric service account for 1314 Newport Road back in the name of the tenant.</w:t>
      </w:r>
      <w:r w:rsidR="00962048" w:rsidRPr="00CA4675">
        <w:t xml:space="preserve">  Tr. 18.</w:t>
      </w:r>
    </w:p>
    <w:p w:rsidR="008B3952" w:rsidRPr="00CA4675" w:rsidRDefault="008B3952" w:rsidP="002044BE">
      <w:pPr>
        <w:jc w:val="left"/>
      </w:pPr>
    </w:p>
    <w:p w:rsidR="008B3952" w:rsidRPr="00CA4675" w:rsidRDefault="008B3952" w:rsidP="002044BE">
      <w:pPr>
        <w:jc w:val="left"/>
      </w:pPr>
      <w:r w:rsidRPr="00CA4675">
        <w:tab/>
      </w:r>
      <w:r w:rsidRPr="00CA4675">
        <w:tab/>
        <w:t>1</w:t>
      </w:r>
      <w:r w:rsidR="00B77189">
        <w:t>3</w:t>
      </w:r>
      <w:r w:rsidRPr="00CA4675">
        <w:t>.</w:t>
      </w:r>
      <w:r w:rsidRPr="00CA4675">
        <w:tab/>
        <w:t>The arrearage of $6,241.41 was not returned to the tenant but remains with the Complainant.</w:t>
      </w:r>
      <w:r w:rsidR="00962048" w:rsidRPr="00CA4675">
        <w:t xml:space="preserve">  Tr. 19.</w:t>
      </w:r>
    </w:p>
    <w:p w:rsidR="00223784" w:rsidRPr="00CA4675" w:rsidRDefault="00223784" w:rsidP="002044BE">
      <w:pPr>
        <w:jc w:val="left"/>
      </w:pPr>
    </w:p>
    <w:p w:rsidR="00223784" w:rsidRPr="00CA4675" w:rsidRDefault="00223784" w:rsidP="002044BE">
      <w:pPr>
        <w:jc w:val="left"/>
      </w:pPr>
      <w:r w:rsidRPr="00CA4675">
        <w:tab/>
      </w:r>
      <w:r w:rsidRPr="00CA4675">
        <w:tab/>
        <w:t>1</w:t>
      </w:r>
      <w:r w:rsidR="00B77189">
        <w:t>4</w:t>
      </w:r>
      <w:r w:rsidRPr="00CA4675">
        <w:t>.</w:t>
      </w:r>
      <w:r w:rsidRPr="00CA4675">
        <w:tab/>
      </w:r>
      <w:r w:rsidR="00D20532" w:rsidRPr="00CA4675">
        <w:t>Questions regarding standard Company exhibits could not be answered by the witness provided by the Company.  Tr. 24-30.</w:t>
      </w:r>
    </w:p>
    <w:p w:rsidR="00D20532" w:rsidRPr="00CA4675" w:rsidRDefault="00D20532" w:rsidP="002044BE">
      <w:pPr>
        <w:jc w:val="left"/>
      </w:pPr>
    </w:p>
    <w:p w:rsidR="00D20532" w:rsidRPr="00CA4675" w:rsidRDefault="009E7DEC" w:rsidP="00502C7A">
      <w:pPr>
        <w:jc w:val="left"/>
      </w:pPr>
      <w:r>
        <w:tab/>
      </w:r>
      <w:r>
        <w:tab/>
        <w:t>1</w:t>
      </w:r>
      <w:r w:rsidR="00B77189">
        <w:t>5</w:t>
      </w:r>
      <w:r w:rsidR="00D20532" w:rsidRPr="00CA4675">
        <w:t>.</w:t>
      </w:r>
      <w:r w:rsidR="00D20532" w:rsidRPr="00CA4675">
        <w:tab/>
        <w:t>A PPL customer service employee informed Complainant that the arrearage would be transferred back to the tenant when the foreign load was corrected.  Tr. 23.</w:t>
      </w:r>
    </w:p>
    <w:p w:rsidR="00223784" w:rsidRPr="00CA4675" w:rsidRDefault="00223784" w:rsidP="00502C7A">
      <w:pPr>
        <w:jc w:val="left"/>
      </w:pPr>
    </w:p>
    <w:p w:rsidR="00D1785A" w:rsidRPr="00CA4675" w:rsidRDefault="008B3952" w:rsidP="00502C7A">
      <w:pPr>
        <w:rPr>
          <w:u w:val="single"/>
        </w:rPr>
      </w:pPr>
      <w:r w:rsidRPr="00CA4675">
        <w:rPr>
          <w:u w:val="single"/>
        </w:rPr>
        <w:t>DISCUSSION</w:t>
      </w:r>
    </w:p>
    <w:p w:rsidR="008B3952" w:rsidRPr="00CA4675" w:rsidRDefault="008B3952" w:rsidP="00502C7A">
      <w:pPr>
        <w:rPr>
          <w:u w:val="single"/>
        </w:rPr>
      </w:pPr>
    </w:p>
    <w:p w:rsidR="008B3952" w:rsidRPr="00CA4675" w:rsidRDefault="004410D0" w:rsidP="00502C7A">
      <w:pPr>
        <w:jc w:val="left"/>
      </w:pPr>
      <w:r w:rsidRPr="00CA4675">
        <w:tab/>
      </w:r>
      <w:r w:rsidRPr="00CA4675">
        <w:tab/>
        <w:t xml:space="preserve">Complainant argues that </w:t>
      </w:r>
      <w:r w:rsidR="00EC4DB2" w:rsidRPr="00CA4675">
        <w:t>he was not responsible for his tenant's accrual of the arrearage and the associated late fees and charges.  He recognizes that the property was not compliant with the requirements in effect, but as he was not aware of the noncompliance and rectified the situation as soon as it was brought to his attention, he does not believe that it is fair to hold him liable for the $6,241.41 arrearage of his tenant.</w:t>
      </w:r>
    </w:p>
    <w:p w:rsidR="008B3952" w:rsidRPr="00CA4675" w:rsidRDefault="00EC4DB2" w:rsidP="002044BE">
      <w:pPr>
        <w:jc w:val="left"/>
      </w:pPr>
      <w:r w:rsidRPr="00CA4675">
        <w:tab/>
      </w:r>
      <w:r w:rsidRPr="00CA4675">
        <w:tab/>
      </w:r>
      <w:r w:rsidR="008B3952" w:rsidRPr="00CA4675">
        <w:t xml:space="preserve">The party seeking affirmative relief from the Commission bears the burden of proof.  66 Pa.C.S. § 332(a).  As a matter of law, a complainant must show that the named utility is responsible or accountable for the problem described in the Complaint in order to prevail.  </w:t>
      </w:r>
      <w:r w:rsidR="008B3952" w:rsidRPr="00CA4675">
        <w:rPr>
          <w:i/>
        </w:rPr>
        <w:t xml:space="preserve">Patterson v. Bell Tel. Co. of PA, </w:t>
      </w:r>
      <w:r w:rsidR="00B26B85">
        <w:t>72 Pa. PUC</w:t>
      </w:r>
      <w:r w:rsidR="008B3952" w:rsidRPr="00CA4675">
        <w:t xml:space="preserve"> 196 (1990); </w:t>
      </w:r>
      <w:r w:rsidR="008B3952" w:rsidRPr="00CA4675">
        <w:rPr>
          <w:i/>
        </w:rPr>
        <w:t xml:space="preserve">Feinstein v. Phila. Suburban Water Co., </w:t>
      </w:r>
      <w:r w:rsidR="008B3952" w:rsidRPr="00CA4675">
        <w:t>50 Pa. PUC 300 (1976).  This must be shown by a p</w:t>
      </w:r>
      <w:r w:rsidR="00B26B85">
        <w:t xml:space="preserve">reponderance of the evidence.  </w:t>
      </w:r>
      <w:r w:rsidR="008B3952" w:rsidRPr="00CA4675">
        <w:rPr>
          <w:i/>
        </w:rPr>
        <w:t xml:space="preserve">Samuel J. Lansberry, Inc. v. Pa. Pub. Util. Comm'n, </w:t>
      </w:r>
      <w:r w:rsidR="008B3952" w:rsidRPr="00CA4675">
        <w:t xml:space="preserve">578 A.2d 600 (1990), </w:t>
      </w:r>
      <w:r w:rsidR="008B3952" w:rsidRPr="00CA4675">
        <w:rPr>
          <w:i/>
        </w:rPr>
        <w:t>alloc, denied</w:t>
      </w:r>
      <w:r w:rsidR="008B3952" w:rsidRPr="00CA4675">
        <w:t xml:space="preserve">, 602 A.2d 863 (1992).  A preponderance of evidence is that which is more convincing, by even the smallest amount, than that presented by the other party.  </w:t>
      </w:r>
      <w:r w:rsidR="008B3952" w:rsidRPr="00CA4675">
        <w:rPr>
          <w:i/>
        </w:rPr>
        <w:t>Se-Ling Hosiery v. Margulies,</w:t>
      </w:r>
      <w:r w:rsidR="008B3952" w:rsidRPr="00CA4675">
        <w:t xml:space="preserve"> 70 A.2d 854 (1950).</w:t>
      </w:r>
    </w:p>
    <w:p w:rsidR="008B3952" w:rsidRPr="00CA4675" w:rsidRDefault="008B3952" w:rsidP="002044BE">
      <w:pPr>
        <w:jc w:val="left"/>
      </w:pPr>
    </w:p>
    <w:p w:rsidR="008B3952" w:rsidRPr="00CA4675" w:rsidRDefault="008B3952" w:rsidP="002044BE">
      <w:pPr>
        <w:jc w:val="left"/>
      </w:pPr>
      <w:r w:rsidRPr="00CA4675">
        <w:tab/>
      </w:r>
      <w:r w:rsidRPr="00CA4675">
        <w:tab/>
        <w:t xml:space="preserve">Additionally, any finding of fact necessary to support the Commission's adjudication must be based upon substantial evidence.  </w:t>
      </w:r>
      <w:r w:rsidRPr="00CA4675">
        <w:rPr>
          <w:i/>
        </w:rPr>
        <w:t>Mill v. Pa. Pub. Util. Comm'n</w:t>
      </w:r>
      <w:r w:rsidR="0000283E">
        <w:t>, 447 A.2d </w:t>
      </w:r>
      <w:r w:rsidRPr="00CA4675">
        <w:t xml:space="preserve">1100 (Pa.Cmwlth. 1982); </w:t>
      </w:r>
      <w:r w:rsidRPr="00CA4675">
        <w:rPr>
          <w:i/>
        </w:rPr>
        <w:t xml:space="preserve">Edan Transportation Corp. v. Pa. Pub. Util. Comm'n, </w:t>
      </w:r>
      <w:r w:rsidR="00502C7A">
        <w:t>623 A.2d 6 </w:t>
      </w:r>
      <w:r w:rsidRPr="00CA4675">
        <w:t>(Pa. Cmwlth. 1993); 2 Pa.C.S. § 704.  More is required tha</w:t>
      </w:r>
      <w:r w:rsidR="00502C7A">
        <w:t>n a mere trace of evidence or a </w:t>
      </w:r>
      <w:r w:rsidRPr="00CA4675">
        <w:t xml:space="preserve">suspicion of the existence of a fact sought to be established.  </w:t>
      </w:r>
      <w:r w:rsidRPr="00CA4675">
        <w:rPr>
          <w:i/>
        </w:rPr>
        <w:t xml:space="preserve">Norfolk and Western Ry. v. Pa. Pub. Util. Comm'n, </w:t>
      </w:r>
      <w:r w:rsidRPr="00CA4675">
        <w:t xml:space="preserve">489 Pa. 109, 413 A.2d 1037 (1980); </w:t>
      </w:r>
      <w:r w:rsidRPr="00CA4675">
        <w:rPr>
          <w:i/>
        </w:rPr>
        <w:t xml:space="preserve">Erie Resistor Corp. v. Unemployment Compensation Bd. Of Review, </w:t>
      </w:r>
      <w:r w:rsidRPr="00CA4675">
        <w:t xml:space="preserve">166 A.2d 96 (Pa.Super. 1960); </w:t>
      </w:r>
      <w:r w:rsidRPr="00CA4675">
        <w:rPr>
          <w:i/>
        </w:rPr>
        <w:t xml:space="preserve">Murphy v. Dep't. of Public Welfare, White Haven Center, </w:t>
      </w:r>
      <w:r w:rsidRPr="00CA4675">
        <w:t>480 A.2d 382 (Pa. Cmwlth. 1984).</w:t>
      </w:r>
    </w:p>
    <w:p w:rsidR="008B3952" w:rsidRPr="00CA4675" w:rsidRDefault="008B3952" w:rsidP="002044BE">
      <w:pPr>
        <w:jc w:val="left"/>
      </w:pPr>
    </w:p>
    <w:p w:rsidR="008B3952" w:rsidRPr="00CA4675" w:rsidRDefault="008B3952" w:rsidP="002044BE">
      <w:pPr>
        <w:jc w:val="left"/>
      </w:pPr>
      <w:r w:rsidRPr="00CA4675">
        <w:tab/>
      </w:r>
      <w:r w:rsidRPr="00CA4675">
        <w:tab/>
        <w:t>The offense must be a violation of the Public Utility Code, the Commission's regulations, or an outstanding order of the Commission.  66 Pa.C.S. § 701.</w:t>
      </w:r>
      <w:r w:rsidR="00EC4DB2" w:rsidRPr="00CA4675">
        <w:t xml:space="preserve">  In other words, the Complainant must show that the utility acted in a way which was a violation of law administered by the Commission.</w:t>
      </w:r>
    </w:p>
    <w:p w:rsidR="00EC4DB2" w:rsidRDefault="00EC4DB2" w:rsidP="002044BE">
      <w:pPr>
        <w:jc w:val="left"/>
      </w:pPr>
    </w:p>
    <w:p w:rsidR="000A5169" w:rsidRDefault="000A5169" w:rsidP="002044BE">
      <w:pPr>
        <w:jc w:val="left"/>
        <w:rPr>
          <w:b/>
        </w:rPr>
      </w:pPr>
      <w:r>
        <w:rPr>
          <w:b/>
        </w:rPr>
        <w:t>Foreign Load</w:t>
      </w:r>
    </w:p>
    <w:p w:rsidR="000A5169" w:rsidRPr="000A5169" w:rsidRDefault="000A5169" w:rsidP="002044BE">
      <w:pPr>
        <w:jc w:val="left"/>
        <w:rPr>
          <w:b/>
        </w:rPr>
      </w:pPr>
    </w:p>
    <w:p w:rsidR="00EC4DB2" w:rsidRPr="00CA4675" w:rsidRDefault="00EC4DB2" w:rsidP="002044BE">
      <w:pPr>
        <w:jc w:val="left"/>
      </w:pPr>
      <w:r w:rsidRPr="00CA4675">
        <w:tab/>
      </w:r>
      <w:r w:rsidRPr="00CA4675">
        <w:tab/>
        <w:t xml:space="preserve">The Public Utility Code requires a utility to place an account in the landlord's name where it is determined that there is </w:t>
      </w:r>
      <w:r w:rsidR="00E60A6F" w:rsidRPr="00CA4675">
        <w:t>foreign load on the tenant's meter.  66 Pa.C.S. § 1529.1.  The Commission recently stated:</w:t>
      </w:r>
    </w:p>
    <w:p w:rsidR="00E60A6F" w:rsidRPr="00CA4675" w:rsidRDefault="00E60A6F" w:rsidP="008B3952">
      <w:pPr>
        <w:jc w:val="left"/>
      </w:pPr>
    </w:p>
    <w:p w:rsidR="00E60A6F" w:rsidRDefault="00E60A6F" w:rsidP="006168D8">
      <w:pPr>
        <w:spacing w:line="240" w:lineRule="auto"/>
        <w:ind w:left="1440" w:right="1440"/>
        <w:jc w:val="left"/>
      </w:pPr>
      <w:r w:rsidRPr="00CA4675">
        <w:tab/>
        <w:t xml:space="preserve">In interpreting this provision, the Commission has determined that well-established precedent "holds the property owner financially responsible for a tenant's entire account, once foreign load is verified on the tenant's service."  </w:t>
      </w:r>
      <w:r w:rsidRPr="00CA4675">
        <w:rPr>
          <w:i/>
        </w:rPr>
        <w:t xml:space="preserve">Ace Check Cashing, Inc. v. Philadelphia Gas Works, </w:t>
      </w:r>
      <w:r w:rsidRPr="00CA4675">
        <w:t xml:space="preserve">Docket No. C-2008-2056428 (Order entered May 21, 2010) at 6.  </w:t>
      </w:r>
      <w:r w:rsidRPr="00CA4675">
        <w:rPr>
          <w:i/>
        </w:rPr>
        <w:t xml:space="preserve">See also, Santos v. Metropolitan Edison Co., </w:t>
      </w:r>
      <w:r w:rsidRPr="00CA4675">
        <w:t xml:space="preserve">1997 Pa. PUC LEXIS 184 at *21 (finding that, upon discovery of foreign load, the utility must switch the account into the name of the landlord and bill the landlord's account for any unpaid billing on the account).  The Commission's foreign load policy was explained in detail in </w:t>
      </w:r>
      <w:r w:rsidRPr="00CA4675">
        <w:rPr>
          <w:i/>
        </w:rPr>
        <w:t xml:space="preserve">Ace Check Cashing, supra.  </w:t>
      </w:r>
      <w:r w:rsidRPr="00CA4675">
        <w:t xml:space="preserve">Upon finding foreign load, the utility must list the account, including any arrearages, in the landlord's name.  The landlord is responsible for paying the utility bills until the foreign load is corrected.  After the foreign load is corrected by the landlord and verified by the utility, the utility is to place the account back into the tenant's name.  </w:t>
      </w:r>
      <w:r w:rsidRPr="00CA4675">
        <w:rPr>
          <w:i/>
        </w:rPr>
        <w:t>Id.</w:t>
      </w:r>
      <w:r w:rsidRPr="00CA4675">
        <w:t xml:space="preserve"> at 7.  However, the landlord remains responsible for any arrearages on the tenant's account.  </w:t>
      </w:r>
      <w:r w:rsidRPr="00CA4675">
        <w:rPr>
          <w:i/>
        </w:rPr>
        <w:t xml:space="preserve">Id. </w:t>
      </w:r>
      <w:r w:rsidRPr="00CA4675">
        <w:t>at 7-8.</w:t>
      </w:r>
    </w:p>
    <w:p w:rsidR="00BF0EF4" w:rsidRPr="00CA4675" w:rsidRDefault="00BF0EF4" w:rsidP="006168D8">
      <w:pPr>
        <w:spacing w:line="240" w:lineRule="auto"/>
        <w:ind w:left="1440" w:right="1440"/>
        <w:jc w:val="left"/>
      </w:pPr>
    </w:p>
    <w:p w:rsidR="00E60A6F" w:rsidRPr="00CA4675" w:rsidRDefault="00E60A6F" w:rsidP="002044BE">
      <w:pPr>
        <w:spacing w:line="240" w:lineRule="auto"/>
        <w:jc w:val="left"/>
      </w:pPr>
      <w:r w:rsidRPr="00CA4675">
        <w:rPr>
          <w:i/>
        </w:rPr>
        <w:t>Jack Bleiman v. PECO Energy Company</w:t>
      </w:r>
      <w:r w:rsidRPr="00CA4675">
        <w:t xml:space="preserve">, Docket No. F-2012-2284038 (Opinion and Order entered </w:t>
      </w:r>
      <w:r w:rsidR="006168D8" w:rsidRPr="00CA4675">
        <w:t>June 13, 2013)(petition for reconsideration denied September 12, 2013).</w:t>
      </w:r>
    </w:p>
    <w:p w:rsidR="006168D8" w:rsidRPr="00CA4675" w:rsidRDefault="006168D8" w:rsidP="008B3952">
      <w:pPr>
        <w:jc w:val="left"/>
      </w:pPr>
    </w:p>
    <w:p w:rsidR="006168D8" w:rsidRPr="00CA4675" w:rsidRDefault="006168D8" w:rsidP="002044BE">
      <w:pPr>
        <w:jc w:val="left"/>
      </w:pPr>
      <w:r w:rsidRPr="00CA4675">
        <w:tab/>
      </w:r>
      <w:r w:rsidRPr="00CA4675">
        <w:tab/>
        <w:t xml:space="preserve">The Complainant has not shown that the utility acted in a way which was a violation of law administered by the Commission. </w:t>
      </w:r>
      <w:r w:rsidR="00024F51">
        <w:t xml:space="preserve"> </w:t>
      </w:r>
      <w:r w:rsidRPr="00CA4675">
        <w:t>Rather, the utility acted in strict compliance with the requirement that it place the account in the name of the landlord upon discovering foreign load on the tenant's meter.</w:t>
      </w:r>
    </w:p>
    <w:p w:rsidR="006168D8" w:rsidRDefault="006168D8" w:rsidP="002044BE">
      <w:pPr>
        <w:jc w:val="left"/>
      </w:pPr>
    </w:p>
    <w:p w:rsidR="000A5169" w:rsidRDefault="000A5169" w:rsidP="002044BE">
      <w:pPr>
        <w:jc w:val="left"/>
        <w:rPr>
          <w:b/>
        </w:rPr>
      </w:pPr>
      <w:r>
        <w:rPr>
          <w:b/>
        </w:rPr>
        <w:t>Inadequate service</w:t>
      </w:r>
    </w:p>
    <w:p w:rsidR="000A5169" w:rsidRPr="000A5169" w:rsidRDefault="000A5169" w:rsidP="002044BE">
      <w:pPr>
        <w:jc w:val="left"/>
        <w:rPr>
          <w:b/>
        </w:rPr>
      </w:pPr>
    </w:p>
    <w:p w:rsidR="006168D8" w:rsidRPr="00CA4675" w:rsidRDefault="006168D8" w:rsidP="002044BE">
      <w:pPr>
        <w:jc w:val="left"/>
      </w:pPr>
      <w:r w:rsidRPr="00CA4675">
        <w:tab/>
      </w:r>
      <w:r w:rsidRPr="00CA4675">
        <w:tab/>
        <w:t xml:space="preserve">Complainant testified convincingly that during one of his telephone calls to PPL's customer service department, a PPL employee told him that the account, including the arrearage, would be placed back in the tenant's name </w:t>
      </w:r>
      <w:r w:rsidR="00AF3C09" w:rsidRPr="00CA4675">
        <w:t>when the foreign load was removed from the tenant's meter.  I note that counsel for PPL submitted a packet of proposed exhibits which included a print-out of customer contacts which could have shed some light on this issue if they had been properly moved into the record.</w:t>
      </w:r>
    </w:p>
    <w:p w:rsidR="00AF3C09" w:rsidRPr="00CA4675" w:rsidRDefault="00AF3C09" w:rsidP="002044BE">
      <w:pPr>
        <w:jc w:val="left"/>
      </w:pPr>
    </w:p>
    <w:p w:rsidR="00AF3C09" w:rsidRPr="00CA4675" w:rsidRDefault="00AF3C09" w:rsidP="002044BE">
      <w:pPr>
        <w:jc w:val="left"/>
      </w:pPr>
      <w:r w:rsidRPr="00CA4675">
        <w:tab/>
      </w:r>
      <w:r w:rsidRPr="00CA4675">
        <w:tab/>
        <w:t>The proposed exhibits are account statements and customer contact records, which are routinely sponsored and accepted into the record in consumer complaint cases.  They are routine because they contain information which may be useful to the customers bringing complaints, for whom the information is not easily accessible otherwise.  These documents contain information which is often used to clarify certain points which are raised in a case and to establish timelines with an accuracy that a customer often lacks.</w:t>
      </w:r>
    </w:p>
    <w:p w:rsidR="00AF3C09" w:rsidRPr="00CA4675" w:rsidRDefault="00AF3C09" w:rsidP="002044BE">
      <w:pPr>
        <w:jc w:val="left"/>
      </w:pPr>
    </w:p>
    <w:p w:rsidR="00AF3C09" w:rsidRPr="00CA4675" w:rsidRDefault="00AF3C09" w:rsidP="002044BE">
      <w:pPr>
        <w:jc w:val="left"/>
      </w:pPr>
      <w:r w:rsidRPr="00CA4675">
        <w:tab/>
      </w:r>
      <w:r w:rsidRPr="00CA4675">
        <w:tab/>
        <w:t xml:space="preserve">When asked whether he would submit these proposed exhibits, counsel for PPL stated that the facts of the case had been established without their use and therefore, he did not plan to submit them.  After determining that the notes might be useful to the Complainant, I informed PPL counsel that I wanted him to move the exhibits into the record.  He could not do so, however, as he did not prepare </w:t>
      </w:r>
      <w:r w:rsidR="009E7DEC">
        <w:t>nor</w:t>
      </w:r>
      <w:r w:rsidRPr="00CA4675">
        <w:t xml:space="preserve"> present a witness who was qualified to sponsor the exhibits that had been </w:t>
      </w:r>
      <w:r w:rsidR="00927E22" w:rsidRPr="00CA4675">
        <w:t>submitted</w:t>
      </w:r>
      <w:r w:rsidRPr="00CA4675">
        <w:t>.</w:t>
      </w:r>
    </w:p>
    <w:p w:rsidR="00AF3C09" w:rsidRPr="00CA4675" w:rsidRDefault="00AF3C09" w:rsidP="002044BE">
      <w:pPr>
        <w:jc w:val="left"/>
      </w:pPr>
    </w:p>
    <w:p w:rsidR="00AF3C09" w:rsidRDefault="00AF3C09" w:rsidP="002044BE">
      <w:pPr>
        <w:jc w:val="left"/>
        <w:rPr>
          <w:spacing w:val="-3"/>
        </w:rPr>
      </w:pPr>
      <w:r w:rsidRPr="00CA4675">
        <w:tab/>
      </w:r>
      <w:r w:rsidRPr="00CA4675">
        <w:tab/>
      </w:r>
      <w:r w:rsidRPr="00CA4675">
        <w:rPr>
          <w:spacing w:val="-3"/>
        </w:rPr>
        <w:t>The burden of production, also called the burden of producing evidence or the burden of coming forward with evidence, determines which party must come forward with evidence to support a particular proposition.  This burden may shift between the parties during the course of a trial.  If the party (initially, this will usually be the complainant, applicant, or petitioner, as the case may be) with the burden of production fails to introduce sufficient evidence the opposing party is entitled to receive a favorable ruling.  That is, the opposing party would be entitled to a compulsory nonsuit, a dire</w:t>
      </w:r>
      <w:r w:rsidR="00D20532" w:rsidRPr="00CA4675">
        <w:rPr>
          <w:spacing w:val="-3"/>
        </w:rPr>
        <w:t>cted verdict, or a judgment not</w:t>
      </w:r>
      <w:r w:rsidRPr="00CA4675">
        <w:rPr>
          <w:spacing w:val="-3"/>
        </w:rPr>
        <w:t xml:space="preserve">withstanding the verdict.  Once the party with the initial burden of production introduces sufficient evidence to make out a </w:t>
      </w:r>
      <w:r w:rsidRPr="004C46B8">
        <w:rPr>
          <w:i/>
          <w:spacing w:val="-3"/>
        </w:rPr>
        <w:t xml:space="preserve">prima facie </w:t>
      </w:r>
      <w:r w:rsidRPr="00CA4675">
        <w:rPr>
          <w:spacing w:val="-3"/>
        </w:rPr>
        <w:t>case, the burden of production shifts to the opposing party.  If the opposing party introduces evidence sufficient to balance the evidence introduced by the party having the initial burden of production, the burden then shifts back to the party who had the initial burden to introduce more evidence favorable to his position.  The burden of production goes to the legal sufficiency of a party’s case.</w:t>
      </w:r>
    </w:p>
    <w:p w:rsidR="00B77189" w:rsidRPr="00CA4675" w:rsidRDefault="00B77189" w:rsidP="002044BE">
      <w:pPr>
        <w:jc w:val="left"/>
        <w:rPr>
          <w:spacing w:val="-3"/>
        </w:rPr>
      </w:pPr>
    </w:p>
    <w:p w:rsidR="00AF3C09" w:rsidRPr="00CA4675" w:rsidRDefault="00AF3C09" w:rsidP="002044BE">
      <w:pPr>
        <w:tabs>
          <w:tab w:val="left" w:pos="-1440"/>
          <w:tab w:val="left" w:pos="-720"/>
        </w:tabs>
        <w:suppressAutoHyphens/>
        <w:ind w:firstLine="1440"/>
        <w:jc w:val="left"/>
        <w:rPr>
          <w:spacing w:val="-3"/>
        </w:rPr>
      </w:pPr>
      <w:r w:rsidRPr="00CA4675">
        <w:rPr>
          <w:spacing w:val="-3"/>
        </w:rPr>
        <w:t xml:space="preserve">Having passed the test of legal sufficiency, the party with the burden of proof must then bear the burden of persuasion to be entitled to a verdict in his favor.  “[T]he burden of persuasion never leaves the party on whom it is originally cast, but the burden of production may shift during the course of the proceedings.”  </w:t>
      </w:r>
      <w:r w:rsidRPr="00CA4675">
        <w:rPr>
          <w:i/>
          <w:spacing w:val="-3"/>
        </w:rPr>
        <w:t>Riedel v. County of Allegheny</w:t>
      </w:r>
      <w:r w:rsidR="00252944">
        <w:rPr>
          <w:spacing w:val="-3"/>
        </w:rPr>
        <w:t>, 633 A.2d 1325; 1328</w:t>
      </w:r>
      <w:r w:rsidR="00B77189">
        <w:rPr>
          <w:spacing w:val="-3"/>
        </w:rPr>
        <w:t> </w:t>
      </w:r>
      <w:r w:rsidR="00A62B00">
        <w:rPr>
          <w:spacing w:val="-3"/>
        </w:rPr>
        <w:t>n. </w:t>
      </w:r>
      <w:r w:rsidRPr="00CA4675">
        <w:rPr>
          <w:spacing w:val="-3"/>
        </w:rPr>
        <w:t>11 (</w:t>
      </w:r>
      <w:r w:rsidR="00927E22" w:rsidRPr="00CA4675">
        <w:rPr>
          <w:spacing w:val="-3"/>
        </w:rPr>
        <w:t>Pa.Cmwlth.</w:t>
      </w:r>
      <w:r w:rsidRPr="00CA4675">
        <w:rPr>
          <w:spacing w:val="-3"/>
        </w:rPr>
        <w:t>1993).  The burden of persuasion, usually placed on the complainant, applicant, or petitioner</w:t>
      </w:r>
      <w:r w:rsidRPr="00CA4675">
        <w:rPr>
          <w:rStyle w:val="FootnoteReference"/>
          <w:spacing w:val="-3"/>
        </w:rPr>
        <w:footnoteReference w:id="1"/>
      </w:r>
      <w:r w:rsidRPr="00CA4675">
        <w:rPr>
          <w:spacing w:val="-3"/>
        </w:rPr>
        <w:t xml:space="preserve">, determines which party must produce sufficient evidence to meet the applicable standard of proof.  </w:t>
      </w:r>
      <w:r w:rsidRPr="00CA4675">
        <w:rPr>
          <w:i/>
          <w:spacing w:val="-3"/>
        </w:rPr>
        <w:t>Hurley v. Hurley</w:t>
      </w:r>
      <w:r w:rsidR="00927E22" w:rsidRPr="00CA4675">
        <w:rPr>
          <w:spacing w:val="-3"/>
        </w:rPr>
        <w:t>,</w:t>
      </w:r>
      <w:r w:rsidRPr="00CA4675">
        <w:rPr>
          <w:spacing w:val="-3"/>
        </w:rPr>
        <w:t xml:space="preserve"> 754 A.2d 1283 (</w:t>
      </w:r>
      <w:r w:rsidR="00927E22" w:rsidRPr="00CA4675">
        <w:rPr>
          <w:spacing w:val="-3"/>
        </w:rPr>
        <w:t xml:space="preserve">Pa.Super. </w:t>
      </w:r>
      <w:r w:rsidRPr="00CA4675">
        <w:rPr>
          <w:spacing w:val="-3"/>
        </w:rPr>
        <w:t xml:space="preserve">2000).  It is entirely possible for a party to successfully bear the burden of production but not be entitled to a verdict in his favor because the party did not bear the burden of persuasion.  Unlike the burden of production, the burden of persuasion includes determinations of credibility and acceptance or rejection of inferences.  Even unrebutted evidence may be disbelieved.  </w:t>
      </w:r>
      <w:r w:rsidRPr="00CA4675">
        <w:rPr>
          <w:i/>
          <w:spacing w:val="-3"/>
        </w:rPr>
        <w:t>Suber v. Pa. Comm’n on Crime and Delinquency</w:t>
      </w:r>
      <w:r w:rsidRPr="00CA4675">
        <w:rPr>
          <w:spacing w:val="-3"/>
        </w:rPr>
        <w:t>, 885 A.2d 678 (Pa.Cmwlth. 2005), app. denied, 586 Pa. 776, 895 A.2d 1264 (2006).  In order to bear the burden of proof and be entitled to a decision in his favor, a party must bear both the burden of production and the burden of persuasion.</w:t>
      </w:r>
    </w:p>
    <w:p w:rsidR="00AF3C09" w:rsidRPr="00CA4675" w:rsidRDefault="00AF3C09" w:rsidP="002044BE">
      <w:pPr>
        <w:ind w:firstLine="1440"/>
        <w:jc w:val="left"/>
      </w:pPr>
    </w:p>
    <w:p w:rsidR="00AF3C09" w:rsidRPr="00CA4675" w:rsidRDefault="00AF3C09" w:rsidP="002044BE">
      <w:pPr>
        <w:jc w:val="left"/>
      </w:pPr>
      <w:r w:rsidRPr="00CA4675">
        <w:tab/>
      </w:r>
      <w:r w:rsidRPr="00CA4675">
        <w:tab/>
      </w:r>
      <w:r w:rsidR="00927E22" w:rsidRPr="00CA4675">
        <w:t xml:space="preserve">Complainant persuaded me that the PPL representative gave him misleading and incorrect information, which constitutes inadequate service.  66 Pa.C.S. § 1501.  </w:t>
      </w:r>
      <w:r w:rsidRPr="00CA4675">
        <w:t xml:space="preserve">There are no Company exhibits to counter the credible testimony of the Complainant, and </w:t>
      </w:r>
      <w:r w:rsidR="00DE19A4" w:rsidRPr="00CA4675">
        <w:t xml:space="preserve">therefore, </w:t>
      </w:r>
      <w:r w:rsidR="00927E22" w:rsidRPr="00CA4675">
        <w:t>Complainant</w:t>
      </w:r>
      <w:r w:rsidR="00DE19A4" w:rsidRPr="00CA4675">
        <w:t xml:space="preserve"> has sustained his burden of proving that the utility misinformed him by telling him that the arrearage would also be assigned to the tenant upon re</w:t>
      </w:r>
      <w:r w:rsidR="00927E22" w:rsidRPr="00CA4675">
        <w:t>moving</w:t>
      </w:r>
      <w:r w:rsidR="00DE19A4" w:rsidRPr="00CA4675">
        <w:t xml:space="preserve"> the foreign load </w:t>
      </w:r>
      <w:r w:rsidR="00927E22" w:rsidRPr="00CA4675">
        <w:t>fr</w:t>
      </w:r>
      <w:r w:rsidR="00DE19A4" w:rsidRPr="00CA4675">
        <w:t>o</w:t>
      </w:r>
      <w:r w:rsidR="00927E22" w:rsidRPr="00CA4675">
        <w:t>m</w:t>
      </w:r>
      <w:r w:rsidR="00DE19A4" w:rsidRPr="00CA4675">
        <w:t xml:space="preserve"> her meter.</w:t>
      </w:r>
    </w:p>
    <w:p w:rsidR="006168D8" w:rsidRPr="00CA4675" w:rsidRDefault="006168D8" w:rsidP="002044BE">
      <w:pPr>
        <w:jc w:val="left"/>
      </w:pPr>
    </w:p>
    <w:p w:rsidR="00EB0276" w:rsidRPr="00CA4675" w:rsidRDefault="003B4236" w:rsidP="002044BE">
      <w:pPr>
        <w:jc w:val="left"/>
      </w:pPr>
      <w:r w:rsidRPr="00CA4675">
        <w:tab/>
      </w:r>
      <w:r w:rsidRPr="00CA4675">
        <w:tab/>
        <w:t>A finding of inadequate service spurs a discussion of a possible civil penalty</w:t>
      </w:r>
      <w:r w:rsidR="008303B4" w:rsidRPr="00CA4675">
        <w:rPr>
          <w:rStyle w:val="FootnoteReference"/>
        </w:rPr>
        <w:footnoteReference w:id="2"/>
      </w:r>
      <w:r w:rsidRPr="00CA4675">
        <w:t xml:space="preserve"> determined by application of</w:t>
      </w:r>
      <w:r w:rsidRPr="00CA4675">
        <w:rPr>
          <w:noProof/>
        </w:rPr>
        <w:t xml:space="preserve"> the test prescribed by the Commission.  </w:t>
      </w:r>
      <w:r w:rsidR="00A62B00">
        <w:t>The present day standard </w:t>
      </w:r>
      <w:r w:rsidRPr="00CA4675">
        <w:t xml:space="preserve">was developed in </w:t>
      </w:r>
      <w:r w:rsidRPr="00CA4675">
        <w:rPr>
          <w:i/>
        </w:rPr>
        <w:t xml:space="preserve">Joseph A. Rosi v. Bell-Atlantic – Pennsylvania, Inc. and Sprint Communications, L.P., </w:t>
      </w:r>
      <w:r w:rsidRPr="00CA4675">
        <w:t>Docket No. C-00992409 (Order entered March 16, 2000)(</w:t>
      </w:r>
      <w:r w:rsidRPr="00CA4675">
        <w:rPr>
          <w:i/>
        </w:rPr>
        <w:t>Rosi</w:t>
      </w:r>
      <w:r w:rsidRPr="00CA4675">
        <w:t xml:space="preserve">), and in </w:t>
      </w:r>
      <w:r w:rsidR="009E7DEC">
        <w:rPr>
          <w:i/>
        </w:rPr>
        <w:t>Pa. Pub</w:t>
      </w:r>
      <w:r w:rsidRPr="00CA4675">
        <w:rPr>
          <w:i/>
        </w:rPr>
        <w:t xml:space="preserve">. Util. Comm'n v. NCIC Operator Serv., </w:t>
      </w:r>
      <w:r w:rsidRPr="00CA4675">
        <w:t xml:space="preserve">Docket No. M-00001440 (Order entered December 21, 2000), where the Commission held that violations would be subject to the </w:t>
      </w:r>
      <w:r w:rsidRPr="00CA4675">
        <w:rPr>
          <w:i/>
        </w:rPr>
        <w:t>Rosi</w:t>
      </w:r>
      <w:r w:rsidRPr="00CA4675">
        <w:t xml:space="preserve"> standards.  Subsequently, the Commission adopted the policy statement enumerating the same standards.  Through case law, the Commission has directed that litigated proceedings seeking to impose a civil penalty include an analysis of these standards:</w:t>
      </w:r>
    </w:p>
    <w:p w:rsidR="003B4236" w:rsidRDefault="003B4236" w:rsidP="002044BE">
      <w:pPr>
        <w:spacing w:line="240" w:lineRule="auto"/>
        <w:ind w:left="1440" w:right="1440"/>
        <w:jc w:val="left"/>
        <w:outlineLvl w:val="3"/>
        <w:rPr>
          <w:rFonts w:eastAsia="Times New Roman"/>
          <w:b/>
          <w:bCs/>
        </w:rPr>
      </w:pPr>
      <w:r w:rsidRPr="00CA4675">
        <w:rPr>
          <w:rFonts w:eastAsia="Times New Roman"/>
          <w:b/>
          <w:bCs/>
        </w:rPr>
        <w:t>§ 69.1201. Factors and standards for evaluating litigated and settled proceedings involving violations of the Public Utility Code and Commission regulations—statement of policy.</w:t>
      </w:r>
    </w:p>
    <w:p w:rsidR="003A68C9" w:rsidRPr="00CA4675" w:rsidRDefault="003A68C9" w:rsidP="002044BE">
      <w:pPr>
        <w:spacing w:line="240" w:lineRule="auto"/>
        <w:ind w:left="1440" w:right="1440"/>
        <w:jc w:val="left"/>
        <w:outlineLvl w:val="3"/>
        <w:rPr>
          <w:rFonts w:eastAsia="Times New Roman"/>
          <w:b/>
          <w:bCs/>
        </w:rPr>
      </w:pPr>
    </w:p>
    <w:p w:rsidR="003B4236" w:rsidRDefault="004A05B7" w:rsidP="002044BE">
      <w:pPr>
        <w:spacing w:line="240" w:lineRule="auto"/>
        <w:ind w:left="1440" w:right="1440"/>
        <w:rPr>
          <w:rFonts w:eastAsia="Times New Roman"/>
        </w:rPr>
      </w:pPr>
      <w:r w:rsidRPr="00CA4675">
        <w:rPr>
          <w:rFonts w:eastAsia="Times New Roman"/>
        </w:rPr>
        <w:t>* * *</w:t>
      </w:r>
    </w:p>
    <w:p w:rsidR="003A68C9" w:rsidRPr="00CA4675" w:rsidRDefault="003A68C9" w:rsidP="002044BE">
      <w:pPr>
        <w:spacing w:line="240" w:lineRule="auto"/>
        <w:ind w:left="1440" w:right="1440"/>
        <w:rPr>
          <w:rFonts w:eastAsia="Times New Roman"/>
        </w:rPr>
      </w:pPr>
    </w:p>
    <w:p w:rsidR="003B4236" w:rsidRDefault="00644ABA" w:rsidP="00644ABA">
      <w:pPr>
        <w:tabs>
          <w:tab w:val="left" w:pos="1800"/>
        </w:tabs>
        <w:spacing w:line="240" w:lineRule="auto"/>
        <w:ind w:left="1440" w:right="1440"/>
        <w:jc w:val="left"/>
        <w:rPr>
          <w:rFonts w:eastAsia="Times New Roman"/>
        </w:rPr>
      </w:pPr>
      <w:r>
        <w:rPr>
          <w:rFonts w:eastAsia="Times New Roman"/>
        </w:rPr>
        <w:t>(c)</w:t>
      </w:r>
      <w:r>
        <w:rPr>
          <w:rFonts w:eastAsia="Times New Roman"/>
        </w:rPr>
        <w:tab/>
      </w:r>
      <w:r w:rsidR="003B4236" w:rsidRPr="00CA4675">
        <w:rPr>
          <w:rFonts w:eastAsia="Times New Roman"/>
        </w:rPr>
        <w:t>The factors and standards that will be considered by the Commission include the following:</w:t>
      </w:r>
    </w:p>
    <w:p w:rsidR="003A68C9" w:rsidRPr="00CA4675" w:rsidRDefault="003A68C9" w:rsidP="002044BE">
      <w:pPr>
        <w:spacing w:line="240" w:lineRule="auto"/>
        <w:ind w:left="1440" w:right="1440"/>
        <w:jc w:val="left"/>
        <w:rPr>
          <w:rFonts w:eastAsia="Times New Roman"/>
        </w:rPr>
      </w:pPr>
    </w:p>
    <w:p w:rsidR="003B4236" w:rsidRPr="00107941" w:rsidRDefault="006803B0" w:rsidP="006803B0">
      <w:pPr>
        <w:pStyle w:val="ListParagraph"/>
        <w:numPr>
          <w:ilvl w:val="0"/>
          <w:numId w:val="5"/>
        </w:numPr>
        <w:tabs>
          <w:tab w:val="left" w:pos="2160"/>
        </w:tabs>
        <w:spacing w:line="240" w:lineRule="auto"/>
        <w:ind w:left="1800" w:right="1440" w:firstLine="0"/>
        <w:jc w:val="left"/>
        <w:rPr>
          <w:rFonts w:eastAsia="Times New Roman"/>
        </w:rPr>
      </w:pPr>
      <w:r>
        <w:rPr>
          <w:rFonts w:eastAsia="Times New Roman"/>
        </w:rPr>
        <w:t xml:space="preserve"> </w:t>
      </w:r>
      <w:r w:rsidR="003B4236" w:rsidRPr="00107941">
        <w:rPr>
          <w:rFonts w:eastAsia="Times New Roman"/>
        </w:rPr>
        <w:t>Whether the conduct at issue was of a serious nature.  When conduct of a serious nature is involved, such as willful fraud or misrepresentation, the conduct may warrant a higher penalty.  When the conduct is less egregious, such as administrative filing or technical errors, it may warrant a lower penalty.</w:t>
      </w:r>
    </w:p>
    <w:p w:rsidR="003A68C9" w:rsidRPr="00CA4675" w:rsidRDefault="003A68C9" w:rsidP="006803B0">
      <w:pPr>
        <w:tabs>
          <w:tab w:val="left" w:pos="2160"/>
        </w:tabs>
        <w:spacing w:line="240" w:lineRule="auto"/>
        <w:ind w:left="1800" w:right="1440"/>
        <w:jc w:val="left"/>
        <w:rPr>
          <w:rFonts w:eastAsia="Times New Roman"/>
        </w:rPr>
      </w:pPr>
    </w:p>
    <w:p w:rsidR="003B4236" w:rsidRPr="00107941" w:rsidRDefault="006803B0" w:rsidP="006803B0">
      <w:pPr>
        <w:pStyle w:val="ListParagraph"/>
        <w:numPr>
          <w:ilvl w:val="0"/>
          <w:numId w:val="5"/>
        </w:numPr>
        <w:tabs>
          <w:tab w:val="left" w:pos="2160"/>
        </w:tabs>
        <w:spacing w:line="240" w:lineRule="auto"/>
        <w:ind w:left="1800" w:right="1440" w:firstLine="0"/>
        <w:jc w:val="left"/>
        <w:rPr>
          <w:rFonts w:eastAsia="Times New Roman"/>
        </w:rPr>
      </w:pPr>
      <w:r>
        <w:rPr>
          <w:rFonts w:eastAsia="Times New Roman"/>
        </w:rPr>
        <w:t xml:space="preserve"> </w:t>
      </w:r>
      <w:r w:rsidR="003B4236" w:rsidRPr="00107941">
        <w:rPr>
          <w:rFonts w:eastAsia="Times New Roman"/>
        </w:rPr>
        <w:t>Whether the resulting consequences of the conduct at issue were of a serious nature.  When consequences of a serious nature are involved, such as personal injury or property damage, the consequences may warrant a higher penalty.</w:t>
      </w:r>
    </w:p>
    <w:p w:rsidR="003A68C9" w:rsidRPr="00CA4675" w:rsidRDefault="003A68C9" w:rsidP="006803B0">
      <w:pPr>
        <w:tabs>
          <w:tab w:val="left" w:pos="2160"/>
        </w:tabs>
        <w:spacing w:line="240" w:lineRule="auto"/>
        <w:ind w:left="1800" w:right="1440"/>
        <w:jc w:val="left"/>
        <w:rPr>
          <w:rFonts w:eastAsia="Times New Roman"/>
        </w:rPr>
      </w:pPr>
    </w:p>
    <w:p w:rsidR="003B4236" w:rsidRPr="00107941" w:rsidRDefault="006803B0" w:rsidP="006803B0">
      <w:pPr>
        <w:pStyle w:val="ListParagraph"/>
        <w:numPr>
          <w:ilvl w:val="0"/>
          <w:numId w:val="5"/>
        </w:numPr>
        <w:tabs>
          <w:tab w:val="left" w:pos="2160"/>
        </w:tabs>
        <w:spacing w:line="240" w:lineRule="auto"/>
        <w:ind w:left="1800" w:right="1440" w:firstLine="0"/>
        <w:jc w:val="left"/>
        <w:rPr>
          <w:rFonts w:eastAsia="Times New Roman"/>
        </w:rPr>
      </w:pPr>
      <w:r>
        <w:rPr>
          <w:rFonts w:eastAsia="Times New Roman"/>
        </w:rPr>
        <w:t xml:space="preserve"> </w:t>
      </w:r>
      <w:r w:rsidR="003B4236" w:rsidRPr="00107941">
        <w:rPr>
          <w:rFonts w:eastAsia="Times New Roman"/>
        </w:rPr>
        <w:t>Whether the conduct at issue was deemed intentional or negligent.  This factor may only be considered in evaluating litigated cases.  When conduct has been deemed intentional, the conduct may result in a higher penalty.</w:t>
      </w:r>
    </w:p>
    <w:p w:rsidR="003A68C9" w:rsidRPr="00CA4675" w:rsidRDefault="003A68C9" w:rsidP="006803B0">
      <w:pPr>
        <w:tabs>
          <w:tab w:val="left" w:pos="2160"/>
        </w:tabs>
        <w:spacing w:line="240" w:lineRule="auto"/>
        <w:ind w:left="1800" w:right="1440"/>
        <w:jc w:val="left"/>
        <w:rPr>
          <w:rFonts w:eastAsia="Times New Roman"/>
        </w:rPr>
      </w:pPr>
    </w:p>
    <w:p w:rsidR="003B4236" w:rsidRPr="00107941" w:rsidRDefault="006803B0" w:rsidP="006803B0">
      <w:pPr>
        <w:pStyle w:val="ListParagraph"/>
        <w:numPr>
          <w:ilvl w:val="0"/>
          <w:numId w:val="5"/>
        </w:numPr>
        <w:tabs>
          <w:tab w:val="left" w:pos="2160"/>
        </w:tabs>
        <w:spacing w:line="240" w:lineRule="auto"/>
        <w:ind w:left="1800" w:right="1440" w:firstLine="0"/>
        <w:jc w:val="left"/>
        <w:rPr>
          <w:rFonts w:eastAsia="Times New Roman"/>
        </w:rPr>
      </w:pPr>
      <w:r>
        <w:rPr>
          <w:rFonts w:eastAsia="Times New Roman"/>
        </w:rPr>
        <w:t xml:space="preserve"> </w:t>
      </w:r>
      <w:r w:rsidR="003B4236" w:rsidRPr="00107941">
        <w:rPr>
          <w:rFonts w:eastAsia="Times New Roman"/>
        </w:rPr>
        <w:t>Whether the regulated entity made efforts to modify internal practices and procedures to address the conduct at issue and prevent similar conduct in the future.  These modifications may include activities such as training and improving company techniques and supervision.  The amount of time it took the utility to correct the conduct once it was discovered and the involvement of top-level management in correcting the conduct may be considered.</w:t>
      </w:r>
    </w:p>
    <w:p w:rsidR="003A68C9" w:rsidRPr="00CA4675" w:rsidRDefault="003A68C9" w:rsidP="006803B0">
      <w:pPr>
        <w:tabs>
          <w:tab w:val="left" w:pos="2160"/>
        </w:tabs>
        <w:spacing w:line="240" w:lineRule="auto"/>
        <w:ind w:left="1800" w:right="1440"/>
        <w:jc w:val="left"/>
        <w:rPr>
          <w:rFonts w:eastAsia="Times New Roman"/>
        </w:rPr>
      </w:pPr>
    </w:p>
    <w:p w:rsidR="003B4236" w:rsidRPr="00107941" w:rsidRDefault="006803B0" w:rsidP="006803B0">
      <w:pPr>
        <w:pStyle w:val="ListParagraph"/>
        <w:numPr>
          <w:ilvl w:val="0"/>
          <w:numId w:val="5"/>
        </w:numPr>
        <w:tabs>
          <w:tab w:val="left" w:pos="2160"/>
        </w:tabs>
        <w:spacing w:line="240" w:lineRule="auto"/>
        <w:ind w:left="1800" w:right="1440" w:firstLine="0"/>
        <w:jc w:val="left"/>
        <w:rPr>
          <w:rFonts w:eastAsia="Times New Roman"/>
        </w:rPr>
      </w:pPr>
      <w:r>
        <w:rPr>
          <w:rFonts w:eastAsia="Times New Roman"/>
        </w:rPr>
        <w:t xml:space="preserve"> </w:t>
      </w:r>
      <w:r w:rsidR="003B4236" w:rsidRPr="00107941">
        <w:rPr>
          <w:rFonts w:eastAsia="Times New Roman"/>
        </w:rPr>
        <w:t>The number of customers affected and the duration of the violation.</w:t>
      </w:r>
    </w:p>
    <w:p w:rsidR="003A68C9" w:rsidRPr="00CA4675" w:rsidRDefault="003A68C9" w:rsidP="006803B0">
      <w:pPr>
        <w:tabs>
          <w:tab w:val="left" w:pos="2160"/>
        </w:tabs>
        <w:spacing w:line="240" w:lineRule="auto"/>
        <w:ind w:left="1800" w:right="1440"/>
        <w:jc w:val="left"/>
        <w:rPr>
          <w:rFonts w:eastAsia="Times New Roman"/>
        </w:rPr>
      </w:pPr>
    </w:p>
    <w:p w:rsidR="003B4236" w:rsidRPr="00107941" w:rsidRDefault="006803B0" w:rsidP="006803B0">
      <w:pPr>
        <w:pStyle w:val="ListParagraph"/>
        <w:numPr>
          <w:ilvl w:val="0"/>
          <w:numId w:val="5"/>
        </w:numPr>
        <w:tabs>
          <w:tab w:val="left" w:pos="2160"/>
        </w:tabs>
        <w:spacing w:line="240" w:lineRule="auto"/>
        <w:ind w:left="1800" w:right="1440" w:firstLine="0"/>
        <w:jc w:val="left"/>
        <w:rPr>
          <w:rFonts w:eastAsia="Times New Roman"/>
        </w:rPr>
      </w:pPr>
      <w:r>
        <w:rPr>
          <w:rFonts w:eastAsia="Times New Roman"/>
        </w:rPr>
        <w:t xml:space="preserve"> </w:t>
      </w:r>
      <w:r w:rsidR="003B4236" w:rsidRPr="00107941">
        <w:rPr>
          <w:rFonts w:eastAsia="Times New Roman"/>
        </w:rPr>
        <w:t>The compliance history of the regulated entity which committed the violation.  An isolated incident from an otherwise compliant utility may result in a lower penalty, whereas frequent, recurrent violations by a utility may result in a higher penalty.</w:t>
      </w:r>
    </w:p>
    <w:p w:rsidR="003A68C9" w:rsidRPr="00CA4675" w:rsidRDefault="003A68C9" w:rsidP="006803B0">
      <w:pPr>
        <w:tabs>
          <w:tab w:val="left" w:pos="2160"/>
        </w:tabs>
        <w:spacing w:line="240" w:lineRule="auto"/>
        <w:ind w:left="1800" w:right="1440"/>
        <w:jc w:val="left"/>
        <w:rPr>
          <w:rFonts w:eastAsia="Times New Roman"/>
        </w:rPr>
      </w:pPr>
    </w:p>
    <w:p w:rsidR="003B4236" w:rsidRDefault="006803B0" w:rsidP="006803B0">
      <w:pPr>
        <w:pStyle w:val="ListParagraph"/>
        <w:numPr>
          <w:ilvl w:val="0"/>
          <w:numId w:val="5"/>
        </w:numPr>
        <w:tabs>
          <w:tab w:val="left" w:pos="2160"/>
        </w:tabs>
        <w:spacing w:line="240" w:lineRule="auto"/>
        <w:ind w:left="1800" w:right="1440" w:firstLine="0"/>
        <w:jc w:val="left"/>
        <w:rPr>
          <w:rFonts w:eastAsia="Times New Roman"/>
        </w:rPr>
      </w:pPr>
      <w:r>
        <w:rPr>
          <w:rFonts w:eastAsia="Times New Roman"/>
        </w:rPr>
        <w:t xml:space="preserve"> </w:t>
      </w:r>
      <w:r w:rsidR="003B4236" w:rsidRPr="00107941">
        <w:rPr>
          <w:rFonts w:eastAsia="Times New Roman"/>
        </w:rPr>
        <w:t>Whether the regulated entity cooperated with the Commission’s investigation.  Facts establishing bad faith, active concealment of violations, or attempts to interfere with Commission investigations may result in a higher penalty.</w:t>
      </w:r>
    </w:p>
    <w:p w:rsidR="00644ABA" w:rsidRPr="00107941" w:rsidRDefault="00644ABA" w:rsidP="006803B0">
      <w:pPr>
        <w:pStyle w:val="ListParagraph"/>
        <w:tabs>
          <w:tab w:val="left" w:pos="2160"/>
        </w:tabs>
        <w:spacing w:line="240" w:lineRule="auto"/>
        <w:ind w:left="1800" w:right="1440"/>
        <w:jc w:val="left"/>
        <w:rPr>
          <w:rFonts w:eastAsia="Times New Roman"/>
        </w:rPr>
      </w:pPr>
    </w:p>
    <w:p w:rsidR="003B4236" w:rsidRPr="00107941" w:rsidRDefault="006803B0" w:rsidP="006803B0">
      <w:pPr>
        <w:pStyle w:val="ListParagraph"/>
        <w:numPr>
          <w:ilvl w:val="0"/>
          <w:numId w:val="5"/>
        </w:numPr>
        <w:tabs>
          <w:tab w:val="left" w:pos="2160"/>
        </w:tabs>
        <w:spacing w:line="240" w:lineRule="auto"/>
        <w:ind w:left="1800" w:right="1440" w:firstLine="0"/>
        <w:jc w:val="left"/>
        <w:rPr>
          <w:rFonts w:eastAsia="Times New Roman"/>
        </w:rPr>
      </w:pPr>
      <w:r>
        <w:rPr>
          <w:rFonts w:eastAsia="Times New Roman"/>
        </w:rPr>
        <w:t xml:space="preserve"> </w:t>
      </w:r>
      <w:r w:rsidR="003B4236" w:rsidRPr="00107941">
        <w:rPr>
          <w:rFonts w:eastAsia="Times New Roman"/>
        </w:rPr>
        <w:t>The amount of the civil penalty or fine necessary to deter future violations.  The size of the utility may be considered to determine an appropriate penalty amount.</w:t>
      </w:r>
    </w:p>
    <w:p w:rsidR="003A68C9" w:rsidRPr="00CA4675" w:rsidRDefault="003A68C9" w:rsidP="006803B0">
      <w:pPr>
        <w:tabs>
          <w:tab w:val="left" w:pos="2160"/>
        </w:tabs>
        <w:spacing w:line="240" w:lineRule="auto"/>
        <w:ind w:left="1800" w:right="1440"/>
        <w:jc w:val="left"/>
        <w:rPr>
          <w:rFonts w:eastAsia="Times New Roman"/>
        </w:rPr>
      </w:pPr>
    </w:p>
    <w:p w:rsidR="003B4236" w:rsidRPr="00107941" w:rsidRDefault="006803B0" w:rsidP="006803B0">
      <w:pPr>
        <w:pStyle w:val="ListParagraph"/>
        <w:numPr>
          <w:ilvl w:val="0"/>
          <w:numId w:val="5"/>
        </w:numPr>
        <w:tabs>
          <w:tab w:val="left" w:pos="2160"/>
        </w:tabs>
        <w:spacing w:line="240" w:lineRule="auto"/>
        <w:ind w:left="1800" w:right="1440" w:firstLine="0"/>
        <w:jc w:val="left"/>
        <w:rPr>
          <w:rFonts w:eastAsia="Times New Roman"/>
        </w:rPr>
      </w:pPr>
      <w:r>
        <w:rPr>
          <w:rFonts w:eastAsia="Times New Roman"/>
        </w:rPr>
        <w:t xml:space="preserve">  </w:t>
      </w:r>
      <w:r w:rsidR="003B4236" w:rsidRPr="00107941">
        <w:rPr>
          <w:rFonts w:eastAsia="Times New Roman"/>
        </w:rPr>
        <w:t>Past Commission decisions in similar situations.</w:t>
      </w:r>
    </w:p>
    <w:p w:rsidR="003A68C9" w:rsidRPr="00CA4675" w:rsidRDefault="003A68C9" w:rsidP="006803B0">
      <w:pPr>
        <w:tabs>
          <w:tab w:val="left" w:pos="2160"/>
        </w:tabs>
        <w:spacing w:line="240" w:lineRule="auto"/>
        <w:ind w:left="1800" w:right="1440"/>
        <w:jc w:val="left"/>
        <w:rPr>
          <w:rFonts w:eastAsia="Times New Roman"/>
        </w:rPr>
      </w:pPr>
    </w:p>
    <w:p w:rsidR="003B4236" w:rsidRPr="00107941" w:rsidRDefault="006803B0" w:rsidP="006803B0">
      <w:pPr>
        <w:pStyle w:val="ListParagraph"/>
        <w:tabs>
          <w:tab w:val="left" w:pos="1800"/>
          <w:tab w:val="left" w:pos="2160"/>
        </w:tabs>
        <w:spacing w:line="240" w:lineRule="auto"/>
        <w:ind w:left="1800" w:right="1440"/>
        <w:jc w:val="left"/>
        <w:rPr>
          <w:rFonts w:eastAsia="Times New Roman"/>
        </w:rPr>
      </w:pPr>
      <w:r>
        <w:rPr>
          <w:rFonts w:eastAsia="Times New Roman"/>
        </w:rPr>
        <w:t xml:space="preserve">(10) </w:t>
      </w:r>
      <w:r w:rsidR="003B4236" w:rsidRPr="00107941">
        <w:rPr>
          <w:rFonts w:eastAsia="Times New Roman"/>
        </w:rPr>
        <w:t>Other relevant factors.</w:t>
      </w:r>
    </w:p>
    <w:p w:rsidR="00A62B00" w:rsidRPr="00CA4675" w:rsidRDefault="00A62B00" w:rsidP="003A68C9">
      <w:pPr>
        <w:spacing w:line="240" w:lineRule="auto"/>
        <w:ind w:left="1440" w:right="1440"/>
        <w:jc w:val="left"/>
        <w:rPr>
          <w:rFonts w:eastAsia="Times New Roman"/>
        </w:rPr>
      </w:pPr>
    </w:p>
    <w:p w:rsidR="00EB0276" w:rsidRDefault="00597CFA" w:rsidP="003A68C9">
      <w:pPr>
        <w:spacing w:line="240" w:lineRule="auto"/>
        <w:jc w:val="left"/>
      </w:pPr>
      <w:r>
        <w:t>52 Pa.</w:t>
      </w:r>
      <w:r w:rsidR="003B4236" w:rsidRPr="00CA4675">
        <w:t>Code § 69.1201.</w:t>
      </w:r>
    </w:p>
    <w:p w:rsidR="00A62B00" w:rsidRPr="00CA4675" w:rsidRDefault="00A62B00" w:rsidP="003A68C9">
      <w:pPr>
        <w:jc w:val="left"/>
      </w:pPr>
    </w:p>
    <w:p w:rsidR="00EB0276" w:rsidRPr="00E773C2" w:rsidRDefault="004A05B7" w:rsidP="00E773C2">
      <w:pPr>
        <w:pStyle w:val="ListParagraph"/>
        <w:numPr>
          <w:ilvl w:val="0"/>
          <w:numId w:val="1"/>
        </w:numPr>
        <w:spacing w:line="240" w:lineRule="auto"/>
        <w:ind w:left="1980" w:right="1440" w:hanging="360"/>
        <w:jc w:val="left"/>
        <w:rPr>
          <w:rFonts w:eastAsia="Times New Roman"/>
        </w:rPr>
      </w:pPr>
      <w:r w:rsidRPr="00E773C2">
        <w:rPr>
          <w:rFonts w:eastAsia="Times New Roman"/>
          <w:b/>
        </w:rPr>
        <w:t>Whether the conduct at issue was of a serious nature.</w:t>
      </w:r>
      <w:r w:rsidR="00E773C2" w:rsidRPr="00E773C2">
        <w:rPr>
          <w:rFonts w:eastAsia="Times New Roman"/>
          <w:b/>
        </w:rPr>
        <w:t xml:space="preserve">  </w:t>
      </w:r>
      <w:r w:rsidRPr="00E773C2">
        <w:rPr>
          <w:rFonts w:eastAsia="Times New Roman"/>
        </w:rPr>
        <w:t xml:space="preserve">The conduct is the Company's misrepresenting that the tenant's arrearage would be placed back in </w:t>
      </w:r>
      <w:r w:rsidR="00D20532" w:rsidRPr="00E773C2">
        <w:rPr>
          <w:rFonts w:eastAsia="Times New Roman"/>
        </w:rPr>
        <w:t>the tenant's</w:t>
      </w:r>
      <w:r w:rsidRPr="00E773C2">
        <w:rPr>
          <w:rFonts w:eastAsia="Times New Roman"/>
        </w:rPr>
        <w:t xml:space="preserve"> name after the foreign load was removed from her meter.  While not earth-shattering in its importance, this has the potential to be life-changing for a ratepayer who may not be able to produce $6,241.41 overnight or may have to juggle other expenses in order to pay that amount.  For the serious effect this might have on an individual's household, a civil penalty is justified.</w:t>
      </w:r>
    </w:p>
    <w:p w:rsidR="003A68C9" w:rsidRPr="00CA4675" w:rsidRDefault="003A68C9" w:rsidP="00E773C2">
      <w:pPr>
        <w:ind w:left="1980" w:hanging="360"/>
        <w:jc w:val="left"/>
        <w:rPr>
          <w:rFonts w:eastAsia="Times New Roman"/>
        </w:rPr>
      </w:pPr>
    </w:p>
    <w:p w:rsidR="00EB0276" w:rsidRDefault="004A05B7" w:rsidP="00E773C2">
      <w:pPr>
        <w:pStyle w:val="ListParagraph"/>
        <w:numPr>
          <w:ilvl w:val="0"/>
          <w:numId w:val="1"/>
        </w:numPr>
        <w:spacing w:line="240" w:lineRule="auto"/>
        <w:ind w:left="1980" w:right="1440" w:hanging="360"/>
        <w:jc w:val="left"/>
        <w:rPr>
          <w:rFonts w:eastAsia="Times New Roman"/>
        </w:rPr>
      </w:pPr>
      <w:r w:rsidRPr="00EB0276">
        <w:rPr>
          <w:rFonts w:eastAsia="Times New Roman"/>
          <w:b/>
        </w:rPr>
        <w:t xml:space="preserve">Whether the resulting consequences of the conduct at issue were of a serious nature.  </w:t>
      </w:r>
      <w:r w:rsidRPr="00EB0276">
        <w:rPr>
          <w:rFonts w:eastAsia="Times New Roman"/>
        </w:rPr>
        <w:t>When consequences of a serious nature are involved, such as personal injury or property damage, the consequences may warrant a higher penalty.</w:t>
      </w:r>
    </w:p>
    <w:p w:rsidR="003A68C9" w:rsidRPr="00EB0276" w:rsidRDefault="003A68C9" w:rsidP="00E773C2">
      <w:pPr>
        <w:pStyle w:val="ListParagraph"/>
        <w:ind w:left="1980" w:right="1440" w:hanging="360"/>
        <w:jc w:val="left"/>
        <w:rPr>
          <w:rFonts w:eastAsia="Times New Roman"/>
        </w:rPr>
      </w:pPr>
    </w:p>
    <w:p w:rsidR="00EB0276" w:rsidRDefault="006869FE" w:rsidP="00E773C2">
      <w:pPr>
        <w:ind w:left="1980" w:hanging="540"/>
        <w:jc w:val="left"/>
        <w:rPr>
          <w:rFonts w:eastAsia="Times New Roman"/>
        </w:rPr>
      </w:pPr>
      <w:r w:rsidRPr="00CA4675">
        <w:rPr>
          <w:rFonts w:eastAsia="Times New Roman"/>
        </w:rPr>
        <w:t>This factor does not impact the amount warranted.</w:t>
      </w:r>
    </w:p>
    <w:p w:rsidR="00E773C2" w:rsidRPr="00CA4675" w:rsidRDefault="00E773C2" w:rsidP="00E773C2">
      <w:pPr>
        <w:ind w:left="1980" w:hanging="360"/>
        <w:jc w:val="left"/>
        <w:rPr>
          <w:rFonts w:eastAsia="Times New Roman"/>
        </w:rPr>
      </w:pPr>
    </w:p>
    <w:p w:rsidR="004A05B7" w:rsidRPr="0054328C" w:rsidRDefault="004A05B7" w:rsidP="0054328C">
      <w:pPr>
        <w:pStyle w:val="ListParagraph"/>
        <w:numPr>
          <w:ilvl w:val="0"/>
          <w:numId w:val="1"/>
        </w:numPr>
        <w:spacing w:line="240" w:lineRule="auto"/>
        <w:ind w:right="1440"/>
        <w:jc w:val="left"/>
        <w:rPr>
          <w:rFonts w:eastAsia="Times New Roman"/>
        </w:rPr>
      </w:pPr>
      <w:r w:rsidRPr="0054328C">
        <w:rPr>
          <w:rFonts w:eastAsia="Times New Roman"/>
          <w:b/>
        </w:rPr>
        <w:t>Whether the conduct at issue was deemed intentional or negligent.</w:t>
      </w:r>
      <w:r w:rsidRPr="0054328C">
        <w:rPr>
          <w:rFonts w:eastAsia="Times New Roman"/>
        </w:rPr>
        <w:t xml:space="preserve">  This factor may only be considered in evaluating litigated cases.  When conduct has been deemed intentional, the conduct may result in a higher penalty.</w:t>
      </w:r>
    </w:p>
    <w:p w:rsidR="00E773C2" w:rsidRPr="00CA4675" w:rsidRDefault="00E773C2" w:rsidP="00E773C2">
      <w:pPr>
        <w:ind w:left="1440" w:right="1440"/>
        <w:jc w:val="left"/>
        <w:rPr>
          <w:rFonts w:eastAsia="Times New Roman"/>
        </w:rPr>
      </w:pPr>
    </w:p>
    <w:p w:rsidR="006869FE" w:rsidRDefault="006869FE" w:rsidP="002044BE">
      <w:pPr>
        <w:jc w:val="left"/>
        <w:rPr>
          <w:rFonts w:eastAsia="Times New Roman"/>
        </w:rPr>
      </w:pPr>
      <w:r w:rsidRPr="00CA4675">
        <w:rPr>
          <w:rFonts w:eastAsia="Times New Roman"/>
        </w:rPr>
        <w:tab/>
      </w:r>
      <w:r w:rsidRPr="00CA4675">
        <w:rPr>
          <w:rFonts w:eastAsia="Times New Roman"/>
        </w:rPr>
        <w:tab/>
        <w:t>As customer service representative</w:t>
      </w:r>
      <w:r w:rsidR="009E7DEC">
        <w:rPr>
          <w:rFonts w:eastAsia="Times New Roman"/>
        </w:rPr>
        <w:t>s</w:t>
      </w:r>
      <w:r w:rsidRPr="00CA4675">
        <w:rPr>
          <w:rFonts w:eastAsia="Times New Roman"/>
        </w:rPr>
        <w:t xml:space="preserve"> are highly trained to provide only information that they are certain is correct, the only conclusion possible is that the dissemination of misinformation was intentional, which supports a higher penalty.</w:t>
      </w:r>
    </w:p>
    <w:p w:rsidR="00E773C2" w:rsidRPr="00CA4675" w:rsidRDefault="00E773C2" w:rsidP="002044BE">
      <w:pPr>
        <w:jc w:val="left"/>
        <w:rPr>
          <w:rFonts w:eastAsia="Times New Roman"/>
        </w:rPr>
      </w:pPr>
    </w:p>
    <w:p w:rsidR="004A05B7" w:rsidRPr="0054328C" w:rsidRDefault="004A05B7" w:rsidP="0054328C">
      <w:pPr>
        <w:pStyle w:val="ListParagraph"/>
        <w:numPr>
          <w:ilvl w:val="0"/>
          <w:numId w:val="1"/>
        </w:numPr>
        <w:spacing w:line="240" w:lineRule="auto"/>
        <w:ind w:right="1440"/>
        <w:jc w:val="left"/>
        <w:rPr>
          <w:rFonts w:eastAsia="Times New Roman"/>
        </w:rPr>
      </w:pPr>
      <w:r w:rsidRPr="0054328C">
        <w:rPr>
          <w:rFonts w:eastAsia="Times New Roman"/>
          <w:b/>
        </w:rPr>
        <w:t>Whether the regulated entity made efforts to modify internal practices and procedures to address the conduct at issue and prevent similar conduct in the future</w:t>
      </w:r>
      <w:r w:rsidRPr="0054328C">
        <w:rPr>
          <w:rFonts w:eastAsia="Times New Roman"/>
        </w:rPr>
        <w:t>.  These modifications may include activities such as training and improving company techniques and supervision.  The amount of time it took the utility to correct the conduct once it was discovered and the involvement of top-level management in correcting the conduct may be considered.</w:t>
      </w:r>
    </w:p>
    <w:p w:rsidR="005D5B8D" w:rsidRPr="00CA4675" w:rsidRDefault="005D5B8D" w:rsidP="005D5B8D">
      <w:pPr>
        <w:ind w:left="2070" w:right="1440" w:hanging="450"/>
        <w:jc w:val="left"/>
        <w:rPr>
          <w:rFonts w:eastAsia="Times New Roman"/>
        </w:rPr>
      </w:pPr>
    </w:p>
    <w:p w:rsidR="006869FE" w:rsidRDefault="000A5169" w:rsidP="005D5B8D">
      <w:pPr>
        <w:ind w:firstLine="1440"/>
        <w:jc w:val="left"/>
        <w:rPr>
          <w:rFonts w:eastAsia="Times New Roman"/>
        </w:rPr>
      </w:pPr>
      <w:r>
        <w:rPr>
          <w:rFonts w:eastAsia="Times New Roman"/>
        </w:rPr>
        <w:t>T</w:t>
      </w:r>
      <w:r w:rsidR="006869FE" w:rsidRPr="00CA4675">
        <w:rPr>
          <w:rFonts w:eastAsia="Times New Roman"/>
        </w:rPr>
        <w:t>here is no known modification of practices and procedures planned.</w:t>
      </w:r>
    </w:p>
    <w:p w:rsidR="005D5B8D" w:rsidRPr="00CA4675" w:rsidRDefault="005D5B8D" w:rsidP="005D5B8D">
      <w:pPr>
        <w:ind w:left="2070" w:hanging="450"/>
        <w:jc w:val="left"/>
        <w:rPr>
          <w:rFonts w:eastAsia="Times New Roman"/>
        </w:rPr>
      </w:pPr>
    </w:p>
    <w:p w:rsidR="006869FE" w:rsidRPr="0054328C" w:rsidRDefault="004A05B7" w:rsidP="0054328C">
      <w:pPr>
        <w:pStyle w:val="ListParagraph"/>
        <w:numPr>
          <w:ilvl w:val="0"/>
          <w:numId w:val="1"/>
        </w:numPr>
        <w:spacing w:line="240" w:lineRule="auto"/>
        <w:ind w:right="1440"/>
        <w:jc w:val="left"/>
        <w:rPr>
          <w:rFonts w:eastAsia="Times New Roman"/>
        </w:rPr>
      </w:pPr>
      <w:r w:rsidRPr="0054328C">
        <w:rPr>
          <w:rFonts w:eastAsia="Times New Roman"/>
          <w:b/>
        </w:rPr>
        <w:t>The number of customers affected and the duration of the violation.</w:t>
      </w:r>
      <w:r w:rsidR="005D5B8D" w:rsidRPr="0054328C">
        <w:rPr>
          <w:rFonts w:eastAsia="Times New Roman"/>
          <w:b/>
        </w:rPr>
        <w:t xml:space="preserve">  </w:t>
      </w:r>
      <w:r w:rsidR="006869FE" w:rsidRPr="0054328C">
        <w:rPr>
          <w:rFonts w:eastAsia="Times New Roman"/>
        </w:rPr>
        <w:t>Complainant is the only customer known to be affected, and at some point, Company personnel provided the correct information to Complainant, thus mitigating the level of the penalty.</w:t>
      </w:r>
    </w:p>
    <w:p w:rsidR="002044BE" w:rsidRPr="00CA4675" w:rsidRDefault="002044BE" w:rsidP="005D5B8D">
      <w:pPr>
        <w:ind w:left="1980" w:hanging="360"/>
        <w:jc w:val="left"/>
        <w:rPr>
          <w:rFonts w:eastAsia="Times New Roman"/>
        </w:rPr>
      </w:pPr>
    </w:p>
    <w:p w:rsidR="004A05B7" w:rsidRPr="0054328C" w:rsidRDefault="004A05B7" w:rsidP="0054328C">
      <w:pPr>
        <w:pStyle w:val="ListParagraph"/>
        <w:numPr>
          <w:ilvl w:val="0"/>
          <w:numId w:val="1"/>
        </w:numPr>
        <w:spacing w:line="240" w:lineRule="auto"/>
        <w:ind w:right="1440"/>
        <w:jc w:val="left"/>
        <w:rPr>
          <w:rFonts w:eastAsia="Times New Roman"/>
        </w:rPr>
      </w:pPr>
      <w:r w:rsidRPr="0054328C">
        <w:rPr>
          <w:rFonts w:eastAsia="Times New Roman"/>
          <w:b/>
        </w:rPr>
        <w:t>The compliance history of the regulated entity which committed the violation</w:t>
      </w:r>
      <w:r w:rsidRPr="0054328C">
        <w:rPr>
          <w:rFonts w:eastAsia="Times New Roman"/>
        </w:rPr>
        <w:t>.  An isolated incident from an otherwise compliant utility may result in a lower penalty, whereas frequent, recurrent violations by a utility may result in a higher penalty.</w:t>
      </w:r>
    </w:p>
    <w:p w:rsidR="002044BE" w:rsidRDefault="002044BE" w:rsidP="00E773C2">
      <w:pPr>
        <w:spacing w:line="240" w:lineRule="auto"/>
        <w:ind w:left="2070" w:right="1440" w:hanging="450"/>
        <w:jc w:val="left"/>
        <w:rPr>
          <w:rFonts w:eastAsia="Times New Roman"/>
        </w:rPr>
      </w:pPr>
    </w:p>
    <w:p w:rsidR="002044BE" w:rsidRPr="00CA4675" w:rsidRDefault="002044BE" w:rsidP="00E773C2">
      <w:pPr>
        <w:spacing w:line="240" w:lineRule="auto"/>
        <w:ind w:left="2070" w:right="1440" w:hanging="450"/>
        <w:jc w:val="left"/>
        <w:rPr>
          <w:rFonts w:eastAsia="Times New Roman"/>
        </w:rPr>
      </w:pPr>
    </w:p>
    <w:p w:rsidR="006869FE" w:rsidRPr="00CA4675" w:rsidRDefault="000D0EE6" w:rsidP="00E773C2">
      <w:pPr>
        <w:ind w:firstLine="1440"/>
        <w:contextualSpacing/>
        <w:jc w:val="left"/>
        <w:rPr>
          <w:rFonts w:eastAsia="Times New Roman"/>
        </w:rPr>
      </w:pPr>
      <w:r w:rsidRPr="00CA4675">
        <w:rPr>
          <w:rFonts w:eastAsia="Times New Roman"/>
        </w:rPr>
        <w:t>This utility has 1.4 million distribution customers, and there are always service complaints pending against it.  In addition, there are the occasion</w:t>
      </w:r>
      <w:r w:rsidR="005D5B8D">
        <w:rPr>
          <w:rFonts w:eastAsia="Times New Roman"/>
        </w:rPr>
        <w:t>al investigations instituted by </w:t>
      </w:r>
      <w:r w:rsidRPr="00CA4675">
        <w:rPr>
          <w:rFonts w:eastAsia="Times New Roman"/>
        </w:rPr>
        <w:t xml:space="preserve">Commission staff.  See, e.g., </w:t>
      </w:r>
      <w:r w:rsidRPr="00CA4675">
        <w:rPr>
          <w:rFonts w:eastAsia="Times New Roman"/>
          <w:i/>
        </w:rPr>
        <w:t xml:space="preserve">Law Bureau Prosecutory Staff v. PPL Electric Utilities Corporation, </w:t>
      </w:r>
      <w:r w:rsidRPr="00CA4675">
        <w:rPr>
          <w:rFonts w:eastAsia="Times New Roman"/>
        </w:rPr>
        <w:t>M-2011-2196342 (Order entered October 4, 2011); M-2009-2059414 (Order entered November 19, 2009); M-2009-2058182 (Order ent</w:t>
      </w:r>
      <w:r w:rsidR="00A62B00">
        <w:rPr>
          <w:rFonts w:eastAsia="Times New Roman"/>
        </w:rPr>
        <w:t>ered September 10, 2009); and M</w:t>
      </w:r>
      <w:r w:rsidR="00A62B00">
        <w:rPr>
          <w:rFonts w:eastAsia="Times New Roman"/>
        </w:rPr>
        <w:noBreakHyphen/>
      </w:r>
      <w:r w:rsidRPr="00CA4675">
        <w:rPr>
          <w:rFonts w:eastAsia="Times New Roman"/>
        </w:rPr>
        <w:t>2008-2057562 (Order entered March 29, 2009).  This is not an isolated incident.</w:t>
      </w:r>
    </w:p>
    <w:p w:rsidR="000D0EE6" w:rsidRPr="00CA4675" w:rsidRDefault="000D0EE6" w:rsidP="00E773C2">
      <w:pPr>
        <w:ind w:left="2070" w:hanging="450"/>
        <w:contextualSpacing/>
        <w:jc w:val="left"/>
        <w:rPr>
          <w:rFonts w:eastAsia="Times New Roman"/>
        </w:rPr>
      </w:pPr>
    </w:p>
    <w:p w:rsidR="004A05B7" w:rsidRPr="00AA65AD" w:rsidRDefault="004A05B7" w:rsidP="00AA65AD">
      <w:pPr>
        <w:pStyle w:val="ListParagraph"/>
        <w:numPr>
          <w:ilvl w:val="0"/>
          <w:numId w:val="1"/>
        </w:numPr>
        <w:spacing w:line="240" w:lineRule="auto"/>
        <w:ind w:right="1440"/>
        <w:jc w:val="left"/>
        <w:rPr>
          <w:rFonts w:eastAsia="Times New Roman"/>
        </w:rPr>
      </w:pPr>
      <w:r w:rsidRPr="00AA65AD">
        <w:rPr>
          <w:rFonts w:eastAsia="Times New Roman"/>
          <w:b/>
        </w:rPr>
        <w:t>Whether the regulated entity cooperated with the Commission’s investigation</w:t>
      </w:r>
      <w:r w:rsidRPr="00AA65AD">
        <w:rPr>
          <w:rFonts w:eastAsia="Times New Roman"/>
        </w:rPr>
        <w:t>.  Facts establishing bad faith, active concealment of violations, or attempts to interfere with Commission investigations may result in a higher penalty.</w:t>
      </w:r>
    </w:p>
    <w:p w:rsidR="00A62B00" w:rsidRDefault="00A62B00" w:rsidP="002044BE">
      <w:pPr>
        <w:spacing w:line="240" w:lineRule="auto"/>
        <w:ind w:left="1440" w:right="1440"/>
        <w:jc w:val="left"/>
        <w:rPr>
          <w:rFonts w:eastAsia="Times New Roman"/>
        </w:rPr>
      </w:pPr>
    </w:p>
    <w:p w:rsidR="005D5B8D" w:rsidRPr="00CA4675" w:rsidRDefault="005D5B8D" w:rsidP="002044BE">
      <w:pPr>
        <w:spacing w:line="240" w:lineRule="auto"/>
        <w:ind w:left="1440" w:right="1440"/>
        <w:jc w:val="left"/>
        <w:rPr>
          <w:rFonts w:eastAsia="Times New Roman"/>
        </w:rPr>
      </w:pPr>
    </w:p>
    <w:p w:rsidR="009E7DEC" w:rsidRDefault="00A77073" w:rsidP="002044BE">
      <w:pPr>
        <w:jc w:val="left"/>
        <w:rPr>
          <w:rFonts w:eastAsia="Times New Roman"/>
        </w:rPr>
      </w:pPr>
      <w:r w:rsidRPr="00CA4675">
        <w:rPr>
          <w:rFonts w:eastAsia="Times New Roman"/>
        </w:rPr>
        <w:tab/>
      </w:r>
      <w:r w:rsidRPr="00CA4675">
        <w:rPr>
          <w:rFonts w:eastAsia="Times New Roman"/>
        </w:rPr>
        <w:tab/>
        <w:t xml:space="preserve">While there has been no formal Commission investigation relevant to this event, the behavior of Company counsel at the hearing was far more supportive of a finding of bad faith than a finding of good faith.  </w:t>
      </w:r>
      <w:r w:rsidR="009E7DEC">
        <w:rPr>
          <w:rFonts w:eastAsia="Times New Roman"/>
        </w:rPr>
        <w:t xml:space="preserve">First, counsel failed to file a notice of appearance until after the hearing, stating that he thought it had been done.  </w:t>
      </w:r>
      <w:r w:rsidR="00390BF8">
        <w:rPr>
          <w:rFonts w:eastAsia="Times New Roman"/>
        </w:rPr>
        <w:t xml:space="preserve">A review of the official file would show that there were only eight filed documents at the time of the hearing, and the only notice of appearance was for another attorney at his firm.  Second, PPL failed to provide a witness who could credibly sponsor the very exhibits submitted in advance of the hearing.  Routine utility exhibits include a statement of customer contacts and a statement of account, and these were served to Complainant prior to the hearing.  It was reasonable for Complainant to see the exhibits and to rely on them when preparing his own presentation.  PPL's failure to have those exhibits properly sponsored weighs against a finding of cooperation.  Third, counsel for PPL stated that he "believed" that the other attorney at the firm had contacted the Complainant to attempt to resolve the matter, but that he had not done so himself.  Counsel's beliefs cannot form the basis for a finding of fact.  </w:t>
      </w:r>
    </w:p>
    <w:p w:rsidR="005D5B8D" w:rsidRDefault="005D5B8D" w:rsidP="002044BE">
      <w:pPr>
        <w:jc w:val="left"/>
        <w:rPr>
          <w:rFonts w:eastAsia="Times New Roman"/>
        </w:rPr>
      </w:pPr>
    </w:p>
    <w:p w:rsidR="00390BF8" w:rsidRDefault="00390BF8" w:rsidP="002044BE">
      <w:pPr>
        <w:contextualSpacing/>
        <w:jc w:val="left"/>
        <w:rPr>
          <w:rFonts w:eastAsia="Times New Roman"/>
          <w:i/>
        </w:rPr>
      </w:pPr>
      <w:r>
        <w:rPr>
          <w:rFonts w:eastAsia="Times New Roman"/>
        </w:rPr>
        <w:tab/>
      </w:r>
      <w:r>
        <w:rPr>
          <w:rFonts w:eastAsia="Times New Roman"/>
        </w:rPr>
        <w:tab/>
        <w:t xml:space="preserve">The prehearing order directs the utility to contact the Complainant prior to the hearing, and it is reasonable to expect counsel to be able to state definitively that this contact occurred and to be able to state a date upon which it occurred.  </w:t>
      </w:r>
      <w:r w:rsidR="005D5B8D">
        <w:rPr>
          <w:rFonts w:eastAsia="Times New Roman"/>
        </w:rPr>
        <w:t>This should come as no surprise </w:t>
      </w:r>
      <w:r>
        <w:rPr>
          <w:rFonts w:eastAsia="Times New Roman"/>
        </w:rPr>
        <w:t xml:space="preserve">to PPL counsel, who was chastised on at least one other occasion for the same lack of communication with a ratepayer.  </w:t>
      </w:r>
      <w:r w:rsidRPr="00390BF8">
        <w:rPr>
          <w:rFonts w:eastAsia="Times New Roman"/>
          <w:i/>
        </w:rPr>
        <w:t xml:space="preserve">See </w:t>
      </w:r>
      <w:r>
        <w:rPr>
          <w:rFonts w:eastAsia="Times New Roman"/>
          <w:i/>
        </w:rPr>
        <w:t>Lori and Peter Brickner v. PPL Electric Utilities Corporation,</w:t>
      </w:r>
      <w:r>
        <w:rPr>
          <w:rFonts w:eastAsia="Times New Roman"/>
        </w:rPr>
        <w:t xml:space="preserve"> Docket No. C-2009-2105583 (Order entered April 22, 2010)(counsel, upon realizing that the utility would win the substance of the case, made no attempt to contact the ratepayers in order to seek an amicable solution despite the clear expectation expressed in the prehearing order).  The Company is reminded that adequate and efficient service is not just a courtesy, nor is it simply good business practice.  It is a statutory requirement.  66 Pa.C.S. </w:t>
      </w:r>
      <w:r w:rsidR="005D5B8D">
        <w:rPr>
          <w:rFonts w:eastAsia="Times New Roman"/>
        </w:rPr>
        <w:t>§ </w:t>
      </w:r>
      <w:r>
        <w:rPr>
          <w:rFonts w:eastAsia="Times New Roman"/>
        </w:rPr>
        <w:t>1501.  The overall lack of cooperation of the Company weighs in favor of a higher civil penalty.</w:t>
      </w:r>
      <w:r>
        <w:rPr>
          <w:rFonts w:eastAsia="Times New Roman"/>
          <w:i/>
        </w:rPr>
        <w:t xml:space="preserve"> </w:t>
      </w:r>
    </w:p>
    <w:p w:rsidR="000A5169" w:rsidRDefault="000A5169" w:rsidP="0054328C">
      <w:pPr>
        <w:spacing w:line="276" w:lineRule="auto"/>
        <w:contextualSpacing/>
        <w:jc w:val="left"/>
        <w:rPr>
          <w:rFonts w:eastAsia="Times New Roman"/>
        </w:rPr>
      </w:pPr>
    </w:p>
    <w:p w:rsidR="004A05B7" w:rsidRPr="00AA65AD" w:rsidRDefault="004A05B7" w:rsidP="00AA65AD">
      <w:pPr>
        <w:pStyle w:val="ListParagraph"/>
        <w:numPr>
          <w:ilvl w:val="0"/>
          <w:numId w:val="1"/>
        </w:numPr>
        <w:spacing w:line="240" w:lineRule="auto"/>
        <w:ind w:right="1440"/>
        <w:jc w:val="left"/>
        <w:rPr>
          <w:rFonts w:eastAsia="Times New Roman"/>
        </w:rPr>
      </w:pPr>
      <w:r w:rsidRPr="00AA65AD">
        <w:rPr>
          <w:rFonts w:eastAsia="Times New Roman"/>
          <w:b/>
        </w:rPr>
        <w:t xml:space="preserve">The amount of the civil penalty or fine necessary to deter future violations.  </w:t>
      </w:r>
      <w:r w:rsidRPr="00AA65AD">
        <w:rPr>
          <w:rFonts w:eastAsia="Times New Roman"/>
        </w:rPr>
        <w:t>The size of the utility may be considered to determine an appropriate penalty amount.</w:t>
      </w:r>
    </w:p>
    <w:p w:rsidR="0054328C" w:rsidRDefault="0054328C" w:rsidP="0054328C">
      <w:pPr>
        <w:ind w:left="1980" w:right="1440" w:hanging="360"/>
        <w:jc w:val="left"/>
        <w:rPr>
          <w:rFonts w:eastAsia="Times New Roman"/>
        </w:rPr>
      </w:pPr>
    </w:p>
    <w:p w:rsidR="00A77073" w:rsidRDefault="00A77073" w:rsidP="002044BE">
      <w:pPr>
        <w:jc w:val="left"/>
        <w:rPr>
          <w:rFonts w:eastAsia="Times New Roman"/>
        </w:rPr>
      </w:pPr>
      <w:r w:rsidRPr="00CA4675">
        <w:rPr>
          <w:rFonts w:eastAsia="Times New Roman"/>
        </w:rPr>
        <w:tab/>
      </w:r>
      <w:r w:rsidRPr="00CA4675">
        <w:rPr>
          <w:rFonts w:eastAsia="Times New Roman"/>
        </w:rPr>
        <w:tab/>
        <w:t>The Respondent is one of the largest utilities in the Commonwealth, which supports a higher civil penalty.</w:t>
      </w:r>
    </w:p>
    <w:p w:rsidR="0054328C" w:rsidRPr="00CA4675" w:rsidRDefault="0054328C" w:rsidP="0054328C">
      <w:pPr>
        <w:spacing w:line="276" w:lineRule="auto"/>
        <w:jc w:val="left"/>
        <w:rPr>
          <w:rFonts w:eastAsia="Times New Roman"/>
        </w:rPr>
      </w:pPr>
    </w:p>
    <w:p w:rsidR="00930855" w:rsidRDefault="004A05B7" w:rsidP="00930855">
      <w:pPr>
        <w:pStyle w:val="ListParagraph"/>
        <w:numPr>
          <w:ilvl w:val="0"/>
          <w:numId w:val="1"/>
        </w:numPr>
        <w:spacing w:line="240" w:lineRule="auto"/>
        <w:ind w:left="1980" w:right="1440"/>
        <w:jc w:val="left"/>
        <w:rPr>
          <w:rFonts w:eastAsia="Times New Roman"/>
        </w:rPr>
      </w:pPr>
      <w:r w:rsidRPr="00930855">
        <w:rPr>
          <w:rFonts w:eastAsia="Times New Roman"/>
          <w:b/>
        </w:rPr>
        <w:t>Past Commission decisions in similar situations.</w:t>
      </w:r>
      <w:r w:rsidR="0054328C" w:rsidRPr="00930855">
        <w:rPr>
          <w:rFonts w:eastAsia="Times New Roman"/>
          <w:b/>
        </w:rPr>
        <w:t xml:space="preserve">  </w:t>
      </w:r>
      <w:r w:rsidR="002363AE" w:rsidRPr="00930855">
        <w:rPr>
          <w:rFonts w:eastAsia="Times New Roman"/>
        </w:rPr>
        <w:t>Normal Commission practice is to impose no more than a $1,000 civil penalty in consumer complaint cases where there is only one count.</w:t>
      </w:r>
    </w:p>
    <w:p w:rsidR="00930855" w:rsidRDefault="00930855" w:rsidP="00930855">
      <w:pPr>
        <w:pStyle w:val="ListParagraph"/>
        <w:spacing w:line="240" w:lineRule="auto"/>
        <w:ind w:left="1980" w:right="1440"/>
        <w:jc w:val="left"/>
        <w:rPr>
          <w:rFonts w:eastAsia="Times New Roman"/>
        </w:rPr>
      </w:pPr>
    </w:p>
    <w:p w:rsidR="002363AE" w:rsidRPr="00930855" w:rsidRDefault="00930855" w:rsidP="00930855">
      <w:pPr>
        <w:pStyle w:val="ListParagraph"/>
        <w:numPr>
          <w:ilvl w:val="0"/>
          <w:numId w:val="1"/>
        </w:numPr>
        <w:spacing w:line="240" w:lineRule="auto"/>
        <w:ind w:left="1980" w:right="1440"/>
        <w:jc w:val="left"/>
        <w:rPr>
          <w:rFonts w:eastAsia="Times New Roman"/>
        </w:rPr>
      </w:pPr>
      <w:r>
        <w:rPr>
          <w:rFonts w:eastAsia="Times New Roman"/>
          <w:b/>
        </w:rPr>
        <w:t xml:space="preserve"> </w:t>
      </w:r>
      <w:r w:rsidR="004A05B7" w:rsidRPr="00930855">
        <w:rPr>
          <w:rFonts w:eastAsia="Times New Roman"/>
          <w:b/>
        </w:rPr>
        <w:t>Other relevant factors</w:t>
      </w:r>
      <w:r w:rsidR="004A05B7" w:rsidRPr="00930855">
        <w:rPr>
          <w:rFonts w:eastAsia="Times New Roman"/>
        </w:rPr>
        <w:t>.</w:t>
      </w:r>
      <w:r w:rsidR="0054328C" w:rsidRPr="00930855">
        <w:rPr>
          <w:rFonts w:eastAsia="Times New Roman"/>
        </w:rPr>
        <w:t xml:space="preserve">  </w:t>
      </w:r>
      <w:r w:rsidR="008303B4" w:rsidRPr="00930855">
        <w:rPr>
          <w:rFonts w:eastAsia="Times New Roman"/>
        </w:rPr>
        <w:t xml:space="preserve">No </w:t>
      </w:r>
      <w:r w:rsidR="00AA65AD" w:rsidRPr="00930855">
        <w:rPr>
          <w:rFonts w:eastAsia="Times New Roman"/>
        </w:rPr>
        <w:t xml:space="preserve">other factors are considered as </w:t>
      </w:r>
      <w:r w:rsidR="008303B4" w:rsidRPr="00930855">
        <w:rPr>
          <w:rFonts w:eastAsia="Times New Roman"/>
        </w:rPr>
        <w:t>adding or subtracting a particular civil penalty here.</w:t>
      </w:r>
    </w:p>
    <w:p w:rsidR="0054328C" w:rsidRDefault="0054328C" w:rsidP="00AA65AD">
      <w:pPr>
        <w:spacing w:line="480" w:lineRule="auto"/>
        <w:ind w:left="1980" w:right="1440" w:hanging="360"/>
        <w:jc w:val="left"/>
        <w:rPr>
          <w:rFonts w:eastAsia="Times New Roman"/>
        </w:rPr>
      </w:pPr>
    </w:p>
    <w:p w:rsidR="00DF2B0D" w:rsidRPr="00CA4675" w:rsidRDefault="008303B4" w:rsidP="00AA65AD">
      <w:pPr>
        <w:jc w:val="left"/>
      </w:pPr>
      <w:r w:rsidRPr="00CA4675">
        <w:rPr>
          <w:rFonts w:eastAsia="Times New Roman"/>
        </w:rPr>
        <w:tab/>
      </w:r>
      <w:r w:rsidRPr="00CA4675">
        <w:rPr>
          <w:rFonts w:eastAsia="Times New Roman"/>
        </w:rPr>
        <w:tab/>
        <w:t>The amount imposed is $1,000, which is intended to remind the Company that</w:t>
      </w:r>
      <w:r w:rsidR="00E7774D">
        <w:t xml:space="preserve"> </w:t>
      </w:r>
      <w:r w:rsidR="00DF2B0D" w:rsidRPr="00CA4675">
        <w:t>this Complainant</w:t>
      </w:r>
      <w:r w:rsidRPr="00CA4675">
        <w:t xml:space="preserve"> and all consumer complainants are</w:t>
      </w:r>
      <w:r w:rsidR="00DF2B0D" w:rsidRPr="00CA4675">
        <w:t xml:space="preserve"> not just adversar</w:t>
      </w:r>
      <w:r w:rsidR="00E7774D">
        <w:t>ies</w:t>
      </w:r>
      <w:r w:rsidR="00DF2B0D" w:rsidRPr="00CA4675">
        <w:t xml:space="preserve"> but</w:t>
      </w:r>
      <w:r w:rsidRPr="00CA4675">
        <w:t xml:space="preserve"> are, in fact, </w:t>
      </w:r>
      <w:r w:rsidR="00AA65AD">
        <w:t>valued </w:t>
      </w:r>
      <w:r w:rsidR="00DF2B0D" w:rsidRPr="00CA4675">
        <w:t>ratepayer</w:t>
      </w:r>
      <w:r w:rsidRPr="00CA4675">
        <w:t>s</w:t>
      </w:r>
      <w:r w:rsidR="00DF2B0D" w:rsidRPr="00CA4675">
        <w:t xml:space="preserve"> to whom</w:t>
      </w:r>
      <w:r w:rsidRPr="00CA4675">
        <w:t xml:space="preserve"> the Company</w:t>
      </w:r>
      <w:r w:rsidR="00DF2B0D" w:rsidRPr="00CA4675">
        <w:t xml:space="preserve"> owe</w:t>
      </w:r>
      <w:r w:rsidRPr="00CA4675">
        <w:t xml:space="preserve">s </w:t>
      </w:r>
      <w:r w:rsidR="00DF2B0D" w:rsidRPr="00CA4675">
        <w:t xml:space="preserve">reasonable, reliable, adequate, </w:t>
      </w:r>
      <w:r w:rsidR="00312A5F" w:rsidRPr="00CA4675">
        <w:t xml:space="preserve">and </w:t>
      </w:r>
      <w:r w:rsidR="00DF2B0D" w:rsidRPr="00CA4675">
        <w:t>safe service.  66 Pa.C.S. § 1501.  This includes providing</w:t>
      </w:r>
      <w:r w:rsidR="00312A5F" w:rsidRPr="00CA4675">
        <w:t xml:space="preserve"> correct information when requested from a customer service representative</w:t>
      </w:r>
      <w:r w:rsidR="00E7774D">
        <w:t xml:space="preserve">, </w:t>
      </w:r>
      <w:r w:rsidRPr="00CA4675">
        <w:t xml:space="preserve">providing </w:t>
      </w:r>
      <w:r w:rsidR="00DF2B0D" w:rsidRPr="00CA4675">
        <w:t>a witness who can sponsor the routine exhibits relied upon in complaint proceeding</w:t>
      </w:r>
      <w:r w:rsidR="00E7774D">
        <w:t>, and making an honest attempt to find an amicable resolution prior to a formal hearing.</w:t>
      </w:r>
    </w:p>
    <w:p w:rsidR="00DF2B0D" w:rsidRPr="00CA4675" w:rsidRDefault="00DF2B0D" w:rsidP="00AA65AD">
      <w:pPr>
        <w:jc w:val="left"/>
      </w:pPr>
    </w:p>
    <w:p w:rsidR="00DF2B0D" w:rsidRPr="00CA4675" w:rsidRDefault="00DF2B0D" w:rsidP="00AA65AD">
      <w:pPr>
        <w:rPr>
          <w:u w:val="single"/>
        </w:rPr>
      </w:pPr>
      <w:r w:rsidRPr="00CA4675">
        <w:rPr>
          <w:u w:val="single"/>
        </w:rPr>
        <w:t>CONCLUSIONS OF LAW</w:t>
      </w:r>
    </w:p>
    <w:p w:rsidR="00DF2B0D" w:rsidRPr="00CA4675" w:rsidRDefault="00DF2B0D" w:rsidP="00AA65AD">
      <w:pPr>
        <w:rPr>
          <w:u w:val="single"/>
        </w:rPr>
      </w:pPr>
    </w:p>
    <w:p w:rsidR="00DF2B0D" w:rsidRPr="00CA4675" w:rsidRDefault="00DF2B0D" w:rsidP="00AA65AD">
      <w:pPr>
        <w:jc w:val="left"/>
      </w:pPr>
      <w:r w:rsidRPr="00CA4675">
        <w:tab/>
      </w:r>
      <w:r w:rsidRPr="00CA4675">
        <w:tab/>
        <w:t>1.</w:t>
      </w:r>
      <w:r w:rsidRPr="00CA4675">
        <w:tab/>
        <w:t>The Commission has jurisdiction over this matter.</w:t>
      </w:r>
    </w:p>
    <w:p w:rsidR="00DF2B0D" w:rsidRPr="00CA4675" w:rsidRDefault="00DF2B0D" w:rsidP="00AA65AD">
      <w:pPr>
        <w:jc w:val="left"/>
      </w:pPr>
    </w:p>
    <w:p w:rsidR="00DF2B0D" w:rsidRPr="00CA4675" w:rsidRDefault="00DF2B0D" w:rsidP="00AA65AD">
      <w:pPr>
        <w:jc w:val="left"/>
      </w:pPr>
      <w:r w:rsidRPr="00CA4675">
        <w:tab/>
      </w:r>
      <w:r w:rsidRPr="00CA4675">
        <w:tab/>
        <w:t>2.</w:t>
      </w:r>
      <w:r w:rsidRPr="00CA4675">
        <w:tab/>
        <w:t>The party seeking affirmative relief from the Commission bears the burden of proof.  66 Pa.C.S. § 332(a).</w:t>
      </w:r>
    </w:p>
    <w:p w:rsidR="00DF2B0D" w:rsidRPr="00CA4675" w:rsidRDefault="00DF2B0D" w:rsidP="00AA65AD">
      <w:pPr>
        <w:jc w:val="left"/>
      </w:pPr>
    </w:p>
    <w:p w:rsidR="00DF2B0D" w:rsidRPr="00CA4675" w:rsidRDefault="00DF2B0D" w:rsidP="00AA65AD">
      <w:pPr>
        <w:jc w:val="left"/>
      </w:pPr>
      <w:r w:rsidRPr="00CA4675">
        <w:tab/>
      </w:r>
      <w:r w:rsidRPr="00CA4675">
        <w:tab/>
        <w:t>3.</w:t>
      </w:r>
      <w:r w:rsidRPr="00CA4675">
        <w:tab/>
        <w:t xml:space="preserve">As a matter of law, a complainant must show that the named utility is responsible or accountable for the problem described in the Complaint in order to prevail.  </w:t>
      </w:r>
      <w:r w:rsidRPr="00CA4675">
        <w:rPr>
          <w:i/>
        </w:rPr>
        <w:t xml:space="preserve">Patterson v. Bell Tel. Co. of PA, </w:t>
      </w:r>
      <w:r w:rsidR="009910B2">
        <w:t>72 Pa. PUC</w:t>
      </w:r>
      <w:r w:rsidRPr="00CA4675">
        <w:t xml:space="preserve"> 196 (1990); </w:t>
      </w:r>
      <w:r w:rsidRPr="00CA4675">
        <w:rPr>
          <w:i/>
        </w:rPr>
        <w:t xml:space="preserve">Feinstein v. Phila. Suburban Water Co., </w:t>
      </w:r>
      <w:r w:rsidRPr="00CA4675">
        <w:t>50 Pa. PUC 300 (1976).</w:t>
      </w:r>
    </w:p>
    <w:p w:rsidR="00DF2B0D" w:rsidRPr="00CA4675" w:rsidRDefault="00DF2B0D" w:rsidP="00AA65AD">
      <w:pPr>
        <w:jc w:val="left"/>
      </w:pPr>
    </w:p>
    <w:p w:rsidR="00DF2B0D" w:rsidRPr="00CA4675" w:rsidRDefault="00DF2B0D" w:rsidP="00AA65AD">
      <w:pPr>
        <w:jc w:val="left"/>
      </w:pPr>
      <w:r w:rsidRPr="00CA4675">
        <w:tab/>
      </w:r>
      <w:r w:rsidRPr="00CA4675">
        <w:tab/>
        <w:t>4.</w:t>
      </w:r>
      <w:r w:rsidRPr="00CA4675">
        <w:tab/>
        <w:t>This must be shown by a prep</w:t>
      </w:r>
      <w:r w:rsidR="003809F8">
        <w:t xml:space="preserve">onderance of the evidence.  </w:t>
      </w:r>
      <w:r w:rsidRPr="00CA4675">
        <w:rPr>
          <w:i/>
        </w:rPr>
        <w:t xml:space="preserve">Samuel J. Lansberry, Inc. v. Pa. Pub. Util. Comm'n, </w:t>
      </w:r>
      <w:r w:rsidRPr="00CA4675">
        <w:t xml:space="preserve">578 A.2d 600 (1990), </w:t>
      </w:r>
      <w:r w:rsidRPr="00CA4675">
        <w:rPr>
          <w:i/>
        </w:rPr>
        <w:t>alloc, denied</w:t>
      </w:r>
      <w:r w:rsidRPr="00CA4675">
        <w:t xml:space="preserve">, 602 A.2d 863 (1992).  A preponderance of evidence is that which is more convincing, by even the smallest amount, than that presented by the other party.  </w:t>
      </w:r>
      <w:r w:rsidRPr="00CA4675">
        <w:rPr>
          <w:i/>
        </w:rPr>
        <w:t>Se-Ling Hosiery v. Margulies,</w:t>
      </w:r>
      <w:r w:rsidRPr="00CA4675">
        <w:t xml:space="preserve"> 70 A.2d 854 (1950).</w:t>
      </w:r>
    </w:p>
    <w:p w:rsidR="00DF2B0D" w:rsidRPr="00CA4675" w:rsidRDefault="00DF2B0D" w:rsidP="00AA65AD">
      <w:pPr>
        <w:jc w:val="left"/>
      </w:pPr>
    </w:p>
    <w:p w:rsidR="00DF2B0D" w:rsidRPr="00CA4675" w:rsidRDefault="00DF2B0D" w:rsidP="00AA65AD">
      <w:pPr>
        <w:jc w:val="left"/>
      </w:pPr>
      <w:r w:rsidRPr="00CA4675">
        <w:tab/>
      </w:r>
      <w:r w:rsidRPr="00CA4675">
        <w:tab/>
        <w:t>5.</w:t>
      </w:r>
      <w:r w:rsidRPr="00CA4675">
        <w:tab/>
        <w:t xml:space="preserve">Any finding of fact necessary to support the Commission's adjudication must be based upon substantial evidence.  </w:t>
      </w:r>
      <w:r w:rsidRPr="00CA4675">
        <w:rPr>
          <w:i/>
        </w:rPr>
        <w:t>Mill v. Pa. Pub. Util. Comm'n</w:t>
      </w:r>
      <w:r w:rsidRPr="00CA4675">
        <w:t xml:space="preserve">, 447 A.2d 1100 (Pa.Cmwlth. 1982); </w:t>
      </w:r>
      <w:r w:rsidRPr="00CA4675">
        <w:rPr>
          <w:i/>
        </w:rPr>
        <w:t xml:space="preserve">Edan Transportation Corp. v. Pa. Pub. Util. Comm'n, </w:t>
      </w:r>
      <w:r w:rsidRPr="00CA4675">
        <w:t xml:space="preserve">623 A.2d 6 (Pa. Cmwlth. 1993); 2 Pa.C.S. § 704.  More is required than a mere trace of evidence or a suspicion of the existence of a fact sought to be established.  </w:t>
      </w:r>
      <w:r w:rsidRPr="00CA4675">
        <w:rPr>
          <w:i/>
        </w:rPr>
        <w:t xml:space="preserve">Norfolk and Western Ry. v. Pa. Pub. Util. Comm'n, </w:t>
      </w:r>
      <w:r w:rsidRPr="00CA4675">
        <w:t xml:space="preserve">489 Pa. 109, 413 A.2d 1037 (1980); </w:t>
      </w:r>
      <w:r w:rsidRPr="00CA4675">
        <w:rPr>
          <w:i/>
        </w:rPr>
        <w:t xml:space="preserve">Erie Resistor Corp. v. Unemployment Compensation Bd. Of Review, </w:t>
      </w:r>
      <w:r w:rsidRPr="00CA4675">
        <w:t xml:space="preserve">166 A.2d 96 (Pa.Super. 1960); </w:t>
      </w:r>
      <w:r w:rsidRPr="00CA4675">
        <w:rPr>
          <w:i/>
        </w:rPr>
        <w:t xml:space="preserve">Murphy v. Dep't. of Public Welfare, White Haven Center, </w:t>
      </w:r>
      <w:r w:rsidRPr="00CA4675">
        <w:t>480 A.2d 382 (Pa. Cmwlth. 1984).</w:t>
      </w:r>
    </w:p>
    <w:p w:rsidR="00DF2B0D" w:rsidRPr="00CA4675" w:rsidRDefault="00DF2B0D" w:rsidP="00AA65AD">
      <w:pPr>
        <w:jc w:val="left"/>
      </w:pPr>
    </w:p>
    <w:p w:rsidR="00DF2B0D" w:rsidRPr="00CA4675" w:rsidRDefault="00DF2B0D" w:rsidP="00AA65AD">
      <w:pPr>
        <w:jc w:val="left"/>
      </w:pPr>
      <w:r w:rsidRPr="00CA4675">
        <w:tab/>
      </w:r>
      <w:r w:rsidRPr="00CA4675">
        <w:tab/>
        <w:t>6.</w:t>
      </w:r>
      <w:r w:rsidRPr="00CA4675">
        <w:tab/>
        <w:t>The offense must be a violation of the Public Utility Code, the Commission's regulations, or an outstanding order of the Commission.  66 Pa.C.S. § 701</w:t>
      </w:r>
      <w:r w:rsidR="000A5169">
        <w:t>.</w:t>
      </w:r>
    </w:p>
    <w:p w:rsidR="00DF2B0D" w:rsidRPr="00CA4675" w:rsidRDefault="00DF2B0D" w:rsidP="00AA65AD">
      <w:pPr>
        <w:jc w:val="left"/>
      </w:pPr>
    </w:p>
    <w:p w:rsidR="008B3952" w:rsidRPr="00CA4675" w:rsidRDefault="00DF2B0D" w:rsidP="00AA65AD">
      <w:pPr>
        <w:jc w:val="left"/>
      </w:pPr>
      <w:r w:rsidRPr="00CA4675">
        <w:tab/>
      </w:r>
      <w:r w:rsidRPr="00CA4675">
        <w:tab/>
        <w:t>7.</w:t>
      </w:r>
      <w:r w:rsidRPr="00CA4675">
        <w:tab/>
        <w:t xml:space="preserve">The Public Utility Code requires a utility to place an account in the landlord's name where it is determined that there is foreign load on the tenant's meter.  66 Pa.C.S. § 1529.1.  </w:t>
      </w:r>
    </w:p>
    <w:p w:rsidR="008B3952" w:rsidRPr="00CA4675" w:rsidRDefault="008B3952" w:rsidP="00AA65AD">
      <w:pPr>
        <w:jc w:val="left"/>
      </w:pPr>
      <w:r w:rsidRPr="00CA4675">
        <w:tab/>
      </w:r>
      <w:r w:rsidRPr="00CA4675">
        <w:tab/>
      </w:r>
    </w:p>
    <w:p w:rsidR="00DF2B0D" w:rsidRPr="00CA4675" w:rsidRDefault="00DF2B0D" w:rsidP="00AA65AD">
      <w:pPr>
        <w:jc w:val="left"/>
      </w:pPr>
      <w:r w:rsidRPr="00CA4675">
        <w:tab/>
      </w:r>
      <w:r w:rsidRPr="00CA4675">
        <w:tab/>
        <w:t>8.</w:t>
      </w:r>
      <w:r w:rsidRPr="00CA4675">
        <w:tab/>
        <w:t xml:space="preserve">After the foreign load is corrected by the landlord and verified by the utility, the utility is to place the account back into the tenant's name.  However, the landlord remains responsible for any arrearages on the tenant's account.  </w:t>
      </w:r>
      <w:r w:rsidRPr="00CA4675">
        <w:rPr>
          <w:i/>
        </w:rPr>
        <w:t>Jack Bleiman v. PECO Energy Company</w:t>
      </w:r>
      <w:r w:rsidRPr="00CA4675">
        <w:t>, Docket No. F-2012-2284038 (Opinion and Order entered June 13, 2013)(petition for reconsideration denied September 12, 2013).</w:t>
      </w:r>
    </w:p>
    <w:p w:rsidR="00D1785A" w:rsidRPr="00CA4675" w:rsidRDefault="00D1785A" w:rsidP="00AA65AD">
      <w:pPr>
        <w:jc w:val="left"/>
      </w:pPr>
      <w:r w:rsidRPr="00CA4675">
        <w:tab/>
      </w:r>
      <w:r w:rsidRPr="00CA4675">
        <w:tab/>
      </w:r>
    </w:p>
    <w:p w:rsidR="00DF2B0D" w:rsidRPr="00CA4675" w:rsidRDefault="00DF2B0D" w:rsidP="00AA65AD">
      <w:pPr>
        <w:jc w:val="left"/>
      </w:pPr>
      <w:r w:rsidRPr="00CA4675">
        <w:tab/>
      </w:r>
      <w:r w:rsidRPr="00CA4675">
        <w:tab/>
        <w:t>9.</w:t>
      </w:r>
      <w:r w:rsidRPr="00CA4675">
        <w:tab/>
        <w:t>The Complainant has not shown that the utility acted in a way which was a violation of law administered by</w:t>
      </w:r>
      <w:r w:rsidR="000E6488">
        <w:t xml:space="preserve"> the Commission.</w:t>
      </w:r>
    </w:p>
    <w:p w:rsidR="00DF2B0D" w:rsidRPr="00CA4675" w:rsidRDefault="00DF2B0D" w:rsidP="00AA65AD">
      <w:pPr>
        <w:jc w:val="left"/>
      </w:pPr>
    </w:p>
    <w:p w:rsidR="00DF2B0D" w:rsidRPr="00CA4675" w:rsidRDefault="00DF2B0D" w:rsidP="00AA65AD">
      <w:pPr>
        <w:jc w:val="left"/>
      </w:pPr>
      <w:r w:rsidRPr="00CA4675">
        <w:tab/>
      </w:r>
      <w:r w:rsidRPr="00CA4675">
        <w:tab/>
      </w:r>
      <w:r w:rsidR="00EF24CB">
        <w:t>10.</w:t>
      </w:r>
      <w:r w:rsidR="00EF24CB">
        <w:tab/>
      </w:r>
      <w:r w:rsidR="00223784" w:rsidRPr="00CA4675">
        <w:t>T</w:t>
      </w:r>
      <w:r w:rsidRPr="00CA4675">
        <w:t xml:space="preserve">he PPL representative gave </w:t>
      </w:r>
      <w:r w:rsidR="00223784" w:rsidRPr="00CA4675">
        <w:t>Complainant</w:t>
      </w:r>
      <w:r w:rsidRPr="00CA4675">
        <w:t xml:space="preserve"> misleading and incorrect information, which constitutes inadequate service.  66 Pa.C.S. § 1501</w:t>
      </w:r>
      <w:r w:rsidR="00223784" w:rsidRPr="00CA4675">
        <w:t>.</w:t>
      </w:r>
    </w:p>
    <w:p w:rsidR="000A5169" w:rsidRDefault="000A5169" w:rsidP="00AA65AD">
      <w:r>
        <w:br w:type="page"/>
      </w:r>
    </w:p>
    <w:p w:rsidR="00223784" w:rsidRPr="00215603" w:rsidRDefault="00223784" w:rsidP="00AA65AD">
      <w:pPr>
        <w:rPr>
          <w:u w:val="single"/>
        </w:rPr>
      </w:pPr>
      <w:r w:rsidRPr="00215603">
        <w:rPr>
          <w:u w:val="single"/>
        </w:rPr>
        <w:t>ORDER</w:t>
      </w:r>
    </w:p>
    <w:p w:rsidR="00223784" w:rsidRDefault="00223784" w:rsidP="00AA65AD">
      <w:pPr>
        <w:rPr>
          <w:b/>
        </w:rPr>
      </w:pPr>
    </w:p>
    <w:p w:rsidR="00215603" w:rsidRPr="00CA4675" w:rsidRDefault="00215603" w:rsidP="00AA65AD">
      <w:pPr>
        <w:rPr>
          <w:b/>
        </w:rPr>
      </w:pPr>
    </w:p>
    <w:p w:rsidR="00223784" w:rsidRPr="00CA4675" w:rsidRDefault="00223784" w:rsidP="00AA65AD">
      <w:pPr>
        <w:jc w:val="left"/>
      </w:pPr>
      <w:r w:rsidRPr="00CA4675">
        <w:tab/>
      </w:r>
      <w:r w:rsidRPr="00CA4675">
        <w:tab/>
        <w:t>THEREFORE,</w:t>
      </w:r>
    </w:p>
    <w:p w:rsidR="00223784" w:rsidRPr="00CA4675" w:rsidRDefault="00223784" w:rsidP="00AA65AD">
      <w:pPr>
        <w:jc w:val="left"/>
      </w:pPr>
    </w:p>
    <w:p w:rsidR="00223784" w:rsidRPr="00CA4675" w:rsidRDefault="00223784" w:rsidP="00AA65AD">
      <w:pPr>
        <w:jc w:val="left"/>
      </w:pPr>
      <w:r w:rsidRPr="00CA4675">
        <w:tab/>
      </w:r>
      <w:r w:rsidRPr="00CA4675">
        <w:tab/>
        <w:t>IT IS ORDERED:</w:t>
      </w:r>
    </w:p>
    <w:p w:rsidR="00223784" w:rsidRPr="00CA4675" w:rsidRDefault="00223784" w:rsidP="00AA65AD">
      <w:pPr>
        <w:jc w:val="left"/>
      </w:pPr>
    </w:p>
    <w:p w:rsidR="00223784" w:rsidRPr="00CA4675" w:rsidRDefault="00223784" w:rsidP="00AA65AD">
      <w:pPr>
        <w:jc w:val="left"/>
      </w:pPr>
      <w:r w:rsidRPr="00CA4675">
        <w:tab/>
      </w:r>
      <w:r w:rsidRPr="00CA4675">
        <w:tab/>
        <w:t>1.</w:t>
      </w:r>
      <w:r w:rsidRPr="00CA4675">
        <w:tab/>
        <w:t>That the Complaint filed by Jere Lefever against PPL Electric Utilities Corporation at Docket No. C-2013-2367314, is granted insofar as it seeks a finding of inadequate service by imparting incorrect information to him.</w:t>
      </w:r>
    </w:p>
    <w:p w:rsidR="00223784" w:rsidRPr="00CA4675" w:rsidRDefault="00223784" w:rsidP="00AA65AD">
      <w:pPr>
        <w:jc w:val="left"/>
      </w:pPr>
    </w:p>
    <w:p w:rsidR="00223784" w:rsidRPr="00CA4675" w:rsidRDefault="00223784" w:rsidP="00AA65AD">
      <w:pPr>
        <w:jc w:val="left"/>
      </w:pPr>
      <w:r w:rsidRPr="00CA4675">
        <w:tab/>
      </w:r>
      <w:r w:rsidRPr="00CA4675">
        <w:tab/>
        <w:t>2.</w:t>
      </w:r>
      <w:r w:rsidRPr="00CA4675">
        <w:tab/>
        <w:t>That the Complaint filed by Jere Lefever against PPL Electric Utilities Corporation at Docket No. C-2013-2367314, is denied insofar as it seeks a finding that PPL Electric Utilities acted improperly by not transferring the arrearage of the tenant's account back to the tenant when the foreign load was removed from the tenant's meter.</w:t>
      </w:r>
    </w:p>
    <w:p w:rsidR="00223784" w:rsidRPr="00CA4675" w:rsidRDefault="00223784" w:rsidP="00AA65AD">
      <w:pPr>
        <w:jc w:val="left"/>
      </w:pPr>
    </w:p>
    <w:p w:rsidR="004B0204" w:rsidRPr="00CA4675" w:rsidRDefault="00223784" w:rsidP="00AA65AD">
      <w:pPr>
        <w:jc w:val="left"/>
      </w:pPr>
      <w:r w:rsidRPr="00CA4675">
        <w:tab/>
      </w:r>
      <w:r w:rsidRPr="00CA4675">
        <w:tab/>
        <w:t>3.</w:t>
      </w:r>
      <w:r w:rsidRPr="00CA4675">
        <w:tab/>
      </w:r>
      <w:r w:rsidR="004B0204" w:rsidRPr="00CA4675">
        <w:t>That, pursuant to Sections 3301 and 3315 of the Public Utility Code, 66 Pa.C.S. §§</w:t>
      </w:r>
      <w:r w:rsidR="00215603">
        <w:t xml:space="preserve"> </w:t>
      </w:r>
      <w:r w:rsidR="004B0204" w:rsidRPr="00CA4675">
        <w:t>3301 and 3315, within thirty (30) days of the date of entry of the Commission's Final Order, PPL Electric Utilities Corporation shall pay a total of $</w:t>
      </w:r>
      <w:r w:rsidR="008303B4" w:rsidRPr="00CA4675">
        <w:t>1,000</w:t>
      </w:r>
      <w:r w:rsidR="004B0204" w:rsidRPr="00CA4675">
        <w:t xml:space="preserve"> by submitting a certified check or money order payable to the Commonwealth of Pennsylvania to the following address:</w:t>
      </w:r>
    </w:p>
    <w:p w:rsidR="008303B4" w:rsidRPr="00CA4675" w:rsidRDefault="008303B4" w:rsidP="00AA65AD">
      <w:pPr>
        <w:jc w:val="left"/>
      </w:pPr>
    </w:p>
    <w:p w:rsidR="00223784" w:rsidRPr="00CA4675" w:rsidRDefault="004B0204" w:rsidP="00AA65AD">
      <w:pPr>
        <w:spacing w:line="240" w:lineRule="auto"/>
      </w:pPr>
      <w:r w:rsidRPr="00CA4675">
        <w:t>Pennsylvania Public Utility Commission</w:t>
      </w:r>
    </w:p>
    <w:p w:rsidR="004B0204" w:rsidRPr="00CA4675" w:rsidRDefault="004B0204" w:rsidP="00AA65AD">
      <w:pPr>
        <w:spacing w:line="240" w:lineRule="auto"/>
      </w:pPr>
      <w:r w:rsidRPr="00CA4675">
        <w:t>P.O. Box 3265</w:t>
      </w:r>
    </w:p>
    <w:p w:rsidR="004B0204" w:rsidRPr="00CA4675" w:rsidRDefault="004B0204" w:rsidP="00AA65AD">
      <w:pPr>
        <w:spacing w:line="240" w:lineRule="auto"/>
      </w:pPr>
      <w:r w:rsidRPr="00CA4675">
        <w:t>Harrisburg PA 17105-3265</w:t>
      </w:r>
    </w:p>
    <w:p w:rsidR="004B0204" w:rsidRPr="00CA4675" w:rsidRDefault="004B0204" w:rsidP="00AA65AD"/>
    <w:p w:rsidR="004B0204" w:rsidRPr="00CA4675" w:rsidRDefault="004B0204" w:rsidP="00AA65AD">
      <w:pPr>
        <w:jc w:val="left"/>
      </w:pPr>
      <w:r w:rsidRPr="00CA4675">
        <w:tab/>
      </w:r>
      <w:r w:rsidRPr="00CA4675">
        <w:tab/>
        <w:t>4.</w:t>
      </w:r>
      <w:r w:rsidRPr="00CA4675">
        <w:tab/>
        <w:t>That PPL Electric Utilities Corporation shall cease and desist from further violations of the Public Utility Code, 66 Pa.C.S. § 101 et seq. and the regulations of the Public Utility Commission, 52 Pa.Code § 1.1 et seq.</w:t>
      </w:r>
    </w:p>
    <w:p w:rsidR="004B0204" w:rsidRPr="00CA4675" w:rsidRDefault="004B0204" w:rsidP="00AA65AD">
      <w:pPr>
        <w:jc w:val="left"/>
      </w:pPr>
    </w:p>
    <w:p w:rsidR="004B0204" w:rsidRPr="00CA4675" w:rsidRDefault="004B0204" w:rsidP="00AA65AD">
      <w:pPr>
        <w:jc w:val="left"/>
      </w:pPr>
      <w:r w:rsidRPr="00CA4675">
        <w:tab/>
      </w:r>
      <w:r w:rsidRPr="00CA4675">
        <w:tab/>
        <w:t>5.</w:t>
      </w:r>
      <w:r w:rsidRPr="00CA4675">
        <w:tab/>
        <w:t>That a copy of this Initial Decision shall be served upon the Financial and Assessment Chief, Office of Administration.</w:t>
      </w:r>
    </w:p>
    <w:p w:rsidR="004B0204" w:rsidRPr="00CA4675" w:rsidRDefault="004B0204" w:rsidP="00AA65AD">
      <w:pPr>
        <w:jc w:val="left"/>
      </w:pPr>
    </w:p>
    <w:p w:rsidR="004B0204" w:rsidRPr="00CA4675" w:rsidRDefault="004B0204" w:rsidP="00AA65AD">
      <w:pPr>
        <w:jc w:val="left"/>
      </w:pPr>
      <w:r w:rsidRPr="00CA4675">
        <w:tab/>
      </w:r>
      <w:r w:rsidRPr="00CA4675">
        <w:tab/>
        <w:t>6.</w:t>
      </w:r>
      <w:r w:rsidRPr="00CA4675">
        <w:tab/>
      </w:r>
      <w:r w:rsidR="003B4236" w:rsidRPr="00CA4675">
        <w:t>That, upon receipt of the $</w:t>
      </w:r>
      <w:r w:rsidR="008303B4" w:rsidRPr="00CA4675">
        <w:t>1,0</w:t>
      </w:r>
      <w:r w:rsidR="003B4236" w:rsidRPr="00CA4675">
        <w:t>00 check or money order from PPL Electric Utilities Corporation, the Secretary mark this docket closed.</w:t>
      </w:r>
    </w:p>
    <w:p w:rsidR="003B4236" w:rsidRDefault="003B4236" w:rsidP="00AA65AD">
      <w:pPr>
        <w:jc w:val="left"/>
      </w:pPr>
    </w:p>
    <w:p w:rsidR="007C4ADE" w:rsidRPr="00CA4675" w:rsidRDefault="007C4ADE" w:rsidP="00AA65AD">
      <w:pPr>
        <w:jc w:val="left"/>
      </w:pPr>
    </w:p>
    <w:p w:rsidR="003B4236" w:rsidRPr="00CA4675" w:rsidRDefault="003B4236" w:rsidP="00AA65AD">
      <w:pPr>
        <w:spacing w:line="240" w:lineRule="auto"/>
        <w:jc w:val="left"/>
      </w:pPr>
      <w:r w:rsidRPr="00CA4675">
        <w:t>Dated:</w:t>
      </w:r>
      <w:r w:rsidRPr="00CA4675">
        <w:tab/>
      </w:r>
      <w:r w:rsidR="008303B4" w:rsidRPr="00CA4675">
        <w:rPr>
          <w:u w:val="single"/>
        </w:rPr>
        <w:t>January 13, 2014</w:t>
      </w:r>
      <w:r w:rsidR="008303B4" w:rsidRPr="00CA4675">
        <w:tab/>
      </w:r>
      <w:r w:rsidRPr="00CA4675">
        <w:tab/>
      </w:r>
      <w:r w:rsidRPr="00CA4675">
        <w:tab/>
      </w:r>
      <w:r w:rsidRPr="00CA4675">
        <w:tab/>
      </w:r>
      <w:r w:rsidR="00930855">
        <w:rPr>
          <w:u w:val="single"/>
        </w:rPr>
        <w:tab/>
        <w:t>/s/</w:t>
      </w:r>
      <w:r w:rsidR="00930855">
        <w:rPr>
          <w:u w:val="single"/>
        </w:rPr>
        <w:tab/>
      </w:r>
      <w:r w:rsidR="00930855">
        <w:rPr>
          <w:u w:val="single"/>
        </w:rPr>
        <w:tab/>
      </w:r>
      <w:r w:rsidR="00930855">
        <w:rPr>
          <w:u w:val="single"/>
        </w:rPr>
        <w:tab/>
      </w:r>
      <w:r w:rsidR="00930855">
        <w:rPr>
          <w:u w:val="single"/>
        </w:rPr>
        <w:tab/>
      </w:r>
      <w:r w:rsidR="00930855">
        <w:rPr>
          <w:u w:val="single"/>
        </w:rPr>
        <w:tab/>
      </w:r>
      <w:r w:rsidRPr="00CA4675">
        <w:tab/>
      </w:r>
      <w:r w:rsidRPr="00CA4675">
        <w:tab/>
      </w:r>
      <w:r w:rsidRPr="00CA4675">
        <w:tab/>
      </w:r>
      <w:r w:rsidRPr="00CA4675">
        <w:tab/>
      </w:r>
      <w:r w:rsidRPr="00CA4675">
        <w:tab/>
      </w:r>
      <w:r w:rsidRPr="00CA4675">
        <w:tab/>
      </w:r>
      <w:r w:rsidRPr="00CA4675">
        <w:tab/>
        <w:t>Susan D. Colwell</w:t>
      </w:r>
    </w:p>
    <w:p w:rsidR="003B4236" w:rsidRPr="00CA4675" w:rsidRDefault="003B4236" w:rsidP="00AA65AD">
      <w:pPr>
        <w:spacing w:line="240" w:lineRule="auto"/>
        <w:jc w:val="left"/>
      </w:pPr>
      <w:r w:rsidRPr="00CA4675">
        <w:tab/>
      </w:r>
      <w:r w:rsidRPr="00CA4675">
        <w:tab/>
      </w:r>
      <w:r w:rsidRPr="00CA4675">
        <w:tab/>
      </w:r>
      <w:r w:rsidRPr="00CA4675">
        <w:tab/>
      </w:r>
      <w:r w:rsidRPr="00CA4675">
        <w:tab/>
      </w:r>
      <w:r w:rsidRPr="00CA4675">
        <w:tab/>
      </w:r>
      <w:r w:rsidRPr="00CA4675">
        <w:tab/>
        <w:t>Administrative Law Judge</w:t>
      </w:r>
      <w:r w:rsidRPr="00CA4675">
        <w:tab/>
      </w:r>
    </w:p>
    <w:sectPr w:rsidR="003B4236" w:rsidRPr="00CA4675" w:rsidSect="003B4236">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9D5" w:rsidRDefault="00CB29D5" w:rsidP="00AF3C09">
      <w:pPr>
        <w:spacing w:line="240" w:lineRule="auto"/>
      </w:pPr>
      <w:r>
        <w:separator/>
      </w:r>
    </w:p>
  </w:endnote>
  <w:endnote w:type="continuationSeparator" w:id="0">
    <w:p w:rsidR="00CB29D5" w:rsidRDefault="00CB29D5" w:rsidP="00AF3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4563791"/>
      <w:docPartObj>
        <w:docPartGallery w:val="Page Numbers (Bottom of Page)"/>
        <w:docPartUnique/>
      </w:docPartObj>
    </w:sdtPr>
    <w:sdtEndPr>
      <w:rPr>
        <w:noProof/>
        <w:sz w:val="20"/>
        <w:szCs w:val="20"/>
      </w:rPr>
    </w:sdtEndPr>
    <w:sdtContent>
      <w:p w:rsidR="003B4236" w:rsidRPr="00BD260C" w:rsidRDefault="008303B4" w:rsidP="00BD260C">
        <w:pPr>
          <w:pStyle w:val="Footer"/>
          <w:rPr>
            <w:sz w:val="20"/>
            <w:szCs w:val="20"/>
          </w:rPr>
        </w:pPr>
        <w:r w:rsidRPr="00BD260C">
          <w:rPr>
            <w:sz w:val="20"/>
            <w:szCs w:val="20"/>
          </w:rPr>
          <w:fldChar w:fldCharType="begin"/>
        </w:r>
        <w:r w:rsidRPr="00BD260C">
          <w:rPr>
            <w:sz w:val="20"/>
            <w:szCs w:val="20"/>
          </w:rPr>
          <w:instrText xml:space="preserve"> PAGE   \* MERGEFORMAT </w:instrText>
        </w:r>
        <w:r w:rsidRPr="00BD260C">
          <w:rPr>
            <w:sz w:val="20"/>
            <w:szCs w:val="20"/>
          </w:rPr>
          <w:fldChar w:fldCharType="separate"/>
        </w:r>
        <w:r w:rsidR="00930855">
          <w:rPr>
            <w:noProof/>
            <w:sz w:val="20"/>
            <w:szCs w:val="20"/>
          </w:rPr>
          <w:t>15</w:t>
        </w:r>
        <w:r w:rsidRPr="00BD260C">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9D5" w:rsidRDefault="00CB29D5" w:rsidP="003971B4">
      <w:pPr>
        <w:spacing w:line="240" w:lineRule="auto"/>
        <w:jc w:val="left"/>
      </w:pPr>
      <w:r>
        <w:separator/>
      </w:r>
    </w:p>
  </w:footnote>
  <w:footnote w:type="continuationSeparator" w:id="0">
    <w:p w:rsidR="00CB29D5" w:rsidRDefault="00CB29D5" w:rsidP="00AF3C09">
      <w:pPr>
        <w:spacing w:line="240" w:lineRule="auto"/>
      </w:pPr>
      <w:r>
        <w:continuationSeparator/>
      </w:r>
    </w:p>
  </w:footnote>
  <w:footnote w:id="1">
    <w:p w:rsidR="00AF3C09" w:rsidRDefault="00AF3C09" w:rsidP="00AF3C09">
      <w:pPr>
        <w:pStyle w:val="FootnoteText"/>
      </w:pPr>
      <w:r>
        <w:rPr>
          <w:rStyle w:val="FootnoteReference"/>
        </w:rPr>
        <w:footnoteRef/>
      </w:r>
      <w:r>
        <w:tab/>
        <w:t>See, 66 Pa.C.S.A. §§ 332(a), 315.</w:t>
      </w:r>
    </w:p>
    <w:p w:rsidR="00A62B00" w:rsidRDefault="00A62B00" w:rsidP="00AF3C09">
      <w:pPr>
        <w:pStyle w:val="FootnoteText"/>
      </w:pPr>
    </w:p>
  </w:footnote>
  <w:footnote w:id="2">
    <w:p w:rsidR="008303B4" w:rsidRDefault="008303B4" w:rsidP="008303B4">
      <w:pPr>
        <w:pStyle w:val="FootnoteText"/>
        <w:jc w:val="both"/>
      </w:pPr>
      <w:r>
        <w:rPr>
          <w:rStyle w:val="FootnoteReference"/>
        </w:rPr>
        <w:footnoteRef/>
      </w:r>
      <w:r>
        <w:t xml:space="preserve"> </w:t>
      </w:r>
      <w:r w:rsidR="00A62B00">
        <w:tab/>
      </w:r>
      <w:r>
        <w:t>Civil penalties imposed by the Commission must be paid into the Commonwealth of Pennsylvania's General Fund and not to individuals involved in the litigation.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578E9"/>
    <w:multiLevelType w:val="hybridMultilevel"/>
    <w:tmpl w:val="1FCC4B32"/>
    <w:lvl w:ilvl="0" w:tplc="CEE26A58">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nsid w:val="094B3D1A"/>
    <w:multiLevelType w:val="hybridMultilevel"/>
    <w:tmpl w:val="7C4039B0"/>
    <w:lvl w:ilvl="0" w:tplc="CEE26A5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52AD05E8"/>
    <w:multiLevelType w:val="hybridMultilevel"/>
    <w:tmpl w:val="A88EC4FE"/>
    <w:lvl w:ilvl="0" w:tplc="DEBEAAB8">
      <w:start w:val="1"/>
      <w:numFmt w:val="decimal"/>
      <w:lvlText w:val="(%1)"/>
      <w:lvlJc w:val="left"/>
      <w:pPr>
        <w:ind w:left="2025" w:hanging="405"/>
      </w:pPr>
      <w:rPr>
        <w:rFonts w:hint="default"/>
        <w:b/>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nsid w:val="67434F73"/>
    <w:multiLevelType w:val="hybridMultilevel"/>
    <w:tmpl w:val="8C9CAE3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77195902"/>
    <w:multiLevelType w:val="hybridMultilevel"/>
    <w:tmpl w:val="DC2E49E8"/>
    <w:lvl w:ilvl="0" w:tplc="DEBEAAB8">
      <w:start w:val="1"/>
      <w:numFmt w:val="decimal"/>
      <w:lvlText w:val="(%1)"/>
      <w:lvlJc w:val="left"/>
      <w:pPr>
        <w:ind w:left="2340" w:hanging="360"/>
      </w:pPr>
      <w:rPr>
        <w:rFonts w:hint="default"/>
        <w:b/>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B04"/>
    <w:rsid w:val="00001E3A"/>
    <w:rsid w:val="00001EF6"/>
    <w:rsid w:val="0000283E"/>
    <w:rsid w:val="000028EA"/>
    <w:rsid w:val="00003D11"/>
    <w:rsid w:val="00004AA3"/>
    <w:rsid w:val="00005558"/>
    <w:rsid w:val="000079FE"/>
    <w:rsid w:val="00012104"/>
    <w:rsid w:val="00012655"/>
    <w:rsid w:val="0001305A"/>
    <w:rsid w:val="00016E55"/>
    <w:rsid w:val="000175DE"/>
    <w:rsid w:val="0002023D"/>
    <w:rsid w:val="00020760"/>
    <w:rsid w:val="0002105C"/>
    <w:rsid w:val="0002110E"/>
    <w:rsid w:val="00022B3F"/>
    <w:rsid w:val="00024F51"/>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990"/>
    <w:rsid w:val="000A4E7A"/>
    <w:rsid w:val="000A5169"/>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0EE6"/>
    <w:rsid w:val="000D29BA"/>
    <w:rsid w:val="000D3E49"/>
    <w:rsid w:val="000D5763"/>
    <w:rsid w:val="000E2F36"/>
    <w:rsid w:val="000E44C4"/>
    <w:rsid w:val="000E49E6"/>
    <w:rsid w:val="000E4A42"/>
    <w:rsid w:val="000E503F"/>
    <w:rsid w:val="000E6488"/>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07941"/>
    <w:rsid w:val="00113B1B"/>
    <w:rsid w:val="001155EF"/>
    <w:rsid w:val="00115BB6"/>
    <w:rsid w:val="00116578"/>
    <w:rsid w:val="001170B8"/>
    <w:rsid w:val="0012035F"/>
    <w:rsid w:val="00120D02"/>
    <w:rsid w:val="00120DE8"/>
    <w:rsid w:val="00121291"/>
    <w:rsid w:val="001219A5"/>
    <w:rsid w:val="00121E2D"/>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44BE"/>
    <w:rsid w:val="00205C33"/>
    <w:rsid w:val="0021162B"/>
    <w:rsid w:val="002125E4"/>
    <w:rsid w:val="002131B7"/>
    <w:rsid w:val="00214E49"/>
    <w:rsid w:val="00215381"/>
    <w:rsid w:val="00215603"/>
    <w:rsid w:val="00215BA6"/>
    <w:rsid w:val="002163B7"/>
    <w:rsid w:val="00216C32"/>
    <w:rsid w:val="00216F76"/>
    <w:rsid w:val="0021750E"/>
    <w:rsid w:val="002178EA"/>
    <w:rsid w:val="0022017F"/>
    <w:rsid w:val="002205EC"/>
    <w:rsid w:val="00220D97"/>
    <w:rsid w:val="00221A88"/>
    <w:rsid w:val="00223621"/>
    <w:rsid w:val="00223784"/>
    <w:rsid w:val="002241D0"/>
    <w:rsid w:val="00224756"/>
    <w:rsid w:val="0022478F"/>
    <w:rsid w:val="00227A4A"/>
    <w:rsid w:val="00230CC6"/>
    <w:rsid w:val="002337D7"/>
    <w:rsid w:val="00234DEB"/>
    <w:rsid w:val="0023584A"/>
    <w:rsid w:val="002363AE"/>
    <w:rsid w:val="00236C44"/>
    <w:rsid w:val="00240343"/>
    <w:rsid w:val="002403E6"/>
    <w:rsid w:val="002422D0"/>
    <w:rsid w:val="00245181"/>
    <w:rsid w:val="002451F7"/>
    <w:rsid w:val="002455CC"/>
    <w:rsid w:val="00246523"/>
    <w:rsid w:val="0024777B"/>
    <w:rsid w:val="00247CE0"/>
    <w:rsid w:val="002502F2"/>
    <w:rsid w:val="00250571"/>
    <w:rsid w:val="00251E5A"/>
    <w:rsid w:val="00252944"/>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0C1"/>
    <w:rsid w:val="002748C2"/>
    <w:rsid w:val="002752C3"/>
    <w:rsid w:val="00275659"/>
    <w:rsid w:val="002761E2"/>
    <w:rsid w:val="00277591"/>
    <w:rsid w:val="00283282"/>
    <w:rsid w:val="00284760"/>
    <w:rsid w:val="00286A34"/>
    <w:rsid w:val="002871C2"/>
    <w:rsid w:val="00287316"/>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A5F"/>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09F8"/>
    <w:rsid w:val="00381B05"/>
    <w:rsid w:val="00383321"/>
    <w:rsid w:val="00385BF0"/>
    <w:rsid w:val="00385DAD"/>
    <w:rsid w:val="00386626"/>
    <w:rsid w:val="003908D7"/>
    <w:rsid w:val="00390929"/>
    <w:rsid w:val="00390BF8"/>
    <w:rsid w:val="00390DBB"/>
    <w:rsid w:val="00391CFF"/>
    <w:rsid w:val="003924CC"/>
    <w:rsid w:val="00396333"/>
    <w:rsid w:val="00396ADD"/>
    <w:rsid w:val="0039716B"/>
    <w:rsid w:val="003971B4"/>
    <w:rsid w:val="003A0B9C"/>
    <w:rsid w:val="003A0E5A"/>
    <w:rsid w:val="003A0F8D"/>
    <w:rsid w:val="003A5E83"/>
    <w:rsid w:val="003A645E"/>
    <w:rsid w:val="003A68C9"/>
    <w:rsid w:val="003A6A5F"/>
    <w:rsid w:val="003A7581"/>
    <w:rsid w:val="003B2E77"/>
    <w:rsid w:val="003B3FDD"/>
    <w:rsid w:val="003B4236"/>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10D0"/>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05B7"/>
    <w:rsid w:val="004A11A6"/>
    <w:rsid w:val="004A1729"/>
    <w:rsid w:val="004A21F4"/>
    <w:rsid w:val="004A3363"/>
    <w:rsid w:val="004A4B6C"/>
    <w:rsid w:val="004A5318"/>
    <w:rsid w:val="004A5D57"/>
    <w:rsid w:val="004A741E"/>
    <w:rsid w:val="004B0204"/>
    <w:rsid w:val="004B0321"/>
    <w:rsid w:val="004B1ADE"/>
    <w:rsid w:val="004B2625"/>
    <w:rsid w:val="004B570B"/>
    <w:rsid w:val="004B652A"/>
    <w:rsid w:val="004B7DB2"/>
    <w:rsid w:val="004C015B"/>
    <w:rsid w:val="004C125D"/>
    <w:rsid w:val="004C1ABF"/>
    <w:rsid w:val="004C30D2"/>
    <w:rsid w:val="004C3AE2"/>
    <w:rsid w:val="004C46B8"/>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38D6"/>
    <w:rsid w:val="004E429F"/>
    <w:rsid w:val="004E60E4"/>
    <w:rsid w:val="004F160A"/>
    <w:rsid w:val="004F2F62"/>
    <w:rsid w:val="004F37CB"/>
    <w:rsid w:val="004F45CA"/>
    <w:rsid w:val="004F5216"/>
    <w:rsid w:val="004F616B"/>
    <w:rsid w:val="004F64E4"/>
    <w:rsid w:val="00500A53"/>
    <w:rsid w:val="00502C7A"/>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328C"/>
    <w:rsid w:val="005449AC"/>
    <w:rsid w:val="00544A16"/>
    <w:rsid w:val="005472EC"/>
    <w:rsid w:val="00547C82"/>
    <w:rsid w:val="0055122B"/>
    <w:rsid w:val="0055136E"/>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97CFA"/>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5B8D"/>
    <w:rsid w:val="005D6E32"/>
    <w:rsid w:val="005E06D4"/>
    <w:rsid w:val="005E1521"/>
    <w:rsid w:val="005E3768"/>
    <w:rsid w:val="005E448D"/>
    <w:rsid w:val="005F064D"/>
    <w:rsid w:val="005F512E"/>
    <w:rsid w:val="005F5989"/>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168D8"/>
    <w:rsid w:val="00620850"/>
    <w:rsid w:val="00620DB5"/>
    <w:rsid w:val="0062124B"/>
    <w:rsid w:val="00621A59"/>
    <w:rsid w:val="0062201A"/>
    <w:rsid w:val="006225AC"/>
    <w:rsid w:val="006230A9"/>
    <w:rsid w:val="00623799"/>
    <w:rsid w:val="00624D32"/>
    <w:rsid w:val="006273ED"/>
    <w:rsid w:val="00627EF4"/>
    <w:rsid w:val="00630C84"/>
    <w:rsid w:val="0063256A"/>
    <w:rsid w:val="006326D0"/>
    <w:rsid w:val="006332BA"/>
    <w:rsid w:val="00634EB5"/>
    <w:rsid w:val="0063516D"/>
    <w:rsid w:val="00635AE1"/>
    <w:rsid w:val="00635DA6"/>
    <w:rsid w:val="006416B8"/>
    <w:rsid w:val="0064349A"/>
    <w:rsid w:val="00643E46"/>
    <w:rsid w:val="00644ABA"/>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3F74"/>
    <w:rsid w:val="006764EA"/>
    <w:rsid w:val="00677DDE"/>
    <w:rsid w:val="006803B0"/>
    <w:rsid w:val="00680B65"/>
    <w:rsid w:val="00681287"/>
    <w:rsid w:val="006815A6"/>
    <w:rsid w:val="00681FD9"/>
    <w:rsid w:val="0068285E"/>
    <w:rsid w:val="006834B6"/>
    <w:rsid w:val="00684EF6"/>
    <w:rsid w:val="006856E2"/>
    <w:rsid w:val="006869FE"/>
    <w:rsid w:val="00686ED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2083"/>
    <w:rsid w:val="007631D1"/>
    <w:rsid w:val="007635AC"/>
    <w:rsid w:val="00772458"/>
    <w:rsid w:val="00775812"/>
    <w:rsid w:val="00781AFB"/>
    <w:rsid w:val="00782461"/>
    <w:rsid w:val="0078261F"/>
    <w:rsid w:val="007833DA"/>
    <w:rsid w:val="00783492"/>
    <w:rsid w:val="00784522"/>
    <w:rsid w:val="0078470A"/>
    <w:rsid w:val="00784C15"/>
    <w:rsid w:val="0078583D"/>
    <w:rsid w:val="007858A5"/>
    <w:rsid w:val="00785939"/>
    <w:rsid w:val="00785D73"/>
    <w:rsid w:val="00786FA8"/>
    <w:rsid w:val="00787AF1"/>
    <w:rsid w:val="0079132B"/>
    <w:rsid w:val="0079360E"/>
    <w:rsid w:val="00795245"/>
    <w:rsid w:val="007958C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4ADE"/>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3B4"/>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3952"/>
    <w:rsid w:val="008B456E"/>
    <w:rsid w:val="008B51B9"/>
    <w:rsid w:val="008B5BC6"/>
    <w:rsid w:val="008B6119"/>
    <w:rsid w:val="008B62FA"/>
    <w:rsid w:val="008B6820"/>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69C2"/>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6EC"/>
    <w:rsid w:val="00916C5E"/>
    <w:rsid w:val="00920088"/>
    <w:rsid w:val="00922DF5"/>
    <w:rsid w:val="00923349"/>
    <w:rsid w:val="00923CE8"/>
    <w:rsid w:val="009252D3"/>
    <w:rsid w:val="00926002"/>
    <w:rsid w:val="00927E22"/>
    <w:rsid w:val="00930061"/>
    <w:rsid w:val="00930855"/>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5DF6"/>
    <w:rsid w:val="00956E7E"/>
    <w:rsid w:val="00962048"/>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10B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5BD"/>
    <w:rsid w:val="009D5B63"/>
    <w:rsid w:val="009D6C48"/>
    <w:rsid w:val="009E1679"/>
    <w:rsid w:val="009E1BE9"/>
    <w:rsid w:val="009E2348"/>
    <w:rsid w:val="009E239E"/>
    <w:rsid w:val="009E271D"/>
    <w:rsid w:val="009E362F"/>
    <w:rsid w:val="009E40DF"/>
    <w:rsid w:val="009E59CA"/>
    <w:rsid w:val="009E7DEC"/>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2B00"/>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073"/>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65AD"/>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C09"/>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6B85"/>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4E1A"/>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189"/>
    <w:rsid w:val="00B773AD"/>
    <w:rsid w:val="00B774F6"/>
    <w:rsid w:val="00B778CB"/>
    <w:rsid w:val="00B809D9"/>
    <w:rsid w:val="00B8168B"/>
    <w:rsid w:val="00B824F8"/>
    <w:rsid w:val="00B8362D"/>
    <w:rsid w:val="00B8368B"/>
    <w:rsid w:val="00B83A9E"/>
    <w:rsid w:val="00B86F52"/>
    <w:rsid w:val="00B878F5"/>
    <w:rsid w:val="00B87E6C"/>
    <w:rsid w:val="00B91893"/>
    <w:rsid w:val="00B926BD"/>
    <w:rsid w:val="00B92DE8"/>
    <w:rsid w:val="00B93D8F"/>
    <w:rsid w:val="00B95E16"/>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260C"/>
    <w:rsid w:val="00BD40BC"/>
    <w:rsid w:val="00BD6234"/>
    <w:rsid w:val="00BE0437"/>
    <w:rsid w:val="00BE04F6"/>
    <w:rsid w:val="00BE107D"/>
    <w:rsid w:val="00BE2D6C"/>
    <w:rsid w:val="00BE4C2B"/>
    <w:rsid w:val="00BE52CA"/>
    <w:rsid w:val="00BE5D1C"/>
    <w:rsid w:val="00BE701E"/>
    <w:rsid w:val="00BE7640"/>
    <w:rsid w:val="00BF0242"/>
    <w:rsid w:val="00BF0AE5"/>
    <w:rsid w:val="00BF0EF4"/>
    <w:rsid w:val="00BF144D"/>
    <w:rsid w:val="00BF214A"/>
    <w:rsid w:val="00BF377B"/>
    <w:rsid w:val="00BF3E1B"/>
    <w:rsid w:val="00BF635B"/>
    <w:rsid w:val="00BF7D51"/>
    <w:rsid w:val="00C00699"/>
    <w:rsid w:val="00C01975"/>
    <w:rsid w:val="00C01D56"/>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675"/>
    <w:rsid w:val="00CA4F28"/>
    <w:rsid w:val="00CA7388"/>
    <w:rsid w:val="00CA7843"/>
    <w:rsid w:val="00CA78AC"/>
    <w:rsid w:val="00CB067C"/>
    <w:rsid w:val="00CB15CA"/>
    <w:rsid w:val="00CB26B3"/>
    <w:rsid w:val="00CB29D5"/>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1785A"/>
    <w:rsid w:val="00D20532"/>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D9A"/>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3ACB"/>
    <w:rsid w:val="00DD50B5"/>
    <w:rsid w:val="00DD5275"/>
    <w:rsid w:val="00DD5F86"/>
    <w:rsid w:val="00DD6047"/>
    <w:rsid w:val="00DD7205"/>
    <w:rsid w:val="00DD771A"/>
    <w:rsid w:val="00DD7F78"/>
    <w:rsid w:val="00DE19A4"/>
    <w:rsid w:val="00DE262A"/>
    <w:rsid w:val="00DE2759"/>
    <w:rsid w:val="00DE2977"/>
    <w:rsid w:val="00DE4037"/>
    <w:rsid w:val="00DE43F4"/>
    <w:rsid w:val="00DE466B"/>
    <w:rsid w:val="00DE4A72"/>
    <w:rsid w:val="00DE5D8B"/>
    <w:rsid w:val="00DE7607"/>
    <w:rsid w:val="00DE761A"/>
    <w:rsid w:val="00DF2338"/>
    <w:rsid w:val="00DF2B0D"/>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262"/>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0A6F"/>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3C2"/>
    <w:rsid w:val="00E7774D"/>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276"/>
    <w:rsid w:val="00EB0757"/>
    <w:rsid w:val="00EB3C74"/>
    <w:rsid w:val="00EB5926"/>
    <w:rsid w:val="00EB5D98"/>
    <w:rsid w:val="00EB7A35"/>
    <w:rsid w:val="00EC027A"/>
    <w:rsid w:val="00EC05B4"/>
    <w:rsid w:val="00EC074E"/>
    <w:rsid w:val="00EC0B10"/>
    <w:rsid w:val="00EC3039"/>
    <w:rsid w:val="00EC33EA"/>
    <w:rsid w:val="00EC41C2"/>
    <w:rsid w:val="00EC4DB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4CB"/>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2B84"/>
    <w:rsid w:val="00F14B04"/>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3037"/>
    <w:rsid w:val="00F6434A"/>
    <w:rsid w:val="00F70887"/>
    <w:rsid w:val="00F70A7D"/>
    <w:rsid w:val="00F7458E"/>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semiHidden/>
    <w:rsid w:val="00AF3C09"/>
    <w:pPr>
      <w:autoSpaceDE w:val="0"/>
      <w:autoSpaceDN w:val="0"/>
      <w:spacing w:line="240" w:lineRule="auto"/>
      <w:jc w:val="left"/>
    </w:pPr>
    <w:rPr>
      <w:rFonts w:eastAsia="Times New Roman"/>
      <w:sz w:val="20"/>
      <w:szCs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semiHidden/>
    <w:rsid w:val="00AF3C09"/>
    <w:rPr>
      <w:rFonts w:eastAsia="Times New Roman"/>
      <w:sz w:val="20"/>
      <w:szCs w:val="20"/>
    </w:rPr>
  </w:style>
  <w:style w:type="character" w:styleId="FootnoteReference">
    <w:name w:val="footnote reference"/>
    <w:aliases w:val="o,fr"/>
    <w:basedOn w:val="DefaultParagraphFont"/>
    <w:semiHidden/>
    <w:rsid w:val="00AF3C09"/>
    <w:rPr>
      <w:vertAlign w:val="superscript"/>
    </w:rPr>
  </w:style>
  <w:style w:type="paragraph" w:styleId="Header">
    <w:name w:val="header"/>
    <w:basedOn w:val="Normal"/>
    <w:link w:val="HeaderChar"/>
    <w:uiPriority w:val="99"/>
    <w:unhideWhenUsed/>
    <w:rsid w:val="003B4236"/>
    <w:pPr>
      <w:tabs>
        <w:tab w:val="center" w:pos="4680"/>
        <w:tab w:val="right" w:pos="9360"/>
      </w:tabs>
      <w:spacing w:line="240" w:lineRule="auto"/>
    </w:pPr>
  </w:style>
  <w:style w:type="character" w:customStyle="1" w:styleId="HeaderChar">
    <w:name w:val="Header Char"/>
    <w:basedOn w:val="DefaultParagraphFont"/>
    <w:link w:val="Header"/>
    <w:uiPriority w:val="99"/>
    <w:rsid w:val="003B4236"/>
  </w:style>
  <w:style w:type="paragraph" w:styleId="Footer">
    <w:name w:val="footer"/>
    <w:basedOn w:val="Normal"/>
    <w:link w:val="FooterChar"/>
    <w:uiPriority w:val="99"/>
    <w:unhideWhenUsed/>
    <w:rsid w:val="003B4236"/>
    <w:pPr>
      <w:tabs>
        <w:tab w:val="center" w:pos="4680"/>
        <w:tab w:val="right" w:pos="9360"/>
      </w:tabs>
      <w:spacing w:line="240" w:lineRule="auto"/>
    </w:pPr>
  </w:style>
  <w:style w:type="character" w:customStyle="1" w:styleId="FooterChar">
    <w:name w:val="Footer Char"/>
    <w:basedOn w:val="DefaultParagraphFont"/>
    <w:link w:val="Footer"/>
    <w:uiPriority w:val="99"/>
    <w:rsid w:val="003B4236"/>
  </w:style>
  <w:style w:type="paragraph" w:styleId="BalloonText">
    <w:name w:val="Balloon Text"/>
    <w:basedOn w:val="Normal"/>
    <w:link w:val="BalloonTextChar"/>
    <w:uiPriority w:val="99"/>
    <w:semiHidden/>
    <w:unhideWhenUsed/>
    <w:rsid w:val="009D55B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5BD"/>
    <w:rPr>
      <w:rFonts w:ascii="Tahoma" w:hAnsi="Tahoma" w:cs="Tahoma"/>
      <w:sz w:val="16"/>
      <w:szCs w:val="16"/>
    </w:rPr>
  </w:style>
  <w:style w:type="paragraph" w:styleId="ListParagraph">
    <w:name w:val="List Paragraph"/>
    <w:basedOn w:val="Normal"/>
    <w:uiPriority w:val="34"/>
    <w:qFormat/>
    <w:rsid w:val="00597C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semiHidden/>
    <w:rsid w:val="00AF3C09"/>
    <w:pPr>
      <w:autoSpaceDE w:val="0"/>
      <w:autoSpaceDN w:val="0"/>
      <w:spacing w:line="240" w:lineRule="auto"/>
      <w:jc w:val="left"/>
    </w:pPr>
    <w:rPr>
      <w:rFonts w:eastAsia="Times New Roman"/>
      <w:sz w:val="20"/>
      <w:szCs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semiHidden/>
    <w:rsid w:val="00AF3C09"/>
    <w:rPr>
      <w:rFonts w:eastAsia="Times New Roman"/>
      <w:sz w:val="20"/>
      <w:szCs w:val="20"/>
    </w:rPr>
  </w:style>
  <w:style w:type="character" w:styleId="FootnoteReference">
    <w:name w:val="footnote reference"/>
    <w:aliases w:val="o,fr"/>
    <w:basedOn w:val="DefaultParagraphFont"/>
    <w:semiHidden/>
    <w:rsid w:val="00AF3C09"/>
    <w:rPr>
      <w:vertAlign w:val="superscript"/>
    </w:rPr>
  </w:style>
  <w:style w:type="paragraph" w:styleId="Header">
    <w:name w:val="header"/>
    <w:basedOn w:val="Normal"/>
    <w:link w:val="HeaderChar"/>
    <w:uiPriority w:val="99"/>
    <w:unhideWhenUsed/>
    <w:rsid w:val="003B4236"/>
    <w:pPr>
      <w:tabs>
        <w:tab w:val="center" w:pos="4680"/>
        <w:tab w:val="right" w:pos="9360"/>
      </w:tabs>
      <w:spacing w:line="240" w:lineRule="auto"/>
    </w:pPr>
  </w:style>
  <w:style w:type="character" w:customStyle="1" w:styleId="HeaderChar">
    <w:name w:val="Header Char"/>
    <w:basedOn w:val="DefaultParagraphFont"/>
    <w:link w:val="Header"/>
    <w:uiPriority w:val="99"/>
    <w:rsid w:val="003B4236"/>
  </w:style>
  <w:style w:type="paragraph" w:styleId="Footer">
    <w:name w:val="footer"/>
    <w:basedOn w:val="Normal"/>
    <w:link w:val="FooterChar"/>
    <w:uiPriority w:val="99"/>
    <w:unhideWhenUsed/>
    <w:rsid w:val="003B4236"/>
    <w:pPr>
      <w:tabs>
        <w:tab w:val="center" w:pos="4680"/>
        <w:tab w:val="right" w:pos="9360"/>
      </w:tabs>
      <w:spacing w:line="240" w:lineRule="auto"/>
    </w:pPr>
  </w:style>
  <w:style w:type="character" w:customStyle="1" w:styleId="FooterChar">
    <w:name w:val="Footer Char"/>
    <w:basedOn w:val="DefaultParagraphFont"/>
    <w:link w:val="Footer"/>
    <w:uiPriority w:val="99"/>
    <w:rsid w:val="003B4236"/>
  </w:style>
  <w:style w:type="paragraph" w:styleId="BalloonText">
    <w:name w:val="Balloon Text"/>
    <w:basedOn w:val="Normal"/>
    <w:link w:val="BalloonTextChar"/>
    <w:uiPriority w:val="99"/>
    <w:semiHidden/>
    <w:unhideWhenUsed/>
    <w:rsid w:val="009D55B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5BD"/>
    <w:rPr>
      <w:rFonts w:ascii="Tahoma" w:hAnsi="Tahoma" w:cs="Tahoma"/>
      <w:sz w:val="16"/>
      <w:szCs w:val="16"/>
    </w:rPr>
  </w:style>
  <w:style w:type="paragraph" w:styleId="ListParagraph">
    <w:name w:val="List Paragraph"/>
    <w:basedOn w:val="Normal"/>
    <w:uiPriority w:val="34"/>
    <w:qFormat/>
    <w:rsid w:val="00597C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92A21-8FD6-4404-BA1C-E55483832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15</Pages>
  <Words>3827</Words>
  <Characters>21820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25596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4</cp:revision>
  <cp:lastPrinted>2014-01-23T15:24:00Z</cp:lastPrinted>
  <dcterms:created xsi:type="dcterms:W3CDTF">2014-01-22T19:14:00Z</dcterms:created>
  <dcterms:modified xsi:type="dcterms:W3CDTF">2014-01-23T15:24:00Z</dcterms:modified>
</cp:coreProperties>
</file>