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43" w:rsidRPr="0002002C" w:rsidRDefault="00DD4443" w:rsidP="00DD4443">
      <w:pPr>
        <w:pStyle w:val="Title"/>
        <w:rPr>
          <w:sz w:val="24"/>
          <w:szCs w:val="24"/>
        </w:rPr>
      </w:pPr>
      <w:r w:rsidRPr="0002002C">
        <w:rPr>
          <w:sz w:val="24"/>
          <w:szCs w:val="24"/>
        </w:rPr>
        <w:t>BEFORE THE</w:t>
      </w:r>
    </w:p>
    <w:p w:rsidR="00DD4443" w:rsidRPr="0002002C" w:rsidRDefault="00DD4443" w:rsidP="00DD4443">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DD4443" w:rsidRDefault="00DD4443" w:rsidP="00804533">
      <w:pPr>
        <w:spacing w:line="240" w:lineRule="auto"/>
        <w:rPr>
          <w:szCs w:val="24"/>
        </w:rPr>
      </w:pPr>
    </w:p>
    <w:p w:rsidR="00DD4443" w:rsidRPr="0002002C" w:rsidRDefault="00DD4443" w:rsidP="00804533">
      <w:pPr>
        <w:spacing w:after="0" w:line="240" w:lineRule="auto"/>
        <w:rPr>
          <w:szCs w:val="24"/>
        </w:rPr>
      </w:pPr>
    </w:p>
    <w:p w:rsidR="00DD4443" w:rsidRPr="0002002C" w:rsidRDefault="00114066" w:rsidP="00114066">
      <w:pPr>
        <w:spacing w:after="0" w:line="240" w:lineRule="auto"/>
        <w:ind w:firstLine="0"/>
        <w:rPr>
          <w:szCs w:val="24"/>
        </w:rPr>
      </w:pPr>
      <w:proofErr w:type="spellStart"/>
      <w:r>
        <w:rPr>
          <w:szCs w:val="24"/>
        </w:rPr>
        <w:t>Phong</w:t>
      </w:r>
      <w:proofErr w:type="spellEnd"/>
      <w:r>
        <w:rPr>
          <w:szCs w:val="24"/>
        </w:rPr>
        <w:t xml:space="preserve"> Hoang</w:t>
      </w:r>
      <w:r>
        <w:rPr>
          <w:szCs w:val="24"/>
        </w:rPr>
        <w:tab/>
      </w:r>
      <w:r w:rsidR="00DD4443" w:rsidRPr="0002002C">
        <w:rPr>
          <w:szCs w:val="24"/>
        </w:rPr>
        <w:tab/>
      </w:r>
      <w:r w:rsidR="00DD4443" w:rsidRPr="0002002C">
        <w:rPr>
          <w:szCs w:val="24"/>
        </w:rPr>
        <w:tab/>
      </w:r>
      <w:r w:rsidR="00DD4443" w:rsidRPr="0002002C">
        <w:rPr>
          <w:szCs w:val="24"/>
        </w:rPr>
        <w:tab/>
      </w:r>
      <w:r w:rsidR="00DD4443" w:rsidRPr="0002002C">
        <w:rPr>
          <w:szCs w:val="24"/>
        </w:rPr>
        <w:tab/>
      </w:r>
      <w:r w:rsidR="00DD4443" w:rsidRPr="0002002C">
        <w:rPr>
          <w:szCs w:val="24"/>
        </w:rPr>
        <w:tab/>
        <w:t>:</w:t>
      </w:r>
    </w:p>
    <w:p w:rsidR="00DD4443" w:rsidRPr="0002002C" w:rsidRDefault="00DD4443" w:rsidP="00114066">
      <w:pPr>
        <w:spacing w:after="0" w:line="240" w:lineRule="auto"/>
        <w:rPr>
          <w:szCs w:val="24"/>
        </w:rPr>
      </w:pPr>
      <w:r w:rsidRPr="0002002C">
        <w:rPr>
          <w:szCs w:val="24"/>
        </w:rPr>
        <w:tab/>
      </w:r>
      <w:r w:rsidRPr="0002002C">
        <w:rPr>
          <w:szCs w:val="24"/>
        </w:rPr>
        <w:tab/>
      </w:r>
      <w:r w:rsidRPr="0002002C">
        <w:rPr>
          <w:szCs w:val="24"/>
        </w:rPr>
        <w:tab/>
      </w:r>
      <w:r w:rsidRPr="0002002C">
        <w:rPr>
          <w:szCs w:val="24"/>
        </w:rPr>
        <w:tab/>
      </w:r>
      <w:r w:rsidRPr="0002002C">
        <w:rPr>
          <w:szCs w:val="24"/>
        </w:rPr>
        <w:tab/>
        <w:t>:</w:t>
      </w:r>
    </w:p>
    <w:p w:rsidR="00DD4443" w:rsidRPr="0002002C" w:rsidRDefault="00DD4443" w:rsidP="00114066">
      <w:pPr>
        <w:spacing w:after="0" w:line="240" w:lineRule="auto"/>
        <w:ind w:firstLine="720"/>
        <w:rPr>
          <w:szCs w:val="24"/>
        </w:rPr>
      </w:pPr>
      <w:r w:rsidRPr="0002002C">
        <w:rPr>
          <w:szCs w:val="24"/>
        </w:rPr>
        <w:t>v.</w:t>
      </w:r>
      <w:r w:rsidRPr="0002002C">
        <w:rPr>
          <w:szCs w:val="24"/>
        </w:rPr>
        <w:tab/>
      </w:r>
      <w:r w:rsidRPr="0002002C">
        <w:rPr>
          <w:szCs w:val="24"/>
        </w:rPr>
        <w:tab/>
      </w:r>
      <w:r w:rsidRPr="0002002C">
        <w:rPr>
          <w:szCs w:val="24"/>
        </w:rPr>
        <w:tab/>
      </w:r>
      <w:r w:rsidRPr="0002002C">
        <w:rPr>
          <w:szCs w:val="24"/>
        </w:rPr>
        <w:tab/>
      </w:r>
      <w:r w:rsidR="00114066">
        <w:rPr>
          <w:szCs w:val="24"/>
        </w:rPr>
        <w:tab/>
      </w:r>
      <w:r w:rsidR="00114066">
        <w:rPr>
          <w:szCs w:val="24"/>
        </w:rPr>
        <w:tab/>
      </w:r>
      <w:r w:rsidRPr="0002002C">
        <w:rPr>
          <w:szCs w:val="24"/>
        </w:rPr>
        <w:t>:</w:t>
      </w:r>
      <w:r w:rsidRPr="0002002C">
        <w:rPr>
          <w:szCs w:val="24"/>
        </w:rPr>
        <w:tab/>
      </w:r>
      <w:r>
        <w:rPr>
          <w:szCs w:val="24"/>
        </w:rPr>
        <w:tab/>
        <w:t>F</w:t>
      </w:r>
      <w:r>
        <w:rPr>
          <w:szCs w:val="24"/>
        </w:rPr>
        <w:noBreakHyphen/>
        <w:t>201</w:t>
      </w:r>
      <w:r w:rsidR="00D46E7A">
        <w:rPr>
          <w:szCs w:val="24"/>
        </w:rPr>
        <w:t>3</w:t>
      </w:r>
      <w:r>
        <w:rPr>
          <w:szCs w:val="24"/>
        </w:rPr>
        <w:noBreakHyphen/>
        <w:t>2</w:t>
      </w:r>
      <w:r w:rsidR="00D46E7A">
        <w:rPr>
          <w:szCs w:val="24"/>
        </w:rPr>
        <w:t>379929</w:t>
      </w:r>
    </w:p>
    <w:p w:rsidR="00DD4443" w:rsidRPr="0002002C" w:rsidRDefault="00114066" w:rsidP="00114066">
      <w:pPr>
        <w:spacing w:after="0" w:line="240" w:lineRule="auto"/>
        <w:rPr>
          <w:szCs w:val="24"/>
        </w:rPr>
      </w:pPr>
      <w:r>
        <w:rPr>
          <w:szCs w:val="24"/>
        </w:rPr>
        <w:tab/>
      </w:r>
      <w:r>
        <w:rPr>
          <w:szCs w:val="24"/>
        </w:rPr>
        <w:tab/>
      </w:r>
      <w:r>
        <w:rPr>
          <w:szCs w:val="24"/>
        </w:rPr>
        <w:tab/>
      </w:r>
      <w:r w:rsidR="00DD4443" w:rsidRPr="0002002C">
        <w:rPr>
          <w:szCs w:val="24"/>
        </w:rPr>
        <w:tab/>
      </w:r>
      <w:r w:rsidR="00DD4443" w:rsidRPr="0002002C">
        <w:rPr>
          <w:szCs w:val="24"/>
        </w:rPr>
        <w:tab/>
        <w:t>:</w:t>
      </w:r>
    </w:p>
    <w:p w:rsidR="00DD4443" w:rsidRPr="0002002C" w:rsidRDefault="00114066" w:rsidP="00804533">
      <w:pPr>
        <w:spacing w:line="240" w:lineRule="auto"/>
        <w:ind w:firstLine="0"/>
        <w:rPr>
          <w:szCs w:val="24"/>
        </w:rPr>
      </w:pPr>
      <w:r>
        <w:rPr>
          <w:szCs w:val="24"/>
        </w:rPr>
        <w:t>PECO Energy</w:t>
      </w:r>
      <w:r w:rsidR="00DD4443">
        <w:rPr>
          <w:szCs w:val="24"/>
        </w:rPr>
        <w:t xml:space="preserve"> Company</w:t>
      </w:r>
      <w:r w:rsidR="00DD4443">
        <w:rPr>
          <w:szCs w:val="24"/>
        </w:rPr>
        <w:tab/>
      </w:r>
      <w:r w:rsidR="00DD4443">
        <w:rPr>
          <w:szCs w:val="24"/>
        </w:rPr>
        <w:tab/>
      </w:r>
      <w:r>
        <w:rPr>
          <w:szCs w:val="24"/>
        </w:rPr>
        <w:tab/>
      </w:r>
      <w:r>
        <w:rPr>
          <w:szCs w:val="24"/>
        </w:rPr>
        <w:tab/>
      </w:r>
      <w:r w:rsidR="00DD4443" w:rsidRPr="0002002C">
        <w:rPr>
          <w:szCs w:val="24"/>
        </w:rPr>
        <w:t>:</w:t>
      </w:r>
    </w:p>
    <w:p w:rsidR="00DD4443" w:rsidRDefault="00DD4443" w:rsidP="00804533">
      <w:pPr>
        <w:spacing w:line="240" w:lineRule="auto"/>
      </w:pPr>
    </w:p>
    <w:p w:rsidR="00804533" w:rsidRDefault="00804533" w:rsidP="00804533">
      <w:pPr>
        <w:spacing w:after="0" w:line="240" w:lineRule="auto"/>
      </w:pPr>
    </w:p>
    <w:p w:rsidR="00FE3B64" w:rsidRDefault="00FE3B64" w:rsidP="00FE3B64">
      <w:pPr>
        <w:spacing w:after="0" w:line="240" w:lineRule="auto"/>
        <w:ind w:firstLine="0"/>
        <w:jc w:val="center"/>
        <w:rPr>
          <w:b/>
          <w:u w:val="single"/>
        </w:rPr>
      </w:pPr>
      <w:r w:rsidRPr="00FE3B64">
        <w:rPr>
          <w:b/>
          <w:u w:val="single"/>
        </w:rPr>
        <w:t>INITIAL DECISION</w:t>
      </w:r>
    </w:p>
    <w:p w:rsidR="00114066" w:rsidRPr="00FE3B64" w:rsidRDefault="00114066" w:rsidP="00FE3B64">
      <w:pPr>
        <w:spacing w:after="0" w:line="240" w:lineRule="auto"/>
        <w:ind w:firstLine="0"/>
        <w:jc w:val="center"/>
        <w:rPr>
          <w:b/>
          <w:u w:val="single"/>
        </w:rPr>
      </w:pPr>
    </w:p>
    <w:p w:rsidR="00FE3B64" w:rsidRPr="00FE3B64" w:rsidRDefault="00FE3B64" w:rsidP="00FE3B64">
      <w:pPr>
        <w:spacing w:after="0" w:line="240" w:lineRule="auto"/>
        <w:ind w:firstLine="0"/>
        <w:jc w:val="center"/>
        <w:rPr>
          <w:b/>
        </w:rPr>
      </w:pPr>
    </w:p>
    <w:p w:rsidR="00FE3B64" w:rsidRPr="00FE3B64" w:rsidRDefault="00FE3B64" w:rsidP="00FE3B64">
      <w:pPr>
        <w:spacing w:after="0" w:line="240" w:lineRule="auto"/>
        <w:ind w:firstLine="0"/>
        <w:jc w:val="center"/>
      </w:pPr>
      <w:r w:rsidRPr="00FE3B64">
        <w:t>Before</w:t>
      </w:r>
    </w:p>
    <w:p w:rsidR="00FE3B64" w:rsidRPr="00FE3B64" w:rsidRDefault="00FE3B64" w:rsidP="00FE3B64">
      <w:pPr>
        <w:spacing w:after="0" w:line="240" w:lineRule="auto"/>
        <w:ind w:firstLine="0"/>
        <w:jc w:val="center"/>
      </w:pPr>
      <w:r w:rsidRPr="00FE3B64">
        <w:t>Mary D. Long</w:t>
      </w:r>
    </w:p>
    <w:p w:rsidR="00FE3B64" w:rsidRPr="00FE3B64" w:rsidRDefault="00FE3B64" w:rsidP="00FE3B64">
      <w:pPr>
        <w:spacing w:after="0" w:line="240" w:lineRule="auto"/>
        <w:ind w:firstLine="0"/>
        <w:jc w:val="center"/>
      </w:pPr>
      <w:r w:rsidRPr="00FE3B64">
        <w:t>Administrative Law Judge</w:t>
      </w:r>
    </w:p>
    <w:p w:rsidR="00FE3B64" w:rsidRDefault="00FE3B64" w:rsidP="00FE3B64">
      <w:pPr>
        <w:ind w:firstLine="0"/>
      </w:pPr>
    </w:p>
    <w:p w:rsidR="00F14166" w:rsidRDefault="00F14166" w:rsidP="00804533">
      <w:pPr>
        <w:spacing w:after="0"/>
        <w:ind w:firstLine="0"/>
        <w:jc w:val="center"/>
        <w:rPr>
          <w:u w:val="single"/>
        </w:rPr>
      </w:pPr>
      <w:r w:rsidRPr="00F14166">
        <w:rPr>
          <w:u w:val="single"/>
        </w:rPr>
        <w:t>SYNOPSIS</w:t>
      </w:r>
    </w:p>
    <w:p w:rsidR="00804533" w:rsidRPr="00F14166" w:rsidRDefault="00804533" w:rsidP="00804533">
      <w:pPr>
        <w:spacing w:after="0"/>
        <w:ind w:firstLine="0"/>
        <w:jc w:val="center"/>
        <w:rPr>
          <w:u w:val="single"/>
        </w:rPr>
      </w:pPr>
    </w:p>
    <w:p w:rsidR="00FE3B64" w:rsidRDefault="00F14166" w:rsidP="006F67EB">
      <w:pPr>
        <w:pStyle w:val="ParaTab1"/>
        <w:spacing w:line="360" w:lineRule="auto"/>
        <w:ind w:firstLine="1354"/>
        <w:rPr>
          <w:rFonts w:ascii="Times New Roman" w:hAnsi="Times New Roman" w:cs="Times New Roman"/>
        </w:rPr>
      </w:pPr>
      <w:r w:rsidRPr="00850E69">
        <w:rPr>
          <w:rFonts w:ascii="Times New Roman" w:hAnsi="Times New Roman" w:cs="Times New Roman"/>
          <w:bCs/>
          <w:spacing w:val="-3"/>
        </w:rPr>
        <w:t>A property owner filed a complaint against the electric utility alleging the utility transferred the account from the tenant to the property owner</w:t>
      </w:r>
      <w:r w:rsidR="00D41602">
        <w:rPr>
          <w:rFonts w:ascii="Times New Roman" w:hAnsi="Times New Roman" w:cs="Times New Roman"/>
          <w:bCs/>
          <w:spacing w:val="-3"/>
        </w:rPr>
        <w:t xml:space="preserve"> due to the discovery of foreign load at the property owner’s rental property</w:t>
      </w:r>
      <w:r w:rsidRPr="00850E69">
        <w:rPr>
          <w:rFonts w:ascii="Times New Roman" w:hAnsi="Times New Roman" w:cs="Times New Roman"/>
          <w:bCs/>
          <w:spacing w:val="-3"/>
        </w:rPr>
        <w:t xml:space="preserve">.  </w:t>
      </w:r>
      <w:r>
        <w:rPr>
          <w:rFonts w:ascii="Times New Roman" w:hAnsi="Times New Roman" w:cs="Times New Roman"/>
          <w:bCs/>
          <w:spacing w:val="-3"/>
        </w:rPr>
        <w:t xml:space="preserve">The property owner asserts that he should not have to pay the tenant’s substantial past due balance which is not related to the foreign wiring.  The property owner requests that </w:t>
      </w:r>
      <w:r w:rsidRPr="00850E69">
        <w:rPr>
          <w:rFonts w:ascii="Times New Roman" w:hAnsi="Times New Roman" w:cs="Times New Roman"/>
          <w:bCs/>
          <w:spacing w:val="-3"/>
        </w:rPr>
        <w:t xml:space="preserve">the utility transfer the account for the rental </w:t>
      </w:r>
      <w:r>
        <w:rPr>
          <w:rFonts w:ascii="Times New Roman" w:hAnsi="Times New Roman" w:cs="Times New Roman"/>
          <w:bCs/>
          <w:spacing w:val="-3"/>
        </w:rPr>
        <w:t xml:space="preserve">property </w:t>
      </w:r>
      <w:r w:rsidRPr="00850E69">
        <w:rPr>
          <w:rFonts w:ascii="Times New Roman" w:hAnsi="Times New Roman" w:cs="Times New Roman"/>
          <w:bCs/>
          <w:spacing w:val="-3"/>
        </w:rPr>
        <w:t xml:space="preserve">back to the tenant.  This decision dismisses the complaint because the utility is </w:t>
      </w:r>
      <w:r w:rsidRPr="00850E69">
        <w:rPr>
          <w:rFonts w:ascii="Times New Roman" w:hAnsi="Times New Roman" w:cs="Times New Roman"/>
        </w:rPr>
        <w:t>complying with relevant Commission statutes, regulations and orders by transferring the account for the rental property to the property owner.</w:t>
      </w:r>
    </w:p>
    <w:p w:rsidR="006F67EB" w:rsidRPr="00F14166" w:rsidRDefault="006F67EB" w:rsidP="006F67EB">
      <w:pPr>
        <w:pStyle w:val="ParaTab1"/>
        <w:spacing w:line="360" w:lineRule="auto"/>
        <w:ind w:firstLine="1354"/>
        <w:rPr>
          <w:rFonts w:ascii="Times New Roman" w:hAnsi="Times New Roman" w:cs="Times New Roman"/>
        </w:rPr>
      </w:pPr>
    </w:p>
    <w:p w:rsidR="00FE3B64" w:rsidRDefault="00FE3B64" w:rsidP="006F67EB">
      <w:pPr>
        <w:spacing w:after="0"/>
        <w:ind w:firstLine="0"/>
        <w:jc w:val="center"/>
        <w:rPr>
          <w:u w:val="single"/>
        </w:rPr>
      </w:pPr>
      <w:r w:rsidRPr="00FE3B64">
        <w:rPr>
          <w:u w:val="single"/>
        </w:rPr>
        <w:t>HISTORY OF THE PROCEEDINGS</w:t>
      </w:r>
    </w:p>
    <w:p w:rsidR="006F67EB" w:rsidRPr="00FE3B64" w:rsidRDefault="006F67EB" w:rsidP="006F67EB">
      <w:pPr>
        <w:spacing w:after="0"/>
        <w:ind w:firstLine="0"/>
        <w:jc w:val="center"/>
        <w:rPr>
          <w:u w:val="single"/>
        </w:rPr>
      </w:pPr>
    </w:p>
    <w:p w:rsidR="00343056" w:rsidRDefault="00773E4A" w:rsidP="006F67EB">
      <w:pPr>
        <w:spacing w:after="0"/>
      </w:pPr>
      <w:r>
        <w:t>Phong Hoang (Complainant), a landlord, filed a formal complaint against PECO Energy Company (PECO) on August 19, 2013.</w:t>
      </w:r>
      <w:r w:rsidR="00D36972">
        <w:rPr>
          <w:rStyle w:val="FootnoteReference"/>
        </w:rPr>
        <w:footnoteReference w:id="1"/>
      </w:r>
      <w:r>
        <w:t xml:space="preserve">  The Complainant contended that</w:t>
      </w:r>
      <w:r w:rsidR="00D41602">
        <w:t xml:space="preserve"> </w:t>
      </w:r>
      <w:r>
        <w:t>he should not be responsible for the entire balance of a tenant’s acc</w:t>
      </w:r>
      <w:r w:rsidR="00D41602">
        <w:t>ount that had been placed in h</w:t>
      </w:r>
      <w:r w:rsidR="00483FA1">
        <w:t>is</w:t>
      </w:r>
      <w:r>
        <w:t xml:space="preserve"> name due </w:t>
      </w:r>
      <w:r>
        <w:lastRenderedPageBreak/>
        <w:t>to the discovery of a foreign load on the rental premises.  PECO filed a timely answer and preliminary objection on August 27, 2013.  PECO seeks dismissal of the complaint because it fails to allege that PECO violated any statutes or rules of the Commission</w:t>
      </w:r>
      <w:r w:rsidR="00D41602">
        <w:t xml:space="preserve">.  According to PECO the complaint is legally insufficient and </w:t>
      </w:r>
      <w:r>
        <w:t xml:space="preserve">fails to state a request for relief which can be granted. </w:t>
      </w:r>
      <w:r w:rsidR="00343056">
        <w:t xml:space="preserve">  The Complainant did not file an answ</w:t>
      </w:r>
      <w:r w:rsidR="00405355">
        <w:t>er to the preliminary objection</w:t>
      </w:r>
      <w:r w:rsidR="00343056">
        <w:t>.</w:t>
      </w:r>
    </w:p>
    <w:p w:rsidR="006F67EB" w:rsidRDefault="006F67EB" w:rsidP="006F67EB">
      <w:pPr>
        <w:spacing w:after="0"/>
      </w:pPr>
    </w:p>
    <w:p w:rsidR="00792796" w:rsidRDefault="009E77A0" w:rsidP="006F67EB">
      <w:pPr>
        <w:spacing w:after="0"/>
      </w:pPr>
      <w:r>
        <w:t xml:space="preserve">This matter was assigned to me for disposition on December 6, 2013. </w:t>
      </w:r>
      <w:r w:rsidR="00773E4A">
        <w:t xml:space="preserve"> As explained in more detail below, the preliminary objection will be sustained and the formal complaint will be dismissed.</w:t>
      </w:r>
    </w:p>
    <w:p w:rsidR="006F67EB" w:rsidRDefault="006F67EB" w:rsidP="006F67EB">
      <w:pPr>
        <w:spacing w:after="0"/>
      </w:pPr>
    </w:p>
    <w:p w:rsidR="009E77A0" w:rsidRDefault="009E77A0" w:rsidP="006F67EB">
      <w:pPr>
        <w:spacing w:after="0"/>
        <w:ind w:firstLine="0"/>
        <w:jc w:val="center"/>
        <w:rPr>
          <w:u w:val="single"/>
        </w:rPr>
      </w:pPr>
      <w:r w:rsidRPr="00B93A7A">
        <w:rPr>
          <w:u w:val="single"/>
        </w:rPr>
        <w:t>DISCUSSION</w:t>
      </w:r>
    </w:p>
    <w:p w:rsidR="006F67EB" w:rsidRPr="00B93A7A" w:rsidRDefault="006F67EB" w:rsidP="006F67EB">
      <w:pPr>
        <w:spacing w:after="0"/>
        <w:ind w:firstLine="0"/>
        <w:jc w:val="center"/>
        <w:rPr>
          <w:u w:val="single"/>
        </w:rPr>
      </w:pPr>
    </w:p>
    <w:p w:rsidR="00AF03F6" w:rsidRDefault="00AF03F6" w:rsidP="00AF03F6">
      <w:r>
        <w:t>Preliminary objections are permitted under Commission regulations.</w:t>
      </w:r>
      <w:r>
        <w:rPr>
          <w:rStyle w:val="FootnoteReference"/>
        </w:rPr>
        <w:footnoteReference w:id="2"/>
      </w:r>
      <w:r>
        <w:t xml:space="preserve">  Commission regulations</w:t>
      </w:r>
      <w:r>
        <w:rPr>
          <w:rStyle w:val="FootnoteReference"/>
        </w:rPr>
        <w:footnoteReference w:id="3"/>
      </w:r>
      <w:r>
        <w:t xml:space="preserve"> provide:</w:t>
      </w:r>
    </w:p>
    <w:p w:rsidR="00AF03F6" w:rsidRDefault="00AF03F6" w:rsidP="007475C4">
      <w:pPr>
        <w:pStyle w:val="Quote"/>
        <w:spacing w:after="240" w:line="360" w:lineRule="auto"/>
        <w:ind w:firstLine="720"/>
      </w:pPr>
      <w:r>
        <w:t xml:space="preserve">§ 5.101.  </w:t>
      </w:r>
      <w:proofErr w:type="gramStart"/>
      <w:r>
        <w:t>Preliminary objections.</w:t>
      </w:r>
      <w:proofErr w:type="gramEnd"/>
    </w:p>
    <w:p w:rsidR="00AF03F6" w:rsidRDefault="00AF03F6" w:rsidP="00AF03F6">
      <w:pPr>
        <w:pStyle w:val="Quote"/>
        <w:spacing w:after="24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F03F6" w:rsidRDefault="00AF03F6" w:rsidP="00AF03F6">
      <w:pPr>
        <w:pStyle w:val="Quote"/>
        <w:ind w:left="1440" w:right="1440"/>
      </w:pPr>
      <w:r>
        <w:tab/>
        <w:t>(1)</w:t>
      </w:r>
      <w:r>
        <w:tab/>
        <w:t>Lack of Commission jurisdiction or improper service of the pleading initiating the proceeding.</w:t>
      </w:r>
    </w:p>
    <w:p w:rsidR="00AF03F6" w:rsidRDefault="00AF03F6" w:rsidP="00AF03F6">
      <w:pPr>
        <w:pStyle w:val="Quote"/>
        <w:ind w:left="1440" w:right="1440"/>
      </w:pPr>
      <w:r>
        <w:tab/>
        <w:t>(2)</w:t>
      </w:r>
      <w:r>
        <w:tab/>
        <w:t>Failure of a pleading to conform to this chapter or the inclusion of scandalous or impertinent matter.</w:t>
      </w:r>
    </w:p>
    <w:p w:rsidR="00AF03F6" w:rsidRDefault="00AF03F6" w:rsidP="00AF03F6">
      <w:pPr>
        <w:pStyle w:val="Quote"/>
        <w:ind w:left="1440" w:right="1440"/>
      </w:pPr>
      <w:r>
        <w:tab/>
        <w:t>(3)</w:t>
      </w:r>
      <w:r>
        <w:tab/>
        <w:t>Insufficient specificity of a pleading.</w:t>
      </w:r>
    </w:p>
    <w:p w:rsidR="00AF03F6" w:rsidRDefault="00AF03F6" w:rsidP="00AF03F6">
      <w:pPr>
        <w:pStyle w:val="Quote"/>
        <w:ind w:left="1440" w:right="1440"/>
      </w:pPr>
      <w:r>
        <w:tab/>
        <w:t>(4)</w:t>
      </w:r>
      <w:r>
        <w:tab/>
        <w:t>Legal insufficiency of a pleading.</w:t>
      </w:r>
    </w:p>
    <w:p w:rsidR="00AF03F6" w:rsidRDefault="00AF03F6" w:rsidP="00AF03F6">
      <w:pPr>
        <w:pStyle w:val="Quote"/>
        <w:ind w:left="1440" w:right="1440"/>
      </w:pPr>
      <w:r>
        <w:tab/>
        <w:t>(5)</w:t>
      </w:r>
      <w:r>
        <w:tab/>
        <w:t>Lack of capacity to sue, nonjoinder of a necessary party or misjoinder of a cause of action.</w:t>
      </w:r>
    </w:p>
    <w:p w:rsidR="00AF03F6" w:rsidRDefault="00AF03F6" w:rsidP="00AF03F6">
      <w:pPr>
        <w:pStyle w:val="Quote"/>
        <w:ind w:left="1440" w:right="1440"/>
      </w:pPr>
      <w:r>
        <w:tab/>
        <w:t>(6)</w:t>
      </w:r>
      <w:r>
        <w:tab/>
        <w:t>Pendency of a prior proceeding or agreement for alternative dispute resolution.</w:t>
      </w:r>
    </w:p>
    <w:p w:rsidR="00AF03F6" w:rsidRDefault="00AF03F6" w:rsidP="00827C2B">
      <w:pPr>
        <w:spacing w:after="0"/>
      </w:pPr>
      <w:r>
        <w:lastRenderedPageBreak/>
        <w:t>Preliminary objection practice before the Commission is similar to Pennsylvania civil practice respecting preliminary objections.</w:t>
      </w:r>
      <w:r>
        <w:rPr>
          <w:rStyle w:val="FootnoteReference"/>
        </w:rPr>
        <w:footnoteReference w:id="4"/>
      </w:r>
      <w:r>
        <w:t xml:space="preserve">  In deciding the preliminary objections, the Commission must determine whether, based on well-pleaded factual averments of the petitioners, recovery or relief is possible.</w:t>
      </w:r>
      <w:r>
        <w:rPr>
          <w:rStyle w:val="FootnoteReference"/>
        </w:rPr>
        <w:footnoteReference w:id="5"/>
      </w:r>
      <w:r>
        <w:t xml:space="preserve">  Any doubt must be resolved in favor of the non-moving party by refusing to sustain the preliminary objections.</w:t>
      </w:r>
      <w:r>
        <w:rPr>
          <w:rStyle w:val="FootnoteReference"/>
        </w:rPr>
        <w:footnoteReference w:id="6"/>
      </w:r>
      <w:r>
        <w:t xml:space="preserve">  All of the non-moving party’s averments in the complaint must be viewed as true for purposes of deciding the preliminary objections, and only those facts specifically admitted may be considered against the non-moving party.</w:t>
      </w:r>
      <w:r>
        <w:rPr>
          <w:rStyle w:val="FootnoteReference"/>
        </w:rPr>
        <w:footnoteReference w:id="7"/>
      </w:r>
      <w:r>
        <w:t xml:space="preserve"> </w:t>
      </w:r>
    </w:p>
    <w:p w:rsidR="00827C2B" w:rsidRDefault="00827C2B" w:rsidP="00827C2B">
      <w:pPr>
        <w:spacing w:after="0"/>
      </w:pPr>
    </w:p>
    <w:p w:rsidR="009E77A0" w:rsidRDefault="00B93A7A" w:rsidP="00827C2B">
      <w:pPr>
        <w:spacing w:after="0"/>
      </w:pPr>
      <w:r>
        <w:t xml:space="preserve">The facts alleged by the Complainant, the non-moving party, are that a foreign load was discovered in the form of an outlet in the hallway on the second floor of the Complainant’s rental unit.  PECO transferred the tenant’s </w:t>
      </w:r>
      <w:r w:rsidR="00B970F3">
        <w:t>account</w:t>
      </w:r>
      <w:r>
        <w:t xml:space="preserve"> to the Complainant even though the tenant</w:t>
      </w:r>
      <w:bookmarkStart w:id="0" w:name="_GoBack"/>
      <w:bookmarkEnd w:id="0"/>
      <w:r>
        <w:t xml:space="preserve"> had not been paying PECO for a long time.  The Complainant states that he is willing to pay a part of the bill related to the outlet in the hallway, but he does not think it is fair that he should pay the full amount because the tenant was not paying the full amount of their bill for months.</w:t>
      </w:r>
    </w:p>
    <w:p w:rsidR="00827C2B" w:rsidRDefault="00827C2B" w:rsidP="00827C2B">
      <w:pPr>
        <w:spacing w:after="0"/>
      </w:pPr>
    </w:p>
    <w:p w:rsidR="00AB3662" w:rsidRDefault="00AB3662" w:rsidP="00827C2B">
      <w:pPr>
        <w:spacing w:after="0"/>
      </w:pPr>
      <w:r>
        <w:t>PECO contends that the complaint fails to allege any violation</w:t>
      </w:r>
      <w:r w:rsidR="00B970F3">
        <w:t xml:space="preserve"> of the law</w:t>
      </w:r>
      <w:r>
        <w:t xml:space="preserve"> on the part of PECO.  Rather, PECO states that upon discovery of the foreign load it was required to transfer the tenant’s balance</w:t>
      </w:r>
      <w:r w:rsidR="0094065C">
        <w:t>, including the arrearages,</w:t>
      </w:r>
      <w:r>
        <w:t xml:space="preserve"> to the Complainant by Section 1529.1 of the Public Utility Code.</w:t>
      </w:r>
      <w:r w:rsidR="00343056">
        <w:t xml:space="preserve">  Therefore, the complaint should be dismissed because it does not allege a violation of law</w:t>
      </w:r>
      <w:r w:rsidR="00B970F3">
        <w:t xml:space="preserve"> and is therefore legally insufficient</w:t>
      </w:r>
      <w:r w:rsidR="00343056">
        <w:t>.</w:t>
      </w:r>
      <w:r w:rsidR="00B970F3">
        <w:rPr>
          <w:rStyle w:val="FootnoteReference"/>
        </w:rPr>
        <w:footnoteReference w:id="8"/>
      </w:r>
    </w:p>
    <w:p w:rsidR="00827C2B" w:rsidRDefault="00827C2B" w:rsidP="00827C2B">
      <w:pPr>
        <w:spacing w:after="0"/>
      </w:pPr>
    </w:p>
    <w:p w:rsidR="004F7E78" w:rsidRDefault="004F7E78" w:rsidP="00AB3662">
      <w:r>
        <w:lastRenderedPageBreak/>
        <w:t>Section 1529.1 of the Public Utility Code requi</w:t>
      </w:r>
      <w:r w:rsidR="00211AD7">
        <w:t>res public utilities to place a utility account in a landlord’s name if a foreign load is discovered.</w:t>
      </w:r>
      <w:r w:rsidR="009E1138">
        <w:rPr>
          <w:rStyle w:val="FootnoteReference"/>
        </w:rPr>
        <w:footnoteReference w:id="9"/>
      </w:r>
      <w:r w:rsidR="00211AD7">
        <w:t xml:space="preserve">  </w:t>
      </w:r>
      <w:r w:rsidR="009E1138">
        <w:t>Recently, the Commission explained the long-standing interpretation of this section which requires</w:t>
      </w:r>
      <w:r w:rsidR="00211AD7">
        <w:t xml:space="preserve"> a landlord </w:t>
      </w:r>
      <w:r w:rsidR="009E1138">
        <w:t>to be</w:t>
      </w:r>
      <w:r w:rsidR="00211AD7">
        <w:t xml:space="preserve"> responsible not only for the current charges, but for any arrearages on the account as well.  This is true, even if the foreign load is simply an outlet or other</w:t>
      </w:r>
      <w:r w:rsidR="009E1138">
        <w:t xml:space="preserve"> so-called</w:t>
      </w:r>
      <w:r w:rsidR="00211AD7">
        <w:t xml:space="preserve"> </w:t>
      </w:r>
      <w:r w:rsidR="00211AD7" w:rsidRPr="00AC6374">
        <w:rPr>
          <w:i/>
        </w:rPr>
        <w:t>de minimis</w:t>
      </w:r>
      <w:r w:rsidR="00211AD7">
        <w:t xml:space="preserve"> load on a rental unit’s meter that is not part of the rental unit:</w:t>
      </w:r>
    </w:p>
    <w:p w:rsidR="006442E8" w:rsidRDefault="006442E8" w:rsidP="00827C2B">
      <w:pPr>
        <w:spacing w:after="0" w:line="240" w:lineRule="auto"/>
        <w:ind w:left="1526" w:right="1440" w:firstLine="634"/>
        <w:rPr>
          <w:szCs w:val="24"/>
        </w:rPr>
      </w:pPr>
      <w:r w:rsidRPr="006442E8">
        <w:rPr>
          <w:szCs w:val="24"/>
        </w:rPr>
        <w:t xml:space="preserve">In interpreting this provision, the Commission has determined that well-established precedent “holds the property owner financially responsible for a tenant’s entire account, once foreign load is verified on the tenant’s service.”  </w:t>
      </w:r>
      <w:r w:rsidRPr="006442E8">
        <w:rPr>
          <w:i/>
          <w:szCs w:val="24"/>
        </w:rPr>
        <w:t>Ace Check Cashing, Inc. v. Philadelphia Gas Works</w:t>
      </w:r>
      <w:r w:rsidRPr="006442E8">
        <w:rPr>
          <w:szCs w:val="24"/>
        </w:rPr>
        <w:t>, Docket No. C-2008-2056428 (Order entered May 21, 2010) at 6; s</w:t>
      </w:r>
      <w:r w:rsidRPr="006442E8">
        <w:rPr>
          <w:i/>
          <w:szCs w:val="24"/>
        </w:rPr>
        <w:t>ee also, Santos v. Metropolitan Edison Co.</w:t>
      </w:r>
      <w:r w:rsidRPr="006442E8">
        <w:rPr>
          <w:szCs w:val="24"/>
        </w:rPr>
        <w:t xml:space="preserve">, Docket No. </w:t>
      </w:r>
      <w:proofErr w:type="gramStart"/>
      <w:r w:rsidRPr="006442E8">
        <w:rPr>
          <w:szCs w:val="24"/>
        </w:rPr>
        <w:t>C</w:t>
      </w:r>
      <w:r w:rsidRPr="006442E8">
        <w:rPr>
          <w:szCs w:val="24"/>
        </w:rPr>
        <w:noBreakHyphen/>
        <w:t>00967757 (Order entered August 7, 1997).</w:t>
      </w:r>
      <w:proofErr w:type="gramEnd"/>
      <w:r w:rsidRPr="006442E8">
        <w:rPr>
          <w:szCs w:val="24"/>
        </w:rPr>
        <w:t xml:space="preserve">  The Commission’s foreign load policy was explained in detail in </w:t>
      </w:r>
      <w:r w:rsidRPr="006442E8">
        <w:rPr>
          <w:i/>
          <w:szCs w:val="24"/>
        </w:rPr>
        <w:t>Ace Check Cashing</w:t>
      </w:r>
      <w:r w:rsidRPr="006442E8">
        <w:rPr>
          <w:szCs w:val="24"/>
        </w:rPr>
        <w:t xml:space="preserve">, </w:t>
      </w:r>
      <w:r w:rsidRPr="006442E8">
        <w:rPr>
          <w:i/>
          <w:szCs w:val="24"/>
        </w:rPr>
        <w:t>supra</w:t>
      </w:r>
      <w:r w:rsidRPr="006442E8">
        <w:rPr>
          <w:szCs w:val="24"/>
        </w:rPr>
        <w:t xml:space="preserve">.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proofErr w:type="gramStart"/>
      <w:r w:rsidRPr="006442E8">
        <w:rPr>
          <w:i/>
          <w:szCs w:val="24"/>
        </w:rPr>
        <w:t>Id</w:t>
      </w:r>
      <w:r w:rsidRPr="006442E8">
        <w:rPr>
          <w:szCs w:val="24"/>
        </w:rPr>
        <w:t>. at 7.</w:t>
      </w:r>
      <w:proofErr w:type="gramEnd"/>
      <w:r w:rsidRPr="006442E8">
        <w:rPr>
          <w:szCs w:val="24"/>
        </w:rPr>
        <w:t xml:space="preserve">  However, the landlord remains responsible for any arrearages on the tenant’s account.  </w:t>
      </w:r>
      <w:r w:rsidRPr="006442E8">
        <w:rPr>
          <w:i/>
          <w:szCs w:val="24"/>
        </w:rPr>
        <w:t>Id</w:t>
      </w:r>
      <w:r w:rsidRPr="006442E8">
        <w:rPr>
          <w:szCs w:val="24"/>
        </w:rPr>
        <w:t xml:space="preserve">. at 7-8.  This rule applies even if the amount of usage attributable to foreign load is considered </w:t>
      </w:r>
      <w:r w:rsidRPr="006442E8">
        <w:rPr>
          <w:i/>
          <w:szCs w:val="24"/>
        </w:rPr>
        <w:t>de minimus</w:t>
      </w:r>
      <w:r w:rsidRPr="006442E8">
        <w:rPr>
          <w:szCs w:val="24"/>
        </w:rPr>
        <w:t xml:space="preserve">.  The Commission does not have jurisdiction over disputes concerning the financial responsibilities of private parties, such as the landlord and tenant, and such matters are to be resolved in the Courts of Common Pleas.  </w:t>
      </w:r>
      <w:proofErr w:type="gramStart"/>
      <w:r w:rsidRPr="006442E8">
        <w:rPr>
          <w:i/>
          <w:szCs w:val="24"/>
        </w:rPr>
        <w:t>Id</w:t>
      </w:r>
      <w:r w:rsidRPr="006442E8">
        <w:rPr>
          <w:szCs w:val="24"/>
        </w:rPr>
        <w:t>.</w:t>
      </w:r>
      <w:r w:rsidR="005E2E4F">
        <w:rPr>
          <w:szCs w:val="24"/>
        </w:rPr>
        <w:t> </w:t>
      </w:r>
      <w:r w:rsidRPr="006442E8">
        <w:rPr>
          <w:szCs w:val="24"/>
        </w:rPr>
        <w:t>at</w:t>
      </w:r>
      <w:r w:rsidR="005E2E4F">
        <w:rPr>
          <w:szCs w:val="24"/>
        </w:rPr>
        <w:t> </w:t>
      </w:r>
      <w:r w:rsidRPr="006442E8">
        <w:rPr>
          <w:szCs w:val="24"/>
        </w:rPr>
        <w:t>8.</w:t>
      </w:r>
      <w:proofErr w:type="gramEnd"/>
      <w:r w:rsidRPr="006442E8">
        <w:rPr>
          <w:szCs w:val="24"/>
        </w:rPr>
        <w:t xml:space="preserve"> </w:t>
      </w:r>
      <w:r w:rsidR="00710C44">
        <w:rPr>
          <w:rStyle w:val="FootnoteReference"/>
          <w:szCs w:val="24"/>
        </w:rPr>
        <w:footnoteReference w:id="10"/>
      </w:r>
      <w:r w:rsidRPr="006442E8">
        <w:rPr>
          <w:szCs w:val="24"/>
        </w:rPr>
        <w:t xml:space="preserve"> </w:t>
      </w:r>
    </w:p>
    <w:p w:rsidR="00827C2B" w:rsidRDefault="00827C2B" w:rsidP="00827C2B">
      <w:pPr>
        <w:spacing w:after="0"/>
        <w:ind w:left="1526" w:right="1440" w:firstLine="634"/>
      </w:pPr>
    </w:p>
    <w:p w:rsidR="00211AD7" w:rsidRDefault="006442E8" w:rsidP="00B56EBE">
      <w:pPr>
        <w:spacing w:after="0"/>
      </w:pPr>
      <w:r>
        <w:t xml:space="preserve">Here, the Complainant does not allege that PECO incorrectly determined that the rental units in the building were not individually metered as required by Section 1529.1.  </w:t>
      </w:r>
      <w:r w:rsidR="00C4245D">
        <w:t>He</w:t>
      </w:r>
      <w:r>
        <w:t xml:space="preserve"> simply states that he does not feel that it is “fair” that he is responsible for the tenant’s arrearages even though a foreign load was found in the rental property.  While it may seem that it is a harsh </w:t>
      </w:r>
      <w:r>
        <w:lastRenderedPageBreak/>
        <w:t>result where arrearages may be large and the foreign load may be small, the fact remains that Section 1529.1 mandates that the entire account balance be transferred to the landlord.</w:t>
      </w:r>
      <w:r w:rsidR="004D5112">
        <w:rPr>
          <w:rStyle w:val="FootnoteReference"/>
        </w:rPr>
        <w:footnoteReference w:id="11"/>
      </w:r>
    </w:p>
    <w:p w:rsidR="00B56EBE" w:rsidRDefault="00B56EBE" w:rsidP="00B56EBE">
      <w:pPr>
        <w:spacing w:after="0"/>
      </w:pPr>
    </w:p>
    <w:p w:rsidR="0068737A" w:rsidRDefault="0068737A" w:rsidP="00B56EBE">
      <w:pPr>
        <w:spacing w:after="0"/>
      </w:pPr>
      <w:r>
        <w:t xml:space="preserve">In sum, the Complainant has not alleged any violation of the law by PECO when it transferred the Complainant’s tenant’s arrearages </w:t>
      </w:r>
      <w:r w:rsidR="00B64007">
        <w:t>to the Complainant’s account</w:t>
      </w:r>
      <w:r>
        <w:t xml:space="preserve"> upon discovery of a foreign load on the rental premises.  Accordingly, the complaint is legally insufficient and no relief can be granted by the Commission.  </w:t>
      </w:r>
      <w:r w:rsidR="008333FD">
        <w:t>H</w:t>
      </w:r>
      <w:r>
        <w:t>e must seek recourse directly from the tenant in a court of common pleas.  Therefore, PECO’s preliminary objection will be sustained.</w:t>
      </w:r>
    </w:p>
    <w:p w:rsidR="00B56EBE" w:rsidRDefault="00B56EBE" w:rsidP="00B56EBE">
      <w:pPr>
        <w:spacing w:after="0"/>
      </w:pPr>
    </w:p>
    <w:p w:rsidR="0068737A" w:rsidRDefault="0068737A" w:rsidP="00B56EBE">
      <w:pPr>
        <w:spacing w:after="0"/>
        <w:rPr>
          <w:szCs w:val="24"/>
        </w:rPr>
      </w:pPr>
      <w:r w:rsidRPr="0068737A">
        <w:rPr>
          <w:szCs w:val="24"/>
        </w:rPr>
        <w:t xml:space="preserve">Although it is Commission policy to refrain from dismissing a complaint filed by a </w:t>
      </w:r>
      <w:r w:rsidRPr="0068737A">
        <w:rPr>
          <w:i/>
          <w:szCs w:val="24"/>
        </w:rPr>
        <w:t>pro se</w:t>
      </w:r>
      <w:r w:rsidRPr="0068737A">
        <w:rPr>
          <w:szCs w:val="24"/>
        </w:rPr>
        <w:t xml:space="preserve"> individual on preliminary objections,</w:t>
      </w:r>
      <w:r>
        <w:rPr>
          <w:rStyle w:val="FootnoteReference"/>
          <w:szCs w:val="24"/>
        </w:rPr>
        <w:footnoteReference w:id="12"/>
      </w:r>
      <w:r w:rsidRPr="0068737A">
        <w:rPr>
          <w:szCs w:val="24"/>
        </w:rPr>
        <w:t xml:space="preserve"> in this case a hearing would not alter the inevitable conclusion that this Commission cannot provide the Complainant with the requested relief.</w:t>
      </w:r>
      <w:r>
        <w:rPr>
          <w:rStyle w:val="FootnoteReference"/>
          <w:szCs w:val="24"/>
        </w:rPr>
        <w:footnoteReference w:id="13"/>
      </w:r>
      <w:r w:rsidRPr="0068737A">
        <w:rPr>
          <w:szCs w:val="24"/>
        </w:rPr>
        <w:t xml:space="preserve"> </w:t>
      </w:r>
      <w:r>
        <w:rPr>
          <w:szCs w:val="24"/>
        </w:rPr>
        <w:t>Therefore, it is appropriate</w:t>
      </w:r>
      <w:r w:rsidR="00C43CD5">
        <w:rPr>
          <w:szCs w:val="24"/>
        </w:rPr>
        <w:t xml:space="preserve"> and in the public interest</w:t>
      </w:r>
      <w:r>
        <w:rPr>
          <w:szCs w:val="24"/>
        </w:rPr>
        <w:t xml:space="preserve"> to dismiss the complaint without a hearing.</w:t>
      </w:r>
      <w:r>
        <w:rPr>
          <w:rStyle w:val="FootnoteReference"/>
          <w:szCs w:val="24"/>
        </w:rPr>
        <w:footnoteReference w:id="14"/>
      </w:r>
      <w:r w:rsidRPr="0068737A">
        <w:rPr>
          <w:szCs w:val="24"/>
        </w:rPr>
        <w:t xml:space="preserve"> </w:t>
      </w:r>
    </w:p>
    <w:p w:rsidR="00B56EBE" w:rsidRDefault="00B56EBE" w:rsidP="00B56EBE">
      <w:pPr>
        <w:spacing w:after="0"/>
        <w:rPr>
          <w:szCs w:val="24"/>
        </w:rPr>
      </w:pPr>
    </w:p>
    <w:p w:rsidR="00F255F5" w:rsidRPr="00F255F5" w:rsidRDefault="00F255F5" w:rsidP="00B56EBE">
      <w:pPr>
        <w:spacing w:after="0"/>
        <w:ind w:firstLine="0"/>
        <w:jc w:val="center"/>
        <w:rPr>
          <w:szCs w:val="24"/>
          <w:u w:val="single"/>
        </w:rPr>
      </w:pPr>
      <w:r w:rsidRPr="00F255F5">
        <w:rPr>
          <w:szCs w:val="24"/>
          <w:u w:val="single"/>
        </w:rPr>
        <w:t>CONCLUSIONS OF LAW</w:t>
      </w:r>
    </w:p>
    <w:p w:rsidR="00F255F5" w:rsidRPr="00F255F5" w:rsidRDefault="00F255F5" w:rsidP="00F255F5">
      <w:pPr>
        <w:ind w:firstLine="0"/>
        <w:rPr>
          <w:szCs w:val="24"/>
        </w:rPr>
      </w:pPr>
    </w:p>
    <w:p w:rsidR="00F255F5" w:rsidRDefault="00F255F5" w:rsidP="00F255F5">
      <w:r w:rsidRPr="00F255F5">
        <w:t>1.</w:t>
      </w:r>
      <w:r w:rsidRPr="00F255F5">
        <w:tab/>
        <w:t xml:space="preserve">The Commission has jurisdiction over the parties and the subject matter of this dispute.  </w:t>
      </w:r>
      <w:proofErr w:type="gramStart"/>
      <w:r w:rsidRPr="00F255F5">
        <w:t xml:space="preserve">66 </w:t>
      </w:r>
      <w:proofErr w:type="spellStart"/>
      <w:r w:rsidRPr="00F255F5">
        <w:t>Pa.C.S.A</w:t>
      </w:r>
      <w:proofErr w:type="spellEnd"/>
      <w:r w:rsidRPr="00F255F5">
        <w:t>.</w:t>
      </w:r>
      <w:proofErr w:type="gramEnd"/>
      <w:r w:rsidRPr="00F255F5">
        <w:t xml:space="preserve"> §</w:t>
      </w:r>
      <w:r w:rsidR="00D501E2">
        <w:t xml:space="preserve"> </w:t>
      </w:r>
      <w:r w:rsidRPr="00F255F5">
        <w:t>701.</w:t>
      </w:r>
    </w:p>
    <w:p w:rsidR="00B56EBE" w:rsidRPr="00F255F5" w:rsidRDefault="00B56EBE" w:rsidP="00B56EBE">
      <w:pPr>
        <w:spacing w:after="0"/>
        <w:rPr>
          <w:szCs w:val="24"/>
        </w:rPr>
      </w:pPr>
    </w:p>
    <w:p w:rsidR="00F255F5" w:rsidRDefault="00F255F5" w:rsidP="00B56EBE">
      <w:pPr>
        <w:spacing w:after="0"/>
        <w:ind w:firstLine="0"/>
        <w:rPr>
          <w:szCs w:val="24"/>
        </w:rPr>
      </w:pPr>
      <w:r w:rsidRPr="00F255F5">
        <w:rPr>
          <w:szCs w:val="24"/>
        </w:rPr>
        <w:tab/>
      </w:r>
      <w:r w:rsidRPr="00F255F5">
        <w:rPr>
          <w:szCs w:val="24"/>
        </w:rPr>
        <w:tab/>
        <w:t>2.</w:t>
      </w:r>
      <w:r w:rsidRPr="00F255F5">
        <w:rPr>
          <w:szCs w:val="24"/>
        </w:rPr>
        <w:tab/>
        <w:t>The Complainant’s complaint fails to state a claim upon which relief can be granted.</w:t>
      </w:r>
    </w:p>
    <w:p w:rsidR="00B56EBE" w:rsidRPr="00F255F5" w:rsidRDefault="00B56EBE" w:rsidP="00B56EBE">
      <w:pPr>
        <w:spacing w:after="0"/>
        <w:ind w:firstLine="0"/>
        <w:rPr>
          <w:szCs w:val="24"/>
        </w:rPr>
      </w:pPr>
    </w:p>
    <w:p w:rsidR="00F255F5" w:rsidRDefault="00F255F5" w:rsidP="00B56EBE">
      <w:pPr>
        <w:spacing w:after="0"/>
        <w:ind w:firstLine="0"/>
        <w:rPr>
          <w:szCs w:val="24"/>
        </w:rPr>
      </w:pPr>
      <w:r w:rsidRPr="00F255F5">
        <w:rPr>
          <w:szCs w:val="24"/>
        </w:rPr>
        <w:tab/>
      </w:r>
      <w:r w:rsidRPr="00F255F5">
        <w:rPr>
          <w:szCs w:val="24"/>
        </w:rPr>
        <w:tab/>
        <w:t>3.</w:t>
      </w:r>
      <w:r w:rsidRPr="00F255F5">
        <w:rPr>
          <w:szCs w:val="24"/>
        </w:rPr>
        <w:tab/>
        <w:t xml:space="preserve">The Public Utility Code requires that a public utility “shall forthwith list the account for the premises in question in the name of the owner” when a residential building </w:t>
      </w:r>
      <w:r w:rsidRPr="00F255F5">
        <w:rPr>
          <w:szCs w:val="24"/>
        </w:rPr>
        <w:lastRenderedPageBreak/>
        <w:t xml:space="preserve">contains one or more dwelling units not individually metered.  </w:t>
      </w:r>
      <w:proofErr w:type="gramStart"/>
      <w:r w:rsidRPr="00F255F5">
        <w:rPr>
          <w:szCs w:val="24"/>
        </w:rPr>
        <w:t xml:space="preserve">66 </w:t>
      </w:r>
      <w:proofErr w:type="spellStart"/>
      <w:r w:rsidRPr="00F255F5">
        <w:rPr>
          <w:szCs w:val="24"/>
        </w:rPr>
        <w:t>Pa.C.S</w:t>
      </w:r>
      <w:proofErr w:type="spellEnd"/>
      <w:r w:rsidRPr="00F255F5">
        <w:rPr>
          <w:szCs w:val="24"/>
        </w:rPr>
        <w:t>.</w:t>
      </w:r>
      <w:proofErr w:type="gramEnd"/>
      <w:r w:rsidRPr="00F255F5">
        <w:rPr>
          <w:szCs w:val="24"/>
        </w:rPr>
        <w:t xml:space="preserve"> § 1529.1(b)</w:t>
      </w:r>
      <w:r w:rsidR="00C43CD5">
        <w:rPr>
          <w:szCs w:val="24"/>
        </w:rPr>
        <w:t>; 66</w:t>
      </w:r>
      <w:r w:rsidR="00EE4EC0">
        <w:rPr>
          <w:szCs w:val="24"/>
        </w:rPr>
        <w:t> </w:t>
      </w:r>
      <w:proofErr w:type="spellStart"/>
      <w:r w:rsidR="00C43CD5">
        <w:rPr>
          <w:szCs w:val="24"/>
        </w:rPr>
        <w:t>Pa.C.S</w:t>
      </w:r>
      <w:proofErr w:type="spellEnd"/>
      <w:r w:rsidR="00C43CD5">
        <w:rPr>
          <w:szCs w:val="24"/>
        </w:rPr>
        <w:t>. § 1529.1(c)</w:t>
      </w:r>
      <w:r w:rsidRPr="00F255F5">
        <w:rPr>
          <w:szCs w:val="24"/>
        </w:rPr>
        <w:t>.</w:t>
      </w:r>
    </w:p>
    <w:p w:rsidR="00B56EBE" w:rsidRPr="00F255F5" w:rsidRDefault="00B56EBE" w:rsidP="00B56EBE">
      <w:pPr>
        <w:spacing w:after="0"/>
        <w:ind w:firstLine="0"/>
        <w:rPr>
          <w:szCs w:val="24"/>
        </w:rPr>
      </w:pPr>
    </w:p>
    <w:p w:rsidR="00F255F5" w:rsidRDefault="00F255F5" w:rsidP="00B56EBE">
      <w:pPr>
        <w:spacing w:after="0"/>
      </w:pPr>
      <w:r w:rsidRPr="00F255F5">
        <w:t>4.</w:t>
      </w:r>
      <w:r w:rsidRPr="00F255F5">
        <w:tab/>
        <w:t>It is just, reasonable and in the public inter</w:t>
      </w:r>
      <w:r>
        <w:t xml:space="preserve">est that the complaint filed </w:t>
      </w:r>
      <w:r w:rsidRPr="00F255F5">
        <w:t>be dismissed</w:t>
      </w:r>
      <w:r>
        <w:t xml:space="preserve"> without a hearing</w:t>
      </w:r>
      <w:r w:rsidRPr="00F255F5">
        <w:t>.</w:t>
      </w:r>
      <w:r w:rsidR="00C43CD5">
        <w:t xml:space="preserve"> </w:t>
      </w:r>
      <w:r w:rsidR="00AF3678">
        <w:t xml:space="preserve"> </w:t>
      </w:r>
      <w:proofErr w:type="gramStart"/>
      <w:r w:rsidR="00C43CD5">
        <w:t xml:space="preserve">66 </w:t>
      </w:r>
      <w:proofErr w:type="spellStart"/>
      <w:r w:rsidR="00C43CD5">
        <w:t>Pa.C.S</w:t>
      </w:r>
      <w:proofErr w:type="spellEnd"/>
      <w:r w:rsidR="00C43CD5">
        <w:t>.</w:t>
      </w:r>
      <w:proofErr w:type="gramEnd"/>
      <w:r w:rsidR="00C43CD5">
        <w:t xml:space="preserve"> § 703(b).</w:t>
      </w:r>
    </w:p>
    <w:p w:rsidR="00B56EBE" w:rsidRPr="00F255F5" w:rsidRDefault="00B56EBE" w:rsidP="00B56EBE">
      <w:pPr>
        <w:spacing w:after="0"/>
      </w:pPr>
    </w:p>
    <w:p w:rsidR="00F255F5" w:rsidRPr="00F255F5" w:rsidRDefault="00F255F5" w:rsidP="00B56EBE">
      <w:pPr>
        <w:spacing w:after="0"/>
        <w:ind w:firstLine="0"/>
        <w:jc w:val="center"/>
        <w:rPr>
          <w:szCs w:val="24"/>
          <w:u w:val="single"/>
        </w:rPr>
      </w:pPr>
      <w:r w:rsidRPr="00F255F5">
        <w:rPr>
          <w:szCs w:val="24"/>
          <w:u w:val="single"/>
        </w:rPr>
        <w:t>ORDER</w:t>
      </w:r>
    </w:p>
    <w:p w:rsidR="00F255F5" w:rsidRPr="00F255F5" w:rsidRDefault="00F255F5" w:rsidP="00F255F5">
      <w:pPr>
        <w:ind w:firstLine="0"/>
        <w:rPr>
          <w:szCs w:val="24"/>
        </w:rPr>
      </w:pPr>
    </w:p>
    <w:p w:rsidR="00F255F5" w:rsidRPr="00F255F5" w:rsidRDefault="00F255F5" w:rsidP="00F255F5">
      <w:pPr>
        <w:ind w:firstLine="0"/>
        <w:rPr>
          <w:szCs w:val="24"/>
        </w:rPr>
      </w:pPr>
    </w:p>
    <w:p w:rsidR="00F255F5" w:rsidRDefault="00F255F5" w:rsidP="00B56EBE">
      <w:pPr>
        <w:spacing w:after="0"/>
        <w:ind w:firstLine="0"/>
        <w:rPr>
          <w:szCs w:val="24"/>
        </w:rPr>
      </w:pPr>
      <w:r w:rsidRPr="00F255F5">
        <w:rPr>
          <w:szCs w:val="24"/>
        </w:rPr>
        <w:tab/>
      </w:r>
      <w:r w:rsidRPr="00F255F5">
        <w:rPr>
          <w:szCs w:val="24"/>
        </w:rPr>
        <w:tab/>
        <w:t>THEREFORE,</w:t>
      </w:r>
    </w:p>
    <w:p w:rsidR="00B56EBE" w:rsidRPr="00F255F5" w:rsidRDefault="00B56EBE" w:rsidP="00B56EBE">
      <w:pPr>
        <w:spacing w:after="0"/>
        <w:ind w:firstLine="0"/>
        <w:rPr>
          <w:szCs w:val="24"/>
        </w:rPr>
      </w:pPr>
    </w:p>
    <w:p w:rsidR="00F255F5" w:rsidRDefault="00F255F5" w:rsidP="00B56EBE">
      <w:pPr>
        <w:spacing w:after="0"/>
        <w:ind w:firstLine="0"/>
        <w:rPr>
          <w:szCs w:val="24"/>
        </w:rPr>
      </w:pPr>
      <w:r w:rsidRPr="00F255F5">
        <w:rPr>
          <w:szCs w:val="24"/>
        </w:rPr>
        <w:tab/>
      </w:r>
      <w:r w:rsidRPr="00F255F5">
        <w:rPr>
          <w:szCs w:val="24"/>
        </w:rPr>
        <w:tab/>
        <w:t>IT IS ORDERED:</w:t>
      </w:r>
    </w:p>
    <w:p w:rsidR="00B56EBE" w:rsidRPr="00F255F5" w:rsidRDefault="00B56EBE" w:rsidP="00B56EBE">
      <w:pPr>
        <w:spacing w:after="0"/>
        <w:ind w:firstLine="0"/>
        <w:rPr>
          <w:szCs w:val="24"/>
        </w:rPr>
      </w:pPr>
    </w:p>
    <w:p w:rsidR="00F255F5" w:rsidRDefault="00F255F5" w:rsidP="00B56EBE">
      <w:pPr>
        <w:spacing w:after="0"/>
      </w:pPr>
      <w:r w:rsidRPr="00F255F5">
        <w:t>1.</w:t>
      </w:r>
      <w:r w:rsidRPr="00F255F5">
        <w:tab/>
        <w:t xml:space="preserve">That the preliminary objection filed by PECO Energy Company at </w:t>
      </w:r>
      <w:r w:rsidR="00734723">
        <w:t xml:space="preserve">PUC </w:t>
      </w:r>
      <w:r w:rsidRPr="00F255F5">
        <w:t xml:space="preserve">Docket No. </w:t>
      </w:r>
      <w:r>
        <w:t>F-2013-2379929 is</w:t>
      </w:r>
      <w:r w:rsidRPr="00F255F5">
        <w:t xml:space="preserve"> sustained.</w:t>
      </w:r>
    </w:p>
    <w:p w:rsidR="00B56EBE" w:rsidRPr="00F255F5" w:rsidRDefault="00B56EBE" w:rsidP="00B56EBE">
      <w:pPr>
        <w:spacing w:after="0"/>
        <w:rPr>
          <w:szCs w:val="24"/>
        </w:rPr>
      </w:pPr>
    </w:p>
    <w:p w:rsidR="00F255F5" w:rsidRDefault="00F255F5" w:rsidP="00B56EBE">
      <w:pPr>
        <w:spacing w:after="0"/>
      </w:pPr>
      <w:r w:rsidRPr="00F255F5">
        <w:t>2.</w:t>
      </w:r>
      <w:r w:rsidRPr="00F255F5">
        <w:tab/>
        <w:t xml:space="preserve">That the complaint </w:t>
      </w:r>
      <w:r>
        <w:t xml:space="preserve">of </w:t>
      </w:r>
      <w:proofErr w:type="spellStart"/>
      <w:r>
        <w:t>Phong</w:t>
      </w:r>
      <w:proofErr w:type="spellEnd"/>
      <w:r>
        <w:t xml:space="preserve"> Hoang</w:t>
      </w:r>
      <w:r w:rsidRPr="00F255F5">
        <w:t xml:space="preserve"> </w:t>
      </w:r>
      <w:r w:rsidR="00C43CD5">
        <w:t xml:space="preserve">at </w:t>
      </w:r>
      <w:r w:rsidR="00734723">
        <w:t xml:space="preserve">PUC </w:t>
      </w:r>
      <w:r w:rsidR="00C43CD5">
        <w:t xml:space="preserve">Docket No. F-2013-2379929 </w:t>
      </w:r>
      <w:r w:rsidRPr="00F255F5">
        <w:t>is dismissed.</w:t>
      </w:r>
    </w:p>
    <w:p w:rsidR="00B56EBE" w:rsidRPr="00F255F5" w:rsidRDefault="00B56EBE" w:rsidP="00B56EBE">
      <w:pPr>
        <w:spacing w:after="0"/>
        <w:rPr>
          <w:szCs w:val="24"/>
        </w:rPr>
      </w:pPr>
    </w:p>
    <w:p w:rsidR="00F255F5" w:rsidRDefault="00F255F5" w:rsidP="00F255F5">
      <w:pPr>
        <w:ind w:firstLine="0"/>
        <w:rPr>
          <w:szCs w:val="24"/>
        </w:rPr>
      </w:pPr>
      <w:r w:rsidRPr="00F255F5">
        <w:rPr>
          <w:szCs w:val="24"/>
        </w:rPr>
        <w:tab/>
      </w:r>
      <w:r w:rsidRPr="00F255F5">
        <w:rPr>
          <w:szCs w:val="24"/>
        </w:rPr>
        <w:tab/>
        <w:t>3.</w:t>
      </w:r>
      <w:r w:rsidRPr="00F255F5">
        <w:rPr>
          <w:szCs w:val="24"/>
        </w:rPr>
        <w:tab/>
        <w:t xml:space="preserve">That the docket at </w:t>
      </w:r>
      <w:r w:rsidR="00734723">
        <w:rPr>
          <w:szCs w:val="24"/>
        </w:rPr>
        <w:t xml:space="preserve">PUC </w:t>
      </w:r>
      <w:r w:rsidRPr="00F255F5">
        <w:rPr>
          <w:szCs w:val="24"/>
        </w:rPr>
        <w:t>Docket No.</w:t>
      </w:r>
      <w:r>
        <w:rPr>
          <w:szCs w:val="24"/>
        </w:rPr>
        <w:t xml:space="preserve"> </w:t>
      </w:r>
      <w:r>
        <w:t xml:space="preserve">F-2013-2379929 </w:t>
      </w:r>
      <w:r w:rsidRPr="00F255F5">
        <w:rPr>
          <w:szCs w:val="24"/>
        </w:rPr>
        <w:t>is marked closed.</w:t>
      </w:r>
    </w:p>
    <w:p w:rsidR="00B56EBE" w:rsidRDefault="00B56EBE" w:rsidP="00F255F5">
      <w:pPr>
        <w:ind w:firstLine="0"/>
        <w:rPr>
          <w:szCs w:val="24"/>
        </w:rPr>
      </w:pPr>
    </w:p>
    <w:p w:rsidR="00B56EBE" w:rsidRDefault="00B56EBE" w:rsidP="00F255F5">
      <w:pPr>
        <w:ind w:firstLine="0"/>
        <w:rPr>
          <w:szCs w:val="24"/>
        </w:rPr>
      </w:pPr>
    </w:p>
    <w:p w:rsidR="00B56EBE" w:rsidRDefault="00B56EBE" w:rsidP="00B56EBE">
      <w:pPr>
        <w:spacing w:after="0" w:line="240" w:lineRule="auto"/>
        <w:ind w:firstLine="0"/>
      </w:pPr>
      <w:r>
        <w:rPr>
          <w:szCs w:val="24"/>
        </w:rPr>
        <w:t xml:space="preserve">Date:  </w:t>
      </w:r>
      <w:r w:rsidRPr="00B56EBE">
        <w:rPr>
          <w:szCs w:val="24"/>
          <w:u w:val="single"/>
        </w:rPr>
        <w:t>January 7, 2014</w:t>
      </w:r>
      <w:r>
        <w:rPr>
          <w:szCs w:val="24"/>
        </w:rPr>
        <w:tab/>
      </w:r>
      <w:r>
        <w:rPr>
          <w:szCs w:val="24"/>
        </w:rPr>
        <w:tab/>
      </w:r>
      <w:r>
        <w:rPr>
          <w:szCs w:val="24"/>
        </w:rPr>
        <w:tab/>
      </w:r>
      <w:r>
        <w:rPr>
          <w:szCs w:val="24"/>
        </w:rPr>
        <w:tab/>
      </w:r>
      <w:r>
        <w:rPr>
          <w:szCs w:val="24"/>
        </w:rPr>
        <w:tab/>
      </w:r>
      <w:r>
        <w:rPr>
          <w:u w:val="single"/>
        </w:rPr>
        <w:tab/>
      </w:r>
      <w:r>
        <w:rPr>
          <w:u w:val="single"/>
        </w:rPr>
        <w:tab/>
        <w:t>/s/</w:t>
      </w:r>
      <w:r>
        <w:rPr>
          <w:u w:val="single"/>
        </w:rPr>
        <w:tab/>
      </w:r>
      <w:r>
        <w:rPr>
          <w:u w:val="single"/>
        </w:rPr>
        <w:tab/>
      </w:r>
      <w:r>
        <w:rPr>
          <w:u w:val="single"/>
        </w:rPr>
        <w:tab/>
      </w:r>
    </w:p>
    <w:p w:rsidR="00B56EBE" w:rsidRDefault="00B56EBE" w:rsidP="006C0ADA">
      <w:pPr>
        <w:spacing w:after="0" w:line="240" w:lineRule="auto"/>
      </w:pPr>
      <w:r>
        <w:tab/>
      </w:r>
      <w:r>
        <w:tab/>
      </w:r>
      <w:r>
        <w:tab/>
      </w:r>
      <w:r>
        <w:tab/>
      </w:r>
      <w:r>
        <w:tab/>
      </w:r>
      <w:r>
        <w:tab/>
        <w:t>Mar</w:t>
      </w:r>
      <w:r w:rsidR="006C0ADA">
        <w:t>y D. Long</w:t>
      </w:r>
    </w:p>
    <w:p w:rsidR="00B56EBE" w:rsidRPr="00B56EBE" w:rsidRDefault="00B56EBE" w:rsidP="00B56EBE">
      <w:pPr>
        <w:ind w:firstLine="0"/>
        <w:rPr>
          <w:szCs w:val="24"/>
        </w:rPr>
      </w:pPr>
      <w:r>
        <w:tab/>
      </w:r>
      <w:r>
        <w:tab/>
      </w:r>
      <w:r>
        <w:tab/>
      </w:r>
      <w:r>
        <w:tab/>
      </w:r>
      <w:r>
        <w:tab/>
      </w:r>
      <w:r>
        <w:tab/>
      </w:r>
      <w:r>
        <w:tab/>
      </w:r>
      <w:r>
        <w:tab/>
        <w:t>Administrative Law Judge</w:t>
      </w:r>
    </w:p>
    <w:sectPr w:rsidR="00B56EBE" w:rsidRPr="00B56EBE" w:rsidSect="00A205D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A6" w:rsidRDefault="00D544A6" w:rsidP="00D36972">
      <w:pPr>
        <w:spacing w:after="0" w:line="240" w:lineRule="auto"/>
      </w:pPr>
      <w:r>
        <w:separator/>
      </w:r>
    </w:p>
  </w:endnote>
  <w:endnote w:type="continuationSeparator" w:id="0">
    <w:p w:rsidR="00D544A6" w:rsidRDefault="00D544A6" w:rsidP="00D3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80635"/>
      <w:docPartObj>
        <w:docPartGallery w:val="Page Numbers (Bottom of Page)"/>
        <w:docPartUnique/>
      </w:docPartObj>
    </w:sdtPr>
    <w:sdtEndPr>
      <w:rPr>
        <w:noProof/>
        <w:sz w:val="20"/>
      </w:rPr>
    </w:sdtEndPr>
    <w:sdtContent>
      <w:p w:rsidR="00B13F3F" w:rsidRPr="006F67EB" w:rsidRDefault="00B13F3F" w:rsidP="00A205DB">
        <w:pPr>
          <w:pStyle w:val="Footer"/>
          <w:ind w:firstLine="0"/>
          <w:jc w:val="center"/>
          <w:rPr>
            <w:sz w:val="20"/>
          </w:rPr>
        </w:pPr>
        <w:r w:rsidRPr="006F67EB">
          <w:rPr>
            <w:sz w:val="20"/>
          </w:rPr>
          <w:fldChar w:fldCharType="begin"/>
        </w:r>
        <w:r w:rsidRPr="006F67EB">
          <w:rPr>
            <w:sz w:val="20"/>
          </w:rPr>
          <w:instrText xml:space="preserve"> PAGE   \* MERGEFORMAT </w:instrText>
        </w:r>
        <w:r w:rsidRPr="006F67EB">
          <w:rPr>
            <w:sz w:val="20"/>
          </w:rPr>
          <w:fldChar w:fldCharType="separate"/>
        </w:r>
        <w:r w:rsidR="00F06AD1">
          <w:rPr>
            <w:noProof/>
            <w:sz w:val="20"/>
          </w:rPr>
          <w:t>6</w:t>
        </w:r>
        <w:r w:rsidRPr="006F67EB">
          <w:rPr>
            <w:noProof/>
            <w:sz w:val="20"/>
          </w:rPr>
          <w:fldChar w:fldCharType="end"/>
        </w:r>
      </w:p>
    </w:sdtContent>
  </w:sdt>
  <w:p w:rsidR="00B13F3F" w:rsidRDefault="00B13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A6" w:rsidRDefault="00D544A6" w:rsidP="00AF0ADD">
      <w:pPr>
        <w:spacing w:after="0" w:line="240" w:lineRule="auto"/>
        <w:ind w:firstLine="0"/>
      </w:pPr>
      <w:r>
        <w:separator/>
      </w:r>
    </w:p>
  </w:footnote>
  <w:footnote w:type="continuationSeparator" w:id="0">
    <w:p w:rsidR="00D544A6" w:rsidRDefault="00D544A6" w:rsidP="00D36972">
      <w:pPr>
        <w:spacing w:after="0" w:line="240" w:lineRule="auto"/>
      </w:pPr>
      <w:r>
        <w:continuationSeparator/>
      </w:r>
    </w:p>
  </w:footnote>
  <w:footnote w:id="1">
    <w:p w:rsidR="00D36972" w:rsidRDefault="00D36972" w:rsidP="00AF0ADD">
      <w:pPr>
        <w:pStyle w:val="FootnoteText"/>
        <w:spacing w:after="0"/>
        <w:ind w:firstLine="720"/>
      </w:pPr>
      <w:r>
        <w:rPr>
          <w:rStyle w:val="FootnoteReference"/>
        </w:rPr>
        <w:footnoteRef/>
      </w:r>
      <w:r>
        <w:t xml:space="preserve">  </w:t>
      </w:r>
      <w:r>
        <w:tab/>
        <w:t>The Complainant checked the “Yes” box indicating that a court had granted a Protection from Abuse Order.  Although no copy of the PFA was included with the complaint, in an abundance of caution, no address or telephone number is included in this decision.</w:t>
      </w:r>
    </w:p>
  </w:footnote>
  <w:footnote w:id="2">
    <w:p w:rsidR="00AF03F6" w:rsidRPr="004229FB" w:rsidRDefault="00AF03F6" w:rsidP="00AF03F6">
      <w:pPr>
        <w:pStyle w:val="FootnoteText"/>
        <w:spacing w:after="240"/>
      </w:pPr>
      <w:r>
        <w:tab/>
      </w:r>
      <w:r w:rsidRPr="004229FB">
        <w:rPr>
          <w:rStyle w:val="FootnoteReference"/>
        </w:rPr>
        <w:footnoteRef/>
      </w:r>
      <w:r>
        <w:t xml:space="preserve"> </w:t>
      </w:r>
      <w:r>
        <w:tab/>
      </w:r>
      <w:proofErr w:type="gramStart"/>
      <w:r>
        <w:t>52 Pa.</w:t>
      </w:r>
      <w:r w:rsidRPr="004229FB">
        <w:t>Code § 5.101.</w:t>
      </w:r>
      <w:proofErr w:type="gramEnd"/>
    </w:p>
  </w:footnote>
  <w:footnote w:id="3">
    <w:p w:rsidR="00AF03F6" w:rsidRDefault="00AF03F6" w:rsidP="00AF03F6">
      <w:pPr>
        <w:pStyle w:val="FootnoteText"/>
      </w:pPr>
      <w:r>
        <w:tab/>
      </w:r>
      <w:r>
        <w:rPr>
          <w:rStyle w:val="FootnoteReference"/>
        </w:rPr>
        <w:footnoteRef/>
      </w:r>
      <w:r>
        <w:t xml:space="preserve"> </w:t>
      </w:r>
      <w:r>
        <w:tab/>
      </w:r>
      <w:proofErr w:type="gramStart"/>
      <w:r>
        <w:t>52 Pa.Code § 5.101(a).</w:t>
      </w:r>
      <w:proofErr w:type="gramEnd"/>
    </w:p>
  </w:footnote>
  <w:footnote w:id="4">
    <w:p w:rsidR="00342A77" w:rsidRDefault="00AF03F6" w:rsidP="00342A77">
      <w:pPr>
        <w:pStyle w:val="FootnoteText"/>
        <w:spacing w:after="0"/>
      </w:pPr>
      <w:r>
        <w:tab/>
      </w:r>
      <w:r>
        <w:rPr>
          <w:rStyle w:val="FootnoteReference"/>
        </w:rPr>
        <w:footnoteRef/>
      </w:r>
      <w:r>
        <w:t xml:space="preserve"> </w:t>
      </w:r>
      <w:r>
        <w:tab/>
      </w:r>
      <w:r w:rsidRPr="000E2B4C">
        <w:rPr>
          <w:i/>
        </w:rPr>
        <w:t>Equitable Small Transportation Intervenors v. Equitable Gas Company</w:t>
      </w:r>
      <w:r>
        <w:t xml:space="preserve">, 1994 Pa. PUC LEXIS 69, Docket No. </w:t>
      </w:r>
      <w:proofErr w:type="gramStart"/>
      <w:r>
        <w:t>C-00935435 (July 18, 1994).</w:t>
      </w:r>
      <w:proofErr w:type="gramEnd"/>
    </w:p>
    <w:p w:rsidR="00AF03F6" w:rsidRDefault="00AF03F6" w:rsidP="00342A77">
      <w:pPr>
        <w:pStyle w:val="FootnoteText"/>
        <w:spacing w:after="0"/>
      </w:pPr>
      <w:r>
        <w:t xml:space="preserve">  </w:t>
      </w:r>
    </w:p>
  </w:footnote>
  <w:footnote w:id="5">
    <w:p w:rsidR="00AF03F6" w:rsidRDefault="00AF03F6" w:rsidP="00342A77">
      <w:pPr>
        <w:pStyle w:val="FootnoteText"/>
        <w:spacing w:after="0"/>
      </w:pPr>
      <w:r>
        <w:tab/>
      </w:r>
      <w:r>
        <w:rPr>
          <w:rStyle w:val="FootnoteReference"/>
        </w:rPr>
        <w:footnoteRef/>
      </w:r>
      <w:r>
        <w:t xml:space="preserve"> </w:t>
      </w:r>
      <w:r>
        <w:tab/>
      </w:r>
      <w:proofErr w:type="gramStart"/>
      <w:r>
        <w:rPr>
          <w:i/>
        </w:rPr>
        <w:t>Dept. of Auditor General v. SERS</w:t>
      </w:r>
      <w:r w:rsidRPr="00AB2BD8">
        <w:t>,</w:t>
      </w:r>
      <w:r>
        <w:t xml:space="preserve"> 836 A.2d 1053, 1064 (Pa. Cmwlth. 2003); </w:t>
      </w:r>
      <w:r w:rsidRPr="00B908F9">
        <w:rPr>
          <w:i/>
        </w:rPr>
        <w:t>P.J.S. v. Pa. State Ethics Comm’n</w:t>
      </w:r>
      <w:r>
        <w:t>, 669 A.2d 1105 (Pa. Cmwlth. 1996).</w:t>
      </w:r>
      <w:proofErr w:type="gramEnd"/>
    </w:p>
    <w:p w:rsidR="00342A77" w:rsidRDefault="00342A77" w:rsidP="00342A77">
      <w:pPr>
        <w:pStyle w:val="FootnoteText"/>
        <w:spacing w:after="0"/>
      </w:pPr>
    </w:p>
  </w:footnote>
  <w:footnote w:id="6">
    <w:p w:rsidR="00342A77" w:rsidRDefault="00AF03F6" w:rsidP="00342A77">
      <w:pPr>
        <w:pStyle w:val="FootnoteText"/>
        <w:spacing w:after="0"/>
      </w:pPr>
      <w:r>
        <w:tab/>
      </w:r>
      <w:r>
        <w:rPr>
          <w:rStyle w:val="FootnoteReference"/>
        </w:rPr>
        <w:footnoteRef/>
      </w:r>
      <w:r>
        <w:t xml:space="preserve"> </w:t>
      </w:r>
      <w:r>
        <w:tab/>
      </w:r>
      <w:proofErr w:type="gramStart"/>
      <w:r w:rsidRPr="00B908F9">
        <w:rPr>
          <w:i/>
        </w:rPr>
        <w:t>Boyd v. Ward</w:t>
      </w:r>
      <w:r>
        <w:t>, 802 A.2d 705 (Pa. Cmwlth. 2002).</w:t>
      </w:r>
      <w:proofErr w:type="gramEnd"/>
    </w:p>
    <w:p w:rsidR="00AF03F6" w:rsidRDefault="00AF03F6" w:rsidP="00342A77">
      <w:pPr>
        <w:pStyle w:val="FootnoteText"/>
        <w:spacing w:after="0"/>
      </w:pPr>
      <w:r>
        <w:t xml:space="preserve"> </w:t>
      </w:r>
    </w:p>
  </w:footnote>
  <w:footnote w:id="7">
    <w:p w:rsidR="00342A77" w:rsidRDefault="00AF03F6" w:rsidP="00342A77">
      <w:pPr>
        <w:pStyle w:val="FootnoteText"/>
        <w:spacing w:after="0"/>
      </w:pPr>
      <w:r>
        <w:tab/>
      </w:r>
      <w:r>
        <w:rPr>
          <w:rStyle w:val="FootnoteReference"/>
        </w:rPr>
        <w:footnoteRef/>
      </w:r>
      <w:r>
        <w:t xml:space="preserve"> </w:t>
      </w:r>
      <w:r>
        <w:tab/>
      </w:r>
      <w:proofErr w:type="gramStart"/>
      <w:r w:rsidRPr="005221D7">
        <w:rPr>
          <w:i/>
        </w:rPr>
        <w:t>Ridge v. State Employees’ Retirement Board</w:t>
      </w:r>
      <w:r>
        <w:t>, 690 A.2d 1312 (Pa. Cmwlth. 1997).</w:t>
      </w:r>
      <w:proofErr w:type="gramEnd"/>
    </w:p>
    <w:p w:rsidR="00AF03F6" w:rsidRDefault="00AF03F6" w:rsidP="00342A77">
      <w:pPr>
        <w:pStyle w:val="FootnoteText"/>
        <w:spacing w:after="0"/>
      </w:pPr>
      <w:r>
        <w:t xml:space="preserve">  </w:t>
      </w:r>
    </w:p>
  </w:footnote>
  <w:footnote w:id="8">
    <w:p w:rsidR="00B970F3" w:rsidRDefault="00B970F3" w:rsidP="00B970F3">
      <w:pPr>
        <w:pStyle w:val="FootnoteText"/>
        <w:ind w:firstLine="720"/>
      </w:pPr>
      <w:r>
        <w:rPr>
          <w:rStyle w:val="FootnoteReference"/>
        </w:rPr>
        <w:footnoteRef/>
      </w:r>
      <w:r>
        <w:t xml:space="preserve">  </w:t>
      </w:r>
      <w:r>
        <w:tab/>
        <w:t xml:space="preserve">52 </w:t>
      </w:r>
      <w:proofErr w:type="spellStart"/>
      <w:r>
        <w:t>Pa.Code</w:t>
      </w:r>
      <w:proofErr w:type="spellEnd"/>
      <w:r>
        <w:t xml:space="preserve"> §</w:t>
      </w:r>
      <w:r w:rsidR="00B64007">
        <w:t xml:space="preserve"> </w:t>
      </w:r>
      <w:r>
        <w:t>5.101(a</w:t>
      </w:r>
      <w:proofErr w:type="gramStart"/>
      <w:r>
        <w:t>)(</w:t>
      </w:r>
      <w:proofErr w:type="gramEnd"/>
      <w:r>
        <w:t>4).</w:t>
      </w:r>
    </w:p>
  </w:footnote>
  <w:footnote w:id="9">
    <w:p w:rsidR="009E1138" w:rsidRDefault="009E1138" w:rsidP="00342A77">
      <w:pPr>
        <w:pStyle w:val="FootnoteText"/>
        <w:spacing w:after="0"/>
        <w:ind w:firstLine="720"/>
      </w:pPr>
      <w:r>
        <w:rPr>
          <w:rStyle w:val="FootnoteReference"/>
        </w:rPr>
        <w:footnoteRef/>
      </w:r>
      <w:r>
        <w:t xml:space="preserve">  </w:t>
      </w:r>
      <w:r>
        <w:tab/>
      </w:r>
      <w:proofErr w:type="gramStart"/>
      <w:r>
        <w:t>66 Pa.C.S.</w:t>
      </w:r>
      <w:proofErr w:type="gramEnd"/>
      <w:r>
        <w:t xml:space="preserve"> § 1529.1(b) and (c).</w:t>
      </w:r>
    </w:p>
    <w:p w:rsidR="00342A77" w:rsidRDefault="00342A77" w:rsidP="00342A77">
      <w:pPr>
        <w:pStyle w:val="FootnoteText"/>
        <w:spacing w:after="0"/>
        <w:ind w:firstLine="720"/>
      </w:pPr>
    </w:p>
  </w:footnote>
  <w:footnote w:id="10">
    <w:p w:rsidR="00710C44" w:rsidRPr="00710C44" w:rsidRDefault="00710C44" w:rsidP="00710C44">
      <w:pPr>
        <w:pStyle w:val="FootnoteText"/>
        <w:ind w:firstLine="720"/>
      </w:pPr>
      <w:r>
        <w:rPr>
          <w:rStyle w:val="FootnoteReference"/>
        </w:rPr>
        <w:footnoteRef/>
      </w:r>
      <w:r>
        <w:t xml:space="preserve">  </w:t>
      </w:r>
      <w:r>
        <w:tab/>
      </w:r>
      <w:proofErr w:type="gramStart"/>
      <w:r w:rsidRPr="00710C44">
        <w:rPr>
          <w:i/>
        </w:rPr>
        <w:t>Kopf v. PECO Energy Company</w:t>
      </w:r>
      <w:r w:rsidRPr="00710C44">
        <w:t>, PUC Docket No.</w:t>
      </w:r>
      <w:proofErr w:type="gramEnd"/>
      <w:r w:rsidRPr="00710C44">
        <w:t xml:space="preserve"> </w:t>
      </w:r>
      <w:proofErr w:type="gramStart"/>
      <w:r w:rsidRPr="00710C44">
        <w:t>C-2012-2332993 (Opinion and Order entered June 13, 2013), slip op at 9</w:t>
      </w:r>
      <w:r>
        <w:rPr>
          <w:sz w:val="26"/>
          <w:szCs w:val="26"/>
        </w:rPr>
        <w:t>.</w:t>
      </w:r>
      <w:proofErr w:type="gramEnd"/>
    </w:p>
  </w:footnote>
  <w:footnote w:id="11">
    <w:p w:rsidR="00B52574" w:rsidRDefault="00B56EBE" w:rsidP="00B52574">
      <w:pPr>
        <w:pStyle w:val="FootnoteText"/>
        <w:spacing w:after="0"/>
        <w:rPr>
          <w:szCs w:val="24"/>
        </w:rPr>
      </w:pPr>
      <w:r>
        <w:tab/>
      </w:r>
      <w:r w:rsidR="004D5112">
        <w:rPr>
          <w:rStyle w:val="FootnoteReference"/>
        </w:rPr>
        <w:footnoteRef/>
      </w:r>
      <w:r w:rsidR="004D5112">
        <w:t xml:space="preserve">  </w:t>
      </w:r>
      <w:r w:rsidR="004D5112">
        <w:tab/>
      </w:r>
      <w:r w:rsidR="004D5112" w:rsidRPr="006442E8">
        <w:rPr>
          <w:i/>
          <w:szCs w:val="24"/>
        </w:rPr>
        <w:t>Ace Check Cashing, Inc. v. Philadelphia Gas Works</w:t>
      </w:r>
      <w:r w:rsidR="004D5112" w:rsidRPr="006442E8">
        <w:rPr>
          <w:szCs w:val="24"/>
        </w:rPr>
        <w:t xml:space="preserve">, </w:t>
      </w:r>
      <w:r w:rsidR="004D5112">
        <w:rPr>
          <w:szCs w:val="24"/>
        </w:rPr>
        <w:t xml:space="preserve">PUC </w:t>
      </w:r>
      <w:r w:rsidR="004D5112" w:rsidRPr="006442E8">
        <w:rPr>
          <w:szCs w:val="24"/>
        </w:rPr>
        <w:t>Docket No. C-2008-2056428 (O</w:t>
      </w:r>
      <w:r w:rsidR="004D5112">
        <w:rPr>
          <w:szCs w:val="24"/>
        </w:rPr>
        <w:t>pinion and O</w:t>
      </w:r>
      <w:r w:rsidR="004D5112" w:rsidRPr="006442E8">
        <w:rPr>
          <w:szCs w:val="24"/>
        </w:rPr>
        <w:t>rder entered May 21, 2010)</w:t>
      </w:r>
      <w:r w:rsidR="004D5112">
        <w:rPr>
          <w:szCs w:val="24"/>
        </w:rPr>
        <w:t>.</w:t>
      </w:r>
    </w:p>
    <w:p w:rsidR="004D5112" w:rsidRDefault="004D5112" w:rsidP="00B52574">
      <w:pPr>
        <w:pStyle w:val="FootnoteText"/>
        <w:spacing w:after="0"/>
      </w:pPr>
      <w:r>
        <w:tab/>
      </w:r>
    </w:p>
  </w:footnote>
  <w:footnote w:id="12">
    <w:p w:rsidR="0068737A" w:rsidRDefault="0068737A" w:rsidP="00DC648C">
      <w:pPr>
        <w:pStyle w:val="FootnoteText"/>
        <w:spacing w:after="0"/>
        <w:ind w:firstLine="720"/>
      </w:pPr>
      <w:r>
        <w:rPr>
          <w:rStyle w:val="FootnoteReference"/>
        </w:rPr>
        <w:footnoteRef/>
      </w:r>
      <w:r>
        <w:t xml:space="preserve">  </w:t>
      </w:r>
      <w:r>
        <w:tab/>
      </w:r>
      <w:proofErr w:type="gramStart"/>
      <w:r w:rsidRPr="0068737A">
        <w:rPr>
          <w:i/>
        </w:rPr>
        <w:t>Carlock v.</w:t>
      </w:r>
      <w:proofErr w:type="gramEnd"/>
      <w:r w:rsidRPr="0068737A">
        <w:rPr>
          <w:i/>
        </w:rPr>
        <w:t xml:space="preserve"> The United Telephone Company of Pennsylvania</w:t>
      </w:r>
      <w:r w:rsidRPr="0068737A">
        <w:t xml:space="preserve">, </w:t>
      </w:r>
      <w:r w:rsidR="00B64007">
        <w:t xml:space="preserve">PUC </w:t>
      </w:r>
      <w:r w:rsidRPr="0068737A">
        <w:t xml:space="preserve">Docket No. </w:t>
      </w:r>
      <w:proofErr w:type="gramStart"/>
      <w:r w:rsidRPr="0068737A">
        <w:t>F-0016361</w:t>
      </w:r>
      <w:r>
        <w:t>7 (Order entered July 14, 1993).</w:t>
      </w:r>
      <w:proofErr w:type="gramEnd"/>
    </w:p>
    <w:p w:rsidR="00DC648C" w:rsidRPr="0068737A" w:rsidRDefault="00DC648C" w:rsidP="00DC648C">
      <w:pPr>
        <w:pStyle w:val="FootnoteText"/>
        <w:spacing w:after="0"/>
        <w:ind w:firstLine="720"/>
      </w:pPr>
    </w:p>
  </w:footnote>
  <w:footnote w:id="13">
    <w:p w:rsidR="0068737A" w:rsidRDefault="0068737A" w:rsidP="00DC648C">
      <w:pPr>
        <w:pStyle w:val="FootnoteText"/>
        <w:spacing w:after="0"/>
        <w:ind w:firstLine="720"/>
        <w:rPr>
          <w:i/>
        </w:rPr>
      </w:pPr>
      <w:r>
        <w:rPr>
          <w:rStyle w:val="FootnoteReference"/>
        </w:rPr>
        <w:footnoteRef/>
      </w:r>
      <w:r>
        <w:t xml:space="preserve">  </w:t>
      </w:r>
      <w:r>
        <w:tab/>
      </w:r>
      <w:proofErr w:type="gramStart"/>
      <w:r>
        <w:rPr>
          <w:i/>
        </w:rPr>
        <w:t>Kopf.</w:t>
      </w:r>
      <w:proofErr w:type="gramEnd"/>
    </w:p>
    <w:p w:rsidR="00DC648C" w:rsidRPr="0068737A" w:rsidRDefault="00DC648C" w:rsidP="00DC648C">
      <w:pPr>
        <w:pStyle w:val="FootnoteText"/>
        <w:spacing w:after="0"/>
        <w:ind w:firstLine="720"/>
        <w:rPr>
          <w:i/>
        </w:rPr>
      </w:pPr>
    </w:p>
  </w:footnote>
  <w:footnote w:id="14">
    <w:p w:rsidR="0068737A" w:rsidRDefault="0068737A" w:rsidP="0068737A">
      <w:pPr>
        <w:pStyle w:val="FootnoteText"/>
        <w:ind w:firstLine="720"/>
      </w:pPr>
      <w:r>
        <w:rPr>
          <w:rStyle w:val="FootnoteReference"/>
        </w:rPr>
        <w:footnoteRef/>
      </w:r>
      <w:r>
        <w:t xml:space="preserve">  </w:t>
      </w:r>
      <w:r>
        <w:tab/>
      </w:r>
      <w:proofErr w:type="gramStart"/>
      <w:r>
        <w:t>66 Pa.C.S.</w:t>
      </w:r>
      <w:proofErr w:type="gramEnd"/>
      <w:r>
        <w:t xml:space="preserve"> § 703(b).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0C6BCA"/>
    <w:multiLevelType w:val="hybridMultilevel"/>
    <w:tmpl w:val="28386070"/>
    <w:lvl w:ilvl="0" w:tplc="0C92B1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A"/>
    <w:rsid w:val="00004C37"/>
    <w:rsid w:val="000C671E"/>
    <w:rsid w:val="000E17C2"/>
    <w:rsid w:val="00114066"/>
    <w:rsid w:val="001235E6"/>
    <w:rsid w:val="001B1CBA"/>
    <w:rsid w:val="001F6AB6"/>
    <w:rsid w:val="00211AD7"/>
    <w:rsid w:val="00213167"/>
    <w:rsid w:val="002A3E6B"/>
    <w:rsid w:val="003324A4"/>
    <w:rsid w:val="00342A77"/>
    <w:rsid w:val="00343056"/>
    <w:rsid w:val="00393C92"/>
    <w:rsid w:val="003E7703"/>
    <w:rsid w:val="00405355"/>
    <w:rsid w:val="004145F0"/>
    <w:rsid w:val="00483FA1"/>
    <w:rsid w:val="004D5112"/>
    <w:rsid w:val="004D523C"/>
    <w:rsid w:val="004F7E78"/>
    <w:rsid w:val="00534E82"/>
    <w:rsid w:val="00562B37"/>
    <w:rsid w:val="005816DE"/>
    <w:rsid w:val="005A42CB"/>
    <w:rsid w:val="005E2E4F"/>
    <w:rsid w:val="005E4060"/>
    <w:rsid w:val="0060284C"/>
    <w:rsid w:val="0061775F"/>
    <w:rsid w:val="006442E8"/>
    <w:rsid w:val="00654961"/>
    <w:rsid w:val="00656F51"/>
    <w:rsid w:val="0068737A"/>
    <w:rsid w:val="006C0ADA"/>
    <w:rsid w:val="006C4948"/>
    <w:rsid w:val="006F67EB"/>
    <w:rsid w:val="00710C44"/>
    <w:rsid w:val="00734723"/>
    <w:rsid w:val="007475C4"/>
    <w:rsid w:val="00773E4A"/>
    <w:rsid w:val="007744BE"/>
    <w:rsid w:val="00774516"/>
    <w:rsid w:val="00792796"/>
    <w:rsid w:val="007E6779"/>
    <w:rsid w:val="00804533"/>
    <w:rsid w:val="008223AE"/>
    <w:rsid w:val="00827C2B"/>
    <w:rsid w:val="0083079A"/>
    <w:rsid w:val="008333FD"/>
    <w:rsid w:val="008529D2"/>
    <w:rsid w:val="00914C6A"/>
    <w:rsid w:val="0094065C"/>
    <w:rsid w:val="00970BC7"/>
    <w:rsid w:val="00994B5D"/>
    <w:rsid w:val="009A24CE"/>
    <w:rsid w:val="009E1138"/>
    <w:rsid w:val="009E77A0"/>
    <w:rsid w:val="00A205DB"/>
    <w:rsid w:val="00AB3662"/>
    <w:rsid w:val="00AB4C73"/>
    <w:rsid w:val="00AC6374"/>
    <w:rsid w:val="00AE6F47"/>
    <w:rsid w:val="00AF03F6"/>
    <w:rsid w:val="00AF0ADD"/>
    <w:rsid w:val="00AF3678"/>
    <w:rsid w:val="00B13F3F"/>
    <w:rsid w:val="00B52574"/>
    <w:rsid w:val="00B56EBE"/>
    <w:rsid w:val="00B64007"/>
    <w:rsid w:val="00B93A7A"/>
    <w:rsid w:val="00B970F3"/>
    <w:rsid w:val="00C165D3"/>
    <w:rsid w:val="00C4245D"/>
    <w:rsid w:val="00C43CD5"/>
    <w:rsid w:val="00CC7DE1"/>
    <w:rsid w:val="00CD37EC"/>
    <w:rsid w:val="00CF5C9B"/>
    <w:rsid w:val="00D36972"/>
    <w:rsid w:val="00D41602"/>
    <w:rsid w:val="00D46E7A"/>
    <w:rsid w:val="00D501E2"/>
    <w:rsid w:val="00D544A6"/>
    <w:rsid w:val="00DA342E"/>
    <w:rsid w:val="00DC648C"/>
    <w:rsid w:val="00DD4443"/>
    <w:rsid w:val="00DD5C37"/>
    <w:rsid w:val="00EE4EC0"/>
    <w:rsid w:val="00F06AD1"/>
    <w:rsid w:val="00F14166"/>
    <w:rsid w:val="00F255F5"/>
    <w:rsid w:val="00FE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customStyle="1" w:styleId="ParaTab1">
    <w:name w:val="ParaTab 1"/>
    <w:rsid w:val="00F14166"/>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D36972"/>
    <w:rPr>
      <w:vertAlign w:val="superscript"/>
    </w:rPr>
  </w:style>
  <w:style w:type="paragraph" w:styleId="Quote">
    <w:name w:val="Quote"/>
    <w:basedOn w:val="Normal"/>
    <w:next w:val="Normal"/>
    <w:link w:val="QuoteChar"/>
    <w:uiPriority w:val="29"/>
    <w:qFormat/>
    <w:rsid w:val="00AF03F6"/>
    <w:pPr>
      <w:spacing w:line="240" w:lineRule="auto"/>
      <w:ind w:firstLine="0"/>
    </w:pPr>
    <w:rPr>
      <w:iCs/>
      <w:color w:val="000000" w:themeColor="text1"/>
    </w:rPr>
  </w:style>
  <w:style w:type="character" w:customStyle="1" w:styleId="QuoteChar">
    <w:name w:val="Quote Char"/>
    <w:basedOn w:val="DefaultParagraphFont"/>
    <w:link w:val="Quote"/>
    <w:uiPriority w:val="29"/>
    <w:rsid w:val="00AF03F6"/>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B1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3F"/>
    <w:rPr>
      <w:rFonts w:ascii="Times New Roman" w:hAnsi="Times New Roman" w:cs="Times New Roman"/>
      <w:sz w:val="24"/>
      <w:szCs w:val="20"/>
    </w:rPr>
  </w:style>
  <w:style w:type="paragraph" w:styleId="Footer">
    <w:name w:val="footer"/>
    <w:basedOn w:val="Normal"/>
    <w:link w:val="FooterChar"/>
    <w:uiPriority w:val="99"/>
    <w:unhideWhenUsed/>
    <w:rsid w:val="00B1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3F"/>
    <w:rPr>
      <w:rFonts w:ascii="Times New Roman" w:hAnsi="Times New Roman" w:cs="Times New Roman"/>
      <w:sz w:val="24"/>
      <w:szCs w:val="20"/>
    </w:rPr>
  </w:style>
  <w:style w:type="paragraph" w:styleId="Title">
    <w:name w:val="Title"/>
    <w:basedOn w:val="Normal"/>
    <w:link w:val="TitleChar"/>
    <w:qFormat/>
    <w:rsid w:val="00DD4443"/>
    <w:pPr>
      <w:spacing w:after="0" w:line="240" w:lineRule="auto"/>
      <w:ind w:firstLine="0"/>
      <w:jc w:val="center"/>
    </w:pPr>
    <w:rPr>
      <w:b/>
      <w:sz w:val="26"/>
    </w:rPr>
  </w:style>
  <w:style w:type="character" w:customStyle="1" w:styleId="TitleChar">
    <w:name w:val="Title Char"/>
    <w:basedOn w:val="DefaultParagraphFont"/>
    <w:link w:val="Title"/>
    <w:rsid w:val="00DD4443"/>
    <w:rPr>
      <w:rFonts w:ascii="Times New Roman" w:hAnsi="Times New Roman" w:cs="Times New Roman"/>
      <w:b/>
      <w:sz w:val="26"/>
      <w:szCs w:val="20"/>
    </w:rPr>
  </w:style>
  <w:style w:type="paragraph" w:styleId="Subtitle">
    <w:name w:val="Subtitle"/>
    <w:basedOn w:val="Normal"/>
    <w:link w:val="SubtitleChar"/>
    <w:qFormat/>
    <w:rsid w:val="00DD4443"/>
    <w:pPr>
      <w:spacing w:after="0" w:line="240" w:lineRule="auto"/>
      <w:ind w:firstLine="0"/>
      <w:jc w:val="center"/>
    </w:pPr>
    <w:rPr>
      <w:b/>
      <w:sz w:val="26"/>
    </w:rPr>
  </w:style>
  <w:style w:type="character" w:customStyle="1" w:styleId="SubtitleChar">
    <w:name w:val="Subtitle Char"/>
    <w:basedOn w:val="DefaultParagraphFont"/>
    <w:link w:val="Subtitle"/>
    <w:rsid w:val="00DD4443"/>
    <w:rPr>
      <w:rFonts w:ascii="Times New Roman" w:hAnsi="Times New Roman" w:cs="Times New Roman"/>
      <w:b/>
      <w:sz w:val="26"/>
      <w:szCs w:val="20"/>
    </w:rPr>
  </w:style>
  <w:style w:type="paragraph" w:styleId="BalloonText">
    <w:name w:val="Balloon Text"/>
    <w:basedOn w:val="Normal"/>
    <w:link w:val="BalloonTextChar"/>
    <w:uiPriority w:val="99"/>
    <w:semiHidden/>
    <w:unhideWhenUsed/>
    <w:rsid w:val="005E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customStyle="1" w:styleId="ParaTab1">
    <w:name w:val="ParaTab 1"/>
    <w:rsid w:val="00F14166"/>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D36972"/>
    <w:rPr>
      <w:vertAlign w:val="superscript"/>
    </w:rPr>
  </w:style>
  <w:style w:type="paragraph" w:styleId="Quote">
    <w:name w:val="Quote"/>
    <w:basedOn w:val="Normal"/>
    <w:next w:val="Normal"/>
    <w:link w:val="QuoteChar"/>
    <w:uiPriority w:val="29"/>
    <w:qFormat/>
    <w:rsid w:val="00AF03F6"/>
    <w:pPr>
      <w:spacing w:line="240" w:lineRule="auto"/>
      <w:ind w:firstLine="0"/>
    </w:pPr>
    <w:rPr>
      <w:iCs/>
      <w:color w:val="000000" w:themeColor="text1"/>
    </w:rPr>
  </w:style>
  <w:style w:type="character" w:customStyle="1" w:styleId="QuoteChar">
    <w:name w:val="Quote Char"/>
    <w:basedOn w:val="DefaultParagraphFont"/>
    <w:link w:val="Quote"/>
    <w:uiPriority w:val="29"/>
    <w:rsid w:val="00AF03F6"/>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B1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3F"/>
    <w:rPr>
      <w:rFonts w:ascii="Times New Roman" w:hAnsi="Times New Roman" w:cs="Times New Roman"/>
      <w:sz w:val="24"/>
      <w:szCs w:val="20"/>
    </w:rPr>
  </w:style>
  <w:style w:type="paragraph" w:styleId="Footer">
    <w:name w:val="footer"/>
    <w:basedOn w:val="Normal"/>
    <w:link w:val="FooterChar"/>
    <w:uiPriority w:val="99"/>
    <w:unhideWhenUsed/>
    <w:rsid w:val="00B1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3F"/>
    <w:rPr>
      <w:rFonts w:ascii="Times New Roman" w:hAnsi="Times New Roman" w:cs="Times New Roman"/>
      <w:sz w:val="24"/>
      <w:szCs w:val="20"/>
    </w:rPr>
  </w:style>
  <w:style w:type="paragraph" w:styleId="Title">
    <w:name w:val="Title"/>
    <w:basedOn w:val="Normal"/>
    <w:link w:val="TitleChar"/>
    <w:qFormat/>
    <w:rsid w:val="00DD4443"/>
    <w:pPr>
      <w:spacing w:after="0" w:line="240" w:lineRule="auto"/>
      <w:ind w:firstLine="0"/>
      <w:jc w:val="center"/>
    </w:pPr>
    <w:rPr>
      <w:b/>
      <w:sz w:val="26"/>
    </w:rPr>
  </w:style>
  <w:style w:type="character" w:customStyle="1" w:styleId="TitleChar">
    <w:name w:val="Title Char"/>
    <w:basedOn w:val="DefaultParagraphFont"/>
    <w:link w:val="Title"/>
    <w:rsid w:val="00DD4443"/>
    <w:rPr>
      <w:rFonts w:ascii="Times New Roman" w:hAnsi="Times New Roman" w:cs="Times New Roman"/>
      <w:b/>
      <w:sz w:val="26"/>
      <w:szCs w:val="20"/>
    </w:rPr>
  </w:style>
  <w:style w:type="paragraph" w:styleId="Subtitle">
    <w:name w:val="Subtitle"/>
    <w:basedOn w:val="Normal"/>
    <w:link w:val="SubtitleChar"/>
    <w:qFormat/>
    <w:rsid w:val="00DD4443"/>
    <w:pPr>
      <w:spacing w:after="0" w:line="240" w:lineRule="auto"/>
      <w:ind w:firstLine="0"/>
      <w:jc w:val="center"/>
    </w:pPr>
    <w:rPr>
      <w:b/>
      <w:sz w:val="26"/>
    </w:rPr>
  </w:style>
  <w:style w:type="character" w:customStyle="1" w:styleId="SubtitleChar">
    <w:name w:val="Subtitle Char"/>
    <w:basedOn w:val="DefaultParagraphFont"/>
    <w:link w:val="Subtitle"/>
    <w:rsid w:val="00DD4443"/>
    <w:rPr>
      <w:rFonts w:ascii="Times New Roman" w:hAnsi="Times New Roman" w:cs="Times New Roman"/>
      <w:b/>
      <w:sz w:val="26"/>
      <w:szCs w:val="20"/>
    </w:rPr>
  </w:style>
  <w:style w:type="paragraph" w:styleId="BalloonText">
    <w:name w:val="Balloon Text"/>
    <w:basedOn w:val="Normal"/>
    <w:link w:val="BalloonTextChar"/>
    <w:uiPriority w:val="99"/>
    <w:semiHidden/>
    <w:unhideWhenUsed/>
    <w:rsid w:val="005E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22B6-9557-40DB-BBB5-53D73376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41</cp:revision>
  <cp:lastPrinted>2014-01-15T17:45:00Z</cp:lastPrinted>
  <dcterms:created xsi:type="dcterms:W3CDTF">2014-01-07T15:01:00Z</dcterms:created>
  <dcterms:modified xsi:type="dcterms:W3CDTF">2014-01-15T17:47:00Z</dcterms:modified>
</cp:coreProperties>
</file>