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0DF" w:rsidRDefault="007F70DF" w:rsidP="00FA2D12">
      <w:pPr>
        <w:spacing w:line="240" w:lineRule="auto"/>
        <w:ind w:firstLine="0"/>
        <w:contextualSpacing/>
        <w:jc w:val="center"/>
        <w:rPr>
          <w:rFonts w:cs="Times New Roman"/>
          <w:b/>
          <w:bCs/>
          <w:spacing w:val="-3"/>
          <w:szCs w:val="26"/>
        </w:rPr>
      </w:pPr>
      <w:r>
        <w:rPr>
          <w:rFonts w:cs="Times New Roman"/>
          <w:b/>
          <w:bCs/>
          <w:spacing w:val="-3"/>
          <w:szCs w:val="26"/>
        </w:rPr>
        <w:t>PENNSYLVANIA</w:t>
      </w:r>
    </w:p>
    <w:p w:rsidR="007B5858" w:rsidRDefault="007B5858" w:rsidP="00FA2D12">
      <w:pPr>
        <w:spacing w:line="240" w:lineRule="auto"/>
        <w:ind w:firstLine="0"/>
        <w:contextualSpacing/>
        <w:jc w:val="center"/>
        <w:rPr>
          <w:rFonts w:cs="Times New Roman"/>
          <w:b/>
          <w:bCs/>
          <w:spacing w:val="-3"/>
          <w:szCs w:val="26"/>
        </w:rPr>
      </w:pPr>
      <w:r w:rsidRPr="007F70DF">
        <w:rPr>
          <w:rFonts w:cs="Times New Roman"/>
          <w:b/>
          <w:bCs/>
          <w:spacing w:val="-3"/>
          <w:szCs w:val="26"/>
        </w:rPr>
        <w:t>PUBLIC UTILITY COMMISSION</w:t>
      </w:r>
    </w:p>
    <w:p w:rsidR="007F70DF" w:rsidRDefault="007F70DF" w:rsidP="00FA2D12">
      <w:pPr>
        <w:spacing w:line="240" w:lineRule="auto"/>
        <w:ind w:firstLine="0"/>
        <w:contextualSpacing/>
        <w:jc w:val="center"/>
        <w:rPr>
          <w:rFonts w:cs="Times New Roman"/>
          <w:bCs/>
          <w:spacing w:val="-3"/>
          <w:szCs w:val="26"/>
        </w:rPr>
      </w:pPr>
      <w:r>
        <w:rPr>
          <w:rFonts w:cs="Times New Roman"/>
          <w:b/>
          <w:bCs/>
          <w:spacing w:val="-3"/>
          <w:szCs w:val="26"/>
        </w:rPr>
        <w:t>Harrisburg, PA  17105</w:t>
      </w:r>
    </w:p>
    <w:p w:rsidR="007F70DF" w:rsidRDefault="007F70DF" w:rsidP="00B949AC">
      <w:pPr>
        <w:spacing w:line="240" w:lineRule="auto"/>
        <w:contextualSpacing/>
        <w:jc w:val="center"/>
        <w:rPr>
          <w:rFonts w:cs="Times New Roman"/>
          <w:bCs/>
          <w:spacing w:val="-3"/>
          <w:szCs w:val="26"/>
        </w:rPr>
      </w:pPr>
    </w:p>
    <w:p w:rsidR="007F70DF" w:rsidRDefault="007F70DF" w:rsidP="00B949AC">
      <w:pPr>
        <w:spacing w:line="240" w:lineRule="auto"/>
        <w:contextualSpacing/>
        <w:jc w:val="right"/>
        <w:rPr>
          <w:rFonts w:cs="Times New Roman"/>
          <w:bCs/>
          <w:spacing w:val="-3"/>
          <w:szCs w:val="26"/>
        </w:rPr>
      </w:pPr>
      <w:r>
        <w:rPr>
          <w:rFonts w:cs="Times New Roman"/>
          <w:bCs/>
          <w:spacing w:val="-3"/>
          <w:szCs w:val="26"/>
        </w:rPr>
        <w:t>Public Meeting held January 9, 2014</w:t>
      </w:r>
    </w:p>
    <w:p w:rsidR="007F70DF" w:rsidRDefault="007F70DF" w:rsidP="00B949AC">
      <w:pPr>
        <w:spacing w:line="240" w:lineRule="auto"/>
        <w:contextualSpacing/>
        <w:jc w:val="right"/>
        <w:rPr>
          <w:rFonts w:cs="Times New Roman"/>
          <w:bCs/>
          <w:spacing w:val="-3"/>
          <w:szCs w:val="26"/>
        </w:rPr>
      </w:pPr>
    </w:p>
    <w:p w:rsidR="007F70DF" w:rsidRDefault="007F70DF" w:rsidP="00343CB6">
      <w:pPr>
        <w:spacing w:line="240" w:lineRule="auto"/>
        <w:ind w:firstLine="0"/>
        <w:contextualSpacing/>
        <w:rPr>
          <w:rFonts w:cs="Times New Roman"/>
          <w:bCs/>
          <w:spacing w:val="-3"/>
          <w:szCs w:val="26"/>
        </w:rPr>
      </w:pPr>
      <w:r>
        <w:rPr>
          <w:rFonts w:cs="Times New Roman"/>
          <w:bCs/>
          <w:spacing w:val="-3"/>
          <w:szCs w:val="26"/>
        </w:rPr>
        <w:t>Commissioners Present:</w:t>
      </w:r>
    </w:p>
    <w:p w:rsidR="007F70DF" w:rsidRDefault="007F70DF" w:rsidP="00343CB6">
      <w:pPr>
        <w:spacing w:line="240" w:lineRule="auto"/>
        <w:ind w:firstLine="0"/>
        <w:contextualSpacing/>
        <w:rPr>
          <w:rFonts w:cs="Times New Roman"/>
          <w:bCs/>
          <w:spacing w:val="-3"/>
          <w:szCs w:val="26"/>
        </w:rPr>
      </w:pPr>
    </w:p>
    <w:p w:rsidR="007F70DF" w:rsidRDefault="007F70DF" w:rsidP="00343CB6">
      <w:pPr>
        <w:spacing w:line="240" w:lineRule="auto"/>
        <w:ind w:firstLine="0"/>
        <w:contextualSpacing/>
        <w:rPr>
          <w:rFonts w:cs="Times New Roman"/>
          <w:bCs/>
          <w:spacing w:val="-3"/>
          <w:szCs w:val="26"/>
        </w:rPr>
      </w:pPr>
      <w:r>
        <w:rPr>
          <w:rFonts w:cs="Times New Roman"/>
          <w:bCs/>
          <w:spacing w:val="-3"/>
          <w:szCs w:val="26"/>
        </w:rPr>
        <w:tab/>
        <w:t>Robert F. Powelson, Chairman</w:t>
      </w:r>
      <w:r w:rsidR="00BE4383">
        <w:rPr>
          <w:rFonts w:cs="Times New Roman"/>
          <w:bCs/>
          <w:spacing w:val="-3"/>
          <w:szCs w:val="26"/>
        </w:rPr>
        <w:t>, Statement</w:t>
      </w:r>
    </w:p>
    <w:p w:rsidR="007F70DF" w:rsidRDefault="007F70DF" w:rsidP="00343CB6">
      <w:pPr>
        <w:spacing w:line="240" w:lineRule="auto"/>
        <w:ind w:firstLine="0"/>
        <w:contextualSpacing/>
        <w:rPr>
          <w:rFonts w:cs="Times New Roman"/>
          <w:bCs/>
          <w:spacing w:val="-3"/>
          <w:szCs w:val="26"/>
        </w:rPr>
      </w:pPr>
      <w:r>
        <w:rPr>
          <w:rFonts w:cs="Times New Roman"/>
          <w:bCs/>
          <w:spacing w:val="-3"/>
          <w:szCs w:val="26"/>
        </w:rPr>
        <w:tab/>
        <w:t>John F. Coleman, Jr., Vice Chairman</w:t>
      </w:r>
    </w:p>
    <w:p w:rsidR="007F70DF" w:rsidRDefault="007F70DF" w:rsidP="00343CB6">
      <w:pPr>
        <w:spacing w:line="240" w:lineRule="auto"/>
        <w:ind w:firstLine="0"/>
        <w:contextualSpacing/>
        <w:rPr>
          <w:rFonts w:cs="Times New Roman"/>
          <w:bCs/>
          <w:spacing w:val="-3"/>
          <w:szCs w:val="26"/>
        </w:rPr>
      </w:pPr>
      <w:r>
        <w:rPr>
          <w:rFonts w:cs="Times New Roman"/>
          <w:bCs/>
          <w:spacing w:val="-3"/>
          <w:szCs w:val="26"/>
        </w:rPr>
        <w:tab/>
      </w:r>
      <w:r w:rsidR="00491B8C">
        <w:rPr>
          <w:rFonts w:cs="Times New Roman"/>
          <w:bCs/>
          <w:spacing w:val="-3"/>
          <w:szCs w:val="26"/>
        </w:rPr>
        <w:t>James H. Cawley, Dissenting on Rate of Return Issue</w:t>
      </w:r>
    </w:p>
    <w:p w:rsidR="005F34C6" w:rsidRDefault="005F34C6" w:rsidP="00343CB6">
      <w:pPr>
        <w:spacing w:line="240" w:lineRule="auto"/>
        <w:ind w:firstLine="0"/>
        <w:contextualSpacing/>
        <w:rPr>
          <w:rFonts w:cs="Times New Roman"/>
          <w:bCs/>
          <w:spacing w:val="-3"/>
          <w:szCs w:val="26"/>
        </w:rPr>
      </w:pPr>
      <w:r>
        <w:rPr>
          <w:rFonts w:cs="Times New Roman"/>
          <w:bCs/>
          <w:spacing w:val="-3"/>
          <w:szCs w:val="26"/>
        </w:rPr>
        <w:tab/>
        <w:t>Pamela A. Witmer</w:t>
      </w:r>
    </w:p>
    <w:p w:rsidR="005F34C6" w:rsidRPr="007F70DF" w:rsidRDefault="005F34C6" w:rsidP="00343CB6">
      <w:pPr>
        <w:spacing w:line="240" w:lineRule="auto"/>
        <w:ind w:firstLine="0"/>
        <w:contextualSpacing/>
        <w:rPr>
          <w:rFonts w:cs="Times New Roman"/>
          <w:szCs w:val="26"/>
        </w:rPr>
      </w:pPr>
      <w:r>
        <w:rPr>
          <w:rFonts w:cs="Times New Roman"/>
          <w:bCs/>
          <w:spacing w:val="-3"/>
          <w:szCs w:val="26"/>
        </w:rPr>
        <w:tab/>
        <w:t>Gladys M. Brown</w:t>
      </w:r>
    </w:p>
    <w:p w:rsidR="007B5858" w:rsidRPr="007F70DF" w:rsidRDefault="007B5858" w:rsidP="00343CB6">
      <w:pPr>
        <w:tabs>
          <w:tab w:val="left" w:pos="-720"/>
        </w:tabs>
        <w:suppressAutoHyphens/>
        <w:spacing w:line="240" w:lineRule="auto"/>
        <w:ind w:firstLine="0"/>
        <w:contextualSpacing/>
        <w:rPr>
          <w:rFonts w:cs="Times New Roman"/>
          <w:spacing w:val="-3"/>
          <w:szCs w:val="26"/>
        </w:rPr>
      </w:pPr>
    </w:p>
    <w:p w:rsidR="007B5858" w:rsidRPr="007F70DF" w:rsidRDefault="007B5858" w:rsidP="00343CB6">
      <w:pPr>
        <w:tabs>
          <w:tab w:val="left" w:pos="-720"/>
        </w:tabs>
        <w:suppressAutoHyphens/>
        <w:spacing w:line="240" w:lineRule="auto"/>
        <w:ind w:firstLine="0"/>
        <w:contextualSpacing/>
        <w:rPr>
          <w:rFonts w:cs="Times New Roman"/>
          <w:spacing w:val="-3"/>
          <w:szCs w:val="26"/>
        </w:rPr>
      </w:pPr>
    </w:p>
    <w:p w:rsidR="00C02959" w:rsidRPr="007F70DF" w:rsidRDefault="00C02959" w:rsidP="00343CB6">
      <w:pPr>
        <w:tabs>
          <w:tab w:val="left" w:pos="-720"/>
        </w:tabs>
        <w:suppressAutoHyphens/>
        <w:spacing w:line="240" w:lineRule="auto"/>
        <w:ind w:firstLine="0"/>
        <w:contextualSpacing/>
        <w:rPr>
          <w:rFonts w:cs="Times New Roman"/>
          <w:spacing w:val="-3"/>
          <w:szCs w:val="26"/>
        </w:rPr>
      </w:pPr>
    </w:p>
    <w:p w:rsidR="005F34C6" w:rsidRDefault="00D73B3B" w:rsidP="00343CB6">
      <w:pPr>
        <w:tabs>
          <w:tab w:val="left" w:pos="1080"/>
          <w:tab w:val="left" w:pos="2610"/>
          <w:tab w:val="left" w:pos="4680"/>
        </w:tabs>
        <w:spacing w:line="240" w:lineRule="auto"/>
        <w:ind w:firstLine="0"/>
        <w:contextualSpacing/>
        <w:jc w:val="both"/>
        <w:rPr>
          <w:rFonts w:eastAsia="Calibri" w:cs="Times New Roman"/>
          <w:szCs w:val="26"/>
        </w:rPr>
      </w:pPr>
      <w:r w:rsidRPr="007F70DF">
        <w:rPr>
          <w:rFonts w:eastAsia="Calibri" w:cs="Times New Roman"/>
          <w:szCs w:val="26"/>
        </w:rPr>
        <w:t>Pennsylvania Public Utility Commission</w:t>
      </w:r>
      <w:r w:rsidR="005F34C6">
        <w:rPr>
          <w:rFonts w:eastAsia="Calibri" w:cs="Times New Roman"/>
          <w:szCs w:val="26"/>
        </w:rPr>
        <w:t>,</w:t>
      </w:r>
      <w:r w:rsidR="005F34C6" w:rsidRPr="005F34C6">
        <w:rPr>
          <w:rFonts w:eastAsia="Calibri" w:cs="Times New Roman"/>
          <w:szCs w:val="26"/>
        </w:rPr>
        <w:t xml:space="preserve"> </w:t>
      </w:r>
      <w:r w:rsidR="005F34C6">
        <w:rPr>
          <w:rFonts w:eastAsia="Calibri" w:cs="Times New Roman"/>
          <w:szCs w:val="26"/>
        </w:rPr>
        <w:tab/>
      </w:r>
      <w:r w:rsidR="005F34C6">
        <w:rPr>
          <w:rFonts w:eastAsia="Calibri" w:cs="Times New Roman"/>
          <w:szCs w:val="26"/>
        </w:rPr>
        <w:tab/>
      </w:r>
      <w:r w:rsidR="005F34C6">
        <w:rPr>
          <w:rFonts w:eastAsia="Calibri" w:cs="Times New Roman"/>
          <w:szCs w:val="26"/>
        </w:rPr>
        <w:tab/>
      </w:r>
      <w:r w:rsidR="005F34C6">
        <w:rPr>
          <w:rFonts w:eastAsia="Calibri" w:cs="Times New Roman"/>
          <w:szCs w:val="26"/>
        </w:rPr>
        <w:tab/>
      </w:r>
      <w:r w:rsidR="005F34C6">
        <w:rPr>
          <w:rFonts w:eastAsia="Calibri" w:cs="Times New Roman"/>
          <w:szCs w:val="26"/>
        </w:rPr>
        <w:tab/>
      </w:r>
      <w:r w:rsidR="005F34C6" w:rsidRPr="007F70DF">
        <w:rPr>
          <w:rFonts w:eastAsia="Calibri" w:cs="Times New Roman"/>
          <w:szCs w:val="26"/>
        </w:rPr>
        <w:t>R-2013-2360798</w:t>
      </w:r>
    </w:p>
    <w:p w:rsidR="005F34C6" w:rsidRDefault="005F34C6" w:rsidP="00343CB6">
      <w:pPr>
        <w:tabs>
          <w:tab w:val="left" w:pos="1080"/>
          <w:tab w:val="left" w:pos="2610"/>
          <w:tab w:val="left" w:pos="4680"/>
        </w:tabs>
        <w:spacing w:line="240" w:lineRule="auto"/>
        <w:ind w:firstLine="0"/>
        <w:contextualSpacing/>
        <w:jc w:val="both"/>
        <w:rPr>
          <w:rFonts w:eastAsia="Calibri" w:cs="Times New Roman"/>
          <w:szCs w:val="26"/>
        </w:rPr>
      </w:pPr>
      <w:r>
        <w:rPr>
          <w:rFonts w:eastAsia="Calibri" w:cs="Times New Roman"/>
          <w:szCs w:val="26"/>
        </w:rPr>
        <w:t>The Office of Consumer Advocate,</w:t>
      </w:r>
      <w:r w:rsidRPr="005F34C6">
        <w:rPr>
          <w:rFonts w:cs="Times New Roman"/>
          <w:szCs w:val="26"/>
        </w:rPr>
        <w:t xml:space="preserve"> </w:t>
      </w:r>
      <w:r>
        <w:rPr>
          <w:rFonts w:cs="Times New Roman"/>
          <w:szCs w:val="26"/>
        </w:rPr>
        <w:tab/>
      </w:r>
      <w:r>
        <w:rPr>
          <w:rFonts w:cs="Times New Roman"/>
          <w:szCs w:val="26"/>
        </w:rPr>
        <w:tab/>
      </w:r>
      <w:r>
        <w:rPr>
          <w:rFonts w:cs="Times New Roman"/>
          <w:szCs w:val="26"/>
        </w:rPr>
        <w:tab/>
      </w:r>
      <w:r>
        <w:rPr>
          <w:rFonts w:cs="Times New Roman"/>
          <w:szCs w:val="26"/>
        </w:rPr>
        <w:tab/>
      </w:r>
      <w:r>
        <w:rPr>
          <w:rFonts w:cs="Times New Roman"/>
          <w:szCs w:val="26"/>
        </w:rPr>
        <w:tab/>
      </w:r>
      <w:r w:rsidRPr="007F70DF">
        <w:rPr>
          <w:rFonts w:cs="Times New Roman"/>
          <w:szCs w:val="26"/>
        </w:rPr>
        <w:t>C-2013-2363612</w:t>
      </w:r>
    </w:p>
    <w:p w:rsidR="005F34C6" w:rsidRDefault="005F34C6" w:rsidP="00343CB6">
      <w:pPr>
        <w:tabs>
          <w:tab w:val="left" w:pos="1080"/>
          <w:tab w:val="left" w:pos="2610"/>
          <w:tab w:val="left" w:pos="4680"/>
        </w:tabs>
        <w:spacing w:line="240" w:lineRule="auto"/>
        <w:ind w:firstLine="0"/>
        <w:contextualSpacing/>
        <w:jc w:val="both"/>
        <w:rPr>
          <w:rFonts w:eastAsia="Calibri" w:cs="Times New Roman"/>
          <w:szCs w:val="26"/>
        </w:rPr>
      </w:pPr>
      <w:r>
        <w:rPr>
          <w:rFonts w:eastAsia="Calibri" w:cs="Times New Roman"/>
          <w:szCs w:val="26"/>
        </w:rPr>
        <w:t>The Office of Small Business Advocate,</w:t>
      </w:r>
      <w:r>
        <w:rPr>
          <w:rFonts w:cs="Times New Roman"/>
          <w:szCs w:val="26"/>
        </w:rPr>
        <w:tab/>
      </w:r>
      <w:r>
        <w:rPr>
          <w:rFonts w:cs="Times New Roman"/>
          <w:szCs w:val="26"/>
        </w:rPr>
        <w:tab/>
      </w:r>
      <w:r>
        <w:rPr>
          <w:rFonts w:cs="Times New Roman"/>
          <w:szCs w:val="26"/>
        </w:rPr>
        <w:tab/>
      </w:r>
      <w:r>
        <w:rPr>
          <w:rFonts w:cs="Times New Roman"/>
          <w:szCs w:val="26"/>
        </w:rPr>
        <w:tab/>
      </w:r>
      <w:r>
        <w:rPr>
          <w:rFonts w:cs="Times New Roman"/>
          <w:szCs w:val="26"/>
        </w:rPr>
        <w:tab/>
      </w:r>
      <w:r w:rsidRPr="007F70DF">
        <w:rPr>
          <w:rFonts w:cs="Times New Roman"/>
          <w:szCs w:val="26"/>
        </w:rPr>
        <w:t>C-2013-2363728</w:t>
      </w:r>
    </w:p>
    <w:p w:rsidR="00D73B3B" w:rsidRPr="007F70DF" w:rsidRDefault="005F34C6" w:rsidP="00343CB6">
      <w:pPr>
        <w:tabs>
          <w:tab w:val="left" w:pos="1080"/>
          <w:tab w:val="left" w:pos="2610"/>
          <w:tab w:val="left" w:pos="4680"/>
        </w:tabs>
        <w:spacing w:line="240" w:lineRule="auto"/>
        <w:ind w:firstLine="0"/>
        <w:contextualSpacing/>
        <w:jc w:val="both"/>
        <w:rPr>
          <w:rFonts w:eastAsia="Calibri" w:cs="Times New Roman"/>
          <w:szCs w:val="26"/>
        </w:rPr>
      </w:pPr>
      <w:r>
        <w:rPr>
          <w:rFonts w:eastAsia="Calibri" w:cs="Times New Roman"/>
          <w:szCs w:val="26"/>
        </w:rPr>
        <w:t>and Vincent E. Collier</w:t>
      </w:r>
      <w:r w:rsidRPr="005F34C6">
        <w:rPr>
          <w:rFonts w:cs="Times New Roman"/>
          <w:szCs w:val="26"/>
        </w:rPr>
        <w:t xml:space="preserve"> </w:t>
      </w:r>
      <w:r>
        <w:rPr>
          <w:rFonts w:cs="Times New Roman"/>
          <w:szCs w:val="26"/>
        </w:rPr>
        <w:tab/>
      </w:r>
      <w:r>
        <w:rPr>
          <w:rFonts w:cs="Times New Roman"/>
          <w:szCs w:val="26"/>
        </w:rPr>
        <w:tab/>
      </w:r>
      <w:r>
        <w:rPr>
          <w:rFonts w:cs="Times New Roman"/>
          <w:szCs w:val="26"/>
        </w:rPr>
        <w:tab/>
      </w:r>
      <w:r>
        <w:rPr>
          <w:rFonts w:cs="Times New Roman"/>
          <w:szCs w:val="26"/>
        </w:rPr>
        <w:tab/>
      </w:r>
      <w:r>
        <w:rPr>
          <w:rFonts w:cs="Times New Roman"/>
          <w:szCs w:val="26"/>
        </w:rPr>
        <w:tab/>
      </w:r>
      <w:r>
        <w:rPr>
          <w:rFonts w:cs="Times New Roman"/>
          <w:szCs w:val="26"/>
        </w:rPr>
        <w:tab/>
      </w:r>
      <w:r w:rsidRPr="007F70DF">
        <w:rPr>
          <w:rFonts w:cs="Times New Roman"/>
          <w:szCs w:val="26"/>
        </w:rPr>
        <w:t>C-2013-2364726</w:t>
      </w:r>
      <w:r w:rsidR="00D73B3B" w:rsidRPr="007F70DF">
        <w:rPr>
          <w:rFonts w:eastAsia="Calibri" w:cs="Times New Roman"/>
          <w:szCs w:val="26"/>
        </w:rPr>
        <w:tab/>
      </w:r>
      <w:r w:rsidR="00EA224A" w:rsidRPr="007F70DF">
        <w:rPr>
          <w:rFonts w:eastAsia="Calibri" w:cs="Times New Roman"/>
          <w:szCs w:val="26"/>
        </w:rPr>
        <w:tab/>
      </w:r>
      <w:r w:rsidR="00D73B3B" w:rsidRPr="007F70DF">
        <w:rPr>
          <w:rFonts w:eastAsia="Calibri" w:cs="Times New Roman"/>
          <w:szCs w:val="26"/>
        </w:rPr>
        <w:fldChar w:fldCharType="begin"/>
      </w:r>
      <w:r w:rsidR="00D73B3B" w:rsidRPr="007F70DF">
        <w:rPr>
          <w:rFonts w:eastAsia="Calibri" w:cs="Times New Roman"/>
          <w:szCs w:val="26"/>
        </w:rPr>
        <w:instrText>fillin "Complainant's Name" \d ""</w:instrText>
      </w:r>
      <w:r w:rsidR="00D73B3B" w:rsidRPr="007F70DF">
        <w:rPr>
          <w:rFonts w:eastAsia="Calibri" w:cs="Times New Roman"/>
          <w:szCs w:val="26"/>
        </w:rPr>
        <w:fldChar w:fldCharType="end"/>
      </w:r>
      <w:r w:rsidR="00D73B3B" w:rsidRPr="007F70DF">
        <w:rPr>
          <w:rFonts w:eastAsia="Calibri" w:cs="Times New Roman"/>
          <w:szCs w:val="26"/>
        </w:rPr>
        <w:tab/>
      </w:r>
      <w:r w:rsidR="00D73B3B" w:rsidRPr="007F70DF">
        <w:rPr>
          <w:rFonts w:eastAsia="Calibri" w:cs="Times New Roman"/>
          <w:szCs w:val="26"/>
        </w:rPr>
        <w:tab/>
      </w:r>
      <w:r w:rsidR="00D73B3B" w:rsidRPr="007F70DF">
        <w:rPr>
          <w:rFonts w:eastAsia="Calibri" w:cs="Times New Roman"/>
          <w:szCs w:val="26"/>
        </w:rPr>
        <w:tab/>
      </w:r>
      <w:r w:rsidR="00EA224A" w:rsidRPr="007F70DF">
        <w:rPr>
          <w:rFonts w:eastAsia="Calibri" w:cs="Times New Roman"/>
          <w:szCs w:val="26"/>
        </w:rPr>
        <w:tab/>
      </w:r>
      <w:r w:rsidR="00D73B3B" w:rsidRPr="007F70DF">
        <w:rPr>
          <w:rFonts w:eastAsia="Calibri" w:cs="Times New Roman"/>
          <w:szCs w:val="26"/>
        </w:rPr>
        <w:t xml:space="preserve"> </w:t>
      </w:r>
    </w:p>
    <w:p w:rsidR="00D73B3B" w:rsidRPr="007F70DF" w:rsidRDefault="00D73B3B" w:rsidP="00B10D2A">
      <w:pPr>
        <w:spacing w:line="240" w:lineRule="auto"/>
        <w:ind w:left="720" w:firstLine="720"/>
        <w:contextualSpacing/>
        <w:jc w:val="both"/>
        <w:rPr>
          <w:rFonts w:eastAsia="Calibri" w:cs="Times New Roman"/>
          <w:szCs w:val="26"/>
        </w:rPr>
      </w:pPr>
      <w:r w:rsidRPr="007F70DF">
        <w:rPr>
          <w:rFonts w:eastAsia="Calibri" w:cs="Times New Roman"/>
          <w:szCs w:val="26"/>
        </w:rPr>
        <w:t>v.</w:t>
      </w:r>
      <w:r w:rsidRPr="007F70DF">
        <w:rPr>
          <w:rFonts w:eastAsia="Calibri" w:cs="Times New Roman"/>
          <w:szCs w:val="26"/>
        </w:rPr>
        <w:tab/>
      </w:r>
      <w:r w:rsidRPr="007F70DF">
        <w:rPr>
          <w:rFonts w:eastAsia="Calibri" w:cs="Times New Roman"/>
          <w:szCs w:val="26"/>
        </w:rPr>
        <w:tab/>
      </w:r>
      <w:r w:rsidRPr="007F70DF">
        <w:rPr>
          <w:rFonts w:eastAsia="Calibri" w:cs="Times New Roman"/>
          <w:szCs w:val="26"/>
        </w:rPr>
        <w:tab/>
      </w:r>
    </w:p>
    <w:p w:rsidR="00D73B3B" w:rsidRPr="007F70DF" w:rsidRDefault="00D73B3B" w:rsidP="00343CB6">
      <w:pPr>
        <w:tabs>
          <w:tab w:val="left" w:pos="1080"/>
          <w:tab w:val="left" w:pos="2610"/>
          <w:tab w:val="left" w:pos="4680"/>
        </w:tabs>
        <w:spacing w:line="240" w:lineRule="auto"/>
        <w:ind w:firstLine="0"/>
        <w:contextualSpacing/>
        <w:jc w:val="both"/>
        <w:rPr>
          <w:rFonts w:eastAsia="Calibri" w:cs="Times New Roman"/>
          <w:szCs w:val="26"/>
        </w:rPr>
      </w:pPr>
      <w:r w:rsidRPr="007F70DF">
        <w:rPr>
          <w:rFonts w:eastAsia="Calibri" w:cs="Times New Roman"/>
          <w:szCs w:val="26"/>
        </w:rPr>
        <w:tab/>
      </w:r>
      <w:r w:rsidRPr="007F70DF">
        <w:rPr>
          <w:rFonts w:eastAsia="Calibri" w:cs="Times New Roman"/>
          <w:szCs w:val="26"/>
        </w:rPr>
        <w:tab/>
        <w:t xml:space="preserve">  </w:t>
      </w:r>
      <w:r w:rsidRPr="007F70DF">
        <w:rPr>
          <w:rFonts w:eastAsia="Calibri" w:cs="Times New Roman"/>
          <w:szCs w:val="26"/>
        </w:rPr>
        <w:tab/>
      </w:r>
      <w:r w:rsidR="00EA224A" w:rsidRPr="007F70DF">
        <w:rPr>
          <w:rFonts w:eastAsia="Calibri" w:cs="Times New Roman"/>
          <w:szCs w:val="26"/>
        </w:rPr>
        <w:tab/>
      </w:r>
    </w:p>
    <w:p w:rsidR="00D73B3B" w:rsidRPr="007F70DF" w:rsidRDefault="00D73B3B" w:rsidP="00343CB6">
      <w:pPr>
        <w:tabs>
          <w:tab w:val="left" w:pos="1080"/>
          <w:tab w:val="left" w:pos="2610"/>
          <w:tab w:val="left" w:pos="4680"/>
        </w:tabs>
        <w:spacing w:line="240" w:lineRule="auto"/>
        <w:ind w:firstLine="0"/>
        <w:contextualSpacing/>
        <w:jc w:val="both"/>
        <w:rPr>
          <w:rFonts w:eastAsia="Calibri" w:cs="Times New Roman"/>
          <w:szCs w:val="26"/>
        </w:rPr>
      </w:pPr>
      <w:r w:rsidRPr="007F70DF">
        <w:rPr>
          <w:rFonts w:eastAsia="Calibri" w:cs="Times New Roman"/>
          <w:szCs w:val="26"/>
        </w:rPr>
        <w:t>The Columbia Water Company</w:t>
      </w:r>
      <w:r w:rsidRPr="007F70DF">
        <w:rPr>
          <w:rFonts w:eastAsia="Calibri" w:cs="Times New Roman"/>
          <w:szCs w:val="26"/>
        </w:rPr>
        <w:tab/>
      </w:r>
      <w:r w:rsidR="00EA224A" w:rsidRPr="007F70DF">
        <w:rPr>
          <w:rFonts w:eastAsia="Calibri" w:cs="Times New Roman"/>
          <w:szCs w:val="26"/>
        </w:rPr>
        <w:tab/>
      </w:r>
    </w:p>
    <w:p w:rsidR="00561D8A" w:rsidRPr="007F70DF" w:rsidRDefault="00E178CF" w:rsidP="00343CB6">
      <w:pPr>
        <w:spacing w:line="240" w:lineRule="auto"/>
        <w:ind w:firstLine="0"/>
        <w:contextualSpacing/>
        <w:rPr>
          <w:rFonts w:cs="Times New Roman"/>
          <w:szCs w:val="26"/>
        </w:rPr>
      </w:pPr>
      <w:r w:rsidRPr="007F70DF">
        <w:rPr>
          <w:rFonts w:cs="Times New Roman"/>
          <w:szCs w:val="26"/>
        </w:rPr>
        <w:tab/>
      </w:r>
      <w:r w:rsidRPr="007F70DF">
        <w:rPr>
          <w:rFonts w:cs="Times New Roman"/>
          <w:szCs w:val="26"/>
        </w:rPr>
        <w:tab/>
      </w:r>
      <w:r w:rsidRPr="007F70DF">
        <w:rPr>
          <w:rFonts w:cs="Times New Roman"/>
          <w:szCs w:val="26"/>
        </w:rPr>
        <w:tab/>
      </w:r>
      <w:r w:rsidRPr="007F70DF">
        <w:rPr>
          <w:rFonts w:cs="Times New Roman"/>
          <w:szCs w:val="26"/>
        </w:rPr>
        <w:tab/>
      </w:r>
      <w:r w:rsidRPr="007F70DF">
        <w:rPr>
          <w:rFonts w:cs="Times New Roman"/>
          <w:szCs w:val="26"/>
        </w:rPr>
        <w:tab/>
      </w:r>
      <w:r w:rsidRPr="007F70DF">
        <w:rPr>
          <w:rFonts w:cs="Times New Roman"/>
          <w:szCs w:val="26"/>
        </w:rPr>
        <w:tab/>
      </w:r>
      <w:r w:rsidR="00EA224A" w:rsidRPr="007F70DF">
        <w:rPr>
          <w:rFonts w:cs="Times New Roman"/>
          <w:szCs w:val="26"/>
        </w:rPr>
        <w:tab/>
      </w:r>
    </w:p>
    <w:p w:rsidR="00E178CF" w:rsidRPr="007F70DF" w:rsidRDefault="00E178CF" w:rsidP="00343CB6">
      <w:pPr>
        <w:spacing w:line="240" w:lineRule="auto"/>
        <w:ind w:firstLine="0"/>
        <w:contextualSpacing/>
        <w:rPr>
          <w:rFonts w:cs="Times New Roman"/>
          <w:szCs w:val="26"/>
        </w:rPr>
      </w:pPr>
      <w:r w:rsidRPr="007F70DF">
        <w:rPr>
          <w:rFonts w:cs="Times New Roman"/>
          <w:szCs w:val="26"/>
        </w:rPr>
        <w:tab/>
      </w:r>
      <w:r w:rsidRPr="007F70DF">
        <w:rPr>
          <w:rFonts w:cs="Times New Roman"/>
          <w:szCs w:val="26"/>
        </w:rPr>
        <w:tab/>
      </w:r>
      <w:r w:rsidRPr="007F70DF">
        <w:rPr>
          <w:rFonts w:cs="Times New Roman"/>
          <w:szCs w:val="26"/>
        </w:rPr>
        <w:tab/>
      </w:r>
      <w:r w:rsidRPr="007F70DF">
        <w:rPr>
          <w:rFonts w:cs="Times New Roman"/>
          <w:szCs w:val="26"/>
        </w:rPr>
        <w:tab/>
      </w:r>
      <w:r w:rsidRPr="007F70DF">
        <w:rPr>
          <w:rFonts w:cs="Times New Roman"/>
          <w:szCs w:val="26"/>
        </w:rPr>
        <w:tab/>
      </w:r>
      <w:r w:rsidRPr="007F70DF">
        <w:rPr>
          <w:rFonts w:cs="Times New Roman"/>
          <w:szCs w:val="26"/>
        </w:rPr>
        <w:tab/>
      </w:r>
      <w:r w:rsidR="00EA224A" w:rsidRPr="007F70DF">
        <w:rPr>
          <w:rFonts w:cs="Times New Roman"/>
          <w:szCs w:val="26"/>
        </w:rPr>
        <w:tab/>
      </w:r>
    </w:p>
    <w:p w:rsidR="00E178CF" w:rsidRPr="007F70DF" w:rsidRDefault="00E178CF" w:rsidP="00343CB6">
      <w:pPr>
        <w:spacing w:line="240" w:lineRule="auto"/>
        <w:ind w:firstLine="0"/>
        <w:contextualSpacing/>
        <w:rPr>
          <w:rFonts w:cs="Times New Roman"/>
          <w:szCs w:val="26"/>
        </w:rPr>
      </w:pPr>
      <w:r w:rsidRPr="007F70DF">
        <w:rPr>
          <w:rFonts w:cs="Times New Roman"/>
          <w:szCs w:val="26"/>
        </w:rPr>
        <w:tab/>
      </w:r>
      <w:r w:rsidRPr="007F70DF">
        <w:rPr>
          <w:rFonts w:cs="Times New Roman"/>
          <w:szCs w:val="26"/>
        </w:rPr>
        <w:tab/>
      </w:r>
    </w:p>
    <w:p w:rsidR="00AC06AF" w:rsidRPr="005F34C6" w:rsidRDefault="005F34C6" w:rsidP="00343CB6">
      <w:pPr>
        <w:spacing w:line="240" w:lineRule="auto"/>
        <w:ind w:firstLine="0"/>
        <w:contextualSpacing/>
        <w:jc w:val="center"/>
        <w:rPr>
          <w:rFonts w:cs="Times New Roman"/>
          <w:szCs w:val="26"/>
        </w:rPr>
      </w:pPr>
      <w:r>
        <w:rPr>
          <w:rFonts w:cs="Times New Roman"/>
          <w:b/>
          <w:bCs/>
          <w:spacing w:val="-3"/>
          <w:szCs w:val="26"/>
        </w:rPr>
        <w:t>OPINION AND ORDER</w:t>
      </w:r>
    </w:p>
    <w:p w:rsidR="00AC06AF" w:rsidRPr="007F70DF" w:rsidRDefault="00AC06AF" w:rsidP="00343CB6">
      <w:pPr>
        <w:tabs>
          <w:tab w:val="center" w:pos="4680"/>
        </w:tabs>
        <w:suppressAutoHyphens/>
        <w:spacing w:line="240" w:lineRule="auto"/>
        <w:ind w:firstLine="0"/>
        <w:contextualSpacing/>
        <w:jc w:val="center"/>
        <w:rPr>
          <w:rFonts w:cs="Times New Roman"/>
          <w:b/>
          <w:bCs/>
          <w:spacing w:val="-3"/>
          <w:szCs w:val="26"/>
          <w:u w:val="single"/>
        </w:rPr>
      </w:pPr>
    </w:p>
    <w:p w:rsidR="00AC06AF" w:rsidRPr="007F70DF" w:rsidRDefault="00AC06AF" w:rsidP="00B949AC">
      <w:pPr>
        <w:tabs>
          <w:tab w:val="center" w:pos="4680"/>
        </w:tabs>
        <w:suppressAutoHyphens/>
        <w:spacing w:line="240" w:lineRule="auto"/>
        <w:contextualSpacing/>
        <w:jc w:val="center"/>
        <w:rPr>
          <w:rFonts w:cs="Times New Roman"/>
          <w:b/>
          <w:bCs/>
          <w:spacing w:val="-3"/>
          <w:szCs w:val="26"/>
          <w:u w:val="single"/>
        </w:rPr>
      </w:pPr>
    </w:p>
    <w:p w:rsidR="00AC06AF" w:rsidRPr="007F70DF" w:rsidRDefault="00AC06AF" w:rsidP="00B949AC">
      <w:pPr>
        <w:tabs>
          <w:tab w:val="center" w:pos="4680"/>
        </w:tabs>
        <w:suppressAutoHyphens/>
        <w:spacing w:line="240" w:lineRule="auto"/>
        <w:contextualSpacing/>
        <w:jc w:val="center"/>
        <w:rPr>
          <w:rFonts w:cs="Times New Roman"/>
          <w:bCs/>
          <w:spacing w:val="-3"/>
          <w:szCs w:val="26"/>
        </w:rPr>
      </w:pPr>
    </w:p>
    <w:p w:rsidR="00F80883" w:rsidRPr="007F70DF" w:rsidRDefault="00F80883" w:rsidP="00047866">
      <w:pPr>
        <w:contextualSpacing/>
        <w:rPr>
          <w:rFonts w:cs="Times New Roman"/>
          <w:szCs w:val="26"/>
        </w:rPr>
      </w:pPr>
    </w:p>
    <w:p w:rsidR="00F06452" w:rsidRPr="007F70DF" w:rsidRDefault="00F06452" w:rsidP="00047866">
      <w:pPr>
        <w:contextualSpacing/>
        <w:jc w:val="center"/>
        <w:rPr>
          <w:rFonts w:cs="Times New Roman"/>
          <w:szCs w:val="26"/>
        </w:rPr>
        <w:sectPr w:rsidR="00F06452" w:rsidRPr="007F70DF" w:rsidSect="00047866">
          <w:footerReference w:type="even" r:id="rId9"/>
          <w:footerReference w:type="default" r:id="rId10"/>
          <w:pgSz w:w="12240" w:h="15840" w:code="1"/>
          <w:pgMar w:top="1296" w:right="1296" w:bottom="1296" w:left="1296" w:header="720" w:footer="720" w:gutter="0"/>
          <w:cols w:space="720"/>
          <w:noEndnote/>
          <w:titlePg/>
          <w:docGrid w:linePitch="326"/>
        </w:sectPr>
      </w:pPr>
    </w:p>
    <w:sdt>
      <w:sdtPr>
        <w:rPr>
          <w:rFonts w:ascii="Times New Roman" w:eastAsia="Times New Roman" w:hAnsi="Times New Roman" w:cs="CG Times"/>
          <w:b w:val="0"/>
          <w:bCs w:val="0"/>
          <w:color w:val="auto"/>
          <w:sz w:val="26"/>
          <w:szCs w:val="24"/>
          <w:lang w:eastAsia="en-US"/>
        </w:rPr>
        <w:id w:val="-1213272090"/>
        <w:docPartObj>
          <w:docPartGallery w:val="Table of Contents"/>
          <w:docPartUnique/>
        </w:docPartObj>
      </w:sdtPr>
      <w:sdtEndPr>
        <w:rPr>
          <w:noProof/>
        </w:rPr>
      </w:sdtEndPr>
      <w:sdtContent>
        <w:p w:rsidR="00343CB6" w:rsidRPr="00E278D4" w:rsidRDefault="00343CB6" w:rsidP="00E278D4">
          <w:pPr>
            <w:pStyle w:val="TOCHeading"/>
            <w:jc w:val="center"/>
            <w:rPr>
              <w:rFonts w:ascii="Times New Roman" w:hAnsi="Times New Roman" w:cs="Times New Roman"/>
              <w:color w:val="auto"/>
              <w:sz w:val="26"/>
              <w:szCs w:val="26"/>
            </w:rPr>
          </w:pPr>
          <w:r w:rsidRPr="00E278D4">
            <w:rPr>
              <w:rFonts w:ascii="Times New Roman" w:hAnsi="Times New Roman" w:cs="Times New Roman"/>
              <w:color w:val="auto"/>
              <w:sz w:val="26"/>
              <w:szCs w:val="26"/>
            </w:rPr>
            <w:t>Contents</w:t>
          </w:r>
        </w:p>
        <w:p w:rsidR="00E278D4" w:rsidRPr="00E278D4" w:rsidRDefault="00E278D4" w:rsidP="00E278D4">
          <w:pPr>
            <w:rPr>
              <w:lang w:eastAsia="ja-JP"/>
            </w:rPr>
          </w:pPr>
        </w:p>
        <w:p w:rsidR="008D3953" w:rsidRDefault="00343CB6">
          <w:pPr>
            <w:pStyle w:val="TOC1"/>
            <w:rPr>
              <w:rFonts w:asciiTheme="minorHAnsi" w:eastAsiaTheme="minorEastAsia" w:hAnsiTheme="minorHAnsi" w:cstheme="minorBidi"/>
              <w:noProof/>
              <w:sz w:val="22"/>
              <w:szCs w:val="22"/>
            </w:rPr>
          </w:pPr>
          <w:r w:rsidRPr="00E278D4">
            <w:rPr>
              <w:rFonts w:cs="Times New Roman"/>
              <w:szCs w:val="26"/>
            </w:rPr>
            <w:fldChar w:fldCharType="begin"/>
          </w:r>
          <w:r w:rsidRPr="00E278D4">
            <w:rPr>
              <w:rFonts w:cs="Times New Roman"/>
              <w:szCs w:val="26"/>
            </w:rPr>
            <w:instrText xml:space="preserve"> TOC \o "1-3" \h \z \u </w:instrText>
          </w:r>
          <w:r w:rsidRPr="00E278D4">
            <w:rPr>
              <w:rFonts w:cs="Times New Roman"/>
              <w:szCs w:val="26"/>
            </w:rPr>
            <w:fldChar w:fldCharType="separate"/>
          </w:r>
          <w:hyperlink w:anchor="_Toc378080147" w:history="1">
            <w:r w:rsidR="008D3953" w:rsidRPr="006C0981">
              <w:rPr>
                <w:rStyle w:val="Hyperlink"/>
                <w:rFonts w:cs="Times New Roman"/>
                <w:noProof/>
              </w:rPr>
              <w:t>I.</w:t>
            </w:r>
            <w:r w:rsidR="008D3953">
              <w:rPr>
                <w:rFonts w:asciiTheme="minorHAnsi" w:eastAsiaTheme="minorEastAsia" w:hAnsiTheme="minorHAnsi" w:cstheme="minorBidi"/>
                <w:noProof/>
                <w:sz w:val="22"/>
                <w:szCs w:val="22"/>
              </w:rPr>
              <w:tab/>
              <w:t xml:space="preserve">  </w:t>
            </w:r>
            <w:r w:rsidR="008D3953" w:rsidRPr="006C0981">
              <w:rPr>
                <w:rStyle w:val="Hyperlink"/>
                <w:noProof/>
              </w:rPr>
              <w:t>History of the Proceeding</w:t>
            </w:r>
            <w:r w:rsidR="008D3953">
              <w:rPr>
                <w:noProof/>
                <w:webHidden/>
              </w:rPr>
              <w:tab/>
            </w:r>
            <w:r w:rsidR="008D3953">
              <w:rPr>
                <w:noProof/>
                <w:webHidden/>
              </w:rPr>
              <w:fldChar w:fldCharType="begin"/>
            </w:r>
            <w:r w:rsidR="008D3953">
              <w:rPr>
                <w:noProof/>
                <w:webHidden/>
              </w:rPr>
              <w:instrText xml:space="preserve"> PAGEREF _Toc378080147 \h </w:instrText>
            </w:r>
            <w:r w:rsidR="008D3953">
              <w:rPr>
                <w:noProof/>
                <w:webHidden/>
              </w:rPr>
            </w:r>
            <w:r w:rsidR="008D3953">
              <w:rPr>
                <w:noProof/>
                <w:webHidden/>
              </w:rPr>
              <w:fldChar w:fldCharType="separate"/>
            </w:r>
            <w:r w:rsidR="00491B8C">
              <w:rPr>
                <w:noProof/>
                <w:webHidden/>
              </w:rPr>
              <w:t>1</w:t>
            </w:r>
            <w:r w:rsidR="008D3953">
              <w:rPr>
                <w:noProof/>
                <w:webHidden/>
              </w:rPr>
              <w:fldChar w:fldCharType="end"/>
            </w:r>
          </w:hyperlink>
        </w:p>
        <w:p w:rsidR="008D3953" w:rsidRDefault="009A24C6">
          <w:pPr>
            <w:pStyle w:val="TOC1"/>
            <w:rPr>
              <w:rFonts w:asciiTheme="minorHAnsi" w:eastAsiaTheme="minorEastAsia" w:hAnsiTheme="minorHAnsi" w:cstheme="minorBidi"/>
              <w:noProof/>
              <w:sz w:val="22"/>
              <w:szCs w:val="22"/>
            </w:rPr>
          </w:pPr>
          <w:hyperlink w:anchor="_Toc378080148" w:history="1">
            <w:r w:rsidR="008D3953" w:rsidRPr="006C0981">
              <w:rPr>
                <w:rStyle w:val="Hyperlink"/>
                <w:rFonts w:cs="Times New Roman"/>
                <w:noProof/>
              </w:rPr>
              <w:t>II.</w:t>
            </w:r>
            <w:r w:rsidR="008D3953">
              <w:rPr>
                <w:rFonts w:asciiTheme="minorHAnsi" w:eastAsiaTheme="minorEastAsia" w:hAnsiTheme="minorHAnsi" w:cstheme="minorBidi"/>
                <w:noProof/>
                <w:sz w:val="22"/>
                <w:szCs w:val="22"/>
              </w:rPr>
              <w:tab/>
              <w:t xml:space="preserve">  </w:t>
            </w:r>
            <w:r w:rsidR="008D3953" w:rsidRPr="006C0981">
              <w:rPr>
                <w:rStyle w:val="Hyperlink"/>
                <w:noProof/>
              </w:rPr>
              <w:t>Background</w:t>
            </w:r>
            <w:r w:rsidR="008D3953">
              <w:rPr>
                <w:noProof/>
                <w:webHidden/>
              </w:rPr>
              <w:tab/>
            </w:r>
            <w:r w:rsidR="008D3953">
              <w:rPr>
                <w:noProof/>
                <w:webHidden/>
              </w:rPr>
              <w:fldChar w:fldCharType="begin"/>
            </w:r>
            <w:r w:rsidR="008D3953">
              <w:rPr>
                <w:noProof/>
                <w:webHidden/>
              </w:rPr>
              <w:instrText xml:space="preserve"> PAGEREF _Toc378080148 \h </w:instrText>
            </w:r>
            <w:r w:rsidR="008D3953">
              <w:rPr>
                <w:noProof/>
                <w:webHidden/>
              </w:rPr>
            </w:r>
            <w:r w:rsidR="008D3953">
              <w:rPr>
                <w:noProof/>
                <w:webHidden/>
              </w:rPr>
              <w:fldChar w:fldCharType="separate"/>
            </w:r>
            <w:r w:rsidR="00491B8C">
              <w:rPr>
                <w:noProof/>
                <w:webHidden/>
              </w:rPr>
              <w:t>2</w:t>
            </w:r>
            <w:r w:rsidR="008D3953">
              <w:rPr>
                <w:noProof/>
                <w:webHidden/>
              </w:rPr>
              <w:fldChar w:fldCharType="end"/>
            </w:r>
          </w:hyperlink>
        </w:p>
        <w:p w:rsidR="008D3953" w:rsidRDefault="009A24C6">
          <w:pPr>
            <w:pStyle w:val="TOC1"/>
            <w:tabs>
              <w:tab w:val="left" w:pos="1080"/>
            </w:tabs>
            <w:rPr>
              <w:rFonts w:asciiTheme="minorHAnsi" w:eastAsiaTheme="minorEastAsia" w:hAnsiTheme="minorHAnsi" w:cstheme="minorBidi"/>
              <w:noProof/>
              <w:sz w:val="22"/>
              <w:szCs w:val="22"/>
            </w:rPr>
          </w:pPr>
          <w:hyperlink w:anchor="_Toc378080149" w:history="1">
            <w:r w:rsidR="008D3953" w:rsidRPr="006C0981">
              <w:rPr>
                <w:rStyle w:val="Hyperlink"/>
                <w:rFonts w:cs="Times New Roman"/>
                <w:noProof/>
              </w:rPr>
              <w:t>III.</w:t>
            </w:r>
            <w:r w:rsidR="008D3953">
              <w:rPr>
                <w:rStyle w:val="Hyperlink"/>
                <w:rFonts w:cs="Times New Roman"/>
                <w:noProof/>
              </w:rPr>
              <w:t xml:space="preserve"> </w:t>
            </w:r>
            <w:r w:rsidR="008D3953" w:rsidRPr="006C0981">
              <w:rPr>
                <w:rStyle w:val="Hyperlink"/>
                <w:noProof/>
              </w:rPr>
              <w:t>Discussion</w:t>
            </w:r>
            <w:r w:rsidR="008D3953">
              <w:rPr>
                <w:noProof/>
                <w:webHidden/>
              </w:rPr>
              <w:tab/>
            </w:r>
            <w:r w:rsidR="008D3953">
              <w:rPr>
                <w:noProof/>
                <w:webHidden/>
              </w:rPr>
              <w:fldChar w:fldCharType="begin"/>
            </w:r>
            <w:r w:rsidR="008D3953">
              <w:rPr>
                <w:noProof/>
                <w:webHidden/>
              </w:rPr>
              <w:instrText xml:space="preserve"> PAGEREF _Toc378080149 \h </w:instrText>
            </w:r>
            <w:r w:rsidR="008D3953">
              <w:rPr>
                <w:noProof/>
                <w:webHidden/>
              </w:rPr>
            </w:r>
            <w:r w:rsidR="008D3953">
              <w:rPr>
                <w:noProof/>
                <w:webHidden/>
              </w:rPr>
              <w:fldChar w:fldCharType="separate"/>
            </w:r>
            <w:r w:rsidR="00491B8C">
              <w:rPr>
                <w:noProof/>
                <w:webHidden/>
              </w:rPr>
              <w:t>3</w:t>
            </w:r>
            <w:r w:rsidR="008D3953">
              <w:rPr>
                <w:noProof/>
                <w:webHidden/>
              </w:rPr>
              <w:fldChar w:fldCharType="end"/>
            </w:r>
          </w:hyperlink>
        </w:p>
        <w:p w:rsidR="008D3953" w:rsidRDefault="009A24C6">
          <w:pPr>
            <w:pStyle w:val="TOC2"/>
            <w:rPr>
              <w:rFonts w:asciiTheme="minorHAnsi" w:eastAsiaTheme="minorEastAsia" w:hAnsiTheme="minorHAnsi" w:cstheme="minorBidi"/>
              <w:noProof/>
              <w:sz w:val="22"/>
              <w:szCs w:val="22"/>
            </w:rPr>
          </w:pPr>
          <w:hyperlink w:anchor="_Toc378080150" w:history="1">
            <w:r w:rsidR="008D3953" w:rsidRPr="006C0981">
              <w:rPr>
                <w:rStyle w:val="Hyperlink"/>
                <w:noProof/>
              </w:rPr>
              <w:t>A.</w:t>
            </w:r>
            <w:r w:rsidR="008D3953">
              <w:rPr>
                <w:rStyle w:val="Hyperlink"/>
                <w:noProof/>
              </w:rPr>
              <w:t xml:space="preserve"> </w:t>
            </w:r>
            <w:r w:rsidR="008D3953" w:rsidRPr="006C0981">
              <w:rPr>
                <w:rStyle w:val="Hyperlink"/>
                <w:noProof/>
              </w:rPr>
              <w:t>Legal Principles</w:t>
            </w:r>
            <w:r w:rsidR="008D3953">
              <w:rPr>
                <w:noProof/>
                <w:webHidden/>
              </w:rPr>
              <w:tab/>
            </w:r>
            <w:r w:rsidR="008D3953">
              <w:rPr>
                <w:noProof/>
                <w:webHidden/>
              </w:rPr>
              <w:fldChar w:fldCharType="begin"/>
            </w:r>
            <w:r w:rsidR="008D3953">
              <w:rPr>
                <w:noProof/>
                <w:webHidden/>
              </w:rPr>
              <w:instrText xml:space="preserve"> PAGEREF _Toc378080150 \h </w:instrText>
            </w:r>
            <w:r w:rsidR="008D3953">
              <w:rPr>
                <w:noProof/>
                <w:webHidden/>
              </w:rPr>
            </w:r>
            <w:r w:rsidR="008D3953">
              <w:rPr>
                <w:noProof/>
                <w:webHidden/>
              </w:rPr>
              <w:fldChar w:fldCharType="separate"/>
            </w:r>
            <w:r w:rsidR="00491B8C">
              <w:rPr>
                <w:noProof/>
                <w:webHidden/>
              </w:rPr>
              <w:t>3</w:t>
            </w:r>
            <w:r w:rsidR="008D3953">
              <w:rPr>
                <w:noProof/>
                <w:webHidden/>
              </w:rPr>
              <w:fldChar w:fldCharType="end"/>
            </w:r>
          </w:hyperlink>
        </w:p>
        <w:p w:rsidR="008D3953" w:rsidRDefault="009A24C6">
          <w:pPr>
            <w:pStyle w:val="TOC2"/>
            <w:rPr>
              <w:rFonts w:asciiTheme="minorHAnsi" w:eastAsiaTheme="minorEastAsia" w:hAnsiTheme="minorHAnsi" w:cstheme="minorBidi"/>
              <w:noProof/>
              <w:sz w:val="22"/>
              <w:szCs w:val="22"/>
            </w:rPr>
          </w:pPr>
          <w:hyperlink w:anchor="_Toc378080151" w:history="1">
            <w:r w:rsidR="008D3953" w:rsidRPr="006C0981">
              <w:rPr>
                <w:rStyle w:val="Hyperlink"/>
                <w:noProof/>
              </w:rPr>
              <w:t>B.</w:t>
            </w:r>
            <w:r w:rsidR="008D3953">
              <w:rPr>
                <w:rStyle w:val="Hyperlink"/>
                <w:noProof/>
              </w:rPr>
              <w:t xml:space="preserve"> </w:t>
            </w:r>
            <w:r w:rsidR="008D3953" w:rsidRPr="006C0981">
              <w:rPr>
                <w:rStyle w:val="Hyperlink"/>
                <w:noProof/>
              </w:rPr>
              <w:t>Rate Base</w:t>
            </w:r>
            <w:r w:rsidR="008D3953">
              <w:rPr>
                <w:noProof/>
                <w:webHidden/>
              </w:rPr>
              <w:tab/>
            </w:r>
            <w:r w:rsidR="008D3953">
              <w:rPr>
                <w:noProof/>
                <w:webHidden/>
              </w:rPr>
              <w:fldChar w:fldCharType="begin"/>
            </w:r>
            <w:r w:rsidR="008D3953">
              <w:rPr>
                <w:noProof/>
                <w:webHidden/>
              </w:rPr>
              <w:instrText xml:space="preserve"> PAGEREF _Toc378080151 \h </w:instrText>
            </w:r>
            <w:r w:rsidR="008D3953">
              <w:rPr>
                <w:noProof/>
                <w:webHidden/>
              </w:rPr>
            </w:r>
            <w:r w:rsidR="008D3953">
              <w:rPr>
                <w:noProof/>
                <w:webHidden/>
              </w:rPr>
              <w:fldChar w:fldCharType="separate"/>
            </w:r>
            <w:r w:rsidR="00491B8C">
              <w:rPr>
                <w:noProof/>
                <w:webHidden/>
              </w:rPr>
              <w:t>6</w:t>
            </w:r>
            <w:r w:rsidR="008D3953">
              <w:rPr>
                <w:noProof/>
                <w:webHidden/>
              </w:rPr>
              <w:fldChar w:fldCharType="end"/>
            </w:r>
          </w:hyperlink>
        </w:p>
        <w:p w:rsidR="008D3953" w:rsidRDefault="009A24C6" w:rsidP="008D3953">
          <w:pPr>
            <w:pStyle w:val="TOC3"/>
            <w:rPr>
              <w:rFonts w:asciiTheme="minorHAnsi" w:eastAsiaTheme="minorEastAsia" w:hAnsiTheme="minorHAnsi" w:cstheme="minorBidi"/>
              <w:sz w:val="22"/>
              <w:szCs w:val="22"/>
            </w:rPr>
          </w:pPr>
          <w:hyperlink w:anchor="_Toc378080152" w:history="1">
            <w:r w:rsidR="008D3953" w:rsidRPr="006C0981">
              <w:rPr>
                <w:rStyle w:val="Hyperlink"/>
              </w:rPr>
              <w:t>1.</w:t>
            </w:r>
            <w:r w:rsidR="008D3953">
              <w:rPr>
                <w:rFonts w:asciiTheme="minorHAnsi" w:eastAsiaTheme="minorEastAsia" w:hAnsiTheme="minorHAnsi" w:cstheme="minorBidi"/>
                <w:sz w:val="22"/>
                <w:szCs w:val="22"/>
              </w:rPr>
              <w:tab/>
            </w:r>
            <w:r w:rsidR="008D3953" w:rsidRPr="006C0981">
              <w:rPr>
                <w:rStyle w:val="Hyperlink"/>
              </w:rPr>
              <w:t>PennVest Book Depreciation Reserve</w:t>
            </w:r>
            <w:r w:rsidR="008D3953">
              <w:rPr>
                <w:webHidden/>
              </w:rPr>
              <w:tab/>
            </w:r>
            <w:r w:rsidR="008D3953">
              <w:rPr>
                <w:webHidden/>
              </w:rPr>
              <w:fldChar w:fldCharType="begin"/>
            </w:r>
            <w:r w:rsidR="008D3953">
              <w:rPr>
                <w:webHidden/>
              </w:rPr>
              <w:instrText xml:space="preserve"> PAGEREF _Toc378080152 \h </w:instrText>
            </w:r>
            <w:r w:rsidR="008D3953">
              <w:rPr>
                <w:webHidden/>
              </w:rPr>
            </w:r>
            <w:r w:rsidR="008D3953">
              <w:rPr>
                <w:webHidden/>
              </w:rPr>
              <w:fldChar w:fldCharType="separate"/>
            </w:r>
            <w:r w:rsidR="00491B8C">
              <w:rPr>
                <w:webHidden/>
              </w:rPr>
              <w:t>6</w:t>
            </w:r>
            <w:r w:rsidR="008D3953">
              <w:rPr>
                <w:webHidden/>
              </w:rPr>
              <w:fldChar w:fldCharType="end"/>
            </w:r>
          </w:hyperlink>
        </w:p>
        <w:p w:rsidR="008D3953" w:rsidRDefault="009A24C6" w:rsidP="008D3953">
          <w:pPr>
            <w:pStyle w:val="TOC3"/>
            <w:rPr>
              <w:rFonts w:asciiTheme="minorHAnsi" w:eastAsiaTheme="minorEastAsia" w:hAnsiTheme="minorHAnsi" w:cstheme="minorBidi"/>
              <w:sz w:val="22"/>
              <w:szCs w:val="22"/>
            </w:rPr>
          </w:pPr>
          <w:hyperlink w:anchor="_Toc378080153" w:history="1">
            <w:r w:rsidR="008D3953" w:rsidRPr="006C0981">
              <w:rPr>
                <w:rStyle w:val="Hyperlink"/>
              </w:rPr>
              <w:t>2.</w:t>
            </w:r>
            <w:r w:rsidR="008D3953">
              <w:rPr>
                <w:rFonts w:asciiTheme="minorHAnsi" w:eastAsiaTheme="minorEastAsia" w:hAnsiTheme="minorHAnsi" w:cstheme="minorBidi"/>
                <w:sz w:val="22"/>
                <w:szCs w:val="22"/>
              </w:rPr>
              <w:tab/>
            </w:r>
            <w:r w:rsidR="008D3953" w:rsidRPr="006C0981">
              <w:rPr>
                <w:rStyle w:val="Hyperlink"/>
                <w:rFonts w:ascii="Times" w:hAnsi="Times"/>
                <w:iCs/>
              </w:rPr>
              <w:t>Cash Working Capital</w:t>
            </w:r>
            <w:r w:rsidR="008D3953">
              <w:rPr>
                <w:webHidden/>
              </w:rPr>
              <w:tab/>
            </w:r>
            <w:r w:rsidR="008D3953">
              <w:rPr>
                <w:webHidden/>
              </w:rPr>
              <w:fldChar w:fldCharType="begin"/>
            </w:r>
            <w:r w:rsidR="008D3953">
              <w:rPr>
                <w:webHidden/>
              </w:rPr>
              <w:instrText xml:space="preserve"> PAGEREF _Toc378080153 \h </w:instrText>
            </w:r>
            <w:r w:rsidR="008D3953">
              <w:rPr>
                <w:webHidden/>
              </w:rPr>
            </w:r>
            <w:r w:rsidR="008D3953">
              <w:rPr>
                <w:webHidden/>
              </w:rPr>
              <w:fldChar w:fldCharType="separate"/>
            </w:r>
            <w:r w:rsidR="00491B8C">
              <w:rPr>
                <w:webHidden/>
              </w:rPr>
              <w:t>29</w:t>
            </w:r>
            <w:r w:rsidR="008D3953">
              <w:rPr>
                <w:webHidden/>
              </w:rPr>
              <w:fldChar w:fldCharType="end"/>
            </w:r>
          </w:hyperlink>
        </w:p>
        <w:p w:rsidR="008D3953" w:rsidRDefault="009A24C6" w:rsidP="008D3953">
          <w:pPr>
            <w:pStyle w:val="TOC3"/>
            <w:rPr>
              <w:rFonts w:asciiTheme="minorHAnsi" w:eastAsiaTheme="minorEastAsia" w:hAnsiTheme="minorHAnsi" w:cstheme="minorBidi"/>
              <w:sz w:val="22"/>
              <w:szCs w:val="22"/>
            </w:rPr>
          </w:pPr>
          <w:hyperlink w:anchor="_Toc378080154" w:history="1">
            <w:r w:rsidR="008D3953" w:rsidRPr="008D3953">
              <w:rPr>
                <w:rStyle w:val="Hyperlink"/>
              </w:rPr>
              <w:t>3.</w:t>
            </w:r>
            <w:r w:rsidR="008D3953" w:rsidRPr="008D3953">
              <w:rPr>
                <w:rFonts w:asciiTheme="minorHAnsi" w:eastAsiaTheme="minorEastAsia" w:hAnsiTheme="minorHAnsi" w:cstheme="minorBidi"/>
                <w:sz w:val="22"/>
                <w:szCs w:val="22"/>
              </w:rPr>
              <w:tab/>
            </w:r>
            <w:r w:rsidR="008D3953" w:rsidRPr="008D3953">
              <w:rPr>
                <w:rStyle w:val="Hyperlink"/>
                <w:rFonts w:asciiTheme="majorHAnsi" w:eastAsiaTheme="majorEastAsia" w:hAnsiTheme="majorHAnsi" w:cstheme="majorBidi"/>
              </w:rPr>
              <w:t>Materials &amp; Supplies</w:t>
            </w:r>
            <w:r w:rsidR="008D3953">
              <w:rPr>
                <w:webHidden/>
              </w:rPr>
              <w:tab/>
            </w:r>
            <w:r w:rsidR="008D3953">
              <w:rPr>
                <w:webHidden/>
              </w:rPr>
              <w:fldChar w:fldCharType="begin"/>
            </w:r>
            <w:r w:rsidR="008D3953">
              <w:rPr>
                <w:webHidden/>
              </w:rPr>
              <w:instrText xml:space="preserve"> PAGEREF _Toc378080154 \h </w:instrText>
            </w:r>
            <w:r w:rsidR="008D3953">
              <w:rPr>
                <w:webHidden/>
              </w:rPr>
            </w:r>
            <w:r w:rsidR="008D3953">
              <w:rPr>
                <w:webHidden/>
              </w:rPr>
              <w:fldChar w:fldCharType="separate"/>
            </w:r>
            <w:r w:rsidR="00491B8C">
              <w:rPr>
                <w:webHidden/>
              </w:rPr>
              <w:t>29</w:t>
            </w:r>
            <w:r w:rsidR="008D3953">
              <w:rPr>
                <w:webHidden/>
              </w:rPr>
              <w:fldChar w:fldCharType="end"/>
            </w:r>
          </w:hyperlink>
        </w:p>
        <w:p w:rsidR="008D3953" w:rsidRDefault="009A24C6">
          <w:pPr>
            <w:pStyle w:val="TOC2"/>
            <w:rPr>
              <w:rFonts w:asciiTheme="minorHAnsi" w:eastAsiaTheme="minorEastAsia" w:hAnsiTheme="minorHAnsi" w:cstheme="minorBidi"/>
              <w:noProof/>
              <w:sz w:val="22"/>
              <w:szCs w:val="22"/>
            </w:rPr>
          </w:pPr>
          <w:hyperlink w:anchor="_Toc378080155" w:history="1">
            <w:r w:rsidR="008D3953" w:rsidRPr="006C0981">
              <w:rPr>
                <w:rStyle w:val="Hyperlink"/>
                <w:noProof/>
              </w:rPr>
              <w:t>C.</w:t>
            </w:r>
            <w:r w:rsidR="008D3953">
              <w:rPr>
                <w:rStyle w:val="Hyperlink"/>
                <w:noProof/>
              </w:rPr>
              <w:t xml:space="preserve"> </w:t>
            </w:r>
            <w:r w:rsidR="008D3953" w:rsidRPr="006C0981">
              <w:rPr>
                <w:rStyle w:val="Hyperlink"/>
                <w:noProof/>
              </w:rPr>
              <w:t>Capital Structure</w:t>
            </w:r>
            <w:r w:rsidR="008D3953">
              <w:rPr>
                <w:noProof/>
                <w:webHidden/>
              </w:rPr>
              <w:tab/>
            </w:r>
            <w:r w:rsidR="008D3953">
              <w:rPr>
                <w:noProof/>
                <w:webHidden/>
              </w:rPr>
              <w:fldChar w:fldCharType="begin"/>
            </w:r>
            <w:r w:rsidR="008D3953">
              <w:rPr>
                <w:noProof/>
                <w:webHidden/>
              </w:rPr>
              <w:instrText xml:space="preserve"> PAGEREF _Toc378080155 \h </w:instrText>
            </w:r>
            <w:r w:rsidR="008D3953">
              <w:rPr>
                <w:noProof/>
                <w:webHidden/>
              </w:rPr>
            </w:r>
            <w:r w:rsidR="008D3953">
              <w:rPr>
                <w:noProof/>
                <w:webHidden/>
              </w:rPr>
              <w:fldChar w:fldCharType="separate"/>
            </w:r>
            <w:r w:rsidR="00491B8C">
              <w:rPr>
                <w:noProof/>
                <w:webHidden/>
              </w:rPr>
              <w:t>32</w:t>
            </w:r>
            <w:r w:rsidR="008D3953">
              <w:rPr>
                <w:noProof/>
                <w:webHidden/>
              </w:rPr>
              <w:fldChar w:fldCharType="end"/>
            </w:r>
          </w:hyperlink>
        </w:p>
        <w:p w:rsidR="008D3953" w:rsidRDefault="009A24C6">
          <w:pPr>
            <w:pStyle w:val="TOC2"/>
            <w:rPr>
              <w:rFonts w:asciiTheme="minorHAnsi" w:eastAsiaTheme="minorEastAsia" w:hAnsiTheme="minorHAnsi" w:cstheme="minorBidi"/>
              <w:noProof/>
              <w:sz w:val="22"/>
              <w:szCs w:val="22"/>
            </w:rPr>
          </w:pPr>
          <w:hyperlink w:anchor="_Toc378080156" w:history="1">
            <w:r w:rsidR="008D3953" w:rsidRPr="006C0981">
              <w:rPr>
                <w:rStyle w:val="Hyperlink"/>
                <w:noProof/>
              </w:rPr>
              <w:t>D.</w:t>
            </w:r>
            <w:r w:rsidR="008D3953">
              <w:rPr>
                <w:rStyle w:val="Hyperlink"/>
                <w:noProof/>
              </w:rPr>
              <w:t xml:space="preserve"> </w:t>
            </w:r>
            <w:r w:rsidR="008D3953" w:rsidRPr="006C0981">
              <w:rPr>
                <w:rStyle w:val="Hyperlink"/>
                <w:noProof/>
              </w:rPr>
              <w:t>Rate of Return</w:t>
            </w:r>
            <w:r w:rsidR="008D3953">
              <w:rPr>
                <w:noProof/>
                <w:webHidden/>
              </w:rPr>
              <w:tab/>
            </w:r>
            <w:r w:rsidR="008D3953">
              <w:rPr>
                <w:noProof/>
                <w:webHidden/>
              </w:rPr>
              <w:fldChar w:fldCharType="begin"/>
            </w:r>
            <w:r w:rsidR="008D3953">
              <w:rPr>
                <w:noProof/>
                <w:webHidden/>
              </w:rPr>
              <w:instrText xml:space="preserve"> PAGEREF _Toc378080156 \h </w:instrText>
            </w:r>
            <w:r w:rsidR="008D3953">
              <w:rPr>
                <w:noProof/>
                <w:webHidden/>
              </w:rPr>
            </w:r>
            <w:r w:rsidR="008D3953">
              <w:rPr>
                <w:noProof/>
                <w:webHidden/>
              </w:rPr>
              <w:fldChar w:fldCharType="separate"/>
            </w:r>
            <w:r w:rsidR="00491B8C">
              <w:rPr>
                <w:noProof/>
                <w:webHidden/>
              </w:rPr>
              <w:t>38</w:t>
            </w:r>
            <w:r w:rsidR="008D3953">
              <w:rPr>
                <w:noProof/>
                <w:webHidden/>
              </w:rPr>
              <w:fldChar w:fldCharType="end"/>
            </w:r>
          </w:hyperlink>
        </w:p>
        <w:p w:rsidR="008D3953" w:rsidRDefault="009A24C6" w:rsidP="008D3953">
          <w:pPr>
            <w:pStyle w:val="TOC3"/>
            <w:rPr>
              <w:rFonts w:asciiTheme="minorHAnsi" w:eastAsiaTheme="minorEastAsia" w:hAnsiTheme="minorHAnsi" w:cstheme="minorBidi"/>
              <w:sz w:val="22"/>
              <w:szCs w:val="22"/>
            </w:rPr>
          </w:pPr>
          <w:hyperlink w:anchor="_Toc378080157" w:history="1">
            <w:r w:rsidR="008D3953" w:rsidRPr="006C0981">
              <w:rPr>
                <w:rStyle w:val="Hyperlink"/>
              </w:rPr>
              <w:t>1.</w:t>
            </w:r>
            <w:r w:rsidR="008D3953">
              <w:rPr>
                <w:rFonts w:asciiTheme="minorHAnsi" w:eastAsiaTheme="minorEastAsia" w:hAnsiTheme="minorHAnsi" w:cstheme="minorBidi"/>
                <w:sz w:val="22"/>
                <w:szCs w:val="22"/>
              </w:rPr>
              <w:tab/>
            </w:r>
            <w:r w:rsidR="008D3953" w:rsidRPr="006C0981">
              <w:rPr>
                <w:rStyle w:val="Hyperlink"/>
              </w:rPr>
              <w:t>Return on Equity</w:t>
            </w:r>
            <w:r w:rsidR="008D3953">
              <w:rPr>
                <w:webHidden/>
              </w:rPr>
              <w:tab/>
            </w:r>
            <w:r w:rsidR="008D3953">
              <w:rPr>
                <w:webHidden/>
              </w:rPr>
              <w:fldChar w:fldCharType="begin"/>
            </w:r>
            <w:r w:rsidR="008D3953">
              <w:rPr>
                <w:webHidden/>
              </w:rPr>
              <w:instrText xml:space="preserve"> PAGEREF _Toc378080157 \h </w:instrText>
            </w:r>
            <w:r w:rsidR="008D3953">
              <w:rPr>
                <w:webHidden/>
              </w:rPr>
            </w:r>
            <w:r w:rsidR="008D3953">
              <w:rPr>
                <w:webHidden/>
              </w:rPr>
              <w:fldChar w:fldCharType="separate"/>
            </w:r>
            <w:r w:rsidR="00491B8C">
              <w:rPr>
                <w:webHidden/>
              </w:rPr>
              <w:t>38</w:t>
            </w:r>
            <w:r w:rsidR="008D3953">
              <w:rPr>
                <w:webHidden/>
              </w:rPr>
              <w:fldChar w:fldCharType="end"/>
            </w:r>
          </w:hyperlink>
        </w:p>
        <w:p w:rsidR="008D3953" w:rsidRDefault="009A24C6" w:rsidP="008D3953">
          <w:pPr>
            <w:pStyle w:val="TOC3"/>
            <w:rPr>
              <w:rFonts w:asciiTheme="minorHAnsi" w:eastAsiaTheme="minorEastAsia" w:hAnsiTheme="minorHAnsi" w:cstheme="minorBidi"/>
              <w:sz w:val="22"/>
              <w:szCs w:val="22"/>
            </w:rPr>
          </w:pPr>
          <w:hyperlink w:anchor="_Toc378080158" w:history="1">
            <w:r w:rsidR="008D3953" w:rsidRPr="006C0981">
              <w:rPr>
                <w:rStyle w:val="Hyperlink"/>
              </w:rPr>
              <w:t>2.</w:t>
            </w:r>
            <w:r w:rsidR="008D3953">
              <w:rPr>
                <w:rFonts w:asciiTheme="minorHAnsi" w:eastAsiaTheme="minorEastAsia" w:hAnsiTheme="minorHAnsi" w:cstheme="minorBidi"/>
                <w:sz w:val="22"/>
                <w:szCs w:val="22"/>
              </w:rPr>
              <w:tab/>
            </w:r>
            <w:r w:rsidR="008D3953" w:rsidRPr="006C0981">
              <w:rPr>
                <w:rStyle w:val="Hyperlink"/>
              </w:rPr>
              <w:t>Rate of Return Premiums</w:t>
            </w:r>
            <w:r w:rsidR="008D3953">
              <w:rPr>
                <w:webHidden/>
              </w:rPr>
              <w:tab/>
            </w:r>
            <w:r w:rsidR="008D3953">
              <w:rPr>
                <w:webHidden/>
              </w:rPr>
              <w:fldChar w:fldCharType="begin"/>
            </w:r>
            <w:r w:rsidR="008D3953">
              <w:rPr>
                <w:webHidden/>
              </w:rPr>
              <w:instrText xml:space="preserve"> PAGEREF _Toc378080158 \h </w:instrText>
            </w:r>
            <w:r w:rsidR="008D3953">
              <w:rPr>
                <w:webHidden/>
              </w:rPr>
            </w:r>
            <w:r w:rsidR="008D3953">
              <w:rPr>
                <w:webHidden/>
              </w:rPr>
              <w:fldChar w:fldCharType="separate"/>
            </w:r>
            <w:r w:rsidR="00491B8C">
              <w:rPr>
                <w:webHidden/>
              </w:rPr>
              <w:t>43</w:t>
            </w:r>
            <w:r w:rsidR="008D3953">
              <w:rPr>
                <w:webHidden/>
              </w:rPr>
              <w:fldChar w:fldCharType="end"/>
            </w:r>
          </w:hyperlink>
        </w:p>
        <w:p w:rsidR="008D3953" w:rsidRDefault="009A24C6">
          <w:pPr>
            <w:pStyle w:val="TOC2"/>
            <w:rPr>
              <w:rFonts w:asciiTheme="minorHAnsi" w:eastAsiaTheme="minorEastAsia" w:hAnsiTheme="minorHAnsi" w:cstheme="minorBidi"/>
              <w:noProof/>
              <w:sz w:val="22"/>
              <w:szCs w:val="22"/>
            </w:rPr>
          </w:pPr>
          <w:hyperlink w:anchor="_Toc378080159" w:history="1">
            <w:r w:rsidR="008D3953" w:rsidRPr="006C0981">
              <w:rPr>
                <w:rStyle w:val="Hyperlink"/>
                <w:noProof/>
              </w:rPr>
              <w:t>E.</w:t>
            </w:r>
            <w:r w:rsidR="008D3953">
              <w:rPr>
                <w:rStyle w:val="Hyperlink"/>
                <w:noProof/>
              </w:rPr>
              <w:t xml:space="preserve"> </w:t>
            </w:r>
            <w:r w:rsidR="008D3953" w:rsidRPr="006C0981">
              <w:rPr>
                <w:rStyle w:val="Hyperlink"/>
                <w:noProof/>
              </w:rPr>
              <w:t>Revenues - Merchandising Sales and Jobbing Work</w:t>
            </w:r>
            <w:r w:rsidR="008D3953">
              <w:rPr>
                <w:noProof/>
                <w:webHidden/>
              </w:rPr>
              <w:tab/>
            </w:r>
            <w:r w:rsidR="008D3953">
              <w:rPr>
                <w:noProof/>
                <w:webHidden/>
              </w:rPr>
              <w:fldChar w:fldCharType="begin"/>
            </w:r>
            <w:r w:rsidR="008D3953">
              <w:rPr>
                <w:noProof/>
                <w:webHidden/>
              </w:rPr>
              <w:instrText xml:space="preserve"> PAGEREF _Toc378080159 \h </w:instrText>
            </w:r>
            <w:r w:rsidR="008D3953">
              <w:rPr>
                <w:noProof/>
                <w:webHidden/>
              </w:rPr>
            </w:r>
            <w:r w:rsidR="008D3953">
              <w:rPr>
                <w:noProof/>
                <w:webHidden/>
              </w:rPr>
              <w:fldChar w:fldCharType="separate"/>
            </w:r>
            <w:r w:rsidR="00491B8C">
              <w:rPr>
                <w:noProof/>
                <w:webHidden/>
              </w:rPr>
              <w:t>52</w:t>
            </w:r>
            <w:r w:rsidR="008D3953">
              <w:rPr>
                <w:noProof/>
                <w:webHidden/>
              </w:rPr>
              <w:fldChar w:fldCharType="end"/>
            </w:r>
          </w:hyperlink>
        </w:p>
        <w:p w:rsidR="008D3953" w:rsidRDefault="009A24C6">
          <w:pPr>
            <w:pStyle w:val="TOC2"/>
            <w:rPr>
              <w:rFonts w:asciiTheme="minorHAnsi" w:eastAsiaTheme="minorEastAsia" w:hAnsiTheme="minorHAnsi" w:cstheme="minorBidi"/>
              <w:noProof/>
              <w:sz w:val="22"/>
              <w:szCs w:val="22"/>
            </w:rPr>
          </w:pPr>
          <w:hyperlink w:anchor="_Toc378080160" w:history="1">
            <w:r w:rsidR="008D3953" w:rsidRPr="006C0981">
              <w:rPr>
                <w:rStyle w:val="Hyperlink"/>
                <w:noProof/>
              </w:rPr>
              <w:t>F.</w:t>
            </w:r>
            <w:r w:rsidR="008D3953">
              <w:rPr>
                <w:rStyle w:val="Hyperlink"/>
                <w:noProof/>
              </w:rPr>
              <w:t xml:space="preserve"> </w:t>
            </w:r>
            <w:r w:rsidR="008D3953" w:rsidRPr="006C0981">
              <w:rPr>
                <w:rStyle w:val="Hyperlink"/>
                <w:noProof/>
              </w:rPr>
              <w:t>Expenses</w:t>
            </w:r>
            <w:r w:rsidR="008D3953">
              <w:rPr>
                <w:noProof/>
                <w:webHidden/>
              </w:rPr>
              <w:tab/>
            </w:r>
            <w:r w:rsidR="008D3953">
              <w:rPr>
                <w:noProof/>
                <w:webHidden/>
              </w:rPr>
              <w:fldChar w:fldCharType="begin"/>
            </w:r>
            <w:r w:rsidR="008D3953">
              <w:rPr>
                <w:noProof/>
                <w:webHidden/>
              </w:rPr>
              <w:instrText xml:space="preserve"> PAGEREF _Toc378080160 \h </w:instrText>
            </w:r>
            <w:r w:rsidR="008D3953">
              <w:rPr>
                <w:noProof/>
                <w:webHidden/>
              </w:rPr>
            </w:r>
            <w:r w:rsidR="008D3953">
              <w:rPr>
                <w:noProof/>
                <w:webHidden/>
              </w:rPr>
              <w:fldChar w:fldCharType="separate"/>
            </w:r>
            <w:r w:rsidR="00491B8C">
              <w:rPr>
                <w:noProof/>
                <w:webHidden/>
              </w:rPr>
              <w:t>54</w:t>
            </w:r>
            <w:r w:rsidR="008D3953">
              <w:rPr>
                <w:noProof/>
                <w:webHidden/>
              </w:rPr>
              <w:fldChar w:fldCharType="end"/>
            </w:r>
          </w:hyperlink>
        </w:p>
        <w:p w:rsidR="008D3953" w:rsidRDefault="009A24C6" w:rsidP="008D3953">
          <w:pPr>
            <w:pStyle w:val="TOC3"/>
            <w:rPr>
              <w:rFonts w:asciiTheme="minorHAnsi" w:eastAsiaTheme="minorEastAsia" w:hAnsiTheme="minorHAnsi" w:cstheme="minorBidi"/>
              <w:sz w:val="22"/>
              <w:szCs w:val="22"/>
            </w:rPr>
          </w:pPr>
          <w:hyperlink w:anchor="_Toc378080161" w:history="1">
            <w:r w:rsidR="008D3953" w:rsidRPr="006C0981">
              <w:rPr>
                <w:rStyle w:val="Hyperlink"/>
              </w:rPr>
              <w:t>1.</w:t>
            </w:r>
            <w:r w:rsidR="008D3953">
              <w:rPr>
                <w:rFonts w:asciiTheme="minorHAnsi" w:eastAsiaTheme="minorEastAsia" w:hAnsiTheme="minorHAnsi" w:cstheme="minorBidi"/>
                <w:sz w:val="22"/>
                <w:szCs w:val="22"/>
              </w:rPr>
              <w:tab/>
            </w:r>
            <w:r w:rsidR="008D3953" w:rsidRPr="006C0981">
              <w:rPr>
                <w:rStyle w:val="Hyperlink"/>
              </w:rPr>
              <w:t>PennVest Plant Depreciation Expense</w:t>
            </w:r>
            <w:r w:rsidR="008D3953">
              <w:rPr>
                <w:webHidden/>
              </w:rPr>
              <w:tab/>
            </w:r>
            <w:r w:rsidR="008D3953">
              <w:rPr>
                <w:webHidden/>
              </w:rPr>
              <w:fldChar w:fldCharType="begin"/>
            </w:r>
            <w:r w:rsidR="008D3953">
              <w:rPr>
                <w:webHidden/>
              </w:rPr>
              <w:instrText xml:space="preserve"> PAGEREF _Toc378080161 \h </w:instrText>
            </w:r>
            <w:r w:rsidR="008D3953">
              <w:rPr>
                <w:webHidden/>
              </w:rPr>
            </w:r>
            <w:r w:rsidR="008D3953">
              <w:rPr>
                <w:webHidden/>
              </w:rPr>
              <w:fldChar w:fldCharType="separate"/>
            </w:r>
            <w:r w:rsidR="00491B8C">
              <w:rPr>
                <w:webHidden/>
              </w:rPr>
              <w:t>54</w:t>
            </w:r>
            <w:r w:rsidR="008D3953">
              <w:rPr>
                <w:webHidden/>
              </w:rPr>
              <w:fldChar w:fldCharType="end"/>
            </w:r>
          </w:hyperlink>
        </w:p>
        <w:p w:rsidR="008D3953" w:rsidRDefault="009A24C6" w:rsidP="008D3953">
          <w:pPr>
            <w:pStyle w:val="TOC3"/>
            <w:rPr>
              <w:rFonts w:asciiTheme="minorHAnsi" w:eastAsiaTheme="minorEastAsia" w:hAnsiTheme="minorHAnsi" w:cstheme="minorBidi"/>
              <w:sz w:val="22"/>
              <w:szCs w:val="22"/>
            </w:rPr>
          </w:pPr>
          <w:hyperlink w:anchor="_Toc378080162" w:history="1">
            <w:r w:rsidR="008D3953" w:rsidRPr="006C0981">
              <w:rPr>
                <w:rStyle w:val="Hyperlink"/>
              </w:rPr>
              <w:t>2.</w:t>
            </w:r>
            <w:r w:rsidR="008D3953">
              <w:rPr>
                <w:rFonts w:asciiTheme="minorHAnsi" w:eastAsiaTheme="minorEastAsia" w:hAnsiTheme="minorHAnsi" w:cstheme="minorBidi"/>
                <w:sz w:val="22"/>
                <w:szCs w:val="22"/>
              </w:rPr>
              <w:tab/>
            </w:r>
            <w:r w:rsidR="008D3953" w:rsidRPr="006C0981">
              <w:rPr>
                <w:rStyle w:val="Hyperlink"/>
              </w:rPr>
              <w:t>Acquisition Adjustment</w:t>
            </w:r>
            <w:r w:rsidR="008D3953">
              <w:rPr>
                <w:webHidden/>
              </w:rPr>
              <w:tab/>
            </w:r>
            <w:r w:rsidR="008D3953">
              <w:rPr>
                <w:webHidden/>
              </w:rPr>
              <w:fldChar w:fldCharType="begin"/>
            </w:r>
            <w:r w:rsidR="008D3953">
              <w:rPr>
                <w:webHidden/>
              </w:rPr>
              <w:instrText xml:space="preserve"> PAGEREF _Toc378080162 \h </w:instrText>
            </w:r>
            <w:r w:rsidR="008D3953">
              <w:rPr>
                <w:webHidden/>
              </w:rPr>
            </w:r>
            <w:r w:rsidR="008D3953">
              <w:rPr>
                <w:webHidden/>
              </w:rPr>
              <w:fldChar w:fldCharType="separate"/>
            </w:r>
            <w:r w:rsidR="00491B8C">
              <w:rPr>
                <w:webHidden/>
              </w:rPr>
              <w:t>54</w:t>
            </w:r>
            <w:r w:rsidR="008D3953">
              <w:rPr>
                <w:webHidden/>
              </w:rPr>
              <w:fldChar w:fldCharType="end"/>
            </w:r>
          </w:hyperlink>
        </w:p>
        <w:p w:rsidR="008D3953" w:rsidRDefault="009A24C6" w:rsidP="008D3953">
          <w:pPr>
            <w:pStyle w:val="TOC3"/>
            <w:rPr>
              <w:rFonts w:asciiTheme="minorHAnsi" w:eastAsiaTheme="minorEastAsia" w:hAnsiTheme="minorHAnsi" w:cstheme="minorBidi"/>
              <w:sz w:val="22"/>
              <w:szCs w:val="22"/>
            </w:rPr>
          </w:pPr>
          <w:hyperlink w:anchor="_Toc378080163" w:history="1">
            <w:r w:rsidR="008D3953" w:rsidRPr="006C0981">
              <w:rPr>
                <w:rStyle w:val="Hyperlink"/>
                <w:iCs/>
              </w:rPr>
              <w:t>3.</w:t>
            </w:r>
            <w:r w:rsidR="008D3953">
              <w:rPr>
                <w:rFonts w:asciiTheme="minorHAnsi" w:eastAsiaTheme="minorEastAsia" w:hAnsiTheme="minorHAnsi" w:cstheme="minorBidi"/>
                <w:sz w:val="22"/>
                <w:szCs w:val="22"/>
              </w:rPr>
              <w:tab/>
            </w:r>
            <w:r w:rsidR="008D3953" w:rsidRPr="006C0981">
              <w:rPr>
                <w:rStyle w:val="Hyperlink"/>
              </w:rPr>
              <w:t>Engineering Contractual Services</w:t>
            </w:r>
            <w:r w:rsidR="008D3953">
              <w:rPr>
                <w:webHidden/>
              </w:rPr>
              <w:tab/>
            </w:r>
            <w:r w:rsidR="008D3953">
              <w:rPr>
                <w:webHidden/>
              </w:rPr>
              <w:fldChar w:fldCharType="begin"/>
            </w:r>
            <w:r w:rsidR="008D3953">
              <w:rPr>
                <w:webHidden/>
              </w:rPr>
              <w:instrText xml:space="preserve"> PAGEREF _Toc378080163 \h </w:instrText>
            </w:r>
            <w:r w:rsidR="008D3953">
              <w:rPr>
                <w:webHidden/>
              </w:rPr>
            </w:r>
            <w:r w:rsidR="008D3953">
              <w:rPr>
                <w:webHidden/>
              </w:rPr>
              <w:fldChar w:fldCharType="separate"/>
            </w:r>
            <w:r w:rsidR="00491B8C">
              <w:rPr>
                <w:webHidden/>
              </w:rPr>
              <w:t>59</w:t>
            </w:r>
            <w:r w:rsidR="008D3953">
              <w:rPr>
                <w:webHidden/>
              </w:rPr>
              <w:fldChar w:fldCharType="end"/>
            </w:r>
          </w:hyperlink>
        </w:p>
        <w:p w:rsidR="008D3953" w:rsidRDefault="009A24C6" w:rsidP="008D3953">
          <w:pPr>
            <w:pStyle w:val="TOC2"/>
            <w:ind w:left="720"/>
            <w:rPr>
              <w:rFonts w:asciiTheme="minorHAnsi" w:eastAsiaTheme="minorEastAsia" w:hAnsiTheme="minorHAnsi" w:cstheme="minorBidi"/>
              <w:bCs/>
              <w:noProof/>
              <w:sz w:val="22"/>
              <w:szCs w:val="22"/>
            </w:rPr>
          </w:pPr>
          <w:hyperlink w:anchor="_Toc378080165" w:history="1">
            <w:r w:rsidR="008D3953" w:rsidRPr="006C0981">
              <w:rPr>
                <w:rStyle w:val="Hyperlink"/>
                <w:rFonts w:cs="Times New Roman"/>
                <w:iCs/>
                <w:noProof/>
              </w:rPr>
              <w:t>4.</w:t>
            </w:r>
            <w:r w:rsidR="008D3953">
              <w:rPr>
                <w:rStyle w:val="Hyperlink"/>
                <w:rFonts w:cs="Times New Roman"/>
                <w:iCs/>
                <w:noProof/>
              </w:rPr>
              <w:t xml:space="preserve">  </w:t>
            </w:r>
            <w:r w:rsidR="008D3953" w:rsidRPr="006C0981">
              <w:rPr>
                <w:rStyle w:val="Hyperlink"/>
                <w:noProof/>
              </w:rPr>
              <w:t>Bad Debt Expense</w:t>
            </w:r>
            <w:r w:rsidR="008D3953">
              <w:rPr>
                <w:noProof/>
                <w:webHidden/>
              </w:rPr>
              <w:tab/>
            </w:r>
            <w:r w:rsidR="008D3953">
              <w:rPr>
                <w:noProof/>
                <w:webHidden/>
              </w:rPr>
              <w:fldChar w:fldCharType="begin"/>
            </w:r>
            <w:r w:rsidR="008D3953">
              <w:rPr>
                <w:noProof/>
                <w:webHidden/>
              </w:rPr>
              <w:instrText xml:space="preserve"> PAGEREF _Toc378080165 \h </w:instrText>
            </w:r>
            <w:r w:rsidR="008D3953">
              <w:rPr>
                <w:noProof/>
                <w:webHidden/>
              </w:rPr>
            </w:r>
            <w:r w:rsidR="008D3953">
              <w:rPr>
                <w:noProof/>
                <w:webHidden/>
              </w:rPr>
              <w:fldChar w:fldCharType="separate"/>
            </w:r>
            <w:r w:rsidR="00491B8C">
              <w:rPr>
                <w:noProof/>
                <w:webHidden/>
              </w:rPr>
              <w:t>61</w:t>
            </w:r>
            <w:r w:rsidR="008D3953">
              <w:rPr>
                <w:noProof/>
                <w:webHidden/>
              </w:rPr>
              <w:fldChar w:fldCharType="end"/>
            </w:r>
          </w:hyperlink>
        </w:p>
        <w:p w:rsidR="008D3953" w:rsidRDefault="009A24C6" w:rsidP="008D3953">
          <w:pPr>
            <w:pStyle w:val="TOC3"/>
            <w:rPr>
              <w:rFonts w:asciiTheme="minorHAnsi" w:eastAsiaTheme="minorEastAsia" w:hAnsiTheme="minorHAnsi" w:cstheme="minorBidi"/>
              <w:sz w:val="22"/>
              <w:szCs w:val="22"/>
            </w:rPr>
          </w:pPr>
          <w:hyperlink w:anchor="_Toc378080166" w:history="1">
            <w:r w:rsidR="008D3953" w:rsidRPr="006C0981">
              <w:rPr>
                <w:rStyle w:val="Hyperlink"/>
                <w:rFonts w:eastAsia="Calibri"/>
              </w:rPr>
              <w:t>5.</w:t>
            </w:r>
            <w:r w:rsidR="008D3953">
              <w:rPr>
                <w:rFonts w:asciiTheme="minorHAnsi" w:eastAsiaTheme="minorEastAsia" w:hAnsiTheme="minorHAnsi" w:cstheme="minorBidi"/>
                <w:sz w:val="22"/>
                <w:szCs w:val="22"/>
              </w:rPr>
              <w:tab/>
            </w:r>
            <w:r w:rsidR="008D3953" w:rsidRPr="006C0981">
              <w:rPr>
                <w:rStyle w:val="Hyperlink"/>
              </w:rPr>
              <w:t>Employee Salaries and Wages</w:t>
            </w:r>
            <w:r w:rsidR="008D3953">
              <w:rPr>
                <w:webHidden/>
              </w:rPr>
              <w:tab/>
            </w:r>
            <w:r w:rsidR="008D3953">
              <w:rPr>
                <w:webHidden/>
              </w:rPr>
              <w:fldChar w:fldCharType="begin"/>
            </w:r>
            <w:r w:rsidR="008D3953">
              <w:rPr>
                <w:webHidden/>
              </w:rPr>
              <w:instrText xml:space="preserve"> PAGEREF _Toc378080166 \h </w:instrText>
            </w:r>
            <w:r w:rsidR="008D3953">
              <w:rPr>
                <w:webHidden/>
              </w:rPr>
            </w:r>
            <w:r w:rsidR="008D3953">
              <w:rPr>
                <w:webHidden/>
              </w:rPr>
              <w:fldChar w:fldCharType="separate"/>
            </w:r>
            <w:r w:rsidR="00491B8C">
              <w:rPr>
                <w:webHidden/>
              </w:rPr>
              <w:t>63</w:t>
            </w:r>
            <w:r w:rsidR="008D3953">
              <w:rPr>
                <w:webHidden/>
              </w:rPr>
              <w:fldChar w:fldCharType="end"/>
            </w:r>
          </w:hyperlink>
        </w:p>
        <w:p w:rsidR="008D3953" w:rsidRDefault="009A24C6" w:rsidP="008D3953">
          <w:pPr>
            <w:pStyle w:val="TOC3"/>
            <w:rPr>
              <w:rFonts w:asciiTheme="minorHAnsi" w:eastAsiaTheme="minorEastAsia" w:hAnsiTheme="minorHAnsi" w:cstheme="minorBidi"/>
              <w:sz w:val="22"/>
              <w:szCs w:val="22"/>
            </w:rPr>
          </w:pPr>
          <w:hyperlink w:anchor="_Toc378080168" w:history="1">
            <w:r w:rsidR="008D3953" w:rsidRPr="006C0981">
              <w:rPr>
                <w:rStyle w:val="Hyperlink"/>
              </w:rPr>
              <w:t>6.</w:t>
            </w:r>
            <w:r w:rsidR="008D3953">
              <w:rPr>
                <w:rFonts w:asciiTheme="minorHAnsi" w:eastAsiaTheme="minorEastAsia" w:hAnsiTheme="minorHAnsi" w:cstheme="minorBidi"/>
                <w:sz w:val="22"/>
                <w:szCs w:val="22"/>
              </w:rPr>
              <w:tab/>
            </w:r>
            <w:r w:rsidR="008D3953" w:rsidRPr="006C0981">
              <w:rPr>
                <w:rStyle w:val="Hyperlink"/>
              </w:rPr>
              <w:t>Allocation of Pensions and Benefits Expense to the Marietta Division</w:t>
            </w:r>
            <w:r w:rsidR="008D3953">
              <w:rPr>
                <w:webHidden/>
              </w:rPr>
              <w:tab/>
            </w:r>
            <w:r w:rsidR="008D3953">
              <w:rPr>
                <w:webHidden/>
              </w:rPr>
              <w:fldChar w:fldCharType="begin"/>
            </w:r>
            <w:r w:rsidR="008D3953">
              <w:rPr>
                <w:webHidden/>
              </w:rPr>
              <w:instrText xml:space="preserve"> PAGEREF _Toc378080168 \h </w:instrText>
            </w:r>
            <w:r w:rsidR="008D3953">
              <w:rPr>
                <w:webHidden/>
              </w:rPr>
            </w:r>
            <w:r w:rsidR="008D3953">
              <w:rPr>
                <w:webHidden/>
              </w:rPr>
              <w:fldChar w:fldCharType="separate"/>
            </w:r>
            <w:r w:rsidR="00491B8C">
              <w:rPr>
                <w:webHidden/>
              </w:rPr>
              <w:t>67</w:t>
            </w:r>
            <w:r w:rsidR="008D3953">
              <w:rPr>
                <w:webHidden/>
              </w:rPr>
              <w:fldChar w:fldCharType="end"/>
            </w:r>
          </w:hyperlink>
        </w:p>
        <w:p w:rsidR="008D3953" w:rsidRDefault="009A24C6" w:rsidP="008D3953">
          <w:pPr>
            <w:pStyle w:val="TOC3"/>
            <w:rPr>
              <w:rFonts w:asciiTheme="minorHAnsi" w:eastAsiaTheme="minorEastAsia" w:hAnsiTheme="minorHAnsi" w:cstheme="minorBidi"/>
              <w:sz w:val="22"/>
              <w:szCs w:val="22"/>
            </w:rPr>
          </w:pPr>
          <w:hyperlink w:anchor="_Toc378080169" w:history="1">
            <w:r w:rsidR="008D3953" w:rsidRPr="006C0981">
              <w:rPr>
                <w:rStyle w:val="Hyperlink"/>
              </w:rPr>
              <w:t>7.</w:t>
            </w:r>
            <w:r w:rsidR="008D3953">
              <w:rPr>
                <w:rFonts w:asciiTheme="minorHAnsi" w:eastAsiaTheme="minorEastAsia" w:hAnsiTheme="minorHAnsi" w:cstheme="minorBidi"/>
                <w:sz w:val="22"/>
                <w:szCs w:val="22"/>
              </w:rPr>
              <w:tab/>
            </w:r>
            <w:r w:rsidR="008D3953" w:rsidRPr="006C0981">
              <w:rPr>
                <w:rStyle w:val="Hyperlink"/>
              </w:rPr>
              <w:t>Pension Adjustment</w:t>
            </w:r>
            <w:r w:rsidR="008D3953">
              <w:rPr>
                <w:webHidden/>
              </w:rPr>
              <w:tab/>
            </w:r>
            <w:r w:rsidR="008D3953">
              <w:rPr>
                <w:webHidden/>
              </w:rPr>
              <w:fldChar w:fldCharType="begin"/>
            </w:r>
            <w:r w:rsidR="008D3953">
              <w:rPr>
                <w:webHidden/>
              </w:rPr>
              <w:instrText xml:space="preserve"> PAGEREF _Toc378080169 \h </w:instrText>
            </w:r>
            <w:r w:rsidR="008D3953">
              <w:rPr>
                <w:webHidden/>
              </w:rPr>
            </w:r>
            <w:r w:rsidR="008D3953">
              <w:rPr>
                <w:webHidden/>
              </w:rPr>
              <w:fldChar w:fldCharType="separate"/>
            </w:r>
            <w:r w:rsidR="00491B8C">
              <w:rPr>
                <w:webHidden/>
              </w:rPr>
              <w:t>68</w:t>
            </w:r>
            <w:r w:rsidR="008D3953">
              <w:rPr>
                <w:webHidden/>
              </w:rPr>
              <w:fldChar w:fldCharType="end"/>
            </w:r>
          </w:hyperlink>
        </w:p>
        <w:p w:rsidR="008D3953" w:rsidRDefault="009A24C6" w:rsidP="008D3953">
          <w:pPr>
            <w:pStyle w:val="TOC3"/>
            <w:rPr>
              <w:rFonts w:asciiTheme="minorHAnsi" w:eastAsiaTheme="minorEastAsia" w:hAnsiTheme="minorHAnsi" w:cstheme="minorBidi"/>
              <w:sz w:val="22"/>
              <w:szCs w:val="22"/>
            </w:rPr>
          </w:pPr>
          <w:hyperlink w:anchor="_Toc378080170" w:history="1">
            <w:r w:rsidR="008D3953" w:rsidRPr="006C0981">
              <w:rPr>
                <w:rStyle w:val="Hyperlink"/>
                <w:rFonts w:eastAsia="Calibri"/>
              </w:rPr>
              <w:t>8.</w:t>
            </w:r>
            <w:r w:rsidR="008D3953">
              <w:rPr>
                <w:rFonts w:asciiTheme="minorHAnsi" w:eastAsiaTheme="minorEastAsia" w:hAnsiTheme="minorHAnsi" w:cstheme="minorBidi"/>
                <w:sz w:val="22"/>
                <w:szCs w:val="22"/>
              </w:rPr>
              <w:tab/>
            </w:r>
            <w:r w:rsidR="008D3953" w:rsidRPr="006C0981">
              <w:rPr>
                <w:rStyle w:val="Hyperlink"/>
              </w:rPr>
              <w:t>Disability and Life Insurance</w:t>
            </w:r>
            <w:r w:rsidR="008D3953">
              <w:rPr>
                <w:webHidden/>
              </w:rPr>
              <w:tab/>
            </w:r>
            <w:r w:rsidR="008D3953">
              <w:rPr>
                <w:webHidden/>
              </w:rPr>
              <w:fldChar w:fldCharType="begin"/>
            </w:r>
            <w:r w:rsidR="008D3953">
              <w:rPr>
                <w:webHidden/>
              </w:rPr>
              <w:instrText xml:space="preserve"> PAGEREF _Toc378080170 \h </w:instrText>
            </w:r>
            <w:r w:rsidR="008D3953">
              <w:rPr>
                <w:webHidden/>
              </w:rPr>
            </w:r>
            <w:r w:rsidR="008D3953">
              <w:rPr>
                <w:webHidden/>
              </w:rPr>
              <w:fldChar w:fldCharType="separate"/>
            </w:r>
            <w:r w:rsidR="00491B8C">
              <w:rPr>
                <w:webHidden/>
              </w:rPr>
              <w:t>69</w:t>
            </w:r>
            <w:r w:rsidR="008D3953">
              <w:rPr>
                <w:webHidden/>
              </w:rPr>
              <w:fldChar w:fldCharType="end"/>
            </w:r>
          </w:hyperlink>
        </w:p>
        <w:p w:rsidR="008D3953" w:rsidRDefault="009A24C6" w:rsidP="008D3953">
          <w:pPr>
            <w:pStyle w:val="TOC3"/>
            <w:rPr>
              <w:rFonts w:asciiTheme="minorHAnsi" w:eastAsiaTheme="minorEastAsia" w:hAnsiTheme="minorHAnsi" w:cstheme="minorBidi"/>
              <w:sz w:val="22"/>
              <w:szCs w:val="22"/>
            </w:rPr>
          </w:pPr>
          <w:hyperlink w:anchor="_Toc378080171" w:history="1">
            <w:r w:rsidR="008D3953" w:rsidRPr="006C0981">
              <w:rPr>
                <w:rStyle w:val="Hyperlink"/>
              </w:rPr>
              <w:t>9.</w:t>
            </w:r>
            <w:r w:rsidR="008D3953">
              <w:rPr>
                <w:rFonts w:asciiTheme="minorHAnsi" w:eastAsiaTheme="minorEastAsia" w:hAnsiTheme="minorHAnsi" w:cstheme="minorBidi"/>
                <w:sz w:val="22"/>
                <w:szCs w:val="22"/>
              </w:rPr>
              <w:tab/>
            </w:r>
            <w:r w:rsidR="008D3953" w:rsidRPr="006C0981">
              <w:rPr>
                <w:rStyle w:val="Hyperlink"/>
              </w:rPr>
              <w:t>Employee Recognition</w:t>
            </w:r>
            <w:r w:rsidR="008D3953">
              <w:rPr>
                <w:webHidden/>
              </w:rPr>
              <w:tab/>
            </w:r>
            <w:r w:rsidR="008D3953">
              <w:rPr>
                <w:webHidden/>
              </w:rPr>
              <w:fldChar w:fldCharType="begin"/>
            </w:r>
            <w:r w:rsidR="008D3953">
              <w:rPr>
                <w:webHidden/>
              </w:rPr>
              <w:instrText xml:space="preserve"> PAGEREF _Toc378080171 \h </w:instrText>
            </w:r>
            <w:r w:rsidR="008D3953">
              <w:rPr>
                <w:webHidden/>
              </w:rPr>
            </w:r>
            <w:r w:rsidR="008D3953">
              <w:rPr>
                <w:webHidden/>
              </w:rPr>
              <w:fldChar w:fldCharType="separate"/>
            </w:r>
            <w:r w:rsidR="00491B8C">
              <w:rPr>
                <w:webHidden/>
              </w:rPr>
              <w:t>71</w:t>
            </w:r>
            <w:r w:rsidR="008D3953">
              <w:rPr>
                <w:webHidden/>
              </w:rPr>
              <w:fldChar w:fldCharType="end"/>
            </w:r>
          </w:hyperlink>
        </w:p>
        <w:p w:rsidR="008D3953" w:rsidRDefault="009A24C6" w:rsidP="008D3953">
          <w:pPr>
            <w:pStyle w:val="TOC3"/>
            <w:rPr>
              <w:rFonts w:asciiTheme="minorHAnsi" w:eastAsiaTheme="minorEastAsia" w:hAnsiTheme="minorHAnsi" w:cstheme="minorBidi"/>
              <w:sz w:val="22"/>
              <w:szCs w:val="22"/>
            </w:rPr>
          </w:pPr>
          <w:hyperlink w:anchor="_Toc378080172" w:history="1">
            <w:r w:rsidR="008D3953" w:rsidRPr="006C0981">
              <w:rPr>
                <w:rStyle w:val="Hyperlink"/>
              </w:rPr>
              <w:t>10.</w:t>
            </w:r>
            <w:r w:rsidR="008D3953">
              <w:rPr>
                <w:rFonts w:asciiTheme="minorHAnsi" w:eastAsiaTheme="minorEastAsia" w:hAnsiTheme="minorHAnsi" w:cstheme="minorBidi"/>
                <w:sz w:val="22"/>
                <w:szCs w:val="22"/>
              </w:rPr>
              <w:tab/>
            </w:r>
            <w:r w:rsidR="008D3953" w:rsidRPr="006C0981">
              <w:rPr>
                <w:rStyle w:val="Hyperlink"/>
              </w:rPr>
              <w:t>Vehicle Insurance</w:t>
            </w:r>
            <w:r w:rsidR="008D3953">
              <w:rPr>
                <w:webHidden/>
              </w:rPr>
              <w:tab/>
            </w:r>
            <w:r w:rsidR="008D3953">
              <w:rPr>
                <w:webHidden/>
              </w:rPr>
              <w:fldChar w:fldCharType="begin"/>
            </w:r>
            <w:r w:rsidR="008D3953">
              <w:rPr>
                <w:webHidden/>
              </w:rPr>
              <w:instrText xml:space="preserve"> PAGEREF _Toc378080172 \h </w:instrText>
            </w:r>
            <w:r w:rsidR="008D3953">
              <w:rPr>
                <w:webHidden/>
              </w:rPr>
            </w:r>
            <w:r w:rsidR="008D3953">
              <w:rPr>
                <w:webHidden/>
              </w:rPr>
              <w:fldChar w:fldCharType="separate"/>
            </w:r>
            <w:r w:rsidR="00491B8C">
              <w:rPr>
                <w:webHidden/>
              </w:rPr>
              <w:t>74</w:t>
            </w:r>
            <w:r w:rsidR="008D3953">
              <w:rPr>
                <w:webHidden/>
              </w:rPr>
              <w:fldChar w:fldCharType="end"/>
            </w:r>
          </w:hyperlink>
        </w:p>
        <w:p w:rsidR="008D3953" w:rsidRDefault="009A24C6" w:rsidP="008D3953">
          <w:pPr>
            <w:pStyle w:val="TOC3"/>
            <w:rPr>
              <w:rFonts w:asciiTheme="minorHAnsi" w:eastAsiaTheme="minorEastAsia" w:hAnsiTheme="minorHAnsi" w:cstheme="minorBidi"/>
              <w:sz w:val="22"/>
              <w:szCs w:val="22"/>
            </w:rPr>
          </w:pPr>
          <w:hyperlink w:anchor="_Toc378080173" w:history="1">
            <w:r w:rsidR="008D3953" w:rsidRPr="006C0981">
              <w:rPr>
                <w:rStyle w:val="Hyperlink"/>
              </w:rPr>
              <w:t>11.</w:t>
            </w:r>
            <w:r w:rsidR="008D3953">
              <w:rPr>
                <w:rFonts w:asciiTheme="minorHAnsi" w:eastAsiaTheme="minorEastAsia" w:hAnsiTheme="minorHAnsi" w:cstheme="minorBidi"/>
                <w:sz w:val="22"/>
                <w:szCs w:val="22"/>
              </w:rPr>
              <w:tab/>
            </w:r>
            <w:r w:rsidR="008D3953" w:rsidRPr="006C0981">
              <w:rPr>
                <w:rStyle w:val="Hyperlink"/>
              </w:rPr>
              <w:t>Worker’s Compensation Insurance</w:t>
            </w:r>
            <w:r w:rsidR="008D3953">
              <w:rPr>
                <w:webHidden/>
              </w:rPr>
              <w:tab/>
            </w:r>
            <w:r w:rsidR="008D3953">
              <w:rPr>
                <w:webHidden/>
              </w:rPr>
              <w:fldChar w:fldCharType="begin"/>
            </w:r>
            <w:r w:rsidR="008D3953">
              <w:rPr>
                <w:webHidden/>
              </w:rPr>
              <w:instrText xml:space="preserve"> PAGEREF _Toc378080173 \h </w:instrText>
            </w:r>
            <w:r w:rsidR="008D3953">
              <w:rPr>
                <w:webHidden/>
              </w:rPr>
            </w:r>
            <w:r w:rsidR="008D3953">
              <w:rPr>
                <w:webHidden/>
              </w:rPr>
              <w:fldChar w:fldCharType="separate"/>
            </w:r>
            <w:r w:rsidR="00491B8C">
              <w:rPr>
                <w:webHidden/>
              </w:rPr>
              <w:t>77</w:t>
            </w:r>
            <w:r w:rsidR="008D3953">
              <w:rPr>
                <w:webHidden/>
              </w:rPr>
              <w:fldChar w:fldCharType="end"/>
            </w:r>
          </w:hyperlink>
        </w:p>
        <w:p w:rsidR="008D3953" w:rsidRDefault="009A24C6" w:rsidP="008D3953">
          <w:pPr>
            <w:pStyle w:val="TOC3"/>
            <w:rPr>
              <w:rFonts w:asciiTheme="minorHAnsi" w:eastAsiaTheme="minorEastAsia" w:hAnsiTheme="minorHAnsi" w:cstheme="minorBidi"/>
              <w:sz w:val="22"/>
              <w:szCs w:val="22"/>
            </w:rPr>
          </w:pPr>
          <w:hyperlink w:anchor="_Toc378080174" w:history="1">
            <w:r w:rsidR="008D3953" w:rsidRPr="006C0981">
              <w:rPr>
                <w:rStyle w:val="Hyperlink"/>
              </w:rPr>
              <w:t>12.</w:t>
            </w:r>
            <w:r w:rsidR="008D3953">
              <w:rPr>
                <w:rFonts w:asciiTheme="minorHAnsi" w:eastAsiaTheme="minorEastAsia" w:hAnsiTheme="minorHAnsi" w:cstheme="minorBidi"/>
                <w:sz w:val="22"/>
                <w:szCs w:val="22"/>
              </w:rPr>
              <w:tab/>
            </w:r>
            <w:r w:rsidR="008D3953" w:rsidRPr="006C0981">
              <w:rPr>
                <w:rStyle w:val="Hyperlink"/>
              </w:rPr>
              <w:t>Accounting Expense</w:t>
            </w:r>
            <w:r w:rsidR="008D3953">
              <w:rPr>
                <w:webHidden/>
              </w:rPr>
              <w:tab/>
            </w:r>
            <w:r w:rsidR="008D3953">
              <w:rPr>
                <w:webHidden/>
              </w:rPr>
              <w:fldChar w:fldCharType="begin"/>
            </w:r>
            <w:r w:rsidR="008D3953">
              <w:rPr>
                <w:webHidden/>
              </w:rPr>
              <w:instrText xml:space="preserve"> PAGEREF _Toc378080174 \h </w:instrText>
            </w:r>
            <w:r w:rsidR="008D3953">
              <w:rPr>
                <w:webHidden/>
              </w:rPr>
            </w:r>
            <w:r w:rsidR="008D3953">
              <w:rPr>
                <w:webHidden/>
              </w:rPr>
              <w:fldChar w:fldCharType="separate"/>
            </w:r>
            <w:r w:rsidR="00491B8C">
              <w:rPr>
                <w:webHidden/>
              </w:rPr>
              <w:t>80</w:t>
            </w:r>
            <w:r w:rsidR="008D3953">
              <w:rPr>
                <w:webHidden/>
              </w:rPr>
              <w:fldChar w:fldCharType="end"/>
            </w:r>
          </w:hyperlink>
        </w:p>
        <w:p w:rsidR="008D3953" w:rsidRDefault="009A24C6" w:rsidP="008D3953">
          <w:pPr>
            <w:pStyle w:val="TOC3"/>
            <w:rPr>
              <w:rFonts w:asciiTheme="minorHAnsi" w:eastAsiaTheme="minorEastAsia" w:hAnsiTheme="minorHAnsi" w:cstheme="minorBidi"/>
              <w:sz w:val="22"/>
              <w:szCs w:val="22"/>
            </w:rPr>
          </w:pPr>
          <w:hyperlink w:anchor="_Toc378080175" w:history="1">
            <w:r w:rsidR="008D3953" w:rsidRPr="006C0981">
              <w:rPr>
                <w:rStyle w:val="Hyperlink"/>
              </w:rPr>
              <w:t>13.</w:t>
            </w:r>
            <w:r w:rsidR="008D3953">
              <w:rPr>
                <w:rFonts w:asciiTheme="minorHAnsi" w:eastAsiaTheme="minorEastAsia" w:hAnsiTheme="minorHAnsi" w:cstheme="minorBidi"/>
                <w:sz w:val="22"/>
                <w:szCs w:val="22"/>
              </w:rPr>
              <w:tab/>
            </w:r>
            <w:r w:rsidR="008D3953" w:rsidRPr="006C0981">
              <w:rPr>
                <w:rStyle w:val="Hyperlink"/>
              </w:rPr>
              <w:t>Office</w:t>
            </w:r>
            <w:r w:rsidR="00C07CD5">
              <w:rPr>
                <w:rStyle w:val="Hyperlink"/>
              </w:rPr>
              <w:t xml:space="preserve"> </w:t>
            </w:r>
            <w:r w:rsidR="008D3953" w:rsidRPr="006C0981">
              <w:rPr>
                <w:rStyle w:val="Hyperlink"/>
              </w:rPr>
              <w:t>and Utilities</w:t>
            </w:r>
            <w:r w:rsidR="00C07CD5">
              <w:rPr>
                <w:rStyle w:val="Hyperlink"/>
              </w:rPr>
              <w:t xml:space="preserve"> Expenses</w:t>
            </w:r>
            <w:r w:rsidR="008D3953">
              <w:rPr>
                <w:webHidden/>
              </w:rPr>
              <w:tab/>
            </w:r>
            <w:r w:rsidR="008D3953">
              <w:rPr>
                <w:webHidden/>
              </w:rPr>
              <w:fldChar w:fldCharType="begin"/>
            </w:r>
            <w:r w:rsidR="008D3953">
              <w:rPr>
                <w:webHidden/>
              </w:rPr>
              <w:instrText xml:space="preserve"> PAGEREF _Toc378080175 \h </w:instrText>
            </w:r>
            <w:r w:rsidR="008D3953">
              <w:rPr>
                <w:webHidden/>
              </w:rPr>
            </w:r>
            <w:r w:rsidR="008D3953">
              <w:rPr>
                <w:webHidden/>
              </w:rPr>
              <w:fldChar w:fldCharType="separate"/>
            </w:r>
            <w:r w:rsidR="00491B8C">
              <w:rPr>
                <w:webHidden/>
              </w:rPr>
              <w:t>82</w:t>
            </w:r>
            <w:r w:rsidR="008D3953">
              <w:rPr>
                <w:webHidden/>
              </w:rPr>
              <w:fldChar w:fldCharType="end"/>
            </w:r>
          </w:hyperlink>
        </w:p>
        <w:p w:rsidR="008D3953" w:rsidRDefault="008D3953">
          <w:pPr>
            <w:pStyle w:val="TOC2"/>
            <w:rPr>
              <w:rFonts w:asciiTheme="minorHAnsi" w:eastAsiaTheme="minorEastAsia" w:hAnsiTheme="minorHAnsi" w:cstheme="minorBidi"/>
              <w:noProof/>
              <w:sz w:val="22"/>
              <w:szCs w:val="22"/>
            </w:rPr>
          </w:pPr>
        </w:p>
        <w:p w:rsidR="008D3953" w:rsidRDefault="009A24C6" w:rsidP="008D3953">
          <w:pPr>
            <w:pStyle w:val="TOC3"/>
            <w:rPr>
              <w:rFonts w:asciiTheme="minorHAnsi" w:eastAsiaTheme="minorEastAsia" w:hAnsiTheme="minorHAnsi" w:cstheme="minorBidi"/>
              <w:sz w:val="22"/>
              <w:szCs w:val="22"/>
            </w:rPr>
          </w:pPr>
          <w:hyperlink w:anchor="_Toc378080177" w:history="1">
            <w:r w:rsidR="008D3953" w:rsidRPr="006C0981">
              <w:rPr>
                <w:rStyle w:val="Hyperlink"/>
              </w:rPr>
              <w:t>14.</w:t>
            </w:r>
            <w:r w:rsidR="008D3953">
              <w:rPr>
                <w:rFonts w:asciiTheme="minorHAnsi" w:eastAsiaTheme="minorEastAsia" w:hAnsiTheme="minorHAnsi" w:cstheme="minorBidi"/>
                <w:sz w:val="22"/>
                <w:szCs w:val="22"/>
              </w:rPr>
              <w:tab/>
            </w:r>
            <w:r w:rsidR="008D3953" w:rsidRPr="006C0981">
              <w:rPr>
                <w:rStyle w:val="Hyperlink"/>
              </w:rPr>
              <w:t>Officer Salaries and Director Fees</w:t>
            </w:r>
            <w:r w:rsidR="008D3953">
              <w:rPr>
                <w:webHidden/>
              </w:rPr>
              <w:tab/>
            </w:r>
            <w:r w:rsidR="008D3953">
              <w:rPr>
                <w:webHidden/>
              </w:rPr>
              <w:fldChar w:fldCharType="begin"/>
            </w:r>
            <w:r w:rsidR="008D3953">
              <w:rPr>
                <w:webHidden/>
              </w:rPr>
              <w:instrText xml:space="preserve"> PAGEREF _Toc378080177 \h </w:instrText>
            </w:r>
            <w:r w:rsidR="008D3953">
              <w:rPr>
                <w:webHidden/>
              </w:rPr>
            </w:r>
            <w:r w:rsidR="008D3953">
              <w:rPr>
                <w:webHidden/>
              </w:rPr>
              <w:fldChar w:fldCharType="separate"/>
            </w:r>
            <w:r w:rsidR="00491B8C">
              <w:rPr>
                <w:webHidden/>
              </w:rPr>
              <w:t>83</w:t>
            </w:r>
            <w:r w:rsidR="008D3953">
              <w:rPr>
                <w:webHidden/>
              </w:rPr>
              <w:fldChar w:fldCharType="end"/>
            </w:r>
          </w:hyperlink>
        </w:p>
        <w:p w:rsidR="008D3953" w:rsidRDefault="009A24C6" w:rsidP="008D3953">
          <w:pPr>
            <w:pStyle w:val="TOC3"/>
            <w:rPr>
              <w:rFonts w:asciiTheme="minorHAnsi" w:eastAsiaTheme="minorEastAsia" w:hAnsiTheme="minorHAnsi" w:cstheme="minorBidi"/>
              <w:sz w:val="22"/>
              <w:szCs w:val="22"/>
            </w:rPr>
          </w:pPr>
          <w:hyperlink w:anchor="_Toc378080178" w:history="1">
            <w:r w:rsidR="008D3953" w:rsidRPr="006C0981">
              <w:rPr>
                <w:rStyle w:val="Hyperlink"/>
              </w:rPr>
              <w:t>15.</w:t>
            </w:r>
            <w:r w:rsidR="008D3953">
              <w:rPr>
                <w:rFonts w:asciiTheme="minorHAnsi" w:eastAsiaTheme="minorEastAsia" w:hAnsiTheme="minorHAnsi" w:cstheme="minorBidi"/>
                <w:sz w:val="22"/>
                <w:szCs w:val="22"/>
              </w:rPr>
              <w:tab/>
            </w:r>
            <w:r w:rsidR="008D3953" w:rsidRPr="006C0981">
              <w:rPr>
                <w:rStyle w:val="Hyperlink"/>
              </w:rPr>
              <w:t>Rate Case Expense</w:t>
            </w:r>
            <w:r w:rsidR="008D3953">
              <w:rPr>
                <w:webHidden/>
              </w:rPr>
              <w:tab/>
            </w:r>
            <w:r w:rsidR="008D3953">
              <w:rPr>
                <w:webHidden/>
              </w:rPr>
              <w:fldChar w:fldCharType="begin"/>
            </w:r>
            <w:r w:rsidR="008D3953">
              <w:rPr>
                <w:webHidden/>
              </w:rPr>
              <w:instrText xml:space="preserve"> PAGEREF _Toc378080178 \h </w:instrText>
            </w:r>
            <w:r w:rsidR="008D3953">
              <w:rPr>
                <w:webHidden/>
              </w:rPr>
            </w:r>
            <w:r w:rsidR="008D3953">
              <w:rPr>
                <w:webHidden/>
              </w:rPr>
              <w:fldChar w:fldCharType="separate"/>
            </w:r>
            <w:r w:rsidR="00491B8C">
              <w:rPr>
                <w:webHidden/>
              </w:rPr>
              <w:t>88</w:t>
            </w:r>
            <w:r w:rsidR="008D3953">
              <w:rPr>
                <w:webHidden/>
              </w:rPr>
              <w:fldChar w:fldCharType="end"/>
            </w:r>
          </w:hyperlink>
        </w:p>
        <w:p w:rsidR="008D3953" w:rsidRDefault="009A24C6" w:rsidP="008D3953">
          <w:pPr>
            <w:pStyle w:val="TOC3"/>
            <w:rPr>
              <w:rFonts w:asciiTheme="minorHAnsi" w:eastAsiaTheme="minorEastAsia" w:hAnsiTheme="minorHAnsi" w:cstheme="minorBidi"/>
              <w:sz w:val="22"/>
              <w:szCs w:val="22"/>
            </w:rPr>
          </w:pPr>
          <w:hyperlink w:anchor="_Toc378080179" w:history="1">
            <w:r w:rsidR="008D3953" w:rsidRPr="006C0981">
              <w:rPr>
                <w:rStyle w:val="Hyperlink"/>
              </w:rPr>
              <w:t>16.</w:t>
            </w:r>
            <w:r w:rsidR="008D3953">
              <w:rPr>
                <w:rFonts w:asciiTheme="minorHAnsi" w:eastAsiaTheme="minorEastAsia" w:hAnsiTheme="minorHAnsi" w:cstheme="minorBidi"/>
                <w:sz w:val="22"/>
                <w:szCs w:val="22"/>
              </w:rPr>
              <w:tab/>
            </w:r>
            <w:r w:rsidR="008D3953" w:rsidRPr="006C0981">
              <w:rPr>
                <w:rStyle w:val="Hyperlink"/>
              </w:rPr>
              <w:t>Taxes</w:t>
            </w:r>
            <w:r w:rsidR="008D3953">
              <w:rPr>
                <w:rStyle w:val="Hyperlink"/>
              </w:rPr>
              <w:tab/>
            </w:r>
            <w:r w:rsidR="008D3953">
              <w:rPr>
                <w:webHidden/>
              </w:rPr>
              <w:tab/>
            </w:r>
            <w:r w:rsidR="008D3953">
              <w:rPr>
                <w:webHidden/>
              </w:rPr>
              <w:fldChar w:fldCharType="begin"/>
            </w:r>
            <w:r w:rsidR="008D3953">
              <w:rPr>
                <w:webHidden/>
              </w:rPr>
              <w:instrText xml:space="preserve"> PAGEREF _Toc378080179 \h </w:instrText>
            </w:r>
            <w:r w:rsidR="008D3953">
              <w:rPr>
                <w:webHidden/>
              </w:rPr>
            </w:r>
            <w:r w:rsidR="008D3953">
              <w:rPr>
                <w:webHidden/>
              </w:rPr>
              <w:fldChar w:fldCharType="separate"/>
            </w:r>
            <w:r w:rsidR="00491B8C">
              <w:rPr>
                <w:webHidden/>
              </w:rPr>
              <w:t>90</w:t>
            </w:r>
            <w:r w:rsidR="008D3953">
              <w:rPr>
                <w:webHidden/>
              </w:rPr>
              <w:fldChar w:fldCharType="end"/>
            </w:r>
          </w:hyperlink>
        </w:p>
        <w:p w:rsidR="008D3953" w:rsidRDefault="009A24C6">
          <w:pPr>
            <w:pStyle w:val="TOC2"/>
            <w:rPr>
              <w:rFonts w:asciiTheme="minorHAnsi" w:eastAsiaTheme="minorEastAsia" w:hAnsiTheme="minorHAnsi" w:cstheme="minorBidi"/>
              <w:noProof/>
              <w:sz w:val="22"/>
              <w:szCs w:val="22"/>
            </w:rPr>
          </w:pPr>
          <w:hyperlink w:anchor="_Toc378080180" w:history="1">
            <w:r w:rsidR="008D3953" w:rsidRPr="006C0981">
              <w:rPr>
                <w:rStyle w:val="Hyperlink"/>
                <w:noProof/>
              </w:rPr>
              <w:t>G.</w:t>
            </w:r>
            <w:r w:rsidR="00F433C0">
              <w:rPr>
                <w:rStyle w:val="Hyperlink"/>
                <w:noProof/>
              </w:rPr>
              <w:t xml:space="preserve"> Rate </w:t>
            </w:r>
            <w:r w:rsidR="008D3953" w:rsidRPr="006C0981">
              <w:rPr>
                <w:rStyle w:val="Hyperlink"/>
                <w:noProof/>
              </w:rPr>
              <w:t>Design</w:t>
            </w:r>
            <w:r w:rsidR="008D3953">
              <w:rPr>
                <w:noProof/>
                <w:webHidden/>
              </w:rPr>
              <w:tab/>
            </w:r>
            <w:r w:rsidR="008D3953">
              <w:rPr>
                <w:noProof/>
                <w:webHidden/>
              </w:rPr>
              <w:fldChar w:fldCharType="begin"/>
            </w:r>
            <w:r w:rsidR="008D3953">
              <w:rPr>
                <w:noProof/>
                <w:webHidden/>
              </w:rPr>
              <w:instrText xml:space="preserve"> PAGEREF _Toc378080180 \h </w:instrText>
            </w:r>
            <w:r w:rsidR="008D3953">
              <w:rPr>
                <w:noProof/>
                <w:webHidden/>
              </w:rPr>
            </w:r>
            <w:r w:rsidR="008D3953">
              <w:rPr>
                <w:noProof/>
                <w:webHidden/>
              </w:rPr>
              <w:fldChar w:fldCharType="separate"/>
            </w:r>
            <w:r w:rsidR="00491B8C">
              <w:rPr>
                <w:noProof/>
                <w:webHidden/>
              </w:rPr>
              <w:t>91</w:t>
            </w:r>
            <w:r w:rsidR="008D3953">
              <w:rPr>
                <w:noProof/>
                <w:webHidden/>
              </w:rPr>
              <w:fldChar w:fldCharType="end"/>
            </w:r>
          </w:hyperlink>
        </w:p>
        <w:p w:rsidR="008D3953" w:rsidRDefault="009A24C6">
          <w:pPr>
            <w:pStyle w:val="TOC2"/>
            <w:rPr>
              <w:rFonts w:asciiTheme="minorHAnsi" w:eastAsiaTheme="minorEastAsia" w:hAnsiTheme="minorHAnsi" w:cstheme="minorBidi"/>
              <w:noProof/>
              <w:sz w:val="22"/>
              <w:szCs w:val="22"/>
            </w:rPr>
          </w:pPr>
          <w:hyperlink w:anchor="_Toc378080181" w:history="1">
            <w:r w:rsidR="008D3953" w:rsidRPr="006C0981">
              <w:rPr>
                <w:rStyle w:val="Hyperlink"/>
                <w:noProof/>
              </w:rPr>
              <w:t>H.</w:t>
            </w:r>
            <w:r w:rsidR="00F433C0">
              <w:rPr>
                <w:rStyle w:val="Hyperlink"/>
                <w:noProof/>
              </w:rPr>
              <w:t xml:space="preserve"> </w:t>
            </w:r>
            <w:r w:rsidR="008D3953" w:rsidRPr="006C0981">
              <w:rPr>
                <w:rStyle w:val="Hyperlink"/>
                <w:noProof/>
              </w:rPr>
              <w:t>Miscellaneous - Continuation of the Requirement for Time Records</w:t>
            </w:r>
            <w:r w:rsidR="008D3953">
              <w:rPr>
                <w:noProof/>
                <w:webHidden/>
              </w:rPr>
              <w:tab/>
            </w:r>
            <w:r w:rsidR="008D3953">
              <w:rPr>
                <w:noProof/>
                <w:webHidden/>
              </w:rPr>
              <w:fldChar w:fldCharType="begin"/>
            </w:r>
            <w:r w:rsidR="008D3953">
              <w:rPr>
                <w:noProof/>
                <w:webHidden/>
              </w:rPr>
              <w:instrText xml:space="preserve"> PAGEREF _Toc378080181 \h </w:instrText>
            </w:r>
            <w:r w:rsidR="008D3953">
              <w:rPr>
                <w:noProof/>
                <w:webHidden/>
              </w:rPr>
            </w:r>
            <w:r w:rsidR="008D3953">
              <w:rPr>
                <w:noProof/>
                <w:webHidden/>
              </w:rPr>
              <w:fldChar w:fldCharType="separate"/>
            </w:r>
            <w:r w:rsidR="00491B8C">
              <w:rPr>
                <w:noProof/>
                <w:webHidden/>
              </w:rPr>
              <w:t>92</w:t>
            </w:r>
            <w:r w:rsidR="008D3953">
              <w:rPr>
                <w:noProof/>
                <w:webHidden/>
              </w:rPr>
              <w:fldChar w:fldCharType="end"/>
            </w:r>
          </w:hyperlink>
        </w:p>
        <w:p w:rsidR="008D3953" w:rsidRDefault="009A24C6">
          <w:pPr>
            <w:pStyle w:val="TOC1"/>
            <w:tabs>
              <w:tab w:val="left" w:pos="1080"/>
            </w:tabs>
            <w:rPr>
              <w:rFonts w:asciiTheme="minorHAnsi" w:eastAsiaTheme="minorEastAsia" w:hAnsiTheme="minorHAnsi" w:cstheme="minorBidi"/>
              <w:noProof/>
              <w:sz w:val="22"/>
              <w:szCs w:val="22"/>
            </w:rPr>
          </w:pPr>
          <w:hyperlink w:anchor="_Toc378080182" w:history="1">
            <w:r w:rsidR="008D3953" w:rsidRPr="006C0981">
              <w:rPr>
                <w:rStyle w:val="Hyperlink"/>
                <w:rFonts w:cs="Times New Roman"/>
                <w:noProof/>
              </w:rPr>
              <w:t>IV.</w:t>
            </w:r>
            <w:r w:rsidR="00F433C0">
              <w:rPr>
                <w:rStyle w:val="Hyperlink"/>
                <w:rFonts w:cs="Times New Roman"/>
                <w:noProof/>
              </w:rPr>
              <w:t xml:space="preserve">  </w:t>
            </w:r>
            <w:r w:rsidR="008D3953" w:rsidRPr="006C0981">
              <w:rPr>
                <w:rStyle w:val="Hyperlink"/>
                <w:rFonts w:cs="Times New Roman"/>
                <w:noProof/>
              </w:rPr>
              <w:t>CONCLUSION</w:t>
            </w:r>
            <w:r w:rsidR="008D3953">
              <w:rPr>
                <w:noProof/>
                <w:webHidden/>
              </w:rPr>
              <w:tab/>
            </w:r>
            <w:r w:rsidR="008D3953">
              <w:rPr>
                <w:noProof/>
                <w:webHidden/>
              </w:rPr>
              <w:fldChar w:fldCharType="begin"/>
            </w:r>
            <w:r w:rsidR="008D3953">
              <w:rPr>
                <w:noProof/>
                <w:webHidden/>
              </w:rPr>
              <w:instrText xml:space="preserve"> PAGEREF _Toc378080182 \h </w:instrText>
            </w:r>
            <w:r w:rsidR="008D3953">
              <w:rPr>
                <w:noProof/>
                <w:webHidden/>
              </w:rPr>
            </w:r>
            <w:r w:rsidR="008D3953">
              <w:rPr>
                <w:noProof/>
                <w:webHidden/>
              </w:rPr>
              <w:fldChar w:fldCharType="separate"/>
            </w:r>
            <w:r w:rsidR="00491B8C">
              <w:rPr>
                <w:noProof/>
                <w:webHidden/>
              </w:rPr>
              <w:t>94</w:t>
            </w:r>
            <w:r w:rsidR="008D3953">
              <w:rPr>
                <w:noProof/>
                <w:webHidden/>
              </w:rPr>
              <w:fldChar w:fldCharType="end"/>
            </w:r>
          </w:hyperlink>
        </w:p>
        <w:p w:rsidR="00343CB6" w:rsidRDefault="00343CB6" w:rsidP="00343CB6">
          <w:pPr>
            <w:spacing w:line="240" w:lineRule="auto"/>
            <w:ind w:firstLine="0"/>
          </w:pPr>
          <w:r w:rsidRPr="00E278D4">
            <w:rPr>
              <w:rFonts w:cs="Times New Roman"/>
              <w:b/>
              <w:bCs/>
              <w:noProof/>
              <w:szCs w:val="26"/>
            </w:rPr>
            <w:fldChar w:fldCharType="end"/>
          </w:r>
        </w:p>
      </w:sdtContent>
    </w:sdt>
    <w:p w:rsidR="004F0789" w:rsidRPr="00BD4597" w:rsidRDefault="004F0789" w:rsidP="004F0789">
      <w:pPr>
        <w:contextualSpacing/>
        <w:rPr>
          <w:rFonts w:cs="Times New Roman"/>
          <w:szCs w:val="26"/>
        </w:rPr>
      </w:pPr>
    </w:p>
    <w:p w:rsidR="004F0789" w:rsidRPr="00BD4597" w:rsidRDefault="004F0789" w:rsidP="004F0789">
      <w:pPr>
        <w:contextualSpacing/>
        <w:jc w:val="center"/>
        <w:rPr>
          <w:rFonts w:cs="Times New Roman"/>
          <w:szCs w:val="26"/>
        </w:rPr>
      </w:pPr>
    </w:p>
    <w:p w:rsidR="004F0789" w:rsidRPr="00BD4597" w:rsidRDefault="004F0789" w:rsidP="004F0789">
      <w:pPr>
        <w:contextualSpacing/>
        <w:jc w:val="center"/>
        <w:rPr>
          <w:rFonts w:cs="Times New Roman"/>
          <w:szCs w:val="26"/>
        </w:rPr>
        <w:sectPr w:rsidR="004F0789" w:rsidRPr="00BD4597" w:rsidSect="000E74AA">
          <w:footerReference w:type="first" r:id="rId11"/>
          <w:pgSz w:w="12240" w:h="15840" w:code="1"/>
          <w:pgMar w:top="1296" w:right="1296" w:bottom="1296" w:left="1296" w:header="720" w:footer="720" w:gutter="0"/>
          <w:pgNumType w:fmt="lowerRoman" w:start="1"/>
          <w:cols w:space="720"/>
          <w:noEndnote/>
          <w:titlePg/>
          <w:docGrid w:linePitch="326"/>
        </w:sectPr>
      </w:pPr>
    </w:p>
    <w:p w:rsidR="004F0789" w:rsidRDefault="004F0789" w:rsidP="00D5541E">
      <w:pPr>
        <w:keepNext/>
        <w:spacing w:line="240" w:lineRule="auto"/>
        <w:ind w:firstLine="0"/>
        <w:contextualSpacing/>
        <w:rPr>
          <w:rFonts w:cs="Times New Roman"/>
          <w:b/>
          <w:szCs w:val="26"/>
        </w:rPr>
      </w:pPr>
      <w:r w:rsidRPr="005D6216">
        <w:rPr>
          <w:rFonts w:cs="Times New Roman"/>
          <w:b/>
          <w:szCs w:val="26"/>
        </w:rPr>
        <w:lastRenderedPageBreak/>
        <w:t>BY THE COMMISSION:</w:t>
      </w:r>
    </w:p>
    <w:p w:rsidR="004F0789" w:rsidRDefault="004F0789" w:rsidP="004F0789">
      <w:pPr>
        <w:keepNext/>
        <w:contextualSpacing/>
        <w:rPr>
          <w:rFonts w:cs="Times New Roman"/>
          <w:b/>
          <w:szCs w:val="26"/>
        </w:rPr>
      </w:pPr>
    </w:p>
    <w:p w:rsidR="004F0789" w:rsidRDefault="004F0789" w:rsidP="004F0789">
      <w:pPr>
        <w:contextualSpacing/>
        <w:rPr>
          <w:rFonts w:cs="Times New Roman"/>
          <w:szCs w:val="26"/>
        </w:rPr>
      </w:pPr>
      <w:r>
        <w:rPr>
          <w:rFonts w:cs="Times New Roman"/>
          <w:szCs w:val="26"/>
        </w:rPr>
        <w:t xml:space="preserve">Before the Pennsylvania Public Utility Commission (Commission) for consideration and disposition are:  (1) the Recommended Decision (R.D.) of Administrative Law Judge (ALJ) Dennis J. Buckley issued on November 22, 2013; (2) the Exceptions to the Recommended Decision filed on December 6, 2013, by </w:t>
      </w:r>
      <w:r w:rsidR="00D5541E">
        <w:rPr>
          <w:rFonts w:cs="Times New Roman"/>
          <w:szCs w:val="26"/>
        </w:rPr>
        <w:t>t</w:t>
      </w:r>
      <w:r>
        <w:rPr>
          <w:rFonts w:cs="Times New Roman"/>
          <w:szCs w:val="26"/>
        </w:rPr>
        <w:t>he Columbia Water Company (Columbia, CWC, or Company), the Office of Consumer Advocate (OCA), and the Commission’s Bureau of Investigation and Enforcement (I&amp;E); and (3) the Reply Exceptions filed on December 16, 2013, by the Company, the OCA and I&amp;E.  For the reasons explained more fully below, we shall modify the ALJ’s Recommended Decision and authorize the Company to file a revised tariff supplement designed to provide the Company with the opportunity to collect additional base rate revenues of $</w:t>
      </w:r>
      <w:r w:rsidR="00F433C0" w:rsidRPr="00BA77A1">
        <w:rPr>
          <w:rFonts w:cs="Times New Roman"/>
          <w:szCs w:val="26"/>
        </w:rPr>
        <w:t>53</w:t>
      </w:r>
      <w:r w:rsidR="00BA77A1" w:rsidRPr="00BA77A1">
        <w:rPr>
          <w:rFonts w:cs="Times New Roman"/>
          <w:szCs w:val="26"/>
        </w:rPr>
        <w:t>4,970</w:t>
      </w:r>
      <w:r w:rsidRPr="00BA77A1">
        <w:rPr>
          <w:rFonts w:cs="Times New Roman"/>
          <w:szCs w:val="26"/>
        </w:rPr>
        <w:t>.</w:t>
      </w:r>
    </w:p>
    <w:p w:rsidR="004F0789" w:rsidRPr="005D6216" w:rsidRDefault="004F0789" w:rsidP="004F0789">
      <w:pPr>
        <w:contextualSpacing/>
        <w:rPr>
          <w:rFonts w:cs="Times New Roman"/>
          <w:szCs w:val="26"/>
        </w:rPr>
      </w:pPr>
      <w:r>
        <w:rPr>
          <w:rFonts w:cs="Times New Roman"/>
          <w:szCs w:val="26"/>
        </w:rPr>
        <w:t xml:space="preserve"> </w:t>
      </w:r>
    </w:p>
    <w:p w:rsidR="004F0789" w:rsidRPr="00343CB6" w:rsidRDefault="004F0789" w:rsidP="00343CB6">
      <w:pPr>
        <w:pStyle w:val="Heading1"/>
        <w:rPr>
          <w:rStyle w:val="Heading1Char"/>
        </w:rPr>
      </w:pPr>
      <w:bookmarkStart w:id="0" w:name="_Toc378080147"/>
      <w:r>
        <w:rPr>
          <w:rFonts w:ascii="Times New Roman" w:hAnsi="Times New Roman" w:cs="Times New Roman"/>
          <w:szCs w:val="26"/>
        </w:rPr>
        <w:t>I.</w:t>
      </w:r>
      <w:r>
        <w:rPr>
          <w:rFonts w:ascii="Times New Roman" w:hAnsi="Times New Roman" w:cs="Times New Roman"/>
          <w:szCs w:val="26"/>
        </w:rPr>
        <w:tab/>
      </w:r>
      <w:r w:rsidRPr="00343CB6">
        <w:rPr>
          <w:rStyle w:val="Heading1Char"/>
        </w:rPr>
        <w:t>History of the Proceeding</w:t>
      </w:r>
      <w:bookmarkEnd w:id="0"/>
    </w:p>
    <w:p w:rsidR="004F0789" w:rsidRPr="005D6216" w:rsidRDefault="004F0789" w:rsidP="004F0789">
      <w:pPr>
        <w:keepNext/>
        <w:keepLines/>
        <w:contextualSpacing/>
        <w:rPr>
          <w:rFonts w:cs="Times New Roman"/>
          <w:b/>
          <w:szCs w:val="26"/>
          <w:u w:val="single"/>
        </w:rPr>
      </w:pPr>
    </w:p>
    <w:p w:rsidR="004F0789" w:rsidRDefault="004F0789" w:rsidP="004F0789">
      <w:pPr>
        <w:contextualSpacing/>
        <w:rPr>
          <w:rFonts w:cs="Times New Roman"/>
          <w:szCs w:val="26"/>
        </w:rPr>
      </w:pPr>
      <w:r w:rsidRPr="007F70DF">
        <w:rPr>
          <w:rFonts w:cs="Times New Roman"/>
          <w:szCs w:val="26"/>
        </w:rPr>
        <w:t>On April 25, 20</w:t>
      </w:r>
      <w:r>
        <w:rPr>
          <w:rFonts w:cs="Times New Roman"/>
          <w:szCs w:val="26"/>
        </w:rPr>
        <w:t xml:space="preserve">13, Columbia </w:t>
      </w:r>
      <w:r w:rsidRPr="007F70DF">
        <w:rPr>
          <w:rFonts w:cs="Times New Roman"/>
          <w:szCs w:val="26"/>
        </w:rPr>
        <w:t>filed Supplement No. 60 to Tariff</w:t>
      </w:r>
      <w:r>
        <w:rPr>
          <w:rFonts w:cs="Times New Roman"/>
          <w:szCs w:val="26"/>
        </w:rPr>
        <w:t>—</w:t>
      </w:r>
      <w:r w:rsidRPr="007F70DF">
        <w:rPr>
          <w:rFonts w:cs="Times New Roman"/>
          <w:szCs w:val="26"/>
        </w:rPr>
        <w:t>Water</w:t>
      </w:r>
      <w:r>
        <w:rPr>
          <w:rFonts w:cs="Times New Roman"/>
          <w:szCs w:val="26"/>
        </w:rPr>
        <w:t xml:space="preserve"> </w:t>
      </w:r>
      <w:r w:rsidRPr="007F70DF">
        <w:rPr>
          <w:rFonts w:cs="Times New Roman"/>
          <w:szCs w:val="26"/>
        </w:rPr>
        <w:t>Pa. P</w:t>
      </w:r>
      <w:r>
        <w:rPr>
          <w:rFonts w:cs="Times New Roman"/>
          <w:szCs w:val="26"/>
        </w:rPr>
        <w:t>.</w:t>
      </w:r>
      <w:r w:rsidRPr="007F70DF">
        <w:rPr>
          <w:rFonts w:cs="Times New Roman"/>
          <w:szCs w:val="26"/>
        </w:rPr>
        <w:t>U</w:t>
      </w:r>
      <w:r>
        <w:rPr>
          <w:rFonts w:cs="Times New Roman"/>
          <w:szCs w:val="26"/>
        </w:rPr>
        <w:t>.</w:t>
      </w:r>
      <w:r w:rsidRPr="007F70DF">
        <w:rPr>
          <w:rFonts w:cs="Times New Roman"/>
          <w:szCs w:val="26"/>
        </w:rPr>
        <w:t>C</w:t>
      </w:r>
      <w:r>
        <w:rPr>
          <w:rFonts w:cs="Times New Roman"/>
          <w:szCs w:val="26"/>
        </w:rPr>
        <w:t>.</w:t>
      </w:r>
      <w:r w:rsidRPr="007F70DF">
        <w:rPr>
          <w:rFonts w:cs="Times New Roman"/>
          <w:szCs w:val="26"/>
        </w:rPr>
        <w:t xml:space="preserve"> No. 7, which contained proposed changes in rates, rules, and regulations calculated to recover an estimated annual increase in base rate revenues of </w:t>
      </w:r>
      <w:r w:rsidRPr="00D15CC0">
        <w:rPr>
          <w:rFonts w:cs="Times New Roman"/>
          <w:szCs w:val="26"/>
        </w:rPr>
        <w:t>$773,210</w:t>
      </w:r>
      <w:r w:rsidRPr="007F70DF">
        <w:rPr>
          <w:rFonts w:cs="Times New Roman"/>
          <w:szCs w:val="26"/>
        </w:rPr>
        <w:t xml:space="preserve"> from customers of its Columbia Division.  Complaints against the pro</w:t>
      </w:r>
      <w:r>
        <w:rPr>
          <w:rFonts w:cs="Times New Roman"/>
          <w:szCs w:val="26"/>
        </w:rPr>
        <w:t xml:space="preserve">posed rate increase were filed </w:t>
      </w:r>
      <w:r w:rsidRPr="007F70DF">
        <w:rPr>
          <w:rFonts w:cs="Times New Roman"/>
          <w:szCs w:val="26"/>
        </w:rPr>
        <w:t>by t</w:t>
      </w:r>
      <w:r>
        <w:rPr>
          <w:rFonts w:cs="Times New Roman"/>
          <w:szCs w:val="26"/>
        </w:rPr>
        <w:t xml:space="preserve">he </w:t>
      </w:r>
      <w:r w:rsidRPr="007F70DF">
        <w:rPr>
          <w:rFonts w:cs="Times New Roman"/>
          <w:szCs w:val="26"/>
        </w:rPr>
        <w:t>O</w:t>
      </w:r>
      <w:r>
        <w:rPr>
          <w:rFonts w:cs="Times New Roman"/>
          <w:szCs w:val="26"/>
        </w:rPr>
        <w:t xml:space="preserve">CA, </w:t>
      </w:r>
      <w:r w:rsidRPr="007F70DF">
        <w:rPr>
          <w:rFonts w:cs="Times New Roman"/>
          <w:szCs w:val="26"/>
        </w:rPr>
        <w:t>the Office of Small Bu</w:t>
      </w:r>
      <w:r>
        <w:rPr>
          <w:rFonts w:cs="Times New Roman"/>
          <w:szCs w:val="26"/>
        </w:rPr>
        <w:t xml:space="preserve">siness Advocate (OSBA), and </w:t>
      </w:r>
      <w:r w:rsidRPr="007F70DF">
        <w:rPr>
          <w:rFonts w:cs="Times New Roman"/>
          <w:szCs w:val="26"/>
        </w:rPr>
        <w:t>Mr. Vinc</w:t>
      </w:r>
      <w:r>
        <w:rPr>
          <w:rFonts w:cs="Times New Roman"/>
          <w:szCs w:val="26"/>
        </w:rPr>
        <w:t>ent E. Collier.</w:t>
      </w:r>
      <w:r>
        <w:rPr>
          <w:rStyle w:val="FootnoteReference"/>
          <w:rFonts w:cs="Times New Roman"/>
          <w:szCs w:val="26"/>
        </w:rPr>
        <w:footnoteReference w:id="1"/>
      </w:r>
      <w:r>
        <w:rPr>
          <w:rFonts w:cs="Times New Roman"/>
          <w:szCs w:val="26"/>
        </w:rPr>
        <w:t xml:space="preserve">  I&amp;E entered an</w:t>
      </w:r>
      <w:r w:rsidRPr="007F70DF">
        <w:rPr>
          <w:rFonts w:cs="Times New Roman"/>
          <w:szCs w:val="26"/>
        </w:rPr>
        <w:t xml:space="preserve"> </w:t>
      </w:r>
      <w:r>
        <w:rPr>
          <w:rFonts w:cs="Times New Roman"/>
          <w:szCs w:val="26"/>
        </w:rPr>
        <w:t>appearance</w:t>
      </w:r>
      <w:r w:rsidRPr="007F70DF">
        <w:rPr>
          <w:rFonts w:cs="Times New Roman"/>
          <w:szCs w:val="26"/>
        </w:rPr>
        <w:t>.</w:t>
      </w:r>
      <w:r>
        <w:rPr>
          <w:rFonts w:cs="Times New Roman"/>
          <w:szCs w:val="26"/>
        </w:rPr>
        <w:t xml:space="preserve">  </w:t>
      </w:r>
      <w:r w:rsidRPr="007F70DF">
        <w:rPr>
          <w:rFonts w:cs="Times New Roman"/>
          <w:szCs w:val="26"/>
        </w:rPr>
        <w:t>By Order entered June 13, 2013, the Commission suspended the filing by operation of law until January 24, 2014.</w:t>
      </w:r>
    </w:p>
    <w:p w:rsidR="004F0789" w:rsidRDefault="004F0789" w:rsidP="004F0789">
      <w:pPr>
        <w:contextualSpacing/>
        <w:rPr>
          <w:rFonts w:cs="Times New Roman"/>
          <w:szCs w:val="26"/>
        </w:rPr>
      </w:pPr>
    </w:p>
    <w:p w:rsidR="004F0789" w:rsidRDefault="004F0789" w:rsidP="004F0789">
      <w:pPr>
        <w:contextualSpacing/>
        <w:rPr>
          <w:rFonts w:cs="Times New Roman"/>
          <w:szCs w:val="26"/>
        </w:rPr>
      </w:pPr>
      <w:r w:rsidRPr="007F70DF">
        <w:rPr>
          <w:rFonts w:cs="Times New Roman"/>
          <w:szCs w:val="26"/>
        </w:rPr>
        <w:t xml:space="preserve">On September 3, 2013, a public input hearing was held in Columbia, Pennsylvania, at which twelve witnesses gave sworn testimony. </w:t>
      </w:r>
      <w:r>
        <w:rPr>
          <w:rFonts w:cs="Times New Roman"/>
          <w:szCs w:val="26"/>
        </w:rPr>
        <w:t xml:space="preserve"> Vincent </w:t>
      </w:r>
      <w:r w:rsidRPr="007F70DF">
        <w:rPr>
          <w:rFonts w:cs="Times New Roman"/>
          <w:szCs w:val="26"/>
        </w:rPr>
        <w:t>Collier</w:t>
      </w:r>
      <w:r>
        <w:rPr>
          <w:rFonts w:cs="Times New Roman"/>
          <w:szCs w:val="26"/>
        </w:rPr>
        <w:t>, who</w:t>
      </w:r>
      <w:r w:rsidRPr="007F70DF">
        <w:rPr>
          <w:rFonts w:cs="Times New Roman"/>
          <w:szCs w:val="26"/>
        </w:rPr>
        <w:t xml:space="preserve"> filed a </w:t>
      </w:r>
      <w:r>
        <w:rPr>
          <w:rFonts w:cs="Times New Roman"/>
          <w:szCs w:val="26"/>
        </w:rPr>
        <w:t>F</w:t>
      </w:r>
      <w:r w:rsidRPr="007F70DF">
        <w:rPr>
          <w:rFonts w:cs="Times New Roman"/>
          <w:szCs w:val="26"/>
        </w:rPr>
        <w:t xml:space="preserve">ormal Complaint </w:t>
      </w:r>
      <w:r>
        <w:rPr>
          <w:rFonts w:cs="Times New Roman"/>
          <w:szCs w:val="26"/>
        </w:rPr>
        <w:t xml:space="preserve">(Complaint) </w:t>
      </w:r>
      <w:r w:rsidRPr="007F70DF">
        <w:rPr>
          <w:rFonts w:cs="Times New Roman"/>
          <w:szCs w:val="26"/>
        </w:rPr>
        <w:t xml:space="preserve">against the </w:t>
      </w:r>
      <w:r>
        <w:rPr>
          <w:rFonts w:cs="Times New Roman"/>
          <w:szCs w:val="26"/>
        </w:rPr>
        <w:t xml:space="preserve">proposed rate increase, testified and </w:t>
      </w:r>
      <w:r w:rsidRPr="007F70DF">
        <w:rPr>
          <w:rFonts w:cs="Times New Roman"/>
          <w:szCs w:val="26"/>
        </w:rPr>
        <w:t>asked that the rate increase request be denied in its en</w:t>
      </w:r>
      <w:r>
        <w:rPr>
          <w:rFonts w:cs="Times New Roman"/>
          <w:szCs w:val="26"/>
        </w:rPr>
        <w:t>tirety.  The public input</w:t>
      </w:r>
      <w:r w:rsidRPr="007F70DF">
        <w:rPr>
          <w:rFonts w:cs="Times New Roman"/>
          <w:szCs w:val="26"/>
        </w:rPr>
        <w:t xml:space="preserve"> hearing p</w:t>
      </w:r>
      <w:r>
        <w:rPr>
          <w:rFonts w:cs="Times New Roman"/>
          <w:szCs w:val="26"/>
        </w:rPr>
        <w:t>roduced a transcript of eighty-four pages and four</w:t>
      </w:r>
      <w:r w:rsidRPr="007F70DF">
        <w:rPr>
          <w:rFonts w:cs="Times New Roman"/>
          <w:szCs w:val="26"/>
        </w:rPr>
        <w:t xml:space="preserve"> exhibits.</w:t>
      </w:r>
    </w:p>
    <w:p w:rsidR="004F0789" w:rsidRPr="007F70DF" w:rsidRDefault="004F0789" w:rsidP="004F0789">
      <w:pPr>
        <w:contextualSpacing/>
        <w:rPr>
          <w:rFonts w:cs="Times New Roman"/>
          <w:szCs w:val="26"/>
        </w:rPr>
      </w:pPr>
    </w:p>
    <w:p w:rsidR="004F0789" w:rsidRDefault="004F0789" w:rsidP="004F0789">
      <w:pPr>
        <w:contextualSpacing/>
        <w:rPr>
          <w:rFonts w:cs="Times New Roman"/>
          <w:szCs w:val="26"/>
        </w:rPr>
      </w:pPr>
      <w:r w:rsidRPr="007F70DF">
        <w:rPr>
          <w:rFonts w:cs="Times New Roman"/>
          <w:szCs w:val="26"/>
        </w:rPr>
        <w:t>On September 5, 2013, an evidentiary hearing was held</w:t>
      </w:r>
      <w:r>
        <w:rPr>
          <w:rFonts w:cs="Times New Roman"/>
          <w:szCs w:val="26"/>
        </w:rPr>
        <w:t xml:space="preserve"> in Harrisburg, Pennsylvania.  Columbia presented two witnesses, David Lewis and Gary Shambaugh.  Ethan Cline testified for I&amp;E, and Ashley </w:t>
      </w:r>
      <w:r w:rsidRPr="007F70DF">
        <w:rPr>
          <w:rFonts w:cs="Times New Roman"/>
          <w:szCs w:val="26"/>
        </w:rPr>
        <w:t xml:space="preserve">Everette </w:t>
      </w:r>
      <w:r>
        <w:rPr>
          <w:rFonts w:cs="Times New Roman"/>
          <w:szCs w:val="26"/>
        </w:rPr>
        <w:t xml:space="preserve">testified for </w:t>
      </w:r>
      <w:r w:rsidRPr="007F70DF">
        <w:rPr>
          <w:rFonts w:cs="Times New Roman"/>
          <w:szCs w:val="26"/>
        </w:rPr>
        <w:t>the OCA.</w:t>
      </w:r>
      <w:r>
        <w:rPr>
          <w:rFonts w:cs="Times New Roman"/>
          <w:szCs w:val="26"/>
        </w:rPr>
        <w:t xml:space="preserve">  </w:t>
      </w:r>
      <w:r w:rsidRPr="007F70DF">
        <w:rPr>
          <w:rFonts w:cs="Times New Roman"/>
          <w:szCs w:val="26"/>
        </w:rPr>
        <w:t>The hearing produced a transcript</w:t>
      </w:r>
      <w:r>
        <w:rPr>
          <w:rFonts w:cs="Times New Roman"/>
          <w:szCs w:val="26"/>
        </w:rPr>
        <w:t xml:space="preserve"> of 118 pages and fourteen</w:t>
      </w:r>
      <w:r w:rsidRPr="007F70DF">
        <w:rPr>
          <w:rFonts w:cs="Times New Roman"/>
          <w:szCs w:val="26"/>
        </w:rPr>
        <w:t xml:space="preserve"> exhibits.</w:t>
      </w:r>
      <w:r>
        <w:rPr>
          <w:rFonts w:cs="Times New Roman"/>
          <w:szCs w:val="26"/>
        </w:rPr>
        <w:t xml:space="preserve">  The P</w:t>
      </w:r>
      <w:r w:rsidRPr="007F70DF">
        <w:rPr>
          <w:rFonts w:cs="Times New Roman"/>
          <w:szCs w:val="26"/>
        </w:rPr>
        <w:t xml:space="preserve">arties filed Main Briefs on September 26, 2013, </w:t>
      </w:r>
      <w:r>
        <w:rPr>
          <w:rFonts w:cs="Times New Roman"/>
          <w:szCs w:val="26"/>
        </w:rPr>
        <w:t xml:space="preserve">and Reply Briefs on </w:t>
      </w:r>
      <w:r w:rsidRPr="007F70DF">
        <w:rPr>
          <w:rFonts w:cs="Times New Roman"/>
          <w:szCs w:val="26"/>
        </w:rPr>
        <w:t>October 7, 2013.</w:t>
      </w:r>
      <w:r>
        <w:rPr>
          <w:rFonts w:cs="Times New Roman"/>
          <w:szCs w:val="26"/>
        </w:rPr>
        <w:t xml:space="preserve">  </w:t>
      </w:r>
      <w:r w:rsidRPr="007F70DF">
        <w:rPr>
          <w:rFonts w:cs="Times New Roman"/>
          <w:szCs w:val="26"/>
        </w:rPr>
        <w:t>The record closed on October 31, 2013.</w:t>
      </w:r>
    </w:p>
    <w:p w:rsidR="004F0789" w:rsidRDefault="004F0789" w:rsidP="004F0789">
      <w:pPr>
        <w:contextualSpacing/>
        <w:rPr>
          <w:rFonts w:cs="Times New Roman"/>
          <w:szCs w:val="26"/>
        </w:rPr>
      </w:pPr>
    </w:p>
    <w:p w:rsidR="004F0789" w:rsidRPr="007F70DF" w:rsidRDefault="004F0789" w:rsidP="004F0789">
      <w:pPr>
        <w:contextualSpacing/>
        <w:rPr>
          <w:rFonts w:cs="Times New Roman"/>
          <w:szCs w:val="26"/>
        </w:rPr>
      </w:pPr>
      <w:r>
        <w:rPr>
          <w:rFonts w:cs="Times New Roman"/>
          <w:szCs w:val="26"/>
        </w:rPr>
        <w:t xml:space="preserve">On November 22, 2013, ALJ Buckley issued his Recommended Decision, recommending that the Company’s proposed rate increase of </w:t>
      </w:r>
      <w:r w:rsidRPr="00D15CC0">
        <w:rPr>
          <w:rFonts w:cs="Times New Roman"/>
          <w:szCs w:val="26"/>
        </w:rPr>
        <w:t>$773,210</w:t>
      </w:r>
      <w:r>
        <w:rPr>
          <w:rFonts w:cs="Times New Roman"/>
          <w:szCs w:val="26"/>
        </w:rPr>
        <w:t xml:space="preserve"> be rejected, and that the Company instead be authorized to file a tariff supplement designed to produce </w:t>
      </w:r>
      <w:r w:rsidRPr="007F70DF">
        <w:rPr>
          <w:rFonts w:cs="Times New Roman"/>
          <w:szCs w:val="26"/>
        </w:rPr>
        <w:t xml:space="preserve">additional revenues of </w:t>
      </w:r>
      <w:r w:rsidRPr="00D15CC0">
        <w:rPr>
          <w:rFonts w:cs="Times New Roman"/>
          <w:szCs w:val="26"/>
        </w:rPr>
        <w:t>$87,699.</w:t>
      </w:r>
    </w:p>
    <w:p w:rsidR="004F0789" w:rsidRPr="007F70DF" w:rsidRDefault="004F0789" w:rsidP="004F0789">
      <w:pPr>
        <w:contextualSpacing/>
        <w:rPr>
          <w:rFonts w:cs="Times New Roman"/>
          <w:szCs w:val="26"/>
        </w:rPr>
      </w:pPr>
      <w:r w:rsidRPr="007F70DF">
        <w:rPr>
          <w:rFonts w:cs="Times New Roman"/>
          <w:szCs w:val="26"/>
        </w:rPr>
        <w:tab/>
      </w:r>
    </w:p>
    <w:p w:rsidR="004F0789" w:rsidRPr="00343CB6" w:rsidRDefault="004F0789" w:rsidP="00343CB6">
      <w:pPr>
        <w:pStyle w:val="Heading1"/>
        <w:rPr>
          <w:rStyle w:val="Heading1Char"/>
        </w:rPr>
      </w:pPr>
      <w:bookmarkStart w:id="1" w:name="_Toc378080148"/>
      <w:r w:rsidRPr="009A1A1D">
        <w:rPr>
          <w:rFonts w:ascii="Times New Roman" w:hAnsi="Times New Roman" w:cs="Times New Roman"/>
          <w:szCs w:val="26"/>
        </w:rPr>
        <w:t>II.</w:t>
      </w:r>
      <w:r w:rsidRPr="009A1A1D">
        <w:rPr>
          <w:rFonts w:ascii="Times New Roman" w:hAnsi="Times New Roman" w:cs="Times New Roman"/>
          <w:szCs w:val="26"/>
        </w:rPr>
        <w:tab/>
      </w:r>
      <w:r w:rsidRPr="00343CB6">
        <w:rPr>
          <w:rStyle w:val="Heading1Char"/>
        </w:rPr>
        <w:t>Background</w:t>
      </w:r>
      <w:bookmarkEnd w:id="1"/>
    </w:p>
    <w:p w:rsidR="004F0789" w:rsidRPr="007F70DF" w:rsidRDefault="004F0789" w:rsidP="004F0789">
      <w:pPr>
        <w:contextualSpacing/>
        <w:rPr>
          <w:rFonts w:cs="Times New Roman"/>
          <w:szCs w:val="26"/>
        </w:rPr>
      </w:pPr>
      <w:r w:rsidRPr="007F70DF">
        <w:rPr>
          <w:rFonts w:cs="Times New Roman"/>
          <w:szCs w:val="26"/>
        </w:rPr>
        <w:tab/>
      </w:r>
      <w:r w:rsidRPr="007F70DF">
        <w:rPr>
          <w:rFonts w:cs="Times New Roman"/>
          <w:szCs w:val="26"/>
        </w:rPr>
        <w:tab/>
      </w:r>
    </w:p>
    <w:p w:rsidR="004F0789" w:rsidRDefault="004F0789" w:rsidP="004F0789">
      <w:pPr>
        <w:contextualSpacing/>
        <w:rPr>
          <w:rFonts w:cs="Times New Roman"/>
          <w:szCs w:val="26"/>
        </w:rPr>
      </w:pPr>
      <w:r>
        <w:rPr>
          <w:rFonts w:cs="Times New Roman"/>
          <w:szCs w:val="26"/>
        </w:rPr>
        <w:t>The Columbia Water Company has two divisions.  T</w:t>
      </w:r>
      <w:r w:rsidRPr="00B102E4">
        <w:rPr>
          <w:rFonts w:cs="Times New Roman"/>
          <w:szCs w:val="26"/>
        </w:rPr>
        <w:t>he Columbia Division</w:t>
      </w:r>
      <w:r>
        <w:rPr>
          <w:rFonts w:cs="Times New Roman"/>
          <w:szCs w:val="26"/>
        </w:rPr>
        <w:t xml:space="preserve"> serves </w:t>
      </w:r>
      <w:r w:rsidRPr="007F70DF">
        <w:rPr>
          <w:rFonts w:cs="Times New Roman"/>
          <w:szCs w:val="26"/>
        </w:rPr>
        <w:t xml:space="preserve">Columbia </w:t>
      </w:r>
      <w:r>
        <w:rPr>
          <w:rFonts w:cs="Times New Roman"/>
          <w:szCs w:val="26"/>
        </w:rPr>
        <w:t xml:space="preserve">and Mountville Boroughs and </w:t>
      </w:r>
      <w:r w:rsidRPr="007F70DF">
        <w:rPr>
          <w:rFonts w:cs="Times New Roman"/>
          <w:szCs w:val="26"/>
        </w:rPr>
        <w:t>West Hempfield a</w:t>
      </w:r>
      <w:r>
        <w:rPr>
          <w:rFonts w:cs="Times New Roman"/>
          <w:szCs w:val="26"/>
        </w:rPr>
        <w:t xml:space="preserve">nd Manor Townships </w:t>
      </w:r>
      <w:r w:rsidRPr="007F70DF">
        <w:rPr>
          <w:rFonts w:cs="Times New Roman"/>
          <w:szCs w:val="26"/>
        </w:rPr>
        <w:t>in Lancaster County</w:t>
      </w:r>
      <w:r>
        <w:rPr>
          <w:rFonts w:cs="Times New Roman"/>
          <w:szCs w:val="26"/>
        </w:rPr>
        <w:t>.  T</w:t>
      </w:r>
      <w:r w:rsidRPr="00B102E4">
        <w:rPr>
          <w:rFonts w:cs="Times New Roman"/>
          <w:szCs w:val="26"/>
        </w:rPr>
        <w:t>he Marietta Division</w:t>
      </w:r>
      <w:r>
        <w:rPr>
          <w:rFonts w:cs="Times New Roman"/>
          <w:szCs w:val="26"/>
        </w:rPr>
        <w:t xml:space="preserve"> serves</w:t>
      </w:r>
      <w:r w:rsidRPr="00B102E4">
        <w:rPr>
          <w:rFonts w:cs="Times New Roman"/>
          <w:szCs w:val="26"/>
        </w:rPr>
        <w:t xml:space="preserve"> </w:t>
      </w:r>
      <w:r w:rsidRPr="007F70DF">
        <w:rPr>
          <w:rFonts w:cs="Times New Roman"/>
          <w:szCs w:val="26"/>
        </w:rPr>
        <w:t>Marietta Borough and East Donegal Towns</w:t>
      </w:r>
      <w:r>
        <w:rPr>
          <w:rFonts w:cs="Times New Roman"/>
          <w:szCs w:val="26"/>
        </w:rPr>
        <w:t xml:space="preserve">hip in Lancaster County, and </w:t>
      </w:r>
      <w:r w:rsidRPr="007F70DF">
        <w:rPr>
          <w:rFonts w:cs="Times New Roman"/>
          <w:szCs w:val="26"/>
        </w:rPr>
        <w:t>Hellam Township in York County</w:t>
      </w:r>
      <w:r w:rsidRPr="00B102E4">
        <w:rPr>
          <w:rFonts w:cs="Times New Roman"/>
          <w:szCs w:val="26"/>
        </w:rPr>
        <w:t xml:space="preserve">.  This rate case pertains </w:t>
      </w:r>
      <w:r>
        <w:rPr>
          <w:rFonts w:cs="Times New Roman"/>
          <w:szCs w:val="26"/>
        </w:rPr>
        <w:t xml:space="preserve">only </w:t>
      </w:r>
      <w:r w:rsidRPr="00B102E4">
        <w:rPr>
          <w:rFonts w:cs="Times New Roman"/>
          <w:szCs w:val="26"/>
        </w:rPr>
        <w:t>to the Company</w:t>
      </w:r>
      <w:r>
        <w:rPr>
          <w:rFonts w:cs="Times New Roman"/>
          <w:szCs w:val="26"/>
        </w:rPr>
        <w:t>’</w:t>
      </w:r>
      <w:r w:rsidRPr="00B102E4">
        <w:rPr>
          <w:rFonts w:cs="Times New Roman"/>
          <w:szCs w:val="26"/>
        </w:rPr>
        <w:t>s Columbia Division.</w:t>
      </w:r>
      <w:r>
        <w:rPr>
          <w:rFonts w:cs="Times New Roman"/>
          <w:szCs w:val="26"/>
        </w:rPr>
        <w:t xml:space="preserve">  The Co</w:t>
      </w:r>
      <w:r w:rsidR="00D5541E">
        <w:rPr>
          <w:rFonts w:cs="Times New Roman"/>
          <w:szCs w:val="26"/>
        </w:rPr>
        <w:t>lumbia Division</w:t>
      </w:r>
      <w:r>
        <w:rPr>
          <w:rFonts w:cs="Times New Roman"/>
          <w:szCs w:val="26"/>
        </w:rPr>
        <w:t xml:space="preserve"> serves approximately 8,870 customers.  CWC St. 1 at 2-3.</w:t>
      </w:r>
    </w:p>
    <w:p w:rsidR="004F0789" w:rsidRDefault="004F0789" w:rsidP="004F0789">
      <w:pPr>
        <w:contextualSpacing/>
        <w:rPr>
          <w:rFonts w:cs="Times New Roman"/>
          <w:szCs w:val="26"/>
        </w:rPr>
      </w:pPr>
    </w:p>
    <w:p w:rsidR="004F0789" w:rsidRDefault="004F0789" w:rsidP="004F0789">
      <w:pPr>
        <w:contextualSpacing/>
        <w:rPr>
          <w:rFonts w:cs="Times New Roman"/>
          <w:szCs w:val="26"/>
        </w:rPr>
      </w:pPr>
      <w:r>
        <w:rPr>
          <w:rFonts w:cs="Times New Roman"/>
          <w:szCs w:val="26"/>
        </w:rPr>
        <w:t xml:space="preserve">In this rate case, Columbia has </w:t>
      </w:r>
      <w:r w:rsidRPr="007F70DF">
        <w:rPr>
          <w:rFonts w:cs="Times New Roman"/>
          <w:szCs w:val="26"/>
        </w:rPr>
        <w:t xml:space="preserve">requested an </w:t>
      </w:r>
      <w:r>
        <w:rPr>
          <w:rFonts w:cs="Times New Roman"/>
          <w:szCs w:val="26"/>
        </w:rPr>
        <w:t>increase to</w:t>
      </w:r>
      <w:r w:rsidRPr="007F70DF">
        <w:rPr>
          <w:rFonts w:cs="Times New Roman"/>
          <w:szCs w:val="26"/>
        </w:rPr>
        <w:t xml:space="preserve"> annual operating revenues of </w:t>
      </w:r>
      <w:r w:rsidRPr="00D15CC0">
        <w:rPr>
          <w:rFonts w:cs="Times New Roman"/>
          <w:szCs w:val="26"/>
        </w:rPr>
        <w:t>$773,210.</w:t>
      </w:r>
      <w:r>
        <w:rPr>
          <w:rFonts w:cs="Times New Roman"/>
          <w:szCs w:val="26"/>
        </w:rPr>
        <w:t xml:space="preserve">  I&amp;E </w:t>
      </w:r>
      <w:r w:rsidRPr="007F70DF">
        <w:rPr>
          <w:rFonts w:cs="Times New Roman"/>
          <w:szCs w:val="26"/>
        </w:rPr>
        <w:t xml:space="preserve">recommended a decrease of </w:t>
      </w:r>
      <w:r w:rsidRPr="00D15CC0">
        <w:rPr>
          <w:rFonts w:cs="Times New Roman"/>
          <w:szCs w:val="26"/>
        </w:rPr>
        <w:t>$243,609</w:t>
      </w:r>
      <w:r w:rsidRPr="007F70DF">
        <w:rPr>
          <w:rFonts w:cs="Times New Roman"/>
          <w:szCs w:val="26"/>
        </w:rPr>
        <w:t xml:space="preserve"> </w:t>
      </w:r>
      <w:r>
        <w:rPr>
          <w:rFonts w:cs="Times New Roman"/>
          <w:szCs w:val="26"/>
        </w:rPr>
        <w:t xml:space="preserve">to the Company’s current annual revenues </w:t>
      </w:r>
      <w:r w:rsidRPr="007F70DF">
        <w:rPr>
          <w:rFonts w:cs="Times New Roman"/>
          <w:szCs w:val="26"/>
        </w:rPr>
        <w:t xml:space="preserve">of </w:t>
      </w:r>
      <w:r w:rsidRPr="00D15CC0">
        <w:rPr>
          <w:rFonts w:cs="Times New Roman"/>
          <w:szCs w:val="26"/>
        </w:rPr>
        <w:t>$4,227,272</w:t>
      </w:r>
      <w:r>
        <w:rPr>
          <w:rFonts w:cs="Times New Roman"/>
          <w:szCs w:val="26"/>
        </w:rPr>
        <w:t>.  Similarly, the OCA</w:t>
      </w:r>
      <w:r w:rsidRPr="007F70DF">
        <w:rPr>
          <w:rFonts w:cs="Times New Roman"/>
          <w:szCs w:val="26"/>
        </w:rPr>
        <w:t xml:space="preserve"> recommended </w:t>
      </w:r>
      <w:r>
        <w:rPr>
          <w:rFonts w:cs="Times New Roman"/>
          <w:szCs w:val="26"/>
        </w:rPr>
        <w:t xml:space="preserve">a </w:t>
      </w:r>
      <w:r w:rsidRPr="007F70DF">
        <w:rPr>
          <w:rFonts w:cs="Times New Roman"/>
          <w:szCs w:val="26"/>
        </w:rPr>
        <w:t xml:space="preserve">revenue decrease of </w:t>
      </w:r>
      <w:r w:rsidRPr="00D15CC0">
        <w:rPr>
          <w:rFonts w:cs="Times New Roman"/>
          <w:szCs w:val="26"/>
        </w:rPr>
        <w:t>$320,267</w:t>
      </w:r>
      <w:r w:rsidRPr="007F70DF">
        <w:rPr>
          <w:rFonts w:cs="Times New Roman"/>
          <w:szCs w:val="26"/>
        </w:rPr>
        <w:t xml:space="preserve">.  </w:t>
      </w:r>
    </w:p>
    <w:p w:rsidR="004F0789" w:rsidRDefault="004F0789" w:rsidP="004F0789">
      <w:pPr>
        <w:contextualSpacing/>
        <w:rPr>
          <w:rFonts w:cs="Times New Roman"/>
          <w:szCs w:val="26"/>
        </w:rPr>
      </w:pPr>
    </w:p>
    <w:p w:rsidR="004F0789" w:rsidRDefault="004F0789" w:rsidP="004F0789">
      <w:pPr>
        <w:contextualSpacing/>
        <w:rPr>
          <w:rFonts w:cs="Times New Roman"/>
          <w:szCs w:val="26"/>
        </w:rPr>
      </w:pPr>
      <w:r>
        <w:rPr>
          <w:rFonts w:cs="Times New Roman"/>
          <w:szCs w:val="26"/>
        </w:rPr>
        <w:t xml:space="preserve">The ALJ observed that </w:t>
      </w:r>
      <w:r w:rsidRPr="007F70DF">
        <w:rPr>
          <w:rFonts w:cs="Times New Roman"/>
          <w:szCs w:val="26"/>
        </w:rPr>
        <w:t xml:space="preserve">Columbia is a relatively </w:t>
      </w:r>
      <w:r>
        <w:rPr>
          <w:rFonts w:cs="Times New Roman"/>
          <w:szCs w:val="26"/>
        </w:rPr>
        <w:t xml:space="preserve">small, local water company, and opined that </w:t>
      </w:r>
      <w:r w:rsidRPr="007F70DF">
        <w:rPr>
          <w:rFonts w:cs="Times New Roman"/>
          <w:szCs w:val="26"/>
        </w:rPr>
        <w:t xml:space="preserve">the proposed adjustments should not be about what Columbia </w:t>
      </w:r>
      <w:r w:rsidRPr="007F70DF">
        <w:rPr>
          <w:rFonts w:cs="Times New Roman"/>
          <w:i/>
          <w:szCs w:val="26"/>
        </w:rPr>
        <w:t>might</w:t>
      </w:r>
      <w:r w:rsidRPr="007F70DF">
        <w:rPr>
          <w:rFonts w:cs="Times New Roman"/>
          <w:szCs w:val="26"/>
        </w:rPr>
        <w:t xml:space="preserve"> do in an ideal world, but </w:t>
      </w:r>
      <w:r>
        <w:rPr>
          <w:rFonts w:cs="Times New Roman"/>
          <w:szCs w:val="26"/>
        </w:rPr>
        <w:t>whether the</w:t>
      </w:r>
      <w:r w:rsidRPr="007F70DF">
        <w:rPr>
          <w:rFonts w:cs="Times New Roman"/>
          <w:szCs w:val="26"/>
        </w:rPr>
        <w:t xml:space="preserve"> evidence </w:t>
      </w:r>
      <w:r>
        <w:rPr>
          <w:rFonts w:cs="Times New Roman"/>
          <w:szCs w:val="26"/>
        </w:rPr>
        <w:t xml:space="preserve">presented by Columbia supports its </w:t>
      </w:r>
      <w:r w:rsidRPr="007F70DF">
        <w:rPr>
          <w:rFonts w:cs="Times New Roman"/>
          <w:szCs w:val="26"/>
        </w:rPr>
        <w:t xml:space="preserve">rate </w:t>
      </w:r>
      <w:r>
        <w:rPr>
          <w:rFonts w:cs="Times New Roman"/>
          <w:szCs w:val="26"/>
        </w:rPr>
        <w:t xml:space="preserve">increase </w:t>
      </w:r>
      <w:r w:rsidRPr="007F70DF">
        <w:rPr>
          <w:rFonts w:cs="Times New Roman"/>
          <w:szCs w:val="26"/>
        </w:rPr>
        <w:lastRenderedPageBreak/>
        <w:t>request.</w:t>
      </w:r>
      <w:r>
        <w:rPr>
          <w:rFonts w:cs="Times New Roman"/>
          <w:szCs w:val="26"/>
        </w:rPr>
        <w:t xml:space="preserve">  The ALJ concluded that </w:t>
      </w:r>
      <w:r w:rsidRPr="007F70DF">
        <w:rPr>
          <w:rFonts w:cs="Times New Roman"/>
          <w:szCs w:val="26"/>
        </w:rPr>
        <w:t>Columbia</w:t>
      </w:r>
      <w:r>
        <w:rPr>
          <w:rFonts w:cs="Times New Roman"/>
          <w:szCs w:val="26"/>
        </w:rPr>
        <w:t>’</w:t>
      </w:r>
      <w:r w:rsidRPr="007F70DF">
        <w:rPr>
          <w:rFonts w:cs="Times New Roman"/>
          <w:szCs w:val="26"/>
        </w:rPr>
        <w:t xml:space="preserve">s </w:t>
      </w:r>
      <w:r>
        <w:rPr>
          <w:rFonts w:cs="Times New Roman"/>
          <w:szCs w:val="26"/>
        </w:rPr>
        <w:t xml:space="preserve">overall </w:t>
      </w:r>
      <w:r w:rsidRPr="007F70DF">
        <w:rPr>
          <w:rFonts w:cs="Times New Roman"/>
          <w:szCs w:val="26"/>
        </w:rPr>
        <w:t>management of its</w:t>
      </w:r>
      <w:r>
        <w:rPr>
          <w:rFonts w:cs="Times New Roman"/>
          <w:szCs w:val="26"/>
        </w:rPr>
        <w:t xml:space="preserve"> affairs has </w:t>
      </w:r>
      <w:r w:rsidRPr="007F70DF">
        <w:rPr>
          <w:rFonts w:cs="Times New Roman"/>
          <w:szCs w:val="26"/>
        </w:rPr>
        <w:t>been reasonable</w:t>
      </w:r>
      <w:r>
        <w:rPr>
          <w:rFonts w:cs="Times New Roman"/>
          <w:szCs w:val="26"/>
        </w:rPr>
        <w:t>.  In this regard, the ALJ noted that “</w:t>
      </w:r>
      <w:r w:rsidRPr="007F70DF">
        <w:rPr>
          <w:rFonts w:cs="Times New Roman"/>
          <w:szCs w:val="26"/>
        </w:rPr>
        <w:t>with limited exceptions, I am reluctant to accept proposed adjustments, that while in and of themselves may be supportable, are not reasonable for this utility.</w:t>
      </w:r>
      <w:r>
        <w:rPr>
          <w:rFonts w:cs="Times New Roman"/>
          <w:szCs w:val="26"/>
        </w:rPr>
        <w:t>”</w:t>
      </w:r>
      <w:r w:rsidRPr="007F70DF">
        <w:rPr>
          <w:rFonts w:cs="Times New Roman"/>
          <w:szCs w:val="26"/>
        </w:rPr>
        <w:t xml:space="preserve">  </w:t>
      </w:r>
      <w:r>
        <w:rPr>
          <w:rFonts w:cs="Times New Roman"/>
          <w:szCs w:val="26"/>
        </w:rPr>
        <w:t xml:space="preserve">R.D. at 17.  The ALJ noted that </w:t>
      </w:r>
      <w:r w:rsidRPr="007F70DF">
        <w:rPr>
          <w:rFonts w:cs="Times New Roman"/>
          <w:szCs w:val="26"/>
        </w:rPr>
        <w:t>the Commission is not</w:t>
      </w:r>
      <w:r>
        <w:rPr>
          <w:rFonts w:cs="Times New Roman"/>
          <w:szCs w:val="26"/>
        </w:rPr>
        <w:t xml:space="preserve"> a super-board of directors, but that accepting </w:t>
      </w:r>
      <w:r w:rsidRPr="007F70DF">
        <w:rPr>
          <w:rFonts w:cs="Times New Roman"/>
          <w:szCs w:val="26"/>
        </w:rPr>
        <w:t>a number of the proposed adjustments wo</w:t>
      </w:r>
      <w:r>
        <w:rPr>
          <w:rFonts w:cs="Times New Roman"/>
          <w:szCs w:val="26"/>
        </w:rPr>
        <w:t>uld have the effect of the Commission acting as such</w:t>
      </w:r>
      <w:r w:rsidRPr="007F70DF">
        <w:rPr>
          <w:rFonts w:cs="Times New Roman"/>
          <w:szCs w:val="26"/>
        </w:rPr>
        <w:t xml:space="preserve">.  </w:t>
      </w:r>
      <w:r w:rsidRPr="007F70DF">
        <w:rPr>
          <w:rFonts w:cs="Times New Roman"/>
          <w:i/>
          <w:szCs w:val="26"/>
        </w:rPr>
        <w:t>Met</w:t>
      </w:r>
      <w:r>
        <w:rPr>
          <w:rFonts w:cs="Times New Roman"/>
          <w:i/>
          <w:szCs w:val="26"/>
        </w:rPr>
        <w:t>ropolitan</w:t>
      </w:r>
      <w:r w:rsidRPr="007F70DF">
        <w:rPr>
          <w:rFonts w:cs="Times New Roman"/>
          <w:i/>
          <w:szCs w:val="26"/>
        </w:rPr>
        <w:t xml:space="preserve"> Ed</w:t>
      </w:r>
      <w:r>
        <w:rPr>
          <w:rFonts w:cs="Times New Roman"/>
          <w:i/>
          <w:szCs w:val="26"/>
        </w:rPr>
        <w:t>ison Company</w:t>
      </w:r>
      <w:r w:rsidRPr="007F70DF">
        <w:rPr>
          <w:rFonts w:cs="Times New Roman"/>
          <w:i/>
          <w:szCs w:val="26"/>
        </w:rPr>
        <w:t xml:space="preserve"> v. Pa.</w:t>
      </w:r>
      <w:r>
        <w:rPr>
          <w:rFonts w:cs="Times New Roman"/>
          <w:i/>
          <w:szCs w:val="26"/>
        </w:rPr>
        <w:t xml:space="preserve"> </w:t>
      </w:r>
      <w:r w:rsidRPr="007F70DF">
        <w:rPr>
          <w:rFonts w:cs="Times New Roman"/>
          <w:i/>
          <w:szCs w:val="26"/>
        </w:rPr>
        <w:t>PUC</w:t>
      </w:r>
      <w:r>
        <w:rPr>
          <w:rFonts w:cs="Times New Roman"/>
          <w:szCs w:val="26"/>
        </w:rPr>
        <w:t>,</w:t>
      </w:r>
      <w:r w:rsidRPr="007F70DF">
        <w:rPr>
          <w:rFonts w:cs="Times New Roman"/>
          <w:szCs w:val="26"/>
        </w:rPr>
        <w:t xml:space="preserve"> 437 A.2d 76 (</w:t>
      </w:r>
      <w:r>
        <w:rPr>
          <w:rFonts w:cs="Times New Roman"/>
          <w:szCs w:val="26"/>
        </w:rPr>
        <w:t xml:space="preserve">Pa. Cmwlth. </w:t>
      </w:r>
      <w:r w:rsidRPr="007F70DF">
        <w:rPr>
          <w:rFonts w:cs="Times New Roman"/>
          <w:szCs w:val="26"/>
        </w:rPr>
        <w:t>1981)</w:t>
      </w:r>
      <w:r>
        <w:rPr>
          <w:rFonts w:cs="Times New Roman"/>
          <w:szCs w:val="26"/>
        </w:rPr>
        <w:t xml:space="preserve">; </w:t>
      </w:r>
      <w:r w:rsidRPr="007F70DF">
        <w:rPr>
          <w:rFonts w:cs="Times New Roman"/>
          <w:i/>
          <w:szCs w:val="26"/>
        </w:rPr>
        <w:t>Northern Pa</w:t>
      </w:r>
      <w:r>
        <w:rPr>
          <w:rFonts w:cs="Times New Roman"/>
          <w:i/>
          <w:szCs w:val="26"/>
        </w:rPr>
        <w:t>.</w:t>
      </w:r>
      <w:r w:rsidRPr="007F70DF">
        <w:rPr>
          <w:rFonts w:cs="Times New Roman"/>
          <w:i/>
          <w:szCs w:val="26"/>
        </w:rPr>
        <w:t xml:space="preserve"> Power Co</w:t>
      </w:r>
      <w:r>
        <w:rPr>
          <w:rFonts w:cs="Times New Roman"/>
          <w:i/>
          <w:szCs w:val="26"/>
        </w:rPr>
        <w:t>mpany</w:t>
      </w:r>
      <w:r w:rsidRPr="007F70DF">
        <w:rPr>
          <w:rFonts w:cs="Times New Roman"/>
          <w:i/>
          <w:szCs w:val="26"/>
        </w:rPr>
        <w:t xml:space="preserve"> v. Pa</w:t>
      </w:r>
      <w:r>
        <w:rPr>
          <w:rFonts w:cs="Times New Roman"/>
          <w:i/>
          <w:szCs w:val="26"/>
        </w:rPr>
        <w:t>.</w:t>
      </w:r>
      <w:r w:rsidRPr="007F70DF">
        <w:rPr>
          <w:rFonts w:cs="Times New Roman"/>
          <w:i/>
          <w:szCs w:val="26"/>
        </w:rPr>
        <w:t xml:space="preserve"> PUC</w:t>
      </w:r>
      <w:r>
        <w:rPr>
          <w:rFonts w:cs="Times New Roman"/>
          <w:i/>
          <w:szCs w:val="26"/>
        </w:rPr>
        <w:t>,</w:t>
      </w:r>
      <w:r w:rsidRPr="007F70DF">
        <w:rPr>
          <w:rFonts w:cs="Times New Roman"/>
          <w:szCs w:val="26"/>
        </w:rPr>
        <w:t xml:space="preserve"> </w:t>
      </w:r>
      <w:r>
        <w:rPr>
          <w:rFonts w:cs="Times New Roman"/>
          <w:szCs w:val="26"/>
        </w:rPr>
        <w:t xml:space="preserve">333 Pa. 265, </w:t>
      </w:r>
      <w:r w:rsidRPr="007F70DF">
        <w:rPr>
          <w:rFonts w:cs="Times New Roman"/>
          <w:szCs w:val="26"/>
        </w:rPr>
        <w:t>5 A.2d 133 (1939).</w:t>
      </w:r>
    </w:p>
    <w:p w:rsidR="004F0789" w:rsidRPr="007F70DF" w:rsidRDefault="004F0789" w:rsidP="004F0789">
      <w:pPr>
        <w:contextualSpacing/>
        <w:rPr>
          <w:rFonts w:cs="Times New Roman"/>
          <w:szCs w:val="26"/>
        </w:rPr>
      </w:pPr>
    </w:p>
    <w:p w:rsidR="004F0789" w:rsidRDefault="004F0789" w:rsidP="004F0789">
      <w:pPr>
        <w:contextualSpacing/>
        <w:rPr>
          <w:rFonts w:cs="Times New Roman"/>
          <w:szCs w:val="26"/>
        </w:rPr>
      </w:pPr>
      <w:r>
        <w:rPr>
          <w:rFonts w:cs="Times New Roman"/>
          <w:szCs w:val="26"/>
        </w:rPr>
        <w:t xml:space="preserve">The ALJ identified </w:t>
      </w:r>
      <w:r w:rsidRPr="007F70DF">
        <w:rPr>
          <w:rFonts w:cs="Times New Roman"/>
          <w:szCs w:val="26"/>
        </w:rPr>
        <w:t>thr</w:t>
      </w:r>
      <w:r>
        <w:rPr>
          <w:rFonts w:cs="Times New Roman"/>
          <w:szCs w:val="26"/>
        </w:rPr>
        <w:t xml:space="preserve">ee primary </w:t>
      </w:r>
      <w:r w:rsidRPr="007F70DF">
        <w:rPr>
          <w:rFonts w:cs="Times New Roman"/>
          <w:szCs w:val="26"/>
        </w:rPr>
        <w:t>issues in thi</w:t>
      </w:r>
      <w:r>
        <w:rPr>
          <w:rFonts w:cs="Times New Roman"/>
          <w:szCs w:val="26"/>
        </w:rPr>
        <w:t xml:space="preserve">s case: (1) whether certain </w:t>
      </w:r>
      <w:r w:rsidRPr="00CE1345">
        <w:rPr>
          <w:szCs w:val="26"/>
        </w:rPr>
        <w:t>Pennsylvania Infrastructure Investment Authority</w:t>
      </w:r>
      <w:r>
        <w:rPr>
          <w:rFonts w:cs="Times New Roman"/>
          <w:szCs w:val="26"/>
        </w:rPr>
        <w:t xml:space="preserve"> (Penn</w:t>
      </w:r>
      <w:r w:rsidRPr="007F70DF">
        <w:rPr>
          <w:rFonts w:cs="Times New Roman"/>
          <w:szCs w:val="26"/>
        </w:rPr>
        <w:t>Vest</w:t>
      </w:r>
      <w:r>
        <w:rPr>
          <w:rFonts w:cs="Times New Roman"/>
          <w:szCs w:val="26"/>
        </w:rPr>
        <w:t>)</w:t>
      </w:r>
      <w:r w:rsidRPr="007F70DF">
        <w:rPr>
          <w:rFonts w:cs="Times New Roman"/>
          <w:szCs w:val="26"/>
        </w:rPr>
        <w:t xml:space="preserve"> financed plant </w:t>
      </w:r>
      <w:r>
        <w:rPr>
          <w:rFonts w:cs="Times New Roman"/>
          <w:szCs w:val="26"/>
        </w:rPr>
        <w:t>should be included in the Company’s rate base</w:t>
      </w:r>
      <w:r w:rsidRPr="007F70DF">
        <w:rPr>
          <w:rFonts w:cs="Times New Roman"/>
          <w:szCs w:val="26"/>
        </w:rPr>
        <w:t>; (2) the al</w:t>
      </w:r>
      <w:r>
        <w:rPr>
          <w:rFonts w:cs="Times New Roman"/>
          <w:szCs w:val="26"/>
        </w:rPr>
        <w:t xml:space="preserve">location of </w:t>
      </w:r>
      <w:r w:rsidR="00374266">
        <w:rPr>
          <w:rFonts w:cs="Times New Roman"/>
          <w:szCs w:val="26"/>
        </w:rPr>
        <w:t xml:space="preserve">certain </w:t>
      </w:r>
      <w:r>
        <w:rPr>
          <w:rFonts w:cs="Times New Roman"/>
          <w:szCs w:val="26"/>
        </w:rPr>
        <w:t>expenses to the Marietta Division</w:t>
      </w:r>
      <w:r w:rsidRPr="007F70DF">
        <w:rPr>
          <w:rFonts w:cs="Times New Roman"/>
          <w:szCs w:val="26"/>
        </w:rPr>
        <w:t>; and (3) the Company</w:t>
      </w:r>
      <w:r>
        <w:rPr>
          <w:rFonts w:cs="Times New Roman"/>
          <w:szCs w:val="26"/>
        </w:rPr>
        <w:t>’</w:t>
      </w:r>
      <w:r w:rsidRPr="007F70DF">
        <w:rPr>
          <w:rFonts w:cs="Times New Roman"/>
          <w:szCs w:val="26"/>
        </w:rPr>
        <w:t xml:space="preserve">s capital structure and rate of return. </w:t>
      </w:r>
      <w:r>
        <w:rPr>
          <w:rFonts w:cs="Times New Roman"/>
          <w:szCs w:val="26"/>
        </w:rPr>
        <w:t xml:space="preserve"> R.D. at 49.  The ALJ concluded that </w:t>
      </w:r>
      <w:r w:rsidRPr="007F70DF">
        <w:rPr>
          <w:rFonts w:cs="Times New Roman"/>
          <w:szCs w:val="26"/>
        </w:rPr>
        <w:t>Columbia</w:t>
      </w:r>
      <w:r>
        <w:rPr>
          <w:rFonts w:cs="Times New Roman"/>
          <w:szCs w:val="26"/>
        </w:rPr>
        <w:t>’</w:t>
      </w:r>
      <w:r w:rsidRPr="007F70DF">
        <w:rPr>
          <w:rFonts w:cs="Times New Roman"/>
          <w:szCs w:val="26"/>
        </w:rPr>
        <w:t>s inclusion of its remaining used and</w:t>
      </w:r>
      <w:r>
        <w:rPr>
          <w:rFonts w:cs="Times New Roman"/>
          <w:szCs w:val="26"/>
        </w:rPr>
        <w:t xml:space="preserve"> useful undepreciated PennVest p</w:t>
      </w:r>
      <w:r w:rsidRPr="007F70DF">
        <w:rPr>
          <w:rFonts w:cs="Times New Roman"/>
          <w:szCs w:val="26"/>
        </w:rPr>
        <w:t>lant and facilities in rate base</w:t>
      </w:r>
      <w:r w:rsidRPr="003A6FC1">
        <w:rPr>
          <w:rFonts w:cs="Times New Roman"/>
          <w:szCs w:val="26"/>
        </w:rPr>
        <w:t xml:space="preserve"> is</w:t>
      </w:r>
      <w:r>
        <w:rPr>
          <w:rFonts w:cs="Times New Roman"/>
          <w:szCs w:val="26"/>
        </w:rPr>
        <w:t xml:space="preserve"> appropriate.  The ALJ also concluded that I&amp;E’s recommended </w:t>
      </w:r>
      <w:r w:rsidRPr="007F70DF">
        <w:rPr>
          <w:rFonts w:cs="Times New Roman"/>
          <w:szCs w:val="26"/>
        </w:rPr>
        <w:t>7.07% overall rate of return</w:t>
      </w:r>
      <w:r>
        <w:rPr>
          <w:rFonts w:cs="Times New Roman"/>
          <w:szCs w:val="26"/>
        </w:rPr>
        <w:t xml:space="preserve">, derived from its </w:t>
      </w:r>
      <w:r w:rsidRPr="007F70DF">
        <w:rPr>
          <w:rFonts w:cs="Times New Roman"/>
          <w:szCs w:val="26"/>
        </w:rPr>
        <w:t>recommended 50/50</w:t>
      </w:r>
      <w:r>
        <w:rPr>
          <w:rFonts w:cs="Times New Roman"/>
          <w:szCs w:val="26"/>
        </w:rPr>
        <w:t xml:space="preserve"> capital structure and its </w:t>
      </w:r>
      <w:r w:rsidRPr="007F70DF">
        <w:rPr>
          <w:rFonts w:cs="Times New Roman"/>
          <w:szCs w:val="26"/>
        </w:rPr>
        <w:t>recommended 9.15% cost of common equity</w:t>
      </w:r>
      <w:r>
        <w:rPr>
          <w:rFonts w:cs="Times New Roman"/>
          <w:szCs w:val="26"/>
        </w:rPr>
        <w:t>,</w:t>
      </w:r>
      <w:r w:rsidRPr="007F70DF">
        <w:rPr>
          <w:rFonts w:cs="Times New Roman"/>
          <w:szCs w:val="26"/>
        </w:rPr>
        <w:t xml:space="preserve"> is reasonable.</w:t>
      </w:r>
      <w:r>
        <w:rPr>
          <w:rFonts w:cs="Times New Roman"/>
          <w:szCs w:val="26"/>
        </w:rPr>
        <w:t xml:space="preserve">  The ALJ rejected </w:t>
      </w:r>
      <w:r w:rsidRPr="007F70DF">
        <w:rPr>
          <w:rFonts w:cs="Times New Roman"/>
          <w:szCs w:val="26"/>
        </w:rPr>
        <w:t>Columbia</w:t>
      </w:r>
      <w:r>
        <w:rPr>
          <w:rFonts w:cs="Times New Roman"/>
          <w:szCs w:val="26"/>
        </w:rPr>
        <w:t>’</w:t>
      </w:r>
      <w:r w:rsidRPr="007F70DF">
        <w:rPr>
          <w:rFonts w:cs="Times New Roman"/>
          <w:szCs w:val="26"/>
        </w:rPr>
        <w:t>s request for a combined upward adjustment of 50 basis point</w:t>
      </w:r>
      <w:r>
        <w:rPr>
          <w:rFonts w:cs="Times New Roman"/>
          <w:szCs w:val="26"/>
        </w:rPr>
        <w:t>s to its return on equity</w:t>
      </w:r>
      <w:r w:rsidR="00921844">
        <w:rPr>
          <w:rFonts w:cs="Times New Roman"/>
          <w:szCs w:val="26"/>
        </w:rPr>
        <w:t xml:space="preserve"> to reflect the Company’s management efficiency and the acquisition of two water systems</w:t>
      </w:r>
      <w:r w:rsidRPr="007F70DF">
        <w:rPr>
          <w:rFonts w:cs="Times New Roman"/>
          <w:szCs w:val="26"/>
        </w:rPr>
        <w:t>.</w:t>
      </w:r>
      <w:r>
        <w:rPr>
          <w:rFonts w:cs="Times New Roman"/>
          <w:szCs w:val="26"/>
        </w:rPr>
        <w:t xml:space="preserve">  In lieu of Columbia’s requested rate increase of </w:t>
      </w:r>
      <w:r w:rsidRPr="00D15CC0">
        <w:rPr>
          <w:rFonts w:cs="Times New Roman"/>
          <w:szCs w:val="26"/>
        </w:rPr>
        <w:t>$773,210</w:t>
      </w:r>
      <w:r>
        <w:rPr>
          <w:rFonts w:cs="Times New Roman"/>
          <w:szCs w:val="26"/>
        </w:rPr>
        <w:t xml:space="preserve">, the ALJ recommended a revenue increase of </w:t>
      </w:r>
      <w:r w:rsidRPr="00D15CC0">
        <w:rPr>
          <w:rFonts w:cs="Times New Roman"/>
          <w:szCs w:val="26"/>
        </w:rPr>
        <w:t>$87,699</w:t>
      </w:r>
      <w:r w:rsidRPr="003A6FC1">
        <w:rPr>
          <w:rFonts w:cs="Times New Roman"/>
          <w:szCs w:val="26"/>
        </w:rPr>
        <w:t xml:space="preserve"> </w:t>
      </w:r>
      <w:r w:rsidRPr="007F70DF">
        <w:rPr>
          <w:rFonts w:cs="Times New Roman"/>
          <w:szCs w:val="26"/>
        </w:rPr>
        <w:t>to be allocated on an “across-the-board” basis to all customers.</w:t>
      </w:r>
      <w:r>
        <w:rPr>
          <w:rFonts w:cs="Times New Roman"/>
          <w:szCs w:val="26"/>
        </w:rPr>
        <w:t xml:space="preserve">  R.D. at 49.  </w:t>
      </w:r>
    </w:p>
    <w:p w:rsidR="004F0789" w:rsidRDefault="004F0789" w:rsidP="004F0789">
      <w:pPr>
        <w:contextualSpacing/>
        <w:rPr>
          <w:rFonts w:cs="Times New Roman"/>
          <w:szCs w:val="26"/>
        </w:rPr>
      </w:pPr>
    </w:p>
    <w:p w:rsidR="004F0789" w:rsidRPr="00343CB6" w:rsidRDefault="004F0789" w:rsidP="005D58D5">
      <w:pPr>
        <w:pStyle w:val="Heading1"/>
        <w:rPr>
          <w:rStyle w:val="Heading1Char"/>
        </w:rPr>
      </w:pPr>
      <w:bookmarkStart w:id="2" w:name="_Toc378080149"/>
      <w:r w:rsidRPr="0059104E">
        <w:rPr>
          <w:rFonts w:ascii="Times New Roman" w:hAnsi="Times New Roman" w:cs="Times New Roman"/>
          <w:szCs w:val="26"/>
        </w:rPr>
        <w:t>III.</w:t>
      </w:r>
      <w:r w:rsidRPr="0059104E">
        <w:rPr>
          <w:rFonts w:ascii="Times New Roman" w:hAnsi="Times New Roman" w:cs="Times New Roman"/>
          <w:szCs w:val="26"/>
        </w:rPr>
        <w:tab/>
      </w:r>
      <w:r w:rsidRPr="00343CB6">
        <w:rPr>
          <w:rStyle w:val="Heading1Char"/>
        </w:rPr>
        <w:t>Discussion</w:t>
      </w:r>
      <w:bookmarkEnd w:id="2"/>
    </w:p>
    <w:p w:rsidR="004F0789" w:rsidRDefault="004F0789" w:rsidP="005D58D5">
      <w:pPr>
        <w:keepNext/>
      </w:pPr>
    </w:p>
    <w:p w:rsidR="004F0789" w:rsidRPr="00343CB6" w:rsidRDefault="00390088" w:rsidP="00390088">
      <w:pPr>
        <w:pStyle w:val="Heading2"/>
        <w:numPr>
          <w:ilvl w:val="0"/>
          <w:numId w:val="0"/>
        </w:numPr>
        <w:ind w:left="720"/>
        <w:rPr>
          <w:rStyle w:val="Heading2Char"/>
          <w:b/>
        </w:rPr>
      </w:pPr>
      <w:bookmarkStart w:id="3" w:name="_Toc378080150"/>
      <w:r>
        <w:rPr>
          <w:rStyle w:val="Heading2Char"/>
          <w:b/>
        </w:rPr>
        <w:t>A.</w:t>
      </w:r>
      <w:r>
        <w:rPr>
          <w:rStyle w:val="Heading2Char"/>
          <w:b/>
        </w:rPr>
        <w:tab/>
      </w:r>
      <w:r w:rsidR="004F0789" w:rsidRPr="00343CB6">
        <w:rPr>
          <w:rStyle w:val="Heading2Char"/>
          <w:b/>
        </w:rPr>
        <w:t>Legal Principles</w:t>
      </w:r>
      <w:bookmarkEnd w:id="3"/>
    </w:p>
    <w:p w:rsidR="004F0789" w:rsidRDefault="004F0789" w:rsidP="004F0789">
      <w:pPr>
        <w:keepNext/>
        <w:keepLines/>
        <w:contextualSpacing/>
        <w:rPr>
          <w:rFonts w:cs="Times New Roman"/>
          <w:szCs w:val="26"/>
        </w:rPr>
      </w:pPr>
    </w:p>
    <w:p w:rsidR="004F0789" w:rsidRDefault="00374266" w:rsidP="004F0789">
      <w:pPr>
        <w:rPr>
          <w:rFonts w:cs="Times New Roman"/>
          <w:color w:val="000000"/>
          <w:szCs w:val="26"/>
        </w:rPr>
      </w:pPr>
      <w:r>
        <w:rPr>
          <w:rFonts w:cs="Times New Roman"/>
          <w:color w:val="000000"/>
          <w:szCs w:val="26"/>
        </w:rPr>
        <w:t>In this proceeding, t</w:t>
      </w:r>
      <w:r w:rsidR="004F0789" w:rsidRPr="00092D77">
        <w:rPr>
          <w:rFonts w:cs="Times New Roman"/>
          <w:color w:val="000000"/>
          <w:szCs w:val="26"/>
        </w:rPr>
        <w:t>he Company has the bu</w:t>
      </w:r>
      <w:r>
        <w:rPr>
          <w:rFonts w:cs="Times New Roman"/>
          <w:color w:val="000000"/>
          <w:szCs w:val="26"/>
        </w:rPr>
        <w:t xml:space="preserve">rden of proof </w:t>
      </w:r>
      <w:r w:rsidR="004F0789" w:rsidRPr="00092D77">
        <w:rPr>
          <w:rFonts w:cs="Times New Roman"/>
          <w:color w:val="000000"/>
          <w:szCs w:val="26"/>
        </w:rPr>
        <w:t>to establish that it is entitled to th</w:t>
      </w:r>
      <w:r w:rsidR="004F0789">
        <w:rPr>
          <w:rFonts w:cs="Times New Roman"/>
          <w:color w:val="000000"/>
          <w:szCs w:val="26"/>
        </w:rPr>
        <w:t xml:space="preserve">e relief it is seeking.  66 Pa. </w:t>
      </w:r>
      <w:r w:rsidR="004F0789" w:rsidRPr="00092D77">
        <w:rPr>
          <w:rFonts w:cs="Times New Roman"/>
          <w:color w:val="000000"/>
          <w:szCs w:val="26"/>
        </w:rPr>
        <w:t xml:space="preserve">C.S. § 332(a).  The Company must establish its case by a preponderance of the evidence.  </w:t>
      </w:r>
      <w:r w:rsidR="004F0789" w:rsidRPr="00092D77">
        <w:rPr>
          <w:rFonts w:cs="Times New Roman"/>
          <w:i/>
          <w:color w:val="000000"/>
          <w:szCs w:val="26"/>
        </w:rPr>
        <w:t>Samuel J. Lansberry, Inc. v. Pa. PUC</w:t>
      </w:r>
      <w:r w:rsidR="004F0789" w:rsidRPr="00092D77">
        <w:rPr>
          <w:rFonts w:cs="Times New Roman"/>
          <w:color w:val="000000"/>
          <w:szCs w:val="26"/>
        </w:rPr>
        <w:t xml:space="preserve">, 578 A.2d </w:t>
      </w:r>
      <w:r w:rsidR="004F0789" w:rsidRPr="00092D77">
        <w:rPr>
          <w:rFonts w:cs="Times New Roman"/>
          <w:color w:val="000000"/>
          <w:szCs w:val="26"/>
        </w:rPr>
        <w:lastRenderedPageBreak/>
        <w:t xml:space="preserve">600 (Pa. Cmwlth. 1990), </w:t>
      </w:r>
      <w:r w:rsidR="004F0789" w:rsidRPr="00092D77">
        <w:rPr>
          <w:rFonts w:cs="Times New Roman"/>
          <w:i/>
          <w:color w:val="000000"/>
          <w:szCs w:val="26"/>
        </w:rPr>
        <w:t>alloc. den</w:t>
      </w:r>
      <w:r w:rsidR="004F0789">
        <w:rPr>
          <w:rFonts w:cs="Times New Roman"/>
          <w:color w:val="000000"/>
          <w:szCs w:val="26"/>
        </w:rPr>
        <w:t>.</w:t>
      </w:r>
      <w:r w:rsidR="004F0789" w:rsidRPr="00092D77">
        <w:rPr>
          <w:rFonts w:cs="Times New Roman"/>
          <w:color w:val="000000"/>
          <w:szCs w:val="26"/>
        </w:rPr>
        <w:t xml:space="preserve">, </w:t>
      </w:r>
      <w:r w:rsidR="004F0789">
        <w:rPr>
          <w:rFonts w:cs="Times New Roman"/>
          <w:color w:val="000000"/>
          <w:szCs w:val="26"/>
        </w:rPr>
        <w:t>529 Pa. 654, 602 A.2d 863 (</w:t>
      </w:r>
      <w:r w:rsidR="004F0789" w:rsidRPr="00092D77">
        <w:rPr>
          <w:rFonts w:cs="Times New Roman"/>
          <w:color w:val="000000"/>
          <w:szCs w:val="26"/>
        </w:rPr>
        <w:t xml:space="preserve">1992).  To meet its burden of proof, the Company must present evidence more convincing, by even the smallest amount, than that presented by any opposing party.  </w:t>
      </w:r>
      <w:r w:rsidR="004F0789" w:rsidRPr="00092D77">
        <w:rPr>
          <w:rFonts w:cs="Times New Roman"/>
          <w:i/>
          <w:color w:val="000000"/>
          <w:szCs w:val="26"/>
        </w:rPr>
        <w:t>Se-Ling Hosiery</w:t>
      </w:r>
      <w:r w:rsidR="004F0789">
        <w:rPr>
          <w:rFonts w:cs="Times New Roman"/>
          <w:i/>
          <w:color w:val="000000"/>
          <w:szCs w:val="26"/>
        </w:rPr>
        <w:t>,</w:t>
      </w:r>
      <w:r w:rsidR="004F0789" w:rsidRPr="00092D77">
        <w:rPr>
          <w:rFonts w:cs="Times New Roman"/>
          <w:i/>
          <w:color w:val="000000"/>
          <w:szCs w:val="26"/>
        </w:rPr>
        <w:t xml:space="preserve"> Inc. v. Margulies</w:t>
      </w:r>
      <w:r w:rsidR="004F0789" w:rsidRPr="00092D77">
        <w:rPr>
          <w:rFonts w:cs="Times New Roman"/>
          <w:color w:val="000000"/>
          <w:szCs w:val="26"/>
        </w:rPr>
        <w:t xml:space="preserve">, </w:t>
      </w:r>
      <w:r w:rsidR="004F0789">
        <w:rPr>
          <w:rFonts w:cs="Times New Roman"/>
          <w:color w:val="000000"/>
          <w:szCs w:val="26"/>
        </w:rPr>
        <w:t>364 Pa. 45, 70 A.2d 854 (</w:t>
      </w:r>
      <w:r w:rsidR="004F0789" w:rsidRPr="00092D77">
        <w:rPr>
          <w:rFonts w:cs="Times New Roman"/>
          <w:color w:val="000000"/>
          <w:szCs w:val="26"/>
        </w:rPr>
        <w:t xml:space="preserve">1950).  </w:t>
      </w:r>
    </w:p>
    <w:p w:rsidR="004F0789" w:rsidRDefault="004F0789" w:rsidP="004F0789">
      <w:pPr>
        <w:rPr>
          <w:rFonts w:cs="Times New Roman"/>
          <w:color w:val="000000"/>
          <w:szCs w:val="26"/>
        </w:rPr>
      </w:pPr>
    </w:p>
    <w:p w:rsidR="004F0789" w:rsidRDefault="004F0789" w:rsidP="004F0789">
      <w:pPr>
        <w:rPr>
          <w:rFonts w:cs="Times New Roman"/>
          <w:szCs w:val="26"/>
        </w:rPr>
      </w:pPr>
      <w:r>
        <w:rPr>
          <w:rFonts w:cs="Times New Roman"/>
          <w:szCs w:val="26"/>
        </w:rPr>
        <w:t xml:space="preserve">In general rate increase </w:t>
      </w:r>
      <w:r w:rsidRPr="007F70DF">
        <w:rPr>
          <w:rFonts w:cs="Times New Roman"/>
          <w:szCs w:val="26"/>
        </w:rPr>
        <w:t>proceed</w:t>
      </w:r>
      <w:r>
        <w:rPr>
          <w:rFonts w:cs="Times New Roman"/>
          <w:szCs w:val="26"/>
        </w:rPr>
        <w:t xml:space="preserve">ings under Section 1308(d) of the Public Utility Code (Code), 66 Pa. C.S. § 1308(d), a </w:t>
      </w:r>
      <w:r w:rsidRPr="007F70DF">
        <w:rPr>
          <w:rFonts w:cs="Times New Roman"/>
          <w:szCs w:val="26"/>
        </w:rPr>
        <w:t>public utility has t</w:t>
      </w:r>
      <w:r>
        <w:rPr>
          <w:rFonts w:cs="Times New Roman"/>
          <w:szCs w:val="26"/>
        </w:rPr>
        <w:t xml:space="preserve">he burden of proving </w:t>
      </w:r>
      <w:r w:rsidRPr="007F70DF">
        <w:rPr>
          <w:rFonts w:cs="Times New Roman"/>
          <w:szCs w:val="26"/>
        </w:rPr>
        <w:t>the justness and reasonableness of every element of its rate increase request</w:t>
      </w:r>
      <w:r>
        <w:rPr>
          <w:rFonts w:cs="Times New Roman"/>
          <w:szCs w:val="26"/>
        </w:rPr>
        <w:t>.</w:t>
      </w:r>
      <w:r w:rsidRPr="007F70DF">
        <w:rPr>
          <w:rFonts w:cs="Times New Roman"/>
          <w:szCs w:val="26"/>
        </w:rPr>
        <w:t xml:space="preserve">  The standard to be met by the public utility is se</w:t>
      </w:r>
      <w:r>
        <w:rPr>
          <w:rFonts w:cs="Times New Roman"/>
          <w:szCs w:val="26"/>
        </w:rPr>
        <w:t>t forth at 66 Pa. C.S. § 315(a):</w:t>
      </w:r>
    </w:p>
    <w:p w:rsidR="00387B4E" w:rsidRDefault="00387B4E" w:rsidP="004F0789">
      <w:pPr>
        <w:rPr>
          <w:rFonts w:cs="Times New Roman"/>
          <w:szCs w:val="26"/>
        </w:rPr>
      </w:pPr>
    </w:p>
    <w:p w:rsidR="004F0789" w:rsidRDefault="004F0789" w:rsidP="005D58D5">
      <w:pPr>
        <w:spacing w:line="240" w:lineRule="auto"/>
        <w:ind w:left="1440" w:right="1440" w:firstLine="0"/>
        <w:contextualSpacing/>
        <w:rPr>
          <w:rFonts w:cs="Times New Roman"/>
          <w:szCs w:val="26"/>
        </w:rPr>
      </w:pPr>
      <w:r w:rsidRPr="007F70DF">
        <w:rPr>
          <w:rFonts w:cs="Times New Roman"/>
          <w:b/>
          <w:szCs w:val="26"/>
        </w:rPr>
        <w:t>Reasonableness of rates.</w:t>
      </w:r>
      <w:r w:rsidRPr="007F70DF">
        <w:rPr>
          <w:rFonts w:cs="Times New Roman"/>
          <w:szCs w:val="26"/>
        </w:rPr>
        <w:t xml:space="preserve"> –In any proceeding upon the motion of the Commission, involving any proposed or existing rate of any public utility, or in any proceeding upon complaint involving any proposed increase in rates, the burden of proof to show that the rate involved is just and reasonable shall be upon the public utility.</w:t>
      </w:r>
    </w:p>
    <w:p w:rsidR="00387B4E" w:rsidRDefault="00387B4E" w:rsidP="00921844">
      <w:pPr>
        <w:ind w:left="1440" w:right="1440"/>
        <w:contextualSpacing/>
        <w:rPr>
          <w:rFonts w:cs="Times New Roman"/>
          <w:szCs w:val="26"/>
        </w:rPr>
      </w:pPr>
    </w:p>
    <w:p w:rsidR="004F0789" w:rsidRPr="007F70DF" w:rsidRDefault="004F0789" w:rsidP="00921844">
      <w:pPr>
        <w:ind w:right="1440" w:firstLine="0"/>
        <w:contextualSpacing/>
        <w:rPr>
          <w:rFonts w:cs="Times New Roman"/>
          <w:szCs w:val="26"/>
        </w:rPr>
      </w:pPr>
      <w:r w:rsidRPr="007F70DF">
        <w:rPr>
          <w:rFonts w:cs="Times New Roman"/>
          <w:szCs w:val="26"/>
        </w:rPr>
        <w:t>66 Pa.</w:t>
      </w:r>
      <w:r>
        <w:rPr>
          <w:rFonts w:cs="Times New Roman"/>
          <w:szCs w:val="26"/>
        </w:rPr>
        <w:t xml:space="preserve"> </w:t>
      </w:r>
      <w:r w:rsidRPr="007F70DF">
        <w:rPr>
          <w:rFonts w:cs="Times New Roman"/>
          <w:szCs w:val="26"/>
        </w:rPr>
        <w:t>C.S. § 315(a)</w:t>
      </w:r>
      <w:r>
        <w:rPr>
          <w:rFonts w:cs="Times New Roman"/>
          <w:szCs w:val="26"/>
        </w:rPr>
        <w:t>.  T</w:t>
      </w:r>
      <w:r w:rsidRPr="007F70DF">
        <w:rPr>
          <w:rFonts w:cs="Times New Roman"/>
          <w:szCs w:val="26"/>
        </w:rPr>
        <w:t>he burden of proof does not shift to parties challenging a requested rate increase.  Rather</w:t>
      </w:r>
      <w:r>
        <w:rPr>
          <w:rFonts w:cs="Times New Roman"/>
          <w:szCs w:val="26"/>
        </w:rPr>
        <w:t xml:space="preserve">, the </w:t>
      </w:r>
      <w:r w:rsidRPr="007F70DF">
        <w:rPr>
          <w:rFonts w:cs="Times New Roman"/>
          <w:szCs w:val="26"/>
        </w:rPr>
        <w:t xml:space="preserve">burden of proof remains with the public utility throughout the course of the </w:t>
      </w:r>
      <w:r>
        <w:rPr>
          <w:rFonts w:cs="Times New Roman"/>
          <w:szCs w:val="26"/>
        </w:rPr>
        <w:t xml:space="preserve">rate proceeding.  </w:t>
      </w:r>
      <w:r>
        <w:rPr>
          <w:rFonts w:cs="Times New Roman"/>
          <w:i/>
          <w:szCs w:val="26"/>
        </w:rPr>
        <w:t>Berner v. Pa. PUC,</w:t>
      </w:r>
      <w:r>
        <w:rPr>
          <w:rFonts w:cs="Times New Roman"/>
          <w:szCs w:val="26"/>
        </w:rPr>
        <w:t xml:space="preserve"> 382 Pa. 622, 116 A.2d 738 (1955).</w:t>
      </w:r>
    </w:p>
    <w:p w:rsidR="004F0789" w:rsidRPr="00092D77" w:rsidRDefault="004F0789" w:rsidP="004F0789">
      <w:pPr>
        <w:rPr>
          <w:rFonts w:cs="Times New Roman"/>
          <w:color w:val="000000"/>
          <w:szCs w:val="26"/>
        </w:rPr>
      </w:pPr>
    </w:p>
    <w:p w:rsidR="004F0789" w:rsidRDefault="004F0789" w:rsidP="004F0789">
      <w:pPr>
        <w:pStyle w:val="BodyText2"/>
        <w:spacing w:after="0" w:line="360" w:lineRule="auto"/>
        <w:rPr>
          <w:szCs w:val="26"/>
          <w:lang w:val="en-US"/>
        </w:rPr>
      </w:pPr>
      <w:r w:rsidRPr="00092D77">
        <w:rPr>
          <w:szCs w:val="26"/>
        </w:rPr>
        <w:t xml:space="preserve">Although </w:t>
      </w:r>
      <w:r>
        <w:rPr>
          <w:szCs w:val="26"/>
          <w:lang w:val="en-US"/>
        </w:rPr>
        <w:t>the utility</w:t>
      </w:r>
      <w:r w:rsidRPr="00092D77">
        <w:rPr>
          <w:szCs w:val="26"/>
        </w:rPr>
        <w:t xml:space="preserve"> bears the burden of proving that its propos</w:t>
      </w:r>
      <w:r w:rsidRPr="00092D77">
        <w:rPr>
          <w:szCs w:val="26"/>
          <w:lang w:val="en-US"/>
        </w:rPr>
        <w:t xml:space="preserve">ed </w:t>
      </w:r>
      <w:r>
        <w:rPr>
          <w:szCs w:val="26"/>
          <w:lang w:val="en-US"/>
        </w:rPr>
        <w:t>rate increase is</w:t>
      </w:r>
      <w:r w:rsidRPr="00092D77">
        <w:rPr>
          <w:szCs w:val="26"/>
          <w:lang w:val="en-US"/>
        </w:rPr>
        <w:t xml:space="preserve"> just and reasonable</w:t>
      </w:r>
      <w:r w:rsidRPr="00092D77">
        <w:rPr>
          <w:szCs w:val="26"/>
        </w:rPr>
        <w:t xml:space="preserve">, </w:t>
      </w:r>
      <w:r>
        <w:rPr>
          <w:szCs w:val="26"/>
          <w:lang w:val="en-US"/>
        </w:rPr>
        <w:t>a p</w:t>
      </w:r>
      <w:r w:rsidRPr="00092D77">
        <w:rPr>
          <w:szCs w:val="26"/>
        </w:rPr>
        <w:t xml:space="preserve">arty </w:t>
      </w:r>
      <w:r w:rsidRPr="00092D77">
        <w:rPr>
          <w:szCs w:val="26"/>
          <w:lang w:val="en-US"/>
        </w:rPr>
        <w:t>that a</w:t>
      </w:r>
      <w:r>
        <w:rPr>
          <w:szCs w:val="26"/>
          <w:lang w:val="en-US"/>
        </w:rPr>
        <w:t xml:space="preserve">dvances a proposal that the utility </w:t>
      </w:r>
      <w:r w:rsidRPr="00092D77">
        <w:rPr>
          <w:szCs w:val="26"/>
          <w:lang w:val="en-US"/>
        </w:rPr>
        <w:t xml:space="preserve">did not include in its filing carries the </w:t>
      </w:r>
      <w:r w:rsidRPr="00092D77">
        <w:rPr>
          <w:szCs w:val="26"/>
        </w:rPr>
        <w:t xml:space="preserve">burden of proof as to </w:t>
      </w:r>
      <w:r w:rsidRPr="00092D77">
        <w:rPr>
          <w:szCs w:val="26"/>
          <w:lang w:val="en-US"/>
        </w:rPr>
        <w:t>that contrary</w:t>
      </w:r>
      <w:r w:rsidRPr="00092D77">
        <w:rPr>
          <w:szCs w:val="26"/>
        </w:rPr>
        <w:t xml:space="preserve"> proposal.  </w:t>
      </w:r>
      <w:r w:rsidRPr="008C46F5">
        <w:rPr>
          <w:i/>
          <w:szCs w:val="26"/>
          <w:lang w:val="en-US"/>
        </w:rPr>
        <w:t>Petition of Duquesne Light Company</w:t>
      </w:r>
      <w:r>
        <w:rPr>
          <w:szCs w:val="26"/>
          <w:lang w:val="en-US"/>
        </w:rPr>
        <w:t>, Docket No. P-2012-2301664 (Order entered January 25, 2013)</w:t>
      </w:r>
      <w:r w:rsidRPr="00092D77">
        <w:rPr>
          <w:szCs w:val="26"/>
          <w:lang w:val="en-US"/>
        </w:rPr>
        <w:t xml:space="preserve">; </w:t>
      </w:r>
      <w:r w:rsidRPr="008C46F5">
        <w:rPr>
          <w:i/>
          <w:szCs w:val="26"/>
          <w:lang w:val="en-US"/>
        </w:rPr>
        <w:t>Joint Default Service Plan for Citizens</w:t>
      </w:r>
      <w:r>
        <w:rPr>
          <w:i/>
          <w:szCs w:val="26"/>
          <w:lang w:val="en-US"/>
        </w:rPr>
        <w:t>’</w:t>
      </w:r>
      <w:r w:rsidRPr="008C46F5">
        <w:rPr>
          <w:i/>
          <w:szCs w:val="26"/>
          <w:lang w:val="en-US"/>
        </w:rPr>
        <w:t xml:space="preserve"> Electric Company and Wellsboro Electric Company</w:t>
      </w:r>
      <w:r>
        <w:rPr>
          <w:szCs w:val="26"/>
          <w:lang w:val="en-US"/>
        </w:rPr>
        <w:t xml:space="preserve">, Docket Nos. P-2009-2110798, </w:t>
      </w:r>
      <w:r w:rsidRPr="008C46F5">
        <w:rPr>
          <w:i/>
          <w:szCs w:val="26"/>
          <w:lang w:val="en-US"/>
        </w:rPr>
        <w:t>et al</w:t>
      </w:r>
      <w:r>
        <w:rPr>
          <w:szCs w:val="26"/>
          <w:lang w:val="en-US"/>
        </w:rPr>
        <w:t xml:space="preserve">. (Order entered February 25, 2010); </w:t>
      </w:r>
      <w:r w:rsidRPr="00092D77">
        <w:rPr>
          <w:i/>
          <w:szCs w:val="26"/>
        </w:rPr>
        <w:t>Pa. P</w:t>
      </w:r>
      <w:r w:rsidRPr="00092D77">
        <w:rPr>
          <w:i/>
          <w:szCs w:val="26"/>
          <w:lang w:val="en-US"/>
        </w:rPr>
        <w:t>UC</w:t>
      </w:r>
      <w:r w:rsidRPr="00092D77">
        <w:rPr>
          <w:i/>
          <w:szCs w:val="26"/>
        </w:rPr>
        <w:t xml:space="preserve"> v. Metropolitan Edison Company</w:t>
      </w:r>
      <w:r w:rsidRPr="00092D77">
        <w:rPr>
          <w:szCs w:val="26"/>
        </w:rPr>
        <w:t xml:space="preserve">, Docket Nos. R-00061366, </w:t>
      </w:r>
      <w:r w:rsidRPr="00092D77">
        <w:rPr>
          <w:i/>
          <w:szCs w:val="26"/>
        </w:rPr>
        <w:t>et al.</w:t>
      </w:r>
      <w:r>
        <w:rPr>
          <w:szCs w:val="26"/>
          <w:lang w:val="en-US"/>
        </w:rPr>
        <w:t xml:space="preserve"> </w:t>
      </w:r>
      <w:r w:rsidRPr="00092D77">
        <w:rPr>
          <w:szCs w:val="26"/>
          <w:lang w:val="en-US"/>
        </w:rPr>
        <w:t xml:space="preserve">(Order entered </w:t>
      </w:r>
      <w:r w:rsidRPr="00092D77">
        <w:rPr>
          <w:szCs w:val="26"/>
        </w:rPr>
        <w:t>January 11, 2007).</w:t>
      </w:r>
      <w:r>
        <w:rPr>
          <w:szCs w:val="26"/>
          <w:lang w:val="en-US"/>
        </w:rPr>
        <w:t xml:space="preserve"> </w:t>
      </w:r>
    </w:p>
    <w:p w:rsidR="004F0789" w:rsidRDefault="004F0789" w:rsidP="004F0789">
      <w:pPr>
        <w:pStyle w:val="BodyText2"/>
        <w:spacing w:after="0" w:line="360" w:lineRule="auto"/>
        <w:rPr>
          <w:szCs w:val="26"/>
          <w:lang w:val="en-US"/>
        </w:rPr>
      </w:pPr>
    </w:p>
    <w:p w:rsidR="004F0789" w:rsidRPr="007F70DF" w:rsidRDefault="004F0789" w:rsidP="004F0789">
      <w:pPr>
        <w:contextualSpacing/>
        <w:rPr>
          <w:rFonts w:cs="Times New Roman"/>
          <w:szCs w:val="26"/>
        </w:rPr>
      </w:pPr>
      <w:r w:rsidRPr="007F70DF">
        <w:rPr>
          <w:rFonts w:cs="Times New Roman"/>
          <w:szCs w:val="26"/>
        </w:rPr>
        <w:lastRenderedPageBreak/>
        <w:t xml:space="preserve">A public utility is entitled to an opportunity to earn a fair rate of return on the value of the property dedicated to public service.  In determining a fair rate of return the Commission has been guided by the criteria provided by the United States Supreme Court in the cases of </w:t>
      </w:r>
      <w:r w:rsidRPr="007F70DF">
        <w:rPr>
          <w:rFonts w:cs="Times New Roman"/>
          <w:i/>
          <w:szCs w:val="26"/>
        </w:rPr>
        <w:t>Bluefield Water Works and Improvement Co. v. Public Service Commission of West Virginia</w:t>
      </w:r>
      <w:r w:rsidRPr="007F70DF">
        <w:rPr>
          <w:rFonts w:cs="Times New Roman"/>
          <w:szCs w:val="26"/>
        </w:rPr>
        <w:t xml:space="preserve">, 262 U.S. 679 (1923) </w:t>
      </w:r>
      <w:r>
        <w:rPr>
          <w:rFonts w:cs="Times New Roman"/>
          <w:szCs w:val="26"/>
        </w:rPr>
        <w:t>(</w:t>
      </w:r>
      <w:r w:rsidRPr="006F3E74">
        <w:rPr>
          <w:rFonts w:cs="Times New Roman"/>
          <w:i/>
          <w:szCs w:val="26"/>
        </w:rPr>
        <w:t>Bluefie</w:t>
      </w:r>
      <w:r>
        <w:rPr>
          <w:rFonts w:cs="Times New Roman"/>
          <w:i/>
          <w:szCs w:val="26"/>
        </w:rPr>
        <w:t>l</w:t>
      </w:r>
      <w:r w:rsidRPr="006F3E74">
        <w:rPr>
          <w:rFonts w:cs="Times New Roman"/>
          <w:i/>
          <w:szCs w:val="26"/>
        </w:rPr>
        <w:t>d</w:t>
      </w:r>
      <w:r>
        <w:rPr>
          <w:rFonts w:cs="Times New Roman"/>
          <w:szCs w:val="26"/>
        </w:rPr>
        <w:t xml:space="preserve">), </w:t>
      </w:r>
      <w:r w:rsidRPr="007F70DF">
        <w:rPr>
          <w:rFonts w:cs="Times New Roman"/>
          <w:szCs w:val="26"/>
        </w:rPr>
        <w:t xml:space="preserve">and </w:t>
      </w:r>
      <w:r w:rsidRPr="007F70DF">
        <w:rPr>
          <w:rFonts w:cs="Times New Roman"/>
          <w:i/>
          <w:szCs w:val="26"/>
        </w:rPr>
        <w:t>Federal Power Commission v. Hope Natural Gas Co.,</w:t>
      </w:r>
      <w:r w:rsidRPr="007F70DF">
        <w:rPr>
          <w:rFonts w:cs="Times New Roman"/>
          <w:szCs w:val="26"/>
        </w:rPr>
        <w:t xml:space="preserve"> 320 U.S. 591 (1944)</w:t>
      </w:r>
      <w:r>
        <w:rPr>
          <w:rFonts w:cs="Times New Roman"/>
          <w:szCs w:val="26"/>
        </w:rPr>
        <w:t xml:space="preserve"> (</w:t>
      </w:r>
      <w:r w:rsidRPr="006F3E74">
        <w:rPr>
          <w:rFonts w:cs="Times New Roman"/>
          <w:i/>
          <w:szCs w:val="26"/>
        </w:rPr>
        <w:t>Hope</w:t>
      </w:r>
      <w:r>
        <w:rPr>
          <w:rFonts w:cs="Times New Roman"/>
          <w:szCs w:val="26"/>
        </w:rPr>
        <w:t>)</w:t>
      </w:r>
      <w:r w:rsidRPr="007F70DF">
        <w:rPr>
          <w:rFonts w:cs="Times New Roman"/>
          <w:szCs w:val="26"/>
        </w:rPr>
        <w:t xml:space="preserve">.  In </w:t>
      </w:r>
      <w:r w:rsidRPr="007F70DF">
        <w:rPr>
          <w:rFonts w:cs="Times New Roman"/>
          <w:i/>
          <w:szCs w:val="26"/>
        </w:rPr>
        <w:t>Bluefield</w:t>
      </w:r>
      <w:r w:rsidRPr="007F70DF">
        <w:rPr>
          <w:rFonts w:cs="Times New Roman"/>
          <w:szCs w:val="26"/>
        </w:rPr>
        <w:t>, the Court stated:</w:t>
      </w:r>
    </w:p>
    <w:p w:rsidR="004F0789" w:rsidRPr="007F70DF" w:rsidRDefault="004F0789" w:rsidP="004F0789">
      <w:pPr>
        <w:contextualSpacing/>
        <w:jc w:val="both"/>
        <w:rPr>
          <w:rFonts w:cs="Times New Roman"/>
          <w:b/>
          <w:szCs w:val="26"/>
        </w:rPr>
      </w:pPr>
    </w:p>
    <w:p w:rsidR="004F0789" w:rsidRPr="007F70DF" w:rsidRDefault="004F0789" w:rsidP="00343CB6">
      <w:pPr>
        <w:spacing w:line="240" w:lineRule="auto"/>
        <w:ind w:left="1440" w:right="1440" w:firstLine="0"/>
        <w:contextualSpacing/>
        <w:rPr>
          <w:rFonts w:cs="Times New Roman"/>
          <w:szCs w:val="26"/>
        </w:rPr>
      </w:pPr>
      <w:r>
        <w:rPr>
          <w:rFonts w:cs="Times New Roman"/>
          <w:szCs w:val="26"/>
        </w:rPr>
        <w:t>A</w:t>
      </w:r>
      <w:r w:rsidRPr="007F70DF">
        <w:rPr>
          <w:rFonts w:cs="Times New Roman"/>
          <w:szCs w:val="26"/>
        </w:rPr>
        <w:t xml:space="preserve"> public utility is entitled to such rates as will permit it to earn a return on the value of the property which it employs for the convenience of the public equal to that generally being made at the same time and in the same general part of the country on investments in other business undertakings which are attended by corresponding risks and uncertainties; but it has no constitutional right to profits such as are realized or anticipated in highly profitable enterprises or speculative ventures.  The return should be reasonably sufficient to assure confidence in the financial soundness of the utility and should be adequate, under efficient and economical management, to maintain and support its credit and enable it to raise the money necessary for the proper discharge of its public duties.  A rate of return may be too high or too low by changes affecting opportunities for investment, the money market and business conditions generally.</w:t>
      </w:r>
    </w:p>
    <w:p w:rsidR="004F0789" w:rsidRPr="007F70DF" w:rsidRDefault="004F0789" w:rsidP="004F0789">
      <w:pPr>
        <w:contextualSpacing/>
        <w:rPr>
          <w:rFonts w:cs="Times New Roman"/>
          <w:szCs w:val="26"/>
        </w:rPr>
      </w:pPr>
    </w:p>
    <w:p w:rsidR="004F0789" w:rsidRPr="007F70DF" w:rsidRDefault="004F0789" w:rsidP="00343CB6">
      <w:pPr>
        <w:ind w:firstLine="0"/>
        <w:contextualSpacing/>
        <w:rPr>
          <w:rFonts w:cs="Times New Roman"/>
          <w:szCs w:val="26"/>
        </w:rPr>
      </w:pPr>
      <w:r>
        <w:rPr>
          <w:rFonts w:cs="Times New Roman"/>
          <w:szCs w:val="26"/>
        </w:rPr>
        <w:t xml:space="preserve">262 U.S. at 692-693.  </w:t>
      </w:r>
      <w:r w:rsidRPr="007F70DF">
        <w:rPr>
          <w:rFonts w:cs="Times New Roman"/>
          <w:szCs w:val="26"/>
        </w:rPr>
        <w:t xml:space="preserve">In </w:t>
      </w:r>
      <w:r>
        <w:rPr>
          <w:rFonts w:cs="Times New Roman"/>
          <w:i/>
          <w:szCs w:val="26"/>
        </w:rPr>
        <w:t>Hope</w:t>
      </w:r>
      <w:r w:rsidRPr="007F70DF">
        <w:rPr>
          <w:rFonts w:cs="Times New Roman"/>
          <w:szCs w:val="26"/>
        </w:rPr>
        <w:t>, the Court stated:</w:t>
      </w:r>
    </w:p>
    <w:p w:rsidR="004F0789" w:rsidRPr="007F70DF" w:rsidRDefault="004F0789" w:rsidP="004F0789">
      <w:pPr>
        <w:contextualSpacing/>
        <w:rPr>
          <w:rFonts w:cs="Times New Roman"/>
          <w:b/>
          <w:szCs w:val="26"/>
        </w:rPr>
      </w:pPr>
    </w:p>
    <w:p w:rsidR="004F0789" w:rsidRPr="007F70DF" w:rsidRDefault="004F0789" w:rsidP="00343CB6">
      <w:pPr>
        <w:spacing w:line="240" w:lineRule="auto"/>
        <w:ind w:left="1440" w:right="1440" w:firstLine="0"/>
        <w:contextualSpacing/>
        <w:rPr>
          <w:rFonts w:cs="Times New Roman"/>
          <w:szCs w:val="26"/>
        </w:rPr>
      </w:pPr>
      <w:r>
        <w:rPr>
          <w:rFonts w:cs="Times New Roman"/>
          <w:szCs w:val="26"/>
        </w:rPr>
        <w:t>From the investor or company point of view, i</w:t>
      </w:r>
      <w:r w:rsidRPr="007F70DF">
        <w:rPr>
          <w:rFonts w:cs="Times New Roman"/>
          <w:szCs w:val="26"/>
        </w:rPr>
        <w:t>t is important that there be enough revenue not only for operating expenses but also for the capital costs of the business.  These include service on the debt and dividends on the stock.  By that standard the return to the equity owner should be commensurate with returns on investments in other enterprises having corresponding risks.  That return, moreover, should be sufficient to assure confidence in the financial integrity of the enterprise, so as to maintain its credit and to attract capital.</w:t>
      </w:r>
    </w:p>
    <w:p w:rsidR="004F0789" w:rsidRPr="00092D77" w:rsidRDefault="004F0789" w:rsidP="006D470A">
      <w:pPr>
        <w:rPr>
          <w:rFonts w:cs="Times New Roman"/>
          <w:b/>
          <w:szCs w:val="26"/>
        </w:rPr>
      </w:pPr>
    </w:p>
    <w:p w:rsidR="004F0789" w:rsidRDefault="004F0789" w:rsidP="00343CB6">
      <w:pPr>
        <w:ind w:firstLine="0"/>
        <w:contextualSpacing/>
        <w:rPr>
          <w:rFonts w:cs="Times New Roman"/>
          <w:szCs w:val="26"/>
        </w:rPr>
      </w:pPr>
      <w:r>
        <w:rPr>
          <w:rFonts w:cs="Times New Roman"/>
          <w:szCs w:val="26"/>
        </w:rPr>
        <w:t>320 U.S. at 603 (citations omitted).</w:t>
      </w:r>
    </w:p>
    <w:p w:rsidR="004F0789" w:rsidRDefault="004F0789" w:rsidP="004F0789">
      <w:pPr>
        <w:contextualSpacing/>
        <w:rPr>
          <w:rFonts w:cs="Times New Roman"/>
          <w:szCs w:val="26"/>
        </w:rPr>
      </w:pPr>
    </w:p>
    <w:p w:rsidR="004F0789" w:rsidRPr="00677582" w:rsidRDefault="004F0789" w:rsidP="004F0789">
      <w:pPr>
        <w:contextualSpacing/>
        <w:rPr>
          <w:rFonts w:cs="Times New Roman"/>
          <w:szCs w:val="26"/>
        </w:rPr>
      </w:pPr>
      <w:r w:rsidRPr="00092D77">
        <w:rPr>
          <w:rFonts w:cs="Times New Roman"/>
          <w:szCs w:val="26"/>
        </w:rPr>
        <w:lastRenderedPageBreak/>
        <w:t xml:space="preserve">Before we address the merits of the Exceptions to the Recommended Decision, we note, as a preliminary matter, that any issue or Exception that we do not specifically address has been duly considered and will be denied without further discussion.  It is well settled that the Commission is not required to consider, expressly or at length, each contention or argument raised by the parties.  </w:t>
      </w:r>
      <w:r w:rsidRPr="00092D77">
        <w:rPr>
          <w:rFonts w:cs="Times New Roman"/>
          <w:i/>
          <w:szCs w:val="26"/>
        </w:rPr>
        <w:t>Consolidated Rail Corporation v. Pa. PUC</w:t>
      </w:r>
      <w:r w:rsidRPr="00092D77">
        <w:rPr>
          <w:rFonts w:cs="Times New Roman"/>
          <w:szCs w:val="26"/>
        </w:rPr>
        <w:t xml:space="preserve">, 625 A.2d 741 (Pa. Cmwlth. 1993); </w:t>
      </w:r>
      <w:r w:rsidRPr="00092D77">
        <w:rPr>
          <w:rFonts w:cs="Times New Roman"/>
          <w:i/>
          <w:szCs w:val="26"/>
        </w:rPr>
        <w:t>see also</w:t>
      </w:r>
      <w:r w:rsidRPr="00092D77">
        <w:rPr>
          <w:rFonts w:cs="Times New Roman"/>
          <w:szCs w:val="26"/>
        </w:rPr>
        <w:t xml:space="preserve">, </w:t>
      </w:r>
      <w:r w:rsidRPr="00092D77">
        <w:rPr>
          <w:rFonts w:cs="Times New Roman"/>
          <w:i/>
          <w:szCs w:val="26"/>
        </w:rPr>
        <w:t>generally</w:t>
      </w:r>
      <w:r w:rsidRPr="00092D77">
        <w:rPr>
          <w:rFonts w:cs="Times New Roman"/>
          <w:szCs w:val="26"/>
        </w:rPr>
        <w:t xml:space="preserve">, </w:t>
      </w:r>
      <w:r w:rsidRPr="00092D77">
        <w:rPr>
          <w:rFonts w:cs="Times New Roman"/>
          <w:i/>
          <w:szCs w:val="26"/>
        </w:rPr>
        <w:t>University of Pennsylvania v. Pa. P</w:t>
      </w:r>
      <w:r w:rsidRPr="00677582">
        <w:rPr>
          <w:rFonts w:cs="Times New Roman"/>
          <w:i/>
          <w:szCs w:val="26"/>
        </w:rPr>
        <w:t>UC</w:t>
      </w:r>
      <w:r w:rsidRPr="00677582">
        <w:rPr>
          <w:rFonts w:cs="Times New Roman"/>
          <w:szCs w:val="26"/>
        </w:rPr>
        <w:t>, 485 A.2d 1217 (Pa. Cmwlth. 1984).</w:t>
      </w:r>
    </w:p>
    <w:p w:rsidR="004F0789" w:rsidRPr="00677582" w:rsidRDefault="004F0789" w:rsidP="004F0789">
      <w:pPr>
        <w:contextualSpacing/>
        <w:rPr>
          <w:rFonts w:cs="Times New Roman"/>
          <w:szCs w:val="26"/>
        </w:rPr>
      </w:pPr>
    </w:p>
    <w:p w:rsidR="004F0789" w:rsidRPr="00677582" w:rsidRDefault="00390088" w:rsidP="00390088">
      <w:pPr>
        <w:pStyle w:val="Heading2"/>
        <w:numPr>
          <w:ilvl w:val="0"/>
          <w:numId w:val="0"/>
        </w:numPr>
        <w:ind w:left="720"/>
        <w:rPr>
          <w:rStyle w:val="Heading2Char"/>
          <w:rFonts w:ascii="Times New Roman" w:hAnsi="Times New Roman"/>
          <w:b/>
          <w:bCs/>
          <w:iCs/>
        </w:rPr>
      </w:pPr>
      <w:bookmarkStart w:id="4" w:name="_Toc378080151"/>
      <w:r w:rsidRPr="00677582">
        <w:rPr>
          <w:rStyle w:val="Heading2Char"/>
          <w:rFonts w:ascii="Times New Roman" w:hAnsi="Times New Roman"/>
          <w:b/>
          <w:bCs/>
          <w:iCs/>
        </w:rPr>
        <w:t>B.</w:t>
      </w:r>
      <w:r w:rsidRPr="00677582">
        <w:rPr>
          <w:rStyle w:val="Heading2Char"/>
          <w:rFonts w:ascii="Times New Roman" w:hAnsi="Times New Roman"/>
          <w:b/>
          <w:bCs/>
          <w:iCs/>
        </w:rPr>
        <w:tab/>
      </w:r>
      <w:r w:rsidR="004F0789" w:rsidRPr="00677582">
        <w:rPr>
          <w:rStyle w:val="Heading2Char"/>
          <w:rFonts w:ascii="Times New Roman" w:hAnsi="Times New Roman"/>
          <w:b/>
          <w:bCs/>
          <w:iCs/>
        </w:rPr>
        <w:t>Rate Base</w:t>
      </w:r>
      <w:bookmarkEnd w:id="4"/>
    </w:p>
    <w:p w:rsidR="004F0789" w:rsidRPr="00677582" w:rsidRDefault="004F0789" w:rsidP="004F0789">
      <w:pPr>
        <w:keepNext/>
        <w:keepLines/>
        <w:contextualSpacing/>
        <w:rPr>
          <w:rFonts w:cs="Times New Roman"/>
          <w:b/>
          <w:szCs w:val="26"/>
        </w:rPr>
      </w:pPr>
    </w:p>
    <w:p w:rsidR="004F0789" w:rsidRPr="00677582" w:rsidRDefault="004F0789" w:rsidP="00992768">
      <w:pPr>
        <w:pStyle w:val="Heading3"/>
        <w:rPr>
          <w:rStyle w:val="Heading3Char"/>
          <w:rFonts w:ascii="Times New Roman" w:hAnsi="Times New Roman" w:cs="Times New Roman"/>
        </w:rPr>
      </w:pPr>
      <w:bookmarkStart w:id="5" w:name="_Toc378080152"/>
      <w:r w:rsidRPr="00677582">
        <w:rPr>
          <w:rFonts w:ascii="Times New Roman" w:hAnsi="Times New Roman" w:cs="Times New Roman"/>
          <w:szCs w:val="26"/>
        </w:rPr>
        <w:t>1.</w:t>
      </w:r>
      <w:r w:rsidRPr="00677582">
        <w:rPr>
          <w:rFonts w:ascii="Times New Roman" w:hAnsi="Times New Roman" w:cs="Times New Roman"/>
          <w:szCs w:val="26"/>
        </w:rPr>
        <w:tab/>
      </w:r>
      <w:r w:rsidRPr="00677582">
        <w:rPr>
          <w:rStyle w:val="Heading3Char"/>
          <w:rFonts w:ascii="Times New Roman" w:hAnsi="Times New Roman" w:cs="Times New Roman"/>
          <w:b/>
        </w:rPr>
        <w:t>PennVest Book Depreciation Reserve</w:t>
      </w:r>
      <w:bookmarkEnd w:id="5"/>
    </w:p>
    <w:p w:rsidR="004F0789" w:rsidRPr="00677582" w:rsidRDefault="004F0789" w:rsidP="004F0789">
      <w:pPr>
        <w:keepNext/>
        <w:keepLines/>
        <w:contextualSpacing/>
        <w:rPr>
          <w:rFonts w:cs="Times New Roman"/>
          <w:b/>
          <w:szCs w:val="26"/>
        </w:rPr>
      </w:pPr>
    </w:p>
    <w:p w:rsidR="004F0789" w:rsidRPr="00677582" w:rsidRDefault="004F0789" w:rsidP="006D470A">
      <w:pPr>
        <w:keepNext/>
        <w:keepLines/>
        <w:spacing w:line="240" w:lineRule="auto"/>
        <w:contextualSpacing/>
        <w:rPr>
          <w:rFonts w:cs="Times New Roman"/>
          <w:b/>
          <w:szCs w:val="26"/>
        </w:rPr>
      </w:pPr>
      <w:r w:rsidRPr="00677582">
        <w:rPr>
          <w:rFonts w:cs="Times New Roman"/>
          <w:b/>
          <w:szCs w:val="26"/>
        </w:rPr>
        <w:tab/>
        <w:t>a.</w:t>
      </w:r>
      <w:r w:rsidRPr="00677582">
        <w:rPr>
          <w:rFonts w:cs="Times New Roman"/>
          <w:b/>
          <w:szCs w:val="26"/>
        </w:rPr>
        <w:tab/>
        <w:t>Positions of the Parties</w:t>
      </w:r>
    </w:p>
    <w:p w:rsidR="004F0789" w:rsidRPr="00677582" w:rsidRDefault="004F0789" w:rsidP="004F0789">
      <w:pPr>
        <w:keepNext/>
        <w:keepLines/>
        <w:contextualSpacing/>
        <w:rPr>
          <w:rFonts w:cs="Times New Roman"/>
          <w:szCs w:val="26"/>
        </w:rPr>
      </w:pPr>
    </w:p>
    <w:p w:rsidR="004F0789" w:rsidRPr="007F70DF" w:rsidRDefault="004F0789" w:rsidP="004F0789">
      <w:pPr>
        <w:contextualSpacing/>
        <w:rPr>
          <w:rFonts w:cs="Times New Roman"/>
          <w:szCs w:val="26"/>
        </w:rPr>
      </w:pPr>
      <w:r w:rsidRPr="00677582">
        <w:rPr>
          <w:rFonts w:cs="Times New Roman"/>
          <w:szCs w:val="26"/>
        </w:rPr>
        <w:t>Columbia’s original claim for rate base in its filing, as of December 31, 2013, was $13,527,774.  CWC St. 2 at 11:14-15; GDS Exh. 1 at 1-17.  However, during the course o</w:t>
      </w:r>
      <w:r w:rsidRPr="007F70DF">
        <w:rPr>
          <w:rFonts w:cs="Times New Roman"/>
          <w:szCs w:val="26"/>
        </w:rPr>
        <w:t xml:space="preserve">f the proceeding, Columbia </w:t>
      </w:r>
      <w:r w:rsidR="00C60AC0">
        <w:rPr>
          <w:rFonts w:cs="Times New Roman"/>
          <w:szCs w:val="26"/>
        </w:rPr>
        <w:t xml:space="preserve">revised </w:t>
      </w:r>
      <w:r>
        <w:rPr>
          <w:rFonts w:cs="Times New Roman"/>
          <w:szCs w:val="26"/>
        </w:rPr>
        <w:t>its</w:t>
      </w:r>
      <w:r w:rsidRPr="007F70DF">
        <w:rPr>
          <w:rFonts w:cs="Times New Roman"/>
          <w:szCs w:val="26"/>
        </w:rPr>
        <w:t xml:space="preserve"> rate base claim to </w:t>
      </w:r>
      <w:r w:rsidRPr="00D15CC0">
        <w:rPr>
          <w:rFonts w:cs="Times New Roman"/>
          <w:szCs w:val="26"/>
        </w:rPr>
        <w:t>$13,796,7</w:t>
      </w:r>
      <w:r w:rsidR="00C60AC0">
        <w:rPr>
          <w:rFonts w:cs="Times New Roman"/>
          <w:szCs w:val="26"/>
        </w:rPr>
        <w:t>45</w:t>
      </w:r>
      <w:r>
        <w:rPr>
          <w:rFonts w:cs="Times New Roman"/>
          <w:szCs w:val="26"/>
        </w:rPr>
        <w:t xml:space="preserve">.  </w:t>
      </w:r>
      <w:r w:rsidR="00C60AC0">
        <w:rPr>
          <w:rFonts w:cs="Times New Roman"/>
          <w:szCs w:val="26"/>
        </w:rPr>
        <w:t xml:space="preserve">CWC M.B. Table I. </w:t>
      </w:r>
      <w:r>
        <w:rPr>
          <w:rFonts w:cs="Times New Roman"/>
          <w:szCs w:val="26"/>
        </w:rPr>
        <w:t xml:space="preserve"> Columbia explained that it</w:t>
      </w:r>
      <w:r w:rsidRPr="007F70DF">
        <w:rPr>
          <w:rFonts w:cs="Times New Roman"/>
          <w:szCs w:val="26"/>
        </w:rPr>
        <w:t xml:space="preserve"> </w:t>
      </w:r>
      <w:r>
        <w:rPr>
          <w:rFonts w:cs="Times New Roman"/>
          <w:szCs w:val="26"/>
        </w:rPr>
        <w:t xml:space="preserve">had </w:t>
      </w:r>
      <w:r w:rsidRPr="007F70DF">
        <w:rPr>
          <w:rFonts w:cs="Times New Roman"/>
          <w:szCs w:val="26"/>
        </w:rPr>
        <w:t>overstated the book depreciation reserve related to the PennVest plant in service.  The Company</w:t>
      </w:r>
      <w:r>
        <w:rPr>
          <w:rFonts w:cs="Times New Roman"/>
          <w:szCs w:val="26"/>
        </w:rPr>
        <w:t>’</w:t>
      </w:r>
      <w:r w:rsidRPr="007F70DF">
        <w:rPr>
          <w:rFonts w:cs="Times New Roman"/>
          <w:szCs w:val="26"/>
        </w:rPr>
        <w:t xml:space="preserve">s book depreciation </w:t>
      </w:r>
      <w:r w:rsidRPr="00D15CC0">
        <w:rPr>
          <w:rFonts w:cs="Times New Roman"/>
          <w:szCs w:val="26"/>
        </w:rPr>
        <w:t>($1,853,844)</w:t>
      </w:r>
      <w:r w:rsidRPr="007F70DF">
        <w:rPr>
          <w:rFonts w:cs="Times New Roman"/>
          <w:szCs w:val="26"/>
        </w:rPr>
        <w:t xml:space="preserve"> for this plant includes annual depreciation accruals based upon the straight-line average remaining life methodology.  However, Columbia witness Shambaugh testified that the PennVest rate was based solely on the 4% Compound Interest method during the term of the rate.  Therefore, there exists a difference between the book depreciation reserve and the capital recovery </w:t>
      </w:r>
      <w:r>
        <w:rPr>
          <w:rFonts w:cs="Times New Roman"/>
          <w:szCs w:val="26"/>
        </w:rPr>
        <w:t xml:space="preserve">in </w:t>
      </w:r>
      <w:r w:rsidRPr="007F70DF">
        <w:rPr>
          <w:rFonts w:cs="Times New Roman"/>
          <w:szCs w:val="26"/>
        </w:rPr>
        <w:t>customer rates of approxima</w:t>
      </w:r>
      <w:r>
        <w:rPr>
          <w:rFonts w:cs="Times New Roman"/>
          <w:szCs w:val="26"/>
        </w:rPr>
        <w:t xml:space="preserve">tely </w:t>
      </w:r>
      <w:r w:rsidRPr="00D15CC0">
        <w:rPr>
          <w:rFonts w:cs="Times New Roman"/>
          <w:szCs w:val="26"/>
        </w:rPr>
        <w:t>$339,038</w:t>
      </w:r>
      <w:r>
        <w:rPr>
          <w:rFonts w:cs="Times New Roman"/>
          <w:szCs w:val="26"/>
        </w:rPr>
        <w:t xml:space="preserve"> for this plant.  CWC St. 2R at 20:12-21; Tr. at 142</w:t>
      </w:r>
      <w:r w:rsidRPr="007F70DF">
        <w:rPr>
          <w:rFonts w:cs="Times New Roman"/>
          <w:szCs w:val="26"/>
        </w:rPr>
        <w:t>.</w:t>
      </w:r>
    </w:p>
    <w:p w:rsidR="004F0789" w:rsidRDefault="004F0789" w:rsidP="004F0789">
      <w:pPr>
        <w:contextualSpacing/>
        <w:rPr>
          <w:rFonts w:cs="Times New Roman"/>
          <w:szCs w:val="26"/>
        </w:rPr>
      </w:pPr>
    </w:p>
    <w:p w:rsidR="004F0789" w:rsidRPr="007F70DF" w:rsidRDefault="004F0789" w:rsidP="004F0789">
      <w:pPr>
        <w:contextualSpacing/>
        <w:rPr>
          <w:rFonts w:cs="Times New Roman"/>
          <w:szCs w:val="26"/>
        </w:rPr>
      </w:pPr>
      <w:r w:rsidRPr="007F70DF">
        <w:rPr>
          <w:rFonts w:cs="Times New Roman"/>
          <w:szCs w:val="26"/>
        </w:rPr>
        <w:t>The most conten</w:t>
      </w:r>
      <w:r w:rsidR="003C1ED4">
        <w:rPr>
          <w:rFonts w:cs="Times New Roman"/>
          <w:szCs w:val="26"/>
        </w:rPr>
        <w:t>tious issue in this proceeding</w:t>
      </w:r>
      <w:r>
        <w:rPr>
          <w:rFonts w:cs="Times New Roman"/>
          <w:szCs w:val="26"/>
        </w:rPr>
        <w:t xml:space="preserve"> wa</w:t>
      </w:r>
      <w:r w:rsidRPr="007F70DF">
        <w:rPr>
          <w:rFonts w:cs="Times New Roman"/>
          <w:szCs w:val="26"/>
        </w:rPr>
        <w:t>s whether the PennVest book de</w:t>
      </w:r>
      <w:r>
        <w:rPr>
          <w:rFonts w:cs="Times New Roman"/>
          <w:szCs w:val="26"/>
        </w:rPr>
        <w:t>preciation reserve should be included in the Company’s rate base</w:t>
      </w:r>
      <w:r w:rsidR="003C1ED4">
        <w:rPr>
          <w:rFonts w:cs="Times New Roman"/>
          <w:szCs w:val="26"/>
        </w:rPr>
        <w:t>, given the discontinuance of the Company’s PennVest surcharge in 2011</w:t>
      </w:r>
      <w:r>
        <w:rPr>
          <w:rFonts w:cs="Times New Roman"/>
          <w:szCs w:val="26"/>
        </w:rPr>
        <w:t xml:space="preserve">.  I&amp;E and the OCA took the position </w:t>
      </w:r>
      <w:r w:rsidRPr="007F70DF">
        <w:rPr>
          <w:rFonts w:cs="Times New Roman"/>
          <w:szCs w:val="26"/>
        </w:rPr>
        <w:t xml:space="preserve">that utilities may choose to finance plant additions through inclusion in rate base </w:t>
      </w:r>
      <w:r w:rsidRPr="007F70DF">
        <w:rPr>
          <w:rFonts w:cs="Times New Roman"/>
          <w:szCs w:val="26"/>
          <w:u w:val="single"/>
        </w:rPr>
        <w:t>or</w:t>
      </w:r>
      <w:r w:rsidRPr="007F70DF">
        <w:rPr>
          <w:rFonts w:cs="Times New Roman"/>
          <w:szCs w:val="26"/>
        </w:rPr>
        <w:t xml:space="preserve"> </w:t>
      </w:r>
      <w:r>
        <w:rPr>
          <w:rFonts w:cs="Times New Roman"/>
          <w:szCs w:val="26"/>
        </w:rPr>
        <w:lastRenderedPageBreak/>
        <w:t xml:space="preserve">through </w:t>
      </w:r>
      <w:r w:rsidRPr="007F70DF">
        <w:rPr>
          <w:rFonts w:cs="Times New Roman"/>
          <w:szCs w:val="26"/>
        </w:rPr>
        <w:t>a princip</w:t>
      </w:r>
      <w:r>
        <w:rPr>
          <w:rFonts w:cs="Times New Roman"/>
          <w:szCs w:val="26"/>
        </w:rPr>
        <w:t>al</w:t>
      </w:r>
      <w:r w:rsidRPr="007F70DF">
        <w:rPr>
          <w:rFonts w:cs="Times New Roman"/>
          <w:szCs w:val="26"/>
        </w:rPr>
        <w:t xml:space="preserve"> and interest surcharge</w:t>
      </w:r>
      <w:r>
        <w:rPr>
          <w:rFonts w:cs="Times New Roman"/>
          <w:szCs w:val="26"/>
        </w:rPr>
        <w:t>, but not both</w:t>
      </w:r>
      <w:r w:rsidRPr="007F70DF">
        <w:rPr>
          <w:rFonts w:cs="Times New Roman"/>
          <w:szCs w:val="26"/>
        </w:rPr>
        <w:t xml:space="preserve">.  I&amp;E St. 3SR </w:t>
      </w:r>
      <w:r>
        <w:rPr>
          <w:rFonts w:cs="Times New Roman"/>
          <w:szCs w:val="26"/>
        </w:rPr>
        <w:t>at 4;</w:t>
      </w:r>
      <w:r w:rsidRPr="008C46F5">
        <w:rPr>
          <w:rFonts w:cs="Times New Roman"/>
          <w:szCs w:val="26"/>
        </w:rPr>
        <w:t xml:space="preserve"> </w:t>
      </w:r>
      <w:r>
        <w:rPr>
          <w:rFonts w:cs="Times New Roman"/>
          <w:szCs w:val="26"/>
        </w:rPr>
        <w:t xml:space="preserve">OCA St. 1S at 38.  </w:t>
      </w:r>
      <w:r w:rsidRPr="007F70DF">
        <w:rPr>
          <w:rFonts w:cs="Times New Roman"/>
          <w:szCs w:val="26"/>
        </w:rPr>
        <w:t xml:space="preserve">As I&amp;E </w:t>
      </w:r>
      <w:r>
        <w:rPr>
          <w:rFonts w:cs="Times New Roman"/>
          <w:szCs w:val="26"/>
        </w:rPr>
        <w:t>stated</w:t>
      </w:r>
      <w:r w:rsidRPr="007F70DF">
        <w:rPr>
          <w:rFonts w:cs="Times New Roman"/>
          <w:szCs w:val="26"/>
        </w:rPr>
        <w:t xml:space="preserve"> in its Main Brief:</w:t>
      </w:r>
    </w:p>
    <w:p w:rsidR="004F0789" w:rsidRPr="007F70DF" w:rsidRDefault="004F0789" w:rsidP="004F0789">
      <w:pPr>
        <w:contextualSpacing/>
        <w:rPr>
          <w:rFonts w:cs="Times New Roman"/>
          <w:szCs w:val="26"/>
        </w:rPr>
      </w:pPr>
    </w:p>
    <w:p w:rsidR="004F0789" w:rsidRDefault="004F0789" w:rsidP="00343CB6">
      <w:pPr>
        <w:spacing w:line="240" w:lineRule="auto"/>
        <w:ind w:left="1440" w:right="1440" w:firstLine="0"/>
        <w:contextualSpacing/>
        <w:rPr>
          <w:rFonts w:cs="Times New Roman"/>
          <w:szCs w:val="26"/>
        </w:rPr>
      </w:pPr>
      <w:r w:rsidRPr="007F70DF">
        <w:rPr>
          <w:rFonts w:cs="Times New Roman"/>
          <w:szCs w:val="26"/>
        </w:rPr>
        <w:t>That PennVest loan had been completely repaid by the Company in 2011 from proceeds received as a result of the Company</w:t>
      </w:r>
      <w:r>
        <w:rPr>
          <w:rFonts w:cs="Times New Roman"/>
          <w:szCs w:val="26"/>
        </w:rPr>
        <w:t>’</w:t>
      </w:r>
      <w:r w:rsidRPr="007F70DF">
        <w:rPr>
          <w:rFonts w:cs="Times New Roman"/>
          <w:szCs w:val="26"/>
        </w:rPr>
        <w:t>s decision to increase customer rates on a volumetric basis.  Given the Company</w:t>
      </w:r>
      <w:r>
        <w:rPr>
          <w:rFonts w:cs="Times New Roman"/>
          <w:szCs w:val="26"/>
        </w:rPr>
        <w:t>’</w:t>
      </w:r>
      <w:r w:rsidRPr="007F70DF">
        <w:rPr>
          <w:rFonts w:cs="Times New Roman"/>
          <w:szCs w:val="26"/>
        </w:rPr>
        <w:t>s collection of the entire amount of the monies used to add the PennVest-financed plant to the system, it is fair and accurate to state that not one penny of the cost of this portion of plant has come out of the pockets of the Company and they have no right whatsoever to claim that they are entitled to a return of and a return on monies they</w:t>
      </w:r>
      <w:r>
        <w:rPr>
          <w:rFonts w:cs="Times New Roman"/>
          <w:szCs w:val="26"/>
        </w:rPr>
        <w:t>’</w:t>
      </w:r>
      <w:r w:rsidRPr="007F70DF">
        <w:rPr>
          <w:rFonts w:cs="Times New Roman"/>
          <w:szCs w:val="26"/>
        </w:rPr>
        <w:t xml:space="preserve">ve invested in the plant – because there are none.  </w:t>
      </w:r>
    </w:p>
    <w:p w:rsidR="004F0789" w:rsidRDefault="004F0789" w:rsidP="004F0789">
      <w:pPr>
        <w:spacing w:line="240" w:lineRule="auto"/>
        <w:ind w:left="1440" w:right="1440"/>
        <w:contextualSpacing/>
        <w:rPr>
          <w:rFonts w:cs="Times New Roman"/>
          <w:szCs w:val="26"/>
        </w:rPr>
      </w:pPr>
    </w:p>
    <w:p w:rsidR="004F0789" w:rsidRPr="007F70DF" w:rsidRDefault="004F0789" w:rsidP="000C7F5C">
      <w:pPr>
        <w:spacing w:line="240" w:lineRule="auto"/>
        <w:ind w:firstLine="0"/>
        <w:contextualSpacing/>
        <w:rPr>
          <w:rFonts w:cs="Times New Roman"/>
          <w:szCs w:val="26"/>
        </w:rPr>
      </w:pPr>
      <w:r w:rsidRPr="007F70DF">
        <w:rPr>
          <w:rFonts w:cs="Times New Roman"/>
          <w:szCs w:val="26"/>
        </w:rPr>
        <w:t>I&amp;E M</w:t>
      </w:r>
      <w:r>
        <w:rPr>
          <w:rFonts w:cs="Times New Roman"/>
          <w:szCs w:val="26"/>
        </w:rPr>
        <w:t>.</w:t>
      </w:r>
      <w:r w:rsidRPr="007F70DF">
        <w:rPr>
          <w:rFonts w:cs="Times New Roman"/>
          <w:szCs w:val="26"/>
        </w:rPr>
        <w:t>B</w:t>
      </w:r>
      <w:r>
        <w:rPr>
          <w:rFonts w:cs="Times New Roman"/>
          <w:szCs w:val="26"/>
        </w:rPr>
        <w:t>.</w:t>
      </w:r>
      <w:r w:rsidRPr="007F70DF">
        <w:rPr>
          <w:rFonts w:cs="Times New Roman"/>
          <w:szCs w:val="26"/>
        </w:rPr>
        <w:t xml:space="preserve"> at 21.</w:t>
      </w:r>
      <w:r>
        <w:rPr>
          <w:rStyle w:val="FootnoteReference"/>
          <w:rFonts w:cs="Times New Roman"/>
          <w:szCs w:val="26"/>
        </w:rPr>
        <w:footnoteReference w:id="2"/>
      </w:r>
    </w:p>
    <w:p w:rsidR="004F0789" w:rsidRPr="007F70DF" w:rsidRDefault="004F0789" w:rsidP="004F0789">
      <w:pPr>
        <w:contextualSpacing/>
        <w:rPr>
          <w:rFonts w:cs="Times New Roman"/>
          <w:szCs w:val="26"/>
        </w:rPr>
      </w:pPr>
    </w:p>
    <w:p w:rsidR="004F0789" w:rsidRPr="007F70DF" w:rsidRDefault="004F0789" w:rsidP="004F0789">
      <w:pPr>
        <w:contextualSpacing/>
        <w:rPr>
          <w:rFonts w:cs="Times New Roman"/>
          <w:szCs w:val="26"/>
        </w:rPr>
      </w:pPr>
      <w:r>
        <w:rPr>
          <w:rFonts w:cs="Times New Roman"/>
          <w:szCs w:val="26"/>
        </w:rPr>
        <w:t>Likewise, the OCA argued that the Commission’s</w:t>
      </w:r>
      <w:r w:rsidR="00374266">
        <w:rPr>
          <w:rFonts w:cs="Times New Roman"/>
          <w:szCs w:val="26"/>
        </w:rPr>
        <w:t xml:space="preserve"> 1994</w:t>
      </w:r>
      <w:r>
        <w:rPr>
          <w:rFonts w:cs="Times New Roman"/>
          <w:szCs w:val="26"/>
        </w:rPr>
        <w:t xml:space="preserve"> </w:t>
      </w:r>
      <w:r w:rsidRPr="00470B17">
        <w:rPr>
          <w:rFonts w:cs="Times New Roman"/>
          <w:i/>
          <w:szCs w:val="26"/>
        </w:rPr>
        <w:t>PennVest Policy Statement</w:t>
      </w:r>
      <w:r>
        <w:rPr>
          <w:rStyle w:val="FootnoteReference"/>
          <w:rFonts w:cs="Times New Roman"/>
          <w:color w:val="000000"/>
          <w:spacing w:val="-2"/>
          <w:szCs w:val="26"/>
        </w:rPr>
        <w:footnoteReference w:id="3"/>
      </w:r>
      <w:r>
        <w:rPr>
          <w:rFonts w:cs="Times New Roman"/>
          <w:szCs w:val="26"/>
        </w:rPr>
        <w:t xml:space="preserve"> provides that only principal and </w:t>
      </w:r>
      <w:r w:rsidRPr="007F70DF">
        <w:rPr>
          <w:rFonts w:cs="Times New Roman"/>
          <w:szCs w:val="26"/>
        </w:rPr>
        <w:t>interest may be recovered through a surcharge mechanism:</w:t>
      </w:r>
    </w:p>
    <w:p w:rsidR="004F0789" w:rsidRPr="007F70DF" w:rsidRDefault="004F0789" w:rsidP="004F0789">
      <w:pPr>
        <w:contextualSpacing/>
        <w:rPr>
          <w:rFonts w:cs="Times New Roman"/>
          <w:szCs w:val="26"/>
        </w:rPr>
      </w:pPr>
    </w:p>
    <w:p w:rsidR="004F0789" w:rsidRPr="007F70DF" w:rsidRDefault="004F0789" w:rsidP="000C7F5C">
      <w:pPr>
        <w:spacing w:line="240" w:lineRule="auto"/>
        <w:ind w:left="1440" w:right="1440" w:firstLine="0"/>
        <w:contextualSpacing/>
        <w:rPr>
          <w:rFonts w:cs="Times New Roman"/>
          <w:szCs w:val="26"/>
        </w:rPr>
      </w:pPr>
      <w:r w:rsidRPr="007F70DF">
        <w:rPr>
          <w:rFonts w:cs="Times New Roman"/>
          <w:szCs w:val="26"/>
        </w:rPr>
        <w:t xml:space="preserve">Water and wastewater companies with outstanding PennVest obligations that have not been reflected in rates or future PennVest obligations, may establish . . . an automatic adjustment by means of a sliding scale of rates or other method </w:t>
      </w:r>
      <w:r w:rsidRPr="00470B17">
        <w:rPr>
          <w:rFonts w:cs="Times New Roman"/>
          <w:szCs w:val="26"/>
        </w:rPr>
        <w:t>limited solely to recovery of the company</w:t>
      </w:r>
      <w:r>
        <w:rPr>
          <w:rFonts w:cs="Times New Roman"/>
          <w:szCs w:val="26"/>
        </w:rPr>
        <w:t>’</w:t>
      </w:r>
      <w:r w:rsidRPr="00470B17">
        <w:rPr>
          <w:rFonts w:cs="Times New Roman"/>
          <w:szCs w:val="26"/>
        </w:rPr>
        <w:t>s PennVest principal and interest obligations</w:t>
      </w:r>
      <w:r w:rsidRPr="007F70DF">
        <w:rPr>
          <w:rFonts w:cs="Times New Roman"/>
          <w:szCs w:val="26"/>
        </w:rPr>
        <w:t>.</w:t>
      </w:r>
    </w:p>
    <w:p w:rsidR="004F0789" w:rsidRPr="007F70DF" w:rsidRDefault="004F0789" w:rsidP="004F0789">
      <w:pPr>
        <w:ind w:left="1440" w:right="1440"/>
        <w:contextualSpacing/>
        <w:rPr>
          <w:rFonts w:cs="Times New Roman"/>
          <w:szCs w:val="26"/>
        </w:rPr>
      </w:pPr>
    </w:p>
    <w:p w:rsidR="004F0789" w:rsidRPr="007F70DF" w:rsidRDefault="004F0789" w:rsidP="000C7F5C">
      <w:pPr>
        <w:ind w:firstLine="0"/>
        <w:contextualSpacing/>
        <w:rPr>
          <w:rFonts w:cs="Times New Roman"/>
          <w:szCs w:val="26"/>
        </w:rPr>
      </w:pPr>
      <w:r w:rsidRPr="007F70DF">
        <w:rPr>
          <w:rFonts w:cs="Times New Roman"/>
          <w:szCs w:val="26"/>
        </w:rPr>
        <w:t>52 P</w:t>
      </w:r>
      <w:r>
        <w:rPr>
          <w:rFonts w:cs="Times New Roman"/>
          <w:szCs w:val="26"/>
        </w:rPr>
        <w:t>a. Code § 69.363</w:t>
      </w:r>
      <w:r w:rsidRPr="007F70DF">
        <w:rPr>
          <w:rFonts w:cs="Times New Roman"/>
          <w:szCs w:val="26"/>
        </w:rPr>
        <w:t>.</w:t>
      </w:r>
    </w:p>
    <w:p w:rsidR="004F0789" w:rsidRPr="007F70DF" w:rsidRDefault="004F0789" w:rsidP="004F0789">
      <w:pPr>
        <w:contextualSpacing/>
        <w:rPr>
          <w:rFonts w:cs="Times New Roman"/>
          <w:szCs w:val="26"/>
        </w:rPr>
      </w:pPr>
    </w:p>
    <w:p w:rsidR="004F0789" w:rsidRPr="007F70DF" w:rsidRDefault="004F0789" w:rsidP="004F0789">
      <w:pPr>
        <w:contextualSpacing/>
        <w:rPr>
          <w:rFonts w:cs="Times New Roman"/>
          <w:szCs w:val="26"/>
        </w:rPr>
      </w:pPr>
      <w:r w:rsidRPr="007F70DF">
        <w:rPr>
          <w:rFonts w:cs="Times New Roman"/>
          <w:szCs w:val="26"/>
        </w:rPr>
        <w:t>In reply, Columbi</w:t>
      </w:r>
      <w:r>
        <w:rPr>
          <w:rFonts w:cs="Times New Roman"/>
          <w:szCs w:val="26"/>
        </w:rPr>
        <w:t xml:space="preserve">a pointed to the Commission’s Opinion and Order at </w:t>
      </w:r>
      <w:r w:rsidRPr="007F70DF">
        <w:rPr>
          <w:rFonts w:cs="Times New Roman"/>
          <w:i/>
          <w:szCs w:val="26"/>
        </w:rPr>
        <w:t>Pa. PUC v. Columbia Water Company</w:t>
      </w:r>
      <w:r w:rsidRPr="007F70DF">
        <w:rPr>
          <w:rFonts w:cs="Times New Roman"/>
          <w:szCs w:val="26"/>
        </w:rPr>
        <w:t>, Docket No. R-00932594 (</w:t>
      </w:r>
      <w:r>
        <w:rPr>
          <w:rFonts w:cs="Times New Roman"/>
          <w:szCs w:val="26"/>
        </w:rPr>
        <w:t xml:space="preserve">Order entered June 1, </w:t>
      </w:r>
      <w:r w:rsidRPr="007F70DF">
        <w:rPr>
          <w:rFonts w:cs="Times New Roman"/>
          <w:szCs w:val="26"/>
        </w:rPr>
        <w:t xml:space="preserve">1993) </w:t>
      </w:r>
      <w:r>
        <w:rPr>
          <w:rFonts w:cs="Times New Roman"/>
          <w:szCs w:val="26"/>
        </w:rPr>
        <w:lastRenderedPageBreak/>
        <w:t>(</w:t>
      </w:r>
      <w:r w:rsidRPr="00F933D4">
        <w:rPr>
          <w:rFonts w:cs="Times New Roman"/>
          <w:i/>
          <w:szCs w:val="26"/>
        </w:rPr>
        <w:t>1993 PennVest Order</w:t>
      </w:r>
      <w:r>
        <w:rPr>
          <w:rFonts w:cs="Times New Roman"/>
          <w:szCs w:val="26"/>
        </w:rPr>
        <w:t xml:space="preserve">) </w:t>
      </w:r>
      <w:r w:rsidRPr="007F70DF">
        <w:rPr>
          <w:rFonts w:cs="Times New Roman"/>
          <w:szCs w:val="26"/>
        </w:rPr>
        <w:t>as the basis for the rate base/rate of return treatment appr</w:t>
      </w:r>
      <w:r>
        <w:rPr>
          <w:rFonts w:cs="Times New Roman"/>
          <w:szCs w:val="26"/>
        </w:rPr>
        <w:t>oved for this plant.  According to Columbia</w:t>
      </w:r>
      <w:r w:rsidRPr="007F70DF">
        <w:rPr>
          <w:rFonts w:cs="Times New Roman"/>
          <w:szCs w:val="26"/>
        </w:rPr>
        <w:t xml:space="preserve">, </w:t>
      </w:r>
      <w:r>
        <w:rPr>
          <w:rFonts w:cs="Times New Roman"/>
          <w:szCs w:val="26"/>
        </w:rPr>
        <w:t xml:space="preserve">I&amp;E and the OCA are </w:t>
      </w:r>
      <w:r w:rsidRPr="007F70DF">
        <w:rPr>
          <w:rFonts w:cs="Times New Roman"/>
          <w:szCs w:val="26"/>
        </w:rPr>
        <w:t>challenging a Com</w:t>
      </w:r>
      <w:r>
        <w:rPr>
          <w:rFonts w:cs="Times New Roman"/>
          <w:szCs w:val="26"/>
        </w:rPr>
        <w:t>mission-approved rate.  CWC</w:t>
      </w:r>
      <w:r w:rsidRPr="007F70DF">
        <w:rPr>
          <w:rFonts w:cs="Times New Roman"/>
          <w:szCs w:val="26"/>
        </w:rPr>
        <w:t xml:space="preserve"> R</w:t>
      </w:r>
      <w:r>
        <w:rPr>
          <w:rFonts w:cs="Times New Roman"/>
          <w:szCs w:val="26"/>
        </w:rPr>
        <w:t>.</w:t>
      </w:r>
      <w:r w:rsidRPr="007F70DF">
        <w:rPr>
          <w:rFonts w:cs="Times New Roman"/>
          <w:szCs w:val="26"/>
        </w:rPr>
        <w:t>B</w:t>
      </w:r>
      <w:r>
        <w:rPr>
          <w:rFonts w:cs="Times New Roman"/>
          <w:szCs w:val="26"/>
        </w:rPr>
        <w:t>.</w:t>
      </w:r>
      <w:r w:rsidRPr="007F70DF">
        <w:rPr>
          <w:rFonts w:cs="Times New Roman"/>
          <w:szCs w:val="26"/>
        </w:rPr>
        <w:t xml:space="preserve"> at 7-8.</w:t>
      </w:r>
    </w:p>
    <w:p w:rsidR="004F0789" w:rsidRPr="007F70DF" w:rsidRDefault="004F0789" w:rsidP="004F0789">
      <w:pPr>
        <w:contextualSpacing/>
        <w:rPr>
          <w:rFonts w:cs="Times New Roman"/>
          <w:szCs w:val="26"/>
        </w:rPr>
      </w:pPr>
    </w:p>
    <w:p w:rsidR="004F0789" w:rsidRPr="007F70DF" w:rsidRDefault="004F0789" w:rsidP="004F0789">
      <w:pPr>
        <w:contextualSpacing/>
        <w:rPr>
          <w:rFonts w:cs="Times New Roman"/>
          <w:szCs w:val="26"/>
        </w:rPr>
      </w:pPr>
      <w:r>
        <w:rPr>
          <w:rFonts w:cs="Times New Roman"/>
          <w:szCs w:val="26"/>
        </w:rPr>
        <w:t xml:space="preserve">Columbia </w:t>
      </w:r>
      <w:r w:rsidRPr="007F70DF">
        <w:rPr>
          <w:rFonts w:cs="Times New Roman"/>
          <w:szCs w:val="26"/>
        </w:rPr>
        <w:t>argue</w:t>
      </w:r>
      <w:r>
        <w:rPr>
          <w:rFonts w:cs="Times New Roman"/>
          <w:szCs w:val="26"/>
        </w:rPr>
        <w:t>d that,</w:t>
      </w:r>
      <w:r w:rsidRPr="007F70DF">
        <w:rPr>
          <w:rFonts w:cs="Times New Roman"/>
          <w:szCs w:val="26"/>
        </w:rPr>
        <w:t xml:space="preserve"> once the </w:t>
      </w:r>
      <w:r>
        <w:rPr>
          <w:rFonts w:cs="Times New Roman"/>
          <w:szCs w:val="26"/>
        </w:rPr>
        <w:t xml:space="preserve">treatment of PennVest </w:t>
      </w:r>
      <w:r w:rsidRPr="007F70DF">
        <w:rPr>
          <w:rFonts w:cs="Times New Roman"/>
          <w:szCs w:val="26"/>
        </w:rPr>
        <w:t xml:space="preserve">plant was approved by </w:t>
      </w:r>
      <w:r>
        <w:rPr>
          <w:rFonts w:cs="Times New Roman"/>
          <w:szCs w:val="26"/>
        </w:rPr>
        <w:t xml:space="preserve">the Commission’s </w:t>
      </w:r>
      <w:r w:rsidRPr="00F933D4">
        <w:rPr>
          <w:rFonts w:cs="Times New Roman"/>
          <w:i/>
          <w:szCs w:val="26"/>
        </w:rPr>
        <w:t>1993 PennVest Order</w:t>
      </w:r>
      <w:r w:rsidRPr="007F70DF">
        <w:rPr>
          <w:rFonts w:cs="Times New Roman"/>
          <w:szCs w:val="26"/>
        </w:rPr>
        <w:t xml:space="preserve"> as a </w:t>
      </w:r>
      <w:r>
        <w:rPr>
          <w:rFonts w:cs="Times New Roman"/>
          <w:szCs w:val="26"/>
        </w:rPr>
        <w:t xml:space="preserve">volumetric </w:t>
      </w:r>
      <w:r w:rsidRPr="007F70DF">
        <w:rPr>
          <w:rFonts w:cs="Times New Roman"/>
          <w:szCs w:val="26"/>
        </w:rPr>
        <w:t>rate</w:t>
      </w:r>
      <w:r>
        <w:rPr>
          <w:rFonts w:cs="Times New Roman"/>
          <w:szCs w:val="26"/>
        </w:rPr>
        <w:t xml:space="preserve"> base/rate of return rate, the</w:t>
      </w:r>
      <w:r w:rsidRPr="007F70DF">
        <w:rPr>
          <w:rFonts w:cs="Times New Roman"/>
          <w:szCs w:val="26"/>
        </w:rPr>
        <w:t xml:space="preserve"> </w:t>
      </w:r>
      <w:r w:rsidRPr="00F933D4">
        <w:rPr>
          <w:rFonts w:cs="Times New Roman"/>
          <w:i/>
          <w:szCs w:val="26"/>
        </w:rPr>
        <w:t>1993 PennVest Order</w:t>
      </w:r>
      <w:r w:rsidRPr="007F70DF">
        <w:rPr>
          <w:rFonts w:cs="Times New Roman"/>
          <w:szCs w:val="26"/>
        </w:rPr>
        <w:t xml:space="preserve"> became “</w:t>
      </w:r>
      <w:r>
        <w:rPr>
          <w:rFonts w:cs="Times New Roman"/>
          <w:i/>
          <w:szCs w:val="26"/>
        </w:rPr>
        <w:t>prima facie</w:t>
      </w:r>
      <w:r w:rsidRPr="007F70DF">
        <w:rPr>
          <w:rFonts w:cs="Times New Roman"/>
          <w:szCs w:val="26"/>
        </w:rPr>
        <w:t xml:space="preserve"> evidence of the facts found and </w:t>
      </w:r>
      <w:r>
        <w:rPr>
          <w:rFonts w:cs="Times New Roman"/>
          <w:szCs w:val="26"/>
        </w:rPr>
        <w:t>shall remain</w:t>
      </w:r>
      <w:r w:rsidRPr="007F70DF">
        <w:rPr>
          <w:rFonts w:cs="Times New Roman"/>
          <w:szCs w:val="26"/>
        </w:rPr>
        <w:t xml:space="preserve"> conclusive upon all parties affected thereby, unless set aside, annulled</w:t>
      </w:r>
      <w:r>
        <w:rPr>
          <w:rFonts w:cs="Times New Roman"/>
          <w:szCs w:val="26"/>
        </w:rPr>
        <w:t xml:space="preserve"> or modified on judicial review” in accordance with Section 316 of the Code, 66 Pa. C.S. § 316.  Columbia submitted that t</w:t>
      </w:r>
      <w:r w:rsidRPr="007F70DF">
        <w:rPr>
          <w:rFonts w:cs="Times New Roman"/>
          <w:szCs w:val="26"/>
        </w:rPr>
        <w:t xml:space="preserve">he volumetric rate base/rate of return rate for this plant </w:t>
      </w:r>
      <w:r>
        <w:rPr>
          <w:rFonts w:cs="Times New Roman"/>
          <w:szCs w:val="26"/>
        </w:rPr>
        <w:t>was never appealed, and thus remains conclusive.  CWC</w:t>
      </w:r>
      <w:r w:rsidRPr="007F70DF">
        <w:rPr>
          <w:rFonts w:cs="Times New Roman"/>
          <w:szCs w:val="26"/>
        </w:rPr>
        <w:t xml:space="preserve"> R</w:t>
      </w:r>
      <w:r>
        <w:rPr>
          <w:rFonts w:cs="Times New Roman"/>
          <w:szCs w:val="26"/>
        </w:rPr>
        <w:t>.</w:t>
      </w:r>
      <w:r w:rsidRPr="007F70DF">
        <w:rPr>
          <w:rFonts w:cs="Times New Roman"/>
          <w:szCs w:val="26"/>
        </w:rPr>
        <w:t>B</w:t>
      </w:r>
      <w:r>
        <w:rPr>
          <w:rFonts w:cs="Times New Roman"/>
          <w:szCs w:val="26"/>
        </w:rPr>
        <w:t>.</w:t>
      </w:r>
      <w:r w:rsidRPr="007F70DF">
        <w:rPr>
          <w:rFonts w:cs="Times New Roman"/>
          <w:szCs w:val="26"/>
        </w:rPr>
        <w:t xml:space="preserve"> at 8-9</w:t>
      </w:r>
      <w:r>
        <w:rPr>
          <w:rFonts w:cs="Times New Roman"/>
          <w:szCs w:val="26"/>
        </w:rPr>
        <w:t xml:space="preserve">.  Columbia also argued that the I&amp;E and OCA </w:t>
      </w:r>
      <w:r w:rsidRPr="007F70DF">
        <w:rPr>
          <w:rFonts w:cs="Times New Roman"/>
          <w:szCs w:val="26"/>
        </w:rPr>
        <w:t xml:space="preserve">position </w:t>
      </w:r>
      <w:r>
        <w:rPr>
          <w:rFonts w:cs="Times New Roman"/>
          <w:szCs w:val="26"/>
        </w:rPr>
        <w:t>is contrary to</w:t>
      </w:r>
      <w:r w:rsidRPr="007F70DF">
        <w:rPr>
          <w:rFonts w:cs="Times New Roman"/>
          <w:szCs w:val="26"/>
        </w:rPr>
        <w:t xml:space="preserve"> Generally Accept</w:t>
      </w:r>
      <w:r>
        <w:rPr>
          <w:rFonts w:cs="Times New Roman"/>
          <w:szCs w:val="26"/>
        </w:rPr>
        <w:t>ed Accounting Principles (GAAP)</w:t>
      </w:r>
      <w:r w:rsidRPr="007F70DF">
        <w:rPr>
          <w:rFonts w:cs="Times New Roman"/>
          <w:szCs w:val="26"/>
        </w:rPr>
        <w:t xml:space="preserve"> and well-establish</w:t>
      </w:r>
      <w:r>
        <w:rPr>
          <w:rFonts w:cs="Times New Roman"/>
          <w:szCs w:val="26"/>
        </w:rPr>
        <w:t>ed ratemaking principles, and would conflict</w:t>
      </w:r>
      <w:r w:rsidRPr="007F70DF">
        <w:rPr>
          <w:rFonts w:cs="Times New Roman"/>
          <w:szCs w:val="26"/>
        </w:rPr>
        <w:t xml:space="preserve"> with the United States T</w:t>
      </w:r>
      <w:r>
        <w:rPr>
          <w:rFonts w:cs="Times New Roman"/>
          <w:szCs w:val="26"/>
        </w:rPr>
        <w:t xml:space="preserve">ax Code.  </w:t>
      </w:r>
      <w:r w:rsidRPr="00BC673F">
        <w:rPr>
          <w:rFonts w:cs="Times New Roman"/>
          <w:i/>
          <w:szCs w:val="26"/>
        </w:rPr>
        <w:t>Id</w:t>
      </w:r>
      <w:r>
        <w:rPr>
          <w:rFonts w:cs="Times New Roman"/>
          <w:szCs w:val="26"/>
        </w:rPr>
        <w:t>. at 14-20.</w:t>
      </w:r>
    </w:p>
    <w:p w:rsidR="004F0789" w:rsidRDefault="004F0789" w:rsidP="006D470A">
      <w:pPr>
        <w:spacing w:line="240" w:lineRule="auto"/>
        <w:contextualSpacing/>
        <w:rPr>
          <w:rFonts w:cs="Times New Roman"/>
          <w:szCs w:val="26"/>
        </w:rPr>
      </w:pPr>
    </w:p>
    <w:p w:rsidR="004F0789" w:rsidRPr="0026004C" w:rsidRDefault="004F0789" w:rsidP="006D470A">
      <w:pPr>
        <w:keepNext/>
        <w:spacing w:line="240" w:lineRule="auto"/>
        <w:contextualSpacing/>
        <w:rPr>
          <w:rFonts w:cs="Times New Roman"/>
          <w:b/>
          <w:szCs w:val="26"/>
        </w:rPr>
      </w:pPr>
      <w:r>
        <w:rPr>
          <w:rFonts w:cs="Times New Roman"/>
          <w:szCs w:val="26"/>
        </w:rPr>
        <w:tab/>
      </w:r>
      <w:r w:rsidRPr="0026004C">
        <w:rPr>
          <w:rFonts w:cs="Times New Roman"/>
          <w:b/>
          <w:szCs w:val="26"/>
        </w:rPr>
        <w:t>b.</w:t>
      </w:r>
      <w:r w:rsidRPr="0026004C">
        <w:rPr>
          <w:rFonts w:cs="Times New Roman"/>
          <w:b/>
          <w:szCs w:val="26"/>
        </w:rPr>
        <w:tab/>
        <w:t>ALJ</w:t>
      </w:r>
      <w:r>
        <w:rPr>
          <w:rFonts w:cs="Times New Roman"/>
          <w:b/>
          <w:szCs w:val="26"/>
        </w:rPr>
        <w:t>’</w:t>
      </w:r>
      <w:r w:rsidRPr="0026004C">
        <w:rPr>
          <w:rFonts w:cs="Times New Roman"/>
          <w:b/>
          <w:szCs w:val="26"/>
        </w:rPr>
        <w:t>s Recommendation</w:t>
      </w:r>
    </w:p>
    <w:p w:rsidR="004F0789" w:rsidRDefault="004F0789" w:rsidP="004F0789">
      <w:pPr>
        <w:keepNext/>
        <w:contextualSpacing/>
        <w:rPr>
          <w:rFonts w:cs="Times New Roman"/>
          <w:szCs w:val="26"/>
        </w:rPr>
      </w:pPr>
    </w:p>
    <w:p w:rsidR="004F0789" w:rsidRDefault="004F0789" w:rsidP="004F0789">
      <w:pPr>
        <w:contextualSpacing/>
        <w:rPr>
          <w:rFonts w:cs="Times New Roman"/>
          <w:szCs w:val="26"/>
        </w:rPr>
      </w:pPr>
      <w:r>
        <w:rPr>
          <w:rFonts w:cs="Times New Roman"/>
          <w:szCs w:val="26"/>
        </w:rPr>
        <w:t xml:space="preserve">The ALJ </w:t>
      </w:r>
      <w:r w:rsidRPr="007F70DF">
        <w:rPr>
          <w:rFonts w:cs="Times New Roman"/>
          <w:szCs w:val="26"/>
        </w:rPr>
        <w:t>agree</w:t>
      </w:r>
      <w:r>
        <w:rPr>
          <w:rFonts w:cs="Times New Roman"/>
          <w:szCs w:val="26"/>
        </w:rPr>
        <w:t xml:space="preserve">d with the Company’s position, stating that the </w:t>
      </w:r>
      <w:r w:rsidRPr="007F70DF">
        <w:rPr>
          <w:rFonts w:cs="Times New Roman"/>
          <w:szCs w:val="26"/>
        </w:rPr>
        <w:t>Co</w:t>
      </w:r>
      <w:r>
        <w:rPr>
          <w:rFonts w:cs="Times New Roman"/>
          <w:szCs w:val="26"/>
        </w:rPr>
        <w:t xml:space="preserve">mmission’s </w:t>
      </w:r>
      <w:r w:rsidRPr="00F933D4">
        <w:rPr>
          <w:rFonts w:cs="Times New Roman"/>
          <w:i/>
          <w:szCs w:val="26"/>
        </w:rPr>
        <w:t>1993 PennVest Order</w:t>
      </w:r>
      <w:r>
        <w:rPr>
          <w:rFonts w:cs="Times New Roman"/>
          <w:szCs w:val="26"/>
        </w:rPr>
        <w:t xml:space="preserve"> </w:t>
      </w:r>
      <w:r w:rsidRPr="007F70DF">
        <w:rPr>
          <w:rFonts w:cs="Times New Roman"/>
          <w:szCs w:val="26"/>
        </w:rPr>
        <w:t xml:space="preserve">cannot be ignored.  </w:t>
      </w:r>
      <w:r>
        <w:rPr>
          <w:rFonts w:cs="Times New Roman"/>
          <w:szCs w:val="26"/>
        </w:rPr>
        <w:t xml:space="preserve">The ALJ concluded that </w:t>
      </w:r>
      <w:r w:rsidRPr="007F70DF">
        <w:rPr>
          <w:rFonts w:cs="Times New Roman"/>
          <w:szCs w:val="26"/>
        </w:rPr>
        <w:t>Columbia</w:t>
      </w:r>
      <w:r>
        <w:rPr>
          <w:rFonts w:cs="Times New Roman"/>
          <w:szCs w:val="26"/>
        </w:rPr>
        <w:t>’</w:t>
      </w:r>
      <w:r w:rsidRPr="007F70DF">
        <w:rPr>
          <w:rFonts w:cs="Times New Roman"/>
          <w:szCs w:val="26"/>
        </w:rPr>
        <w:t>s inclusion of its remaining used and useful undepreciate</w:t>
      </w:r>
      <w:r>
        <w:rPr>
          <w:rFonts w:cs="Times New Roman"/>
          <w:szCs w:val="26"/>
        </w:rPr>
        <w:t xml:space="preserve">d PennVest plant </w:t>
      </w:r>
      <w:r w:rsidRPr="007F70DF">
        <w:rPr>
          <w:rFonts w:cs="Times New Roman"/>
          <w:szCs w:val="26"/>
        </w:rPr>
        <w:t>in rate base is appropriate.</w:t>
      </w:r>
      <w:r>
        <w:rPr>
          <w:rFonts w:cs="Times New Roman"/>
          <w:szCs w:val="26"/>
        </w:rPr>
        <w:t xml:space="preserve">  R.D. at 22.</w:t>
      </w:r>
    </w:p>
    <w:p w:rsidR="004F0789" w:rsidRDefault="004F0789" w:rsidP="004F0789">
      <w:pPr>
        <w:contextualSpacing/>
        <w:rPr>
          <w:rFonts w:cs="Times New Roman"/>
          <w:szCs w:val="26"/>
        </w:rPr>
      </w:pPr>
    </w:p>
    <w:p w:rsidR="004F0789" w:rsidRPr="0026004C" w:rsidRDefault="004F0789" w:rsidP="006D470A">
      <w:pPr>
        <w:keepNext/>
        <w:keepLines/>
        <w:spacing w:line="240" w:lineRule="auto"/>
        <w:contextualSpacing/>
        <w:rPr>
          <w:rStyle w:val="Strong"/>
          <w:rFonts w:cs="Times New Roman"/>
          <w:b w:val="0"/>
          <w:szCs w:val="26"/>
        </w:rPr>
      </w:pPr>
      <w:r>
        <w:rPr>
          <w:rFonts w:cs="Times New Roman"/>
          <w:szCs w:val="26"/>
        </w:rPr>
        <w:tab/>
      </w:r>
      <w:r>
        <w:rPr>
          <w:rFonts w:cs="Times New Roman"/>
          <w:b/>
          <w:szCs w:val="26"/>
        </w:rPr>
        <w:t>c.</w:t>
      </w:r>
      <w:r>
        <w:rPr>
          <w:rFonts w:cs="Times New Roman"/>
          <w:b/>
          <w:szCs w:val="26"/>
        </w:rPr>
        <w:tab/>
        <w:t>Exceptions</w:t>
      </w:r>
      <w:r w:rsidRPr="0026004C">
        <w:rPr>
          <w:rStyle w:val="Strong"/>
          <w:b w:val="0"/>
          <w:i/>
          <w:szCs w:val="26"/>
        </w:rPr>
        <w:tab/>
      </w:r>
    </w:p>
    <w:p w:rsidR="004F0789" w:rsidRPr="00CE1345" w:rsidRDefault="004F0789" w:rsidP="004F0789">
      <w:pPr>
        <w:keepNext/>
        <w:keepLines/>
      </w:pPr>
    </w:p>
    <w:p w:rsidR="004F0789" w:rsidRDefault="004F0789" w:rsidP="00677582">
      <w:bookmarkStart w:id="6" w:name="_Toc374087782"/>
      <w:r w:rsidRPr="00DA7E07">
        <w:rPr>
          <w:rStyle w:val="Strong"/>
          <w:b w:val="0"/>
          <w:szCs w:val="26"/>
        </w:rPr>
        <w:t>In its first Exception, I&amp;E argues that the ALJ erred by not</w:t>
      </w:r>
      <w:r w:rsidRPr="00CE1345">
        <w:rPr>
          <w:rStyle w:val="Strong"/>
          <w:b w:val="0"/>
          <w:i/>
          <w:szCs w:val="26"/>
        </w:rPr>
        <w:t xml:space="preserve"> </w:t>
      </w:r>
      <w:bookmarkEnd w:id="6"/>
      <w:r w:rsidRPr="00CE1345">
        <w:t>adopt</w:t>
      </w:r>
      <w:r>
        <w:t xml:space="preserve">ing </w:t>
      </w:r>
      <w:r w:rsidRPr="00CE1345">
        <w:t>I&amp;E</w:t>
      </w:r>
      <w:r>
        <w:t>’s</w:t>
      </w:r>
      <w:r w:rsidRPr="00CE1345">
        <w:t xml:space="preserve"> recommendation that </w:t>
      </w:r>
      <w:r>
        <w:t>the Company’s rate base</w:t>
      </w:r>
      <w:r w:rsidRPr="00CE1345">
        <w:t xml:space="preserve"> claim exclude the depreciated value of plant funded ent</w:t>
      </w:r>
      <w:r>
        <w:t xml:space="preserve">irely from a PennVest loan.  I&amp;E argues that </w:t>
      </w:r>
      <w:r w:rsidRPr="00CE1345">
        <w:t>this plant was completely funded by ratepayers through an accelerated and adjusted charge that allowed the Company to timely repay the underlying principal and interest pursuant to the PennVest loan repayment sch</w:t>
      </w:r>
      <w:r>
        <w:t xml:space="preserve">edule.  I&amp;E </w:t>
      </w:r>
      <w:r w:rsidRPr="00CE1345">
        <w:t>recommends that the Commission reduce the Company</w:t>
      </w:r>
      <w:r>
        <w:t>’</w:t>
      </w:r>
      <w:r w:rsidRPr="00CE1345">
        <w:t xml:space="preserve">s rate base claim by </w:t>
      </w:r>
      <w:r w:rsidRPr="00CE1345">
        <w:lastRenderedPageBreak/>
        <w:t>$3,048,292 to remove the de</w:t>
      </w:r>
      <w:r>
        <w:t xml:space="preserve">preciated value of the PennVest-financed plant from Columbia’s </w:t>
      </w:r>
      <w:r w:rsidRPr="00CE1345">
        <w:t>rate base.</w:t>
      </w:r>
      <w:r>
        <w:t xml:space="preserve">  I&amp;E notes that this adjustment would require a corresponding reduction to the Company’s claimed depreciation expense rel</w:t>
      </w:r>
      <w:r w:rsidR="00374266">
        <w:t>ated to the plant.  I&amp;E Exc. at </w:t>
      </w:r>
      <w:r>
        <w:t>5-6.</w:t>
      </w:r>
    </w:p>
    <w:p w:rsidR="004F0789" w:rsidRDefault="004F0789" w:rsidP="004F0789">
      <w:pPr>
        <w:rPr>
          <w:rFonts w:cs="Times New Roman"/>
          <w:szCs w:val="26"/>
        </w:rPr>
      </w:pPr>
      <w:r>
        <w:rPr>
          <w:rFonts w:cs="Times New Roman"/>
          <w:szCs w:val="26"/>
        </w:rPr>
        <w:t xml:space="preserve">I&amp;E </w:t>
      </w:r>
      <w:r w:rsidR="003C1ED4">
        <w:rPr>
          <w:rFonts w:cs="Times New Roman"/>
          <w:szCs w:val="26"/>
        </w:rPr>
        <w:t>further</w:t>
      </w:r>
      <w:r w:rsidR="00280722">
        <w:rPr>
          <w:rFonts w:cs="Times New Roman"/>
          <w:szCs w:val="26"/>
        </w:rPr>
        <w:t xml:space="preserve"> </w:t>
      </w:r>
      <w:r>
        <w:rPr>
          <w:rFonts w:cs="Times New Roman"/>
          <w:szCs w:val="26"/>
        </w:rPr>
        <w:t>notes that the ALJ stated that ‘</w:t>
      </w:r>
      <w:r w:rsidRPr="0056721C">
        <w:rPr>
          <w:rFonts w:cs="Times New Roman"/>
          <w:szCs w:val="26"/>
        </w:rPr>
        <w:t>but for</w:t>
      </w:r>
      <w:r>
        <w:rPr>
          <w:rFonts w:cs="Times New Roman"/>
          <w:szCs w:val="26"/>
        </w:rPr>
        <w:t>’</w:t>
      </w:r>
      <w:r w:rsidRPr="0056721C">
        <w:rPr>
          <w:rFonts w:cs="Times New Roman"/>
          <w:szCs w:val="26"/>
        </w:rPr>
        <w:t xml:space="preserve"> the u</w:t>
      </w:r>
      <w:r>
        <w:rPr>
          <w:rFonts w:cs="Times New Roman"/>
          <w:szCs w:val="26"/>
        </w:rPr>
        <w:t xml:space="preserve">nique regulatory history of Columbia’s PennVest plant, he would have been </w:t>
      </w:r>
      <w:r w:rsidRPr="0056721C">
        <w:rPr>
          <w:rFonts w:cs="Times New Roman"/>
          <w:szCs w:val="26"/>
        </w:rPr>
        <w:t>inclined to accept I&amp;E</w:t>
      </w:r>
      <w:r>
        <w:rPr>
          <w:rFonts w:cs="Times New Roman"/>
          <w:szCs w:val="26"/>
        </w:rPr>
        <w:t>’</w:t>
      </w:r>
      <w:r w:rsidRPr="0056721C">
        <w:rPr>
          <w:rFonts w:cs="Times New Roman"/>
          <w:szCs w:val="26"/>
        </w:rPr>
        <w:t xml:space="preserve">s proposed adjustment.  </w:t>
      </w:r>
      <w:r w:rsidRPr="00D83B64">
        <w:rPr>
          <w:rFonts w:cs="Times New Roman"/>
          <w:i/>
          <w:szCs w:val="26"/>
        </w:rPr>
        <w:t>Id</w:t>
      </w:r>
      <w:r>
        <w:rPr>
          <w:rFonts w:cs="Times New Roman"/>
          <w:szCs w:val="26"/>
        </w:rPr>
        <w:t xml:space="preserve">. at 6, citing </w:t>
      </w:r>
      <w:r w:rsidRPr="0056721C">
        <w:rPr>
          <w:rFonts w:cs="Times New Roman"/>
          <w:szCs w:val="26"/>
        </w:rPr>
        <w:t>R</w:t>
      </w:r>
      <w:r>
        <w:rPr>
          <w:rFonts w:cs="Times New Roman"/>
          <w:szCs w:val="26"/>
        </w:rPr>
        <w:t>.</w:t>
      </w:r>
      <w:r w:rsidRPr="0056721C">
        <w:rPr>
          <w:rFonts w:cs="Times New Roman"/>
          <w:szCs w:val="26"/>
        </w:rPr>
        <w:t>D</w:t>
      </w:r>
      <w:r>
        <w:rPr>
          <w:rFonts w:cs="Times New Roman"/>
          <w:szCs w:val="26"/>
        </w:rPr>
        <w:t xml:space="preserve">. at 38.  I&amp;E states that the ALJ’s reasoning in rejecting the proposed adjustment presumably was based on his conclusion that he was bound to adhere to the terms and conditions agreed to by the OCA and the Company, and approved by the Commission in the </w:t>
      </w:r>
      <w:r w:rsidRPr="00F933D4">
        <w:rPr>
          <w:rFonts w:cs="Times New Roman"/>
          <w:i/>
          <w:szCs w:val="26"/>
        </w:rPr>
        <w:t>1993 PennVest Order</w:t>
      </w:r>
      <w:r>
        <w:rPr>
          <w:rFonts w:cs="Times New Roman"/>
          <w:szCs w:val="26"/>
        </w:rPr>
        <w:t xml:space="preserve">, which the ALJ stated “cannot be ignored.”  </w:t>
      </w:r>
      <w:r w:rsidRPr="00D83B64">
        <w:rPr>
          <w:rFonts w:cs="Times New Roman"/>
          <w:i/>
          <w:szCs w:val="26"/>
        </w:rPr>
        <w:t>Id</w:t>
      </w:r>
      <w:r>
        <w:rPr>
          <w:rFonts w:cs="Times New Roman"/>
          <w:szCs w:val="26"/>
        </w:rPr>
        <w:t xml:space="preserve">. at 7, citing </w:t>
      </w:r>
      <w:r w:rsidRPr="0056721C">
        <w:rPr>
          <w:rFonts w:cs="Times New Roman"/>
          <w:szCs w:val="26"/>
        </w:rPr>
        <w:t>R</w:t>
      </w:r>
      <w:r>
        <w:rPr>
          <w:rFonts w:cs="Times New Roman"/>
          <w:szCs w:val="26"/>
        </w:rPr>
        <w:t>.</w:t>
      </w:r>
      <w:r w:rsidRPr="0056721C">
        <w:rPr>
          <w:rFonts w:cs="Times New Roman"/>
          <w:szCs w:val="26"/>
        </w:rPr>
        <w:t>D</w:t>
      </w:r>
      <w:r>
        <w:rPr>
          <w:rFonts w:cs="Times New Roman"/>
          <w:szCs w:val="26"/>
        </w:rPr>
        <w:t xml:space="preserve">. at 22. </w:t>
      </w:r>
    </w:p>
    <w:p w:rsidR="004F0789" w:rsidRDefault="004F0789" w:rsidP="004F0789">
      <w:pPr>
        <w:rPr>
          <w:rFonts w:cs="Times New Roman"/>
          <w:szCs w:val="26"/>
        </w:rPr>
      </w:pPr>
    </w:p>
    <w:p w:rsidR="004F0789" w:rsidRDefault="00280722" w:rsidP="004F0789">
      <w:pPr>
        <w:rPr>
          <w:rFonts w:cs="Times New Roman"/>
          <w:szCs w:val="26"/>
        </w:rPr>
      </w:pPr>
      <w:r>
        <w:rPr>
          <w:rFonts w:cs="Times New Roman"/>
          <w:szCs w:val="26"/>
        </w:rPr>
        <w:t xml:space="preserve">Moreover, </w:t>
      </w:r>
      <w:r w:rsidR="004F0789">
        <w:rPr>
          <w:rFonts w:cs="Times New Roman"/>
          <w:szCs w:val="26"/>
        </w:rPr>
        <w:t>I&amp;E argues that the Company itself ignored the results of the</w:t>
      </w:r>
      <w:r w:rsidR="004F0789" w:rsidRPr="0056721C">
        <w:rPr>
          <w:rFonts w:cs="Times New Roman"/>
          <w:szCs w:val="26"/>
        </w:rPr>
        <w:t xml:space="preserve"> </w:t>
      </w:r>
      <w:r w:rsidR="004F0789" w:rsidRPr="00F933D4">
        <w:rPr>
          <w:rFonts w:cs="Times New Roman"/>
          <w:i/>
          <w:szCs w:val="26"/>
        </w:rPr>
        <w:t>1993 PennVest Order</w:t>
      </w:r>
      <w:r w:rsidR="004F0789">
        <w:rPr>
          <w:rFonts w:cs="Times New Roman"/>
          <w:szCs w:val="26"/>
        </w:rPr>
        <w:t>,</w:t>
      </w:r>
      <w:r w:rsidR="004F0789" w:rsidRPr="0056721C">
        <w:rPr>
          <w:rFonts w:cs="Times New Roman"/>
          <w:szCs w:val="26"/>
        </w:rPr>
        <w:t xml:space="preserve"> an</w:t>
      </w:r>
      <w:r w:rsidR="004F0789">
        <w:rPr>
          <w:rFonts w:cs="Times New Roman"/>
          <w:szCs w:val="26"/>
        </w:rPr>
        <w:t xml:space="preserve">d instead </w:t>
      </w:r>
      <w:r w:rsidR="004F0789" w:rsidRPr="0056721C">
        <w:rPr>
          <w:rFonts w:cs="Times New Roman"/>
          <w:szCs w:val="26"/>
        </w:rPr>
        <w:t>transform</w:t>
      </w:r>
      <w:r w:rsidR="004F0789">
        <w:rPr>
          <w:rFonts w:cs="Times New Roman"/>
          <w:szCs w:val="26"/>
        </w:rPr>
        <w:t>ed</w:t>
      </w:r>
      <w:r w:rsidR="004F0789" w:rsidRPr="0056721C">
        <w:rPr>
          <w:rFonts w:cs="Times New Roman"/>
          <w:szCs w:val="26"/>
        </w:rPr>
        <w:t xml:space="preserve"> the subsequent collection of the PennVest loan repayment into a surcharge mechanism for all intents and pur</w:t>
      </w:r>
      <w:r w:rsidR="004F0789">
        <w:rPr>
          <w:rFonts w:cs="Times New Roman"/>
          <w:szCs w:val="26"/>
        </w:rPr>
        <w:t>poses.  According to I&amp;E, the Company</w:t>
      </w:r>
      <w:r w:rsidR="004F0789" w:rsidRPr="0056721C">
        <w:rPr>
          <w:rFonts w:cs="Times New Roman"/>
          <w:szCs w:val="26"/>
        </w:rPr>
        <w:t xml:space="preserve"> deviated from the terms of the Joint Stipulation approved in the </w:t>
      </w:r>
      <w:r w:rsidR="004F0789" w:rsidRPr="00F933D4">
        <w:rPr>
          <w:rFonts w:cs="Times New Roman"/>
          <w:i/>
          <w:szCs w:val="26"/>
        </w:rPr>
        <w:t>1993 PennVest Order</w:t>
      </w:r>
      <w:r w:rsidR="004F0789">
        <w:rPr>
          <w:rFonts w:cs="Times New Roman"/>
          <w:szCs w:val="26"/>
        </w:rPr>
        <w:t>, and therefore those terms ar</w:t>
      </w:r>
      <w:r w:rsidR="004F0789" w:rsidRPr="0056721C">
        <w:rPr>
          <w:rFonts w:cs="Times New Roman"/>
          <w:szCs w:val="26"/>
        </w:rPr>
        <w:t>e no longer applicable.</w:t>
      </w:r>
      <w:r w:rsidR="004F0789">
        <w:rPr>
          <w:rFonts w:cs="Times New Roman"/>
          <w:szCs w:val="26"/>
        </w:rPr>
        <w:t xml:space="preserve">  Specifically, I&amp;E submits that,</w:t>
      </w:r>
      <w:r w:rsidR="004F0789" w:rsidRPr="0056721C">
        <w:rPr>
          <w:rFonts w:cs="Times New Roman"/>
          <w:szCs w:val="26"/>
        </w:rPr>
        <w:t xml:space="preserve"> in the rate cases that followed the </w:t>
      </w:r>
      <w:r w:rsidR="004F0789" w:rsidRPr="00F933D4">
        <w:rPr>
          <w:rFonts w:cs="Times New Roman"/>
          <w:i/>
          <w:szCs w:val="26"/>
        </w:rPr>
        <w:t>1993 PennVest Order</w:t>
      </w:r>
      <w:r w:rsidR="004F0789" w:rsidRPr="0056721C">
        <w:rPr>
          <w:rFonts w:cs="Times New Roman"/>
          <w:szCs w:val="26"/>
        </w:rPr>
        <w:t>, the Company removed the PennV</w:t>
      </w:r>
      <w:r w:rsidR="004F0789">
        <w:rPr>
          <w:rFonts w:cs="Times New Roman"/>
          <w:szCs w:val="26"/>
        </w:rPr>
        <w:t>est-funded plant from rate base;</w:t>
      </w:r>
      <w:r w:rsidR="004F0789" w:rsidRPr="0056721C">
        <w:rPr>
          <w:rFonts w:cs="Times New Roman"/>
          <w:szCs w:val="26"/>
        </w:rPr>
        <w:t xml:space="preserve"> removed the surcharge revenues</w:t>
      </w:r>
      <w:r w:rsidR="004F0789">
        <w:rPr>
          <w:rFonts w:cs="Times New Roman"/>
          <w:szCs w:val="26"/>
        </w:rPr>
        <w:t xml:space="preserve">; and </w:t>
      </w:r>
      <w:r w:rsidR="004F0789" w:rsidRPr="0056721C">
        <w:rPr>
          <w:rFonts w:cs="Times New Roman"/>
          <w:szCs w:val="26"/>
        </w:rPr>
        <w:t xml:space="preserve">excluded the PennVest loan from its capital structure in calculating its base </w:t>
      </w:r>
      <w:r w:rsidR="004F0789">
        <w:rPr>
          <w:rFonts w:cs="Times New Roman"/>
          <w:szCs w:val="26"/>
        </w:rPr>
        <w:t>rate revenue requirement.  I&amp;E alleges that the Company changed and reconciled the volumetric</w:t>
      </w:r>
      <w:r w:rsidR="004F0789" w:rsidRPr="0056721C">
        <w:rPr>
          <w:rFonts w:cs="Times New Roman"/>
          <w:szCs w:val="26"/>
        </w:rPr>
        <w:t xml:space="preserve"> charge several times over the term of the </w:t>
      </w:r>
      <w:r w:rsidR="004F0789">
        <w:rPr>
          <w:rFonts w:cs="Times New Roman"/>
          <w:szCs w:val="26"/>
        </w:rPr>
        <w:t>PennVest loan</w:t>
      </w:r>
      <w:r w:rsidR="004F0789" w:rsidRPr="0056721C">
        <w:rPr>
          <w:rFonts w:cs="Times New Roman"/>
          <w:szCs w:val="26"/>
        </w:rPr>
        <w:t xml:space="preserve"> to ensure that adequate monies were collected from ratepayers, and then subsequently extinguished that charge when the lo</w:t>
      </w:r>
      <w:r w:rsidR="004F0789">
        <w:rPr>
          <w:rFonts w:cs="Times New Roman"/>
          <w:szCs w:val="26"/>
        </w:rPr>
        <w:t xml:space="preserve">an was repaid.  I&amp;E argues that these actions by Columbia </w:t>
      </w:r>
      <w:r w:rsidR="004F0789" w:rsidRPr="0056721C">
        <w:rPr>
          <w:rFonts w:cs="Times New Roman"/>
          <w:szCs w:val="26"/>
        </w:rPr>
        <w:t xml:space="preserve">either </w:t>
      </w:r>
      <w:r w:rsidR="004F0789">
        <w:rPr>
          <w:rFonts w:cs="Times New Roman"/>
          <w:szCs w:val="26"/>
        </w:rPr>
        <w:t xml:space="preserve">were </w:t>
      </w:r>
      <w:r w:rsidR="004F0789" w:rsidRPr="0056721C">
        <w:rPr>
          <w:rFonts w:cs="Times New Roman"/>
          <w:szCs w:val="26"/>
        </w:rPr>
        <w:t xml:space="preserve">not </w:t>
      </w:r>
      <w:r w:rsidR="004F0789">
        <w:rPr>
          <w:rFonts w:cs="Times New Roman"/>
          <w:szCs w:val="26"/>
        </w:rPr>
        <w:t xml:space="preserve">taken into consideration or were not </w:t>
      </w:r>
      <w:r w:rsidR="004F0789" w:rsidRPr="0056721C">
        <w:rPr>
          <w:rFonts w:cs="Times New Roman"/>
          <w:szCs w:val="26"/>
        </w:rPr>
        <w:t>given sufficient weight by the ALJ</w:t>
      </w:r>
      <w:r w:rsidR="004F0789">
        <w:rPr>
          <w:rFonts w:cs="Times New Roman"/>
          <w:szCs w:val="26"/>
        </w:rPr>
        <w:t xml:space="preserve">.  </w:t>
      </w:r>
      <w:r w:rsidR="004F0789" w:rsidRPr="00412E26">
        <w:rPr>
          <w:rFonts w:cs="Times New Roman"/>
          <w:i/>
          <w:szCs w:val="26"/>
        </w:rPr>
        <w:t>Id</w:t>
      </w:r>
      <w:r w:rsidR="004F0789">
        <w:rPr>
          <w:rFonts w:cs="Times New Roman"/>
          <w:szCs w:val="26"/>
        </w:rPr>
        <w:t xml:space="preserve">. at 7-8.  I&amp;E argues that </w:t>
      </w:r>
      <w:r w:rsidR="004F0789" w:rsidRPr="0056721C">
        <w:rPr>
          <w:rFonts w:cs="Times New Roman"/>
          <w:szCs w:val="26"/>
        </w:rPr>
        <w:t xml:space="preserve">the provisions of the </w:t>
      </w:r>
      <w:r w:rsidR="004F0789" w:rsidRPr="00F933D4">
        <w:rPr>
          <w:rFonts w:cs="Times New Roman"/>
          <w:i/>
          <w:szCs w:val="26"/>
        </w:rPr>
        <w:t>1993 PennVest Order</w:t>
      </w:r>
      <w:r w:rsidR="004F0789" w:rsidRPr="0056721C">
        <w:rPr>
          <w:rFonts w:cs="Times New Roman"/>
          <w:szCs w:val="26"/>
        </w:rPr>
        <w:t xml:space="preserve"> are no longer applicable</w:t>
      </w:r>
      <w:r w:rsidR="004F0789">
        <w:rPr>
          <w:rFonts w:cs="Times New Roman"/>
          <w:szCs w:val="26"/>
        </w:rPr>
        <w:t>,</w:t>
      </w:r>
      <w:r w:rsidR="004F0789" w:rsidRPr="0056721C">
        <w:rPr>
          <w:rFonts w:cs="Times New Roman"/>
          <w:szCs w:val="26"/>
        </w:rPr>
        <w:t xml:space="preserve"> since the Co</w:t>
      </w:r>
      <w:r w:rsidR="004F0789">
        <w:rPr>
          <w:rFonts w:cs="Times New Roman"/>
          <w:szCs w:val="26"/>
        </w:rPr>
        <w:t>mpany failed</w:t>
      </w:r>
      <w:r w:rsidR="004F0789" w:rsidRPr="0056721C">
        <w:rPr>
          <w:rFonts w:cs="Times New Roman"/>
          <w:szCs w:val="26"/>
        </w:rPr>
        <w:t xml:space="preserve"> to adhere to </w:t>
      </w:r>
      <w:r w:rsidR="004F0789">
        <w:rPr>
          <w:rFonts w:cs="Times New Roman"/>
          <w:szCs w:val="26"/>
        </w:rPr>
        <w:t xml:space="preserve">the </w:t>
      </w:r>
      <w:r w:rsidR="004F0789" w:rsidRPr="0056721C">
        <w:rPr>
          <w:rFonts w:cs="Times New Roman"/>
          <w:szCs w:val="26"/>
        </w:rPr>
        <w:t xml:space="preserve">rate base </w:t>
      </w:r>
      <w:r w:rsidR="004F0789">
        <w:rPr>
          <w:rFonts w:cs="Times New Roman"/>
          <w:szCs w:val="26"/>
        </w:rPr>
        <w:t xml:space="preserve">treatment parameters </w:t>
      </w:r>
      <w:r w:rsidR="004F0789" w:rsidRPr="0056721C">
        <w:rPr>
          <w:rFonts w:cs="Times New Roman"/>
          <w:szCs w:val="26"/>
        </w:rPr>
        <w:t>provided for at that time.</w:t>
      </w:r>
      <w:r w:rsidR="004F0789">
        <w:rPr>
          <w:rFonts w:cs="Times New Roman"/>
          <w:szCs w:val="26"/>
        </w:rPr>
        <w:t xml:space="preserve">  </w:t>
      </w:r>
      <w:r w:rsidR="004F0789" w:rsidRPr="00412E26">
        <w:rPr>
          <w:rFonts w:cs="Times New Roman"/>
          <w:i/>
          <w:szCs w:val="26"/>
        </w:rPr>
        <w:t>Id</w:t>
      </w:r>
      <w:r w:rsidR="004F0789">
        <w:rPr>
          <w:rFonts w:cs="Times New Roman"/>
          <w:szCs w:val="26"/>
        </w:rPr>
        <w:t>. at 8-9.</w:t>
      </w:r>
    </w:p>
    <w:p w:rsidR="004F0789" w:rsidRDefault="004F0789" w:rsidP="004F0789">
      <w:pPr>
        <w:rPr>
          <w:rFonts w:cs="Times New Roman"/>
          <w:szCs w:val="26"/>
        </w:rPr>
      </w:pPr>
    </w:p>
    <w:p w:rsidR="004F0789" w:rsidRDefault="004F0789" w:rsidP="004F0789">
      <w:pPr>
        <w:rPr>
          <w:rFonts w:cs="Times New Roman"/>
          <w:szCs w:val="26"/>
        </w:rPr>
      </w:pPr>
      <w:r>
        <w:rPr>
          <w:rFonts w:cs="Times New Roman"/>
          <w:szCs w:val="26"/>
        </w:rPr>
        <w:lastRenderedPageBreak/>
        <w:t xml:space="preserve">I&amp;E submits </w:t>
      </w:r>
      <w:r w:rsidRPr="0056721C">
        <w:rPr>
          <w:rFonts w:cs="Times New Roman"/>
          <w:szCs w:val="26"/>
        </w:rPr>
        <w:t>that the C</w:t>
      </w:r>
      <w:r>
        <w:rPr>
          <w:rFonts w:cs="Times New Roman"/>
          <w:szCs w:val="26"/>
        </w:rPr>
        <w:t xml:space="preserve">ompany’s PennVest loan was </w:t>
      </w:r>
      <w:r w:rsidRPr="0056721C">
        <w:rPr>
          <w:rFonts w:cs="Times New Roman"/>
          <w:szCs w:val="26"/>
        </w:rPr>
        <w:t>com</w:t>
      </w:r>
      <w:r>
        <w:rPr>
          <w:rFonts w:cs="Times New Roman"/>
          <w:szCs w:val="26"/>
        </w:rPr>
        <w:t>pletely repaid by</w:t>
      </w:r>
      <w:r w:rsidRPr="0056721C">
        <w:rPr>
          <w:rFonts w:cs="Times New Roman"/>
          <w:szCs w:val="26"/>
        </w:rPr>
        <w:t xml:space="preserve"> 2011 from proceeds received as a result of the Company</w:t>
      </w:r>
      <w:r>
        <w:rPr>
          <w:rFonts w:cs="Times New Roman"/>
          <w:szCs w:val="26"/>
        </w:rPr>
        <w:t>’</w:t>
      </w:r>
      <w:r w:rsidRPr="0056721C">
        <w:rPr>
          <w:rFonts w:cs="Times New Roman"/>
          <w:szCs w:val="26"/>
        </w:rPr>
        <w:t>s decision to increase customer</w:t>
      </w:r>
      <w:r>
        <w:rPr>
          <w:rFonts w:cs="Times New Roman"/>
          <w:szCs w:val="26"/>
        </w:rPr>
        <w:t xml:space="preserve"> rates on a volumetric basis.  “</w:t>
      </w:r>
      <w:r w:rsidRPr="0056721C">
        <w:rPr>
          <w:rFonts w:cs="Times New Roman"/>
          <w:szCs w:val="26"/>
        </w:rPr>
        <w:t>Given the Company</w:t>
      </w:r>
      <w:r>
        <w:rPr>
          <w:rFonts w:cs="Times New Roman"/>
          <w:szCs w:val="26"/>
        </w:rPr>
        <w:t>’</w:t>
      </w:r>
      <w:r w:rsidRPr="0056721C">
        <w:rPr>
          <w:rFonts w:cs="Times New Roman"/>
          <w:szCs w:val="26"/>
        </w:rPr>
        <w:t>s collection of the entire amount of the monies used to add the PennVest-financed plant to the system, it is accurate to state that no Company monies were expended to finance any portion of the co</w:t>
      </w:r>
      <w:r>
        <w:rPr>
          <w:rFonts w:cs="Times New Roman"/>
          <w:szCs w:val="26"/>
        </w:rPr>
        <w:t xml:space="preserve">st of the plant.”  </w:t>
      </w:r>
      <w:r w:rsidRPr="00412E26">
        <w:rPr>
          <w:rFonts w:cs="Times New Roman"/>
          <w:i/>
          <w:szCs w:val="26"/>
        </w:rPr>
        <w:t>Id</w:t>
      </w:r>
      <w:r>
        <w:rPr>
          <w:rFonts w:cs="Times New Roman"/>
          <w:szCs w:val="26"/>
        </w:rPr>
        <w:t>. at 9</w:t>
      </w:r>
      <w:r>
        <w:rPr>
          <w:rFonts w:cs="Times New Roman"/>
          <w:szCs w:val="26"/>
        </w:rPr>
        <w:noBreakHyphen/>
        <w:t xml:space="preserve">10.  I&amp;E argues that </w:t>
      </w:r>
      <w:r w:rsidRPr="0056721C">
        <w:rPr>
          <w:rFonts w:cs="Times New Roman"/>
          <w:szCs w:val="26"/>
        </w:rPr>
        <w:t>the Co</w:t>
      </w:r>
      <w:r>
        <w:rPr>
          <w:rFonts w:cs="Times New Roman"/>
          <w:szCs w:val="26"/>
        </w:rPr>
        <w:t xml:space="preserve">mmission should not allow a utility to </w:t>
      </w:r>
      <w:r w:rsidRPr="0056721C">
        <w:rPr>
          <w:rFonts w:cs="Times New Roman"/>
          <w:szCs w:val="26"/>
        </w:rPr>
        <w:t>fully recover</w:t>
      </w:r>
      <w:r>
        <w:rPr>
          <w:rFonts w:cs="Times New Roman"/>
          <w:szCs w:val="26"/>
        </w:rPr>
        <w:t xml:space="preserve"> the monies used to finance </w:t>
      </w:r>
      <w:r w:rsidRPr="0056721C">
        <w:rPr>
          <w:rFonts w:cs="Times New Roman"/>
          <w:szCs w:val="26"/>
        </w:rPr>
        <w:t>plant through PennVest loan repayments</w:t>
      </w:r>
      <w:r>
        <w:rPr>
          <w:rFonts w:cs="Times New Roman"/>
          <w:szCs w:val="26"/>
        </w:rPr>
        <w:t>,</w:t>
      </w:r>
      <w:r w:rsidRPr="0056721C">
        <w:rPr>
          <w:rFonts w:cs="Times New Roman"/>
          <w:szCs w:val="26"/>
        </w:rPr>
        <w:t xml:space="preserve"> and then allow </w:t>
      </w:r>
      <w:r>
        <w:rPr>
          <w:rFonts w:cs="Times New Roman"/>
          <w:szCs w:val="26"/>
        </w:rPr>
        <w:t xml:space="preserve">that utility to </w:t>
      </w:r>
      <w:r w:rsidRPr="0056721C">
        <w:rPr>
          <w:rFonts w:cs="Times New Roman"/>
          <w:szCs w:val="26"/>
        </w:rPr>
        <w:t xml:space="preserve">collect additional revenues from ratepayers by placing that very same plant (at its depreciated value) in rate base.  </w:t>
      </w:r>
      <w:r>
        <w:rPr>
          <w:rFonts w:cs="Times New Roman"/>
          <w:szCs w:val="26"/>
        </w:rPr>
        <w:t xml:space="preserve">I&amp;E speculates that, if the Commission does not adjust Columbia’s rate base, it is likely that other utilities that have repaid PennVest loans with customer-provided funds would attempt to follow suit and include the undepreciated value of their PennVest-financed plant in rate base.  </w:t>
      </w:r>
      <w:r w:rsidRPr="00412E26">
        <w:rPr>
          <w:rFonts w:cs="Times New Roman"/>
          <w:i/>
          <w:szCs w:val="26"/>
        </w:rPr>
        <w:t>Id</w:t>
      </w:r>
      <w:r>
        <w:rPr>
          <w:rFonts w:cs="Times New Roman"/>
          <w:szCs w:val="26"/>
        </w:rPr>
        <w:t>. at 10.</w:t>
      </w:r>
    </w:p>
    <w:p w:rsidR="004F0789" w:rsidRDefault="004F0789" w:rsidP="004F0789">
      <w:pPr>
        <w:rPr>
          <w:rFonts w:cs="Times New Roman"/>
          <w:szCs w:val="26"/>
        </w:rPr>
      </w:pPr>
    </w:p>
    <w:p w:rsidR="004F0789" w:rsidRDefault="004F0789" w:rsidP="004F0789">
      <w:pPr>
        <w:rPr>
          <w:rFonts w:cs="Times New Roman"/>
          <w:szCs w:val="26"/>
        </w:rPr>
      </w:pPr>
      <w:r>
        <w:rPr>
          <w:rFonts w:cs="Times New Roman"/>
          <w:szCs w:val="26"/>
        </w:rPr>
        <w:t>I&amp;E states that i</w:t>
      </w:r>
      <w:r w:rsidRPr="0056721C">
        <w:rPr>
          <w:rFonts w:cs="Times New Roman"/>
          <w:szCs w:val="26"/>
        </w:rPr>
        <w:t>t appear</w:t>
      </w:r>
      <w:r>
        <w:rPr>
          <w:rFonts w:cs="Times New Roman"/>
          <w:szCs w:val="26"/>
        </w:rPr>
        <w:t>s that the ALJ was aware of the</w:t>
      </w:r>
      <w:r w:rsidRPr="0056721C">
        <w:rPr>
          <w:rFonts w:cs="Times New Roman"/>
          <w:szCs w:val="26"/>
        </w:rPr>
        <w:t xml:space="preserve"> </w:t>
      </w:r>
      <w:r>
        <w:rPr>
          <w:rFonts w:cs="Times New Roman"/>
          <w:szCs w:val="26"/>
        </w:rPr>
        <w:t xml:space="preserve">potential </w:t>
      </w:r>
      <w:r w:rsidRPr="0056721C">
        <w:rPr>
          <w:rFonts w:cs="Times New Roman"/>
          <w:szCs w:val="26"/>
        </w:rPr>
        <w:t>adverse precedential effect of his recomm</w:t>
      </w:r>
      <w:r>
        <w:rPr>
          <w:rFonts w:cs="Times New Roman"/>
          <w:szCs w:val="26"/>
        </w:rPr>
        <w:t xml:space="preserve">endation because he </w:t>
      </w:r>
      <w:r w:rsidRPr="0056721C">
        <w:rPr>
          <w:rFonts w:cs="Times New Roman"/>
          <w:szCs w:val="26"/>
        </w:rPr>
        <w:t>attem</w:t>
      </w:r>
      <w:r>
        <w:rPr>
          <w:rFonts w:cs="Times New Roman"/>
          <w:szCs w:val="26"/>
        </w:rPr>
        <w:t xml:space="preserve">pted to limit its applicability by stating </w:t>
      </w:r>
      <w:r w:rsidRPr="0056721C">
        <w:rPr>
          <w:rFonts w:cs="Times New Roman"/>
          <w:szCs w:val="26"/>
        </w:rPr>
        <w:t>that “but for” the “unique regulatory history of this PennVest plant,” he would have been “strongly inclined” to accept I&amp;E</w:t>
      </w:r>
      <w:r>
        <w:rPr>
          <w:rFonts w:cs="Times New Roman"/>
          <w:szCs w:val="26"/>
        </w:rPr>
        <w:t>’</w:t>
      </w:r>
      <w:r w:rsidRPr="0056721C">
        <w:rPr>
          <w:rFonts w:cs="Times New Roman"/>
          <w:szCs w:val="26"/>
        </w:rPr>
        <w:t xml:space="preserve">s proposed adjustment.  </w:t>
      </w:r>
      <w:r w:rsidRPr="00D74363">
        <w:rPr>
          <w:rFonts w:cs="Times New Roman"/>
          <w:i/>
          <w:szCs w:val="26"/>
        </w:rPr>
        <w:t>Id</w:t>
      </w:r>
      <w:r>
        <w:rPr>
          <w:rFonts w:cs="Times New Roman"/>
          <w:szCs w:val="26"/>
        </w:rPr>
        <w:t xml:space="preserve">. at 11, citing </w:t>
      </w:r>
      <w:r w:rsidRPr="0056721C">
        <w:rPr>
          <w:rFonts w:cs="Times New Roman"/>
          <w:szCs w:val="26"/>
        </w:rPr>
        <w:t>R</w:t>
      </w:r>
      <w:r>
        <w:rPr>
          <w:rFonts w:cs="Times New Roman"/>
          <w:szCs w:val="26"/>
        </w:rPr>
        <w:t>.</w:t>
      </w:r>
      <w:r w:rsidRPr="0056721C">
        <w:rPr>
          <w:rFonts w:cs="Times New Roman"/>
          <w:szCs w:val="26"/>
        </w:rPr>
        <w:t>D</w:t>
      </w:r>
      <w:r>
        <w:rPr>
          <w:rFonts w:cs="Times New Roman"/>
          <w:szCs w:val="26"/>
        </w:rPr>
        <w:t xml:space="preserve">. at 39.  I&amp;E submits that it is unlikely that the ALJ’s qualification would be </w:t>
      </w:r>
      <w:r w:rsidRPr="0056721C">
        <w:rPr>
          <w:rFonts w:cs="Times New Roman"/>
          <w:szCs w:val="26"/>
        </w:rPr>
        <w:t>r</w:t>
      </w:r>
      <w:r>
        <w:rPr>
          <w:rFonts w:cs="Times New Roman"/>
          <w:szCs w:val="26"/>
        </w:rPr>
        <w:t>ecognized by other utilities that</w:t>
      </w:r>
      <w:r w:rsidRPr="0056721C">
        <w:rPr>
          <w:rFonts w:cs="Times New Roman"/>
          <w:szCs w:val="26"/>
        </w:rPr>
        <w:t xml:space="preserve"> become aware</w:t>
      </w:r>
      <w:r>
        <w:rPr>
          <w:rFonts w:cs="Times New Roman"/>
          <w:szCs w:val="26"/>
        </w:rPr>
        <w:t xml:space="preserve"> that Columbia received full </w:t>
      </w:r>
      <w:r w:rsidRPr="0056721C">
        <w:rPr>
          <w:rFonts w:cs="Times New Roman"/>
          <w:szCs w:val="26"/>
        </w:rPr>
        <w:t xml:space="preserve">recovery </w:t>
      </w:r>
      <w:r>
        <w:rPr>
          <w:rFonts w:cs="Times New Roman"/>
          <w:szCs w:val="26"/>
        </w:rPr>
        <w:t xml:space="preserve">through a surcharge methodology and then </w:t>
      </w:r>
      <w:r w:rsidRPr="0056721C">
        <w:rPr>
          <w:rFonts w:cs="Times New Roman"/>
          <w:szCs w:val="26"/>
        </w:rPr>
        <w:t>received</w:t>
      </w:r>
      <w:r>
        <w:rPr>
          <w:rFonts w:cs="Times New Roman"/>
          <w:szCs w:val="26"/>
        </w:rPr>
        <w:t xml:space="preserve"> rate base treatment for the same plant.  </w:t>
      </w:r>
      <w:r w:rsidRPr="000B4314">
        <w:rPr>
          <w:rFonts w:cs="Times New Roman"/>
          <w:i/>
          <w:szCs w:val="26"/>
        </w:rPr>
        <w:t>Id</w:t>
      </w:r>
      <w:r>
        <w:rPr>
          <w:rFonts w:cs="Times New Roman"/>
          <w:szCs w:val="26"/>
        </w:rPr>
        <w:t>.</w:t>
      </w:r>
    </w:p>
    <w:p w:rsidR="004F0789" w:rsidRPr="0056721C" w:rsidRDefault="004F0789" w:rsidP="004F0789">
      <w:pPr>
        <w:rPr>
          <w:rFonts w:cs="Times New Roman"/>
          <w:szCs w:val="26"/>
        </w:rPr>
      </w:pPr>
    </w:p>
    <w:p w:rsidR="004F0789" w:rsidRDefault="004F0789" w:rsidP="004F0789">
      <w:pPr>
        <w:tabs>
          <w:tab w:val="center" w:pos="-2430"/>
          <w:tab w:val="left" w:pos="-900"/>
        </w:tabs>
        <w:suppressAutoHyphens/>
        <w:rPr>
          <w:rFonts w:cs="Times New Roman"/>
          <w:color w:val="000000"/>
          <w:spacing w:val="-2"/>
          <w:szCs w:val="26"/>
        </w:rPr>
      </w:pPr>
      <w:r>
        <w:rPr>
          <w:rFonts w:cs="Times New Roman"/>
          <w:color w:val="000000"/>
          <w:spacing w:val="-2"/>
          <w:szCs w:val="26"/>
        </w:rPr>
        <w:t>As support for its argument that the Company cannot recover the principal amount of a</w:t>
      </w:r>
      <w:r w:rsidRPr="0056721C">
        <w:rPr>
          <w:rFonts w:cs="Times New Roman"/>
          <w:color w:val="000000"/>
          <w:spacing w:val="-2"/>
          <w:szCs w:val="26"/>
        </w:rPr>
        <w:t xml:space="preserve"> PennVest loan</w:t>
      </w:r>
      <w:r>
        <w:rPr>
          <w:rFonts w:cs="Times New Roman"/>
          <w:color w:val="000000"/>
          <w:spacing w:val="-2"/>
          <w:szCs w:val="26"/>
        </w:rPr>
        <w:t xml:space="preserve">, plus interest, that is used to finance plant, and then include </w:t>
      </w:r>
      <w:r w:rsidRPr="0056721C">
        <w:rPr>
          <w:rFonts w:cs="Times New Roman"/>
          <w:color w:val="000000"/>
          <w:spacing w:val="-2"/>
          <w:szCs w:val="26"/>
        </w:rPr>
        <w:t>the undeprecia</w:t>
      </w:r>
      <w:r>
        <w:rPr>
          <w:rFonts w:cs="Times New Roman"/>
          <w:color w:val="000000"/>
          <w:spacing w:val="-2"/>
          <w:szCs w:val="26"/>
        </w:rPr>
        <w:t>ted value of the plant in rate base, I&amp;E refers to</w:t>
      </w:r>
      <w:r w:rsidRPr="0056721C">
        <w:rPr>
          <w:rFonts w:cs="Times New Roman"/>
          <w:color w:val="000000"/>
          <w:spacing w:val="-2"/>
          <w:szCs w:val="26"/>
        </w:rPr>
        <w:t xml:space="preserve"> the Commission</w:t>
      </w:r>
      <w:r>
        <w:rPr>
          <w:rFonts w:cs="Times New Roman"/>
          <w:color w:val="000000"/>
          <w:spacing w:val="-2"/>
          <w:szCs w:val="26"/>
        </w:rPr>
        <w:t>’</w:t>
      </w:r>
      <w:r w:rsidRPr="0056721C">
        <w:rPr>
          <w:rFonts w:cs="Times New Roman"/>
          <w:color w:val="000000"/>
          <w:spacing w:val="-2"/>
          <w:szCs w:val="26"/>
        </w:rPr>
        <w:t xml:space="preserve">s </w:t>
      </w:r>
      <w:r w:rsidRPr="000B4314">
        <w:rPr>
          <w:rFonts w:cs="Times New Roman"/>
          <w:i/>
          <w:color w:val="000000"/>
          <w:spacing w:val="-2"/>
          <w:szCs w:val="26"/>
        </w:rPr>
        <w:t>PennVest Policy Statement</w:t>
      </w:r>
      <w:r w:rsidR="00374266">
        <w:rPr>
          <w:rFonts w:cs="Times New Roman"/>
          <w:color w:val="000000"/>
          <w:spacing w:val="-2"/>
          <w:szCs w:val="26"/>
        </w:rPr>
        <w:t xml:space="preserve">, </w:t>
      </w:r>
      <w:r>
        <w:rPr>
          <w:rFonts w:cs="Times New Roman"/>
          <w:color w:val="000000"/>
          <w:spacing w:val="-2"/>
          <w:szCs w:val="26"/>
        </w:rPr>
        <w:t xml:space="preserve">which </w:t>
      </w:r>
      <w:r w:rsidRPr="0056721C">
        <w:rPr>
          <w:rFonts w:cs="Times New Roman"/>
          <w:color w:val="000000"/>
          <w:spacing w:val="-2"/>
          <w:szCs w:val="26"/>
        </w:rPr>
        <w:t>states</w:t>
      </w:r>
      <w:r w:rsidR="000F7C81">
        <w:rPr>
          <w:rFonts w:cs="Times New Roman"/>
          <w:color w:val="000000"/>
          <w:spacing w:val="-2"/>
          <w:szCs w:val="26"/>
        </w:rPr>
        <w:t>,</w:t>
      </w:r>
      <w:r>
        <w:rPr>
          <w:rFonts w:cs="Times New Roman"/>
          <w:color w:val="000000"/>
          <w:spacing w:val="-2"/>
          <w:szCs w:val="26"/>
        </w:rPr>
        <w:t xml:space="preserve"> in relevant part</w:t>
      </w:r>
      <w:r w:rsidR="000F7C81">
        <w:rPr>
          <w:rFonts w:cs="Times New Roman"/>
          <w:color w:val="000000"/>
          <w:spacing w:val="-2"/>
          <w:szCs w:val="26"/>
        </w:rPr>
        <w:t>,</w:t>
      </w:r>
      <w:r>
        <w:rPr>
          <w:rFonts w:cs="Times New Roman"/>
          <w:color w:val="000000"/>
          <w:spacing w:val="-2"/>
          <w:szCs w:val="26"/>
        </w:rPr>
        <w:t xml:space="preserve"> that</w:t>
      </w:r>
      <w:r w:rsidRPr="0056721C">
        <w:rPr>
          <w:rFonts w:cs="Times New Roman"/>
          <w:color w:val="000000"/>
          <w:spacing w:val="-2"/>
          <w:szCs w:val="26"/>
        </w:rPr>
        <w:t>:</w:t>
      </w:r>
    </w:p>
    <w:p w:rsidR="004F0789" w:rsidRPr="0056721C" w:rsidRDefault="004F0789" w:rsidP="004F0789">
      <w:pPr>
        <w:tabs>
          <w:tab w:val="center" w:pos="-2430"/>
          <w:tab w:val="left" w:pos="-900"/>
        </w:tabs>
        <w:suppressAutoHyphens/>
        <w:rPr>
          <w:rFonts w:cs="Times New Roman"/>
          <w:color w:val="000000"/>
          <w:spacing w:val="-2"/>
          <w:szCs w:val="26"/>
        </w:rPr>
      </w:pPr>
    </w:p>
    <w:p w:rsidR="004F0789" w:rsidRPr="0056721C" w:rsidRDefault="004F0789" w:rsidP="00343CB6">
      <w:pPr>
        <w:tabs>
          <w:tab w:val="center" w:pos="-2430"/>
          <w:tab w:val="left" w:pos="-900"/>
        </w:tabs>
        <w:suppressAutoHyphens/>
        <w:spacing w:line="240" w:lineRule="auto"/>
        <w:ind w:left="1440" w:right="1440" w:firstLine="0"/>
        <w:rPr>
          <w:rFonts w:cs="Times New Roman"/>
          <w:color w:val="000000"/>
          <w:szCs w:val="26"/>
          <w:u w:val="single"/>
        </w:rPr>
      </w:pPr>
      <w:r w:rsidRPr="0056721C">
        <w:rPr>
          <w:rFonts w:cs="Times New Roman"/>
          <w:color w:val="000000"/>
          <w:szCs w:val="26"/>
        </w:rPr>
        <w:t>Comp</w:t>
      </w:r>
      <w:r>
        <w:rPr>
          <w:rFonts w:cs="Times New Roman"/>
          <w:color w:val="000000"/>
          <w:szCs w:val="26"/>
        </w:rPr>
        <w:t xml:space="preserve">anies with outstanding PENNVEST </w:t>
      </w:r>
      <w:r w:rsidRPr="0056721C">
        <w:rPr>
          <w:rFonts w:cs="Times New Roman"/>
          <w:color w:val="000000"/>
          <w:szCs w:val="26"/>
        </w:rPr>
        <w:t>loans not currently reflected in rates and companies that will receive PENNVEST loans in the future are encouraged to establish under 66 Pa.</w:t>
      </w:r>
      <w:r>
        <w:rPr>
          <w:rFonts w:cs="Times New Roman"/>
          <w:color w:val="000000"/>
          <w:szCs w:val="26"/>
        </w:rPr>
        <w:t xml:space="preserve"> </w:t>
      </w:r>
      <w:r w:rsidRPr="0056721C">
        <w:rPr>
          <w:rFonts w:cs="Times New Roman"/>
          <w:color w:val="000000"/>
          <w:szCs w:val="26"/>
        </w:rPr>
        <w:t xml:space="preserve">C.S. § 1307(a) (relating to sliding scale of rates; adjustments) and subject to Commission approval, an automatic adjustment by </w:t>
      </w:r>
      <w:r w:rsidRPr="0056721C">
        <w:rPr>
          <w:rFonts w:cs="Times New Roman"/>
          <w:color w:val="000000"/>
          <w:szCs w:val="26"/>
        </w:rPr>
        <w:lastRenderedPageBreak/>
        <w:t xml:space="preserve">means of a sliding scale of rates limited solely to the recovery of PENNVEST principal and interest obligations, </w:t>
      </w:r>
      <w:r w:rsidRPr="0056721C">
        <w:rPr>
          <w:rFonts w:cs="Times New Roman"/>
          <w:b/>
          <w:color w:val="000000"/>
          <w:szCs w:val="26"/>
        </w:rPr>
        <w:t>instead of seeking recovery of these amounts under 66 Pa.</w:t>
      </w:r>
      <w:r>
        <w:rPr>
          <w:rFonts w:cs="Times New Roman"/>
          <w:b/>
          <w:color w:val="000000"/>
          <w:szCs w:val="26"/>
        </w:rPr>
        <w:t xml:space="preserve"> </w:t>
      </w:r>
      <w:r w:rsidRPr="0056721C">
        <w:rPr>
          <w:rFonts w:cs="Times New Roman"/>
          <w:b/>
          <w:color w:val="000000"/>
          <w:szCs w:val="26"/>
        </w:rPr>
        <w:t>C.S. § 1308 (relating to voluntary changes in rates) base rate filing</w:t>
      </w:r>
      <w:r w:rsidRPr="0056721C">
        <w:rPr>
          <w:rFonts w:cs="Times New Roman"/>
          <w:color w:val="000000"/>
          <w:szCs w:val="26"/>
          <w:u w:val="single"/>
        </w:rPr>
        <w:t>.</w:t>
      </w:r>
    </w:p>
    <w:p w:rsidR="004F0789" w:rsidRPr="0056721C" w:rsidRDefault="004F0789" w:rsidP="004F0789">
      <w:pPr>
        <w:tabs>
          <w:tab w:val="center" w:pos="-2430"/>
          <w:tab w:val="left" w:pos="-900"/>
        </w:tabs>
        <w:suppressAutoHyphens/>
        <w:ind w:left="720" w:right="1440"/>
        <w:rPr>
          <w:rFonts w:cs="Times New Roman"/>
          <w:color w:val="000000"/>
          <w:szCs w:val="26"/>
        </w:rPr>
      </w:pPr>
    </w:p>
    <w:p w:rsidR="004F0789" w:rsidRDefault="004F0789" w:rsidP="006D470A">
      <w:pPr>
        <w:tabs>
          <w:tab w:val="center" w:pos="-2430"/>
          <w:tab w:val="left" w:pos="-900"/>
        </w:tabs>
        <w:suppressAutoHyphens/>
        <w:ind w:firstLine="0"/>
        <w:contextualSpacing/>
        <w:rPr>
          <w:rFonts w:cs="Times New Roman"/>
          <w:color w:val="000000" w:themeColor="text1"/>
          <w:szCs w:val="26"/>
        </w:rPr>
      </w:pPr>
      <w:r>
        <w:rPr>
          <w:rFonts w:cs="Times New Roman"/>
          <w:color w:val="000000"/>
          <w:spacing w:val="-2"/>
          <w:szCs w:val="26"/>
        </w:rPr>
        <w:t>52 Pa. Code § 69.361</w:t>
      </w:r>
      <w:r w:rsidRPr="0056721C">
        <w:rPr>
          <w:rFonts w:cs="Times New Roman"/>
          <w:color w:val="000000"/>
          <w:szCs w:val="26"/>
        </w:rPr>
        <w:t xml:space="preserve"> </w:t>
      </w:r>
      <w:r>
        <w:rPr>
          <w:rFonts w:cs="Times New Roman"/>
          <w:color w:val="000000"/>
          <w:szCs w:val="26"/>
        </w:rPr>
        <w:t>(emphasis added).  I&amp;E submits that the</w:t>
      </w:r>
      <w:r w:rsidRPr="0056721C">
        <w:rPr>
          <w:rFonts w:cs="Times New Roman"/>
          <w:color w:val="000000"/>
          <w:szCs w:val="26"/>
        </w:rPr>
        <w:t xml:space="preserve"> </w:t>
      </w:r>
      <w:r w:rsidRPr="008065D2">
        <w:rPr>
          <w:rFonts w:cs="Times New Roman"/>
          <w:i/>
          <w:color w:val="000000"/>
          <w:spacing w:val="-2"/>
          <w:szCs w:val="26"/>
        </w:rPr>
        <w:t>PennVest Policy Statement</w:t>
      </w:r>
      <w:r w:rsidRPr="0056721C">
        <w:rPr>
          <w:rFonts w:cs="Times New Roman"/>
          <w:color w:val="000000"/>
          <w:szCs w:val="26"/>
        </w:rPr>
        <w:t xml:space="preserve"> </w:t>
      </w:r>
      <w:r>
        <w:rPr>
          <w:rFonts w:cs="Times New Roman"/>
          <w:color w:val="000000"/>
          <w:szCs w:val="26"/>
        </w:rPr>
        <w:t xml:space="preserve">demonstrates </w:t>
      </w:r>
      <w:r w:rsidRPr="0056721C">
        <w:rPr>
          <w:rFonts w:cs="Times New Roman"/>
          <w:color w:val="000000"/>
          <w:szCs w:val="26"/>
        </w:rPr>
        <w:t>that</w:t>
      </w:r>
      <w:r>
        <w:rPr>
          <w:rFonts w:cs="Times New Roman"/>
          <w:color w:val="000000"/>
          <w:szCs w:val="26"/>
        </w:rPr>
        <w:t xml:space="preserve"> a utility may finance plant additions </w:t>
      </w:r>
      <w:r w:rsidRPr="0056721C">
        <w:rPr>
          <w:rFonts w:cs="Times New Roman"/>
          <w:i/>
          <w:color w:val="000000"/>
          <w:szCs w:val="26"/>
        </w:rPr>
        <w:t>either</w:t>
      </w:r>
      <w:r w:rsidRPr="0056721C">
        <w:rPr>
          <w:rFonts w:cs="Times New Roman"/>
          <w:color w:val="000000"/>
          <w:szCs w:val="26"/>
        </w:rPr>
        <w:t xml:space="preserve"> </w:t>
      </w:r>
      <w:r>
        <w:rPr>
          <w:rFonts w:cs="Times New Roman"/>
          <w:color w:val="000000"/>
          <w:szCs w:val="26"/>
        </w:rPr>
        <w:t xml:space="preserve">through </w:t>
      </w:r>
      <w:r w:rsidRPr="0056721C">
        <w:rPr>
          <w:rFonts w:cs="Times New Roman"/>
          <w:color w:val="000000"/>
          <w:szCs w:val="26"/>
        </w:rPr>
        <w:t xml:space="preserve">rate base inclusion </w:t>
      </w:r>
      <w:r w:rsidRPr="0056721C">
        <w:rPr>
          <w:rFonts w:cs="Times New Roman"/>
          <w:i/>
          <w:color w:val="000000"/>
          <w:szCs w:val="26"/>
        </w:rPr>
        <w:t>or</w:t>
      </w:r>
      <w:r w:rsidRPr="0056721C">
        <w:rPr>
          <w:rFonts w:cs="Times New Roman"/>
          <w:color w:val="000000"/>
          <w:szCs w:val="26"/>
        </w:rPr>
        <w:t xml:space="preserve"> </w:t>
      </w:r>
      <w:r>
        <w:rPr>
          <w:rFonts w:cs="Times New Roman"/>
          <w:color w:val="000000"/>
          <w:szCs w:val="26"/>
        </w:rPr>
        <w:t xml:space="preserve">through </w:t>
      </w:r>
      <w:r w:rsidRPr="0056721C">
        <w:rPr>
          <w:rFonts w:cs="Times New Roman"/>
          <w:color w:val="000000"/>
          <w:szCs w:val="26"/>
        </w:rPr>
        <w:t xml:space="preserve">a PennVest surcharge </w:t>
      </w:r>
      <w:r>
        <w:rPr>
          <w:rFonts w:cs="Times New Roman"/>
          <w:color w:val="000000"/>
          <w:szCs w:val="26"/>
        </w:rPr>
        <w:t xml:space="preserve">on its customers, but not both.  </w:t>
      </w:r>
      <w:r w:rsidRPr="000B4314">
        <w:rPr>
          <w:rFonts w:cs="Times New Roman"/>
          <w:i/>
          <w:color w:val="000000"/>
          <w:szCs w:val="26"/>
        </w:rPr>
        <w:t>Id</w:t>
      </w:r>
      <w:r>
        <w:rPr>
          <w:rFonts w:cs="Times New Roman"/>
          <w:color w:val="000000"/>
          <w:szCs w:val="26"/>
        </w:rPr>
        <w:t xml:space="preserve">. at 12-13.  </w:t>
      </w:r>
      <w:r w:rsidRPr="0056721C">
        <w:rPr>
          <w:rFonts w:cs="Times New Roman"/>
          <w:color w:val="000000" w:themeColor="text1"/>
          <w:szCs w:val="26"/>
        </w:rPr>
        <w:t>In c</w:t>
      </w:r>
      <w:r>
        <w:rPr>
          <w:rFonts w:cs="Times New Roman"/>
          <w:color w:val="000000" w:themeColor="text1"/>
          <w:szCs w:val="26"/>
        </w:rPr>
        <w:t xml:space="preserve">onclusion, I&amp;E states that, since Columbia </w:t>
      </w:r>
      <w:r w:rsidRPr="0056721C">
        <w:rPr>
          <w:rFonts w:cs="Times New Roman"/>
          <w:color w:val="000000" w:themeColor="text1"/>
          <w:szCs w:val="26"/>
        </w:rPr>
        <w:t xml:space="preserve">provided </w:t>
      </w:r>
      <w:r>
        <w:rPr>
          <w:rFonts w:cs="Times New Roman"/>
          <w:color w:val="000000" w:themeColor="text1"/>
          <w:szCs w:val="26"/>
        </w:rPr>
        <w:t xml:space="preserve">no monies of its own </w:t>
      </w:r>
      <w:r w:rsidRPr="0056721C">
        <w:rPr>
          <w:rFonts w:cs="Times New Roman"/>
          <w:color w:val="000000" w:themeColor="text1"/>
          <w:szCs w:val="26"/>
        </w:rPr>
        <w:t>to</w:t>
      </w:r>
      <w:r>
        <w:rPr>
          <w:rFonts w:cs="Times New Roman"/>
          <w:color w:val="000000" w:themeColor="text1"/>
          <w:szCs w:val="26"/>
        </w:rPr>
        <w:t>ward</w:t>
      </w:r>
      <w:r w:rsidRPr="0056721C">
        <w:rPr>
          <w:rFonts w:cs="Times New Roman"/>
          <w:color w:val="000000" w:themeColor="text1"/>
          <w:szCs w:val="26"/>
        </w:rPr>
        <w:t xml:space="preserve"> the original cost of the PennVest financed plant</w:t>
      </w:r>
      <w:r>
        <w:rPr>
          <w:rFonts w:cs="Times New Roman"/>
          <w:color w:val="000000" w:themeColor="text1"/>
          <w:szCs w:val="26"/>
        </w:rPr>
        <w:t xml:space="preserve">, it is not </w:t>
      </w:r>
      <w:r w:rsidRPr="0056721C">
        <w:rPr>
          <w:rFonts w:cs="Times New Roman"/>
          <w:color w:val="000000" w:themeColor="text1"/>
          <w:szCs w:val="26"/>
        </w:rPr>
        <w:t>entitle</w:t>
      </w:r>
      <w:r>
        <w:rPr>
          <w:rFonts w:cs="Times New Roman"/>
          <w:color w:val="000000" w:themeColor="text1"/>
          <w:szCs w:val="26"/>
        </w:rPr>
        <w:t>d to include the</w:t>
      </w:r>
      <w:r w:rsidRPr="0056721C">
        <w:rPr>
          <w:rFonts w:cs="Times New Roman"/>
          <w:color w:val="000000" w:themeColor="text1"/>
          <w:szCs w:val="26"/>
        </w:rPr>
        <w:t xml:space="preserve"> depreciated </w:t>
      </w:r>
      <w:r w:rsidRPr="00944CEF">
        <w:rPr>
          <w:rFonts w:cs="Times New Roman"/>
          <w:color w:val="000000" w:themeColor="text1"/>
          <w:szCs w:val="26"/>
        </w:rPr>
        <w:t xml:space="preserve">value </w:t>
      </w:r>
      <w:r>
        <w:rPr>
          <w:rFonts w:cs="Times New Roman"/>
          <w:color w:val="000000" w:themeColor="text1"/>
          <w:szCs w:val="26"/>
        </w:rPr>
        <w:t xml:space="preserve">of this plant in rate base.  </w:t>
      </w:r>
      <w:r w:rsidRPr="000B4314">
        <w:rPr>
          <w:rFonts w:cs="Times New Roman"/>
          <w:i/>
          <w:color w:val="000000" w:themeColor="text1"/>
          <w:szCs w:val="26"/>
        </w:rPr>
        <w:t>Id</w:t>
      </w:r>
      <w:r>
        <w:rPr>
          <w:rFonts w:cs="Times New Roman"/>
          <w:color w:val="000000" w:themeColor="text1"/>
          <w:szCs w:val="26"/>
        </w:rPr>
        <w:t>. at 13.</w:t>
      </w:r>
    </w:p>
    <w:p w:rsidR="000C7F5C" w:rsidRDefault="000C7F5C" w:rsidP="004F0789">
      <w:pPr>
        <w:tabs>
          <w:tab w:val="center" w:pos="-2430"/>
          <w:tab w:val="left" w:pos="-900"/>
        </w:tabs>
        <w:suppressAutoHyphens/>
        <w:contextualSpacing/>
        <w:rPr>
          <w:rFonts w:cs="Times New Roman"/>
          <w:color w:val="000000" w:themeColor="text1"/>
          <w:szCs w:val="26"/>
        </w:rPr>
      </w:pPr>
    </w:p>
    <w:p w:rsidR="004F0789" w:rsidRPr="00343CB6" w:rsidRDefault="004F0789" w:rsidP="00343CB6">
      <w:r w:rsidRPr="000C7F5C">
        <w:t xml:space="preserve">I&amp;E notes in its second Exception </w:t>
      </w:r>
      <w:r w:rsidRPr="002D01A5">
        <w:t>that the removal of the PennVest-financed plant from the Company’s rate base claim would require a corresponding reduction to the Company’s claimed level of depreciation expense related to that plant.  I&amp;E proposed a reduction to Columbia’s annual depreciation expense claim in the amount of $115,913.</w:t>
      </w:r>
      <w:r w:rsidRPr="002D01A5">
        <w:rPr>
          <w:rStyle w:val="FootnoteReference"/>
          <w:color w:val="000000" w:themeColor="text1"/>
          <w:szCs w:val="26"/>
        </w:rPr>
        <w:footnoteReference w:id="4"/>
      </w:r>
      <w:r w:rsidRPr="00AA15E0">
        <w:t xml:space="preserve">  Consistent with its recommendation that the PennVest plant be removed from the Company’s rate base, I&amp;E submits that the Commission should approve a depreciation claim of $623,347, which reflects </w:t>
      </w:r>
      <w:r w:rsidRPr="00950F89">
        <w:t>a reduction of $115,913 ($739,260- $115,913) to the Company’</w:t>
      </w:r>
      <w:r w:rsidRPr="00A2049D">
        <w:t>s annual depreciation expense claim.</w:t>
      </w:r>
      <w:r w:rsidRPr="00343CB6">
        <w:t xml:space="preserve">  </w:t>
      </w:r>
      <w:r w:rsidRPr="00677582">
        <w:rPr>
          <w:i/>
        </w:rPr>
        <w:t>Id</w:t>
      </w:r>
      <w:r w:rsidRPr="00343CB6">
        <w:t>. at 13-15.</w:t>
      </w:r>
    </w:p>
    <w:p w:rsidR="004F0789" w:rsidRPr="00343CB6" w:rsidRDefault="004F0789" w:rsidP="000C7F5C"/>
    <w:p w:rsidR="004F0789" w:rsidRPr="00343CB6" w:rsidRDefault="004F0789" w:rsidP="00343CB6">
      <w:r w:rsidRPr="00343CB6">
        <w:t xml:space="preserve">In its first Exception, the OCA similarly argues that Columbia should not be permitted to collect PennVest-funded plant twice from ratepayers, as memorialized in the Commission’s 1994 </w:t>
      </w:r>
      <w:r w:rsidRPr="00677582">
        <w:rPr>
          <w:i/>
          <w:color w:val="000000"/>
          <w:spacing w:val="-2"/>
        </w:rPr>
        <w:t>PennVest Policy Statement</w:t>
      </w:r>
      <w:r w:rsidRPr="00343CB6">
        <w:rPr>
          <w:color w:val="000000"/>
          <w:spacing w:val="-2"/>
        </w:rPr>
        <w:t>.</w:t>
      </w:r>
      <w:r w:rsidRPr="00343CB6">
        <w:t xml:space="preserve">  OCA Exc. at 3-4.  The OCA submits that, </w:t>
      </w:r>
      <w:r w:rsidRPr="00343CB6">
        <w:lastRenderedPageBreak/>
        <w:t xml:space="preserve">under a surcharge, a utility “recovers a higher amount in rates over the shorter term of the PennVest loan and nothing after the repayment period ends because the plant is not reflected in rate base.”  </w:t>
      </w:r>
      <w:r w:rsidRPr="00677582">
        <w:rPr>
          <w:i/>
        </w:rPr>
        <w:t>Id</w:t>
      </w:r>
      <w:r w:rsidRPr="00343CB6">
        <w:t xml:space="preserve">. at 4.  The OCA further submits that the determination of rate base treatment versus a surcharge is made during the case in which the plant first becomes used and useful.  According to the OCA, once that determination is made by the Commission, generally there is no opportunity to change the methodology.  </w:t>
      </w:r>
      <w:r w:rsidRPr="00677582">
        <w:rPr>
          <w:i/>
        </w:rPr>
        <w:t>Id</w:t>
      </w:r>
      <w:r w:rsidRPr="00343CB6">
        <w:t>. at 5.</w:t>
      </w:r>
    </w:p>
    <w:p w:rsidR="004F0789" w:rsidRPr="009D076B" w:rsidRDefault="004F0789" w:rsidP="00992768">
      <w:pPr>
        <w:pStyle w:val="Heading3"/>
      </w:pPr>
    </w:p>
    <w:p w:rsidR="004F0789" w:rsidRDefault="004F0789" w:rsidP="004F0789">
      <w:pPr>
        <w:contextualSpacing/>
        <w:rPr>
          <w:rFonts w:cs="Times New Roman"/>
          <w:szCs w:val="26"/>
        </w:rPr>
      </w:pPr>
      <w:r>
        <w:rPr>
          <w:rFonts w:cs="Times New Roman"/>
          <w:szCs w:val="26"/>
        </w:rPr>
        <w:t xml:space="preserve">The OCA states that the </w:t>
      </w:r>
      <w:r w:rsidRPr="007E643B">
        <w:rPr>
          <w:rFonts w:cs="Times New Roman"/>
          <w:i/>
          <w:szCs w:val="26"/>
        </w:rPr>
        <w:t>1993 PennVest Order</w:t>
      </w:r>
      <w:r>
        <w:rPr>
          <w:rFonts w:cs="Times New Roman"/>
          <w:szCs w:val="26"/>
        </w:rPr>
        <w:t xml:space="preserve"> arose from a request filed by </w:t>
      </w:r>
      <w:r w:rsidRPr="009D076B">
        <w:rPr>
          <w:rFonts w:cs="Times New Roman"/>
          <w:szCs w:val="26"/>
        </w:rPr>
        <w:t>Columbia</w:t>
      </w:r>
      <w:r>
        <w:rPr>
          <w:rFonts w:cs="Times New Roman"/>
          <w:szCs w:val="26"/>
        </w:rPr>
        <w:t xml:space="preserve"> for approval of a </w:t>
      </w:r>
      <w:r w:rsidRPr="009D076B">
        <w:rPr>
          <w:rFonts w:cs="Times New Roman"/>
          <w:szCs w:val="26"/>
        </w:rPr>
        <w:t xml:space="preserve">surcharge to recover the costs associated </w:t>
      </w:r>
      <w:r>
        <w:rPr>
          <w:rFonts w:cs="Times New Roman"/>
          <w:szCs w:val="26"/>
        </w:rPr>
        <w:t>with a PennVest loan.  The OCA opposed Columbia’s proposed surcharge mechanism, and the Commission subsequently approved a Joint Stipulation of Settlement (1993 S</w:t>
      </w:r>
      <w:r w:rsidRPr="009D076B">
        <w:rPr>
          <w:rFonts w:cs="Times New Roman"/>
          <w:szCs w:val="26"/>
        </w:rPr>
        <w:t>ettlement</w:t>
      </w:r>
      <w:r>
        <w:rPr>
          <w:rFonts w:cs="Times New Roman"/>
          <w:szCs w:val="26"/>
        </w:rPr>
        <w:t>)</w:t>
      </w:r>
      <w:r w:rsidRPr="009D076B">
        <w:rPr>
          <w:rFonts w:cs="Times New Roman"/>
          <w:szCs w:val="26"/>
        </w:rPr>
        <w:t xml:space="preserve"> between the Company and </w:t>
      </w:r>
      <w:r>
        <w:rPr>
          <w:rFonts w:cs="Times New Roman"/>
          <w:szCs w:val="26"/>
        </w:rPr>
        <w:t xml:space="preserve">the </w:t>
      </w:r>
      <w:r w:rsidRPr="009D076B">
        <w:rPr>
          <w:rFonts w:cs="Times New Roman"/>
          <w:szCs w:val="26"/>
        </w:rPr>
        <w:t>OCA that provided for rate base r</w:t>
      </w:r>
      <w:r>
        <w:rPr>
          <w:rFonts w:cs="Times New Roman"/>
          <w:szCs w:val="26"/>
        </w:rPr>
        <w:t>ecovery of the PennVest costs.  T</w:t>
      </w:r>
      <w:r w:rsidRPr="009D076B">
        <w:rPr>
          <w:rFonts w:cs="Times New Roman"/>
          <w:szCs w:val="26"/>
        </w:rPr>
        <w:t xml:space="preserve">he </w:t>
      </w:r>
      <w:r>
        <w:rPr>
          <w:rFonts w:cs="Times New Roman"/>
          <w:szCs w:val="26"/>
        </w:rPr>
        <w:t>primary feature of the 1993 S</w:t>
      </w:r>
      <w:r w:rsidRPr="009D076B">
        <w:rPr>
          <w:rFonts w:cs="Times New Roman"/>
          <w:szCs w:val="26"/>
        </w:rPr>
        <w:t xml:space="preserve">ettlement was </w:t>
      </w:r>
      <w:r>
        <w:rPr>
          <w:rFonts w:cs="Times New Roman"/>
          <w:szCs w:val="26"/>
        </w:rPr>
        <w:t>Columbia’s agreement to rate b</w:t>
      </w:r>
      <w:r w:rsidRPr="009D076B">
        <w:rPr>
          <w:rFonts w:cs="Times New Roman"/>
          <w:szCs w:val="26"/>
        </w:rPr>
        <w:t xml:space="preserve">ase treatment for plant additions of </w:t>
      </w:r>
      <w:r w:rsidRPr="00D15CC0">
        <w:rPr>
          <w:rFonts w:cs="Times New Roman"/>
          <w:szCs w:val="26"/>
        </w:rPr>
        <w:t>$4,547,617</w:t>
      </w:r>
      <w:r w:rsidRPr="009D076B">
        <w:rPr>
          <w:rFonts w:cs="Times New Roman"/>
          <w:szCs w:val="26"/>
        </w:rPr>
        <w:t>, constituting amounts attributable to PennVes</w:t>
      </w:r>
      <w:r>
        <w:rPr>
          <w:rFonts w:cs="Times New Roman"/>
          <w:szCs w:val="26"/>
        </w:rPr>
        <w:t xml:space="preserve">t funding, rather than </w:t>
      </w:r>
      <w:r w:rsidRPr="009D076B">
        <w:rPr>
          <w:rFonts w:cs="Times New Roman"/>
          <w:szCs w:val="26"/>
        </w:rPr>
        <w:t>a surcharge equal to the debt service on the PennVest Loan.</w:t>
      </w:r>
      <w:r>
        <w:rPr>
          <w:rFonts w:cs="Times New Roman"/>
          <w:szCs w:val="26"/>
        </w:rPr>
        <w:t xml:space="preserve">  </w:t>
      </w:r>
      <w:r w:rsidRPr="007E643B">
        <w:rPr>
          <w:rFonts w:cs="Times New Roman"/>
          <w:i/>
          <w:szCs w:val="26"/>
        </w:rPr>
        <w:t>1993 PennVest Order</w:t>
      </w:r>
      <w:r>
        <w:rPr>
          <w:rFonts w:cs="Times New Roman"/>
          <w:szCs w:val="26"/>
        </w:rPr>
        <w:t xml:space="preserve"> at 1-2.  The OCA states that, b</w:t>
      </w:r>
      <w:r w:rsidRPr="009D076B">
        <w:rPr>
          <w:rFonts w:cs="Times New Roman"/>
          <w:szCs w:val="26"/>
        </w:rPr>
        <w:t>ecause the 1993 case was an abbreviated, single-issue proceed</w:t>
      </w:r>
      <w:r>
        <w:rPr>
          <w:rFonts w:cs="Times New Roman"/>
          <w:szCs w:val="26"/>
        </w:rPr>
        <w:t>ing</w:t>
      </w:r>
      <w:r w:rsidRPr="009D076B">
        <w:rPr>
          <w:rFonts w:cs="Times New Roman"/>
          <w:szCs w:val="26"/>
        </w:rPr>
        <w:t xml:space="preserve">, rate base treatment was effectuated through a volumetric charge.  </w:t>
      </w:r>
      <w:r w:rsidRPr="007E643B">
        <w:rPr>
          <w:rFonts w:cs="Times New Roman"/>
          <w:i/>
          <w:szCs w:val="26"/>
        </w:rPr>
        <w:t>1993 PennVest Order</w:t>
      </w:r>
      <w:r>
        <w:rPr>
          <w:rFonts w:cs="Times New Roman"/>
          <w:szCs w:val="26"/>
        </w:rPr>
        <w:t>, Appendix</w:t>
      </w:r>
      <w:r w:rsidRPr="009D076B">
        <w:rPr>
          <w:rFonts w:cs="Times New Roman"/>
          <w:szCs w:val="26"/>
        </w:rPr>
        <w:t xml:space="preserve"> C</w:t>
      </w:r>
      <w:r>
        <w:rPr>
          <w:rFonts w:cs="Times New Roman"/>
          <w:szCs w:val="26"/>
        </w:rPr>
        <w:t>,</w:t>
      </w:r>
      <w:r w:rsidRPr="009D076B">
        <w:rPr>
          <w:rFonts w:cs="Times New Roman"/>
          <w:szCs w:val="26"/>
        </w:rPr>
        <w:t xml:space="preserve"> at 1-2.</w:t>
      </w:r>
      <w:r>
        <w:rPr>
          <w:rFonts w:cs="Times New Roman"/>
          <w:szCs w:val="26"/>
        </w:rPr>
        <w:t xml:space="preserve">  OCA Exc. at 6-7.</w:t>
      </w:r>
      <w:r w:rsidRPr="009D076B">
        <w:rPr>
          <w:rFonts w:cs="Times New Roman"/>
          <w:szCs w:val="26"/>
        </w:rPr>
        <w:t xml:space="preserve">  </w:t>
      </w:r>
    </w:p>
    <w:p w:rsidR="004F0789" w:rsidRDefault="004F0789" w:rsidP="004F0789">
      <w:pPr>
        <w:contextualSpacing/>
        <w:rPr>
          <w:rFonts w:cs="Times New Roman"/>
          <w:szCs w:val="26"/>
        </w:rPr>
      </w:pPr>
    </w:p>
    <w:p w:rsidR="004F0789" w:rsidRPr="009D076B" w:rsidRDefault="004F0789" w:rsidP="004F0789">
      <w:pPr>
        <w:contextualSpacing/>
        <w:rPr>
          <w:rFonts w:cs="Times New Roman"/>
          <w:szCs w:val="26"/>
        </w:rPr>
      </w:pPr>
      <w:r>
        <w:rPr>
          <w:rFonts w:cs="Times New Roman"/>
          <w:szCs w:val="26"/>
        </w:rPr>
        <w:t>The OCA states that the disagreement in the instant</w:t>
      </w:r>
      <w:r w:rsidR="00374266">
        <w:rPr>
          <w:rFonts w:cs="Times New Roman"/>
          <w:szCs w:val="26"/>
        </w:rPr>
        <w:t xml:space="preserve"> proceeding pertains to </w:t>
      </w:r>
      <w:r w:rsidRPr="009D076B">
        <w:rPr>
          <w:rFonts w:cs="Times New Roman"/>
          <w:szCs w:val="26"/>
        </w:rPr>
        <w:t xml:space="preserve">what happened </w:t>
      </w:r>
      <w:r w:rsidRPr="009D076B">
        <w:rPr>
          <w:rFonts w:cs="Times New Roman"/>
          <w:i/>
          <w:szCs w:val="26"/>
        </w:rPr>
        <w:t>after</w:t>
      </w:r>
      <w:r w:rsidRPr="009D076B">
        <w:rPr>
          <w:rFonts w:cs="Times New Roman"/>
          <w:szCs w:val="26"/>
        </w:rPr>
        <w:t xml:space="preserve"> the </w:t>
      </w:r>
      <w:r w:rsidRPr="007E643B">
        <w:rPr>
          <w:rFonts w:cs="Times New Roman"/>
          <w:i/>
          <w:szCs w:val="26"/>
        </w:rPr>
        <w:t>1993 PennVest Order</w:t>
      </w:r>
      <w:r>
        <w:rPr>
          <w:rFonts w:cs="Times New Roman"/>
          <w:szCs w:val="26"/>
        </w:rPr>
        <w:t xml:space="preserve">.  According to the OCA, </w:t>
      </w:r>
      <w:r w:rsidRPr="009D076B">
        <w:rPr>
          <w:rFonts w:cs="Times New Roman"/>
          <w:szCs w:val="26"/>
        </w:rPr>
        <w:t>Columbia changed its method of rec</w:t>
      </w:r>
      <w:r>
        <w:rPr>
          <w:rFonts w:cs="Times New Roman"/>
          <w:szCs w:val="26"/>
        </w:rPr>
        <w:t xml:space="preserve">overy from rate base treatment </w:t>
      </w:r>
      <w:r w:rsidRPr="009D076B">
        <w:rPr>
          <w:rFonts w:cs="Times New Roman"/>
          <w:szCs w:val="26"/>
        </w:rPr>
        <w:t>to a reconcilable</w:t>
      </w:r>
      <w:r>
        <w:rPr>
          <w:rFonts w:cs="Times New Roman"/>
          <w:szCs w:val="26"/>
        </w:rPr>
        <w:t xml:space="preserve"> surcharge.  “</w:t>
      </w:r>
      <w:r w:rsidRPr="009D076B">
        <w:rPr>
          <w:rFonts w:cs="Times New Roman"/>
          <w:szCs w:val="26"/>
        </w:rPr>
        <w:t>Specifically, in its 1997 general rate increase, Columbia</w:t>
      </w:r>
      <w:r>
        <w:rPr>
          <w:rFonts w:cs="Times New Roman"/>
          <w:szCs w:val="26"/>
        </w:rPr>
        <w:t>’</w:t>
      </w:r>
      <w:r w:rsidRPr="009D076B">
        <w:rPr>
          <w:rFonts w:cs="Times New Roman"/>
          <w:szCs w:val="26"/>
        </w:rPr>
        <w:t>s first filing after 1993, the Company excluded the PennVest-funded plant from rate base, excluded the surcharge revenues</w:t>
      </w:r>
      <w:r>
        <w:rPr>
          <w:rFonts w:cs="Times New Roman"/>
          <w:szCs w:val="26"/>
        </w:rPr>
        <w:t>,</w:t>
      </w:r>
      <w:r w:rsidRPr="009D076B">
        <w:rPr>
          <w:rFonts w:cs="Times New Roman"/>
          <w:szCs w:val="26"/>
        </w:rPr>
        <w:t xml:space="preserve"> and excluded the PennVest loan from capital structure in calculating its base rate revenue requirement.</w:t>
      </w:r>
      <w:r>
        <w:rPr>
          <w:rFonts w:cs="Times New Roman"/>
          <w:szCs w:val="26"/>
        </w:rPr>
        <w:t>”</w:t>
      </w:r>
      <w:r w:rsidRPr="00E1694D">
        <w:rPr>
          <w:rStyle w:val="FootnoteReference"/>
          <w:rFonts w:cs="Times New Roman"/>
          <w:szCs w:val="26"/>
        </w:rPr>
        <w:t xml:space="preserve"> </w:t>
      </w:r>
      <w:r>
        <w:rPr>
          <w:rStyle w:val="FootnoteReference"/>
          <w:rFonts w:cs="Times New Roman"/>
          <w:szCs w:val="26"/>
        </w:rPr>
        <w:footnoteReference w:id="5"/>
      </w:r>
      <w:r>
        <w:rPr>
          <w:rFonts w:cs="Times New Roman"/>
          <w:szCs w:val="26"/>
        </w:rPr>
        <w:t xml:space="preserve">  </w:t>
      </w:r>
      <w:r w:rsidRPr="00910251">
        <w:rPr>
          <w:rFonts w:cs="Times New Roman"/>
          <w:i/>
          <w:szCs w:val="26"/>
        </w:rPr>
        <w:t>Id</w:t>
      </w:r>
      <w:r>
        <w:rPr>
          <w:rFonts w:cs="Times New Roman"/>
          <w:szCs w:val="26"/>
        </w:rPr>
        <w:t>. at 7.  The OCA states that, in the instant</w:t>
      </w:r>
      <w:r w:rsidRPr="009D076B">
        <w:rPr>
          <w:rFonts w:cs="Times New Roman"/>
          <w:szCs w:val="26"/>
        </w:rPr>
        <w:t xml:space="preserve"> cas</w:t>
      </w:r>
      <w:r>
        <w:rPr>
          <w:rFonts w:cs="Times New Roman"/>
          <w:szCs w:val="26"/>
        </w:rPr>
        <w:t xml:space="preserve">e, Columbia argues that it has </w:t>
      </w:r>
      <w:r w:rsidRPr="009D076B">
        <w:rPr>
          <w:rFonts w:cs="Times New Roman"/>
          <w:szCs w:val="26"/>
        </w:rPr>
        <w:t>ma</w:t>
      </w:r>
      <w:r>
        <w:rPr>
          <w:rFonts w:cs="Times New Roman"/>
          <w:szCs w:val="26"/>
        </w:rPr>
        <w:t>intained a separate PennVest rate base</w:t>
      </w:r>
      <w:r w:rsidRPr="009D076B">
        <w:rPr>
          <w:rFonts w:cs="Times New Roman"/>
          <w:szCs w:val="26"/>
        </w:rPr>
        <w:t xml:space="preserve"> to which it </w:t>
      </w:r>
      <w:r>
        <w:rPr>
          <w:rFonts w:cs="Times New Roman"/>
          <w:szCs w:val="26"/>
        </w:rPr>
        <w:t xml:space="preserve">has </w:t>
      </w:r>
      <w:r w:rsidRPr="009D076B">
        <w:rPr>
          <w:rFonts w:cs="Times New Roman"/>
          <w:szCs w:val="26"/>
        </w:rPr>
        <w:t xml:space="preserve">applied the rates of return and </w:t>
      </w:r>
      <w:r>
        <w:rPr>
          <w:rFonts w:cs="Times New Roman"/>
          <w:szCs w:val="26"/>
        </w:rPr>
        <w:t xml:space="preserve">depreciation </w:t>
      </w:r>
      <w:r>
        <w:rPr>
          <w:rFonts w:cs="Times New Roman"/>
          <w:szCs w:val="26"/>
        </w:rPr>
        <w:lastRenderedPageBreak/>
        <w:t xml:space="preserve">approved by the </w:t>
      </w:r>
      <w:r w:rsidRPr="007E643B">
        <w:rPr>
          <w:rFonts w:cs="Times New Roman"/>
          <w:i/>
          <w:szCs w:val="26"/>
        </w:rPr>
        <w:t>1993 PennVest Order</w:t>
      </w:r>
      <w:r w:rsidRPr="009D076B">
        <w:rPr>
          <w:rFonts w:cs="Times New Roman"/>
          <w:szCs w:val="26"/>
        </w:rPr>
        <w:t>.</w:t>
      </w:r>
      <w:r w:rsidRPr="009D076B">
        <w:rPr>
          <w:rFonts w:cs="Times New Roman"/>
          <w:szCs w:val="26"/>
          <w:vertAlign w:val="superscript"/>
        </w:rPr>
        <w:footnoteReference w:id="6"/>
      </w:r>
      <w:r>
        <w:rPr>
          <w:rFonts w:cs="Times New Roman"/>
          <w:szCs w:val="26"/>
        </w:rPr>
        <w:t xml:space="preserve">  </w:t>
      </w:r>
      <w:r w:rsidRPr="009D076B">
        <w:rPr>
          <w:rFonts w:cs="Times New Roman"/>
          <w:szCs w:val="26"/>
        </w:rPr>
        <w:t>T</w:t>
      </w:r>
      <w:r>
        <w:rPr>
          <w:rFonts w:cs="Times New Roman"/>
          <w:szCs w:val="26"/>
        </w:rPr>
        <w:t xml:space="preserve">he OCA argues that this rate treatment was not authorized by the </w:t>
      </w:r>
      <w:r w:rsidRPr="009D076B">
        <w:rPr>
          <w:rFonts w:cs="Times New Roman"/>
          <w:szCs w:val="26"/>
        </w:rPr>
        <w:t>Commission</w:t>
      </w:r>
      <w:r>
        <w:rPr>
          <w:rFonts w:cs="Times New Roman"/>
          <w:szCs w:val="26"/>
        </w:rPr>
        <w:t>’</w:t>
      </w:r>
      <w:r w:rsidRPr="009D076B">
        <w:rPr>
          <w:rFonts w:cs="Times New Roman"/>
          <w:szCs w:val="26"/>
        </w:rPr>
        <w:t>s</w:t>
      </w:r>
      <w:r>
        <w:rPr>
          <w:rFonts w:cs="Times New Roman"/>
          <w:szCs w:val="26"/>
        </w:rPr>
        <w:t xml:space="preserve"> 1997 Order at </w:t>
      </w:r>
      <w:r>
        <w:rPr>
          <w:rFonts w:cs="Times New Roman"/>
          <w:i/>
          <w:szCs w:val="26"/>
        </w:rPr>
        <w:t>Pa. PUC</w:t>
      </w:r>
      <w:r w:rsidRPr="00D34891">
        <w:rPr>
          <w:rFonts w:cs="Times New Roman"/>
          <w:i/>
          <w:szCs w:val="26"/>
        </w:rPr>
        <w:t xml:space="preserve"> v. Columbia Water Co.</w:t>
      </w:r>
      <w:r w:rsidRPr="009D076B">
        <w:rPr>
          <w:rFonts w:cs="Times New Roman"/>
          <w:szCs w:val="26"/>
        </w:rPr>
        <w:t xml:space="preserve">, </w:t>
      </w:r>
      <w:r>
        <w:rPr>
          <w:rFonts w:cs="Times New Roman"/>
          <w:szCs w:val="26"/>
        </w:rPr>
        <w:t>Docket No. R-00974007 (Order entered December 18, 1997) (</w:t>
      </w:r>
      <w:r>
        <w:rPr>
          <w:rFonts w:cs="Times New Roman"/>
          <w:i/>
          <w:szCs w:val="26"/>
        </w:rPr>
        <w:t>1997 Order</w:t>
      </w:r>
      <w:r w:rsidRPr="009D076B">
        <w:rPr>
          <w:rFonts w:cs="Times New Roman"/>
          <w:szCs w:val="26"/>
        </w:rPr>
        <w:t>)</w:t>
      </w:r>
      <w:r>
        <w:rPr>
          <w:rFonts w:cs="Times New Roman"/>
          <w:szCs w:val="26"/>
        </w:rPr>
        <w:t xml:space="preserve">, and </w:t>
      </w:r>
      <w:r w:rsidRPr="009D076B">
        <w:rPr>
          <w:rFonts w:cs="Times New Roman"/>
          <w:szCs w:val="26"/>
        </w:rPr>
        <w:t>is inconsistent with how other utilities reflect PennVest plant in</w:t>
      </w:r>
      <w:r>
        <w:rPr>
          <w:rFonts w:cs="Times New Roman"/>
          <w:szCs w:val="26"/>
        </w:rPr>
        <w:t xml:space="preserve"> rate base.  </w:t>
      </w:r>
      <w:r w:rsidRPr="00910251">
        <w:rPr>
          <w:rFonts w:cs="Times New Roman"/>
          <w:i/>
          <w:szCs w:val="26"/>
        </w:rPr>
        <w:t>Id</w:t>
      </w:r>
      <w:r>
        <w:rPr>
          <w:rFonts w:cs="Times New Roman"/>
          <w:szCs w:val="26"/>
        </w:rPr>
        <w:t>.</w:t>
      </w:r>
    </w:p>
    <w:p w:rsidR="004F0789" w:rsidRPr="009D076B" w:rsidRDefault="004F0789" w:rsidP="004F0789">
      <w:pPr>
        <w:contextualSpacing/>
        <w:rPr>
          <w:rFonts w:cs="Times New Roman"/>
          <w:szCs w:val="26"/>
        </w:rPr>
      </w:pPr>
    </w:p>
    <w:p w:rsidR="004F0789" w:rsidRPr="009D076B" w:rsidRDefault="004F0789" w:rsidP="004F0789">
      <w:pPr>
        <w:contextualSpacing/>
        <w:rPr>
          <w:rFonts w:cs="Times New Roman"/>
          <w:szCs w:val="26"/>
        </w:rPr>
      </w:pPr>
      <w:r>
        <w:rPr>
          <w:rFonts w:cs="Times New Roman"/>
          <w:szCs w:val="26"/>
        </w:rPr>
        <w:t xml:space="preserve">According to the OCA, in 1997 </w:t>
      </w:r>
      <w:r w:rsidRPr="009D076B">
        <w:rPr>
          <w:rFonts w:cs="Times New Roman"/>
          <w:szCs w:val="26"/>
        </w:rPr>
        <w:t>Columbia</w:t>
      </w:r>
      <w:r>
        <w:rPr>
          <w:rFonts w:cs="Times New Roman"/>
          <w:szCs w:val="26"/>
        </w:rPr>
        <w:t xml:space="preserve"> began to reconcile its </w:t>
      </w:r>
      <w:r w:rsidRPr="009D076B">
        <w:rPr>
          <w:rFonts w:cs="Times New Roman"/>
          <w:szCs w:val="26"/>
        </w:rPr>
        <w:t>Pe</w:t>
      </w:r>
      <w:r>
        <w:rPr>
          <w:rFonts w:cs="Times New Roman"/>
          <w:szCs w:val="26"/>
        </w:rPr>
        <w:t xml:space="preserve">nnVest rate to ensure it hit its income target.  In response to the Company’s argument that its income target was </w:t>
      </w:r>
      <w:r w:rsidRPr="009D076B">
        <w:rPr>
          <w:rFonts w:cs="Times New Roman"/>
          <w:szCs w:val="26"/>
        </w:rPr>
        <w:t xml:space="preserve">based </w:t>
      </w:r>
      <w:r>
        <w:rPr>
          <w:rFonts w:cs="Times New Roman"/>
          <w:szCs w:val="26"/>
        </w:rPr>
        <w:t xml:space="preserve">on continued rate base/rate of return, the OCA argues that the Settlement approved by the Commission’s </w:t>
      </w:r>
      <w:r w:rsidRPr="00560C7C">
        <w:rPr>
          <w:rFonts w:cs="Times New Roman"/>
          <w:i/>
          <w:szCs w:val="26"/>
        </w:rPr>
        <w:t>1997 Order</w:t>
      </w:r>
      <w:r>
        <w:rPr>
          <w:rFonts w:cs="Times New Roman"/>
          <w:szCs w:val="26"/>
        </w:rPr>
        <w:t xml:space="preserve"> (1997 Settlement) tied the surcharge </w:t>
      </w:r>
      <w:r w:rsidRPr="009D076B">
        <w:rPr>
          <w:rFonts w:cs="Times New Roman"/>
          <w:szCs w:val="26"/>
        </w:rPr>
        <w:t xml:space="preserve">to PennVest </w:t>
      </w:r>
      <w:r>
        <w:rPr>
          <w:rFonts w:cs="Times New Roman"/>
          <w:szCs w:val="26"/>
        </w:rPr>
        <w:t xml:space="preserve">payments.  The OCA refers to a statement in the 1997 Settlement that </w:t>
      </w:r>
      <w:r w:rsidRPr="009D076B">
        <w:rPr>
          <w:rFonts w:cs="Times New Roman"/>
          <w:szCs w:val="26"/>
        </w:rPr>
        <w:t>the Company was “significantly under-recovering adequate revenue</w:t>
      </w:r>
      <w:r>
        <w:rPr>
          <w:rFonts w:cs="Times New Roman"/>
          <w:szCs w:val="26"/>
        </w:rPr>
        <w:t xml:space="preserve">s to repay the PennVest loan,” and a provision in the 1997 Settlement that the Company would </w:t>
      </w:r>
      <w:r w:rsidRPr="009D076B">
        <w:rPr>
          <w:rFonts w:cs="Times New Roman"/>
          <w:szCs w:val="26"/>
        </w:rPr>
        <w:t>revisit the PennVest surcharge</w:t>
      </w:r>
      <w:r>
        <w:rPr>
          <w:rFonts w:cs="Times New Roman"/>
          <w:szCs w:val="26"/>
        </w:rPr>
        <w:t xml:space="preserve"> annually</w:t>
      </w:r>
      <w:r w:rsidRPr="009D076B">
        <w:rPr>
          <w:rFonts w:cs="Times New Roman"/>
          <w:szCs w:val="26"/>
        </w:rPr>
        <w:t xml:space="preserve"> “in order to </w:t>
      </w:r>
      <w:r>
        <w:rPr>
          <w:rFonts w:cs="Times New Roman"/>
          <w:szCs w:val="26"/>
        </w:rPr>
        <w:t>‘</w:t>
      </w:r>
      <w:r w:rsidRPr="009D076B">
        <w:rPr>
          <w:rFonts w:cs="Times New Roman"/>
          <w:szCs w:val="26"/>
        </w:rPr>
        <w:t>true-up</w:t>
      </w:r>
      <w:r>
        <w:rPr>
          <w:rFonts w:cs="Times New Roman"/>
          <w:szCs w:val="26"/>
        </w:rPr>
        <w:t>’</w:t>
      </w:r>
      <w:r w:rsidRPr="009D076B">
        <w:rPr>
          <w:rFonts w:cs="Times New Roman"/>
          <w:szCs w:val="26"/>
        </w:rPr>
        <w:t xml:space="preserve"> r</w:t>
      </w:r>
      <w:r>
        <w:rPr>
          <w:rFonts w:cs="Times New Roman"/>
          <w:szCs w:val="26"/>
        </w:rPr>
        <w:t xml:space="preserve">ecovery under such surcharge.”  1997 </w:t>
      </w:r>
      <w:r w:rsidRPr="000633D8">
        <w:rPr>
          <w:rFonts w:cs="Times New Roman"/>
          <w:szCs w:val="26"/>
        </w:rPr>
        <w:t>Settlement</w:t>
      </w:r>
      <w:r>
        <w:rPr>
          <w:rFonts w:cs="Times New Roman"/>
          <w:szCs w:val="26"/>
        </w:rPr>
        <w:t xml:space="preserve"> at 5.  OCA Exc. at 8.  The OCA submits that </w:t>
      </w:r>
      <w:r w:rsidRPr="009D076B">
        <w:rPr>
          <w:rFonts w:cs="Times New Roman"/>
          <w:szCs w:val="26"/>
        </w:rPr>
        <w:t>Columb</w:t>
      </w:r>
      <w:r>
        <w:rPr>
          <w:rFonts w:cs="Times New Roman"/>
          <w:szCs w:val="26"/>
        </w:rPr>
        <w:t xml:space="preserve">ia reconciled the </w:t>
      </w:r>
      <w:r w:rsidRPr="009D076B">
        <w:rPr>
          <w:rFonts w:cs="Times New Roman"/>
          <w:szCs w:val="26"/>
        </w:rPr>
        <w:t>surcharge at least four more times during the loan period, in 2001, 2003, 2005 and 2007.</w:t>
      </w:r>
      <w:r>
        <w:rPr>
          <w:rStyle w:val="FootnoteReference"/>
          <w:rFonts w:cs="Times New Roman"/>
          <w:szCs w:val="26"/>
        </w:rPr>
        <w:footnoteReference w:id="7"/>
      </w:r>
      <w:r>
        <w:rPr>
          <w:rFonts w:cs="Times New Roman"/>
          <w:szCs w:val="26"/>
        </w:rPr>
        <w:t xml:space="preserve">  The OCA submits that the subsequent cases </w:t>
      </w:r>
      <w:r w:rsidRPr="009D076B">
        <w:rPr>
          <w:rFonts w:cs="Times New Roman"/>
          <w:szCs w:val="26"/>
        </w:rPr>
        <w:t>explicit</w:t>
      </w:r>
      <w:r>
        <w:rPr>
          <w:rFonts w:cs="Times New Roman"/>
          <w:szCs w:val="26"/>
        </w:rPr>
        <w:t>ly state</w:t>
      </w:r>
      <w:r w:rsidRPr="009D076B">
        <w:rPr>
          <w:rFonts w:cs="Times New Roman"/>
          <w:szCs w:val="26"/>
        </w:rPr>
        <w:t xml:space="preserve"> that </w:t>
      </w:r>
      <w:r>
        <w:rPr>
          <w:rFonts w:cs="Times New Roman"/>
          <w:szCs w:val="26"/>
        </w:rPr>
        <w:t xml:space="preserve">the surcharge </w:t>
      </w:r>
      <w:r w:rsidRPr="009D076B">
        <w:rPr>
          <w:rFonts w:cs="Times New Roman"/>
          <w:szCs w:val="26"/>
        </w:rPr>
        <w:t>was being reconciled to th</w:t>
      </w:r>
      <w:r>
        <w:rPr>
          <w:rFonts w:cs="Times New Roman"/>
          <w:szCs w:val="26"/>
        </w:rPr>
        <w:t xml:space="preserve">e annual repayment amount, and that the surcharge was no longer based on </w:t>
      </w:r>
      <w:r w:rsidRPr="009D076B">
        <w:rPr>
          <w:rFonts w:cs="Times New Roman"/>
          <w:szCs w:val="26"/>
        </w:rPr>
        <w:t>a rate base</w:t>
      </w:r>
      <w:r>
        <w:rPr>
          <w:rFonts w:cs="Times New Roman"/>
          <w:szCs w:val="26"/>
        </w:rPr>
        <w:t xml:space="preserve">/rate of return income target.  </w:t>
      </w:r>
      <w:r w:rsidRPr="0089333B">
        <w:rPr>
          <w:rFonts w:cs="Times New Roman"/>
          <w:i/>
          <w:szCs w:val="26"/>
        </w:rPr>
        <w:t>Id</w:t>
      </w:r>
      <w:r>
        <w:rPr>
          <w:rFonts w:cs="Times New Roman"/>
          <w:szCs w:val="26"/>
        </w:rPr>
        <w:t>. at 9.</w:t>
      </w:r>
    </w:p>
    <w:p w:rsidR="004F0789" w:rsidRDefault="004F0789" w:rsidP="004F0789">
      <w:pPr>
        <w:contextualSpacing/>
        <w:rPr>
          <w:rFonts w:cs="Times New Roman"/>
          <w:szCs w:val="26"/>
        </w:rPr>
      </w:pPr>
    </w:p>
    <w:p w:rsidR="004F0789" w:rsidRDefault="004F0789" w:rsidP="004F0789">
      <w:pPr>
        <w:contextualSpacing/>
        <w:rPr>
          <w:rFonts w:cs="Times New Roman"/>
          <w:szCs w:val="26"/>
        </w:rPr>
      </w:pPr>
      <w:r>
        <w:rPr>
          <w:rFonts w:cs="Times New Roman"/>
          <w:szCs w:val="26"/>
        </w:rPr>
        <w:t xml:space="preserve">The OCA notes that, in 2011, Columbia </w:t>
      </w:r>
      <w:r w:rsidRPr="009D076B">
        <w:rPr>
          <w:rFonts w:cs="Times New Roman"/>
          <w:szCs w:val="26"/>
        </w:rPr>
        <w:t>filed a tariff supplement ending the surcha</w:t>
      </w:r>
      <w:r>
        <w:rPr>
          <w:rFonts w:cs="Times New Roman"/>
          <w:szCs w:val="26"/>
        </w:rPr>
        <w:t xml:space="preserve">rge when it ended its principal </w:t>
      </w:r>
      <w:r w:rsidRPr="009D076B">
        <w:rPr>
          <w:rFonts w:cs="Times New Roman"/>
          <w:szCs w:val="26"/>
        </w:rPr>
        <w:t>and i</w:t>
      </w:r>
      <w:r>
        <w:rPr>
          <w:rFonts w:cs="Times New Roman"/>
          <w:szCs w:val="26"/>
        </w:rPr>
        <w:t>nterest payments to PennVest.  According to the OCA, t</w:t>
      </w:r>
      <w:r w:rsidRPr="009D076B">
        <w:rPr>
          <w:rFonts w:cs="Times New Roman"/>
          <w:szCs w:val="26"/>
        </w:rPr>
        <w:t xml:space="preserve">he surcharge had been in effect for fourteen years, since the Company changed its </w:t>
      </w:r>
      <w:r w:rsidRPr="009D076B">
        <w:rPr>
          <w:rFonts w:cs="Times New Roman"/>
          <w:szCs w:val="26"/>
        </w:rPr>
        <w:lastRenderedPageBreak/>
        <w:t>recovery method to a reconcilable surcharge in 1997.</w:t>
      </w:r>
      <w:r>
        <w:rPr>
          <w:rFonts w:cs="Times New Roman"/>
          <w:szCs w:val="26"/>
        </w:rPr>
        <w:t xml:space="preserve">  OCA Exc. at 10.  The OCA notes that the Company’s cover letter stated that “t</w:t>
      </w:r>
      <w:r w:rsidRPr="009D076B">
        <w:rPr>
          <w:rFonts w:cs="Times New Roman"/>
          <w:szCs w:val="26"/>
        </w:rPr>
        <w:t>he occasion for the reduction of the stated surcharge is the retirement of the Company</w:t>
      </w:r>
      <w:r>
        <w:rPr>
          <w:rFonts w:cs="Times New Roman"/>
          <w:szCs w:val="26"/>
        </w:rPr>
        <w:t>’</w:t>
      </w:r>
      <w:r w:rsidRPr="009D076B">
        <w:rPr>
          <w:rFonts w:cs="Times New Roman"/>
          <w:szCs w:val="26"/>
        </w:rPr>
        <w:t xml:space="preserve">s indebtedness to PennVest. </w:t>
      </w:r>
      <w:r>
        <w:rPr>
          <w:rFonts w:cs="Times New Roman"/>
          <w:szCs w:val="26"/>
        </w:rPr>
        <w:t xml:space="preserve"> </w:t>
      </w:r>
      <w:r w:rsidRPr="009D076B">
        <w:rPr>
          <w:rFonts w:cs="Times New Roman"/>
          <w:szCs w:val="26"/>
        </w:rPr>
        <w:t>Accordingly no further surcharge recovery is required at this time.</w:t>
      </w:r>
      <w:r>
        <w:rPr>
          <w:rFonts w:cs="Times New Roman"/>
          <w:szCs w:val="26"/>
        </w:rPr>
        <w:t xml:space="preserve">”  </w:t>
      </w:r>
      <w:r w:rsidRPr="001E540F">
        <w:rPr>
          <w:rFonts w:cs="Times New Roman"/>
          <w:i/>
          <w:szCs w:val="26"/>
        </w:rPr>
        <w:t>Id</w:t>
      </w:r>
      <w:r>
        <w:rPr>
          <w:rFonts w:cs="Times New Roman"/>
          <w:szCs w:val="26"/>
        </w:rPr>
        <w:t>.  The OCA f</w:t>
      </w:r>
      <w:r w:rsidRPr="009D076B">
        <w:rPr>
          <w:rFonts w:cs="Times New Roman"/>
          <w:szCs w:val="26"/>
        </w:rPr>
        <w:t>urther</w:t>
      </w:r>
      <w:r>
        <w:rPr>
          <w:rFonts w:cs="Times New Roman"/>
          <w:szCs w:val="26"/>
        </w:rPr>
        <w:t xml:space="preserve"> argues that</w:t>
      </w:r>
      <w:r w:rsidRPr="009D076B">
        <w:rPr>
          <w:rFonts w:cs="Times New Roman"/>
          <w:szCs w:val="26"/>
        </w:rPr>
        <w:t>, whatever the Company</w:t>
      </w:r>
      <w:r>
        <w:rPr>
          <w:rFonts w:cs="Times New Roman"/>
          <w:szCs w:val="26"/>
        </w:rPr>
        <w:t>’</w:t>
      </w:r>
      <w:r w:rsidRPr="009D076B">
        <w:rPr>
          <w:rFonts w:cs="Times New Roman"/>
          <w:szCs w:val="26"/>
        </w:rPr>
        <w:t xml:space="preserve">s belief or intent, the evidence shows </w:t>
      </w:r>
      <w:r>
        <w:rPr>
          <w:rFonts w:cs="Times New Roman"/>
          <w:szCs w:val="26"/>
        </w:rPr>
        <w:t xml:space="preserve">that </w:t>
      </w:r>
      <w:r w:rsidRPr="009D076B">
        <w:rPr>
          <w:rFonts w:cs="Times New Roman"/>
          <w:szCs w:val="26"/>
        </w:rPr>
        <w:t xml:space="preserve">the </w:t>
      </w:r>
      <w:r w:rsidRPr="009D076B">
        <w:rPr>
          <w:rFonts w:cs="Times New Roman"/>
          <w:i/>
          <w:szCs w:val="26"/>
        </w:rPr>
        <w:t>Commission</w:t>
      </w:r>
      <w:r>
        <w:rPr>
          <w:rFonts w:cs="Times New Roman"/>
          <w:szCs w:val="26"/>
        </w:rPr>
        <w:t xml:space="preserve"> was reconciling a </w:t>
      </w:r>
      <w:r w:rsidRPr="009D076B">
        <w:rPr>
          <w:rFonts w:cs="Times New Roman"/>
          <w:szCs w:val="26"/>
        </w:rPr>
        <w:t>surcharge rather than approving rate base treatment</w:t>
      </w:r>
      <w:r>
        <w:rPr>
          <w:rFonts w:cs="Times New Roman"/>
          <w:szCs w:val="26"/>
        </w:rPr>
        <w:t>, citing the Commission’s approval of the 1997 Settlement</w:t>
      </w:r>
      <w:r w:rsidRPr="009D076B">
        <w:rPr>
          <w:rFonts w:cs="Times New Roman"/>
          <w:szCs w:val="26"/>
        </w:rPr>
        <w:t xml:space="preserve"> </w:t>
      </w:r>
      <w:r>
        <w:rPr>
          <w:rFonts w:cs="Times New Roman"/>
          <w:szCs w:val="26"/>
        </w:rPr>
        <w:t>that “</w:t>
      </w:r>
      <w:r w:rsidRPr="009D076B">
        <w:rPr>
          <w:rFonts w:cs="Times New Roman"/>
          <w:szCs w:val="26"/>
        </w:rPr>
        <w:t xml:space="preserve">tied the surcharge increase to </w:t>
      </w:r>
      <w:r>
        <w:rPr>
          <w:rFonts w:cs="Times New Roman"/>
          <w:szCs w:val="26"/>
        </w:rPr>
        <w:t>PennVest payments,”</w:t>
      </w:r>
      <w:r w:rsidRPr="009D076B">
        <w:rPr>
          <w:rFonts w:cs="Times New Roman"/>
          <w:szCs w:val="26"/>
          <w:vertAlign w:val="superscript"/>
        </w:rPr>
        <w:footnoteReference w:id="8"/>
      </w:r>
      <w:r>
        <w:rPr>
          <w:rFonts w:cs="Times New Roman"/>
          <w:szCs w:val="26"/>
        </w:rPr>
        <w:t xml:space="preserve"> and </w:t>
      </w:r>
      <w:r w:rsidRPr="009D076B">
        <w:rPr>
          <w:rFonts w:cs="Times New Roman"/>
          <w:szCs w:val="26"/>
        </w:rPr>
        <w:t xml:space="preserve">subsequent cases in 2001, 2003, 2005 and 2007, </w:t>
      </w:r>
      <w:r>
        <w:rPr>
          <w:rFonts w:cs="Times New Roman"/>
          <w:szCs w:val="26"/>
        </w:rPr>
        <w:t xml:space="preserve">where </w:t>
      </w:r>
      <w:r w:rsidRPr="009D076B">
        <w:rPr>
          <w:rFonts w:cs="Times New Roman"/>
          <w:szCs w:val="26"/>
        </w:rPr>
        <w:t>the Commission stated explicitly that surcharge recovery was being reconciled to the annual r</w:t>
      </w:r>
      <w:r>
        <w:rPr>
          <w:rFonts w:cs="Times New Roman"/>
          <w:szCs w:val="26"/>
        </w:rPr>
        <w:t xml:space="preserve">epayment amount and </w:t>
      </w:r>
      <w:r w:rsidRPr="009D076B">
        <w:rPr>
          <w:rFonts w:cs="Times New Roman"/>
          <w:szCs w:val="26"/>
        </w:rPr>
        <w:t>not to a rate base</w:t>
      </w:r>
      <w:r>
        <w:rPr>
          <w:rFonts w:cs="Times New Roman"/>
          <w:szCs w:val="26"/>
        </w:rPr>
        <w:t xml:space="preserve">/rate of return income target.  </w:t>
      </w:r>
      <w:r w:rsidRPr="001E540F">
        <w:rPr>
          <w:rFonts w:cs="Times New Roman"/>
          <w:i/>
          <w:szCs w:val="26"/>
        </w:rPr>
        <w:t>Id</w:t>
      </w:r>
      <w:r>
        <w:rPr>
          <w:rFonts w:cs="Times New Roman"/>
          <w:szCs w:val="26"/>
        </w:rPr>
        <w:t>.</w:t>
      </w:r>
    </w:p>
    <w:p w:rsidR="004F0789" w:rsidRPr="009D076B" w:rsidRDefault="004F0789" w:rsidP="004F0789">
      <w:pPr>
        <w:contextualSpacing/>
        <w:rPr>
          <w:rFonts w:cs="Times New Roman"/>
          <w:szCs w:val="26"/>
        </w:rPr>
      </w:pPr>
    </w:p>
    <w:p w:rsidR="004F0789" w:rsidRDefault="004F0789" w:rsidP="004F0789">
      <w:pPr>
        <w:contextualSpacing/>
        <w:rPr>
          <w:rFonts w:cs="Times New Roman"/>
          <w:szCs w:val="26"/>
        </w:rPr>
      </w:pPr>
      <w:r>
        <w:rPr>
          <w:rFonts w:cs="Times New Roman"/>
          <w:szCs w:val="26"/>
        </w:rPr>
        <w:t xml:space="preserve">According to the OCA, the Company </w:t>
      </w:r>
      <w:r w:rsidRPr="009D076B">
        <w:rPr>
          <w:rFonts w:cs="Times New Roman"/>
          <w:szCs w:val="26"/>
        </w:rPr>
        <w:t xml:space="preserve">made a choice to recover its investment </w:t>
      </w:r>
      <w:r>
        <w:rPr>
          <w:rFonts w:cs="Times New Roman"/>
          <w:szCs w:val="26"/>
        </w:rPr>
        <w:t xml:space="preserve">through a surcharge </w:t>
      </w:r>
      <w:r w:rsidRPr="009D076B">
        <w:rPr>
          <w:rFonts w:cs="Times New Roman"/>
          <w:szCs w:val="26"/>
        </w:rPr>
        <w:t xml:space="preserve">over the life of the </w:t>
      </w:r>
      <w:r>
        <w:rPr>
          <w:rFonts w:cs="Times New Roman"/>
          <w:szCs w:val="26"/>
        </w:rPr>
        <w:t xml:space="preserve">PennVest </w:t>
      </w:r>
      <w:r w:rsidRPr="009D076B">
        <w:rPr>
          <w:rFonts w:cs="Times New Roman"/>
          <w:szCs w:val="26"/>
        </w:rPr>
        <w:t>loan (a much faster recovery)</w:t>
      </w:r>
      <w:r>
        <w:rPr>
          <w:rFonts w:cs="Times New Roman"/>
          <w:szCs w:val="26"/>
        </w:rPr>
        <w:t>,</w:t>
      </w:r>
      <w:r w:rsidRPr="009D076B">
        <w:rPr>
          <w:rFonts w:cs="Times New Roman"/>
          <w:szCs w:val="26"/>
        </w:rPr>
        <w:t xml:space="preserve"> rather than depreciation and return over the life of the plant.</w:t>
      </w:r>
      <w:r>
        <w:rPr>
          <w:rFonts w:cs="Times New Roman"/>
          <w:szCs w:val="26"/>
        </w:rPr>
        <w:t xml:space="preserve">  The OCA argues that consequently </w:t>
      </w:r>
      <w:r w:rsidRPr="009D076B">
        <w:rPr>
          <w:rFonts w:cs="Times New Roman"/>
          <w:szCs w:val="26"/>
        </w:rPr>
        <w:t xml:space="preserve">there is no rate base on which to earn a return.  </w:t>
      </w:r>
      <w:r>
        <w:rPr>
          <w:rFonts w:cs="Times New Roman"/>
          <w:szCs w:val="26"/>
        </w:rPr>
        <w:t>“</w:t>
      </w:r>
      <w:r w:rsidRPr="009D076B">
        <w:rPr>
          <w:rFonts w:cs="Times New Roman"/>
          <w:szCs w:val="26"/>
        </w:rPr>
        <w:t>Where a utility recovers its PennVest obligation by surcharge, the utility recovers the return of investments (depreciation) at a faster rate during the period of the loan than if the plant had been included in rate base and depreciated over its useful life.</w:t>
      </w:r>
      <w:r>
        <w:rPr>
          <w:rFonts w:cs="Times New Roman"/>
          <w:szCs w:val="26"/>
        </w:rPr>
        <w:t xml:space="preserve">”  </w:t>
      </w:r>
      <w:r w:rsidRPr="00AB19E2">
        <w:rPr>
          <w:rFonts w:cs="Times New Roman"/>
          <w:i/>
          <w:szCs w:val="26"/>
        </w:rPr>
        <w:t>Id</w:t>
      </w:r>
      <w:r w:rsidR="00374266">
        <w:rPr>
          <w:rFonts w:cs="Times New Roman"/>
          <w:i/>
          <w:szCs w:val="26"/>
        </w:rPr>
        <w:t xml:space="preserve">. </w:t>
      </w:r>
      <w:r>
        <w:rPr>
          <w:rFonts w:cs="Times New Roman"/>
          <w:szCs w:val="26"/>
        </w:rPr>
        <w:t xml:space="preserve">at 11.  Because </w:t>
      </w:r>
      <w:r w:rsidRPr="009D076B">
        <w:rPr>
          <w:rFonts w:cs="Times New Roman"/>
          <w:szCs w:val="26"/>
        </w:rPr>
        <w:t>Columbia re</w:t>
      </w:r>
      <w:r>
        <w:rPr>
          <w:rFonts w:cs="Times New Roman"/>
          <w:szCs w:val="26"/>
        </w:rPr>
        <w:t xml:space="preserve">tired its PennVest debt in 2011, the OCA submits that </w:t>
      </w:r>
      <w:r w:rsidRPr="009D076B">
        <w:rPr>
          <w:rFonts w:cs="Times New Roman"/>
          <w:szCs w:val="26"/>
        </w:rPr>
        <w:t xml:space="preserve">there </w:t>
      </w:r>
      <w:r>
        <w:rPr>
          <w:rFonts w:cs="Times New Roman"/>
          <w:szCs w:val="26"/>
        </w:rPr>
        <w:t>no longer is any</w:t>
      </w:r>
      <w:r w:rsidRPr="009D076B">
        <w:rPr>
          <w:rFonts w:cs="Times New Roman"/>
          <w:szCs w:val="26"/>
        </w:rPr>
        <w:t xml:space="preserve"> value to include i</w:t>
      </w:r>
      <w:r>
        <w:rPr>
          <w:rFonts w:cs="Times New Roman"/>
          <w:szCs w:val="26"/>
        </w:rPr>
        <w:t xml:space="preserve">n rate base.  </w:t>
      </w:r>
      <w:r w:rsidRPr="00AB19E2">
        <w:rPr>
          <w:rFonts w:cs="Times New Roman"/>
          <w:i/>
          <w:szCs w:val="26"/>
        </w:rPr>
        <w:t>Id</w:t>
      </w:r>
      <w:r>
        <w:rPr>
          <w:rFonts w:cs="Times New Roman"/>
          <w:szCs w:val="26"/>
        </w:rPr>
        <w:t xml:space="preserve">.  </w:t>
      </w:r>
      <w:r w:rsidRPr="009D076B">
        <w:rPr>
          <w:rFonts w:cs="Times New Roman"/>
          <w:szCs w:val="26"/>
        </w:rPr>
        <w:t xml:space="preserve">Although the </w:t>
      </w:r>
      <w:r>
        <w:rPr>
          <w:rFonts w:cs="Times New Roman"/>
          <w:szCs w:val="26"/>
        </w:rPr>
        <w:t xml:space="preserve">OCA concedes that the </w:t>
      </w:r>
      <w:r w:rsidRPr="009D076B">
        <w:rPr>
          <w:rFonts w:cs="Times New Roman"/>
          <w:szCs w:val="26"/>
        </w:rPr>
        <w:t xml:space="preserve">PennVest-funded plant remains used and useful, </w:t>
      </w:r>
      <w:r>
        <w:rPr>
          <w:rFonts w:cs="Times New Roman"/>
          <w:szCs w:val="26"/>
        </w:rPr>
        <w:t>the OCA argues that “</w:t>
      </w:r>
      <w:r w:rsidRPr="009D076B">
        <w:rPr>
          <w:rFonts w:cs="Times New Roman"/>
          <w:szCs w:val="26"/>
        </w:rPr>
        <w:t>the Company cannot now add it to rate base and earn a return, as if the surcharge never existed.</w:t>
      </w:r>
      <w:r>
        <w:rPr>
          <w:rFonts w:cs="Times New Roman"/>
          <w:szCs w:val="26"/>
        </w:rPr>
        <w:t xml:space="preserve">”  </w:t>
      </w:r>
      <w:r w:rsidRPr="00AB19E2">
        <w:rPr>
          <w:rFonts w:cs="Times New Roman"/>
          <w:i/>
          <w:szCs w:val="26"/>
        </w:rPr>
        <w:t>Id</w:t>
      </w:r>
      <w:r>
        <w:rPr>
          <w:rFonts w:cs="Times New Roman"/>
          <w:szCs w:val="26"/>
        </w:rPr>
        <w:t xml:space="preserve">. at 12. </w:t>
      </w:r>
    </w:p>
    <w:p w:rsidR="004F0789" w:rsidRDefault="004F0789" w:rsidP="004F0789">
      <w:pPr>
        <w:contextualSpacing/>
        <w:rPr>
          <w:rFonts w:cs="Times New Roman"/>
          <w:szCs w:val="26"/>
        </w:rPr>
      </w:pPr>
    </w:p>
    <w:p w:rsidR="004F0789" w:rsidRDefault="004F0789" w:rsidP="004F0789">
      <w:pPr>
        <w:contextualSpacing/>
        <w:rPr>
          <w:rFonts w:cs="Times New Roman"/>
          <w:szCs w:val="26"/>
        </w:rPr>
      </w:pPr>
      <w:r>
        <w:rPr>
          <w:rFonts w:cs="Times New Roman"/>
          <w:szCs w:val="26"/>
        </w:rPr>
        <w:t xml:space="preserve">The OCA also submits that its position is consistent with </w:t>
      </w:r>
      <w:r w:rsidRPr="005F0D24">
        <w:rPr>
          <w:rFonts w:cs="Times New Roman"/>
          <w:i/>
          <w:szCs w:val="26"/>
        </w:rPr>
        <w:t>Pa. PUC v. National Utilities, Inc.</w:t>
      </w:r>
      <w:r>
        <w:rPr>
          <w:rFonts w:cs="Times New Roman"/>
          <w:szCs w:val="26"/>
        </w:rPr>
        <w:t>, 1994 WL 711488, 1994 PaPUC LEXIS 55 (1994) (</w:t>
      </w:r>
      <w:r w:rsidRPr="005F0D24">
        <w:rPr>
          <w:rFonts w:cs="Times New Roman"/>
          <w:i/>
          <w:szCs w:val="26"/>
        </w:rPr>
        <w:t>NUI Order</w:t>
      </w:r>
      <w:r>
        <w:rPr>
          <w:rFonts w:cs="Times New Roman"/>
          <w:szCs w:val="26"/>
        </w:rPr>
        <w:t xml:space="preserve">), where </w:t>
      </w:r>
      <w:r w:rsidRPr="009D076B">
        <w:rPr>
          <w:rFonts w:cs="Times New Roman"/>
          <w:szCs w:val="26"/>
        </w:rPr>
        <w:t>he utility asked for approval to take PennVest</w:t>
      </w:r>
      <w:r>
        <w:rPr>
          <w:rFonts w:cs="Times New Roman"/>
          <w:szCs w:val="26"/>
        </w:rPr>
        <w:t>-financed plant that the company</w:t>
      </w:r>
      <w:r w:rsidRPr="009D076B">
        <w:rPr>
          <w:rFonts w:cs="Times New Roman"/>
          <w:szCs w:val="26"/>
        </w:rPr>
        <w:t xml:space="preserve"> had </w:t>
      </w:r>
      <w:r>
        <w:rPr>
          <w:rFonts w:cs="Times New Roman"/>
          <w:szCs w:val="26"/>
        </w:rPr>
        <w:t xml:space="preserve">been </w:t>
      </w:r>
      <w:r>
        <w:rPr>
          <w:rFonts w:cs="Times New Roman"/>
          <w:szCs w:val="26"/>
        </w:rPr>
        <w:lastRenderedPageBreak/>
        <w:t xml:space="preserve">recovering </w:t>
      </w:r>
      <w:r w:rsidRPr="009D076B">
        <w:rPr>
          <w:rFonts w:cs="Times New Roman"/>
          <w:szCs w:val="26"/>
        </w:rPr>
        <w:t>through a reconcilable surcharge and place it into rate base at its depreciated original cost amount.</w:t>
      </w:r>
      <w:r>
        <w:rPr>
          <w:rFonts w:cs="Times New Roman"/>
          <w:szCs w:val="26"/>
        </w:rPr>
        <w:t xml:space="preserve">  T</w:t>
      </w:r>
      <w:r w:rsidRPr="009D076B">
        <w:rPr>
          <w:rFonts w:cs="Times New Roman"/>
          <w:szCs w:val="26"/>
        </w:rPr>
        <w:t>he Commission allowed the plant to be included in rate base</w:t>
      </w:r>
      <w:r>
        <w:rPr>
          <w:rFonts w:cs="Times New Roman"/>
          <w:szCs w:val="26"/>
        </w:rPr>
        <w:t>,</w:t>
      </w:r>
      <w:r w:rsidRPr="009D076B">
        <w:rPr>
          <w:rFonts w:cs="Times New Roman"/>
          <w:szCs w:val="26"/>
        </w:rPr>
        <w:t xml:space="preserve"> but only at the amount of the P</w:t>
      </w:r>
      <w:r>
        <w:rPr>
          <w:rFonts w:cs="Times New Roman"/>
          <w:szCs w:val="26"/>
        </w:rPr>
        <w:t>ennVest account loan balances.  The OCA observes that, i</w:t>
      </w:r>
      <w:r w:rsidRPr="009D076B">
        <w:rPr>
          <w:rFonts w:cs="Times New Roman"/>
          <w:szCs w:val="26"/>
        </w:rPr>
        <w:t>n NUI</w:t>
      </w:r>
      <w:r>
        <w:rPr>
          <w:rFonts w:cs="Times New Roman"/>
          <w:szCs w:val="26"/>
        </w:rPr>
        <w:t>’</w:t>
      </w:r>
      <w:r w:rsidRPr="009D076B">
        <w:rPr>
          <w:rFonts w:cs="Times New Roman"/>
          <w:szCs w:val="26"/>
        </w:rPr>
        <w:t>s case</w:t>
      </w:r>
      <w:r>
        <w:rPr>
          <w:rFonts w:cs="Times New Roman"/>
          <w:szCs w:val="26"/>
        </w:rPr>
        <w:t>,</w:t>
      </w:r>
      <w:r w:rsidRPr="009D076B">
        <w:rPr>
          <w:rFonts w:cs="Times New Roman"/>
          <w:szCs w:val="26"/>
        </w:rPr>
        <w:t xml:space="preserve"> the utility was still assessing a surcharge and repaying PennVest.  Columbia has no remaining “loan balance,” however, so there is no value to include in rate base</w:t>
      </w:r>
      <w:r>
        <w:rPr>
          <w:rFonts w:cs="Times New Roman"/>
          <w:szCs w:val="26"/>
        </w:rPr>
        <w:t xml:space="preserve">.  The OCA argues that: </w:t>
      </w:r>
    </w:p>
    <w:p w:rsidR="004F0789" w:rsidRPr="009D076B" w:rsidRDefault="004F0789" w:rsidP="004F0789">
      <w:pPr>
        <w:contextualSpacing/>
        <w:rPr>
          <w:rFonts w:cs="Times New Roman"/>
          <w:szCs w:val="26"/>
        </w:rPr>
      </w:pPr>
    </w:p>
    <w:p w:rsidR="004F0789" w:rsidRDefault="004F0789" w:rsidP="003C1ED4">
      <w:pPr>
        <w:spacing w:line="240" w:lineRule="auto"/>
        <w:ind w:left="1440" w:right="1440" w:firstLine="0"/>
        <w:contextualSpacing/>
        <w:rPr>
          <w:rFonts w:cs="Times New Roman"/>
          <w:szCs w:val="26"/>
        </w:rPr>
      </w:pPr>
      <w:r w:rsidRPr="009D076B">
        <w:rPr>
          <w:rFonts w:cs="Times New Roman"/>
          <w:szCs w:val="26"/>
        </w:rPr>
        <w:t>Comparison of Columbia</w:t>
      </w:r>
      <w:r>
        <w:rPr>
          <w:rFonts w:cs="Times New Roman"/>
          <w:szCs w:val="26"/>
        </w:rPr>
        <w:t>’</w:t>
      </w:r>
      <w:r w:rsidRPr="009D076B">
        <w:rPr>
          <w:rFonts w:cs="Times New Roman"/>
          <w:szCs w:val="26"/>
        </w:rPr>
        <w:t>s surcharge revenues to its PennVest payments shows that the Company recovered $7.28 million from customers and paid $7.47 mill</w:t>
      </w:r>
      <w:r>
        <w:rPr>
          <w:rFonts w:cs="Times New Roman"/>
          <w:szCs w:val="26"/>
        </w:rPr>
        <w:t xml:space="preserve">ion to PennVest.  </w:t>
      </w:r>
      <w:r w:rsidRPr="009D076B">
        <w:rPr>
          <w:rFonts w:cs="Times New Roman"/>
          <w:szCs w:val="26"/>
        </w:rPr>
        <w:t xml:space="preserve">If Columbia believed that it had not fully recovered principle </w:t>
      </w:r>
      <w:r>
        <w:rPr>
          <w:rFonts w:cs="Times New Roman"/>
          <w:szCs w:val="26"/>
        </w:rPr>
        <w:t xml:space="preserve">(sic) </w:t>
      </w:r>
      <w:r w:rsidRPr="009D076B">
        <w:rPr>
          <w:rFonts w:cs="Times New Roman"/>
          <w:szCs w:val="26"/>
        </w:rPr>
        <w:t xml:space="preserve">and interest on the loan, it had the opportunity to reconcile the surcharge rather than ending it in 2011.  The Company cannot, however, recalculate its rate base as though surcharge recovery never occurred.  </w:t>
      </w:r>
    </w:p>
    <w:p w:rsidR="004F0789" w:rsidRPr="009D076B" w:rsidRDefault="004F0789" w:rsidP="004F0789">
      <w:pPr>
        <w:spacing w:line="240" w:lineRule="auto"/>
        <w:ind w:left="1440" w:right="1440"/>
        <w:contextualSpacing/>
        <w:rPr>
          <w:rFonts w:cs="Times New Roman"/>
          <w:szCs w:val="26"/>
        </w:rPr>
      </w:pPr>
    </w:p>
    <w:p w:rsidR="004F0789" w:rsidRPr="009D076B" w:rsidRDefault="004F0789" w:rsidP="006D470A">
      <w:pPr>
        <w:ind w:firstLine="0"/>
        <w:contextualSpacing/>
        <w:rPr>
          <w:rFonts w:cs="Times New Roman"/>
          <w:szCs w:val="26"/>
        </w:rPr>
      </w:pPr>
      <w:r>
        <w:rPr>
          <w:rFonts w:cs="Times New Roman"/>
          <w:szCs w:val="26"/>
        </w:rPr>
        <w:t>OCA Exc. at 13 (record citation and footnote omitted).  A</w:t>
      </w:r>
      <w:r w:rsidRPr="009D076B">
        <w:rPr>
          <w:rFonts w:cs="Times New Roman"/>
          <w:szCs w:val="26"/>
        </w:rPr>
        <w:t>ccordingl</w:t>
      </w:r>
      <w:r>
        <w:rPr>
          <w:rFonts w:cs="Times New Roman"/>
          <w:szCs w:val="26"/>
        </w:rPr>
        <w:t>y, the OCA proposes that</w:t>
      </w:r>
      <w:r w:rsidRPr="009D076B">
        <w:rPr>
          <w:rFonts w:cs="Times New Roman"/>
          <w:szCs w:val="26"/>
        </w:rPr>
        <w:t xml:space="preserve"> the Company</w:t>
      </w:r>
      <w:r>
        <w:rPr>
          <w:rFonts w:cs="Times New Roman"/>
          <w:szCs w:val="26"/>
        </w:rPr>
        <w:t>’</w:t>
      </w:r>
      <w:r w:rsidRPr="009D076B">
        <w:rPr>
          <w:rFonts w:cs="Times New Roman"/>
          <w:szCs w:val="26"/>
        </w:rPr>
        <w:t xml:space="preserve">s rate base claim </w:t>
      </w:r>
      <w:r>
        <w:rPr>
          <w:rFonts w:cs="Times New Roman"/>
          <w:szCs w:val="26"/>
        </w:rPr>
        <w:t xml:space="preserve">be reduced by </w:t>
      </w:r>
      <w:r w:rsidRPr="00D15CC0">
        <w:rPr>
          <w:rFonts w:cs="Times New Roman"/>
          <w:szCs w:val="26"/>
        </w:rPr>
        <w:t>$3,048,292</w:t>
      </w:r>
      <w:r w:rsidRPr="009D076B">
        <w:rPr>
          <w:rFonts w:cs="Times New Roman"/>
          <w:szCs w:val="26"/>
        </w:rPr>
        <w:t xml:space="preserve">, to remove the net plant in service as of </w:t>
      </w:r>
      <w:r>
        <w:rPr>
          <w:rFonts w:cs="Times New Roman"/>
          <w:szCs w:val="26"/>
        </w:rPr>
        <w:t>December 31, 2013,</w:t>
      </w:r>
      <w:r w:rsidRPr="009D076B">
        <w:rPr>
          <w:rFonts w:cs="Times New Roman"/>
          <w:szCs w:val="26"/>
        </w:rPr>
        <w:t xml:space="preserve"> that was funded by Penn</w:t>
      </w:r>
      <w:r>
        <w:rPr>
          <w:rFonts w:cs="Times New Roman"/>
          <w:szCs w:val="26"/>
        </w:rPr>
        <w:t xml:space="preserve">Vest loans.  The OCA also proposes that </w:t>
      </w:r>
      <w:r w:rsidRPr="009D076B">
        <w:rPr>
          <w:rFonts w:cs="Times New Roman"/>
          <w:szCs w:val="26"/>
        </w:rPr>
        <w:t>Columbia</w:t>
      </w:r>
      <w:r>
        <w:rPr>
          <w:rFonts w:cs="Times New Roman"/>
          <w:szCs w:val="26"/>
        </w:rPr>
        <w:t>’</w:t>
      </w:r>
      <w:r w:rsidRPr="009D076B">
        <w:rPr>
          <w:rFonts w:cs="Times New Roman"/>
          <w:szCs w:val="26"/>
        </w:rPr>
        <w:t xml:space="preserve">s claim for associated annual depreciation expense of </w:t>
      </w:r>
      <w:r w:rsidRPr="00D15CC0">
        <w:rPr>
          <w:rFonts w:cs="Times New Roman"/>
          <w:szCs w:val="26"/>
        </w:rPr>
        <w:t>$115,913</w:t>
      </w:r>
      <w:r>
        <w:rPr>
          <w:rFonts w:cs="Times New Roman"/>
          <w:szCs w:val="26"/>
        </w:rPr>
        <w:t xml:space="preserve"> be eliminated.  </w:t>
      </w:r>
      <w:r w:rsidRPr="0069511F">
        <w:rPr>
          <w:rFonts w:cs="Times New Roman"/>
          <w:i/>
          <w:szCs w:val="26"/>
        </w:rPr>
        <w:t>Id</w:t>
      </w:r>
      <w:r>
        <w:rPr>
          <w:rFonts w:cs="Times New Roman"/>
          <w:szCs w:val="26"/>
        </w:rPr>
        <w:t>.</w:t>
      </w:r>
    </w:p>
    <w:p w:rsidR="004F0789" w:rsidRPr="009D076B" w:rsidRDefault="004F0789" w:rsidP="004F0789">
      <w:pPr>
        <w:contextualSpacing/>
        <w:rPr>
          <w:rFonts w:cs="Times New Roman"/>
          <w:szCs w:val="26"/>
        </w:rPr>
      </w:pPr>
    </w:p>
    <w:p w:rsidR="004F0789" w:rsidRDefault="004F0789" w:rsidP="006D470A">
      <w:pPr>
        <w:spacing w:line="240" w:lineRule="auto"/>
        <w:contextualSpacing/>
        <w:rPr>
          <w:rFonts w:cs="Times New Roman"/>
          <w:b/>
          <w:szCs w:val="26"/>
        </w:rPr>
      </w:pPr>
      <w:r>
        <w:rPr>
          <w:rFonts w:cs="Times New Roman"/>
          <w:szCs w:val="26"/>
        </w:rPr>
        <w:tab/>
      </w:r>
      <w:r w:rsidRPr="00DC0F56">
        <w:rPr>
          <w:rFonts w:cs="Times New Roman"/>
          <w:b/>
          <w:szCs w:val="26"/>
        </w:rPr>
        <w:t>d.</w:t>
      </w:r>
      <w:r w:rsidRPr="00DC0F56">
        <w:rPr>
          <w:rFonts w:cs="Times New Roman"/>
          <w:b/>
          <w:szCs w:val="26"/>
        </w:rPr>
        <w:tab/>
      </w:r>
      <w:r>
        <w:rPr>
          <w:rFonts w:cs="Times New Roman"/>
          <w:b/>
          <w:szCs w:val="26"/>
        </w:rPr>
        <w:t>Reply Exceptions</w:t>
      </w:r>
    </w:p>
    <w:p w:rsidR="004F0789" w:rsidRDefault="004F0789" w:rsidP="004F0789">
      <w:pPr>
        <w:contextualSpacing/>
        <w:rPr>
          <w:rFonts w:cs="Times New Roman"/>
          <w:b/>
          <w:szCs w:val="26"/>
        </w:rPr>
      </w:pPr>
    </w:p>
    <w:p w:rsidR="004F0789" w:rsidRDefault="004F0789" w:rsidP="004F0789">
      <w:pPr>
        <w:tabs>
          <w:tab w:val="left" w:pos="0"/>
        </w:tabs>
        <w:contextualSpacing/>
        <w:rPr>
          <w:rFonts w:cs="Times New Roman"/>
          <w:szCs w:val="26"/>
        </w:rPr>
      </w:pPr>
      <w:r>
        <w:rPr>
          <w:rFonts w:cs="Times New Roman"/>
          <w:szCs w:val="26"/>
        </w:rPr>
        <w:t xml:space="preserve">In reply to </w:t>
      </w:r>
      <w:r w:rsidRPr="00B73527">
        <w:rPr>
          <w:rFonts w:cs="Times New Roman"/>
          <w:szCs w:val="26"/>
        </w:rPr>
        <w:t xml:space="preserve">the </w:t>
      </w:r>
      <w:r>
        <w:rPr>
          <w:rFonts w:cs="Times New Roman"/>
          <w:szCs w:val="26"/>
        </w:rPr>
        <w:t xml:space="preserve">Exceptions of I&amp;E and the OCA regarding the </w:t>
      </w:r>
      <w:r w:rsidRPr="00B73527">
        <w:rPr>
          <w:rFonts w:cs="Times New Roman"/>
          <w:szCs w:val="26"/>
        </w:rPr>
        <w:t>inclusion of undepreciated PennVest plant in rate base</w:t>
      </w:r>
      <w:r>
        <w:rPr>
          <w:rFonts w:cs="Times New Roman"/>
          <w:szCs w:val="26"/>
        </w:rPr>
        <w:t>, as well as</w:t>
      </w:r>
      <w:r w:rsidRPr="00B73527">
        <w:rPr>
          <w:rFonts w:cs="Times New Roman"/>
          <w:szCs w:val="26"/>
        </w:rPr>
        <w:t xml:space="preserve"> the associated accrued and annual depr</w:t>
      </w:r>
      <w:r>
        <w:rPr>
          <w:rFonts w:cs="Times New Roman"/>
          <w:szCs w:val="26"/>
        </w:rPr>
        <w:t>eciation, Columbia argues that</w:t>
      </w:r>
      <w:r w:rsidRPr="00E11B1F">
        <w:rPr>
          <w:rFonts w:cs="Times New Roman"/>
          <w:spacing w:val="-2"/>
          <w:szCs w:val="26"/>
        </w:rPr>
        <w:t xml:space="preserve"> </w:t>
      </w:r>
      <w:r w:rsidRPr="00B73527">
        <w:rPr>
          <w:rFonts w:cs="Times New Roman"/>
          <w:spacing w:val="-2"/>
          <w:szCs w:val="26"/>
        </w:rPr>
        <w:t xml:space="preserve">I&amp;E and </w:t>
      </w:r>
      <w:r>
        <w:rPr>
          <w:rFonts w:cs="Times New Roman"/>
          <w:spacing w:val="-2"/>
          <w:szCs w:val="26"/>
        </w:rPr>
        <w:t xml:space="preserve">the OCA </w:t>
      </w:r>
      <w:r w:rsidRPr="00B73527">
        <w:rPr>
          <w:rFonts w:cs="Times New Roman"/>
          <w:spacing w:val="-2"/>
          <w:szCs w:val="26"/>
        </w:rPr>
        <w:t xml:space="preserve">ignore the </w:t>
      </w:r>
      <w:r w:rsidRPr="007E643B">
        <w:rPr>
          <w:rFonts w:cs="Times New Roman"/>
          <w:i/>
          <w:szCs w:val="26"/>
        </w:rPr>
        <w:t>1993 PennVest Order</w:t>
      </w:r>
      <w:r w:rsidRPr="00B73527">
        <w:rPr>
          <w:rFonts w:cs="Times New Roman"/>
          <w:spacing w:val="-2"/>
          <w:szCs w:val="26"/>
        </w:rPr>
        <w:t xml:space="preserve"> and </w:t>
      </w:r>
      <w:r>
        <w:rPr>
          <w:rFonts w:cs="Times New Roman"/>
          <w:spacing w:val="-2"/>
          <w:szCs w:val="26"/>
        </w:rPr>
        <w:t xml:space="preserve">Section 316 of the Code, </w:t>
      </w:r>
      <w:r w:rsidRPr="00B73527">
        <w:rPr>
          <w:rFonts w:cs="Times New Roman"/>
          <w:spacing w:val="-2"/>
          <w:szCs w:val="26"/>
        </w:rPr>
        <w:t>66 Pa.</w:t>
      </w:r>
      <w:r>
        <w:rPr>
          <w:rFonts w:cs="Times New Roman"/>
          <w:spacing w:val="-2"/>
          <w:szCs w:val="26"/>
        </w:rPr>
        <w:t xml:space="preserve"> </w:t>
      </w:r>
      <w:r w:rsidRPr="00B73527">
        <w:rPr>
          <w:rFonts w:cs="Times New Roman"/>
          <w:spacing w:val="-2"/>
          <w:szCs w:val="26"/>
        </w:rPr>
        <w:t>C.S. § 316</w:t>
      </w:r>
      <w:r>
        <w:rPr>
          <w:rFonts w:cs="Times New Roman"/>
          <w:spacing w:val="-2"/>
          <w:szCs w:val="26"/>
        </w:rPr>
        <w:t xml:space="preserve">, which mandates that Commission </w:t>
      </w:r>
      <w:r w:rsidRPr="00B73527">
        <w:rPr>
          <w:rFonts w:cs="Times New Roman"/>
          <w:spacing w:val="-2"/>
          <w:szCs w:val="26"/>
        </w:rPr>
        <w:t>Order</w:t>
      </w:r>
      <w:r>
        <w:rPr>
          <w:rFonts w:cs="Times New Roman"/>
          <w:spacing w:val="-2"/>
          <w:szCs w:val="26"/>
        </w:rPr>
        <w:t xml:space="preserve">s “shall be </w:t>
      </w:r>
      <w:r w:rsidRPr="00C12368">
        <w:rPr>
          <w:rFonts w:cs="Times New Roman"/>
          <w:i/>
          <w:spacing w:val="-2"/>
          <w:szCs w:val="26"/>
        </w:rPr>
        <w:t>prima facie</w:t>
      </w:r>
      <w:r w:rsidRPr="00B73527">
        <w:rPr>
          <w:rFonts w:cs="Times New Roman"/>
          <w:spacing w:val="-2"/>
          <w:szCs w:val="26"/>
        </w:rPr>
        <w:t xml:space="preserve"> evidence of the facts found and shall remain conclusive upon all parties affected thereby, unless set aside, annulled or m</w:t>
      </w:r>
      <w:r>
        <w:rPr>
          <w:rFonts w:cs="Times New Roman"/>
          <w:spacing w:val="-2"/>
          <w:szCs w:val="26"/>
        </w:rPr>
        <w:t xml:space="preserve">odified on judicial review.”   Columbia submits that </w:t>
      </w:r>
      <w:r w:rsidRPr="00B73527">
        <w:rPr>
          <w:rFonts w:cs="Times New Roman"/>
          <w:spacing w:val="-2"/>
          <w:szCs w:val="26"/>
        </w:rPr>
        <w:t xml:space="preserve">the </w:t>
      </w:r>
      <w:r w:rsidRPr="007E643B">
        <w:rPr>
          <w:rFonts w:cs="Times New Roman"/>
          <w:i/>
          <w:szCs w:val="26"/>
        </w:rPr>
        <w:t>1993 PennVest Order</w:t>
      </w:r>
      <w:r>
        <w:rPr>
          <w:rFonts w:cs="Times New Roman"/>
          <w:spacing w:val="-2"/>
          <w:szCs w:val="26"/>
        </w:rPr>
        <w:t xml:space="preserve"> </w:t>
      </w:r>
      <w:r w:rsidRPr="00B73527">
        <w:rPr>
          <w:rFonts w:cs="Times New Roman"/>
          <w:spacing w:val="-2"/>
          <w:szCs w:val="26"/>
        </w:rPr>
        <w:t xml:space="preserve">set the PennVest volumetric rate using </w:t>
      </w:r>
      <w:r>
        <w:rPr>
          <w:rFonts w:cs="Times New Roman"/>
          <w:spacing w:val="-2"/>
          <w:szCs w:val="26"/>
        </w:rPr>
        <w:t xml:space="preserve">a </w:t>
      </w:r>
      <w:r w:rsidRPr="00B73527">
        <w:rPr>
          <w:rFonts w:cs="Times New Roman"/>
          <w:spacing w:val="-2"/>
          <w:szCs w:val="26"/>
        </w:rPr>
        <w:t>rate base/rate of return methodology, was never appealed, and t</w:t>
      </w:r>
      <w:r>
        <w:rPr>
          <w:rFonts w:cs="Times New Roman"/>
          <w:spacing w:val="-2"/>
          <w:szCs w:val="26"/>
        </w:rPr>
        <w:t>hus became conclusive upon all Parties.  Columbia emphasizes that b</w:t>
      </w:r>
      <w:r w:rsidRPr="00E11B1F">
        <w:rPr>
          <w:rFonts w:cs="Times New Roman"/>
          <w:spacing w:val="-2"/>
          <w:szCs w:val="26"/>
        </w:rPr>
        <w:t>oth I&amp;E</w:t>
      </w:r>
      <w:r>
        <w:rPr>
          <w:rFonts w:cs="Times New Roman"/>
          <w:spacing w:val="-2"/>
          <w:szCs w:val="26"/>
        </w:rPr>
        <w:t>’</w:t>
      </w:r>
      <w:r w:rsidRPr="00E11B1F">
        <w:rPr>
          <w:rFonts w:cs="Times New Roman"/>
          <w:spacing w:val="-2"/>
          <w:szCs w:val="26"/>
        </w:rPr>
        <w:t xml:space="preserve">s and </w:t>
      </w:r>
      <w:r>
        <w:rPr>
          <w:rFonts w:cs="Times New Roman"/>
          <w:spacing w:val="-2"/>
          <w:szCs w:val="26"/>
        </w:rPr>
        <w:t xml:space="preserve">the </w:t>
      </w:r>
      <w:r w:rsidRPr="00E11B1F">
        <w:rPr>
          <w:rFonts w:cs="Times New Roman"/>
          <w:spacing w:val="-2"/>
          <w:szCs w:val="26"/>
        </w:rPr>
        <w:t>OCA</w:t>
      </w:r>
      <w:r>
        <w:rPr>
          <w:rFonts w:cs="Times New Roman"/>
          <w:spacing w:val="-2"/>
          <w:szCs w:val="26"/>
        </w:rPr>
        <w:t>’</w:t>
      </w:r>
      <w:r w:rsidRPr="00E11B1F">
        <w:rPr>
          <w:rFonts w:cs="Times New Roman"/>
          <w:spacing w:val="-2"/>
          <w:szCs w:val="26"/>
        </w:rPr>
        <w:t>s witnesses admitted on cross</w:t>
      </w:r>
      <w:r>
        <w:rPr>
          <w:rFonts w:cs="Times New Roman"/>
          <w:spacing w:val="-2"/>
          <w:szCs w:val="26"/>
        </w:rPr>
        <w:t>-</w:t>
      </w:r>
      <w:r>
        <w:rPr>
          <w:rFonts w:cs="Times New Roman"/>
          <w:spacing w:val="-2"/>
          <w:szCs w:val="26"/>
        </w:rPr>
        <w:lastRenderedPageBreak/>
        <w:t>examination</w:t>
      </w:r>
      <w:r w:rsidRPr="00E11B1F">
        <w:rPr>
          <w:rFonts w:cs="Times New Roman"/>
          <w:spacing w:val="-2"/>
          <w:szCs w:val="26"/>
        </w:rPr>
        <w:t xml:space="preserve"> that they were unaware of the </w:t>
      </w:r>
      <w:r w:rsidRPr="007E643B">
        <w:rPr>
          <w:rFonts w:cs="Times New Roman"/>
          <w:i/>
          <w:szCs w:val="26"/>
        </w:rPr>
        <w:t>1993 PennVest Order</w:t>
      </w:r>
      <w:r w:rsidRPr="00E11B1F">
        <w:rPr>
          <w:rFonts w:cs="Times New Roman"/>
          <w:spacing w:val="-2"/>
          <w:szCs w:val="26"/>
        </w:rPr>
        <w:t xml:space="preserve"> </w:t>
      </w:r>
      <w:r>
        <w:rPr>
          <w:rFonts w:cs="Times New Roman"/>
          <w:spacing w:val="-2"/>
          <w:szCs w:val="26"/>
        </w:rPr>
        <w:t>when they prepared</w:t>
      </w:r>
      <w:r w:rsidRPr="00B73527">
        <w:rPr>
          <w:rFonts w:cs="Times New Roman"/>
          <w:spacing w:val="-2"/>
          <w:szCs w:val="26"/>
        </w:rPr>
        <w:t xml:space="preserve"> their pr</w:t>
      </w:r>
      <w:r>
        <w:rPr>
          <w:rFonts w:cs="Times New Roman"/>
          <w:spacing w:val="-2"/>
          <w:szCs w:val="26"/>
        </w:rPr>
        <w:t>e</w:t>
      </w:r>
      <w:r w:rsidR="00374266">
        <w:rPr>
          <w:rFonts w:cs="Times New Roman"/>
          <w:spacing w:val="-2"/>
          <w:szCs w:val="26"/>
        </w:rPr>
        <w:t>-</w:t>
      </w:r>
      <w:r>
        <w:rPr>
          <w:rFonts w:cs="Times New Roman"/>
          <w:spacing w:val="-2"/>
          <w:szCs w:val="26"/>
        </w:rPr>
        <w:t>filed testimony</w:t>
      </w:r>
      <w:r w:rsidRPr="00B73527">
        <w:rPr>
          <w:rFonts w:cs="Times New Roman"/>
          <w:b/>
          <w:i/>
          <w:spacing w:val="-2"/>
          <w:szCs w:val="26"/>
        </w:rPr>
        <w:t>.</w:t>
      </w:r>
      <w:r>
        <w:rPr>
          <w:rFonts w:cs="Times New Roman"/>
          <w:spacing w:val="-2"/>
          <w:szCs w:val="26"/>
        </w:rPr>
        <w:t xml:space="preserve">  CWC R.Exc. at 5. </w:t>
      </w:r>
      <w:r>
        <w:rPr>
          <w:rFonts w:cs="Times New Roman"/>
          <w:szCs w:val="26"/>
        </w:rPr>
        <w:t xml:space="preserve">  </w:t>
      </w:r>
    </w:p>
    <w:p w:rsidR="004F0789" w:rsidRDefault="004F0789" w:rsidP="004F0789">
      <w:pPr>
        <w:tabs>
          <w:tab w:val="left" w:pos="0"/>
        </w:tabs>
        <w:contextualSpacing/>
        <w:rPr>
          <w:rFonts w:cs="Times New Roman"/>
          <w:szCs w:val="26"/>
        </w:rPr>
      </w:pPr>
    </w:p>
    <w:p w:rsidR="004F0789" w:rsidRDefault="004F0789" w:rsidP="004F0789">
      <w:pPr>
        <w:tabs>
          <w:tab w:val="left" w:pos="0"/>
        </w:tabs>
        <w:contextualSpacing/>
        <w:rPr>
          <w:rFonts w:cs="Times New Roman"/>
          <w:spacing w:val="-2"/>
          <w:szCs w:val="26"/>
        </w:rPr>
      </w:pPr>
      <w:r>
        <w:rPr>
          <w:rFonts w:cs="Times New Roman"/>
          <w:szCs w:val="26"/>
        </w:rPr>
        <w:t xml:space="preserve">Columbia submits that the I&amp;E and OCA argument </w:t>
      </w:r>
      <w:r w:rsidRPr="00D940F5">
        <w:rPr>
          <w:rFonts w:cs="Times New Roman"/>
          <w:szCs w:val="26"/>
        </w:rPr>
        <w:t>is b</w:t>
      </w:r>
      <w:r>
        <w:rPr>
          <w:rFonts w:cs="Times New Roman"/>
          <w:szCs w:val="26"/>
        </w:rPr>
        <w:t xml:space="preserve">ased primarily on the </w:t>
      </w:r>
      <w:r w:rsidRPr="00D940F5">
        <w:rPr>
          <w:rFonts w:cs="Times New Roman"/>
          <w:szCs w:val="26"/>
        </w:rPr>
        <w:t>allegation that</w:t>
      </w:r>
      <w:r>
        <w:rPr>
          <w:rFonts w:cs="Times New Roman"/>
          <w:szCs w:val="26"/>
        </w:rPr>
        <w:t>,</w:t>
      </w:r>
      <w:r w:rsidRPr="00D940F5">
        <w:rPr>
          <w:rFonts w:cs="Times New Roman"/>
          <w:szCs w:val="26"/>
        </w:rPr>
        <w:t xml:space="preserve"> although the </w:t>
      </w:r>
      <w:r>
        <w:rPr>
          <w:rFonts w:cs="Times New Roman"/>
          <w:szCs w:val="26"/>
        </w:rPr>
        <w:t>PennVest volumetric rate was established</w:t>
      </w:r>
      <w:r w:rsidRPr="00D940F5">
        <w:rPr>
          <w:rFonts w:cs="Times New Roman"/>
          <w:szCs w:val="26"/>
        </w:rPr>
        <w:t xml:space="preserve"> i</w:t>
      </w:r>
      <w:r>
        <w:rPr>
          <w:rFonts w:cs="Times New Roman"/>
          <w:szCs w:val="26"/>
        </w:rPr>
        <w:t xml:space="preserve">n 1993 </w:t>
      </w:r>
      <w:r w:rsidRPr="00D940F5">
        <w:rPr>
          <w:rFonts w:cs="Times New Roman"/>
          <w:szCs w:val="26"/>
        </w:rPr>
        <w:t xml:space="preserve">based on rate base/rate of return principles, this rate was somehow converted, </w:t>
      </w:r>
      <w:r>
        <w:rPr>
          <w:rFonts w:cs="Times New Roman"/>
          <w:szCs w:val="26"/>
        </w:rPr>
        <w:t>without Commission O</w:t>
      </w:r>
      <w:r w:rsidRPr="00D940F5">
        <w:rPr>
          <w:rFonts w:cs="Times New Roman"/>
          <w:szCs w:val="26"/>
        </w:rPr>
        <w:t>rder, into a d</w:t>
      </w:r>
      <w:r>
        <w:rPr>
          <w:rFonts w:cs="Times New Roman"/>
          <w:szCs w:val="26"/>
        </w:rPr>
        <w:t xml:space="preserve">ebt-service only surcharge that </w:t>
      </w:r>
      <w:r w:rsidRPr="00D940F5">
        <w:rPr>
          <w:rFonts w:cs="Times New Roman"/>
          <w:szCs w:val="26"/>
        </w:rPr>
        <w:t>recover</w:t>
      </w:r>
      <w:r>
        <w:rPr>
          <w:rFonts w:cs="Times New Roman"/>
          <w:szCs w:val="26"/>
        </w:rPr>
        <w:t>ed only</w:t>
      </w:r>
      <w:r w:rsidRPr="00D940F5">
        <w:rPr>
          <w:rFonts w:cs="Times New Roman"/>
          <w:szCs w:val="26"/>
        </w:rPr>
        <w:t xml:space="preserve"> the principal and interest on the PennVest loan. </w:t>
      </w:r>
      <w:r>
        <w:rPr>
          <w:rFonts w:cs="Times New Roman"/>
          <w:szCs w:val="26"/>
        </w:rPr>
        <w:t xml:space="preserve"> In contrast, Columbia asserts that </w:t>
      </w:r>
      <w:r w:rsidRPr="00D940F5">
        <w:rPr>
          <w:rFonts w:cs="Times New Roman"/>
          <w:szCs w:val="26"/>
        </w:rPr>
        <w:t>the PennVest volumetric charge was set using rate base/rate of return meth</w:t>
      </w:r>
      <w:r>
        <w:rPr>
          <w:rFonts w:cs="Times New Roman"/>
          <w:szCs w:val="26"/>
        </w:rPr>
        <w:t xml:space="preserve">odology in 1993, and </w:t>
      </w:r>
      <w:r w:rsidRPr="00D940F5">
        <w:rPr>
          <w:rFonts w:cs="Times New Roman"/>
          <w:szCs w:val="26"/>
        </w:rPr>
        <w:t xml:space="preserve">was never transformed into a debt-service </w:t>
      </w:r>
      <w:r>
        <w:rPr>
          <w:rFonts w:cs="Times New Roman"/>
          <w:szCs w:val="26"/>
        </w:rPr>
        <w:t>only surcharge</w:t>
      </w:r>
      <w:r w:rsidRPr="00D940F5">
        <w:rPr>
          <w:rFonts w:cs="Times New Roman"/>
          <w:szCs w:val="26"/>
        </w:rPr>
        <w:t>.</w:t>
      </w:r>
      <w:r>
        <w:rPr>
          <w:rFonts w:cs="Times New Roman"/>
          <w:szCs w:val="26"/>
        </w:rPr>
        <w:t xml:space="preserve">  </w:t>
      </w:r>
      <w:r w:rsidRPr="005D7B38">
        <w:rPr>
          <w:rFonts w:cs="Times New Roman"/>
          <w:i/>
          <w:szCs w:val="26"/>
        </w:rPr>
        <w:t>Id</w:t>
      </w:r>
      <w:r>
        <w:rPr>
          <w:rFonts w:cs="Times New Roman"/>
          <w:szCs w:val="26"/>
        </w:rPr>
        <w:t>. at 5, n</w:t>
      </w:r>
      <w:r w:rsidR="00677582">
        <w:rPr>
          <w:rFonts w:cs="Times New Roman"/>
          <w:szCs w:val="26"/>
        </w:rPr>
        <w:t>.</w:t>
      </w:r>
      <w:r>
        <w:rPr>
          <w:rFonts w:cs="Times New Roman"/>
          <w:szCs w:val="26"/>
        </w:rPr>
        <w:t xml:space="preserve"> 2.  Columbia submits that the adoption of I&amp;E and </w:t>
      </w:r>
      <w:r>
        <w:rPr>
          <w:rFonts w:cs="Times New Roman"/>
          <w:spacing w:val="-2"/>
          <w:szCs w:val="26"/>
        </w:rPr>
        <w:t>the OCA’s “</w:t>
      </w:r>
      <w:r w:rsidRPr="00B73527">
        <w:rPr>
          <w:rFonts w:cs="Times New Roman"/>
          <w:spacing w:val="-2"/>
          <w:szCs w:val="26"/>
        </w:rPr>
        <w:t>revisionist argument</w:t>
      </w:r>
      <w:r>
        <w:rPr>
          <w:rFonts w:cs="Times New Roman"/>
          <w:spacing w:val="-2"/>
          <w:szCs w:val="26"/>
        </w:rPr>
        <w:t>”</w:t>
      </w:r>
      <w:r w:rsidRPr="00D940F5">
        <w:rPr>
          <w:rStyle w:val="FootnoteReference"/>
          <w:rFonts w:cs="Times New Roman"/>
          <w:spacing w:val="-2"/>
          <w:szCs w:val="26"/>
        </w:rPr>
        <w:t xml:space="preserve"> </w:t>
      </w:r>
      <w:r>
        <w:rPr>
          <w:rFonts w:cs="Times New Roman"/>
          <w:spacing w:val="-2"/>
          <w:szCs w:val="26"/>
        </w:rPr>
        <w:t xml:space="preserve"> would </w:t>
      </w:r>
      <w:r w:rsidRPr="00B73527">
        <w:rPr>
          <w:rFonts w:cs="Times New Roman"/>
          <w:spacing w:val="-2"/>
          <w:szCs w:val="26"/>
        </w:rPr>
        <w:t>deny the Company necessary cash flow to support $4.9 million of plant</w:t>
      </w:r>
      <w:r>
        <w:rPr>
          <w:rFonts w:cs="Times New Roman"/>
          <w:spacing w:val="-2"/>
          <w:szCs w:val="26"/>
        </w:rPr>
        <w:t xml:space="preserve"> in service that both of these P</w:t>
      </w:r>
      <w:r w:rsidRPr="00B73527">
        <w:rPr>
          <w:rFonts w:cs="Times New Roman"/>
          <w:spacing w:val="-2"/>
          <w:szCs w:val="26"/>
        </w:rPr>
        <w:t>arties admitted was used an</w:t>
      </w:r>
      <w:r>
        <w:rPr>
          <w:rFonts w:cs="Times New Roman"/>
          <w:spacing w:val="-2"/>
          <w:szCs w:val="26"/>
        </w:rPr>
        <w:t xml:space="preserve">d useful in providing service.  </w:t>
      </w:r>
      <w:r w:rsidRPr="005D7B38">
        <w:rPr>
          <w:rFonts w:cs="Times New Roman"/>
          <w:i/>
          <w:spacing w:val="-2"/>
          <w:szCs w:val="26"/>
        </w:rPr>
        <w:t>Id</w:t>
      </w:r>
      <w:r>
        <w:rPr>
          <w:rFonts w:cs="Times New Roman"/>
          <w:spacing w:val="-2"/>
          <w:szCs w:val="26"/>
        </w:rPr>
        <w:t>. at 5.</w:t>
      </w:r>
    </w:p>
    <w:p w:rsidR="004F0789" w:rsidRDefault="004F0789" w:rsidP="004F0789">
      <w:pPr>
        <w:tabs>
          <w:tab w:val="left" w:pos="0"/>
        </w:tabs>
        <w:contextualSpacing/>
        <w:rPr>
          <w:rFonts w:cs="Times New Roman"/>
          <w:spacing w:val="-2"/>
          <w:szCs w:val="26"/>
        </w:rPr>
      </w:pPr>
    </w:p>
    <w:p w:rsidR="004F0789" w:rsidRDefault="004F0789" w:rsidP="004F0789">
      <w:pPr>
        <w:tabs>
          <w:tab w:val="left" w:pos="0"/>
        </w:tabs>
        <w:contextualSpacing/>
        <w:rPr>
          <w:rFonts w:cs="Times New Roman"/>
          <w:szCs w:val="26"/>
        </w:rPr>
      </w:pPr>
      <w:r>
        <w:rPr>
          <w:rFonts w:cs="Times New Roman"/>
          <w:spacing w:val="-2"/>
          <w:szCs w:val="26"/>
        </w:rPr>
        <w:t xml:space="preserve">Columbia submits that, in the </w:t>
      </w:r>
      <w:r w:rsidRPr="007E643B">
        <w:rPr>
          <w:rFonts w:cs="Times New Roman"/>
          <w:i/>
          <w:szCs w:val="26"/>
        </w:rPr>
        <w:t>1993 PennVest Order</w:t>
      </w:r>
      <w:r>
        <w:rPr>
          <w:rFonts w:cs="Times New Roman"/>
          <w:szCs w:val="26"/>
        </w:rPr>
        <w:t>, the Commission approved the 1993 Settlement between the Company and the OCA that</w:t>
      </w:r>
      <w:r w:rsidRPr="00042201">
        <w:rPr>
          <w:rFonts w:cs="Times New Roman"/>
          <w:szCs w:val="26"/>
        </w:rPr>
        <w:t xml:space="preserve"> </w:t>
      </w:r>
      <w:r>
        <w:rPr>
          <w:rFonts w:cs="Times New Roman"/>
          <w:szCs w:val="26"/>
        </w:rPr>
        <w:t xml:space="preserve">established rate base treatment of </w:t>
      </w:r>
      <w:r w:rsidRPr="00B73527">
        <w:rPr>
          <w:rFonts w:cs="Times New Roman"/>
          <w:szCs w:val="26"/>
        </w:rPr>
        <w:t xml:space="preserve">the investment in the </w:t>
      </w:r>
      <w:r>
        <w:rPr>
          <w:rFonts w:cs="Times New Roman"/>
          <w:szCs w:val="26"/>
        </w:rPr>
        <w:t xml:space="preserve">PennVest plant and facilities. Specifically, the 1993 Settlement established </w:t>
      </w:r>
      <w:r w:rsidRPr="00B73527">
        <w:rPr>
          <w:rFonts w:cs="Times New Roman"/>
          <w:szCs w:val="26"/>
        </w:rPr>
        <w:t xml:space="preserve">the ratemaking treatment </w:t>
      </w:r>
      <w:r>
        <w:rPr>
          <w:rFonts w:cs="Times New Roman"/>
          <w:szCs w:val="26"/>
        </w:rPr>
        <w:t xml:space="preserve">of the PennVest plant </w:t>
      </w:r>
      <w:r w:rsidRPr="00B73527">
        <w:rPr>
          <w:rFonts w:cs="Times New Roman"/>
          <w:szCs w:val="26"/>
        </w:rPr>
        <w:t>as follows:</w:t>
      </w:r>
    </w:p>
    <w:p w:rsidR="004F0789" w:rsidRPr="00B73527" w:rsidRDefault="004F0789" w:rsidP="004F0789">
      <w:pPr>
        <w:tabs>
          <w:tab w:val="left" w:pos="0"/>
        </w:tabs>
        <w:contextualSpacing/>
        <w:rPr>
          <w:rFonts w:cs="Times New Roman"/>
          <w:szCs w:val="26"/>
        </w:rPr>
      </w:pPr>
    </w:p>
    <w:p w:rsidR="004F0789" w:rsidRDefault="004F0789" w:rsidP="00343CB6">
      <w:pPr>
        <w:tabs>
          <w:tab w:val="left" w:pos="0"/>
        </w:tabs>
        <w:spacing w:line="240" w:lineRule="auto"/>
        <w:ind w:left="1440" w:right="1440" w:firstLine="720"/>
        <w:contextualSpacing/>
        <w:rPr>
          <w:rFonts w:cs="Times New Roman"/>
          <w:szCs w:val="26"/>
        </w:rPr>
      </w:pPr>
      <w:r w:rsidRPr="00B73527">
        <w:rPr>
          <w:rFonts w:cs="Times New Roman"/>
          <w:szCs w:val="26"/>
        </w:rPr>
        <w:t xml:space="preserve">7.  </w:t>
      </w:r>
      <w:r w:rsidRPr="00B73527">
        <w:rPr>
          <w:rFonts w:cs="Times New Roman"/>
          <w:szCs w:val="26"/>
        </w:rPr>
        <w:tab/>
        <w:t xml:space="preserve">Regarding the ratemaking treatment of Plant in Service, the Company agrees to Rate Base treatment for plant additions of $4,547,617, constituting </w:t>
      </w:r>
      <w:r>
        <w:rPr>
          <w:rFonts w:cs="Times New Roman"/>
          <w:szCs w:val="26"/>
        </w:rPr>
        <w:t xml:space="preserve">[the] </w:t>
      </w:r>
      <w:r w:rsidRPr="00B73527">
        <w:rPr>
          <w:rFonts w:cs="Times New Roman"/>
          <w:szCs w:val="26"/>
        </w:rPr>
        <w:t>amount attributable to PennVest funding, rather than apply a surcharge equal to the debt service on the PennVest loan.  The following items are also reflected in the total revenue of increase proposed in this Stipulation: (a) the inclusion of these plant additions in the rate base, along with the return on the increase plant at an overall rate of return of 7.27%; (b) depreciation expense computed at the Company</w:t>
      </w:r>
      <w:r>
        <w:rPr>
          <w:rFonts w:cs="Times New Roman"/>
          <w:szCs w:val="26"/>
        </w:rPr>
        <w:t>’</w:t>
      </w:r>
      <w:r w:rsidRPr="00B73527">
        <w:rPr>
          <w:rFonts w:cs="Times New Roman"/>
          <w:szCs w:val="26"/>
        </w:rPr>
        <w:t>s current composite depreciation rate; (c) reflection of increased deferred income taxes.</w:t>
      </w:r>
    </w:p>
    <w:p w:rsidR="004F0789" w:rsidRDefault="004F0789" w:rsidP="004F0789">
      <w:pPr>
        <w:tabs>
          <w:tab w:val="left" w:pos="0"/>
        </w:tabs>
        <w:spacing w:line="240" w:lineRule="auto"/>
        <w:ind w:left="1440" w:right="1440"/>
        <w:contextualSpacing/>
        <w:rPr>
          <w:rFonts w:cs="Times New Roman"/>
          <w:szCs w:val="26"/>
        </w:rPr>
      </w:pPr>
    </w:p>
    <w:p w:rsidR="004F0789" w:rsidRDefault="004F0789" w:rsidP="00343CB6">
      <w:pPr>
        <w:tabs>
          <w:tab w:val="left" w:pos="0"/>
        </w:tabs>
        <w:ind w:firstLine="0"/>
        <w:rPr>
          <w:rFonts w:cs="Times New Roman"/>
          <w:szCs w:val="26"/>
        </w:rPr>
      </w:pPr>
      <w:r>
        <w:rPr>
          <w:rFonts w:cs="Times New Roman"/>
          <w:szCs w:val="26"/>
        </w:rPr>
        <w:t>CWC R.Exc. at 6, citing</w:t>
      </w:r>
      <w:r w:rsidRPr="001771D0">
        <w:rPr>
          <w:rFonts w:cs="Times New Roman"/>
          <w:szCs w:val="26"/>
        </w:rPr>
        <w:t xml:space="preserve"> </w:t>
      </w:r>
      <w:r>
        <w:rPr>
          <w:rFonts w:cs="Times New Roman"/>
          <w:szCs w:val="26"/>
        </w:rPr>
        <w:t xml:space="preserve">CWC St. </w:t>
      </w:r>
      <w:r w:rsidRPr="001771D0">
        <w:rPr>
          <w:rFonts w:cs="Times New Roman"/>
          <w:szCs w:val="26"/>
        </w:rPr>
        <w:t>2R at 13</w:t>
      </w:r>
      <w:r>
        <w:rPr>
          <w:rFonts w:cs="Times New Roman"/>
          <w:szCs w:val="26"/>
        </w:rPr>
        <w:t xml:space="preserve">:1-15; GDS Rebuttal Exh. </w:t>
      </w:r>
      <w:r w:rsidRPr="001771D0">
        <w:rPr>
          <w:rFonts w:cs="Times New Roman"/>
          <w:szCs w:val="26"/>
        </w:rPr>
        <w:t>1.</w:t>
      </w:r>
      <w:r>
        <w:rPr>
          <w:rFonts w:cs="Times New Roman"/>
          <w:spacing w:val="-2"/>
          <w:szCs w:val="26"/>
        </w:rPr>
        <w:t xml:space="preserve">  Accordingly, Columbia submits that the </w:t>
      </w:r>
      <w:r w:rsidRPr="00B73527">
        <w:rPr>
          <w:rFonts w:cs="Times New Roman"/>
          <w:szCs w:val="26"/>
        </w:rPr>
        <w:t>P</w:t>
      </w:r>
      <w:r w:rsidR="003C1ED4">
        <w:rPr>
          <w:rFonts w:cs="Times New Roman"/>
          <w:szCs w:val="26"/>
        </w:rPr>
        <w:t>ennVest surcharge</w:t>
      </w:r>
      <w:r>
        <w:rPr>
          <w:rFonts w:cs="Times New Roman"/>
          <w:szCs w:val="26"/>
        </w:rPr>
        <w:t xml:space="preserve"> was </w:t>
      </w:r>
      <w:r w:rsidRPr="00B73527">
        <w:rPr>
          <w:rFonts w:cs="Times New Roman"/>
          <w:szCs w:val="26"/>
        </w:rPr>
        <w:t xml:space="preserve">a </w:t>
      </w:r>
      <w:r>
        <w:rPr>
          <w:rFonts w:cs="Times New Roman"/>
          <w:szCs w:val="26"/>
        </w:rPr>
        <w:t xml:space="preserve">rate base/rate of return volumetric </w:t>
      </w:r>
      <w:r>
        <w:rPr>
          <w:rFonts w:cs="Times New Roman"/>
          <w:szCs w:val="26"/>
        </w:rPr>
        <w:lastRenderedPageBreak/>
        <w:t xml:space="preserve">charge </w:t>
      </w:r>
      <w:r w:rsidRPr="00B73527">
        <w:rPr>
          <w:rFonts w:cs="Times New Roman"/>
          <w:szCs w:val="26"/>
        </w:rPr>
        <w:t>applicable t</w:t>
      </w:r>
      <w:r>
        <w:rPr>
          <w:rFonts w:cs="Times New Roman"/>
          <w:szCs w:val="26"/>
        </w:rPr>
        <w:t>o all customer classes.  Columbia notes that, in its Statement in S</w:t>
      </w:r>
      <w:r w:rsidRPr="001771D0">
        <w:rPr>
          <w:rFonts w:cs="Times New Roman"/>
          <w:szCs w:val="26"/>
        </w:rPr>
        <w:t>upport of</w:t>
      </w:r>
      <w:r>
        <w:rPr>
          <w:rFonts w:cs="Times New Roman"/>
          <w:szCs w:val="26"/>
        </w:rPr>
        <w:t xml:space="preserve"> the 1993 Settlement, the OCA stated that</w:t>
      </w:r>
      <w:r w:rsidRPr="001771D0">
        <w:rPr>
          <w:rFonts w:cs="Times New Roman"/>
          <w:szCs w:val="26"/>
        </w:rPr>
        <w:t>:</w:t>
      </w:r>
    </w:p>
    <w:p w:rsidR="004F0789" w:rsidRPr="001771D0" w:rsidRDefault="004F0789" w:rsidP="004F0789">
      <w:pPr>
        <w:tabs>
          <w:tab w:val="left" w:pos="0"/>
        </w:tabs>
        <w:rPr>
          <w:rFonts w:cs="Times New Roman"/>
          <w:szCs w:val="26"/>
        </w:rPr>
      </w:pPr>
    </w:p>
    <w:p w:rsidR="004F0789" w:rsidRDefault="004F0789" w:rsidP="00ED5EE7">
      <w:pPr>
        <w:tabs>
          <w:tab w:val="left" w:pos="0"/>
        </w:tabs>
        <w:spacing w:line="240" w:lineRule="auto"/>
        <w:ind w:left="1440" w:right="1440" w:firstLine="0"/>
        <w:contextualSpacing/>
        <w:rPr>
          <w:rFonts w:cs="Times New Roman"/>
          <w:szCs w:val="26"/>
        </w:rPr>
      </w:pPr>
      <w:r w:rsidRPr="001771D0">
        <w:rPr>
          <w:rFonts w:cs="Times New Roman"/>
          <w:szCs w:val="26"/>
        </w:rPr>
        <w:t xml:space="preserve">The Proposed Settlement provides for an overall base rate increase of $342,508 on an ongoing basis.  This lesser amount is the result of permitting the Company to recover the costs of its PennVest-financed plant additions through rate base (including the provision of a reasonable rate of return and an allowance for depreciation expense), rather than through the imposition of a debt-service based surcharge.  The OCA submits that, given the size (nearly 6,000 customers) and financial condition of the Company, the Company should not be permitted to impose a </w:t>
      </w:r>
      <w:r>
        <w:rPr>
          <w:rFonts w:cs="Times New Roman"/>
          <w:szCs w:val="26"/>
        </w:rPr>
        <w:t>debt-service based surcharge.</w:t>
      </w:r>
    </w:p>
    <w:p w:rsidR="004F0789" w:rsidRDefault="004F0789" w:rsidP="00280722">
      <w:pPr>
        <w:tabs>
          <w:tab w:val="left" w:pos="0"/>
        </w:tabs>
        <w:ind w:left="1440" w:right="1440"/>
        <w:contextualSpacing/>
        <w:rPr>
          <w:rFonts w:cs="Times New Roman"/>
          <w:szCs w:val="26"/>
        </w:rPr>
      </w:pPr>
    </w:p>
    <w:p w:rsidR="004F0789" w:rsidRDefault="004F0789" w:rsidP="00ED5EE7">
      <w:pPr>
        <w:tabs>
          <w:tab w:val="left" w:pos="0"/>
        </w:tabs>
        <w:ind w:firstLine="0"/>
        <w:contextualSpacing/>
        <w:rPr>
          <w:rFonts w:cs="Times New Roman"/>
          <w:szCs w:val="26"/>
        </w:rPr>
      </w:pPr>
      <w:r>
        <w:rPr>
          <w:rFonts w:cs="Times New Roman"/>
          <w:szCs w:val="26"/>
        </w:rPr>
        <w:t>CWC R.Exc. at 6, n</w:t>
      </w:r>
      <w:r w:rsidR="00677582">
        <w:rPr>
          <w:rFonts w:cs="Times New Roman"/>
          <w:szCs w:val="26"/>
        </w:rPr>
        <w:t>.</w:t>
      </w:r>
      <w:r>
        <w:rPr>
          <w:rFonts w:cs="Times New Roman"/>
          <w:szCs w:val="26"/>
        </w:rPr>
        <w:t xml:space="preserve"> 4.  Columbia submits that, under Section 316 of the Code, approval of rate base </w:t>
      </w:r>
      <w:r w:rsidRPr="00B73527">
        <w:rPr>
          <w:rFonts w:cs="Times New Roman"/>
          <w:szCs w:val="26"/>
        </w:rPr>
        <w:t xml:space="preserve">treatment for the </w:t>
      </w:r>
      <w:r>
        <w:rPr>
          <w:rFonts w:cs="Times New Roman"/>
          <w:szCs w:val="26"/>
        </w:rPr>
        <w:t xml:space="preserve">PennVest plant </w:t>
      </w:r>
      <w:r w:rsidRPr="00B73527">
        <w:rPr>
          <w:rFonts w:cs="Times New Roman"/>
          <w:szCs w:val="26"/>
        </w:rPr>
        <w:t xml:space="preserve">in </w:t>
      </w:r>
      <w:r>
        <w:rPr>
          <w:rFonts w:cs="Times New Roman"/>
          <w:szCs w:val="26"/>
        </w:rPr>
        <w:t xml:space="preserve">the </w:t>
      </w:r>
      <w:r w:rsidRPr="007E643B">
        <w:rPr>
          <w:rFonts w:cs="Times New Roman"/>
          <w:i/>
          <w:szCs w:val="26"/>
        </w:rPr>
        <w:t>1993 PennVest Order</w:t>
      </w:r>
      <w:r w:rsidRPr="00B73527">
        <w:rPr>
          <w:rFonts w:cs="Times New Roman"/>
          <w:szCs w:val="26"/>
        </w:rPr>
        <w:t xml:space="preserve"> </w:t>
      </w:r>
      <w:r>
        <w:rPr>
          <w:rFonts w:cs="Times New Roman"/>
          <w:szCs w:val="26"/>
        </w:rPr>
        <w:t>via a volumetric rate is</w:t>
      </w:r>
      <w:r w:rsidRPr="00B73527">
        <w:rPr>
          <w:rFonts w:cs="Times New Roman"/>
          <w:szCs w:val="26"/>
        </w:rPr>
        <w:t xml:space="preserve"> “pri</w:t>
      </w:r>
      <w:r>
        <w:rPr>
          <w:rFonts w:cs="Times New Roman"/>
          <w:szCs w:val="26"/>
        </w:rPr>
        <w:t xml:space="preserve">ma facie </w:t>
      </w:r>
      <w:r w:rsidRPr="00B73527">
        <w:rPr>
          <w:rFonts w:cs="Times New Roman"/>
          <w:szCs w:val="26"/>
        </w:rPr>
        <w:t>evidence of the facts found and remains conclusive upon all parties affected thereby, unless set aside, annulled or modified on judicial review.”  66 Pa.</w:t>
      </w:r>
      <w:r>
        <w:rPr>
          <w:rFonts w:cs="Times New Roman"/>
          <w:szCs w:val="26"/>
        </w:rPr>
        <w:t xml:space="preserve"> </w:t>
      </w:r>
      <w:r w:rsidRPr="00B73527">
        <w:rPr>
          <w:rFonts w:cs="Times New Roman"/>
          <w:szCs w:val="26"/>
        </w:rPr>
        <w:t xml:space="preserve">C.S. § 316. </w:t>
      </w:r>
      <w:r>
        <w:rPr>
          <w:rFonts w:cs="Times New Roman"/>
          <w:szCs w:val="26"/>
        </w:rPr>
        <w:t xml:space="preserve"> Columbia further submits that the </w:t>
      </w:r>
      <w:r w:rsidRPr="00B73527">
        <w:rPr>
          <w:rFonts w:cs="Times New Roman"/>
          <w:szCs w:val="26"/>
        </w:rPr>
        <w:t>OCA</w:t>
      </w:r>
      <w:r>
        <w:rPr>
          <w:rFonts w:cs="Times New Roman"/>
          <w:szCs w:val="26"/>
        </w:rPr>
        <w:t xml:space="preserve"> admitted as much in arguing that “[t]</w:t>
      </w:r>
      <w:r w:rsidRPr="00B73527">
        <w:rPr>
          <w:rFonts w:cs="Times New Roman"/>
          <w:szCs w:val="26"/>
        </w:rPr>
        <w:t xml:space="preserve">he determination of rate base/rate of return treatment versus principal and interest surcharge is made during the case in which the plant first becomes used and useful. … </w:t>
      </w:r>
      <w:r w:rsidRPr="005006EF">
        <w:rPr>
          <w:rFonts w:cs="Times New Roman"/>
          <w:szCs w:val="26"/>
        </w:rPr>
        <w:t>once that determination is made by the Commission, there is no opportunity to change the methodology</w:t>
      </w:r>
      <w:r>
        <w:rPr>
          <w:rFonts w:cs="Times New Roman"/>
          <w:szCs w:val="26"/>
        </w:rPr>
        <w:t xml:space="preserve">.”  </w:t>
      </w:r>
      <w:r w:rsidRPr="005006EF">
        <w:rPr>
          <w:rFonts w:cs="Times New Roman"/>
          <w:i/>
          <w:szCs w:val="26"/>
        </w:rPr>
        <w:t>Id</w:t>
      </w:r>
      <w:r w:rsidR="003E7AED">
        <w:rPr>
          <w:rFonts w:cs="Times New Roman"/>
          <w:szCs w:val="26"/>
        </w:rPr>
        <w:t xml:space="preserve">., citing </w:t>
      </w:r>
      <w:r>
        <w:rPr>
          <w:rFonts w:cs="Times New Roman"/>
          <w:szCs w:val="26"/>
        </w:rPr>
        <w:t>OCA Exc. at 5.</w:t>
      </w:r>
    </w:p>
    <w:p w:rsidR="004F0789" w:rsidRPr="00B73527" w:rsidRDefault="004F0789" w:rsidP="004F0789">
      <w:pPr>
        <w:tabs>
          <w:tab w:val="left" w:pos="8640"/>
        </w:tabs>
        <w:contextualSpacing/>
        <w:rPr>
          <w:rFonts w:cs="Times New Roman"/>
          <w:spacing w:val="-2"/>
          <w:szCs w:val="26"/>
        </w:rPr>
      </w:pPr>
    </w:p>
    <w:p w:rsidR="004F0789" w:rsidRDefault="004F0789" w:rsidP="004F0789">
      <w:pPr>
        <w:contextualSpacing/>
        <w:rPr>
          <w:rFonts w:cs="Times New Roman"/>
          <w:szCs w:val="26"/>
        </w:rPr>
      </w:pPr>
      <w:r w:rsidRPr="00B73527">
        <w:rPr>
          <w:rFonts w:cs="Times New Roman"/>
          <w:szCs w:val="26"/>
        </w:rPr>
        <w:t xml:space="preserve">In addition, </w:t>
      </w:r>
      <w:r>
        <w:rPr>
          <w:rFonts w:cs="Times New Roman"/>
          <w:szCs w:val="26"/>
        </w:rPr>
        <w:t xml:space="preserve">Columbia submits that the adjustment proposed by I&amp;E and the OCA should be disregarded because I&amp;E and the OCA failed to qualify the adjustment properly, citing </w:t>
      </w:r>
      <w:r w:rsidRPr="005006EF">
        <w:rPr>
          <w:rFonts w:cs="Times New Roman"/>
          <w:i/>
          <w:szCs w:val="26"/>
        </w:rPr>
        <w:t>Popowsky v. P</w:t>
      </w:r>
      <w:r>
        <w:rPr>
          <w:rFonts w:cs="Times New Roman"/>
          <w:i/>
          <w:szCs w:val="26"/>
        </w:rPr>
        <w:t>a. PU</w:t>
      </w:r>
      <w:r w:rsidRPr="005006EF">
        <w:rPr>
          <w:rFonts w:cs="Times New Roman"/>
          <w:i/>
          <w:szCs w:val="26"/>
        </w:rPr>
        <w:t>C.</w:t>
      </w:r>
      <w:r w:rsidRPr="005006EF">
        <w:rPr>
          <w:rFonts w:cs="Times New Roman"/>
          <w:szCs w:val="26"/>
        </w:rPr>
        <w:t xml:space="preserve"> </w:t>
      </w:r>
      <w:r>
        <w:rPr>
          <w:rFonts w:cs="Times New Roman"/>
          <w:szCs w:val="26"/>
        </w:rPr>
        <w:t>550 Pa. 449, 706 A.2d 1197 (1997)</w:t>
      </w:r>
      <w:r w:rsidRPr="005006EF">
        <w:rPr>
          <w:rFonts w:cs="Times New Roman"/>
          <w:szCs w:val="26"/>
        </w:rPr>
        <w:t>.</w:t>
      </w:r>
      <w:r>
        <w:rPr>
          <w:rFonts w:cs="Times New Roman"/>
          <w:szCs w:val="26"/>
        </w:rPr>
        <w:t xml:space="preserve">  Columbia submits that the proposed adjustment would violate the Internal Revenue C</w:t>
      </w:r>
      <w:r w:rsidRPr="00B73527">
        <w:rPr>
          <w:rFonts w:cs="Times New Roman"/>
          <w:szCs w:val="26"/>
        </w:rPr>
        <w:t>ode, the U</w:t>
      </w:r>
      <w:r>
        <w:rPr>
          <w:rFonts w:cs="Times New Roman"/>
          <w:szCs w:val="26"/>
        </w:rPr>
        <w:t>.</w:t>
      </w:r>
      <w:r w:rsidRPr="00B73527">
        <w:rPr>
          <w:rFonts w:cs="Times New Roman"/>
          <w:szCs w:val="26"/>
        </w:rPr>
        <w:t>S</w:t>
      </w:r>
      <w:r>
        <w:rPr>
          <w:rFonts w:cs="Times New Roman"/>
          <w:szCs w:val="26"/>
        </w:rPr>
        <w:t>.</w:t>
      </w:r>
      <w:r w:rsidRPr="00B73527">
        <w:rPr>
          <w:rFonts w:cs="Times New Roman"/>
          <w:szCs w:val="26"/>
        </w:rPr>
        <w:t xml:space="preserve"> Constitution, GAAP and generally accepted ratemaking principles.</w:t>
      </w:r>
      <w:r>
        <w:rPr>
          <w:rFonts w:cs="Times New Roman"/>
          <w:szCs w:val="26"/>
        </w:rPr>
        <w:t xml:space="preserve">  </w:t>
      </w:r>
      <w:r w:rsidRPr="00616F11">
        <w:rPr>
          <w:rFonts w:cs="Times New Roman"/>
          <w:i/>
          <w:szCs w:val="26"/>
        </w:rPr>
        <w:t>Id</w:t>
      </w:r>
      <w:r>
        <w:rPr>
          <w:rFonts w:cs="Times New Roman"/>
          <w:szCs w:val="26"/>
        </w:rPr>
        <w:t>. at 7.</w:t>
      </w:r>
    </w:p>
    <w:p w:rsidR="004F0789" w:rsidRDefault="004F0789" w:rsidP="004F0789">
      <w:pPr>
        <w:contextualSpacing/>
        <w:rPr>
          <w:rFonts w:cs="Times New Roman"/>
          <w:szCs w:val="26"/>
        </w:rPr>
      </w:pPr>
    </w:p>
    <w:p w:rsidR="003C1ED4" w:rsidRDefault="004F0789" w:rsidP="004F0789">
      <w:pPr>
        <w:contextualSpacing/>
        <w:rPr>
          <w:rFonts w:cs="Times New Roman"/>
          <w:szCs w:val="26"/>
        </w:rPr>
      </w:pPr>
      <w:r>
        <w:rPr>
          <w:rFonts w:cs="Times New Roman"/>
          <w:szCs w:val="26"/>
        </w:rPr>
        <w:t xml:space="preserve">Columbia asserts that, since the </w:t>
      </w:r>
      <w:r w:rsidRPr="007E643B">
        <w:rPr>
          <w:rFonts w:cs="Times New Roman"/>
          <w:i/>
          <w:szCs w:val="26"/>
        </w:rPr>
        <w:t>1993 PennVest Order</w:t>
      </w:r>
      <w:r w:rsidRPr="00B73527">
        <w:rPr>
          <w:rFonts w:cs="Times New Roman"/>
          <w:szCs w:val="26"/>
        </w:rPr>
        <w:t xml:space="preserve">, </w:t>
      </w:r>
      <w:r>
        <w:rPr>
          <w:rFonts w:cs="Times New Roman"/>
          <w:szCs w:val="26"/>
        </w:rPr>
        <w:t xml:space="preserve">it </w:t>
      </w:r>
      <w:r w:rsidRPr="00B73527">
        <w:rPr>
          <w:rFonts w:cs="Times New Roman"/>
          <w:szCs w:val="26"/>
        </w:rPr>
        <w:t>has kept its books and ta</w:t>
      </w:r>
      <w:r>
        <w:rPr>
          <w:rFonts w:cs="Times New Roman"/>
          <w:szCs w:val="26"/>
        </w:rPr>
        <w:t>x accounts in reliance upon rate base</w:t>
      </w:r>
      <w:r w:rsidRPr="00B73527">
        <w:rPr>
          <w:rFonts w:cs="Times New Roman"/>
          <w:szCs w:val="26"/>
        </w:rPr>
        <w:t xml:space="preserve"> treatment</w:t>
      </w:r>
      <w:r>
        <w:rPr>
          <w:rFonts w:cs="Times New Roman"/>
          <w:szCs w:val="26"/>
        </w:rPr>
        <w:t xml:space="preserve"> of the PennVest plant.  Now, twenty years later, </w:t>
      </w:r>
      <w:r w:rsidRPr="00B73527">
        <w:rPr>
          <w:rFonts w:cs="Times New Roman"/>
          <w:szCs w:val="26"/>
        </w:rPr>
        <w:t xml:space="preserve">I&amp;E and </w:t>
      </w:r>
      <w:r>
        <w:rPr>
          <w:rFonts w:cs="Times New Roman"/>
          <w:szCs w:val="26"/>
        </w:rPr>
        <w:t xml:space="preserve">the </w:t>
      </w:r>
      <w:r w:rsidRPr="00B73527">
        <w:rPr>
          <w:rFonts w:cs="Times New Roman"/>
          <w:szCs w:val="26"/>
        </w:rPr>
        <w:t xml:space="preserve">OCA </w:t>
      </w:r>
      <w:r>
        <w:rPr>
          <w:rFonts w:cs="Times New Roman"/>
          <w:szCs w:val="26"/>
        </w:rPr>
        <w:t>“</w:t>
      </w:r>
      <w:r w:rsidRPr="00B73527">
        <w:rPr>
          <w:rFonts w:cs="Times New Roman"/>
          <w:szCs w:val="26"/>
        </w:rPr>
        <w:t xml:space="preserve">want to retroactively unwind that by essentially removing </w:t>
      </w:r>
      <w:r w:rsidRPr="00B73527">
        <w:rPr>
          <w:rFonts w:cs="Times New Roman"/>
          <w:szCs w:val="26"/>
        </w:rPr>
        <w:lastRenderedPageBreak/>
        <w:t>that plant – which they admit is used and useful – from the Company</w:t>
      </w:r>
      <w:r>
        <w:rPr>
          <w:rFonts w:cs="Times New Roman"/>
          <w:szCs w:val="26"/>
        </w:rPr>
        <w:t>’</w:t>
      </w:r>
      <w:r w:rsidRPr="00B73527">
        <w:rPr>
          <w:rFonts w:cs="Times New Roman"/>
          <w:szCs w:val="26"/>
        </w:rPr>
        <w:t>s rate base and therefore books.</w:t>
      </w:r>
      <w:r>
        <w:rPr>
          <w:rFonts w:cs="Times New Roman"/>
          <w:szCs w:val="26"/>
        </w:rPr>
        <w:t xml:space="preserve">”  </w:t>
      </w:r>
      <w:r w:rsidRPr="00616F11">
        <w:rPr>
          <w:rFonts w:cs="Times New Roman"/>
          <w:i/>
          <w:szCs w:val="26"/>
        </w:rPr>
        <w:t>Id</w:t>
      </w:r>
      <w:r>
        <w:rPr>
          <w:rFonts w:cs="Times New Roman"/>
          <w:szCs w:val="26"/>
        </w:rPr>
        <w:t xml:space="preserve">.  Columbia submits that, to remove this plant from </w:t>
      </w:r>
      <w:r w:rsidRPr="00B73527">
        <w:rPr>
          <w:rFonts w:cs="Times New Roman"/>
          <w:szCs w:val="26"/>
        </w:rPr>
        <w:t>rate base and the Company</w:t>
      </w:r>
      <w:r>
        <w:rPr>
          <w:rFonts w:cs="Times New Roman"/>
          <w:szCs w:val="26"/>
        </w:rPr>
        <w:t>’</w:t>
      </w:r>
      <w:r w:rsidRPr="00B73527">
        <w:rPr>
          <w:rFonts w:cs="Times New Roman"/>
          <w:szCs w:val="26"/>
        </w:rPr>
        <w:t>s books (</w:t>
      </w:r>
      <w:r w:rsidRPr="00C12368">
        <w:rPr>
          <w:rFonts w:cs="Times New Roman"/>
          <w:i/>
          <w:szCs w:val="26"/>
        </w:rPr>
        <w:t>i.e.</w:t>
      </w:r>
      <w:r w:rsidRPr="00B73527">
        <w:rPr>
          <w:rFonts w:cs="Times New Roman"/>
          <w:szCs w:val="26"/>
        </w:rPr>
        <w:t xml:space="preserve"> r</w:t>
      </w:r>
      <w:r>
        <w:rPr>
          <w:rFonts w:cs="Times New Roman"/>
          <w:szCs w:val="26"/>
        </w:rPr>
        <w:t xml:space="preserve">eflect a zero value), </w:t>
      </w:r>
      <w:r w:rsidRPr="00B73527">
        <w:rPr>
          <w:rFonts w:cs="Times New Roman"/>
          <w:szCs w:val="26"/>
        </w:rPr>
        <w:t xml:space="preserve">only two accounting methods </w:t>
      </w:r>
      <w:r>
        <w:rPr>
          <w:rFonts w:cs="Times New Roman"/>
          <w:szCs w:val="26"/>
        </w:rPr>
        <w:t xml:space="preserve">are available, and neither </w:t>
      </w:r>
      <w:r w:rsidRPr="00B73527">
        <w:rPr>
          <w:rFonts w:cs="Times New Roman"/>
          <w:szCs w:val="26"/>
        </w:rPr>
        <w:t>appear</w:t>
      </w:r>
      <w:r>
        <w:rPr>
          <w:rFonts w:cs="Times New Roman"/>
          <w:szCs w:val="26"/>
        </w:rPr>
        <w:t>s to be</w:t>
      </w:r>
      <w:r w:rsidRPr="00B73527">
        <w:rPr>
          <w:rFonts w:cs="Times New Roman"/>
          <w:szCs w:val="26"/>
        </w:rPr>
        <w:t xml:space="preserve"> lawful or </w:t>
      </w:r>
      <w:r>
        <w:rPr>
          <w:rFonts w:cs="Times New Roman"/>
          <w:szCs w:val="26"/>
        </w:rPr>
        <w:t>generally accepted.  According to Columbia, b</w:t>
      </w:r>
      <w:r w:rsidRPr="00B73527">
        <w:rPr>
          <w:rFonts w:cs="Times New Roman"/>
          <w:szCs w:val="26"/>
        </w:rPr>
        <w:t xml:space="preserve">oth have adverse legal consequences that I&amp;E and </w:t>
      </w:r>
      <w:r>
        <w:rPr>
          <w:rFonts w:cs="Times New Roman"/>
          <w:szCs w:val="26"/>
        </w:rPr>
        <w:t xml:space="preserve">the </w:t>
      </w:r>
      <w:r w:rsidRPr="00B73527">
        <w:rPr>
          <w:rFonts w:cs="Times New Roman"/>
          <w:szCs w:val="26"/>
        </w:rPr>
        <w:t>OCA blithely fail</w:t>
      </w:r>
      <w:r>
        <w:rPr>
          <w:rFonts w:cs="Times New Roman"/>
          <w:szCs w:val="26"/>
        </w:rPr>
        <w:t xml:space="preserve">ed to consider and </w:t>
      </w:r>
    </w:p>
    <w:p w:rsidR="004F0789" w:rsidRDefault="004F0789" w:rsidP="003C1ED4">
      <w:pPr>
        <w:ind w:firstLine="0"/>
        <w:contextualSpacing/>
        <w:rPr>
          <w:rFonts w:cs="Times New Roman"/>
          <w:szCs w:val="26"/>
        </w:rPr>
      </w:pPr>
      <w:r>
        <w:rPr>
          <w:rFonts w:cs="Times New Roman"/>
          <w:szCs w:val="26"/>
        </w:rPr>
        <w:t xml:space="preserve">address.  </w:t>
      </w:r>
      <w:r w:rsidRPr="00616F11">
        <w:rPr>
          <w:rFonts w:cs="Times New Roman"/>
          <w:i/>
          <w:szCs w:val="26"/>
        </w:rPr>
        <w:t>Id</w:t>
      </w:r>
      <w:r>
        <w:rPr>
          <w:rFonts w:cs="Times New Roman"/>
          <w:szCs w:val="26"/>
        </w:rPr>
        <w:t>.</w:t>
      </w:r>
    </w:p>
    <w:p w:rsidR="00677582" w:rsidRDefault="00677582" w:rsidP="004F0789">
      <w:pPr>
        <w:contextualSpacing/>
        <w:rPr>
          <w:rFonts w:cs="Times New Roman"/>
          <w:szCs w:val="26"/>
        </w:rPr>
      </w:pPr>
    </w:p>
    <w:p w:rsidR="004F0789" w:rsidRPr="00C20399" w:rsidRDefault="004F0789" w:rsidP="004F0789">
      <w:pPr>
        <w:contextualSpacing/>
        <w:rPr>
          <w:rFonts w:cs="Times New Roman"/>
          <w:b/>
          <w:szCs w:val="26"/>
        </w:rPr>
      </w:pPr>
      <w:r>
        <w:rPr>
          <w:rFonts w:cs="Times New Roman"/>
          <w:szCs w:val="26"/>
        </w:rPr>
        <w:t>Columbia argues that the proposed adjustment would force Columbia to take one of two accounting actions.</w:t>
      </w:r>
      <w:r>
        <w:rPr>
          <w:rFonts w:cs="Times New Roman"/>
          <w:b/>
          <w:szCs w:val="26"/>
        </w:rPr>
        <w:t xml:space="preserve">  </w:t>
      </w:r>
      <w:r>
        <w:rPr>
          <w:rFonts w:cs="Times New Roman"/>
          <w:szCs w:val="26"/>
        </w:rPr>
        <w:t xml:space="preserve">One option would be </w:t>
      </w:r>
      <w:r w:rsidRPr="00B73527">
        <w:rPr>
          <w:rFonts w:cs="Times New Roman"/>
          <w:szCs w:val="26"/>
        </w:rPr>
        <w:t xml:space="preserve">to reflect the PennVest </w:t>
      </w:r>
      <w:r>
        <w:rPr>
          <w:rFonts w:cs="Times New Roman"/>
          <w:szCs w:val="26"/>
        </w:rPr>
        <w:t xml:space="preserve">adjustment </w:t>
      </w:r>
      <w:r w:rsidRPr="00B73527">
        <w:rPr>
          <w:rFonts w:cs="Times New Roman"/>
          <w:szCs w:val="26"/>
        </w:rPr>
        <w:t xml:space="preserve">as a </w:t>
      </w:r>
      <w:r>
        <w:rPr>
          <w:rFonts w:cs="Times New Roman"/>
          <w:szCs w:val="26"/>
        </w:rPr>
        <w:t>retroactive c</w:t>
      </w:r>
      <w:r w:rsidRPr="00B73527">
        <w:rPr>
          <w:rFonts w:cs="Times New Roman"/>
          <w:szCs w:val="26"/>
        </w:rPr>
        <w:t>ontribution</w:t>
      </w:r>
      <w:r>
        <w:rPr>
          <w:rFonts w:cs="Times New Roman"/>
          <w:szCs w:val="26"/>
        </w:rPr>
        <w:t xml:space="preserve"> in aid of construction;</w:t>
      </w:r>
      <w:r w:rsidRPr="00B73527">
        <w:rPr>
          <w:rFonts w:cs="Times New Roman"/>
          <w:szCs w:val="26"/>
        </w:rPr>
        <w:t xml:space="preserve"> </w:t>
      </w:r>
      <w:r>
        <w:rPr>
          <w:rFonts w:cs="Times New Roman"/>
          <w:szCs w:val="26"/>
        </w:rPr>
        <w:t>however, “</w:t>
      </w:r>
      <w:r w:rsidRPr="00B73527">
        <w:rPr>
          <w:rFonts w:cs="Times New Roman"/>
          <w:szCs w:val="26"/>
        </w:rPr>
        <w:t>the repayment of a loan with proceeds from rates does not meet that test under any accounting or Uniform System of Accounts since a CIAC must be given up front by a customer or developer for a utility to fund and install facilities.</w:t>
      </w:r>
      <w:r>
        <w:rPr>
          <w:rFonts w:cs="Times New Roman"/>
          <w:szCs w:val="26"/>
        </w:rPr>
        <w:t xml:space="preserve">”  </w:t>
      </w:r>
      <w:r w:rsidRPr="00616F11">
        <w:rPr>
          <w:rFonts w:cs="Times New Roman"/>
          <w:i/>
          <w:szCs w:val="26"/>
        </w:rPr>
        <w:t>Id</w:t>
      </w:r>
      <w:r>
        <w:rPr>
          <w:rFonts w:cs="Times New Roman"/>
          <w:szCs w:val="26"/>
        </w:rPr>
        <w:t>.</w:t>
      </w:r>
      <w:r w:rsidRPr="00B73527">
        <w:rPr>
          <w:rFonts w:cs="Times New Roman"/>
          <w:szCs w:val="26"/>
        </w:rPr>
        <w:t xml:space="preserve">  </w:t>
      </w:r>
      <w:r w:rsidRPr="004D105C">
        <w:rPr>
          <w:rFonts w:cs="Times New Roman"/>
          <w:szCs w:val="26"/>
        </w:rPr>
        <w:t>Columbia asserts that</w:t>
      </w:r>
      <w:r>
        <w:rPr>
          <w:rFonts w:cs="Times New Roman"/>
          <w:szCs w:val="26"/>
        </w:rPr>
        <w:t xml:space="preserve"> </w:t>
      </w:r>
      <w:r w:rsidRPr="00B73527">
        <w:rPr>
          <w:rFonts w:cs="Times New Roman"/>
          <w:szCs w:val="26"/>
        </w:rPr>
        <w:t xml:space="preserve">the use of monies from rates to repay a loan has </w:t>
      </w:r>
      <w:r w:rsidRPr="004D105C">
        <w:rPr>
          <w:rFonts w:cs="Times New Roman"/>
          <w:szCs w:val="26"/>
        </w:rPr>
        <w:t>never</w:t>
      </w:r>
      <w:r w:rsidRPr="00B73527">
        <w:rPr>
          <w:rFonts w:cs="Times New Roman"/>
          <w:szCs w:val="26"/>
        </w:rPr>
        <w:t xml:space="preserve"> been deemed to be a retroactive CIAC; rather it is debt financing by the Company that is built into the </w:t>
      </w:r>
      <w:r>
        <w:rPr>
          <w:rFonts w:cs="Times New Roman"/>
          <w:szCs w:val="26"/>
        </w:rPr>
        <w:t>total cost of service.  According to Columbia, if the “</w:t>
      </w:r>
      <w:r w:rsidRPr="00B73527">
        <w:rPr>
          <w:rFonts w:cs="Times New Roman"/>
          <w:szCs w:val="26"/>
        </w:rPr>
        <w:t xml:space="preserve">unorthodox theory </w:t>
      </w:r>
      <w:r>
        <w:rPr>
          <w:rFonts w:cs="Times New Roman"/>
          <w:szCs w:val="26"/>
        </w:rPr>
        <w:t xml:space="preserve">[of I&amp;E and the OCA] </w:t>
      </w:r>
      <w:r w:rsidRPr="00B73527">
        <w:rPr>
          <w:rFonts w:cs="Times New Roman"/>
          <w:szCs w:val="26"/>
        </w:rPr>
        <w:t xml:space="preserve">were correct, then when </w:t>
      </w:r>
      <w:r w:rsidRPr="004D105C">
        <w:rPr>
          <w:rFonts w:cs="Times New Roman"/>
          <w:szCs w:val="26"/>
        </w:rPr>
        <w:t>any utility paid off a loan using monies from rates then that plant</w:t>
      </w:r>
      <w:r>
        <w:rPr>
          <w:rFonts w:cs="Times New Roman"/>
          <w:szCs w:val="26"/>
        </w:rPr>
        <w:t>’</w:t>
      </w:r>
      <w:r w:rsidRPr="004D105C">
        <w:rPr>
          <w:rFonts w:cs="Times New Roman"/>
          <w:szCs w:val="26"/>
        </w:rPr>
        <w:t>s useful and depreciable life would be irrelevant and the plant would come out of rate base as a retroactive CIAC.</w:t>
      </w:r>
      <w:r>
        <w:rPr>
          <w:rFonts w:cs="Times New Roman"/>
          <w:szCs w:val="26"/>
        </w:rPr>
        <w:t xml:space="preserve">”  </w:t>
      </w:r>
      <w:r w:rsidRPr="004D105C">
        <w:rPr>
          <w:rFonts w:cs="Times New Roman"/>
          <w:i/>
          <w:szCs w:val="26"/>
        </w:rPr>
        <w:t>Id</w:t>
      </w:r>
      <w:r w:rsidR="003E7AED">
        <w:rPr>
          <w:rFonts w:cs="Times New Roman"/>
          <w:szCs w:val="26"/>
        </w:rPr>
        <w:t xml:space="preserve">. </w:t>
      </w:r>
      <w:r>
        <w:rPr>
          <w:rFonts w:cs="Times New Roman"/>
          <w:szCs w:val="26"/>
        </w:rPr>
        <w:t>(emphasis omitted).</w:t>
      </w:r>
      <w:r w:rsidRPr="00B73527">
        <w:rPr>
          <w:rFonts w:cs="Times New Roman"/>
          <w:b/>
          <w:szCs w:val="26"/>
        </w:rPr>
        <w:t xml:space="preserve">  </w:t>
      </w:r>
      <w:r>
        <w:rPr>
          <w:rFonts w:cs="Times New Roman"/>
          <w:szCs w:val="26"/>
        </w:rPr>
        <w:t xml:space="preserve">Columbia argues that a retroactive CIAC </w:t>
      </w:r>
      <w:r w:rsidRPr="00B73527">
        <w:rPr>
          <w:rFonts w:cs="Times New Roman"/>
          <w:szCs w:val="26"/>
        </w:rPr>
        <w:t>would create</w:t>
      </w:r>
      <w:r>
        <w:rPr>
          <w:rFonts w:cs="Times New Roman"/>
          <w:szCs w:val="26"/>
        </w:rPr>
        <w:t xml:space="preserve"> financial chaos, since </w:t>
      </w:r>
      <w:r w:rsidRPr="004F4736">
        <w:rPr>
          <w:rFonts w:cs="Times New Roman"/>
          <w:szCs w:val="26"/>
        </w:rPr>
        <w:t xml:space="preserve">the Company would have been taxed improperly since 1993, and neither I&amp;E nor </w:t>
      </w:r>
      <w:r>
        <w:rPr>
          <w:rFonts w:cs="Times New Roman"/>
          <w:szCs w:val="26"/>
        </w:rPr>
        <w:t xml:space="preserve">the </w:t>
      </w:r>
      <w:r w:rsidRPr="004F4736">
        <w:rPr>
          <w:rFonts w:cs="Times New Roman"/>
          <w:szCs w:val="26"/>
        </w:rPr>
        <w:t xml:space="preserve">OCA </w:t>
      </w:r>
      <w:r>
        <w:rPr>
          <w:rFonts w:cs="Times New Roman"/>
          <w:szCs w:val="26"/>
        </w:rPr>
        <w:t xml:space="preserve">has </w:t>
      </w:r>
      <w:r w:rsidRPr="004F4736">
        <w:rPr>
          <w:rFonts w:cs="Times New Roman"/>
          <w:szCs w:val="26"/>
        </w:rPr>
        <w:t>offe</w:t>
      </w:r>
      <w:r>
        <w:rPr>
          <w:rFonts w:cs="Times New Roman"/>
          <w:szCs w:val="26"/>
        </w:rPr>
        <w:t>red</w:t>
      </w:r>
      <w:r w:rsidRPr="004F4736">
        <w:rPr>
          <w:rFonts w:cs="Times New Roman"/>
          <w:szCs w:val="26"/>
        </w:rPr>
        <w:t xml:space="preserve"> any solution a</w:t>
      </w:r>
      <w:r>
        <w:rPr>
          <w:rFonts w:cs="Times New Roman"/>
          <w:szCs w:val="26"/>
        </w:rPr>
        <w:t xml:space="preserve">s to how this might be accomplished </w:t>
      </w:r>
      <w:r w:rsidRPr="004F4736">
        <w:rPr>
          <w:rFonts w:cs="Times New Roman"/>
          <w:szCs w:val="26"/>
        </w:rPr>
        <w:t>und</w:t>
      </w:r>
      <w:r>
        <w:rPr>
          <w:rFonts w:cs="Times New Roman"/>
          <w:szCs w:val="26"/>
        </w:rPr>
        <w:t xml:space="preserve">er the Tax Code.  </w:t>
      </w:r>
      <w:r w:rsidRPr="00C20399">
        <w:rPr>
          <w:rFonts w:cs="Times New Roman"/>
          <w:i/>
          <w:szCs w:val="26"/>
        </w:rPr>
        <w:t>Id</w:t>
      </w:r>
      <w:r>
        <w:rPr>
          <w:rFonts w:cs="Times New Roman"/>
          <w:szCs w:val="26"/>
        </w:rPr>
        <w:t>., n. 6</w:t>
      </w:r>
    </w:p>
    <w:p w:rsidR="004F0789" w:rsidRPr="004D105C" w:rsidRDefault="004F0789" w:rsidP="004F0789">
      <w:pPr>
        <w:contextualSpacing/>
        <w:rPr>
          <w:rFonts w:cs="Times New Roman"/>
          <w:szCs w:val="26"/>
        </w:rPr>
      </w:pPr>
    </w:p>
    <w:p w:rsidR="004F0789" w:rsidRDefault="004F0789" w:rsidP="004F0789">
      <w:pPr>
        <w:contextualSpacing/>
        <w:rPr>
          <w:rFonts w:cs="Times New Roman"/>
          <w:szCs w:val="26"/>
        </w:rPr>
      </w:pPr>
      <w:r>
        <w:rPr>
          <w:rFonts w:cs="Times New Roman"/>
          <w:szCs w:val="26"/>
        </w:rPr>
        <w:t xml:space="preserve">Columbia asserts that </w:t>
      </w:r>
      <w:r w:rsidRPr="00B73527">
        <w:rPr>
          <w:rFonts w:cs="Times New Roman"/>
          <w:szCs w:val="26"/>
        </w:rPr>
        <w:t>the only oth</w:t>
      </w:r>
      <w:r>
        <w:rPr>
          <w:rFonts w:cs="Times New Roman"/>
          <w:szCs w:val="26"/>
        </w:rPr>
        <w:t>er way to remove</w:t>
      </w:r>
      <w:r w:rsidRPr="00B73527">
        <w:rPr>
          <w:rFonts w:cs="Times New Roman"/>
          <w:szCs w:val="26"/>
        </w:rPr>
        <w:t xml:space="preserve"> the PennVest plant from rate base and the Company</w:t>
      </w:r>
      <w:r>
        <w:rPr>
          <w:rFonts w:cs="Times New Roman"/>
          <w:szCs w:val="26"/>
        </w:rPr>
        <w:t>’</w:t>
      </w:r>
      <w:r w:rsidRPr="00B73527">
        <w:rPr>
          <w:rFonts w:cs="Times New Roman"/>
          <w:szCs w:val="26"/>
        </w:rPr>
        <w:t>s books is t</w:t>
      </w:r>
      <w:r>
        <w:rPr>
          <w:rFonts w:cs="Times New Roman"/>
          <w:szCs w:val="26"/>
        </w:rPr>
        <w:t xml:space="preserve">o somehow show that it was </w:t>
      </w:r>
      <w:r w:rsidRPr="00B73527">
        <w:rPr>
          <w:rFonts w:cs="Times New Roman"/>
          <w:szCs w:val="26"/>
        </w:rPr>
        <w:t xml:space="preserve">depreciated over </w:t>
      </w:r>
      <w:r>
        <w:rPr>
          <w:rFonts w:cs="Times New Roman"/>
          <w:szCs w:val="26"/>
        </w:rPr>
        <w:t>twenty</w:t>
      </w:r>
      <w:r w:rsidRPr="00B73527">
        <w:rPr>
          <w:rFonts w:cs="Times New Roman"/>
          <w:szCs w:val="26"/>
        </w:rPr>
        <w:t xml:space="preserve"> yea</w:t>
      </w:r>
      <w:r>
        <w:rPr>
          <w:rFonts w:cs="Times New Roman"/>
          <w:szCs w:val="26"/>
        </w:rPr>
        <w:t>rs or the life of the loan.  Columbia asserts that this would result</w:t>
      </w:r>
      <w:r w:rsidRPr="00B73527">
        <w:rPr>
          <w:rFonts w:cs="Times New Roman"/>
          <w:szCs w:val="26"/>
        </w:rPr>
        <w:t xml:space="preserve"> in two ille</w:t>
      </w:r>
      <w:r>
        <w:rPr>
          <w:rFonts w:cs="Times New Roman"/>
          <w:szCs w:val="26"/>
        </w:rPr>
        <w:t xml:space="preserve">galities.  First, Columbia states that, under the Internal Revenue </w:t>
      </w:r>
      <w:r w:rsidRPr="00B73527">
        <w:rPr>
          <w:rFonts w:cs="Times New Roman"/>
          <w:szCs w:val="26"/>
        </w:rPr>
        <w:t>Code</w:t>
      </w:r>
      <w:r>
        <w:rPr>
          <w:rFonts w:cs="Times New Roman"/>
          <w:szCs w:val="26"/>
        </w:rPr>
        <w:t>, the facilities cannot be depreciated – even using accelerated depreciation – over a period less than twenty-five</w:t>
      </w:r>
      <w:r w:rsidRPr="00B73527">
        <w:rPr>
          <w:rFonts w:cs="Times New Roman"/>
          <w:szCs w:val="26"/>
        </w:rPr>
        <w:t xml:space="preserve"> years, because the </w:t>
      </w:r>
      <w:r w:rsidRPr="00B73527">
        <w:rPr>
          <w:rFonts w:cs="Times New Roman"/>
          <w:szCs w:val="26"/>
        </w:rPr>
        <w:lastRenderedPageBreak/>
        <w:t>“applicable r</w:t>
      </w:r>
      <w:r>
        <w:rPr>
          <w:rFonts w:cs="Times New Roman"/>
          <w:szCs w:val="26"/>
        </w:rPr>
        <w:t>ecovery period” is twenty-five</w:t>
      </w:r>
      <w:r w:rsidRPr="00B73527">
        <w:rPr>
          <w:rFonts w:cs="Times New Roman"/>
          <w:szCs w:val="26"/>
        </w:rPr>
        <w:t xml:space="preserve"> years.</w:t>
      </w:r>
      <w:r w:rsidRPr="00B73527">
        <w:rPr>
          <w:rStyle w:val="FootnoteReference"/>
          <w:rFonts w:cs="Times New Roman"/>
          <w:szCs w:val="26"/>
        </w:rPr>
        <w:footnoteReference w:id="9"/>
      </w:r>
      <w:r>
        <w:rPr>
          <w:rFonts w:cs="Times New Roman"/>
          <w:szCs w:val="26"/>
        </w:rPr>
        <w:t xml:space="preserve">  </w:t>
      </w:r>
      <w:r w:rsidRPr="00B73527">
        <w:rPr>
          <w:rFonts w:cs="Times New Roman"/>
          <w:szCs w:val="26"/>
        </w:rPr>
        <w:t xml:space="preserve">Second, </w:t>
      </w:r>
      <w:r>
        <w:rPr>
          <w:rFonts w:cs="Times New Roman"/>
          <w:szCs w:val="26"/>
        </w:rPr>
        <w:t xml:space="preserve">Columbia states that, in the </w:t>
      </w:r>
      <w:r w:rsidRPr="00167204">
        <w:rPr>
          <w:rFonts w:cs="Times New Roman"/>
          <w:i/>
          <w:szCs w:val="26"/>
        </w:rPr>
        <w:t>1993 PennVest</w:t>
      </w:r>
      <w:r>
        <w:rPr>
          <w:rFonts w:cs="Times New Roman"/>
          <w:i/>
          <w:szCs w:val="26"/>
        </w:rPr>
        <w:t xml:space="preserve"> </w:t>
      </w:r>
      <w:r w:rsidRPr="00167204">
        <w:rPr>
          <w:rFonts w:cs="Times New Roman"/>
          <w:i/>
          <w:szCs w:val="26"/>
        </w:rPr>
        <w:t>Order</w:t>
      </w:r>
      <w:r>
        <w:rPr>
          <w:rFonts w:cs="Times New Roman"/>
          <w:szCs w:val="26"/>
        </w:rPr>
        <w:t xml:space="preserve">, </w:t>
      </w:r>
      <w:r w:rsidRPr="00B73527">
        <w:rPr>
          <w:rFonts w:cs="Times New Roman"/>
          <w:szCs w:val="26"/>
        </w:rPr>
        <w:t>the Commission directed ordinary rate base/rate of ret</w:t>
      </w:r>
      <w:r>
        <w:rPr>
          <w:rFonts w:cs="Times New Roman"/>
          <w:szCs w:val="26"/>
        </w:rPr>
        <w:t xml:space="preserve">urn </w:t>
      </w:r>
      <w:r w:rsidRPr="00B73527">
        <w:rPr>
          <w:rFonts w:cs="Times New Roman"/>
          <w:szCs w:val="26"/>
        </w:rPr>
        <w:t>treatment</w:t>
      </w:r>
      <w:r>
        <w:rPr>
          <w:rFonts w:cs="Times New Roman"/>
          <w:szCs w:val="26"/>
        </w:rPr>
        <w:t xml:space="preserve">, which </w:t>
      </w:r>
      <w:r w:rsidRPr="00B73527">
        <w:rPr>
          <w:rFonts w:cs="Times New Roman"/>
          <w:szCs w:val="26"/>
        </w:rPr>
        <w:t>does not provide for accelerated depreciation</w:t>
      </w:r>
      <w:r>
        <w:rPr>
          <w:rFonts w:cs="Times New Roman"/>
          <w:szCs w:val="26"/>
        </w:rPr>
        <w:t xml:space="preserve">.  </w:t>
      </w:r>
      <w:r w:rsidRPr="00167204">
        <w:rPr>
          <w:rFonts w:cs="Times New Roman"/>
          <w:i/>
          <w:szCs w:val="26"/>
        </w:rPr>
        <w:t>Id</w:t>
      </w:r>
      <w:r>
        <w:rPr>
          <w:rFonts w:cs="Times New Roman"/>
          <w:szCs w:val="26"/>
        </w:rPr>
        <w:t>. at 8.</w:t>
      </w:r>
    </w:p>
    <w:p w:rsidR="004F0789" w:rsidRDefault="004F0789" w:rsidP="004F0789">
      <w:pPr>
        <w:ind w:right="720"/>
        <w:contextualSpacing/>
        <w:rPr>
          <w:rFonts w:cs="Times New Roman"/>
          <w:szCs w:val="26"/>
        </w:rPr>
      </w:pPr>
    </w:p>
    <w:p w:rsidR="004F0789" w:rsidRDefault="004F0789" w:rsidP="004F0789">
      <w:pPr>
        <w:ind w:right="720"/>
        <w:contextualSpacing/>
        <w:rPr>
          <w:rFonts w:cs="Times New Roman"/>
          <w:szCs w:val="26"/>
        </w:rPr>
      </w:pPr>
      <w:r>
        <w:rPr>
          <w:rFonts w:cs="Times New Roman"/>
          <w:szCs w:val="26"/>
        </w:rPr>
        <w:t xml:space="preserve">In addition, Columbia argues that the adjustment proposed by </w:t>
      </w:r>
      <w:r w:rsidRPr="00B73527">
        <w:rPr>
          <w:rFonts w:cs="Times New Roman"/>
          <w:szCs w:val="26"/>
        </w:rPr>
        <w:t xml:space="preserve">I&amp;E and </w:t>
      </w:r>
      <w:r>
        <w:rPr>
          <w:rFonts w:cs="Times New Roman"/>
          <w:szCs w:val="26"/>
        </w:rPr>
        <w:t xml:space="preserve">the </w:t>
      </w:r>
      <w:r w:rsidRPr="00B73527">
        <w:rPr>
          <w:rFonts w:cs="Times New Roman"/>
          <w:szCs w:val="26"/>
        </w:rPr>
        <w:t xml:space="preserve">OCA </w:t>
      </w:r>
      <w:r>
        <w:rPr>
          <w:rFonts w:cs="Times New Roman"/>
          <w:szCs w:val="26"/>
        </w:rPr>
        <w:t>would “</w:t>
      </w:r>
      <w:r w:rsidRPr="00B73527">
        <w:rPr>
          <w:rFonts w:cs="Times New Roman"/>
          <w:szCs w:val="26"/>
        </w:rPr>
        <w:t xml:space="preserve">completely </w:t>
      </w:r>
      <w:r>
        <w:rPr>
          <w:rFonts w:cs="Times New Roman"/>
          <w:szCs w:val="26"/>
        </w:rPr>
        <w:t xml:space="preserve">overrule” </w:t>
      </w:r>
      <w:r w:rsidRPr="00B73527">
        <w:rPr>
          <w:rFonts w:cs="Times New Roman"/>
          <w:i/>
          <w:szCs w:val="26"/>
        </w:rPr>
        <w:t xml:space="preserve">Hope </w:t>
      </w:r>
      <w:r w:rsidRPr="00B73527">
        <w:rPr>
          <w:rFonts w:cs="Times New Roman"/>
          <w:szCs w:val="26"/>
        </w:rPr>
        <w:t xml:space="preserve">and </w:t>
      </w:r>
      <w:r w:rsidRPr="00B73527">
        <w:rPr>
          <w:rFonts w:cs="Times New Roman"/>
          <w:i/>
          <w:szCs w:val="26"/>
        </w:rPr>
        <w:t>Bluefield</w:t>
      </w:r>
      <w:r>
        <w:rPr>
          <w:rFonts w:cs="Times New Roman"/>
          <w:szCs w:val="26"/>
        </w:rPr>
        <w:t xml:space="preserve">, which </w:t>
      </w:r>
      <w:r w:rsidRPr="00B73527">
        <w:rPr>
          <w:rFonts w:cs="Times New Roman"/>
          <w:szCs w:val="26"/>
        </w:rPr>
        <w:t>provide that a utility is entitled by</w:t>
      </w:r>
      <w:r>
        <w:rPr>
          <w:rFonts w:cs="Times New Roman"/>
          <w:szCs w:val="26"/>
        </w:rPr>
        <w:t xml:space="preserve"> law to </w:t>
      </w:r>
      <w:r w:rsidR="003E7AED">
        <w:rPr>
          <w:rFonts w:cs="Times New Roman"/>
          <w:szCs w:val="26"/>
        </w:rPr>
        <w:t xml:space="preserve">an opportunity to earn a </w:t>
      </w:r>
      <w:r>
        <w:rPr>
          <w:rFonts w:cs="Times New Roman"/>
          <w:szCs w:val="26"/>
        </w:rPr>
        <w:t>return on and return of</w:t>
      </w:r>
      <w:r w:rsidRPr="00B73527">
        <w:rPr>
          <w:rFonts w:cs="Times New Roman"/>
          <w:szCs w:val="26"/>
        </w:rPr>
        <w:t xml:space="preserve"> it</w:t>
      </w:r>
      <w:r>
        <w:rPr>
          <w:rFonts w:cs="Times New Roman"/>
          <w:szCs w:val="26"/>
        </w:rPr>
        <w:t xml:space="preserve">s investment in assets.  </w:t>
      </w:r>
      <w:r w:rsidRPr="004F4736">
        <w:rPr>
          <w:rFonts w:cs="Times New Roman"/>
          <w:i/>
          <w:szCs w:val="26"/>
        </w:rPr>
        <w:t>Id</w:t>
      </w:r>
      <w:r>
        <w:rPr>
          <w:rFonts w:cs="Times New Roman"/>
          <w:szCs w:val="26"/>
        </w:rPr>
        <w:t>.  Columbi</w:t>
      </w:r>
      <w:r w:rsidR="003E7AED">
        <w:rPr>
          <w:rFonts w:cs="Times New Roman"/>
          <w:szCs w:val="26"/>
        </w:rPr>
        <w:t>a submits that, taken to its logical conclusion</w:t>
      </w:r>
      <w:r>
        <w:rPr>
          <w:rFonts w:cs="Times New Roman"/>
          <w:szCs w:val="26"/>
        </w:rPr>
        <w:t xml:space="preserve">, the arguments of I&amp;E and the OCA could be applied to </w:t>
      </w:r>
      <w:r w:rsidR="003E7AED">
        <w:rPr>
          <w:rFonts w:cs="Times New Roman"/>
          <w:szCs w:val="26"/>
        </w:rPr>
        <w:t xml:space="preserve">a utility’s </w:t>
      </w:r>
      <w:r>
        <w:rPr>
          <w:rFonts w:cs="Times New Roman"/>
          <w:szCs w:val="26"/>
        </w:rPr>
        <w:t>equity-</w:t>
      </w:r>
      <w:r w:rsidRPr="00B73527">
        <w:rPr>
          <w:rFonts w:cs="Times New Roman"/>
          <w:szCs w:val="26"/>
        </w:rPr>
        <w:t>funded investment</w:t>
      </w:r>
      <w:r w:rsidR="003E7AED">
        <w:rPr>
          <w:rFonts w:cs="Times New Roman"/>
          <w:szCs w:val="26"/>
        </w:rPr>
        <w:t>s</w:t>
      </w:r>
      <w:r w:rsidRPr="00B73527">
        <w:rPr>
          <w:rFonts w:cs="Times New Roman"/>
          <w:szCs w:val="26"/>
        </w:rPr>
        <w:t>; for exam</w:t>
      </w:r>
      <w:r>
        <w:rPr>
          <w:rFonts w:cs="Times New Roman"/>
          <w:szCs w:val="26"/>
        </w:rPr>
        <w:t xml:space="preserve">ple, to plant financed with </w:t>
      </w:r>
      <w:r w:rsidRPr="00B73527">
        <w:rPr>
          <w:rFonts w:cs="Times New Roman"/>
          <w:szCs w:val="26"/>
        </w:rPr>
        <w:t>retained earnings (monies whose source was rates f</w:t>
      </w:r>
      <w:r>
        <w:rPr>
          <w:rFonts w:cs="Times New Roman"/>
          <w:szCs w:val="26"/>
        </w:rPr>
        <w:t>rom ratepayers)</w:t>
      </w:r>
      <w:r w:rsidRPr="00B73527">
        <w:rPr>
          <w:rFonts w:cs="Times New Roman"/>
          <w:szCs w:val="26"/>
        </w:rPr>
        <w:t>.</w:t>
      </w:r>
      <w:r>
        <w:rPr>
          <w:rFonts w:cs="Times New Roman"/>
          <w:szCs w:val="26"/>
        </w:rPr>
        <w:t xml:space="preserve">  </w:t>
      </w:r>
      <w:r w:rsidRPr="00167204">
        <w:rPr>
          <w:rFonts w:cs="Times New Roman"/>
          <w:i/>
          <w:szCs w:val="26"/>
        </w:rPr>
        <w:t>Id</w:t>
      </w:r>
      <w:r>
        <w:rPr>
          <w:rFonts w:cs="Times New Roman"/>
          <w:szCs w:val="26"/>
        </w:rPr>
        <w:t>.</w:t>
      </w:r>
    </w:p>
    <w:p w:rsidR="004F0789" w:rsidRPr="00B73527" w:rsidRDefault="004F0789" w:rsidP="004F0789">
      <w:pPr>
        <w:ind w:right="720"/>
        <w:contextualSpacing/>
        <w:rPr>
          <w:rFonts w:cs="Times New Roman"/>
          <w:szCs w:val="26"/>
        </w:rPr>
      </w:pPr>
    </w:p>
    <w:p w:rsidR="004F0789" w:rsidRDefault="004F0789" w:rsidP="004F0789">
      <w:pPr>
        <w:contextualSpacing/>
        <w:rPr>
          <w:rFonts w:cs="Times New Roman"/>
          <w:szCs w:val="26"/>
        </w:rPr>
      </w:pPr>
      <w:r>
        <w:rPr>
          <w:rFonts w:cs="Times New Roman"/>
          <w:szCs w:val="26"/>
        </w:rPr>
        <w:t xml:space="preserve">Columbia also argues that the </w:t>
      </w:r>
      <w:r w:rsidRPr="00B73527">
        <w:rPr>
          <w:rFonts w:cs="Times New Roman"/>
          <w:szCs w:val="26"/>
        </w:rPr>
        <w:t xml:space="preserve">retroactive adjustment </w:t>
      </w:r>
      <w:r>
        <w:rPr>
          <w:rFonts w:cs="Times New Roman"/>
          <w:szCs w:val="26"/>
        </w:rPr>
        <w:t xml:space="preserve">proposed </w:t>
      </w:r>
      <w:r w:rsidRPr="00B73527">
        <w:rPr>
          <w:rFonts w:cs="Times New Roman"/>
          <w:szCs w:val="26"/>
        </w:rPr>
        <w:t xml:space="preserve">by I&amp;E and </w:t>
      </w:r>
      <w:r>
        <w:rPr>
          <w:rFonts w:cs="Times New Roman"/>
          <w:szCs w:val="26"/>
        </w:rPr>
        <w:t xml:space="preserve">the OCA should be rejected based on </w:t>
      </w:r>
      <w:r w:rsidRPr="00B73527">
        <w:rPr>
          <w:rFonts w:cs="Times New Roman"/>
          <w:szCs w:val="26"/>
        </w:rPr>
        <w:t>the doctrine of laches or estop</w:t>
      </w:r>
      <w:r>
        <w:rPr>
          <w:rFonts w:cs="Times New Roman"/>
          <w:szCs w:val="26"/>
        </w:rPr>
        <w:t xml:space="preserve">pel.  Columbia submits that it </w:t>
      </w:r>
      <w:r w:rsidRPr="00B73527">
        <w:rPr>
          <w:rFonts w:cs="Times New Roman"/>
          <w:szCs w:val="26"/>
        </w:rPr>
        <w:t xml:space="preserve">was directed by the </w:t>
      </w:r>
      <w:r w:rsidRPr="00167204">
        <w:rPr>
          <w:rFonts w:cs="Times New Roman"/>
          <w:i/>
          <w:szCs w:val="26"/>
        </w:rPr>
        <w:t>1993 PennVest Order</w:t>
      </w:r>
      <w:r>
        <w:rPr>
          <w:rFonts w:cs="Times New Roman"/>
          <w:szCs w:val="26"/>
        </w:rPr>
        <w:t>, of</w:t>
      </w:r>
      <w:r w:rsidRPr="00B73527">
        <w:rPr>
          <w:rFonts w:cs="Times New Roman"/>
          <w:szCs w:val="26"/>
        </w:rPr>
        <w:t xml:space="preserve"> which </w:t>
      </w:r>
      <w:r>
        <w:rPr>
          <w:rFonts w:cs="Times New Roman"/>
          <w:szCs w:val="26"/>
        </w:rPr>
        <w:t xml:space="preserve">the </w:t>
      </w:r>
      <w:r w:rsidRPr="00B73527">
        <w:rPr>
          <w:rFonts w:cs="Times New Roman"/>
          <w:szCs w:val="26"/>
        </w:rPr>
        <w:t>OCA was the primary dri</w:t>
      </w:r>
      <w:r>
        <w:rPr>
          <w:rFonts w:cs="Times New Roman"/>
          <w:szCs w:val="26"/>
        </w:rPr>
        <w:t xml:space="preserve">ver, to utilize </w:t>
      </w:r>
      <w:r w:rsidRPr="00B73527">
        <w:rPr>
          <w:rFonts w:cs="Times New Roman"/>
          <w:szCs w:val="26"/>
        </w:rPr>
        <w:t>rate base/</w:t>
      </w:r>
      <w:r>
        <w:rPr>
          <w:rFonts w:cs="Times New Roman"/>
          <w:szCs w:val="26"/>
        </w:rPr>
        <w:t xml:space="preserve">rate of return treatment for its PennVest plant.  Now, twenty </w:t>
      </w:r>
      <w:r w:rsidRPr="00B73527">
        <w:rPr>
          <w:rFonts w:cs="Times New Roman"/>
          <w:szCs w:val="26"/>
        </w:rPr>
        <w:t>years later</w:t>
      </w:r>
      <w:r>
        <w:rPr>
          <w:rFonts w:cs="Times New Roman"/>
          <w:szCs w:val="26"/>
        </w:rPr>
        <w:t xml:space="preserve">, it is </w:t>
      </w:r>
      <w:r w:rsidRPr="00B73527">
        <w:rPr>
          <w:rFonts w:cs="Times New Roman"/>
          <w:szCs w:val="26"/>
        </w:rPr>
        <w:t>facing an untimely and retroactive adjustment th</w:t>
      </w:r>
      <w:r>
        <w:rPr>
          <w:rFonts w:cs="Times New Roman"/>
          <w:szCs w:val="26"/>
        </w:rPr>
        <w:t xml:space="preserve">at would </w:t>
      </w:r>
      <w:r w:rsidRPr="00B73527">
        <w:rPr>
          <w:rFonts w:cs="Times New Roman"/>
          <w:szCs w:val="26"/>
        </w:rPr>
        <w:t>unwind the Company</w:t>
      </w:r>
      <w:r>
        <w:rPr>
          <w:rFonts w:cs="Times New Roman"/>
          <w:szCs w:val="26"/>
        </w:rPr>
        <w:t>’</w:t>
      </w:r>
      <w:r w:rsidRPr="00B73527">
        <w:rPr>
          <w:rFonts w:cs="Times New Roman"/>
          <w:szCs w:val="26"/>
        </w:rPr>
        <w:t>s re</w:t>
      </w:r>
      <w:r>
        <w:rPr>
          <w:rFonts w:cs="Times New Roman"/>
          <w:szCs w:val="26"/>
        </w:rPr>
        <w:t>liance</w:t>
      </w:r>
      <w:r w:rsidR="00677582">
        <w:rPr>
          <w:rFonts w:cs="Times New Roman"/>
          <w:szCs w:val="26"/>
        </w:rPr>
        <w:t xml:space="preserve"> on</w:t>
      </w:r>
      <w:r>
        <w:rPr>
          <w:rFonts w:cs="Times New Roman"/>
          <w:szCs w:val="26"/>
        </w:rPr>
        <w:t xml:space="preserve"> and compliance with the </w:t>
      </w:r>
      <w:r w:rsidRPr="006F4C9A">
        <w:rPr>
          <w:rFonts w:cs="Times New Roman"/>
          <w:i/>
          <w:szCs w:val="26"/>
        </w:rPr>
        <w:t>1993 PennVest Order</w:t>
      </w:r>
      <w:r>
        <w:rPr>
          <w:rFonts w:cs="Times New Roman"/>
          <w:szCs w:val="26"/>
        </w:rPr>
        <w:t>.  The proposed adjustment would require Columbia to remove</w:t>
      </w:r>
      <w:r w:rsidRPr="00B73527">
        <w:rPr>
          <w:rFonts w:cs="Times New Roman"/>
          <w:szCs w:val="26"/>
        </w:rPr>
        <w:t xml:space="preserve"> $4.9 mill</w:t>
      </w:r>
      <w:r>
        <w:rPr>
          <w:rFonts w:cs="Times New Roman"/>
          <w:szCs w:val="26"/>
        </w:rPr>
        <w:t>ion in used and useful plant from its rate base, and prospectively require</w:t>
      </w:r>
      <w:r w:rsidRPr="00B73527">
        <w:rPr>
          <w:rFonts w:cs="Times New Roman"/>
          <w:szCs w:val="26"/>
        </w:rPr>
        <w:t xml:space="preserve"> the Company to support that plant without an</w:t>
      </w:r>
      <w:r>
        <w:rPr>
          <w:rFonts w:cs="Times New Roman"/>
          <w:szCs w:val="26"/>
        </w:rPr>
        <w:t xml:space="preserve">y revenue stream, in violation of </w:t>
      </w:r>
      <w:r w:rsidRPr="00B73527">
        <w:rPr>
          <w:rFonts w:cs="Times New Roman"/>
          <w:i/>
          <w:szCs w:val="26"/>
        </w:rPr>
        <w:t xml:space="preserve">Hope </w:t>
      </w:r>
      <w:r w:rsidRPr="00B73527">
        <w:rPr>
          <w:rFonts w:cs="Times New Roman"/>
          <w:szCs w:val="26"/>
        </w:rPr>
        <w:t xml:space="preserve">and </w:t>
      </w:r>
      <w:r w:rsidRPr="00B73527">
        <w:rPr>
          <w:rFonts w:cs="Times New Roman"/>
          <w:i/>
          <w:szCs w:val="26"/>
        </w:rPr>
        <w:t>Bluefield</w:t>
      </w:r>
      <w:r w:rsidRPr="00B73527">
        <w:rPr>
          <w:rFonts w:cs="Times New Roman"/>
          <w:szCs w:val="26"/>
        </w:rPr>
        <w:t>.</w:t>
      </w:r>
      <w:r>
        <w:rPr>
          <w:rFonts w:cs="Times New Roman"/>
          <w:szCs w:val="26"/>
        </w:rPr>
        <w:t xml:space="preserve">  </w:t>
      </w:r>
      <w:r w:rsidRPr="006F4C9A">
        <w:rPr>
          <w:rFonts w:cs="Times New Roman"/>
          <w:i/>
          <w:szCs w:val="26"/>
        </w:rPr>
        <w:t>Id</w:t>
      </w:r>
      <w:r>
        <w:rPr>
          <w:rFonts w:cs="Times New Roman"/>
          <w:szCs w:val="26"/>
        </w:rPr>
        <w:t>.</w:t>
      </w:r>
    </w:p>
    <w:p w:rsidR="004F0789" w:rsidRPr="00B73527" w:rsidRDefault="004F0789" w:rsidP="004F0789">
      <w:pPr>
        <w:contextualSpacing/>
        <w:rPr>
          <w:rFonts w:cs="Times New Roman"/>
          <w:b/>
          <w:szCs w:val="26"/>
        </w:rPr>
      </w:pPr>
    </w:p>
    <w:p w:rsidR="004F0789" w:rsidRDefault="004F0789" w:rsidP="004F0789">
      <w:pPr>
        <w:contextualSpacing/>
        <w:rPr>
          <w:rFonts w:cs="Times New Roman"/>
          <w:szCs w:val="26"/>
        </w:rPr>
      </w:pPr>
      <w:r>
        <w:rPr>
          <w:rFonts w:cs="Times New Roman"/>
          <w:szCs w:val="26"/>
        </w:rPr>
        <w:t>Columbia submits that there are additional</w:t>
      </w:r>
      <w:r w:rsidR="003E7AED">
        <w:rPr>
          <w:rFonts w:cs="Times New Roman"/>
          <w:szCs w:val="26"/>
        </w:rPr>
        <w:t xml:space="preserve"> deficiencies with</w:t>
      </w:r>
      <w:r w:rsidRPr="00B73527">
        <w:rPr>
          <w:rFonts w:cs="Times New Roman"/>
          <w:szCs w:val="26"/>
        </w:rPr>
        <w:t xml:space="preserve"> I&amp;E</w:t>
      </w:r>
      <w:r>
        <w:rPr>
          <w:rFonts w:cs="Times New Roman"/>
          <w:szCs w:val="26"/>
        </w:rPr>
        <w:t>’s</w:t>
      </w:r>
      <w:r w:rsidRPr="00B73527">
        <w:rPr>
          <w:rFonts w:cs="Times New Roman"/>
          <w:szCs w:val="26"/>
        </w:rPr>
        <w:t xml:space="preserve"> and </w:t>
      </w:r>
      <w:r>
        <w:rPr>
          <w:rFonts w:cs="Times New Roman"/>
          <w:szCs w:val="26"/>
        </w:rPr>
        <w:t xml:space="preserve">the OCA’s </w:t>
      </w:r>
      <w:r w:rsidRPr="00B73527">
        <w:rPr>
          <w:rFonts w:cs="Times New Roman"/>
          <w:szCs w:val="26"/>
        </w:rPr>
        <w:t>retroactive adjustm</w:t>
      </w:r>
      <w:r>
        <w:rPr>
          <w:rFonts w:cs="Times New Roman"/>
          <w:szCs w:val="26"/>
        </w:rPr>
        <w:t>ent.</w:t>
      </w:r>
      <w:r w:rsidRPr="00B73527">
        <w:rPr>
          <w:rFonts w:cs="Times New Roman"/>
          <w:szCs w:val="26"/>
        </w:rPr>
        <w:t xml:space="preserve">  </w:t>
      </w:r>
      <w:r>
        <w:rPr>
          <w:rFonts w:cs="Times New Roman"/>
          <w:szCs w:val="26"/>
        </w:rPr>
        <w:t xml:space="preserve">According to the Company, the adjustment </w:t>
      </w:r>
      <w:r w:rsidRPr="00B73527">
        <w:rPr>
          <w:rFonts w:cs="Times New Roman"/>
          <w:szCs w:val="26"/>
        </w:rPr>
        <w:t>ignore</w:t>
      </w:r>
      <w:r>
        <w:rPr>
          <w:rFonts w:cs="Times New Roman"/>
          <w:szCs w:val="26"/>
        </w:rPr>
        <w:t>s</w:t>
      </w:r>
      <w:r w:rsidRPr="00B73527">
        <w:rPr>
          <w:rFonts w:cs="Times New Roman"/>
          <w:szCs w:val="26"/>
        </w:rPr>
        <w:t xml:space="preserve"> the effect on the Company</w:t>
      </w:r>
      <w:r>
        <w:rPr>
          <w:rFonts w:cs="Times New Roman"/>
          <w:szCs w:val="26"/>
        </w:rPr>
        <w:t>’</w:t>
      </w:r>
      <w:r w:rsidRPr="00B73527">
        <w:rPr>
          <w:rFonts w:cs="Times New Roman"/>
          <w:szCs w:val="26"/>
        </w:rPr>
        <w:t>s accumulated deferred income taxes for rate mak</w:t>
      </w:r>
      <w:r>
        <w:rPr>
          <w:rFonts w:cs="Times New Roman"/>
          <w:szCs w:val="26"/>
        </w:rPr>
        <w:t>ing purposes.  As such, the adjustment is</w:t>
      </w:r>
      <w:r w:rsidRPr="00B73527">
        <w:rPr>
          <w:rFonts w:cs="Times New Roman"/>
          <w:szCs w:val="26"/>
        </w:rPr>
        <w:t xml:space="preserve"> insufficiently developed and lack</w:t>
      </w:r>
      <w:r w:rsidR="006E42FE">
        <w:rPr>
          <w:rFonts w:cs="Times New Roman"/>
          <w:szCs w:val="26"/>
        </w:rPr>
        <w:t>s</w:t>
      </w:r>
      <w:r w:rsidRPr="00B73527">
        <w:rPr>
          <w:rFonts w:cs="Times New Roman"/>
          <w:szCs w:val="26"/>
        </w:rPr>
        <w:t xml:space="preserve"> ratemakin</w:t>
      </w:r>
      <w:r>
        <w:rPr>
          <w:rFonts w:cs="Times New Roman"/>
          <w:szCs w:val="26"/>
        </w:rPr>
        <w:t xml:space="preserve">g symmetry, and </w:t>
      </w:r>
      <w:r w:rsidRPr="00B73527">
        <w:rPr>
          <w:rFonts w:cs="Times New Roman"/>
          <w:szCs w:val="26"/>
        </w:rPr>
        <w:t xml:space="preserve">should </w:t>
      </w:r>
      <w:r>
        <w:rPr>
          <w:rFonts w:cs="Times New Roman"/>
          <w:szCs w:val="26"/>
        </w:rPr>
        <w:t>be rejected on that basis alone.</w:t>
      </w:r>
      <w:r w:rsidRPr="00B73527">
        <w:rPr>
          <w:rFonts w:cs="Times New Roman"/>
          <w:b/>
          <w:i/>
          <w:szCs w:val="26"/>
        </w:rPr>
        <w:t xml:space="preserve">  </w:t>
      </w:r>
      <w:r w:rsidRPr="0017577C">
        <w:rPr>
          <w:rFonts w:cs="Times New Roman"/>
          <w:i/>
          <w:szCs w:val="26"/>
        </w:rPr>
        <w:t>Id</w:t>
      </w:r>
      <w:r>
        <w:rPr>
          <w:rFonts w:cs="Times New Roman"/>
          <w:szCs w:val="26"/>
        </w:rPr>
        <w:t xml:space="preserve">. at 8-9.  As </w:t>
      </w:r>
      <w:r w:rsidRPr="00B73527">
        <w:rPr>
          <w:rFonts w:cs="Times New Roman"/>
          <w:szCs w:val="26"/>
        </w:rPr>
        <w:t>the Comp</w:t>
      </w:r>
      <w:r>
        <w:rPr>
          <w:rFonts w:cs="Times New Roman"/>
          <w:szCs w:val="26"/>
        </w:rPr>
        <w:t>any explained in its Reply Brief</w:t>
      </w:r>
      <w:r w:rsidRPr="00B73527">
        <w:rPr>
          <w:rFonts w:cs="Times New Roman"/>
          <w:szCs w:val="26"/>
        </w:rPr>
        <w:t>:</w:t>
      </w:r>
    </w:p>
    <w:p w:rsidR="004F0789" w:rsidRPr="00B73527" w:rsidRDefault="004F0789" w:rsidP="004F0789">
      <w:pPr>
        <w:contextualSpacing/>
        <w:rPr>
          <w:rFonts w:cs="Times New Roman"/>
          <w:b/>
          <w:szCs w:val="26"/>
        </w:rPr>
      </w:pPr>
    </w:p>
    <w:p w:rsidR="004F0789" w:rsidRDefault="004F0789" w:rsidP="003C1ED4">
      <w:pPr>
        <w:spacing w:line="240" w:lineRule="auto"/>
        <w:ind w:left="1440" w:right="1440" w:firstLine="0"/>
        <w:contextualSpacing/>
        <w:rPr>
          <w:rFonts w:cs="Times New Roman"/>
          <w:szCs w:val="26"/>
        </w:rPr>
      </w:pPr>
      <w:r w:rsidRPr="00B73527">
        <w:rPr>
          <w:rFonts w:cs="Times New Roman"/>
          <w:szCs w:val="26"/>
        </w:rPr>
        <w:lastRenderedPageBreak/>
        <w:t>Specifically, I&amp;E and OCA</w:t>
      </w:r>
      <w:r>
        <w:rPr>
          <w:rFonts w:cs="Times New Roman"/>
          <w:szCs w:val="26"/>
        </w:rPr>
        <w:t>’</w:t>
      </w:r>
      <w:r w:rsidRPr="00B73527">
        <w:rPr>
          <w:rFonts w:cs="Times New Roman"/>
          <w:szCs w:val="26"/>
        </w:rPr>
        <w:t xml:space="preserve">s witnesses admitted on cross as to the used and usefulness of the remaining undepreciated utility plant assets of </w:t>
      </w:r>
      <w:r w:rsidRPr="00D15CC0">
        <w:rPr>
          <w:rFonts w:cs="Times New Roman"/>
          <w:szCs w:val="26"/>
        </w:rPr>
        <w:t>$3,048,292</w:t>
      </w:r>
      <w:r w:rsidRPr="00B73527">
        <w:rPr>
          <w:rFonts w:cs="Times New Roman"/>
          <w:szCs w:val="26"/>
        </w:rPr>
        <w:t xml:space="preserve"> well beyond the 20 year term of the PennVest loan. (Tr. at 177, 187)  However, in making their adjustments, they ignored the offsetting increase to the Company</w:t>
      </w:r>
      <w:r>
        <w:rPr>
          <w:rFonts w:cs="Times New Roman"/>
          <w:szCs w:val="26"/>
        </w:rPr>
        <w:t>’</w:t>
      </w:r>
      <w:r w:rsidRPr="00B73527">
        <w:rPr>
          <w:rFonts w:cs="Times New Roman"/>
          <w:szCs w:val="26"/>
        </w:rPr>
        <w:t>s rate base created by the reduction to the Company</w:t>
      </w:r>
      <w:r>
        <w:rPr>
          <w:rFonts w:cs="Times New Roman"/>
          <w:szCs w:val="26"/>
        </w:rPr>
        <w:t>’</w:t>
      </w:r>
      <w:r w:rsidRPr="00B73527">
        <w:rPr>
          <w:rFonts w:cs="Times New Roman"/>
          <w:szCs w:val="26"/>
        </w:rPr>
        <w:t>s accumulated deferred tax balance as of December 31, 2013 if the assets, as OCA and I&amp;E propose, are stated at a zero (0) dollar value for ratemaking purposes.  The Commission</w:t>
      </w:r>
      <w:r>
        <w:rPr>
          <w:rFonts w:cs="Times New Roman"/>
          <w:szCs w:val="26"/>
        </w:rPr>
        <w:t>’</w:t>
      </w:r>
      <w:r w:rsidRPr="00B73527">
        <w:rPr>
          <w:rFonts w:cs="Times New Roman"/>
          <w:szCs w:val="26"/>
        </w:rPr>
        <w:t xml:space="preserve">s 1993 Order established the annual depreciation expense and overall return appropriate for the assets funded by the PennVest loan.  Now both I&amp;E and the OCA are challenging that order and </w:t>
      </w:r>
      <w:r w:rsidRPr="00B73527">
        <w:rPr>
          <w:rFonts w:cs="Times New Roman"/>
          <w:b/>
          <w:i/>
          <w:szCs w:val="26"/>
        </w:rPr>
        <w:t>changing</w:t>
      </w:r>
      <w:r w:rsidRPr="00B73527">
        <w:rPr>
          <w:rFonts w:cs="Times New Roman"/>
          <w:szCs w:val="26"/>
        </w:rPr>
        <w:t xml:space="preserve"> the basis of the Company</w:t>
      </w:r>
      <w:r>
        <w:rPr>
          <w:rFonts w:cs="Times New Roman"/>
          <w:szCs w:val="26"/>
        </w:rPr>
        <w:t>’</w:t>
      </w:r>
      <w:r w:rsidRPr="00B73527">
        <w:rPr>
          <w:rFonts w:cs="Times New Roman"/>
          <w:szCs w:val="26"/>
        </w:rPr>
        <w:t xml:space="preserve">s cost recovery mechanism as stated in that order from a rate base/rate of return basis to a concocted “principal and interest basis.” </w:t>
      </w:r>
    </w:p>
    <w:p w:rsidR="004F0789" w:rsidRDefault="004F0789" w:rsidP="004F0789">
      <w:pPr>
        <w:spacing w:line="240" w:lineRule="auto"/>
        <w:ind w:left="1440" w:right="1440"/>
        <w:contextualSpacing/>
        <w:rPr>
          <w:rFonts w:cs="Times New Roman"/>
          <w:szCs w:val="26"/>
        </w:rPr>
      </w:pPr>
    </w:p>
    <w:p w:rsidR="004F0789" w:rsidRDefault="004F0789" w:rsidP="00ED5EE7">
      <w:pPr>
        <w:ind w:firstLine="0"/>
        <w:contextualSpacing/>
        <w:rPr>
          <w:rFonts w:cs="Times New Roman"/>
          <w:spacing w:val="-2"/>
          <w:szCs w:val="26"/>
        </w:rPr>
      </w:pPr>
      <w:r w:rsidRPr="0017577C">
        <w:rPr>
          <w:rFonts w:cs="Times New Roman"/>
          <w:i/>
          <w:szCs w:val="26"/>
        </w:rPr>
        <w:t>Id</w:t>
      </w:r>
      <w:r>
        <w:rPr>
          <w:rFonts w:cs="Times New Roman"/>
          <w:szCs w:val="26"/>
        </w:rPr>
        <w:t>. at 9, citing CWC</w:t>
      </w:r>
      <w:r w:rsidR="003E7AED">
        <w:rPr>
          <w:rFonts w:cs="Times New Roman"/>
          <w:szCs w:val="26"/>
        </w:rPr>
        <w:t xml:space="preserve"> R.B. at 17-18 (emphasis in </w:t>
      </w:r>
      <w:r>
        <w:rPr>
          <w:rFonts w:cs="Times New Roman"/>
          <w:szCs w:val="26"/>
        </w:rPr>
        <w:t>original).  The Company states that</w:t>
      </w:r>
      <w:r w:rsidRPr="00B73527">
        <w:rPr>
          <w:rFonts w:cs="Times New Roman"/>
          <w:spacing w:val="-2"/>
          <w:szCs w:val="26"/>
        </w:rPr>
        <w:t xml:space="preserve">, since the life expectancies of the </w:t>
      </w:r>
      <w:r>
        <w:rPr>
          <w:rFonts w:cs="Times New Roman"/>
          <w:spacing w:val="-2"/>
          <w:szCs w:val="26"/>
        </w:rPr>
        <w:t xml:space="preserve">PennVest </w:t>
      </w:r>
      <w:r w:rsidRPr="00B73527">
        <w:rPr>
          <w:rFonts w:cs="Times New Roman"/>
          <w:spacing w:val="-2"/>
          <w:szCs w:val="26"/>
        </w:rPr>
        <w:t>a</w:t>
      </w:r>
      <w:r>
        <w:rPr>
          <w:rFonts w:cs="Times New Roman"/>
          <w:spacing w:val="-2"/>
          <w:szCs w:val="26"/>
        </w:rPr>
        <w:t>ssets are far greater than the</w:t>
      </w:r>
      <w:r w:rsidRPr="00B73527">
        <w:rPr>
          <w:rFonts w:cs="Times New Roman"/>
          <w:spacing w:val="-2"/>
          <w:szCs w:val="26"/>
        </w:rPr>
        <w:t xml:space="preserve"> lives used for deferred tax purposes, I&amp;E and </w:t>
      </w:r>
      <w:r>
        <w:rPr>
          <w:rFonts w:cs="Times New Roman"/>
          <w:spacing w:val="-2"/>
          <w:szCs w:val="26"/>
        </w:rPr>
        <w:t xml:space="preserve">the </w:t>
      </w:r>
      <w:r w:rsidRPr="00B73527">
        <w:rPr>
          <w:rFonts w:cs="Times New Roman"/>
          <w:spacing w:val="-2"/>
          <w:szCs w:val="26"/>
        </w:rPr>
        <w:t>OCA should have made a significant downward and offsetting adjustment to the Company</w:t>
      </w:r>
      <w:r>
        <w:rPr>
          <w:rFonts w:cs="Times New Roman"/>
          <w:spacing w:val="-2"/>
          <w:szCs w:val="26"/>
        </w:rPr>
        <w:t>’</w:t>
      </w:r>
      <w:r w:rsidRPr="00B73527">
        <w:rPr>
          <w:rFonts w:cs="Times New Roman"/>
          <w:spacing w:val="-2"/>
          <w:szCs w:val="26"/>
        </w:rPr>
        <w:t>s claimed accumulated deferred income taxes as of December 31, 2013.  A</w:t>
      </w:r>
      <w:r>
        <w:rPr>
          <w:rFonts w:cs="Times New Roman"/>
          <w:spacing w:val="-2"/>
          <w:szCs w:val="26"/>
        </w:rPr>
        <w:t>ccording to the Company, a</w:t>
      </w:r>
      <w:r w:rsidRPr="00B73527">
        <w:rPr>
          <w:rFonts w:cs="Times New Roman"/>
          <w:spacing w:val="-2"/>
          <w:szCs w:val="26"/>
        </w:rPr>
        <w:t>t the very minimum, the Company</w:t>
      </w:r>
      <w:r>
        <w:rPr>
          <w:rFonts w:cs="Times New Roman"/>
          <w:spacing w:val="-2"/>
          <w:szCs w:val="26"/>
        </w:rPr>
        <w:t>’</w:t>
      </w:r>
      <w:r w:rsidRPr="00B73527">
        <w:rPr>
          <w:rFonts w:cs="Times New Roman"/>
          <w:spacing w:val="-2"/>
          <w:szCs w:val="26"/>
        </w:rPr>
        <w:t xml:space="preserve">s effective combined state and federal tax rate of approximately 42% applied to the </w:t>
      </w:r>
      <w:r w:rsidRPr="00D15CC0">
        <w:rPr>
          <w:rFonts w:cs="Times New Roman"/>
          <w:spacing w:val="-2"/>
          <w:szCs w:val="26"/>
        </w:rPr>
        <w:t>$3,048,292</w:t>
      </w:r>
      <w:r w:rsidRPr="00B73527">
        <w:rPr>
          <w:rFonts w:cs="Times New Roman"/>
          <w:spacing w:val="-2"/>
          <w:szCs w:val="26"/>
        </w:rPr>
        <w:t xml:space="preserve"> </w:t>
      </w:r>
      <w:r>
        <w:rPr>
          <w:rFonts w:cs="Times New Roman"/>
          <w:spacing w:val="-2"/>
          <w:szCs w:val="26"/>
        </w:rPr>
        <w:t>would result</w:t>
      </w:r>
      <w:r w:rsidRPr="00B73527">
        <w:rPr>
          <w:rFonts w:cs="Times New Roman"/>
          <w:spacing w:val="-2"/>
          <w:szCs w:val="26"/>
        </w:rPr>
        <w:t xml:space="preserve"> in a reduction of </w:t>
      </w:r>
      <w:r w:rsidRPr="00D15CC0">
        <w:rPr>
          <w:rFonts w:cs="Times New Roman"/>
          <w:spacing w:val="-2"/>
          <w:szCs w:val="26"/>
        </w:rPr>
        <w:t>$1,280,283</w:t>
      </w:r>
      <w:r w:rsidRPr="00B73527">
        <w:rPr>
          <w:rFonts w:cs="Times New Roman"/>
          <w:spacing w:val="-2"/>
          <w:szCs w:val="26"/>
        </w:rPr>
        <w:t xml:space="preserve"> to the Company</w:t>
      </w:r>
      <w:r>
        <w:rPr>
          <w:rFonts w:cs="Times New Roman"/>
          <w:spacing w:val="-2"/>
          <w:szCs w:val="26"/>
        </w:rPr>
        <w:t>’</w:t>
      </w:r>
      <w:r w:rsidRPr="00B73527">
        <w:rPr>
          <w:rFonts w:cs="Times New Roman"/>
          <w:spacing w:val="-2"/>
          <w:szCs w:val="26"/>
        </w:rPr>
        <w:t>s accumulated deferred tax balance</w:t>
      </w:r>
      <w:r>
        <w:rPr>
          <w:rFonts w:cs="Times New Roman"/>
          <w:spacing w:val="-2"/>
          <w:szCs w:val="26"/>
        </w:rPr>
        <w:t xml:space="preserve"> as of December 31, 2013, and </w:t>
      </w:r>
      <w:r w:rsidRPr="00B73527">
        <w:rPr>
          <w:rFonts w:cs="Times New Roman"/>
          <w:spacing w:val="-2"/>
          <w:szCs w:val="26"/>
        </w:rPr>
        <w:t>would have increased the Company</w:t>
      </w:r>
      <w:r>
        <w:rPr>
          <w:rFonts w:cs="Times New Roman"/>
          <w:spacing w:val="-2"/>
          <w:szCs w:val="26"/>
        </w:rPr>
        <w:t>’</w:t>
      </w:r>
      <w:r w:rsidRPr="00B73527">
        <w:rPr>
          <w:rFonts w:cs="Times New Roman"/>
          <w:spacing w:val="-2"/>
          <w:szCs w:val="26"/>
        </w:rPr>
        <w:t xml:space="preserve">s measures of value at December 31, 2013 by at least </w:t>
      </w:r>
      <w:r w:rsidRPr="00D15CC0">
        <w:rPr>
          <w:rFonts w:cs="Times New Roman"/>
          <w:spacing w:val="-2"/>
          <w:szCs w:val="26"/>
        </w:rPr>
        <w:t>$1.3 million</w:t>
      </w:r>
      <w:r w:rsidRPr="00B73527">
        <w:rPr>
          <w:rFonts w:cs="Times New Roman"/>
          <w:spacing w:val="-2"/>
          <w:szCs w:val="26"/>
        </w:rPr>
        <w:t>.</w:t>
      </w:r>
      <w:r>
        <w:rPr>
          <w:rFonts w:cs="Times New Roman"/>
          <w:spacing w:val="-2"/>
          <w:szCs w:val="26"/>
        </w:rPr>
        <w:t xml:space="preserve">  </w:t>
      </w:r>
      <w:r w:rsidRPr="008F6EFB">
        <w:rPr>
          <w:rFonts w:cs="Times New Roman"/>
          <w:i/>
          <w:spacing w:val="-2"/>
          <w:szCs w:val="26"/>
        </w:rPr>
        <w:t>Id</w:t>
      </w:r>
      <w:r>
        <w:rPr>
          <w:rFonts w:cs="Times New Roman"/>
          <w:spacing w:val="-2"/>
          <w:szCs w:val="26"/>
        </w:rPr>
        <w:t>. at 9.</w:t>
      </w:r>
    </w:p>
    <w:p w:rsidR="004F0789" w:rsidRPr="00CC2A7E" w:rsidRDefault="004F0789" w:rsidP="004F0789">
      <w:pPr>
        <w:contextualSpacing/>
        <w:rPr>
          <w:rFonts w:cs="Times New Roman"/>
          <w:szCs w:val="26"/>
        </w:rPr>
      </w:pPr>
    </w:p>
    <w:p w:rsidR="004F0789" w:rsidRPr="00B73527" w:rsidRDefault="004F0789" w:rsidP="004F0789">
      <w:pPr>
        <w:contextualSpacing/>
        <w:rPr>
          <w:rFonts w:cs="Times New Roman"/>
          <w:szCs w:val="26"/>
        </w:rPr>
      </w:pPr>
      <w:r w:rsidRPr="00B73527">
        <w:rPr>
          <w:rFonts w:cs="Times New Roman"/>
          <w:szCs w:val="26"/>
        </w:rPr>
        <w:t xml:space="preserve">Finally, </w:t>
      </w:r>
      <w:r>
        <w:rPr>
          <w:rFonts w:cs="Times New Roman"/>
          <w:szCs w:val="26"/>
        </w:rPr>
        <w:t xml:space="preserve">the Company submits that the </w:t>
      </w:r>
      <w:r w:rsidRPr="00B73527">
        <w:rPr>
          <w:rFonts w:cs="Times New Roman"/>
          <w:szCs w:val="26"/>
        </w:rPr>
        <w:t xml:space="preserve">adjustment </w:t>
      </w:r>
      <w:r>
        <w:rPr>
          <w:rFonts w:cs="Times New Roman"/>
          <w:szCs w:val="26"/>
        </w:rPr>
        <w:t xml:space="preserve">proposed by I&amp;E and the OCA </w:t>
      </w:r>
      <w:r w:rsidRPr="00B73527">
        <w:rPr>
          <w:rFonts w:cs="Times New Roman"/>
          <w:szCs w:val="26"/>
        </w:rPr>
        <w:t>is not ground</w:t>
      </w:r>
      <w:r>
        <w:rPr>
          <w:rFonts w:cs="Times New Roman"/>
          <w:szCs w:val="26"/>
        </w:rPr>
        <w:t>ed</w:t>
      </w:r>
      <w:r w:rsidRPr="00B73527">
        <w:rPr>
          <w:rFonts w:cs="Times New Roman"/>
          <w:szCs w:val="26"/>
        </w:rPr>
        <w:t xml:space="preserve"> in </w:t>
      </w:r>
      <w:r>
        <w:rPr>
          <w:rFonts w:cs="Times New Roman"/>
          <w:szCs w:val="26"/>
        </w:rPr>
        <w:t xml:space="preserve">sound </w:t>
      </w:r>
      <w:r w:rsidRPr="00B73527">
        <w:rPr>
          <w:rFonts w:cs="Times New Roman"/>
          <w:szCs w:val="26"/>
        </w:rPr>
        <w:t>ratemak</w:t>
      </w:r>
      <w:r>
        <w:rPr>
          <w:rFonts w:cs="Times New Roman"/>
          <w:szCs w:val="26"/>
        </w:rPr>
        <w:t>ing or accounting principles, and n</w:t>
      </w:r>
      <w:r w:rsidRPr="00B73527">
        <w:rPr>
          <w:rFonts w:cs="Times New Roman"/>
          <w:szCs w:val="26"/>
        </w:rPr>
        <w:t xml:space="preserve">either I&amp;E nor </w:t>
      </w:r>
      <w:r>
        <w:rPr>
          <w:rFonts w:cs="Times New Roman"/>
          <w:szCs w:val="26"/>
        </w:rPr>
        <w:t xml:space="preserve">the OCA </w:t>
      </w:r>
      <w:r w:rsidRPr="00B73527">
        <w:rPr>
          <w:rFonts w:cs="Times New Roman"/>
          <w:szCs w:val="26"/>
        </w:rPr>
        <w:t xml:space="preserve">set forth the </w:t>
      </w:r>
      <w:r>
        <w:rPr>
          <w:rFonts w:cs="Times New Roman"/>
          <w:szCs w:val="26"/>
        </w:rPr>
        <w:t xml:space="preserve">necessary </w:t>
      </w:r>
      <w:r w:rsidRPr="00B73527">
        <w:rPr>
          <w:rFonts w:cs="Times New Roman"/>
          <w:szCs w:val="26"/>
        </w:rPr>
        <w:t>accounting and/or rate making adjustment</w:t>
      </w:r>
      <w:r>
        <w:rPr>
          <w:rFonts w:cs="Times New Roman"/>
          <w:szCs w:val="26"/>
        </w:rPr>
        <w:t>s.  According to Columbia, t</w:t>
      </w:r>
      <w:r w:rsidRPr="00B73527">
        <w:rPr>
          <w:rFonts w:cs="Times New Roman"/>
          <w:szCs w:val="26"/>
        </w:rPr>
        <w:t>here ar</w:t>
      </w:r>
      <w:r>
        <w:rPr>
          <w:rFonts w:cs="Times New Roman"/>
          <w:szCs w:val="26"/>
        </w:rPr>
        <w:t xml:space="preserve">e no accounting rules </w:t>
      </w:r>
      <w:r w:rsidRPr="00B73527">
        <w:rPr>
          <w:rFonts w:cs="Times New Roman"/>
          <w:szCs w:val="26"/>
        </w:rPr>
        <w:t xml:space="preserve">in the NARUC Uniform System of Accounts or GAAP that </w:t>
      </w:r>
      <w:r>
        <w:rPr>
          <w:rFonts w:cs="Times New Roman"/>
          <w:szCs w:val="26"/>
        </w:rPr>
        <w:t xml:space="preserve">would allow the </w:t>
      </w:r>
      <w:r w:rsidRPr="00B73527">
        <w:rPr>
          <w:rFonts w:cs="Times New Roman"/>
          <w:szCs w:val="26"/>
        </w:rPr>
        <w:t xml:space="preserve">removal of </w:t>
      </w:r>
      <w:r>
        <w:rPr>
          <w:rFonts w:cs="Times New Roman"/>
          <w:szCs w:val="26"/>
        </w:rPr>
        <w:t xml:space="preserve">the PennVest </w:t>
      </w:r>
      <w:r w:rsidRPr="00B73527">
        <w:rPr>
          <w:rFonts w:cs="Times New Roman"/>
          <w:szCs w:val="26"/>
        </w:rPr>
        <w:t>plant</w:t>
      </w:r>
      <w:r>
        <w:rPr>
          <w:rFonts w:cs="Times New Roman"/>
          <w:szCs w:val="26"/>
        </w:rPr>
        <w:t xml:space="preserve"> from rate base</w:t>
      </w:r>
      <w:r w:rsidRPr="00B73527">
        <w:rPr>
          <w:rFonts w:cs="Times New Roman"/>
          <w:szCs w:val="26"/>
        </w:rPr>
        <w:t xml:space="preserve">, or in fact any </w:t>
      </w:r>
      <w:r w:rsidRPr="00B73527">
        <w:rPr>
          <w:rFonts w:cs="Times New Roman"/>
          <w:szCs w:val="26"/>
        </w:rPr>
        <w:lastRenderedPageBreak/>
        <w:t>assets up</w:t>
      </w:r>
      <w:r>
        <w:rPr>
          <w:rFonts w:cs="Times New Roman"/>
          <w:szCs w:val="26"/>
        </w:rPr>
        <w:t xml:space="preserve">on the retirement of </w:t>
      </w:r>
      <w:r w:rsidRPr="00B73527">
        <w:rPr>
          <w:rFonts w:cs="Times New Roman"/>
          <w:szCs w:val="26"/>
        </w:rPr>
        <w:t>associated debt, thereby stranding the undepreciated assets.</w:t>
      </w:r>
      <w:r w:rsidRPr="00B73527">
        <w:rPr>
          <w:rStyle w:val="FootnoteReference"/>
          <w:rFonts w:cs="Times New Roman"/>
          <w:szCs w:val="26"/>
        </w:rPr>
        <w:footnoteReference w:id="10"/>
      </w:r>
      <w:r w:rsidRPr="00B73527">
        <w:rPr>
          <w:rFonts w:cs="Times New Roman"/>
          <w:szCs w:val="26"/>
        </w:rPr>
        <w:t xml:space="preserve">  </w:t>
      </w:r>
      <w:r>
        <w:rPr>
          <w:rFonts w:cs="Times New Roman"/>
          <w:szCs w:val="26"/>
        </w:rPr>
        <w:t>Columbia states that t</w:t>
      </w:r>
      <w:r w:rsidRPr="00B73527">
        <w:rPr>
          <w:rFonts w:cs="Times New Roman"/>
          <w:szCs w:val="26"/>
        </w:rPr>
        <w:t>he only accounting treatments contained in the NARUC Uniform System of Accounts that even remo</w:t>
      </w:r>
      <w:r>
        <w:rPr>
          <w:rFonts w:cs="Times New Roman"/>
          <w:szCs w:val="26"/>
        </w:rPr>
        <w:t xml:space="preserve">tely address the proposed adjustment </w:t>
      </w:r>
      <w:r w:rsidRPr="00B73527">
        <w:rPr>
          <w:rFonts w:cs="Times New Roman"/>
          <w:szCs w:val="26"/>
        </w:rPr>
        <w:t xml:space="preserve">would be the booking of the total </w:t>
      </w:r>
      <w:r w:rsidRPr="00D15CC0">
        <w:rPr>
          <w:rFonts w:cs="Times New Roman"/>
          <w:szCs w:val="26"/>
        </w:rPr>
        <w:t>$4,902,136</w:t>
      </w:r>
      <w:r>
        <w:rPr>
          <w:rFonts w:cs="Times New Roman"/>
          <w:szCs w:val="26"/>
        </w:rPr>
        <w:t xml:space="preserve"> as a c</w:t>
      </w:r>
      <w:r w:rsidRPr="00B73527">
        <w:rPr>
          <w:rFonts w:cs="Times New Roman"/>
          <w:szCs w:val="26"/>
        </w:rPr>
        <w:t>ontributi</w:t>
      </w:r>
      <w:r>
        <w:rPr>
          <w:rFonts w:cs="Times New Roman"/>
          <w:szCs w:val="26"/>
        </w:rPr>
        <w:t>on in aid of construction, which is not possible for several reasons</w:t>
      </w:r>
      <w:r w:rsidRPr="00B73527">
        <w:rPr>
          <w:rFonts w:cs="Times New Roman"/>
          <w:szCs w:val="26"/>
        </w:rPr>
        <w:t>.</w:t>
      </w:r>
      <w:r w:rsidRPr="00B73527">
        <w:rPr>
          <w:rStyle w:val="FootnoteReference"/>
          <w:rFonts w:cs="Times New Roman"/>
          <w:szCs w:val="26"/>
        </w:rPr>
        <w:footnoteReference w:id="11"/>
      </w:r>
      <w:r w:rsidRPr="00B73527">
        <w:rPr>
          <w:rFonts w:cs="Times New Roman"/>
          <w:szCs w:val="26"/>
        </w:rPr>
        <w:t xml:space="preserve"> </w:t>
      </w:r>
      <w:r>
        <w:rPr>
          <w:rFonts w:cs="Times New Roman"/>
          <w:szCs w:val="26"/>
        </w:rPr>
        <w:t xml:space="preserve"> For these reasons </w:t>
      </w:r>
      <w:r w:rsidRPr="00B73527">
        <w:rPr>
          <w:rFonts w:cs="Times New Roman"/>
          <w:szCs w:val="26"/>
        </w:rPr>
        <w:t xml:space="preserve">alone, </w:t>
      </w:r>
      <w:r>
        <w:rPr>
          <w:rFonts w:cs="Times New Roman"/>
          <w:szCs w:val="26"/>
        </w:rPr>
        <w:t xml:space="preserve">Columbia submits that </w:t>
      </w:r>
      <w:r w:rsidRPr="00B73527">
        <w:rPr>
          <w:rFonts w:cs="Times New Roman"/>
          <w:szCs w:val="26"/>
        </w:rPr>
        <w:t xml:space="preserve">the </w:t>
      </w:r>
      <w:r>
        <w:rPr>
          <w:rFonts w:cs="Times New Roman"/>
          <w:szCs w:val="26"/>
        </w:rPr>
        <w:t xml:space="preserve">PennVest adjustment proposed by </w:t>
      </w:r>
      <w:r w:rsidRPr="00B73527">
        <w:rPr>
          <w:rFonts w:cs="Times New Roman"/>
          <w:szCs w:val="26"/>
        </w:rPr>
        <w:t xml:space="preserve">I&amp;E </w:t>
      </w:r>
      <w:r>
        <w:rPr>
          <w:rFonts w:cs="Times New Roman"/>
          <w:szCs w:val="26"/>
        </w:rPr>
        <w:t xml:space="preserve">and the OCA </w:t>
      </w:r>
      <w:r w:rsidRPr="00B73527">
        <w:rPr>
          <w:rFonts w:cs="Times New Roman"/>
          <w:szCs w:val="26"/>
        </w:rPr>
        <w:t>should be denied.  How</w:t>
      </w:r>
      <w:r>
        <w:rPr>
          <w:rFonts w:cs="Times New Roman"/>
          <w:szCs w:val="26"/>
        </w:rPr>
        <w:t xml:space="preserve">ever, as described below, the Company states that </w:t>
      </w:r>
      <w:r w:rsidRPr="00B73527">
        <w:rPr>
          <w:rFonts w:cs="Times New Roman"/>
          <w:szCs w:val="26"/>
        </w:rPr>
        <w:t xml:space="preserve">there are numerous other </w:t>
      </w:r>
      <w:r>
        <w:rPr>
          <w:rFonts w:cs="Times New Roman"/>
          <w:szCs w:val="26"/>
        </w:rPr>
        <w:t>reasons to reject the adjustment</w:t>
      </w:r>
      <w:r w:rsidRPr="00B73527">
        <w:rPr>
          <w:rFonts w:cs="Times New Roman"/>
          <w:szCs w:val="26"/>
        </w:rPr>
        <w:t>.</w:t>
      </w:r>
      <w:r>
        <w:rPr>
          <w:rFonts w:cs="Times New Roman"/>
          <w:szCs w:val="26"/>
        </w:rPr>
        <w:t xml:space="preserve">  </w:t>
      </w:r>
      <w:r w:rsidRPr="00275874">
        <w:rPr>
          <w:rFonts w:cs="Times New Roman"/>
          <w:i/>
          <w:szCs w:val="26"/>
        </w:rPr>
        <w:t>Id</w:t>
      </w:r>
      <w:r>
        <w:rPr>
          <w:rFonts w:cs="Times New Roman"/>
          <w:szCs w:val="26"/>
        </w:rPr>
        <w:t>. at 9</w:t>
      </w:r>
      <w:r>
        <w:rPr>
          <w:rFonts w:cs="Times New Roman"/>
          <w:szCs w:val="26"/>
        </w:rPr>
        <w:noBreakHyphen/>
        <w:t>10.</w:t>
      </w:r>
    </w:p>
    <w:p w:rsidR="004F0789" w:rsidRDefault="004F0789" w:rsidP="004F0789">
      <w:pPr>
        <w:tabs>
          <w:tab w:val="left" w:pos="9360"/>
        </w:tabs>
        <w:contextualSpacing/>
        <w:rPr>
          <w:rFonts w:cs="Times New Roman"/>
          <w:b/>
          <w:szCs w:val="26"/>
        </w:rPr>
      </w:pPr>
    </w:p>
    <w:p w:rsidR="004F0789" w:rsidRDefault="004F0789" w:rsidP="004F0789">
      <w:pPr>
        <w:contextualSpacing/>
        <w:rPr>
          <w:rFonts w:cs="Times New Roman"/>
          <w:szCs w:val="26"/>
        </w:rPr>
      </w:pPr>
      <w:r>
        <w:rPr>
          <w:rFonts w:cs="Times New Roman"/>
          <w:szCs w:val="26"/>
        </w:rPr>
        <w:lastRenderedPageBreak/>
        <w:t xml:space="preserve">First, the Company asserts that its </w:t>
      </w:r>
      <w:r w:rsidRPr="00B73527">
        <w:rPr>
          <w:rFonts w:cs="Times New Roman"/>
          <w:szCs w:val="26"/>
        </w:rPr>
        <w:t xml:space="preserve">volumetric rate </w:t>
      </w:r>
      <w:r>
        <w:rPr>
          <w:rFonts w:cs="Times New Roman"/>
          <w:szCs w:val="26"/>
        </w:rPr>
        <w:t>differs from a typical PennVest surcharge that is non-usage sensitive and applied equally to all customers.</w:t>
      </w:r>
      <w:r>
        <w:rPr>
          <w:rStyle w:val="FootnoteReference"/>
          <w:rFonts w:cs="Times New Roman"/>
          <w:szCs w:val="26"/>
        </w:rPr>
        <w:footnoteReference w:id="12"/>
      </w:r>
      <w:r w:rsidRPr="00B73527">
        <w:rPr>
          <w:rFonts w:cs="Times New Roman"/>
          <w:szCs w:val="26"/>
        </w:rPr>
        <w:t xml:space="preserve"> </w:t>
      </w:r>
      <w:r>
        <w:rPr>
          <w:rFonts w:cs="Times New Roman"/>
          <w:szCs w:val="26"/>
        </w:rPr>
        <w:t xml:space="preserve"> Columbia states that I&amp;E and the OCA have not </w:t>
      </w:r>
      <w:r w:rsidRPr="00B73527">
        <w:rPr>
          <w:rFonts w:cs="Times New Roman"/>
          <w:szCs w:val="26"/>
        </w:rPr>
        <w:t>provide</w:t>
      </w:r>
      <w:r>
        <w:rPr>
          <w:rFonts w:cs="Times New Roman"/>
          <w:szCs w:val="26"/>
        </w:rPr>
        <w:t xml:space="preserve">d a citation to any case </w:t>
      </w:r>
      <w:r w:rsidRPr="00B73527">
        <w:rPr>
          <w:rFonts w:cs="Times New Roman"/>
          <w:szCs w:val="26"/>
        </w:rPr>
        <w:t>whe</w:t>
      </w:r>
      <w:r>
        <w:rPr>
          <w:rFonts w:cs="Times New Roman"/>
          <w:szCs w:val="26"/>
        </w:rPr>
        <w:t xml:space="preserve">re the Commission converted Columbia’s PennVest rate base/rate of return volumetric surcharge </w:t>
      </w:r>
      <w:r w:rsidRPr="00B73527">
        <w:rPr>
          <w:rFonts w:cs="Times New Roman"/>
          <w:szCs w:val="26"/>
        </w:rPr>
        <w:t xml:space="preserve">into </w:t>
      </w:r>
      <w:r>
        <w:rPr>
          <w:rFonts w:cs="Times New Roman"/>
          <w:szCs w:val="26"/>
        </w:rPr>
        <w:t xml:space="preserve">a debt-service only surcharge.  Although its PennVest rate </w:t>
      </w:r>
      <w:r w:rsidRPr="00B73527">
        <w:rPr>
          <w:rFonts w:cs="Times New Roman"/>
          <w:szCs w:val="26"/>
        </w:rPr>
        <w:t>eventuall</w:t>
      </w:r>
      <w:r>
        <w:rPr>
          <w:rFonts w:cs="Times New Roman"/>
          <w:szCs w:val="26"/>
        </w:rPr>
        <w:t xml:space="preserve">y became reconcilable, Columbia asserts that </w:t>
      </w:r>
      <w:r w:rsidRPr="00B73527">
        <w:rPr>
          <w:rFonts w:cs="Times New Roman"/>
          <w:szCs w:val="26"/>
        </w:rPr>
        <w:t xml:space="preserve">the rate remained one developed based </w:t>
      </w:r>
      <w:r>
        <w:rPr>
          <w:rFonts w:cs="Times New Roman"/>
          <w:szCs w:val="26"/>
        </w:rPr>
        <w:t>on rate base/rate of return.  According to Columbia, t</w:t>
      </w:r>
      <w:r w:rsidRPr="00B73527">
        <w:rPr>
          <w:rFonts w:cs="Times New Roman"/>
          <w:szCs w:val="26"/>
        </w:rPr>
        <w:t xml:space="preserve">he reconciliation </w:t>
      </w:r>
      <w:r>
        <w:rPr>
          <w:rFonts w:cs="Times New Roman"/>
          <w:szCs w:val="26"/>
        </w:rPr>
        <w:t>feature added in 1997 simply was a r</w:t>
      </w:r>
      <w:r w:rsidRPr="00B73527">
        <w:rPr>
          <w:rFonts w:cs="Times New Roman"/>
          <w:szCs w:val="26"/>
        </w:rPr>
        <w:t>efine</w:t>
      </w:r>
      <w:r>
        <w:rPr>
          <w:rFonts w:cs="Times New Roman"/>
          <w:szCs w:val="26"/>
        </w:rPr>
        <w:t xml:space="preserve">ment </w:t>
      </w:r>
      <w:r w:rsidRPr="00B73527">
        <w:rPr>
          <w:rFonts w:cs="Times New Roman"/>
          <w:szCs w:val="26"/>
        </w:rPr>
        <w:t xml:space="preserve">to ensure </w:t>
      </w:r>
      <w:r>
        <w:rPr>
          <w:rFonts w:cs="Times New Roman"/>
          <w:szCs w:val="26"/>
        </w:rPr>
        <w:t xml:space="preserve">that the Company </w:t>
      </w:r>
      <w:r w:rsidRPr="00B73527">
        <w:rPr>
          <w:rFonts w:cs="Times New Roman"/>
          <w:szCs w:val="26"/>
        </w:rPr>
        <w:t>hit its rate base/rate of ret</w:t>
      </w:r>
      <w:r>
        <w:rPr>
          <w:rFonts w:cs="Times New Roman"/>
          <w:szCs w:val="26"/>
        </w:rPr>
        <w:t xml:space="preserve">urn income target, consistent with </w:t>
      </w:r>
      <w:r w:rsidRPr="00B73527">
        <w:rPr>
          <w:rFonts w:cs="Times New Roman"/>
          <w:szCs w:val="26"/>
        </w:rPr>
        <w:t>the Commission</w:t>
      </w:r>
      <w:r>
        <w:rPr>
          <w:rFonts w:cs="Times New Roman"/>
          <w:szCs w:val="26"/>
        </w:rPr>
        <w:t>’s obligation under t</w:t>
      </w:r>
      <w:r w:rsidRPr="00B73527">
        <w:rPr>
          <w:rFonts w:cs="Times New Roman"/>
          <w:szCs w:val="26"/>
        </w:rPr>
        <w:t>he PennVest Act, 35 P.S. §</w:t>
      </w:r>
      <w:r>
        <w:rPr>
          <w:rFonts w:cs="Times New Roman"/>
          <w:szCs w:val="26"/>
        </w:rPr>
        <w:t>§</w:t>
      </w:r>
      <w:r w:rsidRPr="00B73527">
        <w:rPr>
          <w:rFonts w:cs="Times New Roman"/>
          <w:szCs w:val="26"/>
        </w:rPr>
        <w:t xml:space="preserve"> 751.1 </w:t>
      </w:r>
      <w:r>
        <w:rPr>
          <w:rFonts w:cs="Times New Roman"/>
          <w:i/>
          <w:szCs w:val="26"/>
        </w:rPr>
        <w:t>et </w:t>
      </w:r>
      <w:r w:rsidRPr="00B73527">
        <w:rPr>
          <w:rFonts w:cs="Times New Roman"/>
          <w:i/>
          <w:szCs w:val="26"/>
        </w:rPr>
        <w:t>seq.</w:t>
      </w:r>
      <w:r>
        <w:rPr>
          <w:rFonts w:cs="Times New Roman"/>
          <w:szCs w:val="26"/>
        </w:rPr>
        <w:t>, to en</w:t>
      </w:r>
      <w:r w:rsidRPr="00B73527">
        <w:rPr>
          <w:rFonts w:cs="Times New Roman"/>
          <w:szCs w:val="26"/>
        </w:rPr>
        <w:t>sure</w:t>
      </w:r>
      <w:r>
        <w:rPr>
          <w:rFonts w:cs="Times New Roman"/>
          <w:szCs w:val="26"/>
        </w:rPr>
        <w:t xml:space="preserve"> that a utility is able to repay its PennVest</w:t>
      </w:r>
      <w:r w:rsidRPr="00B73527">
        <w:rPr>
          <w:rFonts w:cs="Times New Roman"/>
          <w:szCs w:val="26"/>
        </w:rPr>
        <w:t xml:space="preserve"> loan</w:t>
      </w:r>
      <w:r>
        <w:rPr>
          <w:rFonts w:cs="Times New Roman"/>
          <w:szCs w:val="26"/>
        </w:rPr>
        <w:t xml:space="preserve">, and did not </w:t>
      </w:r>
      <w:r w:rsidRPr="00B73527">
        <w:rPr>
          <w:rFonts w:cs="Times New Roman"/>
          <w:szCs w:val="26"/>
        </w:rPr>
        <w:t>change the nature</w:t>
      </w:r>
      <w:r>
        <w:rPr>
          <w:rFonts w:cs="Times New Roman"/>
          <w:szCs w:val="26"/>
        </w:rPr>
        <w:t xml:space="preserve"> of the charge.  Columbia states that, although its volumetric rate was adjusted several times, it simply was adjusted upward or downward prospectively to try to meet the rate base/rate of return/depreciation “money stream goal” of the </w:t>
      </w:r>
      <w:r w:rsidRPr="005A0DCC">
        <w:rPr>
          <w:rFonts w:cs="Times New Roman"/>
          <w:i/>
          <w:szCs w:val="26"/>
        </w:rPr>
        <w:t>1993 PennVest Order</w:t>
      </w:r>
      <w:r>
        <w:rPr>
          <w:rFonts w:cs="Times New Roman"/>
          <w:szCs w:val="26"/>
        </w:rPr>
        <w:t xml:space="preserve">.  The reconciliations of its </w:t>
      </w:r>
      <w:r w:rsidRPr="00B73527">
        <w:rPr>
          <w:rFonts w:cs="Times New Roman"/>
          <w:szCs w:val="26"/>
        </w:rPr>
        <w:t xml:space="preserve">volumetric rate did </w:t>
      </w:r>
      <w:r>
        <w:rPr>
          <w:rFonts w:cs="Times New Roman"/>
          <w:szCs w:val="26"/>
        </w:rPr>
        <w:t>not capture past under</w:t>
      </w:r>
      <w:r w:rsidR="003E7AED">
        <w:rPr>
          <w:rFonts w:cs="Times New Roman"/>
          <w:szCs w:val="26"/>
        </w:rPr>
        <w:t>-</w:t>
      </w:r>
      <w:r>
        <w:rPr>
          <w:rFonts w:cs="Times New Roman"/>
          <w:szCs w:val="26"/>
        </w:rPr>
        <w:t>collections, relative to debt service, as would have been done if its rate were a true reconciliation mechanism</w:t>
      </w:r>
      <w:r w:rsidRPr="00B73527">
        <w:rPr>
          <w:rFonts w:cs="Times New Roman"/>
          <w:szCs w:val="26"/>
        </w:rPr>
        <w:t xml:space="preserve">. </w:t>
      </w:r>
      <w:r>
        <w:rPr>
          <w:rFonts w:cs="Times New Roman"/>
          <w:szCs w:val="26"/>
        </w:rPr>
        <w:t xml:space="preserve"> Columbia submits that the </w:t>
      </w:r>
      <w:r w:rsidRPr="00B73527">
        <w:rPr>
          <w:rFonts w:cs="Times New Roman"/>
          <w:szCs w:val="26"/>
        </w:rPr>
        <w:t>suggest</w:t>
      </w:r>
      <w:r>
        <w:rPr>
          <w:rFonts w:cs="Times New Roman"/>
          <w:szCs w:val="26"/>
        </w:rPr>
        <w:t>ion that its</w:t>
      </w:r>
      <w:r w:rsidRPr="00B73527">
        <w:rPr>
          <w:rFonts w:cs="Times New Roman"/>
          <w:szCs w:val="26"/>
        </w:rPr>
        <w:t xml:space="preserve"> rate was “transformed” </w:t>
      </w:r>
      <w:r>
        <w:rPr>
          <w:rFonts w:cs="Times New Roman"/>
          <w:szCs w:val="26"/>
        </w:rPr>
        <w:t xml:space="preserve">in 1997, shortly after it had been established by the </w:t>
      </w:r>
      <w:r w:rsidRPr="00275874">
        <w:rPr>
          <w:rFonts w:cs="Times New Roman"/>
          <w:i/>
          <w:szCs w:val="26"/>
        </w:rPr>
        <w:t>1993 PennVest Order</w:t>
      </w:r>
      <w:r w:rsidRPr="00B73527">
        <w:rPr>
          <w:rFonts w:cs="Times New Roman"/>
          <w:szCs w:val="26"/>
        </w:rPr>
        <w:t>, without any mention of the “transformation” by the Commission or any of th</w:t>
      </w:r>
      <w:r>
        <w:rPr>
          <w:rFonts w:cs="Times New Roman"/>
          <w:szCs w:val="26"/>
        </w:rPr>
        <w:t>e P</w:t>
      </w:r>
      <w:r w:rsidRPr="00B73527">
        <w:rPr>
          <w:rFonts w:cs="Times New Roman"/>
          <w:szCs w:val="26"/>
        </w:rPr>
        <w:t>arti</w:t>
      </w:r>
      <w:r>
        <w:rPr>
          <w:rFonts w:cs="Times New Roman"/>
          <w:szCs w:val="26"/>
        </w:rPr>
        <w:t>es is absurd.  Noting the OCA’s vehement opposition in 1993 to a debt-service only surcharge, Columbia argues that the “transformation”</w:t>
      </w:r>
      <w:r w:rsidRPr="00B73527">
        <w:rPr>
          <w:rFonts w:cs="Times New Roman"/>
          <w:szCs w:val="26"/>
        </w:rPr>
        <w:t xml:space="preserve"> was not mentioned in the 1997 Settlement because the </w:t>
      </w:r>
      <w:r w:rsidRPr="00275874">
        <w:rPr>
          <w:rFonts w:cs="Times New Roman"/>
          <w:i/>
          <w:szCs w:val="26"/>
        </w:rPr>
        <w:t xml:space="preserve">1993 PennVest </w:t>
      </w:r>
      <w:r>
        <w:rPr>
          <w:rFonts w:cs="Times New Roman"/>
          <w:i/>
          <w:szCs w:val="26"/>
        </w:rPr>
        <w:t>O</w:t>
      </w:r>
      <w:r w:rsidRPr="00275874">
        <w:rPr>
          <w:rFonts w:cs="Times New Roman"/>
          <w:i/>
          <w:szCs w:val="26"/>
        </w:rPr>
        <w:t>rder</w:t>
      </w:r>
      <w:r w:rsidRPr="00B73527">
        <w:rPr>
          <w:rFonts w:cs="Times New Roman"/>
          <w:szCs w:val="26"/>
        </w:rPr>
        <w:t xml:space="preserve"> was still fresh in everyone</w:t>
      </w:r>
      <w:r>
        <w:rPr>
          <w:rFonts w:cs="Times New Roman"/>
          <w:szCs w:val="26"/>
        </w:rPr>
        <w:t>’</w:t>
      </w:r>
      <w:r w:rsidRPr="00B73527">
        <w:rPr>
          <w:rFonts w:cs="Times New Roman"/>
          <w:szCs w:val="26"/>
        </w:rPr>
        <w:t>s mind and it was clear that no transformation was occurring.</w:t>
      </w:r>
      <w:r>
        <w:rPr>
          <w:rFonts w:cs="Times New Roman"/>
          <w:szCs w:val="26"/>
        </w:rPr>
        <w:t xml:space="preserve">  CWC R.Exc. at 10-11.</w:t>
      </w:r>
    </w:p>
    <w:p w:rsidR="004F0789" w:rsidRPr="00B73527" w:rsidRDefault="004F0789" w:rsidP="004F0789">
      <w:pPr>
        <w:tabs>
          <w:tab w:val="left" w:pos="9360"/>
        </w:tabs>
        <w:contextualSpacing/>
        <w:rPr>
          <w:rFonts w:cs="Times New Roman"/>
          <w:szCs w:val="26"/>
        </w:rPr>
      </w:pPr>
    </w:p>
    <w:p w:rsidR="004F0789" w:rsidRDefault="004F0789" w:rsidP="004F0789">
      <w:pPr>
        <w:contextualSpacing/>
        <w:rPr>
          <w:rFonts w:cs="Times New Roman"/>
          <w:szCs w:val="26"/>
        </w:rPr>
      </w:pPr>
      <w:r>
        <w:rPr>
          <w:rFonts w:cs="Times New Roman"/>
          <w:szCs w:val="26"/>
        </w:rPr>
        <w:lastRenderedPageBreak/>
        <w:t xml:space="preserve">Columbia </w:t>
      </w:r>
      <w:r w:rsidR="006D595E">
        <w:rPr>
          <w:rFonts w:cs="Times New Roman"/>
          <w:szCs w:val="26"/>
        </w:rPr>
        <w:t xml:space="preserve">further </w:t>
      </w:r>
      <w:r>
        <w:rPr>
          <w:rFonts w:cs="Times New Roman"/>
          <w:szCs w:val="26"/>
        </w:rPr>
        <w:t xml:space="preserve">argues that </w:t>
      </w:r>
      <w:r w:rsidRPr="00B73527">
        <w:rPr>
          <w:rFonts w:cs="Times New Roman"/>
          <w:szCs w:val="26"/>
        </w:rPr>
        <w:t>I&amp;E</w:t>
      </w:r>
      <w:r>
        <w:rPr>
          <w:rFonts w:cs="Times New Roman"/>
          <w:szCs w:val="26"/>
        </w:rPr>
        <w:t>’s</w:t>
      </w:r>
      <w:r w:rsidRPr="00B73527">
        <w:rPr>
          <w:rFonts w:cs="Times New Roman"/>
          <w:szCs w:val="26"/>
        </w:rPr>
        <w:t xml:space="preserve"> </w:t>
      </w:r>
      <w:r>
        <w:rPr>
          <w:rFonts w:cs="Times New Roman"/>
          <w:szCs w:val="26"/>
        </w:rPr>
        <w:t>and the OCA’s interpretation</w:t>
      </w:r>
      <w:r w:rsidRPr="00B73527">
        <w:rPr>
          <w:rFonts w:cs="Times New Roman"/>
          <w:szCs w:val="26"/>
        </w:rPr>
        <w:t xml:space="preserve"> of the </w:t>
      </w:r>
      <w:r w:rsidRPr="003777FA">
        <w:rPr>
          <w:rFonts w:cs="Times New Roman"/>
          <w:i/>
          <w:szCs w:val="26"/>
        </w:rPr>
        <w:t>PennVest Policy Statement</w:t>
      </w:r>
      <w:r>
        <w:rPr>
          <w:rFonts w:cs="Times New Roman"/>
          <w:szCs w:val="26"/>
        </w:rPr>
        <w:t xml:space="preserve"> </w:t>
      </w:r>
      <w:r w:rsidRPr="00B73527">
        <w:rPr>
          <w:rFonts w:cs="Times New Roman"/>
          <w:szCs w:val="26"/>
        </w:rPr>
        <w:t>is wrong</w:t>
      </w:r>
      <w:r>
        <w:rPr>
          <w:rFonts w:cs="Times New Roman"/>
          <w:szCs w:val="26"/>
        </w:rPr>
        <w:t xml:space="preserve">.  Columbia argues that the </w:t>
      </w:r>
      <w:r w:rsidRPr="003777FA">
        <w:rPr>
          <w:rFonts w:cs="Times New Roman"/>
          <w:i/>
          <w:szCs w:val="26"/>
        </w:rPr>
        <w:t>PennVest Policy Statement</w:t>
      </w:r>
      <w:r>
        <w:rPr>
          <w:rFonts w:cs="Times New Roman"/>
          <w:szCs w:val="26"/>
        </w:rPr>
        <w:t xml:space="preserve"> does not limit surcharges to </w:t>
      </w:r>
      <w:r w:rsidRPr="00B73527">
        <w:rPr>
          <w:rFonts w:cs="Times New Roman"/>
          <w:szCs w:val="26"/>
        </w:rPr>
        <w:t>debt service surcharge</w:t>
      </w:r>
      <w:r>
        <w:rPr>
          <w:rFonts w:cs="Times New Roman"/>
          <w:szCs w:val="26"/>
        </w:rPr>
        <w:t>s to the exclusion of other types of surcharges</w:t>
      </w:r>
      <w:r w:rsidRPr="00B73527">
        <w:rPr>
          <w:rFonts w:cs="Times New Roman"/>
          <w:szCs w:val="26"/>
        </w:rPr>
        <w:t>.</w:t>
      </w:r>
      <w:r>
        <w:rPr>
          <w:rFonts w:cs="Times New Roman"/>
          <w:szCs w:val="26"/>
        </w:rPr>
        <w:t xml:space="preserve">  Rather, the </w:t>
      </w:r>
      <w:r w:rsidRPr="003777FA">
        <w:rPr>
          <w:rFonts w:cs="Times New Roman"/>
          <w:i/>
          <w:szCs w:val="26"/>
        </w:rPr>
        <w:t>PennVest Policy Statement</w:t>
      </w:r>
      <w:r>
        <w:rPr>
          <w:rFonts w:cs="Times New Roman"/>
          <w:szCs w:val="26"/>
        </w:rPr>
        <w:t xml:space="preserve"> states that amounts collected under a Section 1307(a) </w:t>
      </w:r>
      <w:r w:rsidRPr="00B73527">
        <w:rPr>
          <w:rFonts w:cs="Times New Roman"/>
          <w:szCs w:val="26"/>
        </w:rPr>
        <w:t xml:space="preserve">automatic adjustment </w:t>
      </w:r>
      <w:r>
        <w:rPr>
          <w:rFonts w:cs="Times New Roman"/>
          <w:szCs w:val="26"/>
        </w:rPr>
        <w:t>clause</w:t>
      </w:r>
      <w:r w:rsidRPr="00B73527">
        <w:rPr>
          <w:rFonts w:cs="Times New Roman"/>
          <w:szCs w:val="26"/>
        </w:rPr>
        <w:t xml:space="preserve"> </w:t>
      </w:r>
      <w:r w:rsidRPr="00B73527">
        <w:rPr>
          <w:rFonts w:cs="Times New Roman"/>
          <w:b/>
          <w:i/>
          <w:szCs w:val="26"/>
        </w:rPr>
        <w:t>or other method</w:t>
      </w:r>
      <w:r w:rsidRPr="00B73527">
        <w:rPr>
          <w:rFonts w:cs="Times New Roman"/>
          <w:szCs w:val="26"/>
        </w:rPr>
        <w:t xml:space="preserve"> are subject to reconciliation a</w:t>
      </w:r>
      <w:r>
        <w:rPr>
          <w:rFonts w:cs="Times New Roman"/>
          <w:szCs w:val="26"/>
        </w:rPr>
        <w:t xml:space="preserve">nd refund.  According to Columbia, its </w:t>
      </w:r>
      <w:r w:rsidRPr="00B73527">
        <w:rPr>
          <w:rFonts w:cs="Times New Roman"/>
          <w:szCs w:val="26"/>
        </w:rPr>
        <w:t>unbundled rate bas</w:t>
      </w:r>
      <w:r>
        <w:rPr>
          <w:rFonts w:cs="Times New Roman"/>
          <w:szCs w:val="26"/>
        </w:rPr>
        <w:t xml:space="preserve">e/rate of return rate is </w:t>
      </w:r>
      <w:r w:rsidRPr="00B73527">
        <w:rPr>
          <w:rFonts w:cs="Times New Roman"/>
          <w:szCs w:val="26"/>
        </w:rPr>
        <w:t>an “</w:t>
      </w:r>
      <w:r w:rsidRPr="00B73527">
        <w:rPr>
          <w:rFonts w:cs="Times New Roman"/>
          <w:b/>
          <w:i/>
          <w:szCs w:val="26"/>
        </w:rPr>
        <w:t>other method</w:t>
      </w:r>
      <w:r w:rsidRPr="00B73527">
        <w:rPr>
          <w:rFonts w:cs="Times New Roman"/>
          <w:szCs w:val="26"/>
        </w:rPr>
        <w:t>”</w:t>
      </w:r>
      <w:r>
        <w:rPr>
          <w:rFonts w:cs="Times New Roman"/>
          <w:szCs w:val="26"/>
        </w:rPr>
        <w:t xml:space="preserve"> under the </w:t>
      </w:r>
      <w:r w:rsidRPr="008A436A">
        <w:rPr>
          <w:rFonts w:cs="Times New Roman"/>
          <w:i/>
          <w:szCs w:val="26"/>
        </w:rPr>
        <w:t>PennVest Policy Statement</w:t>
      </w:r>
      <w:r>
        <w:rPr>
          <w:rFonts w:cs="Times New Roman"/>
          <w:szCs w:val="26"/>
        </w:rPr>
        <w:t xml:space="preserve">.  CWC R.Exc. at 11.  </w:t>
      </w:r>
    </w:p>
    <w:p w:rsidR="004F0789" w:rsidRPr="004C2695" w:rsidRDefault="004F0789" w:rsidP="004F0789">
      <w:pPr>
        <w:contextualSpacing/>
        <w:rPr>
          <w:rFonts w:cs="Times New Roman"/>
          <w:szCs w:val="26"/>
        </w:rPr>
      </w:pPr>
    </w:p>
    <w:p w:rsidR="004F0789" w:rsidRDefault="003C1ED4" w:rsidP="004F0789">
      <w:pPr>
        <w:contextualSpacing/>
        <w:rPr>
          <w:rFonts w:cs="Times New Roman"/>
          <w:spacing w:val="-2"/>
          <w:szCs w:val="26"/>
        </w:rPr>
      </w:pPr>
      <w:r>
        <w:rPr>
          <w:rFonts w:cs="Times New Roman"/>
          <w:szCs w:val="26"/>
        </w:rPr>
        <w:t>Columbia further</w:t>
      </w:r>
      <w:r w:rsidR="003E7AED">
        <w:rPr>
          <w:rFonts w:cs="Times New Roman"/>
          <w:szCs w:val="26"/>
        </w:rPr>
        <w:t xml:space="preserve"> contends</w:t>
      </w:r>
      <w:r w:rsidR="004F0789">
        <w:rPr>
          <w:rFonts w:cs="Times New Roman"/>
          <w:szCs w:val="26"/>
        </w:rPr>
        <w:t xml:space="preserve"> that the </w:t>
      </w:r>
      <w:r w:rsidR="004F0789" w:rsidRPr="00B73527">
        <w:rPr>
          <w:rFonts w:cs="Times New Roman"/>
          <w:szCs w:val="26"/>
        </w:rPr>
        <w:t xml:space="preserve">argument </w:t>
      </w:r>
      <w:r w:rsidR="004F0789">
        <w:rPr>
          <w:rFonts w:cs="Times New Roman"/>
          <w:szCs w:val="26"/>
        </w:rPr>
        <w:t xml:space="preserve">of I&amp;E and the OCA </w:t>
      </w:r>
      <w:r w:rsidR="004F0789" w:rsidRPr="00B73527">
        <w:rPr>
          <w:rFonts w:cs="Times New Roman"/>
          <w:szCs w:val="26"/>
        </w:rPr>
        <w:t xml:space="preserve">that the Company did not </w:t>
      </w:r>
      <w:r w:rsidR="004F0789">
        <w:rPr>
          <w:rFonts w:cs="Times New Roman"/>
          <w:szCs w:val="26"/>
        </w:rPr>
        <w:t>claim</w:t>
      </w:r>
      <w:r w:rsidR="004F0789" w:rsidRPr="00B73527">
        <w:rPr>
          <w:rFonts w:cs="Times New Roman"/>
          <w:szCs w:val="26"/>
        </w:rPr>
        <w:t xml:space="preserve"> the </w:t>
      </w:r>
      <w:r w:rsidR="004F0789">
        <w:rPr>
          <w:rFonts w:cs="Times New Roman"/>
          <w:szCs w:val="26"/>
        </w:rPr>
        <w:t xml:space="preserve">PennVest </w:t>
      </w:r>
      <w:r w:rsidR="004F0789" w:rsidRPr="00B73527">
        <w:rPr>
          <w:rFonts w:cs="Times New Roman"/>
          <w:szCs w:val="26"/>
        </w:rPr>
        <w:t xml:space="preserve">plant in rate base in subsequent rate cases should be rejected </w:t>
      </w:r>
      <w:r w:rsidR="004F0789">
        <w:rPr>
          <w:rFonts w:cs="Times New Roman"/>
          <w:szCs w:val="26"/>
        </w:rPr>
        <w:t>“</w:t>
      </w:r>
      <w:r w:rsidR="004F0789" w:rsidRPr="00B73527">
        <w:rPr>
          <w:rFonts w:cs="Times New Roman"/>
          <w:szCs w:val="26"/>
        </w:rPr>
        <w:t>because the 1993 volumetric rate was an essentially unbundled rate base/rate of return rate with depreciation, which was periodically reviewed by the Commission and treated separately.</w:t>
      </w:r>
      <w:r w:rsidR="004F0789">
        <w:rPr>
          <w:rFonts w:cs="Times New Roman"/>
          <w:szCs w:val="26"/>
        </w:rPr>
        <w:t>”  CWC R.Exc. at 12.  Columbia asserts that claiming its PennVest plant as part of its rate base</w:t>
      </w:r>
      <w:r w:rsidR="004F0789" w:rsidRPr="004C2695">
        <w:rPr>
          <w:rFonts w:cs="Times New Roman"/>
          <w:spacing w:val="-2"/>
          <w:szCs w:val="26"/>
        </w:rPr>
        <w:t xml:space="preserve"> </w:t>
      </w:r>
      <w:r w:rsidR="004F0789" w:rsidRPr="00B73527">
        <w:rPr>
          <w:rFonts w:cs="Times New Roman"/>
          <w:spacing w:val="-2"/>
          <w:szCs w:val="26"/>
        </w:rPr>
        <w:t>dur</w:t>
      </w:r>
      <w:r w:rsidR="004F0789">
        <w:rPr>
          <w:rFonts w:cs="Times New Roman"/>
          <w:spacing w:val="-2"/>
          <w:szCs w:val="26"/>
        </w:rPr>
        <w:t xml:space="preserve">ing the time that its PennVest </w:t>
      </w:r>
      <w:r w:rsidR="004F0789" w:rsidRPr="00B73527">
        <w:rPr>
          <w:rFonts w:cs="Times New Roman"/>
          <w:spacing w:val="-2"/>
          <w:szCs w:val="26"/>
        </w:rPr>
        <w:t>rate base/rate of return rate was in effect</w:t>
      </w:r>
      <w:r w:rsidR="004F0789">
        <w:rPr>
          <w:rFonts w:cs="Times New Roman"/>
          <w:szCs w:val="26"/>
        </w:rPr>
        <w:t xml:space="preserve"> </w:t>
      </w:r>
      <w:r w:rsidR="004F0789" w:rsidRPr="00B73527">
        <w:rPr>
          <w:rFonts w:cs="Times New Roman"/>
          <w:szCs w:val="26"/>
        </w:rPr>
        <w:t xml:space="preserve">would have </w:t>
      </w:r>
      <w:r w:rsidR="004F0789">
        <w:rPr>
          <w:rFonts w:cs="Times New Roman"/>
          <w:spacing w:val="-2"/>
          <w:szCs w:val="26"/>
        </w:rPr>
        <w:t xml:space="preserve">resulted in double </w:t>
      </w:r>
      <w:r w:rsidR="004F0789" w:rsidRPr="00B73527">
        <w:rPr>
          <w:rFonts w:cs="Times New Roman"/>
          <w:spacing w:val="-2"/>
          <w:szCs w:val="26"/>
        </w:rPr>
        <w:t>counting that plant</w:t>
      </w:r>
      <w:r w:rsidR="004F0789">
        <w:rPr>
          <w:rFonts w:cs="Times New Roman"/>
          <w:spacing w:val="-2"/>
          <w:szCs w:val="26"/>
        </w:rPr>
        <w:t>.  Columbia states that, since its PennVest rate has ended,</w:t>
      </w:r>
      <w:r w:rsidR="004F0789" w:rsidRPr="00B73527">
        <w:rPr>
          <w:rFonts w:cs="Times New Roman"/>
          <w:spacing w:val="-2"/>
          <w:szCs w:val="26"/>
        </w:rPr>
        <w:t xml:space="preserve"> </w:t>
      </w:r>
      <w:r w:rsidR="004F0789">
        <w:rPr>
          <w:rFonts w:cs="Times New Roman"/>
          <w:spacing w:val="-2"/>
          <w:szCs w:val="26"/>
        </w:rPr>
        <w:t xml:space="preserve">its PennVest plant is no longer </w:t>
      </w:r>
      <w:r w:rsidR="004F0789" w:rsidRPr="00B73527">
        <w:rPr>
          <w:rFonts w:cs="Times New Roman"/>
          <w:spacing w:val="-2"/>
          <w:szCs w:val="26"/>
        </w:rPr>
        <w:t>in rates</w:t>
      </w:r>
      <w:r w:rsidR="004F0789">
        <w:rPr>
          <w:rFonts w:cs="Times New Roman"/>
          <w:spacing w:val="-2"/>
          <w:szCs w:val="26"/>
        </w:rPr>
        <w:t>,</w:t>
      </w:r>
      <w:r w:rsidR="004F0789" w:rsidRPr="00B73527">
        <w:rPr>
          <w:rFonts w:cs="Times New Roman"/>
          <w:spacing w:val="-2"/>
          <w:szCs w:val="26"/>
        </w:rPr>
        <w:t xml:space="preserve"> which is</w:t>
      </w:r>
      <w:r w:rsidR="004F0789">
        <w:rPr>
          <w:rFonts w:cs="Times New Roman"/>
          <w:spacing w:val="-2"/>
          <w:szCs w:val="26"/>
        </w:rPr>
        <w:t xml:space="preserve"> why the Company has sought to bundle the undepreciated remaining PennVest plant </w:t>
      </w:r>
      <w:r w:rsidR="004F0789" w:rsidRPr="00B73527">
        <w:rPr>
          <w:rFonts w:cs="Times New Roman"/>
          <w:spacing w:val="-2"/>
          <w:szCs w:val="26"/>
        </w:rPr>
        <w:t>b</w:t>
      </w:r>
      <w:r w:rsidR="004F0789">
        <w:rPr>
          <w:rFonts w:cs="Times New Roman"/>
          <w:spacing w:val="-2"/>
          <w:szCs w:val="26"/>
        </w:rPr>
        <w:t xml:space="preserve">ack into rate base in this case.  </w:t>
      </w:r>
      <w:r w:rsidR="004F0789" w:rsidRPr="00527ED0">
        <w:rPr>
          <w:rFonts w:cs="Times New Roman"/>
          <w:i/>
          <w:spacing w:val="-2"/>
          <w:szCs w:val="26"/>
        </w:rPr>
        <w:t>Id</w:t>
      </w:r>
      <w:r w:rsidR="004F0789">
        <w:rPr>
          <w:rFonts w:cs="Times New Roman"/>
          <w:spacing w:val="-2"/>
          <w:szCs w:val="26"/>
        </w:rPr>
        <w:t>.</w:t>
      </w:r>
    </w:p>
    <w:p w:rsidR="004F0789" w:rsidRPr="00B73527" w:rsidRDefault="004F0789" w:rsidP="004F0789">
      <w:pPr>
        <w:contextualSpacing/>
        <w:rPr>
          <w:rFonts w:cs="Times New Roman"/>
          <w:szCs w:val="26"/>
        </w:rPr>
      </w:pPr>
    </w:p>
    <w:p w:rsidR="004F0789" w:rsidRDefault="004F0789" w:rsidP="004F0789">
      <w:pPr>
        <w:tabs>
          <w:tab w:val="left" w:pos="8640"/>
        </w:tabs>
        <w:contextualSpacing/>
        <w:rPr>
          <w:rFonts w:cs="Times New Roman"/>
          <w:szCs w:val="26"/>
        </w:rPr>
      </w:pPr>
      <w:r>
        <w:rPr>
          <w:rFonts w:cs="Times New Roman"/>
          <w:szCs w:val="26"/>
        </w:rPr>
        <w:t xml:space="preserve">Next, Columbia points out that its </w:t>
      </w:r>
      <w:r w:rsidRPr="00020520">
        <w:rPr>
          <w:rFonts w:cs="Times New Roman"/>
          <w:i/>
          <w:szCs w:val="26"/>
        </w:rPr>
        <w:t>1993 PennVest Order</w:t>
      </w:r>
      <w:r>
        <w:rPr>
          <w:rFonts w:cs="Times New Roman"/>
          <w:szCs w:val="26"/>
        </w:rPr>
        <w:t xml:space="preserve"> predates the 1994 </w:t>
      </w:r>
      <w:r w:rsidRPr="009D4602">
        <w:rPr>
          <w:rFonts w:cs="Times New Roman"/>
          <w:i/>
          <w:szCs w:val="26"/>
        </w:rPr>
        <w:t>PennVest Policy Statement</w:t>
      </w:r>
      <w:r>
        <w:rPr>
          <w:rFonts w:cs="Times New Roman"/>
          <w:i/>
          <w:szCs w:val="26"/>
        </w:rPr>
        <w:t>,</w:t>
      </w:r>
      <w:r>
        <w:rPr>
          <w:rFonts w:cs="Times New Roman"/>
          <w:szCs w:val="26"/>
        </w:rPr>
        <w:t xml:space="preserve"> which was intended to apply to companies that had not yet elected rate base or surcharge treatment.  In addition, Columbia argues that </w:t>
      </w:r>
      <w:r w:rsidRPr="00B73527">
        <w:rPr>
          <w:rFonts w:cs="Times New Roman"/>
          <w:szCs w:val="26"/>
        </w:rPr>
        <w:t xml:space="preserve">the </w:t>
      </w:r>
      <w:r w:rsidRPr="009D4602">
        <w:rPr>
          <w:rFonts w:cs="Times New Roman"/>
          <w:i/>
          <w:szCs w:val="26"/>
        </w:rPr>
        <w:t>PennVest Policy Statement</w:t>
      </w:r>
      <w:r>
        <w:rPr>
          <w:rFonts w:cs="Times New Roman"/>
          <w:szCs w:val="26"/>
        </w:rPr>
        <w:t xml:space="preserve"> </w:t>
      </w:r>
      <w:r w:rsidRPr="00B73527">
        <w:rPr>
          <w:rFonts w:cs="Times New Roman"/>
          <w:szCs w:val="26"/>
        </w:rPr>
        <w:t>doe</w:t>
      </w:r>
      <w:r>
        <w:rPr>
          <w:rFonts w:cs="Times New Roman"/>
          <w:szCs w:val="26"/>
        </w:rPr>
        <w:t xml:space="preserve">s not forbid </w:t>
      </w:r>
      <w:r w:rsidRPr="00B73527">
        <w:rPr>
          <w:rFonts w:cs="Times New Roman"/>
          <w:szCs w:val="26"/>
        </w:rPr>
        <w:t>capital recovery and return on investment for the remaining useful and depreciable life of the assets.</w:t>
      </w:r>
      <w:r>
        <w:rPr>
          <w:rFonts w:cs="Times New Roman"/>
          <w:szCs w:val="26"/>
        </w:rPr>
        <w:t xml:space="preserve">  Columbia asserts that </w:t>
      </w:r>
      <w:r w:rsidRPr="00B73527">
        <w:rPr>
          <w:rFonts w:cs="Times New Roman"/>
          <w:szCs w:val="26"/>
        </w:rPr>
        <w:t>the term of a loan does not establish the basis for the service lives of the assets or the future l</w:t>
      </w:r>
      <w:r>
        <w:rPr>
          <w:rFonts w:cs="Times New Roman"/>
          <w:szCs w:val="26"/>
        </w:rPr>
        <w:t>ife expectancies.  “</w:t>
      </w:r>
      <w:r w:rsidRPr="00B73527">
        <w:rPr>
          <w:rFonts w:cs="Times New Roman"/>
          <w:szCs w:val="26"/>
        </w:rPr>
        <w:t>The Commission should decline OCA and I&amp;E</w:t>
      </w:r>
      <w:r>
        <w:rPr>
          <w:rFonts w:cs="Times New Roman"/>
          <w:szCs w:val="26"/>
        </w:rPr>
        <w:t>’</w:t>
      </w:r>
      <w:r w:rsidRPr="00B73527">
        <w:rPr>
          <w:rFonts w:cs="Times New Roman"/>
          <w:szCs w:val="26"/>
        </w:rPr>
        <w:t>s invitation to replace sound engineering service life judgment with loan terms written by bankers or lenders.</w:t>
      </w:r>
      <w:r>
        <w:rPr>
          <w:rFonts w:cs="Times New Roman"/>
          <w:szCs w:val="26"/>
        </w:rPr>
        <w:t>”  CWC R.Exc. at 13.  Columbia states that, n</w:t>
      </w:r>
      <w:r w:rsidRPr="00B73527">
        <w:rPr>
          <w:rFonts w:cs="Times New Roman"/>
          <w:szCs w:val="26"/>
        </w:rPr>
        <w:t>ow that the PennVest debt servic</w:t>
      </w:r>
      <w:r>
        <w:rPr>
          <w:rFonts w:cs="Times New Roman"/>
          <w:szCs w:val="26"/>
        </w:rPr>
        <w:t xml:space="preserve">e has been retired, it </w:t>
      </w:r>
      <w:r w:rsidRPr="00B73527">
        <w:rPr>
          <w:rFonts w:cs="Times New Roman"/>
          <w:szCs w:val="26"/>
        </w:rPr>
        <w:t xml:space="preserve">simply wants </w:t>
      </w:r>
      <w:r w:rsidRPr="009D4602">
        <w:rPr>
          <w:rFonts w:cs="Times New Roman"/>
          <w:szCs w:val="26"/>
        </w:rPr>
        <w:t>to continue</w:t>
      </w:r>
      <w:r w:rsidRPr="00B73527">
        <w:rPr>
          <w:rFonts w:cs="Times New Roman"/>
          <w:szCs w:val="26"/>
        </w:rPr>
        <w:t xml:space="preserve"> to claim the undepreciated amount of</w:t>
      </w:r>
      <w:r>
        <w:rPr>
          <w:rFonts w:cs="Times New Roman"/>
          <w:szCs w:val="26"/>
        </w:rPr>
        <w:t xml:space="preserve"> the PennVest plant in service.  “</w:t>
      </w:r>
      <w:r w:rsidRPr="00B73527">
        <w:rPr>
          <w:rFonts w:cs="Times New Roman"/>
          <w:szCs w:val="26"/>
        </w:rPr>
        <w:t xml:space="preserve">That is the </w:t>
      </w:r>
      <w:r w:rsidRPr="00B73527">
        <w:rPr>
          <w:rFonts w:cs="Times New Roman"/>
          <w:szCs w:val="26"/>
        </w:rPr>
        <w:lastRenderedPageBreak/>
        <w:t xml:space="preserve">case with any loan used by utilities to fund plant - particularly plant with a long term life </w:t>
      </w:r>
      <w:r>
        <w:rPr>
          <w:rFonts w:cs="Times New Roman"/>
          <w:szCs w:val="26"/>
        </w:rPr>
        <w:t>that exceeds loan terms. . .  [A]</w:t>
      </w:r>
      <w:r w:rsidRPr="00B73527">
        <w:rPr>
          <w:rFonts w:cs="Times New Roman"/>
          <w:szCs w:val="26"/>
        </w:rPr>
        <w:t xml:space="preserve"> PennVest loan is n</w:t>
      </w:r>
      <w:r>
        <w:rPr>
          <w:rFonts w:cs="Times New Roman"/>
          <w:szCs w:val="26"/>
        </w:rPr>
        <w:t xml:space="preserve">o different than any other loan.”  </w:t>
      </w:r>
      <w:r w:rsidRPr="009D4602">
        <w:rPr>
          <w:rFonts w:cs="Times New Roman"/>
          <w:i/>
          <w:szCs w:val="26"/>
        </w:rPr>
        <w:t>Id</w:t>
      </w:r>
      <w:r>
        <w:rPr>
          <w:rFonts w:cs="Times New Roman"/>
          <w:szCs w:val="26"/>
        </w:rPr>
        <w:t>.</w:t>
      </w:r>
      <w:r w:rsidRPr="00B73527">
        <w:rPr>
          <w:rFonts w:cs="Times New Roman"/>
          <w:szCs w:val="26"/>
        </w:rPr>
        <w:t xml:space="preserve">  </w:t>
      </w:r>
    </w:p>
    <w:p w:rsidR="004F0789" w:rsidRDefault="004F0789" w:rsidP="004F0789">
      <w:pPr>
        <w:tabs>
          <w:tab w:val="left" w:pos="8640"/>
        </w:tabs>
        <w:contextualSpacing/>
        <w:rPr>
          <w:rFonts w:cs="Times New Roman"/>
          <w:szCs w:val="26"/>
        </w:rPr>
      </w:pPr>
    </w:p>
    <w:p w:rsidR="004F0789" w:rsidRDefault="003C1ED4" w:rsidP="004F0789">
      <w:pPr>
        <w:tabs>
          <w:tab w:val="left" w:pos="8640"/>
        </w:tabs>
        <w:contextualSpacing/>
        <w:rPr>
          <w:rFonts w:cs="Times New Roman"/>
          <w:szCs w:val="26"/>
        </w:rPr>
      </w:pPr>
      <w:r>
        <w:rPr>
          <w:rFonts w:cs="Times New Roman"/>
          <w:szCs w:val="26"/>
        </w:rPr>
        <w:t>Next</w:t>
      </w:r>
      <w:r w:rsidR="006D595E">
        <w:rPr>
          <w:rFonts w:cs="Times New Roman"/>
          <w:szCs w:val="26"/>
        </w:rPr>
        <w:t>,</w:t>
      </w:r>
      <w:r w:rsidR="004F0789">
        <w:rPr>
          <w:rFonts w:cs="Times New Roman"/>
          <w:szCs w:val="26"/>
        </w:rPr>
        <w:t xml:space="preserve"> Columbia argues that the 1994 </w:t>
      </w:r>
      <w:r w:rsidR="004F0789" w:rsidRPr="007F659F">
        <w:rPr>
          <w:rFonts w:cs="Times New Roman"/>
          <w:i/>
          <w:szCs w:val="26"/>
        </w:rPr>
        <w:t>NUI Order</w:t>
      </w:r>
      <w:r w:rsidR="004F0789" w:rsidRPr="009D4602">
        <w:rPr>
          <w:rFonts w:cs="Times New Roman"/>
          <w:szCs w:val="26"/>
        </w:rPr>
        <w:t xml:space="preserve"> cited by </w:t>
      </w:r>
      <w:r w:rsidR="004F0789">
        <w:rPr>
          <w:rFonts w:cs="Times New Roman"/>
          <w:szCs w:val="26"/>
        </w:rPr>
        <w:t xml:space="preserve">the OCA in support of its </w:t>
      </w:r>
      <w:r w:rsidR="004F0789" w:rsidRPr="009D4602">
        <w:rPr>
          <w:rFonts w:cs="Times New Roman"/>
          <w:szCs w:val="26"/>
        </w:rPr>
        <w:t>adjustment is distingui</w:t>
      </w:r>
      <w:r w:rsidR="004F0789">
        <w:rPr>
          <w:rFonts w:cs="Times New Roman"/>
          <w:szCs w:val="26"/>
        </w:rPr>
        <w:t xml:space="preserve">shable.  Columbia argues that NUI </w:t>
      </w:r>
      <w:r w:rsidR="004F0789" w:rsidRPr="00B73527">
        <w:rPr>
          <w:rFonts w:cs="Times New Roman"/>
          <w:szCs w:val="26"/>
        </w:rPr>
        <w:t>was trying to elimin</w:t>
      </w:r>
      <w:r w:rsidR="004F0789">
        <w:rPr>
          <w:rFonts w:cs="Times New Roman"/>
          <w:szCs w:val="26"/>
        </w:rPr>
        <w:t xml:space="preserve">ate its PennVest surcharge </w:t>
      </w:r>
      <w:r w:rsidR="004F0789" w:rsidRPr="00B73527">
        <w:rPr>
          <w:rFonts w:cs="Times New Roman"/>
          <w:szCs w:val="26"/>
        </w:rPr>
        <w:t xml:space="preserve">and </w:t>
      </w:r>
      <w:r w:rsidR="004F0789" w:rsidRPr="007F659F">
        <w:rPr>
          <w:rFonts w:cs="Times New Roman"/>
          <w:szCs w:val="26"/>
        </w:rPr>
        <w:t>convert</w:t>
      </w:r>
      <w:r w:rsidR="004F0789">
        <w:rPr>
          <w:rFonts w:cs="Times New Roman"/>
          <w:szCs w:val="26"/>
        </w:rPr>
        <w:t xml:space="preserve"> it </w:t>
      </w:r>
      <w:r w:rsidR="004F0789" w:rsidRPr="00B73527">
        <w:rPr>
          <w:rFonts w:cs="Times New Roman"/>
          <w:szCs w:val="26"/>
        </w:rPr>
        <w:t xml:space="preserve">into a </w:t>
      </w:r>
      <w:r w:rsidR="004F0789">
        <w:rPr>
          <w:rFonts w:cs="Times New Roman"/>
          <w:szCs w:val="26"/>
        </w:rPr>
        <w:t>rate base/rate of return rate.  According to Columbia, t</w:t>
      </w:r>
      <w:r w:rsidR="004F0789" w:rsidRPr="00B73527">
        <w:rPr>
          <w:rFonts w:cs="Times New Roman"/>
          <w:szCs w:val="26"/>
        </w:rPr>
        <w:t xml:space="preserve">hat is </w:t>
      </w:r>
      <w:r w:rsidR="004F0789">
        <w:rPr>
          <w:rFonts w:cs="Times New Roman"/>
          <w:szCs w:val="26"/>
        </w:rPr>
        <w:t>“</w:t>
      </w:r>
      <w:r w:rsidR="004F0789" w:rsidRPr="00B73527">
        <w:rPr>
          <w:rFonts w:cs="Times New Roman"/>
          <w:szCs w:val="26"/>
        </w:rPr>
        <w:t>the complete opposite of what we have here, which is a volumetric rate that is a rate base/rate of return rate, which included the plant in rate base, rate of return, depreciation expense, and income taxes.</w:t>
      </w:r>
      <w:r w:rsidR="004F0789">
        <w:rPr>
          <w:rFonts w:cs="Times New Roman"/>
          <w:szCs w:val="26"/>
        </w:rPr>
        <w:t xml:space="preserve">”  CWC R.Exc. at 14.  </w:t>
      </w:r>
      <w:r w:rsidR="004F0789" w:rsidRPr="00B73527">
        <w:rPr>
          <w:rFonts w:cs="Times New Roman"/>
          <w:szCs w:val="26"/>
        </w:rPr>
        <w:t xml:space="preserve">The Company </w:t>
      </w:r>
      <w:r w:rsidR="004F0789">
        <w:rPr>
          <w:rFonts w:cs="Times New Roman"/>
          <w:szCs w:val="26"/>
        </w:rPr>
        <w:t xml:space="preserve">states that it </w:t>
      </w:r>
      <w:r w:rsidR="004F0789" w:rsidRPr="00B73527">
        <w:rPr>
          <w:rFonts w:cs="Times New Roman"/>
          <w:szCs w:val="26"/>
        </w:rPr>
        <w:t xml:space="preserve">simply wants to </w:t>
      </w:r>
      <w:r w:rsidR="004F0789" w:rsidRPr="007F659F">
        <w:rPr>
          <w:rFonts w:cs="Times New Roman"/>
          <w:szCs w:val="26"/>
        </w:rPr>
        <w:t>continue</w:t>
      </w:r>
      <w:r w:rsidR="004F0789" w:rsidRPr="00B73527">
        <w:rPr>
          <w:rFonts w:cs="Times New Roman"/>
          <w:szCs w:val="26"/>
        </w:rPr>
        <w:t xml:space="preserve"> including the plant in rate base in order to realize a return on its original cost minus deprecia</w:t>
      </w:r>
      <w:r w:rsidR="004F0789">
        <w:rPr>
          <w:rFonts w:cs="Times New Roman"/>
          <w:szCs w:val="26"/>
        </w:rPr>
        <w:t>tion investment</w:t>
      </w:r>
      <w:r w:rsidR="004F0789" w:rsidRPr="00B73527">
        <w:rPr>
          <w:rFonts w:cs="Times New Roman"/>
          <w:szCs w:val="26"/>
        </w:rPr>
        <w:t>.</w:t>
      </w:r>
      <w:r w:rsidR="004F0789">
        <w:rPr>
          <w:rFonts w:cs="Times New Roman"/>
          <w:szCs w:val="26"/>
        </w:rPr>
        <w:t xml:space="preserve">  </w:t>
      </w:r>
      <w:r w:rsidR="004F0789" w:rsidRPr="006E440D">
        <w:rPr>
          <w:rFonts w:cs="Times New Roman"/>
          <w:i/>
          <w:szCs w:val="26"/>
        </w:rPr>
        <w:t>Id</w:t>
      </w:r>
      <w:r w:rsidR="004F0789">
        <w:rPr>
          <w:rFonts w:cs="Times New Roman"/>
          <w:szCs w:val="26"/>
        </w:rPr>
        <w:t>.</w:t>
      </w:r>
    </w:p>
    <w:p w:rsidR="004F0789" w:rsidRDefault="004F0789" w:rsidP="004F0789">
      <w:pPr>
        <w:tabs>
          <w:tab w:val="left" w:pos="8640"/>
        </w:tabs>
        <w:contextualSpacing/>
        <w:rPr>
          <w:rFonts w:cs="Times New Roman"/>
          <w:szCs w:val="26"/>
        </w:rPr>
      </w:pPr>
    </w:p>
    <w:p w:rsidR="004F0789" w:rsidRDefault="003C1ED4" w:rsidP="004F0789">
      <w:pPr>
        <w:tabs>
          <w:tab w:val="left" w:pos="8640"/>
        </w:tabs>
        <w:contextualSpacing/>
        <w:rPr>
          <w:rFonts w:cs="Times New Roman"/>
          <w:szCs w:val="26"/>
        </w:rPr>
      </w:pPr>
      <w:r>
        <w:rPr>
          <w:rFonts w:cs="Times New Roman"/>
          <w:szCs w:val="26"/>
        </w:rPr>
        <w:t>Moreover</w:t>
      </w:r>
      <w:r w:rsidR="004F0789">
        <w:rPr>
          <w:rFonts w:cs="Times New Roman"/>
          <w:szCs w:val="26"/>
        </w:rPr>
        <w:t>, Columbia argues that u</w:t>
      </w:r>
      <w:r w:rsidR="004F0789" w:rsidRPr="007F659F">
        <w:rPr>
          <w:rFonts w:cs="Times New Roman"/>
          <w:szCs w:val="26"/>
        </w:rPr>
        <w:t>sing revenues from rates to pay a loan does not transform a loan into a retroactive contribution in aid of construction.</w:t>
      </w:r>
      <w:r w:rsidR="004F0789">
        <w:rPr>
          <w:rFonts w:cs="Times New Roman"/>
          <w:szCs w:val="26"/>
        </w:rPr>
        <w:t xml:space="preserve">  Columbia disputes the I&amp;E and the OCA </w:t>
      </w:r>
      <w:r w:rsidR="004F0789" w:rsidRPr="00B73527">
        <w:rPr>
          <w:rFonts w:cs="Times New Roman"/>
          <w:szCs w:val="26"/>
        </w:rPr>
        <w:t>argument that</w:t>
      </w:r>
      <w:r w:rsidR="004F0789">
        <w:rPr>
          <w:rFonts w:cs="Times New Roman"/>
          <w:szCs w:val="26"/>
        </w:rPr>
        <w:t>,</w:t>
      </w:r>
      <w:r w:rsidR="004F0789" w:rsidRPr="00B73527">
        <w:rPr>
          <w:rFonts w:cs="Times New Roman"/>
          <w:szCs w:val="26"/>
        </w:rPr>
        <w:t xml:space="preserve"> because a utility loan is pa</w:t>
      </w:r>
      <w:r w:rsidR="004F0789">
        <w:rPr>
          <w:rFonts w:cs="Times New Roman"/>
          <w:szCs w:val="26"/>
        </w:rPr>
        <w:t xml:space="preserve">id off with revenues derived from rates, </w:t>
      </w:r>
      <w:r w:rsidR="004F0789" w:rsidRPr="00B73527">
        <w:rPr>
          <w:rFonts w:cs="Times New Roman"/>
          <w:szCs w:val="26"/>
        </w:rPr>
        <w:t xml:space="preserve">then somehow the ratepayers, not the utility, provided the plant.  </w:t>
      </w:r>
      <w:r w:rsidR="004F0789">
        <w:rPr>
          <w:rFonts w:cs="Times New Roman"/>
          <w:szCs w:val="26"/>
        </w:rPr>
        <w:t xml:space="preserve">Columbia argues that this assertion </w:t>
      </w:r>
      <w:r w:rsidR="004F0789" w:rsidRPr="00B73527">
        <w:rPr>
          <w:rFonts w:cs="Times New Roman"/>
          <w:szCs w:val="26"/>
        </w:rPr>
        <w:t xml:space="preserve">does not </w:t>
      </w:r>
      <w:r w:rsidR="004F0789">
        <w:rPr>
          <w:rFonts w:cs="Times New Roman"/>
          <w:szCs w:val="26"/>
        </w:rPr>
        <w:t xml:space="preserve">comport with basic </w:t>
      </w:r>
      <w:r w:rsidR="004F0789" w:rsidRPr="00B73527">
        <w:rPr>
          <w:rFonts w:cs="Times New Roman"/>
          <w:szCs w:val="26"/>
        </w:rPr>
        <w:t>ratemaking</w:t>
      </w:r>
      <w:r w:rsidR="004F0789">
        <w:rPr>
          <w:rFonts w:cs="Times New Roman"/>
          <w:szCs w:val="26"/>
        </w:rPr>
        <w:t xml:space="preserve"> principles.  In addition, Columbia asserts that the record </w:t>
      </w:r>
      <w:r w:rsidR="004F0789" w:rsidRPr="00E445FD">
        <w:rPr>
          <w:rFonts w:cs="Times New Roman"/>
          <w:szCs w:val="26"/>
        </w:rPr>
        <w:t xml:space="preserve">shows </w:t>
      </w:r>
      <w:r w:rsidR="004F0789">
        <w:rPr>
          <w:rFonts w:cs="Times New Roman"/>
          <w:szCs w:val="26"/>
        </w:rPr>
        <w:t xml:space="preserve">that revenue from rates </w:t>
      </w:r>
      <w:r w:rsidR="004F0789" w:rsidRPr="00E445FD">
        <w:rPr>
          <w:rFonts w:cs="Times New Roman"/>
          <w:szCs w:val="26"/>
        </w:rPr>
        <w:t xml:space="preserve">was not the sole source </w:t>
      </w:r>
      <w:r w:rsidR="004F0789">
        <w:rPr>
          <w:rFonts w:cs="Times New Roman"/>
          <w:szCs w:val="26"/>
        </w:rPr>
        <w:t xml:space="preserve">of funds </w:t>
      </w:r>
      <w:r w:rsidR="004F0789" w:rsidRPr="00E445FD">
        <w:rPr>
          <w:rFonts w:cs="Times New Roman"/>
          <w:szCs w:val="26"/>
        </w:rPr>
        <w:t>used to repa</w:t>
      </w:r>
      <w:r w:rsidR="004F0789">
        <w:rPr>
          <w:rFonts w:cs="Times New Roman"/>
          <w:szCs w:val="26"/>
        </w:rPr>
        <w:t xml:space="preserve">y the loan.  </w:t>
      </w:r>
      <w:r w:rsidR="004F0789" w:rsidRPr="00B73527">
        <w:rPr>
          <w:rFonts w:cs="Times New Roman"/>
          <w:szCs w:val="26"/>
        </w:rPr>
        <w:t>Specifically, Company witness Lewis testified</w:t>
      </w:r>
      <w:r w:rsidR="004F0789">
        <w:rPr>
          <w:rFonts w:cs="Times New Roman"/>
          <w:szCs w:val="26"/>
        </w:rPr>
        <w:t xml:space="preserve"> that </w:t>
      </w:r>
      <w:r w:rsidR="004F0789" w:rsidRPr="00B73527">
        <w:rPr>
          <w:rFonts w:cs="Times New Roman"/>
          <w:szCs w:val="26"/>
        </w:rPr>
        <w:t>the Company used: “[s]everal sources including draws on a line of credit/loan, monies from sales of metering information, a dividend received annually from Workers Compensation insurance, and of course, monies we receive from all</w:t>
      </w:r>
      <w:r w:rsidR="004F0789">
        <w:rPr>
          <w:rFonts w:cs="Times New Roman"/>
          <w:szCs w:val="26"/>
        </w:rPr>
        <w:t xml:space="preserve"> our rates under our tariff.”  CWC R.Exc. at 15, citing CWC St. 1R at 23:13-15.  Columbia states that there was no earmarking or separate account, as would have been required for a surcharge under the Commission’s </w:t>
      </w:r>
      <w:r w:rsidR="004F0789" w:rsidRPr="001B7DCE">
        <w:rPr>
          <w:rFonts w:cs="Times New Roman"/>
          <w:i/>
          <w:szCs w:val="26"/>
        </w:rPr>
        <w:t>PennVest Policy Statement</w:t>
      </w:r>
      <w:r w:rsidR="004F0789">
        <w:rPr>
          <w:rFonts w:cs="Times New Roman"/>
          <w:szCs w:val="26"/>
        </w:rPr>
        <w:t xml:space="preserve">, which is another distinguishing feature of its rate base/rate of return rate.  </w:t>
      </w:r>
      <w:r w:rsidR="004F0789" w:rsidRPr="001B7DCE">
        <w:rPr>
          <w:rFonts w:cs="Times New Roman"/>
          <w:i/>
          <w:szCs w:val="26"/>
        </w:rPr>
        <w:t>Id.</w:t>
      </w:r>
      <w:r w:rsidR="004F0789">
        <w:rPr>
          <w:rFonts w:cs="Times New Roman"/>
          <w:szCs w:val="26"/>
        </w:rPr>
        <w:t xml:space="preserve">  at 14-15.</w:t>
      </w:r>
    </w:p>
    <w:p w:rsidR="004F0789" w:rsidRDefault="004F0789" w:rsidP="004F0789">
      <w:pPr>
        <w:tabs>
          <w:tab w:val="left" w:pos="8640"/>
        </w:tabs>
        <w:contextualSpacing/>
        <w:rPr>
          <w:rFonts w:cs="Times New Roman"/>
          <w:szCs w:val="26"/>
        </w:rPr>
      </w:pPr>
    </w:p>
    <w:p w:rsidR="004F0789" w:rsidRPr="00B73527" w:rsidRDefault="004F0789" w:rsidP="004F0789">
      <w:pPr>
        <w:tabs>
          <w:tab w:val="left" w:pos="8640"/>
        </w:tabs>
        <w:contextualSpacing/>
        <w:rPr>
          <w:rFonts w:cs="Times New Roman"/>
          <w:szCs w:val="26"/>
        </w:rPr>
      </w:pPr>
      <w:r>
        <w:rPr>
          <w:rFonts w:cs="Times New Roman"/>
          <w:szCs w:val="26"/>
        </w:rPr>
        <w:t>Next, Columbia argues that its PennVest rate had</w:t>
      </w:r>
      <w:r w:rsidRPr="00B73527">
        <w:rPr>
          <w:rFonts w:cs="Times New Roman"/>
          <w:szCs w:val="26"/>
        </w:rPr>
        <w:t xml:space="preserve"> the characteristics of a rate base and rate of return rate</w:t>
      </w:r>
      <w:r>
        <w:rPr>
          <w:rFonts w:cs="Times New Roman"/>
          <w:szCs w:val="26"/>
        </w:rPr>
        <w:t>,</w:t>
      </w:r>
      <w:r w:rsidRPr="00B73527">
        <w:rPr>
          <w:rFonts w:cs="Times New Roman"/>
          <w:szCs w:val="26"/>
        </w:rPr>
        <w:t xml:space="preserve"> as opposed to a debt service only surcharge that guarant</w:t>
      </w:r>
      <w:r>
        <w:rPr>
          <w:rFonts w:cs="Times New Roman"/>
          <w:szCs w:val="26"/>
        </w:rPr>
        <w:t xml:space="preserve">ees </w:t>
      </w:r>
      <w:r>
        <w:rPr>
          <w:rFonts w:cs="Times New Roman"/>
          <w:szCs w:val="26"/>
        </w:rPr>
        <w:lastRenderedPageBreak/>
        <w:t xml:space="preserve">100% collection of a loan.  Columbia asserts that </w:t>
      </w:r>
      <w:r w:rsidRPr="00B73527">
        <w:rPr>
          <w:rFonts w:cs="Times New Roman"/>
          <w:szCs w:val="26"/>
        </w:rPr>
        <w:t>debt service surcharges typically are kept in a separate account for repayment</w:t>
      </w:r>
      <w:r>
        <w:rPr>
          <w:rFonts w:cs="Times New Roman"/>
          <w:szCs w:val="26"/>
        </w:rPr>
        <w:t>,</w:t>
      </w:r>
      <w:r w:rsidRPr="00B73527">
        <w:rPr>
          <w:rFonts w:cs="Times New Roman"/>
          <w:szCs w:val="26"/>
        </w:rPr>
        <w:t xml:space="preserve"> so that monies collected from ratepayers are available and used to pay t</w:t>
      </w:r>
      <w:r>
        <w:rPr>
          <w:rFonts w:cs="Times New Roman"/>
          <w:szCs w:val="26"/>
        </w:rPr>
        <w:t>he loan, and often are customer-</w:t>
      </w:r>
      <w:r w:rsidRPr="00B73527">
        <w:rPr>
          <w:rFonts w:cs="Times New Roman"/>
          <w:szCs w:val="26"/>
        </w:rPr>
        <w:t>based ch</w:t>
      </w:r>
      <w:r>
        <w:rPr>
          <w:rFonts w:cs="Times New Roman"/>
          <w:szCs w:val="26"/>
        </w:rPr>
        <w:t>arges as opposed to volumetric.  CWC R.Exc.</w:t>
      </w:r>
      <w:r w:rsidR="003E7AED">
        <w:rPr>
          <w:rFonts w:cs="Times New Roman"/>
          <w:szCs w:val="26"/>
        </w:rPr>
        <w:t xml:space="preserve"> </w:t>
      </w:r>
      <w:r>
        <w:rPr>
          <w:rFonts w:cs="Times New Roman"/>
          <w:szCs w:val="26"/>
        </w:rPr>
        <w:t xml:space="preserve">at 15.  In contrast, Columbia states that its volumetric rate provided for a return on rate base and depreciation.  Columbia states that, </w:t>
      </w:r>
      <w:r w:rsidRPr="00B73527">
        <w:rPr>
          <w:rFonts w:cs="Times New Roman"/>
          <w:szCs w:val="26"/>
        </w:rPr>
        <w:t xml:space="preserve">in compliance </w:t>
      </w:r>
      <w:r>
        <w:rPr>
          <w:rFonts w:cs="Times New Roman"/>
          <w:szCs w:val="26"/>
        </w:rPr>
        <w:t xml:space="preserve">with </w:t>
      </w:r>
      <w:r w:rsidRPr="00B73527">
        <w:rPr>
          <w:rFonts w:cs="Times New Roman"/>
          <w:szCs w:val="26"/>
        </w:rPr>
        <w:t xml:space="preserve">and reliance on the </w:t>
      </w:r>
      <w:r w:rsidRPr="00244F7B">
        <w:rPr>
          <w:rFonts w:cs="Times New Roman"/>
          <w:i/>
          <w:szCs w:val="26"/>
        </w:rPr>
        <w:t>1993 PennVest Order</w:t>
      </w:r>
      <w:r>
        <w:rPr>
          <w:rFonts w:cs="Times New Roman"/>
          <w:szCs w:val="26"/>
        </w:rPr>
        <w:t>, it depreciated its</w:t>
      </w:r>
      <w:r w:rsidRPr="00B73527">
        <w:rPr>
          <w:rFonts w:cs="Times New Roman"/>
          <w:szCs w:val="26"/>
        </w:rPr>
        <w:t xml:space="preserve"> plant us</w:t>
      </w:r>
      <w:r>
        <w:rPr>
          <w:rFonts w:cs="Times New Roman"/>
          <w:szCs w:val="26"/>
        </w:rPr>
        <w:t xml:space="preserve">ing normal </w:t>
      </w:r>
      <w:r w:rsidRPr="00B73527">
        <w:rPr>
          <w:rFonts w:cs="Times New Roman"/>
          <w:szCs w:val="26"/>
        </w:rPr>
        <w:t>depreciation principles and lives</w:t>
      </w:r>
      <w:r>
        <w:rPr>
          <w:rFonts w:cs="Times New Roman"/>
          <w:szCs w:val="26"/>
        </w:rPr>
        <w:t xml:space="preserve">. </w:t>
      </w:r>
      <w:r w:rsidRPr="00B73527">
        <w:rPr>
          <w:rFonts w:cs="Times New Roman"/>
          <w:szCs w:val="26"/>
        </w:rPr>
        <w:t>Moreov</w:t>
      </w:r>
      <w:r>
        <w:rPr>
          <w:rFonts w:cs="Times New Roman"/>
          <w:szCs w:val="26"/>
        </w:rPr>
        <w:t>er, Columbia asserts that the record shows that it</w:t>
      </w:r>
      <w:r w:rsidRPr="00B73527">
        <w:rPr>
          <w:rFonts w:cs="Times New Roman"/>
          <w:szCs w:val="26"/>
        </w:rPr>
        <w:t xml:space="preserve"> did not collect revenues sufficient to cover the entire loan</w:t>
      </w:r>
      <w:r>
        <w:rPr>
          <w:rFonts w:cs="Times New Roman"/>
          <w:szCs w:val="26"/>
        </w:rPr>
        <w:t>’</w:t>
      </w:r>
      <w:r w:rsidRPr="00B73527">
        <w:rPr>
          <w:rFonts w:cs="Times New Roman"/>
          <w:szCs w:val="26"/>
        </w:rPr>
        <w:t>s debt service on a dollar-for-dollar basis, and in fact was at least $200,000 short</w:t>
      </w:r>
      <w:r>
        <w:rPr>
          <w:rFonts w:cs="Times New Roman"/>
          <w:szCs w:val="26"/>
        </w:rPr>
        <w:t>, which is not unusual under a rate base/rate of return methodology</w:t>
      </w:r>
      <w:r w:rsidRPr="00B73527">
        <w:rPr>
          <w:rFonts w:cs="Times New Roman"/>
          <w:szCs w:val="26"/>
        </w:rPr>
        <w:t xml:space="preserve">.  </w:t>
      </w:r>
      <w:r>
        <w:rPr>
          <w:rFonts w:cs="Times New Roman"/>
          <w:spacing w:val="2"/>
          <w:szCs w:val="26"/>
        </w:rPr>
        <w:t xml:space="preserve">Columbia argues that this </w:t>
      </w:r>
      <w:r w:rsidRPr="00B73527">
        <w:rPr>
          <w:rFonts w:cs="Times New Roman"/>
          <w:szCs w:val="26"/>
        </w:rPr>
        <w:t>distinguishes the rate at issue from a debt service only surcharge that is 100% reconciled.</w:t>
      </w:r>
      <w:r>
        <w:rPr>
          <w:rFonts w:cs="Times New Roman"/>
          <w:szCs w:val="26"/>
        </w:rPr>
        <w:t xml:space="preserve">  CWC R.Exc. at 15-16.</w:t>
      </w:r>
    </w:p>
    <w:p w:rsidR="004F0789" w:rsidRDefault="004F0789" w:rsidP="004F0789">
      <w:pPr>
        <w:contextualSpacing/>
        <w:rPr>
          <w:rFonts w:cs="Times New Roman"/>
          <w:b/>
          <w:szCs w:val="26"/>
        </w:rPr>
      </w:pPr>
    </w:p>
    <w:p w:rsidR="004F0789" w:rsidRDefault="004F0789" w:rsidP="004F0789">
      <w:pPr>
        <w:contextualSpacing/>
        <w:rPr>
          <w:rFonts w:cs="Times New Roman"/>
          <w:szCs w:val="26"/>
        </w:rPr>
      </w:pPr>
      <w:r>
        <w:rPr>
          <w:rFonts w:cs="Times New Roman"/>
          <w:szCs w:val="26"/>
        </w:rPr>
        <w:t xml:space="preserve">Regarding I&amp;E’s concern that adoption of the ALJ’s recommendation </w:t>
      </w:r>
      <w:r w:rsidRPr="00B73527">
        <w:rPr>
          <w:rFonts w:cs="Times New Roman"/>
          <w:szCs w:val="26"/>
        </w:rPr>
        <w:t>may embo</w:t>
      </w:r>
      <w:r>
        <w:rPr>
          <w:rFonts w:cs="Times New Roman"/>
          <w:szCs w:val="26"/>
        </w:rPr>
        <w:t xml:space="preserve">lden other utilities </w:t>
      </w:r>
      <w:r w:rsidRPr="00B73527">
        <w:rPr>
          <w:rFonts w:cs="Times New Roman"/>
          <w:szCs w:val="26"/>
        </w:rPr>
        <w:t>to cla</w:t>
      </w:r>
      <w:r>
        <w:rPr>
          <w:rFonts w:cs="Times New Roman"/>
          <w:szCs w:val="26"/>
        </w:rPr>
        <w:t xml:space="preserve">im rate base treatment of </w:t>
      </w:r>
      <w:r w:rsidRPr="00B73527">
        <w:rPr>
          <w:rFonts w:cs="Times New Roman"/>
          <w:szCs w:val="26"/>
        </w:rPr>
        <w:t>undepreci</w:t>
      </w:r>
      <w:r>
        <w:rPr>
          <w:rFonts w:cs="Times New Roman"/>
          <w:szCs w:val="26"/>
        </w:rPr>
        <w:t xml:space="preserve">ated PennVest plant after the termination of </w:t>
      </w:r>
      <w:r w:rsidRPr="00B73527">
        <w:rPr>
          <w:rFonts w:cs="Times New Roman"/>
          <w:szCs w:val="26"/>
        </w:rPr>
        <w:t>debt service surcharge</w:t>
      </w:r>
      <w:r>
        <w:rPr>
          <w:rFonts w:cs="Times New Roman"/>
          <w:szCs w:val="26"/>
        </w:rPr>
        <w:t xml:space="preserve">s, Columbia states that its </w:t>
      </w:r>
      <w:r w:rsidRPr="00B73527">
        <w:rPr>
          <w:rFonts w:cs="Times New Roman"/>
          <w:szCs w:val="26"/>
        </w:rPr>
        <w:t>Pe</w:t>
      </w:r>
      <w:r>
        <w:rPr>
          <w:rFonts w:cs="Times New Roman"/>
          <w:szCs w:val="26"/>
        </w:rPr>
        <w:t xml:space="preserve">nnVest volumetric rate </w:t>
      </w:r>
      <w:r w:rsidRPr="00B73527">
        <w:rPr>
          <w:rFonts w:cs="Times New Roman"/>
          <w:szCs w:val="26"/>
        </w:rPr>
        <w:t>was neve</w:t>
      </w:r>
      <w:r>
        <w:rPr>
          <w:rFonts w:cs="Times New Roman"/>
          <w:szCs w:val="26"/>
        </w:rPr>
        <w:t xml:space="preserve">r a debt-service only surcharge.  Therefore, Columbia submits that no precedent is created by the instant proceeding.  CWC R.Exc. at 17. </w:t>
      </w:r>
    </w:p>
    <w:p w:rsidR="004F0789" w:rsidRPr="00A279A6" w:rsidRDefault="004F0789" w:rsidP="004F0789">
      <w:pPr>
        <w:contextualSpacing/>
        <w:rPr>
          <w:rFonts w:cs="Times New Roman"/>
          <w:b/>
          <w:szCs w:val="26"/>
        </w:rPr>
      </w:pPr>
    </w:p>
    <w:p w:rsidR="004F0789" w:rsidRPr="00B73527" w:rsidRDefault="004F0789" w:rsidP="004F0789">
      <w:pPr>
        <w:contextualSpacing/>
        <w:rPr>
          <w:rFonts w:cs="Times New Roman"/>
          <w:szCs w:val="26"/>
        </w:rPr>
      </w:pPr>
      <w:r w:rsidRPr="00B73527">
        <w:rPr>
          <w:rFonts w:cs="Times New Roman"/>
          <w:szCs w:val="26"/>
        </w:rPr>
        <w:t xml:space="preserve">For </w:t>
      </w:r>
      <w:r>
        <w:rPr>
          <w:rFonts w:cs="Times New Roman"/>
          <w:szCs w:val="26"/>
        </w:rPr>
        <w:t>all of the reasons stated above, Columbia submits that the</w:t>
      </w:r>
      <w:r w:rsidRPr="00B73527">
        <w:rPr>
          <w:rFonts w:cs="Times New Roman"/>
          <w:szCs w:val="26"/>
        </w:rPr>
        <w:t xml:space="preserve"> Exceptions </w:t>
      </w:r>
      <w:r>
        <w:rPr>
          <w:rFonts w:cs="Times New Roman"/>
          <w:szCs w:val="26"/>
        </w:rPr>
        <w:t xml:space="preserve">of I&amp;E and the OCA </w:t>
      </w:r>
      <w:r w:rsidRPr="00B73527">
        <w:rPr>
          <w:rFonts w:cs="Times New Roman"/>
          <w:szCs w:val="26"/>
        </w:rPr>
        <w:t xml:space="preserve">should be denied.   </w:t>
      </w:r>
    </w:p>
    <w:p w:rsidR="004F0789" w:rsidRDefault="004F0789" w:rsidP="004F0789">
      <w:pPr>
        <w:contextualSpacing/>
        <w:rPr>
          <w:rFonts w:cs="Times New Roman"/>
          <w:b/>
          <w:szCs w:val="26"/>
        </w:rPr>
      </w:pPr>
    </w:p>
    <w:p w:rsidR="004F0789" w:rsidRDefault="004F0789" w:rsidP="004F0789">
      <w:pPr>
        <w:keepNext/>
        <w:keepLines/>
        <w:ind w:left="720"/>
        <w:contextualSpacing/>
        <w:rPr>
          <w:rFonts w:cs="Times New Roman"/>
          <w:b/>
          <w:szCs w:val="26"/>
        </w:rPr>
      </w:pPr>
      <w:r>
        <w:rPr>
          <w:rFonts w:cs="Times New Roman"/>
          <w:b/>
          <w:szCs w:val="26"/>
        </w:rPr>
        <w:t>e.</w:t>
      </w:r>
      <w:r>
        <w:rPr>
          <w:rFonts w:cs="Times New Roman"/>
          <w:b/>
          <w:szCs w:val="26"/>
        </w:rPr>
        <w:tab/>
      </w:r>
      <w:r w:rsidRPr="00DC0F56">
        <w:rPr>
          <w:rFonts w:cs="Times New Roman"/>
          <w:b/>
          <w:szCs w:val="26"/>
        </w:rPr>
        <w:t>Disposition</w:t>
      </w:r>
    </w:p>
    <w:p w:rsidR="004F0789" w:rsidRDefault="004F0789" w:rsidP="004F0789">
      <w:pPr>
        <w:keepNext/>
        <w:keepLines/>
        <w:ind w:left="720"/>
        <w:contextualSpacing/>
        <w:rPr>
          <w:rFonts w:cs="Times New Roman"/>
          <w:b/>
          <w:szCs w:val="26"/>
        </w:rPr>
      </w:pPr>
    </w:p>
    <w:p w:rsidR="004F0789" w:rsidRDefault="004F0789" w:rsidP="004F0789">
      <w:pPr>
        <w:contextualSpacing/>
        <w:rPr>
          <w:rFonts w:cs="Times New Roman"/>
          <w:szCs w:val="26"/>
        </w:rPr>
      </w:pPr>
      <w:r>
        <w:rPr>
          <w:rFonts w:cs="Times New Roman"/>
          <w:szCs w:val="26"/>
        </w:rPr>
        <w:t xml:space="preserve">We shall adopt the ALJ’s recommendation on this issue, and approve the inclusion of Columbia’s undepreciated PennVest plant in its rate base.  </w:t>
      </w:r>
    </w:p>
    <w:p w:rsidR="004F0789" w:rsidRDefault="004F0789" w:rsidP="004F0789">
      <w:pPr>
        <w:contextualSpacing/>
        <w:rPr>
          <w:rFonts w:cs="Times New Roman"/>
          <w:szCs w:val="26"/>
        </w:rPr>
      </w:pPr>
    </w:p>
    <w:p w:rsidR="004F0789" w:rsidRDefault="004F0789" w:rsidP="004F0789">
      <w:pPr>
        <w:contextualSpacing/>
        <w:rPr>
          <w:rFonts w:cs="Times New Roman"/>
          <w:szCs w:val="26"/>
        </w:rPr>
      </w:pPr>
      <w:r>
        <w:rPr>
          <w:rFonts w:cs="Times New Roman"/>
          <w:szCs w:val="26"/>
        </w:rPr>
        <w:t xml:space="preserve">All Parties agree that Columbia’s surcharge was approved by the Commission in 1993 on the basis of rate base/rate of return treatment of its PennVest plant.  The core of the arguments made by I&amp;E and the OCA is their conclusion that Columbia’s surcharge was </w:t>
      </w:r>
      <w:r>
        <w:rPr>
          <w:rFonts w:cs="Times New Roman"/>
          <w:szCs w:val="26"/>
        </w:rPr>
        <w:lastRenderedPageBreak/>
        <w:t xml:space="preserve">transformed from a surcharge based on rate base/rate of return treatment of PennVest plant, to a reconciliation mechanism under Section 1307(a) of the Code by the Commission’s </w:t>
      </w:r>
      <w:r w:rsidRPr="003C3181">
        <w:rPr>
          <w:rFonts w:cs="Times New Roman"/>
          <w:i/>
          <w:szCs w:val="26"/>
        </w:rPr>
        <w:t>1997 Order</w:t>
      </w:r>
      <w:r>
        <w:rPr>
          <w:rFonts w:cs="Times New Roman"/>
          <w:szCs w:val="26"/>
        </w:rPr>
        <w:t xml:space="preserve">.  We do not agree with the conclusion of I&amp;E and the OCA that the Commission’s </w:t>
      </w:r>
      <w:r w:rsidRPr="003C3181">
        <w:rPr>
          <w:rFonts w:cs="Times New Roman"/>
          <w:i/>
          <w:szCs w:val="26"/>
        </w:rPr>
        <w:t>1997 Order</w:t>
      </w:r>
      <w:r>
        <w:rPr>
          <w:rFonts w:cs="Times New Roman"/>
          <w:szCs w:val="26"/>
        </w:rPr>
        <w:t xml:space="preserve"> had this transformative effect.  Our reading of the </w:t>
      </w:r>
      <w:r w:rsidRPr="00096BB9">
        <w:rPr>
          <w:rFonts w:cs="Times New Roman"/>
          <w:i/>
          <w:szCs w:val="26"/>
        </w:rPr>
        <w:t>1997 Order</w:t>
      </w:r>
      <w:r>
        <w:rPr>
          <w:rFonts w:cs="Times New Roman"/>
          <w:szCs w:val="26"/>
        </w:rPr>
        <w:t xml:space="preserve"> is that it simply added the forward-looking adjustment mechanism to</w:t>
      </w:r>
      <w:r w:rsidR="004F0200">
        <w:rPr>
          <w:rFonts w:cs="Times New Roman"/>
          <w:szCs w:val="26"/>
        </w:rPr>
        <w:t xml:space="preserve"> </w:t>
      </w:r>
      <w:r>
        <w:rPr>
          <w:rFonts w:cs="Times New Roman"/>
          <w:szCs w:val="26"/>
        </w:rPr>
        <w:t xml:space="preserve">Columbia’s existing surcharge </w:t>
      </w:r>
      <w:r w:rsidRPr="00B73527">
        <w:rPr>
          <w:rFonts w:cs="Times New Roman"/>
          <w:szCs w:val="26"/>
        </w:rPr>
        <w:t xml:space="preserve">to ensure </w:t>
      </w:r>
      <w:r>
        <w:rPr>
          <w:rFonts w:cs="Times New Roman"/>
          <w:szCs w:val="26"/>
        </w:rPr>
        <w:t>that the Company remained on track to recover its</w:t>
      </w:r>
      <w:r w:rsidRPr="00B73527">
        <w:rPr>
          <w:rFonts w:cs="Times New Roman"/>
          <w:szCs w:val="26"/>
        </w:rPr>
        <w:t xml:space="preserve"> rate base/rate of ret</w:t>
      </w:r>
      <w:r>
        <w:rPr>
          <w:rFonts w:cs="Times New Roman"/>
          <w:szCs w:val="26"/>
        </w:rPr>
        <w:t xml:space="preserve">urn income target.  As Columbia points out, the new adjustment feature that was added to the existing surcharge was not designed </w:t>
      </w:r>
      <w:r w:rsidR="00D966BD">
        <w:rPr>
          <w:rFonts w:cs="Times New Roman"/>
          <w:szCs w:val="26"/>
        </w:rPr>
        <w:t xml:space="preserve">to </w:t>
      </w:r>
      <w:r>
        <w:rPr>
          <w:rFonts w:cs="Times New Roman"/>
          <w:szCs w:val="26"/>
        </w:rPr>
        <w:t>capture past under</w:t>
      </w:r>
      <w:r w:rsidR="003E7AED">
        <w:rPr>
          <w:rFonts w:cs="Times New Roman"/>
          <w:szCs w:val="26"/>
        </w:rPr>
        <w:t>-</w:t>
      </w:r>
      <w:r>
        <w:rPr>
          <w:rFonts w:cs="Times New Roman"/>
          <w:szCs w:val="26"/>
        </w:rPr>
        <w:t>collections, relative to debt service, as would have been done if it were a true Section 1307(a) reconciliation mechanism</w:t>
      </w:r>
      <w:r w:rsidRPr="00B73527">
        <w:rPr>
          <w:rFonts w:cs="Times New Roman"/>
          <w:szCs w:val="26"/>
        </w:rPr>
        <w:t>.</w:t>
      </w:r>
      <w:r>
        <w:rPr>
          <w:rFonts w:cs="Times New Roman"/>
          <w:szCs w:val="26"/>
        </w:rPr>
        <w:t xml:space="preserve">  Instead, it was a forward-looking adjustment feature that adjusted the surcharge rate up or down to keep the revenue stream on track to enable Columbia to repay its PennVest obligations. </w:t>
      </w:r>
    </w:p>
    <w:p w:rsidR="004F0789" w:rsidRDefault="004F0789" w:rsidP="004F0789">
      <w:pPr>
        <w:contextualSpacing/>
        <w:rPr>
          <w:rFonts w:cs="Times New Roman"/>
          <w:szCs w:val="26"/>
        </w:rPr>
      </w:pPr>
    </w:p>
    <w:p w:rsidR="004F0789" w:rsidRDefault="004F0789" w:rsidP="004F0789">
      <w:pPr>
        <w:contextualSpacing/>
        <w:rPr>
          <w:rFonts w:cs="Times New Roman"/>
          <w:szCs w:val="26"/>
        </w:rPr>
      </w:pPr>
      <w:r>
        <w:rPr>
          <w:rFonts w:cs="Times New Roman"/>
          <w:szCs w:val="26"/>
        </w:rPr>
        <w:t xml:space="preserve">The evidence presented by Columbia supports our conclusion that our </w:t>
      </w:r>
      <w:r w:rsidRPr="001E456F">
        <w:rPr>
          <w:rFonts w:cs="Times New Roman"/>
          <w:i/>
          <w:szCs w:val="26"/>
        </w:rPr>
        <w:t>1997 Order</w:t>
      </w:r>
      <w:r>
        <w:rPr>
          <w:rFonts w:cs="Times New Roman"/>
          <w:szCs w:val="26"/>
        </w:rPr>
        <w:t xml:space="preserve"> did not transform Columbia’s 1993 surcharge into a Section 1307(a) reconciliation mechanism.  As noted above, the </w:t>
      </w:r>
      <w:r w:rsidRPr="00B73527">
        <w:rPr>
          <w:rFonts w:cs="Times New Roman"/>
          <w:szCs w:val="26"/>
        </w:rPr>
        <w:t>Compa</w:t>
      </w:r>
      <w:r>
        <w:rPr>
          <w:rFonts w:cs="Times New Roman"/>
          <w:szCs w:val="26"/>
        </w:rPr>
        <w:t>ny presented testimony that, in addition to surcharge revenues, the Company used s</w:t>
      </w:r>
      <w:r w:rsidRPr="00B73527">
        <w:rPr>
          <w:rFonts w:cs="Times New Roman"/>
          <w:szCs w:val="26"/>
        </w:rPr>
        <w:t xml:space="preserve">everal sources </w:t>
      </w:r>
      <w:r>
        <w:rPr>
          <w:rFonts w:cs="Times New Roman"/>
          <w:szCs w:val="26"/>
        </w:rPr>
        <w:t xml:space="preserve">of income to repay its PennVest obligations, </w:t>
      </w:r>
      <w:r w:rsidRPr="00B73527">
        <w:rPr>
          <w:rFonts w:cs="Times New Roman"/>
          <w:szCs w:val="26"/>
        </w:rPr>
        <w:t xml:space="preserve">including </w:t>
      </w:r>
      <w:r w:rsidR="00E71CE4">
        <w:rPr>
          <w:rFonts w:cs="Times New Roman"/>
          <w:szCs w:val="26"/>
        </w:rPr>
        <w:t>“</w:t>
      </w:r>
      <w:r w:rsidRPr="00B73527">
        <w:rPr>
          <w:rFonts w:cs="Times New Roman"/>
          <w:szCs w:val="26"/>
        </w:rPr>
        <w:t>draws on a line of credit/loan, monies from sales of metering information, a dividend received annually from Workers Compens</w:t>
      </w:r>
      <w:r>
        <w:rPr>
          <w:rFonts w:cs="Times New Roman"/>
          <w:szCs w:val="26"/>
        </w:rPr>
        <w:t>ation insurance</w:t>
      </w:r>
      <w:r w:rsidR="00E15E5F">
        <w:rPr>
          <w:rFonts w:cs="Times New Roman"/>
          <w:szCs w:val="26"/>
        </w:rPr>
        <w:t>, and</w:t>
      </w:r>
      <w:r>
        <w:rPr>
          <w:rFonts w:cs="Times New Roman"/>
          <w:szCs w:val="26"/>
        </w:rPr>
        <w:t xml:space="preserve"> </w:t>
      </w:r>
      <w:r w:rsidR="00E71CE4">
        <w:rPr>
          <w:rFonts w:cs="Times New Roman"/>
          <w:szCs w:val="26"/>
        </w:rPr>
        <w:t xml:space="preserve">of course, </w:t>
      </w:r>
      <w:r>
        <w:rPr>
          <w:rFonts w:cs="Times New Roman"/>
          <w:szCs w:val="26"/>
        </w:rPr>
        <w:t xml:space="preserve">monies </w:t>
      </w:r>
      <w:r w:rsidRPr="00B73527">
        <w:rPr>
          <w:rFonts w:cs="Times New Roman"/>
          <w:szCs w:val="26"/>
        </w:rPr>
        <w:t>receive</w:t>
      </w:r>
      <w:r>
        <w:rPr>
          <w:rFonts w:cs="Times New Roman"/>
          <w:szCs w:val="26"/>
        </w:rPr>
        <w:t>d</w:t>
      </w:r>
      <w:r w:rsidRPr="00B73527">
        <w:rPr>
          <w:rFonts w:cs="Times New Roman"/>
          <w:szCs w:val="26"/>
        </w:rPr>
        <w:t xml:space="preserve"> from all</w:t>
      </w:r>
      <w:r>
        <w:rPr>
          <w:rFonts w:cs="Times New Roman"/>
          <w:szCs w:val="26"/>
        </w:rPr>
        <w:t xml:space="preserve"> </w:t>
      </w:r>
      <w:r w:rsidR="00E71CE4">
        <w:rPr>
          <w:rFonts w:cs="Times New Roman"/>
          <w:szCs w:val="26"/>
        </w:rPr>
        <w:t>our</w:t>
      </w:r>
      <w:r>
        <w:rPr>
          <w:rFonts w:cs="Times New Roman"/>
          <w:szCs w:val="26"/>
        </w:rPr>
        <w:t xml:space="preserve"> rates under our tariff.”  CWC R.Exc. at 15; CWC St. 1R at 23:13-15.  If the surcharge had been transformed into a Section 1307(a) reconciliation mechanism by the Commission’s </w:t>
      </w:r>
      <w:r w:rsidRPr="001E456F">
        <w:rPr>
          <w:rFonts w:cs="Times New Roman"/>
          <w:i/>
          <w:szCs w:val="26"/>
        </w:rPr>
        <w:t>1997 Order</w:t>
      </w:r>
      <w:r>
        <w:rPr>
          <w:rFonts w:cs="Times New Roman"/>
          <w:szCs w:val="26"/>
        </w:rPr>
        <w:t xml:space="preserve"> as argued by I&amp;E and the OCA, a separate account would have been established and funds would not have been comingled.  CWC R.Exc. at 14-15.  In addition, Columbia </w:t>
      </w:r>
      <w:r w:rsidRPr="00B73527">
        <w:rPr>
          <w:rFonts w:cs="Times New Roman"/>
          <w:szCs w:val="26"/>
        </w:rPr>
        <w:t>did not collect revenues sufficient to cover the entire loan</w:t>
      </w:r>
      <w:r>
        <w:rPr>
          <w:rFonts w:cs="Times New Roman"/>
          <w:szCs w:val="26"/>
        </w:rPr>
        <w:t>’</w:t>
      </w:r>
      <w:r w:rsidRPr="00B73527">
        <w:rPr>
          <w:rFonts w:cs="Times New Roman"/>
          <w:szCs w:val="26"/>
        </w:rPr>
        <w:t xml:space="preserve">s debt service on a dollar-for-dollar basis, and in fact was at least $200,000 short.  </w:t>
      </w:r>
      <w:r>
        <w:rPr>
          <w:rFonts w:cs="Times New Roman"/>
          <w:szCs w:val="26"/>
        </w:rPr>
        <w:t xml:space="preserve">We agree with </w:t>
      </w:r>
      <w:r>
        <w:rPr>
          <w:rFonts w:cs="Times New Roman"/>
          <w:spacing w:val="2"/>
          <w:szCs w:val="26"/>
        </w:rPr>
        <w:t xml:space="preserve">Columbia’s point that this fact further </w:t>
      </w:r>
      <w:r>
        <w:rPr>
          <w:rFonts w:cs="Times New Roman"/>
          <w:szCs w:val="26"/>
        </w:rPr>
        <w:t xml:space="preserve">distinguishes its surcharge from </w:t>
      </w:r>
      <w:r w:rsidR="009D0D6D">
        <w:rPr>
          <w:rFonts w:cs="Times New Roman"/>
          <w:szCs w:val="26"/>
        </w:rPr>
        <w:t xml:space="preserve">a </w:t>
      </w:r>
      <w:r>
        <w:rPr>
          <w:rFonts w:cs="Times New Roman"/>
          <w:szCs w:val="26"/>
        </w:rPr>
        <w:t>Section 1307(a) reconciliation mechanism</w:t>
      </w:r>
      <w:r w:rsidRPr="00B73527">
        <w:rPr>
          <w:rFonts w:cs="Times New Roman"/>
          <w:szCs w:val="26"/>
        </w:rPr>
        <w:t>.</w:t>
      </w:r>
    </w:p>
    <w:p w:rsidR="004F0789" w:rsidRDefault="004F0789" w:rsidP="004F0789">
      <w:pPr>
        <w:contextualSpacing/>
        <w:rPr>
          <w:rFonts w:cs="Times New Roman"/>
          <w:szCs w:val="26"/>
        </w:rPr>
      </w:pPr>
    </w:p>
    <w:p w:rsidR="004F0789" w:rsidRDefault="004F0789" w:rsidP="004F0789">
      <w:pPr>
        <w:contextualSpacing/>
        <w:rPr>
          <w:rFonts w:cs="Times New Roman"/>
          <w:szCs w:val="26"/>
        </w:rPr>
      </w:pPr>
      <w:r>
        <w:rPr>
          <w:rFonts w:cs="Times New Roman"/>
          <w:szCs w:val="26"/>
        </w:rPr>
        <w:t>Finally, we agree with Columbia’s argument that, if its surcharge had been transformed</w:t>
      </w:r>
      <w:r w:rsidRPr="00B73527">
        <w:rPr>
          <w:rFonts w:cs="Times New Roman"/>
          <w:szCs w:val="26"/>
        </w:rPr>
        <w:t xml:space="preserve"> </w:t>
      </w:r>
      <w:r>
        <w:rPr>
          <w:rFonts w:cs="Times New Roman"/>
          <w:szCs w:val="26"/>
        </w:rPr>
        <w:t xml:space="preserve">into a Section 1307(a) reconciliation mechanism by the Commission’s </w:t>
      </w:r>
      <w:r w:rsidRPr="009E2C80">
        <w:rPr>
          <w:rFonts w:cs="Times New Roman"/>
          <w:i/>
          <w:szCs w:val="26"/>
        </w:rPr>
        <w:t xml:space="preserve">1997 </w:t>
      </w:r>
      <w:r w:rsidRPr="009E2C80">
        <w:rPr>
          <w:rFonts w:cs="Times New Roman"/>
          <w:i/>
          <w:szCs w:val="26"/>
        </w:rPr>
        <w:lastRenderedPageBreak/>
        <w:t>Order</w:t>
      </w:r>
      <w:r>
        <w:rPr>
          <w:rFonts w:cs="Times New Roman"/>
          <w:szCs w:val="26"/>
        </w:rPr>
        <w:t xml:space="preserve">, shortly after it had been established by the </w:t>
      </w:r>
      <w:r w:rsidRPr="00275874">
        <w:rPr>
          <w:rFonts w:cs="Times New Roman"/>
          <w:i/>
          <w:szCs w:val="26"/>
        </w:rPr>
        <w:t>1993 PennVest Order</w:t>
      </w:r>
      <w:r w:rsidRPr="00B73527">
        <w:rPr>
          <w:rFonts w:cs="Times New Roman"/>
          <w:szCs w:val="26"/>
        </w:rPr>
        <w:t>,</w:t>
      </w:r>
      <w:r>
        <w:rPr>
          <w:rFonts w:cs="Times New Roman"/>
          <w:szCs w:val="26"/>
        </w:rPr>
        <w:t xml:space="preserve"> the transformation would have been worthy of mention.  The fact that there was </w:t>
      </w:r>
      <w:r w:rsidR="00791AF5">
        <w:rPr>
          <w:rFonts w:cs="Times New Roman"/>
          <w:szCs w:val="26"/>
        </w:rPr>
        <w:t xml:space="preserve">no </w:t>
      </w:r>
      <w:r w:rsidRPr="00B73527">
        <w:rPr>
          <w:rFonts w:cs="Times New Roman"/>
          <w:szCs w:val="26"/>
        </w:rPr>
        <w:t xml:space="preserve">mention of </w:t>
      </w:r>
      <w:r>
        <w:rPr>
          <w:rFonts w:cs="Times New Roman"/>
          <w:szCs w:val="26"/>
        </w:rPr>
        <w:t>such</w:t>
      </w:r>
      <w:r w:rsidRPr="00B73527">
        <w:rPr>
          <w:rFonts w:cs="Times New Roman"/>
          <w:szCs w:val="26"/>
        </w:rPr>
        <w:t xml:space="preserve"> “transformation” by the Commission or any of th</w:t>
      </w:r>
      <w:r>
        <w:rPr>
          <w:rFonts w:cs="Times New Roman"/>
          <w:szCs w:val="26"/>
        </w:rPr>
        <w:t>e P</w:t>
      </w:r>
      <w:r w:rsidRPr="00B73527">
        <w:rPr>
          <w:rFonts w:cs="Times New Roman"/>
          <w:szCs w:val="26"/>
        </w:rPr>
        <w:t>arti</w:t>
      </w:r>
      <w:r>
        <w:rPr>
          <w:rFonts w:cs="Times New Roman"/>
          <w:szCs w:val="26"/>
        </w:rPr>
        <w:t xml:space="preserve">es lends support to the conclusion that no transformation occurred, and that the </w:t>
      </w:r>
      <w:r w:rsidRPr="00C12368">
        <w:rPr>
          <w:rFonts w:cs="Times New Roman"/>
          <w:i/>
          <w:szCs w:val="26"/>
        </w:rPr>
        <w:t>1997 Order</w:t>
      </w:r>
      <w:r>
        <w:rPr>
          <w:rFonts w:cs="Times New Roman"/>
          <w:szCs w:val="26"/>
        </w:rPr>
        <w:t xml:space="preserve"> simply added a forward-looking adjustment mechanism to the existing rate base/rate or return surcharge.  Noting the OCA’s vehement opposition in 1993 to a debt-service only surcharge, Columbia argued that the “transformation”</w:t>
      </w:r>
      <w:r w:rsidRPr="00B73527">
        <w:rPr>
          <w:rFonts w:cs="Times New Roman"/>
          <w:szCs w:val="26"/>
        </w:rPr>
        <w:t xml:space="preserve"> was not mentioned in the 1997 Settlement because the </w:t>
      </w:r>
      <w:r w:rsidRPr="00275874">
        <w:rPr>
          <w:rFonts w:cs="Times New Roman"/>
          <w:i/>
          <w:szCs w:val="26"/>
        </w:rPr>
        <w:t xml:space="preserve">1993 PennVest </w:t>
      </w:r>
      <w:r>
        <w:rPr>
          <w:rFonts w:cs="Times New Roman"/>
          <w:i/>
          <w:szCs w:val="26"/>
        </w:rPr>
        <w:t>O</w:t>
      </w:r>
      <w:r w:rsidRPr="00275874">
        <w:rPr>
          <w:rFonts w:cs="Times New Roman"/>
          <w:i/>
          <w:szCs w:val="26"/>
        </w:rPr>
        <w:t>rder</w:t>
      </w:r>
      <w:r w:rsidRPr="00B73527">
        <w:rPr>
          <w:rFonts w:cs="Times New Roman"/>
          <w:szCs w:val="26"/>
        </w:rPr>
        <w:t xml:space="preserve"> was still fresh in everyone</w:t>
      </w:r>
      <w:r>
        <w:rPr>
          <w:rFonts w:cs="Times New Roman"/>
          <w:szCs w:val="26"/>
        </w:rPr>
        <w:t>’</w:t>
      </w:r>
      <w:r w:rsidRPr="00B73527">
        <w:rPr>
          <w:rFonts w:cs="Times New Roman"/>
          <w:szCs w:val="26"/>
        </w:rPr>
        <w:t>s mind and it was clear that no transformation was occurring.</w:t>
      </w:r>
      <w:r>
        <w:rPr>
          <w:rFonts w:cs="Times New Roman"/>
          <w:szCs w:val="26"/>
        </w:rPr>
        <w:t xml:space="preserve">  CWC R.Exc. at 10-11.  We agree.  </w:t>
      </w:r>
    </w:p>
    <w:p w:rsidR="004F0789" w:rsidRDefault="004F0789" w:rsidP="004F0789">
      <w:pPr>
        <w:contextualSpacing/>
        <w:rPr>
          <w:rFonts w:cs="Times New Roman"/>
          <w:szCs w:val="26"/>
        </w:rPr>
      </w:pPr>
    </w:p>
    <w:p w:rsidR="004F0789" w:rsidRDefault="004F0789" w:rsidP="004F0789">
      <w:pPr>
        <w:contextualSpacing/>
        <w:rPr>
          <w:rFonts w:cs="Times New Roman"/>
          <w:szCs w:val="26"/>
        </w:rPr>
      </w:pPr>
      <w:r>
        <w:rPr>
          <w:rFonts w:cs="Times New Roman"/>
          <w:szCs w:val="26"/>
        </w:rPr>
        <w:t xml:space="preserve">Having concluded that Columbia’s surcharge was not transformed into a Section 1307(a) reconciliation mechanism by our </w:t>
      </w:r>
      <w:r w:rsidRPr="006D48F3">
        <w:rPr>
          <w:rFonts w:cs="Times New Roman"/>
          <w:i/>
          <w:szCs w:val="26"/>
        </w:rPr>
        <w:t>1997 Order</w:t>
      </w:r>
      <w:r>
        <w:rPr>
          <w:rFonts w:cs="Times New Roman"/>
          <w:szCs w:val="26"/>
        </w:rPr>
        <w:t xml:space="preserve">, we briefly would like to address the arguments of I&amp;E and the OCA regarding the Commission’s </w:t>
      </w:r>
      <w:r w:rsidRPr="006D48F3">
        <w:rPr>
          <w:rFonts w:cs="Times New Roman"/>
          <w:i/>
          <w:szCs w:val="26"/>
        </w:rPr>
        <w:t>PennVest Policy Statement</w:t>
      </w:r>
      <w:r>
        <w:rPr>
          <w:rFonts w:cs="Times New Roman"/>
          <w:szCs w:val="26"/>
        </w:rPr>
        <w:t xml:space="preserve">.  Our first observation is that the 1994 </w:t>
      </w:r>
      <w:r w:rsidRPr="006D48F3">
        <w:rPr>
          <w:rFonts w:cs="Times New Roman"/>
          <w:i/>
          <w:szCs w:val="26"/>
        </w:rPr>
        <w:t>PennVest Policy Statement</w:t>
      </w:r>
      <w:r>
        <w:rPr>
          <w:rFonts w:cs="Times New Roman"/>
          <w:szCs w:val="26"/>
        </w:rPr>
        <w:t xml:space="preserve"> did not apply to Columbia.  By its own terms, it applied to “Companies with outstanding PENNVEST loans </w:t>
      </w:r>
      <w:r w:rsidRPr="00CD3C55">
        <w:rPr>
          <w:rFonts w:cs="Times New Roman"/>
          <w:i/>
          <w:szCs w:val="26"/>
        </w:rPr>
        <w:t>not currently reflected in rates</w:t>
      </w:r>
      <w:r>
        <w:rPr>
          <w:rFonts w:cs="Times New Roman"/>
          <w:szCs w:val="26"/>
        </w:rPr>
        <w:t xml:space="preserve"> and companies that will receive PENNVEST loans in the future.”  52 Pa</w:t>
      </w:r>
      <w:r w:rsidR="003E7AED">
        <w:rPr>
          <w:rFonts w:cs="Times New Roman"/>
          <w:szCs w:val="26"/>
        </w:rPr>
        <w:t>. Code § 69.361 (emphasis add</w:t>
      </w:r>
      <w:r>
        <w:rPr>
          <w:rFonts w:cs="Times New Roman"/>
          <w:szCs w:val="26"/>
        </w:rPr>
        <w:t xml:space="preserve">ed).  Similarly, “[C]ompanies with outstanding [or future] PENNVEST obligations </w:t>
      </w:r>
      <w:r w:rsidRPr="00CD3C55">
        <w:rPr>
          <w:rFonts w:cs="Times New Roman"/>
          <w:i/>
          <w:szCs w:val="26"/>
        </w:rPr>
        <w:t>that have not been reflected in rates</w:t>
      </w:r>
      <w:r>
        <w:rPr>
          <w:rFonts w:cs="Times New Roman"/>
          <w:szCs w:val="26"/>
        </w:rPr>
        <w:t xml:space="preserve"> . . . , may establish under [Section 1307(a)] an automatic adjustment . . . or other method limited solely to recovery of the company’s principal and interest obliga</w:t>
      </w:r>
      <w:r w:rsidR="00677582">
        <w:rPr>
          <w:rFonts w:cs="Times New Roman"/>
          <w:szCs w:val="26"/>
        </w:rPr>
        <w:t xml:space="preserve">tions.”  § 69.363 (emphasis </w:t>
      </w:r>
      <w:r>
        <w:rPr>
          <w:rFonts w:cs="Times New Roman"/>
          <w:szCs w:val="26"/>
        </w:rPr>
        <w:t xml:space="preserve">supplied).  When the </w:t>
      </w:r>
      <w:r w:rsidRPr="00822013">
        <w:rPr>
          <w:rFonts w:cs="Times New Roman"/>
          <w:i/>
          <w:szCs w:val="26"/>
        </w:rPr>
        <w:t>PennVest Policy Statement</w:t>
      </w:r>
      <w:r>
        <w:rPr>
          <w:rFonts w:cs="Times New Roman"/>
          <w:szCs w:val="26"/>
        </w:rPr>
        <w:t xml:space="preserve"> was issued in 1994, Columbia’s 1993 PennVest surcharge already was in place and its PennVest loans were already reflected in rates.  Therefore, the </w:t>
      </w:r>
      <w:r w:rsidRPr="00822013">
        <w:rPr>
          <w:rFonts w:cs="Times New Roman"/>
          <w:i/>
          <w:szCs w:val="26"/>
        </w:rPr>
        <w:t>PennVest Policy Statement</w:t>
      </w:r>
      <w:r>
        <w:rPr>
          <w:rFonts w:cs="Times New Roman"/>
          <w:szCs w:val="26"/>
        </w:rPr>
        <w:t xml:space="preserve"> by its own terms did not apply to Columbia.  </w:t>
      </w:r>
    </w:p>
    <w:p w:rsidR="004F0789" w:rsidRDefault="004F0789" w:rsidP="004F0789">
      <w:pPr>
        <w:contextualSpacing/>
        <w:rPr>
          <w:rFonts w:cs="Times New Roman"/>
          <w:szCs w:val="26"/>
        </w:rPr>
      </w:pPr>
    </w:p>
    <w:p w:rsidR="004F0789" w:rsidRDefault="004F0789" w:rsidP="004F0789">
      <w:pPr>
        <w:contextualSpacing/>
        <w:rPr>
          <w:rFonts w:cs="Times New Roman"/>
          <w:szCs w:val="26"/>
        </w:rPr>
      </w:pPr>
      <w:r>
        <w:rPr>
          <w:rFonts w:cs="Times New Roman"/>
          <w:szCs w:val="26"/>
        </w:rPr>
        <w:t xml:space="preserve">Our second observation is that, even if the </w:t>
      </w:r>
      <w:r w:rsidRPr="00822013">
        <w:rPr>
          <w:rFonts w:cs="Times New Roman"/>
          <w:i/>
          <w:szCs w:val="26"/>
        </w:rPr>
        <w:t>PennVest Policy Statement</w:t>
      </w:r>
      <w:r>
        <w:rPr>
          <w:rFonts w:cs="Times New Roman"/>
          <w:szCs w:val="26"/>
        </w:rPr>
        <w:t xml:space="preserve"> had applied to Columbia, it would not have had the overly prescriptive effect urged upon us by I&amp;E and the OCA, for several reasons.  First, it was </w:t>
      </w:r>
      <w:r w:rsidRPr="006D595E">
        <w:rPr>
          <w:rFonts w:cs="Times New Roman"/>
          <w:szCs w:val="26"/>
        </w:rPr>
        <w:t>a policy statement</w:t>
      </w:r>
      <w:r>
        <w:rPr>
          <w:rFonts w:cs="Times New Roman"/>
          <w:szCs w:val="26"/>
        </w:rPr>
        <w:t xml:space="preserve"> issued by the Commission, not a statute promulgated by the General Assembly, or even a regulation </w:t>
      </w:r>
      <w:r>
        <w:rPr>
          <w:rFonts w:cs="Times New Roman"/>
          <w:szCs w:val="26"/>
        </w:rPr>
        <w:lastRenderedPageBreak/>
        <w:t xml:space="preserve">promulgated by the Commission.  Policy statements by their very nature are not binding on the Commission or on a utility.  Instead, they are intended merely to provide guidance to utilities.  Consistent with the legal effect of policy statements generally, the </w:t>
      </w:r>
      <w:r w:rsidRPr="00662B91">
        <w:rPr>
          <w:rFonts w:cs="Times New Roman"/>
          <w:i/>
          <w:szCs w:val="26"/>
        </w:rPr>
        <w:t>PennVest Policy Statement</w:t>
      </w:r>
      <w:r>
        <w:rPr>
          <w:rFonts w:cs="Times New Roman"/>
          <w:szCs w:val="26"/>
        </w:rPr>
        <w:t xml:space="preserve"> specifically states several times that utilities are “encouraged” (not “required”) to take various actions.  Second, in our view the Parties have attached too much significance to the precise wording of the </w:t>
      </w:r>
      <w:r w:rsidRPr="00822013">
        <w:rPr>
          <w:rFonts w:cs="Times New Roman"/>
          <w:i/>
          <w:szCs w:val="26"/>
        </w:rPr>
        <w:t>PennVest Policy Statement</w:t>
      </w:r>
      <w:r>
        <w:rPr>
          <w:rFonts w:cs="Times New Roman"/>
          <w:szCs w:val="26"/>
        </w:rPr>
        <w:t xml:space="preserve">.  The </w:t>
      </w:r>
      <w:r w:rsidRPr="00822013">
        <w:rPr>
          <w:rFonts w:cs="Times New Roman"/>
          <w:i/>
          <w:szCs w:val="26"/>
        </w:rPr>
        <w:t>PennVest Policy Statement</w:t>
      </w:r>
      <w:r>
        <w:rPr>
          <w:rFonts w:cs="Times New Roman"/>
          <w:szCs w:val="26"/>
        </w:rPr>
        <w:t xml:space="preserve"> was intended to address the requirement that the Commission facilitate the repayment of PennVest loan obligations.  To accomplish that directive, the Commission encouraged utilities to establish Section 1307(a) reconciliation mechanisms.  However, the </w:t>
      </w:r>
      <w:r w:rsidRPr="00AE1068">
        <w:rPr>
          <w:rFonts w:cs="Times New Roman"/>
          <w:i/>
          <w:szCs w:val="26"/>
        </w:rPr>
        <w:t>PennVest Policy Statement</w:t>
      </w:r>
      <w:r>
        <w:rPr>
          <w:rFonts w:cs="Times New Roman"/>
          <w:szCs w:val="26"/>
        </w:rPr>
        <w:t xml:space="preserve"> did not limit utilities to a choice between a Section 1307(a) adjustment mechanism and a Section 1308 base rate filing as I&amp;E and the OCA contend.  Rather, the </w:t>
      </w:r>
      <w:r w:rsidRPr="00AE1068">
        <w:rPr>
          <w:rFonts w:cs="Times New Roman"/>
          <w:i/>
          <w:szCs w:val="26"/>
        </w:rPr>
        <w:t>PennVest Policy Statement</w:t>
      </w:r>
      <w:r>
        <w:rPr>
          <w:rFonts w:cs="Times New Roman"/>
          <w:szCs w:val="26"/>
        </w:rPr>
        <w:t xml:space="preserve"> recognized that a utility could use some “other method” to recover its PennVest obligations.  </w:t>
      </w:r>
      <w:r w:rsidRPr="00AE1068">
        <w:rPr>
          <w:rFonts w:cs="Times New Roman"/>
          <w:i/>
          <w:szCs w:val="26"/>
        </w:rPr>
        <w:t>See</w:t>
      </w:r>
      <w:r>
        <w:rPr>
          <w:rFonts w:cs="Times New Roman"/>
          <w:szCs w:val="26"/>
        </w:rPr>
        <w:t xml:space="preserve"> § 69.363(a) (companies may establish a Section 1307(a) clause or </w:t>
      </w:r>
      <w:r w:rsidRPr="00AE1068">
        <w:rPr>
          <w:rFonts w:cs="Times New Roman"/>
          <w:i/>
          <w:szCs w:val="26"/>
        </w:rPr>
        <w:t>other method</w:t>
      </w:r>
      <w:r>
        <w:rPr>
          <w:rFonts w:cs="Times New Roman"/>
          <w:szCs w:val="26"/>
        </w:rPr>
        <w:t xml:space="preserve">); § 69.363(c) (companies are encouraged to provide notice of rate increases under a Section 1307(a) clause or </w:t>
      </w:r>
      <w:r w:rsidRPr="00AE1068">
        <w:rPr>
          <w:rFonts w:cs="Times New Roman"/>
          <w:i/>
          <w:szCs w:val="26"/>
        </w:rPr>
        <w:t>other method</w:t>
      </w:r>
      <w:r>
        <w:rPr>
          <w:rFonts w:cs="Times New Roman"/>
          <w:szCs w:val="26"/>
        </w:rPr>
        <w:t xml:space="preserve">); § 69.363(d) (filing requirements under a Section 1307(a) clause </w:t>
      </w:r>
      <w:r w:rsidRPr="00AE1068">
        <w:rPr>
          <w:rFonts w:cs="Times New Roman"/>
          <w:i/>
          <w:szCs w:val="26"/>
        </w:rPr>
        <w:t>or other method</w:t>
      </w:r>
      <w:r>
        <w:rPr>
          <w:rFonts w:cs="Times New Roman"/>
          <w:szCs w:val="26"/>
        </w:rPr>
        <w:t xml:space="preserve">); § 69.363(e) (amounts collected under a Section 1307(a) clause </w:t>
      </w:r>
      <w:r w:rsidRPr="005C7353">
        <w:rPr>
          <w:rFonts w:cs="Times New Roman"/>
          <w:i/>
          <w:szCs w:val="26"/>
        </w:rPr>
        <w:t xml:space="preserve">or other method </w:t>
      </w:r>
      <w:r>
        <w:rPr>
          <w:rFonts w:cs="Times New Roman"/>
          <w:szCs w:val="26"/>
        </w:rPr>
        <w:t xml:space="preserve">subject to reconciliation and refund).  Accordingly, even if the </w:t>
      </w:r>
      <w:r w:rsidRPr="00AE1068">
        <w:rPr>
          <w:rFonts w:cs="Times New Roman"/>
          <w:i/>
          <w:szCs w:val="26"/>
        </w:rPr>
        <w:t>PennVest Policy Statement</w:t>
      </w:r>
      <w:r>
        <w:rPr>
          <w:rFonts w:cs="Times New Roman"/>
          <w:i/>
          <w:szCs w:val="26"/>
        </w:rPr>
        <w:t xml:space="preserve"> </w:t>
      </w:r>
      <w:r>
        <w:rPr>
          <w:rFonts w:cs="Times New Roman"/>
          <w:szCs w:val="26"/>
        </w:rPr>
        <w:t xml:space="preserve">had applied to Columbia, it would not have limited Columbia to a choice between a Section 1307(a) reconciliation clause or rate base treatment under Section 1308 as the advocates contend.  Therefore, it is unnecessary to determine whether Columbia’s surcharge falls into one category or the other; other types of recovery mechanisms were recognized as possibilities.  The </w:t>
      </w:r>
      <w:r w:rsidRPr="00F5539F">
        <w:rPr>
          <w:rFonts w:cs="Times New Roman"/>
          <w:i/>
          <w:szCs w:val="26"/>
        </w:rPr>
        <w:t>PennVest Policy Statement</w:t>
      </w:r>
      <w:r>
        <w:rPr>
          <w:rFonts w:cs="Times New Roman"/>
          <w:szCs w:val="26"/>
        </w:rPr>
        <w:t xml:space="preserve"> was not intended to be as prescriptive as I&amp;E and the OCA contend.  </w:t>
      </w:r>
    </w:p>
    <w:p w:rsidR="004F0789" w:rsidRDefault="004F0789" w:rsidP="004F0789">
      <w:pPr>
        <w:contextualSpacing/>
        <w:rPr>
          <w:rFonts w:cs="Times New Roman"/>
          <w:szCs w:val="26"/>
        </w:rPr>
      </w:pPr>
    </w:p>
    <w:p w:rsidR="004F0789" w:rsidRPr="00677582" w:rsidRDefault="00F5285A" w:rsidP="004F0789">
      <w:pPr>
        <w:contextualSpacing/>
        <w:rPr>
          <w:rFonts w:cs="Times New Roman"/>
          <w:szCs w:val="26"/>
        </w:rPr>
      </w:pPr>
      <w:r>
        <w:rPr>
          <w:rFonts w:cs="Times New Roman"/>
          <w:szCs w:val="26"/>
        </w:rPr>
        <w:t>T</w:t>
      </w:r>
      <w:r w:rsidR="004F0789">
        <w:rPr>
          <w:rFonts w:cs="Times New Roman"/>
          <w:szCs w:val="26"/>
        </w:rPr>
        <w:t>herefore</w:t>
      </w:r>
      <w:r>
        <w:rPr>
          <w:rFonts w:cs="Times New Roman"/>
          <w:szCs w:val="26"/>
        </w:rPr>
        <w:t>, we</w:t>
      </w:r>
      <w:r w:rsidR="004F0789">
        <w:rPr>
          <w:rFonts w:cs="Times New Roman"/>
          <w:szCs w:val="26"/>
        </w:rPr>
        <w:t xml:space="preserve"> conclude </w:t>
      </w:r>
      <w:r>
        <w:rPr>
          <w:rFonts w:cs="Times New Roman"/>
          <w:szCs w:val="26"/>
        </w:rPr>
        <w:t>that</w:t>
      </w:r>
      <w:r w:rsidR="00677582">
        <w:rPr>
          <w:rFonts w:cs="Times New Roman"/>
          <w:szCs w:val="26"/>
        </w:rPr>
        <w:t>,</w:t>
      </w:r>
      <w:r>
        <w:rPr>
          <w:rFonts w:cs="Times New Roman"/>
          <w:szCs w:val="26"/>
        </w:rPr>
        <w:t xml:space="preserve"> </w:t>
      </w:r>
      <w:r w:rsidR="004F0789">
        <w:rPr>
          <w:rFonts w:cs="Times New Roman"/>
          <w:szCs w:val="26"/>
        </w:rPr>
        <w:t xml:space="preserve">consistent with </w:t>
      </w:r>
      <w:r w:rsidR="004F0789" w:rsidRPr="00B73527">
        <w:rPr>
          <w:rFonts w:cs="Times New Roman"/>
          <w:szCs w:val="26"/>
        </w:rPr>
        <w:t>the Commission</w:t>
      </w:r>
      <w:r w:rsidR="004F0789">
        <w:rPr>
          <w:rFonts w:cs="Times New Roman"/>
          <w:szCs w:val="26"/>
        </w:rPr>
        <w:t>’s obligation under t</w:t>
      </w:r>
      <w:r w:rsidR="004F0789" w:rsidRPr="00B73527">
        <w:rPr>
          <w:rFonts w:cs="Times New Roman"/>
          <w:szCs w:val="26"/>
        </w:rPr>
        <w:t>he PennVest Act, 35 P.S. §</w:t>
      </w:r>
      <w:r w:rsidR="004F0789">
        <w:rPr>
          <w:rFonts w:cs="Times New Roman"/>
          <w:szCs w:val="26"/>
        </w:rPr>
        <w:t>§</w:t>
      </w:r>
      <w:r w:rsidR="004F0789" w:rsidRPr="00B73527">
        <w:rPr>
          <w:rFonts w:cs="Times New Roman"/>
          <w:szCs w:val="26"/>
        </w:rPr>
        <w:t xml:space="preserve"> 751.1 </w:t>
      </w:r>
      <w:r w:rsidR="004F0789">
        <w:rPr>
          <w:rFonts w:cs="Times New Roman"/>
          <w:i/>
          <w:szCs w:val="26"/>
        </w:rPr>
        <w:t>et </w:t>
      </w:r>
      <w:r w:rsidR="004F0789" w:rsidRPr="00B73527">
        <w:rPr>
          <w:rFonts w:cs="Times New Roman"/>
          <w:i/>
          <w:szCs w:val="26"/>
        </w:rPr>
        <w:t>seq.</w:t>
      </w:r>
      <w:r w:rsidR="004F0789">
        <w:rPr>
          <w:rFonts w:cs="Times New Roman"/>
          <w:szCs w:val="26"/>
        </w:rPr>
        <w:t>, to en</w:t>
      </w:r>
      <w:r w:rsidR="004F0789" w:rsidRPr="00B73527">
        <w:rPr>
          <w:rFonts w:cs="Times New Roman"/>
          <w:szCs w:val="26"/>
        </w:rPr>
        <w:t>sure</w:t>
      </w:r>
      <w:r w:rsidR="004F0789">
        <w:rPr>
          <w:rFonts w:cs="Times New Roman"/>
          <w:szCs w:val="26"/>
        </w:rPr>
        <w:t xml:space="preserve"> that a utility is able to repay its PennVest</w:t>
      </w:r>
      <w:r w:rsidR="004F0789" w:rsidRPr="00B73527">
        <w:rPr>
          <w:rFonts w:cs="Times New Roman"/>
          <w:szCs w:val="26"/>
        </w:rPr>
        <w:t xml:space="preserve"> loan</w:t>
      </w:r>
      <w:r w:rsidR="004F0789">
        <w:rPr>
          <w:rFonts w:cs="Times New Roman"/>
          <w:szCs w:val="26"/>
        </w:rPr>
        <w:t xml:space="preserve">, the Commission’s </w:t>
      </w:r>
      <w:r w:rsidR="004F0789" w:rsidRPr="00F5539F">
        <w:rPr>
          <w:rFonts w:cs="Times New Roman"/>
          <w:i/>
          <w:szCs w:val="26"/>
        </w:rPr>
        <w:t>1997 Order</w:t>
      </w:r>
      <w:r w:rsidR="004F0789">
        <w:rPr>
          <w:rFonts w:cs="Times New Roman"/>
          <w:szCs w:val="26"/>
        </w:rPr>
        <w:t xml:space="preserve"> approved the addition of a forward-looking adjustment feature to Columbia’s 1993 rate base/rate of return surcharge mechanism, but did not </w:t>
      </w:r>
      <w:r w:rsidR="004F0789" w:rsidRPr="00B73527">
        <w:rPr>
          <w:rFonts w:cs="Times New Roman"/>
          <w:szCs w:val="26"/>
        </w:rPr>
        <w:t>change the nature</w:t>
      </w:r>
      <w:r w:rsidR="004F0789">
        <w:rPr>
          <w:rFonts w:cs="Times New Roman"/>
          <w:szCs w:val="26"/>
        </w:rPr>
        <w:t xml:space="preserve"> of the charge.  Accordingly, there is no bar to the inclusion of </w:t>
      </w:r>
      <w:r w:rsidR="004F0789">
        <w:rPr>
          <w:rFonts w:cs="Times New Roman"/>
          <w:szCs w:val="26"/>
        </w:rPr>
        <w:lastRenderedPageBreak/>
        <w:t xml:space="preserve">Columbia’s undepreciated PennVest plant in rate base, and the adjustment urged upon us by I&amp;E and the OCA </w:t>
      </w:r>
      <w:r w:rsidR="004F0789" w:rsidRPr="00677582">
        <w:rPr>
          <w:rFonts w:cs="Times New Roman"/>
          <w:szCs w:val="26"/>
        </w:rPr>
        <w:t xml:space="preserve">is rejected.  </w:t>
      </w:r>
    </w:p>
    <w:p w:rsidR="004F0789" w:rsidRPr="00677582" w:rsidRDefault="004F0789" w:rsidP="004F0789">
      <w:pPr>
        <w:contextualSpacing/>
        <w:rPr>
          <w:rFonts w:cs="Times New Roman"/>
          <w:szCs w:val="26"/>
        </w:rPr>
      </w:pPr>
    </w:p>
    <w:p w:rsidR="004F0789" w:rsidRPr="00677582" w:rsidRDefault="004F0789" w:rsidP="00992768">
      <w:pPr>
        <w:pStyle w:val="Heading3"/>
        <w:rPr>
          <w:rStyle w:val="Heading2Char"/>
          <w:rFonts w:ascii="Times New Roman" w:eastAsiaTheme="majorEastAsia" w:hAnsi="Times New Roman"/>
          <w:b/>
        </w:rPr>
      </w:pPr>
      <w:bookmarkStart w:id="7" w:name="_Toc378080153"/>
      <w:r w:rsidRPr="00677582">
        <w:rPr>
          <w:rFonts w:ascii="Times New Roman" w:hAnsi="Times New Roman" w:cs="Times New Roman"/>
          <w:szCs w:val="26"/>
        </w:rPr>
        <w:t>2.</w:t>
      </w:r>
      <w:r w:rsidRPr="00677582">
        <w:rPr>
          <w:rFonts w:ascii="Times New Roman" w:hAnsi="Times New Roman" w:cs="Times New Roman"/>
          <w:szCs w:val="26"/>
        </w:rPr>
        <w:tab/>
      </w:r>
      <w:r w:rsidRPr="00677582">
        <w:rPr>
          <w:rStyle w:val="Heading2Char"/>
          <w:rFonts w:ascii="Times New Roman" w:eastAsiaTheme="majorEastAsia" w:hAnsi="Times New Roman"/>
          <w:b/>
        </w:rPr>
        <w:t>Cash Working Capital</w:t>
      </w:r>
      <w:bookmarkEnd w:id="7"/>
    </w:p>
    <w:p w:rsidR="004F0789" w:rsidRPr="00677582" w:rsidRDefault="004F0789" w:rsidP="004F0789">
      <w:pPr>
        <w:keepLines/>
        <w:contextualSpacing/>
        <w:rPr>
          <w:rFonts w:cs="Times New Roman"/>
          <w:szCs w:val="26"/>
        </w:rPr>
      </w:pPr>
    </w:p>
    <w:p w:rsidR="00F62BA8" w:rsidRDefault="004F0789" w:rsidP="004F0789">
      <w:pPr>
        <w:contextualSpacing/>
        <w:rPr>
          <w:rFonts w:cs="Times New Roman"/>
          <w:szCs w:val="26"/>
        </w:rPr>
      </w:pPr>
      <w:r w:rsidRPr="00677582">
        <w:rPr>
          <w:rFonts w:cs="Times New Roman"/>
          <w:szCs w:val="26"/>
        </w:rPr>
        <w:t xml:space="preserve">The </w:t>
      </w:r>
      <w:r>
        <w:rPr>
          <w:rFonts w:cs="Times New Roman"/>
          <w:szCs w:val="26"/>
        </w:rPr>
        <w:t>P</w:t>
      </w:r>
      <w:r w:rsidRPr="007F70DF">
        <w:rPr>
          <w:rFonts w:cs="Times New Roman"/>
          <w:szCs w:val="26"/>
        </w:rPr>
        <w:t>arties agree</w:t>
      </w:r>
      <w:r>
        <w:rPr>
          <w:rFonts w:cs="Times New Roman"/>
          <w:szCs w:val="26"/>
        </w:rPr>
        <w:t>d</w:t>
      </w:r>
      <w:r w:rsidRPr="007F70DF">
        <w:rPr>
          <w:rFonts w:cs="Times New Roman"/>
          <w:szCs w:val="26"/>
        </w:rPr>
        <w:t xml:space="preserve"> on the methodology to be used to calculate cash wo</w:t>
      </w:r>
      <w:r>
        <w:rPr>
          <w:rFonts w:cs="Times New Roman"/>
          <w:szCs w:val="26"/>
        </w:rPr>
        <w:t>rking capital</w:t>
      </w:r>
      <w:r w:rsidRPr="007F70DF">
        <w:rPr>
          <w:rFonts w:cs="Times New Roman"/>
          <w:szCs w:val="26"/>
        </w:rPr>
        <w:t>.</w:t>
      </w:r>
      <w:r>
        <w:rPr>
          <w:rFonts w:cs="Times New Roman"/>
          <w:szCs w:val="26"/>
        </w:rPr>
        <w:t xml:space="preserve">  Specifically, the Company </w:t>
      </w:r>
      <w:r w:rsidRPr="007F70DF">
        <w:rPr>
          <w:rFonts w:cs="Times New Roman"/>
          <w:szCs w:val="26"/>
        </w:rPr>
        <w:t>used the formula method, or one-eighth (12.5%) of operating and maintenanc</w:t>
      </w:r>
      <w:r>
        <w:rPr>
          <w:rFonts w:cs="Times New Roman"/>
          <w:szCs w:val="26"/>
        </w:rPr>
        <w:t xml:space="preserve">e (O&amp;M) expenses.  GDS Exh. </w:t>
      </w:r>
      <w:r w:rsidRPr="007F70DF">
        <w:rPr>
          <w:rFonts w:cs="Times New Roman"/>
          <w:szCs w:val="26"/>
        </w:rPr>
        <w:t xml:space="preserve">1 at 1-17.  Using this method, Columbia calculated a claim for cash working capital of </w:t>
      </w:r>
      <w:r w:rsidRPr="00D15CC0">
        <w:rPr>
          <w:rFonts w:cs="Times New Roman"/>
          <w:szCs w:val="26"/>
        </w:rPr>
        <w:t>$248,967</w:t>
      </w:r>
      <w:r w:rsidRPr="007F70DF">
        <w:rPr>
          <w:rFonts w:cs="Times New Roman"/>
          <w:szCs w:val="26"/>
        </w:rPr>
        <w:t xml:space="preserve">.  </w:t>
      </w:r>
      <w:r>
        <w:rPr>
          <w:rFonts w:cs="Times New Roman"/>
          <w:szCs w:val="26"/>
        </w:rPr>
        <w:t>The claim for cash w</w:t>
      </w:r>
      <w:r w:rsidRPr="007F70DF">
        <w:rPr>
          <w:rFonts w:cs="Times New Roman"/>
          <w:szCs w:val="26"/>
        </w:rPr>
        <w:t>or</w:t>
      </w:r>
      <w:r>
        <w:rPr>
          <w:rFonts w:cs="Times New Roman"/>
          <w:szCs w:val="26"/>
        </w:rPr>
        <w:t xml:space="preserve">king capital </w:t>
      </w:r>
      <w:r w:rsidRPr="007F70DF">
        <w:rPr>
          <w:rFonts w:cs="Times New Roman"/>
          <w:szCs w:val="26"/>
        </w:rPr>
        <w:t>ultimately</w:t>
      </w:r>
      <w:r>
        <w:rPr>
          <w:rFonts w:cs="Times New Roman"/>
          <w:szCs w:val="26"/>
        </w:rPr>
        <w:t xml:space="preserve"> will be</w:t>
      </w:r>
      <w:r w:rsidRPr="007F70DF">
        <w:rPr>
          <w:rFonts w:cs="Times New Roman"/>
          <w:szCs w:val="26"/>
        </w:rPr>
        <w:t xml:space="preserve"> established based upon the outcome of the Commission</w:t>
      </w:r>
      <w:r>
        <w:rPr>
          <w:rFonts w:cs="Times New Roman"/>
          <w:szCs w:val="26"/>
        </w:rPr>
        <w:t>’</w:t>
      </w:r>
      <w:r w:rsidRPr="007F70DF">
        <w:rPr>
          <w:rFonts w:cs="Times New Roman"/>
          <w:szCs w:val="26"/>
        </w:rPr>
        <w:t>s final ratemaking determinations.</w:t>
      </w:r>
      <w:r>
        <w:rPr>
          <w:rFonts w:cs="Times New Roman"/>
          <w:szCs w:val="26"/>
        </w:rPr>
        <w:t xml:space="preserve">  R.D. at 19, Table II.  </w:t>
      </w:r>
    </w:p>
    <w:p w:rsidR="00F62BA8" w:rsidRDefault="00F62BA8" w:rsidP="004F0789">
      <w:pPr>
        <w:contextualSpacing/>
        <w:rPr>
          <w:rFonts w:cs="Times New Roman"/>
          <w:szCs w:val="26"/>
        </w:rPr>
      </w:pPr>
    </w:p>
    <w:p w:rsidR="004F0789" w:rsidRPr="00677582" w:rsidRDefault="004F0789" w:rsidP="004F0789">
      <w:pPr>
        <w:contextualSpacing/>
        <w:rPr>
          <w:rFonts w:cs="Times New Roman"/>
          <w:szCs w:val="26"/>
        </w:rPr>
      </w:pPr>
      <w:r>
        <w:rPr>
          <w:rFonts w:cs="Times New Roman"/>
          <w:szCs w:val="26"/>
        </w:rPr>
        <w:t xml:space="preserve">No Exceptions on this issue were filed.  </w:t>
      </w:r>
      <w:r w:rsidR="00F62BA8">
        <w:rPr>
          <w:rFonts w:cs="Times New Roman"/>
          <w:szCs w:val="26"/>
        </w:rPr>
        <w:t>T</w:t>
      </w:r>
      <w:r>
        <w:rPr>
          <w:rFonts w:cs="Times New Roman"/>
          <w:szCs w:val="26"/>
        </w:rPr>
        <w:t>herefore</w:t>
      </w:r>
      <w:r w:rsidR="00F62BA8">
        <w:rPr>
          <w:rFonts w:cs="Times New Roman"/>
          <w:szCs w:val="26"/>
        </w:rPr>
        <w:t>, finding it otherwise reasonable, we</w:t>
      </w:r>
      <w:r>
        <w:rPr>
          <w:rFonts w:cs="Times New Roman"/>
          <w:szCs w:val="26"/>
        </w:rPr>
        <w:t xml:space="preserve"> will adopt the ALJ’s recommendation, subject to an adjustment to reflect the O&amp;M expe</w:t>
      </w:r>
      <w:r w:rsidRPr="00677582">
        <w:rPr>
          <w:rFonts w:cs="Times New Roman"/>
          <w:szCs w:val="26"/>
        </w:rPr>
        <w:t>nses allowed by this Opinion and Order.</w:t>
      </w:r>
    </w:p>
    <w:p w:rsidR="004F0789" w:rsidRPr="00677582" w:rsidRDefault="004F0789" w:rsidP="004F0789">
      <w:pPr>
        <w:contextualSpacing/>
        <w:rPr>
          <w:rFonts w:cs="Times New Roman"/>
          <w:szCs w:val="26"/>
        </w:rPr>
      </w:pPr>
    </w:p>
    <w:p w:rsidR="004F0789" w:rsidRPr="00677582" w:rsidRDefault="004F0789" w:rsidP="00EE5D88">
      <w:pPr>
        <w:keepNext/>
        <w:keepLines/>
        <w:numPr>
          <w:ilvl w:val="2"/>
          <w:numId w:val="0"/>
        </w:numPr>
        <w:spacing w:line="240" w:lineRule="auto"/>
        <w:ind w:left="1440"/>
        <w:contextualSpacing/>
        <w:jc w:val="both"/>
        <w:outlineLvl w:val="2"/>
        <w:rPr>
          <w:rStyle w:val="Heading2Char"/>
          <w:rFonts w:ascii="Times New Roman" w:hAnsi="Times New Roman"/>
        </w:rPr>
      </w:pPr>
      <w:bookmarkStart w:id="8" w:name="_Toc367958613"/>
      <w:bookmarkStart w:id="9" w:name="_Toc378080154"/>
      <w:r w:rsidRPr="00677582">
        <w:rPr>
          <w:rFonts w:cs="Times New Roman"/>
          <w:b/>
          <w:bCs/>
          <w:szCs w:val="26"/>
        </w:rPr>
        <w:t>3.</w:t>
      </w:r>
      <w:r w:rsidRPr="00677582">
        <w:rPr>
          <w:rFonts w:cs="Times New Roman"/>
          <w:b/>
          <w:bCs/>
          <w:szCs w:val="26"/>
        </w:rPr>
        <w:tab/>
      </w:r>
      <w:r w:rsidRPr="00677582">
        <w:rPr>
          <w:rStyle w:val="Heading3Char"/>
          <w:rFonts w:ascii="Times New Roman" w:hAnsi="Times New Roman" w:cs="Times New Roman"/>
        </w:rPr>
        <w:t>Materials &amp; Supplies</w:t>
      </w:r>
      <w:bookmarkEnd w:id="8"/>
      <w:bookmarkEnd w:id="9"/>
    </w:p>
    <w:p w:rsidR="004F0789" w:rsidRPr="00677582" w:rsidRDefault="004F0789" w:rsidP="004F0789">
      <w:pPr>
        <w:keepNext/>
        <w:keepLines/>
        <w:numPr>
          <w:ilvl w:val="2"/>
          <w:numId w:val="0"/>
        </w:numPr>
        <w:contextualSpacing/>
        <w:jc w:val="both"/>
        <w:outlineLvl w:val="2"/>
        <w:rPr>
          <w:rFonts w:cs="Times New Roman"/>
          <w:bCs/>
          <w:szCs w:val="26"/>
        </w:rPr>
      </w:pPr>
    </w:p>
    <w:p w:rsidR="004F0789" w:rsidRPr="00677582" w:rsidRDefault="004F0789" w:rsidP="00EE5D88">
      <w:pPr>
        <w:keepNext/>
        <w:keepLines/>
        <w:spacing w:line="240" w:lineRule="auto"/>
        <w:ind w:left="720"/>
        <w:contextualSpacing/>
        <w:rPr>
          <w:rFonts w:cs="Times New Roman"/>
          <w:b/>
          <w:szCs w:val="26"/>
        </w:rPr>
      </w:pPr>
      <w:r w:rsidRPr="00677582">
        <w:rPr>
          <w:rFonts w:cs="Times New Roman"/>
          <w:b/>
          <w:szCs w:val="26"/>
        </w:rPr>
        <w:t>a.</w:t>
      </w:r>
      <w:r w:rsidRPr="00677582">
        <w:rPr>
          <w:rFonts w:cs="Times New Roman"/>
          <w:b/>
          <w:szCs w:val="26"/>
        </w:rPr>
        <w:tab/>
        <w:t>Positions of the Parties</w:t>
      </w:r>
    </w:p>
    <w:p w:rsidR="004F0789" w:rsidRPr="00677582" w:rsidRDefault="004F0789" w:rsidP="004F0789">
      <w:pPr>
        <w:keepNext/>
        <w:keepLines/>
        <w:contextualSpacing/>
        <w:rPr>
          <w:rFonts w:cs="Times New Roman"/>
          <w:szCs w:val="26"/>
        </w:rPr>
      </w:pPr>
    </w:p>
    <w:p w:rsidR="004F0789" w:rsidRDefault="004F0789" w:rsidP="004F0789">
      <w:pPr>
        <w:contextualSpacing/>
        <w:rPr>
          <w:rFonts w:cs="Times New Roman"/>
          <w:szCs w:val="26"/>
        </w:rPr>
      </w:pPr>
      <w:r>
        <w:rPr>
          <w:rFonts w:cs="Times New Roman"/>
          <w:szCs w:val="26"/>
        </w:rPr>
        <w:t>Columbia claimed Materials and</w:t>
      </w:r>
      <w:r w:rsidRPr="007F70DF">
        <w:rPr>
          <w:rFonts w:cs="Times New Roman"/>
          <w:szCs w:val="26"/>
        </w:rPr>
        <w:t xml:space="preserve"> Supplies </w:t>
      </w:r>
      <w:r>
        <w:rPr>
          <w:rFonts w:cs="Times New Roman"/>
          <w:szCs w:val="26"/>
        </w:rPr>
        <w:t xml:space="preserve">(M&amp;S) </w:t>
      </w:r>
      <w:r w:rsidRPr="007F70DF">
        <w:rPr>
          <w:rFonts w:cs="Times New Roman"/>
          <w:szCs w:val="26"/>
        </w:rPr>
        <w:t xml:space="preserve">in rate base of </w:t>
      </w:r>
      <w:r w:rsidRPr="00D15CC0">
        <w:rPr>
          <w:rFonts w:cs="Times New Roman"/>
          <w:szCs w:val="26"/>
        </w:rPr>
        <w:t>$62,314</w:t>
      </w:r>
      <w:r w:rsidRPr="0019059E">
        <w:rPr>
          <w:rFonts w:cs="Times New Roman"/>
          <w:szCs w:val="26"/>
        </w:rPr>
        <w:t xml:space="preserve"> </w:t>
      </w:r>
      <w:r>
        <w:rPr>
          <w:rFonts w:cs="Times New Roman"/>
          <w:szCs w:val="26"/>
        </w:rPr>
        <w:t xml:space="preserve">based on a three-year average of the Company’s M&amp;S </w:t>
      </w:r>
      <w:r w:rsidRPr="007F70DF">
        <w:rPr>
          <w:rFonts w:cs="Times New Roman"/>
          <w:szCs w:val="26"/>
        </w:rPr>
        <w:t>inventory</w:t>
      </w:r>
      <w:r>
        <w:rPr>
          <w:rFonts w:cs="Times New Roman"/>
          <w:szCs w:val="26"/>
        </w:rPr>
        <w:t xml:space="preserve">.  GDS Exh. 1 at 1-17. The OCA argued </w:t>
      </w:r>
      <w:r w:rsidRPr="007F70DF">
        <w:rPr>
          <w:rFonts w:cs="Times New Roman"/>
          <w:szCs w:val="26"/>
        </w:rPr>
        <w:t xml:space="preserve">that </w:t>
      </w:r>
      <w:r>
        <w:rPr>
          <w:rFonts w:cs="Times New Roman"/>
          <w:szCs w:val="26"/>
        </w:rPr>
        <w:t xml:space="preserve">the Company’s claim should be adjusted downward by </w:t>
      </w:r>
      <w:r w:rsidRPr="00D15CC0">
        <w:rPr>
          <w:rFonts w:cs="Times New Roman"/>
          <w:szCs w:val="26"/>
        </w:rPr>
        <w:t>$4,592</w:t>
      </w:r>
      <w:r>
        <w:rPr>
          <w:rFonts w:cs="Times New Roman"/>
          <w:szCs w:val="26"/>
        </w:rPr>
        <w:t xml:space="preserve"> based on the </w:t>
      </w:r>
      <w:r w:rsidRPr="007F70DF">
        <w:rPr>
          <w:rFonts w:cs="Times New Roman"/>
          <w:szCs w:val="26"/>
        </w:rPr>
        <w:t>Commission</w:t>
      </w:r>
      <w:r>
        <w:rPr>
          <w:rFonts w:cs="Times New Roman"/>
          <w:szCs w:val="26"/>
        </w:rPr>
        <w:t>’s policy of using</w:t>
      </w:r>
      <w:r w:rsidRPr="007F70DF">
        <w:rPr>
          <w:rFonts w:cs="Times New Roman"/>
          <w:szCs w:val="26"/>
        </w:rPr>
        <w:t xml:space="preserve"> a thirteen-month average of </w:t>
      </w:r>
      <w:r w:rsidR="00DA7E07">
        <w:rPr>
          <w:rFonts w:cs="Times New Roman"/>
          <w:szCs w:val="26"/>
        </w:rPr>
        <w:t>M&amp;S</w:t>
      </w:r>
      <w:r w:rsidRPr="007F70DF">
        <w:rPr>
          <w:rFonts w:cs="Times New Roman"/>
          <w:szCs w:val="26"/>
        </w:rPr>
        <w:t xml:space="preserve">.  In rebuttal, </w:t>
      </w:r>
      <w:r>
        <w:rPr>
          <w:rFonts w:cs="Times New Roman"/>
          <w:szCs w:val="26"/>
        </w:rPr>
        <w:t xml:space="preserve">the Company </w:t>
      </w:r>
      <w:r w:rsidRPr="007F70DF">
        <w:rPr>
          <w:rFonts w:cs="Times New Roman"/>
          <w:szCs w:val="26"/>
        </w:rPr>
        <w:t>argued that</w:t>
      </w:r>
      <w:r>
        <w:rPr>
          <w:rFonts w:cs="Times New Roman"/>
          <w:szCs w:val="26"/>
        </w:rPr>
        <w:t>,</w:t>
      </w:r>
      <w:r w:rsidRPr="007F70DF">
        <w:rPr>
          <w:rFonts w:cs="Times New Roman"/>
          <w:szCs w:val="26"/>
        </w:rPr>
        <w:t xml:space="preserve"> if the exp</w:t>
      </w:r>
      <w:r>
        <w:rPr>
          <w:rFonts w:cs="Times New Roman"/>
          <w:szCs w:val="26"/>
        </w:rPr>
        <w:t xml:space="preserve">ense is volatile, an average based on </w:t>
      </w:r>
      <w:r w:rsidRPr="007F70DF">
        <w:rPr>
          <w:rFonts w:cs="Times New Roman"/>
          <w:szCs w:val="26"/>
        </w:rPr>
        <w:t xml:space="preserve">a longer period should be used.  CWC </w:t>
      </w:r>
      <w:r>
        <w:rPr>
          <w:rFonts w:cs="Times New Roman"/>
          <w:szCs w:val="26"/>
        </w:rPr>
        <w:t xml:space="preserve">St. 2R at 14-15.  The Company </w:t>
      </w:r>
      <w:r w:rsidRPr="007F70DF">
        <w:rPr>
          <w:rFonts w:cs="Times New Roman"/>
          <w:szCs w:val="26"/>
        </w:rPr>
        <w:t>also conte</w:t>
      </w:r>
      <w:r>
        <w:rPr>
          <w:rFonts w:cs="Times New Roman"/>
          <w:szCs w:val="26"/>
        </w:rPr>
        <w:t xml:space="preserve">nded that it </w:t>
      </w:r>
      <w:r w:rsidRPr="007F70DF">
        <w:rPr>
          <w:rFonts w:cs="Times New Roman"/>
          <w:szCs w:val="26"/>
        </w:rPr>
        <w:t xml:space="preserve">would have to close its books on a monthly basis in </w:t>
      </w:r>
      <w:r>
        <w:rPr>
          <w:rFonts w:cs="Times New Roman"/>
          <w:szCs w:val="26"/>
        </w:rPr>
        <w:t>order to accurately reflect a thirteen</w:t>
      </w:r>
      <w:r w:rsidRPr="007F70DF">
        <w:rPr>
          <w:rFonts w:cs="Times New Roman"/>
          <w:szCs w:val="26"/>
        </w:rPr>
        <w:t xml:space="preserve">-month average.  CWC St. 2R at 14.  </w:t>
      </w:r>
    </w:p>
    <w:p w:rsidR="004F0789" w:rsidRDefault="004F0789" w:rsidP="004F0789">
      <w:pPr>
        <w:contextualSpacing/>
        <w:rPr>
          <w:rFonts w:cs="Times New Roman"/>
          <w:szCs w:val="26"/>
        </w:rPr>
      </w:pPr>
    </w:p>
    <w:p w:rsidR="004F0789" w:rsidRPr="00DC0F56" w:rsidRDefault="004F0789" w:rsidP="00BA77A1">
      <w:pPr>
        <w:keepNext/>
        <w:keepLines/>
        <w:spacing w:line="240" w:lineRule="auto"/>
        <w:contextualSpacing/>
        <w:rPr>
          <w:rFonts w:cs="Times New Roman"/>
          <w:b/>
          <w:szCs w:val="26"/>
        </w:rPr>
      </w:pPr>
      <w:r>
        <w:rPr>
          <w:rFonts w:cs="Times New Roman"/>
          <w:szCs w:val="26"/>
        </w:rPr>
        <w:lastRenderedPageBreak/>
        <w:tab/>
      </w:r>
      <w:r w:rsidRPr="00DC0F56">
        <w:rPr>
          <w:rFonts w:cs="Times New Roman"/>
          <w:b/>
          <w:szCs w:val="26"/>
        </w:rPr>
        <w:t>b.</w:t>
      </w:r>
      <w:r w:rsidRPr="00DC0F56">
        <w:rPr>
          <w:rFonts w:cs="Times New Roman"/>
          <w:b/>
          <w:szCs w:val="26"/>
        </w:rPr>
        <w:tab/>
        <w:t>ALJ</w:t>
      </w:r>
      <w:r>
        <w:rPr>
          <w:rFonts w:cs="Times New Roman"/>
          <w:b/>
          <w:szCs w:val="26"/>
        </w:rPr>
        <w:t>’</w:t>
      </w:r>
      <w:r w:rsidRPr="00DC0F56">
        <w:rPr>
          <w:rFonts w:cs="Times New Roman"/>
          <w:b/>
          <w:szCs w:val="26"/>
        </w:rPr>
        <w:t>s Recommendation</w:t>
      </w:r>
    </w:p>
    <w:p w:rsidR="004F0789" w:rsidRDefault="004F0789" w:rsidP="004F0789">
      <w:pPr>
        <w:keepNext/>
        <w:keepLines/>
        <w:contextualSpacing/>
        <w:rPr>
          <w:rFonts w:cs="Times New Roman"/>
          <w:szCs w:val="26"/>
        </w:rPr>
      </w:pPr>
    </w:p>
    <w:p w:rsidR="004F0789" w:rsidRDefault="004F0789" w:rsidP="004F0789">
      <w:pPr>
        <w:contextualSpacing/>
        <w:rPr>
          <w:rFonts w:cs="Times New Roman"/>
          <w:szCs w:val="26"/>
        </w:rPr>
      </w:pPr>
      <w:r>
        <w:rPr>
          <w:rFonts w:cs="Times New Roman"/>
          <w:szCs w:val="26"/>
        </w:rPr>
        <w:t>The ALJ</w:t>
      </w:r>
      <w:r w:rsidRPr="007F70DF">
        <w:rPr>
          <w:rFonts w:cs="Times New Roman"/>
          <w:szCs w:val="26"/>
        </w:rPr>
        <w:t xml:space="preserve"> agree</w:t>
      </w:r>
      <w:r>
        <w:rPr>
          <w:rFonts w:cs="Times New Roman"/>
          <w:szCs w:val="26"/>
        </w:rPr>
        <w:t>d with the Company</w:t>
      </w:r>
      <w:r w:rsidRPr="007F70DF">
        <w:rPr>
          <w:rFonts w:cs="Times New Roman"/>
          <w:szCs w:val="26"/>
        </w:rPr>
        <w:t xml:space="preserve">.  </w:t>
      </w:r>
      <w:r>
        <w:rPr>
          <w:rFonts w:cs="Times New Roman"/>
          <w:szCs w:val="26"/>
        </w:rPr>
        <w:t>“</w:t>
      </w:r>
      <w:r w:rsidRPr="007F70DF">
        <w:rPr>
          <w:rFonts w:cs="Times New Roman"/>
          <w:szCs w:val="26"/>
        </w:rPr>
        <w:t>As stated above</w:t>
      </w:r>
      <w:r>
        <w:rPr>
          <w:rFonts w:cs="Times New Roman"/>
          <w:szCs w:val="26"/>
        </w:rPr>
        <w:t>, this is an instance of where ‘</w:t>
      </w:r>
      <w:r w:rsidRPr="007F70DF">
        <w:rPr>
          <w:rFonts w:cs="Times New Roman"/>
          <w:szCs w:val="26"/>
        </w:rPr>
        <w:t>wha</w:t>
      </w:r>
      <w:r>
        <w:rPr>
          <w:rFonts w:cs="Times New Roman"/>
          <w:szCs w:val="26"/>
        </w:rPr>
        <w:t>t works and what is reasonable,’</w:t>
      </w:r>
      <w:r w:rsidRPr="007F70DF">
        <w:rPr>
          <w:rFonts w:cs="Times New Roman"/>
          <w:szCs w:val="26"/>
        </w:rPr>
        <w:t xml:space="preserve"> for this utility specifically should not be disturbed by what another party thinks is optimal and requests based on general policy.  The OCA</w:t>
      </w:r>
      <w:r>
        <w:rPr>
          <w:rFonts w:cs="Times New Roman"/>
          <w:szCs w:val="26"/>
        </w:rPr>
        <w:t>’</w:t>
      </w:r>
      <w:r w:rsidRPr="007F70DF">
        <w:rPr>
          <w:rFonts w:cs="Times New Roman"/>
          <w:szCs w:val="26"/>
        </w:rPr>
        <w:t>s recommendation to reduce Columbia</w:t>
      </w:r>
      <w:r>
        <w:rPr>
          <w:rFonts w:cs="Times New Roman"/>
          <w:szCs w:val="26"/>
        </w:rPr>
        <w:t>’</w:t>
      </w:r>
      <w:r w:rsidRPr="007F70DF">
        <w:rPr>
          <w:rFonts w:cs="Times New Roman"/>
          <w:szCs w:val="26"/>
        </w:rPr>
        <w:t xml:space="preserve">s rate base claim by </w:t>
      </w:r>
      <w:r w:rsidRPr="00D15CC0">
        <w:rPr>
          <w:rFonts w:cs="Times New Roman"/>
          <w:szCs w:val="26"/>
        </w:rPr>
        <w:t>$4,592</w:t>
      </w:r>
      <w:r w:rsidRPr="007F70DF">
        <w:rPr>
          <w:rFonts w:cs="Times New Roman"/>
          <w:szCs w:val="26"/>
        </w:rPr>
        <w:t xml:space="preserve"> should not be adopted.</w:t>
      </w:r>
      <w:r>
        <w:rPr>
          <w:rFonts w:cs="Times New Roman"/>
          <w:szCs w:val="26"/>
        </w:rPr>
        <w:t>”  R.D. at 22.</w:t>
      </w:r>
    </w:p>
    <w:p w:rsidR="004F0789" w:rsidRDefault="004F0789" w:rsidP="004F0789">
      <w:pPr>
        <w:contextualSpacing/>
        <w:rPr>
          <w:rFonts w:cs="Times New Roman"/>
          <w:szCs w:val="26"/>
        </w:rPr>
      </w:pPr>
    </w:p>
    <w:p w:rsidR="004F0789" w:rsidRPr="00F5553F" w:rsidRDefault="004F0789" w:rsidP="00BA77A1">
      <w:pPr>
        <w:spacing w:line="240" w:lineRule="auto"/>
        <w:ind w:left="720"/>
        <w:rPr>
          <w:b/>
        </w:rPr>
      </w:pPr>
      <w:r w:rsidRPr="00A9385B">
        <w:rPr>
          <w:b/>
        </w:rPr>
        <w:t>c.</w:t>
      </w:r>
      <w:r w:rsidRPr="00A9385B">
        <w:rPr>
          <w:b/>
        </w:rPr>
        <w:tab/>
      </w:r>
      <w:r w:rsidRPr="00F5553F">
        <w:rPr>
          <w:b/>
        </w:rPr>
        <w:t>Exceptions</w:t>
      </w:r>
    </w:p>
    <w:p w:rsidR="004F0789" w:rsidRPr="00DB6928" w:rsidRDefault="004F0789" w:rsidP="004F0789">
      <w:pPr>
        <w:keepNext/>
        <w:keepLines/>
        <w:contextualSpacing/>
        <w:rPr>
          <w:rFonts w:cs="Times New Roman"/>
          <w:b/>
          <w:szCs w:val="26"/>
        </w:rPr>
      </w:pPr>
    </w:p>
    <w:p w:rsidR="004F0789" w:rsidRPr="00DB6928" w:rsidRDefault="004F0789" w:rsidP="00343CB6">
      <w:r w:rsidRPr="00DB6928">
        <w:t>In its Ex</w:t>
      </w:r>
      <w:r>
        <w:t>ception, the OCA argues that Columbia’</w:t>
      </w:r>
      <w:r w:rsidRPr="00DB6928">
        <w:t xml:space="preserve">s </w:t>
      </w:r>
      <w:r>
        <w:t xml:space="preserve">M&amp;S claim is inconsistent with prior Commission cases in which the Commission </w:t>
      </w:r>
      <w:r w:rsidRPr="00462EDA">
        <w:t xml:space="preserve">consistently </w:t>
      </w:r>
      <w:r>
        <w:t>has adopted a thirteen-month average</w:t>
      </w:r>
      <w:r w:rsidRPr="00462EDA">
        <w:t>.</w:t>
      </w:r>
      <w:r w:rsidRPr="000F160B">
        <w:rPr>
          <w:rStyle w:val="FootnoteReference"/>
          <w:szCs w:val="26"/>
        </w:rPr>
        <w:footnoteReference w:id="13"/>
      </w:r>
      <w:r>
        <w:t xml:space="preserve">  The OCA disputes </w:t>
      </w:r>
      <w:r w:rsidRPr="00462EDA">
        <w:t>Columbia</w:t>
      </w:r>
      <w:r>
        <w:t>’s argument</w:t>
      </w:r>
      <w:r w:rsidRPr="00462EDA">
        <w:t xml:space="preserve"> that a three-year average would provide a larger sample of operating results to address volatility</w:t>
      </w:r>
      <w:r>
        <w:t>, arguing that the average balance could be skewed if there were an unusually large balance in the last month of the Company’s accounting year</w:t>
      </w:r>
      <w:r w:rsidRPr="00462EDA">
        <w:t xml:space="preserve">. </w:t>
      </w:r>
      <w:r w:rsidR="00E278D4">
        <w:t xml:space="preserve"> </w:t>
      </w:r>
      <w:r>
        <w:t>OCA Exc. at 17.</w:t>
      </w:r>
      <w:r w:rsidRPr="00462EDA">
        <w:t xml:space="preserve"> </w:t>
      </w:r>
    </w:p>
    <w:p w:rsidR="004F0789" w:rsidRPr="00DB6928" w:rsidRDefault="004F0789" w:rsidP="004F0789">
      <w:pPr>
        <w:contextualSpacing/>
        <w:rPr>
          <w:rFonts w:cs="Times New Roman"/>
          <w:szCs w:val="26"/>
        </w:rPr>
      </w:pPr>
      <w:r w:rsidRPr="00DB6928">
        <w:rPr>
          <w:rFonts w:cs="Times New Roman"/>
          <w:szCs w:val="26"/>
        </w:rPr>
        <w:t xml:space="preserve"> </w:t>
      </w:r>
    </w:p>
    <w:p w:rsidR="004F0789" w:rsidRDefault="004F0789" w:rsidP="004F0789">
      <w:pPr>
        <w:contextualSpacing/>
        <w:rPr>
          <w:rFonts w:cs="Times New Roman"/>
          <w:szCs w:val="26"/>
        </w:rPr>
      </w:pPr>
      <w:r>
        <w:rPr>
          <w:rFonts w:cs="Times New Roman"/>
          <w:szCs w:val="26"/>
        </w:rPr>
        <w:t xml:space="preserve">With regard to </w:t>
      </w:r>
      <w:r w:rsidRPr="00DB6928">
        <w:rPr>
          <w:rFonts w:cs="Times New Roman"/>
          <w:szCs w:val="26"/>
        </w:rPr>
        <w:t>the Commission</w:t>
      </w:r>
      <w:r>
        <w:rPr>
          <w:rFonts w:cs="Times New Roman"/>
          <w:szCs w:val="26"/>
        </w:rPr>
        <w:t>’</w:t>
      </w:r>
      <w:r w:rsidRPr="00DB6928">
        <w:rPr>
          <w:rFonts w:cs="Times New Roman"/>
          <w:szCs w:val="26"/>
        </w:rPr>
        <w:t>s approval of a three-</w:t>
      </w:r>
      <w:r>
        <w:rPr>
          <w:rFonts w:cs="Times New Roman"/>
          <w:szCs w:val="26"/>
        </w:rPr>
        <w:t xml:space="preserve">year average in Columbia’s last </w:t>
      </w:r>
      <w:r w:rsidRPr="00DB6928">
        <w:rPr>
          <w:rFonts w:cs="Times New Roman"/>
          <w:szCs w:val="26"/>
        </w:rPr>
        <w:t>rate case</w:t>
      </w:r>
      <w:r>
        <w:rPr>
          <w:rFonts w:cs="Times New Roman"/>
          <w:szCs w:val="26"/>
        </w:rPr>
        <w:t>, the OCA submits that the Commission’s Order approved a three-year average for M&amp;S</w:t>
      </w:r>
      <w:r w:rsidRPr="00DB6928">
        <w:rPr>
          <w:rFonts w:cs="Times New Roman"/>
          <w:szCs w:val="26"/>
        </w:rPr>
        <w:t xml:space="preserve"> </w:t>
      </w:r>
      <w:r w:rsidRPr="00CF0A92">
        <w:rPr>
          <w:rFonts w:cs="Times New Roman"/>
          <w:i/>
          <w:szCs w:val="26"/>
        </w:rPr>
        <w:t>expense</w:t>
      </w:r>
      <w:r>
        <w:rPr>
          <w:rFonts w:cs="Times New Roman"/>
          <w:szCs w:val="26"/>
        </w:rPr>
        <w:t xml:space="preserve">, as opposed to a claim for </w:t>
      </w:r>
      <w:r w:rsidRPr="00E30A58">
        <w:rPr>
          <w:rFonts w:cs="Times New Roman"/>
          <w:i/>
          <w:szCs w:val="26"/>
        </w:rPr>
        <w:t>rate base</w:t>
      </w:r>
      <w:r w:rsidRPr="00DB6928">
        <w:rPr>
          <w:rFonts w:cs="Times New Roman"/>
          <w:szCs w:val="26"/>
        </w:rPr>
        <w:t xml:space="preserve">.  </w:t>
      </w:r>
      <w:r w:rsidRPr="00001FC3">
        <w:rPr>
          <w:rFonts w:cs="Times New Roman"/>
          <w:i/>
          <w:szCs w:val="26"/>
        </w:rPr>
        <w:t>Pa. PUC v. Columbia Water Co.,</w:t>
      </w:r>
      <w:r>
        <w:rPr>
          <w:rFonts w:cs="Times New Roman"/>
          <w:szCs w:val="26"/>
        </w:rPr>
        <w:t xml:space="preserve"> Docket No. R-2008-2045157, </w:t>
      </w:r>
      <w:r w:rsidRPr="00E30A58">
        <w:rPr>
          <w:rFonts w:cs="Times New Roman"/>
          <w:i/>
          <w:szCs w:val="26"/>
        </w:rPr>
        <w:t>et al</w:t>
      </w:r>
      <w:r>
        <w:rPr>
          <w:rFonts w:cs="Times New Roman"/>
          <w:szCs w:val="26"/>
        </w:rPr>
        <w:t>. (Order entered June 10, 2009) (</w:t>
      </w:r>
      <w:r>
        <w:rPr>
          <w:rFonts w:cs="Times New Roman"/>
          <w:i/>
          <w:szCs w:val="26"/>
        </w:rPr>
        <w:t>2009</w:t>
      </w:r>
      <w:r w:rsidRPr="00CF0A92">
        <w:rPr>
          <w:rFonts w:cs="Times New Roman"/>
          <w:i/>
          <w:szCs w:val="26"/>
        </w:rPr>
        <w:t xml:space="preserve"> Rate Case Order</w:t>
      </w:r>
      <w:r>
        <w:rPr>
          <w:rFonts w:cs="Times New Roman"/>
          <w:szCs w:val="26"/>
        </w:rPr>
        <w:t xml:space="preserve">).  The OCA argues that a claim for M&amp;S </w:t>
      </w:r>
      <w:r w:rsidR="007B7FA8">
        <w:rPr>
          <w:rFonts w:cs="Times New Roman"/>
          <w:szCs w:val="26"/>
        </w:rPr>
        <w:t>i</w:t>
      </w:r>
      <w:r w:rsidR="00746077">
        <w:rPr>
          <w:rFonts w:cs="Times New Roman"/>
          <w:szCs w:val="26"/>
        </w:rPr>
        <w:t xml:space="preserve">n </w:t>
      </w:r>
      <w:r>
        <w:rPr>
          <w:rFonts w:cs="Times New Roman"/>
          <w:szCs w:val="26"/>
        </w:rPr>
        <w:t>rate base is different than a claim for M&amp;S expense because</w:t>
      </w:r>
      <w:r w:rsidR="00D05546">
        <w:rPr>
          <w:rFonts w:cs="Times New Roman"/>
          <w:szCs w:val="26"/>
        </w:rPr>
        <w:t xml:space="preserve"> </w:t>
      </w:r>
      <w:r w:rsidR="00746077">
        <w:rPr>
          <w:rFonts w:cs="Times New Roman"/>
          <w:szCs w:val="26"/>
        </w:rPr>
        <w:t xml:space="preserve">M&amp;S in rate base allows </w:t>
      </w:r>
      <w:r w:rsidR="005F311C">
        <w:rPr>
          <w:rFonts w:cs="Times New Roman"/>
          <w:szCs w:val="26"/>
        </w:rPr>
        <w:t>the C</w:t>
      </w:r>
      <w:r w:rsidR="00D05546">
        <w:rPr>
          <w:rFonts w:cs="Times New Roman"/>
          <w:szCs w:val="26"/>
        </w:rPr>
        <w:t xml:space="preserve">ompany </w:t>
      </w:r>
      <w:r w:rsidR="00746077">
        <w:rPr>
          <w:rFonts w:cs="Times New Roman"/>
          <w:szCs w:val="26"/>
        </w:rPr>
        <w:t>the opportunity to</w:t>
      </w:r>
      <w:r w:rsidR="005F311C">
        <w:rPr>
          <w:rFonts w:cs="Times New Roman"/>
          <w:szCs w:val="26"/>
        </w:rPr>
        <w:t xml:space="preserve"> earn a return on</w:t>
      </w:r>
      <w:r w:rsidR="009F63EB">
        <w:rPr>
          <w:rFonts w:cs="Times New Roman"/>
          <w:szCs w:val="26"/>
        </w:rPr>
        <w:t xml:space="preserve"> its investment in M&amp;S</w:t>
      </w:r>
      <w:r w:rsidR="005F311C">
        <w:rPr>
          <w:rFonts w:cs="Times New Roman"/>
          <w:szCs w:val="26"/>
        </w:rPr>
        <w:t xml:space="preserve"> until they are used and expensed</w:t>
      </w:r>
      <w:r>
        <w:rPr>
          <w:rFonts w:cs="Times New Roman"/>
          <w:szCs w:val="26"/>
        </w:rPr>
        <w:t xml:space="preserve">.  OCA Exc. at 19. </w:t>
      </w:r>
      <w:r w:rsidRPr="00DB6928">
        <w:rPr>
          <w:rFonts w:cs="Times New Roman"/>
          <w:szCs w:val="26"/>
        </w:rPr>
        <w:t xml:space="preserve"> </w:t>
      </w:r>
    </w:p>
    <w:p w:rsidR="004F0789" w:rsidRPr="00DB6928" w:rsidRDefault="004F0789" w:rsidP="004F0789">
      <w:pPr>
        <w:contextualSpacing/>
        <w:rPr>
          <w:rFonts w:cs="Times New Roman"/>
          <w:szCs w:val="26"/>
        </w:rPr>
      </w:pPr>
    </w:p>
    <w:p w:rsidR="004F0789" w:rsidRDefault="004F0789" w:rsidP="004F0789">
      <w:pPr>
        <w:contextualSpacing/>
        <w:rPr>
          <w:rFonts w:cs="Times New Roman"/>
          <w:szCs w:val="26"/>
        </w:rPr>
      </w:pPr>
      <w:r w:rsidRPr="00DB6928">
        <w:rPr>
          <w:rFonts w:cs="Times New Roman"/>
          <w:szCs w:val="26"/>
        </w:rPr>
        <w:lastRenderedPageBreak/>
        <w:t>Regarding Columbia</w:t>
      </w:r>
      <w:r>
        <w:rPr>
          <w:rFonts w:cs="Times New Roman"/>
          <w:szCs w:val="26"/>
        </w:rPr>
        <w:t>’</w:t>
      </w:r>
      <w:r w:rsidRPr="00DB6928">
        <w:rPr>
          <w:rFonts w:cs="Times New Roman"/>
          <w:szCs w:val="26"/>
        </w:rPr>
        <w:t>s argument that small companies are unable to produce accurate inventory numbers on a monthly basis,</w:t>
      </w:r>
      <w:r>
        <w:rPr>
          <w:rFonts w:cs="Times New Roman"/>
          <w:szCs w:val="26"/>
        </w:rPr>
        <w:t xml:space="preserve"> the OCA submits that this is not the case with Columbia.  The OCA asserts that, in response to an interrogatory, t</w:t>
      </w:r>
      <w:r w:rsidRPr="00DB6928">
        <w:rPr>
          <w:rFonts w:cs="Times New Roman"/>
          <w:szCs w:val="26"/>
        </w:rPr>
        <w:t xml:space="preserve">he Company provided </w:t>
      </w:r>
      <w:r>
        <w:rPr>
          <w:rFonts w:cs="Times New Roman"/>
          <w:szCs w:val="26"/>
        </w:rPr>
        <w:t xml:space="preserve">monthly </w:t>
      </w:r>
      <w:r w:rsidRPr="00DB6928">
        <w:rPr>
          <w:rFonts w:cs="Times New Roman"/>
          <w:szCs w:val="26"/>
        </w:rPr>
        <w:t xml:space="preserve">balances </w:t>
      </w:r>
      <w:r>
        <w:rPr>
          <w:rFonts w:cs="Times New Roman"/>
          <w:szCs w:val="26"/>
        </w:rPr>
        <w:t>for M</w:t>
      </w:r>
      <w:r w:rsidR="00500629">
        <w:rPr>
          <w:rFonts w:cs="Times New Roman"/>
          <w:szCs w:val="26"/>
        </w:rPr>
        <w:t>&amp;S</w:t>
      </w:r>
      <w:r>
        <w:rPr>
          <w:rFonts w:cs="Times New Roman"/>
          <w:szCs w:val="26"/>
        </w:rPr>
        <w:t xml:space="preserve"> </w:t>
      </w:r>
      <w:r w:rsidRPr="00DB6928">
        <w:rPr>
          <w:rFonts w:cs="Times New Roman"/>
          <w:szCs w:val="26"/>
        </w:rPr>
        <w:t>fro</w:t>
      </w:r>
      <w:r>
        <w:rPr>
          <w:rFonts w:cs="Times New Roman"/>
          <w:szCs w:val="26"/>
        </w:rPr>
        <w:t xml:space="preserve">m December 2011 to March 2013, and </w:t>
      </w:r>
      <w:r w:rsidRPr="00DB6928">
        <w:rPr>
          <w:rFonts w:cs="Times New Roman"/>
          <w:szCs w:val="26"/>
        </w:rPr>
        <w:t>later updated its response to provide balances through July 31</w:t>
      </w:r>
      <w:r>
        <w:rPr>
          <w:rFonts w:cs="Times New Roman"/>
          <w:szCs w:val="26"/>
        </w:rPr>
        <w:t>, 2013.  “</w:t>
      </w:r>
      <w:r w:rsidRPr="00DB6928">
        <w:rPr>
          <w:rFonts w:cs="Times New Roman"/>
          <w:szCs w:val="26"/>
        </w:rPr>
        <w:t>Columbia is thus able to track its monthly inventory for purposes of supporting rate base recognition of its M&amp;S purchases.</w:t>
      </w:r>
      <w:r>
        <w:rPr>
          <w:rFonts w:cs="Times New Roman"/>
          <w:szCs w:val="26"/>
        </w:rPr>
        <w:t>”  OCA Exc. at 20.</w:t>
      </w:r>
      <w:r w:rsidRPr="00DB6928">
        <w:rPr>
          <w:rFonts w:cs="Times New Roman"/>
          <w:szCs w:val="26"/>
        </w:rPr>
        <w:t xml:space="preserve">  Further, the </w:t>
      </w:r>
      <w:r>
        <w:rPr>
          <w:rFonts w:cs="Times New Roman"/>
          <w:szCs w:val="26"/>
        </w:rPr>
        <w:t>OCA submits that the Commission</w:t>
      </w:r>
      <w:r w:rsidRPr="00DB6928">
        <w:rPr>
          <w:rFonts w:cs="Times New Roman"/>
          <w:szCs w:val="26"/>
        </w:rPr>
        <w:t xml:space="preserve"> </w:t>
      </w:r>
      <w:r>
        <w:rPr>
          <w:rFonts w:cs="Times New Roman"/>
          <w:szCs w:val="26"/>
        </w:rPr>
        <w:t>has adopted a thirteen</w:t>
      </w:r>
      <w:r w:rsidRPr="00DB6928">
        <w:rPr>
          <w:rFonts w:cs="Times New Roman"/>
          <w:szCs w:val="26"/>
        </w:rPr>
        <w:t xml:space="preserve">-month </w:t>
      </w:r>
      <w:r>
        <w:rPr>
          <w:rFonts w:cs="Times New Roman"/>
          <w:szCs w:val="26"/>
        </w:rPr>
        <w:t xml:space="preserve">M&amp;S </w:t>
      </w:r>
      <w:r w:rsidRPr="00DB6928">
        <w:rPr>
          <w:rFonts w:cs="Times New Roman"/>
          <w:szCs w:val="26"/>
        </w:rPr>
        <w:t xml:space="preserve">average </w:t>
      </w:r>
      <w:r>
        <w:rPr>
          <w:rFonts w:cs="Times New Roman"/>
          <w:szCs w:val="26"/>
        </w:rPr>
        <w:t xml:space="preserve">for smaller companies, citing </w:t>
      </w:r>
      <w:r>
        <w:rPr>
          <w:rFonts w:cs="Times New Roman"/>
          <w:i/>
          <w:szCs w:val="26"/>
        </w:rPr>
        <w:t>Treasure Lake</w:t>
      </w:r>
      <w:r>
        <w:rPr>
          <w:rFonts w:cs="Times New Roman"/>
          <w:szCs w:val="26"/>
        </w:rPr>
        <w:t xml:space="preserve">, </w:t>
      </w:r>
      <w:r>
        <w:rPr>
          <w:rFonts w:cs="Times New Roman"/>
          <w:i/>
          <w:szCs w:val="26"/>
        </w:rPr>
        <w:t>Mechanicsburg</w:t>
      </w:r>
      <w:r>
        <w:rPr>
          <w:rFonts w:cs="Times New Roman"/>
          <w:szCs w:val="26"/>
        </w:rPr>
        <w:t xml:space="preserve">, and </w:t>
      </w:r>
      <w:r w:rsidRPr="00400CB9">
        <w:rPr>
          <w:rFonts w:cs="Times New Roman"/>
          <w:i/>
          <w:szCs w:val="26"/>
        </w:rPr>
        <w:t>Medi</w:t>
      </w:r>
      <w:r>
        <w:rPr>
          <w:rFonts w:cs="Times New Roman"/>
          <w:i/>
          <w:szCs w:val="26"/>
        </w:rPr>
        <w:t>a</w:t>
      </w:r>
      <w:r w:rsidRPr="00DB6928">
        <w:rPr>
          <w:rFonts w:cs="Times New Roman"/>
          <w:szCs w:val="26"/>
        </w:rPr>
        <w:t xml:space="preserve">. </w:t>
      </w:r>
      <w:r>
        <w:rPr>
          <w:rFonts w:cs="Times New Roman"/>
          <w:szCs w:val="26"/>
        </w:rPr>
        <w:t xml:space="preserve"> </w:t>
      </w:r>
      <w:r w:rsidRPr="00360C79">
        <w:rPr>
          <w:rFonts w:cs="Times New Roman"/>
          <w:i/>
          <w:szCs w:val="26"/>
        </w:rPr>
        <w:t>Id</w:t>
      </w:r>
      <w:r>
        <w:rPr>
          <w:rFonts w:cs="Times New Roman"/>
          <w:szCs w:val="26"/>
        </w:rPr>
        <w:t>.</w:t>
      </w:r>
    </w:p>
    <w:p w:rsidR="004F0789" w:rsidRPr="00DB6928" w:rsidRDefault="004F0789" w:rsidP="004F0789">
      <w:pPr>
        <w:contextualSpacing/>
        <w:rPr>
          <w:rFonts w:cs="Times New Roman"/>
          <w:szCs w:val="26"/>
        </w:rPr>
      </w:pPr>
      <w:r w:rsidRPr="00DB6928">
        <w:rPr>
          <w:rFonts w:cs="Times New Roman"/>
          <w:szCs w:val="26"/>
        </w:rPr>
        <w:t xml:space="preserve"> </w:t>
      </w:r>
    </w:p>
    <w:p w:rsidR="004F0789" w:rsidRDefault="004F0789" w:rsidP="004F0789">
      <w:pPr>
        <w:contextualSpacing/>
        <w:rPr>
          <w:rFonts w:cs="Times New Roman"/>
          <w:szCs w:val="26"/>
        </w:rPr>
      </w:pPr>
      <w:r>
        <w:rPr>
          <w:rFonts w:cs="Times New Roman"/>
          <w:szCs w:val="26"/>
        </w:rPr>
        <w:t xml:space="preserve">Based on these arguments, the OCA recommends reducing </w:t>
      </w:r>
      <w:r w:rsidRPr="00DB6928">
        <w:rPr>
          <w:rFonts w:cs="Times New Roman"/>
          <w:szCs w:val="26"/>
        </w:rPr>
        <w:t>Columbia</w:t>
      </w:r>
      <w:r>
        <w:rPr>
          <w:rFonts w:cs="Times New Roman"/>
          <w:szCs w:val="26"/>
        </w:rPr>
        <w:t xml:space="preserve">’s rate base claim by </w:t>
      </w:r>
      <w:r w:rsidRPr="005B062B">
        <w:rPr>
          <w:rFonts w:cs="Times New Roman"/>
          <w:szCs w:val="26"/>
        </w:rPr>
        <w:t>$4,592</w:t>
      </w:r>
      <w:r>
        <w:rPr>
          <w:rFonts w:cs="Times New Roman"/>
          <w:szCs w:val="26"/>
        </w:rPr>
        <w:t xml:space="preserve"> based on Columbia’s thirteen-month average of M</w:t>
      </w:r>
      <w:r w:rsidR="00DA7E07">
        <w:rPr>
          <w:rFonts w:cs="Times New Roman"/>
          <w:szCs w:val="26"/>
        </w:rPr>
        <w:t xml:space="preserve">&amp;S </w:t>
      </w:r>
      <w:r>
        <w:rPr>
          <w:rFonts w:cs="Times New Roman"/>
          <w:szCs w:val="26"/>
        </w:rPr>
        <w:t xml:space="preserve">inventory of </w:t>
      </w:r>
      <w:r w:rsidRPr="005B062B">
        <w:rPr>
          <w:rFonts w:cs="Times New Roman"/>
          <w:szCs w:val="26"/>
        </w:rPr>
        <w:t>$57,722 ($62,314 – $57,722)</w:t>
      </w:r>
      <w:r w:rsidRPr="00DB6928">
        <w:rPr>
          <w:rFonts w:cs="Times New Roman"/>
          <w:szCs w:val="26"/>
        </w:rPr>
        <w:t xml:space="preserve">. </w:t>
      </w:r>
      <w:r>
        <w:rPr>
          <w:rFonts w:cs="Times New Roman"/>
          <w:szCs w:val="26"/>
        </w:rPr>
        <w:t xml:space="preserve"> OCA Exc. at 20-21.</w:t>
      </w:r>
      <w:r w:rsidRPr="00DB6928">
        <w:rPr>
          <w:rFonts w:cs="Times New Roman"/>
          <w:szCs w:val="26"/>
        </w:rPr>
        <w:t xml:space="preserve"> </w:t>
      </w:r>
    </w:p>
    <w:p w:rsidR="004F0789" w:rsidRDefault="004F0789" w:rsidP="004F0789">
      <w:pPr>
        <w:contextualSpacing/>
        <w:rPr>
          <w:rFonts w:cs="Times New Roman"/>
          <w:szCs w:val="26"/>
        </w:rPr>
      </w:pPr>
    </w:p>
    <w:p w:rsidR="004F0789" w:rsidRPr="00E278D4" w:rsidRDefault="004F0789" w:rsidP="00BA77A1">
      <w:pPr>
        <w:spacing w:line="240" w:lineRule="auto"/>
        <w:ind w:left="720"/>
        <w:rPr>
          <w:b/>
        </w:rPr>
      </w:pPr>
      <w:r w:rsidRPr="00E278D4">
        <w:rPr>
          <w:b/>
        </w:rPr>
        <w:t>d.</w:t>
      </w:r>
      <w:r w:rsidRPr="00E278D4">
        <w:rPr>
          <w:b/>
        </w:rPr>
        <w:tab/>
        <w:t>Reply Exceptions</w:t>
      </w:r>
    </w:p>
    <w:p w:rsidR="004F0789" w:rsidRPr="00FA3156" w:rsidRDefault="004F0789" w:rsidP="00E278D4">
      <w:pPr>
        <w:rPr>
          <w:rFonts w:cs="Times New Roman"/>
          <w:b/>
          <w:szCs w:val="26"/>
        </w:rPr>
      </w:pPr>
    </w:p>
    <w:p w:rsidR="004F0789" w:rsidRDefault="004F0789" w:rsidP="004F0789">
      <w:pPr>
        <w:contextualSpacing/>
        <w:rPr>
          <w:rFonts w:cs="Times New Roman"/>
          <w:spacing w:val="-1"/>
          <w:szCs w:val="26"/>
        </w:rPr>
      </w:pPr>
      <w:r>
        <w:rPr>
          <w:rFonts w:cs="Times New Roman"/>
          <w:spacing w:val="-2"/>
          <w:szCs w:val="26"/>
        </w:rPr>
        <w:t xml:space="preserve">In its Reply Exceptions, Columbia argues that, </w:t>
      </w:r>
      <w:r w:rsidRPr="00FA3156">
        <w:rPr>
          <w:rFonts w:cs="Times New Roman"/>
          <w:spacing w:val="-2"/>
          <w:szCs w:val="26"/>
        </w:rPr>
        <w:t>if a tes</w:t>
      </w:r>
      <w:r>
        <w:rPr>
          <w:rFonts w:cs="Times New Roman"/>
          <w:spacing w:val="-2"/>
          <w:szCs w:val="26"/>
        </w:rPr>
        <w:t>t year element is volatile,</w:t>
      </w:r>
      <w:r w:rsidRPr="00FA3156">
        <w:rPr>
          <w:rFonts w:cs="Times New Roman"/>
          <w:spacing w:val="-2"/>
          <w:szCs w:val="26"/>
        </w:rPr>
        <w:t xml:space="preserve"> a larger s</w:t>
      </w:r>
      <w:r>
        <w:rPr>
          <w:rFonts w:cs="Times New Roman"/>
          <w:spacing w:val="-2"/>
          <w:szCs w:val="26"/>
        </w:rPr>
        <w:t xml:space="preserve">ample is </w:t>
      </w:r>
      <w:r>
        <w:rPr>
          <w:rFonts w:cs="Times New Roman"/>
          <w:spacing w:val="-4"/>
          <w:szCs w:val="26"/>
        </w:rPr>
        <w:t>warranted, such as a three</w:t>
      </w:r>
      <w:r w:rsidRPr="00FA3156">
        <w:rPr>
          <w:rFonts w:cs="Times New Roman"/>
          <w:spacing w:val="-4"/>
          <w:szCs w:val="26"/>
        </w:rPr>
        <w:t>-year average</w:t>
      </w:r>
      <w:r>
        <w:rPr>
          <w:rFonts w:cs="Times New Roman"/>
          <w:spacing w:val="-4"/>
          <w:szCs w:val="26"/>
        </w:rPr>
        <w:t xml:space="preserve"> </w:t>
      </w:r>
      <w:r>
        <w:rPr>
          <w:rFonts w:cs="Times New Roman"/>
          <w:spacing w:val="-1"/>
          <w:szCs w:val="26"/>
        </w:rPr>
        <w:t>of M</w:t>
      </w:r>
      <w:r w:rsidR="00DD661D">
        <w:rPr>
          <w:rFonts w:cs="Times New Roman"/>
          <w:spacing w:val="-1"/>
          <w:szCs w:val="26"/>
        </w:rPr>
        <w:t>&amp;S</w:t>
      </w:r>
      <w:r>
        <w:rPr>
          <w:rFonts w:cs="Times New Roman"/>
          <w:spacing w:val="-1"/>
          <w:szCs w:val="26"/>
        </w:rPr>
        <w:t>.  Columbia also states that adoption of a thirteen-month average would require it</w:t>
      </w:r>
      <w:r w:rsidRPr="00FA3156">
        <w:rPr>
          <w:rFonts w:cs="Times New Roman"/>
          <w:spacing w:val="-1"/>
          <w:szCs w:val="26"/>
        </w:rPr>
        <w:t xml:space="preserve"> to close its books on a </w:t>
      </w:r>
      <w:r>
        <w:rPr>
          <w:rFonts w:cs="Times New Roman"/>
          <w:spacing w:val="-1"/>
          <w:szCs w:val="26"/>
        </w:rPr>
        <w:t xml:space="preserve">monthly basis, despite the fact that it </w:t>
      </w:r>
      <w:r w:rsidRPr="00FA3156">
        <w:rPr>
          <w:rFonts w:cs="Times New Roman"/>
          <w:spacing w:val="-1"/>
          <w:szCs w:val="26"/>
        </w:rPr>
        <w:t>closes its books annually, which is more ec</w:t>
      </w:r>
      <w:r>
        <w:rPr>
          <w:rFonts w:cs="Times New Roman"/>
          <w:spacing w:val="-1"/>
          <w:szCs w:val="26"/>
        </w:rPr>
        <w:t xml:space="preserve">onomical for smaller companies.  Columbia also submits that its annual numbers are </w:t>
      </w:r>
      <w:r w:rsidRPr="00FA3156">
        <w:rPr>
          <w:rFonts w:cs="Times New Roman"/>
          <w:spacing w:val="-1"/>
          <w:szCs w:val="26"/>
        </w:rPr>
        <w:t>audited numbers</w:t>
      </w:r>
      <w:r>
        <w:rPr>
          <w:rFonts w:cs="Times New Roman"/>
          <w:spacing w:val="-1"/>
          <w:szCs w:val="26"/>
        </w:rPr>
        <w:t>,</w:t>
      </w:r>
      <w:r w:rsidRPr="00FA3156">
        <w:rPr>
          <w:rFonts w:cs="Times New Roman"/>
          <w:spacing w:val="-1"/>
          <w:szCs w:val="26"/>
        </w:rPr>
        <w:t xml:space="preserve"> based on actual inventory, </w:t>
      </w:r>
      <w:r>
        <w:rPr>
          <w:rFonts w:cs="Times New Roman"/>
          <w:spacing w:val="-1"/>
          <w:szCs w:val="26"/>
        </w:rPr>
        <w:t xml:space="preserve">and are more accurate than </w:t>
      </w:r>
      <w:r w:rsidRPr="005815C8">
        <w:rPr>
          <w:rFonts w:cs="Times New Roman"/>
          <w:spacing w:val="-1"/>
          <w:szCs w:val="26"/>
        </w:rPr>
        <w:t xml:space="preserve">the monthly estimates </w:t>
      </w:r>
      <w:r>
        <w:rPr>
          <w:rFonts w:cs="Times New Roman"/>
          <w:spacing w:val="-1"/>
          <w:szCs w:val="26"/>
        </w:rPr>
        <w:t xml:space="preserve">that the OCA obtained from a discovery response.  </w:t>
      </w:r>
      <w:r w:rsidRPr="00FA3156">
        <w:rPr>
          <w:rFonts w:cs="Times New Roman"/>
          <w:spacing w:val="-1"/>
          <w:szCs w:val="26"/>
        </w:rPr>
        <w:t xml:space="preserve">Furthermore, </w:t>
      </w:r>
      <w:r>
        <w:rPr>
          <w:rFonts w:cs="Times New Roman"/>
          <w:spacing w:val="-1"/>
          <w:szCs w:val="26"/>
        </w:rPr>
        <w:t xml:space="preserve">Columbia states that </w:t>
      </w:r>
      <w:r w:rsidRPr="00FA3156">
        <w:rPr>
          <w:rFonts w:cs="Times New Roman"/>
          <w:spacing w:val="-1"/>
          <w:szCs w:val="26"/>
        </w:rPr>
        <w:t>it is not economical for small companies like Columbia to have such a sophisticated accounting s</w:t>
      </w:r>
      <w:r>
        <w:rPr>
          <w:rFonts w:cs="Times New Roman"/>
          <w:spacing w:val="-1"/>
          <w:szCs w:val="26"/>
        </w:rPr>
        <w:t xml:space="preserve">ystem </w:t>
      </w:r>
      <w:r w:rsidRPr="00FA3156">
        <w:rPr>
          <w:rFonts w:cs="Times New Roman"/>
          <w:spacing w:val="-1"/>
          <w:szCs w:val="26"/>
        </w:rPr>
        <w:t>that would allow the Company to produce accurate numbers o</w:t>
      </w:r>
      <w:r>
        <w:rPr>
          <w:rFonts w:cs="Times New Roman"/>
          <w:spacing w:val="-1"/>
          <w:szCs w:val="26"/>
        </w:rPr>
        <w:t>n a monthly basis.  CWC R.Exc. at 17-18.</w:t>
      </w:r>
    </w:p>
    <w:p w:rsidR="004F0789" w:rsidRPr="00FA3156" w:rsidRDefault="004F0789" w:rsidP="004F0789">
      <w:pPr>
        <w:contextualSpacing/>
        <w:rPr>
          <w:rFonts w:cs="Times New Roman"/>
          <w:spacing w:val="-4"/>
          <w:szCs w:val="26"/>
        </w:rPr>
      </w:pPr>
      <w:r w:rsidRPr="00FA3156">
        <w:rPr>
          <w:rFonts w:cs="Times New Roman"/>
          <w:spacing w:val="-1"/>
          <w:szCs w:val="26"/>
        </w:rPr>
        <w:t xml:space="preserve"> </w:t>
      </w:r>
    </w:p>
    <w:p w:rsidR="004F0789" w:rsidRPr="00FA3156" w:rsidRDefault="004F0789" w:rsidP="004F0789">
      <w:pPr>
        <w:tabs>
          <w:tab w:val="left" w:pos="0"/>
        </w:tabs>
        <w:contextualSpacing/>
        <w:rPr>
          <w:rFonts w:cs="Times New Roman"/>
          <w:b/>
          <w:szCs w:val="26"/>
        </w:rPr>
      </w:pPr>
      <w:r>
        <w:rPr>
          <w:rFonts w:cs="Times New Roman"/>
          <w:szCs w:val="26"/>
        </w:rPr>
        <w:t xml:space="preserve">In the event that </w:t>
      </w:r>
      <w:r w:rsidRPr="00FA3156">
        <w:rPr>
          <w:rFonts w:cs="Times New Roman"/>
          <w:szCs w:val="26"/>
        </w:rPr>
        <w:t>the OCA</w:t>
      </w:r>
      <w:r>
        <w:rPr>
          <w:rFonts w:cs="Times New Roman"/>
          <w:szCs w:val="26"/>
        </w:rPr>
        <w:t>’s thirteen</w:t>
      </w:r>
      <w:r w:rsidRPr="00FA3156">
        <w:rPr>
          <w:rFonts w:cs="Times New Roman"/>
          <w:szCs w:val="26"/>
        </w:rPr>
        <w:t xml:space="preserve">-month position is accepted, </w:t>
      </w:r>
      <w:r>
        <w:rPr>
          <w:rFonts w:cs="Times New Roman"/>
          <w:szCs w:val="26"/>
        </w:rPr>
        <w:t xml:space="preserve">Columbia submits that the most recent thirteen-months </w:t>
      </w:r>
      <w:r w:rsidRPr="00FA3156">
        <w:rPr>
          <w:rFonts w:cs="Times New Roman"/>
          <w:szCs w:val="26"/>
        </w:rPr>
        <w:t>should be u</w:t>
      </w:r>
      <w:r>
        <w:rPr>
          <w:rFonts w:cs="Times New Roman"/>
          <w:szCs w:val="26"/>
        </w:rPr>
        <w:t xml:space="preserve">sed, as opposed to the outdated thirteen months </w:t>
      </w:r>
      <w:r w:rsidRPr="00FA3156">
        <w:rPr>
          <w:rFonts w:cs="Times New Roman"/>
          <w:szCs w:val="26"/>
        </w:rPr>
        <w:t>used</w:t>
      </w:r>
      <w:r>
        <w:rPr>
          <w:rFonts w:cs="Times New Roman"/>
          <w:szCs w:val="26"/>
        </w:rPr>
        <w:t xml:space="preserve"> by the OCA.  If the most recent thirteen months were used, the M</w:t>
      </w:r>
      <w:r w:rsidR="00ED7C1C">
        <w:rPr>
          <w:rFonts w:cs="Times New Roman"/>
          <w:szCs w:val="26"/>
        </w:rPr>
        <w:t>&amp;S</w:t>
      </w:r>
      <w:r>
        <w:rPr>
          <w:rFonts w:cs="Times New Roman"/>
          <w:szCs w:val="26"/>
        </w:rPr>
        <w:t xml:space="preserve"> </w:t>
      </w:r>
      <w:r>
        <w:rPr>
          <w:rFonts w:cs="Times New Roman"/>
          <w:szCs w:val="26"/>
        </w:rPr>
        <w:lastRenderedPageBreak/>
        <w:t>inventory would be</w:t>
      </w:r>
      <w:r w:rsidRPr="00FA3156">
        <w:rPr>
          <w:rFonts w:cs="Times New Roman"/>
          <w:szCs w:val="26"/>
        </w:rPr>
        <w:t xml:space="preserve"> $64,888, which</w:t>
      </w:r>
      <w:r>
        <w:rPr>
          <w:rFonts w:cs="Times New Roman"/>
          <w:szCs w:val="26"/>
        </w:rPr>
        <w:t xml:space="preserve"> is $2,574 </w:t>
      </w:r>
      <w:r w:rsidRPr="00DE24BE">
        <w:rPr>
          <w:rFonts w:cs="Times New Roman"/>
          <w:i/>
          <w:szCs w:val="26"/>
        </w:rPr>
        <w:t>above</w:t>
      </w:r>
      <w:r>
        <w:rPr>
          <w:rFonts w:cs="Times New Roman"/>
          <w:szCs w:val="26"/>
        </w:rPr>
        <w:t xml:space="preserve"> the Company’s three-year average.  CWC R.Exc. at 18.</w:t>
      </w:r>
    </w:p>
    <w:p w:rsidR="004F0789" w:rsidRPr="00FA3156" w:rsidRDefault="004F0789" w:rsidP="004F0789">
      <w:pPr>
        <w:contextualSpacing/>
        <w:rPr>
          <w:rFonts w:cs="Times New Roman"/>
          <w:szCs w:val="26"/>
        </w:rPr>
      </w:pPr>
    </w:p>
    <w:p w:rsidR="004F0789" w:rsidRPr="00E278D4" w:rsidRDefault="002D01A5" w:rsidP="000F160B">
      <w:pPr>
        <w:spacing w:line="240" w:lineRule="auto"/>
        <w:ind w:left="720"/>
        <w:rPr>
          <w:b/>
        </w:rPr>
      </w:pPr>
      <w:r w:rsidRPr="00E278D4">
        <w:rPr>
          <w:b/>
        </w:rPr>
        <w:t>e</w:t>
      </w:r>
      <w:r w:rsidR="004F0789" w:rsidRPr="00E278D4">
        <w:rPr>
          <w:b/>
        </w:rPr>
        <w:t>.</w:t>
      </w:r>
      <w:r w:rsidR="004F0789" w:rsidRPr="00E278D4">
        <w:rPr>
          <w:b/>
        </w:rPr>
        <w:tab/>
        <w:t>Disposition</w:t>
      </w:r>
    </w:p>
    <w:p w:rsidR="004F0789" w:rsidRDefault="004F0789" w:rsidP="00E278D4">
      <w:pPr>
        <w:rPr>
          <w:rFonts w:cs="Times New Roman"/>
          <w:b/>
          <w:szCs w:val="26"/>
        </w:rPr>
      </w:pPr>
    </w:p>
    <w:p w:rsidR="004F0789" w:rsidRPr="00FD4E0B" w:rsidRDefault="004F0789" w:rsidP="004F0789">
      <w:pPr>
        <w:contextualSpacing/>
        <w:rPr>
          <w:rFonts w:cs="Times New Roman"/>
          <w:szCs w:val="26"/>
        </w:rPr>
      </w:pPr>
      <w:r>
        <w:rPr>
          <w:rFonts w:cs="Times New Roman"/>
          <w:szCs w:val="26"/>
        </w:rPr>
        <w:t>We shall adopt the ALJ’s recommendation on this issue, and reject the OCA’s proposed adjustment to M</w:t>
      </w:r>
      <w:r w:rsidR="0026163F">
        <w:rPr>
          <w:rFonts w:cs="Times New Roman"/>
          <w:szCs w:val="26"/>
        </w:rPr>
        <w:t>&amp;S</w:t>
      </w:r>
      <w:r>
        <w:rPr>
          <w:rFonts w:cs="Times New Roman"/>
          <w:szCs w:val="26"/>
        </w:rPr>
        <w:t xml:space="preserve"> inventory.  We find that the Company’s use of a three-year average of the Company’s inventory is preferable to the OCA’s proposed thirteen-month average for the reasons advanced by Columbia.  Although it may be possible for the Company to produce inventory levels in a monthly basis, we accept the Company’s explanation that its monthly numbers are not audited and are less accurate than the year-end numbers produced by its current accounting system.  We are not persuaded by the OCA’s arguments, which would require Columbia to incur the costs of adopting a more sophisticated and expensive accounting system for little discernable benefit.</w:t>
      </w:r>
    </w:p>
    <w:p w:rsidR="004F0789" w:rsidRDefault="004F0789" w:rsidP="004F0789">
      <w:pPr>
        <w:contextualSpacing/>
        <w:rPr>
          <w:rFonts w:cs="Times New Roman"/>
          <w:b/>
          <w:szCs w:val="26"/>
        </w:rPr>
      </w:pPr>
    </w:p>
    <w:p w:rsidR="004F0789" w:rsidRDefault="004F0789" w:rsidP="0094026D">
      <w:pPr>
        <w:pStyle w:val="Heading2"/>
        <w:numPr>
          <w:ilvl w:val="0"/>
          <w:numId w:val="0"/>
        </w:numPr>
        <w:ind w:left="1440" w:hanging="720"/>
      </w:pPr>
      <w:bookmarkStart w:id="10" w:name="_Toc378080155"/>
      <w:r>
        <w:t>C.</w:t>
      </w:r>
      <w:r>
        <w:tab/>
        <w:t>Capital Structure</w:t>
      </w:r>
      <w:bookmarkEnd w:id="10"/>
    </w:p>
    <w:p w:rsidR="004F0789" w:rsidRDefault="004F0789" w:rsidP="004F0789">
      <w:pPr>
        <w:keepNext/>
        <w:keepLines/>
        <w:contextualSpacing/>
        <w:rPr>
          <w:rFonts w:cs="Times New Roman"/>
          <w:b/>
          <w:szCs w:val="26"/>
        </w:rPr>
      </w:pPr>
    </w:p>
    <w:p w:rsidR="004F0789" w:rsidRDefault="004F0789" w:rsidP="00E278D4">
      <w:pPr>
        <w:keepNext/>
        <w:keepLines/>
        <w:spacing w:line="240" w:lineRule="auto"/>
        <w:contextualSpacing/>
        <w:rPr>
          <w:rFonts w:cs="Times New Roman"/>
          <w:b/>
          <w:szCs w:val="26"/>
        </w:rPr>
      </w:pPr>
      <w:r>
        <w:rPr>
          <w:rFonts w:cs="Times New Roman"/>
          <w:b/>
          <w:szCs w:val="26"/>
        </w:rPr>
        <w:t>1</w:t>
      </w:r>
      <w:r w:rsidRPr="00B822F7">
        <w:rPr>
          <w:rFonts w:cs="Times New Roman"/>
          <w:b/>
          <w:szCs w:val="26"/>
        </w:rPr>
        <w:t>.</w:t>
      </w:r>
      <w:r w:rsidRPr="00B822F7">
        <w:rPr>
          <w:rFonts w:cs="Times New Roman"/>
          <w:b/>
          <w:szCs w:val="26"/>
        </w:rPr>
        <w:tab/>
        <w:t>Positions of the Parties</w:t>
      </w:r>
    </w:p>
    <w:p w:rsidR="004F0789" w:rsidRPr="00B822F7" w:rsidRDefault="004F0789" w:rsidP="004F0789">
      <w:pPr>
        <w:keepNext/>
        <w:keepLines/>
        <w:contextualSpacing/>
        <w:rPr>
          <w:rFonts w:cs="Times New Roman"/>
          <w:b/>
          <w:szCs w:val="26"/>
        </w:rPr>
      </w:pPr>
    </w:p>
    <w:p w:rsidR="004F0789" w:rsidRDefault="004F0789" w:rsidP="004F0789">
      <w:pPr>
        <w:contextualSpacing/>
        <w:rPr>
          <w:rFonts w:cs="Times New Roman"/>
          <w:szCs w:val="26"/>
        </w:rPr>
      </w:pPr>
      <w:r>
        <w:rPr>
          <w:rFonts w:cs="Times New Roman"/>
          <w:szCs w:val="26"/>
        </w:rPr>
        <w:t xml:space="preserve">Columbia proposed a </w:t>
      </w:r>
      <w:r w:rsidRPr="0060001C">
        <w:rPr>
          <w:rFonts w:cs="Times New Roman"/>
          <w:i/>
          <w:szCs w:val="26"/>
        </w:rPr>
        <w:t>pro forma</w:t>
      </w:r>
      <w:r w:rsidRPr="007F70DF">
        <w:rPr>
          <w:rFonts w:cs="Times New Roman"/>
          <w:szCs w:val="26"/>
        </w:rPr>
        <w:t xml:space="preserve"> capital structure consisting of </w:t>
      </w:r>
      <w:r w:rsidRPr="005B062B">
        <w:rPr>
          <w:rFonts w:cs="Times New Roman"/>
          <w:szCs w:val="26"/>
        </w:rPr>
        <w:t>35.6%</w:t>
      </w:r>
      <w:r w:rsidRPr="007F70DF">
        <w:rPr>
          <w:rFonts w:cs="Times New Roman"/>
          <w:szCs w:val="26"/>
        </w:rPr>
        <w:t xml:space="preserve"> long-term debt and </w:t>
      </w:r>
      <w:r w:rsidRPr="005B062B">
        <w:rPr>
          <w:rFonts w:cs="Times New Roman"/>
          <w:szCs w:val="26"/>
        </w:rPr>
        <w:t>64.4%</w:t>
      </w:r>
      <w:r w:rsidRPr="007F70DF">
        <w:rPr>
          <w:rFonts w:cs="Times New Roman"/>
          <w:szCs w:val="26"/>
        </w:rPr>
        <w:t xml:space="preserve"> common equity</w:t>
      </w:r>
      <w:r w:rsidR="00EA3E9A">
        <w:rPr>
          <w:rFonts w:cs="Times New Roman"/>
          <w:szCs w:val="26"/>
        </w:rPr>
        <w:t xml:space="preserve"> is based on its projected actual capital structure as of December 31, 2013. </w:t>
      </w:r>
      <w:r>
        <w:rPr>
          <w:rFonts w:cs="Times New Roman"/>
          <w:szCs w:val="26"/>
        </w:rPr>
        <w:t xml:space="preserve"> The Company argued that circumstances have not changed substantially since the Commission approved a capital structure of 35.8% long-term debt and 64.2% in the Company’s last rate case.  CWC M.B. at 45, referencing the Company’s </w:t>
      </w:r>
      <w:r w:rsidRPr="0060001C">
        <w:rPr>
          <w:rFonts w:cs="Times New Roman"/>
          <w:i/>
          <w:szCs w:val="26"/>
        </w:rPr>
        <w:t>2009 Rate Case Order</w:t>
      </w:r>
      <w:r>
        <w:rPr>
          <w:rFonts w:cs="Times New Roman"/>
          <w:szCs w:val="26"/>
        </w:rPr>
        <w:t xml:space="preserve"> at 71.  </w:t>
      </w:r>
    </w:p>
    <w:p w:rsidR="004F0789" w:rsidRDefault="004F0789" w:rsidP="004F0789">
      <w:pPr>
        <w:contextualSpacing/>
        <w:rPr>
          <w:rFonts w:cs="Times New Roman"/>
          <w:szCs w:val="26"/>
        </w:rPr>
      </w:pPr>
    </w:p>
    <w:p w:rsidR="004F0789" w:rsidRDefault="004F0789" w:rsidP="004F0789">
      <w:pPr>
        <w:contextualSpacing/>
        <w:rPr>
          <w:rFonts w:cs="Times New Roman"/>
          <w:szCs w:val="26"/>
        </w:rPr>
      </w:pPr>
      <w:r>
        <w:rPr>
          <w:rFonts w:cs="Times New Roman"/>
          <w:szCs w:val="26"/>
        </w:rPr>
        <w:t xml:space="preserve">I&amp;E recommended a capital structure of </w:t>
      </w:r>
      <w:r w:rsidRPr="005B062B">
        <w:rPr>
          <w:rFonts w:cs="Times New Roman"/>
          <w:szCs w:val="26"/>
        </w:rPr>
        <w:t>50%</w:t>
      </w:r>
      <w:r>
        <w:rPr>
          <w:rFonts w:cs="Times New Roman"/>
          <w:szCs w:val="26"/>
        </w:rPr>
        <w:t xml:space="preserve"> debt and </w:t>
      </w:r>
      <w:r w:rsidRPr="005B062B">
        <w:rPr>
          <w:rFonts w:cs="Times New Roman"/>
          <w:szCs w:val="26"/>
        </w:rPr>
        <w:t>50%</w:t>
      </w:r>
      <w:r>
        <w:rPr>
          <w:rFonts w:cs="Times New Roman"/>
          <w:szCs w:val="26"/>
        </w:rPr>
        <w:t xml:space="preserve"> equity.  I&amp;E argued that Columbia’s actual capital structure has a disproportionately high percentage of equity, which results in an inflated overall rate of return.  I&amp;E argued that Columbia’s capital structure should be rejected because it is not in line with the industry average.  The </w:t>
      </w:r>
      <w:r>
        <w:rPr>
          <w:rFonts w:cs="Times New Roman"/>
          <w:szCs w:val="26"/>
        </w:rPr>
        <w:lastRenderedPageBreak/>
        <w:t xml:space="preserve">five year average capital structure for the water proxy group selected by I&amp;E Witness Maurer was 50.99% long-term debt, 0.25% preferred stock and 48.77% common equity, which approximates the capital structure recommended by I&amp;E.  In addition, I&amp;E argued that the Company’s capital structure as of December 31, 2103, is weighted more heavily toward equity than at any time in the last five years.  According to I&amp;E, Columbia’s five-year average capital structure from 2008-2012 was </w:t>
      </w:r>
      <w:r w:rsidRPr="005B062B">
        <w:rPr>
          <w:rFonts w:cs="Times New Roman"/>
          <w:szCs w:val="26"/>
        </w:rPr>
        <w:t>42.45%</w:t>
      </w:r>
      <w:r>
        <w:rPr>
          <w:rFonts w:cs="Times New Roman"/>
          <w:szCs w:val="26"/>
        </w:rPr>
        <w:t xml:space="preserve"> long term debt and </w:t>
      </w:r>
      <w:r w:rsidRPr="005B062B">
        <w:rPr>
          <w:rFonts w:cs="Times New Roman"/>
          <w:szCs w:val="26"/>
        </w:rPr>
        <w:t>57.55%</w:t>
      </w:r>
      <w:r>
        <w:rPr>
          <w:rFonts w:cs="Times New Roman"/>
          <w:szCs w:val="26"/>
        </w:rPr>
        <w:t xml:space="preserve"> equity.  I&amp;E M.B. at 41-43; I&amp;E St. 1 at 13-15</w:t>
      </w:r>
      <w:r w:rsidRPr="007F70DF">
        <w:rPr>
          <w:rFonts w:cs="Times New Roman"/>
          <w:szCs w:val="26"/>
        </w:rPr>
        <w:t xml:space="preserve">.  </w:t>
      </w:r>
    </w:p>
    <w:p w:rsidR="004F0789" w:rsidRDefault="004F0789" w:rsidP="004F0789">
      <w:pPr>
        <w:contextualSpacing/>
        <w:rPr>
          <w:rFonts w:cs="Times New Roman"/>
          <w:szCs w:val="26"/>
        </w:rPr>
      </w:pPr>
    </w:p>
    <w:p w:rsidR="004F0789" w:rsidRDefault="004F0789" w:rsidP="004F0789">
      <w:pPr>
        <w:contextualSpacing/>
        <w:rPr>
          <w:rFonts w:cs="Times New Roman"/>
          <w:szCs w:val="26"/>
        </w:rPr>
      </w:pPr>
      <w:r>
        <w:rPr>
          <w:rFonts w:cs="Times New Roman"/>
          <w:szCs w:val="26"/>
        </w:rPr>
        <w:t xml:space="preserve">The OCA recommended an </w:t>
      </w:r>
      <w:r w:rsidRPr="007F70DF">
        <w:rPr>
          <w:rFonts w:cs="Times New Roman"/>
          <w:szCs w:val="26"/>
        </w:rPr>
        <w:t xml:space="preserve">actual capital structure of </w:t>
      </w:r>
      <w:r w:rsidRPr="005B062B">
        <w:rPr>
          <w:rFonts w:cs="Times New Roman"/>
          <w:szCs w:val="26"/>
        </w:rPr>
        <w:t>44.15%</w:t>
      </w:r>
      <w:r w:rsidRPr="007F70DF">
        <w:rPr>
          <w:rFonts w:cs="Times New Roman"/>
          <w:szCs w:val="26"/>
        </w:rPr>
        <w:t xml:space="preserve"> long-term debt </w:t>
      </w:r>
      <w:r>
        <w:rPr>
          <w:rFonts w:cs="Times New Roman"/>
          <w:szCs w:val="26"/>
        </w:rPr>
        <w:t xml:space="preserve">and </w:t>
      </w:r>
      <w:r w:rsidRPr="005B062B">
        <w:rPr>
          <w:rFonts w:cs="Times New Roman"/>
          <w:szCs w:val="26"/>
        </w:rPr>
        <w:t>55.85%</w:t>
      </w:r>
      <w:r>
        <w:rPr>
          <w:rFonts w:cs="Times New Roman"/>
          <w:szCs w:val="26"/>
        </w:rPr>
        <w:t xml:space="preserve"> common equity.  The OCA argued that the Company calculated its actual capital structure incorrectly by using an incorrect Total Measure of Value of </w:t>
      </w:r>
      <w:r w:rsidRPr="005B062B">
        <w:rPr>
          <w:rFonts w:cs="Times New Roman"/>
          <w:szCs w:val="26"/>
        </w:rPr>
        <w:t>$11,738,152</w:t>
      </w:r>
      <w:r>
        <w:rPr>
          <w:rFonts w:cs="Times New Roman"/>
          <w:szCs w:val="26"/>
        </w:rPr>
        <w:t xml:space="preserve">, which is substantially less than the Total Measure of Value of </w:t>
      </w:r>
      <w:r w:rsidRPr="005B062B">
        <w:rPr>
          <w:rFonts w:cs="Times New Roman"/>
          <w:szCs w:val="26"/>
        </w:rPr>
        <w:t>$13,527,774</w:t>
      </w:r>
      <w:r>
        <w:rPr>
          <w:rFonts w:cs="Times New Roman"/>
          <w:szCs w:val="26"/>
        </w:rPr>
        <w:t xml:space="preserve"> used to set rates.  The OCA pointed to a $2.2 million Wells Loan received by the Company on October 4, 2012, at an interest rate of 4.5%, and stated that it was “appropriate to allocate this [4.5%] cost rate to this unexplained gap between the Company’s claimed capitalization and the Total Measure of Value to set rates.  OCA M.B. at 70.  The OCA submitted that, with this correction, the Company’s actual capital structure was 44.15% long-term debt and 55.85% common equity.  In the alternative, the OCA recommended a capital structure based on a comparative water group of 51.76% long-term debt and 48.24% common equity.  </w:t>
      </w:r>
      <w:r w:rsidRPr="002248CB">
        <w:rPr>
          <w:rFonts w:cs="Times New Roman"/>
          <w:i/>
          <w:szCs w:val="26"/>
        </w:rPr>
        <w:t>Id</w:t>
      </w:r>
      <w:r>
        <w:rPr>
          <w:rFonts w:cs="Times New Roman"/>
          <w:szCs w:val="26"/>
        </w:rPr>
        <w:t>. at 70</w:t>
      </w:r>
      <w:r>
        <w:rPr>
          <w:rFonts w:cs="Times New Roman"/>
          <w:szCs w:val="26"/>
        </w:rPr>
        <w:noBreakHyphen/>
        <w:t>71.</w:t>
      </w:r>
    </w:p>
    <w:p w:rsidR="004F0789" w:rsidRPr="00ED5EE7" w:rsidRDefault="004F0789" w:rsidP="004F0789">
      <w:pPr>
        <w:contextualSpacing/>
        <w:rPr>
          <w:rFonts w:cs="Times New Roman"/>
          <w:b/>
          <w:szCs w:val="26"/>
        </w:rPr>
      </w:pPr>
    </w:p>
    <w:p w:rsidR="004F0789" w:rsidRPr="00ED5EE7" w:rsidRDefault="00ED5EE7" w:rsidP="00BA77A1">
      <w:pPr>
        <w:spacing w:line="240" w:lineRule="auto"/>
        <w:rPr>
          <w:b/>
        </w:rPr>
      </w:pPr>
      <w:r w:rsidRPr="00ED5EE7">
        <w:rPr>
          <w:b/>
        </w:rPr>
        <w:t xml:space="preserve">2. </w:t>
      </w:r>
      <w:r>
        <w:rPr>
          <w:b/>
        </w:rPr>
        <w:tab/>
      </w:r>
      <w:r w:rsidRPr="00ED5EE7">
        <w:rPr>
          <w:b/>
        </w:rPr>
        <w:t>ALJ’s Recommendation</w:t>
      </w:r>
    </w:p>
    <w:p w:rsidR="004F0789" w:rsidRPr="00B822F7" w:rsidRDefault="004F0789" w:rsidP="004F0789">
      <w:pPr>
        <w:contextualSpacing/>
        <w:rPr>
          <w:rFonts w:cs="Times New Roman"/>
          <w:b/>
          <w:szCs w:val="26"/>
        </w:rPr>
      </w:pPr>
    </w:p>
    <w:p w:rsidR="004F0789" w:rsidRPr="007F70DF" w:rsidRDefault="004F0789" w:rsidP="004F0789">
      <w:pPr>
        <w:contextualSpacing/>
        <w:rPr>
          <w:rFonts w:cs="Times New Roman"/>
          <w:szCs w:val="26"/>
        </w:rPr>
      </w:pPr>
      <w:r>
        <w:rPr>
          <w:rFonts w:cs="Times New Roman"/>
          <w:szCs w:val="26"/>
        </w:rPr>
        <w:t xml:space="preserve">The ALJ concluded that </w:t>
      </w:r>
      <w:r w:rsidRPr="007F70DF">
        <w:rPr>
          <w:rFonts w:cs="Times New Roman"/>
          <w:szCs w:val="26"/>
        </w:rPr>
        <w:t>I&amp;E</w:t>
      </w:r>
      <w:r>
        <w:rPr>
          <w:rFonts w:cs="Times New Roman"/>
          <w:szCs w:val="26"/>
        </w:rPr>
        <w:t>’</w:t>
      </w:r>
      <w:r w:rsidRPr="007F70DF">
        <w:rPr>
          <w:rFonts w:cs="Times New Roman"/>
          <w:szCs w:val="26"/>
        </w:rPr>
        <w:t>s recommended capital struc</w:t>
      </w:r>
      <w:r>
        <w:rPr>
          <w:rFonts w:cs="Times New Roman"/>
          <w:szCs w:val="26"/>
        </w:rPr>
        <w:t>ture of 50% debt and 50% equity</w:t>
      </w:r>
      <w:r w:rsidRPr="007F70DF">
        <w:rPr>
          <w:rFonts w:cs="Times New Roman"/>
          <w:szCs w:val="26"/>
        </w:rPr>
        <w:t xml:space="preserve"> is one that is fundamentally fair and better representative of Columbia.  T</w:t>
      </w:r>
      <w:r>
        <w:rPr>
          <w:rFonts w:cs="Times New Roman"/>
          <w:szCs w:val="26"/>
        </w:rPr>
        <w:t>he ALJ recommended that I&amp;E’s capital structure be adopted.  R.D. at 46.</w:t>
      </w:r>
    </w:p>
    <w:p w:rsidR="004F0789" w:rsidRPr="00B822F7" w:rsidRDefault="004F0789" w:rsidP="004F0789">
      <w:pPr>
        <w:contextualSpacing/>
        <w:rPr>
          <w:rFonts w:cs="Times New Roman"/>
          <w:b/>
          <w:szCs w:val="26"/>
        </w:rPr>
      </w:pPr>
    </w:p>
    <w:p w:rsidR="004F0789" w:rsidRPr="00CD1ACF" w:rsidRDefault="004F0789" w:rsidP="00EE5D88">
      <w:pPr>
        <w:keepNext/>
        <w:spacing w:line="240" w:lineRule="auto"/>
        <w:contextualSpacing/>
        <w:rPr>
          <w:rFonts w:cs="Times New Roman"/>
          <w:b/>
          <w:szCs w:val="26"/>
        </w:rPr>
      </w:pPr>
      <w:r>
        <w:rPr>
          <w:rFonts w:cs="Times New Roman"/>
          <w:b/>
          <w:szCs w:val="26"/>
        </w:rPr>
        <w:lastRenderedPageBreak/>
        <w:t>3</w:t>
      </w:r>
      <w:r w:rsidRPr="00CD1ACF">
        <w:rPr>
          <w:rFonts w:cs="Times New Roman"/>
          <w:b/>
          <w:szCs w:val="26"/>
        </w:rPr>
        <w:t>.</w:t>
      </w:r>
      <w:r>
        <w:rPr>
          <w:rFonts w:cs="Times New Roman"/>
          <w:b/>
          <w:szCs w:val="26"/>
        </w:rPr>
        <w:tab/>
        <w:t>Exceptions</w:t>
      </w:r>
    </w:p>
    <w:p w:rsidR="004F0789" w:rsidRPr="00CD1ACF" w:rsidRDefault="004F0789" w:rsidP="00343CB6">
      <w:pPr>
        <w:keepNext/>
        <w:contextualSpacing/>
        <w:rPr>
          <w:rFonts w:cs="Times New Roman"/>
          <w:b/>
          <w:szCs w:val="26"/>
        </w:rPr>
      </w:pPr>
    </w:p>
    <w:p w:rsidR="004F0789" w:rsidRDefault="004F0789" w:rsidP="00343CB6">
      <w:pPr>
        <w:pStyle w:val="BodyTextIndent"/>
        <w:keepNext/>
        <w:tabs>
          <w:tab w:val="left" w:pos="720"/>
        </w:tabs>
        <w:spacing w:after="0"/>
        <w:ind w:left="0"/>
        <w:rPr>
          <w:rFonts w:cs="Times New Roman"/>
          <w:szCs w:val="26"/>
        </w:rPr>
      </w:pPr>
      <w:r w:rsidRPr="00CD1ACF">
        <w:rPr>
          <w:rFonts w:cs="Times New Roman"/>
          <w:szCs w:val="26"/>
        </w:rPr>
        <w:t>In its first Exception, Columbia argues that the ALJ erred in adopting I&amp;E</w:t>
      </w:r>
      <w:r>
        <w:rPr>
          <w:rFonts w:cs="Times New Roman"/>
          <w:szCs w:val="26"/>
        </w:rPr>
        <w:t>’</w:t>
      </w:r>
      <w:r w:rsidRPr="00CD1ACF">
        <w:rPr>
          <w:rFonts w:cs="Times New Roman"/>
          <w:szCs w:val="26"/>
        </w:rPr>
        <w:t xml:space="preserve">s </w:t>
      </w:r>
      <w:r w:rsidR="00E720EE">
        <w:rPr>
          <w:rFonts w:cs="Times New Roman"/>
          <w:szCs w:val="26"/>
        </w:rPr>
        <w:t>“</w:t>
      </w:r>
      <w:r w:rsidRPr="00CD1ACF">
        <w:rPr>
          <w:rFonts w:cs="Times New Roman"/>
          <w:szCs w:val="26"/>
        </w:rPr>
        <w:t>punitive</w:t>
      </w:r>
      <w:r w:rsidR="00E720EE">
        <w:rPr>
          <w:rFonts w:cs="Times New Roman"/>
          <w:szCs w:val="26"/>
        </w:rPr>
        <w:t>”</w:t>
      </w:r>
      <w:r w:rsidRPr="00CD1ACF">
        <w:rPr>
          <w:rFonts w:cs="Times New Roman"/>
          <w:szCs w:val="26"/>
        </w:rPr>
        <w:t xml:space="preserve"> hypothetical capital structure of 50% long-term </w:t>
      </w:r>
      <w:r>
        <w:rPr>
          <w:rFonts w:cs="Times New Roman"/>
          <w:szCs w:val="26"/>
        </w:rPr>
        <w:t>debt and 50% common equity (50/50 capital structure).  Columbia asserts that the hypothetical 50/50 capital structure is contrary to good public policy because it arbitrarily and significantly lowers its equity ratio and raises its ratio debt.  According to Columbia, this forces the Company to accept an unnecessary risk that could diminish its superior performance record.  The Company argues that “[i]nstead, the Commission should reward small companies like Columbia for their efforts to provide reasonable and safe service while minimizing financial risk to the extent possible.</w:t>
      </w:r>
      <w:r w:rsidR="003C1ED4">
        <w:rPr>
          <w:rFonts w:cs="Times New Roman"/>
          <w:szCs w:val="26"/>
        </w:rPr>
        <w:t>”</w:t>
      </w:r>
      <w:r>
        <w:rPr>
          <w:rFonts w:cs="Times New Roman"/>
          <w:szCs w:val="26"/>
        </w:rPr>
        <w:t xml:space="preserve">  CWC Exc. at 6-7.  </w:t>
      </w:r>
    </w:p>
    <w:p w:rsidR="004F0789" w:rsidRPr="00CD1ACF" w:rsidRDefault="004F0789" w:rsidP="004F0789">
      <w:pPr>
        <w:pStyle w:val="BodyTextIndent"/>
        <w:tabs>
          <w:tab w:val="left" w:pos="720"/>
        </w:tabs>
        <w:spacing w:after="0"/>
        <w:ind w:left="0"/>
        <w:rPr>
          <w:rFonts w:cs="Times New Roman"/>
          <w:szCs w:val="26"/>
        </w:rPr>
      </w:pPr>
    </w:p>
    <w:p w:rsidR="004F0789" w:rsidRDefault="004F0789" w:rsidP="004F0789">
      <w:pPr>
        <w:pStyle w:val="BodyTextIndent"/>
        <w:tabs>
          <w:tab w:val="left" w:pos="720"/>
        </w:tabs>
        <w:spacing w:after="0"/>
        <w:ind w:left="0"/>
        <w:rPr>
          <w:rFonts w:cs="Times New Roman"/>
          <w:szCs w:val="26"/>
        </w:rPr>
      </w:pPr>
      <w:r>
        <w:rPr>
          <w:rFonts w:cs="Times New Roman"/>
          <w:szCs w:val="26"/>
        </w:rPr>
        <w:t>According to Columbia, t</w:t>
      </w:r>
      <w:r w:rsidRPr="00CD1ACF">
        <w:rPr>
          <w:rFonts w:cs="Times New Roman"/>
          <w:szCs w:val="26"/>
        </w:rPr>
        <w:t>he cir</w:t>
      </w:r>
      <w:r>
        <w:rPr>
          <w:rFonts w:cs="Times New Roman"/>
          <w:szCs w:val="26"/>
        </w:rPr>
        <w:t>cumstances in this proceeding</w:t>
      </w:r>
      <w:r w:rsidRPr="00CD1ACF">
        <w:rPr>
          <w:rFonts w:cs="Times New Roman"/>
          <w:szCs w:val="26"/>
        </w:rPr>
        <w:t xml:space="preserve"> are virtually identical to Columbia</w:t>
      </w:r>
      <w:r>
        <w:rPr>
          <w:rFonts w:cs="Times New Roman"/>
          <w:szCs w:val="26"/>
        </w:rPr>
        <w:t>’s most recent rate case, where the</w:t>
      </w:r>
      <w:r w:rsidRPr="00CD1ACF">
        <w:rPr>
          <w:rFonts w:cs="Times New Roman"/>
          <w:szCs w:val="26"/>
        </w:rPr>
        <w:t xml:space="preserve"> Commission approved the use of the Company</w:t>
      </w:r>
      <w:r>
        <w:rPr>
          <w:rFonts w:cs="Times New Roman"/>
          <w:szCs w:val="26"/>
        </w:rPr>
        <w:t>’</w:t>
      </w:r>
      <w:r w:rsidRPr="00CD1ACF">
        <w:rPr>
          <w:rFonts w:cs="Times New Roman"/>
          <w:szCs w:val="26"/>
        </w:rPr>
        <w:t xml:space="preserve">s </w:t>
      </w:r>
      <w:r w:rsidRPr="0035471F">
        <w:rPr>
          <w:rFonts w:cs="Times New Roman"/>
          <w:i/>
          <w:szCs w:val="26"/>
        </w:rPr>
        <w:t>pro forma</w:t>
      </w:r>
      <w:r w:rsidRPr="00CD1ACF">
        <w:rPr>
          <w:rFonts w:cs="Times New Roman"/>
          <w:szCs w:val="26"/>
        </w:rPr>
        <w:t xml:space="preserve"> capital structure at December 31, 2008</w:t>
      </w:r>
      <w:r>
        <w:rPr>
          <w:rFonts w:cs="Times New Roman"/>
          <w:szCs w:val="26"/>
        </w:rPr>
        <w:t>,</w:t>
      </w:r>
      <w:r w:rsidRPr="00CD1ACF">
        <w:rPr>
          <w:rFonts w:cs="Times New Roman"/>
          <w:szCs w:val="26"/>
        </w:rPr>
        <w:t xml:space="preserve"> of 35.80% long-term debt and 64.20% common equity for ratemaking purposes.</w:t>
      </w:r>
      <w:r w:rsidRPr="00CD1ACF">
        <w:rPr>
          <w:rStyle w:val="FootnoteReference"/>
          <w:rFonts w:cs="Times New Roman"/>
          <w:szCs w:val="26"/>
        </w:rPr>
        <w:footnoteReference w:id="14"/>
      </w:r>
      <w:r>
        <w:rPr>
          <w:rFonts w:cs="Times New Roman"/>
          <w:szCs w:val="26"/>
        </w:rPr>
        <w:t xml:space="preserve">  Columbia states that </w:t>
      </w:r>
      <w:r w:rsidRPr="00CD1ACF">
        <w:rPr>
          <w:rFonts w:cs="Times New Roman"/>
          <w:szCs w:val="26"/>
        </w:rPr>
        <w:t>the Commission, in approving Columbia</w:t>
      </w:r>
      <w:r>
        <w:rPr>
          <w:rFonts w:cs="Times New Roman"/>
          <w:szCs w:val="26"/>
        </w:rPr>
        <w:t>’</w:t>
      </w:r>
      <w:r w:rsidRPr="00CD1ACF">
        <w:rPr>
          <w:rFonts w:cs="Times New Roman"/>
          <w:szCs w:val="26"/>
        </w:rPr>
        <w:t>s actual capital structure</w:t>
      </w:r>
      <w:r>
        <w:rPr>
          <w:rFonts w:cs="Times New Roman"/>
          <w:szCs w:val="26"/>
        </w:rPr>
        <w:t>,</w:t>
      </w:r>
      <w:r w:rsidRPr="00CD1ACF">
        <w:rPr>
          <w:rFonts w:cs="Times New Roman"/>
          <w:szCs w:val="26"/>
        </w:rPr>
        <w:t xml:space="preserve"> held:</w:t>
      </w:r>
    </w:p>
    <w:p w:rsidR="004F0789" w:rsidRPr="00CD1ACF" w:rsidRDefault="004F0789" w:rsidP="004F0789">
      <w:pPr>
        <w:pStyle w:val="BodyTextIndent"/>
        <w:tabs>
          <w:tab w:val="left" w:pos="720"/>
        </w:tabs>
        <w:spacing w:after="0"/>
        <w:ind w:left="0"/>
        <w:rPr>
          <w:rFonts w:cs="Times New Roman"/>
          <w:szCs w:val="26"/>
        </w:rPr>
      </w:pPr>
    </w:p>
    <w:p w:rsidR="004F0789" w:rsidRPr="00CD1ACF" w:rsidRDefault="004F0789" w:rsidP="00EE5D88">
      <w:pPr>
        <w:pStyle w:val="BodyTextIndent"/>
        <w:tabs>
          <w:tab w:val="left" w:pos="720"/>
        </w:tabs>
        <w:spacing w:after="0" w:line="240" w:lineRule="auto"/>
        <w:ind w:left="1440" w:right="1440" w:firstLine="0"/>
        <w:rPr>
          <w:rFonts w:cs="Times New Roman"/>
          <w:szCs w:val="26"/>
        </w:rPr>
      </w:pPr>
      <w:r w:rsidRPr="00CD1ACF">
        <w:rPr>
          <w:rFonts w:cs="Times New Roman"/>
          <w:szCs w:val="26"/>
        </w:rPr>
        <w:t>In order to determine Columbia</w:t>
      </w:r>
      <w:r>
        <w:rPr>
          <w:rFonts w:cs="Times New Roman"/>
          <w:szCs w:val="26"/>
        </w:rPr>
        <w:t>’</w:t>
      </w:r>
      <w:r w:rsidRPr="00CD1ACF">
        <w:rPr>
          <w:rFonts w:cs="Times New Roman"/>
          <w:szCs w:val="26"/>
        </w:rPr>
        <w:t>s overall cost of capital an appropriate capital structure must be used.  We agree with the ALJ that Columbia</w:t>
      </w:r>
      <w:r>
        <w:rPr>
          <w:rFonts w:cs="Times New Roman"/>
          <w:szCs w:val="26"/>
        </w:rPr>
        <w:t>’</w:t>
      </w:r>
      <w:r w:rsidRPr="00CD1ACF">
        <w:rPr>
          <w:rFonts w:cs="Times New Roman"/>
          <w:szCs w:val="26"/>
        </w:rPr>
        <w:t xml:space="preserve">s capital structure is </w:t>
      </w:r>
      <w:r w:rsidRPr="0035471F">
        <w:rPr>
          <w:rFonts w:cs="Times New Roman"/>
          <w:szCs w:val="26"/>
        </w:rPr>
        <w:t>not</w:t>
      </w:r>
      <w:r w:rsidRPr="00CD1ACF">
        <w:rPr>
          <w:rFonts w:cs="Times New Roman"/>
          <w:szCs w:val="26"/>
        </w:rPr>
        <w:t xml:space="preserve"> disproportionately weighted on the equity side.  Columbia</w:t>
      </w:r>
      <w:r>
        <w:rPr>
          <w:rFonts w:cs="Times New Roman"/>
          <w:szCs w:val="26"/>
        </w:rPr>
        <w:t>’</w:t>
      </w:r>
      <w:r w:rsidRPr="00CD1ACF">
        <w:rPr>
          <w:rFonts w:cs="Times New Roman"/>
          <w:szCs w:val="26"/>
        </w:rPr>
        <w:t xml:space="preserve">s capital structure is not unreasonable or uneconomical under the rational of the </w:t>
      </w:r>
      <w:r w:rsidRPr="00CD1ACF">
        <w:rPr>
          <w:rFonts w:cs="Times New Roman"/>
          <w:i/>
          <w:szCs w:val="26"/>
        </w:rPr>
        <w:t xml:space="preserve">Carnegie </w:t>
      </w:r>
      <w:r w:rsidRPr="00CD1ACF">
        <w:rPr>
          <w:rFonts w:cs="Times New Roman"/>
          <w:szCs w:val="26"/>
        </w:rPr>
        <w:t>decision</w:t>
      </w:r>
      <w:r w:rsidRPr="00CD1ACF">
        <w:rPr>
          <w:rFonts w:cs="Times New Roman"/>
          <w:i/>
          <w:szCs w:val="26"/>
        </w:rPr>
        <w:t xml:space="preserve"> </w:t>
      </w:r>
      <w:r w:rsidRPr="00CD1ACF">
        <w:rPr>
          <w:rFonts w:cs="Times New Roman"/>
          <w:szCs w:val="26"/>
        </w:rPr>
        <w:t>as discussed earlier.  The record evidence does not indicate that Columbia has abused its managerial discretion with regard to the development of its capital structure.  Therefore, we will adopt the ALJ</w:t>
      </w:r>
      <w:r>
        <w:rPr>
          <w:rFonts w:cs="Times New Roman"/>
          <w:szCs w:val="26"/>
        </w:rPr>
        <w:t>’</w:t>
      </w:r>
      <w:r w:rsidRPr="00CD1ACF">
        <w:rPr>
          <w:rFonts w:cs="Times New Roman"/>
          <w:szCs w:val="26"/>
        </w:rPr>
        <w:t>s recommendation to use Columbia</w:t>
      </w:r>
      <w:r>
        <w:rPr>
          <w:rFonts w:cs="Times New Roman"/>
          <w:szCs w:val="26"/>
        </w:rPr>
        <w:t>’</w:t>
      </w:r>
      <w:r w:rsidRPr="00CD1ACF">
        <w:rPr>
          <w:rFonts w:cs="Times New Roman"/>
          <w:szCs w:val="26"/>
        </w:rPr>
        <w:t>s actual capital structure of 35.8% debt and 64.2% common equity for ratemaking purposes.</w:t>
      </w:r>
      <w:r w:rsidRPr="00CD1ACF">
        <w:rPr>
          <w:rStyle w:val="FootnoteReference"/>
          <w:rFonts w:cs="Times New Roman"/>
          <w:szCs w:val="26"/>
        </w:rPr>
        <w:footnoteReference w:id="15"/>
      </w:r>
    </w:p>
    <w:p w:rsidR="004F0789" w:rsidRPr="00CD1ACF" w:rsidRDefault="004F0789" w:rsidP="004F0789">
      <w:pPr>
        <w:pStyle w:val="BodyTextIndent"/>
        <w:tabs>
          <w:tab w:val="left" w:pos="720"/>
        </w:tabs>
        <w:ind w:left="1440" w:right="1440"/>
        <w:rPr>
          <w:rFonts w:cs="Times New Roman"/>
          <w:szCs w:val="26"/>
        </w:rPr>
      </w:pPr>
    </w:p>
    <w:p w:rsidR="004F0789" w:rsidRDefault="004F0789" w:rsidP="000F160B">
      <w:pPr>
        <w:pStyle w:val="BodyTextIndent"/>
        <w:tabs>
          <w:tab w:val="left" w:pos="720"/>
        </w:tabs>
        <w:spacing w:after="0"/>
        <w:ind w:left="0" w:firstLine="0"/>
        <w:rPr>
          <w:rFonts w:cs="Times New Roman"/>
          <w:szCs w:val="26"/>
        </w:rPr>
      </w:pPr>
      <w:r>
        <w:rPr>
          <w:rFonts w:cs="Times New Roman"/>
          <w:szCs w:val="26"/>
        </w:rPr>
        <w:lastRenderedPageBreak/>
        <w:t>CWC Exc. at 7-8.  Columbia argues that, a</w:t>
      </w:r>
      <w:r w:rsidRPr="00CD1ACF">
        <w:rPr>
          <w:rFonts w:cs="Times New Roman"/>
          <w:szCs w:val="26"/>
        </w:rPr>
        <w:t xml:space="preserve">s set forth in the </w:t>
      </w:r>
      <w:r w:rsidRPr="00CD1ACF">
        <w:rPr>
          <w:rFonts w:cs="Times New Roman"/>
          <w:i/>
          <w:szCs w:val="26"/>
        </w:rPr>
        <w:t>Carnegie</w:t>
      </w:r>
      <w:r w:rsidRPr="00CD1ACF">
        <w:rPr>
          <w:rStyle w:val="FootnoteReference"/>
          <w:rFonts w:cs="Times New Roman"/>
          <w:szCs w:val="26"/>
        </w:rPr>
        <w:footnoteReference w:id="16"/>
      </w:r>
      <w:r>
        <w:rPr>
          <w:rFonts w:cs="Times New Roman"/>
          <w:szCs w:val="26"/>
        </w:rPr>
        <w:t xml:space="preserve"> case, a utility’s</w:t>
      </w:r>
      <w:r w:rsidRPr="00CD1ACF">
        <w:rPr>
          <w:rFonts w:cs="Times New Roman"/>
          <w:szCs w:val="26"/>
        </w:rPr>
        <w:t xml:space="preserve"> capital structure is within the management discretion of the utility</w:t>
      </w:r>
      <w:r>
        <w:rPr>
          <w:rFonts w:cs="Times New Roman"/>
          <w:szCs w:val="26"/>
        </w:rPr>
        <w:t>, and the touchstone for evaluating a</w:t>
      </w:r>
      <w:r w:rsidRPr="00CD1ACF">
        <w:rPr>
          <w:rFonts w:cs="Times New Roman"/>
          <w:szCs w:val="26"/>
        </w:rPr>
        <w:t xml:space="preserve"> utility</w:t>
      </w:r>
      <w:r>
        <w:rPr>
          <w:rFonts w:cs="Times New Roman"/>
          <w:szCs w:val="26"/>
        </w:rPr>
        <w:t>’</w:t>
      </w:r>
      <w:r w:rsidRPr="00CD1ACF">
        <w:rPr>
          <w:rFonts w:cs="Times New Roman"/>
          <w:szCs w:val="26"/>
        </w:rPr>
        <w:t xml:space="preserve">s actual capital structure is whether the utility abused its discretion.  As the Commission stated in </w:t>
      </w:r>
      <w:r w:rsidRPr="00CD1ACF">
        <w:rPr>
          <w:rFonts w:cs="Times New Roman"/>
          <w:i/>
          <w:szCs w:val="26"/>
        </w:rPr>
        <w:t>Carnegie</w:t>
      </w:r>
      <w:r w:rsidRPr="00CD1ACF">
        <w:rPr>
          <w:rFonts w:cs="Times New Roman"/>
          <w:szCs w:val="26"/>
        </w:rPr>
        <w:t>:</w:t>
      </w:r>
    </w:p>
    <w:p w:rsidR="00EE5D88" w:rsidRPr="00CD1ACF" w:rsidRDefault="00EE5D88" w:rsidP="00EE5D88">
      <w:pPr>
        <w:pStyle w:val="BodyTextIndent"/>
        <w:tabs>
          <w:tab w:val="left" w:pos="720"/>
        </w:tabs>
        <w:spacing w:after="0"/>
        <w:ind w:left="0"/>
        <w:rPr>
          <w:rFonts w:cs="Times New Roman"/>
          <w:szCs w:val="26"/>
        </w:rPr>
      </w:pPr>
    </w:p>
    <w:p w:rsidR="004F0789" w:rsidRDefault="004F0789" w:rsidP="00EE5D88">
      <w:pPr>
        <w:pStyle w:val="BodyTextIndent"/>
        <w:tabs>
          <w:tab w:val="left" w:pos="720"/>
        </w:tabs>
        <w:spacing w:after="0" w:line="240" w:lineRule="auto"/>
        <w:ind w:left="1440" w:right="1440" w:firstLine="0"/>
        <w:rPr>
          <w:rFonts w:cs="Times New Roman"/>
          <w:szCs w:val="26"/>
        </w:rPr>
      </w:pPr>
      <w:r>
        <w:rPr>
          <w:rFonts w:cs="Times New Roman"/>
          <w:szCs w:val="26"/>
        </w:rPr>
        <w:t>T</w:t>
      </w:r>
      <w:r w:rsidRPr="00CD1ACF">
        <w:rPr>
          <w:rFonts w:cs="Times New Roman"/>
          <w:szCs w:val="26"/>
        </w:rPr>
        <w:t>he Commission has the duty to regulate utilities in a manner which provides customers with reliable service at reasonable cost.  This is not to say that we may mandate to regulated utilities the proportion of debt and equity contained in their capital structures.  Rather, the actual capital structure is a matter within the discretion of corporate management; however, this does not preclude the commission from determining that a particular utility</w:t>
      </w:r>
      <w:r>
        <w:rPr>
          <w:rFonts w:cs="Times New Roman"/>
          <w:szCs w:val="26"/>
        </w:rPr>
        <w:t>’</w:t>
      </w:r>
      <w:r w:rsidRPr="00CD1ACF">
        <w:rPr>
          <w:rFonts w:cs="Times New Roman"/>
          <w:szCs w:val="26"/>
        </w:rPr>
        <w:t>s capital structure is unreasonable and uneconomical when balancing the goals of safety, prudent management, and economy and utilize a hypothetical capital structure for rate-making purposes.</w:t>
      </w:r>
      <w:r w:rsidRPr="00CD1ACF">
        <w:rPr>
          <w:rStyle w:val="FootnoteReference"/>
          <w:rFonts w:cs="Times New Roman"/>
          <w:szCs w:val="26"/>
        </w:rPr>
        <w:footnoteReference w:id="17"/>
      </w:r>
    </w:p>
    <w:p w:rsidR="004F0789" w:rsidRPr="00CD1ACF" w:rsidRDefault="004F0789" w:rsidP="00EE5D88">
      <w:pPr>
        <w:pStyle w:val="BodyTextIndent"/>
        <w:tabs>
          <w:tab w:val="left" w:pos="720"/>
        </w:tabs>
        <w:ind w:left="1440" w:right="1440"/>
        <w:rPr>
          <w:rFonts w:cs="Times New Roman"/>
          <w:szCs w:val="26"/>
        </w:rPr>
      </w:pPr>
    </w:p>
    <w:p w:rsidR="004F0789" w:rsidRDefault="004F0789" w:rsidP="000F160B">
      <w:pPr>
        <w:pStyle w:val="BodyTextIndent"/>
        <w:tabs>
          <w:tab w:val="left" w:pos="720"/>
        </w:tabs>
        <w:spacing w:after="0"/>
        <w:ind w:left="0" w:firstLine="0"/>
        <w:rPr>
          <w:rFonts w:cs="Times New Roman"/>
          <w:szCs w:val="26"/>
        </w:rPr>
      </w:pPr>
      <w:r>
        <w:rPr>
          <w:rFonts w:cs="Times New Roman"/>
          <w:szCs w:val="26"/>
        </w:rPr>
        <w:t>CWC Exc. at 8.  Columbia submits that in the instant proceeding, as</w:t>
      </w:r>
      <w:r w:rsidRPr="00CD1ACF">
        <w:rPr>
          <w:rFonts w:cs="Times New Roman"/>
          <w:szCs w:val="26"/>
        </w:rPr>
        <w:t xml:space="preserve"> in Columbia</w:t>
      </w:r>
      <w:r>
        <w:rPr>
          <w:rFonts w:cs="Times New Roman"/>
          <w:szCs w:val="26"/>
        </w:rPr>
        <w:t>’</w:t>
      </w:r>
      <w:r w:rsidRPr="00CD1ACF">
        <w:rPr>
          <w:rFonts w:cs="Times New Roman"/>
          <w:szCs w:val="26"/>
        </w:rPr>
        <w:t>s prior rate case, there are no excessive capital costs.  In Columbia</w:t>
      </w:r>
      <w:r>
        <w:rPr>
          <w:rFonts w:cs="Times New Roman"/>
          <w:szCs w:val="26"/>
        </w:rPr>
        <w:t>’</w:t>
      </w:r>
      <w:r w:rsidRPr="00CD1ACF">
        <w:rPr>
          <w:rFonts w:cs="Times New Roman"/>
          <w:szCs w:val="26"/>
        </w:rPr>
        <w:t xml:space="preserve">s </w:t>
      </w:r>
      <w:r>
        <w:rPr>
          <w:rFonts w:cs="Times New Roman"/>
          <w:i/>
          <w:szCs w:val="26"/>
        </w:rPr>
        <w:t>2009</w:t>
      </w:r>
      <w:r w:rsidRPr="00CD1ACF">
        <w:rPr>
          <w:rFonts w:cs="Times New Roman"/>
          <w:i/>
          <w:szCs w:val="26"/>
        </w:rPr>
        <w:t xml:space="preserve"> Rate Case Order, </w:t>
      </w:r>
      <w:r w:rsidRPr="00CD1ACF">
        <w:rPr>
          <w:rFonts w:cs="Times New Roman"/>
          <w:szCs w:val="26"/>
        </w:rPr>
        <w:t>the Commission found that using a hypothetical capi</w:t>
      </w:r>
      <w:r>
        <w:rPr>
          <w:rFonts w:cs="Times New Roman"/>
          <w:szCs w:val="26"/>
        </w:rPr>
        <w:t>tal structure was not appropriate</w:t>
      </w:r>
      <w:r w:rsidRPr="00CD1ACF">
        <w:rPr>
          <w:rFonts w:cs="Times New Roman"/>
          <w:szCs w:val="26"/>
        </w:rPr>
        <w:t>.</w:t>
      </w:r>
      <w:r>
        <w:rPr>
          <w:rFonts w:cs="Times New Roman"/>
          <w:szCs w:val="26"/>
        </w:rPr>
        <w:t xml:space="preserve">  Columbia submits that no one alleged in the 2009</w:t>
      </w:r>
      <w:r w:rsidRPr="00CD1ACF">
        <w:rPr>
          <w:rFonts w:cs="Times New Roman"/>
          <w:szCs w:val="26"/>
        </w:rPr>
        <w:t xml:space="preserve"> </w:t>
      </w:r>
      <w:r>
        <w:rPr>
          <w:rFonts w:cs="Times New Roman"/>
          <w:szCs w:val="26"/>
        </w:rPr>
        <w:t xml:space="preserve">rate </w:t>
      </w:r>
      <w:r w:rsidRPr="00CD1ACF">
        <w:rPr>
          <w:rFonts w:cs="Times New Roman"/>
          <w:szCs w:val="26"/>
        </w:rPr>
        <w:t>case that Columbia was abusing its management discretion by maintaining a capital structure with 62.4% common equity</w:t>
      </w:r>
      <w:r>
        <w:rPr>
          <w:rFonts w:cs="Times New Roman"/>
          <w:szCs w:val="26"/>
        </w:rPr>
        <w:t>,</w:t>
      </w:r>
      <w:r w:rsidRPr="00CD1ACF">
        <w:rPr>
          <w:rFonts w:cs="Times New Roman"/>
          <w:szCs w:val="26"/>
        </w:rPr>
        <w:t xml:space="preserve"> and</w:t>
      </w:r>
      <w:r>
        <w:rPr>
          <w:rFonts w:cs="Times New Roman"/>
          <w:szCs w:val="26"/>
        </w:rPr>
        <w:t xml:space="preserve"> no one has alleged and proven</w:t>
      </w:r>
      <w:r w:rsidRPr="00CD1ACF">
        <w:rPr>
          <w:rFonts w:cs="Times New Roman"/>
          <w:szCs w:val="26"/>
        </w:rPr>
        <w:t xml:space="preserve"> in the present case that Columbia is abusing its management discretion by maintaining an almost identical capital stru</w:t>
      </w:r>
      <w:r>
        <w:rPr>
          <w:rFonts w:cs="Times New Roman"/>
          <w:szCs w:val="26"/>
        </w:rPr>
        <w:t>cture wit</w:t>
      </w:r>
      <w:r w:rsidR="000F160B">
        <w:rPr>
          <w:rFonts w:cs="Times New Roman"/>
          <w:szCs w:val="26"/>
        </w:rPr>
        <w:t xml:space="preserve">h 64.2% common equity.  </w:t>
      </w:r>
      <w:r w:rsidR="000F160B" w:rsidRPr="000F160B">
        <w:rPr>
          <w:rFonts w:cs="Times New Roman"/>
          <w:i/>
          <w:szCs w:val="26"/>
        </w:rPr>
        <w:t>Id</w:t>
      </w:r>
      <w:r w:rsidR="000F160B">
        <w:rPr>
          <w:rFonts w:cs="Times New Roman"/>
          <w:szCs w:val="26"/>
        </w:rPr>
        <w:t>.</w:t>
      </w:r>
      <w:r>
        <w:rPr>
          <w:rFonts w:cs="Times New Roman"/>
          <w:szCs w:val="26"/>
        </w:rPr>
        <w:t xml:space="preserve"> at 8-9.</w:t>
      </w:r>
    </w:p>
    <w:p w:rsidR="004F0789" w:rsidRPr="00CD1ACF" w:rsidRDefault="004F0789" w:rsidP="00EE5D88">
      <w:pPr>
        <w:pStyle w:val="BodyTextIndent"/>
        <w:tabs>
          <w:tab w:val="left" w:pos="720"/>
        </w:tabs>
        <w:spacing w:after="0"/>
        <w:ind w:left="0"/>
        <w:rPr>
          <w:rFonts w:cs="Times New Roman"/>
          <w:szCs w:val="26"/>
        </w:rPr>
      </w:pPr>
    </w:p>
    <w:p w:rsidR="004F0789" w:rsidRDefault="004F0789" w:rsidP="004F0789">
      <w:pPr>
        <w:pStyle w:val="BodyTextIndent"/>
        <w:tabs>
          <w:tab w:val="left" w:pos="720"/>
        </w:tabs>
        <w:spacing w:after="0"/>
        <w:ind w:left="0"/>
        <w:rPr>
          <w:rFonts w:cs="Times New Roman"/>
          <w:szCs w:val="26"/>
        </w:rPr>
      </w:pPr>
      <w:r>
        <w:rPr>
          <w:rFonts w:cs="Times New Roman"/>
          <w:szCs w:val="26"/>
        </w:rPr>
        <w:t xml:space="preserve">Columbia argues that, likewise, </w:t>
      </w:r>
      <w:r w:rsidRPr="00CD1ACF">
        <w:rPr>
          <w:rFonts w:cs="Times New Roman"/>
          <w:szCs w:val="26"/>
        </w:rPr>
        <w:t>there is no finding that Columbia</w:t>
      </w:r>
      <w:r>
        <w:rPr>
          <w:rFonts w:cs="Times New Roman"/>
          <w:szCs w:val="26"/>
        </w:rPr>
        <w:t>’</w:t>
      </w:r>
      <w:r w:rsidRPr="00CD1ACF">
        <w:rPr>
          <w:rFonts w:cs="Times New Roman"/>
          <w:szCs w:val="26"/>
        </w:rPr>
        <w:t>s capital structure is unreasonable and uneconomical when balancing the goals of safety, prudent management, and economy.</w:t>
      </w:r>
      <w:r w:rsidRPr="00CD1ACF">
        <w:rPr>
          <w:rStyle w:val="FootnoteReference"/>
          <w:rFonts w:cs="Times New Roman"/>
          <w:szCs w:val="26"/>
        </w:rPr>
        <w:footnoteReference w:id="18"/>
      </w:r>
      <w:r w:rsidRPr="00CD1ACF">
        <w:rPr>
          <w:rFonts w:cs="Times New Roman"/>
          <w:szCs w:val="26"/>
        </w:rPr>
        <w:t xml:space="preserve">  To the contrary, Columbi</w:t>
      </w:r>
      <w:r>
        <w:rPr>
          <w:rFonts w:cs="Times New Roman"/>
          <w:szCs w:val="26"/>
        </w:rPr>
        <w:t>a asserts that its</w:t>
      </w:r>
      <w:r w:rsidRPr="00CD1ACF">
        <w:rPr>
          <w:rFonts w:cs="Times New Roman"/>
          <w:szCs w:val="26"/>
        </w:rPr>
        <w:t xml:space="preserve"> relatively strong </w:t>
      </w:r>
      <w:r w:rsidRPr="00CD1ACF">
        <w:rPr>
          <w:rFonts w:cs="Times New Roman"/>
          <w:szCs w:val="26"/>
        </w:rPr>
        <w:lastRenderedPageBreak/>
        <w:t xml:space="preserve">capital structure benefits both the </w:t>
      </w:r>
      <w:r w:rsidR="00DA7E07">
        <w:rPr>
          <w:rFonts w:cs="Times New Roman"/>
          <w:szCs w:val="26"/>
        </w:rPr>
        <w:t>C</w:t>
      </w:r>
      <w:r w:rsidRPr="00CD1ACF">
        <w:rPr>
          <w:rFonts w:cs="Times New Roman"/>
          <w:szCs w:val="26"/>
        </w:rPr>
        <w:t>ompany and its ratepayers by providing financing flexibility and acc</w:t>
      </w:r>
      <w:r>
        <w:rPr>
          <w:rFonts w:cs="Times New Roman"/>
          <w:szCs w:val="26"/>
        </w:rPr>
        <w:t>ess to capital when required.  Columbia questions whether I&amp;E and the OCA would prefer having</w:t>
      </w:r>
      <w:r w:rsidRPr="00CD1ACF">
        <w:rPr>
          <w:rFonts w:cs="Times New Roman"/>
          <w:szCs w:val="26"/>
        </w:rPr>
        <w:t xml:space="preserve"> the Company become less able to </w:t>
      </w:r>
      <w:r>
        <w:rPr>
          <w:rFonts w:cs="Times New Roman"/>
          <w:szCs w:val="26"/>
        </w:rPr>
        <w:t>borrow money due to being more debt ridden.  Columbia n</w:t>
      </w:r>
      <w:r w:rsidRPr="00CD1ACF">
        <w:rPr>
          <w:rFonts w:cs="Times New Roman"/>
          <w:szCs w:val="26"/>
        </w:rPr>
        <w:t>ote</w:t>
      </w:r>
      <w:r>
        <w:rPr>
          <w:rFonts w:cs="Times New Roman"/>
          <w:szCs w:val="26"/>
        </w:rPr>
        <w:t>s that</w:t>
      </w:r>
      <w:r w:rsidRPr="00CD1ACF">
        <w:rPr>
          <w:rFonts w:cs="Times New Roman"/>
          <w:szCs w:val="26"/>
        </w:rPr>
        <w:t xml:space="preserve"> neither</w:t>
      </w:r>
      <w:r>
        <w:rPr>
          <w:rFonts w:cs="Times New Roman"/>
          <w:szCs w:val="26"/>
        </w:rPr>
        <w:t xml:space="preserve"> of these P</w:t>
      </w:r>
      <w:r w:rsidRPr="00CD1ACF">
        <w:rPr>
          <w:rFonts w:cs="Times New Roman"/>
          <w:szCs w:val="26"/>
        </w:rPr>
        <w:t xml:space="preserve">arties </w:t>
      </w:r>
      <w:r>
        <w:rPr>
          <w:rFonts w:cs="Times New Roman"/>
          <w:szCs w:val="26"/>
        </w:rPr>
        <w:t xml:space="preserve">has recommended </w:t>
      </w:r>
      <w:r w:rsidRPr="00CD1ACF">
        <w:rPr>
          <w:rFonts w:cs="Times New Roman"/>
          <w:szCs w:val="26"/>
        </w:rPr>
        <w:t xml:space="preserve">any additional return </w:t>
      </w:r>
      <w:r>
        <w:rPr>
          <w:rFonts w:cs="Times New Roman"/>
          <w:szCs w:val="26"/>
        </w:rPr>
        <w:t>“</w:t>
      </w:r>
      <w:r w:rsidRPr="00CD1ACF">
        <w:rPr>
          <w:rFonts w:cs="Times New Roman"/>
          <w:szCs w:val="26"/>
        </w:rPr>
        <w:t>for being more debt ridden and riskier as they say it should be for</w:t>
      </w:r>
      <w:r>
        <w:rPr>
          <w:rFonts w:cs="Times New Roman"/>
          <w:szCs w:val="26"/>
        </w:rPr>
        <w:t xml:space="preserve"> ratemaking purposes.”  </w:t>
      </w:r>
      <w:r w:rsidRPr="002A5AA9">
        <w:rPr>
          <w:rFonts w:cs="Times New Roman"/>
          <w:i/>
          <w:szCs w:val="26"/>
        </w:rPr>
        <w:t>Id</w:t>
      </w:r>
      <w:r>
        <w:rPr>
          <w:rFonts w:cs="Times New Roman"/>
          <w:szCs w:val="26"/>
        </w:rPr>
        <w:t xml:space="preserve">. at 9.  According to Columbia, I&amp;E and the OCA </w:t>
      </w:r>
      <w:r w:rsidRPr="00CD1ACF">
        <w:rPr>
          <w:rFonts w:cs="Times New Roman"/>
          <w:szCs w:val="26"/>
        </w:rPr>
        <w:t>want the borrowing benefits of having the present act</w:t>
      </w:r>
      <w:r>
        <w:rPr>
          <w:rFonts w:cs="Times New Roman"/>
          <w:szCs w:val="26"/>
        </w:rPr>
        <w:t xml:space="preserve">ual capital structure, </w:t>
      </w:r>
      <w:r w:rsidRPr="00CD1ACF">
        <w:rPr>
          <w:rFonts w:cs="Times New Roman"/>
          <w:szCs w:val="26"/>
        </w:rPr>
        <w:t>but wish to ignore the obvious increase in risk (which should warrant a higher equity return rate) of becoming more debt ridden.</w:t>
      </w:r>
      <w:r>
        <w:rPr>
          <w:rFonts w:cs="Times New Roman"/>
          <w:szCs w:val="26"/>
        </w:rPr>
        <w:t xml:space="preserve">  Columbia states that </w:t>
      </w:r>
      <w:r w:rsidRPr="00CD1ACF">
        <w:rPr>
          <w:rFonts w:cs="Times New Roman"/>
          <w:szCs w:val="26"/>
        </w:rPr>
        <w:t>the effects on the Company are no different now than when t</w:t>
      </w:r>
      <w:r>
        <w:rPr>
          <w:rFonts w:cs="Times New Roman"/>
          <w:szCs w:val="26"/>
        </w:rPr>
        <w:t xml:space="preserve">he Commission rejected a hypothetical capital structure in the </w:t>
      </w:r>
      <w:r w:rsidRPr="007B1CE3">
        <w:rPr>
          <w:rFonts w:cs="Times New Roman"/>
          <w:i/>
          <w:szCs w:val="26"/>
        </w:rPr>
        <w:t>2009 Rate Case Order</w:t>
      </w:r>
      <w:r w:rsidRPr="00CD1ACF">
        <w:rPr>
          <w:rFonts w:cs="Times New Roman"/>
          <w:szCs w:val="26"/>
        </w:rPr>
        <w:t xml:space="preserve">. </w:t>
      </w:r>
      <w:r>
        <w:rPr>
          <w:rFonts w:cs="Times New Roman"/>
          <w:szCs w:val="26"/>
        </w:rPr>
        <w:t xml:space="preserve"> CWC Exc. at 9.</w:t>
      </w:r>
      <w:r w:rsidRPr="00CD1ACF">
        <w:rPr>
          <w:rFonts w:cs="Times New Roman"/>
          <w:szCs w:val="26"/>
        </w:rPr>
        <w:t xml:space="preserve"> </w:t>
      </w:r>
    </w:p>
    <w:p w:rsidR="004F0789" w:rsidRPr="00CD1ACF" w:rsidRDefault="004F0789" w:rsidP="004F0789">
      <w:pPr>
        <w:pStyle w:val="BodyTextIndent"/>
        <w:tabs>
          <w:tab w:val="left" w:pos="720"/>
        </w:tabs>
        <w:spacing w:after="0"/>
        <w:ind w:left="0"/>
        <w:rPr>
          <w:rFonts w:cs="Times New Roman"/>
          <w:szCs w:val="26"/>
        </w:rPr>
      </w:pPr>
    </w:p>
    <w:p w:rsidR="004F0789" w:rsidRPr="00B822F7" w:rsidRDefault="004F0789" w:rsidP="004F0789">
      <w:pPr>
        <w:pStyle w:val="BodyTextIndent"/>
        <w:tabs>
          <w:tab w:val="left" w:pos="720"/>
        </w:tabs>
        <w:spacing w:after="0"/>
        <w:ind w:left="0"/>
        <w:rPr>
          <w:rFonts w:cs="Times New Roman"/>
          <w:szCs w:val="26"/>
        </w:rPr>
      </w:pPr>
      <w:r>
        <w:rPr>
          <w:rFonts w:cs="Times New Roman"/>
          <w:szCs w:val="26"/>
        </w:rPr>
        <w:t>Columbia states that, in recommending a hypothetical 50/50</w:t>
      </w:r>
      <w:r w:rsidRPr="00CD1ACF">
        <w:rPr>
          <w:rFonts w:cs="Times New Roman"/>
          <w:szCs w:val="26"/>
        </w:rPr>
        <w:t xml:space="preserve"> capital structure</w:t>
      </w:r>
      <w:r>
        <w:rPr>
          <w:rFonts w:cs="Times New Roman"/>
          <w:szCs w:val="26"/>
        </w:rPr>
        <w:t>, I&amp;E</w:t>
      </w:r>
      <w:r w:rsidRPr="00CD1ACF">
        <w:rPr>
          <w:rFonts w:cs="Times New Roman"/>
          <w:szCs w:val="26"/>
        </w:rPr>
        <w:t xml:space="preserve"> </w:t>
      </w:r>
      <w:r>
        <w:rPr>
          <w:rFonts w:cs="Times New Roman"/>
          <w:szCs w:val="26"/>
        </w:rPr>
        <w:t>improperly relied</w:t>
      </w:r>
      <w:r w:rsidRPr="00CD1ACF">
        <w:rPr>
          <w:rFonts w:cs="Times New Roman"/>
          <w:szCs w:val="26"/>
        </w:rPr>
        <w:t xml:space="preserve"> on a five-year historic average of </w:t>
      </w:r>
      <w:r>
        <w:rPr>
          <w:rFonts w:cs="Times New Roman"/>
          <w:szCs w:val="26"/>
        </w:rPr>
        <w:t>Columbia’s capital structure.  According to Columbia, this average</w:t>
      </w:r>
      <w:r w:rsidRPr="00CD1ACF">
        <w:rPr>
          <w:rFonts w:cs="Times New Roman"/>
          <w:szCs w:val="26"/>
        </w:rPr>
        <w:t xml:space="preserve"> improperly elevates stale historic information over </w:t>
      </w:r>
      <w:r>
        <w:rPr>
          <w:rFonts w:cs="Times New Roman"/>
          <w:szCs w:val="26"/>
        </w:rPr>
        <w:t xml:space="preserve">its </w:t>
      </w:r>
      <w:r w:rsidRPr="00CD1ACF">
        <w:rPr>
          <w:rFonts w:cs="Times New Roman"/>
          <w:szCs w:val="26"/>
        </w:rPr>
        <w:t>existing capital structure</w:t>
      </w:r>
      <w:r>
        <w:rPr>
          <w:rFonts w:cs="Times New Roman"/>
          <w:szCs w:val="26"/>
        </w:rPr>
        <w:t>, and</w:t>
      </w:r>
      <w:r w:rsidRPr="00CD1ACF">
        <w:rPr>
          <w:rFonts w:cs="Times New Roman"/>
          <w:szCs w:val="26"/>
        </w:rPr>
        <w:t xml:space="preserve"> ignores the prospective nature of r</w:t>
      </w:r>
      <w:r>
        <w:rPr>
          <w:rFonts w:cs="Times New Roman"/>
          <w:szCs w:val="26"/>
        </w:rPr>
        <w:t xml:space="preserve">atemaking.  Even if the Commission were to adopt </w:t>
      </w:r>
      <w:r w:rsidRPr="00CD1ACF">
        <w:rPr>
          <w:rFonts w:cs="Times New Roman"/>
          <w:szCs w:val="26"/>
        </w:rPr>
        <w:t xml:space="preserve">a </w:t>
      </w:r>
      <w:r>
        <w:rPr>
          <w:rFonts w:cs="Times New Roman"/>
          <w:szCs w:val="26"/>
        </w:rPr>
        <w:t xml:space="preserve">capital structure based on the Company’s historic </w:t>
      </w:r>
      <w:r w:rsidRPr="00CD1ACF">
        <w:rPr>
          <w:rFonts w:cs="Times New Roman"/>
          <w:szCs w:val="26"/>
        </w:rPr>
        <w:t>five-year av</w:t>
      </w:r>
      <w:r>
        <w:rPr>
          <w:rFonts w:cs="Times New Roman"/>
          <w:szCs w:val="26"/>
        </w:rPr>
        <w:t xml:space="preserve">erage, Columbia submits that it should not be the 50/50 </w:t>
      </w:r>
      <w:r w:rsidRPr="00CD1ACF">
        <w:rPr>
          <w:rFonts w:cs="Times New Roman"/>
          <w:szCs w:val="26"/>
        </w:rPr>
        <w:t xml:space="preserve">hypothetical </w:t>
      </w:r>
      <w:r>
        <w:rPr>
          <w:rFonts w:cs="Times New Roman"/>
          <w:szCs w:val="26"/>
        </w:rPr>
        <w:t xml:space="preserve">capital structure that </w:t>
      </w:r>
      <w:r w:rsidRPr="00CD1ACF">
        <w:rPr>
          <w:rFonts w:cs="Times New Roman"/>
          <w:szCs w:val="26"/>
        </w:rPr>
        <w:t>I&amp;E recommended</w:t>
      </w:r>
      <w:r>
        <w:rPr>
          <w:rFonts w:cs="Times New Roman"/>
          <w:szCs w:val="26"/>
        </w:rPr>
        <w:t>,</w:t>
      </w:r>
      <w:r w:rsidRPr="00CD1ACF">
        <w:rPr>
          <w:rFonts w:cs="Times New Roman"/>
          <w:szCs w:val="26"/>
        </w:rPr>
        <w:t xml:space="preserve"> but rather the actual average </w:t>
      </w:r>
      <w:r>
        <w:rPr>
          <w:rFonts w:cs="Times New Roman"/>
          <w:szCs w:val="26"/>
        </w:rPr>
        <w:t xml:space="preserve">that </w:t>
      </w:r>
      <w:r w:rsidRPr="00CD1ACF">
        <w:rPr>
          <w:rFonts w:cs="Times New Roman"/>
          <w:szCs w:val="26"/>
        </w:rPr>
        <w:t>I&amp;E identified, which is a cap</w:t>
      </w:r>
      <w:r>
        <w:rPr>
          <w:rFonts w:cs="Times New Roman"/>
          <w:szCs w:val="26"/>
        </w:rPr>
        <w:t>ital structure of 42.45% debt and</w:t>
      </w:r>
      <w:r w:rsidRPr="00CD1ACF">
        <w:rPr>
          <w:rFonts w:cs="Times New Roman"/>
          <w:szCs w:val="26"/>
        </w:rPr>
        <w:t xml:space="preserve"> 57.55% common equity.  </w:t>
      </w:r>
      <w:r>
        <w:rPr>
          <w:rFonts w:cs="Times New Roman"/>
          <w:szCs w:val="26"/>
        </w:rPr>
        <w:t>CWC Exc. at 10.</w:t>
      </w:r>
    </w:p>
    <w:p w:rsidR="004F0789" w:rsidRPr="00CD1ACF" w:rsidRDefault="004F0789" w:rsidP="004F0789">
      <w:pPr>
        <w:pStyle w:val="BodyTextIndent"/>
        <w:tabs>
          <w:tab w:val="left" w:pos="720"/>
        </w:tabs>
        <w:spacing w:after="0"/>
        <w:ind w:left="0"/>
        <w:rPr>
          <w:rFonts w:cs="Times New Roman"/>
          <w:szCs w:val="26"/>
        </w:rPr>
      </w:pPr>
    </w:p>
    <w:p w:rsidR="004F0789" w:rsidRPr="00CD1ACF" w:rsidRDefault="004F0789" w:rsidP="004F0789">
      <w:pPr>
        <w:pStyle w:val="BodyTextIndent"/>
        <w:tabs>
          <w:tab w:val="left" w:pos="720"/>
        </w:tabs>
        <w:spacing w:after="0"/>
        <w:ind w:left="0"/>
        <w:rPr>
          <w:rFonts w:cs="Times New Roman"/>
          <w:szCs w:val="26"/>
        </w:rPr>
      </w:pPr>
      <w:r>
        <w:rPr>
          <w:rFonts w:cs="Times New Roman"/>
          <w:szCs w:val="26"/>
        </w:rPr>
        <w:t>Because I&amp;E and the OCA failed to demonstrate that ratepayers would</w:t>
      </w:r>
      <w:r w:rsidRPr="00CD1ACF">
        <w:rPr>
          <w:rFonts w:cs="Times New Roman"/>
          <w:szCs w:val="26"/>
        </w:rPr>
        <w:t xml:space="preserve"> be unnecessarily burdened by Columbia</w:t>
      </w:r>
      <w:r>
        <w:rPr>
          <w:rFonts w:cs="Times New Roman"/>
          <w:szCs w:val="26"/>
        </w:rPr>
        <w:t>’</w:t>
      </w:r>
      <w:r w:rsidRPr="00CD1ACF">
        <w:rPr>
          <w:rFonts w:cs="Times New Roman"/>
          <w:szCs w:val="26"/>
        </w:rPr>
        <w:t>s actual capital structure</w:t>
      </w:r>
      <w:r>
        <w:rPr>
          <w:rFonts w:cs="Times New Roman"/>
          <w:szCs w:val="26"/>
        </w:rPr>
        <w:t>, or that Columbia has abused its discretion by manipulating</w:t>
      </w:r>
      <w:r w:rsidRPr="00CD1ACF">
        <w:rPr>
          <w:rFonts w:cs="Times New Roman"/>
          <w:szCs w:val="26"/>
        </w:rPr>
        <w:t xml:space="preserve"> its capital structu</w:t>
      </w:r>
      <w:r>
        <w:rPr>
          <w:rFonts w:cs="Times New Roman"/>
          <w:szCs w:val="26"/>
        </w:rPr>
        <w:t>re, Columbia submits that t</w:t>
      </w:r>
      <w:r w:rsidRPr="00CD1ACF">
        <w:rPr>
          <w:rFonts w:cs="Times New Roman"/>
          <w:szCs w:val="26"/>
        </w:rPr>
        <w:t>he Commission should approve the Company</w:t>
      </w:r>
      <w:r>
        <w:rPr>
          <w:rFonts w:cs="Times New Roman"/>
          <w:szCs w:val="26"/>
        </w:rPr>
        <w:t>’</w:t>
      </w:r>
      <w:r w:rsidRPr="00CD1ACF">
        <w:rPr>
          <w:rFonts w:cs="Times New Roman"/>
          <w:szCs w:val="26"/>
        </w:rPr>
        <w:t>s actual capital structure in this case</w:t>
      </w:r>
      <w:r>
        <w:rPr>
          <w:rFonts w:cs="Times New Roman"/>
          <w:szCs w:val="26"/>
        </w:rPr>
        <w:t xml:space="preserve">.  Columbia reiterates that its claimed capital structure is virtually identical to </w:t>
      </w:r>
      <w:r w:rsidRPr="00CD1ACF">
        <w:rPr>
          <w:rFonts w:cs="Times New Roman"/>
          <w:szCs w:val="26"/>
        </w:rPr>
        <w:t xml:space="preserve">the capital structure approved </w:t>
      </w:r>
      <w:r>
        <w:rPr>
          <w:rFonts w:cs="Times New Roman"/>
          <w:szCs w:val="26"/>
        </w:rPr>
        <w:t xml:space="preserve">by the Commission </w:t>
      </w:r>
      <w:r w:rsidRPr="00CD1ACF">
        <w:rPr>
          <w:rFonts w:cs="Times New Roman"/>
          <w:szCs w:val="26"/>
        </w:rPr>
        <w:t>in the Company</w:t>
      </w:r>
      <w:r>
        <w:rPr>
          <w:rFonts w:cs="Times New Roman"/>
          <w:szCs w:val="26"/>
        </w:rPr>
        <w:t xml:space="preserve">’s last rate case.  However, if </w:t>
      </w:r>
      <w:r w:rsidRPr="00CD1ACF">
        <w:rPr>
          <w:rFonts w:cs="Times New Roman"/>
          <w:szCs w:val="26"/>
        </w:rPr>
        <w:t>the</w:t>
      </w:r>
      <w:r>
        <w:rPr>
          <w:rFonts w:cs="Times New Roman"/>
          <w:szCs w:val="26"/>
        </w:rPr>
        <w:t xml:space="preserve"> Commission adopts a 50/50</w:t>
      </w:r>
      <w:r w:rsidRPr="00CD1ACF">
        <w:rPr>
          <w:rFonts w:cs="Times New Roman"/>
          <w:szCs w:val="26"/>
        </w:rPr>
        <w:t xml:space="preserve"> capital structure for</w:t>
      </w:r>
      <w:r>
        <w:rPr>
          <w:rFonts w:cs="Times New Roman"/>
          <w:szCs w:val="26"/>
        </w:rPr>
        <w:t xml:space="preserve"> Columbia, the Company asserts that </w:t>
      </w:r>
      <w:r w:rsidRPr="00CD1ACF">
        <w:rPr>
          <w:rFonts w:cs="Times New Roman"/>
          <w:szCs w:val="26"/>
        </w:rPr>
        <w:t xml:space="preserve">there must be an </w:t>
      </w:r>
      <w:r>
        <w:rPr>
          <w:rFonts w:cs="Times New Roman"/>
          <w:szCs w:val="26"/>
        </w:rPr>
        <w:t xml:space="preserve">upward </w:t>
      </w:r>
      <w:r>
        <w:rPr>
          <w:rFonts w:cs="Times New Roman"/>
          <w:szCs w:val="26"/>
        </w:rPr>
        <w:lastRenderedPageBreak/>
        <w:t xml:space="preserve">adjustment to Columbia’s rate of return on common equity </w:t>
      </w:r>
      <w:r w:rsidRPr="00CD1ACF">
        <w:rPr>
          <w:rFonts w:cs="Times New Roman"/>
          <w:szCs w:val="26"/>
        </w:rPr>
        <w:t>to reflect the increa</w:t>
      </w:r>
      <w:r>
        <w:rPr>
          <w:rFonts w:cs="Times New Roman"/>
          <w:szCs w:val="26"/>
        </w:rPr>
        <w:t>sed financial risk resulting from increased debt</w:t>
      </w:r>
      <w:r w:rsidRPr="00CD1ACF">
        <w:rPr>
          <w:rFonts w:cs="Times New Roman"/>
          <w:szCs w:val="26"/>
        </w:rPr>
        <w:t>.</w:t>
      </w:r>
      <w:r>
        <w:rPr>
          <w:rFonts w:cs="Times New Roman"/>
          <w:szCs w:val="26"/>
        </w:rPr>
        <w:t xml:space="preserve">  CWC Exc. at 10.</w:t>
      </w:r>
    </w:p>
    <w:p w:rsidR="004F0789" w:rsidRPr="00CD1ACF" w:rsidRDefault="004F0789" w:rsidP="004F0789">
      <w:pPr>
        <w:contextualSpacing/>
        <w:rPr>
          <w:rFonts w:cs="Times New Roman"/>
          <w:b/>
          <w:szCs w:val="26"/>
        </w:rPr>
      </w:pPr>
    </w:p>
    <w:p w:rsidR="004F0789" w:rsidRDefault="00ED5EE7" w:rsidP="0094026D">
      <w:pPr>
        <w:keepNext/>
        <w:keepLines/>
        <w:spacing w:line="240" w:lineRule="auto"/>
        <w:contextualSpacing/>
        <w:rPr>
          <w:rFonts w:cs="Times New Roman"/>
          <w:b/>
          <w:szCs w:val="26"/>
        </w:rPr>
      </w:pPr>
      <w:r>
        <w:rPr>
          <w:rFonts w:cs="Times New Roman"/>
          <w:b/>
          <w:szCs w:val="26"/>
        </w:rPr>
        <w:t xml:space="preserve">4. </w:t>
      </w:r>
      <w:r>
        <w:rPr>
          <w:rFonts w:cs="Times New Roman"/>
          <w:b/>
          <w:szCs w:val="26"/>
        </w:rPr>
        <w:tab/>
        <w:t>Reply Exceptions</w:t>
      </w:r>
    </w:p>
    <w:p w:rsidR="00ED5EE7" w:rsidRPr="006D3607" w:rsidRDefault="00ED5EE7" w:rsidP="00EE5D88">
      <w:pPr>
        <w:keepNext/>
        <w:keepLines/>
        <w:contextualSpacing/>
        <w:rPr>
          <w:rFonts w:cs="Times New Roman"/>
          <w:b/>
          <w:szCs w:val="26"/>
        </w:rPr>
      </w:pPr>
    </w:p>
    <w:p w:rsidR="004F0789" w:rsidRDefault="004F0789" w:rsidP="0094026D">
      <w:r>
        <w:t xml:space="preserve">In its Reply Exceptions, I&amp;E reiterates </w:t>
      </w:r>
      <w:r w:rsidRPr="006D3607">
        <w:t>that the capital structure utilized by Co</w:t>
      </w:r>
      <w:r>
        <w:t>lumbia is not in line with its</w:t>
      </w:r>
      <w:r w:rsidRPr="006D3607">
        <w:t xml:space="preserve"> historical capital structure</w:t>
      </w:r>
      <w:r>
        <w:t>,</w:t>
      </w:r>
      <w:r w:rsidRPr="006D3607">
        <w:t xml:space="preserve"> but is in fact more heavily weighted toward equity than the Company has been in any of the past five years.</w:t>
      </w:r>
      <w:r>
        <w:t xml:space="preserve"> </w:t>
      </w:r>
      <w:r w:rsidRPr="006D3607">
        <w:t xml:space="preserve"> </w:t>
      </w:r>
      <w:r>
        <w:t xml:space="preserve">I&amp;E also contends that </w:t>
      </w:r>
      <w:r w:rsidRPr="006D3607">
        <w:t>Columbia</w:t>
      </w:r>
      <w:r>
        <w:t>’</w:t>
      </w:r>
      <w:r w:rsidRPr="006D3607">
        <w:t xml:space="preserve">s </w:t>
      </w:r>
      <w:r>
        <w:t xml:space="preserve">actual capital structure is </w:t>
      </w:r>
      <w:r w:rsidRPr="006D3607">
        <w:t>not in line with the industry average</w:t>
      </w:r>
      <w:r>
        <w:t xml:space="preserve">, and </w:t>
      </w:r>
      <w:r w:rsidRPr="006D3607">
        <w:t>p</w:t>
      </w:r>
      <w:r>
        <w:t xml:space="preserve">laces an unfair </w:t>
      </w:r>
      <w:r w:rsidRPr="006D3607">
        <w:t>financial burden up</w:t>
      </w:r>
      <w:r>
        <w:t xml:space="preserve">on customers.  </w:t>
      </w:r>
      <w:r w:rsidRPr="006D3607">
        <w:t xml:space="preserve">I&amp;E </w:t>
      </w:r>
      <w:r>
        <w:t xml:space="preserve">submits that its </w:t>
      </w:r>
      <w:r w:rsidRPr="006D3607">
        <w:t>selected water proxy barometer group had a five year average capital structure of 50.99% long term debt, 0.25% preferred stock, and 48.77% eq</w:t>
      </w:r>
      <w:r>
        <w:t xml:space="preserve">uity, similar to the 50/50 </w:t>
      </w:r>
      <w:r w:rsidRPr="006D3607">
        <w:t>capital structure</w:t>
      </w:r>
      <w:r>
        <w:t xml:space="preserve"> that it recommended.  I&amp;E R.Exc. at 7-8.</w:t>
      </w:r>
    </w:p>
    <w:p w:rsidR="004F0789" w:rsidRPr="006D3607" w:rsidRDefault="004F0789" w:rsidP="004F0789">
      <w:pPr>
        <w:contextualSpacing/>
        <w:rPr>
          <w:szCs w:val="26"/>
        </w:rPr>
      </w:pPr>
      <w:r w:rsidRPr="006D3607">
        <w:rPr>
          <w:szCs w:val="26"/>
        </w:rPr>
        <w:t xml:space="preserve"> </w:t>
      </w:r>
    </w:p>
    <w:p w:rsidR="004F0789" w:rsidRDefault="004F0789" w:rsidP="004F0789">
      <w:pPr>
        <w:contextualSpacing/>
        <w:rPr>
          <w:rFonts w:cs="Times New Roman"/>
          <w:b/>
          <w:szCs w:val="26"/>
        </w:rPr>
      </w:pPr>
      <w:r>
        <w:rPr>
          <w:szCs w:val="26"/>
        </w:rPr>
        <w:t xml:space="preserve">I&amp;E submits that the </w:t>
      </w:r>
      <w:r w:rsidRPr="006D3607">
        <w:rPr>
          <w:szCs w:val="26"/>
        </w:rPr>
        <w:t xml:space="preserve">Company </w:t>
      </w:r>
      <w:r>
        <w:rPr>
          <w:szCs w:val="26"/>
        </w:rPr>
        <w:t xml:space="preserve">has not refuted </w:t>
      </w:r>
      <w:r w:rsidRPr="006D3607">
        <w:rPr>
          <w:szCs w:val="26"/>
        </w:rPr>
        <w:t>I&amp;E</w:t>
      </w:r>
      <w:r>
        <w:rPr>
          <w:szCs w:val="26"/>
        </w:rPr>
        <w:t>’s</w:t>
      </w:r>
      <w:r w:rsidRPr="006D3607">
        <w:rPr>
          <w:szCs w:val="26"/>
        </w:rPr>
        <w:t xml:space="preserve"> rationale </w:t>
      </w:r>
      <w:r>
        <w:rPr>
          <w:szCs w:val="26"/>
        </w:rPr>
        <w:t xml:space="preserve">for using a </w:t>
      </w:r>
      <w:r w:rsidRPr="006D3607">
        <w:rPr>
          <w:szCs w:val="26"/>
        </w:rPr>
        <w:t>hypot</w:t>
      </w:r>
      <w:r>
        <w:rPr>
          <w:szCs w:val="26"/>
        </w:rPr>
        <w:t xml:space="preserve">hetical 50/50 capital structure.  I&amp;E argues that </w:t>
      </w:r>
      <w:r w:rsidRPr="006D3607">
        <w:rPr>
          <w:szCs w:val="26"/>
        </w:rPr>
        <w:t>the actual capital structures that existed in the interval between this and the</w:t>
      </w:r>
      <w:r>
        <w:rPr>
          <w:szCs w:val="26"/>
        </w:rPr>
        <w:t xml:space="preserve"> previous rate case filing, which</w:t>
      </w:r>
      <w:r w:rsidRPr="006D3607">
        <w:rPr>
          <w:szCs w:val="26"/>
        </w:rPr>
        <w:t xml:space="preserve"> were </w:t>
      </w:r>
      <w:r>
        <w:rPr>
          <w:szCs w:val="26"/>
        </w:rPr>
        <w:t>less skewed toward</w:t>
      </w:r>
      <w:r w:rsidRPr="006D3607">
        <w:rPr>
          <w:szCs w:val="26"/>
        </w:rPr>
        <w:t xml:space="preserve"> equity, </w:t>
      </w:r>
      <w:r>
        <w:rPr>
          <w:szCs w:val="26"/>
        </w:rPr>
        <w:t xml:space="preserve">apparently </w:t>
      </w:r>
      <w:r w:rsidRPr="006D3607">
        <w:rPr>
          <w:szCs w:val="26"/>
        </w:rPr>
        <w:t>did not arouse the same concerns now expressed by Columbia regarding alleged financial risks of a capital s</w:t>
      </w:r>
      <w:r>
        <w:rPr>
          <w:szCs w:val="26"/>
        </w:rPr>
        <w:t>tructure</w:t>
      </w:r>
      <w:r w:rsidRPr="006D3607">
        <w:rPr>
          <w:szCs w:val="26"/>
        </w:rPr>
        <w:t>.</w:t>
      </w:r>
      <w:r>
        <w:rPr>
          <w:szCs w:val="26"/>
        </w:rPr>
        <w:t xml:space="preserve">  I&amp;E submits that </w:t>
      </w:r>
      <w:r w:rsidRPr="006D3607">
        <w:rPr>
          <w:szCs w:val="26"/>
        </w:rPr>
        <w:t>Columbia</w:t>
      </w:r>
      <w:r>
        <w:rPr>
          <w:szCs w:val="26"/>
        </w:rPr>
        <w:t>’s</w:t>
      </w:r>
      <w:r w:rsidRPr="006D3607">
        <w:rPr>
          <w:szCs w:val="26"/>
        </w:rPr>
        <w:t xml:space="preserve"> Exception</w:t>
      </w:r>
      <w:r>
        <w:rPr>
          <w:szCs w:val="26"/>
        </w:rPr>
        <w:t>s</w:t>
      </w:r>
      <w:r w:rsidRPr="006D3607">
        <w:rPr>
          <w:szCs w:val="26"/>
        </w:rPr>
        <w:t xml:space="preserve"> </w:t>
      </w:r>
      <w:r>
        <w:rPr>
          <w:szCs w:val="26"/>
        </w:rPr>
        <w:t>do not provide a</w:t>
      </w:r>
      <w:r w:rsidRPr="006D3607">
        <w:rPr>
          <w:szCs w:val="26"/>
        </w:rPr>
        <w:t xml:space="preserve"> convincing basis for the C</w:t>
      </w:r>
      <w:r>
        <w:rPr>
          <w:szCs w:val="26"/>
        </w:rPr>
        <w:t>ommission to reject</w:t>
      </w:r>
      <w:r w:rsidR="00E720EE">
        <w:rPr>
          <w:szCs w:val="26"/>
        </w:rPr>
        <w:t xml:space="preserve"> the</w:t>
      </w:r>
      <w:r>
        <w:rPr>
          <w:szCs w:val="26"/>
        </w:rPr>
        <w:t xml:space="preserve"> </w:t>
      </w:r>
      <w:r w:rsidRPr="006D3607">
        <w:rPr>
          <w:szCs w:val="26"/>
        </w:rPr>
        <w:t>50/50 capital structur</w:t>
      </w:r>
      <w:r>
        <w:rPr>
          <w:szCs w:val="26"/>
        </w:rPr>
        <w:t>e recommended by the ALJ</w:t>
      </w:r>
      <w:r w:rsidRPr="006D3607">
        <w:rPr>
          <w:szCs w:val="26"/>
        </w:rPr>
        <w:t>.</w:t>
      </w:r>
      <w:r w:rsidRPr="00D85E0B">
        <w:rPr>
          <w:szCs w:val="26"/>
        </w:rPr>
        <w:t xml:space="preserve"> </w:t>
      </w:r>
      <w:r>
        <w:rPr>
          <w:szCs w:val="26"/>
        </w:rPr>
        <w:t xml:space="preserve"> I&amp;E R.Exc. at 10.</w:t>
      </w:r>
      <w:r w:rsidRPr="006D3607">
        <w:rPr>
          <w:rFonts w:cs="Times New Roman"/>
          <w:b/>
          <w:szCs w:val="26"/>
        </w:rPr>
        <w:tab/>
      </w:r>
    </w:p>
    <w:p w:rsidR="004F0789" w:rsidRDefault="004F0789" w:rsidP="004F0789">
      <w:pPr>
        <w:contextualSpacing/>
        <w:rPr>
          <w:rFonts w:cs="Times New Roman"/>
          <w:b/>
          <w:szCs w:val="26"/>
        </w:rPr>
      </w:pPr>
    </w:p>
    <w:p w:rsidR="004F0789" w:rsidRPr="00510E85" w:rsidRDefault="004F0789" w:rsidP="004F0789">
      <w:pPr>
        <w:contextualSpacing/>
        <w:rPr>
          <w:szCs w:val="26"/>
        </w:rPr>
      </w:pPr>
      <w:r>
        <w:rPr>
          <w:rFonts w:cs="Times New Roman"/>
          <w:szCs w:val="26"/>
        </w:rPr>
        <w:t>In its Reply Exceptions, the OCA does not respond directly to the Company’s Exceptions.  Instead, the OCA submits that the ALJ’s adoption of the 50/50 capital structure recommended by I&amp;E is reasonable.  “However, if the Commission is inclined to use another capital structure, the OCA notes that the alternative capital structures presented by the OCA reflect the current debt financing obtained by [Columbia] and are more reasonable for ratemaking purposes than [Columbia’s] proposed capital structure.”  OCA R.Exc. at 3.</w:t>
      </w:r>
    </w:p>
    <w:p w:rsidR="004F0789" w:rsidRPr="006D3607" w:rsidRDefault="004F0789" w:rsidP="00EE5D88">
      <w:pPr>
        <w:spacing w:line="240" w:lineRule="auto"/>
        <w:contextualSpacing/>
        <w:rPr>
          <w:rFonts w:cs="Times New Roman"/>
          <w:b/>
          <w:szCs w:val="26"/>
        </w:rPr>
      </w:pPr>
    </w:p>
    <w:p w:rsidR="004F0789" w:rsidRDefault="00ED5EE7" w:rsidP="00EE5D88">
      <w:pPr>
        <w:keepNext/>
        <w:spacing w:line="240" w:lineRule="auto"/>
        <w:ind w:left="720" w:firstLine="720"/>
        <w:contextualSpacing/>
        <w:rPr>
          <w:rFonts w:cs="Times New Roman"/>
          <w:b/>
          <w:szCs w:val="26"/>
        </w:rPr>
      </w:pPr>
      <w:r>
        <w:rPr>
          <w:rFonts w:cs="Times New Roman"/>
          <w:b/>
          <w:szCs w:val="26"/>
        </w:rPr>
        <w:lastRenderedPageBreak/>
        <w:t xml:space="preserve">5. </w:t>
      </w:r>
      <w:r>
        <w:rPr>
          <w:rFonts w:cs="Times New Roman"/>
          <w:b/>
          <w:szCs w:val="26"/>
        </w:rPr>
        <w:tab/>
        <w:t>Disposition</w:t>
      </w:r>
    </w:p>
    <w:p w:rsidR="00ED5EE7" w:rsidRDefault="00ED5EE7" w:rsidP="00343CB6">
      <w:pPr>
        <w:keepNext/>
        <w:ind w:left="720" w:firstLine="720"/>
        <w:contextualSpacing/>
        <w:rPr>
          <w:rFonts w:cs="Times New Roman"/>
          <w:b/>
          <w:szCs w:val="26"/>
        </w:rPr>
      </w:pPr>
    </w:p>
    <w:p w:rsidR="000F160B" w:rsidRDefault="004F0789" w:rsidP="00343CB6">
      <w:pPr>
        <w:keepNext/>
        <w:contextualSpacing/>
        <w:rPr>
          <w:rFonts w:cs="Times New Roman"/>
          <w:szCs w:val="26"/>
        </w:rPr>
      </w:pPr>
      <w:r>
        <w:rPr>
          <w:rFonts w:cs="Times New Roman"/>
          <w:szCs w:val="26"/>
        </w:rPr>
        <w:t xml:space="preserve">Upon review, we shall adopt the Company’s </w:t>
      </w:r>
      <w:r w:rsidR="00EA3E9A" w:rsidRPr="00EA3E9A">
        <w:rPr>
          <w:rFonts w:cs="Times New Roman"/>
          <w:i/>
          <w:szCs w:val="26"/>
        </w:rPr>
        <w:t>pro forma</w:t>
      </w:r>
      <w:r w:rsidR="00EA3E9A">
        <w:rPr>
          <w:rFonts w:cs="Times New Roman"/>
          <w:szCs w:val="26"/>
        </w:rPr>
        <w:t xml:space="preserve"> </w:t>
      </w:r>
      <w:r>
        <w:rPr>
          <w:rFonts w:cs="Times New Roman"/>
          <w:szCs w:val="26"/>
        </w:rPr>
        <w:t xml:space="preserve">capital structure as of December 31, 2013, consisting of </w:t>
      </w:r>
      <w:r w:rsidRPr="005B062B">
        <w:rPr>
          <w:rFonts w:cs="Times New Roman"/>
          <w:szCs w:val="26"/>
        </w:rPr>
        <w:t>35.6%</w:t>
      </w:r>
      <w:r w:rsidRPr="007F70DF">
        <w:rPr>
          <w:rFonts w:cs="Times New Roman"/>
          <w:szCs w:val="26"/>
        </w:rPr>
        <w:t xml:space="preserve"> long-term debt and </w:t>
      </w:r>
      <w:r w:rsidRPr="005B062B">
        <w:rPr>
          <w:rFonts w:cs="Times New Roman"/>
          <w:szCs w:val="26"/>
        </w:rPr>
        <w:t>64.4%</w:t>
      </w:r>
      <w:r w:rsidRPr="007F70DF">
        <w:rPr>
          <w:rFonts w:cs="Times New Roman"/>
          <w:szCs w:val="26"/>
        </w:rPr>
        <w:t xml:space="preserve"> common equity.</w:t>
      </w:r>
      <w:r>
        <w:rPr>
          <w:rFonts w:cs="Times New Roman"/>
          <w:szCs w:val="26"/>
        </w:rPr>
        <w:t xml:space="preserve">  We agree with the Company that circumstances have not changed materially since the Commission approved a nearly identical capital structure of 35.8% long-term debt and 64.2% in the Company’s last rate case.  </w:t>
      </w:r>
      <w:r w:rsidRPr="0060001C">
        <w:rPr>
          <w:rFonts w:cs="Times New Roman"/>
          <w:i/>
          <w:szCs w:val="26"/>
        </w:rPr>
        <w:t>2009 Rate Case Order</w:t>
      </w:r>
      <w:r>
        <w:rPr>
          <w:rFonts w:cs="Times New Roman"/>
          <w:szCs w:val="26"/>
        </w:rPr>
        <w:t xml:space="preserve"> at 71.  We also agree with Columbia’s assertion that adopting a hypothetical 50/50 capital structure, rather than the Company’s actual capital structure, would be somewhat arbitrary, and would fail to recognize the benefits to ratepayers of the Company having ready access to capital markets due to its strong capital structure.  </w:t>
      </w:r>
    </w:p>
    <w:p w:rsidR="000F160B" w:rsidRDefault="000F160B">
      <w:pPr>
        <w:ind w:firstLine="0"/>
        <w:rPr>
          <w:rFonts w:ascii="Times" w:hAnsi="Times" w:cs="Times New Roman"/>
          <w:b/>
          <w:bCs/>
          <w:iCs/>
          <w:szCs w:val="28"/>
        </w:rPr>
      </w:pPr>
      <w:bookmarkStart w:id="11" w:name="_Toc378080156"/>
    </w:p>
    <w:p w:rsidR="004F0789" w:rsidRPr="000F160B" w:rsidRDefault="004F0789" w:rsidP="00BA77A1">
      <w:pPr>
        <w:pStyle w:val="Heading2"/>
        <w:keepNext w:val="0"/>
        <w:numPr>
          <w:ilvl w:val="0"/>
          <w:numId w:val="0"/>
        </w:numPr>
        <w:ind w:left="1440" w:hanging="720"/>
        <w:rPr>
          <w:rFonts w:ascii="Times New Roman" w:hAnsi="Times New Roman"/>
        </w:rPr>
      </w:pPr>
      <w:r w:rsidRPr="000F160B">
        <w:rPr>
          <w:rFonts w:ascii="Times New Roman" w:hAnsi="Times New Roman"/>
        </w:rPr>
        <w:t>D.</w:t>
      </w:r>
      <w:r w:rsidRPr="000F160B">
        <w:rPr>
          <w:rFonts w:ascii="Times New Roman" w:hAnsi="Times New Roman"/>
        </w:rPr>
        <w:tab/>
        <w:t>Rate of Return</w:t>
      </w:r>
      <w:bookmarkEnd w:id="11"/>
    </w:p>
    <w:p w:rsidR="004F0789" w:rsidRPr="000F160B" w:rsidRDefault="004F0789" w:rsidP="00BA77A1">
      <w:pPr>
        <w:rPr>
          <w:rFonts w:cs="Times New Roman"/>
        </w:rPr>
      </w:pPr>
    </w:p>
    <w:p w:rsidR="004F0789" w:rsidRPr="000F160B" w:rsidRDefault="004F0789" w:rsidP="00BA77A1">
      <w:pPr>
        <w:pStyle w:val="Heading3"/>
        <w:keepNext w:val="0"/>
        <w:keepLines w:val="0"/>
        <w:rPr>
          <w:rFonts w:ascii="Times New Roman" w:hAnsi="Times New Roman" w:cs="Times New Roman"/>
        </w:rPr>
      </w:pPr>
      <w:bookmarkStart w:id="12" w:name="_Toc378080157"/>
      <w:r w:rsidRPr="000F160B">
        <w:rPr>
          <w:rFonts w:ascii="Times New Roman" w:hAnsi="Times New Roman" w:cs="Times New Roman"/>
        </w:rPr>
        <w:t>1.</w:t>
      </w:r>
      <w:r w:rsidRPr="000F160B">
        <w:rPr>
          <w:rFonts w:ascii="Times New Roman" w:hAnsi="Times New Roman" w:cs="Times New Roman"/>
        </w:rPr>
        <w:tab/>
        <w:t>Return on Equity</w:t>
      </w:r>
      <w:bookmarkEnd w:id="12"/>
    </w:p>
    <w:p w:rsidR="004F0789" w:rsidRPr="000F160B" w:rsidRDefault="004F0789" w:rsidP="00BA77A1">
      <w:pPr>
        <w:contextualSpacing/>
        <w:rPr>
          <w:rFonts w:cs="Times New Roman"/>
          <w:b/>
          <w:szCs w:val="26"/>
        </w:rPr>
      </w:pPr>
    </w:p>
    <w:p w:rsidR="004F0789" w:rsidRPr="000F160B" w:rsidRDefault="004F0789" w:rsidP="00BA77A1">
      <w:pPr>
        <w:spacing w:line="240" w:lineRule="auto"/>
        <w:contextualSpacing/>
        <w:rPr>
          <w:rFonts w:cs="Times New Roman"/>
          <w:b/>
          <w:szCs w:val="26"/>
        </w:rPr>
      </w:pPr>
      <w:r w:rsidRPr="000F160B">
        <w:rPr>
          <w:rFonts w:cs="Times New Roman"/>
          <w:szCs w:val="26"/>
        </w:rPr>
        <w:tab/>
      </w:r>
      <w:r w:rsidRPr="000F160B">
        <w:rPr>
          <w:rFonts w:cs="Times New Roman"/>
          <w:b/>
          <w:szCs w:val="26"/>
        </w:rPr>
        <w:t>a.</w:t>
      </w:r>
      <w:r w:rsidRPr="000F160B">
        <w:rPr>
          <w:rFonts w:cs="Times New Roman"/>
          <w:b/>
          <w:szCs w:val="26"/>
        </w:rPr>
        <w:tab/>
        <w:t>Positions of the Parties</w:t>
      </w:r>
    </w:p>
    <w:p w:rsidR="004F0789" w:rsidRPr="000F160B" w:rsidRDefault="004F0789" w:rsidP="00BA77A1">
      <w:pPr>
        <w:contextualSpacing/>
        <w:jc w:val="both"/>
        <w:rPr>
          <w:rFonts w:cs="Times New Roman"/>
          <w:szCs w:val="26"/>
        </w:rPr>
      </w:pPr>
    </w:p>
    <w:p w:rsidR="004F0789" w:rsidRDefault="004F0789" w:rsidP="00BA77A1">
      <w:pPr>
        <w:contextualSpacing/>
        <w:rPr>
          <w:rFonts w:cs="Times New Roman"/>
          <w:szCs w:val="26"/>
        </w:rPr>
      </w:pPr>
      <w:r>
        <w:rPr>
          <w:rFonts w:cs="Times New Roman"/>
          <w:szCs w:val="26"/>
        </w:rPr>
        <w:t xml:space="preserve">Columbia </w:t>
      </w:r>
      <w:r w:rsidRPr="007F70DF">
        <w:rPr>
          <w:rFonts w:cs="Times New Roman"/>
          <w:szCs w:val="26"/>
        </w:rPr>
        <w:t>requ</w:t>
      </w:r>
      <w:r>
        <w:rPr>
          <w:rFonts w:cs="Times New Roman"/>
          <w:szCs w:val="26"/>
        </w:rPr>
        <w:t xml:space="preserve">ested a </w:t>
      </w:r>
      <w:r w:rsidRPr="007F70DF">
        <w:rPr>
          <w:rFonts w:cs="Times New Roman"/>
          <w:szCs w:val="26"/>
        </w:rPr>
        <w:t xml:space="preserve">return on </w:t>
      </w:r>
      <w:r w:rsidR="00DA7E07">
        <w:rPr>
          <w:rFonts w:cs="Times New Roman"/>
          <w:szCs w:val="26"/>
        </w:rPr>
        <w:t xml:space="preserve">common </w:t>
      </w:r>
      <w:r w:rsidRPr="007F70DF">
        <w:rPr>
          <w:rFonts w:cs="Times New Roman"/>
          <w:szCs w:val="26"/>
        </w:rPr>
        <w:t xml:space="preserve">equity </w:t>
      </w:r>
      <w:r>
        <w:rPr>
          <w:rFonts w:cs="Times New Roman"/>
          <w:szCs w:val="26"/>
        </w:rPr>
        <w:t xml:space="preserve">(ROE) of 10.85% </w:t>
      </w:r>
      <w:r w:rsidRPr="007F70DF">
        <w:rPr>
          <w:rFonts w:cs="Times New Roman"/>
          <w:szCs w:val="26"/>
        </w:rPr>
        <w:t xml:space="preserve">in this proceeding, </w:t>
      </w:r>
      <w:r>
        <w:rPr>
          <w:rFonts w:cs="Times New Roman"/>
          <w:szCs w:val="26"/>
        </w:rPr>
        <w:t xml:space="preserve">exclusive of two requested premiums of 25 basis points each, or 50 basis points in total (0.50%), that are discussed below.  Columbia developed its recommended ROE based on three market-based cost of equity models using a proxy group of nine water companies.  The three models used by Columbia Witness D’Ascendis to develop his recommended ROE were the Discounted Cash Flow (DCF) methodology, the Risk Premium Model (RPM) and the Capital Asset Pricing Model (CAPM).  Inclusive of the two premiums, Columbia requested a ROE of 11.35% and </w:t>
      </w:r>
      <w:r w:rsidRPr="007F70DF">
        <w:rPr>
          <w:rFonts w:cs="Times New Roman"/>
          <w:szCs w:val="26"/>
        </w:rPr>
        <w:t>a 9.18% overall cost of capital</w:t>
      </w:r>
      <w:r>
        <w:rPr>
          <w:rFonts w:cs="Times New Roman"/>
          <w:szCs w:val="26"/>
        </w:rPr>
        <w:t>.</w:t>
      </w:r>
      <w:r>
        <w:rPr>
          <w:rStyle w:val="FootnoteReference"/>
          <w:rFonts w:cs="Times New Roman"/>
          <w:szCs w:val="26"/>
        </w:rPr>
        <w:footnoteReference w:id="19"/>
      </w:r>
      <w:r>
        <w:rPr>
          <w:rFonts w:cs="Times New Roman"/>
          <w:szCs w:val="26"/>
        </w:rPr>
        <w:t xml:space="preserve">  CWC</w:t>
      </w:r>
      <w:r w:rsidRPr="007F70DF">
        <w:rPr>
          <w:rFonts w:cs="Times New Roman"/>
          <w:szCs w:val="26"/>
        </w:rPr>
        <w:t xml:space="preserve"> M</w:t>
      </w:r>
      <w:r>
        <w:rPr>
          <w:rFonts w:cs="Times New Roman"/>
          <w:szCs w:val="26"/>
        </w:rPr>
        <w:t>.</w:t>
      </w:r>
      <w:r w:rsidRPr="007F70DF">
        <w:rPr>
          <w:rFonts w:cs="Times New Roman"/>
          <w:szCs w:val="26"/>
        </w:rPr>
        <w:t>B</w:t>
      </w:r>
      <w:r>
        <w:rPr>
          <w:rFonts w:cs="Times New Roman"/>
          <w:szCs w:val="26"/>
        </w:rPr>
        <w:t>.</w:t>
      </w:r>
      <w:r w:rsidRPr="007F70DF">
        <w:rPr>
          <w:rFonts w:cs="Times New Roman"/>
          <w:szCs w:val="26"/>
        </w:rPr>
        <w:t xml:space="preserve"> at 45</w:t>
      </w:r>
      <w:r>
        <w:rPr>
          <w:rFonts w:cs="Times New Roman"/>
          <w:szCs w:val="26"/>
        </w:rPr>
        <w:t>-50</w:t>
      </w:r>
      <w:r w:rsidRPr="007F70DF">
        <w:rPr>
          <w:rFonts w:cs="Times New Roman"/>
          <w:szCs w:val="26"/>
        </w:rPr>
        <w:t xml:space="preserve">.  </w:t>
      </w:r>
      <w:r w:rsidRPr="005B062B">
        <w:rPr>
          <w:rFonts w:cs="Times New Roman"/>
          <w:szCs w:val="26"/>
        </w:rPr>
        <w:t>Columbia’s proposed overall rate of return of 9.18% was shown in Table 1 attached to the Columbia Main Brief</w:t>
      </w:r>
      <w:r>
        <w:rPr>
          <w:rFonts w:cs="Times New Roman"/>
          <w:szCs w:val="26"/>
        </w:rPr>
        <w:t xml:space="preserve">. </w:t>
      </w:r>
    </w:p>
    <w:p w:rsidR="004F0789" w:rsidRDefault="004F0789" w:rsidP="004F0789">
      <w:pPr>
        <w:contextualSpacing/>
        <w:rPr>
          <w:rFonts w:cs="Times New Roman"/>
          <w:szCs w:val="26"/>
        </w:rPr>
      </w:pPr>
    </w:p>
    <w:p w:rsidR="004F0789" w:rsidRPr="007F70DF" w:rsidRDefault="004F0789" w:rsidP="004F0789">
      <w:pPr>
        <w:contextualSpacing/>
        <w:rPr>
          <w:rFonts w:cs="Times New Roman"/>
          <w:szCs w:val="26"/>
        </w:rPr>
      </w:pPr>
      <w:r>
        <w:rPr>
          <w:rFonts w:cs="Times New Roman"/>
          <w:szCs w:val="26"/>
        </w:rPr>
        <w:t xml:space="preserve">I&amp;E </w:t>
      </w:r>
      <w:r w:rsidRPr="007F70DF">
        <w:rPr>
          <w:rFonts w:cs="Times New Roman"/>
          <w:szCs w:val="26"/>
        </w:rPr>
        <w:t xml:space="preserve">recommended </w:t>
      </w:r>
      <w:r>
        <w:rPr>
          <w:rFonts w:cs="Times New Roman"/>
          <w:szCs w:val="26"/>
        </w:rPr>
        <w:t>a ROE of 9.15%, which would produce an overall rate of return of 7.07% with its recommended 50/50 capital structure</w:t>
      </w:r>
      <w:r w:rsidRPr="007F70DF">
        <w:rPr>
          <w:rFonts w:cs="Times New Roman"/>
          <w:szCs w:val="26"/>
        </w:rPr>
        <w:t xml:space="preserve">.  </w:t>
      </w:r>
      <w:r>
        <w:rPr>
          <w:rFonts w:cs="Times New Roman"/>
          <w:szCs w:val="26"/>
        </w:rPr>
        <w:t>I&amp;E asserts that a ROE of 9.15% and overall rate of return</w:t>
      </w:r>
      <w:r w:rsidR="00B36B86">
        <w:rPr>
          <w:rFonts w:cs="Times New Roman"/>
          <w:szCs w:val="26"/>
        </w:rPr>
        <w:t xml:space="preserve"> of 7.07%</w:t>
      </w:r>
      <w:r>
        <w:rPr>
          <w:rFonts w:cs="Times New Roman"/>
          <w:szCs w:val="26"/>
        </w:rPr>
        <w:t xml:space="preserve"> represent a fair and reasonable determination that properly balances the interests of the Company and its ratepayers.   </w:t>
      </w:r>
      <w:r w:rsidRPr="007F70DF">
        <w:rPr>
          <w:rFonts w:cs="Times New Roman"/>
          <w:szCs w:val="26"/>
        </w:rPr>
        <w:t>I&amp;E M</w:t>
      </w:r>
      <w:r>
        <w:rPr>
          <w:rFonts w:cs="Times New Roman"/>
          <w:szCs w:val="26"/>
        </w:rPr>
        <w:t>.</w:t>
      </w:r>
      <w:r w:rsidRPr="007F70DF">
        <w:rPr>
          <w:rFonts w:cs="Times New Roman"/>
          <w:szCs w:val="26"/>
        </w:rPr>
        <w:t>B</w:t>
      </w:r>
      <w:r>
        <w:rPr>
          <w:rFonts w:cs="Times New Roman"/>
          <w:szCs w:val="26"/>
        </w:rPr>
        <w:t>.</w:t>
      </w:r>
      <w:r w:rsidRPr="007F70DF">
        <w:rPr>
          <w:rFonts w:cs="Times New Roman"/>
          <w:szCs w:val="26"/>
        </w:rPr>
        <w:t xml:space="preserve"> at 3</w:t>
      </w:r>
      <w:r>
        <w:rPr>
          <w:rFonts w:cs="Times New Roman"/>
          <w:szCs w:val="26"/>
        </w:rPr>
        <w:t>7-41; I&amp;E St. 1 at 3-4.</w:t>
      </w:r>
    </w:p>
    <w:p w:rsidR="004F0789" w:rsidRPr="007F70DF" w:rsidRDefault="004F0789" w:rsidP="004F0789">
      <w:pPr>
        <w:ind w:firstLine="720"/>
        <w:contextualSpacing/>
        <w:rPr>
          <w:rFonts w:cs="Times New Roman"/>
          <w:szCs w:val="26"/>
        </w:rPr>
      </w:pPr>
      <w:r>
        <w:rPr>
          <w:rFonts w:cs="Times New Roman"/>
          <w:szCs w:val="26"/>
        </w:rPr>
        <w:tab/>
      </w:r>
    </w:p>
    <w:p w:rsidR="004F0789" w:rsidRPr="0066203C" w:rsidRDefault="004F0789" w:rsidP="004F0789">
      <w:pPr>
        <w:contextualSpacing/>
        <w:rPr>
          <w:rFonts w:cs="Times New Roman"/>
          <w:szCs w:val="26"/>
        </w:rPr>
      </w:pPr>
      <w:r>
        <w:rPr>
          <w:rFonts w:cs="Times New Roman"/>
          <w:szCs w:val="26"/>
        </w:rPr>
        <w:t>The OCA recommended a ROE of 8.25% based on a discounted cash flow analysis, which would produce an overall rate of return of 6.75% with its recommended capital structure of 44.15% long term debt and 55.85% common equity.</w:t>
      </w:r>
      <w:r>
        <w:rPr>
          <w:rStyle w:val="FootnoteReference"/>
          <w:rFonts w:cs="Times New Roman"/>
          <w:szCs w:val="26"/>
        </w:rPr>
        <w:footnoteReference w:id="20"/>
      </w:r>
      <w:r>
        <w:rPr>
          <w:rFonts w:cs="Times New Roman"/>
          <w:szCs w:val="26"/>
        </w:rPr>
        <w:t xml:space="preserve">  OCA M.B. at 66-69, 72-84.</w:t>
      </w:r>
    </w:p>
    <w:p w:rsidR="004F0789" w:rsidRPr="00B822F7" w:rsidRDefault="004F0789" w:rsidP="004F0789">
      <w:pPr>
        <w:contextualSpacing/>
        <w:rPr>
          <w:rFonts w:cs="Times New Roman"/>
          <w:b/>
          <w:szCs w:val="26"/>
        </w:rPr>
      </w:pPr>
    </w:p>
    <w:p w:rsidR="004F0789" w:rsidRDefault="004F0789" w:rsidP="000957FA">
      <w:pPr>
        <w:spacing w:line="240" w:lineRule="auto"/>
        <w:contextualSpacing/>
        <w:rPr>
          <w:rFonts w:cs="Times New Roman"/>
          <w:b/>
          <w:szCs w:val="26"/>
        </w:rPr>
      </w:pPr>
      <w:r>
        <w:rPr>
          <w:rFonts w:cs="Times New Roman"/>
          <w:b/>
          <w:szCs w:val="26"/>
        </w:rPr>
        <w:tab/>
        <w:t>b</w:t>
      </w:r>
      <w:r w:rsidRPr="00B822F7">
        <w:rPr>
          <w:rFonts w:cs="Times New Roman"/>
          <w:b/>
          <w:szCs w:val="26"/>
        </w:rPr>
        <w:t>.</w:t>
      </w:r>
      <w:r w:rsidRPr="00B822F7">
        <w:rPr>
          <w:rFonts w:cs="Times New Roman"/>
          <w:b/>
          <w:szCs w:val="26"/>
        </w:rPr>
        <w:tab/>
        <w:t>ALJ</w:t>
      </w:r>
      <w:r>
        <w:rPr>
          <w:rFonts w:cs="Times New Roman"/>
          <w:b/>
          <w:szCs w:val="26"/>
        </w:rPr>
        <w:t>’</w:t>
      </w:r>
      <w:r w:rsidRPr="00B822F7">
        <w:rPr>
          <w:rFonts w:cs="Times New Roman"/>
          <w:b/>
          <w:szCs w:val="26"/>
        </w:rPr>
        <w:t>s Recommendation</w:t>
      </w:r>
    </w:p>
    <w:p w:rsidR="004F0789" w:rsidRPr="00B822F7" w:rsidRDefault="004F0789" w:rsidP="004F0789">
      <w:pPr>
        <w:contextualSpacing/>
        <w:rPr>
          <w:rFonts w:cs="Times New Roman"/>
          <w:b/>
          <w:szCs w:val="26"/>
        </w:rPr>
      </w:pPr>
    </w:p>
    <w:p w:rsidR="004F0789" w:rsidRDefault="004F0789" w:rsidP="004F0789">
      <w:pPr>
        <w:contextualSpacing/>
        <w:rPr>
          <w:rFonts w:cs="Times New Roman"/>
          <w:szCs w:val="26"/>
        </w:rPr>
      </w:pPr>
      <w:r>
        <w:rPr>
          <w:rFonts w:cs="Times New Roman"/>
          <w:szCs w:val="26"/>
        </w:rPr>
        <w:t xml:space="preserve">The ALJ concluded that I&amp;E </w:t>
      </w:r>
      <w:r w:rsidRPr="007F70DF">
        <w:rPr>
          <w:rFonts w:cs="Times New Roman"/>
          <w:szCs w:val="26"/>
        </w:rPr>
        <w:t>provided the most reas</w:t>
      </w:r>
      <w:r>
        <w:rPr>
          <w:rFonts w:cs="Times New Roman"/>
          <w:szCs w:val="26"/>
        </w:rPr>
        <w:t xml:space="preserve">onable resolution of this issue.  </w:t>
      </w:r>
      <w:r w:rsidRPr="007F70DF">
        <w:rPr>
          <w:rFonts w:cs="Times New Roman"/>
          <w:szCs w:val="26"/>
        </w:rPr>
        <w:t xml:space="preserve">The </w:t>
      </w:r>
      <w:r>
        <w:rPr>
          <w:rFonts w:cs="Times New Roman"/>
          <w:szCs w:val="26"/>
        </w:rPr>
        <w:t xml:space="preserve">ALJ stated that the OCA’s proposed rate of return </w:t>
      </w:r>
      <w:r w:rsidRPr="007F70DF">
        <w:rPr>
          <w:rFonts w:cs="Times New Roman"/>
          <w:szCs w:val="26"/>
        </w:rPr>
        <w:t>is a bit too parsimonious, whe</w:t>
      </w:r>
      <w:r>
        <w:rPr>
          <w:rFonts w:cs="Times New Roman"/>
          <w:szCs w:val="26"/>
        </w:rPr>
        <w:t xml:space="preserve">reas Columbia’s requested </w:t>
      </w:r>
      <w:r w:rsidRPr="007F70DF">
        <w:rPr>
          <w:rFonts w:cs="Times New Roman"/>
          <w:szCs w:val="26"/>
        </w:rPr>
        <w:t>rat</w:t>
      </w:r>
      <w:r>
        <w:rPr>
          <w:rFonts w:cs="Times New Roman"/>
          <w:szCs w:val="26"/>
        </w:rPr>
        <w:t xml:space="preserve">e of return is excessive and </w:t>
      </w:r>
      <w:r w:rsidRPr="007F70DF">
        <w:rPr>
          <w:rFonts w:cs="Times New Roman"/>
          <w:szCs w:val="26"/>
        </w:rPr>
        <w:t>based on a</w:t>
      </w:r>
      <w:r>
        <w:rPr>
          <w:rFonts w:cs="Times New Roman"/>
          <w:szCs w:val="26"/>
        </w:rPr>
        <w:t xml:space="preserve">n overly generous methodology.  Accordingly, the ALJ adopted </w:t>
      </w:r>
      <w:r w:rsidRPr="007F70DF">
        <w:rPr>
          <w:rFonts w:cs="Times New Roman"/>
          <w:szCs w:val="26"/>
        </w:rPr>
        <w:t>I&amp;E</w:t>
      </w:r>
      <w:r>
        <w:rPr>
          <w:rFonts w:cs="Times New Roman"/>
          <w:szCs w:val="26"/>
        </w:rPr>
        <w:t>’</w:t>
      </w:r>
      <w:r w:rsidRPr="007F70DF">
        <w:rPr>
          <w:rFonts w:cs="Times New Roman"/>
          <w:szCs w:val="26"/>
        </w:rPr>
        <w:t xml:space="preserve">s recommended </w:t>
      </w:r>
      <w:r>
        <w:rPr>
          <w:rFonts w:cs="Times New Roman"/>
          <w:szCs w:val="26"/>
        </w:rPr>
        <w:t xml:space="preserve">ROE of 9.15%, which would produce an </w:t>
      </w:r>
      <w:r w:rsidRPr="007F70DF">
        <w:rPr>
          <w:rFonts w:cs="Times New Roman"/>
          <w:szCs w:val="26"/>
        </w:rPr>
        <w:t>overall rate of return</w:t>
      </w:r>
      <w:r>
        <w:rPr>
          <w:rFonts w:cs="Times New Roman"/>
          <w:szCs w:val="26"/>
        </w:rPr>
        <w:t xml:space="preserve"> of 7.07% using the 50/50 capital structure recommended by I&amp;E</w:t>
      </w:r>
      <w:r w:rsidRPr="007F70DF">
        <w:rPr>
          <w:rFonts w:cs="Times New Roman"/>
          <w:szCs w:val="26"/>
        </w:rPr>
        <w:t>.</w:t>
      </w:r>
      <w:r>
        <w:rPr>
          <w:rFonts w:cs="Times New Roman"/>
          <w:szCs w:val="26"/>
        </w:rPr>
        <w:t xml:space="preserve">  R.D. at 43</w:t>
      </w:r>
      <w:r>
        <w:rPr>
          <w:rFonts w:cs="Times New Roman"/>
          <w:szCs w:val="26"/>
        </w:rPr>
        <w:noBreakHyphen/>
        <w:t>46.</w:t>
      </w:r>
      <w:r w:rsidRPr="007F70DF">
        <w:rPr>
          <w:rFonts w:cs="Times New Roman"/>
          <w:szCs w:val="26"/>
        </w:rPr>
        <w:t xml:space="preserve">  </w:t>
      </w:r>
    </w:p>
    <w:p w:rsidR="004F0789" w:rsidRDefault="004F0789" w:rsidP="004F0789">
      <w:pPr>
        <w:contextualSpacing/>
        <w:rPr>
          <w:rFonts w:cs="Times New Roman"/>
          <w:szCs w:val="26"/>
        </w:rPr>
      </w:pPr>
    </w:p>
    <w:p w:rsidR="004F0789" w:rsidRPr="00F03813" w:rsidRDefault="004F0789" w:rsidP="000957FA">
      <w:pPr>
        <w:spacing w:line="240" w:lineRule="auto"/>
        <w:ind w:left="720"/>
        <w:contextualSpacing/>
        <w:rPr>
          <w:rFonts w:cs="Times New Roman"/>
          <w:b/>
          <w:szCs w:val="26"/>
        </w:rPr>
      </w:pPr>
      <w:r>
        <w:rPr>
          <w:rFonts w:cs="Times New Roman"/>
          <w:b/>
          <w:szCs w:val="26"/>
        </w:rPr>
        <w:t>c</w:t>
      </w:r>
      <w:r w:rsidRPr="00F03813">
        <w:rPr>
          <w:rFonts w:cs="Times New Roman"/>
          <w:b/>
          <w:szCs w:val="26"/>
        </w:rPr>
        <w:t>.</w:t>
      </w:r>
      <w:r>
        <w:rPr>
          <w:rFonts w:cs="Times New Roman"/>
          <w:b/>
          <w:szCs w:val="26"/>
        </w:rPr>
        <w:tab/>
        <w:t>Exceptions</w:t>
      </w:r>
    </w:p>
    <w:p w:rsidR="004F0789" w:rsidRPr="00F03813" w:rsidRDefault="004F0789" w:rsidP="004F0789">
      <w:pPr>
        <w:contextualSpacing/>
        <w:rPr>
          <w:rFonts w:cs="Times New Roman"/>
          <w:b/>
          <w:szCs w:val="26"/>
        </w:rPr>
      </w:pPr>
    </w:p>
    <w:p w:rsidR="004F0789" w:rsidRPr="00F03813" w:rsidRDefault="004F0789" w:rsidP="004F0789">
      <w:pPr>
        <w:pStyle w:val="BodyTextIndent"/>
        <w:spacing w:after="0"/>
        <w:ind w:left="0"/>
        <w:rPr>
          <w:rFonts w:cs="Times New Roman"/>
          <w:szCs w:val="26"/>
        </w:rPr>
      </w:pPr>
      <w:r>
        <w:rPr>
          <w:rFonts w:cs="Times New Roman"/>
          <w:szCs w:val="26"/>
        </w:rPr>
        <w:t xml:space="preserve">Columbia strongly disagrees with the ALJ’s adoption of I&amp;E’s return on equity </w:t>
      </w:r>
      <w:r w:rsidRPr="00F03813">
        <w:rPr>
          <w:rFonts w:cs="Times New Roman"/>
          <w:szCs w:val="26"/>
        </w:rPr>
        <w:t>of 9.15%</w:t>
      </w:r>
      <w:r>
        <w:rPr>
          <w:rFonts w:cs="Times New Roman"/>
          <w:szCs w:val="26"/>
        </w:rPr>
        <w:t xml:space="preserve">.  Columbia argues that this recommended ROE </w:t>
      </w:r>
      <w:r w:rsidRPr="00F03813">
        <w:rPr>
          <w:rFonts w:cs="Times New Roman"/>
          <w:szCs w:val="26"/>
        </w:rPr>
        <w:t>would be the lowest authorized ROE in the countr</w:t>
      </w:r>
      <w:r>
        <w:rPr>
          <w:rFonts w:cs="Times New Roman"/>
          <w:szCs w:val="26"/>
        </w:rPr>
        <w:t xml:space="preserve">y for a water utility </w:t>
      </w:r>
      <w:r w:rsidRPr="00F03813">
        <w:rPr>
          <w:rFonts w:cs="Times New Roman"/>
          <w:szCs w:val="26"/>
        </w:rPr>
        <w:t xml:space="preserve">since </w:t>
      </w:r>
      <w:r>
        <w:rPr>
          <w:rFonts w:cs="Times New Roman"/>
          <w:szCs w:val="26"/>
        </w:rPr>
        <w:t xml:space="preserve">at least </w:t>
      </w:r>
      <w:r w:rsidRPr="00F03813">
        <w:rPr>
          <w:rFonts w:cs="Times New Roman"/>
          <w:szCs w:val="26"/>
        </w:rPr>
        <w:t>2011 (without provisions for double leverage), and would send the wrong message to any utility that is co</w:t>
      </w:r>
      <w:r>
        <w:rPr>
          <w:rFonts w:cs="Times New Roman"/>
          <w:szCs w:val="26"/>
        </w:rPr>
        <w:t>nsidering investing in the Commonwealth.  CWC Exc. at 10.</w:t>
      </w:r>
    </w:p>
    <w:p w:rsidR="004F0789" w:rsidRDefault="004F0789" w:rsidP="004F0789">
      <w:pPr>
        <w:rPr>
          <w:rFonts w:cs="Times New Roman"/>
          <w:szCs w:val="26"/>
        </w:rPr>
      </w:pPr>
    </w:p>
    <w:p w:rsidR="004F0789" w:rsidRDefault="004F0789" w:rsidP="004F0789">
      <w:pPr>
        <w:rPr>
          <w:rFonts w:cs="Times New Roman"/>
          <w:szCs w:val="26"/>
        </w:rPr>
      </w:pPr>
      <w:r>
        <w:rPr>
          <w:rFonts w:cs="Times New Roman"/>
          <w:szCs w:val="26"/>
        </w:rPr>
        <w:t xml:space="preserve">Columbia argues that I&amp;E’s ROE was </w:t>
      </w:r>
      <w:r w:rsidRPr="00F03813">
        <w:rPr>
          <w:rFonts w:cs="Times New Roman"/>
          <w:szCs w:val="26"/>
        </w:rPr>
        <w:t xml:space="preserve">based </w:t>
      </w:r>
      <w:r>
        <w:rPr>
          <w:rFonts w:cs="Times New Roman"/>
          <w:szCs w:val="26"/>
        </w:rPr>
        <w:t xml:space="preserve">solely </w:t>
      </w:r>
      <w:r w:rsidRPr="00F03813">
        <w:rPr>
          <w:rFonts w:cs="Times New Roman"/>
          <w:szCs w:val="26"/>
        </w:rPr>
        <w:t>on the results of I&amp;E</w:t>
      </w:r>
      <w:r>
        <w:rPr>
          <w:rFonts w:cs="Times New Roman"/>
          <w:szCs w:val="26"/>
        </w:rPr>
        <w:t xml:space="preserve">’s DCF model, while the Commission </w:t>
      </w:r>
      <w:r w:rsidRPr="00F03813">
        <w:rPr>
          <w:rFonts w:cs="Times New Roman"/>
          <w:szCs w:val="26"/>
        </w:rPr>
        <w:t xml:space="preserve">repeatedly </w:t>
      </w:r>
      <w:r>
        <w:rPr>
          <w:rFonts w:cs="Times New Roman"/>
          <w:szCs w:val="26"/>
        </w:rPr>
        <w:t xml:space="preserve">has </w:t>
      </w:r>
      <w:r w:rsidRPr="00F03813">
        <w:rPr>
          <w:rFonts w:cs="Times New Roman"/>
          <w:szCs w:val="26"/>
        </w:rPr>
        <w:t xml:space="preserve">acknowledged that the DCF </w:t>
      </w:r>
      <w:r>
        <w:rPr>
          <w:rFonts w:cs="Times New Roman"/>
          <w:szCs w:val="26"/>
        </w:rPr>
        <w:t>model misstates investor-</w:t>
      </w:r>
      <w:r w:rsidRPr="00F03813">
        <w:rPr>
          <w:rFonts w:cs="Times New Roman"/>
          <w:szCs w:val="26"/>
        </w:rPr>
        <w:t>required returns when marke</w:t>
      </w:r>
      <w:r>
        <w:rPr>
          <w:rFonts w:cs="Times New Roman"/>
          <w:szCs w:val="26"/>
        </w:rPr>
        <w:t xml:space="preserve">t value exceeds book value.  Columbia refers to </w:t>
      </w:r>
      <w:r w:rsidRPr="00F03813">
        <w:rPr>
          <w:rFonts w:cs="Times New Roman"/>
          <w:i/>
          <w:szCs w:val="26"/>
        </w:rPr>
        <w:t>The City of Lancaster – Sewer Fund</w:t>
      </w:r>
      <w:r>
        <w:rPr>
          <w:rFonts w:cs="Times New Roman"/>
          <w:szCs w:val="26"/>
        </w:rPr>
        <w:t xml:space="preserve">, </w:t>
      </w:r>
      <w:r w:rsidRPr="00F03813">
        <w:rPr>
          <w:rFonts w:cs="Times New Roman"/>
          <w:szCs w:val="26"/>
        </w:rPr>
        <w:t>Docket No. R</w:t>
      </w:r>
      <w:r w:rsidRPr="00F03813">
        <w:rPr>
          <w:rFonts w:cs="Times New Roman"/>
          <w:szCs w:val="26"/>
        </w:rPr>
        <w:noBreakHyphen/>
        <w:t>0004986</w:t>
      </w:r>
      <w:r>
        <w:rPr>
          <w:rFonts w:cs="Times New Roman"/>
          <w:szCs w:val="26"/>
        </w:rPr>
        <w:t>2 (Order entered August 26, 2005), where the</w:t>
      </w:r>
      <w:r w:rsidRPr="00F03813">
        <w:rPr>
          <w:rFonts w:cs="Times New Roman"/>
          <w:szCs w:val="26"/>
        </w:rPr>
        <w:t xml:space="preserve"> Commission adopted</w:t>
      </w:r>
      <w:r>
        <w:rPr>
          <w:rFonts w:cs="Times New Roman"/>
          <w:szCs w:val="26"/>
        </w:rPr>
        <w:t xml:space="preserve"> a </w:t>
      </w:r>
      <w:r w:rsidRPr="00F03813">
        <w:rPr>
          <w:rFonts w:cs="Times New Roman"/>
          <w:szCs w:val="26"/>
        </w:rPr>
        <w:t>market-to-book adjustment of 65 basis points (0.65%</w:t>
      </w:r>
      <w:r>
        <w:rPr>
          <w:rFonts w:cs="Times New Roman"/>
          <w:szCs w:val="26"/>
        </w:rPr>
        <w:t>), and stated that the adjustment wa</w:t>
      </w:r>
      <w:r w:rsidRPr="00F03813">
        <w:rPr>
          <w:rFonts w:cs="Times New Roman"/>
          <w:szCs w:val="26"/>
        </w:rPr>
        <w:t>s necessary</w:t>
      </w:r>
      <w:r w:rsidRPr="008616C6">
        <w:rPr>
          <w:rFonts w:cs="Times New Roman"/>
          <w:szCs w:val="26"/>
        </w:rPr>
        <w:t xml:space="preserve"> because the DCF method produces the investor required return based on the current market price, not the return on the book value capitalization</w:t>
      </w:r>
      <w:r>
        <w:rPr>
          <w:rFonts w:cs="Times New Roman"/>
          <w:szCs w:val="26"/>
        </w:rPr>
        <w:t>.  CWC Exc. at 11.</w:t>
      </w:r>
      <w:r>
        <w:rPr>
          <w:rStyle w:val="FootnoteReference"/>
          <w:rFonts w:cs="Times New Roman"/>
          <w:szCs w:val="26"/>
        </w:rPr>
        <w:footnoteReference w:id="21"/>
      </w:r>
      <w:r>
        <w:rPr>
          <w:rFonts w:cs="Times New Roman"/>
          <w:szCs w:val="26"/>
        </w:rPr>
        <w:t xml:space="preserve">  </w:t>
      </w:r>
    </w:p>
    <w:p w:rsidR="004F0789" w:rsidRPr="00F03813" w:rsidRDefault="004F0789" w:rsidP="004F0789">
      <w:pPr>
        <w:rPr>
          <w:rFonts w:cs="Times New Roman"/>
          <w:szCs w:val="26"/>
        </w:rPr>
      </w:pPr>
    </w:p>
    <w:p w:rsidR="004F0789" w:rsidRDefault="004F0789" w:rsidP="004F0789">
      <w:pPr>
        <w:pStyle w:val="BodyText"/>
        <w:keepNext/>
        <w:spacing w:after="0"/>
        <w:rPr>
          <w:rFonts w:cs="Times New Roman"/>
          <w:szCs w:val="26"/>
        </w:rPr>
      </w:pPr>
      <w:r>
        <w:rPr>
          <w:rFonts w:cs="Times New Roman"/>
          <w:szCs w:val="26"/>
        </w:rPr>
        <w:t xml:space="preserve">Columbia states that it </w:t>
      </w:r>
      <w:r w:rsidRPr="00F03813">
        <w:rPr>
          <w:rFonts w:cs="Times New Roman"/>
          <w:szCs w:val="26"/>
        </w:rPr>
        <w:t>is not requesting a specific adjustment</w:t>
      </w:r>
      <w:r>
        <w:rPr>
          <w:rFonts w:cs="Times New Roman"/>
          <w:szCs w:val="26"/>
        </w:rPr>
        <w:t xml:space="preserve"> to the DCF result, but does </w:t>
      </w:r>
      <w:r w:rsidRPr="00F03813">
        <w:rPr>
          <w:rFonts w:cs="Times New Roman"/>
          <w:szCs w:val="26"/>
        </w:rPr>
        <w:t>request th</w:t>
      </w:r>
      <w:r>
        <w:rPr>
          <w:rFonts w:cs="Times New Roman"/>
          <w:szCs w:val="26"/>
        </w:rPr>
        <w:t xml:space="preserve">at the Commission consider </w:t>
      </w:r>
      <w:r w:rsidRPr="00F03813">
        <w:rPr>
          <w:rFonts w:cs="Times New Roman"/>
          <w:szCs w:val="26"/>
        </w:rPr>
        <w:t xml:space="preserve">appropriate adjustments and multiple models when determining the ROE for Columbia in this case.  </w:t>
      </w:r>
      <w:r>
        <w:rPr>
          <w:rFonts w:cs="Times New Roman"/>
          <w:szCs w:val="26"/>
        </w:rPr>
        <w:t xml:space="preserve">Columbia argues that </w:t>
      </w:r>
      <w:r w:rsidRPr="00F03813">
        <w:rPr>
          <w:rFonts w:cs="Times New Roman"/>
          <w:szCs w:val="26"/>
        </w:rPr>
        <w:t>the use of multiple comm</w:t>
      </w:r>
      <w:r>
        <w:rPr>
          <w:rFonts w:cs="Times New Roman"/>
          <w:szCs w:val="26"/>
        </w:rPr>
        <w:t xml:space="preserve">on equity cost rate models </w:t>
      </w:r>
      <w:r w:rsidRPr="00F03813">
        <w:rPr>
          <w:rFonts w:cs="Times New Roman"/>
          <w:szCs w:val="26"/>
        </w:rPr>
        <w:t>adds reliability when arriving at a recommended common equity cost rate</w:t>
      </w:r>
      <w:r>
        <w:rPr>
          <w:rFonts w:cs="Times New Roman"/>
          <w:szCs w:val="26"/>
        </w:rPr>
        <w:t xml:space="preserve">, and that </w:t>
      </w:r>
      <w:r w:rsidRPr="00F03813">
        <w:rPr>
          <w:rFonts w:cs="Times New Roman"/>
          <w:szCs w:val="26"/>
        </w:rPr>
        <w:t xml:space="preserve">it is against basic financial precepts to </w:t>
      </w:r>
      <w:r>
        <w:rPr>
          <w:rFonts w:cs="Times New Roman"/>
          <w:szCs w:val="26"/>
        </w:rPr>
        <w:t xml:space="preserve">rely exclusively </w:t>
      </w:r>
      <w:r w:rsidRPr="00F03813">
        <w:rPr>
          <w:rFonts w:cs="Times New Roman"/>
          <w:szCs w:val="26"/>
        </w:rPr>
        <w:t>upon one cost o</w:t>
      </w:r>
      <w:r>
        <w:rPr>
          <w:rFonts w:cs="Times New Roman"/>
          <w:szCs w:val="26"/>
        </w:rPr>
        <w:t>f common equity model</w:t>
      </w:r>
      <w:r w:rsidRPr="00F03813">
        <w:rPr>
          <w:rFonts w:cs="Times New Roman"/>
          <w:szCs w:val="26"/>
        </w:rPr>
        <w:t>.</w:t>
      </w:r>
      <w:r>
        <w:rPr>
          <w:rFonts w:cs="Times New Roman"/>
          <w:szCs w:val="26"/>
        </w:rPr>
        <w:t xml:space="preserve">  </w:t>
      </w:r>
      <w:r w:rsidRPr="009D41D5">
        <w:rPr>
          <w:rFonts w:cs="Times New Roman"/>
          <w:i/>
          <w:szCs w:val="26"/>
        </w:rPr>
        <w:t>Id</w:t>
      </w:r>
      <w:r>
        <w:rPr>
          <w:rFonts w:cs="Times New Roman"/>
          <w:szCs w:val="26"/>
        </w:rPr>
        <w:t xml:space="preserve">. at 12-14. </w:t>
      </w:r>
    </w:p>
    <w:p w:rsidR="004F0789" w:rsidRPr="00F03813" w:rsidRDefault="004F0789" w:rsidP="004F0789">
      <w:pPr>
        <w:rPr>
          <w:rFonts w:cs="Times New Roman"/>
          <w:szCs w:val="26"/>
        </w:rPr>
      </w:pPr>
    </w:p>
    <w:p w:rsidR="004F0789" w:rsidRDefault="004F0789" w:rsidP="004F0789">
      <w:pPr>
        <w:contextualSpacing/>
        <w:rPr>
          <w:rFonts w:cs="Times New Roman"/>
          <w:szCs w:val="26"/>
        </w:rPr>
      </w:pPr>
      <w:r>
        <w:rPr>
          <w:rFonts w:cs="Times New Roman"/>
          <w:szCs w:val="26"/>
        </w:rPr>
        <w:t xml:space="preserve">Columbia submits that its witness recommended a ROE </w:t>
      </w:r>
      <w:r w:rsidRPr="00F03813">
        <w:rPr>
          <w:rFonts w:cs="Times New Roman"/>
          <w:szCs w:val="26"/>
        </w:rPr>
        <w:t>of 10.85%</w:t>
      </w:r>
      <w:r>
        <w:rPr>
          <w:rFonts w:cs="Times New Roman"/>
          <w:szCs w:val="26"/>
        </w:rPr>
        <w:t xml:space="preserve"> (net of the requested 0.50% premium) </w:t>
      </w:r>
      <w:r w:rsidRPr="00F03813">
        <w:rPr>
          <w:rFonts w:cs="Times New Roman"/>
          <w:szCs w:val="26"/>
        </w:rPr>
        <w:t>based on an assessment of multiple market-based cost of common equity models using a</w:t>
      </w:r>
      <w:r>
        <w:rPr>
          <w:rFonts w:cs="Times New Roman"/>
          <w:szCs w:val="26"/>
        </w:rPr>
        <w:t xml:space="preserve"> proxy group of water companies.</w:t>
      </w:r>
      <w:r w:rsidRPr="00F03813">
        <w:rPr>
          <w:rStyle w:val="FootnoteReference"/>
          <w:rFonts w:cs="Times New Roman"/>
          <w:szCs w:val="26"/>
        </w:rPr>
        <w:footnoteReference w:id="22"/>
      </w:r>
      <w:r>
        <w:rPr>
          <w:rFonts w:cs="Times New Roman"/>
          <w:szCs w:val="26"/>
        </w:rPr>
        <w:t xml:space="preserve">  According to Columbia, its witness was the only one who </w:t>
      </w:r>
      <w:r w:rsidRPr="00F03813">
        <w:rPr>
          <w:rFonts w:cs="Times New Roman"/>
          <w:szCs w:val="26"/>
        </w:rPr>
        <w:t xml:space="preserve">relied on multiple methodologies to estimate the required </w:t>
      </w:r>
      <w:r w:rsidRPr="00F03813">
        <w:rPr>
          <w:rFonts w:cs="Times New Roman"/>
          <w:szCs w:val="26"/>
        </w:rPr>
        <w:lastRenderedPageBreak/>
        <w:t>re</w:t>
      </w:r>
      <w:r>
        <w:rPr>
          <w:rFonts w:cs="Times New Roman"/>
          <w:szCs w:val="26"/>
        </w:rPr>
        <w:t xml:space="preserve">turn on equity, whereas </w:t>
      </w:r>
      <w:r w:rsidRPr="00F03813">
        <w:rPr>
          <w:rFonts w:cs="Times New Roman"/>
          <w:szCs w:val="26"/>
        </w:rPr>
        <w:t>both I&amp;E</w:t>
      </w:r>
      <w:r>
        <w:rPr>
          <w:rFonts w:cs="Times New Roman"/>
          <w:szCs w:val="26"/>
        </w:rPr>
        <w:t>’s</w:t>
      </w:r>
      <w:r w:rsidRPr="00F03813">
        <w:rPr>
          <w:rFonts w:cs="Times New Roman"/>
          <w:szCs w:val="26"/>
        </w:rPr>
        <w:t xml:space="preserve"> and </w:t>
      </w:r>
      <w:r>
        <w:rPr>
          <w:rFonts w:cs="Times New Roman"/>
          <w:szCs w:val="26"/>
        </w:rPr>
        <w:t xml:space="preserve">the </w:t>
      </w:r>
      <w:r w:rsidRPr="00F03813">
        <w:rPr>
          <w:rFonts w:cs="Times New Roman"/>
          <w:szCs w:val="26"/>
        </w:rPr>
        <w:t>OCA</w:t>
      </w:r>
      <w:r>
        <w:rPr>
          <w:rFonts w:cs="Times New Roman"/>
          <w:szCs w:val="26"/>
        </w:rPr>
        <w:t xml:space="preserve">’s witnesses </w:t>
      </w:r>
      <w:r w:rsidRPr="00F03813">
        <w:rPr>
          <w:rFonts w:cs="Times New Roman"/>
          <w:szCs w:val="26"/>
        </w:rPr>
        <w:t>focused solel</w:t>
      </w:r>
      <w:r>
        <w:rPr>
          <w:rFonts w:cs="Times New Roman"/>
          <w:szCs w:val="26"/>
        </w:rPr>
        <w:t xml:space="preserve">y on the DCF methodology.  </w:t>
      </w:r>
      <w:r w:rsidRPr="009D41D5">
        <w:rPr>
          <w:rFonts w:cs="Times New Roman"/>
          <w:i/>
          <w:szCs w:val="26"/>
        </w:rPr>
        <w:t>Id</w:t>
      </w:r>
      <w:r w:rsidRPr="00C16BD5">
        <w:rPr>
          <w:rFonts w:cs="Times New Roman"/>
          <w:szCs w:val="26"/>
        </w:rPr>
        <w:t>. at 14.</w:t>
      </w:r>
    </w:p>
    <w:p w:rsidR="004F0789" w:rsidRDefault="004F0789" w:rsidP="004F0789">
      <w:pPr>
        <w:contextualSpacing/>
        <w:rPr>
          <w:rFonts w:cs="Times New Roman"/>
          <w:szCs w:val="26"/>
        </w:rPr>
      </w:pPr>
    </w:p>
    <w:p w:rsidR="004F0789" w:rsidRPr="008C673B" w:rsidRDefault="004F0789" w:rsidP="00EE5D88">
      <w:pPr>
        <w:keepNext/>
        <w:spacing w:line="240" w:lineRule="auto"/>
        <w:contextualSpacing/>
        <w:rPr>
          <w:rFonts w:cs="Times New Roman"/>
          <w:b/>
          <w:szCs w:val="26"/>
        </w:rPr>
      </w:pPr>
      <w:r>
        <w:rPr>
          <w:rFonts w:cs="Times New Roman"/>
          <w:szCs w:val="26"/>
        </w:rPr>
        <w:tab/>
      </w:r>
      <w:r w:rsidRPr="008C673B">
        <w:rPr>
          <w:rFonts w:cs="Times New Roman"/>
          <w:b/>
          <w:szCs w:val="26"/>
        </w:rPr>
        <w:t>d.</w:t>
      </w:r>
      <w:r w:rsidRPr="008C673B">
        <w:rPr>
          <w:rFonts w:cs="Times New Roman"/>
          <w:b/>
          <w:szCs w:val="26"/>
        </w:rPr>
        <w:tab/>
        <w:t>Reply Exceptions</w:t>
      </w:r>
    </w:p>
    <w:p w:rsidR="004F0789" w:rsidRPr="008C673B" w:rsidRDefault="004F0789" w:rsidP="00EE5D88">
      <w:pPr>
        <w:keepNext/>
        <w:contextualSpacing/>
        <w:rPr>
          <w:rFonts w:cs="Times New Roman"/>
          <w:b/>
          <w:szCs w:val="26"/>
        </w:rPr>
      </w:pPr>
    </w:p>
    <w:p w:rsidR="004F0789" w:rsidRPr="008C673B" w:rsidRDefault="004F0789" w:rsidP="00EE5D88">
      <w:pPr>
        <w:keepNext/>
        <w:contextualSpacing/>
        <w:rPr>
          <w:szCs w:val="26"/>
        </w:rPr>
      </w:pPr>
      <w:r>
        <w:rPr>
          <w:szCs w:val="26"/>
        </w:rPr>
        <w:t>In its Reply Exceptions, I&amp;E objects to Columbia’s “</w:t>
      </w:r>
      <w:r w:rsidRPr="008C673B">
        <w:rPr>
          <w:szCs w:val="26"/>
        </w:rPr>
        <w:t>completely unsupported assertions that were not offered into the evidentiary record by Columbia at any point during this proceeding.</w:t>
      </w:r>
      <w:r>
        <w:rPr>
          <w:szCs w:val="26"/>
        </w:rPr>
        <w:t>”</w:t>
      </w:r>
      <w:r w:rsidRPr="00F34A3D">
        <w:rPr>
          <w:rStyle w:val="FootnoteReference"/>
          <w:szCs w:val="26"/>
        </w:rPr>
        <w:t xml:space="preserve"> </w:t>
      </w:r>
      <w:r>
        <w:rPr>
          <w:rStyle w:val="FootnoteReference"/>
          <w:szCs w:val="26"/>
        </w:rPr>
        <w:footnoteReference w:id="23"/>
      </w:r>
      <w:r w:rsidRPr="008C673B">
        <w:rPr>
          <w:szCs w:val="26"/>
        </w:rPr>
        <w:t xml:space="preserve">  </w:t>
      </w:r>
      <w:r>
        <w:rPr>
          <w:szCs w:val="26"/>
        </w:rPr>
        <w:t xml:space="preserve">I&amp;E R.Exc. at 10.  </w:t>
      </w:r>
      <w:r w:rsidRPr="008C673B">
        <w:rPr>
          <w:szCs w:val="26"/>
        </w:rPr>
        <w:t>I</w:t>
      </w:r>
      <w:r>
        <w:rPr>
          <w:szCs w:val="26"/>
        </w:rPr>
        <w:t xml:space="preserve">&amp;E </w:t>
      </w:r>
      <w:r w:rsidRPr="008C673B">
        <w:rPr>
          <w:szCs w:val="26"/>
        </w:rPr>
        <w:t>request</w:t>
      </w:r>
      <w:r>
        <w:rPr>
          <w:szCs w:val="26"/>
        </w:rPr>
        <w:t>s</w:t>
      </w:r>
      <w:r w:rsidRPr="008C673B">
        <w:rPr>
          <w:szCs w:val="26"/>
        </w:rPr>
        <w:t xml:space="preserve"> that the Commi</w:t>
      </w:r>
      <w:r>
        <w:rPr>
          <w:szCs w:val="26"/>
        </w:rPr>
        <w:t xml:space="preserve">ssion give no weight to Columbia’s </w:t>
      </w:r>
      <w:r w:rsidRPr="008C673B">
        <w:rPr>
          <w:szCs w:val="26"/>
        </w:rPr>
        <w:t xml:space="preserve">unsubstantiated assertions.  </w:t>
      </w:r>
    </w:p>
    <w:p w:rsidR="004F0789" w:rsidRPr="008C673B" w:rsidRDefault="004F0789" w:rsidP="004F0789">
      <w:pPr>
        <w:contextualSpacing/>
        <w:rPr>
          <w:szCs w:val="26"/>
        </w:rPr>
      </w:pPr>
    </w:p>
    <w:p w:rsidR="004F0789" w:rsidRDefault="004F0789" w:rsidP="004F0789">
      <w:pPr>
        <w:contextualSpacing/>
        <w:rPr>
          <w:szCs w:val="26"/>
        </w:rPr>
      </w:pPr>
      <w:r>
        <w:rPr>
          <w:szCs w:val="26"/>
        </w:rPr>
        <w:t xml:space="preserve">Contrary to Columbia’s argument that I&amp;E’s recommended ROE was based solely on the DCF model, I&amp;E submits that </w:t>
      </w:r>
      <w:r w:rsidRPr="008C673B">
        <w:rPr>
          <w:szCs w:val="26"/>
        </w:rPr>
        <w:t>its rat</w:t>
      </w:r>
      <w:r>
        <w:rPr>
          <w:szCs w:val="26"/>
        </w:rPr>
        <w:t xml:space="preserve">e of return witness </w:t>
      </w:r>
      <w:r w:rsidRPr="008C673B">
        <w:rPr>
          <w:szCs w:val="26"/>
        </w:rPr>
        <w:t xml:space="preserve">used </w:t>
      </w:r>
      <w:r>
        <w:rPr>
          <w:szCs w:val="26"/>
        </w:rPr>
        <w:t>both a</w:t>
      </w:r>
      <w:r w:rsidRPr="008C673B">
        <w:rPr>
          <w:szCs w:val="26"/>
        </w:rPr>
        <w:t xml:space="preserve"> DCF and </w:t>
      </w:r>
      <w:r>
        <w:rPr>
          <w:szCs w:val="26"/>
        </w:rPr>
        <w:t>a CAPM analysis</w:t>
      </w:r>
      <w:r w:rsidRPr="008C673B">
        <w:rPr>
          <w:szCs w:val="26"/>
        </w:rPr>
        <w:t xml:space="preserve">, with the </w:t>
      </w:r>
      <w:r>
        <w:rPr>
          <w:szCs w:val="26"/>
        </w:rPr>
        <w:t>DCF method being</w:t>
      </w:r>
      <w:r w:rsidRPr="008C673B">
        <w:rPr>
          <w:szCs w:val="26"/>
        </w:rPr>
        <w:t xml:space="preserve"> the </w:t>
      </w:r>
      <w:r w:rsidRPr="00F34A3D">
        <w:rPr>
          <w:szCs w:val="26"/>
        </w:rPr>
        <w:t>primary</w:t>
      </w:r>
      <w:r>
        <w:rPr>
          <w:szCs w:val="26"/>
        </w:rPr>
        <w:t xml:space="preserve"> method, </w:t>
      </w:r>
      <w:r w:rsidRPr="008C673B">
        <w:rPr>
          <w:szCs w:val="26"/>
        </w:rPr>
        <w:t xml:space="preserve">and the CAPM </w:t>
      </w:r>
      <w:r>
        <w:rPr>
          <w:szCs w:val="26"/>
        </w:rPr>
        <w:t xml:space="preserve">used </w:t>
      </w:r>
      <w:r w:rsidRPr="008C673B">
        <w:rPr>
          <w:szCs w:val="26"/>
        </w:rPr>
        <w:t xml:space="preserve">as a comparison to the DCF results.  I&amp;E </w:t>
      </w:r>
      <w:r>
        <w:rPr>
          <w:szCs w:val="26"/>
        </w:rPr>
        <w:t xml:space="preserve">R.Exc. at 12; I&amp;E </w:t>
      </w:r>
      <w:r w:rsidRPr="008C673B">
        <w:rPr>
          <w:szCs w:val="26"/>
        </w:rPr>
        <w:t>M</w:t>
      </w:r>
      <w:r>
        <w:rPr>
          <w:szCs w:val="26"/>
        </w:rPr>
        <w:t>.</w:t>
      </w:r>
      <w:r w:rsidRPr="008C673B">
        <w:rPr>
          <w:szCs w:val="26"/>
        </w:rPr>
        <w:t>B</w:t>
      </w:r>
      <w:r>
        <w:rPr>
          <w:szCs w:val="26"/>
        </w:rPr>
        <w:t xml:space="preserve">. at </w:t>
      </w:r>
      <w:r w:rsidRPr="008C673B">
        <w:rPr>
          <w:szCs w:val="26"/>
        </w:rPr>
        <w:t xml:space="preserve">47-48.  </w:t>
      </w:r>
      <w:r>
        <w:rPr>
          <w:szCs w:val="26"/>
        </w:rPr>
        <w:t xml:space="preserve">I&amp;E asserts that the Commission </w:t>
      </w:r>
      <w:r w:rsidRPr="008C673B">
        <w:rPr>
          <w:szCs w:val="26"/>
        </w:rPr>
        <w:t xml:space="preserve">traditionally </w:t>
      </w:r>
      <w:r>
        <w:rPr>
          <w:szCs w:val="26"/>
        </w:rPr>
        <w:t xml:space="preserve">has </w:t>
      </w:r>
      <w:r w:rsidRPr="008C673B">
        <w:rPr>
          <w:szCs w:val="26"/>
        </w:rPr>
        <w:t xml:space="preserve">relied on the DCF </w:t>
      </w:r>
      <w:r>
        <w:rPr>
          <w:szCs w:val="26"/>
        </w:rPr>
        <w:t xml:space="preserve">method </w:t>
      </w:r>
      <w:r w:rsidRPr="008C673B">
        <w:rPr>
          <w:szCs w:val="26"/>
        </w:rPr>
        <w:t>and informed judgment in determining the cost of common equ</w:t>
      </w:r>
      <w:r>
        <w:rPr>
          <w:szCs w:val="26"/>
        </w:rPr>
        <w:t>ity for utilities.</w:t>
      </w:r>
      <w:r>
        <w:rPr>
          <w:rStyle w:val="FootnoteReference"/>
          <w:szCs w:val="26"/>
        </w:rPr>
        <w:footnoteReference w:id="24"/>
      </w:r>
      <w:r>
        <w:rPr>
          <w:szCs w:val="26"/>
        </w:rPr>
        <w:t xml:space="preserve">  According to I&amp;E, the Company’s statements that I&amp;E relied exclusively </w:t>
      </w:r>
      <w:r w:rsidRPr="008C673B">
        <w:rPr>
          <w:szCs w:val="26"/>
        </w:rPr>
        <w:t>upon the DCF analysis</w:t>
      </w:r>
      <w:r>
        <w:rPr>
          <w:szCs w:val="26"/>
        </w:rPr>
        <w:t xml:space="preserve"> are inaccurate</w:t>
      </w:r>
      <w:r w:rsidRPr="008C673B">
        <w:rPr>
          <w:szCs w:val="26"/>
        </w:rPr>
        <w:t>.</w:t>
      </w:r>
      <w:r>
        <w:rPr>
          <w:szCs w:val="26"/>
        </w:rPr>
        <w:t xml:space="preserve">  I&amp;E R.Exc. at 12.</w:t>
      </w:r>
      <w:r w:rsidRPr="008C673B">
        <w:rPr>
          <w:szCs w:val="26"/>
        </w:rPr>
        <w:t xml:space="preserve"> </w:t>
      </w:r>
    </w:p>
    <w:p w:rsidR="004F0789" w:rsidRPr="008C673B" w:rsidRDefault="004F0789" w:rsidP="004F0789">
      <w:pPr>
        <w:contextualSpacing/>
        <w:rPr>
          <w:szCs w:val="26"/>
        </w:rPr>
      </w:pPr>
    </w:p>
    <w:p w:rsidR="004F0789" w:rsidRDefault="004F0789" w:rsidP="004F0789">
      <w:pPr>
        <w:contextualSpacing/>
        <w:rPr>
          <w:szCs w:val="26"/>
        </w:rPr>
      </w:pPr>
      <w:r>
        <w:rPr>
          <w:szCs w:val="26"/>
        </w:rPr>
        <w:t>I&amp;E also takes issue with Columbia’s statement that “[n]</w:t>
      </w:r>
      <w:r w:rsidRPr="008C673B">
        <w:rPr>
          <w:szCs w:val="26"/>
        </w:rPr>
        <w:t>either opposing witness during the testimonial part of the case nor the ALJ in his recommended decision discredited Mr. D</w:t>
      </w:r>
      <w:r>
        <w:rPr>
          <w:szCs w:val="26"/>
        </w:rPr>
        <w:t>’</w:t>
      </w:r>
      <w:r w:rsidRPr="008C673B">
        <w:rPr>
          <w:szCs w:val="26"/>
        </w:rPr>
        <w:t>Ascendis</w:t>
      </w:r>
      <w:r>
        <w:rPr>
          <w:szCs w:val="26"/>
        </w:rPr>
        <w:t>’</w:t>
      </w:r>
      <w:r w:rsidRPr="008C673B">
        <w:rPr>
          <w:szCs w:val="26"/>
        </w:rPr>
        <w:t xml:space="preserve"> use and application of multiple common equity models to determine his recommendation or any of his adjustments to the indicated common equity </w:t>
      </w:r>
      <w:r w:rsidRPr="008C673B">
        <w:rPr>
          <w:szCs w:val="26"/>
        </w:rPr>
        <w:lastRenderedPageBreak/>
        <w:t xml:space="preserve">cost rate by using financial </w:t>
      </w:r>
      <w:r>
        <w:rPr>
          <w:szCs w:val="26"/>
        </w:rPr>
        <w:t>literature</w:t>
      </w:r>
      <w:r w:rsidRPr="008C673B">
        <w:rPr>
          <w:szCs w:val="26"/>
        </w:rPr>
        <w:t>.</w:t>
      </w:r>
      <w:r>
        <w:rPr>
          <w:szCs w:val="26"/>
        </w:rPr>
        <w:t xml:space="preserve">”  </w:t>
      </w:r>
      <w:r w:rsidRPr="00BE5B9A">
        <w:rPr>
          <w:i/>
          <w:szCs w:val="26"/>
        </w:rPr>
        <w:t>Id</w:t>
      </w:r>
      <w:r>
        <w:rPr>
          <w:szCs w:val="26"/>
        </w:rPr>
        <w:t>. at 13</w:t>
      </w:r>
      <w:r w:rsidRPr="008C673B">
        <w:rPr>
          <w:szCs w:val="26"/>
        </w:rPr>
        <w:t xml:space="preserve">.  </w:t>
      </w:r>
      <w:r>
        <w:rPr>
          <w:szCs w:val="26"/>
        </w:rPr>
        <w:t xml:space="preserve">I&amp;E submits that its witness provided </w:t>
      </w:r>
      <w:r w:rsidRPr="008C673B">
        <w:rPr>
          <w:szCs w:val="26"/>
        </w:rPr>
        <w:t xml:space="preserve">extensive analysis and criticism </w:t>
      </w:r>
      <w:r>
        <w:rPr>
          <w:szCs w:val="26"/>
        </w:rPr>
        <w:t xml:space="preserve">of </w:t>
      </w:r>
      <w:r w:rsidRPr="008C673B">
        <w:rPr>
          <w:szCs w:val="26"/>
        </w:rPr>
        <w:t xml:space="preserve">a number of the methodologies employed by </w:t>
      </w:r>
      <w:r>
        <w:rPr>
          <w:szCs w:val="26"/>
        </w:rPr>
        <w:t xml:space="preserve">the </w:t>
      </w:r>
      <w:r w:rsidRPr="008C673B">
        <w:rPr>
          <w:szCs w:val="26"/>
        </w:rPr>
        <w:t xml:space="preserve">Company. </w:t>
      </w:r>
      <w:r>
        <w:rPr>
          <w:szCs w:val="26"/>
        </w:rPr>
        <w:t xml:space="preserve"> I&amp;E notes that its witness used a CAPM analysis to compare the results of the DCF analysis; however,</w:t>
      </w:r>
      <w:r w:rsidRPr="008C673B">
        <w:rPr>
          <w:szCs w:val="26"/>
        </w:rPr>
        <w:t xml:space="preserve"> </w:t>
      </w:r>
      <w:r>
        <w:rPr>
          <w:szCs w:val="26"/>
        </w:rPr>
        <w:t xml:space="preserve">I&amp;E’s witness also  referenced </w:t>
      </w:r>
      <w:r w:rsidRPr="008C673B">
        <w:rPr>
          <w:szCs w:val="26"/>
        </w:rPr>
        <w:t>several disad</w:t>
      </w:r>
      <w:r>
        <w:rPr>
          <w:szCs w:val="26"/>
        </w:rPr>
        <w:t>vantages to CAPM, which is why she did not use it</w:t>
      </w:r>
      <w:r w:rsidRPr="008C673B">
        <w:rPr>
          <w:szCs w:val="26"/>
        </w:rPr>
        <w:t xml:space="preserve"> as a</w:t>
      </w:r>
      <w:r>
        <w:rPr>
          <w:szCs w:val="26"/>
        </w:rPr>
        <w:t xml:space="preserve"> primary method of establishing ROE.  </w:t>
      </w:r>
      <w:r w:rsidRPr="00BE5B9A">
        <w:rPr>
          <w:i/>
          <w:szCs w:val="26"/>
        </w:rPr>
        <w:t>Id</w:t>
      </w:r>
      <w:r>
        <w:rPr>
          <w:szCs w:val="26"/>
        </w:rPr>
        <w:t>. at 13-14.</w:t>
      </w:r>
    </w:p>
    <w:p w:rsidR="004F0789" w:rsidRDefault="004F0789" w:rsidP="004F0789">
      <w:pPr>
        <w:contextualSpacing/>
        <w:rPr>
          <w:szCs w:val="26"/>
        </w:rPr>
      </w:pPr>
    </w:p>
    <w:p w:rsidR="004F0789" w:rsidRDefault="004F0789" w:rsidP="004F0789">
      <w:pPr>
        <w:contextualSpacing/>
        <w:rPr>
          <w:szCs w:val="26"/>
        </w:rPr>
      </w:pPr>
      <w:r>
        <w:rPr>
          <w:szCs w:val="26"/>
        </w:rPr>
        <w:t xml:space="preserve">I&amp;E submits that the DCF method is superior to other methodologies, and that its use of </w:t>
      </w:r>
      <w:r w:rsidRPr="008C673B">
        <w:rPr>
          <w:szCs w:val="26"/>
        </w:rPr>
        <w:t xml:space="preserve">DCF as the primary method </w:t>
      </w:r>
      <w:r>
        <w:rPr>
          <w:szCs w:val="26"/>
        </w:rPr>
        <w:t xml:space="preserve">to establish ROE was </w:t>
      </w:r>
      <w:r w:rsidRPr="008C673B">
        <w:rPr>
          <w:szCs w:val="26"/>
        </w:rPr>
        <w:t>appropriate</w:t>
      </w:r>
      <w:r>
        <w:rPr>
          <w:szCs w:val="26"/>
        </w:rPr>
        <w:t xml:space="preserve">.  According to I&amp;E, the DCF model: (1) is </w:t>
      </w:r>
      <w:r w:rsidRPr="008C673B">
        <w:rPr>
          <w:szCs w:val="26"/>
        </w:rPr>
        <w:t xml:space="preserve">based upon the concept that the receipt of dividends plus expected appreciation is the total return requirement </w:t>
      </w:r>
      <w:r>
        <w:rPr>
          <w:szCs w:val="26"/>
        </w:rPr>
        <w:t xml:space="preserve">determined by the market; (2) </w:t>
      </w:r>
      <w:r w:rsidRPr="008C673B">
        <w:rPr>
          <w:szCs w:val="26"/>
        </w:rPr>
        <w:t>uses the utilities</w:t>
      </w:r>
      <w:r>
        <w:rPr>
          <w:szCs w:val="26"/>
        </w:rPr>
        <w:t>’</w:t>
      </w:r>
      <w:r w:rsidRPr="008C673B">
        <w:rPr>
          <w:szCs w:val="26"/>
        </w:rPr>
        <w:t xml:space="preserve"> own stock prices and growth rates</w:t>
      </w:r>
      <w:r>
        <w:rPr>
          <w:szCs w:val="26"/>
        </w:rPr>
        <w:t>,</w:t>
      </w:r>
      <w:r w:rsidRPr="008C673B">
        <w:rPr>
          <w:szCs w:val="26"/>
        </w:rPr>
        <w:t xml:space="preserve"> which are directly employ</w:t>
      </w:r>
      <w:r>
        <w:rPr>
          <w:szCs w:val="26"/>
        </w:rPr>
        <w:t>ed in a formalistic calculation; (3)</w:t>
      </w:r>
      <w:r w:rsidRPr="008C673B">
        <w:rPr>
          <w:szCs w:val="26"/>
        </w:rPr>
        <w:t xml:space="preserve"> recognizes the time value </w:t>
      </w:r>
      <w:r>
        <w:rPr>
          <w:szCs w:val="26"/>
        </w:rPr>
        <w:t xml:space="preserve">of money and is forward-looking; and (4) </w:t>
      </w:r>
      <w:r w:rsidRPr="008C673B">
        <w:rPr>
          <w:szCs w:val="26"/>
        </w:rPr>
        <w:t xml:space="preserve">has the most wide-spread regulatory acceptance.  </w:t>
      </w:r>
      <w:r w:rsidRPr="00087A18">
        <w:rPr>
          <w:i/>
          <w:szCs w:val="26"/>
        </w:rPr>
        <w:t>Id</w:t>
      </w:r>
      <w:r>
        <w:rPr>
          <w:szCs w:val="26"/>
        </w:rPr>
        <w:t>.  For the</w:t>
      </w:r>
      <w:r w:rsidRPr="008C673B">
        <w:rPr>
          <w:szCs w:val="26"/>
        </w:rPr>
        <w:t>s</w:t>
      </w:r>
      <w:r>
        <w:rPr>
          <w:szCs w:val="26"/>
        </w:rPr>
        <w:t>e reasons</w:t>
      </w:r>
      <w:r w:rsidRPr="008C673B">
        <w:rPr>
          <w:szCs w:val="26"/>
        </w:rPr>
        <w:t xml:space="preserve">, </w:t>
      </w:r>
      <w:r>
        <w:rPr>
          <w:szCs w:val="26"/>
        </w:rPr>
        <w:t xml:space="preserve">I&amp;E submitted that </w:t>
      </w:r>
      <w:r w:rsidRPr="008C673B">
        <w:rPr>
          <w:szCs w:val="26"/>
        </w:rPr>
        <w:t>the Commission sh</w:t>
      </w:r>
      <w:r>
        <w:rPr>
          <w:szCs w:val="26"/>
        </w:rPr>
        <w:t xml:space="preserve">ould adopt the ALJ’s recommended Return on Equity </w:t>
      </w:r>
      <w:r w:rsidRPr="008C673B">
        <w:rPr>
          <w:szCs w:val="26"/>
        </w:rPr>
        <w:t>and r</w:t>
      </w:r>
      <w:r>
        <w:rPr>
          <w:szCs w:val="26"/>
        </w:rPr>
        <w:t xml:space="preserve">eject the Company’s Exception </w:t>
      </w:r>
      <w:r w:rsidRPr="008C673B">
        <w:rPr>
          <w:szCs w:val="26"/>
        </w:rPr>
        <w:t>in its entirety.</w:t>
      </w:r>
    </w:p>
    <w:p w:rsidR="004F0789" w:rsidRDefault="004F0789" w:rsidP="004F0789">
      <w:pPr>
        <w:contextualSpacing/>
        <w:rPr>
          <w:szCs w:val="26"/>
        </w:rPr>
      </w:pPr>
    </w:p>
    <w:p w:rsidR="004F0789" w:rsidRDefault="004F0789" w:rsidP="004F0789">
      <w:pPr>
        <w:contextualSpacing/>
        <w:rPr>
          <w:szCs w:val="26"/>
        </w:rPr>
      </w:pPr>
      <w:r>
        <w:rPr>
          <w:szCs w:val="26"/>
        </w:rPr>
        <w:t>In its Reply Exceptions, the OCA states that the ALJ’s reliance on the DCF methodology was reasonable, and that reliance on other models that have multiple flaws is not a reasonable approach to determining the appropriate r</w:t>
      </w:r>
      <w:r w:rsidR="003E7AED">
        <w:rPr>
          <w:szCs w:val="26"/>
        </w:rPr>
        <w:t>eturn on equity.  OCA R.Exc. at </w:t>
      </w:r>
      <w:r>
        <w:rPr>
          <w:szCs w:val="26"/>
        </w:rPr>
        <w:t xml:space="preserve">3.  The OCA asserts that the Commission favors the use of a DCF analysis, and that the Commission relied primarily on the DCF methodology, along with informed judgment and consulting other models, in Columbia’s </w:t>
      </w:r>
      <w:r w:rsidRPr="00F0105F">
        <w:rPr>
          <w:i/>
          <w:szCs w:val="26"/>
        </w:rPr>
        <w:t>2009 Rate Case Order</w:t>
      </w:r>
      <w:r>
        <w:rPr>
          <w:szCs w:val="26"/>
        </w:rPr>
        <w:t xml:space="preserve">.  </w:t>
      </w:r>
      <w:r w:rsidRPr="00F0105F">
        <w:rPr>
          <w:i/>
          <w:szCs w:val="26"/>
        </w:rPr>
        <w:t>Id</w:t>
      </w:r>
      <w:r>
        <w:rPr>
          <w:szCs w:val="26"/>
        </w:rPr>
        <w:t xml:space="preserve">. at 4.  The OCA submits that the ALJ’s recommendation was reasonable, and consistent with the Commission’s approach to determining a rate of return that balances the interests of the utility and its ratepayers.  </w:t>
      </w:r>
      <w:r w:rsidRPr="00F0105F">
        <w:rPr>
          <w:i/>
          <w:szCs w:val="26"/>
        </w:rPr>
        <w:t>Id</w:t>
      </w:r>
      <w:r>
        <w:rPr>
          <w:szCs w:val="26"/>
        </w:rPr>
        <w:t>. at 5.</w:t>
      </w:r>
    </w:p>
    <w:p w:rsidR="004F0789" w:rsidRDefault="004F0789" w:rsidP="004F0789">
      <w:pPr>
        <w:contextualSpacing/>
        <w:rPr>
          <w:szCs w:val="26"/>
        </w:rPr>
      </w:pPr>
    </w:p>
    <w:p w:rsidR="004F0789" w:rsidRDefault="004F0789" w:rsidP="000957FA">
      <w:pPr>
        <w:keepNext/>
        <w:spacing w:line="240" w:lineRule="auto"/>
        <w:contextualSpacing/>
        <w:rPr>
          <w:b/>
          <w:szCs w:val="26"/>
        </w:rPr>
      </w:pPr>
      <w:r>
        <w:rPr>
          <w:szCs w:val="26"/>
        </w:rPr>
        <w:lastRenderedPageBreak/>
        <w:tab/>
      </w:r>
      <w:r w:rsidRPr="00F0105F">
        <w:rPr>
          <w:b/>
          <w:szCs w:val="26"/>
        </w:rPr>
        <w:t>e.</w:t>
      </w:r>
      <w:r w:rsidRPr="00F0105F">
        <w:rPr>
          <w:b/>
          <w:szCs w:val="26"/>
        </w:rPr>
        <w:tab/>
        <w:t>Disposition</w:t>
      </w:r>
    </w:p>
    <w:p w:rsidR="004F0789" w:rsidRDefault="004F0789" w:rsidP="000957FA">
      <w:pPr>
        <w:keepNext/>
        <w:contextualSpacing/>
        <w:rPr>
          <w:b/>
          <w:szCs w:val="26"/>
        </w:rPr>
      </w:pPr>
    </w:p>
    <w:p w:rsidR="004F0789" w:rsidRDefault="004F0789" w:rsidP="000957FA">
      <w:pPr>
        <w:keepNext/>
        <w:contextualSpacing/>
        <w:rPr>
          <w:szCs w:val="26"/>
        </w:rPr>
      </w:pPr>
      <w:r>
        <w:rPr>
          <w:szCs w:val="26"/>
        </w:rPr>
        <w:t xml:space="preserve">Upon consideration of the evidence in this proceeding, we will modify the ALJ’s recommendation and adopt a rate of return on common equity of </w:t>
      </w:r>
      <w:r w:rsidRPr="005B062B">
        <w:rPr>
          <w:szCs w:val="26"/>
        </w:rPr>
        <w:t>9.75%.</w:t>
      </w:r>
    </w:p>
    <w:p w:rsidR="004F0789" w:rsidRDefault="004F0789" w:rsidP="004F0789">
      <w:pPr>
        <w:contextualSpacing/>
        <w:rPr>
          <w:szCs w:val="26"/>
        </w:rPr>
      </w:pPr>
    </w:p>
    <w:p w:rsidR="004F0789" w:rsidRDefault="004F0789" w:rsidP="004F0789">
      <w:pPr>
        <w:contextualSpacing/>
        <w:rPr>
          <w:szCs w:val="26"/>
        </w:rPr>
      </w:pPr>
      <w:r>
        <w:rPr>
          <w:szCs w:val="26"/>
        </w:rPr>
        <w:t xml:space="preserve">Rate of return </w:t>
      </w:r>
      <w:r w:rsidR="00B95451">
        <w:rPr>
          <w:szCs w:val="26"/>
        </w:rPr>
        <w:t>o</w:t>
      </w:r>
      <w:r>
        <w:rPr>
          <w:szCs w:val="26"/>
        </w:rPr>
        <w:t>n common equity frequently is the most material and most contested issue in a base rate proceeding.  This case is no different, and the setting of an appropriate ROE is even more critical as our Pennsylvania utilities implement plans to accelerate the much-needed replacement of aging infrastructure.  Attracting capital to Pennsylvania at reasonable rates has never been more important to Columbia, its customers, and our Commonwealth.</w:t>
      </w:r>
    </w:p>
    <w:p w:rsidR="004F0789" w:rsidRDefault="004F0789" w:rsidP="004F0789">
      <w:pPr>
        <w:contextualSpacing/>
        <w:rPr>
          <w:szCs w:val="26"/>
        </w:rPr>
      </w:pPr>
    </w:p>
    <w:p w:rsidR="004F0789" w:rsidRPr="00F72E0E" w:rsidRDefault="004F0789" w:rsidP="004F0789">
      <w:pPr>
        <w:contextualSpacing/>
        <w:rPr>
          <w:szCs w:val="26"/>
        </w:rPr>
      </w:pPr>
      <w:r>
        <w:rPr>
          <w:szCs w:val="26"/>
        </w:rPr>
        <w:t xml:space="preserve">In this case, the range of ROE recommendations presented by the Parties based on the DCF methodology is </w:t>
      </w:r>
      <w:r w:rsidRPr="00D15CC0">
        <w:rPr>
          <w:szCs w:val="26"/>
        </w:rPr>
        <w:t>8.25% to 11.35%</w:t>
      </w:r>
      <w:r>
        <w:rPr>
          <w:szCs w:val="26"/>
        </w:rPr>
        <w:t xml:space="preserve">.  Based on our review of the testimony, data, and cost models presented, we believe that the evidence in this case supports an ROE finding in the reasonable range of </w:t>
      </w:r>
      <w:r w:rsidRPr="00D15CC0">
        <w:rPr>
          <w:szCs w:val="26"/>
        </w:rPr>
        <w:t>9.25% to 10.25%</w:t>
      </w:r>
      <w:r>
        <w:rPr>
          <w:szCs w:val="26"/>
        </w:rPr>
        <w:t xml:space="preserve"> using the DCF method as the foundation.  The equity-heavy capital structure of Columbia indicates that a slightly lower ROE is appropriate.  However, the small size of the Company, its management effectiveness, and the results of ROE models other than DCF are all reasons to set a higher ROE.  Therefore, </w:t>
      </w:r>
      <w:r w:rsidR="00B95451">
        <w:rPr>
          <w:szCs w:val="26"/>
        </w:rPr>
        <w:t xml:space="preserve">within our indicated range of reasonableness, </w:t>
      </w:r>
      <w:r>
        <w:rPr>
          <w:szCs w:val="26"/>
        </w:rPr>
        <w:t>we conclude that a ROE of 9.75% is appropriate</w:t>
      </w:r>
      <w:r w:rsidR="00B95451">
        <w:rPr>
          <w:szCs w:val="26"/>
        </w:rPr>
        <w:t xml:space="preserve"> for our ratemaking determinations herein</w:t>
      </w:r>
      <w:r>
        <w:rPr>
          <w:szCs w:val="26"/>
        </w:rPr>
        <w:t>.</w:t>
      </w:r>
    </w:p>
    <w:p w:rsidR="004F0789" w:rsidRDefault="004F0789" w:rsidP="004F0789">
      <w:pPr>
        <w:contextualSpacing/>
        <w:rPr>
          <w:rFonts w:cs="Times New Roman"/>
          <w:szCs w:val="26"/>
        </w:rPr>
      </w:pPr>
    </w:p>
    <w:p w:rsidR="004F0789" w:rsidRPr="00AA08C6" w:rsidRDefault="004F0789" w:rsidP="00992768">
      <w:pPr>
        <w:pStyle w:val="Heading3"/>
        <w:rPr>
          <w:rFonts w:ascii="Times New Roman" w:hAnsi="Times New Roman" w:cs="Times New Roman"/>
        </w:rPr>
      </w:pPr>
      <w:bookmarkStart w:id="13" w:name="_Toc378080158"/>
      <w:r w:rsidRPr="00AA08C6">
        <w:rPr>
          <w:rFonts w:ascii="Times New Roman" w:hAnsi="Times New Roman" w:cs="Times New Roman"/>
        </w:rPr>
        <w:t>2.</w:t>
      </w:r>
      <w:r w:rsidRPr="000957FA">
        <w:tab/>
      </w:r>
      <w:r w:rsidRPr="00AA08C6">
        <w:rPr>
          <w:rFonts w:ascii="Times New Roman" w:hAnsi="Times New Roman" w:cs="Times New Roman"/>
        </w:rPr>
        <w:t>Rate of Return Premiums</w:t>
      </w:r>
      <w:bookmarkEnd w:id="13"/>
    </w:p>
    <w:p w:rsidR="004F0789" w:rsidRDefault="004F0789" w:rsidP="004F0789">
      <w:pPr>
        <w:contextualSpacing/>
        <w:rPr>
          <w:rFonts w:cs="Times New Roman"/>
          <w:b/>
          <w:szCs w:val="26"/>
        </w:rPr>
      </w:pPr>
    </w:p>
    <w:p w:rsidR="004F0789" w:rsidRDefault="004F0789" w:rsidP="000957FA">
      <w:pPr>
        <w:spacing w:line="240" w:lineRule="auto"/>
        <w:contextualSpacing/>
        <w:rPr>
          <w:rFonts w:cs="Times New Roman"/>
          <w:b/>
          <w:szCs w:val="26"/>
        </w:rPr>
      </w:pPr>
      <w:r>
        <w:rPr>
          <w:rFonts w:cs="Times New Roman"/>
          <w:b/>
          <w:szCs w:val="26"/>
        </w:rPr>
        <w:tab/>
        <w:t>a.</w:t>
      </w:r>
      <w:r>
        <w:rPr>
          <w:rFonts w:cs="Times New Roman"/>
          <w:b/>
          <w:szCs w:val="26"/>
        </w:rPr>
        <w:tab/>
        <w:t>Positions of the Parties</w:t>
      </w:r>
    </w:p>
    <w:p w:rsidR="004F0789" w:rsidRDefault="004F0789" w:rsidP="004F0789">
      <w:pPr>
        <w:contextualSpacing/>
        <w:rPr>
          <w:rFonts w:cs="Times New Roman"/>
          <w:szCs w:val="26"/>
        </w:rPr>
      </w:pPr>
    </w:p>
    <w:p w:rsidR="004F0789" w:rsidRDefault="004F0789" w:rsidP="004F0789">
      <w:pPr>
        <w:contextualSpacing/>
        <w:rPr>
          <w:rFonts w:cs="Times New Roman"/>
          <w:szCs w:val="26"/>
        </w:rPr>
      </w:pPr>
      <w:r>
        <w:rPr>
          <w:rFonts w:cs="Times New Roman"/>
          <w:szCs w:val="26"/>
        </w:rPr>
        <w:t xml:space="preserve">The Company claimed two rate of return premiums of 0.25% each on two separate bases:  (1) exemplary performance over the last several years in providing water service to the public under Section 523 of the Code, 66 Pa. C.S. § 523; and (2) an acquisition incentive premium for acquiring the Mountville Municipal System in 1998 and </w:t>
      </w:r>
      <w:r>
        <w:rPr>
          <w:rFonts w:cs="Times New Roman"/>
          <w:szCs w:val="26"/>
        </w:rPr>
        <w:lastRenderedPageBreak/>
        <w:t xml:space="preserve">the Marietta Gravity Water Company (MGWC) in 2012 under 52 Pa. Code § 69.721(g).  CWC M.B. at 51.  </w:t>
      </w:r>
    </w:p>
    <w:p w:rsidR="004F0789" w:rsidRDefault="004F0789" w:rsidP="004F0789">
      <w:pPr>
        <w:contextualSpacing/>
        <w:rPr>
          <w:rFonts w:cs="Times New Roman"/>
          <w:szCs w:val="26"/>
        </w:rPr>
      </w:pPr>
    </w:p>
    <w:p w:rsidR="004F0789" w:rsidRDefault="004F0789" w:rsidP="004F0789">
      <w:pPr>
        <w:contextualSpacing/>
        <w:rPr>
          <w:rFonts w:cs="Times New Roman"/>
          <w:szCs w:val="26"/>
        </w:rPr>
      </w:pPr>
      <w:r w:rsidRPr="007F70DF">
        <w:rPr>
          <w:rFonts w:cs="Times New Roman"/>
          <w:szCs w:val="26"/>
        </w:rPr>
        <w:t>Specific reasons cited by Columbi</w:t>
      </w:r>
      <w:r>
        <w:rPr>
          <w:rFonts w:cs="Times New Roman"/>
          <w:szCs w:val="26"/>
        </w:rPr>
        <w:t xml:space="preserve">a as justification for </w:t>
      </w:r>
      <w:r w:rsidRPr="007F70DF">
        <w:rPr>
          <w:rFonts w:cs="Times New Roman"/>
          <w:szCs w:val="26"/>
        </w:rPr>
        <w:t xml:space="preserve">a rate of return premium </w:t>
      </w:r>
      <w:r>
        <w:rPr>
          <w:rFonts w:cs="Times New Roman"/>
          <w:szCs w:val="26"/>
        </w:rPr>
        <w:t xml:space="preserve">for exemplary performance </w:t>
      </w:r>
      <w:r w:rsidRPr="007F70DF">
        <w:rPr>
          <w:rFonts w:cs="Times New Roman"/>
          <w:szCs w:val="26"/>
        </w:rPr>
        <w:t>include</w:t>
      </w:r>
      <w:r>
        <w:rPr>
          <w:rFonts w:cs="Times New Roman"/>
          <w:szCs w:val="26"/>
        </w:rPr>
        <w:t>d: (1) meeting or exceeding all federal and state water quality standards and requirements;</w:t>
      </w:r>
      <w:r w:rsidRPr="007F70DF">
        <w:rPr>
          <w:rFonts w:cs="Times New Roman"/>
          <w:szCs w:val="26"/>
        </w:rPr>
        <w:t xml:space="preserve"> (2) </w:t>
      </w:r>
      <w:r>
        <w:rPr>
          <w:rFonts w:cs="Times New Roman"/>
          <w:szCs w:val="26"/>
        </w:rPr>
        <w:t>only two minor operational issues occurring since 2010; (3) no informal complaints and only one Commission Formal Complaint filed since 2010; (4) minimizing expenses and using</w:t>
      </w:r>
      <w:r w:rsidRPr="007F70DF">
        <w:rPr>
          <w:rFonts w:cs="Times New Roman"/>
          <w:szCs w:val="26"/>
        </w:rPr>
        <w:t xml:space="preserve"> existing staff efficiently, </w:t>
      </w:r>
      <w:r>
        <w:rPr>
          <w:rFonts w:cs="Times New Roman"/>
          <w:szCs w:val="26"/>
        </w:rPr>
        <w:t>including better treatment chemical combinations that reduced costs, and the capability to construct water main extensions and make water main repairs in-house, allowing the Company to install nearly twice the amount of pipe annually compared to the cost of using outside contractors; (5) at the request of Manor Township, extending service to two communities with failing septic systems and contaminated wells; (6) reducing power consumption through the use of solar-powered mixers for its Prospect and Manor/Mountville tanks; and (7) taking steps toward establishing an e-billing system for its customers.  CWC M.B. at 52-55.</w:t>
      </w:r>
    </w:p>
    <w:p w:rsidR="004F0789" w:rsidRDefault="004F0789" w:rsidP="004F0789">
      <w:pPr>
        <w:contextualSpacing/>
        <w:rPr>
          <w:rFonts w:cs="Times New Roman"/>
          <w:szCs w:val="26"/>
        </w:rPr>
      </w:pPr>
    </w:p>
    <w:p w:rsidR="004F0789" w:rsidRDefault="004F0789" w:rsidP="004F0789">
      <w:pPr>
        <w:contextualSpacing/>
        <w:rPr>
          <w:rFonts w:cs="Times New Roman"/>
          <w:szCs w:val="26"/>
        </w:rPr>
      </w:pPr>
      <w:r>
        <w:rPr>
          <w:rFonts w:cs="Times New Roman"/>
          <w:szCs w:val="26"/>
        </w:rPr>
        <w:t xml:space="preserve">With regard to </w:t>
      </w:r>
      <w:r w:rsidRPr="007F70DF">
        <w:rPr>
          <w:rFonts w:cs="Times New Roman"/>
          <w:szCs w:val="26"/>
        </w:rPr>
        <w:t>a rate of return premium</w:t>
      </w:r>
      <w:r>
        <w:rPr>
          <w:rFonts w:cs="Times New Roman"/>
          <w:szCs w:val="26"/>
        </w:rPr>
        <w:t xml:space="preserve"> to recognize its acquisition of the Mountville Municipal System in 1998 and t</w:t>
      </w:r>
      <w:r w:rsidR="000F160B">
        <w:rPr>
          <w:rFonts w:cs="Times New Roman"/>
          <w:szCs w:val="26"/>
        </w:rPr>
        <w:t>he MGWC in 2012, Columbia stated</w:t>
      </w:r>
      <w:r>
        <w:rPr>
          <w:rFonts w:cs="Times New Roman"/>
          <w:szCs w:val="26"/>
        </w:rPr>
        <w:t xml:space="preserve"> that it has made improvements to both systems, including installing a new one-million gallon storage tank and pumping system to serve the Mountville pressure zone; modifications to improve water pressure; the replacement of all meters, since they previously had never been tested or replaced; and replacement of old water mains on numerous streets in the borough.  CWC M.B. at 57-58.</w:t>
      </w:r>
    </w:p>
    <w:p w:rsidR="004F0789" w:rsidRDefault="004F0789" w:rsidP="004F0789">
      <w:pPr>
        <w:contextualSpacing/>
        <w:rPr>
          <w:rFonts w:cs="Times New Roman"/>
          <w:szCs w:val="26"/>
        </w:rPr>
      </w:pPr>
    </w:p>
    <w:p w:rsidR="004F0789" w:rsidRDefault="004F0789" w:rsidP="004F0789">
      <w:pPr>
        <w:contextualSpacing/>
        <w:rPr>
          <w:rFonts w:cs="Times New Roman"/>
          <w:szCs w:val="26"/>
        </w:rPr>
      </w:pPr>
      <w:r>
        <w:rPr>
          <w:rFonts w:cs="Times New Roman"/>
          <w:szCs w:val="26"/>
        </w:rPr>
        <w:t>I&amp;E opposed the requested acquisition premium, noting that Columbia’s acquisition of the Mountville Municipal System occurred fifteen years ago, and arguing that Columbia had not demonstrated that the MGWC would not have been viable had it not been purchased by Columbia.  I&amp;E R.B. at 46.</w:t>
      </w:r>
    </w:p>
    <w:p w:rsidR="004F0789" w:rsidRDefault="004F0789" w:rsidP="004F0789">
      <w:pPr>
        <w:contextualSpacing/>
        <w:rPr>
          <w:rFonts w:cs="Times New Roman"/>
          <w:szCs w:val="26"/>
        </w:rPr>
      </w:pPr>
    </w:p>
    <w:p w:rsidR="004F0789" w:rsidRPr="0066203C" w:rsidRDefault="004F0789" w:rsidP="004F0789">
      <w:pPr>
        <w:contextualSpacing/>
        <w:rPr>
          <w:rFonts w:cs="Times New Roman"/>
          <w:szCs w:val="26"/>
        </w:rPr>
      </w:pPr>
      <w:r w:rsidRPr="007F70DF">
        <w:rPr>
          <w:rFonts w:cs="Times New Roman"/>
          <w:szCs w:val="26"/>
        </w:rPr>
        <w:lastRenderedPageBreak/>
        <w:t xml:space="preserve">The </w:t>
      </w:r>
      <w:r>
        <w:rPr>
          <w:rFonts w:cs="Times New Roman"/>
          <w:szCs w:val="26"/>
        </w:rPr>
        <w:t xml:space="preserve">OCA opposed both premiums requested by Columbia, and noted that the combined premiums of 0.50% </w:t>
      </w:r>
      <w:r w:rsidRPr="007F70DF">
        <w:rPr>
          <w:rFonts w:cs="Times New Roman"/>
          <w:szCs w:val="26"/>
        </w:rPr>
        <w:t>would add approximately $68,988 to the Company</w:t>
      </w:r>
      <w:r>
        <w:rPr>
          <w:rFonts w:cs="Times New Roman"/>
          <w:szCs w:val="26"/>
        </w:rPr>
        <w:t>’</w:t>
      </w:r>
      <w:r w:rsidRPr="007F70DF">
        <w:rPr>
          <w:rFonts w:cs="Times New Roman"/>
          <w:szCs w:val="26"/>
        </w:rPr>
        <w:t>s annual revenue requirement.</w:t>
      </w:r>
      <w:r w:rsidRPr="007F70DF">
        <w:rPr>
          <w:rStyle w:val="FootnoteReference"/>
          <w:rFonts w:cs="Times New Roman"/>
          <w:szCs w:val="26"/>
        </w:rPr>
        <w:footnoteReference w:id="25"/>
      </w:r>
      <w:r>
        <w:rPr>
          <w:rFonts w:cs="Times New Roman"/>
          <w:szCs w:val="26"/>
        </w:rPr>
        <w:t xml:space="preserve">  The OCA argued that a utility must do more than provide adequate, safe, reasonable and efficient service, which is required of all utilities under 66 Pa. C.S. § 1501,  to earn a performance premium.  </w:t>
      </w:r>
      <w:r w:rsidR="000F160B">
        <w:rPr>
          <w:rFonts w:cs="Times New Roman"/>
          <w:szCs w:val="26"/>
        </w:rPr>
        <w:t>The OCA noted</w:t>
      </w:r>
      <w:r>
        <w:rPr>
          <w:rFonts w:cs="Times New Roman"/>
          <w:szCs w:val="26"/>
        </w:rPr>
        <w:t xml:space="preserve"> that the Commission rejected Columbia’s similar request for a 0.25% premium for management efficiency in the Comp</w:t>
      </w:r>
      <w:r w:rsidR="000F160B">
        <w:rPr>
          <w:rFonts w:cs="Times New Roman"/>
          <w:szCs w:val="26"/>
        </w:rPr>
        <w:t>any’s last rate case, and stated</w:t>
      </w:r>
      <w:r>
        <w:rPr>
          <w:rFonts w:cs="Times New Roman"/>
          <w:szCs w:val="26"/>
        </w:rPr>
        <w:t xml:space="preserve"> that the Company has provided much of the same information in this case.  For the reasons stated in the </w:t>
      </w:r>
      <w:r w:rsidRPr="00E935A7">
        <w:rPr>
          <w:rFonts w:cs="Times New Roman"/>
          <w:i/>
          <w:szCs w:val="26"/>
        </w:rPr>
        <w:t>2009 Rate Case Order</w:t>
      </w:r>
      <w:r>
        <w:rPr>
          <w:rFonts w:cs="Times New Roman"/>
          <w:szCs w:val="26"/>
        </w:rPr>
        <w:t xml:space="preserve">, the OCA argued that the performance premium should be rejected here.  OCA M.B. at 87-89.  The OCA also argued that Columbia should not be awarded an acquisition premium because Columbia did not demonstrate that MGWC was not a viable system or that it had improved service to MGWC’s customers as envisioned by § 69.721, and the acquisition of the Mountville Municipal System occurred fifteen years ago.  </w:t>
      </w:r>
      <w:r w:rsidRPr="00E935A7">
        <w:rPr>
          <w:rFonts w:cs="Times New Roman"/>
          <w:i/>
          <w:szCs w:val="26"/>
        </w:rPr>
        <w:t>Id</w:t>
      </w:r>
      <w:r>
        <w:rPr>
          <w:rFonts w:cs="Times New Roman"/>
          <w:szCs w:val="26"/>
        </w:rPr>
        <w:t>. at 90-93.</w:t>
      </w:r>
    </w:p>
    <w:p w:rsidR="004F0789" w:rsidRDefault="004F0789" w:rsidP="004F0789">
      <w:pPr>
        <w:contextualSpacing/>
        <w:rPr>
          <w:rFonts w:cs="Times New Roman"/>
          <w:b/>
          <w:szCs w:val="26"/>
        </w:rPr>
      </w:pPr>
    </w:p>
    <w:p w:rsidR="004F0789" w:rsidRDefault="004F0789" w:rsidP="000957FA">
      <w:pPr>
        <w:spacing w:line="240" w:lineRule="auto"/>
        <w:contextualSpacing/>
        <w:rPr>
          <w:rFonts w:cs="Times New Roman"/>
          <w:b/>
          <w:szCs w:val="26"/>
        </w:rPr>
      </w:pPr>
      <w:r>
        <w:rPr>
          <w:rFonts w:cs="Times New Roman"/>
          <w:b/>
          <w:szCs w:val="26"/>
        </w:rPr>
        <w:tab/>
        <w:t>b.</w:t>
      </w:r>
      <w:r>
        <w:rPr>
          <w:rFonts w:cs="Times New Roman"/>
          <w:b/>
          <w:szCs w:val="26"/>
        </w:rPr>
        <w:tab/>
        <w:t>ALJ’s Recommendation</w:t>
      </w:r>
    </w:p>
    <w:p w:rsidR="004F0789" w:rsidRDefault="004F0789" w:rsidP="004F0789">
      <w:pPr>
        <w:contextualSpacing/>
        <w:rPr>
          <w:rFonts w:cs="Times New Roman"/>
          <w:b/>
          <w:szCs w:val="26"/>
        </w:rPr>
      </w:pPr>
    </w:p>
    <w:p w:rsidR="004F0789" w:rsidRDefault="004F0789" w:rsidP="004F0789">
      <w:pPr>
        <w:contextualSpacing/>
        <w:rPr>
          <w:rFonts w:cs="Times New Roman"/>
          <w:szCs w:val="26"/>
        </w:rPr>
      </w:pPr>
      <w:r>
        <w:rPr>
          <w:rFonts w:cs="Times New Roman"/>
          <w:szCs w:val="26"/>
        </w:rPr>
        <w:t xml:space="preserve">The ALJ recommended that Columbia’s requests for an acquisition premium of 0.25% and a performance premium 0.25% should be denied.  </w:t>
      </w:r>
    </w:p>
    <w:p w:rsidR="004F0789" w:rsidRDefault="004F0789" w:rsidP="004F0789">
      <w:pPr>
        <w:contextualSpacing/>
        <w:rPr>
          <w:rFonts w:cs="Times New Roman"/>
          <w:szCs w:val="26"/>
        </w:rPr>
      </w:pPr>
    </w:p>
    <w:p w:rsidR="004F0789" w:rsidRDefault="004F0789" w:rsidP="004F0789">
      <w:pPr>
        <w:contextualSpacing/>
        <w:rPr>
          <w:rFonts w:cs="Times New Roman"/>
          <w:szCs w:val="26"/>
        </w:rPr>
      </w:pPr>
      <w:r>
        <w:rPr>
          <w:rFonts w:cs="Times New Roman"/>
          <w:szCs w:val="26"/>
        </w:rPr>
        <w:t>With regard to the requested performance premium, the ALJ agreed with the OCA’s point that</w:t>
      </w:r>
      <w:r w:rsidRPr="007F70DF">
        <w:rPr>
          <w:rFonts w:cs="Times New Roman"/>
          <w:szCs w:val="26"/>
        </w:rPr>
        <w:t xml:space="preserve"> all regulated utilities in Pennsylvania are required to provide safe, adequate, reasonable and efficient </w:t>
      </w:r>
      <w:r>
        <w:rPr>
          <w:rFonts w:cs="Times New Roman"/>
          <w:szCs w:val="26"/>
        </w:rPr>
        <w:t xml:space="preserve">service as a matter of law under Section 1501 of the Code, 66 </w:t>
      </w:r>
      <w:r w:rsidRPr="007F70DF">
        <w:rPr>
          <w:rFonts w:cs="Times New Roman"/>
          <w:szCs w:val="26"/>
        </w:rPr>
        <w:t>Pa.</w:t>
      </w:r>
      <w:r>
        <w:rPr>
          <w:rFonts w:cs="Times New Roman"/>
          <w:szCs w:val="26"/>
        </w:rPr>
        <w:t xml:space="preserve"> </w:t>
      </w:r>
      <w:r w:rsidRPr="007F70DF">
        <w:rPr>
          <w:rFonts w:cs="Times New Roman"/>
          <w:szCs w:val="26"/>
        </w:rPr>
        <w:t>C.S. § 1501</w:t>
      </w:r>
      <w:r>
        <w:rPr>
          <w:rFonts w:cs="Times New Roman"/>
          <w:szCs w:val="26"/>
        </w:rPr>
        <w:t>.  The ALJ observed that a</w:t>
      </w:r>
      <w:r w:rsidRPr="007F70DF">
        <w:rPr>
          <w:rFonts w:cs="Times New Roman"/>
          <w:szCs w:val="26"/>
        </w:rPr>
        <w:t>n appropriate rate of return on common equity assumes efficient and reasonable management of a uti</w:t>
      </w:r>
      <w:r>
        <w:rPr>
          <w:rFonts w:cs="Times New Roman"/>
          <w:szCs w:val="26"/>
        </w:rPr>
        <w:t>lity.  According to the ALJ, a u</w:t>
      </w:r>
      <w:r w:rsidRPr="007F70DF">
        <w:rPr>
          <w:rFonts w:cs="Times New Roman"/>
          <w:szCs w:val="26"/>
        </w:rPr>
        <w:t xml:space="preserve">tility must be doing more than providing efficient and reasonable service in </w:t>
      </w:r>
      <w:r>
        <w:rPr>
          <w:rFonts w:cs="Times New Roman"/>
          <w:szCs w:val="26"/>
        </w:rPr>
        <w:t xml:space="preserve">order to </w:t>
      </w:r>
      <w:r>
        <w:rPr>
          <w:rFonts w:cs="Times New Roman"/>
          <w:szCs w:val="26"/>
        </w:rPr>
        <w:lastRenderedPageBreak/>
        <w:t>receive a performance premium</w:t>
      </w:r>
      <w:r w:rsidRPr="007F70DF">
        <w:rPr>
          <w:rFonts w:cs="Times New Roman"/>
          <w:szCs w:val="26"/>
        </w:rPr>
        <w:t>.</w:t>
      </w:r>
      <w:r>
        <w:rPr>
          <w:rFonts w:cs="Times New Roman"/>
          <w:szCs w:val="26"/>
        </w:rPr>
        <w:t xml:space="preserve">  The ALJ also observed that, under </w:t>
      </w:r>
      <w:r w:rsidRPr="007F70DF">
        <w:rPr>
          <w:rFonts w:cs="Times New Roman"/>
          <w:szCs w:val="26"/>
        </w:rPr>
        <w:t>Se</w:t>
      </w:r>
      <w:r>
        <w:rPr>
          <w:rFonts w:cs="Times New Roman"/>
          <w:szCs w:val="26"/>
        </w:rPr>
        <w:t xml:space="preserve">ction 523 of the </w:t>
      </w:r>
      <w:r w:rsidRPr="007F70DF">
        <w:rPr>
          <w:rFonts w:cs="Times New Roman"/>
          <w:szCs w:val="26"/>
        </w:rPr>
        <w:t>Code</w:t>
      </w:r>
      <w:r>
        <w:rPr>
          <w:rFonts w:cs="Times New Roman"/>
          <w:szCs w:val="26"/>
        </w:rPr>
        <w:t xml:space="preserve">, </w:t>
      </w:r>
      <w:r w:rsidRPr="007F70DF">
        <w:rPr>
          <w:rFonts w:cs="Times New Roman"/>
          <w:szCs w:val="26"/>
        </w:rPr>
        <w:t>66 Pa.</w:t>
      </w:r>
      <w:r>
        <w:rPr>
          <w:rFonts w:cs="Times New Roman"/>
          <w:szCs w:val="26"/>
        </w:rPr>
        <w:t xml:space="preserve"> </w:t>
      </w:r>
      <w:r w:rsidRPr="007F70DF">
        <w:rPr>
          <w:rFonts w:cs="Times New Roman"/>
          <w:szCs w:val="26"/>
        </w:rPr>
        <w:t>C.S. § 523(a)</w:t>
      </w:r>
      <w:r>
        <w:rPr>
          <w:rFonts w:cs="Times New Roman"/>
          <w:szCs w:val="26"/>
        </w:rPr>
        <w:t xml:space="preserve">, </w:t>
      </w:r>
      <w:r w:rsidRPr="007F70DF">
        <w:rPr>
          <w:rFonts w:cs="Times New Roman"/>
          <w:szCs w:val="26"/>
        </w:rPr>
        <w:t xml:space="preserve">a </w:t>
      </w:r>
      <w:r>
        <w:rPr>
          <w:rFonts w:cs="Times New Roman"/>
          <w:szCs w:val="26"/>
        </w:rPr>
        <w:t xml:space="preserve">utility cannot be rewarded </w:t>
      </w:r>
      <w:r w:rsidRPr="007F70DF">
        <w:rPr>
          <w:rFonts w:cs="Times New Roman"/>
          <w:szCs w:val="26"/>
        </w:rPr>
        <w:t>a rate of return premium without specific evid</w:t>
      </w:r>
      <w:r>
        <w:rPr>
          <w:rFonts w:cs="Times New Roman"/>
          <w:szCs w:val="26"/>
        </w:rPr>
        <w:t>ence to support the adjustment, and noted that the Commission denied Columbia’s request for a performance premium in its last rate case</w:t>
      </w:r>
      <w:r w:rsidRPr="007F70DF">
        <w:rPr>
          <w:rFonts w:cs="Times New Roman"/>
          <w:szCs w:val="26"/>
        </w:rPr>
        <w:t xml:space="preserve">.  </w:t>
      </w:r>
      <w:r>
        <w:rPr>
          <w:rFonts w:cs="Times New Roman"/>
          <w:i/>
          <w:szCs w:val="26"/>
        </w:rPr>
        <w:t>2009</w:t>
      </w:r>
      <w:r w:rsidRPr="007F70DF">
        <w:rPr>
          <w:rFonts w:cs="Times New Roman"/>
          <w:i/>
          <w:szCs w:val="26"/>
        </w:rPr>
        <w:t xml:space="preserve"> Rate Case Order</w:t>
      </w:r>
      <w:r>
        <w:rPr>
          <w:rFonts w:cs="Times New Roman"/>
          <w:szCs w:val="26"/>
        </w:rPr>
        <w:t xml:space="preserve"> at 93.  The ALJ concluded that, i</w:t>
      </w:r>
      <w:r w:rsidRPr="007F70DF">
        <w:rPr>
          <w:rFonts w:cs="Times New Roman"/>
          <w:szCs w:val="26"/>
        </w:rPr>
        <w:t xml:space="preserve">n this case, the evidence provided by Columbia shows compliance with Commission requirements and policies, </w:t>
      </w:r>
      <w:r w:rsidRPr="007F70DF">
        <w:rPr>
          <w:rFonts w:cs="Times New Roman"/>
          <w:i/>
          <w:szCs w:val="26"/>
        </w:rPr>
        <w:t>i.e.</w:t>
      </w:r>
      <w:r w:rsidRPr="007F70DF">
        <w:rPr>
          <w:rFonts w:cs="Times New Roman"/>
          <w:szCs w:val="26"/>
        </w:rPr>
        <w:t xml:space="preserve"> </w:t>
      </w:r>
      <w:r>
        <w:rPr>
          <w:rFonts w:cs="Times New Roman"/>
          <w:szCs w:val="26"/>
        </w:rPr>
        <w:t xml:space="preserve">the provision of </w:t>
      </w:r>
      <w:r w:rsidRPr="007F70DF">
        <w:rPr>
          <w:rFonts w:cs="Times New Roman"/>
          <w:szCs w:val="26"/>
        </w:rPr>
        <w:t>reasonable and adequat</w:t>
      </w:r>
      <w:r>
        <w:rPr>
          <w:rFonts w:cs="Times New Roman"/>
          <w:szCs w:val="26"/>
        </w:rPr>
        <w:t>e service, but does not support the award of a performance premium of 0.25%.  R.D. at 46-47.</w:t>
      </w:r>
    </w:p>
    <w:p w:rsidR="004F0789" w:rsidRDefault="004F0789" w:rsidP="004F0789">
      <w:pPr>
        <w:contextualSpacing/>
        <w:rPr>
          <w:rFonts w:cs="Times New Roman"/>
          <w:szCs w:val="26"/>
        </w:rPr>
      </w:pPr>
    </w:p>
    <w:p w:rsidR="004F0789" w:rsidRDefault="004F0789" w:rsidP="004F0789">
      <w:pPr>
        <w:contextualSpacing/>
        <w:rPr>
          <w:rFonts w:cs="Times New Roman"/>
          <w:szCs w:val="26"/>
        </w:rPr>
      </w:pPr>
      <w:r>
        <w:rPr>
          <w:rFonts w:cs="Times New Roman"/>
          <w:szCs w:val="26"/>
        </w:rPr>
        <w:t xml:space="preserve">With regard to the requested acquisition premium, the ALJ stated that the Commission’s policy statement at </w:t>
      </w:r>
      <w:r w:rsidRPr="007F70DF">
        <w:rPr>
          <w:rFonts w:cs="Times New Roman"/>
          <w:szCs w:val="26"/>
        </w:rPr>
        <w:t>52 Pa.</w:t>
      </w:r>
      <w:r>
        <w:rPr>
          <w:rFonts w:cs="Times New Roman"/>
          <w:szCs w:val="26"/>
        </w:rPr>
        <w:t xml:space="preserve"> </w:t>
      </w:r>
      <w:r w:rsidRPr="007F70DF">
        <w:rPr>
          <w:rFonts w:cs="Times New Roman"/>
          <w:szCs w:val="26"/>
        </w:rPr>
        <w:t>Code §</w:t>
      </w:r>
      <w:r>
        <w:rPr>
          <w:rFonts w:cs="Times New Roman"/>
          <w:szCs w:val="26"/>
        </w:rPr>
        <w:t xml:space="preserve"> 69.721, </w:t>
      </w:r>
      <w:r>
        <w:rPr>
          <w:rFonts w:cs="Times New Roman"/>
          <w:i/>
          <w:szCs w:val="26"/>
        </w:rPr>
        <w:t>Acquisition</w:t>
      </w:r>
      <w:r w:rsidRPr="0076278D">
        <w:rPr>
          <w:rFonts w:cs="Times New Roman"/>
          <w:i/>
          <w:szCs w:val="26"/>
        </w:rPr>
        <w:t xml:space="preserve"> of Viable Water and Wastewater Systems – Statement of Policy</w:t>
      </w:r>
      <w:r>
        <w:rPr>
          <w:rFonts w:cs="Times New Roman"/>
          <w:szCs w:val="26"/>
        </w:rPr>
        <w:t xml:space="preserve"> (</w:t>
      </w:r>
      <w:r w:rsidRPr="0076278D">
        <w:rPr>
          <w:rFonts w:cs="Times New Roman"/>
          <w:i/>
          <w:szCs w:val="26"/>
        </w:rPr>
        <w:t>Acquisition Policy Statement</w:t>
      </w:r>
      <w:r>
        <w:rPr>
          <w:rFonts w:cs="Times New Roman"/>
          <w:szCs w:val="26"/>
        </w:rPr>
        <w:t xml:space="preserve">), specifies that </w:t>
      </w:r>
      <w:r w:rsidRPr="007F70DF">
        <w:rPr>
          <w:rFonts w:cs="Times New Roman"/>
          <w:szCs w:val="26"/>
        </w:rPr>
        <w:t>the Commission will consider evidence regarding acq</w:t>
      </w:r>
      <w:r>
        <w:rPr>
          <w:rFonts w:cs="Times New Roman"/>
          <w:szCs w:val="26"/>
        </w:rPr>
        <w:t xml:space="preserve">uisitions in determining whether a premium under Section 523 is warranted.  </w:t>
      </w:r>
      <w:r w:rsidRPr="007F70DF">
        <w:rPr>
          <w:rFonts w:cs="Times New Roman"/>
          <w:szCs w:val="26"/>
        </w:rPr>
        <w:t>52 Pa.</w:t>
      </w:r>
      <w:r>
        <w:rPr>
          <w:rFonts w:cs="Times New Roman"/>
          <w:szCs w:val="26"/>
        </w:rPr>
        <w:t xml:space="preserve"> </w:t>
      </w:r>
      <w:r w:rsidRPr="007F70DF">
        <w:rPr>
          <w:rFonts w:cs="Times New Roman"/>
          <w:szCs w:val="26"/>
        </w:rPr>
        <w:t>Code § 69.721(g)</w:t>
      </w:r>
      <w:r>
        <w:rPr>
          <w:rFonts w:cs="Times New Roman"/>
          <w:szCs w:val="26"/>
        </w:rPr>
        <w:t>.  The ALJ</w:t>
      </w:r>
      <w:r w:rsidRPr="007F70DF">
        <w:rPr>
          <w:rFonts w:cs="Times New Roman"/>
          <w:szCs w:val="26"/>
        </w:rPr>
        <w:t xml:space="preserve"> </w:t>
      </w:r>
      <w:r>
        <w:rPr>
          <w:rFonts w:cs="Times New Roman"/>
          <w:szCs w:val="26"/>
        </w:rPr>
        <w:t>concluded that an acquisition premium was not warranted in this case because “</w:t>
      </w:r>
      <w:r w:rsidRPr="007F70DF">
        <w:rPr>
          <w:rFonts w:cs="Times New Roman"/>
          <w:szCs w:val="26"/>
        </w:rPr>
        <w:t xml:space="preserve">Columbia has not established that Marietta </w:t>
      </w:r>
      <w:r>
        <w:rPr>
          <w:rFonts w:cs="Times New Roman"/>
          <w:szCs w:val="26"/>
        </w:rPr>
        <w:t xml:space="preserve">[MGWC] </w:t>
      </w:r>
      <w:r w:rsidRPr="007F70DF">
        <w:rPr>
          <w:rFonts w:cs="Times New Roman"/>
          <w:szCs w:val="26"/>
        </w:rPr>
        <w:t>was a less viable system or that it has improved service to those customers as envisioned by Section 69.721.</w:t>
      </w:r>
      <w:r>
        <w:rPr>
          <w:rFonts w:cs="Times New Roman"/>
          <w:szCs w:val="26"/>
        </w:rPr>
        <w:t xml:space="preserve">”  R.D. at 48.  The ALJ also stated that </w:t>
      </w:r>
      <w:r w:rsidRPr="007F70DF">
        <w:rPr>
          <w:rFonts w:cs="Times New Roman"/>
          <w:szCs w:val="26"/>
        </w:rPr>
        <w:t>Columbi</w:t>
      </w:r>
      <w:r>
        <w:rPr>
          <w:rFonts w:cs="Times New Roman"/>
          <w:szCs w:val="26"/>
        </w:rPr>
        <w:t>a’s acquisition of MGWC did</w:t>
      </w:r>
      <w:r w:rsidRPr="007F70DF">
        <w:rPr>
          <w:rFonts w:cs="Times New Roman"/>
          <w:szCs w:val="26"/>
        </w:rPr>
        <w:t xml:space="preserve"> not satisfy the requirements of Section 1327</w:t>
      </w:r>
      <w:r>
        <w:rPr>
          <w:rFonts w:cs="Times New Roman"/>
          <w:szCs w:val="26"/>
        </w:rPr>
        <w:t xml:space="preserve"> of the Code, 66 Pa. C.S. § 1327, and noted that the</w:t>
      </w:r>
      <w:r w:rsidRPr="002F3B1E">
        <w:rPr>
          <w:rFonts w:cs="Times New Roman"/>
          <w:i/>
          <w:szCs w:val="26"/>
        </w:rPr>
        <w:t xml:space="preserve"> </w:t>
      </w:r>
      <w:r w:rsidRPr="0076278D">
        <w:rPr>
          <w:rFonts w:cs="Times New Roman"/>
          <w:i/>
          <w:szCs w:val="26"/>
        </w:rPr>
        <w:t>Acquisition Policy Statement</w:t>
      </w:r>
      <w:r>
        <w:rPr>
          <w:rFonts w:cs="Times New Roman"/>
          <w:szCs w:val="26"/>
        </w:rPr>
        <w:t xml:space="preserve"> provides that an acquisition premium may be requested where an acquisition (1) falls outside of the parameters of Section 1327 and (2) the utility has demonstrated a track record of acquiring smaller and less viable systems and improving service to customers.  </w:t>
      </w:r>
      <w:r w:rsidRPr="004D257A">
        <w:rPr>
          <w:rFonts w:cs="Times New Roman"/>
          <w:i/>
          <w:szCs w:val="26"/>
        </w:rPr>
        <w:t>Id</w:t>
      </w:r>
      <w:r>
        <w:rPr>
          <w:rFonts w:cs="Times New Roman"/>
          <w:szCs w:val="26"/>
        </w:rPr>
        <w:t>.</w:t>
      </w:r>
      <w:r w:rsidRPr="007F70DF">
        <w:rPr>
          <w:rFonts w:cs="Times New Roman"/>
          <w:szCs w:val="26"/>
        </w:rPr>
        <w:t xml:space="preserve"> </w:t>
      </w:r>
    </w:p>
    <w:p w:rsidR="004F0789" w:rsidRDefault="004F0789" w:rsidP="004F0789">
      <w:pPr>
        <w:contextualSpacing/>
        <w:rPr>
          <w:rFonts w:cs="Times New Roman"/>
          <w:b/>
          <w:szCs w:val="26"/>
        </w:rPr>
      </w:pPr>
    </w:p>
    <w:p w:rsidR="004F0789" w:rsidRDefault="004F0789" w:rsidP="000957FA">
      <w:pPr>
        <w:keepNext/>
        <w:spacing w:line="240" w:lineRule="auto"/>
        <w:contextualSpacing/>
        <w:rPr>
          <w:rFonts w:cs="Times New Roman"/>
          <w:b/>
          <w:szCs w:val="26"/>
        </w:rPr>
      </w:pPr>
      <w:r>
        <w:rPr>
          <w:rFonts w:cs="Times New Roman"/>
          <w:b/>
          <w:szCs w:val="26"/>
        </w:rPr>
        <w:tab/>
        <w:t>c.</w:t>
      </w:r>
      <w:r>
        <w:rPr>
          <w:rFonts w:cs="Times New Roman"/>
          <w:b/>
          <w:szCs w:val="26"/>
        </w:rPr>
        <w:tab/>
        <w:t>Exceptions</w:t>
      </w:r>
    </w:p>
    <w:p w:rsidR="004F0789" w:rsidRDefault="004F0789" w:rsidP="00343CB6">
      <w:pPr>
        <w:keepNext/>
        <w:contextualSpacing/>
        <w:rPr>
          <w:rFonts w:cs="Times New Roman"/>
          <w:b/>
          <w:szCs w:val="26"/>
        </w:rPr>
      </w:pPr>
    </w:p>
    <w:p w:rsidR="004F0789" w:rsidRDefault="004F0789" w:rsidP="00343CB6">
      <w:pPr>
        <w:keepNext/>
        <w:contextualSpacing/>
        <w:rPr>
          <w:rFonts w:cs="Times New Roman"/>
          <w:szCs w:val="26"/>
        </w:rPr>
      </w:pPr>
      <w:r w:rsidRPr="00C16BD5">
        <w:rPr>
          <w:rFonts w:cs="Times New Roman"/>
          <w:szCs w:val="26"/>
        </w:rPr>
        <w:t>In its Exception, Columbia argues that the ALJ erred in recommending rejection of Columbia</w:t>
      </w:r>
      <w:r>
        <w:rPr>
          <w:rFonts w:cs="Times New Roman"/>
          <w:szCs w:val="26"/>
        </w:rPr>
        <w:t>’</w:t>
      </w:r>
      <w:r w:rsidRPr="00C16BD5">
        <w:rPr>
          <w:rFonts w:cs="Times New Roman"/>
          <w:szCs w:val="26"/>
        </w:rPr>
        <w:t xml:space="preserve">s claim for rate of return premiums for exemplary performance and acquisition incentives. </w:t>
      </w:r>
      <w:r>
        <w:rPr>
          <w:rFonts w:cs="Times New Roman"/>
          <w:szCs w:val="26"/>
        </w:rPr>
        <w:t xml:space="preserve"> </w:t>
      </w:r>
      <w:r w:rsidRPr="00C16BD5">
        <w:rPr>
          <w:rFonts w:cs="Times New Roman"/>
          <w:szCs w:val="26"/>
        </w:rPr>
        <w:t>R</w:t>
      </w:r>
      <w:r>
        <w:rPr>
          <w:rFonts w:cs="Times New Roman"/>
          <w:szCs w:val="26"/>
        </w:rPr>
        <w:t>.</w:t>
      </w:r>
      <w:r w:rsidRPr="00C16BD5">
        <w:rPr>
          <w:rFonts w:cs="Times New Roman"/>
          <w:szCs w:val="26"/>
        </w:rPr>
        <w:t>D</w:t>
      </w:r>
      <w:r>
        <w:rPr>
          <w:rFonts w:cs="Times New Roman"/>
          <w:szCs w:val="26"/>
        </w:rPr>
        <w:t xml:space="preserve">. at 46-48.  Columbia states that, as </w:t>
      </w:r>
      <w:r w:rsidRPr="00C16BD5">
        <w:rPr>
          <w:rFonts w:cs="Times New Roman"/>
          <w:szCs w:val="26"/>
        </w:rPr>
        <w:t>acknowledged by the ALJ</w:t>
      </w:r>
      <w:r>
        <w:rPr>
          <w:rFonts w:cs="Times New Roman"/>
          <w:szCs w:val="26"/>
        </w:rPr>
        <w:t xml:space="preserve">, it </w:t>
      </w:r>
      <w:r w:rsidRPr="00C16BD5">
        <w:rPr>
          <w:rFonts w:cs="Times New Roman"/>
          <w:szCs w:val="26"/>
        </w:rPr>
        <w:t>is a small, “local” water co</w:t>
      </w:r>
      <w:r>
        <w:rPr>
          <w:rFonts w:cs="Times New Roman"/>
          <w:szCs w:val="26"/>
        </w:rPr>
        <w:t xml:space="preserve">mpany, and </w:t>
      </w:r>
      <w:r w:rsidRPr="00C16BD5">
        <w:rPr>
          <w:rFonts w:cs="Times New Roman"/>
          <w:szCs w:val="26"/>
        </w:rPr>
        <w:t>does not have the luxury of a large sta</w:t>
      </w:r>
      <w:r>
        <w:rPr>
          <w:rFonts w:cs="Times New Roman"/>
          <w:szCs w:val="26"/>
        </w:rPr>
        <w:t xml:space="preserve">ff.  Despite not having </w:t>
      </w:r>
      <w:r w:rsidRPr="00C16BD5">
        <w:rPr>
          <w:rFonts w:cs="Times New Roman"/>
          <w:szCs w:val="26"/>
        </w:rPr>
        <w:t>the staffing and operational advantages of larger compa</w:t>
      </w:r>
      <w:r>
        <w:rPr>
          <w:rFonts w:cs="Times New Roman"/>
          <w:szCs w:val="26"/>
        </w:rPr>
        <w:t>nies,</w:t>
      </w:r>
      <w:r w:rsidRPr="00C16BD5">
        <w:rPr>
          <w:rFonts w:cs="Times New Roman"/>
          <w:szCs w:val="26"/>
        </w:rPr>
        <w:t xml:space="preserve"> Columbia </w:t>
      </w:r>
      <w:r>
        <w:rPr>
          <w:rFonts w:cs="Times New Roman"/>
          <w:szCs w:val="26"/>
        </w:rPr>
        <w:t xml:space="preserve">submits that </w:t>
      </w:r>
      <w:r>
        <w:rPr>
          <w:rFonts w:cs="Times New Roman"/>
          <w:szCs w:val="26"/>
        </w:rPr>
        <w:lastRenderedPageBreak/>
        <w:t>it s</w:t>
      </w:r>
      <w:r w:rsidRPr="00C16BD5">
        <w:rPr>
          <w:rFonts w:cs="Times New Roman"/>
          <w:szCs w:val="26"/>
        </w:rPr>
        <w:t xml:space="preserve">till </w:t>
      </w:r>
      <w:r>
        <w:rPr>
          <w:rFonts w:cs="Times New Roman"/>
          <w:szCs w:val="26"/>
        </w:rPr>
        <w:t xml:space="preserve">has </w:t>
      </w:r>
      <w:r w:rsidRPr="00C16BD5">
        <w:rPr>
          <w:rFonts w:cs="Times New Roman"/>
          <w:szCs w:val="26"/>
        </w:rPr>
        <w:t xml:space="preserve">managed </w:t>
      </w:r>
      <w:r>
        <w:rPr>
          <w:rFonts w:cs="Times New Roman"/>
          <w:szCs w:val="26"/>
        </w:rPr>
        <w:t>“</w:t>
      </w:r>
      <w:r w:rsidRPr="00C16BD5">
        <w:rPr>
          <w:rFonts w:cs="Times New Roman"/>
          <w:szCs w:val="26"/>
        </w:rPr>
        <w:t>to provide exemplary service and acquire two smaller, less viable water companies and made significant improvements to those companies so their customers could enjoy the same high quality of water service at reasonable rates that Columbia</w:t>
      </w:r>
      <w:r>
        <w:rPr>
          <w:rFonts w:cs="Times New Roman"/>
          <w:szCs w:val="26"/>
        </w:rPr>
        <w:t>’</w:t>
      </w:r>
      <w:r w:rsidRPr="00C16BD5">
        <w:rPr>
          <w:rFonts w:cs="Times New Roman"/>
          <w:szCs w:val="26"/>
        </w:rPr>
        <w:t>s customers enjoy.</w:t>
      </w:r>
      <w:r>
        <w:rPr>
          <w:rFonts w:cs="Times New Roman"/>
          <w:szCs w:val="26"/>
        </w:rPr>
        <w:t xml:space="preserve">”  CWC Exc. at 15.  Columbia submits that the ALJ </w:t>
      </w:r>
      <w:r w:rsidRPr="00C16BD5">
        <w:rPr>
          <w:rFonts w:cs="Times New Roman"/>
          <w:szCs w:val="26"/>
        </w:rPr>
        <w:t>wrong</w:t>
      </w:r>
      <w:r>
        <w:rPr>
          <w:rFonts w:cs="Times New Roman"/>
          <w:szCs w:val="26"/>
        </w:rPr>
        <w:t>ly denied</w:t>
      </w:r>
      <w:r w:rsidRPr="00C16BD5">
        <w:rPr>
          <w:rFonts w:cs="Times New Roman"/>
          <w:szCs w:val="26"/>
        </w:rPr>
        <w:t xml:space="preserve"> Columbia</w:t>
      </w:r>
      <w:r>
        <w:rPr>
          <w:rFonts w:cs="Times New Roman"/>
          <w:szCs w:val="26"/>
        </w:rPr>
        <w:t xml:space="preserve">’s requests for </w:t>
      </w:r>
      <w:r w:rsidRPr="00C16BD5">
        <w:rPr>
          <w:rFonts w:cs="Times New Roman"/>
          <w:szCs w:val="26"/>
        </w:rPr>
        <w:t xml:space="preserve">performance </w:t>
      </w:r>
      <w:r>
        <w:rPr>
          <w:rFonts w:cs="Times New Roman"/>
          <w:szCs w:val="26"/>
        </w:rPr>
        <w:t>and acquisition premiums</w:t>
      </w:r>
      <w:r w:rsidRPr="00C16BD5">
        <w:rPr>
          <w:rFonts w:cs="Times New Roman"/>
          <w:szCs w:val="26"/>
        </w:rPr>
        <w:t xml:space="preserve">.  </w:t>
      </w:r>
      <w:r>
        <w:rPr>
          <w:rFonts w:cs="Times New Roman"/>
          <w:szCs w:val="26"/>
        </w:rPr>
        <w:t>“</w:t>
      </w:r>
      <w:r w:rsidRPr="00C16BD5">
        <w:rPr>
          <w:rFonts w:cs="Times New Roman"/>
          <w:szCs w:val="26"/>
        </w:rPr>
        <w:t>At the very least, the ALJ should have used his discretion to lean more toward Columbia</w:t>
      </w:r>
      <w:r>
        <w:rPr>
          <w:rFonts w:cs="Times New Roman"/>
          <w:szCs w:val="26"/>
        </w:rPr>
        <w:t>’</w:t>
      </w:r>
      <w:r w:rsidRPr="00C16BD5">
        <w:rPr>
          <w:rFonts w:cs="Times New Roman"/>
          <w:szCs w:val="26"/>
        </w:rPr>
        <w:t>s rate of return and capital structure positions due to its history of doing these good things instead of adopting I&amp;E</w:t>
      </w:r>
      <w:r>
        <w:rPr>
          <w:rFonts w:cs="Times New Roman"/>
          <w:szCs w:val="26"/>
        </w:rPr>
        <w:t>’</w:t>
      </w:r>
      <w:r w:rsidRPr="00C16BD5">
        <w:rPr>
          <w:rFonts w:cs="Times New Roman"/>
          <w:szCs w:val="26"/>
        </w:rPr>
        <w:t>s punitive recommendation of its first time rate of return witness.</w:t>
      </w:r>
      <w:r>
        <w:rPr>
          <w:rFonts w:cs="Times New Roman"/>
          <w:szCs w:val="26"/>
        </w:rPr>
        <w:t xml:space="preserve">”  </w:t>
      </w:r>
      <w:r w:rsidRPr="003061BD">
        <w:rPr>
          <w:rFonts w:cs="Times New Roman"/>
          <w:i/>
          <w:szCs w:val="26"/>
        </w:rPr>
        <w:t>Id</w:t>
      </w:r>
      <w:r>
        <w:rPr>
          <w:rFonts w:cs="Times New Roman"/>
          <w:szCs w:val="26"/>
        </w:rPr>
        <w:t>.</w:t>
      </w:r>
      <w:r w:rsidRPr="00C16BD5">
        <w:rPr>
          <w:rFonts w:cs="Times New Roman"/>
          <w:szCs w:val="26"/>
        </w:rPr>
        <w:t xml:space="preserve">  </w:t>
      </w:r>
    </w:p>
    <w:p w:rsidR="004F0789" w:rsidRDefault="004F0789" w:rsidP="004F0789">
      <w:pPr>
        <w:contextualSpacing/>
        <w:rPr>
          <w:rFonts w:cs="Times New Roman"/>
          <w:szCs w:val="26"/>
        </w:rPr>
      </w:pPr>
    </w:p>
    <w:p w:rsidR="004F0789" w:rsidRDefault="004F0789" w:rsidP="004F0789">
      <w:pPr>
        <w:contextualSpacing/>
        <w:rPr>
          <w:rFonts w:cs="Times New Roman"/>
          <w:szCs w:val="26"/>
        </w:rPr>
      </w:pPr>
      <w:r>
        <w:rPr>
          <w:rFonts w:cs="Times New Roman"/>
          <w:szCs w:val="26"/>
        </w:rPr>
        <w:t>With regard to the requested performance premium, Columbia submits that th</w:t>
      </w:r>
      <w:r w:rsidRPr="00C16BD5">
        <w:rPr>
          <w:rFonts w:cs="Times New Roman"/>
          <w:szCs w:val="26"/>
        </w:rPr>
        <w:t>e record in this ca</w:t>
      </w:r>
      <w:r>
        <w:rPr>
          <w:rFonts w:cs="Times New Roman"/>
          <w:szCs w:val="26"/>
        </w:rPr>
        <w:t xml:space="preserve">se establishes that it </w:t>
      </w:r>
      <w:r w:rsidRPr="00C16BD5">
        <w:rPr>
          <w:rFonts w:cs="Times New Roman"/>
          <w:szCs w:val="26"/>
        </w:rPr>
        <w:t>has provided outstanding service and commitment to the community over the past several yea</w:t>
      </w:r>
      <w:r>
        <w:rPr>
          <w:rFonts w:cs="Times New Roman"/>
          <w:szCs w:val="26"/>
        </w:rPr>
        <w:t>rs.  Columbia states that “[i]</w:t>
      </w:r>
      <w:r w:rsidRPr="00C16BD5">
        <w:rPr>
          <w:rFonts w:cs="Times New Roman"/>
          <w:szCs w:val="26"/>
        </w:rPr>
        <w:t>t is hard to imagine a record containing more support for a management efficiency premium – especially from a</w:t>
      </w:r>
      <w:r w:rsidR="000F160B">
        <w:rPr>
          <w:rFonts w:cs="Times New Roman"/>
          <w:szCs w:val="26"/>
        </w:rPr>
        <w:t xml:space="preserve"> ‘small,’</w:t>
      </w:r>
      <w:r w:rsidRPr="00C16BD5">
        <w:rPr>
          <w:rFonts w:cs="Times New Roman"/>
          <w:szCs w:val="26"/>
        </w:rPr>
        <w:t xml:space="preserve"> local water company that doesn</w:t>
      </w:r>
      <w:r>
        <w:rPr>
          <w:rFonts w:cs="Times New Roman"/>
          <w:szCs w:val="26"/>
        </w:rPr>
        <w:t>’</w:t>
      </w:r>
      <w:r w:rsidRPr="00C16BD5">
        <w:rPr>
          <w:rFonts w:cs="Times New Roman"/>
          <w:szCs w:val="26"/>
        </w:rPr>
        <w:t>t have the luxury of a large staff overseeing operations – than the record established in this case.</w:t>
      </w:r>
      <w:r>
        <w:rPr>
          <w:rFonts w:cs="Times New Roman"/>
          <w:szCs w:val="26"/>
        </w:rPr>
        <w:t xml:space="preserve">”  </w:t>
      </w:r>
      <w:r w:rsidRPr="00597335">
        <w:rPr>
          <w:rFonts w:cs="Times New Roman"/>
          <w:i/>
          <w:szCs w:val="26"/>
        </w:rPr>
        <w:t>Id</w:t>
      </w:r>
      <w:r>
        <w:rPr>
          <w:rFonts w:cs="Times New Roman"/>
          <w:szCs w:val="26"/>
        </w:rPr>
        <w:t>. at 16.</w:t>
      </w:r>
      <w:r w:rsidR="00F03BC8">
        <w:rPr>
          <w:rFonts w:cs="Times New Roman"/>
          <w:szCs w:val="26"/>
        </w:rPr>
        <w:t xml:space="preserve">  Columbia again refers to</w:t>
      </w:r>
      <w:r>
        <w:rPr>
          <w:rFonts w:cs="Times New Roman"/>
          <w:szCs w:val="26"/>
        </w:rPr>
        <w:t xml:space="preserve"> the evidence in the record, </w:t>
      </w:r>
      <w:r w:rsidRPr="00926A1E">
        <w:rPr>
          <w:rFonts w:cs="Times New Roman"/>
          <w:i/>
          <w:szCs w:val="26"/>
        </w:rPr>
        <w:t>supra</w:t>
      </w:r>
      <w:r>
        <w:rPr>
          <w:rFonts w:cs="Times New Roman"/>
          <w:szCs w:val="26"/>
        </w:rPr>
        <w:t xml:space="preserve">, that </w:t>
      </w:r>
      <w:r w:rsidR="009C285A">
        <w:rPr>
          <w:rFonts w:cs="Times New Roman"/>
          <w:szCs w:val="26"/>
        </w:rPr>
        <w:t xml:space="preserve">it believes </w:t>
      </w:r>
      <w:r>
        <w:rPr>
          <w:rFonts w:cs="Times New Roman"/>
          <w:szCs w:val="26"/>
        </w:rPr>
        <w:t xml:space="preserve">supports the award of a performance premium in this proceeding.  </w:t>
      </w:r>
      <w:r w:rsidRPr="00926A1E">
        <w:rPr>
          <w:rFonts w:cs="Times New Roman"/>
          <w:i/>
          <w:szCs w:val="26"/>
        </w:rPr>
        <w:t>Id</w:t>
      </w:r>
      <w:r>
        <w:rPr>
          <w:rFonts w:cs="Times New Roman"/>
          <w:szCs w:val="26"/>
        </w:rPr>
        <w:t>. at 17-19.</w:t>
      </w:r>
    </w:p>
    <w:p w:rsidR="004F0789" w:rsidRPr="00C16BD5" w:rsidRDefault="004F0789" w:rsidP="004F0789">
      <w:pPr>
        <w:contextualSpacing/>
        <w:rPr>
          <w:rFonts w:cs="Times New Roman"/>
          <w:szCs w:val="26"/>
        </w:rPr>
      </w:pPr>
    </w:p>
    <w:p w:rsidR="004F0789" w:rsidRPr="000F160B" w:rsidRDefault="004F0789" w:rsidP="000F160B">
      <w:pPr>
        <w:contextualSpacing/>
        <w:rPr>
          <w:rFonts w:cs="Times New Roman"/>
          <w:szCs w:val="26"/>
        </w:rPr>
      </w:pPr>
      <w:r>
        <w:rPr>
          <w:rFonts w:cs="Times New Roman"/>
          <w:szCs w:val="26"/>
        </w:rPr>
        <w:t xml:space="preserve">Columbia states that its performance </w:t>
      </w:r>
      <w:r w:rsidRPr="00C16BD5">
        <w:rPr>
          <w:rFonts w:cs="Times New Roman"/>
          <w:szCs w:val="26"/>
        </w:rPr>
        <w:t xml:space="preserve">certainly </w:t>
      </w:r>
      <w:r>
        <w:rPr>
          <w:rFonts w:cs="Times New Roman"/>
          <w:szCs w:val="26"/>
        </w:rPr>
        <w:t xml:space="preserve">has been </w:t>
      </w:r>
      <w:r w:rsidRPr="00C16BD5">
        <w:rPr>
          <w:rFonts w:cs="Times New Roman"/>
          <w:szCs w:val="26"/>
        </w:rPr>
        <w:t>equal to</w:t>
      </w:r>
      <w:r>
        <w:rPr>
          <w:rFonts w:cs="Times New Roman"/>
          <w:szCs w:val="26"/>
        </w:rPr>
        <w:t>,</w:t>
      </w:r>
      <w:r w:rsidRPr="00C16BD5">
        <w:rPr>
          <w:rFonts w:cs="Times New Roman"/>
          <w:szCs w:val="26"/>
        </w:rPr>
        <w:t xml:space="preserve"> and in most cases </w:t>
      </w:r>
      <w:r>
        <w:rPr>
          <w:rFonts w:cs="Times New Roman"/>
          <w:szCs w:val="26"/>
        </w:rPr>
        <w:t>has exceeded</w:t>
      </w:r>
      <w:r w:rsidRPr="00926A1E">
        <w:rPr>
          <w:rFonts w:cs="Times New Roman"/>
          <w:szCs w:val="26"/>
        </w:rPr>
        <w:t>,</w:t>
      </w:r>
      <w:r>
        <w:rPr>
          <w:rFonts w:cs="Times New Roman"/>
          <w:szCs w:val="26"/>
        </w:rPr>
        <w:t xml:space="preserve"> the performance of</w:t>
      </w:r>
      <w:r w:rsidRPr="00C16BD5">
        <w:rPr>
          <w:rFonts w:cs="Times New Roman"/>
          <w:szCs w:val="26"/>
        </w:rPr>
        <w:t xml:space="preserve"> Aqua Penns</w:t>
      </w:r>
      <w:r>
        <w:rPr>
          <w:rFonts w:cs="Times New Roman"/>
          <w:szCs w:val="26"/>
        </w:rPr>
        <w:t>ylvania, Inc. (Aqua) for which Aqua</w:t>
      </w:r>
      <w:r w:rsidRPr="00C16BD5">
        <w:rPr>
          <w:rFonts w:cs="Times New Roman"/>
          <w:szCs w:val="26"/>
        </w:rPr>
        <w:t xml:space="preserve"> was awarde</w:t>
      </w:r>
      <w:r>
        <w:rPr>
          <w:rFonts w:cs="Times New Roman"/>
          <w:szCs w:val="26"/>
        </w:rPr>
        <w:t>d a 22 point premium by the Commission</w:t>
      </w:r>
      <w:r w:rsidRPr="00C16BD5">
        <w:rPr>
          <w:rFonts w:cs="Times New Roman"/>
          <w:szCs w:val="26"/>
        </w:rPr>
        <w:t>.</w:t>
      </w:r>
      <w:r w:rsidRPr="00C16BD5">
        <w:rPr>
          <w:rFonts w:cs="Times New Roman"/>
          <w:szCs w:val="26"/>
          <w:vertAlign w:val="superscript"/>
        </w:rPr>
        <w:footnoteReference w:id="26"/>
      </w:r>
      <w:r>
        <w:rPr>
          <w:rFonts w:cs="Times New Roman"/>
          <w:szCs w:val="26"/>
        </w:rPr>
        <w:t xml:space="preserve">  Columbia states that </w:t>
      </w:r>
      <w:r w:rsidRPr="00C16BD5">
        <w:rPr>
          <w:rFonts w:cs="Times New Roman"/>
          <w:szCs w:val="26"/>
        </w:rPr>
        <w:t>the Commission</w:t>
      </w:r>
      <w:r>
        <w:rPr>
          <w:rFonts w:cs="Times New Roman"/>
          <w:szCs w:val="26"/>
        </w:rPr>
        <w:t xml:space="preserve"> awarded a premium to Aqua based on its finding “</w:t>
      </w:r>
      <w:r w:rsidRPr="00C16BD5">
        <w:rPr>
          <w:rFonts w:cs="Times New Roman"/>
          <w:szCs w:val="26"/>
        </w:rPr>
        <w:t>that Aqua</w:t>
      </w:r>
      <w:r>
        <w:rPr>
          <w:rFonts w:cs="Times New Roman"/>
          <w:szCs w:val="26"/>
        </w:rPr>
        <w:t>’</w:t>
      </w:r>
      <w:r w:rsidRPr="00C16BD5">
        <w:rPr>
          <w:rFonts w:cs="Times New Roman"/>
          <w:szCs w:val="26"/>
        </w:rPr>
        <w:t>s managerial performance related to its water quality, customer service and low income program continues to be laudable and should be a factor</w:t>
      </w:r>
      <w:r>
        <w:rPr>
          <w:rFonts w:cs="Times New Roman"/>
          <w:szCs w:val="26"/>
        </w:rPr>
        <w:t xml:space="preserve"> in its cost of common equity.”</w:t>
      </w:r>
      <w:r>
        <w:rPr>
          <w:rStyle w:val="FootnoteReference"/>
          <w:rFonts w:cs="Times New Roman"/>
          <w:szCs w:val="26"/>
        </w:rPr>
        <w:footnoteReference w:id="27"/>
      </w:r>
      <w:r>
        <w:rPr>
          <w:rFonts w:cs="Times New Roman"/>
          <w:szCs w:val="26"/>
        </w:rPr>
        <w:t xml:space="preserve">  Columbia submits that the Commission awarded a performance premium to Aqua</w:t>
      </w:r>
      <w:r w:rsidRPr="00C16BD5">
        <w:rPr>
          <w:rFonts w:cs="Times New Roman"/>
          <w:szCs w:val="26"/>
        </w:rPr>
        <w:t xml:space="preserve"> even though the record in that case showed that there were severe water quality issues, including water </w:t>
      </w:r>
      <w:r w:rsidRPr="00C16BD5">
        <w:rPr>
          <w:rFonts w:cs="Times New Roman"/>
          <w:szCs w:val="26"/>
        </w:rPr>
        <w:lastRenderedPageBreak/>
        <w:t>sources that e</w:t>
      </w:r>
      <w:r>
        <w:rPr>
          <w:rFonts w:cs="Times New Roman"/>
          <w:szCs w:val="26"/>
        </w:rPr>
        <w:t xml:space="preserve">xceeded safe drinking water levels and </w:t>
      </w:r>
      <w:r w:rsidRPr="00C16BD5">
        <w:rPr>
          <w:rFonts w:cs="Times New Roman"/>
          <w:szCs w:val="26"/>
        </w:rPr>
        <w:t>hard water, promised infrastructure improvements that were not completed, excessively high unaccounted for water levels, and an ineffective customer assistance program.</w:t>
      </w:r>
      <w:r>
        <w:rPr>
          <w:rFonts w:cs="Times New Roman"/>
          <w:szCs w:val="26"/>
        </w:rPr>
        <w:t xml:space="preserve">  CWC Exc. at 20.  Columbia submits that t</w:t>
      </w:r>
      <w:r w:rsidRPr="00C16BD5">
        <w:rPr>
          <w:rFonts w:cs="Times New Roman"/>
          <w:szCs w:val="26"/>
        </w:rPr>
        <w:t xml:space="preserve">he record in this case shows </w:t>
      </w:r>
      <w:r w:rsidRPr="0062408A">
        <w:rPr>
          <w:rFonts w:cs="Times New Roman"/>
          <w:szCs w:val="26"/>
        </w:rPr>
        <w:t>none of those types of problems with Columbia</w:t>
      </w:r>
      <w:r>
        <w:rPr>
          <w:rFonts w:cs="Times New Roman"/>
          <w:szCs w:val="26"/>
        </w:rPr>
        <w:t>’</w:t>
      </w:r>
      <w:r w:rsidRPr="0062408A">
        <w:rPr>
          <w:rFonts w:cs="Times New Roman"/>
          <w:szCs w:val="26"/>
        </w:rPr>
        <w:t>s water quality or service</w:t>
      </w:r>
      <w:r>
        <w:rPr>
          <w:rFonts w:cs="Times New Roman"/>
          <w:szCs w:val="26"/>
        </w:rPr>
        <w:t xml:space="preserve">, and that its </w:t>
      </w:r>
      <w:r w:rsidRPr="00C16BD5">
        <w:rPr>
          <w:rFonts w:cs="Times New Roman"/>
          <w:szCs w:val="26"/>
        </w:rPr>
        <w:t>performan</w:t>
      </w:r>
      <w:r>
        <w:rPr>
          <w:rFonts w:cs="Times New Roman"/>
          <w:szCs w:val="26"/>
        </w:rPr>
        <w:t xml:space="preserve">ce </w:t>
      </w:r>
      <w:r w:rsidRPr="00C16BD5">
        <w:rPr>
          <w:rFonts w:cs="Times New Roman"/>
          <w:szCs w:val="26"/>
        </w:rPr>
        <w:t>clearly</w:t>
      </w:r>
      <w:r>
        <w:rPr>
          <w:rFonts w:cs="Times New Roman"/>
          <w:szCs w:val="26"/>
        </w:rPr>
        <w:t xml:space="preserve"> has</w:t>
      </w:r>
      <w:r w:rsidRPr="0062408A">
        <w:rPr>
          <w:rFonts w:cs="Times New Roman"/>
          <w:szCs w:val="26"/>
        </w:rPr>
        <w:t xml:space="preserve"> exceeded</w:t>
      </w:r>
      <w:r w:rsidRPr="00C16BD5">
        <w:rPr>
          <w:rFonts w:cs="Times New Roman"/>
          <w:szCs w:val="26"/>
        </w:rPr>
        <w:t xml:space="preserve"> the base requirements.  </w:t>
      </w:r>
      <w:r>
        <w:rPr>
          <w:rFonts w:cs="Times New Roman"/>
          <w:szCs w:val="26"/>
        </w:rPr>
        <w:t>“</w:t>
      </w:r>
      <w:r w:rsidRPr="00C16BD5">
        <w:rPr>
          <w:rFonts w:cs="Times New Roman"/>
          <w:szCs w:val="26"/>
        </w:rPr>
        <w:t>Indeed, it would be most difficult to imagine how a company the size of Columbia could do more.</w:t>
      </w:r>
      <w:r>
        <w:rPr>
          <w:rFonts w:cs="Times New Roman"/>
          <w:szCs w:val="26"/>
        </w:rPr>
        <w:t xml:space="preserve">”  </w:t>
      </w:r>
      <w:r w:rsidRPr="0062408A">
        <w:rPr>
          <w:rFonts w:cs="Times New Roman"/>
          <w:i/>
          <w:szCs w:val="26"/>
        </w:rPr>
        <w:t>Id</w:t>
      </w:r>
      <w:r>
        <w:rPr>
          <w:rFonts w:cs="Times New Roman"/>
          <w:szCs w:val="26"/>
        </w:rPr>
        <w:t>. at 20-21.</w:t>
      </w:r>
      <w:r w:rsidRPr="00C16BD5">
        <w:rPr>
          <w:rFonts w:cs="Times New Roman"/>
          <w:szCs w:val="26"/>
        </w:rPr>
        <w:t xml:space="preserve">  Accordingly, </w:t>
      </w:r>
      <w:r>
        <w:rPr>
          <w:rFonts w:cs="Times New Roman"/>
          <w:szCs w:val="26"/>
        </w:rPr>
        <w:t xml:space="preserve">Columbia submits that </w:t>
      </w:r>
      <w:r w:rsidRPr="00C16BD5">
        <w:rPr>
          <w:rFonts w:cs="Times New Roman"/>
          <w:szCs w:val="26"/>
        </w:rPr>
        <w:t>the Commission should exercise its discretion by granting Columbia a rate of return</w:t>
      </w:r>
      <w:r>
        <w:rPr>
          <w:rFonts w:cs="Times New Roman"/>
          <w:szCs w:val="26"/>
        </w:rPr>
        <w:t xml:space="preserve"> premium based on its managerial performance</w:t>
      </w:r>
      <w:r w:rsidRPr="00C16BD5">
        <w:rPr>
          <w:rFonts w:cs="Times New Roman"/>
          <w:szCs w:val="26"/>
        </w:rPr>
        <w:t>.</w:t>
      </w:r>
      <w:r w:rsidRPr="00C16BD5">
        <w:rPr>
          <w:rFonts w:cs="Times New Roman"/>
          <w:szCs w:val="26"/>
        </w:rPr>
        <w:tab/>
      </w:r>
    </w:p>
    <w:p w:rsidR="004F0789" w:rsidRPr="00C16BD5" w:rsidRDefault="004F0789" w:rsidP="004F0789">
      <w:pPr>
        <w:contextualSpacing/>
        <w:rPr>
          <w:rFonts w:cs="Times New Roman"/>
          <w:szCs w:val="26"/>
        </w:rPr>
      </w:pPr>
      <w:r>
        <w:rPr>
          <w:rFonts w:cs="Times New Roman"/>
          <w:szCs w:val="26"/>
        </w:rPr>
        <w:t>With regard to its requested acquisition premium, Columbia submits that t</w:t>
      </w:r>
      <w:r w:rsidRPr="00C16BD5">
        <w:rPr>
          <w:rFonts w:cs="Times New Roman"/>
          <w:szCs w:val="26"/>
        </w:rPr>
        <w:t>he ALJ</w:t>
      </w:r>
      <w:r>
        <w:rPr>
          <w:rFonts w:cs="Times New Roman"/>
          <w:szCs w:val="26"/>
        </w:rPr>
        <w:t>’</w:t>
      </w:r>
      <w:r w:rsidRPr="00C16BD5">
        <w:rPr>
          <w:rFonts w:cs="Times New Roman"/>
          <w:szCs w:val="26"/>
        </w:rPr>
        <w:t xml:space="preserve">s reasoning in evaluating the factors required under Section 69.721(g) </w:t>
      </w:r>
      <w:r w:rsidR="009C285A">
        <w:rPr>
          <w:rFonts w:cs="Times New Roman"/>
          <w:szCs w:val="26"/>
        </w:rPr>
        <w:t>is</w:t>
      </w:r>
      <w:r w:rsidRPr="00C16BD5">
        <w:rPr>
          <w:rFonts w:cs="Times New Roman"/>
          <w:szCs w:val="26"/>
        </w:rPr>
        <w:t xml:space="preserve"> unclear, but under a</w:t>
      </w:r>
      <w:r>
        <w:rPr>
          <w:rFonts w:cs="Times New Roman"/>
          <w:szCs w:val="26"/>
        </w:rPr>
        <w:t xml:space="preserve">ny scenario </w:t>
      </w:r>
      <w:r w:rsidR="009C285A">
        <w:rPr>
          <w:rFonts w:cs="Times New Roman"/>
          <w:szCs w:val="26"/>
        </w:rPr>
        <w:t xml:space="preserve">it is </w:t>
      </w:r>
      <w:r>
        <w:rPr>
          <w:rFonts w:cs="Times New Roman"/>
          <w:szCs w:val="26"/>
        </w:rPr>
        <w:t xml:space="preserve">incorrect.  CWC Exc. at 21.  First, Columbia refers to the ALJ’s statement that Columbia did not </w:t>
      </w:r>
      <w:r w:rsidRPr="00C16BD5">
        <w:rPr>
          <w:rFonts w:cs="Times New Roman"/>
          <w:szCs w:val="26"/>
        </w:rPr>
        <w:t>satisfy the requirements of</w:t>
      </w:r>
      <w:r>
        <w:rPr>
          <w:rFonts w:cs="Times New Roman"/>
          <w:szCs w:val="26"/>
        </w:rPr>
        <w:t xml:space="preserve"> Section 1327, </w:t>
      </w:r>
      <w:r w:rsidRPr="00C16BD5">
        <w:rPr>
          <w:rFonts w:cs="Times New Roman"/>
          <w:szCs w:val="26"/>
        </w:rPr>
        <w:t>R</w:t>
      </w:r>
      <w:r>
        <w:rPr>
          <w:rFonts w:cs="Times New Roman"/>
          <w:szCs w:val="26"/>
        </w:rPr>
        <w:t>.</w:t>
      </w:r>
      <w:r w:rsidRPr="00C16BD5">
        <w:rPr>
          <w:rFonts w:cs="Times New Roman"/>
          <w:szCs w:val="26"/>
        </w:rPr>
        <w:t>D</w:t>
      </w:r>
      <w:r>
        <w:rPr>
          <w:rFonts w:cs="Times New Roman"/>
          <w:szCs w:val="26"/>
        </w:rPr>
        <w:t xml:space="preserve">. at 48, and states that it </w:t>
      </w:r>
      <w:r w:rsidRPr="00C16BD5">
        <w:rPr>
          <w:rFonts w:cs="Times New Roman"/>
          <w:szCs w:val="26"/>
        </w:rPr>
        <w:t xml:space="preserve">never made any claim under Section 1327.  Second, </w:t>
      </w:r>
      <w:r>
        <w:rPr>
          <w:rFonts w:cs="Times New Roman"/>
          <w:szCs w:val="26"/>
        </w:rPr>
        <w:t xml:space="preserve">Columbia submits that </w:t>
      </w:r>
      <w:r w:rsidRPr="00C16BD5">
        <w:rPr>
          <w:rFonts w:cs="Times New Roman"/>
          <w:szCs w:val="26"/>
        </w:rPr>
        <w:t xml:space="preserve">if </w:t>
      </w:r>
      <w:r>
        <w:rPr>
          <w:rFonts w:cs="Times New Roman"/>
          <w:szCs w:val="26"/>
        </w:rPr>
        <w:t xml:space="preserve">the ALJ’s statement suggests that Columbia does </w:t>
      </w:r>
      <w:r w:rsidRPr="00C16BD5">
        <w:rPr>
          <w:rFonts w:cs="Times New Roman"/>
          <w:szCs w:val="26"/>
        </w:rPr>
        <w:t xml:space="preserve">not qualify for </w:t>
      </w:r>
      <w:r>
        <w:rPr>
          <w:rFonts w:cs="Times New Roman"/>
          <w:szCs w:val="26"/>
        </w:rPr>
        <w:t xml:space="preserve">a premium under </w:t>
      </w:r>
      <w:r w:rsidRPr="00C16BD5">
        <w:rPr>
          <w:rFonts w:cs="Times New Roman"/>
          <w:szCs w:val="26"/>
        </w:rPr>
        <w:t>Se</w:t>
      </w:r>
      <w:r>
        <w:rPr>
          <w:rFonts w:cs="Times New Roman"/>
          <w:szCs w:val="26"/>
        </w:rPr>
        <w:t xml:space="preserve">ction 69.721(g) because it did not satisfy </w:t>
      </w:r>
      <w:r w:rsidRPr="00C16BD5">
        <w:rPr>
          <w:rFonts w:cs="Times New Roman"/>
          <w:szCs w:val="26"/>
        </w:rPr>
        <w:t>Sectio</w:t>
      </w:r>
      <w:r>
        <w:rPr>
          <w:rFonts w:cs="Times New Roman"/>
          <w:szCs w:val="26"/>
        </w:rPr>
        <w:t>n 1327</w:t>
      </w:r>
      <w:r w:rsidRPr="00C16BD5">
        <w:rPr>
          <w:rFonts w:cs="Times New Roman"/>
          <w:szCs w:val="26"/>
        </w:rPr>
        <w:t xml:space="preserve">, </w:t>
      </w:r>
      <w:r>
        <w:rPr>
          <w:rFonts w:cs="Times New Roman"/>
          <w:szCs w:val="26"/>
        </w:rPr>
        <w:t>then “</w:t>
      </w:r>
      <w:r w:rsidRPr="00C16BD5">
        <w:rPr>
          <w:rFonts w:cs="Times New Roman"/>
          <w:szCs w:val="26"/>
        </w:rPr>
        <w:t>that is wrong because not qualifying under Section 1327 is exactly what would allow you to claim a Section 69.721(g) premium.  However, if this statement is suggesting that Columbia</w:t>
      </w:r>
      <w:r>
        <w:rPr>
          <w:rFonts w:cs="Times New Roman"/>
          <w:szCs w:val="26"/>
        </w:rPr>
        <w:t>’</w:t>
      </w:r>
      <w:r w:rsidRPr="00C16BD5">
        <w:rPr>
          <w:rFonts w:cs="Times New Roman"/>
          <w:szCs w:val="26"/>
        </w:rPr>
        <w:t>s MGWC acquisition qualifies for Section 69.721(g) treatment, then that is correct; however, his evaluation of the second factor is still incorrect.</w:t>
      </w:r>
      <w:r>
        <w:rPr>
          <w:rFonts w:cs="Times New Roman"/>
          <w:szCs w:val="26"/>
        </w:rPr>
        <w:t xml:space="preserve">”  </w:t>
      </w:r>
      <w:r w:rsidRPr="00A72B69">
        <w:rPr>
          <w:rFonts w:cs="Times New Roman"/>
          <w:i/>
          <w:szCs w:val="26"/>
        </w:rPr>
        <w:t>Id</w:t>
      </w:r>
      <w:r>
        <w:rPr>
          <w:rFonts w:cs="Times New Roman"/>
          <w:szCs w:val="26"/>
        </w:rPr>
        <w:t>. at 22.</w:t>
      </w:r>
    </w:p>
    <w:p w:rsidR="004F0789" w:rsidRDefault="004F0789" w:rsidP="004F0789">
      <w:pPr>
        <w:contextualSpacing/>
        <w:rPr>
          <w:rFonts w:cs="Times New Roman"/>
          <w:szCs w:val="26"/>
        </w:rPr>
      </w:pPr>
    </w:p>
    <w:p w:rsidR="004F0789" w:rsidRDefault="004F0789" w:rsidP="004F0789">
      <w:pPr>
        <w:contextualSpacing/>
        <w:rPr>
          <w:rFonts w:cs="Times New Roman"/>
          <w:szCs w:val="26"/>
        </w:rPr>
      </w:pPr>
      <w:r>
        <w:rPr>
          <w:rFonts w:cs="Times New Roman"/>
          <w:szCs w:val="26"/>
        </w:rPr>
        <w:t>Columbia submits that t</w:t>
      </w:r>
      <w:r w:rsidRPr="00C16BD5">
        <w:rPr>
          <w:rFonts w:cs="Times New Roman"/>
          <w:szCs w:val="26"/>
        </w:rPr>
        <w:t xml:space="preserve">he second factor in evaluating a </w:t>
      </w:r>
      <w:r>
        <w:rPr>
          <w:rFonts w:cs="Times New Roman"/>
          <w:szCs w:val="26"/>
        </w:rPr>
        <w:t>claim under Section 69.721(g) is whether a</w:t>
      </w:r>
      <w:r w:rsidRPr="00C16BD5">
        <w:rPr>
          <w:rFonts w:cs="Times New Roman"/>
          <w:szCs w:val="26"/>
        </w:rPr>
        <w:t xml:space="preserve"> utility has demonstrated a track record of acquiring and improving the service provided to customers of smaller and less vi</w:t>
      </w:r>
      <w:r>
        <w:rPr>
          <w:rFonts w:cs="Times New Roman"/>
          <w:szCs w:val="26"/>
        </w:rPr>
        <w:t xml:space="preserve">able water systems.  </w:t>
      </w:r>
      <w:r w:rsidRPr="00C16BD5">
        <w:rPr>
          <w:rFonts w:cs="Times New Roman"/>
          <w:szCs w:val="26"/>
        </w:rPr>
        <w:t>Columbia</w:t>
      </w:r>
      <w:r>
        <w:rPr>
          <w:rFonts w:cs="Times New Roman"/>
          <w:szCs w:val="26"/>
        </w:rPr>
        <w:t xml:space="preserve"> argues that it has satisfied</w:t>
      </w:r>
      <w:r w:rsidRPr="00C16BD5">
        <w:rPr>
          <w:rFonts w:cs="Times New Roman"/>
          <w:szCs w:val="26"/>
        </w:rPr>
        <w:t xml:space="preserve"> this standard.  With regard to a “track record” of acquisitions, Columbia </w:t>
      </w:r>
      <w:r>
        <w:rPr>
          <w:rFonts w:cs="Times New Roman"/>
          <w:szCs w:val="26"/>
        </w:rPr>
        <w:t xml:space="preserve">refers to its acquisition of </w:t>
      </w:r>
      <w:r w:rsidRPr="00C16BD5">
        <w:rPr>
          <w:rFonts w:cs="Times New Roman"/>
          <w:szCs w:val="26"/>
        </w:rPr>
        <w:t>the Mountville Municipal System in 1998 and the Marietta Gravit</w:t>
      </w:r>
      <w:r>
        <w:rPr>
          <w:rFonts w:cs="Times New Roman"/>
          <w:szCs w:val="26"/>
        </w:rPr>
        <w:t xml:space="preserve">y Water Company in 2012, and submits that these acquisitions </w:t>
      </w:r>
      <w:r w:rsidRPr="00C16BD5">
        <w:rPr>
          <w:rFonts w:cs="Times New Roman"/>
          <w:szCs w:val="26"/>
        </w:rPr>
        <w:t>demo</w:t>
      </w:r>
      <w:r>
        <w:rPr>
          <w:rFonts w:cs="Times New Roman"/>
          <w:szCs w:val="26"/>
        </w:rPr>
        <w:t xml:space="preserve">nstrate </w:t>
      </w:r>
      <w:r w:rsidRPr="00C16BD5">
        <w:rPr>
          <w:rFonts w:cs="Times New Roman"/>
          <w:szCs w:val="26"/>
        </w:rPr>
        <w:t>a goal of acquiring and i</w:t>
      </w:r>
      <w:r>
        <w:rPr>
          <w:rFonts w:cs="Times New Roman"/>
          <w:szCs w:val="26"/>
        </w:rPr>
        <w:t xml:space="preserve">mproving less viable systems.  Columbia believes </w:t>
      </w:r>
      <w:r w:rsidRPr="00C16BD5">
        <w:rPr>
          <w:rFonts w:cs="Times New Roman"/>
          <w:szCs w:val="26"/>
        </w:rPr>
        <w:t>that</w:t>
      </w:r>
      <w:r>
        <w:rPr>
          <w:rFonts w:cs="Times New Roman"/>
          <w:szCs w:val="26"/>
        </w:rPr>
        <w:t>,</w:t>
      </w:r>
      <w:r w:rsidRPr="00C16BD5">
        <w:rPr>
          <w:rFonts w:cs="Times New Roman"/>
          <w:szCs w:val="26"/>
        </w:rPr>
        <w:t xml:space="preserve"> given its size, two acquis</w:t>
      </w:r>
      <w:r>
        <w:rPr>
          <w:rFonts w:cs="Times New Roman"/>
          <w:szCs w:val="26"/>
        </w:rPr>
        <w:t>itions in the past fifteen years demonstrate</w:t>
      </w:r>
      <w:r w:rsidRPr="00C16BD5">
        <w:rPr>
          <w:rFonts w:cs="Times New Roman"/>
          <w:szCs w:val="26"/>
        </w:rPr>
        <w:t xml:space="preserve"> the “track record” contemplated by the </w:t>
      </w:r>
      <w:r w:rsidRPr="003E06CC">
        <w:rPr>
          <w:rFonts w:cs="Times New Roman"/>
          <w:i/>
          <w:szCs w:val="26"/>
        </w:rPr>
        <w:lastRenderedPageBreak/>
        <w:t>Acquisition Policy Statement</w:t>
      </w:r>
      <w:r>
        <w:rPr>
          <w:rFonts w:cs="Times New Roman"/>
          <w:szCs w:val="26"/>
        </w:rPr>
        <w:t xml:space="preserve">.  As its witness explained, due to its small size </w:t>
      </w:r>
      <w:r w:rsidRPr="00C16BD5">
        <w:rPr>
          <w:rFonts w:cs="Times New Roman"/>
          <w:szCs w:val="26"/>
        </w:rPr>
        <w:t xml:space="preserve">Columbia </w:t>
      </w:r>
      <w:r>
        <w:rPr>
          <w:rFonts w:cs="Times New Roman"/>
          <w:szCs w:val="26"/>
        </w:rPr>
        <w:t>is not in a position to acquire</w:t>
      </w:r>
      <w:r w:rsidRPr="00C16BD5">
        <w:rPr>
          <w:rFonts w:cs="Times New Roman"/>
          <w:szCs w:val="26"/>
        </w:rPr>
        <w:t xml:space="preserve"> too many systems</w:t>
      </w:r>
      <w:r>
        <w:rPr>
          <w:rFonts w:cs="Times New Roman"/>
          <w:szCs w:val="26"/>
        </w:rPr>
        <w:t xml:space="preserve"> in a short period of time.  Columbia submits that its acquisition strategy has been</w:t>
      </w:r>
      <w:r w:rsidRPr="00C16BD5">
        <w:rPr>
          <w:rFonts w:cs="Times New Roman"/>
          <w:szCs w:val="26"/>
        </w:rPr>
        <w:t xml:space="preserve"> responsible and prudent and should be rewarded by the Commission at th</w:t>
      </w:r>
      <w:r>
        <w:rPr>
          <w:rFonts w:cs="Times New Roman"/>
          <w:szCs w:val="26"/>
        </w:rPr>
        <w:t xml:space="preserve">is time.  </w:t>
      </w:r>
      <w:r w:rsidRPr="003E06CC">
        <w:rPr>
          <w:rFonts w:cs="Times New Roman"/>
          <w:i/>
          <w:szCs w:val="26"/>
        </w:rPr>
        <w:t>Id</w:t>
      </w:r>
      <w:r>
        <w:rPr>
          <w:rFonts w:cs="Times New Roman"/>
          <w:szCs w:val="26"/>
        </w:rPr>
        <w:t>. at 22-23.</w:t>
      </w:r>
    </w:p>
    <w:p w:rsidR="004F0789" w:rsidRPr="00C16BD5" w:rsidRDefault="004F0789" w:rsidP="004F0789">
      <w:pPr>
        <w:contextualSpacing/>
        <w:rPr>
          <w:rFonts w:cs="Times New Roman"/>
          <w:szCs w:val="26"/>
        </w:rPr>
      </w:pPr>
    </w:p>
    <w:p w:rsidR="004F0789" w:rsidRDefault="004F0789" w:rsidP="004F0789">
      <w:pPr>
        <w:contextualSpacing/>
        <w:rPr>
          <w:rFonts w:cs="Times New Roman"/>
          <w:szCs w:val="26"/>
        </w:rPr>
      </w:pPr>
      <w:r w:rsidRPr="00C16BD5">
        <w:rPr>
          <w:rFonts w:cs="Times New Roman"/>
          <w:szCs w:val="26"/>
        </w:rPr>
        <w:t xml:space="preserve">With regard to the </w:t>
      </w:r>
      <w:r>
        <w:rPr>
          <w:rFonts w:cs="Times New Roman"/>
          <w:szCs w:val="26"/>
        </w:rPr>
        <w:t xml:space="preserve">ALJ’s </w:t>
      </w:r>
      <w:r w:rsidRPr="00C16BD5">
        <w:rPr>
          <w:rFonts w:cs="Times New Roman"/>
          <w:szCs w:val="26"/>
        </w:rPr>
        <w:t xml:space="preserve">finding that Columbia has not established </w:t>
      </w:r>
      <w:r>
        <w:rPr>
          <w:rFonts w:cs="Times New Roman"/>
          <w:szCs w:val="26"/>
        </w:rPr>
        <w:t>that MGWC was</w:t>
      </w:r>
      <w:r w:rsidRPr="00C16BD5">
        <w:rPr>
          <w:rFonts w:cs="Times New Roman"/>
          <w:szCs w:val="26"/>
        </w:rPr>
        <w:t xml:space="preserve"> less viable or </w:t>
      </w:r>
      <w:r>
        <w:rPr>
          <w:rFonts w:cs="Times New Roman"/>
          <w:szCs w:val="26"/>
        </w:rPr>
        <w:t>that Columbia had improved its system</w:t>
      </w:r>
      <w:r w:rsidRPr="00C16BD5">
        <w:rPr>
          <w:rFonts w:cs="Times New Roman"/>
          <w:szCs w:val="26"/>
        </w:rPr>
        <w:t xml:space="preserve">, </w:t>
      </w:r>
      <w:r>
        <w:rPr>
          <w:rFonts w:cs="Times New Roman"/>
          <w:szCs w:val="26"/>
        </w:rPr>
        <w:t xml:space="preserve">Columbia submits that the testimony of its </w:t>
      </w:r>
      <w:r w:rsidRPr="00C16BD5">
        <w:rPr>
          <w:rFonts w:cs="Times New Roman"/>
          <w:szCs w:val="26"/>
        </w:rPr>
        <w:t>general manager show</w:t>
      </w:r>
      <w:r>
        <w:rPr>
          <w:rFonts w:cs="Times New Roman"/>
          <w:szCs w:val="26"/>
        </w:rPr>
        <w:t>s otherwise.  “</w:t>
      </w:r>
      <w:r w:rsidRPr="00C16BD5">
        <w:rPr>
          <w:rFonts w:cs="Times New Roman"/>
          <w:szCs w:val="26"/>
        </w:rPr>
        <w:t>Certainly, the amount of improvements that the Company has made to both systems shows that the systems were in nee</w:t>
      </w:r>
      <w:r>
        <w:rPr>
          <w:rFonts w:cs="Times New Roman"/>
          <w:szCs w:val="26"/>
        </w:rPr>
        <w:t>d of extensive repair and thus ‘</w:t>
      </w:r>
      <w:r w:rsidRPr="00C16BD5">
        <w:rPr>
          <w:rFonts w:cs="Times New Roman"/>
          <w:szCs w:val="26"/>
        </w:rPr>
        <w:t>less viable.</w:t>
      </w:r>
      <w:r>
        <w:rPr>
          <w:rFonts w:cs="Times New Roman"/>
          <w:szCs w:val="26"/>
        </w:rPr>
        <w:t>’</w:t>
      </w:r>
      <w:r w:rsidRPr="00C16BD5">
        <w:rPr>
          <w:rFonts w:cs="Times New Roman"/>
          <w:szCs w:val="26"/>
        </w:rPr>
        <w:t>”</w:t>
      </w:r>
      <w:r>
        <w:rPr>
          <w:rFonts w:cs="Times New Roman"/>
          <w:szCs w:val="26"/>
        </w:rPr>
        <w:t xml:space="preserve">  </w:t>
      </w:r>
      <w:r w:rsidRPr="00D26232">
        <w:rPr>
          <w:rFonts w:cs="Times New Roman"/>
          <w:i/>
          <w:szCs w:val="26"/>
        </w:rPr>
        <w:t>Id</w:t>
      </w:r>
      <w:r>
        <w:rPr>
          <w:rFonts w:cs="Times New Roman"/>
          <w:szCs w:val="26"/>
        </w:rPr>
        <w:t xml:space="preserve">. at 23.  </w:t>
      </w:r>
      <w:r w:rsidRPr="00C16BD5">
        <w:rPr>
          <w:rFonts w:cs="Times New Roman"/>
          <w:szCs w:val="26"/>
        </w:rPr>
        <w:t xml:space="preserve">Columbia </w:t>
      </w:r>
      <w:r>
        <w:rPr>
          <w:rFonts w:cs="Times New Roman"/>
          <w:szCs w:val="26"/>
        </w:rPr>
        <w:t xml:space="preserve">states that it </w:t>
      </w:r>
      <w:r w:rsidRPr="00C16BD5">
        <w:rPr>
          <w:rFonts w:cs="Times New Roman"/>
          <w:szCs w:val="26"/>
        </w:rPr>
        <w:t>should be rewarded for its actions of purchasing neighboring water companies and spending the time, effort and money to upgrade their systems so their customers can enjoy the s</w:t>
      </w:r>
      <w:r>
        <w:rPr>
          <w:rFonts w:cs="Times New Roman"/>
          <w:szCs w:val="26"/>
        </w:rPr>
        <w:t xml:space="preserve">ame quality water service as Columbia’s customers.  </w:t>
      </w:r>
      <w:r w:rsidRPr="00832F12">
        <w:rPr>
          <w:rFonts w:cs="Times New Roman"/>
          <w:i/>
          <w:szCs w:val="26"/>
        </w:rPr>
        <w:t>Id</w:t>
      </w:r>
      <w:r>
        <w:rPr>
          <w:rFonts w:cs="Times New Roman"/>
          <w:szCs w:val="26"/>
        </w:rPr>
        <w:t>. at 24.</w:t>
      </w:r>
    </w:p>
    <w:p w:rsidR="004F0789" w:rsidRPr="00832F12" w:rsidRDefault="004F0789" w:rsidP="004F0789">
      <w:pPr>
        <w:contextualSpacing/>
        <w:rPr>
          <w:rFonts w:cs="Times New Roman"/>
          <w:szCs w:val="26"/>
        </w:rPr>
      </w:pPr>
      <w:r w:rsidRPr="00C16BD5">
        <w:rPr>
          <w:rFonts w:cs="Times New Roman"/>
          <w:szCs w:val="26"/>
        </w:rPr>
        <w:t xml:space="preserve"> </w:t>
      </w:r>
    </w:p>
    <w:p w:rsidR="004F0789" w:rsidRPr="00253307" w:rsidRDefault="004F0789" w:rsidP="000957FA">
      <w:pPr>
        <w:spacing w:line="240" w:lineRule="auto"/>
        <w:contextualSpacing/>
        <w:rPr>
          <w:rFonts w:cs="Times New Roman"/>
          <w:b/>
          <w:szCs w:val="26"/>
        </w:rPr>
      </w:pPr>
      <w:r>
        <w:rPr>
          <w:rFonts w:cs="Times New Roman"/>
          <w:b/>
          <w:szCs w:val="26"/>
        </w:rPr>
        <w:tab/>
      </w:r>
      <w:r w:rsidRPr="00253307">
        <w:rPr>
          <w:rFonts w:cs="Times New Roman"/>
          <w:b/>
          <w:szCs w:val="26"/>
        </w:rPr>
        <w:t>d.</w:t>
      </w:r>
      <w:r w:rsidRPr="00253307">
        <w:rPr>
          <w:rFonts w:cs="Times New Roman"/>
          <w:b/>
          <w:szCs w:val="26"/>
        </w:rPr>
        <w:tab/>
        <w:t>Reply Exceptions</w:t>
      </w:r>
    </w:p>
    <w:p w:rsidR="004F0789" w:rsidRPr="00253307" w:rsidRDefault="004F0789" w:rsidP="004F0789">
      <w:pPr>
        <w:contextualSpacing/>
        <w:rPr>
          <w:rFonts w:cs="Times New Roman"/>
          <w:b/>
          <w:szCs w:val="26"/>
        </w:rPr>
      </w:pPr>
    </w:p>
    <w:p w:rsidR="004F0789" w:rsidRDefault="004F0789" w:rsidP="004F0789">
      <w:pPr>
        <w:tabs>
          <w:tab w:val="left" w:pos="720"/>
        </w:tabs>
        <w:contextualSpacing/>
        <w:rPr>
          <w:color w:val="000000" w:themeColor="text1"/>
          <w:szCs w:val="26"/>
        </w:rPr>
      </w:pPr>
      <w:r>
        <w:rPr>
          <w:color w:val="000000"/>
          <w:szCs w:val="26"/>
        </w:rPr>
        <w:t xml:space="preserve">In its Reply Exceptions, I&amp;E argues that the ALJ correctly rejected both premiums requested by the Company.  With regard to the requested performance premium, I&amp;E </w:t>
      </w:r>
      <w:r w:rsidRPr="00253307">
        <w:rPr>
          <w:color w:val="000000" w:themeColor="text1"/>
          <w:szCs w:val="26"/>
        </w:rPr>
        <w:t>su</w:t>
      </w:r>
      <w:r>
        <w:rPr>
          <w:color w:val="000000" w:themeColor="text1"/>
          <w:szCs w:val="26"/>
        </w:rPr>
        <w:t xml:space="preserve">bmits that the </w:t>
      </w:r>
      <w:r w:rsidRPr="00253307">
        <w:rPr>
          <w:i/>
          <w:color w:val="000000" w:themeColor="text1"/>
          <w:szCs w:val="26"/>
        </w:rPr>
        <w:t>Aqua</w:t>
      </w:r>
      <w:r w:rsidRPr="00253307">
        <w:rPr>
          <w:color w:val="000000" w:themeColor="text1"/>
          <w:szCs w:val="26"/>
        </w:rPr>
        <w:t xml:space="preserve"> case </w:t>
      </w:r>
      <w:r>
        <w:rPr>
          <w:color w:val="000000" w:themeColor="text1"/>
          <w:szCs w:val="26"/>
        </w:rPr>
        <w:t xml:space="preserve">cited by Columbia </w:t>
      </w:r>
      <w:r w:rsidRPr="00253307">
        <w:rPr>
          <w:color w:val="000000" w:themeColor="text1"/>
          <w:szCs w:val="26"/>
        </w:rPr>
        <w:t>is not an</w:t>
      </w:r>
      <w:r>
        <w:rPr>
          <w:color w:val="000000" w:themeColor="text1"/>
          <w:szCs w:val="26"/>
        </w:rPr>
        <w:t>alogous to the instant proceeding.  I&amp;E states that the</w:t>
      </w:r>
      <w:r w:rsidRPr="00253307">
        <w:rPr>
          <w:color w:val="000000" w:themeColor="text1"/>
          <w:szCs w:val="26"/>
        </w:rPr>
        <w:t xml:space="preserve"> 2011 Management Audit of Columbia found </w:t>
      </w:r>
      <w:r>
        <w:rPr>
          <w:color w:val="000000" w:themeColor="text1"/>
          <w:szCs w:val="26"/>
        </w:rPr>
        <w:t>that</w:t>
      </w:r>
      <w:r w:rsidRPr="00253307">
        <w:rPr>
          <w:color w:val="000000" w:themeColor="text1"/>
          <w:szCs w:val="26"/>
        </w:rPr>
        <w:t xml:space="preserve"> </w:t>
      </w:r>
      <w:r w:rsidR="005460F9">
        <w:rPr>
          <w:color w:val="000000" w:themeColor="text1"/>
          <w:szCs w:val="26"/>
        </w:rPr>
        <w:t xml:space="preserve">it </w:t>
      </w:r>
      <w:r w:rsidRPr="00253307">
        <w:rPr>
          <w:color w:val="000000" w:themeColor="text1"/>
          <w:szCs w:val="26"/>
        </w:rPr>
        <w:t>need</w:t>
      </w:r>
      <w:r>
        <w:rPr>
          <w:color w:val="000000" w:themeColor="text1"/>
          <w:szCs w:val="26"/>
        </w:rPr>
        <w:t xml:space="preserve">ed </w:t>
      </w:r>
      <w:r w:rsidRPr="00253307">
        <w:rPr>
          <w:color w:val="000000" w:themeColor="text1"/>
          <w:szCs w:val="26"/>
        </w:rPr>
        <w:t>minor improvement for all assessed areas exc</w:t>
      </w:r>
      <w:r>
        <w:rPr>
          <w:color w:val="000000" w:themeColor="text1"/>
          <w:szCs w:val="26"/>
        </w:rPr>
        <w:t>ept customer service, where it</w:t>
      </w:r>
      <w:r w:rsidRPr="00253307">
        <w:rPr>
          <w:color w:val="000000" w:themeColor="text1"/>
          <w:szCs w:val="26"/>
        </w:rPr>
        <w:t xml:space="preserve"> met expected performance levels.</w:t>
      </w:r>
      <w:r>
        <w:rPr>
          <w:color w:val="000000" w:themeColor="text1"/>
          <w:szCs w:val="26"/>
        </w:rPr>
        <w:t xml:space="preserve">  In addition, I&amp;E argues that the Commission awarded </w:t>
      </w:r>
      <w:r w:rsidRPr="00253307">
        <w:rPr>
          <w:color w:val="000000" w:themeColor="text1"/>
          <w:szCs w:val="26"/>
        </w:rPr>
        <w:t xml:space="preserve">22 basis points </w:t>
      </w:r>
      <w:r>
        <w:rPr>
          <w:color w:val="000000" w:themeColor="text1"/>
          <w:szCs w:val="26"/>
        </w:rPr>
        <w:t xml:space="preserve">to Aqua </w:t>
      </w:r>
      <w:r w:rsidRPr="00253307">
        <w:rPr>
          <w:color w:val="000000" w:themeColor="text1"/>
          <w:szCs w:val="26"/>
        </w:rPr>
        <w:t xml:space="preserve">based both on management performance </w:t>
      </w:r>
      <w:r w:rsidRPr="00634FB9">
        <w:rPr>
          <w:i/>
          <w:color w:val="000000" w:themeColor="text1"/>
          <w:szCs w:val="26"/>
        </w:rPr>
        <w:t>and</w:t>
      </w:r>
      <w:r w:rsidRPr="00253307">
        <w:rPr>
          <w:color w:val="000000" w:themeColor="text1"/>
          <w:szCs w:val="26"/>
        </w:rPr>
        <w:t xml:space="preserve"> in recognition of Aqua</w:t>
      </w:r>
      <w:r>
        <w:rPr>
          <w:color w:val="000000" w:themeColor="text1"/>
          <w:szCs w:val="26"/>
        </w:rPr>
        <w:t>’</w:t>
      </w:r>
      <w:r w:rsidRPr="00253307">
        <w:rPr>
          <w:color w:val="000000" w:themeColor="text1"/>
          <w:szCs w:val="26"/>
        </w:rPr>
        <w:t xml:space="preserve">s acquisition </w:t>
      </w:r>
      <w:r>
        <w:rPr>
          <w:color w:val="000000" w:themeColor="text1"/>
          <w:szCs w:val="26"/>
        </w:rPr>
        <w:t>of troubled water systems.  I&amp;E notes that the Commission rejected a performance premium in Columbia’s last rate case, where it determined</w:t>
      </w:r>
      <w:r w:rsidRPr="00253307">
        <w:rPr>
          <w:color w:val="000000" w:themeColor="text1"/>
          <w:szCs w:val="26"/>
        </w:rPr>
        <w:t xml:space="preserve"> that Columbia</w:t>
      </w:r>
      <w:r>
        <w:rPr>
          <w:color w:val="000000" w:themeColor="text1"/>
          <w:szCs w:val="26"/>
        </w:rPr>
        <w:t>’</w:t>
      </w:r>
      <w:r w:rsidRPr="00253307">
        <w:rPr>
          <w:color w:val="000000" w:themeColor="text1"/>
          <w:szCs w:val="26"/>
        </w:rPr>
        <w:t>s management performance was adequate, but did</w:t>
      </w:r>
      <w:r>
        <w:rPr>
          <w:color w:val="000000" w:themeColor="text1"/>
          <w:szCs w:val="26"/>
        </w:rPr>
        <w:t xml:space="preserve"> not warrant a premium</w:t>
      </w:r>
      <w:r w:rsidRPr="00253307">
        <w:rPr>
          <w:color w:val="000000" w:themeColor="text1"/>
          <w:szCs w:val="26"/>
        </w:rPr>
        <w:t xml:space="preserve">.  </w:t>
      </w:r>
      <w:r>
        <w:rPr>
          <w:color w:val="000000" w:themeColor="text1"/>
          <w:szCs w:val="26"/>
        </w:rPr>
        <w:t>I&amp;E R.Exc. at 18-19.</w:t>
      </w:r>
    </w:p>
    <w:p w:rsidR="004F0789" w:rsidRPr="00253307" w:rsidRDefault="004F0789" w:rsidP="004F0789">
      <w:pPr>
        <w:tabs>
          <w:tab w:val="left" w:pos="720"/>
        </w:tabs>
        <w:contextualSpacing/>
        <w:rPr>
          <w:color w:val="000000" w:themeColor="text1"/>
          <w:szCs w:val="26"/>
        </w:rPr>
      </w:pPr>
    </w:p>
    <w:p w:rsidR="004F0789" w:rsidRDefault="004F0789" w:rsidP="004F0789">
      <w:pPr>
        <w:tabs>
          <w:tab w:val="left" w:pos="720"/>
        </w:tabs>
        <w:contextualSpacing/>
        <w:rPr>
          <w:color w:val="000000" w:themeColor="text1"/>
          <w:szCs w:val="26"/>
        </w:rPr>
      </w:pPr>
      <w:r>
        <w:rPr>
          <w:color w:val="000000" w:themeColor="text1"/>
          <w:szCs w:val="26"/>
        </w:rPr>
        <w:t xml:space="preserve">With regard to the requested acquisition premium, I&amp;E submits that </w:t>
      </w:r>
      <w:r w:rsidRPr="00253307">
        <w:rPr>
          <w:color w:val="000000" w:themeColor="text1"/>
          <w:szCs w:val="26"/>
        </w:rPr>
        <w:t xml:space="preserve">Columbia failed to demonstrate a track record of acquiring and improving </w:t>
      </w:r>
      <w:r>
        <w:rPr>
          <w:color w:val="000000" w:themeColor="text1"/>
          <w:szCs w:val="26"/>
        </w:rPr>
        <w:t xml:space="preserve">the service </w:t>
      </w:r>
      <w:r w:rsidRPr="00253307">
        <w:rPr>
          <w:color w:val="000000" w:themeColor="text1"/>
          <w:szCs w:val="26"/>
        </w:rPr>
        <w:t xml:space="preserve">to the customers of smaller and less viable water systems that would justify an upward adjustment to the cost </w:t>
      </w:r>
      <w:r w:rsidRPr="00253307">
        <w:rPr>
          <w:color w:val="000000" w:themeColor="text1"/>
          <w:szCs w:val="26"/>
        </w:rPr>
        <w:lastRenderedPageBreak/>
        <w:t>of common equity</w:t>
      </w:r>
      <w:r>
        <w:rPr>
          <w:color w:val="000000" w:themeColor="text1"/>
          <w:szCs w:val="26"/>
        </w:rPr>
        <w:t xml:space="preserve">.  I&amp;E notes that </w:t>
      </w:r>
      <w:r w:rsidRPr="00253307">
        <w:rPr>
          <w:color w:val="000000" w:themeColor="text1"/>
          <w:szCs w:val="26"/>
        </w:rPr>
        <w:t xml:space="preserve">the 1998 acquisition of the Mountville Municipal System occurred </w:t>
      </w:r>
      <w:r>
        <w:rPr>
          <w:color w:val="000000" w:themeColor="text1"/>
          <w:szCs w:val="26"/>
        </w:rPr>
        <w:t xml:space="preserve">fifteen years ago.  I&amp;E argues that </w:t>
      </w:r>
      <w:r w:rsidRPr="00253307">
        <w:rPr>
          <w:color w:val="000000" w:themeColor="text1"/>
          <w:szCs w:val="26"/>
        </w:rPr>
        <w:t>the Company has filed at least four base rate cases (not including the instant proceeding) since that time</w:t>
      </w:r>
      <w:r>
        <w:rPr>
          <w:color w:val="000000" w:themeColor="text1"/>
          <w:szCs w:val="26"/>
        </w:rPr>
        <w:t>,</w:t>
      </w:r>
      <w:r w:rsidRPr="00253307">
        <w:rPr>
          <w:color w:val="000000" w:themeColor="text1"/>
          <w:szCs w:val="26"/>
        </w:rPr>
        <w:t xml:space="preserve"> and has </w:t>
      </w:r>
      <w:r>
        <w:rPr>
          <w:color w:val="000000" w:themeColor="text1"/>
          <w:szCs w:val="26"/>
        </w:rPr>
        <w:t xml:space="preserve">had </w:t>
      </w:r>
      <w:r w:rsidRPr="00253307">
        <w:rPr>
          <w:color w:val="000000" w:themeColor="text1"/>
          <w:szCs w:val="26"/>
        </w:rPr>
        <w:t xml:space="preserve">more than sufficient opportunity to request an acquisition adjustment.  </w:t>
      </w:r>
      <w:r>
        <w:rPr>
          <w:color w:val="000000" w:themeColor="text1"/>
          <w:szCs w:val="26"/>
        </w:rPr>
        <w:t>“</w:t>
      </w:r>
      <w:r w:rsidRPr="00253307">
        <w:rPr>
          <w:color w:val="000000" w:themeColor="text1"/>
          <w:szCs w:val="26"/>
        </w:rPr>
        <w:t>As such, the request for an adjustment to the claimed return on equity based upon the acquisition of the Mountville Municipal System is no longer timely.</w:t>
      </w:r>
      <w:r>
        <w:rPr>
          <w:color w:val="000000" w:themeColor="text1"/>
          <w:szCs w:val="26"/>
        </w:rPr>
        <w:t xml:space="preserve">”  </w:t>
      </w:r>
      <w:r w:rsidRPr="00D15CC0">
        <w:rPr>
          <w:i/>
          <w:color w:val="000000" w:themeColor="text1"/>
          <w:szCs w:val="26"/>
        </w:rPr>
        <w:t>Id</w:t>
      </w:r>
      <w:r>
        <w:rPr>
          <w:color w:val="000000" w:themeColor="text1"/>
          <w:szCs w:val="26"/>
        </w:rPr>
        <w:t xml:space="preserve">. at 20-21.  With regard to the acquisition of the MGWC, I&amp;E argues that </w:t>
      </w:r>
      <w:r w:rsidRPr="00253307">
        <w:rPr>
          <w:color w:val="000000" w:themeColor="text1"/>
          <w:szCs w:val="26"/>
        </w:rPr>
        <w:t xml:space="preserve">the ALJ properly determined that </w:t>
      </w:r>
      <w:r>
        <w:rPr>
          <w:color w:val="000000" w:themeColor="text1"/>
          <w:szCs w:val="26"/>
        </w:rPr>
        <w:t>Columbia did not establish</w:t>
      </w:r>
      <w:r w:rsidRPr="00253307">
        <w:rPr>
          <w:color w:val="000000" w:themeColor="text1"/>
          <w:szCs w:val="26"/>
        </w:rPr>
        <w:t xml:space="preserve"> that </w:t>
      </w:r>
      <w:r>
        <w:rPr>
          <w:color w:val="000000" w:themeColor="text1"/>
          <w:szCs w:val="26"/>
        </w:rPr>
        <w:t xml:space="preserve">it </w:t>
      </w:r>
      <w:r w:rsidRPr="00253307">
        <w:rPr>
          <w:color w:val="000000" w:themeColor="text1"/>
          <w:szCs w:val="26"/>
        </w:rPr>
        <w:t>was a less viable system</w:t>
      </w:r>
      <w:r>
        <w:rPr>
          <w:color w:val="000000" w:themeColor="text1"/>
          <w:szCs w:val="26"/>
        </w:rPr>
        <w:t>,</w:t>
      </w:r>
      <w:r w:rsidRPr="00253307">
        <w:rPr>
          <w:color w:val="000000" w:themeColor="text1"/>
          <w:szCs w:val="26"/>
        </w:rPr>
        <w:t xml:space="preserve"> or that Columb</w:t>
      </w:r>
      <w:r>
        <w:rPr>
          <w:color w:val="000000" w:themeColor="text1"/>
          <w:szCs w:val="26"/>
        </w:rPr>
        <w:t xml:space="preserve">ia had improved service to its customers.  While acknowledging that </w:t>
      </w:r>
      <w:r w:rsidRPr="00253307">
        <w:rPr>
          <w:color w:val="000000" w:themeColor="text1"/>
          <w:szCs w:val="26"/>
        </w:rPr>
        <w:t>the Commission found both acquisitions to be i</w:t>
      </w:r>
      <w:r>
        <w:rPr>
          <w:color w:val="000000" w:themeColor="text1"/>
          <w:szCs w:val="26"/>
        </w:rPr>
        <w:t>n the public interest</w:t>
      </w:r>
      <w:r w:rsidRPr="00253307">
        <w:rPr>
          <w:color w:val="000000" w:themeColor="text1"/>
          <w:szCs w:val="26"/>
        </w:rPr>
        <w:t xml:space="preserve">, </w:t>
      </w:r>
      <w:r>
        <w:rPr>
          <w:color w:val="000000" w:themeColor="text1"/>
          <w:szCs w:val="26"/>
        </w:rPr>
        <w:t>I&amp;E argues that Columbia failed to demonstrate that it</w:t>
      </w:r>
      <w:r w:rsidRPr="00253307">
        <w:rPr>
          <w:color w:val="000000" w:themeColor="text1"/>
          <w:szCs w:val="26"/>
        </w:rPr>
        <w:t xml:space="preserve"> should be award</w:t>
      </w:r>
      <w:r>
        <w:rPr>
          <w:color w:val="000000" w:themeColor="text1"/>
          <w:szCs w:val="26"/>
        </w:rPr>
        <w:t xml:space="preserve">ed a rate of return premium </w:t>
      </w:r>
      <w:r w:rsidRPr="00253307">
        <w:rPr>
          <w:color w:val="000000" w:themeColor="text1"/>
          <w:szCs w:val="26"/>
        </w:rPr>
        <w:t>for such actions</w:t>
      </w:r>
      <w:r>
        <w:rPr>
          <w:color w:val="000000" w:themeColor="text1"/>
          <w:szCs w:val="26"/>
        </w:rPr>
        <w:t xml:space="preserve">.  </w:t>
      </w:r>
      <w:r w:rsidRPr="00CC2D7F">
        <w:rPr>
          <w:i/>
          <w:color w:val="000000" w:themeColor="text1"/>
          <w:szCs w:val="26"/>
        </w:rPr>
        <w:t>Id</w:t>
      </w:r>
      <w:r>
        <w:rPr>
          <w:color w:val="000000" w:themeColor="text1"/>
          <w:szCs w:val="26"/>
        </w:rPr>
        <w:t>. at 21.</w:t>
      </w:r>
    </w:p>
    <w:p w:rsidR="004F0789" w:rsidRDefault="004F0789" w:rsidP="004F0789">
      <w:pPr>
        <w:tabs>
          <w:tab w:val="left" w:pos="720"/>
        </w:tabs>
        <w:contextualSpacing/>
        <w:rPr>
          <w:color w:val="000000" w:themeColor="text1"/>
          <w:szCs w:val="26"/>
        </w:rPr>
      </w:pPr>
    </w:p>
    <w:p w:rsidR="004F0789" w:rsidRPr="002E47AF" w:rsidRDefault="004F0789" w:rsidP="004F0789">
      <w:pPr>
        <w:tabs>
          <w:tab w:val="left" w:pos="720"/>
        </w:tabs>
        <w:contextualSpacing/>
        <w:rPr>
          <w:color w:val="000000" w:themeColor="text1"/>
          <w:szCs w:val="26"/>
        </w:rPr>
      </w:pPr>
      <w:r>
        <w:rPr>
          <w:color w:val="000000" w:themeColor="text1"/>
          <w:szCs w:val="26"/>
        </w:rPr>
        <w:t>In its Reply Exceptions, the OCA presents arguments that are similar to those made by I&amp;E.  In addition, the OCA argues that, when determining whether performance incentives should be awarded, there is nothing in Sections 523 or 1501 of the Code that requires the Commission to distinguish among utilities based on their size.  “Customers of small utilities, like customers of large utilities, are entitled to safe, adequate, and reliable service under the provisions of the Public Utility Code.”  OCA R.Exc. at 10.</w:t>
      </w:r>
    </w:p>
    <w:p w:rsidR="004F0789" w:rsidRDefault="004F0789" w:rsidP="004F0789">
      <w:pPr>
        <w:contextualSpacing/>
        <w:rPr>
          <w:rFonts w:cs="Times New Roman"/>
          <w:b/>
          <w:szCs w:val="26"/>
        </w:rPr>
      </w:pPr>
    </w:p>
    <w:p w:rsidR="004F0789" w:rsidRDefault="004F0789" w:rsidP="000957FA">
      <w:pPr>
        <w:spacing w:line="240" w:lineRule="auto"/>
        <w:contextualSpacing/>
        <w:rPr>
          <w:rFonts w:cs="Times New Roman"/>
          <w:b/>
          <w:szCs w:val="26"/>
        </w:rPr>
      </w:pPr>
      <w:r>
        <w:rPr>
          <w:rFonts w:cs="Times New Roman"/>
          <w:b/>
          <w:szCs w:val="26"/>
        </w:rPr>
        <w:tab/>
        <w:t>e.</w:t>
      </w:r>
      <w:r>
        <w:rPr>
          <w:rFonts w:cs="Times New Roman"/>
          <w:b/>
          <w:szCs w:val="26"/>
        </w:rPr>
        <w:tab/>
        <w:t>Disposition</w:t>
      </w:r>
    </w:p>
    <w:p w:rsidR="004F0789" w:rsidRPr="00047207" w:rsidRDefault="004F0789" w:rsidP="004F0789">
      <w:pPr>
        <w:contextualSpacing/>
        <w:rPr>
          <w:rFonts w:cs="Times New Roman"/>
          <w:b/>
          <w:szCs w:val="26"/>
        </w:rPr>
      </w:pPr>
    </w:p>
    <w:p w:rsidR="004F0789" w:rsidRDefault="004F0789" w:rsidP="004F0789">
      <w:pPr>
        <w:contextualSpacing/>
        <w:rPr>
          <w:rFonts w:cs="Times New Roman"/>
          <w:szCs w:val="26"/>
        </w:rPr>
      </w:pPr>
      <w:r>
        <w:rPr>
          <w:rFonts w:cs="Times New Roman"/>
          <w:szCs w:val="26"/>
        </w:rPr>
        <w:t xml:space="preserve">Upon consideration of the record and the arguments made by the Parties, we shall deny the performance and acquisition premiums requested by Columbia.  </w:t>
      </w:r>
    </w:p>
    <w:p w:rsidR="004F0789" w:rsidRDefault="004F0789" w:rsidP="004F0789">
      <w:pPr>
        <w:contextualSpacing/>
        <w:rPr>
          <w:rFonts w:cs="Times New Roman"/>
          <w:szCs w:val="26"/>
        </w:rPr>
      </w:pPr>
    </w:p>
    <w:p w:rsidR="004F0789" w:rsidRDefault="004F0789" w:rsidP="004F0789">
      <w:pPr>
        <w:contextualSpacing/>
        <w:rPr>
          <w:rFonts w:cs="Times New Roman"/>
          <w:szCs w:val="26"/>
        </w:rPr>
      </w:pPr>
      <w:r>
        <w:rPr>
          <w:rFonts w:cs="Times New Roman"/>
          <w:szCs w:val="26"/>
        </w:rPr>
        <w:t>With regard to the requested premium for managerial performance, we conclude that Columbia’s managerial performance, while commendable, has not risen to the level of supporting an added premium to its rate of return on common equity.  We agree with the ALJ’s points that</w:t>
      </w:r>
      <w:r w:rsidRPr="007F70DF">
        <w:rPr>
          <w:rFonts w:cs="Times New Roman"/>
          <w:szCs w:val="26"/>
        </w:rPr>
        <w:t xml:space="preserve"> all regu</w:t>
      </w:r>
      <w:r>
        <w:rPr>
          <w:rFonts w:cs="Times New Roman"/>
          <w:szCs w:val="26"/>
        </w:rPr>
        <w:t xml:space="preserve">lated utilities </w:t>
      </w:r>
      <w:r w:rsidRPr="007F70DF">
        <w:rPr>
          <w:rFonts w:cs="Times New Roman"/>
          <w:szCs w:val="26"/>
        </w:rPr>
        <w:t xml:space="preserve">are required to provide safe, adequate, reasonable and efficient </w:t>
      </w:r>
      <w:r>
        <w:rPr>
          <w:rFonts w:cs="Times New Roman"/>
          <w:szCs w:val="26"/>
        </w:rPr>
        <w:t>service as a matter of law under Section 1501 of the Code, and that a</w:t>
      </w:r>
      <w:r w:rsidRPr="007F70DF">
        <w:rPr>
          <w:rFonts w:cs="Times New Roman"/>
          <w:szCs w:val="26"/>
        </w:rPr>
        <w:t xml:space="preserve">n appropriate rate of return on common equity assumes efficient and reasonable </w:t>
      </w:r>
      <w:r w:rsidRPr="007F70DF">
        <w:rPr>
          <w:rFonts w:cs="Times New Roman"/>
          <w:szCs w:val="26"/>
        </w:rPr>
        <w:lastRenderedPageBreak/>
        <w:t>management of a uti</w:t>
      </w:r>
      <w:r>
        <w:rPr>
          <w:rFonts w:cs="Times New Roman"/>
          <w:szCs w:val="26"/>
        </w:rPr>
        <w:t>lity.  Accordingly, a u</w:t>
      </w:r>
      <w:r w:rsidRPr="007F70DF">
        <w:rPr>
          <w:rFonts w:cs="Times New Roman"/>
          <w:szCs w:val="26"/>
        </w:rPr>
        <w:t xml:space="preserve">tility must be doing </w:t>
      </w:r>
      <w:r>
        <w:rPr>
          <w:rFonts w:cs="Times New Roman"/>
          <w:szCs w:val="26"/>
        </w:rPr>
        <w:t xml:space="preserve">significantly </w:t>
      </w:r>
      <w:r w:rsidRPr="007F70DF">
        <w:rPr>
          <w:rFonts w:cs="Times New Roman"/>
          <w:szCs w:val="26"/>
        </w:rPr>
        <w:t>more than providing effi</w:t>
      </w:r>
      <w:r>
        <w:rPr>
          <w:rFonts w:cs="Times New Roman"/>
          <w:szCs w:val="26"/>
        </w:rPr>
        <w:t>cient and reasonable service to justify the receipt of a performance premium</w:t>
      </w:r>
      <w:r w:rsidRPr="007F70DF">
        <w:rPr>
          <w:rFonts w:cs="Times New Roman"/>
          <w:szCs w:val="26"/>
        </w:rPr>
        <w:t>.</w:t>
      </w:r>
      <w:r w:rsidRPr="00B613E3">
        <w:rPr>
          <w:rFonts w:cs="Times New Roman"/>
          <w:szCs w:val="26"/>
        </w:rPr>
        <w:t xml:space="preserve"> </w:t>
      </w:r>
      <w:r>
        <w:rPr>
          <w:rFonts w:cs="Times New Roman"/>
          <w:szCs w:val="26"/>
        </w:rPr>
        <w:t>We also note that we denied a similar premium requested by Columbia in its last rate case for its performance in 2007 and 2008</w:t>
      </w:r>
      <w:r w:rsidR="00F03BC8">
        <w:rPr>
          <w:rFonts w:cs="Times New Roman"/>
          <w:szCs w:val="26"/>
        </w:rPr>
        <w:t xml:space="preserve"> on the basis that Columbia had not provided sufficient evidence to warrant a positive managerial performance factor adjustment</w:t>
      </w:r>
      <w:r>
        <w:rPr>
          <w:rFonts w:cs="Times New Roman"/>
          <w:szCs w:val="26"/>
        </w:rPr>
        <w:t xml:space="preserve">.  </w:t>
      </w:r>
      <w:r w:rsidRPr="00514626">
        <w:rPr>
          <w:rFonts w:cs="Times New Roman"/>
          <w:i/>
          <w:szCs w:val="26"/>
        </w:rPr>
        <w:t>2009 Rate Case Order</w:t>
      </w:r>
      <w:r>
        <w:rPr>
          <w:rFonts w:cs="Times New Roman"/>
          <w:szCs w:val="26"/>
        </w:rPr>
        <w:t xml:space="preserve"> at 93.</w:t>
      </w:r>
    </w:p>
    <w:p w:rsidR="004F0789" w:rsidRDefault="004F0789" w:rsidP="004F0789">
      <w:pPr>
        <w:contextualSpacing/>
        <w:rPr>
          <w:rFonts w:cs="Times New Roman"/>
          <w:szCs w:val="26"/>
        </w:rPr>
      </w:pPr>
    </w:p>
    <w:p w:rsidR="004F0789" w:rsidRPr="002E47AF" w:rsidRDefault="004F0789" w:rsidP="004F0789">
      <w:pPr>
        <w:contextualSpacing/>
        <w:rPr>
          <w:rFonts w:cs="Times New Roman"/>
          <w:szCs w:val="26"/>
        </w:rPr>
      </w:pPr>
      <w:r>
        <w:rPr>
          <w:rFonts w:cs="Times New Roman"/>
          <w:szCs w:val="26"/>
        </w:rPr>
        <w:t>With regard to the requested acquisition premium, we agree with I&amp;E and the OCA that the 1998 acquisition of the</w:t>
      </w:r>
      <w:r w:rsidRPr="00623C4B">
        <w:rPr>
          <w:color w:val="000000" w:themeColor="text1"/>
          <w:szCs w:val="26"/>
        </w:rPr>
        <w:t xml:space="preserve"> </w:t>
      </w:r>
      <w:r w:rsidRPr="00253307">
        <w:rPr>
          <w:color w:val="000000" w:themeColor="text1"/>
          <w:szCs w:val="26"/>
        </w:rPr>
        <w:t>Mountville Municipal System</w:t>
      </w:r>
      <w:r>
        <w:rPr>
          <w:color w:val="000000" w:themeColor="text1"/>
          <w:szCs w:val="26"/>
        </w:rPr>
        <w:t xml:space="preserve"> occurred too long ago to support an acquisition premium in this proceeding.  While we previously determined that the</w:t>
      </w:r>
      <w:r w:rsidRPr="00623C4B">
        <w:rPr>
          <w:color w:val="000000" w:themeColor="text1"/>
          <w:szCs w:val="26"/>
        </w:rPr>
        <w:t xml:space="preserve"> </w:t>
      </w:r>
      <w:r>
        <w:rPr>
          <w:color w:val="000000" w:themeColor="text1"/>
          <w:szCs w:val="26"/>
        </w:rPr>
        <w:t xml:space="preserve">2012 acquisition of the Marietta Gravity Water Company was in the public interest, and this recent acquisition is relevant to the instant proceeding, we conclude that the acquisition of one smaller company is not necessarily sufficient to demonstrate a “track record” of acquiring smaller and less viable water systems as contemplated by our </w:t>
      </w:r>
      <w:r w:rsidRPr="002162E0">
        <w:rPr>
          <w:i/>
          <w:color w:val="000000" w:themeColor="text1"/>
          <w:szCs w:val="26"/>
        </w:rPr>
        <w:t>Acquisition Policy Statement</w:t>
      </w:r>
      <w:r>
        <w:rPr>
          <w:color w:val="000000" w:themeColor="text1"/>
          <w:szCs w:val="26"/>
        </w:rPr>
        <w:t xml:space="preserve"> at 52 Pa. Code </w:t>
      </w:r>
      <w:r>
        <w:rPr>
          <w:rFonts w:cs="Times New Roman"/>
          <w:color w:val="000000" w:themeColor="text1"/>
          <w:szCs w:val="26"/>
        </w:rPr>
        <w:t>§</w:t>
      </w:r>
      <w:r>
        <w:rPr>
          <w:color w:val="000000" w:themeColor="text1"/>
          <w:szCs w:val="26"/>
        </w:rPr>
        <w:t xml:space="preserve"> 69.721.  Although we agree with the Company that a smaller utility like </w:t>
      </w:r>
      <w:r w:rsidRPr="00C16BD5">
        <w:rPr>
          <w:rFonts w:cs="Times New Roman"/>
          <w:szCs w:val="26"/>
        </w:rPr>
        <w:t xml:space="preserve">Columbia </w:t>
      </w:r>
      <w:r>
        <w:rPr>
          <w:rFonts w:cs="Times New Roman"/>
          <w:szCs w:val="26"/>
        </w:rPr>
        <w:t>is not in a position to acquire multiple</w:t>
      </w:r>
      <w:r w:rsidRPr="00C16BD5">
        <w:rPr>
          <w:rFonts w:cs="Times New Roman"/>
          <w:szCs w:val="26"/>
        </w:rPr>
        <w:t xml:space="preserve"> systems</w:t>
      </w:r>
      <w:r>
        <w:rPr>
          <w:rFonts w:cs="Times New Roman"/>
          <w:szCs w:val="26"/>
        </w:rPr>
        <w:t xml:space="preserve"> in a short period of time, the Commission has “broad latitude” when determining whether an acquisition premium is appropriate in a particular case.  </w:t>
      </w:r>
      <w:r w:rsidRPr="002162E0">
        <w:rPr>
          <w:rFonts w:cs="Times New Roman"/>
          <w:i/>
          <w:szCs w:val="26"/>
        </w:rPr>
        <w:t>See</w:t>
      </w:r>
      <w:r>
        <w:rPr>
          <w:rFonts w:cs="Times New Roman"/>
          <w:i/>
          <w:szCs w:val="26"/>
        </w:rPr>
        <w:t>,</w:t>
      </w:r>
      <w:r>
        <w:rPr>
          <w:rFonts w:cs="Times New Roman"/>
          <w:szCs w:val="26"/>
        </w:rPr>
        <w:t xml:space="preserve"> </w:t>
      </w:r>
      <w:r>
        <w:rPr>
          <w:color w:val="000000" w:themeColor="text1"/>
          <w:szCs w:val="26"/>
        </w:rPr>
        <w:t xml:space="preserve">52 Pa. Code </w:t>
      </w:r>
      <w:r>
        <w:rPr>
          <w:rFonts w:cs="Times New Roman"/>
          <w:color w:val="000000" w:themeColor="text1"/>
          <w:szCs w:val="26"/>
        </w:rPr>
        <w:t>§</w:t>
      </w:r>
      <w:r>
        <w:rPr>
          <w:color w:val="000000" w:themeColor="text1"/>
          <w:szCs w:val="26"/>
        </w:rPr>
        <w:t xml:space="preserve"> 69.721(g).  </w:t>
      </w:r>
      <w:r>
        <w:rPr>
          <w:rFonts w:cs="Times New Roman"/>
          <w:szCs w:val="26"/>
        </w:rPr>
        <w:t>Given our determinations to adopt the Company’s actual capital structure, and to authorize the inclusion of the depreciated PennVest plant in the Company’s rate base, we conclude that an acquisition premium is not appropriate in this particular case.  We note that the Company itself argued that, given the rejection of the requested premiums by the ALJ, “[a]</w:t>
      </w:r>
      <w:r w:rsidRPr="00C16BD5">
        <w:rPr>
          <w:rFonts w:cs="Times New Roman"/>
          <w:szCs w:val="26"/>
        </w:rPr>
        <w:t>t the very least, the ALJ should have used his discretion to lean more toward Columbia</w:t>
      </w:r>
      <w:r>
        <w:rPr>
          <w:rFonts w:cs="Times New Roman"/>
          <w:szCs w:val="26"/>
        </w:rPr>
        <w:t>’</w:t>
      </w:r>
      <w:r w:rsidRPr="00C16BD5">
        <w:rPr>
          <w:rFonts w:cs="Times New Roman"/>
          <w:szCs w:val="26"/>
        </w:rPr>
        <w:t>s rate of return and capital structure positions due to its history of doing these good t</w:t>
      </w:r>
      <w:r>
        <w:rPr>
          <w:rFonts w:cs="Times New Roman"/>
          <w:szCs w:val="26"/>
        </w:rPr>
        <w:t xml:space="preserve">hings </w:t>
      </w:r>
      <w:r w:rsidRPr="00C16BD5">
        <w:rPr>
          <w:rFonts w:cs="Times New Roman"/>
          <w:szCs w:val="26"/>
        </w:rPr>
        <w:t>.</w:t>
      </w:r>
      <w:r>
        <w:rPr>
          <w:rFonts w:cs="Times New Roman"/>
          <w:szCs w:val="26"/>
        </w:rPr>
        <w:t xml:space="preserve"> . .”  CWC Exc. at 15.  Columbia’s Exceptions recognize that the decision regarding whether or not to award a rate of return premium should be made after considering all of the issues in a given proceeding.  On balance, we conclude that an acquisition premium is not appropriate in this particular proceeding.</w:t>
      </w:r>
    </w:p>
    <w:p w:rsidR="004F0789" w:rsidRDefault="004F0789" w:rsidP="00B822F7">
      <w:pPr>
        <w:contextualSpacing/>
        <w:rPr>
          <w:rFonts w:cs="Times New Roman"/>
          <w:b/>
          <w:szCs w:val="26"/>
        </w:rPr>
      </w:pPr>
    </w:p>
    <w:p w:rsidR="00385A85" w:rsidRPr="000957FA" w:rsidRDefault="00385A85" w:rsidP="00EE5D88">
      <w:pPr>
        <w:pStyle w:val="Heading2"/>
        <w:numPr>
          <w:ilvl w:val="0"/>
          <w:numId w:val="0"/>
        </w:numPr>
        <w:ind w:left="1440" w:hanging="720"/>
        <w:rPr>
          <w:rStyle w:val="Heading2Char"/>
          <w:b/>
        </w:rPr>
      </w:pPr>
      <w:bookmarkStart w:id="14" w:name="_Toc378080159"/>
      <w:r>
        <w:rPr>
          <w:szCs w:val="26"/>
        </w:rPr>
        <w:lastRenderedPageBreak/>
        <w:t>E.</w:t>
      </w:r>
      <w:r>
        <w:rPr>
          <w:szCs w:val="26"/>
        </w:rPr>
        <w:tab/>
      </w:r>
      <w:r w:rsidRPr="000957FA">
        <w:rPr>
          <w:rStyle w:val="Heading2Char"/>
          <w:b/>
        </w:rPr>
        <w:t xml:space="preserve">Revenues - </w:t>
      </w:r>
      <w:bookmarkStart w:id="15" w:name="_Toc367958616"/>
      <w:r w:rsidRPr="000957FA">
        <w:rPr>
          <w:rStyle w:val="Heading2Char"/>
          <w:b/>
        </w:rPr>
        <w:t>Merchandising Sales and Jobbing Work</w:t>
      </w:r>
      <w:bookmarkEnd w:id="14"/>
      <w:bookmarkEnd w:id="15"/>
    </w:p>
    <w:p w:rsidR="00385A85" w:rsidRDefault="00385A85" w:rsidP="00EE5D88">
      <w:pPr>
        <w:keepNext/>
        <w:ind w:left="1440"/>
        <w:contextualSpacing/>
        <w:jc w:val="both"/>
        <w:rPr>
          <w:rFonts w:cs="Times New Roman"/>
          <w:b/>
          <w:szCs w:val="26"/>
        </w:rPr>
      </w:pPr>
    </w:p>
    <w:p w:rsidR="00385A85" w:rsidRPr="000957FA" w:rsidRDefault="000957FA" w:rsidP="00EE5D88">
      <w:pPr>
        <w:keepNext/>
        <w:spacing w:line="240" w:lineRule="auto"/>
        <w:rPr>
          <w:b/>
        </w:rPr>
      </w:pPr>
      <w:r w:rsidRPr="000957FA">
        <w:rPr>
          <w:b/>
        </w:rPr>
        <w:t>1.</w:t>
      </w:r>
      <w:r w:rsidRPr="000957FA">
        <w:rPr>
          <w:b/>
        </w:rPr>
        <w:tab/>
        <w:t>Positions of the Parties</w:t>
      </w:r>
    </w:p>
    <w:p w:rsidR="00385A85" w:rsidRPr="007F70DF" w:rsidRDefault="00385A85" w:rsidP="00EE5D88">
      <w:pPr>
        <w:keepNext/>
        <w:contextualSpacing/>
        <w:jc w:val="both"/>
        <w:rPr>
          <w:rFonts w:cs="Times New Roman"/>
          <w:szCs w:val="26"/>
        </w:rPr>
      </w:pPr>
    </w:p>
    <w:p w:rsidR="00385A85" w:rsidRPr="007F70DF" w:rsidRDefault="000E09A5" w:rsidP="00EE5D88">
      <w:pPr>
        <w:keepNext/>
        <w:contextualSpacing/>
        <w:rPr>
          <w:rFonts w:cs="Times New Roman"/>
          <w:szCs w:val="26"/>
        </w:rPr>
      </w:pPr>
      <w:r>
        <w:rPr>
          <w:rFonts w:cs="Times New Roman"/>
          <w:szCs w:val="26"/>
        </w:rPr>
        <w:t xml:space="preserve">The OCA recommended adding </w:t>
      </w:r>
      <w:r w:rsidRPr="00F56AD8">
        <w:rPr>
          <w:rFonts w:cs="Times New Roman"/>
          <w:szCs w:val="26"/>
        </w:rPr>
        <w:t>$15,762</w:t>
      </w:r>
      <w:r>
        <w:rPr>
          <w:rFonts w:cs="Times New Roman"/>
          <w:szCs w:val="26"/>
        </w:rPr>
        <w:t xml:space="preserve"> of revenue from </w:t>
      </w:r>
      <w:r w:rsidR="00385A85" w:rsidRPr="007F70DF">
        <w:rPr>
          <w:rFonts w:cs="Times New Roman"/>
          <w:szCs w:val="26"/>
        </w:rPr>
        <w:t>Merchandisin</w:t>
      </w:r>
      <w:r>
        <w:rPr>
          <w:rFonts w:cs="Times New Roman"/>
          <w:szCs w:val="26"/>
        </w:rPr>
        <w:t xml:space="preserve">g Sales and Jobbing Work to Columbia’s above-the-line </w:t>
      </w:r>
      <w:r w:rsidR="00C150BC">
        <w:rPr>
          <w:rFonts w:cs="Times New Roman"/>
          <w:szCs w:val="26"/>
        </w:rPr>
        <w:t>operating revenue</w:t>
      </w:r>
      <w:r w:rsidR="00385A85">
        <w:rPr>
          <w:rFonts w:cs="Times New Roman"/>
          <w:szCs w:val="26"/>
        </w:rPr>
        <w:t xml:space="preserve">.  </w:t>
      </w:r>
      <w:r>
        <w:rPr>
          <w:rFonts w:cs="Times New Roman"/>
          <w:szCs w:val="26"/>
        </w:rPr>
        <w:t xml:space="preserve">This amount included the sale of billing data to the Lancaster Area Sewer Authority </w:t>
      </w:r>
      <w:r w:rsidR="00C150BC">
        <w:rPr>
          <w:rFonts w:cs="Times New Roman"/>
          <w:szCs w:val="26"/>
        </w:rPr>
        <w:t xml:space="preserve">(Authority) </w:t>
      </w:r>
      <w:r>
        <w:rPr>
          <w:rFonts w:cs="Times New Roman"/>
          <w:szCs w:val="26"/>
        </w:rPr>
        <w:t>and the Borough of Columbia</w:t>
      </w:r>
      <w:r w:rsidR="00C150BC">
        <w:rPr>
          <w:rFonts w:cs="Times New Roman"/>
          <w:szCs w:val="26"/>
        </w:rPr>
        <w:t xml:space="preserve"> (Borough)</w:t>
      </w:r>
      <w:r>
        <w:rPr>
          <w:rFonts w:cs="Times New Roman"/>
          <w:szCs w:val="26"/>
        </w:rPr>
        <w:t>; payment for assisting the Borough w</w:t>
      </w:r>
      <w:r w:rsidR="00C150BC">
        <w:rPr>
          <w:rFonts w:cs="Times New Roman"/>
          <w:szCs w:val="26"/>
        </w:rPr>
        <w:t>ith turn-ons and turn-offs; funds received from the sale of meters (salvage); insurance proceeds for a damaged fence and compressor</w:t>
      </w:r>
      <w:r w:rsidR="00434ED3">
        <w:rPr>
          <w:rFonts w:cs="Times New Roman"/>
          <w:szCs w:val="26"/>
        </w:rPr>
        <w:t>; and the sale of bulk water</w:t>
      </w:r>
      <w:r w:rsidR="00C150BC">
        <w:rPr>
          <w:rFonts w:cs="Times New Roman"/>
          <w:szCs w:val="26"/>
        </w:rPr>
        <w:t>.  I&amp;E recommend</w:t>
      </w:r>
      <w:r w:rsidR="008C75E0">
        <w:rPr>
          <w:rFonts w:cs="Times New Roman"/>
          <w:szCs w:val="26"/>
        </w:rPr>
        <w:t>ed</w:t>
      </w:r>
      <w:r w:rsidR="00C150BC">
        <w:rPr>
          <w:rFonts w:cs="Times New Roman"/>
          <w:szCs w:val="26"/>
        </w:rPr>
        <w:t xml:space="preserve"> increasing the Company’s operating revenue for ratemaking purposes by </w:t>
      </w:r>
      <w:r w:rsidR="00C150BC" w:rsidRPr="00F56AD8">
        <w:rPr>
          <w:rFonts w:cs="Times New Roman"/>
          <w:szCs w:val="26"/>
        </w:rPr>
        <w:t>$9,932</w:t>
      </w:r>
      <w:r w:rsidR="00C150BC">
        <w:rPr>
          <w:rFonts w:cs="Times New Roman"/>
          <w:szCs w:val="26"/>
        </w:rPr>
        <w:t xml:space="preserve"> for the sale of the billing data to the Borough and the Authority.  Columbia accepted this adjustment of $9,932 to its </w:t>
      </w:r>
      <w:r w:rsidR="00F56AD8">
        <w:rPr>
          <w:rFonts w:cs="Times New Roman"/>
          <w:szCs w:val="26"/>
        </w:rPr>
        <w:t>operating revenue, but disagreed</w:t>
      </w:r>
      <w:r w:rsidR="00C150BC">
        <w:rPr>
          <w:rFonts w:cs="Times New Roman"/>
          <w:szCs w:val="26"/>
        </w:rPr>
        <w:t xml:space="preserve"> with the remaining $5,832 adjustment recommended by the OCA.  Instead of including this revenue as operating revenue, the Company argued that it should be booked to </w:t>
      </w:r>
      <w:r w:rsidR="00434ED3">
        <w:rPr>
          <w:rFonts w:cs="Times New Roman"/>
          <w:szCs w:val="26"/>
        </w:rPr>
        <w:t xml:space="preserve">depreciation reserve.  </w:t>
      </w:r>
      <w:r w:rsidR="00C150BC">
        <w:rPr>
          <w:rFonts w:cs="Times New Roman"/>
          <w:szCs w:val="26"/>
        </w:rPr>
        <w:t xml:space="preserve">CWC M.B. at 16-17. </w:t>
      </w:r>
    </w:p>
    <w:p w:rsidR="00385A85" w:rsidRDefault="00385A85" w:rsidP="000E09A5">
      <w:pPr>
        <w:contextualSpacing/>
        <w:rPr>
          <w:rFonts w:cs="Times New Roman"/>
          <w:szCs w:val="26"/>
        </w:rPr>
      </w:pPr>
    </w:p>
    <w:p w:rsidR="00385A85" w:rsidRPr="00385A85" w:rsidRDefault="00385A85" w:rsidP="000957FA">
      <w:pPr>
        <w:keepNext/>
        <w:spacing w:line="240" w:lineRule="auto"/>
        <w:contextualSpacing/>
        <w:rPr>
          <w:rFonts w:cs="Times New Roman"/>
          <w:b/>
          <w:szCs w:val="26"/>
        </w:rPr>
      </w:pPr>
      <w:r w:rsidRPr="00385A85">
        <w:rPr>
          <w:rFonts w:cs="Times New Roman"/>
          <w:b/>
          <w:szCs w:val="26"/>
        </w:rPr>
        <w:t>2.</w:t>
      </w:r>
      <w:r w:rsidRPr="00385A85">
        <w:rPr>
          <w:rFonts w:cs="Times New Roman"/>
          <w:b/>
          <w:szCs w:val="26"/>
        </w:rPr>
        <w:tab/>
        <w:t>ALJ’s Recommendation</w:t>
      </w:r>
    </w:p>
    <w:p w:rsidR="00385A85" w:rsidRPr="007F70DF" w:rsidRDefault="00385A85" w:rsidP="00343CB6">
      <w:pPr>
        <w:keepNext/>
        <w:contextualSpacing/>
        <w:jc w:val="both"/>
        <w:rPr>
          <w:rFonts w:cs="Times New Roman"/>
          <w:color w:val="000000" w:themeColor="text1"/>
          <w:szCs w:val="26"/>
        </w:rPr>
      </w:pPr>
    </w:p>
    <w:p w:rsidR="00385A85" w:rsidRDefault="00434ED3" w:rsidP="00343CB6">
      <w:pPr>
        <w:keepNext/>
        <w:contextualSpacing/>
        <w:rPr>
          <w:rFonts w:cs="Times New Roman"/>
          <w:color w:val="000000" w:themeColor="text1"/>
          <w:szCs w:val="26"/>
        </w:rPr>
      </w:pPr>
      <w:r>
        <w:rPr>
          <w:rFonts w:cs="Times New Roman"/>
          <w:color w:val="000000" w:themeColor="text1"/>
          <w:szCs w:val="26"/>
        </w:rPr>
        <w:t xml:space="preserve">The ALJ rejected the OCA’s </w:t>
      </w:r>
      <w:r w:rsidR="00385A85" w:rsidRPr="007F70DF">
        <w:rPr>
          <w:rFonts w:cs="Times New Roman"/>
          <w:color w:val="000000" w:themeColor="text1"/>
          <w:szCs w:val="26"/>
        </w:rPr>
        <w:t xml:space="preserve">$5,830 addition to </w:t>
      </w:r>
      <w:r w:rsidR="00F56AD8">
        <w:rPr>
          <w:rFonts w:cs="Times New Roman"/>
          <w:color w:val="000000" w:themeColor="text1"/>
          <w:szCs w:val="26"/>
        </w:rPr>
        <w:t xml:space="preserve">operating </w:t>
      </w:r>
      <w:r w:rsidR="00385A85" w:rsidRPr="007F70DF">
        <w:rPr>
          <w:rFonts w:cs="Times New Roman"/>
          <w:color w:val="000000" w:themeColor="text1"/>
          <w:szCs w:val="26"/>
        </w:rPr>
        <w:t xml:space="preserve">revenue for the sale of bulk water, meters </w:t>
      </w:r>
      <w:r>
        <w:rPr>
          <w:rFonts w:cs="Times New Roman"/>
          <w:color w:val="000000" w:themeColor="text1"/>
          <w:szCs w:val="26"/>
        </w:rPr>
        <w:t>and damage insurance, and concluded that the Company’s position on this issue was correct.  R.D. at 22-23.</w:t>
      </w:r>
    </w:p>
    <w:p w:rsidR="00385A85" w:rsidRDefault="00385A85" w:rsidP="00385A85">
      <w:pPr>
        <w:contextualSpacing/>
        <w:rPr>
          <w:rFonts w:cs="Times New Roman"/>
          <w:color w:val="000000" w:themeColor="text1"/>
          <w:szCs w:val="26"/>
        </w:rPr>
      </w:pPr>
    </w:p>
    <w:p w:rsidR="00385A85" w:rsidRDefault="00385A85" w:rsidP="00B23A5D">
      <w:pPr>
        <w:spacing w:line="240" w:lineRule="auto"/>
        <w:contextualSpacing/>
        <w:rPr>
          <w:rFonts w:cs="Times New Roman"/>
          <w:b/>
          <w:color w:val="000000" w:themeColor="text1"/>
          <w:szCs w:val="26"/>
        </w:rPr>
      </w:pPr>
      <w:r w:rsidRPr="0085685B">
        <w:rPr>
          <w:rFonts w:cs="Times New Roman"/>
          <w:b/>
          <w:color w:val="000000" w:themeColor="text1"/>
          <w:szCs w:val="26"/>
        </w:rPr>
        <w:t>3.</w:t>
      </w:r>
      <w:r w:rsidRPr="0085685B">
        <w:rPr>
          <w:rFonts w:cs="Times New Roman"/>
          <w:b/>
          <w:color w:val="000000" w:themeColor="text1"/>
          <w:szCs w:val="26"/>
        </w:rPr>
        <w:tab/>
        <w:t>Exceptions and Reply Exceptions</w:t>
      </w:r>
    </w:p>
    <w:p w:rsidR="00DE0C27" w:rsidRPr="0085685B" w:rsidRDefault="00DE0C27" w:rsidP="0085685B">
      <w:pPr>
        <w:contextualSpacing/>
        <w:rPr>
          <w:rFonts w:cs="Times New Roman"/>
          <w:b/>
          <w:color w:val="000000" w:themeColor="text1"/>
          <w:szCs w:val="26"/>
        </w:rPr>
      </w:pPr>
    </w:p>
    <w:p w:rsidR="00DE0C27" w:rsidRPr="00434ED3" w:rsidRDefault="0085685B" w:rsidP="00343CB6">
      <w:r w:rsidRPr="0085685B">
        <w:t>In its third Ex</w:t>
      </w:r>
      <w:r w:rsidR="00434ED3">
        <w:t xml:space="preserve">ception, the OCA argues that the remaining </w:t>
      </w:r>
      <w:r w:rsidR="008C75E0">
        <w:t>$5,830</w:t>
      </w:r>
      <w:r w:rsidR="00434ED3">
        <w:t xml:space="preserve"> in merchandising sales and jobbing work </w:t>
      </w:r>
      <w:r w:rsidR="00F56AD8">
        <w:t>should be included in the Company’s</w:t>
      </w:r>
      <w:r w:rsidRPr="00434ED3">
        <w:t xml:space="preserve"> above-the-</w:t>
      </w:r>
      <w:r w:rsidR="00434ED3">
        <w:t>line operating revenue.  The OCA reasons that, because t</w:t>
      </w:r>
      <w:r w:rsidRPr="00434ED3">
        <w:t>he expenses associated with these revenues were ch</w:t>
      </w:r>
      <w:r w:rsidR="00434ED3">
        <w:t xml:space="preserve">arged to operating expenses for ratemaking purposes, </w:t>
      </w:r>
      <w:r w:rsidRPr="00434ED3">
        <w:t>customers should get the benef</w:t>
      </w:r>
      <w:r w:rsidR="00434ED3">
        <w:t>it of the additional revenues.  OCA Exc. at 21.</w:t>
      </w:r>
    </w:p>
    <w:p w:rsidR="0085685B" w:rsidRPr="0085685B" w:rsidRDefault="0085685B" w:rsidP="0085685B">
      <w:pPr>
        <w:contextualSpacing/>
        <w:rPr>
          <w:rFonts w:cs="Times New Roman"/>
          <w:szCs w:val="26"/>
        </w:rPr>
      </w:pPr>
      <w:r w:rsidRPr="0085685B">
        <w:rPr>
          <w:rFonts w:cs="Times New Roman"/>
          <w:szCs w:val="26"/>
        </w:rPr>
        <w:t xml:space="preserve"> </w:t>
      </w:r>
    </w:p>
    <w:p w:rsidR="0085685B" w:rsidRDefault="00434ED3" w:rsidP="004148CC">
      <w:pPr>
        <w:contextualSpacing/>
        <w:rPr>
          <w:rFonts w:cs="Times New Roman"/>
          <w:szCs w:val="26"/>
        </w:rPr>
      </w:pPr>
      <w:r>
        <w:rPr>
          <w:rFonts w:cs="Times New Roman"/>
          <w:szCs w:val="26"/>
        </w:rPr>
        <w:lastRenderedPageBreak/>
        <w:t xml:space="preserve">The OCA asserts that, notwithstanding </w:t>
      </w:r>
      <w:r w:rsidR="0085685B" w:rsidRPr="0085685B">
        <w:rPr>
          <w:rFonts w:cs="Times New Roman"/>
          <w:szCs w:val="26"/>
        </w:rPr>
        <w:t>Columbia’s statement that funds received from the s</w:t>
      </w:r>
      <w:r>
        <w:rPr>
          <w:rFonts w:cs="Times New Roman"/>
          <w:szCs w:val="26"/>
        </w:rPr>
        <w:t>ale of meters and insurance should</w:t>
      </w:r>
      <w:r w:rsidR="0085685B" w:rsidRPr="0085685B">
        <w:rPr>
          <w:rFonts w:cs="Times New Roman"/>
          <w:szCs w:val="26"/>
        </w:rPr>
        <w:t xml:space="preserve"> be recorded to the accumulated depreciation reserve and not recognized as revenue for book and ratemaking</w:t>
      </w:r>
      <w:r>
        <w:rPr>
          <w:rFonts w:cs="Times New Roman"/>
          <w:szCs w:val="26"/>
        </w:rPr>
        <w:t xml:space="preserve"> purposes</w:t>
      </w:r>
      <w:r w:rsidR="0085685B" w:rsidRPr="0085685B">
        <w:rPr>
          <w:rFonts w:cs="Times New Roman"/>
          <w:szCs w:val="26"/>
        </w:rPr>
        <w:t>, Columbia does not actually follow this proc</w:t>
      </w:r>
      <w:r>
        <w:rPr>
          <w:rFonts w:cs="Times New Roman"/>
          <w:szCs w:val="26"/>
        </w:rPr>
        <w:t>edure</w:t>
      </w:r>
      <w:r w:rsidR="004148CC">
        <w:rPr>
          <w:rFonts w:cs="Times New Roman"/>
          <w:szCs w:val="26"/>
        </w:rPr>
        <w:t>.  According to the OCA, the Company did not credit</w:t>
      </w:r>
      <w:r w:rsidR="0085685B" w:rsidRPr="0085685B">
        <w:rPr>
          <w:rFonts w:cs="Times New Roman"/>
          <w:szCs w:val="26"/>
        </w:rPr>
        <w:t xml:space="preserve"> the revenues</w:t>
      </w:r>
      <w:r w:rsidR="004148CC">
        <w:rPr>
          <w:rFonts w:cs="Times New Roman"/>
          <w:szCs w:val="26"/>
        </w:rPr>
        <w:t xml:space="preserve"> to the depreciation reserve, but instead </w:t>
      </w:r>
      <w:r w:rsidR="0085685B" w:rsidRPr="0085685B">
        <w:rPr>
          <w:rFonts w:cs="Times New Roman"/>
          <w:szCs w:val="26"/>
        </w:rPr>
        <w:t>charged the repairs to M</w:t>
      </w:r>
      <w:r w:rsidR="009C285A">
        <w:rPr>
          <w:rFonts w:cs="Times New Roman"/>
          <w:szCs w:val="26"/>
        </w:rPr>
        <w:t>&amp;S</w:t>
      </w:r>
      <w:r w:rsidR="0085685B" w:rsidRPr="0085685B">
        <w:rPr>
          <w:rFonts w:cs="Times New Roman"/>
          <w:szCs w:val="26"/>
        </w:rPr>
        <w:t xml:space="preserve"> expense</w:t>
      </w:r>
      <w:r w:rsidR="00F56AD8">
        <w:rPr>
          <w:rFonts w:cs="Times New Roman"/>
          <w:szCs w:val="26"/>
        </w:rPr>
        <w:t>,</w:t>
      </w:r>
      <w:r w:rsidR="0085685B" w:rsidRPr="0085685B">
        <w:rPr>
          <w:rFonts w:cs="Times New Roman"/>
          <w:szCs w:val="26"/>
        </w:rPr>
        <w:t xml:space="preserve"> and reflected the revenues as a </w:t>
      </w:r>
      <w:r w:rsidR="004148CC">
        <w:rPr>
          <w:rFonts w:cs="Times New Roman"/>
          <w:szCs w:val="26"/>
        </w:rPr>
        <w:t>credit to the expense.  The OCA argues that, since t</w:t>
      </w:r>
      <w:r w:rsidR="0085685B" w:rsidRPr="0085685B">
        <w:rPr>
          <w:rFonts w:cs="Times New Roman"/>
          <w:szCs w:val="26"/>
        </w:rPr>
        <w:t>he Company charged the expenses related to these revenues to expense accounts that are claimed in this case</w:t>
      </w:r>
      <w:r w:rsidR="004148CC">
        <w:rPr>
          <w:rFonts w:cs="Times New Roman"/>
          <w:szCs w:val="26"/>
        </w:rPr>
        <w:t>,</w:t>
      </w:r>
      <w:r w:rsidR="0085685B" w:rsidRPr="0085685B">
        <w:rPr>
          <w:rFonts w:cs="Times New Roman"/>
          <w:szCs w:val="26"/>
        </w:rPr>
        <w:t xml:space="preserve"> </w:t>
      </w:r>
      <w:r w:rsidR="004148CC">
        <w:rPr>
          <w:rFonts w:cs="Times New Roman"/>
          <w:szCs w:val="26"/>
        </w:rPr>
        <w:t>t</w:t>
      </w:r>
      <w:r w:rsidR="0085685B" w:rsidRPr="0085685B">
        <w:rPr>
          <w:rFonts w:cs="Times New Roman"/>
          <w:szCs w:val="26"/>
        </w:rPr>
        <w:t>he revenues received by the Company to offset these expense</w:t>
      </w:r>
      <w:r w:rsidR="00F56AD8">
        <w:rPr>
          <w:rFonts w:cs="Times New Roman"/>
          <w:szCs w:val="26"/>
        </w:rPr>
        <w:t>s should be considered as above-the-line operating revenue</w:t>
      </w:r>
      <w:r w:rsidR="0085685B" w:rsidRPr="0085685B">
        <w:rPr>
          <w:rFonts w:cs="Times New Roman"/>
          <w:szCs w:val="26"/>
        </w:rPr>
        <w:t>.</w:t>
      </w:r>
      <w:r w:rsidR="004148CC">
        <w:rPr>
          <w:rFonts w:cs="Times New Roman"/>
          <w:szCs w:val="26"/>
        </w:rPr>
        <w:t xml:space="preserve">  </w:t>
      </w:r>
      <w:r w:rsidR="004148CC" w:rsidRPr="004148CC">
        <w:rPr>
          <w:rFonts w:cs="Times New Roman"/>
          <w:i/>
          <w:szCs w:val="26"/>
        </w:rPr>
        <w:t>Id</w:t>
      </w:r>
      <w:r w:rsidR="00F56AD8">
        <w:rPr>
          <w:rFonts w:cs="Times New Roman"/>
          <w:szCs w:val="26"/>
        </w:rPr>
        <w:t>. at 21</w:t>
      </w:r>
      <w:r w:rsidR="00F56AD8">
        <w:rPr>
          <w:rFonts w:cs="Times New Roman"/>
          <w:szCs w:val="26"/>
        </w:rPr>
        <w:noBreakHyphen/>
      </w:r>
      <w:r w:rsidR="004148CC">
        <w:rPr>
          <w:rFonts w:cs="Times New Roman"/>
          <w:szCs w:val="26"/>
        </w:rPr>
        <w:t>22.  The OCA also submits that, i</w:t>
      </w:r>
      <w:r w:rsidR="0085685B" w:rsidRPr="0085685B">
        <w:rPr>
          <w:rFonts w:cs="Times New Roman"/>
          <w:szCs w:val="26"/>
        </w:rPr>
        <w:t xml:space="preserve">n the </w:t>
      </w:r>
      <w:r w:rsidR="004148CC">
        <w:rPr>
          <w:rFonts w:cs="Times New Roman"/>
          <w:szCs w:val="26"/>
        </w:rPr>
        <w:t>Company’s last rate case</w:t>
      </w:r>
      <w:r w:rsidR="0085685B" w:rsidRPr="0085685B">
        <w:rPr>
          <w:rFonts w:cs="Times New Roman"/>
          <w:szCs w:val="26"/>
        </w:rPr>
        <w:t xml:space="preserve">, the Commission approved the inclusion of nearly identical revenues </w:t>
      </w:r>
      <w:r w:rsidR="004148CC">
        <w:rPr>
          <w:rFonts w:cs="Times New Roman"/>
          <w:szCs w:val="26"/>
        </w:rPr>
        <w:t xml:space="preserve">of $12,662 </w:t>
      </w:r>
      <w:r w:rsidR="0085685B" w:rsidRPr="0085685B">
        <w:rPr>
          <w:rFonts w:cs="Times New Roman"/>
          <w:szCs w:val="26"/>
        </w:rPr>
        <w:t>as above-the-line operating</w:t>
      </w:r>
      <w:r w:rsidR="00F56AD8">
        <w:rPr>
          <w:rFonts w:cs="Times New Roman"/>
          <w:szCs w:val="26"/>
        </w:rPr>
        <w:t xml:space="preserve"> revenue</w:t>
      </w:r>
      <w:r w:rsidR="0085685B" w:rsidRPr="0085685B">
        <w:rPr>
          <w:rFonts w:cs="Times New Roman"/>
          <w:szCs w:val="26"/>
        </w:rPr>
        <w:t xml:space="preserve">.  </w:t>
      </w:r>
    </w:p>
    <w:p w:rsidR="00E810ED" w:rsidRDefault="00E810ED" w:rsidP="004148CC">
      <w:pPr>
        <w:contextualSpacing/>
        <w:rPr>
          <w:rFonts w:cs="Times New Roman"/>
          <w:szCs w:val="26"/>
        </w:rPr>
      </w:pPr>
    </w:p>
    <w:p w:rsidR="00385A85" w:rsidRPr="00DF473A" w:rsidRDefault="00DF473A" w:rsidP="00401132">
      <w:pPr>
        <w:keepNext/>
        <w:spacing w:line="240" w:lineRule="auto"/>
        <w:contextualSpacing/>
        <w:rPr>
          <w:rFonts w:cs="Times New Roman"/>
          <w:b/>
          <w:color w:val="000000" w:themeColor="text1"/>
          <w:szCs w:val="26"/>
        </w:rPr>
      </w:pPr>
      <w:r>
        <w:rPr>
          <w:rFonts w:cs="Times New Roman"/>
          <w:b/>
          <w:color w:val="000000" w:themeColor="text1"/>
          <w:szCs w:val="26"/>
        </w:rPr>
        <w:t>4.</w:t>
      </w:r>
      <w:r>
        <w:rPr>
          <w:rFonts w:cs="Times New Roman"/>
          <w:b/>
          <w:color w:val="000000" w:themeColor="text1"/>
          <w:szCs w:val="26"/>
        </w:rPr>
        <w:tab/>
        <w:t>Reply Exceptions</w:t>
      </w:r>
    </w:p>
    <w:p w:rsidR="00DF473A" w:rsidRPr="00DF473A" w:rsidRDefault="00DF473A" w:rsidP="00401132">
      <w:pPr>
        <w:keepNext/>
        <w:contextualSpacing/>
        <w:rPr>
          <w:rFonts w:cs="Times New Roman"/>
          <w:b/>
          <w:color w:val="000000" w:themeColor="text1"/>
          <w:szCs w:val="26"/>
        </w:rPr>
      </w:pPr>
    </w:p>
    <w:p w:rsidR="00DF473A" w:rsidRDefault="00AA34C2" w:rsidP="00401132">
      <w:pPr>
        <w:keepNext/>
        <w:tabs>
          <w:tab w:val="left" w:pos="0"/>
        </w:tabs>
        <w:spacing w:before="200"/>
        <w:contextualSpacing/>
        <w:rPr>
          <w:rFonts w:cs="Times New Roman"/>
          <w:szCs w:val="26"/>
        </w:rPr>
      </w:pPr>
      <w:r>
        <w:rPr>
          <w:rFonts w:cs="Times New Roman"/>
          <w:szCs w:val="26"/>
        </w:rPr>
        <w:t>In its Reply Except</w:t>
      </w:r>
      <w:r w:rsidR="00DF473A">
        <w:rPr>
          <w:rFonts w:cs="Times New Roman"/>
          <w:szCs w:val="26"/>
        </w:rPr>
        <w:t>ions, Columbia asserts that t</w:t>
      </w:r>
      <w:r w:rsidR="00DF473A" w:rsidRPr="00DF473A">
        <w:rPr>
          <w:rFonts w:cs="Times New Roman"/>
          <w:szCs w:val="26"/>
        </w:rPr>
        <w:t xml:space="preserve">he ALJ correctly accepted </w:t>
      </w:r>
      <w:r>
        <w:rPr>
          <w:rFonts w:cs="Times New Roman"/>
          <w:szCs w:val="26"/>
        </w:rPr>
        <w:t xml:space="preserve">the </w:t>
      </w:r>
      <w:r w:rsidR="00DF473A" w:rsidRPr="00DF473A">
        <w:rPr>
          <w:rFonts w:cs="Times New Roman"/>
          <w:szCs w:val="26"/>
        </w:rPr>
        <w:t>Compan</w:t>
      </w:r>
      <w:r>
        <w:rPr>
          <w:rFonts w:cs="Times New Roman"/>
          <w:szCs w:val="26"/>
        </w:rPr>
        <w:t>y</w:t>
      </w:r>
      <w:r w:rsidR="00DF473A">
        <w:rPr>
          <w:rFonts w:cs="Times New Roman"/>
          <w:szCs w:val="26"/>
        </w:rPr>
        <w:t>’s position on this issue</w:t>
      </w:r>
      <w:r w:rsidR="00DF473A" w:rsidRPr="00DF473A">
        <w:rPr>
          <w:rFonts w:cs="Times New Roman"/>
          <w:szCs w:val="26"/>
        </w:rPr>
        <w:t>.</w:t>
      </w:r>
      <w:r w:rsidR="00DF473A" w:rsidRPr="00DF473A">
        <w:rPr>
          <w:rStyle w:val="FootnoteReference"/>
          <w:rFonts w:cs="Times New Roman"/>
          <w:szCs w:val="26"/>
        </w:rPr>
        <w:footnoteReference w:id="28"/>
      </w:r>
      <w:r w:rsidR="00DF473A">
        <w:rPr>
          <w:rFonts w:cs="Times New Roman"/>
          <w:szCs w:val="26"/>
        </w:rPr>
        <w:t xml:space="preserve">  Columbia argues that, r</w:t>
      </w:r>
      <w:r w:rsidR="00DF473A" w:rsidRPr="00DF473A">
        <w:rPr>
          <w:rFonts w:cs="Times New Roman"/>
          <w:szCs w:val="26"/>
        </w:rPr>
        <w:t>elative to the other items for bulk water sales and customer disconnect revenue, an average basis calculation will not reflect the lack</w:t>
      </w:r>
      <w:r w:rsidR="00F56AD8">
        <w:rPr>
          <w:rFonts w:cs="Times New Roman"/>
          <w:szCs w:val="26"/>
        </w:rPr>
        <w:t xml:space="preserve"> of stability in the</w:t>
      </w:r>
      <w:r w:rsidR="00DF473A">
        <w:rPr>
          <w:rFonts w:cs="Times New Roman"/>
          <w:szCs w:val="26"/>
        </w:rPr>
        <w:t>se items, and that these</w:t>
      </w:r>
      <w:r w:rsidR="00DF473A" w:rsidRPr="00DF473A">
        <w:rPr>
          <w:rFonts w:cs="Times New Roman"/>
          <w:szCs w:val="26"/>
        </w:rPr>
        <w:t xml:space="preserve"> items are not under the</w:t>
      </w:r>
      <w:r w:rsidR="00DF473A">
        <w:rPr>
          <w:rFonts w:cs="Times New Roman"/>
          <w:szCs w:val="26"/>
        </w:rPr>
        <w:t xml:space="preserve"> direct control of the Company.  Tr. at 133-134.  Columbia asserts that the</w:t>
      </w:r>
      <w:r w:rsidR="00DF473A" w:rsidRPr="00DF473A">
        <w:rPr>
          <w:rFonts w:cs="Times New Roman"/>
          <w:szCs w:val="26"/>
        </w:rPr>
        <w:t>se revenues should be booked to the depreciation reserve for the respective plant items under t</w:t>
      </w:r>
      <w:r w:rsidR="00DF473A">
        <w:rPr>
          <w:rFonts w:cs="Times New Roman"/>
          <w:szCs w:val="26"/>
        </w:rPr>
        <w:t>he Uniform System of Accounts.  According to Columbia, t</w:t>
      </w:r>
      <w:r w:rsidR="00DF473A" w:rsidRPr="00DF473A">
        <w:rPr>
          <w:rFonts w:cs="Times New Roman"/>
          <w:szCs w:val="26"/>
        </w:rPr>
        <w:t xml:space="preserve">his position was corroborated by </w:t>
      </w:r>
      <w:r>
        <w:rPr>
          <w:rFonts w:cs="Times New Roman"/>
          <w:szCs w:val="26"/>
        </w:rPr>
        <w:t xml:space="preserve">I&amp;E witness Wilson who agreed.  I&amp;E St. 2-SR at 3:4-19.  </w:t>
      </w:r>
      <w:r w:rsidR="00DF473A" w:rsidRPr="00DF473A">
        <w:rPr>
          <w:rFonts w:cs="Times New Roman"/>
          <w:szCs w:val="26"/>
        </w:rPr>
        <w:t>For the</w:t>
      </w:r>
      <w:r>
        <w:rPr>
          <w:rFonts w:cs="Times New Roman"/>
          <w:szCs w:val="26"/>
        </w:rPr>
        <w:t>se reasons</w:t>
      </w:r>
      <w:r w:rsidR="00DF473A" w:rsidRPr="00DF473A">
        <w:rPr>
          <w:rFonts w:cs="Times New Roman"/>
          <w:szCs w:val="26"/>
        </w:rPr>
        <w:t xml:space="preserve">, </w:t>
      </w:r>
      <w:r>
        <w:rPr>
          <w:rFonts w:cs="Times New Roman"/>
          <w:szCs w:val="26"/>
        </w:rPr>
        <w:t xml:space="preserve">Columbia submits that the OCA’s Exception on this issue </w:t>
      </w:r>
      <w:r w:rsidR="00DF473A" w:rsidRPr="00DF473A">
        <w:rPr>
          <w:rFonts w:cs="Times New Roman"/>
          <w:szCs w:val="26"/>
        </w:rPr>
        <w:t>should be denied.</w:t>
      </w:r>
      <w:r>
        <w:rPr>
          <w:rFonts w:cs="Times New Roman"/>
          <w:szCs w:val="26"/>
        </w:rPr>
        <w:t xml:space="preserve">  CWC R.Exc. at 21-23.</w:t>
      </w:r>
    </w:p>
    <w:p w:rsidR="00AA34C2" w:rsidRDefault="00AA34C2" w:rsidP="00AA34C2">
      <w:pPr>
        <w:tabs>
          <w:tab w:val="left" w:pos="0"/>
        </w:tabs>
        <w:spacing w:before="200"/>
        <w:contextualSpacing/>
        <w:rPr>
          <w:rFonts w:cs="Times New Roman"/>
          <w:szCs w:val="26"/>
        </w:rPr>
      </w:pPr>
    </w:p>
    <w:p w:rsidR="00AA34C2" w:rsidRPr="00AA34C2" w:rsidRDefault="00AA34C2" w:rsidP="008C75E0">
      <w:pPr>
        <w:tabs>
          <w:tab w:val="left" w:pos="0"/>
        </w:tabs>
        <w:spacing w:before="200" w:line="240" w:lineRule="auto"/>
        <w:contextualSpacing/>
        <w:rPr>
          <w:rFonts w:cs="Times New Roman"/>
          <w:b/>
          <w:szCs w:val="26"/>
        </w:rPr>
      </w:pPr>
      <w:r>
        <w:rPr>
          <w:rFonts w:cs="Times New Roman"/>
          <w:b/>
          <w:szCs w:val="26"/>
        </w:rPr>
        <w:lastRenderedPageBreak/>
        <w:t>5.</w:t>
      </w:r>
      <w:r>
        <w:rPr>
          <w:rFonts w:cs="Times New Roman"/>
          <w:b/>
          <w:szCs w:val="26"/>
        </w:rPr>
        <w:tab/>
        <w:t>Disposition</w:t>
      </w:r>
    </w:p>
    <w:p w:rsidR="00385A85" w:rsidRPr="002226B9" w:rsidRDefault="008C75E0" w:rsidP="00DF473A">
      <w:pPr>
        <w:contextualSpacing/>
        <w:rPr>
          <w:rFonts w:cs="Times New Roman"/>
          <w:b/>
          <w:color w:val="FF0000"/>
          <w:szCs w:val="26"/>
        </w:rPr>
      </w:pPr>
      <w:r>
        <w:rPr>
          <w:rFonts w:cs="Times New Roman"/>
          <w:b/>
          <w:color w:val="FF0000"/>
          <w:szCs w:val="26"/>
        </w:rPr>
        <w:tab/>
      </w:r>
    </w:p>
    <w:p w:rsidR="00FA71A4" w:rsidRDefault="008C75E0" w:rsidP="00DF473A">
      <w:pPr>
        <w:contextualSpacing/>
        <w:rPr>
          <w:rFonts w:cs="Times New Roman"/>
          <w:szCs w:val="26"/>
        </w:rPr>
      </w:pPr>
      <w:r w:rsidRPr="008C75E0">
        <w:rPr>
          <w:rFonts w:cs="Times New Roman"/>
          <w:szCs w:val="26"/>
        </w:rPr>
        <w:t xml:space="preserve">We </w:t>
      </w:r>
      <w:r>
        <w:rPr>
          <w:rFonts w:cs="Times New Roman"/>
          <w:szCs w:val="26"/>
        </w:rPr>
        <w:t>concur with the ALJ that the OCA’s proposed adjustment should be rejected</w:t>
      </w:r>
      <w:r w:rsidR="00186848">
        <w:rPr>
          <w:rFonts w:cs="Times New Roman"/>
          <w:szCs w:val="26"/>
        </w:rPr>
        <w:t>.  For the reasons proffered by the Company, the</w:t>
      </w:r>
      <w:r w:rsidR="00186848" w:rsidRPr="00DF473A">
        <w:rPr>
          <w:rFonts w:cs="Times New Roman"/>
          <w:szCs w:val="26"/>
        </w:rPr>
        <w:t>se revenues should be booked to the depreciation reserve for the respective plant items under t</w:t>
      </w:r>
      <w:r w:rsidR="00186848">
        <w:rPr>
          <w:rFonts w:cs="Times New Roman"/>
          <w:szCs w:val="26"/>
        </w:rPr>
        <w:t>he Uniform System of Accounts.</w:t>
      </w:r>
    </w:p>
    <w:p w:rsidR="00186848" w:rsidRPr="00031046" w:rsidRDefault="00186848" w:rsidP="00DF473A">
      <w:pPr>
        <w:contextualSpacing/>
        <w:rPr>
          <w:rFonts w:cs="Times New Roman"/>
          <w:szCs w:val="26"/>
        </w:rPr>
      </w:pPr>
    </w:p>
    <w:p w:rsidR="00FA71A4" w:rsidRPr="00031046" w:rsidRDefault="00F05C1A" w:rsidP="00F05C1A">
      <w:pPr>
        <w:pStyle w:val="Heading2"/>
        <w:numPr>
          <w:ilvl w:val="0"/>
          <w:numId w:val="0"/>
        </w:numPr>
        <w:ind w:left="720"/>
        <w:rPr>
          <w:rStyle w:val="Heading2Char"/>
          <w:rFonts w:ascii="Times New Roman" w:hAnsi="Times New Roman"/>
        </w:rPr>
      </w:pPr>
      <w:bookmarkStart w:id="16" w:name="_Toc378080160"/>
      <w:r w:rsidRPr="00031046">
        <w:rPr>
          <w:rStyle w:val="Heading2Char"/>
          <w:rFonts w:ascii="Times New Roman" w:hAnsi="Times New Roman"/>
          <w:b/>
          <w:bCs/>
          <w:iCs/>
        </w:rPr>
        <w:t>F.</w:t>
      </w:r>
      <w:r w:rsidRPr="00031046">
        <w:rPr>
          <w:rStyle w:val="Heading2Char"/>
          <w:rFonts w:ascii="Times New Roman" w:hAnsi="Times New Roman"/>
          <w:b/>
          <w:bCs/>
          <w:iCs/>
        </w:rPr>
        <w:tab/>
      </w:r>
      <w:r w:rsidR="00FA71A4" w:rsidRPr="00031046">
        <w:rPr>
          <w:rStyle w:val="Heading2Char"/>
          <w:rFonts w:ascii="Times New Roman" w:hAnsi="Times New Roman"/>
          <w:b/>
          <w:bCs/>
          <w:iCs/>
        </w:rPr>
        <w:t>Expenses</w:t>
      </w:r>
      <w:bookmarkEnd w:id="16"/>
    </w:p>
    <w:p w:rsidR="00FA71A4" w:rsidRPr="00031046" w:rsidRDefault="00FA71A4" w:rsidP="00FA71A4">
      <w:pPr>
        <w:ind w:firstLine="720"/>
        <w:contextualSpacing/>
        <w:rPr>
          <w:rFonts w:cs="Times New Roman"/>
          <w:b/>
          <w:szCs w:val="26"/>
        </w:rPr>
      </w:pPr>
    </w:p>
    <w:p w:rsidR="00FA71A4" w:rsidRPr="00031046" w:rsidRDefault="00FA71A4" w:rsidP="00992768">
      <w:pPr>
        <w:pStyle w:val="Heading3"/>
        <w:rPr>
          <w:rFonts w:ascii="Times New Roman" w:hAnsi="Times New Roman" w:cs="Times New Roman"/>
          <w:szCs w:val="26"/>
        </w:rPr>
      </w:pPr>
      <w:bookmarkStart w:id="17" w:name="_Toc378080161"/>
      <w:r w:rsidRPr="00031046">
        <w:rPr>
          <w:rFonts w:ascii="Times New Roman" w:hAnsi="Times New Roman" w:cs="Times New Roman"/>
          <w:szCs w:val="26"/>
        </w:rPr>
        <w:t>1.</w:t>
      </w:r>
      <w:r w:rsidRPr="00031046">
        <w:rPr>
          <w:rFonts w:ascii="Times New Roman" w:hAnsi="Times New Roman" w:cs="Times New Roman"/>
          <w:szCs w:val="26"/>
        </w:rPr>
        <w:tab/>
      </w:r>
      <w:r w:rsidRPr="00031046">
        <w:rPr>
          <w:rFonts w:ascii="Times New Roman" w:hAnsi="Times New Roman" w:cs="Times New Roman"/>
        </w:rPr>
        <w:t>PennVest Plant Depreciation Expense</w:t>
      </w:r>
      <w:bookmarkEnd w:id="17"/>
    </w:p>
    <w:p w:rsidR="00CA4B04" w:rsidRPr="00031046" w:rsidRDefault="00CA4B04" w:rsidP="00FA71A4">
      <w:pPr>
        <w:ind w:firstLine="720"/>
        <w:contextualSpacing/>
        <w:rPr>
          <w:rFonts w:cs="Times New Roman"/>
          <w:b/>
          <w:szCs w:val="26"/>
        </w:rPr>
      </w:pPr>
    </w:p>
    <w:p w:rsidR="000408CE" w:rsidRPr="00CA4B04" w:rsidRDefault="00F56AD8" w:rsidP="00CA4B04">
      <w:pPr>
        <w:contextualSpacing/>
        <w:rPr>
          <w:rFonts w:cs="Times New Roman"/>
          <w:szCs w:val="26"/>
        </w:rPr>
      </w:pPr>
      <w:r>
        <w:rPr>
          <w:rFonts w:cs="Times New Roman"/>
          <w:szCs w:val="26"/>
        </w:rPr>
        <w:t>This issue has been</w:t>
      </w:r>
      <w:r w:rsidR="00AA34C2">
        <w:rPr>
          <w:rFonts w:cs="Times New Roman"/>
          <w:szCs w:val="26"/>
        </w:rPr>
        <w:t xml:space="preserve"> resolved </w:t>
      </w:r>
      <w:r w:rsidR="00CA4B04">
        <w:rPr>
          <w:rFonts w:cs="Times New Roman"/>
          <w:szCs w:val="26"/>
        </w:rPr>
        <w:t xml:space="preserve">in the section pertaining to the rate base treatment of the PennVest plant book depreciation reserve, </w:t>
      </w:r>
      <w:r w:rsidR="00CA4B04" w:rsidRPr="00CA4B04">
        <w:rPr>
          <w:rFonts w:cs="Times New Roman"/>
          <w:i/>
          <w:szCs w:val="26"/>
        </w:rPr>
        <w:t>supra</w:t>
      </w:r>
      <w:r w:rsidR="00CA4B04">
        <w:rPr>
          <w:rFonts w:cs="Times New Roman"/>
          <w:szCs w:val="26"/>
        </w:rPr>
        <w:t>.</w:t>
      </w:r>
      <w:r w:rsidR="00AA34C2">
        <w:rPr>
          <w:rFonts w:cs="Times New Roman"/>
          <w:szCs w:val="26"/>
        </w:rPr>
        <w:t xml:space="preserve">  The claimed depreciation expense of </w:t>
      </w:r>
      <w:r w:rsidR="00AA34C2" w:rsidRPr="00F56AD8">
        <w:rPr>
          <w:rFonts w:cs="Times New Roman"/>
          <w:szCs w:val="26"/>
        </w:rPr>
        <w:t>$115,913</w:t>
      </w:r>
      <w:r w:rsidR="00AA34C2">
        <w:rPr>
          <w:rFonts w:cs="Times New Roman"/>
          <w:szCs w:val="26"/>
        </w:rPr>
        <w:t xml:space="preserve"> shall be allowed, consistent with the inclusion of the und</w:t>
      </w:r>
      <w:r>
        <w:rPr>
          <w:rFonts w:cs="Times New Roman"/>
          <w:szCs w:val="26"/>
        </w:rPr>
        <w:t>e</w:t>
      </w:r>
      <w:r w:rsidR="00AA34C2">
        <w:rPr>
          <w:rFonts w:cs="Times New Roman"/>
          <w:szCs w:val="26"/>
        </w:rPr>
        <w:t>preciated PennVest plant in rate base.</w:t>
      </w:r>
    </w:p>
    <w:p w:rsidR="000408CE" w:rsidRPr="007F70DF" w:rsidRDefault="000408CE" w:rsidP="000408CE">
      <w:pPr>
        <w:contextualSpacing/>
        <w:rPr>
          <w:rFonts w:cs="Times New Roman"/>
          <w:szCs w:val="26"/>
        </w:rPr>
      </w:pPr>
      <w:r w:rsidRPr="007F70DF">
        <w:rPr>
          <w:rFonts w:cs="Times New Roman"/>
          <w:szCs w:val="26"/>
        </w:rPr>
        <w:tab/>
      </w:r>
      <w:r w:rsidRPr="007F70DF">
        <w:rPr>
          <w:rFonts w:cs="Times New Roman"/>
          <w:szCs w:val="26"/>
        </w:rPr>
        <w:tab/>
      </w:r>
    </w:p>
    <w:p w:rsidR="00CA6A9D" w:rsidRPr="00401132" w:rsidRDefault="00385A85" w:rsidP="00992768">
      <w:pPr>
        <w:pStyle w:val="Heading3"/>
        <w:rPr>
          <w:rFonts w:ascii="Times New Roman" w:hAnsi="Times New Roman" w:cs="Times New Roman"/>
        </w:rPr>
      </w:pPr>
      <w:bookmarkStart w:id="18" w:name="_Toc367958619"/>
      <w:bookmarkStart w:id="19" w:name="_Toc378080162"/>
      <w:r w:rsidRPr="00401132">
        <w:rPr>
          <w:rFonts w:ascii="Times New Roman" w:hAnsi="Times New Roman" w:cs="Times New Roman"/>
        </w:rPr>
        <w:t>2</w:t>
      </w:r>
      <w:r w:rsidR="00CA6A9D" w:rsidRPr="00401132">
        <w:rPr>
          <w:rFonts w:ascii="Times New Roman" w:hAnsi="Times New Roman" w:cs="Times New Roman"/>
        </w:rPr>
        <w:t>.</w:t>
      </w:r>
      <w:r w:rsidR="00CA6A9D" w:rsidRPr="00AB1A86">
        <w:tab/>
      </w:r>
      <w:r w:rsidR="00CA6A9D" w:rsidRPr="00401132">
        <w:rPr>
          <w:rFonts w:ascii="Times New Roman" w:hAnsi="Times New Roman" w:cs="Times New Roman"/>
        </w:rPr>
        <w:t>Acquisition Adjustment</w:t>
      </w:r>
      <w:bookmarkEnd w:id="18"/>
      <w:bookmarkEnd w:id="19"/>
    </w:p>
    <w:p w:rsidR="009D3F59" w:rsidRDefault="009D3F59" w:rsidP="00047866">
      <w:pPr>
        <w:keepNext/>
        <w:contextualSpacing/>
        <w:jc w:val="both"/>
        <w:outlineLvl w:val="1"/>
        <w:rPr>
          <w:rFonts w:cs="Times New Roman"/>
          <w:bCs/>
          <w:iCs/>
          <w:szCs w:val="26"/>
        </w:rPr>
      </w:pPr>
    </w:p>
    <w:p w:rsidR="00385A85" w:rsidRDefault="00385A85" w:rsidP="00186848">
      <w:pPr>
        <w:spacing w:line="240" w:lineRule="auto"/>
        <w:ind w:firstLine="720"/>
        <w:contextualSpacing/>
        <w:rPr>
          <w:rFonts w:cs="Times New Roman"/>
          <w:b/>
          <w:szCs w:val="26"/>
        </w:rPr>
      </w:pPr>
      <w:r>
        <w:rPr>
          <w:rFonts w:cs="Times New Roman"/>
          <w:bCs/>
          <w:iCs/>
          <w:szCs w:val="26"/>
        </w:rPr>
        <w:tab/>
      </w:r>
      <w:r>
        <w:rPr>
          <w:rFonts w:cs="Times New Roman"/>
          <w:bCs/>
          <w:iCs/>
          <w:szCs w:val="26"/>
        </w:rPr>
        <w:tab/>
      </w:r>
      <w:r>
        <w:rPr>
          <w:rFonts w:cs="Times New Roman"/>
          <w:b/>
          <w:szCs w:val="26"/>
        </w:rPr>
        <w:t>a.</w:t>
      </w:r>
      <w:r>
        <w:rPr>
          <w:rFonts w:cs="Times New Roman"/>
          <w:b/>
          <w:szCs w:val="26"/>
        </w:rPr>
        <w:tab/>
        <w:t>Positions of the Parties</w:t>
      </w:r>
    </w:p>
    <w:p w:rsidR="00385A85" w:rsidRPr="00385A85" w:rsidRDefault="00385A85" w:rsidP="00047866">
      <w:pPr>
        <w:keepNext/>
        <w:contextualSpacing/>
        <w:jc w:val="both"/>
        <w:outlineLvl w:val="1"/>
        <w:rPr>
          <w:rFonts w:cs="Times New Roman"/>
          <w:b/>
          <w:bCs/>
          <w:iCs/>
          <w:szCs w:val="26"/>
        </w:rPr>
      </w:pPr>
    </w:p>
    <w:p w:rsidR="002226B9" w:rsidRDefault="00CA6A9D" w:rsidP="00047866">
      <w:pPr>
        <w:contextualSpacing/>
        <w:rPr>
          <w:rFonts w:eastAsia="Calibri" w:cs="Times New Roman"/>
          <w:szCs w:val="26"/>
        </w:rPr>
      </w:pPr>
      <w:r w:rsidRPr="007F70DF">
        <w:rPr>
          <w:rFonts w:eastAsia="Calibri" w:cs="Times New Roman"/>
          <w:szCs w:val="26"/>
        </w:rPr>
        <w:t>Columbia request</w:t>
      </w:r>
      <w:r w:rsidR="001055F6" w:rsidRPr="007F70DF">
        <w:rPr>
          <w:rFonts w:eastAsia="Calibri" w:cs="Times New Roman"/>
          <w:szCs w:val="26"/>
        </w:rPr>
        <w:t>ed</w:t>
      </w:r>
      <w:r w:rsidR="00E70903">
        <w:rPr>
          <w:rFonts w:eastAsia="Calibri" w:cs="Times New Roman"/>
          <w:szCs w:val="26"/>
        </w:rPr>
        <w:t xml:space="preserve"> that an amount</w:t>
      </w:r>
      <w:r w:rsidRPr="007F70DF">
        <w:rPr>
          <w:rFonts w:eastAsia="Calibri" w:cs="Times New Roman"/>
          <w:szCs w:val="26"/>
        </w:rPr>
        <w:t xml:space="preserve"> </w:t>
      </w:r>
      <w:r w:rsidR="002226B9">
        <w:rPr>
          <w:rFonts w:eastAsia="Calibri" w:cs="Times New Roman"/>
          <w:szCs w:val="26"/>
        </w:rPr>
        <w:t>related</w:t>
      </w:r>
      <w:r w:rsidR="00E70903">
        <w:rPr>
          <w:rFonts w:eastAsia="Calibri" w:cs="Times New Roman"/>
          <w:szCs w:val="26"/>
        </w:rPr>
        <w:t xml:space="preserve"> to the 2012 acquisition of </w:t>
      </w:r>
      <w:r w:rsidR="002226B9">
        <w:rPr>
          <w:rFonts w:eastAsia="Calibri" w:cs="Times New Roman"/>
          <w:szCs w:val="26"/>
        </w:rPr>
        <w:t xml:space="preserve">MGWC </w:t>
      </w:r>
      <w:r w:rsidRPr="007F70DF">
        <w:rPr>
          <w:rFonts w:eastAsia="Calibri" w:cs="Times New Roman"/>
          <w:szCs w:val="26"/>
        </w:rPr>
        <w:t xml:space="preserve">be reflected in </w:t>
      </w:r>
      <w:r w:rsidR="00E70903">
        <w:rPr>
          <w:rFonts w:eastAsia="Calibri" w:cs="Times New Roman"/>
          <w:szCs w:val="26"/>
        </w:rPr>
        <w:t xml:space="preserve">the Company’s </w:t>
      </w:r>
      <w:r w:rsidRPr="002226B9">
        <w:rPr>
          <w:rFonts w:eastAsia="Calibri" w:cs="Times New Roman"/>
          <w:szCs w:val="26"/>
        </w:rPr>
        <w:t>expenses</w:t>
      </w:r>
      <w:r w:rsidRPr="007F70DF">
        <w:rPr>
          <w:rFonts w:eastAsia="Calibri" w:cs="Times New Roman"/>
          <w:szCs w:val="26"/>
        </w:rPr>
        <w:t xml:space="preserve"> in th</w:t>
      </w:r>
      <w:r w:rsidR="002226B9">
        <w:rPr>
          <w:rFonts w:eastAsia="Calibri" w:cs="Times New Roman"/>
          <w:szCs w:val="26"/>
        </w:rPr>
        <w:t>is case</w:t>
      </w:r>
      <w:r w:rsidR="00B256D7">
        <w:rPr>
          <w:rFonts w:eastAsia="Calibri" w:cs="Times New Roman"/>
          <w:szCs w:val="26"/>
        </w:rPr>
        <w:t>.  Columbia proposed that the</w:t>
      </w:r>
      <w:r w:rsidR="00E70903">
        <w:rPr>
          <w:rFonts w:eastAsia="Calibri" w:cs="Times New Roman"/>
          <w:szCs w:val="26"/>
        </w:rPr>
        <w:t xml:space="preserve"> $225,581 acquisition adjustment be </w:t>
      </w:r>
      <w:r w:rsidR="002226B9">
        <w:rPr>
          <w:rFonts w:eastAsia="Calibri" w:cs="Times New Roman"/>
          <w:szCs w:val="26"/>
        </w:rPr>
        <w:t>amortized over fifteen</w:t>
      </w:r>
      <w:r w:rsidR="00E70903">
        <w:rPr>
          <w:rFonts w:eastAsia="Calibri" w:cs="Times New Roman"/>
          <w:szCs w:val="26"/>
        </w:rPr>
        <w:t xml:space="preserve"> years at </w:t>
      </w:r>
      <w:r w:rsidRPr="00F56AD8">
        <w:rPr>
          <w:rFonts w:eastAsia="Calibri" w:cs="Times New Roman"/>
          <w:szCs w:val="26"/>
        </w:rPr>
        <w:t>$15,039</w:t>
      </w:r>
      <w:r w:rsidR="00E70903">
        <w:rPr>
          <w:rFonts w:eastAsia="Calibri" w:cs="Times New Roman"/>
          <w:szCs w:val="26"/>
        </w:rPr>
        <w:t xml:space="preserve"> annually</w:t>
      </w:r>
      <w:r w:rsidR="002226B9">
        <w:rPr>
          <w:rFonts w:eastAsia="Calibri" w:cs="Times New Roman"/>
          <w:szCs w:val="26"/>
        </w:rPr>
        <w:t xml:space="preserve">.  </w:t>
      </w:r>
      <w:r w:rsidR="00B256D7">
        <w:rPr>
          <w:rFonts w:eastAsia="Calibri" w:cs="Times New Roman"/>
          <w:szCs w:val="26"/>
        </w:rPr>
        <w:t xml:space="preserve">Columbia emphasized that it was seeking “a 15-year amortization of the expenses incurred, </w:t>
      </w:r>
      <w:r w:rsidR="00B256D7" w:rsidRPr="00B256D7">
        <w:rPr>
          <w:rFonts w:eastAsia="Calibri" w:cs="Times New Roman"/>
          <w:szCs w:val="26"/>
          <w:u w:val="single"/>
        </w:rPr>
        <w:t>not</w:t>
      </w:r>
      <w:r w:rsidR="00B256D7">
        <w:rPr>
          <w:rFonts w:eastAsia="Calibri" w:cs="Times New Roman"/>
          <w:szCs w:val="26"/>
        </w:rPr>
        <w:t xml:space="preserve"> the price of the assets in the sales agreement that was in excess of the original cost [of MGWC’s assets] less depreciation.”  CWC M.B. at 18.  </w:t>
      </w:r>
      <w:r w:rsidR="002226B9" w:rsidRPr="002226B9">
        <w:rPr>
          <w:rFonts w:eastAsia="Calibri" w:cs="Times New Roman"/>
          <w:szCs w:val="26"/>
        </w:rPr>
        <w:t xml:space="preserve">Columbia </w:t>
      </w:r>
      <w:r w:rsidR="002226B9">
        <w:rPr>
          <w:rFonts w:eastAsia="Calibri" w:cs="Times New Roman"/>
          <w:szCs w:val="26"/>
        </w:rPr>
        <w:t>did</w:t>
      </w:r>
      <w:r w:rsidR="00E70903">
        <w:rPr>
          <w:rFonts w:eastAsia="Calibri" w:cs="Times New Roman"/>
          <w:szCs w:val="26"/>
        </w:rPr>
        <w:t xml:space="preserve"> not include</w:t>
      </w:r>
      <w:r w:rsidR="002226B9" w:rsidRPr="002226B9">
        <w:rPr>
          <w:rFonts w:eastAsia="Calibri" w:cs="Times New Roman"/>
          <w:szCs w:val="26"/>
        </w:rPr>
        <w:t xml:space="preserve"> the c</w:t>
      </w:r>
      <w:r w:rsidR="00E70903">
        <w:rPr>
          <w:rFonts w:eastAsia="Calibri" w:cs="Times New Roman"/>
          <w:szCs w:val="26"/>
        </w:rPr>
        <w:t>ost of MGWC assets in its rate base.</w:t>
      </w:r>
    </w:p>
    <w:p w:rsidR="00B256D7" w:rsidRDefault="00B256D7" w:rsidP="00047866">
      <w:pPr>
        <w:contextualSpacing/>
        <w:rPr>
          <w:rFonts w:eastAsia="Calibri" w:cs="Times New Roman"/>
          <w:szCs w:val="26"/>
        </w:rPr>
      </w:pPr>
    </w:p>
    <w:p w:rsidR="00222C28" w:rsidRDefault="00CA6A9D" w:rsidP="002226B9">
      <w:pPr>
        <w:contextualSpacing/>
        <w:rPr>
          <w:rFonts w:eastAsia="Calibri" w:cs="Times New Roman"/>
          <w:szCs w:val="26"/>
        </w:rPr>
      </w:pPr>
      <w:r w:rsidRPr="007F70DF">
        <w:rPr>
          <w:rFonts w:eastAsia="Calibri" w:cs="Times New Roman"/>
          <w:szCs w:val="26"/>
        </w:rPr>
        <w:t xml:space="preserve">The </w:t>
      </w:r>
      <w:r w:rsidR="002226B9">
        <w:rPr>
          <w:rFonts w:eastAsia="Calibri" w:cs="Times New Roman"/>
          <w:szCs w:val="26"/>
        </w:rPr>
        <w:t xml:space="preserve">OCA </w:t>
      </w:r>
      <w:r w:rsidR="00B256D7">
        <w:rPr>
          <w:rFonts w:eastAsia="Calibri" w:cs="Times New Roman"/>
          <w:szCs w:val="26"/>
        </w:rPr>
        <w:t xml:space="preserve">characterized the Company’s claimed amount of $225,581 as representing “the amount of the purchase price less the net original cost.”  OCA M.B. at 27.  The OCA also characterized the amount as “the amount of expense the Company incurred in the process of acquiring the MGWC assets.”  </w:t>
      </w:r>
      <w:r w:rsidR="00B256D7" w:rsidRPr="00B256D7">
        <w:rPr>
          <w:rFonts w:eastAsia="Calibri" w:cs="Times New Roman"/>
          <w:i/>
          <w:szCs w:val="26"/>
        </w:rPr>
        <w:t>Id</w:t>
      </w:r>
      <w:r w:rsidR="00B256D7">
        <w:rPr>
          <w:rFonts w:eastAsia="Calibri" w:cs="Times New Roman"/>
          <w:szCs w:val="26"/>
        </w:rPr>
        <w:t>.</w:t>
      </w:r>
      <w:r w:rsidR="00414EB1">
        <w:rPr>
          <w:rFonts w:eastAsia="Calibri" w:cs="Times New Roman"/>
          <w:szCs w:val="26"/>
        </w:rPr>
        <w:t xml:space="preserve">  In response to the Company’s statement </w:t>
      </w:r>
      <w:r w:rsidR="00414EB1">
        <w:rPr>
          <w:rFonts w:eastAsia="Calibri" w:cs="Times New Roman"/>
          <w:szCs w:val="26"/>
        </w:rPr>
        <w:lastRenderedPageBreak/>
        <w:t xml:space="preserve">that it simply was seeking a 15-year amortization of the </w:t>
      </w:r>
      <w:r w:rsidR="00414EB1" w:rsidRPr="00414EB1">
        <w:rPr>
          <w:rFonts w:eastAsia="Calibri" w:cs="Times New Roman"/>
          <w:i/>
          <w:szCs w:val="26"/>
        </w:rPr>
        <w:t>expenses</w:t>
      </w:r>
      <w:r w:rsidR="00414EB1">
        <w:rPr>
          <w:rFonts w:eastAsia="Calibri" w:cs="Times New Roman"/>
          <w:szCs w:val="26"/>
        </w:rPr>
        <w:t xml:space="preserve"> it incurred in acquiring MGWC, the OCA argued that “the expenses incurred are part of the purchase price adjustment.”  </w:t>
      </w:r>
      <w:r w:rsidR="00414EB1" w:rsidRPr="00414EB1">
        <w:rPr>
          <w:rFonts w:eastAsia="Calibri" w:cs="Times New Roman"/>
          <w:i/>
          <w:szCs w:val="26"/>
        </w:rPr>
        <w:t>Id</w:t>
      </w:r>
      <w:r w:rsidR="00414EB1">
        <w:rPr>
          <w:rFonts w:eastAsia="Calibri" w:cs="Times New Roman"/>
          <w:szCs w:val="26"/>
        </w:rPr>
        <w:t>. at 30.</w:t>
      </w:r>
      <w:r w:rsidR="00222C28">
        <w:rPr>
          <w:rFonts w:eastAsia="Calibri" w:cs="Times New Roman"/>
          <w:szCs w:val="26"/>
        </w:rPr>
        <w:t xml:space="preserve">  The OCA based this conclusion on the testimony of its witness that the total purchase price of MGWC included closing costs, expenses incurred, etc.  </w:t>
      </w:r>
      <w:r w:rsidR="00222C28" w:rsidRPr="00222C28">
        <w:rPr>
          <w:rFonts w:eastAsia="Calibri" w:cs="Times New Roman"/>
          <w:i/>
          <w:szCs w:val="26"/>
        </w:rPr>
        <w:t>Id</w:t>
      </w:r>
      <w:r w:rsidR="00222C28">
        <w:rPr>
          <w:rFonts w:eastAsia="Calibri" w:cs="Times New Roman"/>
          <w:szCs w:val="26"/>
        </w:rPr>
        <w:t>.</w:t>
      </w:r>
      <w:r w:rsidR="00222C28" w:rsidRPr="00222C28">
        <w:rPr>
          <w:rFonts w:eastAsia="Calibri" w:cs="Times New Roman"/>
          <w:szCs w:val="26"/>
        </w:rPr>
        <w:t xml:space="preserve"> </w:t>
      </w:r>
    </w:p>
    <w:p w:rsidR="00222C28" w:rsidRDefault="00222C28" w:rsidP="002226B9">
      <w:pPr>
        <w:contextualSpacing/>
        <w:rPr>
          <w:rFonts w:eastAsia="Calibri" w:cs="Times New Roman"/>
          <w:szCs w:val="26"/>
        </w:rPr>
      </w:pPr>
    </w:p>
    <w:p w:rsidR="00414EB1" w:rsidRDefault="00222C28" w:rsidP="002226B9">
      <w:pPr>
        <w:contextualSpacing/>
        <w:rPr>
          <w:rFonts w:eastAsia="Calibri" w:cs="Times New Roman"/>
          <w:szCs w:val="26"/>
        </w:rPr>
      </w:pPr>
      <w:r>
        <w:rPr>
          <w:rFonts w:eastAsia="Calibri" w:cs="Times New Roman"/>
          <w:szCs w:val="26"/>
        </w:rPr>
        <w:t>The OCA then argued</w:t>
      </w:r>
      <w:r w:rsidRPr="007F70DF">
        <w:rPr>
          <w:rFonts w:eastAsia="Calibri" w:cs="Times New Roman"/>
          <w:szCs w:val="26"/>
        </w:rPr>
        <w:t xml:space="preserve"> that the Company’s claimed expense related to the acquisition of MGWC should be rejected because the Company is not eligible for an acquisition adjustment under Section 1327</w:t>
      </w:r>
      <w:r>
        <w:rPr>
          <w:rFonts w:eastAsia="Calibri" w:cs="Times New Roman"/>
          <w:szCs w:val="26"/>
        </w:rPr>
        <w:t xml:space="preserve"> of the Code.  The OCA contended</w:t>
      </w:r>
      <w:r w:rsidRPr="007F70DF">
        <w:rPr>
          <w:rFonts w:eastAsia="Calibri" w:cs="Times New Roman"/>
          <w:szCs w:val="26"/>
        </w:rPr>
        <w:t xml:space="preserve"> that Section 1327(a) establishes nine criteria that must be met </w:t>
      </w:r>
      <w:r>
        <w:rPr>
          <w:rFonts w:eastAsia="Calibri" w:cs="Times New Roman"/>
          <w:szCs w:val="26"/>
        </w:rPr>
        <w:t>“</w:t>
      </w:r>
      <w:r w:rsidRPr="007F70DF">
        <w:rPr>
          <w:rFonts w:eastAsia="Calibri" w:cs="Times New Roman"/>
          <w:szCs w:val="26"/>
        </w:rPr>
        <w:t xml:space="preserve">before a utility can claim an acquisition adjustment in rate base and an amortization of the acquisition adjustment in </w:t>
      </w:r>
      <w:r>
        <w:rPr>
          <w:rFonts w:eastAsia="Calibri" w:cs="Times New Roman"/>
          <w:szCs w:val="26"/>
        </w:rPr>
        <w:t xml:space="preserve">expenses.”  </w:t>
      </w:r>
      <w:r w:rsidRPr="00414EB1">
        <w:rPr>
          <w:rFonts w:eastAsia="Calibri" w:cs="Times New Roman"/>
          <w:i/>
          <w:szCs w:val="26"/>
        </w:rPr>
        <w:t>Id</w:t>
      </w:r>
      <w:r>
        <w:rPr>
          <w:rFonts w:eastAsia="Calibri" w:cs="Times New Roman"/>
          <w:szCs w:val="26"/>
        </w:rPr>
        <w:t>.  The OCA argued</w:t>
      </w:r>
      <w:r w:rsidRPr="007F70DF">
        <w:rPr>
          <w:rFonts w:eastAsia="Calibri" w:cs="Times New Roman"/>
          <w:szCs w:val="26"/>
        </w:rPr>
        <w:t xml:space="preserve"> that Columbia</w:t>
      </w:r>
      <w:r>
        <w:rPr>
          <w:rFonts w:eastAsia="Calibri" w:cs="Times New Roman"/>
          <w:szCs w:val="26"/>
        </w:rPr>
        <w:t xml:space="preserve"> failed</w:t>
      </w:r>
      <w:r w:rsidRPr="007F70DF">
        <w:rPr>
          <w:rFonts w:eastAsia="Calibri" w:cs="Times New Roman"/>
          <w:szCs w:val="26"/>
        </w:rPr>
        <w:t xml:space="preserve"> to satisfy subsections (a)(3</w:t>
      </w:r>
      <w:r w:rsidR="00186848">
        <w:rPr>
          <w:rFonts w:eastAsia="Calibri" w:cs="Times New Roman"/>
          <w:szCs w:val="26"/>
        </w:rPr>
        <w:t>) and (a)(7) of Section 1327</w:t>
      </w:r>
      <w:r>
        <w:rPr>
          <w:rFonts w:eastAsia="Calibri" w:cs="Times New Roman"/>
          <w:szCs w:val="26"/>
        </w:rPr>
        <w:t xml:space="preserve">.  </w:t>
      </w:r>
      <w:r w:rsidRPr="00222C28">
        <w:rPr>
          <w:rFonts w:eastAsia="Calibri" w:cs="Times New Roman"/>
          <w:i/>
          <w:szCs w:val="26"/>
        </w:rPr>
        <w:t>Id</w:t>
      </w:r>
      <w:r>
        <w:rPr>
          <w:rFonts w:eastAsia="Calibri" w:cs="Times New Roman"/>
          <w:szCs w:val="26"/>
        </w:rPr>
        <w:t>. at 27-30.</w:t>
      </w:r>
    </w:p>
    <w:p w:rsidR="00222C28" w:rsidRDefault="00222C28" w:rsidP="002226B9">
      <w:pPr>
        <w:contextualSpacing/>
        <w:rPr>
          <w:rFonts w:eastAsia="Calibri" w:cs="Times New Roman"/>
          <w:szCs w:val="26"/>
        </w:rPr>
      </w:pPr>
    </w:p>
    <w:p w:rsidR="00222C28" w:rsidRDefault="00222C28" w:rsidP="002226B9">
      <w:pPr>
        <w:contextualSpacing/>
        <w:rPr>
          <w:rFonts w:eastAsia="Calibri" w:cs="Times New Roman"/>
          <w:szCs w:val="26"/>
        </w:rPr>
      </w:pPr>
      <w:r>
        <w:rPr>
          <w:rFonts w:eastAsia="Calibri" w:cs="Times New Roman"/>
          <w:szCs w:val="26"/>
        </w:rPr>
        <w:t xml:space="preserve">In the event that the claimed expenses would not be considered to be an acquisition adjustment subject to Section 1327 of the Code, the OCA argued that the Company would not be eligible for recovery of its expenses through a fifteen-year amortization because the Company failed to request permission to defer the costs for later for recovery.  The OCA also argued that the Company was not eligible for recovery of its costs because it had allocated 100% of the costs to the Columbia Division.  </w:t>
      </w:r>
      <w:r w:rsidRPr="00222C28">
        <w:rPr>
          <w:rFonts w:eastAsia="Calibri" w:cs="Times New Roman"/>
          <w:i/>
          <w:szCs w:val="26"/>
        </w:rPr>
        <w:t>Id</w:t>
      </w:r>
      <w:r>
        <w:rPr>
          <w:rFonts w:eastAsia="Calibri" w:cs="Times New Roman"/>
          <w:szCs w:val="26"/>
        </w:rPr>
        <w:t>. at 30-31.</w:t>
      </w:r>
    </w:p>
    <w:p w:rsidR="002226B9" w:rsidRDefault="002226B9" w:rsidP="00675939">
      <w:pPr>
        <w:contextualSpacing/>
        <w:rPr>
          <w:rFonts w:eastAsia="Calibri" w:cs="Times New Roman"/>
          <w:szCs w:val="26"/>
        </w:rPr>
      </w:pPr>
    </w:p>
    <w:p w:rsidR="00CA6A9D" w:rsidRDefault="00675939" w:rsidP="00675939">
      <w:pPr>
        <w:contextualSpacing/>
        <w:rPr>
          <w:rFonts w:eastAsia="Calibri" w:cs="Times New Roman"/>
          <w:szCs w:val="26"/>
        </w:rPr>
      </w:pPr>
      <w:r>
        <w:rPr>
          <w:rFonts w:eastAsia="Calibri" w:cs="Times New Roman"/>
          <w:szCs w:val="26"/>
        </w:rPr>
        <w:t xml:space="preserve">In response, Columbia reiterated that it was not claiming an acquisition adjustment under Section 1327.  Columbia argued that, even </w:t>
      </w:r>
      <w:r w:rsidR="009C285A">
        <w:rPr>
          <w:rFonts w:eastAsia="Calibri" w:cs="Times New Roman"/>
          <w:szCs w:val="26"/>
        </w:rPr>
        <w:t xml:space="preserve">if </w:t>
      </w:r>
      <w:r>
        <w:rPr>
          <w:rFonts w:eastAsia="Calibri" w:cs="Times New Roman"/>
          <w:szCs w:val="26"/>
        </w:rPr>
        <w:t>its claim was evaluated under Section 1327, that statutory provision only created an “express lane” for the approval of acquisition adjustments, and did not preclude utilities from requesting cost recovery under ordinary procedures.  Finally, the Company argued that the filing of a petition for approval of the deferral of costs is not a prerequisite to cost recovery.  CWC R.B. at 29-30.</w:t>
      </w:r>
      <w:r w:rsidR="001D796D" w:rsidRPr="007F70DF">
        <w:rPr>
          <w:rFonts w:eastAsia="Calibri" w:cs="Times New Roman"/>
          <w:szCs w:val="26"/>
        </w:rPr>
        <w:t xml:space="preserve"> </w:t>
      </w:r>
    </w:p>
    <w:p w:rsidR="00385A85" w:rsidRDefault="00385A85" w:rsidP="00047866">
      <w:pPr>
        <w:ind w:firstLine="720"/>
        <w:contextualSpacing/>
        <w:rPr>
          <w:rFonts w:eastAsia="Calibri" w:cs="Times New Roman"/>
          <w:szCs w:val="26"/>
        </w:rPr>
      </w:pPr>
    </w:p>
    <w:p w:rsidR="00385A85" w:rsidRDefault="00385A85" w:rsidP="00186848">
      <w:pPr>
        <w:keepNext/>
        <w:spacing w:line="240" w:lineRule="auto"/>
        <w:ind w:left="2880" w:hanging="720"/>
        <w:contextualSpacing/>
        <w:rPr>
          <w:rFonts w:cs="Times New Roman"/>
          <w:b/>
          <w:szCs w:val="26"/>
        </w:rPr>
      </w:pPr>
      <w:r>
        <w:rPr>
          <w:rFonts w:cs="Times New Roman"/>
          <w:b/>
          <w:szCs w:val="26"/>
        </w:rPr>
        <w:lastRenderedPageBreak/>
        <w:t>b.</w:t>
      </w:r>
      <w:r>
        <w:rPr>
          <w:rFonts w:cs="Times New Roman"/>
          <w:b/>
          <w:szCs w:val="26"/>
        </w:rPr>
        <w:tab/>
        <w:t>ALJ’s Recommendation</w:t>
      </w:r>
    </w:p>
    <w:p w:rsidR="00186848" w:rsidRPr="007F70DF" w:rsidRDefault="00186848" w:rsidP="00186848">
      <w:pPr>
        <w:keepNext/>
        <w:spacing w:line="240" w:lineRule="auto"/>
        <w:ind w:firstLine="720"/>
        <w:contextualSpacing/>
        <w:rPr>
          <w:rFonts w:eastAsia="Calibri" w:cs="Times New Roman"/>
          <w:szCs w:val="26"/>
        </w:rPr>
      </w:pPr>
    </w:p>
    <w:p w:rsidR="001055F6" w:rsidRPr="007F70DF" w:rsidRDefault="001055F6" w:rsidP="00186848">
      <w:pPr>
        <w:keepNext/>
        <w:spacing w:line="240" w:lineRule="auto"/>
        <w:ind w:firstLine="720"/>
        <w:contextualSpacing/>
        <w:jc w:val="both"/>
        <w:rPr>
          <w:rFonts w:eastAsia="Calibri" w:cs="Times New Roman"/>
          <w:szCs w:val="26"/>
        </w:rPr>
      </w:pPr>
    </w:p>
    <w:p w:rsidR="00CA6A9D" w:rsidRDefault="0059046D" w:rsidP="00186848">
      <w:pPr>
        <w:keepNext/>
        <w:rPr>
          <w:rFonts w:eastAsia="Calibri"/>
        </w:rPr>
      </w:pPr>
      <w:r>
        <w:rPr>
          <w:rFonts w:eastAsia="Calibri"/>
        </w:rPr>
        <w:t>The ALJ</w:t>
      </w:r>
      <w:r w:rsidR="001055F6" w:rsidRPr="007F70DF">
        <w:rPr>
          <w:rFonts w:eastAsia="Calibri"/>
        </w:rPr>
        <w:t xml:space="preserve"> agree</w:t>
      </w:r>
      <w:r>
        <w:rPr>
          <w:rFonts w:eastAsia="Calibri"/>
        </w:rPr>
        <w:t>d</w:t>
      </w:r>
      <w:r w:rsidR="001055F6" w:rsidRPr="007F70DF">
        <w:rPr>
          <w:rFonts w:eastAsia="Calibri"/>
        </w:rPr>
        <w:t xml:space="preserve"> with the OCA that Columbia’s </w:t>
      </w:r>
      <w:r w:rsidR="00CA6A9D" w:rsidRPr="007F70DF">
        <w:rPr>
          <w:rFonts w:eastAsia="Calibri"/>
        </w:rPr>
        <w:t xml:space="preserve">claimed expense of $15,039, representing a fifteen year amortization of $225,581 </w:t>
      </w:r>
      <w:r w:rsidR="0009160C" w:rsidRPr="007F70DF">
        <w:rPr>
          <w:rFonts w:eastAsia="Calibri"/>
        </w:rPr>
        <w:t xml:space="preserve">in </w:t>
      </w:r>
      <w:r w:rsidR="00CA6A9D" w:rsidRPr="007F70DF">
        <w:rPr>
          <w:rFonts w:eastAsia="Calibri"/>
        </w:rPr>
        <w:t>expenses incurred while acquiring the Marietta</w:t>
      </w:r>
      <w:r w:rsidR="002C0B54" w:rsidRPr="007F70DF">
        <w:rPr>
          <w:rFonts w:eastAsia="Calibri"/>
        </w:rPr>
        <w:t xml:space="preserve"> system</w:t>
      </w:r>
      <w:r>
        <w:rPr>
          <w:rFonts w:eastAsia="Calibri"/>
        </w:rPr>
        <w:t>,</w:t>
      </w:r>
      <w:r w:rsidR="00CA6A9D" w:rsidRPr="007F70DF">
        <w:rPr>
          <w:rFonts w:eastAsia="Calibri"/>
        </w:rPr>
        <w:t xml:space="preserve"> should be rejected.</w:t>
      </w:r>
      <w:r>
        <w:rPr>
          <w:rFonts w:eastAsia="Calibri"/>
        </w:rPr>
        <w:t xml:space="preserve">  R.D. at 26.</w:t>
      </w:r>
    </w:p>
    <w:p w:rsidR="00385A85" w:rsidRDefault="00385A85" w:rsidP="00186848">
      <w:pPr>
        <w:ind w:firstLine="720"/>
        <w:contextualSpacing/>
        <w:jc w:val="center"/>
        <w:rPr>
          <w:rFonts w:eastAsia="Calibri" w:cs="Times New Roman"/>
          <w:szCs w:val="26"/>
        </w:rPr>
      </w:pPr>
    </w:p>
    <w:p w:rsidR="00385A85" w:rsidRDefault="0059046D" w:rsidP="00E810ED">
      <w:pPr>
        <w:keepNext/>
        <w:spacing w:line="240" w:lineRule="auto"/>
        <w:contextualSpacing/>
        <w:rPr>
          <w:rFonts w:eastAsia="Calibri" w:cs="Times New Roman"/>
          <w:b/>
          <w:szCs w:val="26"/>
        </w:rPr>
      </w:pPr>
      <w:r>
        <w:rPr>
          <w:rFonts w:eastAsia="Calibri" w:cs="Times New Roman"/>
          <w:szCs w:val="26"/>
        </w:rPr>
        <w:tab/>
      </w:r>
      <w:r w:rsidR="00385A85" w:rsidRPr="00385A85">
        <w:rPr>
          <w:rFonts w:eastAsia="Calibri" w:cs="Times New Roman"/>
          <w:b/>
          <w:szCs w:val="26"/>
        </w:rPr>
        <w:t>c.</w:t>
      </w:r>
      <w:r w:rsidR="00385A85" w:rsidRPr="00385A85">
        <w:rPr>
          <w:rFonts w:eastAsia="Calibri" w:cs="Times New Roman"/>
          <w:b/>
          <w:szCs w:val="26"/>
        </w:rPr>
        <w:tab/>
        <w:t>E</w:t>
      </w:r>
      <w:r>
        <w:rPr>
          <w:rFonts w:eastAsia="Calibri" w:cs="Times New Roman"/>
          <w:b/>
          <w:szCs w:val="26"/>
        </w:rPr>
        <w:t>xceptions</w:t>
      </w:r>
    </w:p>
    <w:p w:rsidR="00633C95" w:rsidRPr="00633C95" w:rsidRDefault="00633C95" w:rsidP="00E810ED">
      <w:pPr>
        <w:keepNext/>
        <w:contextualSpacing/>
        <w:rPr>
          <w:rFonts w:eastAsia="Calibri" w:cs="Times New Roman"/>
          <w:b/>
          <w:szCs w:val="26"/>
        </w:rPr>
      </w:pPr>
    </w:p>
    <w:p w:rsidR="00633C95" w:rsidRPr="00633C95" w:rsidRDefault="0059046D" w:rsidP="00E810ED">
      <w:pPr>
        <w:keepNext/>
        <w:contextualSpacing/>
        <w:rPr>
          <w:rFonts w:cs="Times New Roman"/>
          <w:szCs w:val="26"/>
        </w:rPr>
      </w:pPr>
      <w:r>
        <w:rPr>
          <w:rFonts w:cs="Times New Roman"/>
          <w:szCs w:val="26"/>
        </w:rPr>
        <w:t xml:space="preserve">In its </w:t>
      </w:r>
      <w:r w:rsidR="00633C95" w:rsidRPr="00633C95">
        <w:rPr>
          <w:rFonts w:cs="Times New Roman"/>
          <w:szCs w:val="26"/>
        </w:rPr>
        <w:t>Exception</w:t>
      </w:r>
      <w:r>
        <w:rPr>
          <w:rFonts w:cs="Times New Roman"/>
          <w:szCs w:val="26"/>
        </w:rPr>
        <w:t>s</w:t>
      </w:r>
      <w:r w:rsidR="00633C95" w:rsidRPr="00633C95">
        <w:rPr>
          <w:rFonts w:cs="Times New Roman"/>
          <w:szCs w:val="26"/>
        </w:rPr>
        <w:t>, Columbia argues that the ALJ erred in recommending rejection of the C</w:t>
      </w:r>
      <w:r>
        <w:rPr>
          <w:rFonts w:cs="Times New Roman"/>
          <w:szCs w:val="26"/>
        </w:rPr>
        <w:t xml:space="preserve">ompany’s </w:t>
      </w:r>
      <w:r w:rsidR="00633C95" w:rsidRPr="00633C95">
        <w:rPr>
          <w:rFonts w:cs="Times New Roman"/>
          <w:szCs w:val="26"/>
        </w:rPr>
        <w:t>claim for extraordinary and</w:t>
      </w:r>
      <w:r>
        <w:rPr>
          <w:rFonts w:cs="Times New Roman"/>
          <w:szCs w:val="26"/>
        </w:rPr>
        <w:t xml:space="preserve"> nonrecurring expenses </w:t>
      </w:r>
      <w:r w:rsidR="00633C95" w:rsidRPr="00633C95">
        <w:rPr>
          <w:rFonts w:cs="Times New Roman"/>
          <w:szCs w:val="26"/>
        </w:rPr>
        <w:t>related to the acquisition o</w:t>
      </w:r>
      <w:r>
        <w:rPr>
          <w:rFonts w:cs="Times New Roman"/>
          <w:szCs w:val="26"/>
        </w:rPr>
        <w:t xml:space="preserve">f the Marietta Gravity Water Company.  Columbia argues that the disallowance </w:t>
      </w:r>
      <w:r w:rsidR="00C81972">
        <w:rPr>
          <w:rFonts w:cs="Times New Roman"/>
          <w:szCs w:val="26"/>
        </w:rPr>
        <w:t>would create</w:t>
      </w:r>
      <w:r>
        <w:rPr>
          <w:rFonts w:cs="Times New Roman"/>
          <w:szCs w:val="26"/>
        </w:rPr>
        <w:t xml:space="preserve"> a disincentive</w:t>
      </w:r>
      <w:r w:rsidR="00633C95" w:rsidRPr="00633C95">
        <w:rPr>
          <w:rFonts w:cs="Times New Roman"/>
          <w:szCs w:val="26"/>
        </w:rPr>
        <w:t xml:space="preserve"> for </w:t>
      </w:r>
      <w:r w:rsidR="00FC0989">
        <w:rPr>
          <w:rFonts w:cs="Times New Roman"/>
          <w:szCs w:val="26"/>
        </w:rPr>
        <w:t xml:space="preserve">future </w:t>
      </w:r>
      <w:r w:rsidR="00633C95" w:rsidRPr="00633C95">
        <w:rPr>
          <w:rFonts w:cs="Times New Roman"/>
          <w:szCs w:val="26"/>
        </w:rPr>
        <w:t>acquisition</w:t>
      </w:r>
      <w:r>
        <w:rPr>
          <w:rFonts w:cs="Times New Roman"/>
          <w:szCs w:val="26"/>
        </w:rPr>
        <w:t xml:space="preserve">s </w:t>
      </w:r>
      <w:r w:rsidR="00FC0989">
        <w:rPr>
          <w:rFonts w:cs="Times New Roman"/>
          <w:szCs w:val="26"/>
        </w:rPr>
        <w:t xml:space="preserve">that </w:t>
      </w:r>
      <w:r>
        <w:rPr>
          <w:rFonts w:cs="Times New Roman"/>
          <w:szCs w:val="26"/>
        </w:rPr>
        <w:t xml:space="preserve">are </w:t>
      </w:r>
      <w:r w:rsidR="00633C95" w:rsidRPr="00633C95">
        <w:rPr>
          <w:rFonts w:cs="Times New Roman"/>
          <w:szCs w:val="26"/>
        </w:rPr>
        <w:t>in th</w:t>
      </w:r>
      <w:r>
        <w:rPr>
          <w:rFonts w:cs="Times New Roman"/>
          <w:szCs w:val="26"/>
        </w:rPr>
        <w:t>e public interest.  CWC Exc. at 26.</w:t>
      </w:r>
    </w:p>
    <w:p w:rsidR="00633C95" w:rsidRPr="00633C95" w:rsidRDefault="00633C95" w:rsidP="00633C95">
      <w:pPr>
        <w:contextualSpacing/>
        <w:rPr>
          <w:rFonts w:cs="Times New Roman"/>
          <w:b/>
          <w:szCs w:val="26"/>
        </w:rPr>
      </w:pPr>
    </w:p>
    <w:p w:rsidR="00FC0989" w:rsidRDefault="00633C95" w:rsidP="00C81972">
      <w:pPr>
        <w:contextualSpacing/>
        <w:rPr>
          <w:rFonts w:cs="Times New Roman"/>
          <w:spacing w:val="2"/>
          <w:szCs w:val="26"/>
        </w:rPr>
      </w:pPr>
      <w:r w:rsidRPr="00633C95">
        <w:rPr>
          <w:rFonts w:cs="Times New Roman"/>
          <w:spacing w:val="2"/>
          <w:szCs w:val="26"/>
        </w:rPr>
        <w:t xml:space="preserve">Columbia </w:t>
      </w:r>
      <w:r w:rsidR="0059046D">
        <w:rPr>
          <w:rFonts w:cs="Times New Roman"/>
          <w:spacing w:val="2"/>
          <w:szCs w:val="26"/>
        </w:rPr>
        <w:t xml:space="preserve">emphasizes that its </w:t>
      </w:r>
      <w:r w:rsidRPr="00633C95">
        <w:rPr>
          <w:rFonts w:cs="Times New Roman"/>
          <w:spacing w:val="2"/>
          <w:szCs w:val="26"/>
        </w:rPr>
        <w:t xml:space="preserve">claim for </w:t>
      </w:r>
      <w:r w:rsidR="0059046D">
        <w:rPr>
          <w:rFonts w:cs="Times New Roman"/>
          <w:spacing w:val="2"/>
          <w:szCs w:val="26"/>
        </w:rPr>
        <w:t xml:space="preserve">the amortization of </w:t>
      </w:r>
      <w:r w:rsidRPr="00633C95">
        <w:rPr>
          <w:rFonts w:cs="Times New Roman"/>
          <w:spacing w:val="2"/>
          <w:szCs w:val="26"/>
        </w:rPr>
        <w:t>these extraordinary a</w:t>
      </w:r>
      <w:r w:rsidR="0059046D">
        <w:rPr>
          <w:rFonts w:cs="Times New Roman"/>
          <w:spacing w:val="2"/>
          <w:szCs w:val="26"/>
        </w:rPr>
        <w:t xml:space="preserve">nd nonrecurring expenses is </w:t>
      </w:r>
      <w:r w:rsidR="0059046D" w:rsidRPr="00FC0989">
        <w:rPr>
          <w:rFonts w:cs="Times New Roman"/>
          <w:i/>
          <w:spacing w:val="2"/>
          <w:szCs w:val="26"/>
        </w:rPr>
        <w:t>not</w:t>
      </w:r>
      <w:r w:rsidR="0059046D">
        <w:rPr>
          <w:rFonts w:cs="Times New Roman"/>
          <w:spacing w:val="2"/>
          <w:szCs w:val="26"/>
        </w:rPr>
        <w:t xml:space="preserve"> </w:t>
      </w:r>
      <w:r w:rsidR="00C81972">
        <w:rPr>
          <w:rFonts w:cs="Times New Roman"/>
          <w:spacing w:val="2"/>
          <w:szCs w:val="26"/>
        </w:rPr>
        <w:t xml:space="preserve">an </w:t>
      </w:r>
      <w:r w:rsidRPr="00633C95">
        <w:rPr>
          <w:rFonts w:cs="Times New Roman"/>
          <w:spacing w:val="2"/>
          <w:szCs w:val="26"/>
        </w:rPr>
        <w:t xml:space="preserve">acquisition premium </w:t>
      </w:r>
      <w:r w:rsidR="00FC0989">
        <w:rPr>
          <w:rFonts w:cs="Times New Roman"/>
          <w:spacing w:val="2"/>
          <w:szCs w:val="26"/>
        </w:rPr>
        <w:t xml:space="preserve">under </w:t>
      </w:r>
      <w:r w:rsidR="0059046D">
        <w:rPr>
          <w:rFonts w:cs="Times New Roman"/>
          <w:spacing w:val="2"/>
          <w:szCs w:val="26"/>
        </w:rPr>
        <w:t xml:space="preserve">Section </w:t>
      </w:r>
      <w:r w:rsidR="00FC0989">
        <w:rPr>
          <w:rFonts w:cs="Times New Roman"/>
          <w:spacing w:val="2"/>
          <w:szCs w:val="26"/>
        </w:rPr>
        <w:t>1327</w:t>
      </w:r>
      <w:r w:rsidRPr="00633C95">
        <w:rPr>
          <w:rFonts w:cs="Times New Roman"/>
          <w:spacing w:val="2"/>
          <w:szCs w:val="26"/>
        </w:rPr>
        <w:t xml:space="preserve">.  </w:t>
      </w:r>
      <w:r w:rsidR="00FC0989">
        <w:rPr>
          <w:rFonts w:cs="Times New Roman"/>
          <w:spacing w:val="2"/>
          <w:szCs w:val="26"/>
        </w:rPr>
        <w:t xml:space="preserve">Columbia states that the ALJ </w:t>
      </w:r>
      <w:r w:rsidR="00FC0989" w:rsidRPr="00633C95">
        <w:rPr>
          <w:rFonts w:cs="Times New Roman"/>
          <w:spacing w:val="2"/>
          <w:szCs w:val="26"/>
        </w:rPr>
        <w:t>recomm</w:t>
      </w:r>
      <w:r w:rsidR="00FC0989">
        <w:rPr>
          <w:rFonts w:cs="Times New Roman"/>
          <w:spacing w:val="2"/>
          <w:szCs w:val="26"/>
        </w:rPr>
        <w:t xml:space="preserve">ended rejection of its claim under Section 1327 </w:t>
      </w:r>
      <w:r w:rsidR="00FC0989" w:rsidRPr="00633C95">
        <w:rPr>
          <w:rFonts w:cs="Times New Roman"/>
          <w:spacing w:val="2"/>
          <w:szCs w:val="26"/>
        </w:rPr>
        <w:t xml:space="preserve">based </w:t>
      </w:r>
      <w:r w:rsidR="00FC0989">
        <w:rPr>
          <w:rFonts w:cs="Times New Roman"/>
          <w:spacing w:val="2"/>
          <w:szCs w:val="26"/>
        </w:rPr>
        <w:t xml:space="preserve">upon the </w:t>
      </w:r>
      <w:r w:rsidR="00FC0989" w:rsidRPr="00633C95">
        <w:rPr>
          <w:rFonts w:cs="Times New Roman"/>
          <w:spacing w:val="2"/>
          <w:szCs w:val="26"/>
        </w:rPr>
        <w:t>OCA’s mischara</w:t>
      </w:r>
      <w:r w:rsidR="00FC0989">
        <w:rPr>
          <w:rFonts w:cs="Times New Roman"/>
          <w:spacing w:val="2"/>
          <w:szCs w:val="26"/>
        </w:rPr>
        <w:t>cterizations</w:t>
      </w:r>
      <w:r w:rsidR="00C81972">
        <w:rPr>
          <w:rFonts w:cs="Times New Roman"/>
          <w:spacing w:val="2"/>
          <w:szCs w:val="26"/>
        </w:rPr>
        <w:t xml:space="preserve"> of its claim</w:t>
      </w:r>
      <w:r w:rsidR="00FC0989" w:rsidRPr="00633C95">
        <w:rPr>
          <w:rFonts w:cs="Times New Roman"/>
          <w:spacing w:val="2"/>
          <w:szCs w:val="26"/>
        </w:rPr>
        <w:t>.</w:t>
      </w:r>
      <w:r w:rsidR="00FC0989">
        <w:rPr>
          <w:rFonts w:cs="Times New Roman"/>
          <w:spacing w:val="2"/>
          <w:szCs w:val="26"/>
        </w:rPr>
        <w:t xml:space="preserve">  Columbia asserts that, as set forth in its M</w:t>
      </w:r>
      <w:r w:rsidR="00FC0989" w:rsidRPr="00633C95">
        <w:rPr>
          <w:rFonts w:cs="Times New Roman"/>
          <w:spacing w:val="2"/>
          <w:szCs w:val="26"/>
        </w:rPr>
        <w:t>ain</w:t>
      </w:r>
      <w:r w:rsidR="00FC0989">
        <w:rPr>
          <w:rFonts w:cs="Times New Roman"/>
          <w:spacing w:val="2"/>
          <w:szCs w:val="26"/>
        </w:rPr>
        <w:t xml:space="preserve"> Brief at 18-19</w:t>
      </w:r>
      <w:r w:rsidR="00FC0989" w:rsidRPr="00633C95">
        <w:rPr>
          <w:rFonts w:cs="Times New Roman"/>
          <w:spacing w:val="2"/>
          <w:szCs w:val="26"/>
        </w:rPr>
        <w:t xml:space="preserve"> and </w:t>
      </w:r>
      <w:r w:rsidR="00FC0989">
        <w:rPr>
          <w:rFonts w:cs="Times New Roman"/>
          <w:spacing w:val="2"/>
          <w:szCs w:val="26"/>
        </w:rPr>
        <w:t>its Reply Brief at 29-30</w:t>
      </w:r>
      <w:r w:rsidR="00C81972">
        <w:rPr>
          <w:rFonts w:cs="Times New Roman"/>
          <w:spacing w:val="2"/>
          <w:szCs w:val="26"/>
        </w:rPr>
        <w:t>, the Company’s claim i</w:t>
      </w:r>
      <w:r w:rsidR="00FC0989" w:rsidRPr="00633C95">
        <w:rPr>
          <w:rFonts w:cs="Times New Roman"/>
          <w:spacing w:val="2"/>
          <w:szCs w:val="26"/>
        </w:rPr>
        <w:t xml:space="preserve">s </w:t>
      </w:r>
      <w:r w:rsidR="00C81972">
        <w:rPr>
          <w:rFonts w:cs="Times New Roman"/>
          <w:spacing w:val="2"/>
          <w:szCs w:val="26"/>
        </w:rPr>
        <w:t xml:space="preserve">not </w:t>
      </w:r>
      <w:r w:rsidR="00FC0989" w:rsidRPr="00633C95">
        <w:rPr>
          <w:rFonts w:cs="Times New Roman"/>
          <w:spacing w:val="2"/>
          <w:szCs w:val="26"/>
        </w:rPr>
        <w:t>an acquis</w:t>
      </w:r>
      <w:r w:rsidR="00C81972">
        <w:rPr>
          <w:rFonts w:cs="Times New Roman"/>
          <w:spacing w:val="2"/>
          <w:szCs w:val="26"/>
        </w:rPr>
        <w:t>ition premium under Section 1327.</w:t>
      </w:r>
      <w:r w:rsidR="00FC0989" w:rsidRPr="00633C95">
        <w:rPr>
          <w:rFonts w:cs="Times New Roman"/>
          <w:spacing w:val="2"/>
          <w:szCs w:val="26"/>
        </w:rPr>
        <w:t xml:space="preserve">  </w:t>
      </w:r>
      <w:r w:rsidR="00FC0989" w:rsidRPr="00FC0989">
        <w:rPr>
          <w:rFonts w:cs="Times New Roman"/>
          <w:i/>
          <w:spacing w:val="2"/>
          <w:szCs w:val="26"/>
        </w:rPr>
        <w:t>Id</w:t>
      </w:r>
      <w:r w:rsidR="00FC0989">
        <w:rPr>
          <w:rFonts w:cs="Times New Roman"/>
          <w:spacing w:val="2"/>
          <w:szCs w:val="26"/>
        </w:rPr>
        <w:t>. at 26-27.  “</w:t>
      </w:r>
      <w:r w:rsidR="00FC0989" w:rsidRPr="00633C95">
        <w:rPr>
          <w:rFonts w:cs="Times New Roman"/>
          <w:spacing w:val="2"/>
          <w:szCs w:val="26"/>
        </w:rPr>
        <w:t xml:space="preserve">The Company is </w:t>
      </w:r>
      <w:r w:rsidR="00FC0989" w:rsidRPr="00633C95">
        <w:rPr>
          <w:rFonts w:cs="Times New Roman"/>
          <w:b/>
          <w:i/>
          <w:spacing w:val="2"/>
          <w:szCs w:val="26"/>
        </w:rPr>
        <w:t>not</w:t>
      </w:r>
      <w:r w:rsidR="00FC0989" w:rsidRPr="00633C95">
        <w:rPr>
          <w:rFonts w:cs="Times New Roman"/>
          <w:spacing w:val="2"/>
          <w:szCs w:val="26"/>
        </w:rPr>
        <w:t xml:space="preserve"> claiming an acquisition premium under Section 132</w:t>
      </w:r>
      <w:r w:rsidR="00FC0989">
        <w:rPr>
          <w:rFonts w:cs="Times New Roman"/>
          <w:spacing w:val="2"/>
          <w:szCs w:val="26"/>
        </w:rPr>
        <w:t>7.</w:t>
      </w:r>
      <w:r w:rsidR="00C81972">
        <w:rPr>
          <w:rFonts w:cs="Times New Roman"/>
          <w:spacing w:val="2"/>
          <w:szCs w:val="26"/>
        </w:rPr>
        <w:t xml:space="preserve"> . . T</w:t>
      </w:r>
      <w:r w:rsidR="00FC0989" w:rsidRPr="00633C95">
        <w:rPr>
          <w:rFonts w:cs="Times New Roman"/>
          <w:spacing w:val="2"/>
          <w:szCs w:val="26"/>
        </w:rPr>
        <w:t xml:space="preserve">he Company is simply requesting a 15-year amortization of the expenses incurred, </w:t>
      </w:r>
      <w:r w:rsidR="00FC0989" w:rsidRPr="00633C95">
        <w:rPr>
          <w:rFonts w:cs="Times New Roman"/>
          <w:b/>
          <w:i/>
          <w:spacing w:val="2"/>
          <w:szCs w:val="26"/>
        </w:rPr>
        <w:t>not</w:t>
      </w:r>
      <w:r w:rsidR="00C81972">
        <w:rPr>
          <w:rFonts w:cs="Times New Roman"/>
          <w:spacing w:val="2"/>
          <w:szCs w:val="26"/>
        </w:rPr>
        <w:t xml:space="preserve"> any </w:t>
      </w:r>
      <w:r w:rsidR="00FC0989" w:rsidRPr="00633C95">
        <w:rPr>
          <w:rFonts w:cs="Times New Roman"/>
          <w:spacing w:val="2"/>
          <w:szCs w:val="26"/>
        </w:rPr>
        <w:t>price of the assets</w:t>
      </w:r>
      <w:r w:rsidR="00FC0989">
        <w:rPr>
          <w:rFonts w:cs="Times New Roman"/>
          <w:spacing w:val="2"/>
          <w:szCs w:val="26"/>
        </w:rPr>
        <w:t xml:space="preserve"> . . .” </w:t>
      </w:r>
      <w:r w:rsidR="00FC0989" w:rsidRPr="00C81972">
        <w:rPr>
          <w:rFonts w:cs="Times New Roman"/>
          <w:i/>
          <w:spacing w:val="2"/>
          <w:szCs w:val="26"/>
        </w:rPr>
        <w:t>Id</w:t>
      </w:r>
      <w:r w:rsidR="00FC0989">
        <w:rPr>
          <w:rFonts w:cs="Times New Roman"/>
          <w:spacing w:val="2"/>
          <w:szCs w:val="26"/>
        </w:rPr>
        <w:t xml:space="preserve">. at 27, citing </w:t>
      </w:r>
      <w:r w:rsidR="00FC0989" w:rsidRPr="00633C95">
        <w:rPr>
          <w:rFonts w:cs="Times New Roman"/>
          <w:spacing w:val="2"/>
          <w:szCs w:val="26"/>
        </w:rPr>
        <w:t>CWC</w:t>
      </w:r>
      <w:r w:rsidR="00FC0989">
        <w:rPr>
          <w:rFonts w:cs="Times New Roman"/>
          <w:spacing w:val="2"/>
          <w:szCs w:val="26"/>
        </w:rPr>
        <w:t xml:space="preserve"> St. 2R at 19:9-12.</w:t>
      </w:r>
      <w:r w:rsidR="00C81972">
        <w:rPr>
          <w:rFonts w:cs="Times New Roman"/>
          <w:spacing w:val="2"/>
          <w:szCs w:val="26"/>
        </w:rPr>
        <w:t xml:space="preserve">  T</w:t>
      </w:r>
      <w:r w:rsidR="00FC0989" w:rsidRPr="00633C95">
        <w:rPr>
          <w:rFonts w:cs="Times New Roman"/>
          <w:spacing w:val="2"/>
          <w:szCs w:val="26"/>
        </w:rPr>
        <w:t xml:space="preserve">he Company </w:t>
      </w:r>
      <w:r w:rsidR="00C81972">
        <w:rPr>
          <w:rFonts w:cs="Times New Roman"/>
          <w:spacing w:val="2"/>
          <w:szCs w:val="26"/>
        </w:rPr>
        <w:t xml:space="preserve">reiterates that it </w:t>
      </w:r>
      <w:r w:rsidR="00FC0989" w:rsidRPr="00633C95">
        <w:rPr>
          <w:rFonts w:cs="Times New Roman"/>
          <w:spacing w:val="2"/>
          <w:szCs w:val="26"/>
        </w:rPr>
        <w:t xml:space="preserve">is not making a rate base claim </w:t>
      </w:r>
      <w:r w:rsidR="00C81972">
        <w:rPr>
          <w:rFonts w:cs="Times New Roman"/>
          <w:spacing w:val="2"/>
          <w:szCs w:val="26"/>
        </w:rPr>
        <w:t xml:space="preserve">under Section 1327 </w:t>
      </w:r>
      <w:r w:rsidR="00FC0989" w:rsidRPr="00633C95">
        <w:rPr>
          <w:rFonts w:cs="Times New Roman"/>
          <w:spacing w:val="2"/>
          <w:szCs w:val="26"/>
        </w:rPr>
        <w:t xml:space="preserve">for the difference between </w:t>
      </w:r>
      <w:r w:rsidR="00C81972">
        <w:rPr>
          <w:rFonts w:cs="Times New Roman"/>
          <w:spacing w:val="2"/>
          <w:szCs w:val="26"/>
        </w:rPr>
        <w:t xml:space="preserve">the sale price of the assets </w:t>
      </w:r>
      <w:r w:rsidR="00FC0989" w:rsidRPr="00633C95">
        <w:rPr>
          <w:rFonts w:cs="Times New Roman"/>
          <w:spacing w:val="2"/>
          <w:szCs w:val="26"/>
        </w:rPr>
        <w:t xml:space="preserve">and the depreciated book value of the assets.  Rather, it </w:t>
      </w:r>
      <w:r w:rsidR="00C81972">
        <w:rPr>
          <w:rFonts w:cs="Times New Roman"/>
          <w:spacing w:val="2"/>
          <w:szCs w:val="26"/>
        </w:rPr>
        <w:t>is seeking</w:t>
      </w:r>
      <w:r w:rsidR="00FC0989" w:rsidRPr="00633C95">
        <w:rPr>
          <w:rFonts w:cs="Times New Roman"/>
          <w:spacing w:val="2"/>
          <w:szCs w:val="26"/>
        </w:rPr>
        <w:t xml:space="preserve"> the </w:t>
      </w:r>
      <w:r w:rsidR="00C81972">
        <w:rPr>
          <w:rFonts w:cs="Times New Roman"/>
          <w:spacing w:val="2"/>
          <w:szCs w:val="26"/>
        </w:rPr>
        <w:t xml:space="preserve">recovery of expenses related to </w:t>
      </w:r>
      <w:r w:rsidR="00FC0989" w:rsidRPr="00633C95">
        <w:rPr>
          <w:rFonts w:cs="Times New Roman"/>
          <w:spacing w:val="2"/>
          <w:szCs w:val="26"/>
        </w:rPr>
        <w:t>obtaining a new franchise and the right</w:t>
      </w:r>
      <w:r w:rsidR="00C81972">
        <w:rPr>
          <w:rFonts w:cs="Times New Roman"/>
          <w:spacing w:val="2"/>
          <w:szCs w:val="26"/>
        </w:rPr>
        <w:t xml:space="preserve"> to serve from the Commission.</w:t>
      </w:r>
      <w:r w:rsidR="004A388E">
        <w:rPr>
          <w:rFonts w:cs="Times New Roman"/>
          <w:spacing w:val="2"/>
          <w:szCs w:val="26"/>
        </w:rPr>
        <w:t xml:space="preserve"> Columbia asserts that all P</w:t>
      </w:r>
      <w:r w:rsidR="004A388E" w:rsidRPr="00633C95">
        <w:rPr>
          <w:rFonts w:cs="Times New Roman"/>
          <w:spacing w:val="2"/>
          <w:szCs w:val="26"/>
        </w:rPr>
        <w:t xml:space="preserve">arties – particularly </w:t>
      </w:r>
      <w:r w:rsidR="004A388E">
        <w:rPr>
          <w:rFonts w:cs="Times New Roman"/>
          <w:spacing w:val="2"/>
          <w:szCs w:val="26"/>
        </w:rPr>
        <w:t xml:space="preserve">the </w:t>
      </w:r>
      <w:r w:rsidR="004A388E" w:rsidRPr="00633C95">
        <w:rPr>
          <w:rFonts w:cs="Times New Roman"/>
          <w:spacing w:val="2"/>
          <w:szCs w:val="26"/>
        </w:rPr>
        <w:t>OCA – knew that Columbia was claiming only acquisition expenses, and not an acquisition premium under Section 1327.</w:t>
      </w:r>
      <w:r w:rsidR="004A388E">
        <w:rPr>
          <w:rFonts w:cs="Times New Roman"/>
          <w:spacing w:val="2"/>
          <w:szCs w:val="26"/>
        </w:rPr>
        <w:t xml:space="preserve">  </w:t>
      </w:r>
      <w:r w:rsidR="004A388E" w:rsidRPr="004A388E">
        <w:rPr>
          <w:rFonts w:cs="Times New Roman"/>
          <w:i/>
          <w:spacing w:val="2"/>
          <w:szCs w:val="26"/>
        </w:rPr>
        <w:t>Id</w:t>
      </w:r>
      <w:r w:rsidR="004A388E">
        <w:rPr>
          <w:rFonts w:cs="Times New Roman"/>
          <w:spacing w:val="2"/>
          <w:szCs w:val="26"/>
        </w:rPr>
        <w:t>.</w:t>
      </w:r>
    </w:p>
    <w:p w:rsidR="00C81972" w:rsidRPr="00633C95" w:rsidRDefault="00C81972" w:rsidP="00C81972">
      <w:pPr>
        <w:contextualSpacing/>
        <w:rPr>
          <w:rFonts w:cs="Times New Roman"/>
          <w:spacing w:val="2"/>
          <w:szCs w:val="26"/>
        </w:rPr>
      </w:pPr>
    </w:p>
    <w:p w:rsidR="00633C95" w:rsidRDefault="00FC0989" w:rsidP="00FC0989">
      <w:pPr>
        <w:contextualSpacing/>
        <w:rPr>
          <w:rFonts w:cs="Times New Roman"/>
          <w:spacing w:val="2"/>
          <w:szCs w:val="26"/>
        </w:rPr>
      </w:pPr>
      <w:r>
        <w:rPr>
          <w:rFonts w:cs="Times New Roman"/>
          <w:spacing w:val="2"/>
          <w:szCs w:val="26"/>
        </w:rPr>
        <w:lastRenderedPageBreak/>
        <w:t>Columbia argues that d</w:t>
      </w:r>
      <w:r w:rsidR="00633C95" w:rsidRPr="00633C95">
        <w:rPr>
          <w:rFonts w:cs="Times New Roman"/>
          <w:spacing w:val="2"/>
          <w:szCs w:val="26"/>
        </w:rPr>
        <w:t xml:space="preserve">enial of these costs </w:t>
      </w:r>
      <w:r>
        <w:rPr>
          <w:rFonts w:cs="Times New Roman"/>
          <w:spacing w:val="2"/>
          <w:szCs w:val="26"/>
        </w:rPr>
        <w:t xml:space="preserve">would </w:t>
      </w:r>
      <w:r w:rsidR="00C81972">
        <w:rPr>
          <w:rFonts w:cs="Times New Roman"/>
          <w:spacing w:val="2"/>
          <w:szCs w:val="26"/>
        </w:rPr>
        <w:t xml:space="preserve">create </w:t>
      </w:r>
      <w:r w:rsidR="00633C95" w:rsidRPr="00633C95">
        <w:rPr>
          <w:rFonts w:cs="Times New Roman"/>
          <w:spacing w:val="2"/>
          <w:szCs w:val="26"/>
        </w:rPr>
        <w:t xml:space="preserve">disincentives for </w:t>
      </w:r>
      <w:r w:rsidR="00C81972">
        <w:rPr>
          <w:rFonts w:cs="Times New Roman"/>
          <w:spacing w:val="2"/>
          <w:szCs w:val="26"/>
        </w:rPr>
        <w:t xml:space="preserve">future </w:t>
      </w:r>
      <w:r w:rsidR="00633C95" w:rsidRPr="00633C95">
        <w:rPr>
          <w:rFonts w:cs="Times New Roman"/>
          <w:spacing w:val="2"/>
          <w:szCs w:val="26"/>
        </w:rPr>
        <w:t xml:space="preserve">acquisitions, such as Columbia’s acquisition last year of the neighboring and financially challenged Marietta Gravity Water Company </w:t>
      </w:r>
      <w:r w:rsidR="00C81972">
        <w:rPr>
          <w:rFonts w:cs="Times New Roman"/>
          <w:spacing w:val="2"/>
          <w:szCs w:val="26"/>
        </w:rPr>
        <w:t xml:space="preserve">that the Commission </w:t>
      </w:r>
      <w:r w:rsidR="00633C95" w:rsidRPr="00633C95">
        <w:rPr>
          <w:rFonts w:cs="Times New Roman"/>
          <w:spacing w:val="2"/>
          <w:szCs w:val="26"/>
        </w:rPr>
        <w:t>found to be in the public interest.</w:t>
      </w:r>
      <w:r w:rsidR="00633C95" w:rsidRPr="00633C95">
        <w:rPr>
          <w:rStyle w:val="FootnoteReference"/>
          <w:rFonts w:cs="Times New Roman"/>
          <w:spacing w:val="2"/>
          <w:szCs w:val="26"/>
        </w:rPr>
        <w:footnoteReference w:id="29"/>
      </w:r>
      <w:r w:rsidR="00633C95" w:rsidRPr="00633C95">
        <w:rPr>
          <w:rFonts w:cs="Times New Roman"/>
          <w:spacing w:val="2"/>
          <w:szCs w:val="26"/>
        </w:rPr>
        <w:t xml:space="preserve">  </w:t>
      </w:r>
      <w:r w:rsidR="00C81972">
        <w:rPr>
          <w:rFonts w:cs="Times New Roman"/>
          <w:spacing w:val="2"/>
          <w:szCs w:val="26"/>
        </w:rPr>
        <w:t xml:space="preserve">Rejecting this claim for acquisition costs and requiring </w:t>
      </w:r>
      <w:r w:rsidR="00633C95" w:rsidRPr="00633C95">
        <w:rPr>
          <w:rFonts w:cs="Times New Roman"/>
          <w:spacing w:val="2"/>
          <w:szCs w:val="26"/>
        </w:rPr>
        <w:t>Columbia to “absorb” $225,581</w:t>
      </w:r>
      <w:r w:rsidR="00C81972">
        <w:rPr>
          <w:rFonts w:cs="Times New Roman"/>
          <w:spacing w:val="2"/>
          <w:szCs w:val="26"/>
        </w:rPr>
        <w:t xml:space="preserve"> would punish it </w:t>
      </w:r>
      <w:r w:rsidR="00633C95" w:rsidRPr="00633C95">
        <w:rPr>
          <w:rFonts w:cs="Times New Roman"/>
          <w:spacing w:val="2"/>
          <w:szCs w:val="26"/>
        </w:rPr>
        <w:t xml:space="preserve">for acquiring </w:t>
      </w:r>
      <w:r w:rsidR="00C81972">
        <w:rPr>
          <w:rFonts w:cs="Times New Roman"/>
          <w:spacing w:val="2"/>
          <w:szCs w:val="26"/>
        </w:rPr>
        <w:t xml:space="preserve">a </w:t>
      </w:r>
      <w:r w:rsidR="00633C95" w:rsidRPr="00633C95">
        <w:rPr>
          <w:rFonts w:cs="Times New Roman"/>
          <w:spacing w:val="2"/>
          <w:szCs w:val="26"/>
        </w:rPr>
        <w:t>smal</w:t>
      </w:r>
      <w:r w:rsidR="00C81972">
        <w:rPr>
          <w:rFonts w:cs="Times New Roman"/>
          <w:spacing w:val="2"/>
          <w:szCs w:val="26"/>
        </w:rPr>
        <w:t>ler, less viable water company</w:t>
      </w:r>
      <w:r w:rsidR="00633C95" w:rsidRPr="00633C95">
        <w:rPr>
          <w:rFonts w:cs="Times New Roman"/>
          <w:spacing w:val="2"/>
          <w:szCs w:val="26"/>
        </w:rPr>
        <w:t xml:space="preserve">. </w:t>
      </w:r>
      <w:r w:rsidR="004A388E">
        <w:rPr>
          <w:rFonts w:cs="Times New Roman"/>
          <w:spacing w:val="2"/>
          <w:szCs w:val="26"/>
        </w:rPr>
        <w:t xml:space="preserve">  </w:t>
      </w:r>
      <w:r w:rsidR="004A388E" w:rsidRPr="004A388E">
        <w:rPr>
          <w:rFonts w:cs="Times New Roman"/>
          <w:i/>
          <w:spacing w:val="2"/>
          <w:szCs w:val="26"/>
        </w:rPr>
        <w:t>Id</w:t>
      </w:r>
      <w:r w:rsidR="004A388E">
        <w:rPr>
          <w:rFonts w:cs="Times New Roman"/>
          <w:spacing w:val="2"/>
          <w:szCs w:val="26"/>
        </w:rPr>
        <w:t>. at 26.</w:t>
      </w:r>
    </w:p>
    <w:p w:rsidR="004A388E" w:rsidRDefault="004A388E" w:rsidP="00FC0989">
      <w:pPr>
        <w:contextualSpacing/>
        <w:rPr>
          <w:rFonts w:cs="Times New Roman"/>
          <w:spacing w:val="2"/>
          <w:szCs w:val="26"/>
        </w:rPr>
      </w:pPr>
    </w:p>
    <w:p w:rsidR="00DE0C27" w:rsidRPr="00633C95" w:rsidRDefault="004A388E" w:rsidP="004A388E">
      <w:pPr>
        <w:contextualSpacing/>
        <w:rPr>
          <w:rFonts w:cs="Times New Roman"/>
          <w:spacing w:val="2"/>
          <w:szCs w:val="26"/>
        </w:rPr>
      </w:pPr>
      <w:r>
        <w:rPr>
          <w:rFonts w:cs="Times New Roman"/>
          <w:spacing w:val="2"/>
          <w:szCs w:val="26"/>
        </w:rPr>
        <w:t xml:space="preserve">Columbia further argues that any argument by the OCA that its claim constitutes </w:t>
      </w:r>
      <w:r w:rsidRPr="00633C95">
        <w:rPr>
          <w:rFonts w:cs="Times New Roman"/>
          <w:spacing w:val="2"/>
          <w:szCs w:val="26"/>
        </w:rPr>
        <w:t xml:space="preserve">retroactive ratemaking </w:t>
      </w:r>
      <w:r>
        <w:rPr>
          <w:rFonts w:cs="Times New Roman"/>
          <w:spacing w:val="2"/>
          <w:szCs w:val="26"/>
        </w:rPr>
        <w:t>is incorrect.  T</w:t>
      </w:r>
      <w:r w:rsidRPr="00633C95">
        <w:rPr>
          <w:rFonts w:cs="Times New Roman"/>
          <w:spacing w:val="2"/>
          <w:szCs w:val="26"/>
        </w:rPr>
        <w:t xml:space="preserve">he </w:t>
      </w:r>
      <w:r>
        <w:rPr>
          <w:rFonts w:cs="Times New Roman"/>
          <w:spacing w:val="2"/>
          <w:szCs w:val="26"/>
        </w:rPr>
        <w:t xml:space="preserve">Company submits that the </w:t>
      </w:r>
      <w:r w:rsidRPr="00633C95">
        <w:rPr>
          <w:rFonts w:cs="Times New Roman"/>
          <w:spacing w:val="2"/>
          <w:szCs w:val="26"/>
        </w:rPr>
        <w:t>Commission routinely grants recovery of expenses that are ext</w:t>
      </w:r>
      <w:r>
        <w:rPr>
          <w:rFonts w:cs="Times New Roman"/>
          <w:spacing w:val="2"/>
          <w:szCs w:val="26"/>
        </w:rPr>
        <w:t>raordinary and non-recurring.  Columbia asserts that t</w:t>
      </w:r>
      <w:r w:rsidRPr="00633C95">
        <w:rPr>
          <w:rFonts w:cs="Times New Roman"/>
          <w:spacing w:val="2"/>
          <w:szCs w:val="26"/>
        </w:rPr>
        <w:t xml:space="preserve">he Commonwealth Court has </w:t>
      </w:r>
      <w:r>
        <w:rPr>
          <w:rFonts w:cs="Times New Roman"/>
          <w:spacing w:val="2"/>
          <w:szCs w:val="26"/>
        </w:rPr>
        <w:t xml:space="preserve">approved the recovery of </w:t>
      </w:r>
      <w:r w:rsidRPr="00633C95">
        <w:rPr>
          <w:rFonts w:cs="Times New Roman"/>
          <w:spacing w:val="2"/>
          <w:szCs w:val="26"/>
        </w:rPr>
        <w:t xml:space="preserve">“extraordinary expenses” </w:t>
      </w:r>
      <w:r>
        <w:rPr>
          <w:rFonts w:cs="Times New Roman"/>
          <w:spacing w:val="2"/>
          <w:szCs w:val="26"/>
        </w:rPr>
        <w:t xml:space="preserve">that </w:t>
      </w:r>
      <w:r w:rsidRPr="00633C95">
        <w:rPr>
          <w:rFonts w:cs="Times New Roman"/>
          <w:spacing w:val="2"/>
          <w:szCs w:val="26"/>
        </w:rPr>
        <w:t>are “a substantial, one-time expense or a substantial item that will not appear as a continuing expense and could otherwise never be recovered in rates because, like the weather-related expenses, it would be normalized out of the test year as abnormal.”</w:t>
      </w:r>
      <w:r w:rsidRPr="00633C95">
        <w:rPr>
          <w:rStyle w:val="FootnoteReference"/>
          <w:rFonts w:cs="Times New Roman"/>
          <w:spacing w:val="2"/>
          <w:szCs w:val="26"/>
        </w:rPr>
        <w:footnoteReference w:id="30"/>
      </w:r>
      <w:r w:rsidR="00941822">
        <w:rPr>
          <w:rFonts w:cs="Times New Roman"/>
          <w:spacing w:val="2"/>
          <w:szCs w:val="26"/>
        </w:rPr>
        <w:t xml:space="preserve">  </w:t>
      </w:r>
      <w:r w:rsidR="00941822" w:rsidRPr="00941822">
        <w:rPr>
          <w:rFonts w:cs="Times New Roman"/>
          <w:i/>
          <w:spacing w:val="2"/>
          <w:szCs w:val="26"/>
        </w:rPr>
        <w:t>Id</w:t>
      </w:r>
      <w:r w:rsidR="00941822">
        <w:rPr>
          <w:rFonts w:cs="Times New Roman"/>
          <w:spacing w:val="2"/>
          <w:szCs w:val="26"/>
        </w:rPr>
        <w:t>. at 27-28.</w:t>
      </w:r>
    </w:p>
    <w:p w:rsidR="00DE0C27" w:rsidRPr="00633C95" w:rsidRDefault="00633C95" w:rsidP="00633C95">
      <w:pPr>
        <w:contextualSpacing/>
        <w:rPr>
          <w:rFonts w:cs="Times New Roman"/>
          <w:spacing w:val="2"/>
          <w:szCs w:val="26"/>
        </w:rPr>
      </w:pPr>
      <w:r w:rsidRPr="00633C95">
        <w:rPr>
          <w:rFonts w:cs="Times New Roman"/>
          <w:spacing w:val="2"/>
          <w:szCs w:val="26"/>
        </w:rPr>
        <w:t xml:space="preserve">  </w:t>
      </w:r>
    </w:p>
    <w:p w:rsidR="00385A85" w:rsidRPr="00941822" w:rsidRDefault="00347C69" w:rsidP="00941822">
      <w:pPr>
        <w:contextualSpacing/>
        <w:rPr>
          <w:rFonts w:cs="Times New Roman"/>
          <w:spacing w:val="2"/>
          <w:szCs w:val="26"/>
        </w:rPr>
      </w:pPr>
      <w:r>
        <w:rPr>
          <w:rFonts w:cs="Times New Roman"/>
          <w:spacing w:val="2"/>
          <w:szCs w:val="26"/>
        </w:rPr>
        <w:t>Columbia submits that, if the ALJ’s recommendation to eliminate</w:t>
      </w:r>
      <w:r w:rsidR="00633C95" w:rsidRPr="00633C95">
        <w:rPr>
          <w:rFonts w:cs="Times New Roman"/>
          <w:spacing w:val="2"/>
          <w:szCs w:val="26"/>
        </w:rPr>
        <w:t xml:space="preserve"> all </w:t>
      </w:r>
      <w:r>
        <w:rPr>
          <w:rFonts w:cs="Times New Roman"/>
          <w:spacing w:val="2"/>
          <w:szCs w:val="26"/>
        </w:rPr>
        <w:t xml:space="preserve">the expenses is adopted, </w:t>
      </w:r>
      <w:r w:rsidR="00633C95" w:rsidRPr="00633C95">
        <w:rPr>
          <w:rFonts w:cs="Times New Roman"/>
          <w:spacing w:val="2"/>
          <w:szCs w:val="26"/>
        </w:rPr>
        <w:t xml:space="preserve">at a minimum and in the alternative, the Company’s expenditures related to the </w:t>
      </w:r>
      <w:r>
        <w:rPr>
          <w:rFonts w:cs="Times New Roman"/>
          <w:spacing w:val="2"/>
          <w:szCs w:val="26"/>
        </w:rPr>
        <w:t xml:space="preserve">Commission proceedings to obtain </w:t>
      </w:r>
      <w:r w:rsidR="00633C95" w:rsidRPr="00633C95">
        <w:rPr>
          <w:rFonts w:cs="Times New Roman"/>
          <w:spacing w:val="2"/>
          <w:szCs w:val="26"/>
        </w:rPr>
        <w:t>a certificat</w:t>
      </w:r>
      <w:r>
        <w:rPr>
          <w:rFonts w:cs="Times New Roman"/>
          <w:spacing w:val="2"/>
          <w:szCs w:val="26"/>
        </w:rPr>
        <w:t xml:space="preserve">e of public convenience, and </w:t>
      </w:r>
      <w:r w:rsidR="00633C95" w:rsidRPr="00633C95">
        <w:rPr>
          <w:rFonts w:cs="Times New Roman"/>
          <w:spacing w:val="2"/>
          <w:szCs w:val="26"/>
        </w:rPr>
        <w:t>related regulatory approval</w:t>
      </w:r>
      <w:r>
        <w:rPr>
          <w:rFonts w:cs="Times New Roman"/>
          <w:spacing w:val="2"/>
          <w:szCs w:val="26"/>
        </w:rPr>
        <w:t>s</w:t>
      </w:r>
      <w:r w:rsidR="00633C95" w:rsidRPr="00633C95">
        <w:rPr>
          <w:rFonts w:cs="Times New Roman"/>
          <w:spacing w:val="2"/>
          <w:szCs w:val="26"/>
        </w:rPr>
        <w:t xml:space="preserve"> such as security certificates to finance the transaction for transferring the </w:t>
      </w:r>
      <w:r>
        <w:rPr>
          <w:rFonts w:cs="Times New Roman"/>
          <w:spacing w:val="2"/>
          <w:szCs w:val="26"/>
        </w:rPr>
        <w:t xml:space="preserve">environmental and related </w:t>
      </w:r>
      <w:r w:rsidR="00633C95" w:rsidRPr="00633C95">
        <w:rPr>
          <w:rFonts w:cs="Times New Roman"/>
          <w:spacing w:val="2"/>
          <w:szCs w:val="26"/>
        </w:rPr>
        <w:t>perm</w:t>
      </w:r>
      <w:r>
        <w:rPr>
          <w:rFonts w:cs="Times New Roman"/>
          <w:spacing w:val="2"/>
          <w:szCs w:val="26"/>
        </w:rPr>
        <w:t>its into the Company’s name, should be capitalized.  T</w:t>
      </w:r>
      <w:r w:rsidR="00633C95" w:rsidRPr="00633C95">
        <w:rPr>
          <w:rFonts w:cs="Times New Roman"/>
          <w:spacing w:val="2"/>
          <w:szCs w:val="26"/>
        </w:rPr>
        <w:t>he costs relative to the certificate of public conven</w:t>
      </w:r>
      <w:r>
        <w:rPr>
          <w:rFonts w:cs="Times New Roman"/>
          <w:spacing w:val="2"/>
          <w:szCs w:val="26"/>
        </w:rPr>
        <w:t>ience and regulatory approvals we</w:t>
      </w:r>
      <w:r w:rsidR="00633C95" w:rsidRPr="00633C95">
        <w:rPr>
          <w:rFonts w:cs="Times New Roman"/>
          <w:spacing w:val="2"/>
          <w:szCs w:val="26"/>
        </w:rPr>
        <w:t>re $110,772 for legal services, $9,431.52 for consulting services, and $748</w:t>
      </w:r>
      <w:r>
        <w:rPr>
          <w:rFonts w:cs="Times New Roman"/>
          <w:spacing w:val="2"/>
          <w:szCs w:val="26"/>
        </w:rPr>
        <w:t xml:space="preserve">.30 for newspaper publication.  CWC Exc. at 28, citing Tr. at 138.  The Company states that, </w:t>
      </w:r>
      <w:r>
        <w:rPr>
          <w:rFonts w:cs="Times New Roman"/>
          <w:spacing w:val="2"/>
          <w:szCs w:val="26"/>
        </w:rPr>
        <w:lastRenderedPageBreak/>
        <w:t>u</w:t>
      </w:r>
      <w:r w:rsidR="00633C95" w:rsidRPr="00633C95">
        <w:rPr>
          <w:rFonts w:cs="Times New Roman"/>
          <w:spacing w:val="2"/>
          <w:szCs w:val="26"/>
        </w:rPr>
        <w:t xml:space="preserve">nder this alternative scenario, </w:t>
      </w:r>
      <w:r>
        <w:rPr>
          <w:rFonts w:cs="Times New Roman"/>
          <w:spacing w:val="2"/>
          <w:szCs w:val="26"/>
        </w:rPr>
        <w:t xml:space="preserve">the </w:t>
      </w:r>
      <w:r w:rsidR="00633C95" w:rsidRPr="00633C95">
        <w:rPr>
          <w:rFonts w:cs="Times New Roman"/>
          <w:spacing w:val="2"/>
          <w:szCs w:val="26"/>
        </w:rPr>
        <w:t>total capitalized investment would be $120,952</w:t>
      </w:r>
      <w:r>
        <w:rPr>
          <w:rFonts w:cs="Times New Roman"/>
          <w:spacing w:val="2"/>
          <w:szCs w:val="26"/>
        </w:rPr>
        <w:t>.</w:t>
      </w:r>
      <w:r>
        <w:rPr>
          <w:rStyle w:val="FootnoteReference"/>
          <w:rFonts w:cs="Times New Roman"/>
          <w:spacing w:val="2"/>
          <w:szCs w:val="26"/>
        </w:rPr>
        <w:footnoteReference w:id="31"/>
      </w:r>
      <w:r w:rsidR="00941822">
        <w:rPr>
          <w:rFonts w:cs="Times New Roman"/>
          <w:spacing w:val="2"/>
          <w:szCs w:val="26"/>
        </w:rPr>
        <w:t xml:space="preserve">  </w:t>
      </w:r>
      <w:r w:rsidR="00941822" w:rsidRPr="00941822">
        <w:rPr>
          <w:rFonts w:cs="Times New Roman"/>
          <w:i/>
          <w:spacing w:val="2"/>
          <w:szCs w:val="26"/>
        </w:rPr>
        <w:t>Id</w:t>
      </w:r>
      <w:r w:rsidR="00941822">
        <w:rPr>
          <w:rFonts w:cs="Times New Roman"/>
          <w:spacing w:val="2"/>
          <w:szCs w:val="26"/>
        </w:rPr>
        <w:t>. at 28.</w:t>
      </w:r>
      <w:r w:rsidR="00633C95" w:rsidRPr="00633C95">
        <w:rPr>
          <w:rFonts w:cs="Times New Roman"/>
          <w:spacing w:val="2"/>
          <w:szCs w:val="26"/>
        </w:rPr>
        <w:t xml:space="preserve"> </w:t>
      </w:r>
      <w:r w:rsidR="00941822">
        <w:rPr>
          <w:rFonts w:cs="Times New Roman"/>
          <w:spacing w:val="2"/>
          <w:szCs w:val="26"/>
        </w:rPr>
        <w:t xml:space="preserve">  The Company argues that the OCA’s argument that this </w:t>
      </w:r>
      <w:r w:rsidR="00633C95" w:rsidRPr="00633C95">
        <w:rPr>
          <w:rFonts w:cs="Times New Roman"/>
          <w:szCs w:val="26"/>
        </w:rPr>
        <w:t xml:space="preserve">alternative claim </w:t>
      </w:r>
      <w:r w:rsidR="00941822">
        <w:rPr>
          <w:rFonts w:cs="Times New Roman"/>
          <w:szCs w:val="26"/>
        </w:rPr>
        <w:t xml:space="preserve">should be rejected </w:t>
      </w:r>
      <w:r w:rsidR="00633C95" w:rsidRPr="00633C95">
        <w:rPr>
          <w:rFonts w:cs="Times New Roman"/>
          <w:szCs w:val="26"/>
        </w:rPr>
        <w:t>on the basis that there is no evidence that the Company ac</w:t>
      </w:r>
      <w:r w:rsidR="00941822">
        <w:rPr>
          <w:rFonts w:cs="Times New Roman"/>
          <w:szCs w:val="26"/>
        </w:rPr>
        <w:t>tually capitalized these costs should be rejected.  Columbia notes that t</w:t>
      </w:r>
      <w:r w:rsidR="00633C95" w:rsidRPr="00633C95">
        <w:rPr>
          <w:rFonts w:cs="Times New Roman"/>
          <w:szCs w:val="26"/>
        </w:rPr>
        <w:t xml:space="preserve">he Commission </w:t>
      </w:r>
      <w:r w:rsidR="00941822">
        <w:rPr>
          <w:rFonts w:cs="Times New Roman"/>
          <w:szCs w:val="26"/>
        </w:rPr>
        <w:t xml:space="preserve">is not bound, </w:t>
      </w:r>
      <w:r w:rsidR="00633C95" w:rsidRPr="00633C95">
        <w:rPr>
          <w:rFonts w:cs="Times New Roman"/>
          <w:szCs w:val="26"/>
        </w:rPr>
        <w:t xml:space="preserve">for </w:t>
      </w:r>
      <w:r w:rsidR="00633C95" w:rsidRPr="00941822">
        <w:rPr>
          <w:rFonts w:cs="Times New Roman"/>
          <w:i/>
          <w:szCs w:val="26"/>
        </w:rPr>
        <w:t>ratemaking</w:t>
      </w:r>
      <w:r w:rsidR="00633C95" w:rsidRPr="00633C95">
        <w:rPr>
          <w:rFonts w:cs="Times New Roman"/>
          <w:szCs w:val="26"/>
        </w:rPr>
        <w:t xml:space="preserve"> purposes</w:t>
      </w:r>
      <w:r w:rsidR="00941822">
        <w:rPr>
          <w:rFonts w:cs="Times New Roman"/>
          <w:szCs w:val="26"/>
        </w:rPr>
        <w:t>, by how</w:t>
      </w:r>
      <w:r w:rsidR="00633C95" w:rsidRPr="00633C95">
        <w:rPr>
          <w:rFonts w:cs="Times New Roman"/>
          <w:szCs w:val="26"/>
        </w:rPr>
        <w:t xml:space="preserve"> </w:t>
      </w:r>
      <w:r w:rsidR="00941822">
        <w:rPr>
          <w:rFonts w:cs="Times New Roman"/>
          <w:szCs w:val="26"/>
        </w:rPr>
        <w:t>a claim is treated by a utility on its books</w:t>
      </w:r>
      <w:r w:rsidR="00633C95" w:rsidRPr="00633C95">
        <w:rPr>
          <w:rFonts w:cs="Times New Roman"/>
          <w:szCs w:val="26"/>
        </w:rPr>
        <w:t xml:space="preserve">.  </w:t>
      </w:r>
      <w:r w:rsidR="00941822">
        <w:rPr>
          <w:rFonts w:cs="Times New Roman"/>
          <w:szCs w:val="26"/>
        </w:rPr>
        <w:t>“</w:t>
      </w:r>
      <w:r w:rsidR="00633C95" w:rsidRPr="00633C95">
        <w:rPr>
          <w:rFonts w:cs="Times New Roman"/>
          <w:szCs w:val="26"/>
        </w:rPr>
        <w:t xml:space="preserve">It is common practice in </w:t>
      </w:r>
      <w:r w:rsidR="00633C95" w:rsidRPr="00633C95">
        <w:rPr>
          <w:rFonts w:cs="Times New Roman"/>
          <w:i/>
          <w:szCs w:val="26"/>
        </w:rPr>
        <w:t xml:space="preserve">ratemaking </w:t>
      </w:r>
      <w:r w:rsidR="00633C95" w:rsidRPr="00633C95">
        <w:rPr>
          <w:rFonts w:cs="Times New Roman"/>
          <w:szCs w:val="26"/>
        </w:rPr>
        <w:t xml:space="preserve">for claims to be moved from rate base to expense items or vice versa or between expense categories regardless </w:t>
      </w:r>
      <w:r w:rsidR="00AA08C6">
        <w:rPr>
          <w:rFonts w:cs="Times New Roman"/>
          <w:szCs w:val="26"/>
        </w:rPr>
        <w:t>[of]</w:t>
      </w:r>
      <w:r w:rsidR="00633C95" w:rsidRPr="00633C95">
        <w:rPr>
          <w:rFonts w:cs="Times New Roman"/>
          <w:szCs w:val="26"/>
        </w:rPr>
        <w:t xml:space="preserve"> how a Company treated it on its books.</w:t>
      </w:r>
      <w:r w:rsidR="00941822">
        <w:rPr>
          <w:rFonts w:cs="Times New Roman"/>
          <w:szCs w:val="26"/>
        </w:rPr>
        <w:t xml:space="preserve">”  </w:t>
      </w:r>
      <w:r w:rsidR="00941822" w:rsidRPr="00941822">
        <w:rPr>
          <w:rFonts w:cs="Times New Roman"/>
          <w:i/>
          <w:szCs w:val="26"/>
        </w:rPr>
        <w:t>Id</w:t>
      </w:r>
      <w:r w:rsidR="00941822">
        <w:rPr>
          <w:rFonts w:cs="Times New Roman"/>
          <w:szCs w:val="26"/>
        </w:rPr>
        <w:t xml:space="preserve">. at 29. </w:t>
      </w:r>
    </w:p>
    <w:p w:rsidR="00DE0C27" w:rsidRPr="00633C95" w:rsidRDefault="00DE0C27" w:rsidP="00633C95">
      <w:pPr>
        <w:contextualSpacing/>
        <w:rPr>
          <w:rFonts w:eastAsia="Calibri" w:cs="Times New Roman"/>
          <w:szCs w:val="26"/>
        </w:rPr>
      </w:pPr>
    </w:p>
    <w:p w:rsidR="00385A85" w:rsidRDefault="00941822" w:rsidP="00AF2420">
      <w:pPr>
        <w:keepNext/>
        <w:spacing w:line="240" w:lineRule="auto"/>
        <w:contextualSpacing/>
        <w:rPr>
          <w:rFonts w:eastAsia="Calibri" w:cs="Times New Roman"/>
          <w:b/>
          <w:szCs w:val="26"/>
        </w:rPr>
      </w:pPr>
      <w:r>
        <w:rPr>
          <w:rFonts w:eastAsia="Calibri" w:cs="Times New Roman"/>
          <w:szCs w:val="26"/>
        </w:rPr>
        <w:tab/>
      </w:r>
      <w:r>
        <w:rPr>
          <w:rFonts w:eastAsia="Calibri" w:cs="Times New Roman"/>
          <w:b/>
          <w:szCs w:val="26"/>
        </w:rPr>
        <w:t>d.</w:t>
      </w:r>
      <w:r>
        <w:rPr>
          <w:rFonts w:eastAsia="Calibri" w:cs="Times New Roman"/>
          <w:b/>
          <w:szCs w:val="26"/>
        </w:rPr>
        <w:tab/>
        <w:t>Reply Exceptions</w:t>
      </w:r>
    </w:p>
    <w:p w:rsidR="00941822" w:rsidRDefault="00941822" w:rsidP="00343CB6">
      <w:pPr>
        <w:keepNext/>
        <w:contextualSpacing/>
        <w:rPr>
          <w:rFonts w:eastAsia="Calibri" w:cs="Times New Roman"/>
          <w:b/>
          <w:szCs w:val="26"/>
        </w:rPr>
      </w:pPr>
    </w:p>
    <w:p w:rsidR="00D36B3B" w:rsidRDefault="007D58CA" w:rsidP="00343CB6">
      <w:pPr>
        <w:keepNext/>
        <w:contextualSpacing/>
        <w:rPr>
          <w:rFonts w:eastAsia="Calibri" w:cs="Times New Roman"/>
          <w:szCs w:val="26"/>
        </w:rPr>
      </w:pPr>
      <w:r>
        <w:rPr>
          <w:rFonts w:eastAsia="Calibri" w:cs="Times New Roman"/>
          <w:szCs w:val="26"/>
        </w:rPr>
        <w:t xml:space="preserve">In its Reply Exceptions, the OCA argues that, contrary to the Company’s position, its claim is an “acquisition adjustment” subject to Section 1327.  In the alternative, in the event that the claim is not deemed to be an acquisition adjustment subject to Section 1327, the OCA argues that the Company is not eligible for amortization of the acquisition costs because (1) the Company allocated all of the costs to the Columbia Division; and (2) the Company should have filed a petition with the Commission requesting authorization to defer the costs for future recovery.  OCA R.Exc. at 15-16.  </w:t>
      </w:r>
    </w:p>
    <w:p w:rsidR="00D36B3B" w:rsidRDefault="00D36B3B" w:rsidP="007D58CA">
      <w:pPr>
        <w:contextualSpacing/>
        <w:rPr>
          <w:rFonts w:eastAsia="Calibri" w:cs="Times New Roman"/>
          <w:szCs w:val="26"/>
        </w:rPr>
      </w:pPr>
    </w:p>
    <w:p w:rsidR="00941822" w:rsidRDefault="007D58CA" w:rsidP="007D58CA">
      <w:pPr>
        <w:contextualSpacing/>
        <w:rPr>
          <w:rFonts w:eastAsia="Calibri" w:cs="Times New Roman"/>
          <w:szCs w:val="26"/>
        </w:rPr>
      </w:pPr>
      <w:r>
        <w:rPr>
          <w:rFonts w:eastAsia="Calibri" w:cs="Times New Roman"/>
          <w:szCs w:val="26"/>
        </w:rPr>
        <w:t xml:space="preserve">The OCA also argues that the acquisition </w:t>
      </w:r>
      <w:r w:rsidR="00D36B3B">
        <w:rPr>
          <w:rFonts w:eastAsia="Calibri" w:cs="Times New Roman"/>
          <w:szCs w:val="26"/>
        </w:rPr>
        <w:t>cost</w:t>
      </w:r>
      <w:r>
        <w:rPr>
          <w:rFonts w:eastAsia="Calibri" w:cs="Times New Roman"/>
          <w:szCs w:val="26"/>
        </w:rPr>
        <w:t>s cannot be included in rate base</w:t>
      </w:r>
      <w:r w:rsidR="00D36B3B">
        <w:rPr>
          <w:rFonts w:eastAsia="Calibri" w:cs="Times New Roman"/>
          <w:szCs w:val="26"/>
        </w:rPr>
        <w:t xml:space="preserve"> because (1) the Company has not claimed an associated depreciation time period; and (2) costs cannot be capitalized unless they satisfy the requirements of Section 1327.  The OCA acknowledges that Section 1327 was added to the Code in 1990 as “an exception to the rule that only original cost, and not any premium above cost, could be included in rate base and in rates.”  </w:t>
      </w:r>
      <w:r w:rsidR="00D36B3B" w:rsidRPr="00D36B3B">
        <w:rPr>
          <w:rFonts w:eastAsia="Calibri" w:cs="Times New Roman"/>
          <w:i/>
          <w:szCs w:val="26"/>
        </w:rPr>
        <w:t>Id</w:t>
      </w:r>
      <w:r w:rsidR="00D36B3B">
        <w:rPr>
          <w:rFonts w:eastAsia="Calibri" w:cs="Times New Roman"/>
          <w:szCs w:val="26"/>
        </w:rPr>
        <w:t xml:space="preserve">. at 17.  The OCA argues, however, that “Section 1327 is the only way under the Public Utility Code, to request an acquisition adjustment.”  </w:t>
      </w:r>
      <w:r w:rsidR="00D36B3B" w:rsidRPr="00675939">
        <w:rPr>
          <w:rFonts w:eastAsia="Calibri" w:cs="Times New Roman"/>
          <w:i/>
          <w:szCs w:val="26"/>
        </w:rPr>
        <w:t>Id</w:t>
      </w:r>
      <w:r w:rsidR="00D36B3B">
        <w:rPr>
          <w:rFonts w:eastAsia="Calibri" w:cs="Times New Roman"/>
          <w:szCs w:val="26"/>
        </w:rPr>
        <w:t>.</w:t>
      </w:r>
    </w:p>
    <w:p w:rsidR="00D36B3B" w:rsidRDefault="00D36B3B" w:rsidP="00401132">
      <w:pPr>
        <w:keepNext/>
        <w:contextualSpacing/>
        <w:rPr>
          <w:rFonts w:eastAsia="Calibri" w:cs="Times New Roman"/>
          <w:szCs w:val="26"/>
        </w:rPr>
      </w:pPr>
    </w:p>
    <w:p w:rsidR="00D36B3B" w:rsidRDefault="00D36B3B" w:rsidP="00401132">
      <w:pPr>
        <w:keepNext/>
        <w:spacing w:line="240" w:lineRule="auto"/>
        <w:contextualSpacing/>
        <w:rPr>
          <w:rFonts w:eastAsia="Calibri" w:cs="Times New Roman"/>
          <w:szCs w:val="26"/>
        </w:rPr>
      </w:pPr>
      <w:r>
        <w:rPr>
          <w:rFonts w:eastAsia="Calibri" w:cs="Times New Roman"/>
          <w:szCs w:val="26"/>
        </w:rPr>
        <w:tab/>
      </w:r>
      <w:r>
        <w:rPr>
          <w:rFonts w:eastAsia="Calibri" w:cs="Times New Roman"/>
          <w:b/>
          <w:szCs w:val="26"/>
        </w:rPr>
        <w:t>e.</w:t>
      </w:r>
      <w:r>
        <w:rPr>
          <w:rFonts w:eastAsia="Calibri" w:cs="Times New Roman"/>
          <w:b/>
          <w:szCs w:val="26"/>
        </w:rPr>
        <w:tab/>
        <w:t>Disposition</w:t>
      </w:r>
    </w:p>
    <w:p w:rsidR="00D36B3B" w:rsidRDefault="00D36B3B" w:rsidP="00401132">
      <w:pPr>
        <w:keepNext/>
        <w:contextualSpacing/>
        <w:rPr>
          <w:rFonts w:eastAsia="Calibri" w:cs="Times New Roman"/>
          <w:szCs w:val="26"/>
        </w:rPr>
      </w:pPr>
    </w:p>
    <w:p w:rsidR="001055F6" w:rsidRDefault="000A4ECA" w:rsidP="00401132">
      <w:pPr>
        <w:keepNext/>
        <w:rPr>
          <w:rFonts w:eastAsia="Calibri"/>
        </w:rPr>
      </w:pPr>
      <w:r>
        <w:rPr>
          <w:rFonts w:eastAsia="Calibri"/>
        </w:rPr>
        <w:t xml:space="preserve">We concur with the ALJ </w:t>
      </w:r>
      <w:r w:rsidRPr="007F70DF">
        <w:rPr>
          <w:rFonts w:eastAsia="Calibri"/>
        </w:rPr>
        <w:t>that Columbia’s claimed expense of $15,039, representing a fifteen year amortization of $225,581 in expenses incurred while acquiring the Marietta system</w:t>
      </w:r>
      <w:r>
        <w:rPr>
          <w:rFonts w:eastAsia="Calibri"/>
        </w:rPr>
        <w:t>,</w:t>
      </w:r>
      <w:r w:rsidRPr="007F70DF">
        <w:rPr>
          <w:rFonts w:eastAsia="Calibri"/>
        </w:rPr>
        <w:t xml:space="preserve"> should be rejected.</w:t>
      </w:r>
      <w:r>
        <w:rPr>
          <w:rFonts w:eastAsia="Calibri"/>
        </w:rPr>
        <w:t xml:space="preserve">  These acquisition </w:t>
      </w:r>
      <w:r w:rsidR="00CA7E9A">
        <w:rPr>
          <w:rFonts w:eastAsia="Calibri"/>
        </w:rPr>
        <w:t>costs</w:t>
      </w:r>
      <w:r>
        <w:rPr>
          <w:rFonts w:eastAsia="Calibri"/>
        </w:rPr>
        <w:t xml:space="preserve"> should be addressed in a future proceeding when the assets of the MGWC </w:t>
      </w:r>
      <w:r w:rsidR="00CA7E9A">
        <w:rPr>
          <w:rFonts w:eastAsia="Calibri"/>
        </w:rPr>
        <w:t xml:space="preserve">are proposed to be included in rate base and the parties to that proceeding can address the extent to which these acquisition costs should be included in rate base pursuant to Section 1327 of the Code. </w:t>
      </w:r>
    </w:p>
    <w:p w:rsidR="000A4ECA" w:rsidRDefault="000A4ECA" w:rsidP="000A4ECA">
      <w:pPr>
        <w:rPr>
          <w:rFonts w:eastAsia="Calibri"/>
        </w:rPr>
      </w:pPr>
    </w:p>
    <w:p w:rsidR="00A225D8" w:rsidRPr="000A4ECA" w:rsidRDefault="00A225D8" w:rsidP="00992768">
      <w:pPr>
        <w:pStyle w:val="Heading3"/>
        <w:rPr>
          <w:iCs/>
          <w:szCs w:val="26"/>
        </w:rPr>
      </w:pPr>
      <w:bookmarkStart w:id="20" w:name="_Toc367958620"/>
      <w:bookmarkStart w:id="21" w:name="_Toc378080163"/>
      <w:r w:rsidRPr="000A4ECA">
        <w:rPr>
          <w:iCs/>
          <w:szCs w:val="26"/>
        </w:rPr>
        <w:t>3</w:t>
      </w:r>
      <w:r w:rsidR="00CA6A9D" w:rsidRPr="000A4ECA">
        <w:rPr>
          <w:iCs/>
          <w:szCs w:val="26"/>
        </w:rPr>
        <w:t>.</w:t>
      </w:r>
      <w:r w:rsidR="00CA6A9D" w:rsidRPr="000A4ECA">
        <w:rPr>
          <w:iCs/>
          <w:szCs w:val="26"/>
        </w:rPr>
        <w:tab/>
      </w:r>
      <w:r w:rsidR="00CA6A9D" w:rsidRPr="000A4ECA">
        <w:rPr>
          <w:rStyle w:val="Heading3Char"/>
          <w:rFonts w:ascii="Times New Roman" w:hAnsi="Times New Roman" w:cs="Times New Roman"/>
          <w:b/>
        </w:rPr>
        <w:t>Engineering</w:t>
      </w:r>
      <w:bookmarkEnd w:id="20"/>
      <w:r w:rsidR="00FA3609" w:rsidRPr="000A4ECA">
        <w:rPr>
          <w:rStyle w:val="Heading3Char"/>
          <w:rFonts w:ascii="Times New Roman" w:hAnsi="Times New Roman" w:cs="Times New Roman"/>
          <w:b/>
        </w:rPr>
        <w:t xml:space="preserve"> Contractual Services</w:t>
      </w:r>
      <w:bookmarkEnd w:id="21"/>
    </w:p>
    <w:p w:rsidR="00A225D8" w:rsidRDefault="00A225D8" w:rsidP="00A225D8">
      <w:pPr>
        <w:keepNext/>
        <w:ind w:left="1440"/>
        <w:contextualSpacing/>
        <w:jc w:val="both"/>
        <w:outlineLvl w:val="1"/>
        <w:rPr>
          <w:rFonts w:cs="Times New Roman"/>
          <w:b/>
          <w:bCs/>
          <w:iCs/>
          <w:szCs w:val="26"/>
        </w:rPr>
      </w:pPr>
    </w:p>
    <w:p w:rsidR="00CA6A9D" w:rsidRPr="00A225D8" w:rsidRDefault="00A225D8" w:rsidP="00EE5D88">
      <w:pPr>
        <w:keepNext/>
        <w:spacing w:line="240" w:lineRule="auto"/>
        <w:ind w:left="1440" w:firstLine="720"/>
        <w:contextualSpacing/>
        <w:jc w:val="both"/>
        <w:outlineLvl w:val="1"/>
        <w:rPr>
          <w:rFonts w:cs="Times New Roman"/>
          <w:b/>
          <w:bCs/>
          <w:iCs/>
          <w:szCs w:val="26"/>
        </w:rPr>
      </w:pPr>
      <w:bookmarkStart w:id="22" w:name="_Toc377904174"/>
      <w:bookmarkStart w:id="23" w:name="_Toc377904382"/>
      <w:bookmarkStart w:id="24" w:name="_Toc377915623"/>
      <w:bookmarkStart w:id="25" w:name="_Toc378012741"/>
      <w:bookmarkStart w:id="26" w:name="_Toc378079848"/>
      <w:bookmarkStart w:id="27" w:name="_Toc378080164"/>
      <w:r>
        <w:rPr>
          <w:rFonts w:cs="Times New Roman"/>
          <w:b/>
          <w:bCs/>
          <w:iCs/>
          <w:szCs w:val="26"/>
        </w:rPr>
        <w:t>a.</w:t>
      </w:r>
      <w:r>
        <w:rPr>
          <w:rFonts w:cs="Times New Roman"/>
          <w:b/>
          <w:bCs/>
          <w:iCs/>
          <w:szCs w:val="26"/>
        </w:rPr>
        <w:tab/>
        <w:t>Positions of the Parties</w:t>
      </w:r>
      <w:bookmarkEnd w:id="22"/>
      <w:bookmarkEnd w:id="23"/>
      <w:bookmarkEnd w:id="24"/>
      <w:bookmarkEnd w:id="25"/>
      <w:bookmarkEnd w:id="26"/>
      <w:bookmarkEnd w:id="27"/>
    </w:p>
    <w:p w:rsidR="001055F6" w:rsidRPr="007F70DF" w:rsidRDefault="001055F6" w:rsidP="00047866">
      <w:pPr>
        <w:ind w:firstLine="720"/>
        <w:contextualSpacing/>
        <w:jc w:val="both"/>
        <w:rPr>
          <w:rFonts w:eastAsia="Calibri" w:cs="Times New Roman"/>
          <w:szCs w:val="26"/>
        </w:rPr>
      </w:pPr>
    </w:p>
    <w:p w:rsidR="00CA6A9D" w:rsidRDefault="00125EB2" w:rsidP="00B253FB">
      <w:pPr>
        <w:ind w:firstLine="720"/>
        <w:contextualSpacing/>
        <w:rPr>
          <w:rFonts w:eastAsia="Calibri" w:cs="Times New Roman"/>
          <w:szCs w:val="26"/>
        </w:rPr>
      </w:pPr>
      <w:r w:rsidRPr="007F70DF">
        <w:rPr>
          <w:rFonts w:eastAsia="Calibri" w:cs="Times New Roman"/>
          <w:szCs w:val="26"/>
        </w:rPr>
        <w:tab/>
      </w:r>
      <w:r w:rsidR="00DE0C27">
        <w:rPr>
          <w:rFonts w:eastAsia="Calibri" w:cs="Times New Roman"/>
          <w:szCs w:val="26"/>
        </w:rPr>
        <w:t>The OCA objected</w:t>
      </w:r>
      <w:r w:rsidRPr="007F70DF">
        <w:rPr>
          <w:rFonts w:eastAsia="Calibri" w:cs="Times New Roman"/>
          <w:szCs w:val="26"/>
        </w:rPr>
        <w:t xml:space="preserve"> to </w:t>
      </w:r>
      <w:r w:rsidR="00FA3609">
        <w:rPr>
          <w:rFonts w:eastAsia="Calibri" w:cs="Times New Roman"/>
          <w:szCs w:val="26"/>
        </w:rPr>
        <w:t xml:space="preserve">a portion of </w:t>
      </w:r>
      <w:r w:rsidR="00CA6A9D" w:rsidRPr="007F70DF">
        <w:rPr>
          <w:rFonts w:eastAsia="Calibri" w:cs="Times New Roman"/>
          <w:szCs w:val="26"/>
        </w:rPr>
        <w:t>Columbia</w:t>
      </w:r>
      <w:r w:rsidRPr="007F70DF">
        <w:rPr>
          <w:rFonts w:eastAsia="Calibri" w:cs="Times New Roman"/>
          <w:szCs w:val="26"/>
        </w:rPr>
        <w:t>’s</w:t>
      </w:r>
      <w:r w:rsidR="00CA6A9D" w:rsidRPr="007F70DF">
        <w:rPr>
          <w:rFonts w:eastAsia="Calibri" w:cs="Times New Roman"/>
          <w:szCs w:val="26"/>
        </w:rPr>
        <w:t xml:space="preserve"> claimed Engineering Contractual S</w:t>
      </w:r>
      <w:r w:rsidR="00FA3609">
        <w:rPr>
          <w:rFonts w:eastAsia="Calibri" w:cs="Times New Roman"/>
          <w:szCs w:val="26"/>
        </w:rPr>
        <w:t>ervices expense of $13,500.  Specifically, the OCA objected to the i</w:t>
      </w:r>
      <w:r w:rsidR="00B253FB">
        <w:rPr>
          <w:rFonts w:eastAsia="Calibri" w:cs="Times New Roman"/>
          <w:szCs w:val="26"/>
        </w:rPr>
        <w:t xml:space="preserve">nclusion of </w:t>
      </w:r>
      <w:r w:rsidR="00FA3609">
        <w:rPr>
          <w:rFonts w:eastAsia="Calibri" w:cs="Times New Roman"/>
          <w:szCs w:val="26"/>
        </w:rPr>
        <w:t xml:space="preserve">two invoices from </w:t>
      </w:r>
      <w:r w:rsidR="00CA6A9D" w:rsidRPr="007F70DF">
        <w:rPr>
          <w:rFonts w:eastAsia="Calibri" w:cs="Times New Roman"/>
          <w:szCs w:val="26"/>
        </w:rPr>
        <w:t>Ro</w:t>
      </w:r>
      <w:r w:rsidR="00FA3609">
        <w:rPr>
          <w:rFonts w:eastAsia="Calibri" w:cs="Times New Roman"/>
          <w:szCs w:val="26"/>
        </w:rPr>
        <w:t>nald F. Weigel Consulting that totaled</w:t>
      </w:r>
      <w:r w:rsidR="00B253FB">
        <w:rPr>
          <w:rFonts w:eastAsia="Calibri" w:cs="Times New Roman"/>
          <w:szCs w:val="26"/>
        </w:rPr>
        <w:t xml:space="preserve"> $5,505.  </w:t>
      </w:r>
      <w:r w:rsidR="00CA6A9D" w:rsidRPr="007F70DF">
        <w:rPr>
          <w:rFonts w:eastAsia="Calibri" w:cs="Times New Roman"/>
          <w:szCs w:val="26"/>
        </w:rPr>
        <w:t>The Company des</w:t>
      </w:r>
      <w:r w:rsidR="00B253FB">
        <w:rPr>
          <w:rFonts w:eastAsia="Calibri" w:cs="Times New Roman"/>
          <w:szCs w:val="26"/>
        </w:rPr>
        <w:t>cribed the services provided by Mr. Weigel as follows:</w:t>
      </w:r>
    </w:p>
    <w:p w:rsidR="00CA7E9A" w:rsidRPr="007F70DF" w:rsidRDefault="00CA7E9A" w:rsidP="00B253FB">
      <w:pPr>
        <w:ind w:firstLine="720"/>
        <w:contextualSpacing/>
        <w:rPr>
          <w:rFonts w:eastAsia="Calibri" w:cs="Times New Roman"/>
          <w:szCs w:val="26"/>
        </w:rPr>
      </w:pPr>
    </w:p>
    <w:p w:rsidR="00B253FB" w:rsidRDefault="00125EB2" w:rsidP="00CA7E9A">
      <w:pPr>
        <w:spacing w:line="240" w:lineRule="auto"/>
        <w:ind w:left="1440" w:right="1440" w:firstLine="0"/>
        <w:contextualSpacing/>
        <w:rPr>
          <w:rFonts w:eastAsia="Calibri" w:cs="Times New Roman"/>
          <w:szCs w:val="26"/>
        </w:rPr>
      </w:pPr>
      <w:r w:rsidRPr="007F70DF">
        <w:rPr>
          <w:rFonts w:eastAsia="Calibri" w:cs="Times New Roman"/>
          <w:szCs w:val="26"/>
        </w:rPr>
        <w:t xml:space="preserve">Mr. </w:t>
      </w:r>
      <w:r w:rsidR="00CA6A9D" w:rsidRPr="007F70DF">
        <w:rPr>
          <w:rFonts w:eastAsia="Calibri" w:cs="Times New Roman"/>
          <w:szCs w:val="26"/>
        </w:rPr>
        <w:t>Weigel monitored public meetings, orders issued by the Commission, and rulemakings of potential interest to, or affecting, the Company.  Assisted management in evaluating potential regulatory filings and reviewed filings prepared by the Co</w:t>
      </w:r>
      <w:r w:rsidR="00B253FB">
        <w:rPr>
          <w:rFonts w:eastAsia="Calibri" w:cs="Times New Roman"/>
          <w:szCs w:val="26"/>
        </w:rPr>
        <w:t>mpany’s lawyers or consultants.</w:t>
      </w:r>
    </w:p>
    <w:p w:rsidR="00B253FB" w:rsidRDefault="00B253FB" w:rsidP="00BA77A1">
      <w:pPr>
        <w:spacing w:line="240" w:lineRule="auto"/>
        <w:ind w:left="1440" w:right="1440"/>
        <w:contextualSpacing/>
        <w:rPr>
          <w:rFonts w:eastAsia="Calibri" w:cs="Times New Roman"/>
          <w:szCs w:val="26"/>
        </w:rPr>
      </w:pPr>
    </w:p>
    <w:p w:rsidR="00504CBF" w:rsidRPr="007F70DF" w:rsidRDefault="00B253FB" w:rsidP="00CA7E9A">
      <w:pPr>
        <w:ind w:firstLine="0"/>
        <w:contextualSpacing/>
        <w:jc w:val="both"/>
        <w:rPr>
          <w:rFonts w:eastAsia="Calibri" w:cs="Times New Roman"/>
          <w:szCs w:val="26"/>
        </w:rPr>
      </w:pPr>
      <w:r>
        <w:rPr>
          <w:rFonts w:eastAsia="Calibri" w:cs="Times New Roman"/>
          <w:szCs w:val="26"/>
        </w:rPr>
        <w:t>OCA St. 1 at 22-23</w:t>
      </w:r>
      <w:r w:rsidR="00CA6A9D" w:rsidRPr="007F70DF">
        <w:rPr>
          <w:rFonts w:eastAsia="Calibri" w:cs="Times New Roman"/>
          <w:szCs w:val="26"/>
        </w:rPr>
        <w:t xml:space="preserve"> (quoting CWC response to OCA Set III-31).</w:t>
      </w:r>
    </w:p>
    <w:p w:rsidR="00504CBF" w:rsidRPr="007F70DF" w:rsidRDefault="00504CBF" w:rsidP="00047866">
      <w:pPr>
        <w:contextualSpacing/>
        <w:jc w:val="both"/>
        <w:rPr>
          <w:rFonts w:eastAsia="Calibri" w:cs="Times New Roman"/>
          <w:szCs w:val="26"/>
        </w:rPr>
      </w:pPr>
    </w:p>
    <w:p w:rsidR="00A225D8" w:rsidRDefault="00FA3609" w:rsidP="00047866">
      <w:pPr>
        <w:contextualSpacing/>
        <w:rPr>
          <w:rFonts w:eastAsia="Calibri" w:cs="Times New Roman"/>
          <w:szCs w:val="26"/>
        </w:rPr>
      </w:pPr>
      <w:r>
        <w:rPr>
          <w:rFonts w:eastAsia="Calibri" w:cs="Times New Roman"/>
          <w:szCs w:val="26"/>
        </w:rPr>
        <w:t>The OCA first argued that this amount should be transferred to Rate Case</w:t>
      </w:r>
      <w:r w:rsidR="00B253FB">
        <w:rPr>
          <w:rFonts w:eastAsia="Calibri" w:cs="Times New Roman"/>
          <w:szCs w:val="26"/>
        </w:rPr>
        <w:t xml:space="preserve"> Expense based on the assumption </w:t>
      </w:r>
      <w:r>
        <w:rPr>
          <w:rFonts w:eastAsia="Calibri" w:cs="Times New Roman"/>
          <w:szCs w:val="26"/>
        </w:rPr>
        <w:t>that the invoices related to the preparation of the current rate case</w:t>
      </w:r>
      <w:r w:rsidR="00B253FB">
        <w:rPr>
          <w:rFonts w:eastAsia="Calibri" w:cs="Times New Roman"/>
          <w:szCs w:val="26"/>
        </w:rPr>
        <w:t xml:space="preserve">.  </w:t>
      </w:r>
      <w:r w:rsidR="00B253FB" w:rsidRPr="00B253FB">
        <w:rPr>
          <w:rFonts w:eastAsia="Calibri" w:cs="Times New Roman"/>
          <w:i/>
          <w:szCs w:val="26"/>
        </w:rPr>
        <w:t>Id</w:t>
      </w:r>
      <w:r w:rsidR="00B253FB">
        <w:rPr>
          <w:rFonts w:eastAsia="Calibri" w:cs="Times New Roman"/>
          <w:szCs w:val="26"/>
        </w:rPr>
        <w:t xml:space="preserve">.  </w:t>
      </w:r>
      <w:r w:rsidR="00CA6A9D" w:rsidRPr="007F70DF">
        <w:rPr>
          <w:rFonts w:eastAsia="Calibri" w:cs="Times New Roman"/>
          <w:szCs w:val="26"/>
        </w:rPr>
        <w:t>In rebuttal, the Company clarified that Mr. Weigel’s services were, instead, related to the ac</w:t>
      </w:r>
      <w:r w:rsidR="00B253FB">
        <w:rPr>
          <w:rFonts w:eastAsia="Calibri" w:cs="Times New Roman"/>
          <w:szCs w:val="26"/>
        </w:rPr>
        <w:t>quisition of MGWC</w:t>
      </w:r>
      <w:r w:rsidR="00CA6A9D" w:rsidRPr="007F70DF">
        <w:rPr>
          <w:rFonts w:eastAsia="Calibri" w:cs="Times New Roman"/>
          <w:szCs w:val="26"/>
        </w:rPr>
        <w:t xml:space="preserve"> and for ongoing monitoring of the Commission.  CWC St. 1R at 3.  </w:t>
      </w:r>
      <w:r w:rsidR="00B253FB">
        <w:rPr>
          <w:rFonts w:eastAsia="Calibri" w:cs="Times New Roman"/>
          <w:szCs w:val="26"/>
        </w:rPr>
        <w:t xml:space="preserve">The OCA then argued that the entire expense should be disallowed based on the </w:t>
      </w:r>
      <w:r w:rsidR="00B253FB">
        <w:rPr>
          <w:rFonts w:eastAsia="Calibri" w:cs="Times New Roman"/>
          <w:szCs w:val="26"/>
        </w:rPr>
        <w:lastRenderedPageBreak/>
        <w:t xml:space="preserve">assumption that the services related </w:t>
      </w:r>
      <w:r w:rsidR="00AA08C6">
        <w:rPr>
          <w:rFonts w:eastAsia="Calibri" w:cs="Times New Roman"/>
          <w:szCs w:val="26"/>
        </w:rPr>
        <w:t xml:space="preserve">to the acquisition </w:t>
      </w:r>
      <w:r w:rsidR="00B253FB">
        <w:rPr>
          <w:rFonts w:eastAsia="Calibri" w:cs="Times New Roman"/>
          <w:szCs w:val="26"/>
        </w:rPr>
        <w:t xml:space="preserve">of the Marietta Division.  OCA St. 1R at 8:3-10.  </w:t>
      </w:r>
      <w:r w:rsidR="00CA6A9D" w:rsidRPr="007F70DF">
        <w:rPr>
          <w:rFonts w:eastAsia="Calibri" w:cs="Times New Roman"/>
          <w:szCs w:val="26"/>
        </w:rPr>
        <w:t xml:space="preserve">In rejoinder, the Company provided examples of some </w:t>
      </w:r>
      <w:r w:rsidR="00B253FB">
        <w:rPr>
          <w:rFonts w:eastAsia="Calibri" w:cs="Times New Roman"/>
          <w:szCs w:val="26"/>
        </w:rPr>
        <w:t xml:space="preserve">regulatory matters unrelated to the acquisition of MGWC for which it would </w:t>
      </w:r>
      <w:r w:rsidR="00CA6A9D" w:rsidRPr="007F70DF">
        <w:rPr>
          <w:rFonts w:eastAsia="Calibri" w:cs="Times New Roman"/>
          <w:szCs w:val="26"/>
        </w:rPr>
        <w:t xml:space="preserve">use a consultant like Mr. Weigel.  Tr. 110-111; CWC Rejoinder Exhs. 1, 2.  </w:t>
      </w:r>
    </w:p>
    <w:p w:rsidR="00A225D8" w:rsidRDefault="00A225D8" w:rsidP="00047866">
      <w:pPr>
        <w:contextualSpacing/>
        <w:rPr>
          <w:rFonts w:eastAsia="Calibri" w:cs="Times New Roman"/>
          <w:szCs w:val="26"/>
        </w:rPr>
      </w:pPr>
    </w:p>
    <w:p w:rsidR="00A225D8" w:rsidRPr="00A225D8" w:rsidRDefault="00A225D8" w:rsidP="005F2108">
      <w:pPr>
        <w:keepNext/>
        <w:spacing w:line="240" w:lineRule="auto"/>
        <w:ind w:firstLine="720"/>
        <w:contextualSpacing/>
        <w:rPr>
          <w:rFonts w:eastAsia="Calibri" w:cs="Times New Roman"/>
          <w:b/>
          <w:szCs w:val="26"/>
        </w:rPr>
      </w:pPr>
      <w:r>
        <w:rPr>
          <w:rFonts w:eastAsia="Calibri" w:cs="Times New Roman"/>
          <w:szCs w:val="26"/>
        </w:rPr>
        <w:t xml:space="preserve"> </w:t>
      </w:r>
      <w:r>
        <w:rPr>
          <w:rFonts w:eastAsia="Calibri" w:cs="Times New Roman"/>
          <w:szCs w:val="26"/>
        </w:rPr>
        <w:tab/>
      </w:r>
      <w:r>
        <w:rPr>
          <w:rFonts w:eastAsia="Calibri" w:cs="Times New Roman"/>
          <w:szCs w:val="26"/>
        </w:rPr>
        <w:tab/>
      </w:r>
      <w:r w:rsidRPr="00A225D8">
        <w:rPr>
          <w:rFonts w:eastAsia="Calibri" w:cs="Times New Roman"/>
          <w:b/>
          <w:szCs w:val="26"/>
        </w:rPr>
        <w:t>b.</w:t>
      </w:r>
      <w:r w:rsidRPr="00A225D8">
        <w:rPr>
          <w:rFonts w:eastAsia="Calibri" w:cs="Times New Roman"/>
          <w:b/>
          <w:szCs w:val="26"/>
        </w:rPr>
        <w:tab/>
        <w:t>ALJ’s Recommendation</w:t>
      </w:r>
    </w:p>
    <w:p w:rsidR="00A225D8" w:rsidRDefault="00A225D8" w:rsidP="005F2108">
      <w:pPr>
        <w:keepNext/>
        <w:ind w:firstLine="720"/>
        <w:contextualSpacing/>
        <w:rPr>
          <w:rFonts w:eastAsia="Calibri" w:cs="Times New Roman"/>
          <w:szCs w:val="26"/>
        </w:rPr>
      </w:pPr>
    </w:p>
    <w:p w:rsidR="00CA6A9D" w:rsidRDefault="00B253FB" w:rsidP="005F2108">
      <w:pPr>
        <w:keepNext/>
        <w:contextualSpacing/>
        <w:rPr>
          <w:rFonts w:eastAsia="Calibri" w:cs="Times New Roman"/>
          <w:szCs w:val="26"/>
        </w:rPr>
      </w:pPr>
      <w:r>
        <w:rPr>
          <w:rFonts w:eastAsia="Calibri" w:cs="Times New Roman"/>
          <w:szCs w:val="26"/>
        </w:rPr>
        <w:t xml:space="preserve">The ALJ agreed with the OCA and recommended that $5,505 of the Company’s expense for </w:t>
      </w:r>
      <w:r w:rsidR="00994D91">
        <w:rPr>
          <w:rFonts w:eastAsia="Calibri" w:cs="Times New Roman"/>
          <w:szCs w:val="26"/>
        </w:rPr>
        <w:t xml:space="preserve">Engineering Contractual Services be disallowed.  The ALJ reasoned that </w:t>
      </w:r>
      <w:r w:rsidRPr="007F70DF">
        <w:rPr>
          <w:rFonts w:eastAsia="Calibri" w:cs="Times New Roman"/>
          <w:szCs w:val="26"/>
        </w:rPr>
        <w:t xml:space="preserve">Columbia never identified what portion – if any – of the </w:t>
      </w:r>
      <w:r w:rsidR="00994D91">
        <w:rPr>
          <w:rFonts w:eastAsia="Calibri" w:cs="Times New Roman"/>
          <w:szCs w:val="26"/>
        </w:rPr>
        <w:t>disputed invoices were un</w:t>
      </w:r>
      <w:r w:rsidRPr="007F70DF">
        <w:rPr>
          <w:rFonts w:eastAsia="Calibri" w:cs="Times New Roman"/>
          <w:szCs w:val="26"/>
        </w:rPr>
        <w:t xml:space="preserve">related to the </w:t>
      </w:r>
      <w:r w:rsidR="00994D91">
        <w:rPr>
          <w:rFonts w:eastAsia="Calibri" w:cs="Times New Roman"/>
          <w:szCs w:val="26"/>
        </w:rPr>
        <w:t>acquisition of the</w:t>
      </w:r>
      <w:r w:rsidR="00FA5B0E">
        <w:rPr>
          <w:rFonts w:eastAsia="Calibri" w:cs="Times New Roman"/>
          <w:szCs w:val="26"/>
        </w:rPr>
        <w:t xml:space="preserve"> MGWC</w:t>
      </w:r>
      <w:r w:rsidR="00994D91">
        <w:rPr>
          <w:rFonts w:eastAsia="Calibri" w:cs="Times New Roman"/>
          <w:szCs w:val="26"/>
        </w:rPr>
        <w:t>.  The ALJ stated that, “b</w:t>
      </w:r>
      <w:r w:rsidR="00125EB2" w:rsidRPr="007F70DF">
        <w:rPr>
          <w:rFonts w:eastAsia="Calibri" w:cs="Times New Roman"/>
          <w:szCs w:val="26"/>
        </w:rPr>
        <w:t xml:space="preserve">ecause Columbia has not met the criteria for the utility to include an amortization of the acquisition adjustment expenses and it is not appropriate for the Columbia Division to pay all of the acquisition expenses related to the purchase of </w:t>
      </w:r>
      <w:r w:rsidR="00FA5B0E">
        <w:rPr>
          <w:rFonts w:eastAsia="Calibri" w:cs="Times New Roman"/>
          <w:szCs w:val="26"/>
        </w:rPr>
        <w:t>the MGWC</w:t>
      </w:r>
      <w:r w:rsidR="00125EB2" w:rsidRPr="007F70DF">
        <w:rPr>
          <w:rFonts w:eastAsia="Calibri" w:cs="Times New Roman"/>
          <w:szCs w:val="26"/>
        </w:rPr>
        <w:t xml:space="preserve">, </w:t>
      </w:r>
      <w:r w:rsidR="00CC0BE3" w:rsidRPr="007F70DF">
        <w:rPr>
          <w:rFonts w:eastAsia="Calibri" w:cs="Times New Roman"/>
          <w:szCs w:val="26"/>
        </w:rPr>
        <w:t xml:space="preserve">and because it appears that Mr. Weigel’s services are related directly to that acquisition and not to this rate case, </w:t>
      </w:r>
      <w:r w:rsidR="00125EB2" w:rsidRPr="007F70DF">
        <w:rPr>
          <w:rFonts w:eastAsia="Calibri" w:cs="Times New Roman"/>
          <w:szCs w:val="26"/>
        </w:rPr>
        <w:t xml:space="preserve">this $5,505 expense </w:t>
      </w:r>
      <w:r w:rsidR="00CC0BE3" w:rsidRPr="007F70DF">
        <w:rPr>
          <w:rFonts w:eastAsia="Calibri" w:cs="Times New Roman"/>
          <w:szCs w:val="26"/>
        </w:rPr>
        <w:t xml:space="preserve">must </w:t>
      </w:r>
      <w:r w:rsidR="00125EB2" w:rsidRPr="007F70DF">
        <w:rPr>
          <w:rFonts w:eastAsia="Calibri" w:cs="Times New Roman"/>
          <w:szCs w:val="26"/>
        </w:rPr>
        <w:t>be removed.</w:t>
      </w:r>
      <w:r w:rsidR="00994D91">
        <w:rPr>
          <w:rFonts w:eastAsia="Calibri" w:cs="Times New Roman"/>
          <w:szCs w:val="26"/>
        </w:rPr>
        <w:t>”  R.D. at 27.</w:t>
      </w:r>
    </w:p>
    <w:p w:rsidR="00A225D8" w:rsidRDefault="00A225D8" w:rsidP="00A225D8">
      <w:pPr>
        <w:contextualSpacing/>
        <w:rPr>
          <w:rFonts w:eastAsia="Calibri" w:cs="Times New Roman"/>
          <w:szCs w:val="26"/>
        </w:rPr>
      </w:pPr>
    </w:p>
    <w:p w:rsidR="00A225D8" w:rsidRDefault="00A225D8" w:rsidP="00CA7E9A">
      <w:pPr>
        <w:spacing w:line="240" w:lineRule="auto"/>
        <w:contextualSpacing/>
        <w:rPr>
          <w:rFonts w:eastAsia="Calibri" w:cs="Times New Roman"/>
          <w:b/>
          <w:szCs w:val="26"/>
        </w:rPr>
      </w:pPr>
      <w:r>
        <w:rPr>
          <w:rFonts w:eastAsia="Calibri" w:cs="Times New Roman"/>
          <w:szCs w:val="26"/>
        </w:rPr>
        <w:tab/>
      </w:r>
      <w:r>
        <w:rPr>
          <w:rFonts w:eastAsia="Calibri" w:cs="Times New Roman"/>
          <w:b/>
          <w:szCs w:val="26"/>
        </w:rPr>
        <w:t>c.</w:t>
      </w:r>
      <w:r>
        <w:rPr>
          <w:rFonts w:eastAsia="Calibri" w:cs="Times New Roman"/>
          <w:b/>
          <w:szCs w:val="26"/>
        </w:rPr>
        <w:tab/>
        <w:t>Exceptions and Reply Exceptions</w:t>
      </w:r>
    </w:p>
    <w:p w:rsidR="00DE0C27" w:rsidRDefault="00DE0C27" w:rsidP="00A225D8">
      <w:pPr>
        <w:contextualSpacing/>
        <w:rPr>
          <w:rFonts w:eastAsia="Calibri" w:cs="Times New Roman"/>
          <w:b/>
          <w:szCs w:val="26"/>
        </w:rPr>
      </w:pPr>
    </w:p>
    <w:p w:rsidR="00DE0C27" w:rsidRPr="00DE0C27" w:rsidRDefault="00DE0C27" w:rsidP="00A225D8">
      <w:pPr>
        <w:contextualSpacing/>
        <w:rPr>
          <w:rFonts w:eastAsia="Calibri" w:cs="Times New Roman"/>
          <w:szCs w:val="26"/>
        </w:rPr>
      </w:pPr>
      <w:r>
        <w:rPr>
          <w:rFonts w:eastAsia="Calibri" w:cs="Times New Roman"/>
          <w:szCs w:val="26"/>
        </w:rPr>
        <w:t>No Party filed an Exception to the ALJ’s recommendation on this issue.</w:t>
      </w:r>
    </w:p>
    <w:p w:rsidR="00A225D8" w:rsidRDefault="00A225D8" w:rsidP="00A225D8">
      <w:pPr>
        <w:contextualSpacing/>
        <w:rPr>
          <w:rFonts w:eastAsia="Calibri" w:cs="Times New Roman"/>
          <w:b/>
          <w:szCs w:val="26"/>
        </w:rPr>
      </w:pPr>
    </w:p>
    <w:p w:rsidR="00A225D8" w:rsidRDefault="00A225D8" w:rsidP="00CA7E9A">
      <w:pPr>
        <w:spacing w:line="240" w:lineRule="auto"/>
        <w:contextualSpacing/>
        <w:rPr>
          <w:rFonts w:eastAsia="Calibri" w:cs="Times New Roman"/>
          <w:b/>
          <w:szCs w:val="26"/>
        </w:rPr>
      </w:pPr>
      <w:r>
        <w:rPr>
          <w:rFonts w:eastAsia="Calibri" w:cs="Times New Roman"/>
          <w:b/>
          <w:szCs w:val="26"/>
        </w:rPr>
        <w:tab/>
        <w:t>d.</w:t>
      </w:r>
      <w:r>
        <w:rPr>
          <w:rFonts w:eastAsia="Calibri" w:cs="Times New Roman"/>
          <w:b/>
          <w:szCs w:val="26"/>
        </w:rPr>
        <w:tab/>
        <w:t>Disposition</w:t>
      </w:r>
    </w:p>
    <w:p w:rsidR="00CA7E9A" w:rsidRPr="004501E7" w:rsidRDefault="00CA7E9A" w:rsidP="00A225D8">
      <w:pPr>
        <w:contextualSpacing/>
        <w:rPr>
          <w:rFonts w:eastAsia="Calibri" w:cs="Times New Roman"/>
          <w:szCs w:val="26"/>
        </w:rPr>
      </w:pPr>
    </w:p>
    <w:p w:rsidR="00DE0C27" w:rsidRDefault="004501E7" w:rsidP="00A225D8">
      <w:pPr>
        <w:contextualSpacing/>
        <w:rPr>
          <w:rFonts w:eastAsia="Calibri" w:cs="Times New Roman"/>
          <w:b/>
          <w:szCs w:val="26"/>
        </w:rPr>
      </w:pPr>
      <w:r>
        <w:rPr>
          <w:rFonts w:eastAsia="Calibri" w:cs="Times New Roman"/>
          <w:szCs w:val="26"/>
        </w:rPr>
        <w:t xml:space="preserve">We agree with the ALJ that the </w:t>
      </w:r>
      <w:r w:rsidR="00B52970">
        <w:rPr>
          <w:rFonts w:eastAsia="Calibri" w:cs="Times New Roman"/>
          <w:szCs w:val="26"/>
        </w:rPr>
        <w:t xml:space="preserve">Company’s </w:t>
      </w:r>
      <w:r>
        <w:rPr>
          <w:rFonts w:eastAsia="Calibri" w:cs="Times New Roman"/>
          <w:szCs w:val="26"/>
        </w:rPr>
        <w:t xml:space="preserve">$5,505 claim for “engineering services” should be rejected.  </w:t>
      </w:r>
      <w:r w:rsidR="00FA5B0E">
        <w:rPr>
          <w:rFonts w:eastAsia="Calibri" w:cs="Times New Roman"/>
          <w:szCs w:val="26"/>
        </w:rPr>
        <w:t xml:space="preserve">We find that in response to the challenge by the OCA, the </w:t>
      </w:r>
      <w:r w:rsidR="00B52970">
        <w:rPr>
          <w:rFonts w:eastAsia="Calibri" w:cs="Times New Roman"/>
          <w:szCs w:val="26"/>
        </w:rPr>
        <w:t xml:space="preserve">Company has </w:t>
      </w:r>
      <w:r w:rsidR="00EE5D88">
        <w:rPr>
          <w:rFonts w:eastAsia="Calibri" w:cs="Times New Roman"/>
          <w:szCs w:val="26"/>
        </w:rPr>
        <w:t xml:space="preserve">not </w:t>
      </w:r>
      <w:r w:rsidR="00FA5B0E">
        <w:rPr>
          <w:rFonts w:eastAsia="Calibri" w:cs="Times New Roman"/>
          <w:szCs w:val="26"/>
        </w:rPr>
        <w:t xml:space="preserve">met its burden of proof that these services are either </w:t>
      </w:r>
      <w:r w:rsidR="00AA08C6">
        <w:rPr>
          <w:rFonts w:eastAsia="Calibri" w:cs="Times New Roman"/>
          <w:szCs w:val="26"/>
        </w:rPr>
        <w:t>un</w:t>
      </w:r>
      <w:r w:rsidR="00FA5B0E">
        <w:rPr>
          <w:rFonts w:eastAsia="Calibri" w:cs="Times New Roman"/>
          <w:szCs w:val="26"/>
        </w:rPr>
        <w:t xml:space="preserve">related to the acquisition of the MGWC or </w:t>
      </w:r>
      <w:r w:rsidR="00AA08C6">
        <w:rPr>
          <w:rFonts w:eastAsia="Calibri" w:cs="Times New Roman"/>
          <w:szCs w:val="26"/>
        </w:rPr>
        <w:t xml:space="preserve">related </w:t>
      </w:r>
      <w:r w:rsidR="00FA5B0E">
        <w:rPr>
          <w:rFonts w:eastAsia="Calibri" w:cs="Times New Roman"/>
          <w:szCs w:val="26"/>
        </w:rPr>
        <w:t xml:space="preserve">the preparation of the instant rate proceeding. </w:t>
      </w:r>
    </w:p>
    <w:p w:rsidR="00DE0C27" w:rsidRPr="00A225D8" w:rsidRDefault="00DE0C27" w:rsidP="00A225D8">
      <w:pPr>
        <w:contextualSpacing/>
        <w:rPr>
          <w:rFonts w:eastAsia="Calibri" w:cs="Times New Roman"/>
          <w:b/>
          <w:szCs w:val="26"/>
        </w:rPr>
      </w:pPr>
    </w:p>
    <w:p w:rsidR="00A225D8" w:rsidRPr="00031046" w:rsidRDefault="00A225D8" w:rsidP="00992768">
      <w:pPr>
        <w:pStyle w:val="Heading3"/>
        <w:rPr>
          <w:rStyle w:val="Heading3Char"/>
          <w:rFonts w:ascii="Times New Roman" w:hAnsi="Times New Roman" w:cs="Times New Roman"/>
          <w:b/>
        </w:rPr>
      </w:pPr>
      <w:bookmarkStart w:id="28" w:name="_Toc367958621"/>
      <w:bookmarkStart w:id="29" w:name="_Toc378080165"/>
      <w:r w:rsidRPr="00031046">
        <w:rPr>
          <w:rFonts w:ascii="Times New Roman" w:hAnsi="Times New Roman" w:cs="Times New Roman"/>
          <w:iCs/>
          <w:szCs w:val="26"/>
        </w:rPr>
        <w:lastRenderedPageBreak/>
        <w:t>4</w:t>
      </w:r>
      <w:r w:rsidR="00CA6A9D" w:rsidRPr="00031046">
        <w:rPr>
          <w:rFonts w:ascii="Times New Roman" w:hAnsi="Times New Roman" w:cs="Times New Roman"/>
          <w:iCs/>
          <w:szCs w:val="26"/>
        </w:rPr>
        <w:t>.</w:t>
      </w:r>
      <w:r w:rsidR="00CA6A9D" w:rsidRPr="00031046">
        <w:rPr>
          <w:rFonts w:ascii="Times New Roman" w:hAnsi="Times New Roman" w:cs="Times New Roman"/>
          <w:iCs/>
          <w:szCs w:val="26"/>
        </w:rPr>
        <w:tab/>
      </w:r>
      <w:r w:rsidR="00CA6A9D" w:rsidRPr="00031046">
        <w:rPr>
          <w:rStyle w:val="Heading3Char"/>
          <w:rFonts w:ascii="Times New Roman" w:hAnsi="Times New Roman" w:cs="Times New Roman"/>
          <w:b/>
        </w:rPr>
        <w:t>Bad Debt Expense</w:t>
      </w:r>
      <w:bookmarkEnd w:id="28"/>
      <w:bookmarkEnd w:id="29"/>
    </w:p>
    <w:p w:rsidR="00A225D8" w:rsidRPr="00031046" w:rsidRDefault="00FA2D12" w:rsidP="00FA2D12">
      <w:pPr>
        <w:keepNext/>
        <w:tabs>
          <w:tab w:val="left" w:pos="3345"/>
        </w:tabs>
        <w:ind w:left="1440"/>
        <w:contextualSpacing/>
        <w:jc w:val="both"/>
        <w:outlineLvl w:val="1"/>
        <w:rPr>
          <w:rFonts w:cs="Times New Roman"/>
          <w:b/>
          <w:bCs/>
          <w:iCs/>
          <w:szCs w:val="26"/>
        </w:rPr>
      </w:pPr>
      <w:r w:rsidRPr="00031046">
        <w:rPr>
          <w:rFonts w:cs="Times New Roman"/>
          <w:b/>
          <w:bCs/>
          <w:iCs/>
          <w:szCs w:val="26"/>
        </w:rPr>
        <w:tab/>
      </w:r>
    </w:p>
    <w:p w:rsidR="00FA2D12" w:rsidRPr="00031046" w:rsidRDefault="00A225D8" w:rsidP="00EE5D88">
      <w:pPr>
        <w:keepNext/>
        <w:spacing w:line="240" w:lineRule="auto"/>
        <w:ind w:firstLine="2160"/>
        <w:rPr>
          <w:rFonts w:cs="Times New Roman"/>
          <w:b/>
        </w:rPr>
      </w:pPr>
      <w:r w:rsidRPr="00031046">
        <w:rPr>
          <w:rFonts w:cs="Times New Roman"/>
          <w:b/>
        </w:rPr>
        <w:t>a.</w:t>
      </w:r>
      <w:r w:rsidRPr="00031046">
        <w:rPr>
          <w:rFonts w:cs="Times New Roman"/>
          <w:b/>
        </w:rPr>
        <w:tab/>
      </w:r>
      <w:r w:rsidR="00FA2D12" w:rsidRPr="00031046">
        <w:rPr>
          <w:rFonts w:cs="Times New Roman"/>
          <w:b/>
        </w:rPr>
        <w:t>Positions of the Parties</w:t>
      </w:r>
    </w:p>
    <w:p w:rsidR="00FA2D12" w:rsidRPr="00031046" w:rsidRDefault="00FA2D12" w:rsidP="00FA2D12">
      <w:pPr>
        <w:keepNext/>
        <w:rPr>
          <w:rFonts w:cs="Times New Roman"/>
        </w:rPr>
      </w:pPr>
    </w:p>
    <w:p w:rsidR="00FA2D12" w:rsidRPr="007F70DF" w:rsidRDefault="00FA2D12" w:rsidP="00FA2D12">
      <w:pPr>
        <w:keepNext/>
        <w:rPr>
          <w:rFonts w:eastAsia="Calibri"/>
        </w:rPr>
      </w:pPr>
      <w:r w:rsidRPr="007F70DF">
        <w:rPr>
          <w:rFonts w:eastAsia="Calibri"/>
        </w:rPr>
        <w:t xml:space="preserve">Columbia claimed </w:t>
      </w:r>
      <w:r w:rsidRPr="007F70DF">
        <w:rPr>
          <w:rFonts w:eastAsia="Calibri"/>
          <w:i/>
        </w:rPr>
        <w:t>pro forma</w:t>
      </w:r>
      <w:r w:rsidRPr="007F70DF">
        <w:rPr>
          <w:rFonts w:eastAsia="Calibri"/>
        </w:rPr>
        <w:t xml:space="preserve"> bad debt</w:t>
      </w:r>
      <w:r>
        <w:rPr>
          <w:rFonts w:eastAsia="Calibri"/>
        </w:rPr>
        <w:t xml:space="preserve"> expense of $11,000.  </w:t>
      </w:r>
      <w:r w:rsidRPr="007F70DF">
        <w:rPr>
          <w:rFonts w:eastAsia="Calibri"/>
        </w:rPr>
        <w:t xml:space="preserve">The </w:t>
      </w:r>
      <w:r>
        <w:rPr>
          <w:rFonts w:eastAsia="Calibri"/>
        </w:rPr>
        <w:t>OCA argued</w:t>
      </w:r>
      <w:r w:rsidRPr="007F70DF">
        <w:rPr>
          <w:rFonts w:eastAsia="Calibri"/>
        </w:rPr>
        <w:t xml:space="preserve"> that the claim should be adjusted </w:t>
      </w:r>
      <w:r>
        <w:rPr>
          <w:rFonts w:eastAsia="Calibri"/>
        </w:rPr>
        <w:t xml:space="preserve">downward by $1,808 </w:t>
      </w:r>
      <w:r w:rsidRPr="007F70DF">
        <w:rPr>
          <w:rFonts w:eastAsia="Calibri"/>
        </w:rPr>
        <w:t xml:space="preserve">to reflect a four year historical average of $9,192.  OCA St. 1 at 24-25; OCA St. 1S at 9-12.  </w:t>
      </w:r>
      <w:r>
        <w:rPr>
          <w:rFonts w:eastAsia="Calibri"/>
        </w:rPr>
        <w:t>The OCA contended</w:t>
      </w:r>
      <w:r w:rsidRPr="007F70DF">
        <w:rPr>
          <w:rFonts w:eastAsia="Calibri"/>
        </w:rPr>
        <w:t xml:space="preserve"> that a four year historical average of actual bad debt expense accounts for variations from year to year</w:t>
      </w:r>
      <w:r w:rsidR="00031046">
        <w:rPr>
          <w:rFonts w:eastAsia="Calibri"/>
        </w:rPr>
        <w:t>, and</w:t>
      </w:r>
      <w:r w:rsidRPr="007F70DF">
        <w:rPr>
          <w:rFonts w:eastAsia="Calibri"/>
        </w:rPr>
        <w:t xml:space="preserve"> is a more accurate method to estimate future bad</w:t>
      </w:r>
      <w:r>
        <w:rPr>
          <w:rFonts w:eastAsia="Calibri"/>
        </w:rPr>
        <w:t xml:space="preserve"> debt expense.</w:t>
      </w:r>
    </w:p>
    <w:p w:rsidR="00361A26" w:rsidRPr="007F70DF" w:rsidRDefault="00361A26" w:rsidP="00047866">
      <w:pPr>
        <w:ind w:firstLine="720"/>
        <w:contextualSpacing/>
        <w:jc w:val="both"/>
        <w:rPr>
          <w:rFonts w:eastAsia="Calibri" w:cs="Times New Roman"/>
          <w:szCs w:val="26"/>
        </w:rPr>
      </w:pPr>
    </w:p>
    <w:p w:rsidR="00361A26" w:rsidRPr="007F70DF" w:rsidRDefault="00DE0C27" w:rsidP="002F1946">
      <w:pPr>
        <w:contextualSpacing/>
        <w:rPr>
          <w:rFonts w:eastAsia="Calibri" w:cs="Times New Roman"/>
          <w:szCs w:val="26"/>
        </w:rPr>
      </w:pPr>
      <w:r>
        <w:rPr>
          <w:rFonts w:eastAsia="Calibri" w:cs="Times New Roman"/>
          <w:szCs w:val="26"/>
        </w:rPr>
        <w:t>Columbia argued</w:t>
      </w:r>
      <w:r w:rsidR="00361A26" w:rsidRPr="007F70DF">
        <w:rPr>
          <w:rFonts w:eastAsia="Calibri" w:cs="Times New Roman"/>
          <w:szCs w:val="26"/>
        </w:rPr>
        <w:t xml:space="preserve"> </w:t>
      </w:r>
      <w:r w:rsidR="00CA6A9D" w:rsidRPr="007F70DF">
        <w:rPr>
          <w:rFonts w:eastAsia="Calibri" w:cs="Times New Roman"/>
          <w:szCs w:val="26"/>
        </w:rPr>
        <w:t>that an increase in the bad debt ex</w:t>
      </w:r>
      <w:r w:rsidR="002F1946">
        <w:rPr>
          <w:rFonts w:eastAsia="Calibri" w:cs="Times New Roman"/>
          <w:szCs w:val="26"/>
        </w:rPr>
        <w:t xml:space="preserve">pense of $564 over its </w:t>
      </w:r>
      <w:r w:rsidR="00CA6A9D" w:rsidRPr="007F70DF">
        <w:rPr>
          <w:rFonts w:eastAsia="Calibri" w:cs="Times New Roman"/>
          <w:szCs w:val="26"/>
        </w:rPr>
        <w:t>2012 expense is appropriate because “the real world of utility management recognizes that with customer rate increases, bad debt expense will likely increase because additional customers become delinquent on their water bills.”  CWC St. 2R at 15.  Co</w:t>
      </w:r>
      <w:r w:rsidR="00361A26" w:rsidRPr="007F70DF">
        <w:rPr>
          <w:rFonts w:eastAsia="Calibri" w:cs="Times New Roman"/>
          <w:szCs w:val="26"/>
        </w:rPr>
        <w:t xml:space="preserve">lumbia </w:t>
      </w:r>
      <w:r>
        <w:rPr>
          <w:rFonts w:eastAsia="Calibri" w:cs="Times New Roman"/>
          <w:szCs w:val="26"/>
        </w:rPr>
        <w:t>argued</w:t>
      </w:r>
      <w:r w:rsidR="00CA6A9D" w:rsidRPr="007F70DF">
        <w:rPr>
          <w:rFonts w:eastAsia="Calibri" w:cs="Times New Roman"/>
          <w:szCs w:val="26"/>
        </w:rPr>
        <w:t xml:space="preserve"> that the claimed bad debt expense of $11,000 is reasonable because it only amounts to 0.23% of the Company’s proposed billed revenues.  CWC St. 2R at 16.</w:t>
      </w:r>
    </w:p>
    <w:p w:rsidR="00A225D8" w:rsidRDefault="002F1946" w:rsidP="002F1946">
      <w:pPr>
        <w:contextualSpacing/>
        <w:rPr>
          <w:rFonts w:eastAsia="Calibri" w:cs="Times New Roman"/>
          <w:szCs w:val="26"/>
        </w:rPr>
      </w:pPr>
      <w:r>
        <w:rPr>
          <w:rFonts w:eastAsia="Calibri" w:cs="Times New Roman"/>
          <w:szCs w:val="26"/>
        </w:rPr>
        <w:tab/>
      </w:r>
    </w:p>
    <w:p w:rsidR="00A225D8" w:rsidRPr="00A225D8" w:rsidRDefault="00A225D8" w:rsidP="00FA5B0E">
      <w:pPr>
        <w:spacing w:line="240" w:lineRule="auto"/>
        <w:ind w:right="1008"/>
        <w:contextualSpacing/>
        <w:rPr>
          <w:rFonts w:eastAsia="Calibri" w:cs="Times New Roman"/>
          <w:b/>
          <w:szCs w:val="26"/>
        </w:rPr>
      </w:pPr>
      <w:r>
        <w:rPr>
          <w:rFonts w:eastAsia="Calibri" w:cs="Times New Roman"/>
          <w:szCs w:val="26"/>
        </w:rPr>
        <w:tab/>
      </w:r>
      <w:r w:rsidRPr="00A225D8">
        <w:rPr>
          <w:rFonts w:eastAsia="Calibri" w:cs="Times New Roman"/>
          <w:b/>
          <w:szCs w:val="26"/>
        </w:rPr>
        <w:t>b.</w:t>
      </w:r>
      <w:r w:rsidRPr="00A225D8">
        <w:rPr>
          <w:rFonts w:eastAsia="Calibri" w:cs="Times New Roman"/>
          <w:b/>
          <w:szCs w:val="26"/>
        </w:rPr>
        <w:tab/>
        <w:t>ALJ’s Recommendation</w:t>
      </w:r>
    </w:p>
    <w:p w:rsidR="00AD5F97" w:rsidRPr="007F70DF" w:rsidRDefault="00AD5F97" w:rsidP="00A225D8">
      <w:pPr>
        <w:contextualSpacing/>
        <w:rPr>
          <w:rFonts w:eastAsia="Calibri" w:cs="Times New Roman"/>
          <w:szCs w:val="26"/>
        </w:rPr>
      </w:pPr>
    </w:p>
    <w:p w:rsidR="00361A26" w:rsidRDefault="002F1946" w:rsidP="00A225D8">
      <w:pPr>
        <w:contextualSpacing/>
        <w:rPr>
          <w:rFonts w:eastAsia="Calibri" w:cs="Times New Roman"/>
          <w:szCs w:val="26"/>
        </w:rPr>
      </w:pPr>
      <w:r>
        <w:rPr>
          <w:rFonts w:eastAsia="Calibri" w:cs="Times New Roman"/>
          <w:szCs w:val="26"/>
        </w:rPr>
        <w:t>The ALJ recommended that the OCA’s adjustment be rejected.  The ALJ stated that b</w:t>
      </w:r>
      <w:r w:rsidR="00361A26" w:rsidRPr="007F70DF">
        <w:rPr>
          <w:rFonts w:eastAsia="Calibri" w:cs="Times New Roman"/>
          <w:szCs w:val="26"/>
        </w:rPr>
        <w:t>oth the OCA’s and Columbia’s approaches to this issue are reason</w:t>
      </w:r>
      <w:r>
        <w:rPr>
          <w:rFonts w:eastAsia="Calibri" w:cs="Times New Roman"/>
          <w:szCs w:val="26"/>
        </w:rPr>
        <w:t>able.  However, the ALJ concluded that the OCA did not offer</w:t>
      </w:r>
      <w:r w:rsidR="00361A26" w:rsidRPr="007F70DF">
        <w:rPr>
          <w:rFonts w:eastAsia="Calibri" w:cs="Times New Roman"/>
          <w:szCs w:val="26"/>
        </w:rPr>
        <w:t xml:space="preserve"> a convincing argument with respect to why its methodology should be preferre</w:t>
      </w:r>
      <w:r>
        <w:rPr>
          <w:rFonts w:eastAsia="Calibri" w:cs="Times New Roman"/>
          <w:szCs w:val="26"/>
        </w:rPr>
        <w:t>d.  R.D. at 28.</w:t>
      </w:r>
    </w:p>
    <w:p w:rsidR="00A225D8" w:rsidRDefault="00A225D8" w:rsidP="00A225D8">
      <w:pPr>
        <w:contextualSpacing/>
        <w:rPr>
          <w:rFonts w:eastAsia="Calibri" w:cs="Times New Roman"/>
          <w:szCs w:val="26"/>
        </w:rPr>
      </w:pPr>
    </w:p>
    <w:p w:rsidR="00A225D8" w:rsidRDefault="00A225D8" w:rsidP="00FA5B0E">
      <w:pPr>
        <w:spacing w:line="240" w:lineRule="auto"/>
        <w:contextualSpacing/>
        <w:rPr>
          <w:rFonts w:eastAsia="Calibri" w:cs="Times New Roman"/>
          <w:b/>
          <w:szCs w:val="26"/>
        </w:rPr>
      </w:pPr>
      <w:r>
        <w:rPr>
          <w:rFonts w:eastAsia="Calibri" w:cs="Times New Roman"/>
          <w:szCs w:val="26"/>
        </w:rPr>
        <w:tab/>
      </w:r>
      <w:r w:rsidRPr="00D4487A">
        <w:rPr>
          <w:rFonts w:eastAsia="Calibri" w:cs="Times New Roman"/>
          <w:b/>
          <w:szCs w:val="26"/>
        </w:rPr>
        <w:t>c.</w:t>
      </w:r>
      <w:r w:rsidR="002F1946">
        <w:rPr>
          <w:rFonts w:eastAsia="Calibri" w:cs="Times New Roman"/>
          <w:b/>
          <w:szCs w:val="26"/>
        </w:rPr>
        <w:tab/>
        <w:t>Exceptions</w:t>
      </w:r>
    </w:p>
    <w:p w:rsidR="00DE0C27" w:rsidRPr="00D4487A" w:rsidRDefault="00DE0C27" w:rsidP="00D4487A">
      <w:pPr>
        <w:contextualSpacing/>
        <w:rPr>
          <w:rFonts w:eastAsia="Calibri" w:cs="Times New Roman"/>
          <w:b/>
          <w:szCs w:val="26"/>
        </w:rPr>
      </w:pPr>
    </w:p>
    <w:p w:rsidR="00DE0C27" w:rsidRPr="00343CB6" w:rsidRDefault="00D4487A" w:rsidP="00343CB6">
      <w:r w:rsidRPr="00343CB6">
        <w:t xml:space="preserve">In its fourth Exception, the OCA argues that the utility has the affirmative burden to establish the justness and reasonableness of every </w:t>
      </w:r>
      <w:r w:rsidR="002F1946" w:rsidRPr="00343CB6">
        <w:t>component of its rate request, and that</w:t>
      </w:r>
      <w:r w:rsidRPr="00343CB6">
        <w:t xml:space="preserve"> there is no similar burden for a party proposing an adjustment </w:t>
      </w:r>
      <w:r w:rsidR="002F1946" w:rsidRPr="00343CB6">
        <w:t xml:space="preserve">to a utility base rate filing.  </w:t>
      </w:r>
      <w:r w:rsidRPr="00343CB6">
        <w:t xml:space="preserve">The </w:t>
      </w:r>
      <w:r w:rsidR="002F1946" w:rsidRPr="00343CB6">
        <w:t xml:space="preserve">OCA stated that the Company’s actual bad debt expense for </w:t>
      </w:r>
      <w:r w:rsidRPr="00343CB6">
        <w:t>200</w:t>
      </w:r>
      <w:r w:rsidR="002F1946" w:rsidRPr="00343CB6">
        <w:t xml:space="preserve">9, 2010, 2011 and 2012 was $7,115, $10,567, $8,650, and $10,436, respectively.  OCA St. 1 at 24.  The </w:t>
      </w:r>
      <w:r w:rsidR="002F1946" w:rsidRPr="00343CB6">
        <w:lastRenderedPageBreak/>
        <w:t xml:space="preserve">OCA argues that, because </w:t>
      </w:r>
      <w:r w:rsidRPr="00343CB6">
        <w:t>the actual bad debt expense is not a linear progression b</w:t>
      </w:r>
      <w:r w:rsidR="002F1946" w:rsidRPr="00343CB6">
        <w:t>ut fluctuates from year to year, the historic average should be used to establish the Company’s bad debt expense.</w:t>
      </w:r>
      <w:r w:rsidR="005B2CF6" w:rsidRPr="00343CB6">
        <w:t xml:space="preserve">  The OCA submits that its</w:t>
      </w:r>
      <w:r w:rsidRPr="00343CB6">
        <w:t xml:space="preserve"> adjustment is consistent with the Commission’s tradi</w:t>
      </w:r>
      <w:r w:rsidR="005B2CF6" w:rsidRPr="00343CB6">
        <w:t xml:space="preserve">tional approach to this issue.  The OCA also disputes the Company’s argument that the rate increase at the conclusion of this proceeding will </w:t>
      </w:r>
      <w:r w:rsidRPr="00343CB6">
        <w:t>caus</w:t>
      </w:r>
      <w:r w:rsidR="005B2CF6" w:rsidRPr="00343CB6">
        <w:t xml:space="preserve">e an increase </w:t>
      </w:r>
      <w:r w:rsidR="00AA08C6">
        <w:t xml:space="preserve">in </w:t>
      </w:r>
      <w:r w:rsidR="005B2CF6" w:rsidRPr="00343CB6">
        <w:t>bad debt expense</w:t>
      </w:r>
      <w:r w:rsidRPr="00343CB6">
        <w:t>.</w:t>
      </w:r>
      <w:r w:rsidR="005B2CF6" w:rsidRPr="00343CB6">
        <w:t xml:space="preserve">  OCA Exc. at 23-26.</w:t>
      </w:r>
    </w:p>
    <w:p w:rsidR="005B2CF6" w:rsidRPr="005B2CF6" w:rsidRDefault="005B2CF6" w:rsidP="005B2CF6">
      <w:pPr>
        <w:rPr>
          <w:rFonts w:cs="Times New Roman"/>
          <w:szCs w:val="26"/>
        </w:rPr>
      </w:pPr>
    </w:p>
    <w:p w:rsidR="005B2CF6" w:rsidRPr="005B2CF6" w:rsidRDefault="005B2CF6" w:rsidP="0067658A">
      <w:pPr>
        <w:spacing w:line="240" w:lineRule="auto"/>
        <w:rPr>
          <w:rFonts w:cs="Times New Roman"/>
          <w:b/>
          <w:szCs w:val="26"/>
        </w:rPr>
      </w:pPr>
      <w:r w:rsidRPr="005B2CF6">
        <w:rPr>
          <w:rFonts w:cs="Times New Roman"/>
          <w:szCs w:val="26"/>
        </w:rPr>
        <w:tab/>
      </w:r>
      <w:r w:rsidRPr="005B2CF6">
        <w:rPr>
          <w:rFonts w:cs="Times New Roman"/>
          <w:b/>
          <w:szCs w:val="26"/>
        </w:rPr>
        <w:t>d.</w:t>
      </w:r>
      <w:r w:rsidRPr="005B2CF6">
        <w:rPr>
          <w:rFonts w:cs="Times New Roman"/>
          <w:b/>
          <w:szCs w:val="26"/>
        </w:rPr>
        <w:tab/>
        <w:t>Reply Exceptions</w:t>
      </w:r>
    </w:p>
    <w:p w:rsidR="005B2CF6" w:rsidRPr="005B2CF6" w:rsidRDefault="005B2CF6" w:rsidP="005B2CF6">
      <w:pPr>
        <w:rPr>
          <w:rFonts w:cs="Times New Roman"/>
          <w:b/>
          <w:szCs w:val="26"/>
        </w:rPr>
      </w:pPr>
    </w:p>
    <w:p w:rsidR="005B2CF6" w:rsidRPr="005B2CF6" w:rsidRDefault="00031046" w:rsidP="005B2CF6">
      <w:pPr>
        <w:rPr>
          <w:rFonts w:cs="Times New Roman"/>
          <w:szCs w:val="26"/>
        </w:rPr>
      </w:pPr>
      <w:r>
        <w:rPr>
          <w:rFonts w:cs="Times New Roman"/>
          <w:szCs w:val="26"/>
        </w:rPr>
        <w:t xml:space="preserve">In reply, Columbia </w:t>
      </w:r>
      <w:r w:rsidR="00AA08C6">
        <w:rPr>
          <w:rFonts w:cs="Times New Roman"/>
          <w:szCs w:val="26"/>
        </w:rPr>
        <w:t xml:space="preserve">refers to </w:t>
      </w:r>
      <w:r w:rsidR="005B2CF6">
        <w:rPr>
          <w:rFonts w:cs="Times New Roman"/>
          <w:szCs w:val="26"/>
        </w:rPr>
        <w:t>the testimony of its witness that the Company should use audited numbers to establish bad debt expense, not estimates derived from averages as the OCA suggests</w:t>
      </w:r>
      <w:r w:rsidR="00BA03C1">
        <w:rPr>
          <w:rFonts w:cs="Times New Roman"/>
          <w:szCs w:val="26"/>
        </w:rPr>
        <w:t>.  Columbia also refers to the public input testimony of Columbia’s Borough Manager that Columbia is an economically challenged community with a disproportionately high percentage of low-income households, senior citizens and rental housing.  CWC R.Exc. at 19.</w:t>
      </w:r>
    </w:p>
    <w:p w:rsidR="00D4487A" w:rsidRPr="005B2CF6" w:rsidRDefault="00D4487A" w:rsidP="005B2CF6">
      <w:pPr>
        <w:contextualSpacing/>
        <w:rPr>
          <w:rFonts w:eastAsia="Calibri" w:cs="Times New Roman"/>
          <w:b/>
          <w:szCs w:val="26"/>
        </w:rPr>
      </w:pPr>
      <w:r w:rsidRPr="005B2CF6">
        <w:rPr>
          <w:rFonts w:cs="Times New Roman"/>
          <w:szCs w:val="26"/>
        </w:rPr>
        <w:t xml:space="preserve"> </w:t>
      </w:r>
      <w:r w:rsidR="005B2CF6" w:rsidRPr="005B2CF6">
        <w:rPr>
          <w:rFonts w:cs="Times New Roman"/>
          <w:szCs w:val="26"/>
        </w:rPr>
        <w:t xml:space="preserve"> </w:t>
      </w:r>
    </w:p>
    <w:p w:rsidR="00A225D8" w:rsidRDefault="005B2CF6" w:rsidP="00401132">
      <w:pPr>
        <w:spacing w:line="240" w:lineRule="auto"/>
        <w:contextualSpacing/>
        <w:rPr>
          <w:rFonts w:eastAsia="Calibri" w:cs="Times New Roman"/>
          <w:b/>
          <w:szCs w:val="26"/>
        </w:rPr>
      </w:pPr>
      <w:r w:rsidRPr="005B2CF6">
        <w:rPr>
          <w:rFonts w:eastAsia="Calibri" w:cs="Times New Roman"/>
          <w:b/>
          <w:szCs w:val="26"/>
        </w:rPr>
        <w:tab/>
        <w:t>e</w:t>
      </w:r>
      <w:r w:rsidR="00A225D8" w:rsidRPr="005B2CF6">
        <w:rPr>
          <w:rFonts w:eastAsia="Calibri" w:cs="Times New Roman"/>
          <w:b/>
          <w:szCs w:val="26"/>
        </w:rPr>
        <w:t>.</w:t>
      </w:r>
      <w:r w:rsidR="00A225D8" w:rsidRPr="005B2CF6">
        <w:rPr>
          <w:rFonts w:eastAsia="Calibri" w:cs="Times New Roman"/>
          <w:b/>
          <w:szCs w:val="26"/>
        </w:rPr>
        <w:tab/>
        <w:t>Disposition</w:t>
      </w:r>
    </w:p>
    <w:p w:rsidR="00BA03C1" w:rsidRDefault="00BA03C1" w:rsidP="00A225D8">
      <w:pPr>
        <w:contextualSpacing/>
        <w:rPr>
          <w:rFonts w:eastAsia="Calibri" w:cs="Times New Roman"/>
          <w:b/>
          <w:szCs w:val="26"/>
        </w:rPr>
      </w:pPr>
    </w:p>
    <w:p w:rsidR="00CC0BE3" w:rsidRDefault="0067658A" w:rsidP="0067658A">
      <w:pPr>
        <w:contextualSpacing/>
        <w:rPr>
          <w:rFonts w:eastAsia="Calibri" w:cs="Times New Roman"/>
          <w:color w:val="FF0000"/>
          <w:szCs w:val="26"/>
        </w:rPr>
      </w:pPr>
      <w:r w:rsidRPr="0067658A">
        <w:rPr>
          <w:rFonts w:eastAsia="Calibri" w:cs="Times New Roman"/>
          <w:szCs w:val="26"/>
        </w:rPr>
        <w:t>We concur with the ALJ that the OCA’s meth</w:t>
      </w:r>
      <w:r w:rsidR="00401132">
        <w:rPr>
          <w:rFonts w:eastAsia="Calibri" w:cs="Times New Roman"/>
          <w:szCs w:val="26"/>
        </w:rPr>
        <w:t xml:space="preserve">odology is reasonable.  However, </w:t>
      </w:r>
      <w:r w:rsidRPr="0067658A">
        <w:rPr>
          <w:rFonts w:eastAsia="Calibri" w:cs="Times New Roman"/>
          <w:szCs w:val="26"/>
        </w:rPr>
        <w:t xml:space="preserve">in light of Columbia’s observation that its service area </w:t>
      </w:r>
      <w:r>
        <w:rPr>
          <w:rFonts w:cs="Times New Roman"/>
          <w:szCs w:val="26"/>
        </w:rPr>
        <w:t xml:space="preserve">is an economically challenged community with a disproportionately high percentage of low-income households, senior citizens and rental housing, we are not inclined to make </w:t>
      </w:r>
      <w:r w:rsidR="00401132">
        <w:rPr>
          <w:rFonts w:cs="Times New Roman"/>
          <w:szCs w:val="26"/>
        </w:rPr>
        <w:t xml:space="preserve">the </w:t>
      </w:r>
      <w:r w:rsidR="001A2ED7">
        <w:rPr>
          <w:rFonts w:cs="Times New Roman"/>
          <w:szCs w:val="26"/>
        </w:rPr>
        <w:t xml:space="preserve">reduction to the Company’s claim as proposed by the OCA.  Accordingly, we shall adopt the ALJ’s recommendation to reject the OCA’s proposed adjustment. </w:t>
      </w:r>
    </w:p>
    <w:p w:rsidR="0067658A" w:rsidRDefault="0067658A" w:rsidP="0067658A">
      <w:pPr>
        <w:contextualSpacing/>
        <w:rPr>
          <w:rFonts w:eastAsia="Calibri" w:cs="Times New Roman"/>
          <w:color w:val="FF0000"/>
          <w:szCs w:val="26"/>
        </w:rPr>
      </w:pPr>
    </w:p>
    <w:p w:rsidR="00A225D8" w:rsidRPr="00031046" w:rsidRDefault="00A225D8" w:rsidP="00992768">
      <w:pPr>
        <w:pStyle w:val="Heading3"/>
        <w:rPr>
          <w:rFonts w:ascii="Times New Roman" w:hAnsi="Times New Roman" w:cs="Times New Roman"/>
        </w:rPr>
      </w:pPr>
      <w:bookmarkStart w:id="30" w:name="_Toc367958622"/>
      <w:bookmarkStart w:id="31" w:name="_Toc378080166"/>
      <w:r w:rsidRPr="00031046">
        <w:rPr>
          <w:rFonts w:ascii="Times New Roman" w:eastAsia="Calibri" w:hAnsi="Times New Roman" w:cs="Times New Roman"/>
        </w:rPr>
        <w:lastRenderedPageBreak/>
        <w:t>5</w:t>
      </w:r>
      <w:r w:rsidR="00361A26" w:rsidRPr="00031046">
        <w:rPr>
          <w:rFonts w:ascii="Times New Roman" w:eastAsia="Calibri" w:hAnsi="Times New Roman" w:cs="Times New Roman"/>
        </w:rPr>
        <w:t>.</w:t>
      </w:r>
      <w:r w:rsidR="00361A26" w:rsidRPr="00031046">
        <w:rPr>
          <w:rFonts w:ascii="Times New Roman" w:eastAsia="Calibri" w:hAnsi="Times New Roman" w:cs="Times New Roman"/>
        </w:rPr>
        <w:tab/>
      </w:r>
      <w:r w:rsidR="00CA3056" w:rsidRPr="00031046">
        <w:rPr>
          <w:rFonts w:ascii="Times New Roman" w:hAnsi="Times New Roman" w:cs="Times New Roman"/>
        </w:rPr>
        <w:t xml:space="preserve">Employee </w:t>
      </w:r>
      <w:r w:rsidR="00CA6A9D" w:rsidRPr="00031046">
        <w:rPr>
          <w:rFonts w:ascii="Times New Roman" w:hAnsi="Times New Roman" w:cs="Times New Roman"/>
        </w:rPr>
        <w:t xml:space="preserve">Salaries </w:t>
      </w:r>
      <w:r w:rsidR="00361A26" w:rsidRPr="00031046">
        <w:rPr>
          <w:rFonts w:ascii="Times New Roman" w:hAnsi="Times New Roman" w:cs="Times New Roman"/>
        </w:rPr>
        <w:t>and</w:t>
      </w:r>
      <w:r w:rsidR="00A36C99" w:rsidRPr="00031046">
        <w:rPr>
          <w:rFonts w:ascii="Times New Roman" w:hAnsi="Times New Roman" w:cs="Times New Roman"/>
        </w:rPr>
        <w:t xml:space="preserve"> Wages</w:t>
      </w:r>
      <w:bookmarkEnd w:id="30"/>
      <w:bookmarkEnd w:id="31"/>
    </w:p>
    <w:p w:rsidR="00A225D8" w:rsidRPr="00031046" w:rsidRDefault="00A225D8" w:rsidP="00992768">
      <w:pPr>
        <w:pStyle w:val="Heading3"/>
        <w:rPr>
          <w:rFonts w:ascii="Times New Roman" w:hAnsi="Times New Roman" w:cs="Times New Roman"/>
        </w:rPr>
      </w:pPr>
    </w:p>
    <w:p w:rsidR="005F3F56" w:rsidRPr="00031046" w:rsidRDefault="00A225D8" w:rsidP="001A2ED7">
      <w:pPr>
        <w:keepNext/>
        <w:spacing w:line="240" w:lineRule="auto"/>
        <w:ind w:left="1440" w:firstLine="720"/>
        <w:contextualSpacing/>
        <w:outlineLvl w:val="1"/>
        <w:rPr>
          <w:rFonts w:cs="Times New Roman"/>
          <w:b/>
        </w:rPr>
      </w:pPr>
      <w:bookmarkStart w:id="32" w:name="_Toc377904386"/>
      <w:bookmarkStart w:id="33" w:name="_Toc378012744"/>
      <w:bookmarkStart w:id="34" w:name="_Toc378079851"/>
      <w:bookmarkStart w:id="35" w:name="_Toc378080167"/>
      <w:r w:rsidRPr="00031046">
        <w:rPr>
          <w:rFonts w:cs="Times New Roman"/>
          <w:b/>
          <w:bCs/>
          <w:iCs/>
          <w:szCs w:val="26"/>
        </w:rPr>
        <w:t>a.</w:t>
      </w:r>
      <w:r w:rsidRPr="00031046">
        <w:rPr>
          <w:rFonts w:cs="Times New Roman"/>
          <w:b/>
          <w:bCs/>
          <w:iCs/>
          <w:szCs w:val="26"/>
        </w:rPr>
        <w:tab/>
      </w:r>
      <w:r w:rsidRPr="00031046">
        <w:rPr>
          <w:rFonts w:cs="Times New Roman"/>
          <w:b/>
        </w:rPr>
        <w:t>Positions of the Parties</w:t>
      </w:r>
      <w:bookmarkEnd w:id="32"/>
      <w:bookmarkEnd w:id="33"/>
      <w:bookmarkEnd w:id="34"/>
      <w:bookmarkEnd w:id="35"/>
    </w:p>
    <w:p w:rsidR="001A2ED7" w:rsidRPr="00031046" w:rsidRDefault="001A2ED7" w:rsidP="001A2ED7">
      <w:pPr>
        <w:keepNext/>
        <w:contextualSpacing/>
        <w:rPr>
          <w:rFonts w:eastAsia="Calibri" w:cs="Times New Roman"/>
          <w:szCs w:val="26"/>
        </w:rPr>
      </w:pPr>
    </w:p>
    <w:p w:rsidR="00542077" w:rsidRDefault="00D21075" w:rsidP="001A2ED7">
      <w:pPr>
        <w:keepNext/>
        <w:contextualSpacing/>
        <w:rPr>
          <w:rFonts w:eastAsia="Calibri" w:cs="Times New Roman"/>
          <w:szCs w:val="26"/>
        </w:rPr>
      </w:pPr>
      <w:r>
        <w:rPr>
          <w:rFonts w:eastAsia="Calibri" w:cs="Times New Roman"/>
          <w:szCs w:val="26"/>
        </w:rPr>
        <w:t>T</w:t>
      </w:r>
      <w:r w:rsidR="00CA3056">
        <w:rPr>
          <w:rFonts w:eastAsia="Calibri" w:cs="Times New Roman"/>
          <w:szCs w:val="26"/>
        </w:rPr>
        <w:t xml:space="preserve">he Company </w:t>
      </w:r>
      <w:r w:rsidR="00542077">
        <w:rPr>
          <w:rFonts w:eastAsia="Calibri" w:cs="Times New Roman"/>
          <w:szCs w:val="26"/>
        </w:rPr>
        <w:t xml:space="preserve">claimed $820,483 in Salaries and Wages.  An allocation of $25,597 to Marietta reduced the amount claimed in this proceeding to $794,886.  OCA M.B. at 36.  </w:t>
      </w:r>
    </w:p>
    <w:p w:rsidR="00542077" w:rsidRDefault="00542077" w:rsidP="004272F2">
      <w:pPr>
        <w:contextualSpacing/>
        <w:rPr>
          <w:rFonts w:eastAsia="Calibri" w:cs="Times New Roman"/>
          <w:szCs w:val="26"/>
        </w:rPr>
      </w:pPr>
    </w:p>
    <w:p w:rsidR="000B4D7F" w:rsidRDefault="00542077" w:rsidP="00542077">
      <w:pPr>
        <w:contextualSpacing/>
        <w:rPr>
          <w:rFonts w:eastAsia="Calibri" w:cs="Times New Roman"/>
          <w:szCs w:val="26"/>
        </w:rPr>
      </w:pPr>
      <w:r>
        <w:rPr>
          <w:rFonts w:eastAsia="Calibri" w:cs="Times New Roman"/>
          <w:szCs w:val="26"/>
        </w:rPr>
        <w:t>The Company stated that</w:t>
      </w:r>
      <w:r w:rsidR="00D21075">
        <w:rPr>
          <w:rFonts w:eastAsia="Calibri" w:cs="Times New Roman"/>
          <w:szCs w:val="26"/>
        </w:rPr>
        <w:t>, overall,</w:t>
      </w:r>
      <w:r>
        <w:rPr>
          <w:rFonts w:eastAsia="Calibri" w:cs="Times New Roman"/>
          <w:szCs w:val="26"/>
        </w:rPr>
        <w:t xml:space="preserve"> it </w:t>
      </w:r>
      <w:r w:rsidR="00CA3056">
        <w:rPr>
          <w:rFonts w:eastAsia="Calibri" w:cs="Times New Roman"/>
          <w:szCs w:val="26"/>
        </w:rPr>
        <w:t xml:space="preserve">allocated an average of 8% of </w:t>
      </w:r>
      <w:r>
        <w:rPr>
          <w:rFonts w:eastAsia="Calibri" w:cs="Times New Roman"/>
          <w:szCs w:val="26"/>
        </w:rPr>
        <w:t xml:space="preserve">total salaries </w:t>
      </w:r>
      <w:r w:rsidR="000B4D7F">
        <w:rPr>
          <w:rFonts w:eastAsia="Calibri" w:cs="Times New Roman"/>
          <w:szCs w:val="26"/>
        </w:rPr>
        <w:t xml:space="preserve">(for both hourly and salaried employees) </w:t>
      </w:r>
      <w:r>
        <w:rPr>
          <w:rFonts w:eastAsia="Calibri" w:cs="Times New Roman"/>
          <w:szCs w:val="26"/>
        </w:rPr>
        <w:t>to the Marietta Division</w:t>
      </w:r>
      <w:r w:rsidR="000B4D7F">
        <w:rPr>
          <w:rFonts w:eastAsia="Calibri" w:cs="Times New Roman"/>
          <w:szCs w:val="26"/>
        </w:rPr>
        <w:t xml:space="preserve">.  The Company allocated 15% of its salaried employee expense to Marietta on the basis that, on average, salaried employees are spending about six hours per week on Marietta Division tasks. </w:t>
      </w:r>
      <w:r w:rsidR="00CA3056">
        <w:rPr>
          <w:rFonts w:eastAsia="Calibri" w:cs="Times New Roman"/>
          <w:szCs w:val="26"/>
        </w:rPr>
        <w:t xml:space="preserve"> The percentage </w:t>
      </w:r>
      <w:r w:rsidR="000B4D7F">
        <w:rPr>
          <w:rFonts w:eastAsia="Calibri" w:cs="Times New Roman"/>
          <w:szCs w:val="26"/>
        </w:rPr>
        <w:t xml:space="preserve">of hourly employees </w:t>
      </w:r>
      <w:r w:rsidR="00CA3056">
        <w:rPr>
          <w:rFonts w:eastAsia="Calibri" w:cs="Times New Roman"/>
          <w:szCs w:val="26"/>
        </w:rPr>
        <w:t xml:space="preserve">allocated to the Marietta Division varied by </w:t>
      </w:r>
      <w:r>
        <w:rPr>
          <w:rFonts w:eastAsia="Calibri" w:cs="Times New Roman"/>
          <w:szCs w:val="26"/>
        </w:rPr>
        <w:t xml:space="preserve">individual </w:t>
      </w:r>
      <w:r w:rsidR="000B4D7F">
        <w:rPr>
          <w:rFonts w:eastAsia="Calibri" w:cs="Times New Roman"/>
          <w:szCs w:val="26"/>
        </w:rPr>
        <w:t>employee based on their time sheets since the acquisition in October 2012.</w:t>
      </w:r>
      <w:r w:rsidR="00CA3056">
        <w:rPr>
          <w:rFonts w:eastAsia="Calibri" w:cs="Times New Roman"/>
          <w:szCs w:val="26"/>
        </w:rPr>
        <w:t xml:space="preserve">  CWC St. 1R at 2:14-3:8.</w:t>
      </w:r>
      <w:r>
        <w:rPr>
          <w:rFonts w:eastAsia="Calibri" w:cs="Times New Roman"/>
          <w:szCs w:val="26"/>
        </w:rPr>
        <w:t xml:space="preserve">  </w:t>
      </w:r>
    </w:p>
    <w:p w:rsidR="000B4D7F" w:rsidRDefault="000B4D7F" w:rsidP="00542077">
      <w:pPr>
        <w:contextualSpacing/>
        <w:rPr>
          <w:rFonts w:eastAsia="Calibri" w:cs="Times New Roman"/>
          <w:szCs w:val="26"/>
        </w:rPr>
      </w:pPr>
    </w:p>
    <w:p w:rsidR="00361A26" w:rsidRPr="007F70DF" w:rsidRDefault="000B4D7F" w:rsidP="00C913B1">
      <w:pPr>
        <w:contextualSpacing/>
        <w:rPr>
          <w:rFonts w:eastAsia="Calibri" w:cs="Times New Roman"/>
          <w:szCs w:val="26"/>
        </w:rPr>
      </w:pPr>
      <w:r>
        <w:rPr>
          <w:rFonts w:eastAsia="Calibri" w:cs="Times New Roman"/>
          <w:szCs w:val="26"/>
        </w:rPr>
        <w:t>The OCA disagreed</w:t>
      </w:r>
      <w:r w:rsidR="00D21075">
        <w:rPr>
          <w:rFonts w:eastAsia="Calibri" w:cs="Times New Roman"/>
          <w:szCs w:val="26"/>
        </w:rPr>
        <w:t xml:space="preserve"> with </w:t>
      </w:r>
      <w:r>
        <w:rPr>
          <w:rFonts w:eastAsia="Calibri" w:cs="Times New Roman"/>
          <w:szCs w:val="26"/>
        </w:rPr>
        <w:t>Columbia</w:t>
      </w:r>
      <w:r w:rsidR="00D21075">
        <w:rPr>
          <w:rFonts w:eastAsia="Calibri" w:cs="Times New Roman"/>
          <w:szCs w:val="26"/>
        </w:rPr>
        <w:t>’s allocation of</w:t>
      </w:r>
      <w:r>
        <w:rPr>
          <w:rFonts w:eastAsia="Calibri" w:cs="Times New Roman"/>
          <w:szCs w:val="26"/>
        </w:rPr>
        <w:t xml:space="preserve"> </w:t>
      </w:r>
      <w:r w:rsidR="00CA6A9D" w:rsidRPr="007F70DF">
        <w:rPr>
          <w:rFonts w:eastAsia="Calibri" w:cs="Times New Roman"/>
          <w:szCs w:val="26"/>
        </w:rPr>
        <w:t>it</w:t>
      </w:r>
      <w:r>
        <w:rPr>
          <w:rFonts w:eastAsia="Calibri" w:cs="Times New Roman"/>
          <w:szCs w:val="26"/>
        </w:rPr>
        <w:t xml:space="preserve">s hourly employees to Marietta, and argued that </w:t>
      </w:r>
      <w:r w:rsidR="00CA6A9D" w:rsidRPr="007F70DF">
        <w:rPr>
          <w:rFonts w:eastAsia="Calibri" w:cs="Times New Roman"/>
          <w:szCs w:val="26"/>
        </w:rPr>
        <w:t>data from a few months of time she</w:t>
      </w:r>
      <w:r>
        <w:rPr>
          <w:rFonts w:eastAsia="Calibri" w:cs="Times New Roman"/>
          <w:szCs w:val="26"/>
        </w:rPr>
        <w:t>ets is not a reasonable basis upon which to</w:t>
      </w:r>
      <w:r w:rsidR="00CA6A9D" w:rsidRPr="007F70DF">
        <w:rPr>
          <w:rFonts w:eastAsia="Calibri" w:cs="Times New Roman"/>
          <w:szCs w:val="26"/>
        </w:rPr>
        <w:t xml:space="preserve"> allocate wages over the course of a year</w:t>
      </w:r>
      <w:r>
        <w:rPr>
          <w:rFonts w:eastAsia="Calibri" w:cs="Times New Roman"/>
          <w:szCs w:val="26"/>
        </w:rPr>
        <w:t xml:space="preserve">.  The OCA </w:t>
      </w:r>
      <w:r w:rsidR="005F2108">
        <w:rPr>
          <w:rFonts w:eastAsia="Calibri" w:cs="Times New Roman"/>
          <w:szCs w:val="26"/>
        </w:rPr>
        <w:t>submitted</w:t>
      </w:r>
      <w:r>
        <w:rPr>
          <w:rFonts w:eastAsia="Calibri" w:cs="Times New Roman"/>
          <w:szCs w:val="26"/>
        </w:rPr>
        <w:t xml:space="preserve"> that hourly employees should be allocated to Marietta using </w:t>
      </w:r>
      <w:r w:rsidR="00CA6A9D" w:rsidRPr="007F70DF">
        <w:rPr>
          <w:rFonts w:eastAsia="Calibri" w:cs="Times New Roman"/>
          <w:szCs w:val="26"/>
        </w:rPr>
        <w:t xml:space="preserve">the </w:t>
      </w:r>
      <w:r w:rsidR="00C913B1">
        <w:rPr>
          <w:rFonts w:eastAsia="Calibri" w:cs="Times New Roman"/>
          <w:szCs w:val="26"/>
        </w:rPr>
        <w:t xml:space="preserve">same </w:t>
      </w:r>
      <w:r w:rsidR="00CA6A9D" w:rsidRPr="007F70DF">
        <w:rPr>
          <w:rFonts w:eastAsia="Calibri" w:cs="Times New Roman"/>
          <w:szCs w:val="26"/>
        </w:rPr>
        <w:t>15</w:t>
      </w:r>
      <w:r>
        <w:rPr>
          <w:rFonts w:eastAsia="Calibri" w:cs="Times New Roman"/>
          <w:szCs w:val="26"/>
        </w:rPr>
        <w:t xml:space="preserve">% allocation </w:t>
      </w:r>
      <w:r w:rsidR="00C913B1">
        <w:rPr>
          <w:rFonts w:eastAsia="Calibri" w:cs="Times New Roman"/>
          <w:szCs w:val="26"/>
        </w:rPr>
        <w:t xml:space="preserve">percentage </w:t>
      </w:r>
      <w:r>
        <w:rPr>
          <w:rFonts w:eastAsia="Calibri" w:cs="Times New Roman"/>
          <w:szCs w:val="26"/>
        </w:rPr>
        <w:t>that was used</w:t>
      </w:r>
      <w:r w:rsidR="00CA6A9D" w:rsidRPr="007F70DF">
        <w:rPr>
          <w:rFonts w:eastAsia="Calibri" w:cs="Times New Roman"/>
          <w:szCs w:val="26"/>
        </w:rPr>
        <w:t xml:space="preserve"> by the Company </w:t>
      </w:r>
      <w:r w:rsidR="00C913B1">
        <w:rPr>
          <w:rFonts w:eastAsia="Calibri" w:cs="Times New Roman"/>
          <w:szCs w:val="26"/>
        </w:rPr>
        <w:t>for the allocation of salaried employees.  “</w:t>
      </w:r>
      <w:r w:rsidR="00CA6A9D" w:rsidRPr="007F70DF">
        <w:rPr>
          <w:rFonts w:eastAsia="Calibri" w:cs="Times New Roman"/>
          <w:szCs w:val="26"/>
        </w:rPr>
        <w:t xml:space="preserve">In other words, the OCA recommends applying the Company’s 15% allocation factor to the Salaries and Wages of </w:t>
      </w:r>
      <w:r w:rsidR="00CA6A9D" w:rsidRPr="00C913B1">
        <w:rPr>
          <w:rFonts w:eastAsia="Calibri" w:cs="Times New Roman"/>
          <w:szCs w:val="26"/>
        </w:rPr>
        <w:t>all</w:t>
      </w:r>
      <w:r w:rsidR="00CA6A9D" w:rsidRPr="007F70DF">
        <w:rPr>
          <w:rFonts w:eastAsia="Calibri" w:cs="Times New Roman"/>
          <w:szCs w:val="26"/>
        </w:rPr>
        <w:t xml:space="preserve"> applicable salaried and hourly employees.</w:t>
      </w:r>
      <w:r w:rsidR="00C913B1">
        <w:rPr>
          <w:rFonts w:eastAsia="Calibri" w:cs="Times New Roman"/>
          <w:szCs w:val="26"/>
        </w:rPr>
        <w:t xml:space="preserve">”  OCA M.B. at 37.  The OCA </w:t>
      </w:r>
      <w:r w:rsidR="00CA6A9D" w:rsidRPr="007F70DF">
        <w:rPr>
          <w:rFonts w:eastAsia="Calibri" w:cs="Times New Roman"/>
          <w:szCs w:val="26"/>
        </w:rPr>
        <w:t xml:space="preserve">noted, </w:t>
      </w:r>
      <w:r w:rsidR="00C913B1">
        <w:rPr>
          <w:rFonts w:eastAsia="Calibri" w:cs="Times New Roman"/>
          <w:szCs w:val="26"/>
        </w:rPr>
        <w:t xml:space="preserve">however, that </w:t>
      </w:r>
      <w:r w:rsidR="00CA6A9D" w:rsidRPr="007F70DF">
        <w:rPr>
          <w:rFonts w:eastAsia="Calibri" w:cs="Times New Roman"/>
          <w:szCs w:val="26"/>
        </w:rPr>
        <w:t>not all employees do work for the Marietta Division</w:t>
      </w:r>
      <w:r w:rsidR="00C913B1">
        <w:rPr>
          <w:rFonts w:eastAsia="Calibri" w:cs="Times New Roman"/>
          <w:szCs w:val="26"/>
        </w:rPr>
        <w:t xml:space="preserve">; therefore, </w:t>
      </w:r>
      <w:r w:rsidR="00CA6A9D" w:rsidRPr="007F70DF">
        <w:rPr>
          <w:rFonts w:eastAsia="Calibri" w:cs="Times New Roman"/>
          <w:szCs w:val="26"/>
        </w:rPr>
        <w:t>the OCA did not re</w:t>
      </w:r>
      <w:r w:rsidR="00C913B1">
        <w:rPr>
          <w:rFonts w:eastAsia="Calibri" w:cs="Times New Roman"/>
          <w:szCs w:val="26"/>
        </w:rPr>
        <w:t xml:space="preserve">commend allocating any of the </w:t>
      </w:r>
      <w:r w:rsidR="00CA6A9D" w:rsidRPr="007F70DF">
        <w:rPr>
          <w:rFonts w:eastAsia="Calibri" w:cs="Times New Roman"/>
          <w:szCs w:val="26"/>
        </w:rPr>
        <w:t xml:space="preserve">salaries and wages </w:t>
      </w:r>
      <w:r w:rsidR="00C913B1">
        <w:rPr>
          <w:rFonts w:eastAsia="Calibri" w:cs="Times New Roman"/>
          <w:szCs w:val="26"/>
        </w:rPr>
        <w:t xml:space="preserve">of these particular employees to Marietta.  The allocation of </w:t>
      </w:r>
      <w:r w:rsidR="00CA6A9D" w:rsidRPr="007F70DF">
        <w:rPr>
          <w:rFonts w:eastAsia="Calibri" w:cs="Times New Roman"/>
          <w:szCs w:val="26"/>
        </w:rPr>
        <w:t>all remaining (or “applicable”) employees to the Mariet</w:t>
      </w:r>
      <w:r w:rsidR="00C913B1">
        <w:rPr>
          <w:rFonts w:eastAsia="Calibri" w:cs="Times New Roman"/>
          <w:szCs w:val="26"/>
        </w:rPr>
        <w:t>ta Division using a 15% factor resulted</w:t>
      </w:r>
      <w:r w:rsidR="00154C1C">
        <w:rPr>
          <w:rFonts w:eastAsia="Calibri" w:cs="Times New Roman"/>
          <w:szCs w:val="26"/>
        </w:rPr>
        <w:t xml:space="preserve"> in </w:t>
      </w:r>
      <w:r w:rsidR="005F2108">
        <w:rPr>
          <w:rFonts w:eastAsia="Calibri" w:cs="Times New Roman"/>
          <w:szCs w:val="26"/>
        </w:rPr>
        <w:t xml:space="preserve">the OCA recommending </w:t>
      </w:r>
      <w:r w:rsidR="00C913B1">
        <w:rPr>
          <w:rFonts w:eastAsia="Calibri" w:cs="Times New Roman"/>
          <w:szCs w:val="26"/>
        </w:rPr>
        <w:t xml:space="preserve">a downward </w:t>
      </w:r>
      <w:r w:rsidR="00CA6A9D" w:rsidRPr="007F70DF">
        <w:rPr>
          <w:rFonts w:eastAsia="Calibri" w:cs="Times New Roman"/>
          <w:szCs w:val="26"/>
        </w:rPr>
        <w:t xml:space="preserve">adjustment </w:t>
      </w:r>
      <w:r w:rsidR="00AA08C6">
        <w:rPr>
          <w:rFonts w:eastAsia="Calibri" w:cs="Times New Roman"/>
          <w:szCs w:val="26"/>
        </w:rPr>
        <w:t>of $4,117 to</w:t>
      </w:r>
      <w:r w:rsidR="00CA6A9D" w:rsidRPr="007F70DF">
        <w:rPr>
          <w:rFonts w:eastAsia="Calibri" w:cs="Times New Roman"/>
          <w:szCs w:val="26"/>
        </w:rPr>
        <w:t xml:space="preserve"> the Company</w:t>
      </w:r>
      <w:r w:rsidR="00C913B1">
        <w:rPr>
          <w:rFonts w:eastAsia="Calibri" w:cs="Times New Roman"/>
          <w:szCs w:val="26"/>
        </w:rPr>
        <w:t>’s claim for Salaries &amp; Wages</w:t>
      </w:r>
      <w:r w:rsidR="00AA08C6">
        <w:rPr>
          <w:rFonts w:eastAsia="Calibri" w:cs="Times New Roman"/>
          <w:szCs w:val="26"/>
        </w:rPr>
        <w:t>.</w:t>
      </w:r>
      <w:r w:rsidR="00C913B1">
        <w:rPr>
          <w:rFonts w:eastAsia="Calibri" w:cs="Times New Roman"/>
          <w:szCs w:val="26"/>
        </w:rPr>
        <w:t xml:space="preserve">  </w:t>
      </w:r>
      <w:r w:rsidR="00C913B1" w:rsidRPr="00C913B1">
        <w:rPr>
          <w:rFonts w:eastAsia="Calibri" w:cs="Times New Roman"/>
          <w:i/>
          <w:szCs w:val="26"/>
        </w:rPr>
        <w:t>Id</w:t>
      </w:r>
      <w:r w:rsidR="00C913B1">
        <w:rPr>
          <w:rFonts w:eastAsia="Calibri" w:cs="Times New Roman"/>
          <w:szCs w:val="26"/>
        </w:rPr>
        <w:t>.</w:t>
      </w:r>
      <w:r w:rsidR="00154C1C">
        <w:rPr>
          <w:rFonts w:eastAsia="Calibri" w:cs="Times New Roman"/>
          <w:szCs w:val="26"/>
        </w:rPr>
        <w:t xml:space="preserve"> </w:t>
      </w:r>
      <w:r w:rsidR="00D21075">
        <w:rPr>
          <w:rFonts w:eastAsia="Calibri" w:cs="Times New Roman"/>
          <w:szCs w:val="26"/>
        </w:rPr>
        <w:t>at 37, 39.</w:t>
      </w:r>
    </w:p>
    <w:p w:rsidR="00241EDA" w:rsidRPr="007F70DF" w:rsidRDefault="00241EDA" w:rsidP="004272F2">
      <w:pPr>
        <w:contextualSpacing/>
        <w:rPr>
          <w:rFonts w:eastAsia="Calibri" w:cs="Times New Roman"/>
          <w:szCs w:val="26"/>
        </w:rPr>
      </w:pPr>
    </w:p>
    <w:p w:rsidR="00A225D8" w:rsidRDefault="00D21075" w:rsidP="00D21075">
      <w:pPr>
        <w:contextualSpacing/>
        <w:rPr>
          <w:rFonts w:eastAsia="Calibri" w:cs="Times New Roman"/>
          <w:szCs w:val="26"/>
        </w:rPr>
      </w:pPr>
      <w:r>
        <w:rPr>
          <w:rFonts w:eastAsia="Calibri" w:cs="Times New Roman"/>
          <w:szCs w:val="26"/>
        </w:rPr>
        <w:lastRenderedPageBreak/>
        <w:t>The Company argued that the OCA’s adjustments are not</w:t>
      </w:r>
      <w:r w:rsidR="00154C1C">
        <w:rPr>
          <w:rFonts w:eastAsia="Calibri" w:cs="Times New Roman"/>
          <w:szCs w:val="26"/>
        </w:rPr>
        <w:t xml:space="preserve"> fact-based</w:t>
      </w:r>
      <w:r>
        <w:rPr>
          <w:rFonts w:eastAsia="Calibri" w:cs="Times New Roman"/>
          <w:szCs w:val="26"/>
        </w:rPr>
        <w:t>.  The Company stated that the OCA’</w:t>
      </w:r>
      <w:r w:rsidR="003E601D">
        <w:rPr>
          <w:rFonts w:eastAsia="Calibri" w:cs="Times New Roman"/>
          <w:szCs w:val="26"/>
        </w:rPr>
        <w:t>s witness has</w:t>
      </w:r>
      <w:r>
        <w:rPr>
          <w:rFonts w:eastAsia="Calibri" w:cs="Times New Roman"/>
          <w:szCs w:val="26"/>
        </w:rPr>
        <w:t xml:space="preserve"> never spent any time observing how much time Columbia employees spend on Marie</w:t>
      </w:r>
      <w:r w:rsidR="00154C1C">
        <w:rPr>
          <w:rFonts w:eastAsia="Calibri" w:cs="Times New Roman"/>
          <w:szCs w:val="26"/>
        </w:rPr>
        <w:t xml:space="preserve">tta Division tasks; </w:t>
      </w:r>
      <w:r>
        <w:rPr>
          <w:rFonts w:eastAsia="Calibri" w:cs="Times New Roman"/>
          <w:szCs w:val="26"/>
        </w:rPr>
        <w:t>is not an expert in water utility system operations; and did not attend the July 24, 2013 tour of the Company’s facilities and operations that was requested by the OCA and I&amp;E.  In contrast, the Company pointed out that its witness on this issue works on a day-to-day basis managing the Company.</w:t>
      </w:r>
      <w:r w:rsidR="00154C1C">
        <w:rPr>
          <w:rFonts w:eastAsia="Calibri" w:cs="Times New Roman"/>
          <w:szCs w:val="26"/>
        </w:rPr>
        <w:t xml:space="preserve">  CWC M.B. at 23.</w:t>
      </w:r>
    </w:p>
    <w:p w:rsidR="001A2ED7" w:rsidRDefault="001A2ED7" w:rsidP="00D21075">
      <w:pPr>
        <w:contextualSpacing/>
        <w:rPr>
          <w:rFonts w:eastAsia="Calibri" w:cs="Times New Roman"/>
          <w:szCs w:val="26"/>
        </w:rPr>
      </w:pPr>
    </w:p>
    <w:p w:rsidR="00E27125" w:rsidRDefault="00E27125" w:rsidP="00D21075">
      <w:pPr>
        <w:contextualSpacing/>
        <w:rPr>
          <w:rFonts w:eastAsia="Calibri" w:cs="Times New Roman"/>
          <w:szCs w:val="26"/>
        </w:rPr>
      </w:pPr>
      <w:r>
        <w:rPr>
          <w:rFonts w:eastAsia="Calibri" w:cs="Times New Roman"/>
          <w:szCs w:val="26"/>
        </w:rPr>
        <w:t>After the Parties revised their respecti</w:t>
      </w:r>
      <w:r w:rsidR="003E601D">
        <w:rPr>
          <w:rFonts w:eastAsia="Calibri" w:cs="Times New Roman"/>
          <w:szCs w:val="26"/>
        </w:rPr>
        <w:t>ve positions during the course of this proceeding</w:t>
      </w:r>
      <w:r>
        <w:rPr>
          <w:rFonts w:eastAsia="Calibri" w:cs="Times New Roman"/>
          <w:szCs w:val="26"/>
        </w:rPr>
        <w:t>, the remaining contested claims pertained to the OCA’</w:t>
      </w:r>
      <w:r w:rsidR="003E601D">
        <w:rPr>
          <w:rFonts w:eastAsia="Calibri" w:cs="Times New Roman"/>
          <w:szCs w:val="26"/>
        </w:rPr>
        <w:t xml:space="preserve">s </w:t>
      </w:r>
      <w:r>
        <w:rPr>
          <w:rFonts w:eastAsia="Calibri" w:cs="Times New Roman"/>
          <w:szCs w:val="26"/>
        </w:rPr>
        <w:t>adjustment</w:t>
      </w:r>
      <w:r w:rsidR="003E601D">
        <w:rPr>
          <w:rFonts w:eastAsia="Calibri" w:cs="Times New Roman"/>
          <w:szCs w:val="26"/>
        </w:rPr>
        <w:t xml:space="preserve">s to </w:t>
      </w:r>
      <w:r>
        <w:rPr>
          <w:rFonts w:eastAsia="Calibri" w:cs="Times New Roman"/>
          <w:szCs w:val="26"/>
        </w:rPr>
        <w:t>the Foreman’</w:t>
      </w:r>
      <w:r w:rsidR="003E601D">
        <w:rPr>
          <w:rFonts w:eastAsia="Calibri" w:cs="Times New Roman"/>
          <w:szCs w:val="26"/>
        </w:rPr>
        <w:t>s salary and the Service Person’s salary.  CWC M.B. at 23-25.</w:t>
      </w:r>
    </w:p>
    <w:p w:rsidR="003E601D" w:rsidRDefault="003E601D" w:rsidP="00D21075">
      <w:pPr>
        <w:contextualSpacing/>
        <w:rPr>
          <w:rFonts w:eastAsia="Calibri" w:cs="Times New Roman"/>
          <w:szCs w:val="26"/>
        </w:rPr>
      </w:pPr>
    </w:p>
    <w:p w:rsidR="00A225D8" w:rsidRPr="00A225D8" w:rsidRDefault="00A225D8" w:rsidP="001A2ED7">
      <w:pPr>
        <w:spacing w:line="240" w:lineRule="auto"/>
        <w:ind w:right="1440"/>
        <w:contextualSpacing/>
        <w:rPr>
          <w:rFonts w:eastAsia="Calibri" w:cs="Times New Roman"/>
          <w:b/>
          <w:szCs w:val="26"/>
        </w:rPr>
      </w:pPr>
      <w:r>
        <w:rPr>
          <w:rFonts w:eastAsia="Calibri" w:cs="Times New Roman"/>
          <w:szCs w:val="26"/>
        </w:rPr>
        <w:tab/>
      </w:r>
      <w:r>
        <w:rPr>
          <w:rFonts w:eastAsia="Calibri" w:cs="Times New Roman"/>
          <w:b/>
          <w:szCs w:val="26"/>
        </w:rPr>
        <w:t>b.</w:t>
      </w:r>
      <w:r>
        <w:rPr>
          <w:rFonts w:eastAsia="Calibri" w:cs="Times New Roman"/>
          <w:b/>
          <w:szCs w:val="26"/>
        </w:rPr>
        <w:tab/>
        <w:t>ALJ’s Recommendation</w:t>
      </w:r>
    </w:p>
    <w:p w:rsidR="00361A26" w:rsidRPr="007F70DF" w:rsidRDefault="00361A26" w:rsidP="00A225D8">
      <w:pPr>
        <w:contextualSpacing/>
        <w:jc w:val="both"/>
        <w:rPr>
          <w:rFonts w:eastAsia="Calibri" w:cs="Times New Roman"/>
          <w:szCs w:val="26"/>
        </w:rPr>
      </w:pPr>
    </w:p>
    <w:p w:rsidR="00361A26" w:rsidRDefault="00154C1C" w:rsidP="00A225D8">
      <w:pPr>
        <w:contextualSpacing/>
        <w:rPr>
          <w:rFonts w:eastAsia="Calibri" w:cs="Times New Roman"/>
          <w:szCs w:val="26"/>
        </w:rPr>
      </w:pPr>
      <w:r>
        <w:rPr>
          <w:rFonts w:eastAsia="Calibri" w:cs="Times New Roman"/>
          <w:szCs w:val="26"/>
        </w:rPr>
        <w:t>The ALJ</w:t>
      </w:r>
      <w:r w:rsidR="00241EDA" w:rsidRPr="007F70DF">
        <w:rPr>
          <w:rFonts w:eastAsia="Calibri" w:cs="Times New Roman"/>
          <w:szCs w:val="26"/>
        </w:rPr>
        <w:t xml:space="preserve"> agree</w:t>
      </w:r>
      <w:r>
        <w:rPr>
          <w:rFonts w:eastAsia="Calibri" w:cs="Times New Roman"/>
          <w:szCs w:val="26"/>
        </w:rPr>
        <w:t>d</w:t>
      </w:r>
      <w:r w:rsidR="00241EDA" w:rsidRPr="007F70DF">
        <w:rPr>
          <w:rFonts w:eastAsia="Calibri" w:cs="Times New Roman"/>
          <w:szCs w:val="26"/>
        </w:rPr>
        <w:t xml:space="preserve"> with Columbia</w:t>
      </w:r>
      <w:r>
        <w:rPr>
          <w:rFonts w:eastAsia="Calibri" w:cs="Times New Roman"/>
          <w:szCs w:val="26"/>
        </w:rPr>
        <w:t>’s position on this issue, and recommended that the OCA’s proposed adjustment</w:t>
      </w:r>
      <w:r w:rsidR="003E601D">
        <w:rPr>
          <w:rFonts w:eastAsia="Calibri" w:cs="Times New Roman"/>
          <w:szCs w:val="26"/>
        </w:rPr>
        <w:t>s</w:t>
      </w:r>
      <w:r>
        <w:rPr>
          <w:rFonts w:eastAsia="Calibri" w:cs="Times New Roman"/>
          <w:szCs w:val="26"/>
        </w:rPr>
        <w:t xml:space="preserve"> be</w:t>
      </w:r>
      <w:r w:rsidR="00361A26" w:rsidRPr="007F70DF">
        <w:rPr>
          <w:rFonts w:eastAsia="Calibri" w:cs="Times New Roman"/>
          <w:szCs w:val="26"/>
        </w:rPr>
        <w:t xml:space="preserve"> rejected.</w:t>
      </w:r>
      <w:bookmarkStart w:id="36" w:name="_Toc367958623"/>
    </w:p>
    <w:p w:rsidR="00A225D8" w:rsidRDefault="00A225D8" w:rsidP="00A225D8">
      <w:pPr>
        <w:contextualSpacing/>
        <w:rPr>
          <w:rFonts w:eastAsia="Calibri" w:cs="Times New Roman"/>
          <w:szCs w:val="26"/>
        </w:rPr>
      </w:pPr>
    </w:p>
    <w:p w:rsidR="00A225D8" w:rsidRDefault="00A225D8" w:rsidP="001A2ED7">
      <w:pPr>
        <w:spacing w:line="240" w:lineRule="auto"/>
        <w:contextualSpacing/>
        <w:rPr>
          <w:rFonts w:eastAsia="Calibri" w:cs="Times New Roman"/>
          <w:b/>
          <w:szCs w:val="26"/>
        </w:rPr>
      </w:pPr>
      <w:r>
        <w:rPr>
          <w:rFonts w:eastAsia="Calibri" w:cs="Times New Roman"/>
          <w:szCs w:val="26"/>
        </w:rPr>
        <w:tab/>
      </w:r>
      <w:r w:rsidRPr="00F2428A">
        <w:rPr>
          <w:rFonts w:eastAsia="Calibri" w:cs="Times New Roman"/>
          <w:b/>
          <w:szCs w:val="26"/>
        </w:rPr>
        <w:t>c.</w:t>
      </w:r>
      <w:r w:rsidR="00154C1C">
        <w:rPr>
          <w:rFonts w:eastAsia="Calibri" w:cs="Times New Roman"/>
          <w:b/>
          <w:szCs w:val="26"/>
        </w:rPr>
        <w:tab/>
        <w:t>Exceptions</w:t>
      </w:r>
    </w:p>
    <w:p w:rsidR="00DE0C27" w:rsidRPr="00F2428A" w:rsidRDefault="00DE0C27" w:rsidP="00F2428A">
      <w:pPr>
        <w:contextualSpacing/>
        <w:rPr>
          <w:rFonts w:eastAsia="Calibri" w:cs="Times New Roman"/>
          <w:b/>
          <w:szCs w:val="26"/>
        </w:rPr>
      </w:pPr>
    </w:p>
    <w:p w:rsidR="007C3299" w:rsidRPr="007C3299" w:rsidRDefault="00F2428A" w:rsidP="00343CB6">
      <w:r w:rsidRPr="00F2428A">
        <w:t>In its Exception, the OCA argues</w:t>
      </w:r>
      <w:r w:rsidR="007C3299">
        <w:t xml:space="preserve"> that</w:t>
      </w:r>
      <w:r w:rsidR="00DE0C27">
        <w:t>,</w:t>
      </w:r>
      <w:r w:rsidRPr="00F2428A">
        <w:t xml:space="preserve"> in general terms</w:t>
      </w:r>
      <w:r w:rsidR="00DE0C27" w:rsidRPr="007C3299">
        <w:t>,</w:t>
      </w:r>
      <w:r w:rsidR="00154C1C" w:rsidRPr="007C3299">
        <w:t xml:space="preserve"> </w:t>
      </w:r>
      <w:r w:rsidR="007C3299">
        <w:t>it proposed</w:t>
      </w:r>
      <w:r w:rsidR="007C3299" w:rsidRPr="007C3299">
        <w:t xml:space="preserve"> adjustments to a number of the Company’s allocations to the Marietta Division to reflect a more accurate allocation of costs to that division.</w:t>
      </w:r>
      <w:r w:rsidR="007C3299" w:rsidRPr="005F2108">
        <w:rPr>
          <w:rStyle w:val="FootnoteReference"/>
          <w:szCs w:val="26"/>
        </w:rPr>
        <w:footnoteReference w:id="32"/>
      </w:r>
      <w:r w:rsidR="007C3299" w:rsidRPr="005F2108">
        <w:t xml:space="preserve"> </w:t>
      </w:r>
      <w:r w:rsidR="007C3299">
        <w:t xml:space="preserve"> </w:t>
      </w:r>
      <w:r w:rsidR="007C3299" w:rsidRPr="007C3299">
        <w:t xml:space="preserve">The </w:t>
      </w:r>
      <w:r w:rsidR="007C3299">
        <w:t>OCA states that the ALJ rejected most</w:t>
      </w:r>
      <w:r w:rsidR="007C3299" w:rsidRPr="007C3299">
        <w:t xml:space="preserve"> of the OCA’s adjustments </w:t>
      </w:r>
      <w:r w:rsidR="007C3299">
        <w:t xml:space="preserve">(with the exceptions of accounting expense and office expense) and characterized </w:t>
      </w:r>
      <w:r w:rsidR="007C3299" w:rsidRPr="007C3299">
        <w:t xml:space="preserve">the OCA’s </w:t>
      </w:r>
      <w:r w:rsidR="007C3299">
        <w:t xml:space="preserve">proposed </w:t>
      </w:r>
      <w:r w:rsidR="007C3299" w:rsidRPr="007C3299">
        <w:t>adjustments as “what adjustments it</w:t>
      </w:r>
      <w:r w:rsidR="003E601D">
        <w:t xml:space="preserve">s witness wants.” </w:t>
      </w:r>
      <w:r w:rsidR="00031046">
        <w:t xml:space="preserve"> </w:t>
      </w:r>
      <w:r w:rsidR="003E601D">
        <w:t xml:space="preserve">R.D. </w:t>
      </w:r>
      <w:r w:rsidR="007C3299">
        <w:t>at 29.  The OCA argues that t</w:t>
      </w:r>
      <w:r w:rsidR="007C3299" w:rsidRPr="007C3299">
        <w:t>his cri</w:t>
      </w:r>
      <w:r w:rsidR="007C3299">
        <w:t xml:space="preserve">ticism is unfounded, and submits </w:t>
      </w:r>
      <w:r w:rsidR="007C3299">
        <w:lastRenderedPageBreak/>
        <w:t xml:space="preserve">that its </w:t>
      </w:r>
      <w:r w:rsidR="007C3299" w:rsidRPr="007C3299">
        <w:t xml:space="preserve">witness has recommended adjustments that comport with acceptable ratemaking procedures </w:t>
      </w:r>
      <w:r w:rsidR="00E27125">
        <w:t>and policies.  OCA Exc. at 26-27.</w:t>
      </w:r>
    </w:p>
    <w:p w:rsidR="007C3299" w:rsidRDefault="007C3299" w:rsidP="00343CB6"/>
    <w:p w:rsidR="00A225D8" w:rsidRPr="00892E95" w:rsidRDefault="00154C1C" w:rsidP="00343CB6">
      <w:r>
        <w:t>With regard to this specific issue, the OCA</w:t>
      </w:r>
      <w:r w:rsidR="00E27125">
        <w:t xml:space="preserve"> </w:t>
      </w:r>
      <w:r w:rsidR="005F2108">
        <w:t>submits</w:t>
      </w:r>
      <w:r w:rsidR="00E27125">
        <w:t xml:space="preserve"> that t</w:t>
      </w:r>
      <w:r w:rsidR="00F2428A" w:rsidRPr="00E27125">
        <w:t>he ALJ rejected the OCA’s adjustment</w:t>
      </w:r>
      <w:r w:rsidR="003E601D">
        <w:t>s</w:t>
      </w:r>
      <w:r w:rsidR="00F2428A" w:rsidRPr="00E27125">
        <w:t xml:space="preserve"> (for the Forem</w:t>
      </w:r>
      <w:r w:rsidR="003E601D">
        <w:t>an’s and Service Person’s salaries</w:t>
      </w:r>
      <w:r w:rsidR="00F2428A" w:rsidRPr="00E27125">
        <w:t>) because he agreed with Columbia t</w:t>
      </w:r>
      <w:r w:rsidR="00E27125">
        <w:t xml:space="preserve">hat </w:t>
      </w:r>
      <w:r w:rsidR="00F2428A" w:rsidRPr="00E27125">
        <w:t xml:space="preserve">the allocation may need to be adjusted in future cases.  R.D. at 30.  The OCA </w:t>
      </w:r>
      <w:r w:rsidR="005F2108">
        <w:t>avers</w:t>
      </w:r>
      <w:r w:rsidR="00F2428A" w:rsidRPr="00E27125">
        <w:t xml:space="preserve"> that this is the nature of allocation issues and should not be the basis t</w:t>
      </w:r>
      <w:r w:rsidR="00E27125">
        <w:t>o reject the OCA’s adjustment</w:t>
      </w:r>
      <w:r w:rsidR="003E601D">
        <w:t xml:space="preserve">.  </w:t>
      </w:r>
      <w:r w:rsidR="00F2428A" w:rsidRPr="00E27125">
        <w:t xml:space="preserve">The </w:t>
      </w:r>
      <w:r w:rsidR="003E601D">
        <w:t xml:space="preserve">OCA states that the </w:t>
      </w:r>
      <w:r w:rsidR="00F2428A" w:rsidRPr="00E27125">
        <w:t>Company allocat</w:t>
      </w:r>
      <w:r w:rsidR="003E601D">
        <w:t>ed</w:t>
      </w:r>
      <w:r w:rsidR="00F2428A" w:rsidRPr="00E27125">
        <w:t xml:space="preserve"> only 4.22% of the Foreman’s salary and 2.31% of the Service Person’s salary to the</w:t>
      </w:r>
      <w:r w:rsidR="003E601D">
        <w:t xml:space="preserve"> Marietta Division </w:t>
      </w:r>
      <w:r w:rsidR="00F2428A" w:rsidRPr="00E27125">
        <w:t>based on time spent on Marietta tasks during a three</w:t>
      </w:r>
      <w:r w:rsidR="001A2ED7">
        <w:t>-</w:t>
      </w:r>
      <w:r w:rsidR="00F2428A" w:rsidRPr="00E27125">
        <w:t xml:space="preserve">month period in 2012. </w:t>
      </w:r>
      <w:r w:rsidR="003E601D">
        <w:t xml:space="preserve"> The OCA argues that </w:t>
      </w:r>
      <w:r w:rsidR="00F2428A" w:rsidRPr="00E27125">
        <w:t>data from a few months of time sheets is not a reasonable basis to allocate wa</w:t>
      </w:r>
      <w:r w:rsidR="003E601D">
        <w:t>ges over the course of a year. The OCA submits that</w:t>
      </w:r>
      <w:r w:rsidR="00F2428A" w:rsidRPr="00E27125">
        <w:t>, until at least a year’s worth of da</w:t>
      </w:r>
      <w:r w:rsidR="003E601D">
        <w:t>ta is available, its recommended allocation of 15% is</w:t>
      </w:r>
      <w:r w:rsidR="00F2428A" w:rsidRPr="00E27125">
        <w:t xml:space="preserve"> fair and reasonabl</w:t>
      </w:r>
      <w:r w:rsidR="003E601D">
        <w:t xml:space="preserve">e.  </w:t>
      </w:r>
      <w:r w:rsidR="00124910">
        <w:t xml:space="preserve">The </w:t>
      </w:r>
      <w:r w:rsidR="003E601D">
        <w:t>OCA states that its updated</w:t>
      </w:r>
      <w:r w:rsidR="00F2428A" w:rsidRPr="003E601D">
        <w:t xml:space="preserve"> </w:t>
      </w:r>
      <w:r w:rsidR="00F2428A" w:rsidRPr="00892E95">
        <w:t>recommended Salaries</w:t>
      </w:r>
      <w:r w:rsidR="003E601D" w:rsidRPr="00892E95">
        <w:t xml:space="preserve"> &amp; Wages adjustment is $3,637.  OCA Exc. at 28.</w:t>
      </w:r>
    </w:p>
    <w:p w:rsidR="003E601D" w:rsidRPr="00892E95" w:rsidRDefault="003E601D" w:rsidP="00892E95">
      <w:pPr>
        <w:contextualSpacing/>
        <w:rPr>
          <w:rFonts w:eastAsia="Calibri" w:cs="Times New Roman"/>
          <w:szCs w:val="26"/>
        </w:rPr>
      </w:pPr>
    </w:p>
    <w:p w:rsidR="003E601D" w:rsidRDefault="00A225D8" w:rsidP="001A2ED7">
      <w:pPr>
        <w:spacing w:line="240" w:lineRule="auto"/>
        <w:contextualSpacing/>
        <w:rPr>
          <w:rFonts w:eastAsia="Calibri" w:cs="Times New Roman"/>
          <w:b/>
          <w:szCs w:val="26"/>
        </w:rPr>
      </w:pPr>
      <w:r w:rsidRPr="00892E95">
        <w:rPr>
          <w:rFonts w:eastAsia="Calibri" w:cs="Times New Roman"/>
          <w:b/>
          <w:szCs w:val="26"/>
        </w:rPr>
        <w:tab/>
        <w:t>d.</w:t>
      </w:r>
      <w:r w:rsidR="003E601D" w:rsidRPr="00892E95">
        <w:rPr>
          <w:rFonts w:eastAsia="Calibri" w:cs="Times New Roman"/>
          <w:b/>
          <w:szCs w:val="26"/>
        </w:rPr>
        <w:tab/>
        <w:t>Reply Exceptions</w:t>
      </w:r>
    </w:p>
    <w:p w:rsidR="00892E95" w:rsidRDefault="00892E95" w:rsidP="00892E95">
      <w:pPr>
        <w:spacing w:before="200"/>
        <w:contextualSpacing/>
        <w:rPr>
          <w:rFonts w:eastAsia="Calibri" w:cs="Times New Roman"/>
          <w:b/>
          <w:szCs w:val="26"/>
        </w:rPr>
      </w:pPr>
    </w:p>
    <w:p w:rsidR="003B0369" w:rsidRDefault="00892E95" w:rsidP="00892E95">
      <w:pPr>
        <w:spacing w:before="200"/>
        <w:contextualSpacing/>
        <w:rPr>
          <w:rFonts w:cs="Times New Roman"/>
          <w:szCs w:val="26"/>
        </w:rPr>
      </w:pPr>
      <w:r>
        <w:rPr>
          <w:rFonts w:cs="Times New Roman"/>
          <w:szCs w:val="26"/>
        </w:rPr>
        <w:t>In response to t</w:t>
      </w:r>
      <w:r w:rsidR="003B0369" w:rsidRPr="00892E95">
        <w:rPr>
          <w:rFonts w:cs="Times New Roman"/>
          <w:szCs w:val="26"/>
        </w:rPr>
        <w:t>he OCA</w:t>
      </w:r>
      <w:r>
        <w:rPr>
          <w:rFonts w:cs="Times New Roman"/>
          <w:szCs w:val="26"/>
        </w:rPr>
        <w:t xml:space="preserve">’s general objection to the ALJ’s recommendations to reject several of the OCA’s adjustments based on a </w:t>
      </w:r>
      <w:r w:rsidR="003B0369" w:rsidRPr="00892E95">
        <w:rPr>
          <w:rFonts w:cs="Times New Roman"/>
          <w:szCs w:val="26"/>
        </w:rPr>
        <w:t>g</w:t>
      </w:r>
      <w:r>
        <w:rPr>
          <w:rFonts w:cs="Times New Roman"/>
          <w:szCs w:val="26"/>
        </w:rPr>
        <w:t>eneral “Marietta” allocation factor of 15%, the Company asserts that its claims were</w:t>
      </w:r>
      <w:r w:rsidR="003B0369" w:rsidRPr="00892E95">
        <w:rPr>
          <w:rFonts w:cs="Times New Roman"/>
          <w:szCs w:val="26"/>
        </w:rPr>
        <w:t xml:space="preserve"> </w:t>
      </w:r>
      <w:r>
        <w:rPr>
          <w:rFonts w:cs="Times New Roman"/>
          <w:szCs w:val="26"/>
        </w:rPr>
        <w:t xml:space="preserve">based on </w:t>
      </w:r>
      <w:r w:rsidR="003B0369" w:rsidRPr="00892E95">
        <w:rPr>
          <w:rFonts w:cs="Times New Roman"/>
          <w:szCs w:val="26"/>
        </w:rPr>
        <w:t>“re</w:t>
      </w:r>
      <w:r>
        <w:rPr>
          <w:rFonts w:cs="Times New Roman"/>
          <w:szCs w:val="26"/>
        </w:rPr>
        <w:t xml:space="preserve">al world” allocations </w:t>
      </w:r>
      <w:r w:rsidR="003B0369" w:rsidRPr="00892E95">
        <w:rPr>
          <w:rFonts w:cs="Times New Roman"/>
          <w:szCs w:val="26"/>
        </w:rPr>
        <w:t xml:space="preserve">made by </w:t>
      </w:r>
      <w:r>
        <w:rPr>
          <w:rFonts w:cs="Times New Roman"/>
          <w:szCs w:val="26"/>
        </w:rPr>
        <w:t xml:space="preserve">its </w:t>
      </w:r>
      <w:r>
        <w:rPr>
          <w:rFonts w:cs="Times New Roman"/>
          <w:szCs w:val="26"/>
        </w:rPr>
        <w:lastRenderedPageBreak/>
        <w:t>general manager, Dave Lewis,</w:t>
      </w:r>
      <w:r w:rsidR="003B0369" w:rsidRPr="00892E95">
        <w:rPr>
          <w:rStyle w:val="FootnoteReference"/>
          <w:rFonts w:cs="Times New Roman"/>
          <w:szCs w:val="26"/>
        </w:rPr>
        <w:footnoteReference w:id="33"/>
      </w:r>
      <w:r>
        <w:rPr>
          <w:rFonts w:cs="Times New Roman"/>
          <w:szCs w:val="26"/>
        </w:rPr>
        <w:t xml:space="preserve"> who </w:t>
      </w:r>
      <w:r w:rsidR="003B0369" w:rsidRPr="00892E95">
        <w:rPr>
          <w:rFonts w:cs="Times New Roman"/>
          <w:szCs w:val="26"/>
        </w:rPr>
        <w:t>works on a day-to-day basis managing the Compa</w:t>
      </w:r>
      <w:r>
        <w:rPr>
          <w:rFonts w:cs="Times New Roman"/>
          <w:szCs w:val="26"/>
        </w:rPr>
        <w:t xml:space="preserve">ny.  </w:t>
      </w:r>
      <w:r w:rsidR="005F2108">
        <w:rPr>
          <w:rFonts w:cs="Times New Roman"/>
          <w:szCs w:val="26"/>
        </w:rPr>
        <w:t>CWC R.Exc. at 20.</w:t>
      </w:r>
      <w:r w:rsidR="005F2108" w:rsidRPr="00892E95">
        <w:rPr>
          <w:rFonts w:cs="Times New Roman"/>
          <w:szCs w:val="26"/>
        </w:rPr>
        <w:t xml:space="preserve"> </w:t>
      </w:r>
      <w:r w:rsidR="005F2108">
        <w:rPr>
          <w:rFonts w:cs="Times New Roman"/>
          <w:szCs w:val="26"/>
        </w:rPr>
        <w:t xml:space="preserve"> The Compan</w:t>
      </w:r>
      <w:r w:rsidR="00124910">
        <w:rPr>
          <w:rFonts w:cs="Times New Roman"/>
          <w:szCs w:val="26"/>
        </w:rPr>
        <w:t>y</w:t>
      </w:r>
      <w:r w:rsidR="005F2108">
        <w:rPr>
          <w:rFonts w:cs="Times New Roman"/>
          <w:szCs w:val="26"/>
        </w:rPr>
        <w:t xml:space="preserve"> states that </w:t>
      </w:r>
      <w:r w:rsidR="00031046">
        <w:rPr>
          <w:rFonts w:cs="Times New Roman"/>
          <w:szCs w:val="26"/>
        </w:rPr>
        <w:t>“[i]</w:t>
      </w:r>
      <w:r w:rsidR="003B0369" w:rsidRPr="00892E95">
        <w:rPr>
          <w:rFonts w:cs="Times New Roman"/>
          <w:szCs w:val="26"/>
        </w:rPr>
        <w:t>t is simply impossible for someone who has no experience working with the water company – and who has never even been there – to make remote suppositions on the amount of time a Columbia employee spends or should spend working on Marietta Division tasks.</w:t>
      </w:r>
      <w:r>
        <w:rPr>
          <w:rFonts w:cs="Times New Roman"/>
          <w:szCs w:val="26"/>
        </w:rPr>
        <w:t xml:space="preserve">”  </w:t>
      </w:r>
      <w:r w:rsidR="005F2108" w:rsidRPr="005F2108">
        <w:rPr>
          <w:rFonts w:cs="Times New Roman"/>
          <w:i/>
          <w:szCs w:val="26"/>
        </w:rPr>
        <w:t>Id.</w:t>
      </w:r>
      <w:r w:rsidR="005F2108">
        <w:rPr>
          <w:rFonts w:cs="Times New Roman"/>
          <w:szCs w:val="26"/>
        </w:rPr>
        <w:t xml:space="preserve"> </w:t>
      </w:r>
    </w:p>
    <w:p w:rsidR="00892E95" w:rsidRPr="00892E95" w:rsidRDefault="00892E95" w:rsidP="00892E95">
      <w:pPr>
        <w:spacing w:before="200"/>
        <w:contextualSpacing/>
        <w:rPr>
          <w:rFonts w:cs="Times New Roman"/>
          <w:szCs w:val="26"/>
        </w:rPr>
      </w:pPr>
    </w:p>
    <w:p w:rsidR="003B0369" w:rsidRDefault="00640B95" w:rsidP="00640B95">
      <w:pPr>
        <w:contextualSpacing/>
        <w:rPr>
          <w:rFonts w:cs="Times New Roman"/>
          <w:spacing w:val="-4"/>
          <w:szCs w:val="26"/>
        </w:rPr>
      </w:pPr>
      <w:r>
        <w:rPr>
          <w:rFonts w:cs="Times New Roman"/>
          <w:spacing w:val="-4"/>
          <w:szCs w:val="26"/>
        </w:rPr>
        <w:t>The Company submits that the ALJ correctly rejected t</w:t>
      </w:r>
      <w:r w:rsidR="003B0369" w:rsidRPr="00892E95">
        <w:rPr>
          <w:rFonts w:cs="Times New Roman"/>
          <w:spacing w:val="-4"/>
          <w:szCs w:val="26"/>
        </w:rPr>
        <w:t>he OCA’s speculative allocations of Columbia’s employees’ tim</w:t>
      </w:r>
      <w:r w:rsidR="00083758">
        <w:rPr>
          <w:rFonts w:cs="Times New Roman"/>
          <w:spacing w:val="-4"/>
          <w:szCs w:val="26"/>
        </w:rPr>
        <w:t>e to the Marietta Division,</w:t>
      </w:r>
      <w:r w:rsidR="003B0369" w:rsidRPr="00892E95">
        <w:rPr>
          <w:rFonts w:cs="Times New Roman"/>
          <w:spacing w:val="-4"/>
          <w:szCs w:val="26"/>
        </w:rPr>
        <w:t xml:space="preserve"> and instead correctly accepted Columbia’s allocations based on its general manager’s “real world” allocations and the fact that “Columbia employees must still do Columbia Division work.”  </w:t>
      </w:r>
      <w:r w:rsidR="00083758">
        <w:rPr>
          <w:rFonts w:cs="Times New Roman"/>
          <w:spacing w:val="-4"/>
          <w:szCs w:val="26"/>
        </w:rPr>
        <w:t xml:space="preserve">CWC R.Exc. at 20, citing </w:t>
      </w:r>
      <w:r w:rsidR="003B0369" w:rsidRPr="00892E95">
        <w:rPr>
          <w:rFonts w:cs="Times New Roman"/>
          <w:spacing w:val="-4"/>
          <w:szCs w:val="26"/>
        </w:rPr>
        <w:t>R</w:t>
      </w:r>
      <w:r w:rsidR="00083758">
        <w:rPr>
          <w:rFonts w:cs="Times New Roman"/>
          <w:spacing w:val="-4"/>
          <w:szCs w:val="26"/>
        </w:rPr>
        <w:t>.</w:t>
      </w:r>
      <w:r w:rsidR="003B0369" w:rsidRPr="00892E95">
        <w:rPr>
          <w:rFonts w:cs="Times New Roman"/>
          <w:spacing w:val="-4"/>
          <w:szCs w:val="26"/>
        </w:rPr>
        <w:t>D</w:t>
      </w:r>
      <w:r w:rsidR="00083758">
        <w:rPr>
          <w:rFonts w:cs="Times New Roman"/>
          <w:spacing w:val="-4"/>
          <w:szCs w:val="26"/>
        </w:rPr>
        <w:t>. at 29.</w:t>
      </w:r>
    </w:p>
    <w:p w:rsidR="00083758" w:rsidRPr="00892E95" w:rsidRDefault="00083758" w:rsidP="00640B95">
      <w:pPr>
        <w:contextualSpacing/>
        <w:rPr>
          <w:rFonts w:cs="Times New Roman"/>
          <w:spacing w:val="-4"/>
          <w:szCs w:val="26"/>
        </w:rPr>
      </w:pPr>
    </w:p>
    <w:p w:rsidR="003E601D" w:rsidRPr="00892E95" w:rsidRDefault="003B0369" w:rsidP="00083758">
      <w:pPr>
        <w:contextualSpacing/>
        <w:rPr>
          <w:rFonts w:eastAsia="Calibri" w:cs="Times New Roman"/>
          <w:b/>
          <w:szCs w:val="26"/>
        </w:rPr>
      </w:pPr>
      <w:r w:rsidRPr="00892E95">
        <w:rPr>
          <w:rFonts w:cs="Times New Roman"/>
          <w:szCs w:val="26"/>
        </w:rPr>
        <w:t xml:space="preserve">With regard to </w:t>
      </w:r>
      <w:r w:rsidR="00083758">
        <w:rPr>
          <w:rFonts w:cs="Times New Roman"/>
          <w:szCs w:val="26"/>
        </w:rPr>
        <w:t xml:space="preserve">the </w:t>
      </w:r>
      <w:r w:rsidRPr="00892E95">
        <w:rPr>
          <w:rFonts w:cs="Times New Roman"/>
          <w:szCs w:val="26"/>
        </w:rPr>
        <w:t xml:space="preserve">OCA’s corresponding adjustment to the Company’s payroll tax claim, </w:t>
      </w:r>
      <w:r w:rsidR="00083758">
        <w:rPr>
          <w:rFonts w:cs="Times New Roman"/>
          <w:szCs w:val="26"/>
        </w:rPr>
        <w:t xml:space="preserve">Columbia states that </w:t>
      </w:r>
      <w:r w:rsidRPr="00892E95">
        <w:rPr>
          <w:rFonts w:cs="Times New Roman"/>
          <w:szCs w:val="26"/>
        </w:rPr>
        <w:t xml:space="preserve">this allocation </w:t>
      </w:r>
      <w:r w:rsidR="00083758">
        <w:rPr>
          <w:rFonts w:cs="Times New Roman"/>
          <w:szCs w:val="26"/>
        </w:rPr>
        <w:t xml:space="preserve">similarly </w:t>
      </w:r>
      <w:r w:rsidRPr="00892E95">
        <w:rPr>
          <w:rFonts w:cs="Times New Roman"/>
          <w:szCs w:val="26"/>
        </w:rPr>
        <w:t xml:space="preserve">is based on </w:t>
      </w:r>
      <w:r w:rsidR="00124910">
        <w:rPr>
          <w:rFonts w:cs="Times New Roman"/>
          <w:szCs w:val="26"/>
        </w:rPr>
        <w:t xml:space="preserve">the </w:t>
      </w:r>
      <w:r w:rsidRPr="00892E95">
        <w:rPr>
          <w:rFonts w:cs="Times New Roman"/>
          <w:szCs w:val="26"/>
        </w:rPr>
        <w:t>OCA’s flawed and speculative allocations of the Company’s employee salaries and w</w:t>
      </w:r>
      <w:r w:rsidR="00083758">
        <w:rPr>
          <w:rFonts w:cs="Times New Roman"/>
          <w:szCs w:val="26"/>
        </w:rPr>
        <w:t xml:space="preserve">ages to the Marietta Division. </w:t>
      </w:r>
      <w:r w:rsidR="00A225D8" w:rsidRPr="00892E95">
        <w:rPr>
          <w:rFonts w:eastAsia="Calibri" w:cs="Times New Roman"/>
          <w:b/>
          <w:szCs w:val="26"/>
        </w:rPr>
        <w:tab/>
      </w:r>
    </w:p>
    <w:p w:rsidR="003E601D" w:rsidRDefault="003E601D" w:rsidP="00F2428A">
      <w:pPr>
        <w:contextualSpacing/>
        <w:rPr>
          <w:rFonts w:eastAsia="Calibri" w:cs="Times New Roman"/>
          <w:b/>
          <w:szCs w:val="26"/>
        </w:rPr>
      </w:pPr>
    </w:p>
    <w:p w:rsidR="00A225D8" w:rsidRDefault="003E601D" w:rsidP="001A2ED7">
      <w:pPr>
        <w:spacing w:line="240" w:lineRule="auto"/>
        <w:ind w:left="1440" w:firstLine="720"/>
        <w:contextualSpacing/>
        <w:rPr>
          <w:rFonts w:eastAsia="Calibri" w:cs="Times New Roman"/>
          <w:b/>
          <w:szCs w:val="26"/>
        </w:rPr>
      </w:pPr>
      <w:r>
        <w:rPr>
          <w:rFonts w:eastAsia="Calibri" w:cs="Times New Roman"/>
          <w:b/>
          <w:szCs w:val="26"/>
        </w:rPr>
        <w:t>e.</w:t>
      </w:r>
      <w:r>
        <w:rPr>
          <w:rFonts w:eastAsia="Calibri" w:cs="Times New Roman"/>
          <w:b/>
          <w:szCs w:val="26"/>
        </w:rPr>
        <w:tab/>
      </w:r>
      <w:r w:rsidR="00A225D8" w:rsidRPr="00F2428A">
        <w:rPr>
          <w:rFonts w:eastAsia="Calibri" w:cs="Times New Roman"/>
          <w:b/>
          <w:szCs w:val="26"/>
        </w:rPr>
        <w:t>Disposition</w:t>
      </w:r>
    </w:p>
    <w:p w:rsidR="00DE0C27" w:rsidRDefault="00DE0C27" w:rsidP="00F2428A">
      <w:pPr>
        <w:contextualSpacing/>
        <w:rPr>
          <w:rFonts w:eastAsia="Calibri" w:cs="Times New Roman"/>
          <w:b/>
          <w:szCs w:val="26"/>
        </w:rPr>
      </w:pPr>
    </w:p>
    <w:p w:rsidR="00361A26" w:rsidRPr="00337899" w:rsidRDefault="00B265C3" w:rsidP="00B265C3">
      <w:pPr>
        <w:contextualSpacing/>
        <w:rPr>
          <w:rFonts w:eastAsia="Calibri" w:cs="Times New Roman"/>
          <w:szCs w:val="26"/>
        </w:rPr>
      </w:pPr>
      <w:r w:rsidRPr="00B265C3">
        <w:rPr>
          <w:rFonts w:eastAsia="Calibri" w:cs="Times New Roman"/>
          <w:szCs w:val="26"/>
        </w:rPr>
        <w:t xml:space="preserve">It is </w:t>
      </w:r>
      <w:r w:rsidR="00A76DA2">
        <w:rPr>
          <w:rFonts w:eastAsia="Calibri" w:cs="Times New Roman"/>
          <w:szCs w:val="26"/>
        </w:rPr>
        <w:t>very difficult</w:t>
      </w:r>
      <w:r w:rsidRPr="00B265C3">
        <w:rPr>
          <w:rFonts w:eastAsia="Calibri" w:cs="Times New Roman"/>
          <w:szCs w:val="26"/>
        </w:rPr>
        <w:t xml:space="preserve"> </w:t>
      </w:r>
      <w:r>
        <w:rPr>
          <w:rFonts w:eastAsia="Calibri" w:cs="Times New Roman"/>
          <w:szCs w:val="26"/>
        </w:rPr>
        <w:t xml:space="preserve">to develop a precise estimate for the allocation of personnel costs to the Marietta Division based on the initial few months following the October 2012 </w:t>
      </w:r>
      <w:r>
        <w:rPr>
          <w:rFonts w:eastAsia="Calibri" w:cs="Times New Roman"/>
          <w:szCs w:val="26"/>
        </w:rPr>
        <w:lastRenderedPageBreak/>
        <w:t xml:space="preserve">acquisition.  Under these circumstances, we shall defer to the Company’s claim based on the general manager’s experience until such time that more comprehensive </w:t>
      </w:r>
      <w:r w:rsidR="00C2092E">
        <w:rPr>
          <w:rFonts w:eastAsia="Calibri" w:cs="Times New Roman"/>
          <w:szCs w:val="26"/>
        </w:rPr>
        <w:t>set</w:t>
      </w:r>
      <w:r w:rsidR="00124910">
        <w:rPr>
          <w:rFonts w:eastAsia="Calibri" w:cs="Times New Roman"/>
          <w:szCs w:val="26"/>
        </w:rPr>
        <w:t>s</w:t>
      </w:r>
      <w:r w:rsidR="00C2092E">
        <w:rPr>
          <w:rFonts w:eastAsia="Calibri" w:cs="Times New Roman"/>
          <w:szCs w:val="26"/>
        </w:rPr>
        <w:t xml:space="preserve"> of employee time sheets are available and the allocation of staff </w:t>
      </w:r>
      <w:r w:rsidR="00A42605">
        <w:rPr>
          <w:rFonts w:eastAsia="Calibri" w:cs="Times New Roman"/>
          <w:szCs w:val="26"/>
        </w:rPr>
        <w:t xml:space="preserve">resources </w:t>
      </w:r>
      <w:r w:rsidR="00C2092E">
        <w:rPr>
          <w:rFonts w:eastAsia="Calibri" w:cs="Times New Roman"/>
          <w:szCs w:val="26"/>
        </w:rPr>
        <w:t xml:space="preserve">to the Marietta Division becomes more routine.  Accordingly, we shall </w:t>
      </w:r>
      <w:r w:rsidR="00124910">
        <w:rPr>
          <w:rFonts w:eastAsia="Calibri" w:cs="Times New Roman"/>
          <w:szCs w:val="26"/>
        </w:rPr>
        <w:t>reject</w:t>
      </w:r>
      <w:r w:rsidR="00C2092E">
        <w:rPr>
          <w:rFonts w:eastAsia="Calibri" w:cs="Times New Roman"/>
          <w:szCs w:val="26"/>
        </w:rPr>
        <w:t xml:space="preserve"> the OCA’s estimates and corresponding adjustment. </w:t>
      </w:r>
    </w:p>
    <w:p w:rsidR="00B265C3" w:rsidRPr="00337899" w:rsidRDefault="00B265C3" w:rsidP="00B265C3">
      <w:pPr>
        <w:contextualSpacing/>
        <w:rPr>
          <w:rFonts w:eastAsia="Calibri" w:cs="Times New Roman"/>
          <w:szCs w:val="26"/>
        </w:rPr>
      </w:pPr>
    </w:p>
    <w:p w:rsidR="00A225D8" w:rsidRPr="00337899" w:rsidRDefault="00A225D8" w:rsidP="00992768">
      <w:pPr>
        <w:pStyle w:val="Heading3"/>
        <w:rPr>
          <w:rFonts w:ascii="Times New Roman" w:hAnsi="Times New Roman" w:cs="Times New Roman"/>
        </w:rPr>
      </w:pPr>
      <w:bookmarkStart w:id="37" w:name="_Toc378080168"/>
      <w:r w:rsidRPr="00337899">
        <w:rPr>
          <w:rFonts w:ascii="Times New Roman" w:hAnsi="Times New Roman" w:cs="Times New Roman"/>
        </w:rPr>
        <w:t>6</w:t>
      </w:r>
      <w:r w:rsidR="00361A26" w:rsidRPr="00337899">
        <w:rPr>
          <w:rFonts w:ascii="Times New Roman" w:hAnsi="Times New Roman" w:cs="Times New Roman"/>
        </w:rPr>
        <w:t>.</w:t>
      </w:r>
      <w:r w:rsidR="00361A26" w:rsidRPr="00337899">
        <w:rPr>
          <w:rFonts w:ascii="Times New Roman" w:hAnsi="Times New Roman" w:cs="Times New Roman"/>
        </w:rPr>
        <w:tab/>
      </w:r>
      <w:r w:rsidR="00A76DA2" w:rsidRPr="00337899">
        <w:rPr>
          <w:rFonts w:ascii="Times New Roman" w:hAnsi="Times New Roman" w:cs="Times New Roman"/>
        </w:rPr>
        <w:t xml:space="preserve">Allocation of </w:t>
      </w:r>
      <w:r w:rsidR="00CA6A9D" w:rsidRPr="00337899">
        <w:rPr>
          <w:rFonts w:ascii="Times New Roman" w:hAnsi="Times New Roman" w:cs="Times New Roman"/>
        </w:rPr>
        <w:t xml:space="preserve">Pensions </w:t>
      </w:r>
      <w:r w:rsidR="00A76DA2" w:rsidRPr="00337899">
        <w:rPr>
          <w:rFonts w:ascii="Times New Roman" w:hAnsi="Times New Roman" w:cs="Times New Roman"/>
        </w:rPr>
        <w:t>and</w:t>
      </w:r>
      <w:r w:rsidR="00CA6A9D" w:rsidRPr="00337899">
        <w:rPr>
          <w:rFonts w:ascii="Times New Roman" w:hAnsi="Times New Roman" w:cs="Times New Roman"/>
        </w:rPr>
        <w:t xml:space="preserve"> Benefits</w:t>
      </w:r>
      <w:bookmarkEnd w:id="36"/>
      <w:r w:rsidR="00A76DA2" w:rsidRPr="00337899">
        <w:rPr>
          <w:rFonts w:ascii="Times New Roman" w:hAnsi="Times New Roman" w:cs="Times New Roman"/>
        </w:rPr>
        <w:t xml:space="preserve"> Expense to the Marietta Division</w:t>
      </w:r>
      <w:bookmarkEnd w:id="37"/>
    </w:p>
    <w:p w:rsidR="00A225D8" w:rsidRPr="00337899" w:rsidRDefault="00A225D8" w:rsidP="00A76DA2">
      <w:pPr>
        <w:keepNext/>
        <w:ind w:left="1440"/>
        <w:contextualSpacing/>
        <w:jc w:val="both"/>
        <w:rPr>
          <w:rFonts w:cs="Times New Roman"/>
          <w:b/>
          <w:bCs/>
          <w:iCs/>
          <w:szCs w:val="26"/>
        </w:rPr>
      </w:pPr>
    </w:p>
    <w:p w:rsidR="00CA6A9D" w:rsidRPr="00337899" w:rsidRDefault="00A225D8" w:rsidP="00454155">
      <w:pPr>
        <w:keepNext/>
        <w:spacing w:line="240" w:lineRule="auto"/>
        <w:ind w:left="1440" w:firstLine="720"/>
        <w:contextualSpacing/>
        <w:jc w:val="both"/>
        <w:rPr>
          <w:rFonts w:cs="Times New Roman"/>
          <w:b/>
          <w:bCs/>
          <w:iCs/>
          <w:szCs w:val="26"/>
        </w:rPr>
      </w:pPr>
      <w:r w:rsidRPr="00337899">
        <w:rPr>
          <w:rFonts w:cs="Times New Roman"/>
          <w:b/>
          <w:bCs/>
          <w:iCs/>
          <w:szCs w:val="26"/>
        </w:rPr>
        <w:t>a.</w:t>
      </w:r>
      <w:r w:rsidRPr="00337899">
        <w:rPr>
          <w:rFonts w:cs="Times New Roman"/>
          <w:b/>
          <w:bCs/>
          <w:iCs/>
          <w:szCs w:val="26"/>
        </w:rPr>
        <w:tab/>
        <w:t>Positions of the Parties</w:t>
      </w:r>
    </w:p>
    <w:p w:rsidR="009D3F59" w:rsidRPr="00337899" w:rsidRDefault="009D3F59" w:rsidP="00A76DA2">
      <w:pPr>
        <w:keepNext/>
        <w:contextualSpacing/>
        <w:jc w:val="both"/>
        <w:rPr>
          <w:rFonts w:eastAsia="Calibri" w:cs="Times New Roman"/>
          <w:szCs w:val="26"/>
        </w:rPr>
      </w:pPr>
    </w:p>
    <w:p w:rsidR="00125EB2" w:rsidRDefault="00CA6A9D" w:rsidP="00124910">
      <w:pPr>
        <w:rPr>
          <w:rFonts w:eastAsia="Calibri"/>
        </w:rPr>
      </w:pPr>
      <w:r w:rsidRPr="007F70DF">
        <w:rPr>
          <w:rFonts w:eastAsia="Calibri"/>
        </w:rPr>
        <w:t>Columbia claimed a Future Test Year Pensions &amp; Benefits expense of $147,054.</w:t>
      </w:r>
      <w:r w:rsidR="00337899">
        <w:rPr>
          <w:rFonts w:eastAsia="Calibri"/>
        </w:rPr>
        <w:t xml:space="preserve"> </w:t>
      </w:r>
      <w:r w:rsidRPr="007F70DF">
        <w:rPr>
          <w:rFonts w:eastAsia="Calibri"/>
        </w:rPr>
        <w:t xml:space="preserve"> GDS Exh. 1 at 1-15.  This claim includes expenses for Pensions, Disability/Life Insurance, Health Insurance and Employee Recognition. </w:t>
      </w:r>
      <w:r w:rsidR="00A97303" w:rsidRPr="007F70DF">
        <w:rPr>
          <w:rFonts w:eastAsia="Calibri"/>
        </w:rPr>
        <w:t xml:space="preserve"> </w:t>
      </w:r>
      <w:r w:rsidRPr="007F70DF">
        <w:rPr>
          <w:rFonts w:eastAsia="Calibri"/>
        </w:rPr>
        <w:t xml:space="preserve">OCA St. 1 at 18-19 (citing OCA-I-29).  </w:t>
      </w:r>
      <w:r w:rsidR="00E24F5C">
        <w:rPr>
          <w:rFonts w:eastAsia="Calibri"/>
        </w:rPr>
        <w:t xml:space="preserve">The OCA noted that the Company did not allocate any pension and benefits expenses to the Marietta Division.  </w:t>
      </w:r>
      <w:r w:rsidR="00A42605">
        <w:rPr>
          <w:rFonts w:eastAsia="Calibri"/>
        </w:rPr>
        <w:t xml:space="preserve">Consistent with its </w:t>
      </w:r>
      <w:r w:rsidR="00E24F5C">
        <w:rPr>
          <w:rFonts w:eastAsia="Calibri"/>
        </w:rPr>
        <w:t xml:space="preserve">position on the allocation of salaries and wages, </w:t>
      </w:r>
      <w:r w:rsidR="00E24F5C" w:rsidRPr="00E24F5C">
        <w:rPr>
          <w:rFonts w:eastAsia="Calibri"/>
          <w:i/>
        </w:rPr>
        <w:t>supra</w:t>
      </w:r>
      <w:r w:rsidR="00E24F5C">
        <w:rPr>
          <w:rFonts w:eastAsia="Calibri"/>
        </w:rPr>
        <w:t xml:space="preserve">, </w:t>
      </w:r>
      <w:r w:rsidR="00337899">
        <w:rPr>
          <w:rFonts w:eastAsia="Calibri"/>
        </w:rPr>
        <w:t>the OCA argued</w:t>
      </w:r>
      <w:r w:rsidR="00361A26" w:rsidRPr="007F70DF">
        <w:rPr>
          <w:rFonts w:eastAsia="Calibri"/>
        </w:rPr>
        <w:t xml:space="preserve"> that </w:t>
      </w:r>
      <w:r w:rsidRPr="007F70DF">
        <w:rPr>
          <w:rFonts w:eastAsia="Calibri"/>
        </w:rPr>
        <w:t xml:space="preserve">these claims represent a portion of employee costs </w:t>
      </w:r>
      <w:r w:rsidR="00AD5F97" w:rsidRPr="007F70DF">
        <w:rPr>
          <w:rFonts w:eastAsia="Calibri"/>
        </w:rPr>
        <w:t>that</w:t>
      </w:r>
      <w:r w:rsidRPr="007F70DF">
        <w:rPr>
          <w:rFonts w:eastAsia="Calibri"/>
        </w:rPr>
        <w:t xml:space="preserve"> should be allocated to the Marietta Division</w:t>
      </w:r>
      <w:r w:rsidR="00337899">
        <w:rPr>
          <w:rFonts w:eastAsia="Calibri"/>
        </w:rPr>
        <w:t>,</w:t>
      </w:r>
      <w:r w:rsidR="00E24F5C">
        <w:rPr>
          <w:rFonts w:eastAsia="Calibri"/>
        </w:rPr>
        <w:t xml:space="preserve"> and recommended adjustments of $8,648 of health insurance expenses, $4,846 of pension expenses, and $765 of disability/life insurance expenses</w:t>
      </w:r>
      <w:r w:rsidR="00124910">
        <w:rPr>
          <w:rFonts w:eastAsia="Calibri"/>
        </w:rPr>
        <w:t>.</w:t>
      </w:r>
      <w:r w:rsidR="00A83ED7">
        <w:rPr>
          <w:rFonts w:eastAsia="Calibri"/>
        </w:rPr>
        <w:t xml:space="preserve">  OCA M.B. at 40-44</w:t>
      </w:r>
      <w:r w:rsidRPr="007F70DF">
        <w:rPr>
          <w:rFonts w:eastAsia="Calibri"/>
        </w:rPr>
        <w:t>.</w:t>
      </w:r>
      <w:r w:rsidR="00A76DA2">
        <w:rPr>
          <w:rStyle w:val="FootnoteReference"/>
          <w:rFonts w:eastAsia="Calibri" w:cs="Times New Roman"/>
          <w:szCs w:val="26"/>
        </w:rPr>
        <w:footnoteReference w:id="34"/>
      </w:r>
      <w:r w:rsidRPr="007F70DF">
        <w:rPr>
          <w:rFonts w:eastAsia="Calibri"/>
        </w:rPr>
        <w:t xml:space="preserve">  </w:t>
      </w:r>
    </w:p>
    <w:p w:rsidR="00A225D8" w:rsidRDefault="00A225D8" w:rsidP="004272F2">
      <w:pPr>
        <w:ind w:firstLine="720"/>
        <w:contextualSpacing/>
        <w:rPr>
          <w:rFonts w:eastAsia="Calibri" w:cs="Times New Roman"/>
          <w:szCs w:val="26"/>
        </w:rPr>
      </w:pPr>
    </w:p>
    <w:p w:rsidR="00A225D8" w:rsidRPr="00A225D8" w:rsidRDefault="00A225D8" w:rsidP="00A76DA2">
      <w:pPr>
        <w:spacing w:line="240" w:lineRule="auto"/>
        <w:ind w:firstLine="720"/>
        <w:contextualSpacing/>
        <w:rPr>
          <w:rFonts w:eastAsia="Calibri" w:cs="Times New Roman"/>
          <w:b/>
          <w:szCs w:val="26"/>
        </w:rPr>
      </w:pPr>
      <w:r>
        <w:rPr>
          <w:rFonts w:eastAsia="Calibri" w:cs="Times New Roman"/>
          <w:szCs w:val="26"/>
        </w:rPr>
        <w:tab/>
      </w:r>
      <w:r>
        <w:rPr>
          <w:rFonts w:eastAsia="Calibri" w:cs="Times New Roman"/>
          <w:szCs w:val="26"/>
        </w:rPr>
        <w:tab/>
      </w:r>
      <w:r>
        <w:rPr>
          <w:rFonts w:eastAsia="Calibri" w:cs="Times New Roman"/>
          <w:b/>
          <w:szCs w:val="26"/>
        </w:rPr>
        <w:t>b.</w:t>
      </w:r>
      <w:r>
        <w:rPr>
          <w:rFonts w:eastAsia="Calibri" w:cs="Times New Roman"/>
          <w:b/>
          <w:szCs w:val="26"/>
        </w:rPr>
        <w:tab/>
        <w:t>ALJ’s Recommendation</w:t>
      </w:r>
    </w:p>
    <w:p w:rsidR="00125EB2" w:rsidRPr="007F70DF" w:rsidRDefault="00125EB2" w:rsidP="00047866">
      <w:pPr>
        <w:ind w:firstLine="720"/>
        <w:contextualSpacing/>
        <w:jc w:val="both"/>
        <w:rPr>
          <w:rFonts w:eastAsia="Calibri" w:cs="Times New Roman"/>
          <w:szCs w:val="26"/>
        </w:rPr>
      </w:pPr>
    </w:p>
    <w:p w:rsidR="00696313" w:rsidRDefault="00125EB2" w:rsidP="004272F2">
      <w:pPr>
        <w:ind w:firstLine="720"/>
        <w:contextualSpacing/>
        <w:rPr>
          <w:rFonts w:eastAsia="Calibri" w:cs="Times New Roman"/>
          <w:szCs w:val="26"/>
        </w:rPr>
      </w:pPr>
      <w:r w:rsidRPr="007F70DF">
        <w:rPr>
          <w:rFonts w:eastAsia="Calibri" w:cs="Times New Roman"/>
          <w:szCs w:val="26"/>
        </w:rPr>
        <w:tab/>
      </w:r>
      <w:r w:rsidR="00A83ED7">
        <w:rPr>
          <w:rFonts w:eastAsia="Calibri" w:cs="Times New Roman"/>
          <w:szCs w:val="26"/>
        </w:rPr>
        <w:t>The ALJ stated that</w:t>
      </w:r>
      <w:r w:rsidR="00124910">
        <w:rPr>
          <w:rFonts w:eastAsia="Calibri" w:cs="Times New Roman"/>
          <w:szCs w:val="26"/>
        </w:rPr>
        <w:t>,</w:t>
      </w:r>
      <w:r w:rsidR="00A83ED7">
        <w:rPr>
          <w:rFonts w:eastAsia="Calibri" w:cs="Times New Roman"/>
          <w:szCs w:val="26"/>
        </w:rPr>
        <w:t xml:space="preserve"> o</w:t>
      </w:r>
      <w:r w:rsidR="00361A26" w:rsidRPr="007F70DF">
        <w:rPr>
          <w:rFonts w:eastAsia="Calibri" w:cs="Times New Roman"/>
          <w:szCs w:val="26"/>
        </w:rPr>
        <w:t xml:space="preserve">nce again, the OCA’s witness </w:t>
      </w:r>
      <w:r w:rsidR="00337899">
        <w:rPr>
          <w:rFonts w:eastAsia="Calibri" w:cs="Times New Roman"/>
          <w:szCs w:val="26"/>
        </w:rPr>
        <w:t>applied</w:t>
      </w:r>
      <w:r w:rsidR="00CA6A9D" w:rsidRPr="007F70DF">
        <w:rPr>
          <w:rFonts w:eastAsia="Calibri" w:cs="Times New Roman"/>
          <w:szCs w:val="26"/>
        </w:rPr>
        <w:t xml:space="preserve"> the allocation percentage provided by Mr. Lewis for salaried employees.  </w:t>
      </w:r>
      <w:r w:rsidR="00A83ED7">
        <w:rPr>
          <w:rFonts w:eastAsia="Calibri" w:cs="Times New Roman"/>
          <w:szCs w:val="26"/>
        </w:rPr>
        <w:t xml:space="preserve">The ALJ reasoned that the </w:t>
      </w:r>
      <w:r w:rsidR="00361A26" w:rsidRPr="007F70DF">
        <w:rPr>
          <w:rFonts w:eastAsia="Calibri" w:cs="Times New Roman"/>
          <w:szCs w:val="26"/>
        </w:rPr>
        <w:t xml:space="preserve">approach </w:t>
      </w:r>
      <w:r w:rsidR="00A93D0C" w:rsidRPr="007F70DF">
        <w:rPr>
          <w:rFonts w:eastAsia="Calibri" w:cs="Times New Roman"/>
          <w:szCs w:val="26"/>
        </w:rPr>
        <w:t xml:space="preserve">by the OCA’s witness </w:t>
      </w:r>
      <w:r w:rsidR="00361A26" w:rsidRPr="007F70DF">
        <w:rPr>
          <w:rFonts w:eastAsia="Calibri" w:cs="Times New Roman"/>
          <w:szCs w:val="26"/>
        </w:rPr>
        <w:t xml:space="preserve">is </w:t>
      </w:r>
      <w:r w:rsidR="00361A26" w:rsidRPr="00A83ED7">
        <w:rPr>
          <w:rFonts w:eastAsia="Calibri" w:cs="Times New Roman"/>
          <w:szCs w:val="26"/>
        </w:rPr>
        <w:t>not</w:t>
      </w:r>
      <w:r w:rsidR="00361A26" w:rsidRPr="007F70DF">
        <w:rPr>
          <w:rFonts w:eastAsia="Calibri" w:cs="Times New Roman"/>
          <w:szCs w:val="26"/>
        </w:rPr>
        <w:t xml:space="preserve"> </w:t>
      </w:r>
      <w:r w:rsidR="00CA6A9D" w:rsidRPr="007F70DF">
        <w:rPr>
          <w:rFonts w:eastAsia="Calibri" w:cs="Times New Roman"/>
          <w:szCs w:val="26"/>
        </w:rPr>
        <w:t xml:space="preserve">more reasonable than Columbia’s proposal to extrapolate an allocation from data for hourly employees that </w:t>
      </w:r>
      <w:r w:rsidR="00361A26" w:rsidRPr="007F70DF">
        <w:rPr>
          <w:rFonts w:eastAsia="Calibri" w:cs="Times New Roman"/>
          <w:szCs w:val="26"/>
        </w:rPr>
        <w:t>Columbia</w:t>
      </w:r>
      <w:r w:rsidR="00CA6A9D" w:rsidRPr="007F70DF">
        <w:rPr>
          <w:rFonts w:eastAsia="Calibri" w:cs="Times New Roman"/>
          <w:szCs w:val="26"/>
        </w:rPr>
        <w:t xml:space="preserve"> has deemed </w:t>
      </w:r>
      <w:r w:rsidR="00CA6A9D" w:rsidRPr="007F70DF">
        <w:rPr>
          <w:rFonts w:eastAsia="Calibri" w:cs="Times New Roman"/>
          <w:szCs w:val="26"/>
        </w:rPr>
        <w:lastRenderedPageBreak/>
        <w:t xml:space="preserve">insufficient or to allocate zero costs to </w:t>
      </w:r>
      <w:r w:rsidR="004320F9" w:rsidRPr="007F70DF">
        <w:rPr>
          <w:rFonts w:eastAsia="Calibri" w:cs="Times New Roman"/>
          <w:szCs w:val="26"/>
        </w:rPr>
        <w:t xml:space="preserve">the </w:t>
      </w:r>
      <w:r w:rsidR="00CA6A9D" w:rsidRPr="007F70DF">
        <w:rPr>
          <w:rFonts w:eastAsia="Calibri" w:cs="Times New Roman"/>
          <w:szCs w:val="26"/>
        </w:rPr>
        <w:t xml:space="preserve">Marietta </w:t>
      </w:r>
      <w:r w:rsidR="004320F9" w:rsidRPr="007F70DF">
        <w:rPr>
          <w:rFonts w:eastAsia="Calibri" w:cs="Times New Roman"/>
          <w:szCs w:val="26"/>
        </w:rPr>
        <w:t xml:space="preserve">Division </w:t>
      </w:r>
      <w:r w:rsidR="00CA6A9D" w:rsidRPr="007F70DF">
        <w:rPr>
          <w:rFonts w:eastAsia="Calibri" w:cs="Times New Roman"/>
          <w:szCs w:val="26"/>
        </w:rPr>
        <w:t>until suffi</w:t>
      </w:r>
      <w:bookmarkStart w:id="38" w:name="_Toc367958625"/>
      <w:r w:rsidR="00696313" w:rsidRPr="007F70DF">
        <w:rPr>
          <w:rFonts w:eastAsia="Calibri" w:cs="Times New Roman"/>
          <w:szCs w:val="26"/>
        </w:rPr>
        <w:t xml:space="preserve">cient data is available. </w:t>
      </w:r>
      <w:r w:rsidR="00A93D0C" w:rsidRPr="007F70DF">
        <w:rPr>
          <w:rFonts w:eastAsia="Calibri" w:cs="Times New Roman"/>
          <w:szCs w:val="26"/>
        </w:rPr>
        <w:t xml:space="preserve"> </w:t>
      </w:r>
      <w:r w:rsidR="00A83ED7">
        <w:rPr>
          <w:rFonts w:eastAsia="Calibri" w:cs="Times New Roman"/>
          <w:szCs w:val="26"/>
        </w:rPr>
        <w:t xml:space="preserve">Therefore, the ALJ rejected the OCA’s proposed adjustments.  </w:t>
      </w:r>
      <w:r w:rsidR="005F2108">
        <w:rPr>
          <w:rFonts w:eastAsia="Calibri" w:cs="Times New Roman"/>
          <w:szCs w:val="26"/>
        </w:rPr>
        <w:t>R</w:t>
      </w:r>
      <w:r w:rsidR="00A83ED7">
        <w:rPr>
          <w:rFonts w:eastAsia="Calibri" w:cs="Times New Roman"/>
          <w:szCs w:val="26"/>
        </w:rPr>
        <w:t>.D. at 30.</w:t>
      </w:r>
    </w:p>
    <w:p w:rsidR="00A225D8" w:rsidRDefault="00A225D8" w:rsidP="004272F2">
      <w:pPr>
        <w:ind w:firstLine="720"/>
        <w:contextualSpacing/>
        <w:rPr>
          <w:rFonts w:eastAsia="Calibri" w:cs="Times New Roman"/>
          <w:szCs w:val="26"/>
        </w:rPr>
      </w:pPr>
    </w:p>
    <w:p w:rsidR="00A225D8" w:rsidRDefault="00A225D8" w:rsidP="00C12F0C">
      <w:pPr>
        <w:spacing w:line="240" w:lineRule="auto"/>
        <w:contextualSpacing/>
        <w:rPr>
          <w:rFonts w:eastAsia="Calibri" w:cs="Times New Roman"/>
          <w:b/>
          <w:szCs w:val="26"/>
        </w:rPr>
      </w:pPr>
      <w:r>
        <w:rPr>
          <w:rFonts w:eastAsia="Calibri" w:cs="Times New Roman"/>
          <w:szCs w:val="26"/>
        </w:rPr>
        <w:tab/>
      </w:r>
      <w:r w:rsidRPr="00E224BE">
        <w:rPr>
          <w:rFonts w:eastAsia="Calibri" w:cs="Times New Roman"/>
          <w:b/>
          <w:szCs w:val="26"/>
        </w:rPr>
        <w:t>c.</w:t>
      </w:r>
      <w:r w:rsidRPr="00E224BE">
        <w:rPr>
          <w:rFonts w:eastAsia="Calibri" w:cs="Times New Roman"/>
          <w:b/>
          <w:szCs w:val="26"/>
        </w:rPr>
        <w:tab/>
        <w:t>Exceptions and Reply Exceptions</w:t>
      </w:r>
    </w:p>
    <w:p w:rsidR="00E224BE" w:rsidRPr="00E224BE" w:rsidRDefault="00E224BE" w:rsidP="00E224BE">
      <w:pPr>
        <w:contextualSpacing/>
        <w:rPr>
          <w:rFonts w:eastAsia="Calibri" w:cs="Times New Roman"/>
          <w:b/>
          <w:szCs w:val="26"/>
        </w:rPr>
      </w:pPr>
    </w:p>
    <w:p w:rsidR="00C12F0C" w:rsidRDefault="00C12F0C" w:rsidP="00E224BE">
      <w:pPr>
        <w:contextualSpacing/>
        <w:rPr>
          <w:szCs w:val="26"/>
        </w:rPr>
      </w:pPr>
      <w:r>
        <w:rPr>
          <w:szCs w:val="26"/>
        </w:rPr>
        <w:t xml:space="preserve">The OCA’s Exceptions to the ALJ’s rejection of its adjustments and the Company support of its claims in the Reply Exceptions mirror their arguments on the allocation of salaries and wages to the Marietta Division, discussed, </w:t>
      </w:r>
      <w:r w:rsidRPr="00C12F0C">
        <w:rPr>
          <w:i/>
          <w:szCs w:val="26"/>
        </w:rPr>
        <w:t>supra</w:t>
      </w:r>
      <w:r>
        <w:rPr>
          <w:szCs w:val="26"/>
        </w:rPr>
        <w:t>.  OCA Exc. at 30</w:t>
      </w:r>
      <w:r w:rsidR="00BE4E78">
        <w:rPr>
          <w:szCs w:val="26"/>
        </w:rPr>
        <w:t>.</w:t>
      </w:r>
      <w:r>
        <w:rPr>
          <w:szCs w:val="26"/>
        </w:rPr>
        <w:t xml:space="preserve">  CWC R.Exc. at 21.</w:t>
      </w:r>
    </w:p>
    <w:p w:rsidR="00C12F0C" w:rsidRDefault="00C12F0C" w:rsidP="00E224BE">
      <w:pPr>
        <w:contextualSpacing/>
        <w:rPr>
          <w:szCs w:val="26"/>
        </w:rPr>
      </w:pPr>
    </w:p>
    <w:p w:rsidR="00C12F0C" w:rsidRPr="00454155" w:rsidRDefault="00454155" w:rsidP="00454155">
      <w:pPr>
        <w:spacing w:line="240" w:lineRule="auto"/>
        <w:ind w:left="2160" w:firstLine="0"/>
        <w:contextualSpacing/>
        <w:rPr>
          <w:b/>
          <w:szCs w:val="26"/>
        </w:rPr>
      </w:pPr>
      <w:r w:rsidRPr="00454155">
        <w:rPr>
          <w:b/>
          <w:szCs w:val="26"/>
        </w:rPr>
        <w:t>d.</w:t>
      </w:r>
      <w:r w:rsidRPr="00454155">
        <w:rPr>
          <w:b/>
          <w:szCs w:val="26"/>
        </w:rPr>
        <w:tab/>
        <w:t>Disposition</w:t>
      </w:r>
    </w:p>
    <w:p w:rsidR="00454155" w:rsidRDefault="00454155" w:rsidP="00E224BE">
      <w:pPr>
        <w:contextualSpacing/>
        <w:rPr>
          <w:szCs w:val="26"/>
        </w:rPr>
      </w:pPr>
    </w:p>
    <w:p w:rsidR="00C12F0C" w:rsidRDefault="00454155" w:rsidP="00E224BE">
      <w:pPr>
        <w:contextualSpacing/>
        <w:rPr>
          <w:szCs w:val="26"/>
        </w:rPr>
      </w:pPr>
      <w:r>
        <w:rPr>
          <w:szCs w:val="26"/>
        </w:rPr>
        <w:t xml:space="preserve">Consistent with our disposition of the allocation of salaries and wages to the Marietta Division, </w:t>
      </w:r>
      <w:r w:rsidRPr="00454155">
        <w:rPr>
          <w:i/>
          <w:szCs w:val="26"/>
        </w:rPr>
        <w:t>supra</w:t>
      </w:r>
      <w:r>
        <w:rPr>
          <w:szCs w:val="26"/>
        </w:rPr>
        <w:t xml:space="preserve">, we are not inclined to adjust the Company’s claims until there is more comprehensive historical data </w:t>
      </w:r>
      <w:r w:rsidR="00124910">
        <w:rPr>
          <w:szCs w:val="26"/>
        </w:rPr>
        <w:t>upon</w:t>
      </w:r>
      <w:r>
        <w:rPr>
          <w:szCs w:val="26"/>
        </w:rPr>
        <w:t xml:space="preserve"> which to develop a more accurate allocation.  Accordingly, the OCA’s proposed adjustments are rejected. </w:t>
      </w:r>
    </w:p>
    <w:p w:rsidR="002D1F41" w:rsidRPr="00337899" w:rsidRDefault="002D1F41" w:rsidP="002D1F41">
      <w:pPr>
        <w:pStyle w:val="Heading3"/>
        <w:keepNext w:val="0"/>
        <w:keepLines w:val="0"/>
        <w:rPr>
          <w:rFonts w:ascii="Times New Roman" w:hAnsi="Times New Roman" w:cs="Times New Roman"/>
        </w:rPr>
      </w:pPr>
    </w:p>
    <w:p w:rsidR="00736FFE" w:rsidRPr="00337899" w:rsidRDefault="00736FFE" w:rsidP="002D1F41">
      <w:pPr>
        <w:pStyle w:val="Heading3"/>
        <w:keepNext w:val="0"/>
        <w:keepLines w:val="0"/>
        <w:rPr>
          <w:rFonts w:ascii="Times New Roman" w:eastAsia="Calibri" w:hAnsi="Times New Roman" w:cs="Times New Roman"/>
        </w:rPr>
      </w:pPr>
      <w:bookmarkStart w:id="39" w:name="_Toc378080169"/>
      <w:r w:rsidRPr="00337899">
        <w:rPr>
          <w:rFonts w:ascii="Times New Roman" w:hAnsi="Times New Roman" w:cs="Times New Roman"/>
        </w:rPr>
        <w:t>7</w:t>
      </w:r>
      <w:r w:rsidR="00696313" w:rsidRPr="00337899">
        <w:rPr>
          <w:rFonts w:ascii="Times New Roman" w:hAnsi="Times New Roman" w:cs="Times New Roman"/>
        </w:rPr>
        <w:t>.</w:t>
      </w:r>
      <w:r w:rsidR="00696313" w:rsidRPr="00337899">
        <w:rPr>
          <w:rFonts w:ascii="Times New Roman" w:hAnsi="Times New Roman" w:cs="Times New Roman"/>
        </w:rPr>
        <w:tab/>
      </w:r>
      <w:r w:rsidR="00CA6A9D" w:rsidRPr="00337899">
        <w:rPr>
          <w:rFonts w:ascii="Times New Roman" w:hAnsi="Times New Roman" w:cs="Times New Roman"/>
        </w:rPr>
        <w:t>Pension</w:t>
      </w:r>
      <w:bookmarkEnd w:id="38"/>
      <w:r w:rsidR="009D3F59" w:rsidRPr="00337899">
        <w:rPr>
          <w:rFonts w:ascii="Times New Roman" w:hAnsi="Times New Roman" w:cs="Times New Roman"/>
        </w:rPr>
        <w:t xml:space="preserve"> Adjustment</w:t>
      </w:r>
      <w:bookmarkEnd w:id="39"/>
      <w:r w:rsidR="009F576F" w:rsidRPr="00337899">
        <w:rPr>
          <w:rFonts w:ascii="Times New Roman" w:hAnsi="Times New Roman" w:cs="Times New Roman"/>
        </w:rPr>
        <w:t xml:space="preserve"> </w:t>
      </w:r>
    </w:p>
    <w:p w:rsidR="00736FFE" w:rsidRPr="00337899" w:rsidRDefault="00736FFE" w:rsidP="002D1F41">
      <w:pPr>
        <w:ind w:left="1440"/>
        <w:contextualSpacing/>
        <w:rPr>
          <w:rFonts w:eastAsia="Calibri" w:cs="Times New Roman"/>
          <w:szCs w:val="26"/>
        </w:rPr>
      </w:pPr>
    </w:p>
    <w:p w:rsidR="00CA6A9D" w:rsidRPr="00337899" w:rsidRDefault="00736FFE" w:rsidP="002D1F41">
      <w:pPr>
        <w:spacing w:line="240" w:lineRule="auto"/>
        <w:ind w:left="1440" w:firstLine="720"/>
        <w:contextualSpacing/>
        <w:rPr>
          <w:rFonts w:eastAsia="Calibri" w:cs="Times New Roman"/>
          <w:b/>
          <w:szCs w:val="26"/>
        </w:rPr>
      </w:pPr>
      <w:r w:rsidRPr="00337899">
        <w:rPr>
          <w:rFonts w:eastAsia="Calibri" w:cs="Times New Roman"/>
          <w:b/>
          <w:szCs w:val="26"/>
        </w:rPr>
        <w:t>a.</w:t>
      </w:r>
      <w:r w:rsidRPr="00337899">
        <w:rPr>
          <w:rFonts w:eastAsia="Calibri" w:cs="Times New Roman"/>
          <w:b/>
          <w:szCs w:val="26"/>
        </w:rPr>
        <w:tab/>
        <w:t>Positions of the Parties</w:t>
      </w:r>
    </w:p>
    <w:p w:rsidR="00454155" w:rsidRPr="00337899" w:rsidRDefault="00454155" w:rsidP="002D1F41">
      <w:pPr>
        <w:ind w:left="1440" w:firstLine="720"/>
        <w:contextualSpacing/>
        <w:rPr>
          <w:rFonts w:eastAsia="Calibri" w:cs="Times New Roman"/>
          <w:b/>
          <w:szCs w:val="26"/>
        </w:rPr>
      </w:pPr>
    </w:p>
    <w:p w:rsidR="00736FFE" w:rsidRDefault="00454155" w:rsidP="002D1F41">
      <w:pPr>
        <w:contextualSpacing/>
        <w:rPr>
          <w:rFonts w:eastAsia="Calibri" w:cs="Times New Roman"/>
          <w:szCs w:val="26"/>
        </w:rPr>
      </w:pPr>
      <w:r>
        <w:rPr>
          <w:rFonts w:eastAsia="Calibri" w:cs="Times New Roman"/>
          <w:szCs w:val="26"/>
        </w:rPr>
        <w:t>As noted</w:t>
      </w:r>
      <w:r w:rsidRPr="00454155">
        <w:rPr>
          <w:rFonts w:eastAsia="Calibri" w:cs="Times New Roman"/>
          <w:i/>
          <w:szCs w:val="26"/>
        </w:rPr>
        <w:t>, supra</w:t>
      </w:r>
      <w:r>
        <w:rPr>
          <w:rFonts w:eastAsia="Calibri" w:cs="Times New Roman"/>
          <w:szCs w:val="26"/>
        </w:rPr>
        <w:t xml:space="preserve">, </w:t>
      </w:r>
      <w:r w:rsidR="00CA6A9D" w:rsidRPr="007F70DF">
        <w:rPr>
          <w:rFonts w:eastAsia="Calibri" w:cs="Times New Roman"/>
          <w:szCs w:val="26"/>
        </w:rPr>
        <w:t>Columbia claim</w:t>
      </w:r>
      <w:r>
        <w:rPr>
          <w:rFonts w:eastAsia="Calibri" w:cs="Times New Roman"/>
          <w:szCs w:val="26"/>
        </w:rPr>
        <w:t>ed</w:t>
      </w:r>
      <w:r w:rsidR="00CA6A9D" w:rsidRPr="007F70DF">
        <w:rPr>
          <w:rFonts w:eastAsia="Calibri" w:cs="Times New Roman"/>
          <w:szCs w:val="26"/>
        </w:rPr>
        <w:t xml:space="preserve"> a total pension expense of $59,682.  The </w:t>
      </w:r>
      <w:r w:rsidR="00696313" w:rsidRPr="007F70DF">
        <w:rPr>
          <w:rFonts w:eastAsia="Calibri" w:cs="Times New Roman"/>
          <w:szCs w:val="26"/>
        </w:rPr>
        <w:t xml:space="preserve">OCA asked </w:t>
      </w:r>
      <w:r w:rsidR="00CA6A9D" w:rsidRPr="007F70DF">
        <w:rPr>
          <w:rFonts w:eastAsia="Calibri" w:cs="Times New Roman"/>
          <w:szCs w:val="26"/>
        </w:rPr>
        <w:t>Co</w:t>
      </w:r>
      <w:r w:rsidR="00696313" w:rsidRPr="007F70DF">
        <w:rPr>
          <w:rFonts w:eastAsia="Calibri" w:cs="Times New Roman"/>
          <w:szCs w:val="26"/>
        </w:rPr>
        <w:t>lumbia</w:t>
      </w:r>
      <w:r w:rsidR="00CA6A9D" w:rsidRPr="007F70DF">
        <w:rPr>
          <w:rFonts w:eastAsia="Calibri" w:cs="Times New Roman"/>
          <w:szCs w:val="26"/>
        </w:rPr>
        <w:t xml:space="preserve"> to provide evidence </w:t>
      </w:r>
      <w:r w:rsidR="00CA6A9D" w:rsidRPr="002614AE">
        <w:rPr>
          <w:rFonts w:eastAsia="Calibri" w:cs="Times New Roman"/>
          <w:szCs w:val="26"/>
        </w:rPr>
        <w:t>of the most current pension deposit</w:t>
      </w:r>
      <w:r w:rsidR="00F03BC8">
        <w:rPr>
          <w:rFonts w:eastAsia="Calibri" w:cs="Times New Roman"/>
          <w:szCs w:val="26"/>
        </w:rPr>
        <w:t>.</w:t>
      </w:r>
      <w:r w:rsidR="002614AE">
        <w:rPr>
          <w:rFonts w:eastAsia="Calibri" w:cs="Times New Roman"/>
          <w:szCs w:val="26"/>
        </w:rPr>
        <w:t xml:space="preserve">  I</w:t>
      </w:r>
      <w:r w:rsidR="00CA6A9D" w:rsidRPr="007F70DF">
        <w:rPr>
          <w:rFonts w:eastAsia="Calibri" w:cs="Times New Roman"/>
          <w:szCs w:val="26"/>
        </w:rPr>
        <w:t xml:space="preserve">n response, </w:t>
      </w:r>
      <w:r w:rsidR="00696313" w:rsidRPr="007F70DF">
        <w:rPr>
          <w:rFonts w:eastAsia="Calibri" w:cs="Times New Roman"/>
          <w:szCs w:val="26"/>
        </w:rPr>
        <w:t xml:space="preserve">Columbia </w:t>
      </w:r>
      <w:r w:rsidR="00CA6A9D" w:rsidRPr="007F70DF">
        <w:rPr>
          <w:rFonts w:eastAsia="Calibri" w:cs="Times New Roman"/>
          <w:szCs w:val="26"/>
        </w:rPr>
        <w:t xml:space="preserve">provided a copy of a check showing a payment of $57,944.  </w:t>
      </w:r>
      <w:r w:rsidR="00696313" w:rsidRPr="007F70DF">
        <w:rPr>
          <w:rFonts w:eastAsia="Calibri" w:cs="Times New Roman"/>
          <w:szCs w:val="26"/>
        </w:rPr>
        <w:t>On this basis, t</w:t>
      </w:r>
      <w:r w:rsidR="00337899">
        <w:rPr>
          <w:rFonts w:eastAsia="Calibri" w:cs="Times New Roman"/>
          <w:szCs w:val="26"/>
        </w:rPr>
        <w:t>he OCA recommended</w:t>
      </w:r>
      <w:r w:rsidR="00CA6A9D" w:rsidRPr="007F70DF">
        <w:rPr>
          <w:rFonts w:eastAsia="Calibri" w:cs="Times New Roman"/>
          <w:szCs w:val="26"/>
        </w:rPr>
        <w:t xml:space="preserve"> an adjustment of $1,738 to reflect the amount that </w:t>
      </w:r>
      <w:r w:rsidR="00337899">
        <w:rPr>
          <w:rFonts w:eastAsia="Calibri" w:cs="Times New Roman"/>
          <w:szCs w:val="26"/>
        </w:rPr>
        <w:t>the OCA contended</w:t>
      </w:r>
      <w:r w:rsidR="00696313" w:rsidRPr="007F70DF">
        <w:rPr>
          <w:rFonts w:eastAsia="Calibri" w:cs="Times New Roman"/>
          <w:szCs w:val="26"/>
        </w:rPr>
        <w:t xml:space="preserve"> </w:t>
      </w:r>
      <w:r w:rsidR="00CA6A9D" w:rsidRPr="007F70DF">
        <w:rPr>
          <w:rFonts w:eastAsia="Calibri" w:cs="Times New Roman"/>
          <w:szCs w:val="26"/>
        </w:rPr>
        <w:t>is not supported by the record.</w:t>
      </w:r>
      <w:r w:rsidR="00696313" w:rsidRPr="007F70DF">
        <w:rPr>
          <w:rFonts w:eastAsia="Calibri" w:cs="Times New Roman"/>
          <w:szCs w:val="26"/>
        </w:rPr>
        <w:t xml:space="preserve">  </w:t>
      </w:r>
      <w:r w:rsidR="001512B6">
        <w:rPr>
          <w:rFonts w:eastAsia="Calibri" w:cs="Times New Roman"/>
          <w:szCs w:val="26"/>
        </w:rPr>
        <w:t xml:space="preserve">OCA M.B. at 42. </w:t>
      </w:r>
    </w:p>
    <w:p w:rsidR="00736FFE" w:rsidRDefault="00736FFE" w:rsidP="004272F2">
      <w:pPr>
        <w:contextualSpacing/>
        <w:rPr>
          <w:rFonts w:eastAsia="Calibri" w:cs="Times New Roman"/>
          <w:szCs w:val="26"/>
        </w:rPr>
      </w:pPr>
    </w:p>
    <w:p w:rsidR="00736FFE" w:rsidRDefault="00736FFE" w:rsidP="00BE4E78">
      <w:pPr>
        <w:keepNext/>
        <w:ind w:firstLine="720"/>
        <w:contextualSpacing/>
        <w:rPr>
          <w:rFonts w:eastAsia="Calibri" w:cs="Times New Roman"/>
          <w:b/>
          <w:szCs w:val="26"/>
        </w:rPr>
      </w:pPr>
      <w:r>
        <w:rPr>
          <w:rFonts w:eastAsia="Calibri" w:cs="Times New Roman"/>
          <w:szCs w:val="26"/>
        </w:rPr>
        <w:t xml:space="preserve"> </w:t>
      </w:r>
      <w:r>
        <w:rPr>
          <w:rFonts w:eastAsia="Calibri" w:cs="Times New Roman"/>
          <w:szCs w:val="26"/>
        </w:rPr>
        <w:tab/>
      </w:r>
      <w:r>
        <w:rPr>
          <w:rFonts w:eastAsia="Calibri" w:cs="Times New Roman"/>
          <w:szCs w:val="26"/>
        </w:rPr>
        <w:tab/>
      </w:r>
      <w:r>
        <w:rPr>
          <w:rFonts w:eastAsia="Calibri" w:cs="Times New Roman"/>
          <w:b/>
          <w:szCs w:val="26"/>
        </w:rPr>
        <w:t>b.</w:t>
      </w:r>
      <w:r>
        <w:rPr>
          <w:rFonts w:eastAsia="Calibri" w:cs="Times New Roman"/>
          <w:b/>
          <w:szCs w:val="26"/>
        </w:rPr>
        <w:tab/>
        <w:t>ALJ’s Recommendation</w:t>
      </w:r>
    </w:p>
    <w:p w:rsidR="00736FFE" w:rsidRDefault="00736FFE" w:rsidP="00BE4E78">
      <w:pPr>
        <w:keepNext/>
        <w:ind w:firstLine="720"/>
        <w:contextualSpacing/>
        <w:rPr>
          <w:rFonts w:eastAsia="Calibri" w:cs="Times New Roman"/>
          <w:b/>
          <w:szCs w:val="26"/>
        </w:rPr>
      </w:pPr>
    </w:p>
    <w:p w:rsidR="00696313" w:rsidRPr="007F70DF" w:rsidRDefault="001512B6" w:rsidP="00BE4E78">
      <w:pPr>
        <w:keepNext/>
        <w:contextualSpacing/>
        <w:rPr>
          <w:rFonts w:eastAsia="Calibri" w:cs="Times New Roman"/>
          <w:szCs w:val="26"/>
        </w:rPr>
      </w:pPr>
      <w:r>
        <w:rPr>
          <w:rFonts w:eastAsia="Calibri" w:cs="Times New Roman"/>
          <w:szCs w:val="26"/>
        </w:rPr>
        <w:t xml:space="preserve">The ALJ opined </w:t>
      </w:r>
      <w:r w:rsidR="00696313" w:rsidRPr="007F70DF">
        <w:rPr>
          <w:rFonts w:eastAsia="Calibri" w:cs="Times New Roman"/>
          <w:szCs w:val="26"/>
        </w:rPr>
        <w:t>that</w:t>
      </w:r>
      <w:r w:rsidR="00BE4E78">
        <w:rPr>
          <w:rFonts w:eastAsia="Calibri" w:cs="Times New Roman"/>
          <w:szCs w:val="26"/>
        </w:rPr>
        <w:t>,</w:t>
      </w:r>
      <w:r w:rsidR="00696313" w:rsidRPr="007F70DF">
        <w:rPr>
          <w:rFonts w:eastAsia="Calibri" w:cs="Times New Roman"/>
          <w:szCs w:val="26"/>
        </w:rPr>
        <w:t xml:space="preserve"> just because the most current pension deposit does not reflect the total claimed expense</w:t>
      </w:r>
      <w:r w:rsidR="00BE4E78">
        <w:rPr>
          <w:rFonts w:eastAsia="Calibri" w:cs="Times New Roman"/>
          <w:szCs w:val="26"/>
        </w:rPr>
        <w:t xml:space="preserve">, does not demonstrate that </w:t>
      </w:r>
      <w:r w:rsidR="00124910">
        <w:rPr>
          <w:rFonts w:eastAsia="Calibri" w:cs="Times New Roman"/>
          <w:szCs w:val="26"/>
        </w:rPr>
        <w:t xml:space="preserve">the </w:t>
      </w:r>
      <w:r w:rsidR="00696313" w:rsidRPr="007F70DF">
        <w:rPr>
          <w:rFonts w:eastAsia="Calibri" w:cs="Times New Roman"/>
          <w:szCs w:val="26"/>
        </w:rPr>
        <w:t xml:space="preserve">total number is invalid.  </w:t>
      </w:r>
      <w:r>
        <w:rPr>
          <w:rFonts w:eastAsia="Calibri" w:cs="Times New Roman"/>
          <w:szCs w:val="26"/>
        </w:rPr>
        <w:t xml:space="preserve">The </w:t>
      </w:r>
      <w:r>
        <w:rPr>
          <w:rFonts w:eastAsia="Calibri" w:cs="Times New Roman"/>
          <w:szCs w:val="26"/>
        </w:rPr>
        <w:lastRenderedPageBreak/>
        <w:t>ALJ reasoned that i</w:t>
      </w:r>
      <w:r w:rsidR="00696313" w:rsidRPr="007F70DF">
        <w:rPr>
          <w:rFonts w:eastAsia="Calibri" w:cs="Times New Roman"/>
          <w:szCs w:val="26"/>
        </w:rPr>
        <w:t xml:space="preserve">f there </w:t>
      </w:r>
      <w:r>
        <w:rPr>
          <w:rFonts w:eastAsia="Calibri" w:cs="Times New Roman"/>
          <w:szCs w:val="26"/>
        </w:rPr>
        <w:t xml:space="preserve">is </w:t>
      </w:r>
      <w:r w:rsidR="00696313" w:rsidRPr="007F70DF">
        <w:rPr>
          <w:rFonts w:eastAsia="Calibri" w:cs="Times New Roman"/>
          <w:szCs w:val="26"/>
        </w:rPr>
        <w:t>a</w:t>
      </w:r>
      <w:r>
        <w:rPr>
          <w:rFonts w:eastAsia="Calibri" w:cs="Times New Roman"/>
          <w:szCs w:val="26"/>
        </w:rPr>
        <w:t xml:space="preserve">n actual </w:t>
      </w:r>
      <w:r w:rsidR="00696313" w:rsidRPr="007F70DF">
        <w:rPr>
          <w:rFonts w:eastAsia="Calibri" w:cs="Times New Roman"/>
          <w:szCs w:val="26"/>
        </w:rPr>
        <w:t>$1,738 shortfall</w:t>
      </w:r>
      <w:r>
        <w:rPr>
          <w:rFonts w:eastAsia="Calibri" w:cs="Times New Roman"/>
          <w:szCs w:val="26"/>
        </w:rPr>
        <w:t xml:space="preserve"> in the allowance for pension expense, </w:t>
      </w:r>
      <w:r w:rsidR="00696313" w:rsidRPr="007F70DF">
        <w:rPr>
          <w:rFonts w:eastAsia="Calibri" w:cs="Times New Roman"/>
          <w:szCs w:val="26"/>
        </w:rPr>
        <w:t xml:space="preserve">then this is an amount that Columbia must nevertheless make good.  </w:t>
      </w:r>
      <w:r>
        <w:rPr>
          <w:rFonts w:eastAsia="Calibri" w:cs="Times New Roman"/>
          <w:szCs w:val="26"/>
        </w:rPr>
        <w:t>Therefore, the ALJ rejected the OCA’s p</w:t>
      </w:r>
      <w:r w:rsidR="00ED5353">
        <w:rPr>
          <w:rFonts w:eastAsia="Calibri" w:cs="Times New Roman"/>
          <w:szCs w:val="26"/>
        </w:rPr>
        <w:t>r</w:t>
      </w:r>
      <w:r>
        <w:rPr>
          <w:rFonts w:eastAsia="Calibri" w:cs="Times New Roman"/>
          <w:szCs w:val="26"/>
        </w:rPr>
        <w:t xml:space="preserve">oposed adjustment.  R.D. at 30-31. </w:t>
      </w:r>
    </w:p>
    <w:p w:rsidR="00696313" w:rsidRPr="007F70DF" w:rsidRDefault="00696313" w:rsidP="00047866">
      <w:pPr>
        <w:contextualSpacing/>
        <w:jc w:val="both"/>
        <w:rPr>
          <w:rFonts w:eastAsia="Calibri" w:cs="Times New Roman"/>
          <w:szCs w:val="26"/>
        </w:rPr>
      </w:pPr>
    </w:p>
    <w:p w:rsidR="00736FFE" w:rsidRDefault="00CA6A9D" w:rsidP="00BE4E78">
      <w:pPr>
        <w:spacing w:line="240" w:lineRule="auto"/>
        <w:contextualSpacing/>
        <w:rPr>
          <w:rFonts w:eastAsia="Calibri" w:cs="Times New Roman"/>
          <w:b/>
          <w:szCs w:val="26"/>
        </w:rPr>
      </w:pPr>
      <w:r w:rsidRPr="007F70DF">
        <w:rPr>
          <w:rFonts w:eastAsia="Calibri" w:cs="Times New Roman"/>
          <w:szCs w:val="26"/>
        </w:rPr>
        <w:tab/>
      </w:r>
      <w:r w:rsidR="00736FFE">
        <w:rPr>
          <w:rFonts w:eastAsia="Calibri" w:cs="Times New Roman"/>
          <w:b/>
          <w:szCs w:val="26"/>
        </w:rPr>
        <w:t>c.</w:t>
      </w:r>
      <w:r w:rsidR="00736FFE">
        <w:rPr>
          <w:rFonts w:eastAsia="Calibri" w:cs="Times New Roman"/>
          <w:b/>
          <w:szCs w:val="26"/>
        </w:rPr>
        <w:tab/>
        <w:t>Exceptions and Reply Exceptions</w:t>
      </w:r>
    </w:p>
    <w:p w:rsidR="00736FFE" w:rsidRDefault="00736FFE" w:rsidP="004272F2">
      <w:pPr>
        <w:contextualSpacing/>
        <w:rPr>
          <w:rFonts w:eastAsia="Calibri" w:cs="Times New Roman"/>
          <w:b/>
          <w:szCs w:val="26"/>
        </w:rPr>
      </w:pPr>
    </w:p>
    <w:p w:rsidR="00FD439F" w:rsidRDefault="00FD439F" w:rsidP="004272F2">
      <w:pPr>
        <w:contextualSpacing/>
        <w:rPr>
          <w:rFonts w:eastAsia="Calibri" w:cs="Times New Roman"/>
          <w:szCs w:val="26"/>
        </w:rPr>
      </w:pPr>
      <w:r w:rsidRPr="00FD439F">
        <w:rPr>
          <w:rFonts w:eastAsia="Calibri" w:cs="Times New Roman"/>
          <w:szCs w:val="26"/>
        </w:rPr>
        <w:t>In its E</w:t>
      </w:r>
      <w:r>
        <w:rPr>
          <w:rFonts w:eastAsia="Calibri" w:cs="Times New Roman"/>
          <w:szCs w:val="26"/>
        </w:rPr>
        <w:t>x</w:t>
      </w:r>
      <w:r w:rsidRPr="00FD439F">
        <w:rPr>
          <w:rFonts w:eastAsia="Calibri" w:cs="Times New Roman"/>
          <w:szCs w:val="26"/>
        </w:rPr>
        <w:t>ceptions</w:t>
      </w:r>
      <w:r>
        <w:rPr>
          <w:rFonts w:eastAsia="Calibri" w:cs="Times New Roman"/>
          <w:szCs w:val="26"/>
        </w:rPr>
        <w:t>, the OCA argues that there is no evidence that the actual payment for pension expense was less than the estimate provided in the Company’s original filing.  OCA Exc. at 29.  In its Reply Exceptions, the Company supports the ALJ’s argument that if there were a shortfall in its pension expense, “then Columbia would have to make that payment good to the provider.</w:t>
      </w:r>
      <w:r w:rsidR="00337899">
        <w:rPr>
          <w:rFonts w:eastAsia="Calibri" w:cs="Times New Roman"/>
          <w:szCs w:val="26"/>
        </w:rPr>
        <w:t>”</w:t>
      </w:r>
      <w:r w:rsidR="00374266">
        <w:rPr>
          <w:rFonts w:eastAsia="Calibri" w:cs="Times New Roman"/>
          <w:szCs w:val="26"/>
        </w:rPr>
        <w:t xml:space="preserve">  CWC R.</w:t>
      </w:r>
      <w:r>
        <w:rPr>
          <w:rFonts w:eastAsia="Calibri" w:cs="Times New Roman"/>
          <w:szCs w:val="26"/>
        </w:rPr>
        <w:t xml:space="preserve">Exc. at 21. </w:t>
      </w:r>
    </w:p>
    <w:p w:rsidR="00FD439F" w:rsidRDefault="00FD439F" w:rsidP="004272F2">
      <w:pPr>
        <w:contextualSpacing/>
        <w:rPr>
          <w:rFonts w:eastAsia="Calibri" w:cs="Times New Roman"/>
          <w:szCs w:val="26"/>
        </w:rPr>
      </w:pPr>
    </w:p>
    <w:p w:rsidR="00736FFE" w:rsidRDefault="00736FFE" w:rsidP="00BE4E78">
      <w:pPr>
        <w:spacing w:line="240" w:lineRule="auto"/>
        <w:ind w:firstLine="2160"/>
        <w:contextualSpacing/>
        <w:rPr>
          <w:rFonts w:eastAsia="Calibri" w:cs="Times New Roman"/>
          <w:b/>
          <w:szCs w:val="26"/>
        </w:rPr>
      </w:pPr>
      <w:r>
        <w:rPr>
          <w:rFonts w:eastAsia="Calibri" w:cs="Times New Roman"/>
          <w:b/>
          <w:szCs w:val="26"/>
        </w:rPr>
        <w:t>d.</w:t>
      </w:r>
      <w:r>
        <w:rPr>
          <w:rFonts w:eastAsia="Calibri" w:cs="Times New Roman"/>
          <w:b/>
          <w:szCs w:val="26"/>
        </w:rPr>
        <w:tab/>
        <w:t>Disposition</w:t>
      </w:r>
    </w:p>
    <w:p w:rsidR="00FD439F" w:rsidRPr="00736FFE" w:rsidRDefault="00FD439F" w:rsidP="00FD439F">
      <w:pPr>
        <w:contextualSpacing/>
        <w:rPr>
          <w:rFonts w:eastAsia="Calibri" w:cs="Times New Roman"/>
          <w:b/>
          <w:szCs w:val="26"/>
        </w:rPr>
      </w:pPr>
    </w:p>
    <w:p w:rsidR="00DC04EF" w:rsidRDefault="00FD439F" w:rsidP="00047866">
      <w:pPr>
        <w:contextualSpacing/>
        <w:jc w:val="both"/>
        <w:rPr>
          <w:rFonts w:eastAsia="Calibri" w:cs="Times New Roman"/>
          <w:szCs w:val="26"/>
        </w:rPr>
      </w:pPr>
      <w:r>
        <w:rPr>
          <w:rFonts w:eastAsia="Calibri" w:cs="Times New Roman"/>
          <w:szCs w:val="26"/>
        </w:rPr>
        <w:t>We shall adopt the ALJ’s recommendation to reject the OCA’s adjustment.  The Company’s claim represents a three percent increase in pension costs above the actual payment during the test year.  It is not unreasonable to expect that pension costs w</w:t>
      </w:r>
      <w:r w:rsidR="00401132">
        <w:rPr>
          <w:rFonts w:eastAsia="Calibri" w:cs="Times New Roman"/>
          <w:szCs w:val="26"/>
        </w:rPr>
        <w:t>ill</w:t>
      </w:r>
      <w:r>
        <w:rPr>
          <w:rFonts w:eastAsia="Calibri" w:cs="Times New Roman"/>
          <w:szCs w:val="26"/>
        </w:rPr>
        <w:t xml:space="preserve"> increase by at least that much going forward. </w:t>
      </w:r>
    </w:p>
    <w:p w:rsidR="00FD439F" w:rsidRPr="00337899" w:rsidRDefault="00FD439F" w:rsidP="00047866">
      <w:pPr>
        <w:contextualSpacing/>
        <w:jc w:val="both"/>
        <w:rPr>
          <w:rFonts w:eastAsia="Calibri" w:cs="Times New Roman"/>
          <w:szCs w:val="26"/>
        </w:rPr>
      </w:pPr>
    </w:p>
    <w:p w:rsidR="00736FFE" w:rsidRPr="00337899" w:rsidRDefault="00736FFE" w:rsidP="00CC56A3">
      <w:pPr>
        <w:pStyle w:val="Heading3"/>
        <w:rPr>
          <w:rStyle w:val="Heading3Char"/>
          <w:rFonts w:ascii="Times New Roman" w:hAnsi="Times New Roman" w:cs="Times New Roman"/>
          <w:b/>
        </w:rPr>
      </w:pPr>
      <w:bookmarkStart w:id="40" w:name="_Toc367958626"/>
      <w:r w:rsidRPr="00337899">
        <w:rPr>
          <w:rFonts w:ascii="Times New Roman" w:eastAsia="Calibri" w:hAnsi="Times New Roman" w:cs="Times New Roman"/>
          <w:b w:val="0"/>
          <w:szCs w:val="26"/>
        </w:rPr>
        <w:t xml:space="preserve"> </w:t>
      </w:r>
      <w:bookmarkStart w:id="41" w:name="_Toc378080170"/>
      <w:r w:rsidRPr="00337899">
        <w:rPr>
          <w:rFonts w:ascii="Times New Roman" w:eastAsia="Calibri" w:hAnsi="Times New Roman" w:cs="Times New Roman"/>
          <w:szCs w:val="26"/>
        </w:rPr>
        <w:t>8</w:t>
      </w:r>
      <w:r w:rsidR="00E036BE" w:rsidRPr="00337899">
        <w:rPr>
          <w:rFonts w:ascii="Times New Roman" w:eastAsia="Calibri" w:hAnsi="Times New Roman" w:cs="Times New Roman"/>
          <w:b w:val="0"/>
          <w:szCs w:val="26"/>
        </w:rPr>
        <w:t>.</w:t>
      </w:r>
      <w:r w:rsidR="00E036BE" w:rsidRPr="00337899">
        <w:rPr>
          <w:rFonts w:ascii="Times New Roman" w:eastAsia="Calibri" w:hAnsi="Times New Roman" w:cs="Times New Roman"/>
          <w:b w:val="0"/>
          <w:szCs w:val="26"/>
        </w:rPr>
        <w:tab/>
      </w:r>
      <w:r w:rsidR="00CA6A9D" w:rsidRPr="00337899">
        <w:rPr>
          <w:rStyle w:val="Heading3Char"/>
          <w:rFonts w:ascii="Times New Roman" w:hAnsi="Times New Roman" w:cs="Times New Roman"/>
          <w:b/>
        </w:rPr>
        <w:t>Disability and Life Insurance</w:t>
      </w:r>
      <w:bookmarkEnd w:id="40"/>
      <w:bookmarkEnd w:id="41"/>
    </w:p>
    <w:p w:rsidR="00736FFE" w:rsidRPr="00337899" w:rsidRDefault="00736FFE" w:rsidP="00736FFE">
      <w:pPr>
        <w:ind w:left="1440"/>
        <w:contextualSpacing/>
        <w:rPr>
          <w:rFonts w:cs="Times New Roman"/>
          <w:b/>
          <w:bCs/>
          <w:szCs w:val="26"/>
        </w:rPr>
      </w:pPr>
    </w:p>
    <w:p w:rsidR="00CA6A9D" w:rsidRPr="00337899" w:rsidRDefault="00736FFE" w:rsidP="00BE4E78">
      <w:pPr>
        <w:spacing w:line="240" w:lineRule="auto"/>
        <w:ind w:left="1440" w:firstLine="720"/>
        <w:contextualSpacing/>
        <w:rPr>
          <w:rFonts w:cs="Times New Roman"/>
          <w:b/>
          <w:bCs/>
          <w:szCs w:val="26"/>
        </w:rPr>
      </w:pPr>
      <w:r w:rsidRPr="00337899">
        <w:rPr>
          <w:rFonts w:cs="Times New Roman"/>
          <w:b/>
          <w:bCs/>
          <w:szCs w:val="26"/>
        </w:rPr>
        <w:t>a.</w:t>
      </w:r>
      <w:r w:rsidRPr="00337899">
        <w:rPr>
          <w:rFonts w:cs="Times New Roman"/>
          <w:b/>
          <w:bCs/>
          <w:szCs w:val="26"/>
        </w:rPr>
        <w:tab/>
        <w:t>Positions of the Parties</w:t>
      </w:r>
    </w:p>
    <w:p w:rsidR="009D3F59" w:rsidRPr="00337899" w:rsidRDefault="009D3F59" w:rsidP="00047866">
      <w:pPr>
        <w:contextualSpacing/>
        <w:jc w:val="both"/>
        <w:rPr>
          <w:rFonts w:cs="Times New Roman"/>
          <w:bCs/>
          <w:szCs w:val="26"/>
        </w:rPr>
      </w:pPr>
    </w:p>
    <w:p w:rsidR="00736FFE" w:rsidRDefault="00E036BE" w:rsidP="00124910">
      <w:pPr>
        <w:rPr>
          <w:rFonts w:eastAsia="Calibri"/>
        </w:rPr>
      </w:pPr>
      <w:r w:rsidRPr="007F70DF">
        <w:rPr>
          <w:rFonts w:eastAsia="Calibri"/>
        </w:rPr>
        <w:t>Columbia</w:t>
      </w:r>
      <w:r w:rsidR="00CA6A9D" w:rsidRPr="007F70DF">
        <w:rPr>
          <w:rFonts w:eastAsia="Calibri"/>
        </w:rPr>
        <w:t xml:space="preserve"> claimed </w:t>
      </w:r>
      <w:r w:rsidR="00BE4E78">
        <w:rPr>
          <w:rFonts w:eastAsia="Calibri"/>
        </w:rPr>
        <w:t>a</w:t>
      </w:r>
      <w:r w:rsidR="00CA6A9D" w:rsidRPr="007F70DF">
        <w:rPr>
          <w:rFonts w:eastAsia="Calibri"/>
        </w:rPr>
        <w:t xml:space="preserve"> Disability/Life Insurance expense </w:t>
      </w:r>
      <w:r w:rsidR="00BE4E78">
        <w:rPr>
          <w:rFonts w:eastAsia="Calibri"/>
        </w:rPr>
        <w:t>of</w:t>
      </w:r>
      <w:r w:rsidR="00CA6A9D" w:rsidRPr="007F70DF">
        <w:rPr>
          <w:rFonts w:eastAsia="Calibri"/>
        </w:rPr>
        <w:t xml:space="preserve"> $10,176, which would be an increase of 10% over the 2012 claim.  </w:t>
      </w:r>
      <w:r w:rsidR="00337899">
        <w:rPr>
          <w:rFonts w:eastAsia="Calibri"/>
        </w:rPr>
        <w:t>The OCA averred</w:t>
      </w:r>
      <w:r w:rsidR="00BE4E78">
        <w:rPr>
          <w:rFonts w:eastAsia="Calibri"/>
        </w:rPr>
        <w:t xml:space="preserve"> that t</w:t>
      </w:r>
      <w:r w:rsidR="00CA6A9D" w:rsidRPr="007F70DF">
        <w:rPr>
          <w:rFonts w:eastAsia="Calibri"/>
        </w:rPr>
        <w:t>he invoice provided in response to discovery supports a claim of</w:t>
      </w:r>
      <w:r w:rsidR="00337899">
        <w:rPr>
          <w:rFonts w:eastAsia="Calibri"/>
        </w:rPr>
        <w:t xml:space="preserve"> only $9,147.  OCA St. 1 at 34, </w:t>
      </w:r>
      <w:r w:rsidR="00CA6A9D" w:rsidRPr="007F70DF">
        <w:rPr>
          <w:rFonts w:eastAsia="Calibri"/>
        </w:rPr>
        <w:t xml:space="preserve">citing CWC response to OCA-III-26.  OCA witness Everette recommended that the Company’s claim related to Disability/Life Insurance should be reduced by $1,029 ($10,176 - $9,147).  In rebuttal, Company witness Lewis testified that the Company received the renewal notice for the disability/life insurance premium and it has increased by $1,659.  CWC St. 1R at 11.  </w:t>
      </w:r>
      <w:r w:rsidRPr="007F70DF">
        <w:rPr>
          <w:rFonts w:eastAsia="Calibri"/>
        </w:rPr>
        <w:lastRenderedPageBreak/>
        <w:t>In the OCA’s view, Columbia</w:t>
      </w:r>
      <w:r w:rsidR="00CA6A9D" w:rsidRPr="007F70DF">
        <w:rPr>
          <w:rFonts w:eastAsia="Calibri"/>
        </w:rPr>
        <w:t xml:space="preserve"> did not provide any support for this claimed increase or provide a time period for which the expense is allegedly increasing.  </w:t>
      </w:r>
    </w:p>
    <w:p w:rsidR="00736FFE" w:rsidRDefault="00736FFE" w:rsidP="004272F2">
      <w:pPr>
        <w:ind w:firstLine="720"/>
        <w:contextualSpacing/>
        <w:rPr>
          <w:rFonts w:eastAsia="Calibri" w:cs="Times New Roman"/>
          <w:szCs w:val="26"/>
        </w:rPr>
      </w:pPr>
    </w:p>
    <w:p w:rsidR="00736FFE" w:rsidRDefault="00736FFE" w:rsidP="00736FFE">
      <w:pPr>
        <w:contextualSpacing/>
        <w:rPr>
          <w:rFonts w:eastAsia="Calibri" w:cs="Times New Roman"/>
          <w:szCs w:val="26"/>
        </w:rPr>
      </w:pPr>
      <w:r w:rsidRPr="007F70DF">
        <w:rPr>
          <w:rFonts w:eastAsia="Calibri" w:cs="Times New Roman"/>
          <w:szCs w:val="26"/>
        </w:rPr>
        <w:t xml:space="preserve">The OCA also recommended that </w:t>
      </w:r>
      <w:r w:rsidR="00BE4E78">
        <w:rPr>
          <w:rFonts w:eastAsia="Calibri" w:cs="Times New Roman"/>
          <w:szCs w:val="26"/>
        </w:rPr>
        <w:t xml:space="preserve">a portion of the </w:t>
      </w:r>
      <w:r w:rsidRPr="007F70DF">
        <w:rPr>
          <w:rFonts w:eastAsia="Calibri" w:cs="Times New Roman"/>
          <w:szCs w:val="26"/>
        </w:rPr>
        <w:t xml:space="preserve">Disability/Life Insurance </w:t>
      </w:r>
      <w:r w:rsidR="00BE4E78">
        <w:rPr>
          <w:rFonts w:eastAsia="Calibri" w:cs="Times New Roman"/>
          <w:szCs w:val="26"/>
        </w:rPr>
        <w:t xml:space="preserve">claim </w:t>
      </w:r>
      <w:r w:rsidRPr="007F70DF">
        <w:rPr>
          <w:rFonts w:eastAsia="Calibri" w:cs="Times New Roman"/>
          <w:szCs w:val="26"/>
        </w:rPr>
        <w:t xml:space="preserve">be allocated using the same (updated) calculations recommended for other Pension and Benefits expenses, </w:t>
      </w:r>
      <w:r w:rsidR="00BE4E78" w:rsidRPr="00BE4E78">
        <w:rPr>
          <w:rFonts w:eastAsia="Calibri" w:cs="Times New Roman"/>
          <w:i/>
          <w:szCs w:val="26"/>
        </w:rPr>
        <w:t>supra</w:t>
      </w:r>
      <w:r w:rsidR="00BE4E78">
        <w:rPr>
          <w:rFonts w:eastAsia="Calibri" w:cs="Times New Roman"/>
          <w:szCs w:val="26"/>
        </w:rPr>
        <w:t xml:space="preserve">, </w:t>
      </w:r>
      <w:r w:rsidRPr="007F70DF">
        <w:rPr>
          <w:rFonts w:eastAsia="Calibri" w:cs="Times New Roman"/>
          <w:szCs w:val="26"/>
        </w:rPr>
        <w:t xml:space="preserve">for each full-time employee who is partially allocated to the Marietta Division.  </w:t>
      </w:r>
      <w:r w:rsidR="00BE4E78">
        <w:rPr>
          <w:rFonts w:eastAsia="Calibri" w:cs="Times New Roman"/>
          <w:szCs w:val="26"/>
        </w:rPr>
        <w:t>Therefore, t</w:t>
      </w:r>
      <w:r w:rsidR="00BE4E78" w:rsidRPr="00BF5FDD">
        <w:rPr>
          <w:rFonts w:cs="Times New Roman"/>
          <w:szCs w:val="26"/>
        </w:rPr>
        <w:t>he OCA recommend</w:t>
      </w:r>
      <w:r w:rsidR="00BE4E78">
        <w:rPr>
          <w:rFonts w:cs="Times New Roman"/>
          <w:szCs w:val="26"/>
        </w:rPr>
        <w:t>ed</w:t>
      </w:r>
      <w:r w:rsidR="00BE4E78" w:rsidRPr="00BF5FDD">
        <w:rPr>
          <w:rFonts w:cs="Times New Roman"/>
          <w:szCs w:val="26"/>
        </w:rPr>
        <w:t xml:space="preserve"> that $765 related to Disability and Life Insurance expenses be moved to the Marietta Division.  OCA Table II (updated); OCA Exh. AEE-1S, Sch</w:t>
      </w:r>
      <w:r w:rsidR="00BE4E78">
        <w:rPr>
          <w:rFonts w:cs="Times New Roman"/>
          <w:szCs w:val="26"/>
        </w:rPr>
        <w:t>s</w:t>
      </w:r>
      <w:r w:rsidR="00BE4E78" w:rsidRPr="00BF5FDD">
        <w:rPr>
          <w:rFonts w:cs="Times New Roman"/>
          <w:szCs w:val="26"/>
        </w:rPr>
        <w:t xml:space="preserve">. 5S (updated), line 44, 6S (updated), line 4.  </w:t>
      </w:r>
      <w:r w:rsidRPr="007F70DF">
        <w:rPr>
          <w:rFonts w:eastAsia="Calibri" w:cs="Times New Roman"/>
          <w:szCs w:val="26"/>
        </w:rPr>
        <w:t>OCA St. 1 at 34; OCA St. 1S at 22.</w:t>
      </w:r>
    </w:p>
    <w:p w:rsidR="00736FFE" w:rsidRDefault="00736FFE" w:rsidP="004272F2">
      <w:pPr>
        <w:ind w:firstLine="720"/>
        <w:contextualSpacing/>
        <w:rPr>
          <w:rFonts w:eastAsia="Calibri" w:cs="Times New Roman"/>
          <w:szCs w:val="26"/>
        </w:rPr>
      </w:pPr>
    </w:p>
    <w:p w:rsidR="00736FFE" w:rsidRPr="00736FFE" w:rsidRDefault="00736FFE" w:rsidP="00390D83">
      <w:pPr>
        <w:spacing w:line="240" w:lineRule="auto"/>
        <w:ind w:firstLine="720"/>
        <w:contextualSpacing/>
        <w:rPr>
          <w:rFonts w:eastAsia="Calibri" w:cs="Times New Roman"/>
          <w:b/>
          <w:szCs w:val="26"/>
        </w:rPr>
      </w:pPr>
      <w:r>
        <w:rPr>
          <w:rFonts w:eastAsia="Calibri" w:cs="Times New Roman"/>
          <w:szCs w:val="26"/>
        </w:rPr>
        <w:t xml:space="preserve"> </w:t>
      </w:r>
      <w:r>
        <w:rPr>
          <w:rFonts w:eastAsia="Calibri" w:cs="Times New Roman"/>
          <w:szCs w:val="26"/>
        </w:rPr>
        <w:tab/>
        <w:t xml:space="preserve"> </w:t>
      </w:r>
      <w:r>
        <w:rPr>
          <w:rFonts w:eastAsia="Calibri" w:cs="Times New Roman"/>
          <w:szCs w:val="26"/>
        </w:rPr>
        <w:tab/>
      </w:r>
      <w:r w:rsidRPr="00736FFE">
        <w:rPr>
          <w:rFonts w:eastAsia="Calibri" w:cs="Times New Roman"/>
          <w:b/>
          <w:szCs w:val="26"/>
        </w:rPr>
        <w:t>b.</w:t>
      </w:r>
      <w:r w:rsidRPr="00736FFE">
        <w:rPr>
          <w:rFonts w:eastAsia="Calibri" w:cs="Times New Roman"/>
          <w:b/>
          <w:szCs w:val="26"/>
        </w:rPr>
        <w:tab/>
        <w:t>ALJ’s Recommendation</w:t>
      </w:r>
    </w:p>
    <w:p w:rsidR="00736FFE" w:rsidRDefault="00736FFE" w:rsidP="00736FFE">
      <w:pPr>
        <w:ind w:firstLine="720"/>
        <w:contextualSpacing/>
        <w:rPr>
          <w:rFonts w:eastAsia="Calibri" w:cs="Times New Roman"/>
          <w:szCs w:val="26"/>
        </w:rPr>
      </w:pPr>
    </w:p>
    <w:p w:rsidR="00E036BE" w:rsidRPr="007F70DF" w:rsidRDefault="00390D83" w:rsidP="00736FFE">
      <w:pPr>
        <w:contextualSpacing/>
        <w:rPr>
          <w:rFonts w:eastAsia="Calibri" w:cs="Times New Roman"/>
          <w:szCs w:val="26"/>
        </w:rPr>
      </w:pPr>
      <w:r>
        <w:rPr>
          <w:rFonts w:eastAsia="Calibri" w:cs="Times New Roman"/>
          <w:szCs w:val="26"/>
        </w:rPr>
        <w:t xml:space="preserve">The ALJ rejected </w:t>
      </w:r>
      <w:r w:rsidR="00736FFE">
        <w:rPr>
          <w:rFonts w:eastAsia="Calibri" w:cs="Times New Roman"/>
          <w:szCs w:val="26"/>
        </w:rPr>
        <w:t xml:space="preserve">the OCA’s </w:t>
      </w:r>
      <w:r>
        <w:rPr>
          <w:rFonts w:eastAsia="Calibri" w:cs="Times New Roman"/>
          <w:szCs w:val="26"/>
        </w:rPr>
        <w:t>d</w:t>
      </w:r>
      <w:r w:rsidR="00736FFE">
        <w:rPr>
          <w:rFonts w:eastAsia="Calibri" w:cs="Times New Roman"/>
          <w:szCs w:val="26"/>
        </w:rPr>
        <w:t>ownward adjustment of $1,029</w:t>
      </w:r>
      <w:r w:rsidR="00E036BE" w:rsidRPr="007F70DF">
        <w:rPr>
          <w:rFonts w:eastAsia="Calibri" w:cs="Times New Roman"/>
          <w:szCs w:val="26"/>
        </w:rPr>
        <w:t xml:space="preserve">.  </w:t>
      </w:r>
      <w:r>
        <w:rPr>
          <w:rFonts w:eastAsia="Calibri" w:cs="Times New Roman"/>
          <w:szCs w:val="26"/>
        </w:rPr>
        <w:t xml:space="preserve">The ALJ </w:t>
      </w:r>
      <w:r w:rsidR="00E036BE" w:rsidRPr="007F70DF">
        <w:rPr>
          <w:rFonts w:eastAsia="Calibri" w:cs="Times New Roman"/>
          <w:szCs w:val="26"/>
        </w:rPr>
        <w:t>accept</w:t>
      </w:r>
      <w:r>
        <w:rPr>
          <w:rFonts w:eastAsia="Calibri" w:cs="Times New Roman"/>
          <w:szCs w:val="26"/>
        </w:rPr>
        <w:t>ed</w:t>
      </w:r>
      <w:r w:rsidR="00E036BE" w:rsidRPr="007F70DF">
        <w:rPr>
          <w:rFonts w:eastAsia="Calibri" w:cs="Times New Roman"/>
          <w:szCs w:val="26"/>
        </w:rPr>
        <w:t xml:space="preserve"> Mr. Lewis’ sworn testimony </w:t>
      </w:r>
      <w:r>
        <w:rPr>
          <w:rFonts w:eastAsia="Calibri" w:cs="Times New Roman"/>
          <w:szCs w:val="26"/>
        </w:rPr>
        <w:t>that the disability/life insurance premium has increased, “</w:t>
      </w:r>
      <w:r w:rsidR="00E036BE" w:rsidRPr="007F70DF">
        <w:rPr>
          <w:rFonts w:eastAsia="Calibri" w:cs="Times New Roman"/>
          <w:szCs w:val="26"/>
        </w:rPr>
        <w:t>as both honest and accurate.</w:t>
      </w:r>
      <w:r>
        <w:rPr>
          <w:rFonts w:eastAsia="Calibri" w:cs="Times New Roman"/>
          <w:szCs w:val="26"/>
        </w:rPr>
        <w:t>”</w:t>
      </w:r>
      <w:r w:rsidR="00E036BE" w:rsidRPr="007F70DF">
        <w:rPr>
          <w:rFonts w:eastAsia="Calibri" w:cs="Times New Roman"/>
          <w:szCs w:val="26"/>
        </w:rPr>
        <w:t xml:space="preserve">  </w:t>
      </w:r>
      <w:r>
        <w:rPr>
          <w:rFonts w:eastAsia="Calibri" w:cs="Times New Roman"/>
          <w:szCs w:val="26"/>
        </w:rPr>
        <w:t>R.D. at 31.</w:t>
      </w:r>
    </w:p>
    <w:p w:rsidR="00E036BE" w:rsidRPr="007F70DF" w:rsidRDefault="00E036BE" w:rsidP="00047866">
      <w:pPr>
        <w:ind w:firstLine="720"/>
        <w:contextualSpacing/>
        <w:jc w:val="both"/>
        <w:rPr>
          <w:rFonts w:eastAsia="Calibri" w:cs="Times New Roman"/>
          <w:szCs w:val="26"/>
        </w:rPr>
      </w:pPr>
    </w:p>
    <w:p w:rsidR="00E036BE" w:rsidRDefault="00390D83" w:rsidP="00241EDA">
      <w:pPr>
        <w:contextualSpacing/>
        <w:rPr>
          <w:rFonts w:eastAsia="Calibri" w:cs="Times New Roman"/>
          <w:szCs w:val="26"/>
        </w:rPr>
      </w:pPr>
      <w:r>
        <w:rPr>
          <w:rFonts w:eastAsia="Calibri" w:cs="Times New Roman"/>
          <w:szCs w:val="26"/>
        </w:rPr>
        <w:t>The ALJ also found that t</w:t>
      </w:r>
      <w:r w:rsidR="00241EDA" w:rsidRPr="007F70DF">
        <w:rPr>
          <w:rFonts w:eastAsia="Calibri" w:cs="Times New Roman"/>
          <w:szCs w:val="26"/>
        </w:rPr>
        <w:t xml:space="preserve">he </w:t>
      </w:r>
      <w:r w:rsidR="00E036BE" w:rsidRPr="007F70DF">
        <w:rPr>
          <w:rFonts w:eastAsia="Calibri" w:cs="Times New Roman"/>
          <w:szCs w:val="26"/>
        </w:rPr>
        <w:t xml:space="preserve">OCA’s argument for re-allocation </w:t>
      </w:r>
      <w:r w:rsidR="00736FFE">
        <w:rPr>
          <w:rFonts w:eastAsia="Calibri" w:cs="Times New Roman"/>
          <w:szCs w:val="26"/>
        </w:rPr>
        <w:t xml:space="preserve">of the portion of the disability/life insurance expense to the Marietta Division </w:t>
      </w:r>
      <w:r w:rsidR="00E036BE" w:rsidRPr="007F70DF">
        <w:rPr>
          <w:rFonts w:eastAsia="Calibri" w:cs="Times New Roman"/>
          <w:szCs w:val="26"/>
        </w:rPr>
        <w:t>is no</w:t>
      </w:r>
      <w:r w:rsidR="00241EDA" w:rsidRPr="007F70DF">
        <w:rPr>
          <w:rFonts w:eastAsia="Calibri" w:cs="Times New Roman"/>
          <w:szCs w:val="26"/>
        </w:rPr>
        <w:t>t</w:t>
      </w:r>
      <w:r w:rsidR="00E036BE" w:rsidRPr="007F70DF">
        <w:rPr>
          <w:rFonts w:eastAsia="Calibri" w:cs="Times New Roman"/>
          <w:szCs w:val="26"/>
        </w:rPr>
        <w:t xml:space="preserve"> practicable.  </w:t>
      </w:r>
      <w:r>
        <w:rPr>
          <w:rFonts w:eastAsia="Calibri" w:cs="Times New Roman"/>
          <w:szCs w:val="26"/>
        </w:rPr>
        <w:t>The ALJ</w:t>
      </w:r>
      <w:r w:rsidR="00241EDA" w:rsidRPr="007F70DF">
        <w:rPr>
          <w:rFonts w:eastAsia="Calibri" w:cs="Times New Roman"/>
          <w:szCs w:val="26"/>
        </w:rPr>
        <w:t xml:space="preserve"> agree</w:t>
      </w:r>
      <w:r>
        <w:rPr>
          <w:rFonts w:eastAsia="Calibri" w:cs="Times New Roman"/>
          <w:szCs w:val="26"/>
        </w:rPr>
        <w:t>d</w:t>
      </w:r>
      <w:r w:rsidR="00241EDA" w:rsidRPr="007F70DF">
        <w:rPr>
          <w:rFonts w:eastAsia="Calibri" w:cs="Times New Roman"/>
          <w:szCs w:val="26"/>
        </w:rPr>
        <w:t xml:space="preserve"> with Columbia that the allocations of disability and life insurance benefits were based upon the percentage of the employee’s time allocated to the Marietta Division and </w:t>
      </w:r>
      <w:r>
        <w:rPr>
          <w:rFonts w:eastAsia="Calibri" w:cs="Times New Roman"/>
          <w:szCs w:val="26"/>
        </w:rPr>
        <w:t xml:space="preserve">not </w:t>
      </w:r>
      <w:r w:rsidR="00241EDA" w:rsidRPr="007F70DF">
        <w:rPr>
          <w:rFonts w:eastAsia="Calibri" w:cs="Times New Roman"/>
          <w:szCs w:val="26"/>
        </w:rPr>
        <w:t xml:space="preserve">the actual costs of the </w:t>
      </w:r>
      <w:r w:rsidR="00337899">
        <w:rPr>
          <w:rFonts w:eastAsia="Calibri" w:cs="Times New Roman"/>
          <w:szCs w:val="26"/>
        </w:rPr>
        <w:t>person’s benefits. CWC St.</w:t>
      </w:r>
      <w:r w:rsidR="00241EDA" w:rsidRPr="007F70DF">
        <w:rPr>
          <w:rFonts w:eastAsia="Calibri" w:cs="Times New Roman"/>
          <w:szCs w:val="26"/>
        </w:rPr>
        <w:t xml:space="preserve"> 1R at 11:9-13.  The </w:t>
      </w:r>
      <w:r>
        <w:rPr>
          <w:rFonts w:eastAsia="Calibri" w:cs="Times New Roman"/>
          <w:szCs w:val="26"/>
        </w:rPr>
        <w:t>ALJ concluded that</w:t>
      </w:r>
      <w:r w:rsidR="00124910">
        <w:rPr>
          <w:rFonts w:eastAsia="Calibri" w:cs="Times New Roman"/>
          <w:szCs w:val="26"/>
        </w:rPr>
        <w:t xml:space="preserve"> the</w:t>
      </w:r>
      <w:r>
        <w:rPr>
          <w:rFonts w:eastAsia="Calibri" w:cs="Times New Roman"/>
          <w:szCs w:val="26"/>
        </w:rPr>
        <w:t xml:space="preserve"> </w:t>
      </w:r>
      <w:r w:rsidR="00241EDA" w:rsidRPr="007F70DF">
        <w:rPr>
          <w:rFonts w:eastAsia="Calibri" w:cs="Times New Roman"/>
          <w:szCs w:val="26"/>
        </w:rPr>
        <w:t>OCA’s recommended neg</w:t>
      </w:r>
      <w:r w:rsidR="00337899">
        <w:rPr>
          <w:rFonts w:eastAsia="Calibri" w:cs="Times New Roman"/>
          <w:szCs w:val="26"/>
        </w:rPr>
        <w:t xml:space="preserve">ative adjustment of $765 to </w:t>
      </w:r>
      <w:r w:rsidR="00241EDA" w:rsidRPr="007F70DF">
        <w:rPr>
          <w:rFonts w:eastAsia="Calibri" w:cs="Times New Roman"/>
          <w:szCs w:val="26"/>
        </w:rPr>
        <w:t xml:space="preserve">Columbia’s disability and life insurance </w:t>
      </w:r>
      <w:r w:rsidR="00337899">
        <w:rPr>
          <w:rFonts w:eastAsia="Calibri" w:cs="Times New Roman"/>
          <w:szCs w:val="26"/>
        </w:rPr>
        <w:t xml:space="preserve">claim </w:t>
      </w:r>
      <w:r w:rsidR="00241EDA" w:rsidRPr="007F70DF">
        <w:rPr>
          <w:rFonts w:eastAsia="Calibri" w:cs="Times New Roman"/>
          <w:szCs w:val="26"/>
        </w:rPr>
        <w:t>is too speculative</w:t>
      </w:r>
      <w:r>
        <w:rPr>
          <w:rFonts w:eastAsia="Calibri" w:cs="Times New Roman"/>
          <w:szCs w:val="26"/>
        </w:rPr>
        <w:t xml:space="preserve"> and rejected </w:t>
      </w:r>
      <w:bookmarkStart w:id="42" w:name="_Toc367958627"/>
      <w:r>
        <w:rPr>
          <w:rFonts w:eastAsia="Calibri" w:cs="Times New Roman"/>
          <w:szCs w:val="26"/>
        </w:rPr>
        <w:t xml:space="preserve">the OCA’s </w:t>
      </w:r>
      <w:r w:rsidR="00E036BE" w:rsidRPr="007F70DF">
        <w:rPr>
          <w:rFonts w:eastAsia="Calibri" w:cs="Times New Roman"/>
          <w:szCs w:val="26"/>
        </w:rPr>
        <w:t>adjustment</w:t>
      </w:r>
      <w:r>
        <w:rPr>
          <w:rFonts w:eastAsia="Calibri" w:cs="Times New Roman"/>
          <w:szCs w:val="26"/>
        </w:rPr>
        <w:t xml:space="preserve">.  R.D. at 32. </w:t>
      </w:r>
    </w:p>
    <w:p w:rsidR="00736FFE" w:rsidRDefault="00736FFE" w:rsidP="00241EDA">
      <w:pPr>
        <w:contextualSpacing/>
        <w:rPr>
          <w:rFonts w:eastAsia="Calibri" w:cs="Times New Roman"/>
          <w:szCs w:val="26"/>
        </w:rPr>
      </w:pPr>
    </w:p>
    <w:p w:rsidR="00736FFE" w:rsidRPr="00BF5FDD" w:rsidRDefault="00736FFE" w:rsidP="003C4142">
      <w:pPr>
        <w:keepNext/>
        <w:spacing w:line="240" w:lineRule="auto"/>
        <w:contextualSpacing/>
        <w:rPr>
          <w:rFonts w:eastAsia="Calibri" w:cs="Times New Roman"/>
          <w:b/>
          <w:szCs w:val="26"/>
        </w:rPr>
      </w:pPr>
      <w:r>
        <w:rPr>
          <w:rFonts w:eastAsia="Calibri" w:cs="Times New Roman"/>
          <w:szCs w:val="26"/>
        </w:rPr>
        <w:tab/>
      </w:r>
      <w:r w:rsidRPr="00BF5FDD">
        <w:rPr>
          <w:rFonts w:eastAsia="Calibri" w:cs="Times New Roman"/>
          <w:b/>
          <w:szCs w:val="26"/>
        </w:rPr>
        <w:t>c.</w:t>
      </w:r>
      <w:r w:rsidRPr="00BF5FDD">
        <w:rPr>
          <w:rFonts w:eastAsia="Calibri" w:cs="Times New Roman"/>
          <w:b/>
          <w:szCs w:val="26"/>
        </w:rPr>
        <w:tab/>
        <w:t>Exceptions and Reply Exceptions</w:t>
      </w:r>
    </w:p>
    <w:p w:rsidR="00E224BE" w:rsidRPr="00BF5FDD" w:rsidRDefault="00E224BE" w:rsidP="00390D83">
      <w:pPr>
        <w:keepNext/>
        <w:contextualSpacing/>
        <w:rPr>
          <w:rFonts w:eastAsia="Calibri" w:cs="Times New Roman"/>
          <w:b/>
          <w:szCs w:val="26"/>
        </w:rPr>
      </w:pPr>
    </w:p>
    <w:p w:rsidR="00BF5FDD" w:rsidRPr="00BF5FDD" w:rsidRDefault="003F62D0" w:rsidP="003F62D0">
      <w:pPr>
        <w:keepNext/>
        <w:contextualSpacing/>
        <w:rPr>
          <w:rFonts w:cs="Times New Roman"/>
          <w:szCs w:val="26"/>
        </w:rPr>
      </w:pPr>
      <w:r>
        <w:rPr>
          <w:rFonts w:cs="Times New Roman"/>
          <w:szCs w:val="26"/>
        </w:rPr>
        <w:t xml:space="preserve">It its Exceptions, the OCA disagrees with the ALJ’s finding that its proposed adjustments are too speculative.  The OCA submits that the Company did not provide any documentation or specify a time period for the alleged increase in the insurance premium.  </w:t>
      </w:r>
      <w:r>
        <w:rPr>
          <w:rFonts w:cs="Times New Roman"/>
          <w:szCs w:val="26"/>
        </w:rPr>
        <w:lastRenderedPageBreak/>
        <w:t xml:space="preserve">OCA Exc. at 29-30.  In response, the Company argues that this cost is known and measurable and doubts that the OCA would ask the Commission to ignore the notice of the premium increase if it were a decrease in insurance rates. CWC R.Exc. at 21.  </w:t>
      </w:r>
    </w:p>
    <w:p w:rsidR="00736FFE" w:rsidRPr="00BF5FDD" w:rsidRDefault="00736FFE" w:rsidP="00BF5FDD">
      <w:pPr>
        <w:contextualSpacing/>
        <w:rPr>
          <w:rFonts w:eastAsia="Calibri" w:cs="Times New Roman"/>
          <w:b/>
          <w:szCs w:val="26"/>
        </w:rPr>
      </w:pPr>
    </w:p>
    <w:p w:rsidR="00736FFE" w:rsidRDefault="00736FFE" w:rsidP="00337899">
      <w:pPr>
        <w:contextualSpacing/>
        <w:rPr>
          <w:rFonts w:eastAsia="Calibri" w:cs="Times New Roman"/>
          <w:b/>
          <w:szCs w:val="26"/>
        </w:rPr>
      </w:pPr>
      <w:r w:rsidRPr="00BF5FDD">
        <w:rPr>
          <w:rFonts w:eastAsia="Calibri" w:cs="Times New Roman"/>
          <w:b/>
          <w:szCs w:val="26"/>
        </w:rPr>
        <w:tab/>
      </w:r>
      <w:r>
        <w:rPr>
          <w:rFonts w:eastAsia="Calibri" w:cs="Times New Roman"/>
          <w:b/>
          <w:szCs w:val="26"/>
        </w:rPr>
        <w:t>d.</w:t>
      </w:r>
      <w:r>
        <w:rPr>
          <w:rFonts w:eastAsia="Calibri" w:cs="Times New Roman"/>
          <w:b/>
          <w:szCs w:val="26"/>
        </w:rPr>
        <w:tab/>
        <w:t>Disposition</w:t>
      </w:r>
    </w:p>
    <w:p w:rsidR="003F62D0" w:rsidRDefault="003F62D0" w:rsidP="00337899">
      <w:pPr>
        <w:contextualSpacing/>
        <w:rPr>
          <w:rFonts w:eastAsia="Calibri" w:cs="Times New Roman"/>
          <w:b/>
          <w:szCs w:val="26"/>
        </w:rPr>
      </w:pPr>
    </w:p>
    <w:p w:rsidR="003F62D0" w:rsidRPr="003F62D0" w:rsidRDefault="003F62D0" w:rsidP="00337899">
      <w:pPr>
        <w:contextualSpacing/>
        <w:rPr>
          <w:rFonts w:eastAsia="Calibri" w:cs="Times New Roman"/>
          <w:szCs w:val="26"/>
        </w:rPr>
      </w:pPr>
      <w:r w:rsidRPr="003F62D0">
        <w:rPr>
          <w:rFonts w:eastAsia="Calibri" w:cs="Times New Roman"/>
          <w:szCs w:val="26"/>
        </w:rPr>
        <w:t xml:space="preserve">We will accept the sworn testimony of the Company’s witness Lewis </w:t>
      </w:r>
      <w:r>
        <w:rPr>
          <w:rFonts w:eastAsia="Calibri" w:cs="Times New Roman"/>
          <w:szCs w:val="26"/>
        </w:rPr>
        <w:t xml:space="preserve">that the </w:t>
      </w:r>
      <w:r w:rsidR="0072191E">
        <w:rPr>
          <w:rFonts w:eastAsia="Calibri" w:cs="Times New Roman"/>
          <w:szCs w:val="26"/>
        </w:rPr>
        <w:t xml:space="preserve">disability/life insurance premium </w:t>
      </w:r>
      <w:r>
        <w:rPr>
          <w:rFonts w:eastAsia="Calibri" w:cs="Times New Roman"/>
          <w:szCs w:val="26"/>
        </w:rPr>
        <w:t>will increase</w:t>
      </w:r>
      <w:r w:rsidR="0072191E">
        <w:rPr>
          <w:rFonts w:eastAsia="Calibri" w:cs="Times New Roman"/>
          <w:szCs w:val="26"/>
        </w:rPr>
        <w:t xml:space="preserve">.  Also, consistent with our disposition of the OCA’s other proposed reallocations of personnel costs to the Marietta Division, we find that it is premature to make any adjustments to the Company’s proposed allocation.  Accordingly, we shall reject both of the OCA’s proposed adjustments to the Company’s claim for disability/life insurance claims.    </w:t>
      </w:r>
      <w:r>
        <w:rPr>
          <w:rFonts w:eastAsia="Calibri" w:cs="Times New Roman"/>
          <w:szCs w:val="26"/>
        </w:rPr>
        <w:t xml:space="preserve"> </w:t>
      </w:r>
    </w:p>
    <w:p w:rsidR="00A9720F" w:rsidRPr="007F70DF" w:rsidRDefault="00A9720F" w:rsidP="00736FFE">
      <w:pPr>
        <w:contextualSpacing/>
        <w:jc w:val="both"/>
        <w:rPr>
          <w:rFonts w:eastAsia="Calibri" w:cs="Times New Roman"/>
          <w:szCs w:val="26"/>
        </w:rPr>
      </w:pPr>
    </w:p>
    <w:p w:rsidR="005437EF" w:rsidRPr="00124910" w:rsidRDefault="005437EF" w:rsidP="00992768">
      <w:pPr>
        <w:pStyle w:val="Heading3"/>
        <w:rPr>
          <w:rStyle w:val="Heading3Char"/>
          <w:rFonts w:ascii="Times New Roman" w:hAnsi="Times New Roman" w:cs="Times New Roman"/>
          <w:b/>
        </w:rPr>
      </w:pPr>
      <w:bookmarkStart w:id="43" w:name="_Toc378080171"/>
      <w:r w:rsidRPr="00AB1A86">
        <w:rPr>
          <w:rFonts w:ascii="Times New Roman" w:hAnsi="Times New Roman" w:cs="Times New Roman"/>
          <w:szCs w:val="26"/>
        </w:rPr>
        <w:t>9</w:t>
      </w:r>
      <w:r w:rsidR="009D3F59" w:rsidRPr="00AB1A86">
        <w:rPr>
          <w:rFonts w:ascii="Times New Roman" w:hAnsi="Times New Roman" w:cs="Times New Roman"/>
          <w:szCs w:val="26"/>
        </w:rPr>
        <w:t>.</w:t>
      </w:r>
      <w:r w:rsidR="00E036BE" w:rsidRPr="00AB1A86">
        <w:rPr>
          <w:rFonts w:ascii="Times New Roman" w:hAnsi="Times New Roman" w:cs="Times New Roman"/>
          <w:szCs w:val="26"/>
        </w:rPr>
        <w:tab/>
      </w:r>
      <w:r w:rsidR="00CA6A9D" w:rsidRPr="00124910">
        <w:rPr>
          <w:rStyle w:val="Heading3Char"/>
          <w:rFonts w:ascii="Times New Roman" w:hAnsi="Times New Roman" w:cs="Times New Roman"/>
          <w:b/>
        </w:rPr>
        <w:t>Employee Recognition</w:t>
      </w:r>
      <w:bookmarkEnd w:id="42"/>
      <w:bookmarkEnd w:id="43"/>
    </w:p>
    <w:p w:rsidR="005437EF" w:rsidRDefault="005437EF" w:rsidP="0063593C">
      <w:pPr>
        <w:keepNext/>
        <w:ind w:left="1440"/>
        <w:contextualSpacing/>
        <w:rPr>
          <w:rFonts w:eastAsia="Calibri" w:cs="Times New Roman"/>
          <w:szCs w:val="26"/>
        </w:rPr>
      </w:pPr>
    </w:p>
    <w:p w:rsidR="00CA6A9D" w:rsidRPr="005437EF" w:rsidRDefault="005437EF" w:rsidP="0063593C">
      <w:pPr>
        <w:keepNext/>
        <w:spacing w:line="240" w:lineRule="auto"/>
        <w:ind w:left="1440" w:firstLine="720"/>
        <w:contextualSpacing/>
        <w:rPr>
          <w:rFonts w:eastAsia="Calibri" w:cs="Times New Roman"/>
          <w:szCs w:val="26"/>
        </w:rPr>
      </w:pPr>
      <w:r>
        <w:rPr>
          <w:rFonts w:eastAsia="Calibri" w:cs="Times New Roman"/>
          <w:b/>
          <w:szCs w:val="26"/>
        </w:rPr>
        <w:t>a.</w:t>
      </w:r>
      <w:r>
        <w:rPr>
          <w:rFonts w:eastAsia="Calibri" w:cs="Times New Roman"/>
          <w:b/>
          <w:szCs w:val="26"/>
        </w:rPr>
        <w:tab/>
        <w:t>Positions of the Parties</w:t>
      </w:r>
    </w:p>
    <w:p w:rsidR="009D3F59" w:rsidRPr="007F70DF" w:rsidRDefault="009D3F59" w:rsidP="0063593C">
      <w:pPr>
        <w:keepNext/>
        <w:contextualSpacing/>
        <w:jc w:val="both"/>
        <w:rPr>
          <w:rFonts w:eastAsia="Calibri" w:cs="Times New Roman"/>
          <w:szCs w:val="26"/>
        </w:rPr>
      </w:pPr>
    </w:p>
    <w:p w:rsidR="005C2837" w:rsidRDefault="00E036BE" w:rsidP="00124910">
      <w:pPr>
        <w:rPr>
          <w:rFonts w:eastAsia="Calibri"/>
        </w:rPr>
      </w:pPr>
      <w:r w:rsidRPr="007F70DF">
        <w:rPr>
          <w:rFonts w:eastAsia="Calibri"/>
        </w:rPr>
        <w:t>Columbia’s</w:t>
      </w:r>
      <w:r w:rsidR="00CA6A9D" w:rsidRPr="007F70DF">
        <w:rPr>
          <w:rFonts w:eastAsia="Calibri"/>
        </w:rPr>
        <w:t xml:space="preserve"> Pensions and Benefits claim includes $6,051 for </w:t>
      </w:r>
      <w:r w:rsidR="00053747">
        <w:rPr>
          <w:rFonts w:eastAsia="Calibri"/>
        </w:rPr>
        <w:t>“</w:t>
      </w:r>
      <w:r w:rsidR="00CA6A9D" w:rsidRPr="007F70DF">
        <w:rPr>
          <w:rFonts w:eastAsia="Calibri"/>
        </w:rPr>
        <w:t>Employee Recognition.</w:t>
      </w:r>
      <w:r w:rsidR="00053747">
        <w:rPr>
          <w:rFonts w:eastAsia="Calibri"/>
        </w:rPr>
        <w:t>”</w:t>
      </w:r>
      <w:r w:rsidR="00CA6A9D" w:rsidRPr="007F70DF">
        <w:rPr>
          <w:rFonts w:eastAsia="Calibri"/>
        </w:rPr>
        <w:t xml:space="preserve">  OCA St. 1 at 35 (citing CWC response to OCA-1-29).  This claim includes a Hershey Park </w:t>
      </w:r>
      <w:r w:rsidR="00053747">
        <w:rPr>
          <w:rFonts w:eastAsia="Calibri"/>
        </w:rPr>
        <w:t>o</w:t>
      </w:r>
      <w:r w:rsidR="00CA6A9D" w:rsidRPr="007F70DF">
        <w:rPr>
          <w:rFonts w:eastAsia="Calibri"/>
        </w:rPr>
        <w:t xml:space="preserve">uting and the </w:t>
      </w:r>
      <w:r w:rsidR="00053747">
        <w:rPr>
          <w:rFonts w:eastAsia="Calibri"/>
        </w:rPr>
        <w:t>e</w:t>
      </w:r>
      <w:r w:rsidR="00CA6A9D" w:rsidRPr="007F70DF">
        <w:rPr>
          <w:rFonts w:eastAsia="Calibri"/>
        </w:rPr>
        <w:t>mployee/</w:t>
      </w:r>
      <w:r w:rsidR="00053747">
        <w:rPr>
          <w:rFonts w:eastAsia="Calibri"/>
        </w:rPr>
        <w:t>o</w:t>
      </w:r>
      <w:r w:rsidR="00CA6A9D" w:rsidRPr="007F70DF">
        <w:rPr>
          <w:rFonts w:eastAsia="Calibri"/>
        </w:rPr>
        <w:t xml:space="preserve">fficers </w:t>
      </w:r>
      <w:r w:rsidR="00053747">
        <w:rPr>
          <w:rFonts w:eastAsia="Calibri"/>
        </w:rPr>
        <w:t>y</w:t>
      </w:r>
      <w:r w:rsidR="00CA6A9D" w:rsidRPr="007F70DF">
        <w:rPr>
          <w:rFonts w:eastAsia="Calibri"/>
        </w:rPr>
        <w:t xml:space="preserve">ear </w:t>
      </w:r>
      <w:r w:rsidR="00053747">
        <w:rPr>
          <w:rFonts w:eastAsia="Calibri"/>
        </w:rPr>
        <w:t>e</w:t>
      </w:r>
      <w:r w:rsidR="00CA6A9D" w:rsidRPr="007F70DF">
        <w:rPr>
          <w:rFonts w:eastAsia="Calibri"/>
        </w:rPr>
        <w:t xml:space="preserve">nd </w:t>
      </w:r>
      <w:r w:rsidR="00053747">
        <w:rPr>
          <w:rFonts w:eastAsia="Calibri"/>
        </w:rPr>
        <w:t>b</w:t>
      </w:r>
      <w:r w:rsidR="00CA6A9D" w:rsidRPr="007F70DF">
        <w:rPr>
          <w:rFonts w:eastAsia="Calibri"/>
        </w:rPr>
        <w:t xml:space="preserve">anquet.  </w:t>
      </w:r>
      <w:r w:rsidR="00CA6A9D" w:rsidRPr="0072191E">
        <w:rPr>
          <w:rFonts w:eastAsia="Calibri"/>
          <w:i/>
        </w:rPr>
        <w:t>Id.</w:t>
      </w:r>
      <w:r w:rsidR="00CA6A9D" w:rsidRPr="007F70DF">
        <w:rPr>
          <w:rFonts w:eastAsia="Calibri"/>
        </w:rPr>
        <w:t xml:space="preserve">  OCA witness Everette recommended that these items be removed from expenses for ratemaking purposes because they are not part of the employees’ compensation.  OC</w:t>
      </w:r>
      <w:r w:rsidR="00310D5B" w:rsidRPr="007F70DF">
        <w:rPr>
          <w:rFonts w:eastAsia="Calibri"/>
        </w:rPr>
        <w:t>A St. 1 at 35-36; OCA St. 1S at </w:t>
      </w:r>
      <w:r w:rsidR="00CA6A9D" w:rsidRPr="007F70DF">
        <w:rPr>
          <w:rFonts w:eastAsia="Calibri"/>
        </w:rPr>
        <w:t xml:space="preserve">22.  </w:t>
      </w:r>
    </w:p>
    <w:p w:rsidR="005C2837" w:rsidRDefault="005C2837" w:rsidP="004272F2">
      <w:pPr>
        <w:ind w:firstLine="720"/>
        <w:contextualSpacing/>
        <w:rPr>
          <w:rFonts w:eastAsia="Calibri" w:cs="Times New Roman"/>
          <w:szCs w:val="26"/>
        </w:rPr>
      </w:pPr>
    </w:p>
    <w:p w:rsidR="00E036BE" w:rsidRPr="00337899" w:rsidRDefault="00CA6A9D" w:rsidP="00337899">
      <w:pPr>
        <w:rPr>
          <w:rFonts w:eastAsia="Calibri"/>
        </w:rPr>
      </w:pPr>
      <w:r w:rsidRPr="007F70DF">
        <w:rPr>
          <w:rFonts w:eastAsia="Calibri"/>
        </w:rPr>
        <w:t>I&amp;E witness Wilson also recommended that the entire claim be denied.  I&amp;E St. 2 at 10.</w:t>
      </w:r>
      <w:r w:rsidR="005C2837">
        <w:rPr>
          <w:rFonts w:eastAsia="Calibri"/>
        </w:rPr>
        <w:t xml:space="preserve">  </w:t>
      </w:r>
      <w:r w:rsidR="00053747">
        <w:rPr>
          <w:rFonts w:eastAsia="Calibri"/>
        </w:rPr>
        <w:t>I&amp;E noted that a similar expense claim was disallowed by the Commission in the Company’s last rate proceeding.</w:t>
      </w:r>
      <w:r w:rsidR="00B46E1E">
        <w:rPr>
          <w:rFonts w:eastAsia="Calibri"/>
        </w:rPr>
        <w:t xml:space="preserve"> </w:t>
      </w:r>
      <w:r w:rsidR="00053747">
        <w:rPr>
          <w:rFonts w:eastAsia="Calibri"/>
        </w:rPr>
        <w:t xml:space="preserve"> </w:t>
      </w:r>
      <w:r w:rsidR="00B46E1E">
        <w:rPr>
          <w:rFonts w:eastAsia="Calibri"/>
        </w:rPr>
        <w:t xml:space="preserve">I&amp;E M.B. at 36 (citing the </w:t>
      </w:r>
      <w:r w:rsidR="00B46E1E" w:rsidRPr="00B46E1E">
        <w:rPr>
          <w:rFonts w:eastAsia="Calibri"/>
          <w:i/>
        </w:rPr>
        <w:t>2009 Rate Case Order</w:t>
      </w:r>
      <w:r w:rsidR="00B46E1E">
        <w:rPr>
          <w:rFonts w:eastAsia="Calibri"/>
        </w:rPr>
        <w:t xml:space="preserve"> at 10-11).  </w:t>
      </w:r>
      <w:r w:rsidR="00053747">
        <w:rPr>
          <w:rFonts w:eastAsia="Calibri"/>
        </w:rPr>
        <w:t xml:space="preserve"> I&amp;E stated that a review of that Order </w:t>
      </w:r>
      <w:r w:rsidR="00B46E1E">
        <w:rPr>
          <w:rFonts w:eastAsia="Calibri"/>
        </w:rPr>
        <w:t xml:space="preserve">discloses that the Commission agreed with the ALJ in that proceeding that, consistent with previous Commission decisions, Columbia’s employee entertainment expenses should not be included in either expenses or rate base.  </w:t>
      </w:r>
      <w:r w:rsidR="00B46E1E" w:rsidRPr="00226CF6">
        <w:rPr>
          <w:rFonts w:eastAsia="Calibri"/>
          <w:i/>
        </w:rPr>
        <w:t>Id.</w:t>
      </w:r>
      <w:r w:rsidR="00B46E1E">
        <w:rPr>
          <w:rFonts w:eastAsia="Calibri"/>
        </w:rPr>
        <w:t xml:space="preserve">  </w:t>
      </w:r>
      <w:r w:rsidR="00053747">
        <w:rPr>
          <w:rFonts w:eastAsia="Calibri"/>
        </w:rPr>
        <w:t xml:space="preserve"> </w:t>
      </w:r>
    </w:p>
    <w:p w:rsidR="00226CF6" w:rsidRDefault="00226CF6" w:rsidP="00226CF6">
      <w:pPr>
        <w:contextualSpacing/>
        <w:rPr>
          <w:rFonts w:cs="Times New Roman"/>
          <w:szCs w:val="26"/>
        </w:rPr>
      </w:pPr>
      <w:r>
        <w:rPr>
          <w:rFonts w:cs="Times New Roman"/>
          <w:spacing w:val="-1"/>
          <w:szCs w:val="26"/>
        </w:rPr>
        <w:lastRenderedPageBreak/>
        <w:t xml:space="preserve">Columbia’s witness </w:t>
      </w:r>
      <w:r w:rsidRPr="00386FA7">
        <w:rPr>
          <w:rFonts w:cs="Times New Roman"/>
          <w:spacing w:val="-1"/>
          <w:szCs w:val="26"/>
        </w:rPr>
        <w:t>Mr. Lewis testified that the Hershey Park tickets and the year-end banquet are economic benefits the Company has been providing for years which are calculated to retain and compensate employees</w:t>
      </w:r>
      <w:r w:rsidR="00337899">
        <w:rPr>
          <w:rFonts w:cs="Times New Roman"/>
          <w:spacing w:val="-2"/>
          <w:szCs w:val="26"/>
        </w:rPr>
        <w:t xml:space="preserve">.  (CWC St. </w:t>
      </w:r>
      <w:r w:rsidRPr="00386FA7">
        <w:rPr>
          <w:rFonts w:cs="Times New Roman"/>
          <w:spacing w:val="-2"/>
          <w:szCs w:val="26"/>
        </w:rPr>
        <w:t xml:space="preserve">1R at 12:30)  He </w:t>
      </w:r>
      <w:r>
        <w:rPr>
          <w:rFonts w:cs="Times New Roman"/>
          <w:spacing w:val="-2"/>
          <w:szCs w:val="26"/>
        </w:rPr>
        <w:t xml:space="preserve">averred </w:t>
      </w:r>
      <w:r w:rsidRPr="00386FA7">
        <w:rPr>
          <w:rFonts w:cs="Times New Roman"/>
          <w:spacing w:val="-2"/>
          <w:szCs w:val="26"/>
        </w:rPr>
        <w:t>that Columbia is a tiny Company and must use benefits like this to keep highly skilled workers and to compete with other private water utilities, as well as municipal wate</w:t>
      </w:r>
      <w:r w:rsidR="00337899">
        <w:rPr>
          <w:rFonts w:cs="Times New Roman"/>
          <w:spacing w:val="-2"/>
          <w:szCs w:val="26"/>
        </w:rPr>
        <w:t>r and wastewater authorities.  Tr. at 112-113.</w:t>
      </w:r>
      <w:r w:rsidRPr="00386FA7">
        <w:rPr>
          <w:rFonts w:cs="Times New Roman"/>
          <w:spacing w:val="-2"/>
          <w:szCs w:val="26"/>
        </w:rPr>
        <w:t xml:space="preserve">  </w:t>
      </w:r>
      <w:r>
        <w:rPr>
          <w:rFonts w:cs="Times New Roman"/>
          <w:spacing w:val="-2"/>
          <w:szCs w:val="26"/>
        </w:rPr>
        <w:t>Mr. Lewis also testified that it</w:t>
      </w:r>
      <w:r w:rsidRPr="00386FA7">
        <w:rPr>
          <w:rFonts w:cs="Times New Roman"/>
          <w:spacing w:val="-2"/>
          <w:szCs w:val="26"/>
        </w:rPr>
        <w:t xml:space="preserve"> is well known that the pool of workers with waterworks skill and experience is shrinking and Columbia must use creative means like this to retain the talent necessary to provide the level of water service that the Commission and customers demand.  </w:t>
      </w:r>
      <w:r w:rsidR="00337899">
        <w:rPr>
          <w:rFonts w:cs="Times New Roman"/>
          <w:spacing w:val="-2"/>
          <w:szCs w:val="26"/>
        </w:rPr>
        <w:t>Columbia</w:t>
      </w:r>
      <w:r>
        <w:rPr>
          <w:rFonts w:cs="Times New Roman"/>
          <w:spacing w:val="-2"/>
          <w:szCs w:val="26"/>
        </w:rPr>
        <w:t xml:space="preserve"> submitted that t</w:t>
      </w:r>
      <w:r w:rsidRPr="00386FA7">
        <w:rPr>
          <w:rFonts w:cs="Times New Roman"/>
          <w:szCs w:val="26"/>
        </w:rPr>
        <w:t>he banquet is an equally important tool to foster, retain, and provide reinforcement and feedback for workers who perform very well.</w:t>
      </w:r>
      <w:r w:rsidR="00337899">
        <w:rPr>
          <w:rFonts w:cs="Times New Roman"/>
          <w:szCs w:val="26"/>
        </w:rPr>
        <w:t xml:space="preserve"> </w:t>
      </w:r>
      <w:r w:rsidRPr="00386FA7">
        <w:rPr>
          <w:rFonts w:cs="Times New Roman"/>
          <w:szCs w:val="26"/>
        </w:rPr>
        <w:t xml:space="preserve"> </w:t>
      </w:r>
      <w:r>
        <w:rPr>
          <w:rFonts w:cs="Times New Roman"/>
          <w:szCs w:val="26"/>
        </w:rPr>
        <w:t xml:space="preserve">CWC M.B. at 29. </w:t>
      </w:r>
    </w:p>
    <w:p w:rsidR="005437EF" w:rsidRDefault="005437EF" w:rsidP="00241EDA">
      <w:pPr>
        <w:contextualSpacing/>
        <w:rPr>
          <w:rFonts w:eastAsia="Calibri" w:cs="Times New Roman"/>
          <w:szCs w:val="26"/>
        </w:rPr>
      </w:pPr>
    </w:p>
    <w:p w:rsidR="005437EF" w:rsidRPr="005437EF" w:rsidRDefault="005437EF" w:rsidP="00B2767F">
      <w:pPr>
        <w:spacing w:line="240" w:lineRule="auto"/>
        <w:contextualSpacing/>
        <w:rPr>
          <w:rFonts w:eastAsia="Calibri" w:cs="Times New Roman"/>
          <w:b/>
          <w:szCs w:val="26"/>
        </w:rPr>
      </w:pPr>
      <w:r>
        <w:rPr>
          <w:rFonts w:eastAsia="Calibri" w:cs="Times New Roman"/>
          <w:szCs w:val="26"/>
        </w:rPr>
        <w:t xml:space="preserve"> </w:t>
      </w:r>
      <w:r>
        <w:rPr>
          <w:rFonts w:eastAsia="Calibri" w:cs="Times New Roman"/>
          <w:szCs w:val="26"/>
        </w:rPr>
        <w:tab/>
      </w:r>
      <w:r>
        <w:rPr>
          <w:rFonts w:eastAsia="Calibri" w:cs="Times New Roman"/>
          <w:b/>
          <w:szCs w:val="26"/>
        </w:rPr>
        <w:t>b.</w:t>
      </w:r>
      <w:r>
        <w:rPr>
          <w:rFonts w:eastAsia="Calibri" w:cs="Times New Roman"/>
          <w:b/>
          <w:szCs w:val="26"/>
        </w:rPr>
        <w:tab/>
        <w:t>ALJ’s Recommendation</w:t>
      </w:r>
    </w:p>
    <w:p w:rsidR="005437EF" w:rsidRDefault="005437EF" w:rsidP="00241EDA">
      <w:pPr>
        <w:contextualSpacing/>
        <w:rPr>
          <w:rFonts w:eastAsia="Calibri" w:cs="Times New Roman"/>
          <w:szCs w:val="26"/>
        </w:rPr>
      </w:pPr>
    </w:p>
    <w:p w:rsidR="00EB13A2" w:rsidRDefault="00226CF6" w:rsidP="005437EF">
      <w:pPr>
        <w:contextualSpacing/>
        <w:rPr>
          <w:rFonts w:cs="Times New Roman"/>
          <w:szCs w:val="26"/>
        </w:rPr>
      </w:pPr>
      <w:r>
        <w:rPr>
          <w:rFonts w:eastAsia="Calibri" w:cs="Times New Roman"/>
          <w:szCs w:val="26"/>
        </w:rPr>
        <w:t>The ALJ</w:t>
      </w:r>
      <w:r w:rsidR="00E036BE" w:rsidRPr="007F70DF">
        <w:rPr>
          <w:rFonts w:eastAsia="Calibri" w:cs="Times New Roman"/>
          <w:szCs w:val="26"/>
        </w:rPr>
        <w:t xml:space="preserve"> agree</w:t>
      </w:r>
      <w:r>
        <w:rPr>
          <w:rFonts w:eastAsia="Calibri" w:cs="Times New Roman"/>
          <w:szCs w:val="26"/>
        </w:rPr>
        <w:t>d</w:t>
      </w:r>
      <w:r w:rsidR="00E036BE" w:rsidRPr="007F70DF">
        <w:rPr>
          <w:rFonts w:eastAsia="Calibri" w:cs="Times New Roman"/>
          <w:szCs w:val="26"/>
        </w:rPr>
        <w:t xml:space="preserve"> that the</w:t>
      </w:r>
      <w:r w:rsidR="00CA6A9D" w:rsidRPr="007F70DF">
        <w:rPr>
          <w:rFonts w:eastAsia="Calibri" w:cs="Times New Roman"/>
          <w:szCs w:val="26"/>
        </w:rPr>
        <w:t xml:space="preserve"> Commission has consistently disallowed these types of entertainment expenses </w:t>
      </w:r>
      <w:r w:rsidR="00E036BE" w:rsidRPr="007F70DF">
        <w:rPr>
          <w:rFonts w:eastAsia="Calibri" w:cs="Times New Roman"/>
          <w:szCs w:val="26"/>
        </w:rPr>
        <w:t xml:space="preserve">as </w:t>
      </w:r>
      <w:r w:rsidR="00CA6A9D" w:rsidRPr="007F70DF">
        <w:rPr>
          <w:rFonts w:eastAsia="Calibri" w:cs="Times New Roman"/>
          <w:szCs w:val="26"/>
        </w:rPr>
        <w:t xml:space="preserve">they are not necessary </w:t>
      </w:r>
      <w:r w:rsidR="00E036BE" w:rsidRPr="007F70DF">
        <w:rPr>
          <w:rFonts w:eastAsia="Calibri" w:cs="Times New Roman"/>
          <w:szCs w:val="26"/>
        </w:rPr>
        <w:t>to</w:t>
      </w:r>
      <w:r w:rsidR="00CA6A9D" w:rsidRPr="007F70DF">
        <w:rPr>
          <w:rFonts w:eastAsia="Calibri" w:cs="Times New Roman"/>
          <w:szCs w:val="26"/>
        </w:rPr>
        <w:t xml:space="preserve"> the provision of public utility service.  </w:t>
      </w:r>
      <w:r>
        <w:rPr>
          <w:rFonts w:eastAsia="Calibri" w:cs="Times New Roman"/>
          <w:szCs w:val="26"/>
        </w:rPr>
        <w:t>R.D at 32 (citing</w:t>
      </w:r>
      <w:r w:rsidR="00CA6A9D" w:rsidRPr="007F70DF">
        <w:rPr>
          <w:rFonts w:eastAsia="Calibri" w:cs="Times New Roman"/>
          <w:szCs w:val="26"/>
        </w:rPr>
        <w:t xml:space="preserve"> </w:t>
      </w:r>
      <w:r w:rsidR="00C55807" w:rsidRPr="007F70DF">
        <w:rPr>
          <w:rFonts w:eastAsia="Calibri" w:cs="Times New Roman"/>
          <w:i/>
          <w:szCs w:val="26"/>
        </w:rPr>
        <w:t>Pa. PUC</w:t>
      </w:r>
      <w:r w:rsidR="00CA6A9D" w:rsidRPr="007F70DF">
        <w:rPr>
          <w:rFonts w:eastAsia="Calibri" w:cs="Times New Roman"/>
          <w:i/>
          <w:szCs w:val="26"/>
        </w:rPr>
        <w:t xml:space="preserve"> v. Pennsylvania-American Water Co.</w:t>
      </w:r>
      <w:r w:rsidR="00CA6A9D" w:rsidRPr="007F70DF">
        <w:rPr>
          <w:rFonts w:eastAsia="Calibri" w:cs="Times New Roman"/>
          <w:szCs w:val="26"/>
        </w:rPr>
        <w:t>, 1993 Pa</w:t>
      </w:r>
      <w:r w:rsidR="00AD5F97" w:rsidRPr="007F70DF">
        <w:rPr>
          <w:rFonts w:eastAsia="Calibri" w:cs="Times New Roman"/>
          <w:szCs w:val="26"/>
        </w:rPr>
        <w:t xml:space="preserve">. </w:t>
      </w:r>
      <w:r w:rsidR="00CA6A9D" w:rsidRPr="007F70DF">
        <w:rPr>
          <w:rFonts w:eastAsia="Calibri" w:cs="Times New Roman"/>
          <w:szCs w:val="26"/>
        </w:rPr>
        <w:t>PUC LEXIS 79, *121-23 (</w:t>
      </w:r>
      <w:r>
        <w:rPr>
          <w:rFonts w:eastAsia="Calibri" w:cs="Times New Roman"/>
          <w:i/>
          <w:szCs w:val="26"/>
        </w:rPr>
        <w:t>PAWC 1999</w:t>
      </w:r>
      <w:r w:rsidRPr="00F316FA">
        <w:rPr>
          <w:rFonts w:eastAsia="Calibri" w:cs="Times New Roman"/>
          <w:szCs w:val="26"/>
        </w:rPr>
        <w:t>)</w:t>
      </w:r>
      <w:r w:rsidR="00F316FA">
        <w:rPr>
          <w:rFonts w:eastAsia="Calibri" w:cs="Times New Roman"/>
          <w:szCs w:val="26"/>
        </w:rPr>
        <w:t>.</w:t>
      </w:r>
      <w:r w:rsidR="00E036BE" w:rsidRPr="007F70DF">
        <w:rPr>
          <w:rFonts w:cs="Times New Roman"/>
          <w:szCs w:val="26"/>
        </w:rPr>
        <w:t xml:space="preserve">  </w:t>
      </w:r>
      <w:r w:rsidR="00F316FA">
        <w:rPr>
          <w:rFonts w:cs="Times New Roman"/>
          <w:szCs w:val="26"/>
        </w:rPr>
        <w:t xml:space="preserve">The ALJ also found </w:t>
      </w:r>
      <w:r w:rsidR="00E036BE" w:rsidRPr="007F70DF">
        <w:rPr>
          <w:rFonts w:cs="Times New Roman"/>
          <w:szCs w:val="26"/>
        </w:rPr>
        <w:t xml:space="preserve">that Columbia did not </w:t>
      </w:r>
      <w:r w:rsidR="00CA6A9D" w:rsidRPr="007F70DF">
        <w:rPr>
          <w:rFonts w:cs="Times New Roman"/>
          <w:szCs w:val="26"/>
        </w:rPr>
        <w:t>provide specific information about the year-end banquet to demonstrate that it qualifies as an “employee recognition” dinner.</w:t>
      </w:r>
      <w:r w:rsidR="00E036BE" w:rsidRPr="007F70DF">
        <w:rPr>
          <w:rFonts w:cs="Times New Roman"/>
          <w:szCs w:val="26"/>
        </w:rPr>
        <w:t xml:space="preserve">  </w:t>
      </w:r>
      <w:r w:rsidR="00F316FA">
        <w:rPr>
          <w:rFonts w:cs="Times New Roman"/>
          <w:szCs w:val="26"/>
        </w:rPr>
        <w:t>R.D. at 32.  The ALJ reasoned that “W</w:t>
      </w:r>
      <w:r w:rsidR="00E036BE" w:rsidRPr="007F70DF">
        <w:rPr>
          <w:rFonts w:cs="Times New Roman"/>
          <w:szCs w:val="26"/>
        </w:rPr>
        <w:t>hile Mr. Lewis argues that these expenses are necessary for the Company to attract and retain skilled employees (CWC St. 1R at 12), they are simply not valid expenses consistent with established ratemaking principles.</w:t>
      </w:r>
      <w:r w:rsidR="00F316FA">
        <w:rPr>
          <w:rFonts w:cs="Times New Roman"/>
          <w:szCs w:val="26"/>
        </w:rPr>
        <w:t xml:space="preserve">”  </w:t>
      </w:r>
      <w:r w:rsidR="00F316FA" w:rsidRPr="00F316FA">
        <w:rPr>
          <w:rFonts w:cs="Times New Roman"/>
          <w:i/>
          <w:szCs w:val="26"/>
        </w:rPr>
        <w:t>Id.</w:t>
      </w:r>
      <w:r w:rsidR="00F316FA">
        <w:rPr>
          <w:rFonts w:cs="Times New Roman"/>
          <w:szCs w:val="26"/>
        </w:rPr>
        <w:t xml:space="preserve"> </w:t>
      </w:r>
      <w:r w:rsidR="00E036BE" w:rsidRPr="007F70DF">
        <w:rPr>
          <w:rFonts w:cs="Times New Roman"/>
          <w:szCs w:val="26"/>
        </w:rPr>
        <w:t xml:space="preserve">  </w:t>
      </w:r>
      <w:r w:rsidR="00F316FA">
        <w:rPr>
          <w:rFonts w:cs="Times New Roman"/>
          <w:szCs w:val="26"/>
        </w:rPr>
        <w:t xml:space="preserve">The ALJ adopted the </w:t>
      </w:r>
      <w:r w:rsidR="00CA6A9D" w:rsidRPr="007F70DF">
        <w:rPr>
          <w:rFonts w:cs="Times New Roman"/>
          <w:szCs w:val="26"/>
        </w:rPr>
        <w:t xml:space="preserve">$6,051 </w:t>
      </w:r>
      <w:r w:rsidR="00F316FA">
        <w:rPr>
          <w:rFonts w:cs="Times New Roman"/>
          <w:szCs w:val="26"/>
        </w:rPr>
        <w:t xml:space="preserve">adjustment. </w:t>
      </w:r>
      <w:bookmarkStart w:id="44" w:name="_Toc367958628"/>
      <w:r w:rsidR="00F316FA">
        <w:rPr>
          <w:rFonts w:cs="Times New Roman"/>
          <w:szCs w:val="26"/>
        </w:rPr>
        <w:t xml:space="preserve"> </w:t>
      </w:r>
      <w:r w:rsidR="00F316FA" w:rsidRPr="00F316FA">
        <w:rPr>
          <w:rFonts w:cs="Times New Roman"/>
          <w:i/>
          <w:szCs w:val="26"/>
        </w:rPr>
        <w:t>Id.</w:t>
      </w:r>
      <w:r w:rsidR="00F316FA">
        <w:rPr>
          <w:rFonts w:cs="Times New Roman"/>
          <w:szCs w:val="26"/>
        </w:rPr>
        <w:t xml:space="preserve"> </w:t>
      </w:r>
    </w:p>
    <w:p w:rsidR="005437EF" w:rsidRPr="00386FA7" w:rsidRDefault="005437EF" w:rsidP="00386FA7">
      <w:pPr>
        <w:contextualSpacing/>
        <w:rPr>
          <w:rFonts w:cs="Times New Roman"/>
          <w:szCs w:val="26"/>
        </w:rPr>
      </w:pPr>
    </w:p>
    <w:p w:rsidR="005437EF" w:rsidRDefault="005437EF" w:rsidP="00411DD8">
      <w:pPr>
        <w:keepNext/>
        <w:spacing w:line="240" w:lineRule="auto"/>
        <w:contextualSpacing/>
        <w:rPr>
          <w:rFonts w:cs="Times New Roman"/>
          <w:b/>
          <w:szCs w:val="26"/>
        </w:rPr>
      </w:pPr>
      <w:r w:rsidRPr="00386FA7">
        <w:rPr>
          <w:rFonts w:cs="Times New Roman"/>
          <w:szCs w:val="26"/>
        </w:rPr>
        <w:tab/>
      </w:r>
      <w:r w:rsidRPr="00386FA7">
        <w:rPr>
          <w:rFonts w:cs="Times New Roman"/>
          <w:b/>
          <w:szCs w:val="26"/>
        </w:rPr>
        <w:t>c.</w:t>
      </w:r>
      <w:r w:rsidRPr="00386FA7">
        <w:rPr>
          <w:rFonts w:cs="Times New Roman"/>
          <w:b/>
          <w:szCs w:val="26"/>
        </w:rPr>
        <w:tab/>
        <w:t>Exceptions and Reply Exceptions</w:t>
      </w:r>
    </w:p>
    <w:p w:rsidR="009F576F" w:rsidRPr="00386FA7" w:rsidRDefault="009F576F" w:rsidP="00343CB6">
      <w:pPr>
        <w:keepNext/>
        <w:contextualSpacing/>
        <w:rPr>
          <w:rFonts w:cs="Times New Roman"/>
          <w:b/>
          <w:szCs w:val="26"/>
        </w:rPr>
      </w:pPr>
    </w:p>
    <w:p w:rsidR="00386FA7" w:rsidRDefault="00386FA7" w:rsidP="00F316FA">
      <w:pPr>
        <w:keepNext/>
        <w:contextualSpacing/>
        <w:rPr>
          <w:rFonts w:cs="Times New Roman"/>
          <w:spacing w:val="-2"/>
          <w:szCs w:val="26"/>
        </w:rPr>
      </w:pPr>
      <w:r w:rsidRPr="00386FA7">
        <w:rPr>
          <w:rFonts w:cs="Times New Roman"/>
          <w:szCs w:val="26"/>
        </w:rPr>
        <w:t>In its Exception</w:t>
      </w:r>
      <w:r w:rsidR="00124910">
        <w:rPr>
          <w:rFonts w:cs="Times New Roman"/>
          <w:szCs w:val="26"/>
        </w:rPr>
        <w:t>s</w:t>
      </w:r>
      <w:r w:rsidRPr="00386FA7">
        <w:rPr>
          <w:rFonts w:cs="Times New Roman"/>
          <w:szCs w:val="26"/>
        </w:rPr>
        <w:t xml:space="preserve">, Columbia argues that the ALJ erred in recommending rejection of Columbia’s claim for certain employee compensation package expense. </w:t>
      </w:r>
      <w:r w:rsidR="00F316FA">
        <w:rPr>
          <w:rFonts w:cs="Times New Roman"/>
          <w:szCs w:val="26"/>
        </w:rPr>
        <w:t xml:space="preserve"> Columbia submits that the ALJ </w:t>
      </w:r>
      <w:r w:rsidRPr="00386FA7">
        <w:rPr>
          <w:rFonts w:cs="Times New Roman"/>
          <w:spacing w:val="-2"/>
          <w:szCs w:val="26"/>
        </w:rPr>
        <w:t>accept</w:t>
      </w:r>
      <w:r w:rsidR="006B7A7B">
        <w:rPr>
          <w:rFonts w:cs="Times New Roman"/>
          <w:spacing w:val="-2"/>
          <w:szCs w:val="26"/>
        </w:rPr>
        <w:t>ed</w:t>
      </w:r>
      <w:r w:rsidRPr="00386FA7">
        <w:rPr>
          <w:rFonts w:cs="Times New Roman"/>
          <w:spacing w:val="-2"/>
          <w:szCs w:val="26"/>
        </w:rPr>
        <w:t xml:space="preserve"> the OCA’s and I&amp;E’s argument that the expenses are entertainment expenses and not related to the provision of service.  </w:t>
      </w:r>
      <w:r w:rsidR="00F316FA">
        <w:rPr>
          <w:rFonts w:cs="Times New Roman"/>
          <w:spacing w:val="-2"/>
          <w:szCs w:val="26"/>
        </w:rPr>
        <w:t xml:space="preserve">The Company argues </w:t>
      </w:r>
      <w:r w:rsidR="00F316FA">
        <w:rPr>
          <w:rFonts w:cs="Times New Roman"/>
          <w:spacing w:val="-2"/>
          <w:szCs w:val="26"/>
        </w:rPr>
        <w:lastRenderedPageBreak/>
        <w:t>that t</w:t>
      </w:r>
      <w:r w:rsidRPr="00386FA7">
        <w:rPr>
          <w:rFonts w:cs="Times New Roman"/>
          <w:spacing w:val="-2"/>
          <w:szCs w:val="26"/>
        </w:rPr>
        <w:t xml:space="preserve">his is simply not the case.  </w:t>
      </w:r>
      <w:r w:rsidR="00F316FA">
        <w:rPr>
          <w:rFonts w:cs="Times New Roman"/>
          <w:spacing w:val="-2"/>
          <w:szCs w:val="26"/>
        </w:rPr>
        <w:t>The C</w:t>
      </w:r>
      <w:r w:rsidR="002614AE">
        <w:rPr>
          <w:rFonts w:cs="Times New Roman"/>
          <w:spacing w:val="-2"/>
          <w:szCs w:val="26"/>
        </w:rPr>
        <w:t>ompany argues that the expenses are part of its</w:t>
      </w:r>
      <w:r w:rsidRPr="00386FA7">
        <w:rPr>
          <w:rFonts w:cs="Times New Roman"/>
          <w:spacing w:val="-2"/>
          <w:szCs w:val="26"/>
        </w:rPr>
        <w:t xml:space="preserve"> overall compens</w:t>
      </w:r>
      <w:r w:rsidR="002614AE">
        <w:rPr>
          <w:rFonts w:cs="Times New Roman"/>
          <w:spacing w:val="-2"/>
          <w:szCs w:val="26"/>
        </w:rPr>
        <w:t>ation package that</w:t>
      </w:r>
      <w:r w:rsidRPr="00386FA7">
        <w:rPr>
          <w:rFonts w:cs="Times New Roman"/>
          <w:spacing w:val="-2"/>
          <w:szCs w:val="26"/>
        </w:rPr>
        <w:t xml:space="preserve"> is necessary to retain and attract skilled workers.  </w:t>
      </w:r>
      <w:r w:rsidR="002614AE">
        <w:rPr>
          <w:rFonts w:cs="Times New Roman"/>
          <w:spacing w:val="-2"/>
          <w:szCs w:val="26"/>
        </w:rPr>
        <w:t>CWC Exc. at </w:t>
      </w:r>
      <w:r w:rsidR="00F316FA">
        <w:rPr>
          <w:rFonts w:cs="Times New Roman"/>
          <w:spacing w:val="-2"/>
          <w:szCs w:val="26"/>
        </w:rPr>
        <w:t xml:space="preserve">30-31. </w:t>
      </w:r>
    </w:p>
    <w:p w:rsidR="00AB1A86" w:rsidRPr="00386FA7" w:rsidRDefault="00AB1A86" w:rsidP="00386FA7">
      <w:pPr>
        <w:contextualSpacing/>
        <w:rPr>
          <w:rFonts w:cs="Times New Roman"/>
          <w:spacing w:val="-2"/>
          <w:szCs w:val="26"/>
        </w:rPr>
      </w:pPr>
    </w:p>
    <w:p w:rsidR="00AA15E0" w:rsidRPr="007B4AD3" w:rsidRDefault="00F316FA" w:rsidP="00386FA7">
      <w:pPr>
        <w:contextualSpacing/>
        <w:rPr>
          <w:rFonts w:cs="Times New Roman"/>
          <w:szCs w:val="26"/>
        </w:rPr>
      </w:pPr>
      <w:r>
        <w:rPr>
          <w:rFonts w:cs="Times New Roman"/>
          <w:szCs w:val="26"/>
        </w:rPr>
        <w:t xml:space="preserve">Columbia states that </w:t>
      </w:r>
      <w:r w:rsidR="006B7A7B">
        <w:rPr>
          <w:rFonts w:cs="Times New Roman"/>
          <w:szCs w:val="26"/>
        </w:rPr>
        <w:t>“</w:t>
      </w:r>
      <w:r w:rsidR="00337899">
        <w:rPr>
          <w:rFonts w:cs="Times New Roman"/>
          <w:szCs w:val="26"/>
        </w:rPr>
        <w:t>[b]</w:t>
      </w:r>
      <w:r w:rsidR="00386FA7" w:rsidRPr="00386FA7">
        <w:rPr>
          <w:rFonts w:cs="Times New Roman"/>
          <w:szCs w:val="26"/>
        </w:rPr>
        <w:t>oth OCA and I&amp;E exaggerate this claim as some frolic or detour unrelated to retaining and attracting skilled labor as part of an overall compensation package.</w:t>
      </w:r>
      <w:r w:rsidR="006B7A7B">
        <w:rPr>
          <w:rFonts w:cs="Times New Roman"/>
          <w:szCs w:val="26"/>
        </w:rPr>
        <w:t xml:space="preserve">”  </w:t>
      </w:r>
      <w:r w:rsidR="006B7A7B" w:rsidRPr="006B7A7B">
        <w:rPr>
          <w:rFonts w:cs="Times New Roman"/>
          <w:i/>
          <w:szCs w:val="26"/>
        </w:rPr>
        <w:t>Id</w:t>
      </w:r>
      <w:r w:rsidR="006B7A7B">
        <w:rPr>
          <w:rFonts w:cs="Times New Roman"/>
          <w:szCs w:val="26"/>
        </w:rPr>
        <w:t xml:space="preserve">. at 30.  </w:t>
      </w:r>
      <w:r w:rsidR="00386FA7" w:rsidRPr="00386FA7">
        <w:rPr>
          <w:rFonts w:cs="Times New Roman"/>
          <w:szCs w:val="26"/>
        </w:rPr>
        <w:t xml:space="preserve"> Columbia </w:t>
      </w:r>
      <w:r w:rsidR="006B7A7B">
        <w:rPr>
          <w:rFonts w:cs="Times New Roman"/>
          <w:szCs w:val="26"/>
        </w:rPr>
        <w:t xml:space="preserve">submits that it </w:t>
      </w:r>
      <w:r w:rsidR="00386FA7" w:rsidRPr="00386FA7">
        <w:rPr>
          <w:rFonts w:cs="Times New Roman"/>
          <w:szCs w:val="26"/>
        </w:rPr>
        <w:t>explain</w:t>
      </w:r>
      <w:r w:rsidR="006B7A7B">
        <w:rPr>
          <w:rFonts w:cs="Times New Roman"/>
          <w:szCs w:val="26"/>
        </w:rPr>
        <w:t xml:space="preserve">ed </w:t>
      </w:r>
      <w:r w:rsidR="00386FA7" w:rsidRPr="00386FA7">
        <w:rPr>
          <w:rFonts w:cs="Times New Roman"/>
          <w:szCs w:val="26"/>
        </w:rPr>
        <w:t xml:space="preserve">this compensation package issue in much greater detail </w:t>
      </w:r>
      <w:r w:rsidR="006B7A7B">
        <w:rPr>
          <w:rFonts w:cs="Times New Roman"/>
          <w:szCs w:val="26"/>
        </w:rPr>
        <w:t xml:space="preserve">in this proceeding </w:t>
      </w:r>
      <w:r w:rsidR="00386FA7" w:rsidRPr="00386FA7">
        <w:rPr>
          <w:rFonts w:cs="Times New Roman"/>
          <w:szCs w:val="26"/>
        </w:rPr>
        <w:t xml:space="preserve">than </w:t>
      </w:r>
      <w:r w:rsidR="006B7A7B">
        <w:rPr>
          <w:rFonts w:cs="Times New Roman"/>
          <w:szCs w:val="26"/>
        </w:rPr>
        <w:t xml:space="preserve">it did </w:t>
      </w:r>
      <w:r w:rsidR="00386FA7" w:rsidRPr="00386FA7">
        <w:rPr>
          <w:rFonts w:cs="Times New Roman"/>
          <w:szCs w:val="26"/>
        </w:rPr>
        <w:t xml:space="preserve">in the prior rate case.  </w:t>
      </w:r>
      <w:r w:rsidR="002614AE">
        <w:rPr>
          <w:rFonts w:cs="Times New Roman"/>
          <w:szCs w:val="26"/>
        </w:rPr>
        <w:t>The Company notes</w:t>
      </w:r>
      <w:r w:rsidR="006B7A7B">
        <w:rPr>
          <w:rFonts w:cs="Times New Roman"/>
          <w:szCs w:val="26"/>
        </w:rPr>
        <w:t xml:space="preserve"> that its g</w:t>
      </w:r>
      <w:r w:rsidR="00386FA7" w:rsidRPr="00386FA7">
        <w:rPr>
          <w:rFonts w:cs="Times New Roman"/>
          <w:szCs w:val="26"/>
        </w:rPr>
        <w:t xml:space="preserve">eneral </w:t>
      </w:r>
      <w:r w:rsidR="006B7A7B">
        <w:rPr>
          <w:rFonts w:cs="Times New Roman"/>
          <w:szCs w:val="26"/>
        </w:rPr>
        <w:t>m</w:t>
      </w:r>
      <w:r w:rsidR="00386FA7" w:rsidRPr="00386FA7">
        <w:rPr>
          <w:rFonts w:cs="Times New Roman"/>
          <w:szCs w:val="26"/>
        </w:rPr>
        <w:t>anager Mr. Lewis testified</w:t>
      </w:r>
      <w:r w:rsidR="002614AE">
        <w:rPr>
          <w:rFonts w:cs="Times New Roman"/>
          <w:szCs w:val="26"/>
        </w:rPr>
        <w:t xml:space="preserve"> that</w:t>
      </w:r>
      <w:r w:rsidR="00386FA7" w:rsidRPr="00386FA7">
        <w:rPr>
          <w:rFonts w:cs="Times New Roman"/>
          <w:szCs w:val="26"/>
        </w:rPr>
        <w:t xml:space="preserve">, “this is not a trip to Hershey Park.  It is not a picnic at the park.”  </w:t>
      </w:r>
      <w:r w:rsidR="006B7A7B">
        <w:rPr>
          <w:rFonts w:cs="Times New Roman"/>
          <w:szCs w:val="26"/>
        </w:rPr>
        <w:t xml:space="preserve">CWC Exc. at 30 (citing </w:t>
      </w:r>
      <w:r w:rsidR="00386FA7" w:rsidRPr="00386FA7">
        <w:rPr>
          <w:rFonts w:cs="Times New Roman"/>
          <w:szCs w:val="26"/>
        </w:rPr>
        <w:t>Tr. at 112)</w:t>
      </w:r>
      <w:r w:rsidR="006B7A7B">
        <w:rPr>
          <w:rFonts w:cs="Times New Roman"/>
          <w:szCs w:val="26"/>
        </w:rPr>
        <w:t xml:space="preserve">.  </w:t>
      </w:r>
      <w:r w:rsidR="00386FA7" w:rsidRPr="00386FA7">
        <w:rPr>
          <w:rFonts w:cs="Times New Roman"/>
          <w:szCs w:val="26"/>
        </w:rPr>
        <w:t xml:space="preserve">  Mr. Lewis went on to explain that the Company provides Hershey Park tickets to its employees as an economic benefit as part of their overall compensation package</w:t>
      </w:r>
      <w:r w:rsidR="006B7A7B">
        <w:rPr>
          <w:rFonts w:cs="Times New Roman"/>
          <w:szCs w:val="26"/>
        </w:rPr>
        <w:t xml:space="preserve"> and </w:t>
      </w:r>
      <w:r w:rsidR="00386FA7" w:rsidRPr="00386FA7">
        <w:rPr>
          <w:rFonts w:cs="Times New Roman"/>
          <w:szCs w:val="26"/>
        </w:rPr>
        <w:t xml:space="preserve">employees use their ticket when they want during the year.  </w:t>
      </w:r>
      <w:r w:rsidR="006B7A7B" w:rsidRPr="006B7A7B">
        <w:rPr>
          <w:rFonts w:cs="Times New Roman"/>
          <w:i/>
          <w:szCs w:val="26"/>
        </w:rPr>
        <w:t>Id.</w:t>
      </w:r>
      <w:r w:rsidR="006B7A7B">
        <w:rPr>
          <w:rFonts w:cs="Times New Roman"/>
          <w:szCs w:val="26"/>
        </w:rPr>
        <w:t xml:space="preserve">  The Company states that </w:t>
      </w:r>
      <w:r w:rsidR="00386FA7" w:rsidRPr="00386FA7">
        <w:rPr>
          <w:rFonts w:cs="Times New Roman"/>
          <w:szCs w:val="26"/>
        </w:rPr>
        <w:t>employee</w:t>
      </w:r>
      <w:r w:rsidR="006B7A7B">
        <w:rPr>
          <w:rFonts w:cs="Times New Roman"/>
          <w:szCs w:val="26"/>
        </w:rPr>
        <w:t>s</w:t>
      </w:r>
      <w:r w:rsidR="00386FA7" w:rsidRPr="00386FA7">
        <w:rPr>
          <w:rFonts w:cs="Times New Roman"/>
          <w:szCs w:val="26"/>
        </w:rPr>
        <w:t xml:space="preserve"> must use </w:t>
      </w:r>
      <w:r w:rsidR="006B7A7B">
        <w:rPr>
          <w:rFonts w:cs="Times New Roman"/>
          <w:szCs w:val="26"/>
        </w:rPr>
        <w:t xml:space="preserve">the tickets </w:t>
      </w:r>
      <w:r w:rsidR="00386FA7" w:rsidRPr="00386FA7">
        <w:rPr>
          <w:rFonts w:cs="Times New Roman"/>
          <w:szCs w:val="26"/>
        </w:rPr>
        <w:t>on their own time</w:t>
      </w:r>
      <w:r w:rsidR="00337899">
        <w:rPr>
          <w:rFonts w:cs="Times New Roman"/>
          <w:szCs w:val="26"/>
        </w:rPr>
        <w:t xml:space="preserve">, perhaps on a weekend, or </w:t>
      </w:r>
      <w:r w:rsidR="00386FA7" w:rsidRPr="00386FA7">
        <w:rPr>
          <w:rFonts w:cs="Times New Roman"/>
          <w:szCs w:val="26"/>
        </w:rPr>
        <w:t xml:space="preserve">take a vacation day to use it.  </w:t>
      </w:r>
      <w:r w:rsidR="006B7A7B" w:rsidRPr="006B7A7B">
        <w:rPr>
          <w:rFonts w:cs="Times New Roman"/>
          <w:i/>
          <w:szCs w:val="26"/>
        </w:rPr>
        <w:t>Id.</w:t>
      </w:r>
      <w:r w:rsidR="007B4AD3">
        <w:rPr>
          <w:rFonts w:cs="Times New Roman"/>
          <w:i/>
          <w:szCs w:val="26"/>
        </w:rPr>
        <w:t xml:space="preserve"> </w:t>
      </w:r>
      <w:r w:rsidR="007B4AD3" w:rsidRPr="007B4AD3">
        <w:rPr>
          <w:rFonts w:cs="Times New Roman"/>
          <w:szCs w:val="26"/>
        </w:rPr>
        <w:t>at 30-31.</w:t>
      </w:r>
    </w:p>
    <w:p w:rsidR="00AA15E0" w:rsidRPr="00386FA7" w:rsidRDefault="00AA15E0" w:rsidP="00386FA7">
      <w:pPr>
        <w:contextualSpacing/>
        <w:rPr>
          <w:rFonts w:cs="Times New Roman"/>
          <w:szCs w:val="26"/>
        </w:rPr>
      </w:pPr>
    </w:p>
    <w:p w:rsidR="00386FA7" w:rsidRDefault="006B7A7B" w:rsidP="00386FA7">
      <w:pPr>
        <w:contextualSpacing/>
        <w:rPr>
          <w:rFonts w:cs="Times New Roman"/>
          <w:szCs w:val="26"/>
        </w:rPr>
      </w:pPr>
      <w:r>
        <w:rPr>
          <w:rFonts w:cs="Times New Roman"/>
          <w:szCs w:val="26"/>
        </w:rPr>
        <w:t>The Company avers that s</w:t>
      </w:r>
      <w:r w:rsidR="00386FA7" w:rsidRPr="00386FA7">
        <w:rPr>
          <w:rFonts w:cs="Times New Roman"/>
          <w:szCs w:val="26"/>
        </w:rPr>
        <w:t xml:space="preserve">uch claims have been accepted by the Commission.  </w:t>
      </w:r>
      <w:r>
        <w:rPr>
          <w:rFonts w:cs="Times New Roman"/>
          <w:szCs w:val="26"/>
        </w:rPr>
        <w:t xml:space="preserve">Columbia cites </w:t>
      </w:r>
      <w:r w:rsidR="00386FA7" w:rsidRPr="00386FA7">
        <w:rPr>
          <w:rFonts w:cs="Times New Roman"/>
          <w:i/>
          <w:szCs w:val="26"/>
        </w:rPr>
        <w:t>Pa. PUC v. York Water Co.</w:t>
      </w:r>
      <w:r w:rsidR="00386FA7" w:rsidRPr="00386FA7">
        <w:rPr>
          <w:rFonts w:cs="Times New Roman"/>
          <w:szCs w:val="26"/>
        </w:rPr>
        <w:t>, 62 Pa. P.U.C. 459 at 487 (1986)</w:t>
      </w:r>
      <w:r>
        <w:rPr>
          <w:rFonts w:cs="Times New Roman"/>
          <w:szCs w:val="26"/>
        </w:rPr>
        <w:t xml:space="preserve"> where Columbia submits that </w:t>
      </w:r>
      <w:r w:rsidR="00386FA7" w:rsidRPr="00386FA7">
        <w:rPr>
          <w:rFonts w:cs="Times New Roman"/>
          <w:szCs w:val="26"/>
        </w:rPr>
        <w:t xml:space="preserve">the Commission allowed expenses related to an end of year service award banquet.  </w:t>
      </w:r>
      <w:r w:rsidR="007B4AD3" w:rsidRPr="007B4AD3">
        <w:rPr>
          <w:rFonts w:cs="Times New Roman"/>
          <w:i/>
          <w:szCs w:val="26"/>
        </w:rPr>
        <w:t>Id</w:t>
      </w:r>
      <w:r w:rsidR="007B4AD3">
        <w:rPr>
          <w:rFonts w:cs="Times New Roman"/>
          <w:szCs w:val="26"/>
        </w:rPr>
        <w:t>. at 31.  The Company states that t</w:t>
      </w:r>
      <w:r w:rsidR="00386FA7" w:rsidRPr="00386FA7">
        <w:rPr>
          <w:rFonts w:cs="Times New Roman"/>
          <w:szCs w:val="26"/>
        </w:rPr>
        <w:t xml:space="preserve">he Commission determined that an award dinner or banquet gave the utility the opportunity to recognize employees for service to the utility and its customers.  </w:t>
      </w:r>
      <w:r w:rsidR="007B4AD3">
        <w:rPr>
          <w:rFonts w:cs="Times New Roman"/>
          <w:szCs w:val="26"/>
        </w:rPr>
        <w:t>The Company explained that t</w:t>
      </w:r>
      <w:r w:rsidR="00386FA7" w:rsidRPr="00386FA7">
        <w:rPr>
          <w:rFonts w:cs="Times New Roman"/>
          <w:szCs w:val="26"/>
        </w:rPr>
        <w:t>he Commission reasoned that this recognition would, in turn, foster improved employer-employee relations and result in a more satis</w:t>
      </w:r>
      <w:r w:rsidR="00337899">
        <w:rPr>
          <w:rFonts w:cs="Times New Roman"/>
          <w:szCs w:val="26"/>
        </w:rPr>
        <w:t xml:space="preserve">fied and effective work force.  </w:t>
      </w:r>
      <w:r w:rsidR="007B4AD3">
        <w:rPr>
          <w:rFonts w:cs="Times New Roman"/>
          <w:szCs w:val="26"/>
        </w:rPr>
        <w:t>Columbia argues that t</w:t>
      </w:r>
      <w:r w:rsidR="00386FA7" w:rsidRPr="00386FA7">
        <w:rPr>
          <w:rFonts w:cs="Times New Roman"/>
          <w:szCs w:val="26"/>
        </w:rPr>
        <w:t xml:space="preserve">he same result should apply here. </w:t>
      </w:r>
      <w:r w:rsidR="007B4AD3">
        <w:rPr>
          <w:rFonts w:cs="Times New Roman"/>
          <w:szCs w:val="26"/>
        </w:rPr>
        <w:t xml:space="preserve"> </w:t>
      </w:r>
      <w:r w:rsidR="007B4AD3" w:rsidRPr="007B4AD3">
        <w:rPr>
          <w:rFonts w:cs="Times New Roman"/>
          <w:i/>
          <w:szCs w:val="26"/>
        </w:rPr>
        <w:t>Id</w:t>
      </w:r>
      <w:r w:rsidR="007B4AD3">
        <w:rPr>
          <w:rFonts w:cs="Times New Roman"/>
          <w:szCs w:val="26"/>
        </w:rPr>
        <w:t xml:space="preserve">. </w:t>
      </w:r>
    </w:p>
    <w:p w:rsidR="00AA15E0" w:rsidRDefault="00AA15E0" w:rsidP="00386FA7">
      <w:pPr>
        <w:contextualSpacing/>
        <w:rPr>
          <w:rFonts w:cs="Times New Roman"/>
          <w:szCs w:val="26"/>
        </w:rPr>
      </w:pPr>
    </w:p>
    <w:p w:rsidR="000D2C07" w:rsidRDefault="000D2C07" w:rsidP="00386FA7">
      <w:pPr>
        <w:contextualSpacing/>
        <w:rPr>
          <w:rFonts w:cs="Times New Roman"/>
          <w:szCs w:val="26"/>
        </w:rPr>
      </w:pPr>
      <w:r>
        <w:rPr>
          <w:rFonts w:cs="Times New Roman"/>
          <w:szCs w:val="26"/>
        </w:rPr>
        <w:t>In response to the Company’s Exceptions, the OCA provided the following summary of cases where it avers that the Commission has disallowed similar claims.  The OCA stated:</w:t>
      </w:r>
    </w:p>
    <w:p w:rsidR="000D2C07" w:rsidRPr="00386FA7" w:rsidRDefault="000D2C07" w:rsidP="000D2C07">
      <w:pPr>
        <w:spacing w:line="240" w:lineRule="auto"/>
        <w:contextualSpacing/>
        <w:rPr>
          <w:rFonts w:cs="Times New Roman"/>
          <w:szCs w:val="26"/>
        </w:rPr>
      </w:pPr>
    </w:p>
    <w:p w:rsidR="00386FA7" w:rsidRDefault="000D2C07" w:rsidP="000D2C07">
      <w:pPr>
        <w:spacing w:line="240" w:lineRule="auto"/>
        <w:ind w:left="1440" w:right="1440" w:firstLine="0"/>
        <w:contextualSpacing/>
        <w:rPr>
          <w:rFonts w:ascii="Times" w:hAnsi="Times"/>
          <w:szCs w:val="26"/>
        </w:rPr>
      </w:pPr>
      <w:r w:rsidRPr="000D2C07">
        <w:rPr>
          <w:rFonts w:ascii="Times" w:hAnsi="Times"/>
          <w:szCs w:val="26"/>
        </w:rPr>
        <w:t xml:space="preserve">The Commission has consistently disallowed these types of entertainment expenses based on its reasonable determination that they are not necessary in the provision of public utility service.  </w:t>
      </w:r>
      <w:r w:rsidRPr="00337899">
        <w:rPr>
          <w:rFonts w:ascii="Times" w:hAnsi="Times"/>
          <w:i/>
          <w:szCs w:val="26"/>
        </w:rPr>
        <w:t>See</w:t>
      </w:r>
      <w:r w:rsidRPr="000D2C07">
        <w:rPr>
          <w:rFonts w:ascii="Times" w:hAnsi="Times"/>
          <w:szCs w:val="26"/>
        </w:rPr>
        <w:t xml:space="preserve"> </w:t>
      </w:r>
      <w:r w:rsidRPr="00337899">
        <w:rPr>
          <w:rFonts w:ascii="Times" w:hAnsi="Times"/>
          <w:i/>
          <w:szCs w:val="26"/>
        </w:rPr>
        <w:t>Pa. P.U.C. v. Pennsylvania-American Water Co.</w:t>
      </w:r>
      <w:r w:rsidRPr="000D2C07">
        <w:rPr>
          <w:rFonts w:ascii="Times" w:hAnsi="Times"/>
          <w:szCs w:val="26"/>
        </w:rPr>
        <w:t>, 79  PaPUC 25, 62-63 (1993) (</w:t>
      </w:r>
      <w:r w:rsidRPr="00337899">
        <w:rPr>
          <w:rFonts w:ascii="Times" w:hAnsi="Times"/>
          <w:i/>
          <w:szCs w:val="26"/>
        </w:rPr>
        <w:t>PAWC 1993</w:t>
      </w:r>
      <w:r w:rsidRPr="00337899">
        <w:rPr>
          <w:rFonts w:ascii="Times" w:hAnsi="Times"/>
          <w:szCs w:val="26"/>
        </w:rPr>
        <w:t>)</w:t>
      </w:r>
      <w:r w:rsidRPr="000D2C07">
        <w:rPr>
          <w:rFonts w:ascii="Times" w:hAnsi="Times"/>
          <w:szCs w:val="26"/>
        </w:rPr>
        <w:t xml:space="preserve"> (expenses for entertainment and gifts inappropriately included in utility’s rates because they did not directly relate to the provision of quality water service); </w:t>
      </w:r>
      <w:r w:rsidRPr="00337899">
        <w:rPr>
          <w:rFonts w:ascii="Times" w:hAnsi="Times"/>
          <w:i/>
          <w:szCs w:val="26"/>
        </w:rPr>
        <w:t>see</w:t>
      </w:r>
      <w:r w:rsidRPr="000D2C07">
        <w:rPr>
          <w:rFonts w:ascii="Times" w:hAnsi="Times"/>
          <w:szCs w:val="26"/>
        </w:rPr>
        <w:t xml:space="preserve"> </w:t>
      </w:r>
      <w:r w:rsidRPr="00337899">
        <w:rPr>
          <w:rFonts w:ascii="Times" w:hAnsi="Times"/>
          <w:i/>
          <w:szCs w:val="26"/>
        </w:rPr>
        <w:t>also</w:t>
      </w:r>
      <w:r w:rsidRPr="000D2C07">
        <w:rPr>
          <w:rFonts w:ascii="Times" w:hAnsi="Times"/>
          <w:szCs w:val="26"/>
        </w:rPr>
        <w:t xml:space="preserve"> </w:t>
      </w:r>
      <w:r w:rsidRPr="00337899">
        <w:rPr>
          <w:rFonts w:ascii="Times" w:hAnsi="Times"/>
          <w:i/>
          <w:szCs w:val="26"/>
        </w:rPr>
        <w:t>Pa. P.U.C. v. Citizens Utilities Water Co. of Pa.</w:t>
      </w:r>
      <w:r w:rsidRPr="000D2C07">
        <w:rPr>
          <w:rFonts w:ascii="Times" w:hAnsi="Times"/>
          <w:szCs w:val="26"/>
        </w:rPr>
        <w:t xml:space="preserve">, 169 PUR4th 552, 584-85 (1996) (disallowing expenses for gifts, flowers, in-house luncheons and horticultural service despite the Company’s claim that these items improved employee morale).  Only expenses directly related to “employee recognition” dinners are permitted.  </w:t>
      </w:r>
      <w:r w:rsidRPr="00337899">
        <w:rPr>
          <w:rFonts w:ascii="Times" w:hAnsi="Times"/>
          <w:i/>
          <w:szCs w:val="26"/>
        </w:rPr>
        <w:t>See</w:t>
      </w:r>
      <w:r w:rsidRPr="000D2C07">
        <w:rPr>
          <w:rFonts w:ascii="Times" w:hAnsi="Times"/>
          <w:szCs w:val="26"/>
        </w:rPr>
        <w:t xml:space="preserve"> </w:t>
      </w:r>
      <w:r w:rsidRPr="00337899">
        <w:rPr>
          <w:rFonts w:ascii="Times" w:hAnsi="Times"/>
          <w:i/>
          <w:szCs w:val="26"/>
        </w:rPr>
        <w:t>PAWC 1993</w:t>
      </w:r>
      <w:r w:rsidRPr="000D2C07">
        <w:rPr>
          <w:rFonts w:ascii="Times" w:hAnsi="Times"/>
          <w:szCs w:val="26"/>
        </w:rPr>
        <w:t xml:space="preserve"> at *123; </w:t>
      </w:r>
      <w:r w:rsidRPr="00337899">
        <w:rPr>
          <w:rFonts w:ascii="Times" w:hAnsi="Times"/>
          <w:i/>
          <w:szCs w:val="26"/>
        </w:rPr>
        <w:t>Pa. P.U.C. v. Pennsylvania-American Water Co.</w:t>
      </w:r>
      <w:r w:rsidRPr="000D2C07">
        <w:rPr>
          <w:rFonts w:ascii="Times" w:hAnsi="Times"/>
          <w:szCs w:val="26"/>
        </w:rPr>
        <w:t>, 1995 PaPUC LEXIS 170, *38-39 (</w:t>
      </w:r>
      <w:r w:rsidRPr="00337899">
        <w:rPr>
          <w:rFonts w:ascii="Times" w:hAnsi="Times"/>
          <w:i/>
          <w:szCs w:val="26"/>
        </w:rPr>
        <w:t>PAWC 1995</w:t>
      </w:r>
      <w:r w:rsidRPr="000D2C07">
        <w:rPr>
          <w:rFonts w:ascii="Times" w:hAnsi="Times"/>
          <w:szCs w:val="26"/>
        </w:rPr>
        <w:t xml:space="preserve">).  </w:t>
      </w:r>
    </w:p>
    <w:p w:rsidR="000D2C07" w:rsidRPr="000D2C07" w:rsidRDefault="000D2C07" w:rsidP="000D2C07">
      <w:pPr>
        <w:spacing w:line="240" w:lineRule="auto"/>
        <w:ind w:left="1440" w:right="1440" w:firstLine="0"/>
        <w:contextualSpacing/>
        <w:rPr>
          <w:rFonts w:cs="Times New Roman"/>
          <w:szCs w:val="26"/>
        </w:rPr>
      </w:pPr>
    </w:p>
    <w:p w:rsidR="005437EF" w:rsidRDefault="000D2C07" w:rsidP="000D2C07">
      <w:pPr>
        <w:ind w:firstLine="0"/>
        <w:contextualSpacing/>
        <w:rPr>
          <w:rFonts w:cs="Times New Roman"/>
          <w:szCs w:val="26"/>
        </w:rPr>
      </w:pPr>
      <w:r w:rsidRPr="000D2C07">
        <w:rPr>
          <w:rFonts w:cs="Times New Roman"/>
          <w:szCs w:val="26"/>
        </w:rPr>
        <w:t xml:space="preserve">OCA R.Exc. at 18. </w:t>
      </w:r>
    </w:p>
    <w:p w:rsidR="000D2C07" w:rsidRPr="000D2C07" w:rsidRDefault="000D2C07" w:rsidP="000D2C07">
      <w:pPr>
        <w:ind w:firstLine="0"/>
        <w:contextualSpacing/>
        <w:rPr>
          <w:rFonts w:cs="Times New Roman"/>
          <w:szCs w:val="26"/>
        </w:rPr>
      </w:pPr>
    </w:p>
    <w:p w:rsidR="005437EF" w:rsidRDefault="005437EF" w:rsidP="000D2C07">
      <w:pPr>
        <w:spacing w:line="240" w:lineRule="auto"/>
        <w:ind w:firstLine="2160"/>
        <w:contextualSpacing/>
        <w:rPr>
          <w:rFonts w:cs="Times New Roman"/>
          <w:b/>
          <w:szCs w:val="26"/>
        </w:rPr>
      </w:pPr>
      <w:r>
        <w:rPr>
          <w:rFonts w:cs="Times New Roman"/>
          <w:b/>
          <w:szCs w:val="26"/>
        </w:rPr>
        <w:t>d.</w:t>
      </w:r>
      <w:r>
        <w:rPr>
          <w:rFonts w:cs="Times New Roman"/>
          <w:b/>
          <w:szCs w:val="26"/>
        </w:rPr>
        <w:tab/>
        <w:t>Disposition</w:t>
      </w:r>
    </w:p>
    <w:p w:rsidR="009F576F" w:rsidRDefault="009F576F" w:rsidP="005437EF">
      <w:pPr>
        <w:contextualSpacing/>
        <w:rPr>
          <w:rFonts w:cs="Times New Roman"/>
          <w:b/>
          <w:szCs w:val="26"/>
        </w:rPr>
      </w:pPr>
    </w:p>
    <w:p w:rsidR="009F576F" w:rsidRPr="007E27F4" w:rsidRDefault="007E27F4" w:rsidP="005437EF">
      <w:pPr>
        <w:contextualSpacing/>
        <w:rPr>
          <w:rFonts w:cs="Times New Roman"/>
          <w:szCs w:val="26"/>
        </w:rPr>
      </w:pPr>
      <w:r w:rsidRPr="007E27F4">
        <w:rPr>
          <w:rFonts w:cs="Times New Roman"/>
          <w:szCs w:val="26"/>
        </w:rPr>
        <w:t xml:space="preserve">Upon a review of the record in this proceeding, </w:t>
      </w:r>
      <w:r>
        <w:rPr>
          <w:rFonts w:cs="Times New Roman"/>
          <w:szCs w:val="26"/>
        </w:rPr>
        <w:t xml:space="preserve">we find that the Company has not put forward sufficient evidence to demonstrate that these expenses are necessary to retain its employees.  Accordingly, these expenses are not necessary for the provision of public utility service and </w:t>
      </w:r>
      <w:r w:rsidR="0063593C">
        <w:rPr>
          <w:rFonts w:cs="Times New Roman"/>
          <w:szCs w:val="26"/>
        </w:rPr>
        <w:t>shall</w:t>
      </w:r>
      <w:r>
        <w:rPr>
          <w:rFonts w:cs="Times New Roman"/>
          <w:szCs w:val="26"/>
        </w:rPr>
        <w:t xml:space="preserve"> be rejected. </w:t>
      </w:r>
    </w:p>
    <w:p w:rsidR="00241EDA" w:rsidRPr="005437EF" w:rsidRDefault="00241EDA" w:rsidP="00241EDA">
      <w:pPr>
        <w:contextualSpacing/>
        <w:rPr>
          <w:rFonts w:cs="Times New Roman"/>
          <w:szCs w:val="26"/>
        </w:rPr>
      </w:pPr>
    </w:p>
    <w:p w:rsidR="005437EF" w:rsidRDefault="005437EF" w:rsidP="00992768">
      <w:pPr>
        <w:pStyle w:val="Heading3"/>
        <w:rPr>
          <w:rFonts w:ascii="Times New Roman" w:hAnsi="Times New Roman" w:cs="Times New Roman"/>
        </w:rPr>
      </w:pPr>
      <w:bookmarkStart w:id="45" w:name="_Toc378080172"/>
      <w:r w:rsidRPr="00124910">
        <w:rPr>
          <w:rFonts w:ascii="Times New Roman" w:hAnsi="Times New Roman" w:cs="Times New Roman"/>
        </w:rPr>
        <w:t>10</w:t>
      </w:r>
      <w:r w:rsidR="002E011F" w:rsidRPr="00124910">
        <w:rPr>
          <w:rFonts w:ascii="Times New Roman" w:hAnsi="Times New Roman" w:cs="Times New Roman"/>
        </w:rPr>
        <w:t>.</w:t>
      </w:r>
      <w:r w:rsidR="002E011F" w:rsidRPr="00124910">
        <w:rPr>
          <w:rFonts w:ascii="Times New Roman" w:hAnsi="Times New Roman" w:cs="Times New Roman"/>
        </w:rPr>
        <w:tab/>
      </w:r>
      <w:r w:rsidR="00CA6A9D" w:rsidRPr="00124910">
        <w:rPr>
          <w:rFonts w:ascii="Times New Roman" w:hAnsi="Times New Roman" w:cs="Times New Roman"/>
        </w:rPr>
        <w:t>Vehicle Insurance</w:t>
      </w:r>
      <w:bookmarkEnd w:id="44"/>
      <w:bookmarkEnd w:id="45"/>
    </w:p>
    <w:p w:rsidR="00337899" w:rsidRDefault="00337899" w:rsidP="00337899"/>
    <w:p w:rsidR="00337899" w:rsidRPr="00337899" w:rsidRDefault="00337899" w:rsidP="00337899">
      <w:pPr>
        <w:rPr>
          <w:b/>
        </w:rPr>
      </w:pPr>
      <w:r>
        <w:tab/>
      </w:r>
      <w:r>
        <w:rPr>
          <w:b/>
        </w:rPr>
        <w:t>a.</w:t>
      </w:r>
      <w:r>
        <w:rPr>
          <w:b/>
        </w:rPr>
        <w:tab/>
        <w:t>Positions of the Parties</w:t>
      </w:r>
    </w:p>
    <w:p w:rsidR="005437EF" w:rsidRPr="00124910" w:rsidRDefault="005437EF" w:rsidP="005437EF">
      <w:pPr>
        <w:pStyle w:val="Heading2"/>
        <w:numPr>
          <w:ilvl w:val="0"/>
          <w:numId w:val="0"/>
        </w:numPr>
        <w:spacing w:line="360" w:lineRule="auto"/>
        <w:ind w:left="1440"/>
        <w:contextualSpacing/>
        <w:rPr>
          <w:rFonts w:ascii="Times New Roman" w:hAnsi="Times New Roman"/>
          <w:b w:val="0"/>
          <w:i/>
          <w:szCs w:val="26"/>
        </w:rPr>
      </w:pPr>
    </w:p>
    <w:p w:rsidR="00241EDA" w:rsidRDefault="002E011F" w:rsidP="004272F2">
      <w:pPr>
        <w:contextualSpacing/>
        <w:rPr>
          <w:rFonts w:cs="Times New Roman"/>
          <w:szCs w:val="26"/>
        </w:rPr>
      </w:pPr>
      <w:r w:rsidRPr="007F70DF">
        <w:rPr>
          <w:rFonts w:cs="Times New Roman"/>
          <w:szCs w:val="26"/>
        </w:rPr>
        <w:t>Columbia</w:t>
      </w:r>
      <w:r w:rsidR="00CA6A9D" w:rsidRPr="007F70DF">
        <w:rPr>
          <w:rFonts w:cs="Times New Roman"/>
          <w:szCs w:val="26"/>
        </w:rPr>
        <w:t xml:space="preserve"> claimed $6,900 in the future test year for vehicle insurance.  OCA St. 1 at 37-38; OCA St. 1S at 23-25.  </w:t>
      </w:r>
      <w:r w:rsidRPr="007F70DF">
        <w:rPr>
          <w:rFonts w:cs="Times New Roman"/>
          <w:szCs w:val="26"/>
        </w:rPr>
        <w:t xml:space="preserve">The OCA’s witness, </w:t>
      </w:r>
      <w:r w:rsidR="00CA6A9D" w:rsidRPr="007F70DF">
        <w:rPr>
          <w:rFonts w:cs="Times New Roman"/>
          <w:szCs w:val="26"/>
        </w:rPr>
        <w:t xml:space="preserve">Ms. Everette, </w:t>
      </w:r>
      <w:r w:rsidRPr="007F70DF">
        <w:rPr>
          <w:rFonts w:cs="Times New Roman"/>
          <w:szCs w:val="26"/>
        </w:rPr>
        <w:t>recommended that Columbia’s</w:t>
      </w:r>
      <w:r w:rsidR="00CA6A9D" w:rsidRPr="007F70DF">
        <w:rPr>
          <w:rFonts w:cs="Times New Roman"/>
          <w:szCs w:val="26"/>
        </w:rPr>
        <w:t xml:space="preserve"> vehicle insurance expense should be adjusted </w:t>
      </w:r>
      <w:r w:rsidR="00364288">
        <w:rPr>
          <w:rFonts w:cs="Times New Roman"/>
          <w:szCs w:val="26"/>
        </w:rPr>
        <w:t xml:space="preserve">downward </w:t>
      </w:r>
      <w:r w:rsidR="00CA6A9D" w:rsidRPr="007F70DF">
        <w:rPr>
          <w:rFonts w:cs="Times New Roman"/>
          <w:szCs w:val="26"/>
        </w:rPr>
        <w:t>by allocating $589</w:t>
      </w:r>
      <w:r w:rsidR="00B11A65">
        <w:rPr>
          <w:rFonts w:cs="Times New Roman"/>
          <w:szCs w:val="26"/>
        </w:rPr>
        <w:t xml:space="preserve"> or 8.49% </w:t>
      </w:r>
      <w:r w:rsidR="00CA6A9D" w:rsidRPr="007F70DF">
        <w:rPr>
          <w:rFonts w:cs="Times New Roman"/>
          <w:szCs w:val="26"/>
        </w:rPr>
        <w:t xml:space="preserve">to the Marietta Division.  OCA St. 1S at 24.  In response to </w:t>
      </w:r>
      <w:r w:rsidR="007E27F4">
        <w:rPr>
          <w:rFonts w:cs="Times New Roman"/>
          <w:szCs w:val="26"/>
        </w:rPr>
        <w:t xml:space="preserve">interrogatory </w:t>
      </w:r>
      <w:r w:rsidR="00CA6A9D" w:rsidRPr="007F70DF">
        <w:rPr>
          <w:rFonts w:cs="Times New Roman"/>
          <w:szCs w:val="26"/>
        </w:rPr>
        <w:t xml:space="preserve">OCA-III-48, </w:t>
      </w:r>
      <w:r w:rsidRPr="007F70DF">
        <w:rPr>
          <w:rFonts w:cs="Times New Roman"/>
          <w:szCs w:val="26"/>
        </w:rPr>
        <w:t>Columbia</w:t>
      </w:r>
      <w:r w:rsidR="00CA6A9D" w:rsidRPr="007F70DF">
        <w:rPr>
          <w:rFonts w:cs="Times New Roman"/>
          <w:szCs w:val="26"/>
        </w:rPr>
        <w:t xml:space="preserve"> </w:t>
      </w:r>
      <w:r w:rsidR="00364288">
        <w:rPr>
          <w:rFonts w:cs="Times New Roman"/>
          <w:szCs w:val="26"/>
        </w:rPr>
        <w:t xml:space="preserve">stated </w:t>
      </w:r>
      <w:r w:rsidR="00CA6A9D" w:rsidRPr="007F70DF">
        <w:rPr>
          <w:rFonts w:cs="Times New Roman"/>
          <w:szCs w:val="26"/>
        </w:rPr>
        <w:t>that “other vehicles on the policy were used by workers when doing work for the Marietta Division</w:t>
      </w:r>
      <w:r w:rsidR="00EB13A2" w:rsidRPr="007F70DF">
        <w:rPr>
          <w:rFonts w:cs="Times New Roman"/>
          <w:szCs w:val="26"/>
        </w:rPr>
        <w:t>.”  OCA St. 1 at </w:t>
      </w:r>
      <w:r w:rsidR="00CA6A9D" w:rsidRPr="007F70DF">
        <w:rPr>
          <w:rFonts w:cs="Times New Roman"/>
          <w:szCs w:val="26"/>
        </w:rPr>
        <w:t xml:space="preserve">37.  </w:t>
      </w:r>
      <w:r w:rsidRPr="007F70DF">
        <w:rPr>
          <w:rFonts w:cs="Times New Roman"/>
          <w:szCs w:val="26"/>
        </w:rPr>
        <w:t>Columbia</w:t>
      </w:r>
      <w:r w:rsidR="00CA6A9D" w:rsidRPr="007F70DF">
        <w:rPr>
          <w:rFonts w:cs="Times New Roman"/>
          <w:szCs w:val="26"/>
        </w:rPr>
        <w:t xml:space="preserve"> further indicated that “[a] </w:t>
      </w:r>
      <w:r w:rsidR="00CA6A9D" w:rsidRPr="007F70DF">
        <w:rPr>
          <w:rFonts w:cs="Times New Roman"/>
          <w:szCs w:val="26"/>
        </w:rPr>
        <w:lastRenderedPageBreak/>
        <w:t>portion of the shared vehicle’s commercial auto premium will be expensed to the Marietta Division using hours worked by staff in that division as the basis for sharing.”  OCA St. 1 at 37.  T</w:t>
      </w:r>
      <w:r w:rsidRPr="007F70DF">
        <w:rPr>
          <w:rFonts w:cs="Times New Roman"/>
          <w:szCs w:val="26"/>
        </w:rPr>
        <w:t>he OCA contend</w:t>
      </w:r>
      <w:r w:rsidR="007E27F4">
        <w:rPr>
          <w:rFonts w:cs="Times New Roman"/>
          <w:szCs w:val="26"/>
        </w:rPr>
        <w:t>ed</w:t>
      </w:r>
      <w:r w:rsidRPr="007F70DF">
        <w:rPr>
          <w:rFonts w:cs="Times New Roman"/>
          <w:szCs w:val="26"/>
        </w:rPr>
        <w:t xml:space="preserve"> that t</w:t>
      </w:r>
      <w:r w:rsidR="00CA6A9D" w:rsidRPr="007F70DF">
        <w:rPr>
          <w:rFonts w:cs="Times New Roman"/>
          <w:szCs w:val="26"/>
        </w:rPr>
        <w:t>he delayed allocation of vehicle insurance costs to the Marietta Division is not appropriate for ratemaking purposes</w:t>
      </w:r>
      <w:r w:rsidRPr="007F70DF">
        <w:rPr>
          <w:rFonts w:cs="Times New Roman"/>
          <w:szCs w:val="26"/>
        </w:rPr>
        <w:t>, and M</w:t>
      </w:r>
      <w:r w:rsidR="00CA6A9D" w:rsidRPr="007F70DF">
        <w:rPr>
          <w:rFonts w:cs="Times New Roman"/>
          <w:szCs w:val="26"/>
        </w:rPr>
        <w:t>s. Everette used the same allocation percentage for vehicle insurance as she used for employee salaries and wages</w:t>
      </w:r>
      <w:r w:rsidR="007E27F4">
        <w:rPr>
          <w:rFonts w:cs="Times New Roman"/>
          <w:szCs w:val="26"/>
        </w:rPr>
        <w:t xml:space="preserve"> to adjust the vehicle insurance claim.  OCA M.B. at 47. </w:t>
      </w:r>
    </w:p>
    <w:p w:rsidR="005437EF" w:rsidRDefault="005437EF" w:rsidP="004272F2">
      <w:pPr>
        <w:contextualSpacing/>
        <w:rPr>
          <w:rFonts w:cs="Times New Roman"/>
          <w:szCs w:val="26"/>
        </w:rPr>
      </w:pPr>
    </w:p>
    <w:p w:rsidR="00EE37C4" w:rsidRDefault="00EE37C4" w:rsidP="004272F2">
      <w:pPr>
        <w:contextualSpacing/>
        <w:rPr>
          <w:rFonts w:cs="Times New Roman"/>
          <w:szCs w:val="26"/>
        </w:rPr>
      </w:pPr>
      <w:r>
        <w:rPr>
          <w:rFonts w:cs="Times New Roman"/>
          <w:szCs w:val="26"/>
        </w:rPr>
        <w:t>The Company also claimed that the c</w:t>
      </w:r>
      <w:r w:rsidR="005A38A3">
        <w:rPr>
          <w:rFonts w:cs="Times New Roman"/>
          <w:szCs w:val="26"/>
        </w:rPr>
        <w:t>osts of its vehicle insurance are</w:t>
      </w:r>
      <w:r>
        <w:rPr>
          <w:rFonts w:cs="Times New Roman"/>
          <w:szCs w:val="26"/>
        </w:rPr>
        <w:t xml:space="preserve"> increasing and requested an increase of $837.  CWC M.B. at 30.  The OCA argued that such an increase should not be permitted because it does not fall within the future test year</w:t>
      </w:r>
      <w:r w:rsidR="00364288">
        <w:rPr>
          <w:rFonts w:cs="Times New Roman"/>
          <w:szCs w:val="26"/>
        </w:rPr>
        <w:t>.</w:t>
      </w:r>
      <w:r>
        <w:rPr>
          <w:rFonts w:cs="Times New Roman"/>
          <w:szCs w:val="26"/>
        </w:rPr>
        <w:t xml:space="preserve"> </w:t>
      </w:r>
      <w:r w:rsidR="00364288">
        <w:rPr>
          <w:rFonts w:cs="Times New Roman"/>
          <w:szCs w:val="26"/>
        </w:rPr>
        <w:t xml:space="preserve"> I</w:t>
      </w:r>
      <w:r>
        <w:rPr>
          <w:rFonts w:cs="Times New Roman"/>
          <w:szCs w:val="26"/>
        </w:rPr>
        <w:t xml:space="preserve">n the alternative, </w:t>
      </w:r>
      <w:r w:rsidR="00364288">
        <w:rPr>
          <w:rFonts w:cs="Times New Roman"/>
          <w:szCs w:val="26"/>
        </w:rPr>
        <w:t xml:space="preserve">the OCA suggested that </w:t>
      </w:r>
      <w:r>
        <w:rPr>
          <w:rFonts w:cs="Times New Roman"/>
          <w:szCs w:val="26"/>
        </w:rPr>
        <w:t xml:space="preserve">a portion of the increase be allocated to the Marietta Division.  OCA M.B. at 48. </w:t>
      </w:r>
    </w:p>
    <w:p w:rsidR="00EE37C4" w:rsidRDefault="00EE37C4" w:rsidP="004272F2">
      <w:pPr>
        <w:contextualSpacing/>
        <w:rPr>
          <w:rFonts w:cs="Times New Roman"/>
          <w:szCs w:val="26"/>
        </w:rPr>
      </w:pPr>
      <w:r>
        <w:rPr>
          <w:rFonts w:cs="Times New Roman"/>
          <w:szCs w:val="26"/>
        </w:rPr>
        <w:t xml:space="preserve"> </w:t>
      </w:r>
    </w:p>
    <w:p w:rsidR="005437EF" w:rsidRPr="005437EF" w:rsidRDefault="005437EF" w:rsidP="00411DD8">
      <w:pPr>
        <w:keepNext/>
        <w:spacing w:line="240" w:lineRule="auto"/>
        <w:contextualSpacing/>
        <w:rPr>
          <w:rFonts w:cs="Times New Roman"/>
          <w:b/>
          <w:szCs w:val="26"/>
        </w:rPr>
      </w:pPr>
      <w:r>
        <w:rPr>
          <w:rFonts w:cs="Times New Roman"/>
          <w:szCs w:val="26"/>
        </w:rPr>
        <w:tab/>
      </w:r>
      <w:r>
        <w:rPr>
          <w:rFonts w:cs="Times New Roman"/>
          <w:b/>
          <w:szCs w:val="26"/>
        </w:rPr>
        <w:t>b.</w:t>
      </w:r>
      <w:r>
        <w:rPr>
          <w:rFonts w:cs="Times New Roman"/>
          <w:b/>
          <w:szCs w:val="26"/>
        </w:rPr>
        <w:tab/>
        <w:t>ALJ’s Recommendation</w:t>
      </w:r>
    </w:p>
    <w:p w:rsidR="00241EDA" w:rsidRPr="007F70DF" w:rsidRDefault="00241EDA" w:rsidP="00411DD8">
      <w:pPr>
        <w:keepNext/>
        <w:contextualSpacing/>
        <w:rPr>
          <w:rFonts w:cs="Times New Roman"/>
          <w:szCs w:val="26"/>
        </w:rPr>
      </w:pPr>
    </w:p>
    <w:p w:rsidR="00241EDA" w:rsidRPr="007F70DF" w:rsidRDefault="00B11F59" w:rsidP="00411DD8">
      <w:pPr>
        <w:keepNext/>
        <w:contextualSpacing/>
        <w:rPr>
          <w:rFonts w:cs="Times New Roman"/>
          <w:szCs w:val="26"/>
        </w:rPr>
      </w:pPr>
      <w:r>
        <w:rPr>
          <w:rFonts w:cs="Times New Roman"/>
          <w:szCs w:val="26"/>
        </w:rPr>
        <w:t>The ALJ reasoned that t</w:t>
      </w:r>
      <w:r w:rsidR="00241EDA" w:rsidRPr="007F70DF">
        <w:rPr>
          <w:rFonts w:cs="Times New Roman"/>
          <w:szCs w:val="26"/>
        </w:rPr>
        <w:t xml:space="preserve">o accept the OCA’s recommended </w:t>
      </w:r>
      <w:r w:rsidR="00364288">
        <w:rPr>
          <w:rFonts w:cs="Times New Roman"/>
          <w:szCs w:val="26"/>
        </w:rPr>
        <w:t xml:space="preserve">alternative </w:t>
      </w:r>
      <w:r w:rsidR="00241EDA" w:rsidRPr="007F70DF">
        <w:rPr>
          <w:rFonts w:cs="Times New Roman"/>
          <w:szCs w:val="26"/>
        </w:rPr>
        <w:t xml:space="preserve">adjustment, </w:t>
      </w:r>
      <w:r w:rsidR="00364288">
        <w:rPr>
          <w:rFonts w:cs="Times New Roman"/>
          <w:szCs w:val="26"/>
        </w:rPr>
        <w:t>he</w:t>
      </w:r>
      <w:r w:rsidR="00241EDA" w:rsidRPr="007F70DF">
        <w:rPr>
          <w:rFonts w:cs="Times New Roman"/>
          <w:szCs w:val="26"/>
        </w:rPr>
        <w:t xml:space="preserve"> would have to ignore the testimony of Mr. Lewis on this point</w:t>
      </w:r>
      <w:r>
        <w:rPr>
          <w:rFonts w:cs="Times New Roman"/>
          <w:szCs w:val="26"/>
        </w:rPr>
        <w:t xml:space="preserve">.  The ALJ cited the following </w:t>
      </w:r>
      <w:r w:rsidR="00364288">
        <w:rPr>
          <w:rFonts w:cs="Times New Roman"/>
          <w:szCs w:val="26"/>
        </w:rPr>
        <w:t xml:space="preserve">testimony </w:t>
      </w:r>
      <w:r>
        <w:rPr>
          <w:rFonts w:cs="Times New Roman"/>
          <w:szCs w:val="26"/>
        </w:rPr>
        <w:t>of Mr. Lewis</w:t>
      </w:r>
      <w:r w:rsidR="00364288">
        <w:rPr>
          <w:rFonts w:cs="Times New Roman"/>
          <w:szCs w:val="26"/>
        </w:rPr>
        <w:t xml:space="preserve"> that</w:t>
      </w:r>
      <w:r>
        <w:rPr>
          <w:rFonts w:cs="Times New Roman"/>
          <w:szCs w:val="26"/>
        </w:rPr>
        <w:t xml:space="preserve"> </w:t>
      </w:r>
      <w:r w:rsidR="00364288">
        <w:rPr>
          <w:rFonts w:cs="Times New Roman"/>
          <w:szCs w:val="26"/>
        </w:rPr>
        <w:t xml:space="preserve">the Company </w:t>
      </w:r>
      <w:r>
        <w:rPr>
          <w:rFonts w:cs="Times New Roman"/>
          <w:szCs w:val="26"/>
        </w:rPr>
        <w:t xml:space="preserve">presented in </w:t>
      </w:r>
      <w:r w:rsidR="00364288">
        <w:rPr>
          <w:rFonts w:cs="Times New Roman"/>
          <w:szCs w:val="26"/>
        </w:rPr>
        <w:t>its</w:t>
      </w:r>
      <w:r>
        <w:rPr>
          <w:rFonts w:cs="Times New Roman"/>
          <w:szCs w:val="26"/>
        </w:rPr>
        <w:t xml:space="preserve"> Main Brief</w:t>
      </w:r>
      <w:r w:rsidR="00241EDA" w:rsidRPr="007F70DF">
        <w:rPr>
          <w:rFonts w:cs="Times New Roman"/>
          <w:szCs w:val="26"/>
        </w:rPr>
        <w:t>:</w:t>
      </w:r>
    </w:p>
    <w:p w:rsidR="00241EDA" w:rsidRPr="007F70DF" w:rsidRDefault="00241EDA" w:rsidP="00411DD8">
      <w:pPr>
        <w:spacing w:line="240" w:lineRule="auto"/>
        <w:contextualSpacing/>
        <w:rPr>
          <w:rFonts w:cs="Times New Roman"/>
          <w:szCs w:val="26"/>
        </w:rPr>
      </w:pPr>
    </w:p>
    <w:p w:rsidR="005437EF" w:rsidRDefault="00241EDA" w:rsidP="00B11F59">
      <w:pPr>
        <w:spacing w:line="240" w:lineRule="auto"/>
        <w:ind w:left="1440" w:right="1440" w:firstLine="0"/>
        <w:contextualSpacing/>
        <w:rPr>
          <w:rFonts w:cs="Times New Roman"/>
          <w:szCs w:val="26"/>
        </w:rPr>
      </w:pPr>
      <w:r w:rsidRPr="007F70DF">
        <w:rPr>
          <w:rFonts w:cs="Times New Roman"/>
          <w:szCs w:val="26"/>
        </w:rPr>
        <w:t xml:space="preserve">Mr. Lewis testified that the Marietta Division has its own vehicle, and, thus, most of the vehicle costs are associated with that vehicle.  (Tr. at 114)  He explained that many of the employees that do Marietta Division work do not use vehicles; for example, customer service personnel, the office manager, and the production superintendent.  Even meter readers mainly walk and only use the vehicle to get to the service area.  (Tr. at 114)  He further explained that the vehicle use associated with the Marietta Division is minimal even when you include the hours of those employees that do Marietta Division tasks and use vehicles and, if anything, it is less than 4 percent, which is the amount of time the Company allocated for the foreman and the meter readers and other employees who do Marietta tasks.  (Tr. at 114-115)  The Company’s vehicle costs will go up if they are used substantially for the Marietta Division, and those </w:t>
      </w:r>
      <w:r w:rsidRPr="007F70DF">
        <w:rPr>
          <w:rFonts w:cs="Times New Roman"/>
          <w:szCs w:val="26"/>
        </w:rPr>
        <w:lastRenderedPageBreak/>
        <w:t>additional costs will be allocated to the Marietta Division. (Tr. at 115)</w:t>
      </w:r>
      <w:r w:rsidR="00BA77A1">
        <w:rPr>
          <w:rFonts w:cs="Times New Roman"/>
          <w:szCs w:val="26"/>
        </w:rPr>
        <w:t>.</w:t>
      </w:r>
      <w:r w:rsidRPr="007F70DF">
        <w:rPr>
          <w:rFonts w:cs="Times New Roman"/>
          <w:szCs w:val="26"/>
        </w:rPr>
        <w:t xml:space="preserve">  </w:t>
      </w:r>
    </w:p>
    <w:p w:rsidR="005437EF" w:rsidRDefault="005437EF" w:rsidP="005437EF">
      <w:pPr>
        <w:spacing w:line="240" w:lineRule="auto"/>
        <w:ind w:left="1440" w:right="1440"/>
        <w:contextualSpacing/>
        <w:rPr>
          <w:rFonts w:cs="Times New Roman"/>
          <w:szCs w:val="26"/>
        </w:rPr>
      </w:pPr>
    </w:p>
    <w:p w:rsidR="00CA6A9D" w:rsidRDefault="00241EDA" w:rsidP="00B11F59">
      <w:pPr>
        <w:ind w:firstLine="0"/>
        <w:contextualSpacing/>
        <w:rPr>
          <w:rFonts w:cs="Times New Roman"/>
          <w:szCs w:val="26"/>
        </w:rPr>
      </w:pPr>
      <w:r w:rsidRPr="007F70DF">
        <w:rPr>
          <w:rFonts w:cs="Times New Roman"/>
          <w:szCs w:val="26"/>
        </w:rPr>
        <w:t>Columbia M</w:t>
      </w:r>
      <w:r w:rsidR="00337899">
        <w:rPr>
          <w:rFonts w:cs="Times New Roman"/>
          <w:szCs w:val="26"/>
        </w:rPr>
        <w:t>.</w:t>
      </w:r>
      <w:r w:rsidRPr="007F70DF">
        <w:rPr>
          <w:rFonts w:cs="Times New Roman"/>
          <w:szCs w:val="26"/>
        </w:rPr>
        <w:t>B</w:t>
      </w:r>
      <w:r w:rsidR="00337899">
        <w:rPr>
          <w:rFonts w:cs="Times New Roman"/>
          <w:szCs w:val="26"/>
        </w:rPr>
        <w:t>.</w:t>
      </w:r>
      <w:r w:rsidRPr="007F70DF">
        <w:rPr>
          <w:rFonts w:cs="Times New Roman"/>
          <w:szCs w:val="26"/>
        </w:rPr>
        <w:t xml:space="preserve"> at 29-30.</w:t>
      </w:r>
      <w:r w:rsidR="005437EF">
        <w:rPr>
          <w:rFonts w:cs="Times New Roman"/>
          <w:szCs w:val="26"/>
        </w:rPr>
        <w:t xml:space="preserve">  </w:t>
      </w:r>
      <w:r w:rsidR="00B11F59">
        <w:rPr>
          <w:rFonts w:cs="Times New Roman"/>
          <w:szCs w:val="26"/>
        </w:rPr>
        <w:t>Based o</w:t>
      </w:r>
      <w:r w:rsidR="00EE37C4">
        <w:rPr>
          <w:rFonts w:cs="Times New Roman"/>
          <w:szCs w:val="26"/>
        </w:rPr>
        <w:t>n</w:t>
      </w:r>
      <w:r w:rsidR="00B11F59">
        <w:rPr>
          <w:rFonts w:cs="Times New Roman"/>
          <w:szCs w:val="26"/>
        </w:rPr>
        <w:t xml:space="preserve"> Mr. Lewis’ testimony, the ALJ </w:t>
      </w:r>
      <w:r w:rsidR="005A07B1" w:rsidRPr="007F70DF">
        <w:rPr>
          <w:rFonts w:cs="Times New Roman"/>
          <w:szCs w:val="26"/>
        </w:rPr>
        <w:t>rejected</w:t>
      </w:r>
      <w:r w:rsidR="00B11F59">
        <w:rPr>
          <w:rFonts w:cs="Times New Roman"/>
          <w:szCs w:val="26"/>
        </w:rPr>
        <w:t xml:space="preserve"> the OCA’s proposed </w:t>
      </w:r>
      <w:r w:rsidR="00364288">
        <w:rPr>
          <w:rFonts w:cs="Times New Roman"/>
          <w:szCs w:val="26"/>
        </w:rPr>
        <w:t xml:space="preserve">alternative </w:t>
      </w:r>
      <w:r w:rsidR="00B11F59">
        <w:rPr>
          <w:rFonts w:cs="Times New Roman"/>
          <w:szCs w:val="26"/>
        </w:rPr>
        <w:t xml:space="preserve">adjustment.  R.D. at 33. </w:t>
      </w:r>
    </w:p>
    <w:p w:rsidR="00BF5FDD" w:rsidRDefault="00BF5FDD" w:rsidP="004272F2">
      <w:pPr>
        <w:contextualSpacing/>
        <w:rPr>
          <w:rFonts w:cs="Times New Roman"/>
          <w:szCs w:val="26"/>
        </w:rPr>
      </w:pPr>
    </w:p>
    <w:p w:rsidR="00BF5FDD" w:rsidRPr="003611FD" w:rsidRDefault="00BF5FDD" w:rsidP="00B11A65">
      <w:pPr>
        <w:spacing w:line="240" w:lineRule="auto"/>
        <w:contextualSpacing/>
        <w:rPr>
          <w:rFonts w:cs="Times New Roman"/>
          <w:b/>
          <w:szCs w:val="26"/>
        </w:rPr>
      </w:pPr>
      <w:r>
        <w:rPr>
          <w:rFonts w:cs="Times New Roman"/>
          <w:szCs w:val="26"/>
        </w:rPr>
        <w:tab/>
      </w:r>
      <w:r w:rsidRPr="003611FD">
        <w:rPr>
          <w:rFonts w:cs="Times New Roman"/>
          <w:b/>
          <w:szCs w:val="26"/>
        </w:rPr>
        <w:t>c.</w:t>
      </w:r>
      <w:r w:rsidRPr="003611FD">
        <w:rPr>
          <w:rFonts w:cs="Times New Roman"/>
          <w:b/>
          <w:szCs w:val="26"/>
        </w:rPr>
        <w:tab/>
        <w:t>Exceptions and Reply Exceptions</w:t>
      </w:r>
    </w:p>
    <w:p w:rsidR="00BF5FDD" w:rsidRPr="003611FD" w:rsidRDefault="00BF5FDD" w:rsidP="003611FD">
      <w:pPr>
        <w:contextualSpacing/>
        <w:rPr>
          <w:rFonts w:cs="Times New Roman"/>
          <w:b/>
          <w:szCs w:val="26"/>
        </w:rPr>
      </w:pPr>
    </w:p>
    <w:p w:rsidR="00B11A65" w:rsidRDefault="00B11A65" w:rsidP="00B11A65">
      <w:r>
        <w:t xml:space="preserve">In its Exceptions, the OCA avers that </w:t>
      </w:r>
      <w:r w:rsidRPr="00B11A65">
        <w:t xml:space="preserve">the ALJ did not address the fact that these statements are inconsistent with the statements made by the Company in its response to discovery.  </w:t>
      </w:r>
      <w:r>
        <w:t xml:space="preserve">The OCA submits that in the Company’s </w:t>
      </w:r>
      <w:r w:rsidRPr="00B11A65">
        <w:t xml:space="preserve">Main Brief, </w:t>
      </w:r>
      <w:r>
        <w:t>it</w:t>
      </w:r>
      <w:r w:rsidRPr="00B11A65">
        <w:t xml:space="preserve"> argue</w:t>
      </w:r>
      <w:r>
        <w:t>d</w:t>
      </w:r>
      <w:r w:rsidRPr="00B11A65">
        <w:t xml:space="preserve"> that none of the vehicle insurance expense should be allocated to the Marietta Division because employees that do work for the Marietta Division do not use Columbia vehicles.</w:t>
      </w:r>
      <w:r>
        <w:t xml:space="preserve">  The OCA states that d</w:t>
      </w:r>
      <w:r w:rsidRPr="00B11A65">
        <w:t>espite the Company’s argument in its Main Brief</w:t>
      </w:r>
      <w:r w:rsidR="00364288">
        <w:t>,</w:t>
      </w:r>
      <w:r w:rsidRPr="00B11A65">
        <w:t xml:space="preserve"> </w:t>
      </w:r>
      <w:r w:rsidR="00364288">
        <w:t xml:space="preserve">the Company’s </w:t>
      </w:r>
      <w:r w:rsidRPr="00B11A65">
        <w:t xml:space="preserve">position </w:t>
      </w:r>
      <w:r w:rsidR="00364288">
        <w:t xml:space="preserve">here </w:t>
      </w:r>
      <w:r w:rsidRPr="00B11A65">
        <w:t xml:space="preserve">is inconsistent with earlier statements made by the Company.  </w:t>
      </w:r>
      <w:r>
        <w:t xml:space="preserve">The </w:t>
      </w:r>
      <w:r w:rsidR="00364288">
        <w:t>OCA notes</w:t>
      </w:r>
      <w:r>
        <w:t xml:space="preserve"> that</w:t>
      </w:r>
      <w:r w:rsidR="00364288">
        <w:t>,</w:t>
      </w:r>
      <w:r>
        <w:t xml:space="preserve"> i</w:t>
      </w:r>
      <w:r w:rsidRPr="00B11A65">
        <w:t>n response to</w:t>
      </w:r>
      <w:r>
        <w:t xml:space="preserve"> its interrogatory </w:t>
      </w:r>
      <w:r w:rsidRPr="00B11A65">
        <w:t xml:space="preserve">OCA-III-48, the Company indicated that “other vehicles on the policy are used by workers when doing work for the Marietta Division,” and when it had more data, “[a] portion of the shared vehicle’s commercial auto premium will be expensed to the Marietta Division using hours worked by staff in that division as the basis for sharing.”  OCA St. 1 at 37; OCA M.B. at 47.  </w:t>
      </w:r>
      <w:r>
        <w:t>The OCA argues that it</w:t>
      </w:r>
      <w:r w:rsidRPr="00B11A65">
        <w:t xml:space="preserve"> is inherently inconsistent to indicate that Columbia vehicles were used to perform work for Marietta and that part of the vehicle insurance expense would be allocated to the Marietta Division when more data became available and then not allocate any vehicle insurance expense to Marietta by claiming that the work done for the Marietta Division is performed by workers that do not use a vehicle.  </w:t>
      </w:r>
      <w:r>
        <w:t xml:space="preserve">The OCA concludes that, </w:t>
      </w:r>
      <w:r w:rsidRPr="00B11A65">
        <w:t xml:space="preserve">based on the Company’s own statements in response to OCA-III-48, it is appropriate to allocate vehicle insurance expense to the Marietta Division.  OCA </w:t>
      </w:r>
      <w:r>
        <w:t>Exc. at 31.</w:t>
      </w:r>
      <w:r w:rsidRPr="00B11A65">
        <w:t xml:space="preserve">  </w:t>
      </w:r>
    </w:p>
    <w:p w:rsidR="00F82A55" w:rsidRPr="00B11A65" w:rsidRDefault="00F82A55" w:rsidP="00B11A65"/>
    <w:p w:rsidR="00B11A65" w:rsidRDefault="00B11A65" w:rsidP="00B11A65">
      <w:r>
        <w:t xml:space="preserve">In support of its argument that the Company’s claimed increase in vehicle insurance should be rejected, the OCA submits that the </w:t>
      </w:r>
      <w:r w:rsidRPr="00B11A65">
        <w:t>purpose of the test year concept</w:t>
      </w:r>
      <w:r>
        <w:t xml:space="preserve"> i</w:t>
      </w:r>
      <w:r w:rsidRPr="00B11A65">
        <w:t xml:space="preserve">s to capture all revenues and all expenses and match them at a point in time.  </w:t>
      </w:r>
      <w:r>
        <w:t xml:space="preserve">The OCA avers </w:t>
      </w:r>
      <w:r>
        <w:lastRenderedPageBreak/>
        <w:t>that w</w:t>
      </w:r>
      <w:r w:rsidRPr="00B11A65">
        <w:t>hile some expenses may go up and others may go down, increases or decreases are not added at the last minute.  Based on the foregoing</w:t>
      </w:r>
      <w:r>
        <w:t xml:space="preserve"> arguments</w:t>
      </w:r>
      <w:r w:rsidRPr="00B11A65">
        <w:t xml:space="preserve">, </w:t>
      </w:r>
      <w:r>
        <w:t xml:space="preserve">the OCA </w:t>
      </w:r>
      <w:r w:rsidR="0063593C">
        <w:t>renews its recommendation that</w:t>
      </w:r>
      <w:r>
        <w:t xml:space="preserve"> </w:t>
      </w:r>
      <w:r w:rsidRPr="00B11A65">
        <w:t xml:space="preserve">8.49%, or $586, of the Company’s vehicle insurance expense should be allocated to the Marietta Division, and the Company’s request to increase the vehicle insurance expense should be denied.  </w:t>
      </w:r>
      <w:r w:rsidR="0063593C">
        <w:t xml:space="preserve">OCA Exc. at 31-32. </w:t>
      </w:r>
    </w:p>
    <w:p w:rsidR="0063593C" w:rsidRPr="00B11A65" w:rsidRDefault="0063593C" w:rsidP="00B11A65"/>
    <w:p w:rsidR="00BF5FDD" w:rsidRDefault="0063593C" w:rsidP="004272F2">
      <w:pPr>
        <w:contextualSpacing/>
        <w:rPr>
          <w:rFonts w:cs="Times New Roman"/>
          <w:szCs w:val="26"/>
        </w:rPr>
      </w:pPr>
      <w:r>
        <w:rPr>
          <w:rFonts w:cs="Times New Roman"/>
          <w:szCs w:val="26"/>
        </w:rPr>
        <w:t xml:space="preserve">In response to the OCA’s proposed adjustment to reject the increase in the Company’s vehicle insurance premium, </w:t>
      </w:r>
      <w:r w:rsidRPr="0063593C">
        <w:rPr>
          <w:rFonts w:cs="Times New Roman"/>
          <w:szCs w:val="26"/>
        </w:rPr>
        <w:t xml:space="preserve">Columbia </w:t>
      </w:r>
      <w:r>
        <w:rPr>
          <w:rFonts w:cs="Times New Roman"/>
          <w:szCs w:val="26"/>
        </w:rPr>
        <w:t xml:space="preserve">avers that, like the increase in the disability and life insurance, </w:t>
      </w:r>
      <w:r w:rsidRPr="0063593C">
        <w:rPr>
          <w:rFonts w:cs="Times New Roman"/>
          <w:i/>
          <w:szCs w:val="26"/>
        </w:rPr>
        <w:t>supra</w:t>
      </w:r>
      <w:r>
        <w:rPr>
          <w:rFonts w:cs="Times New Roman"/>
          <w:szCs w:val="26"/>
        </w:rPr>
        <w:t xml:space="preserve">, the cost increase is known and measurable and the rate will be in effect at the time the insurance premium increase becomes effective.  CWC R.Exc. at 22. </w:t>
      </w:r>
    </w:p>
    <w:p w:rsidR="0063593C" w:rsidRPr="0063593C" w:rsidRDefault="0063593C" w:rsidP="004272F2">
      <w:pPr>
        <w:contextualSpacing/>
        <w:rPr>
          <w:rFonts w:cs="Times New Roman"/>
          <w:szCs w:val="26"/>
        </w:rPr>
      </w:pPr>
    </w:p>
    <w:p w:rsidR="00BF5FDD" w:rsidRDefault="00BF5FDD" w:rsidP="00F82A55">
      <w:pPr>
        <w:keepNext/>
        <w:spacing w:line="240" w:lineRule="auto"/>
        <w:contextualSpacing/>
        <w:rPr>
          <w:rFonts w:cs="Times New Roman"/>
          <w:b/>
          <w:szCs w:val="26"/>
        </w:rPr>
      </w:pPr>
      <w:r>
        <w:rPr>
          <w:rFonts w:cs="Times New Roman"/>
          <w:b/>
          <w:szCs w:val="26"/>
        </w:rPr>
        <w:tab/>
        <w:t>d.</w:t>
      </w:r>
      <w:r>
        <w:rPr>
          <w:rFonts w:cs="Times New Roman"/>
          <w:b/>
          <w:szCs w:val="26"/>
        </w:rPr>
        <w:tab/>
        <w:t>Disposition</w:t>
      </w:r>
    </w:p>
    <w:p w:rsidR="00F82A55" w:rsidRDefault="00F82A55" w:rsidP="00F82A55">
      <w:pPr>
        <w:keepNext/>
        <w:contextualSpacing/>
        <w:rPr>
          <w:rFonts w:cs="Times New Roman"/>
          <w:b/>
          <w:szCs w:val="26"/>
        </w:rPr>
      </w:pPr>
    </w:p>
    <w:p w:rsidR="00F82A55" w:rsidRPr="00337899" w:rsidRDefault="00F82A55" w:rsidP="00337899">
      <w:pPr>
        <w:keepNext/>
        <w:contextualSpacing/>
        <w:rPr>
          <w:rFonts w:eastAsia="Calibri" w:cs="Times New Roman"/>
          <w:szCs w:val="26"/>
        </w:rPr>
      </w:pPr>
      <w:r>
        <w:rPr>
          <w:rFonts w:eastAsia="Calibri" w:cs="Times New Roman"/>
          <w:szCs w:val="26"/>
        </w:rPr>
        <w:t xml:space="preserve">Consistent with our disposition </w:t>
      </w:r>
      <w:r w:rsidR="001E12BB">
        <w:rPr>
          <w:rFonts w:eastAsia="Calibri" w:cs="Times New Roman"/>
          <w:szCs w:val="26"/>
        </w:rPr>
        <w:t xml:space="preserve">concerning </w:t>
      </w:r>
      <w:r>
        <w:rPr>
          <w:rFonts w:eastAsia="Calibri" w:cs="Times New Roman"/>
          <w:szCs w:val="26"/>
        </w:rPr>
        <w:t xml:space="preserve">the increase in life and disability insurance premiums, </w:t>
      </w:r>
      <w:r w:rsidRPr="00F82A55">
        <w:rPr>
          <w:rFonts w:eastAsia="Calibri" w:cs="Times New Roman"/>
          <w:i/>
          <w:szCs w:val="26"/>
        </w:rPr>
        <w:t>supra</w:t>
      </w:r>
      <w:r>
        <w:rPr>
          <w:rFonts w:eastAsia="Calibri" w:cs="Times New Roman"/>
          <w:szCs w:val="26"/>
        </w:rPr>
        <w:t>, w</w:t>
      </w:r>
      <w:r w:rsidRPr="003F62D0">
        <w:rPr>
          <w:rFonts w:eastAsia="Calibri" w:cs="Times New Roman"/>
          <w:szCs w:val="26"/>
        </w:rPr>
        <w:t xml:space="preserve">e will accept the Company’s </w:t>
      </w:r>
      <w:r>
        <w:rPr>
          <w:rFonts w:eastAsia="Calibri" w:cs="Times New Roman"/>
          <w:szCs w:val="26"/>
        </w:rPr>
        <w:t xml:space="preserve">argument that the increase in vehicle insurance is known and measurable and should be allowed. </w:t>
      </w:r>
      <w:r w:rsidR="002614AE">
        <w:rPr>
          <w:rFonts w:eastAsia="Calibri" w:cs="Times New Roman"/>
          <w:szCs w:val="26"/>
        </w:rPr>
        <w:t xml:space="preserve"> </w:t>
      </w:r>
      <w:r>
        <w:rPr>
          <w:rFonts w:eastAsia="Calibri" w:cs="Times New Roman"/>
          <w:szCs w:val="26"/>
        </w:rPr>
        <w:t>Also, consistent with our disposition of the OCA’s other proposed reallocations of personnel costs to the Marietta Division, we find that it is premature to make any adjustments to the Company’s proposed allocation of vehicle insurance.  Accordingly, we shall reject both of the OCA’s proposed adjustments to the C</w:t>
      </w:r>
      <w:r w:rsidRPr="00337899">
        <w:rPr>
          <w:rFonts w:eastAsia="Calibri" w:cs="Times New Roman"/>
          <w:szCs w:val="26"/>
        </w:rPr>
        <w:t xml:space="preserve">ompany’s claim for vehicle insurance.    </w:t>
      </w:r>
    </w:p>
    <w:p w:rsidR="00A93D0C" w:rsidRPr="00337899" w:rsidRDefault="00A93D0C" w:rsidP="00337899">
      <w:pPr>
        <w:contextualSpacing/>
        <w:jc w:val="both"/>
        <w:rPr>
          <w:rFonts w:cs="Times New Roman"/>
          <w:szCs w:val="26"/>
        </w:rPr>
      </w:pPr>
    </w:p>
    <w:p w:rsidR="00337899" w:rsidRPr="00337899" w:rsidRDefault="005437EF" w:rsidP="00337899">
      <w:pPr>
        <w:pStyle w:val="Heading3"/>
        <w:keepLines w:val="0"/>
        <w:spacing w:line="360" w:lineRule="auto"/>
        <w:rPr>
          <w:rFonts w:ascii="Times New Roman" w:hAnsi="Times New Roman" w:cs="Times New Roman"/>
        </w:rPr>
      </w:pPr>
      <w:bookmarkStart w:id="46" w:name="_Toc367958629"/>
      <w:bookmarkStart w:id="47" w:name="_Toc378080173"/>
      <w:r w:rsidRPr="00337899">
        <w:rPr>
          <w:rFonts w:ascii="Times New Roman" w:hAnsi="Times New Roman" w:cs="Times New Roman"/>
        </w:rPr>
        <w:t>11</w:t>
      </w:r>
      <w:r w:rsidR="00A93D0C" w:rsidRPr="00337899">
        <w:rPr>
          <w:rFonts w:ascii="Times New Roman" w:hAnsi="Times New Roman" w:cs="Times New Roman"/>
        </w:rPr>
        <w:t>.</w:t>
      </w:r>
      <w:r w:rsidR="00A93D0C" w:rsidRPr="00337899">
        <w:rPr>
          <w:rFonts w:ascii="Times New Roman" w:hAnsi="Times New Roman" w:cs="Times New Roman"/>
        </w:rPr>
        <w:tab/>
      </w:r>
      <w:r w:rsidR="00CA6A9D" w:rsidRPr="00337899">
        <w:rPr>
          <w:rFonts w:ascii="Times New Roman" w:hAnsi="Times New Roman" w:cs="Times New Roman"/>
        </w:rPr>
        <w:t>Worker’s Compensation Insurance</w:t>
      </w:r>
      <w:bookmarkEnd w:id="46"/>
      <w:bookmarkEnd w:id="47"/>
    </w:p>
    <w:p w:rsidR="005437EF" w:rsidRPr="00337899" w:rsidRDefault="005437EF" w:rsidP="00337899">
      <w:pPr>
        <w:pStyle w:val="Heading3"/>
        <w:keepLines w:val="0"/>
        <w:spacing w:line="360" w:lineRule="auto"/>
        <w:rPr>
          <w:rFonts w:ascii="Times New Roman" w:hAnsi="Times New Roman" w:cs="Times New Roman"/>
        </w:rPr>
      </w:pPr>
    </w:p>
    <w:p w:rsidR="00F82A55" w:rsidRPr="00337899" w:rsidRDefault="00F82A55" w:rsidP="00337899">
      <w:pPr>
        <w:keepNext/>
        <w:ind w:left="720"/>
        <w:rPr>
          <w:rFonts w:cs="Times New Roman"/>
          <w:b/>
        </w:rPr>
      </w:pPr>
      <w:r w:rsidRPr="00337899">
        <w:rPr>
          <w:rFonts w:cs="Times New Roman"/>
          <w:b/>
        </w:rPr>
        <w:t>a.</w:t>
      </w:r>
      <w:r w:rsidRPr="00337899">
        <w:rPr>
          <w:rFonts w:cs="Times New Roman"/>
          <w:b/>
        </w:rPr>
        <w:tab/>
        <w:t>Positions of the Parties</w:t>
      </w:r>
      <w:r w:rsidRPr="00337899">
        <w:rPr>
          <w:rFonts w:cs="Times New Roman"/>
          <w:b/>
        </w:rPr>
        <w:fldChar w:fldCharType="begin"/>
      </w:r>
      <w:r w:rsidRPr="00337899">
        <w:rPr>
          <w:rFonts w:cs="Times New Roman"/>
          <w:b/>
        </w:rPr>
        <w:instrText xml:space="preserve"> TC "</w:instrText>
      </w:r>
      <w:bookmarkStart w:id="48" w:name="_Toc372704698"/>
      <w:r w:rsidRPr="00337899">
        <w:rPr>
          <w:rFonts w:cs="Times New Roman"/>
          <w:b/>
        </w:rPr>
        <w:instrText>13.</w:instrText>
      </w:r>
      <w:r w:rsidRPr="00337899">
        <w:rPr>
          <w:rFonts w:cs="Times New Roman"/>
          <w:b/>
        </w:rPr>
        <w:tab/>
        <w:instrText>Worker’s Compensation Insurance</w:instrText>
      </w:r>
      <w:bookmarkEnd w:id="48"/>
      <w:r w:rsidRPr="00337899">
        <w:rPr>
          <w:rFonts w:cs="Times New Roman"/>
          <w:b/>
        </w:rPr>
        <w:instrText xml:space="preserve">" \f C \l "3" </w:instrText>
      </w:r>
      <w:r w:rsidRPr="00337899">
        <w:rPr>
          <w:rFonts w:cs="Times New Roman"/>
          <w:b/>
        </w:rPr>
        <w:fldChar w:fldCharType="end"/>
      </w:r>
    </w:p>
    <w:p w:rsidR="009D3F59" w:rsidRPr="007F70DF" w:rsidRDefault="009D3F59" w:rsidP="00337899">
      <w:pPr>
        <w:keepNext/>
        <w:contextualSpacing/>
        <w:rPr>
          <w:rFonts w:cs="Times New Roman"/>
          <w:szCs w:val="26"/>
        </w:rPr>
      </w:pPr>
    </w:p>
    <w:p w:rsidR="00CA6A9D" w:rsidRPr="007F70DF" w:rsidRDefault="00B50B51" w:rsidP="00337899">
      <w:pPr>
        <w:keepNext/>
        <w:contextualSpacing/>
        <w:rPr>
          <w:rFonts w:cs="Times New Roman"/>
          <w:color w:val="000000"/>
          <w:szCs w:val="26"/>
        </w:rPr>
      </w:pPr>
      <w:r>
        <w:rPr>
          <w:rFonts w:cs="Times New Roman"/>
          <w:szCs w:val="26"/>
        </w:rPr>
        <w:t xml:space="preserve">The OCA recommended </w:t>
      </w:r>
      <w:r w:rsidR="00F95C8F" w:rsidRPr="007F70DF">
        <w:rPr>
          <w:rFonts w:cs="Times New Roman"/>
          <w:szCs w:val="26"/>
        </w:rPr>
        <w:t>that Columbia’s</w:t>
      </w:r>
      <w:r w:rsidR="00CA6A9D" w:rsidRPr="007F70DF">
        <w:rPr>
          <w:rFonts w:cs="Times New Roman"/>
          <w:szCs w:val="26"/>
        </w:rPr>
        <w:t xml:space="preserve"> claimed expense of $24,500 for worker’s compensation insurance should be adjusted to reflect an allocation of $2,938</w:t>
      </w:r>
      <w:r>
        <w:rPr>
          <w:rFonts w:cs="Times New Roman"/>
          <w:szCs w:val="26"/>
        </w:rPr>
        <w:t xml:space="preserve"> or 11.99%</w:t>
      </w:r>
      <w:r w:rsidR="00CA6A9D" w:rsidRPr="007F70DF">
        <w:rPr>
          <w:rFonts w:cs="Times New Roman"/>
          <w:szCs w:val="26"/>
        </w:rPr>
        <w:t xml:space="preserve"> to the Marietta Division. </w:t>
      </w:r>
      <w:r w:rsidR="004E1B09">
        <w:rPr>
          <w:rFonts w:cs="Times New Roman"/>
          <w:szCs w:val="26"/>
        </w:rPr>
        <w:t xml:space="preserve"> The Company has allocated 3.8% of its worker’s compensation premium expense to the Marietta Division based on actual hours worked on </w:t>
      </w:r>
      <w:r w:rsidR="004E1B09">
        <w:rPr>
          <w:rFonts w:cs="Times New Roman"/>
          <w:szCs w:val="26"/>
        </w:rPr>
        <w:lastRenderedPageBreak/>
        <w:t xml:space="preserve">Marietta Division tasks.  CWC M.B. at 31.  </w:t>
      </w:r>
      <w:r>
        <w:rPr>
          <w:rFonts w:cs="Times New Roman"/>
          <w:szCs w:val="26"/>
        </w:rPr>
        <w:t>In addition to allocating a portion of this expense for Columbia employees that perform tasks for the Marietta Division, the OCA noted that the Marietta Divis</w:t>
      </w:r>
      <w:r w:rsidR="004E1B09">
        <w:rPr>
          <w:rFonts w:cs="Times New Roman"/>
          <w:szCs w:val="26"/>
        </w:rPr>
        <w:t>ion does not carry its own worker</w:t>
      </w:r>
      <w:r>
        <w:rPr>
          <w:rFonts w:cs="Times New Roman"/>
          <w:szCs w:val="26"/>
        </w:rPr>
        <w:t>’s compensation insurance and the proposed charge to Columbia’s ratepayers includes the costs of insurance for employees that only work for the Mariett</w:t>
      </w:r>
      <w:r w:rsidR="0082329F">
        <w:rPr>
          <w:rFonts w:cs="Times New Roman"/>
          <w:szCs w:val="26"/>
        </w:rPr>
        <w:t>a</w:t>
      </w:r>
      <w:r>
        <w:rPr>
          <w:rFonts w:cs="Times New Roman"/>
          <w:szCs w:val="26"/>
        </w:rPr>
        <w:t xml:space="preserve"> Division.  OCA M.B. at 48-49. </w:t>
      </w:r>
      <w:r w:rsidR="00CA6A9D" w:rsidRPr="007F70DF">
        <w:rPr>
          <w:rFonts w:cs="Times New Roman"/>
          <w:color w:val="000000"/>
          <w:szCs w:val="26"/>
        </w:rPr>
        <w:t xml:space="preserve">  OCA </w:t>
      </w:r>
      <w:r w:rsidR="00241EDA" w:rsidRPr="007F70DF">
        <w:rPr>
          <w:rFonts w:cs="Times New Roman"/>
          <w:color w:val="000000"/>
          <w:szCs w:val="26"/>
        </w:rPr>
        <w:t>w</w:t>
      </w:r>
      <w:r w:rsidR="00CA6A9D" w:rsidRPr="007F70DF">
        <w:rPr>
          <w:rFonts w:cs="Times New Roman"/>
          <w:color w:val="000000"/>
          <w:szCs w:val="26"/>
        </w:rPr>
        <w:t xml:space="preserve">itness Everette explained the </w:t>
      </w:r>
      <w:r>
        <w:rPr>
          <w:rFonts w:cs="Times New Roman"/>
          <w:color w:val="000000"/>
          <w:szCs w:val="26"/>
        </w:rPr>
        <w:t xml:space="preserve">proposed </w:t>
      </w:r>
      <w:r w:rsidR="00CA6A9D" w:rsidRPr="007F70DF">
        <w:rPr>
          <w:rFonts w:cs="Times New Roman"/>
          <w:color w:val="000000"/>
          <w:szCs w:val="26"/>
        </w:rPr>
        <w:t>11.99% allocation as follows:</w:t>
      </w:r>
    </w:p>
    <w:p w:rsidR="006B215C" w:rsidRPr="007F70DF" w:rsidRDefault="006B215C" w:rsidP="004E1B09">
      <w:pPr>
        <w:spacing w:line="240" w:lineRule="auto"/>
        <w:contextualSpacing/>
        <w:jc w:val="both"/>
        <w:rPr>
          <w:rFonts w:cs="Times New Roman"/>
          <w:color w:val="000000"/>
          <w:szCs w:val="26"/>
        </w:rPr>
      </w:pPr>
    </w:p>
    <w:p w:rsidR="005437EF" w:rsidRDefault="00CA6A9D" w:rsidP="004E1B09">
      <w:pPr>
        <w:keepNext/>
        <w:adjustRightInd w:val="0"/>
        <w:spacing w:line="240" w:lineRule="auto"/>
        <w:ind w:left="1440" w:right="1440" w:firstLine="0"/>
        <w:contextualSpacing/>
        <w:rPr>
          <w:rFonts w:cs="Times New Roman"/>
          <w:color w:val="000000"/>
          <w:szCs w:val="26"/>
        </w:rPr>
      </w:pPr>
      <w:r w:rsidRPr="007F70DF">
        <w:rPr>
          <w:rFonts w:cs="Times New Roman"/>
          <w:color w:val="000000"/>
          <w:szCs w:val="26"/>
        </w:rPr>
        <w:t xml:space="preserve">The Marietta Division’s three employees are included in CWC’s claim for workers’ compensation insurance. </w:t>
      </w:r>
      <w:r w:rsidR="002513A4" w:rsidRPr="007F70DF">
        <w:rPr>
          <w:rFonts w:cs="Times New Roman"/>
          <w:color w:val="000000"/>
          <w:szCs w:val="26"/>
        </w:rPr>
        <w:t xml:space="preserve"> </w:t>
      </w:r>
      <w:r w:rsidRPr="007F70DF">
        <w:rPr>
          <w:rFonts w:cs="Times New Roman"/>
          <w:color w:val="000000"/>
          <w:szCs w:val="26"/>
        </w:rPr>
        <w:t xml:space="preserve">This means that I must use total salaries in developing the allocation. </w:t>
      </w:r>
      <w:r w:rsidR="00E36B34" w:rsidRPr="007F70DF">
        <w:rPr>
          <w:rFonts w:cs="Times New Roman"/>
          <w:color w:val="000000"/>
          <w:szCs w:val="26"/>
        </w:rPr>
        <w:t xml:space="preserve"> </w:t>
      </w:r>
      <w:r w:rsidRPr="007F70DF">
        <w:rPr>
          <w:rFonts w:cs="Times New Roman"/>
          <w:color w:val="000000"/>
          <w:szCs w:val="26"/>
        </w:rPr>
        <w:t xml:space="preserve">The total salaries allocated to the Marietta Division, including the three employees who are allocated 100%, represent 11.99% of total salaries (shown on line 29 of Schedule 2S). </w:t>
      </w:r>
      <w:r w:rsidR="00CC0BB3" w:rsidRPr="007F70DF">
        <w:rPr>
          <w:rFonts w:cs="Times New Roman"/>
          <w:color w:val="000000"/>
          <w:szCs w:val="26"/>
        </w:rPr>
        <w:t xml:space="preserve"> </w:t>
      </w:r>
      <w:r w:rsidRPr="007F70DF">
        <w:rPr>
          <w:rFonts w:cs="Times New Roman"/>
          <w:color w:val="000000"/>
          <w:szCs w:val="26"/>
        </w:rPr>
        <w:t xml:space="preserve">Therefore, 11.99% of workers’ compensation insurance should be allocated to the Marietta Division. </w:t>
      </w:r>
      <w:r w:rsidR="00CD12E3" w:rsidRPr="007F70DF">
        <w:rPr>
          <w:rFonts w:cs="Times New Roman"/>
          <w:color w:val="000000"/>
          <w:szCs w:val="26"/>
        </w:rPr>
        <w:t xml:space="preserve"> </w:t>
      </w:r>
      <w:r w:rsidRPr="007F70DF">
        <w:rPr>
          <w:rFonts w:cs="Times New Roman"/>
          <w:color w:val="000000"/>
          <w:szCs w:val="26"/>
        </w:rPr>
        <w:t>This is based on my acceptance of Mr. Lewis’ statement that “The amount to be allocated should be based upon the actual amount of time allocated to the Marietta Division” (CWC Statement No. 1R, Page 13, Lines 16-17).</w:t>
      </w:r>
      <w:r w:rsidR="00F95C8F" w:rsidRPr="007F70DF">
        <w:rPr>
          <w:rFonts w:cs="Times New Roman"/>
          <w:color w:val="000000"/>
          <w:szCs w:val="26"/>
        </w:rPr>
        <w:t xml:space="preserve">  </w:t>
      </w:r>
    </w:p>
    <w:p w:rsidR="005437EF" w:rsidRDefault="005437EF" w:rsidP="004E1B09">
      <w:pPr>
        <w:keepNext/>
        <w:adjustRightInd w:val="0"/>
        <w:spacing w:line="240" w:lineRule="auto"/>
        <w:contextualSpacing/>
        <w:rPr>
          <w:rFonts w:cs="Times New Roman"/>
          <w:color w:val="000000"/>
          <w:szCs w:val="26"/>
        </w:rPr>
      </w:pPr>
    </w:p>
    <w:p w:rsidR="005B7CD7" w:rsidRDefault="00763911" w:rsidP="004E1B09">
      <w:pPr>
        <w:keepNext/>
        <w:adjustRightInd w:val="0"/>
        <w:ind w:firstLine="0"/>
        <w:contextualSpacing/>
        <w:rPr>
          <w:rFonts w:cs="Times New Roman"/>
          <w:color w:val="000000"/>
          <w:szCs w:val="26"/>
        </w:rPr>
      </w:pPr>
      <w:r w:rsidRPr="007F70DF">
        <w:rPr>
          <w:rFonts w:cs="Times New Roman"/>
          <w:color w:val="000000"/>
          <w:szCs w:val="26"/>
        </w:rPr>
        <w:t>OCA St. 1S at </w:t>
      </w:r>
      <w:r w:rsidR="00CA6A9D" w:rsidRPr="007F70DF">
        <w:rPr>
          <w:rFonts w:cs="Times New Roman"/>
          <w:color w:val="000000"/>
          <w:szCs w:val="26"/>
        </w:rPr>
        <w:t>25.</w:t>
      </w:r>
      <w:r w:rsidR="005437EF">
        <w:rPr>
          <w:rFonts w:cs="Times New Roman"/>
          <w:color w:val="000000"/>
          <w:szCs w:val="26"/>
        </w:rPr>
        <w:t xml:space="preserve">  </w:t>
      </w:r>
    </w:p>
    <w:p w:rsidR="00B50B51" w:rsidRDefault="00B50B51" w:rsidP="00B50B51">
      <w:pPr>
        <w:adjustRightInd w:val="0"/>
        <w:ind w:firstLine="0"/>
        <w:contextualSpacing/>
        <w:rPr>
          <w:rFonts w:cs="Times New Roman"/>
          <w:color w:val="000000"/>
          <w:szCs w:val="26"/>
        </w:rPr>
      </w:pPr>
    </w:p>
    <w:p w:rsidR="0082329F" w:rsidRDefault="00337899" w:rsidP="0082329F">
      <w:r>
        <w:t xml:space="preserve">The Company </w:t>
      </w:r>
      <w:r w:rsidR="004E1B09">
        <w:t>also increased its claim by $2,752 based on information it received from its carrier during this case regarding an increase in its workman’s compensation premium.  The OCA recommended complete rejection of this increase because it falls outside of the future test year.</w:t>
      </w:r>
      <w:r w:rsidR="00097B8E">
        <w:rPr>
          <w:rStyle w:val="FootnoteReference"/>
        </w:rPr>
        <w:footnoteReference w:id="35"/>
      </w:r>
      <w:r w:rsidR="00097B8E">
        <w:t xml:space="preserve"> </w:t>
      </w:r>
      <w:r w:rsidR="004E1B09">
        <w:t xml:space="preserve">  OCA M.B. 42. </w:t>
      </w:r>
    </w:p>
    <w:p w:rsidR="005B7CD7" w:rsidRDefault="005B7CD7" w:rsidP="005437EF">
      <w:pPr>
        <w:adjustRightInd w:val="0"/>
        <w:contextualSpacing/>
        <w:rPr>
          <w:rFonts w:cs="Times New Roman"/>
          <w:color w:val="000000"/>
          <w:szCs w:val="26"/>
        </w:rPr>
      </w:pPr>
    </w:p>
    <w:p w:rsidR="005B7CD7" w:rsidRDefault="005B7CD7" w:rsidP="00ED6BBC">
      <w:pPr>
        <w:keepNext/>
        <w:adjustRightInd w:val="0"/>
        <w:spacing w:line="240" w:lineRule="auto"/>
        <w:contextualSpacing/>
        <w:rPr>
          <w:rFonts w:cs="Times New Roman"/>
          <w:b/>
          <w:color w:val="000000"/>
          <w:szCs w:val="26"/>
        </w:rPr>
      </w:pPr>
      <w:r>
        <w:rPr>
          <w:rFonts w:cs="Times New Roman"/>
          <w:color w:val="000000"/>
          <w:szCs w:val="26"/>
        </w:rPr>
        <w:tab/>
      </w:r>
      <w:r>
        <w:rPr>
          <w:rFonts w:cs="Times New Roman"/>
          <w:b/>
          <w:color w:val="000000"/>
          <w:szCs w:val="26"/>
        </w:rPr>
        <w:t>b.</w:t>
      </w:r>
      <w:r>
        <w:rPr>
          <w:rFonts w:cs="Times New Roman"/>
          <w:b/>
          <w:color w:val="000000"/>
          <w:szCs w:val="26"/>
        </w:rPr>
        <w:tab/>
        <w:t>ALJ’s Recommendation</w:t>
      </w:r>
    </w:p>
    <w:p w:rsidR="005B7CD7" w:rsidRPr="005B7CD7" w:rsidRDefault="005B7CD7" w:rsidP="00ED6BBC">
      <w:pPr>
        <w:keepNext/>
        <w:adjustRightInd w:val="0"/>
        <w:contextualSpacing/>
        <w:rPr>
          <w:rFonts w:cs="Times New Roman"/>
          <w:b/>
          <w:color w:val="000000"/>
          <w:szCs w:val="26"/>
        </w:rPr>
      </w:pPr>
    </w:p>
    <w:p w:rsidR="006B215C" w:rsidRDefault="005B7CD7" w:rsidP="00ED6BBC">
      <w:pPr>
        <w:keepNext/>
        <w:adjustRightInd w:val="0"/>
        <w:contextualSpacing/>
        <w:rPr>
          <w:rFonts w:cs="Times New Roman"/>
          <w:color w:val="000000"/>
          <w:szCs w:val="26"/>
        </w:rPr>
      </w:pPr>
      <w:r>
        <w:rPr>
          <w:rFonts w:cs="Times New Roman"/>
          <w:color w:val="000000"/>
          <w:szCs w:val="26"/>
        </w:rPr>
        <w:t>T</w:t>
      </w:r>
      <w:r w:rsidR="00053D6C" w:rsidRPr="007F70DF">
        <w:rPr>
          <w:rFonts w:cs="Times New Roman"/>
          <w:color w:val="000000"/>
          <w:szCs w:val="26"/>
        </w:rPr>
        <w:t xml:space="preserve">he </w:t>
      </w:r>
      <w:r w:rsidR="00097B8E">
        <w:rPr>
          <w:rFonts w:cs="Times New Roman"/>
          <w:color w:val="000000"/>
          <w:szCs w:val="26"/>
        </w:rPr>
        <w:t xml:space="preserve">ALJ acknowledged that the </w:t>
      </w:r>
      <w:r w:rsidR="00053D6C" w:rsidRPr="007F70DF">
        <w:rPr>
          <w:rFonts w:cs="Times New Roman"/>
          <w:color w:val="000000"/>
          <w:szCs w:val="26"/>
        </w:rPr>
        <w:t>Marietta Division does not carry its own workman’s compensation insu</w:t>
      </w:r>
      <w:r w:rsidR="00C67CA1" w:rsidRPr="007F70DF">
        <w:rPr>
          <w:rFonts w:cs="Times New Roman"/>
          <w:color w:val="000000"/>
          <w:szCs w:val="26"/>
        </w:rPr>
        <w:t>rance for Marietta employees</w:t>
      </w:r>
      <w:r w:rsidR="00097B8E">
        <w:rPr>
          <w:rFonts w:cs="Times New Roman"/>
          <w:color w:val="000000"/>
          <w:szCs w:val="26"/>
        </w:rPr>
        <w:t xml:space="preserve"> and recommended that </w:t>
      </w:r>
      <w:r w:rsidR="001E12BB">
        <w:rPr>
          <w:rFonts w:cs="Times New Roman"/>
          <w:color w:val="000000"/>
          <w:szCs w:val="26"/>
        </w:rPr>
        <w:t xml:space="preserve">the </w:t>
      </w:r>
      <w:r w:rsidR="00097B8E">
        <w:rPr>
          <w:rFonts w:cs="Times New Roman"/>
          <w:color w:val="000000"/>
          <w:szCs w:val="26"/>
        </w:rPr>
        <w:t xml:space="preserve">OCA’s adjustment be rejected. </w:t>
      </w:r>
      <w:r w:rsidR="00337899">
        <w:rPr>
          <w:rFonts w:cs="Times New Roman"/>
          <w:color w:val="000000"/>
          <w:szCs w:val="26"/>
        </w:rPr>
        <w:t xml:space="preserve"> </w:t>
      </w:r>
      <w:r w:rsidR="00097B8E">
        <w:rPr>
          <w:rFonts w:cs="Times New Roman"/>
          <w:color w:val="000000"/>
          <w:szCs w:val="26"/>
        </w:rPr>
        <w:t xml:space="preserve">The ALJ also found that because </w:t>
      </w:r>
      <w:r w:rsidR="00F95C8F" w:rsidRPr="007F70DF">
        <w:rPr>
          <w:rFonts w:cs="Times New Roman"/>
          <w:color w:val="000000"/>
          <w:szCs w:val="26"/>
        </w:rPr>
        <w:t xml:space="preserve">Columbia must provide </w:t>
      </w:r>
      <w:r w:rsidR="00F95C8F" w:rsidRPr="007F70DF">
        <w:rPr>
          <w:rFonts w:cs="Times New Roman"/>
          <w:color w:val="000000"/>
          <w:szCs w:val="26"/>
        </w:rPr>
        <w:lastRenderedPageBreak/>
        <w:t xml:space="preserve">worker’s compensation insurance for its employees, the total increase </w:t>
      </w:r>
      <w:r w:rsidR="00097B8E">
        <w:rPr>
          <w:rFonts w:cs="Times New Roman"/>
          <w:color w:val="000000"/>
          <w:szCs w:val="26"/>
        </w:rPr>
        <w:t xml:space="preserve">in the premium </w:t>
      </w:r>
      <w:r w:rsidR="00F95C8F" w:rsidRPr="007F70DF">
        <w:rPr>
          <w:rFonts w:cs="Times New Roman"/>
          <w:color w:val="000000"/>
          <w:szCs w:val="26"/>
        </w:rPr>
        <w:t>should be allowed</w:t>
      </w:r>
      <w:r w:rsidR="00CA6A9D" w:rsidRPr="007F70DF">
        <w:rPr>
          <w:rFonts w:cs="Times New Roman"/>
          <w:color w:val="000000"/>
          <w:szCs w:val="26"/>
        </w:rPr>
        <w:t>.</w:t>
      </w:r>
      <w:r w:rsidR="00097B8E">
        <w:rPr>
          <w:rFonts w:cs="Times New Roman"/>
          <w:color w:val="000000"/>
          <w:szCs w:val="26"/>
        </w:rPr>
        <w:t xml:space="preserve"> </w:t>
      </w:r>
      <w:r w:rsidR="00337899">
        <w:rPr>
          <w:rFonts w:cs="Times New Roman"/>
          <w:color w:val="000000"/>
          <w:szCs w:val="26"/>
        </w:rPr>
        <w:t xml:space="preserve"> </w:t>
      </w:r>
      <w:r w:rsidR="00097B8E">
        <w:rPr>
          <w:rFonts w:cs="Times New Roman"/>
          <w:color w:val="000000"/>
          <w:szCs w:val="26"/>
        </w:rPr>
        <w:t xml:space="preserve">R.D. at 34. </w:t>
      </w:r>
    </w:p>
    <w:p w:rsidR="005B7CD7" w:rsidRDefault="005B7CD7" w:rsidP="005B7CD7">
      <w:pPr>
        <w:adjustRightInd w:val="0"/>
        <w:contextualSpacing/>
        <w:rPr>
          <w:rFonts w:cs="Times New Roman"/>
          <w:color w:val="000000"/>
          <w:szCs w:val="26"/>
        </w:rPr>
      </w:pPr>
    </w:p>
    <w:p w:rsidR="005B7CD7" w:rsidRDefault="005B7CD7" w:rsidP="00123623">
      <w:pPr>
        <w:adjustRightInd w:val="0"/>
        <w:spacing w:line="240" w:lineRule="auto"/>
        <w:contextualSpacing/>
        <w:rPr>
          <w:rFonts w:cs="Times New Roman"/>
          <w:b/>
          <w:color w:val="000000"/>
          <w:szCs w:val="26"/>
        </w:rPr>
      </w:pPr>
      <w:r>
        <w:rPr>
          <w:rFonts w:cs="Times New Roman"/>
          <w:color w:val="000000"/>
          <w:szCs w:val="26"/>
        </w:rPr>
        <w:tab/>
      </w:r>
      <w:r w:rsidRPr="00CB5D16">
        <w:rPr>
          <w:rFonts w:cs="Times New Roman"/>
          <w:b/>
          <w:color w:val="000000"/>
          <w:szCs w:val="26"/>
        </w:rPr>
        <w:t>c.</w:t>
      </w:r>
      <w:r w:rsidRPr="00CB5D16">
        <w:rPr>
          <w:rFonts w:cs="Times New Roman"/>
          <w:b/>
          <w:color w:val="000000"/>
          <w:szCs w:val="26"/>
        </w:rPr>
        <w:tab/>
        <w:t>Exceptions and Reply Exceptions</w:t>
      </w:r>
    </w:p>
    <w:p w:rsidR="00CB5D16" w:rsidRPr="00CB5D16" w:rsidRDefault="00CB5D16" w:rsidP="00CB5D16">
      <w:pPr>
        <w:adjustRightInd w:val="0"/>
        <w:contextualSpacing/>
        <w:rPr>
          <w:rFonts w:cs="Times New Roman"/>
          <w:b/>
          <w:color w:val="000000"/>
          <w:szCs w:val="26"/>
        </w:rPr>
      </w:pPr>
    </w:p>
    <w:p w:rsidR="00123623" w:rsidRDefault="00097B8E" w:rsidP="00123623">
      <w:pPr>
        <w:contextualSpacing/>
        <w:rPr>
          <w:rFonts w:cs="Times New Roman"/>
          <w:szCs w:val="26"/>
        </w:rPr>
      </w:pPr>
      <w:r>
        <w:rPr>
          <w:rFonts w:cs="Times New Roman"/>
          <w:szCs w:val="26"/>
        </w:rPr>
        <w:t xml:space="preserve">In its Exceptions the OCA argues that the Company has the burden of proof to establish that the 3.8% allocation </w:t>
      </w:r>
      <w:r w:rsidR="00A7537C">
        <w:rPr>
          <w:rFonts w:cs="Times New Roman"/>
          <w:szCs w:val="26"/>
        </w:rPr>
        <w:t>is proper</w:t>
      </w:r>
      <w:r w:rsidR="001E12BB">
        <w:rPr>
          <w:rFonts w:cs="Times New Roman"/>
          <w:szCs w:val="26"/>
        </w:rPr>
        <w:t xml:space="preserve">. </w:t>
      </w:r>
      <w:r w:rsidR="00337899">
        <w:rPr>
          <w:rFonts w:cs="Times New Roman"/>
          <w:szCs w:val="26"/>
        </w:rPr>
        <w:t xml:space="preserve"> </w:t>
      </w:r>
      <w:r w:rsidR="001E12BB">
        <w:rPr>
          <w:rFonts w:cs="Times New Roman"/>
          <w:szCs w:val="26"/>
        </w:rPr>
        <w:t xml:space="preserve">However, aside from only a “conclusory” statement by the Company witness Lewis, the OCA contends that </w:t>
      </w:r>
      <w:r w:rsidR="00A7537C">
        <w:rPr>
          <w:rFonts w:cs="Times New Roman"/>
          <w:szCs w:val="26"/>
        </w:rPr>
        <w:t>the Company has provided no evidence or data to support this allocation</w:t>
      </w:r>
      <w:r w:rsidR="001E12BB">
        <w:rPr>
          <w:rFonts w:cs="Times New Roman"/>
          <w:szCs w:val="26"/>
        </w:rPr>
        <w:t xml:space="preserve">. </w:t>
      </w:r>
      <w:r w:rsidR="00A7537C">
        <w:rPr>
          <w:rFonts w:cs="Times New Roman"/>
          <w:szCs w:val="26"/>
        </w:rPr>
        <w:t xml:space="preserve"> </w:t>
      </w:r>
      <w:r w:rsidR="00123623">
        <w:rPr>
          <w:rFonts w:cs="Times New Roman"/>
          <w:szCs w:val="26"/>
        </w:rPr>
        <w:t xml:space="preserve">The OCA also argues that, as with the Company’s claim for vehicle insurance, </w:t>
      </w:r>
      <w:r w:rsidR="00123623" w:rsidRPr="00123623">
        <w:rPr>
          <w:rFonts w:cs="Times New Roman"/>
          <w:i/>
          <w:szCs w:val="26"/>
        </w:rPr>
        <w:t>supra</w:t>
      </w:r>
      <w:r w:rsidR="00123623">
        <w:rPr>
          <w:rFonts w:cs="Times New Roman"/>
          <w:szCs w:val="26"/>
        </w:rPr>
        <w:t>, the increase in worker’s compensation insurance does not fall within the test year and last-minute estimated increases should not be permitted because the purpose of the test year concept is to capture all revenues and expenses and match them at a point in time.  OCA Exc. at 33.</w:t>
      </w:r>
    </w:p>
    <w:p w:rsidR="00123623" w:rsidRDefault="00123623" w:rsidP="00123623">
      <w:pPr>
        <w:contextualSpacing/>
        <w:rPr>
          <w:rFonts w:cs="Times New Roman"/>
          <w:szCs w:val="26"/>
        </w:rPr>
      </w:pPr>
    </w:p>
    <w:p w:rsidR="00CB5D16" w:rsidRPr="00CB5D16" w:rsidRDefault="00123623" w:rsidP="00123623">
      <w:pPr>
        <w:contextualSpacing/>
        <w:rPr>
          <w:rFonts w:cs="Times New Roman"/>
          <w:szCs w:val="26"/>
        </w:rPr>
      </w:pPr>
      <w:r>
        <w:rPr>
          <w:rFonts w:cs="Times New Roman"/>
          <w:szCs w:val="26"/>
        </w:rPr>
        <w:t xml:space="preserve">In its Reply to the OCA Exceptions, the Company avers that the statement by Mr. Lewis regarding the allocation of worker’s compensation insurance costs to the Marietta Division is not “conclusory” as the OCA suggests.  </w:t>
      </w:r>
      <w:r w:rsidR="001246BA">
        <w:rPr>
          <w:rFonts w:cs="Times New Roman"/>
          <w:szCs w:val="26"/>
        </w:rPr>
        <w:t xml:space="preserve">Columbia argues that Mr. Lewis gave credible testimony as the general manager in charge of the everyday operations of the Company.  The Company also submits that the ALJ correctly included the increase in the worker’s compensation premium because it is known and measurable and will be in effect when the new rates go into effect.  CWC R.Exc. at 22. </w:t>
      </w:r>
      <w:r w:rsidR="003611FD" w:rsidRPr="00CB5D16">
        <w:rPr>
          <w:rFonts w:cs="Times New Roman"/>
          <w:szCs w:val="26"/>
        </w:rPr>
        <w:t xml:space="preserve"> </w:t>
      </w:r>
    </w:p>
    <w:p w:rsidR="00BF5FDD" w:rsidRDefault="00BF5FDD" w:rsidP="005B7CD7">
      <w:pPr>
        <w:adjustRightInd w:val="0"/>
        <w:contextualSpacing/>
        <w:rPr>
          <w:rFonts w:cs="Times New Roman"/>
          <w:b/>
          <w:color w:val="000000"/>
          <w:szCs w:val="26"/>
        </w:rPr>
      </w:pPr>
    </w:p>
    <w:p w:rsidR="005B7CD7" w:rsidRDefault="005B7CD7" w:rsidP="001246BA">
      <w:pPr>
        <w:adjustRightInd w:val="0"/>
        <w:spacing w:line="240" w:lineRule="auto"/>
        <w:contextualSpacing/>
        <w:rPr>
          <w:rFonts w:cs="Times New Roman"/>
          <w:b/>
          <w:color w:val="000000"/>
          <w:szCs w:val="26"/>
        </w:rPr>
      </w:pPr>
      <w:r>
        <w:rPr>
          <w:rFonts w:cs="Times New Roman"/>
          <w:b/>
          <w:color w:val="000000"/>
          <w:szCs w:val="26"/>
        </w:rPr>
        <w:tab/>
        <w:t>d.</w:t>
      </w:r>
      <w:r>
        <w:rPr>
          <w:rFonts w:cs="Times New Roman"/>
          <w:b/>
          <w:color w:val="000000"/>
          <w:szCs w:val="26"/>
        </w:rPr>
        <w:tab/>
        <w:t>Disposition</w:t>
      </w:r>
    </w:p>
    <w:p w:rsidR="001246BA" w:rsidRDefault="001246BA" w:rsidP="005B7CD7">
      <w:pPr>
        <w:adjustRightInd w:val="0"/>
        <w:contextualSpacing/>
        <w:rPr>
          <w:rFonts w:cs="Times New Roman"/>
          <w:b/>
          <w:color w:val="000000"/>
          <w:szCs w:val="26"/>
        </w:rPr>
      </w:pPr>
    </w:p>
    <w:p w:rsidR="001246BA" w:rsidRPr="00A749F3" w:rsidRDefault="001246BA" w:rsidP="001246BA">
      <w:pPr>
        <w:keepNext/>
        <w:contextualSpacing/>
        <w:rPr>
          <w:rFonts w:eastAsia="Calibri" w:cs="Times New Roman"/>
          <w:szCs w:val="26"/>
        </w:rPr>
      </w:pPr>
      <w:r>
        <w:rPr>
          <w:rFonts w:eastAsia="Calibri" w:cs="Times New Roman"/>
          <w:szCs w:val="26"/>
        </w:rPr>
        <w:t xml:space="preserve">Consistent with our disposition of the increase in life and disability insurance premiums and vehicle insurance, </w:t>
      </w:r>
      <w:r w:rsidRPr="00F82A55">
        <w:rPr>
          <w:rFonts w:eastAsia="Calibri" w:cs="Times New Roman"/>
          <w:i/>
          <w:szCs w:val="26"/>
        </w:rPr>
        <w:t>supra</w:t>
      </w:r>
      <w:r>
        <w:rPr>
          <w:rFonts w:eastAsia="Calibri" w:cs="Times New Roman"/>
          <w:szCs w:val="26"/>
        </w:rPr>
        <w:t>, w</w:t>
      </w:r>
      <w:r w:rsidRPr="003F62D0">
        <w:rPr>
          <w:rFonts w:eastAsia="Calibri" w:cs="Times New Roman"/>
          <w:szCs w:val="26"/>
        </w:rPr>
        <w:t xml:space="preserve">e will accept the Company’s </w:t>
      </w:r>
      <w:r>
        <w:rPr>
          <w:rFonts w:eastAsia="Calibri" w:cs="Times New Roman"/>
          <w:szCs w:val="26"/>
        </w:rPr>
        <w:t xml:space="preserve">argument that the increase in worker’s compensation insurance is known and measurable and should be allowed. </w:t>
      </w:r>
      <w:r w:rsidR="00337899">
        <w:rPr>
          <w:rFonts w:eastAsia="Calibri" w:cs="Times New Roman"/>
          <w:szCs w:val="26"/>
        </w:rPr>
        <w:t xml:space="preserve"> </w:t>
      </w:r>
      <w:r>
        <w:rPr>
          <w:rFonts w:eastAsia="Calibri" w:cs="Times New Roman"/>
          <w:szCs w:val="26"/>
        </w:rPr>
        <w:t>Also, consistent with our disposition of the OCA’s other proposed reallocations of personnel costs to the Marietta Division, we find that it is premature to make any adjustments to the Company’s propos</w:t>
      </w:r>
      <w:r w:rsidR="00337899">
        <w:rPr>
          <w:rFonts w:eastAsia="Calibri" w:cs="Times New Roman"/>
          <w:szCs w:val="26"/>
        </w:rPr>
        <w:t>ed allocation of worker’s compensation</w:t>
      </w:r>
      <w:r>
        <w:rPr>
          <w:rFonts w:eastAsia="Calibri" w:cs="Times New Roman"/>
          <w:szCs w:val="26"/>
        </w:rPr>
        <w:t xml:space="preserve"> insurance.  </w:t>
      </w:r>
      <w:r>
        <w:rPr>
          <w:rFonts w:eastAsia="Calibri" w:cs="Times New Roman"/>
          <w:szCs w:val="26"/>
        </w:rPr>
        <w:lastRenderedPageBreak/>
        <w:t xml:space="preserve">Accordingly, we shall reject both of the OCA’s proposed adjustments to </w:t>
      </w:r>
      <w:r w:rsidR="002614AE">
        <w:rPr>
          <w:rFonts w:eastAsia="Calibri" w:cs="Times New Roman"/>
          <w:szCs w:val="26"/>
        </w:rPr>
        <w:t xml:space="preserve">the Company’s claim for worker’s compensation </w:t>
      </w:r>
      <w:r>
        <w:rPr>
          <w:rFonts w:eastAsia="Calibri" w:cs="Times New Roman"/>
          <w:szCs w:val="26"/>
        </w:rPr>
        <w:t xml:space="preserve">insurance.    </w:t>
      </w:r>
    </w:p>
    <w:p w:rsidR="006B215C" w:rsidRPr="00A749F3" w:rsidRDefault="006B215C" w:rsidP="005437EF">
      <w:pPr>
        <w:adjustRightInd w:val="0"/>
        <w:contextualSpacing/>
        <w:rPr>
          <w:rFonts w:cs="Times New Roman"/>
          <w:color w:val="000000"/>
          <w:szCs w:val="26"/>
        </w:rPr>
      </w:pPr>
    </w:p>
    <w:p w:rsidR="005B7CD7" w:rsidRPr="00A749F3" w:rsidRDefault="005B7CD7" w:rsidP="00ED6BBC">
      <w:pPr>
        <w:pStyle w:val="Heading3"/>
        <w:keepLines w:val="0"/>
        <w:rPr>
          <w:rFonts w:ascii="Times New Roman" w:hAnsi="Times New Roman" w:cs="Times New Roman"/>
        </w:rPr>
      </w:pPr>
      <w:bookmarkStart w:id="49" w:name="_Toc378080174"/>
      <w:r w:rsidRPr="00A749F3">
        <w:rPr>
          <w:rFonts w:ascii="Times New Roman" w:hAnsi="Times New Roman" w:cs="Times New Roman"/>
        </w:rPr>
        <w:t>12</w:t>
      </w:r>
      <w:r w:rsidR="001533FD" w:rsidRPr="00A749F3">
        <w:rPr>
          <w:rFonts w:ascii="Times New Roman" w:hAnsi="Times New Roman" w:cs="Times New Roman"/>
        </w:rPr>
        <w:t>.</w:t>
      </w:r>
      <w:r w:rsidR="001533FD" w:rsidRPr="00A749F3">
        <w:rPr>
          <w:rFonts w:ascii="Times New Roman" w:hAnsi="Times New Roman" w:cs="Times New Roman"/>
        </w:rPr>
        <w:tab/>
        <w:t>Accounting</w:t>
      </w:r>
      <w:r w:rsidR="00FD0CB9" w:rsidRPr="00A749F3">
        <w:rPr>
          <w:rFonts w:ascii="Times New Roman" w:hAnsi="Times New Roman" w:cs="Times New Roman"/>
        </w:rPr>
        <w:t xml:space="preserve"> Expense</w:t>
      </w:r>
      <w:bookmarkEnd w:id="49"/>
    </w:p>
    <w:p w:rsidR="005B7CD7" w:rsidRPr="00A749F3" w:rsidRDefault="005B7CD7" w:rsidP="00ED6BBC">
      <w:pPr>
        <w:keepNext/>
        <w:adjustRightInd w:val="0"/>
        <w:ind w:left="1440"/>
        <w:contextualSpacing/>
        <w:rPr>
          <w:rFonts w:cs="Times New Roman"/>
          <w:b/>
          <w:color w:val="000000"/>
          <w:szCs w:val="26"/>
        </w:rPr>
      </w:pPr>
    </w:p>
    <w:p w:rsidR="00CA6A9D" w:rsidRPr="00A749F3" w:rsidRDefault="005B7CD7" w:rsidP="002D1F41">
      <w:pPr>
        <w:keepNext/>
        <w:adjustRightInd w:val="0"/>
        <w:spacing w:line="240" w:lineRule="auto"/>
        <w:ind w:left="1440" w:firstLine="720"/>
        <w:contextualSpacing/>
        <w:rPr>
          <w:rFonts w:cs="Times New Roman"/>
          <w:b/>
          <w:color w:val="000000"/>
          <w:szCs w:val="26"/>
        </w:rPr>
      </w:pPr>
      <w:r w:rsidRPr="00A749F3">
        <w:rPr>
          <w:rFonts w:cs="Times New Roman"/>
          <w:b/>
          <w:color w:val="000000"/>
          <w:szCs w:val="26"/>
        </w:rPr>
        <w:t>a.</w:t>
      </w:r>
      <w:r w:rsidRPr="00A749F3">
        <w:rPr>
          <w:rFonts w:cs="Times New Roman"/>
          <w:b/>
          <w:color w:val="000000"/>
          <w:szCs w:val="26"/>
        </w:rPr>
        <w:tab/>
        <w:t>Positions of the Parties</w:t>
      </w:r>
      <w:r w:rsidR="000E74AA" w:rsidRPr="00A749F3">
        <w:rPr>
          <w:rFonts w:cs="Times New Roman"/>
          <w:b/>
          <w:color w:val="000000"/>
          <w:szCs w:val="26"/>
        </w:rPr>
        <w:fldChar w:fldCharType="begin"/>
      </w:r>
      <w:r w:rsidR="000E74AA" w:rsidRPr="00A749F3">
        <w:rPr>
          <w:rFonts w:cs="Times New Roman"/>
          <w:b/>
          <w:szCs w:val="26"/>
        </w:rPr>
        <w:instrText xml:space="preserve"> TC "</w:instrText>
      </w:r>
      <w:bookmarkStart w:id="50" w:name="_Toc372704699"/>
      <w:r w:rsidR="000E74AA" w:rsidRPr="00A749F3">
        <w:rPr>
          <w:rFonts w:cs="Times New Roman"/>
          <w:b/>
          <w:color w:val="000000"/>
          <w:szCs w:val="26"/>
        </w:rPr>
        <w:instrText>14.</w:instrText>
      </w:r>
      <w:r w:rsidR="000E74AA" w:rsidRPr="00A749F3">
        <w:rPr>
          <w:rFonts w:cs="Times New Roman"/>
          <w:b/>
          <w:color w:val="000000"/>
          <w:szCs w:val="26"/>
        </w:rPr>
        <w:tab/>
        <w:instrText>Accounting</w:instrText>
      </w:r>
      <w:bookmarkEnd w:id="50"/>
      <w:r w:rsidR="000E74AA" w:rsidRPr="00A749F3">
        <w:rPr>
          <w:rFonts w:cs="Times New Roman"/>
          <w:b/>
          <w:szCs w:val="26"/>
        </w:rPr>
        <w:instrText xml:space="preserve">" \f C \l "3" </w:instrText>
      </w:r>
      <w:r w:rsidR="000E74AA" w:rsidRPr="00A749F3">
        <w:rPr>
          <w:rFonts w:cs="Times New Roman"/>
          <w:b/>
          <w:color w:val="000000"/>
          <w:szCs w:val="26"/>
        </w:rPr>
        <w:fldChar w:fldCharType="end"/>
      </w:r>
    </w:p>
    <w:p w:rsidR="009D3F59" w:rsidRPr="00A749F3" w:rsidRDefault="009D3F59" w:rsidP="005437EF">
      <w:pPr>
        <w:adjustRightInd w:val="0"/>
        <w:contextualSpacing/>
        <w:rPr>
          <w:rFonts w:cs="Times New Roman"/>
          <w:color w:val="000000"/>
          <w:szCs w:val="26"/>
        </w:rPr>
      </w:pPr>
    </w:p>
    <w:p w:rsidR="00CA6A9D" w:rsidRPr="007F70DF" w:rsidRDefault="00053D6C" w:rsidP="004272F2">
      <w:pPr>
        <w:rPr>
          <w:rFonts w:cs="Times New Roman"/>
          <w:szCs w:val="26"/>
        </w:rPr>
      </w:pPr>
      <w:r w:rsidRPr="00A749F3">
        <w:rPr>
          <w:rFonts w:cs="Times New Roman"/>
        </w:rPr>
        <w:t>Columbia</w:t>
      </w:r>
      <w:r w:rsidR="00CA6A9D" w:rsidRPr="00A749F3">
        <w:rPr>
          <w:rFonts w:cs="Times New Roman"/>
        </w:rPr>
        <w:t xml:space="preserve"> claim</w:t>
      </w:r>
      <w:r w:rsidR="00CA6A9D" w:rsidRPr="007F70DF">
        <w:t>ed $28,300 for Accounting Contr</w:t>
      </w:r>
      <w:r w:rsidR="008B5C91" w:rsidRPr="007F70DF">
        <w:t>actual Services.  GDS Exh. 1 at </w:t>
      </w:r>
      <w:r w:rsidR="00CA6A9D" w:rsidRPr="007F70DF">
        <w:t xml:space="preserve">1-15.  </w:t>
      </w:r>
      <w:r w:rsidR="00AF28BD">
        <w:t xml:space="preserve">The OCA witness </w:t>
      </w:r>
      <w:r w:rsidR="00CA6A9D" w:rsidRPr="007F70DF">
        <w:t xml:space="preserve">Everette recommended that </w:t>
      </w:r>
      <w:r w:rsidR="00AF28BD">
        <w:t>12%</w:t>
      </w:r>
      <w:r w:rsidR="00CA6A9D" w:rsidRPr="007F70DF">
        <w:t xml:space="preserve"> of this cost should be allocated to the Marietta Division</w:t>
      </w:r>
      <w:r w:rsidR="00AF28BD">
        <w:t xml:space="preserve"> based on </w:t>
      </w:r>
      <w:r w:rsidR="00CA6A9D" w:rsidRPr="007F70DF">
        <w:t xml:space="preserve">the number of customers in the Marietta Division relative to the whole company.  </w:t>
      </w:r>
      <w:r w:rsidR="00AF28BD" w:rsidRPr="007F70DF">
        <w:t>OCA St. 1 at 42</w:t>
      </w:r>
      <w:r w:rsidR="00AF28BD">
        <w:t xml:space="preserve">.  </w:t>
      </w:r>
      <w:r w:rsidR="00CA6A9D" w:rsidRPr="007F70DF">
        <w:t xml:space="preserve">The resulting adjustment </w:t>
      </w:r>
      <w:r w:rsidR="00AF28BD">
        <w:t>to the Company’s cla</w:t>
      </w:r>
      <w:r w:rsidR="00CA6A9D" w:rsidRPr="007F70DF">
        <w:t>i</w:t>
      </w:r>
      <w:r w:rsidR="00AF28BD">
        <w:t xml:space="preserve">m is </w:t>
      </w:r>
      <w:r w:rsidR="001E12BB">
        <w:t xml:space="preserve">a decrease of </w:t>
      </w:r>
      <w:r w:rsidR="00CA6A9D" w:rsidRPr="007F70DF">
        <w:t>$2,364.  OCA Exh. AEE-1, Sch. 1, line 26.</w:t>
      </w:r>
      <w:r w:rsidR="00AF28BD">
        <w:t xml:space="preserve">  </w:t>
      </w:r>
      <w:r w:rsidR="00CA6A9D" w:rsidRPr="007F70DF">
        <w:rPr>
          <w:rFonts w:cs="Times New Roman"/>
          <w:szCs w:val="26"/>
        </w:rPr>
        <w:t>In support of her allocation, Ms. Everette noted that the cost</w:t>
      </w:r>
      <w:r w:rsidR="002614AE">
        <w:rPr>
          <w:rFonts w:cs="Times New Roman"/>
          <w:szCs w:val="26"/>
        </w:rPr>
        <w:t>s</w:t>
      </w:r>
      <w:r w:rsidR="00DC4F55">
        <w:rPr>
          <w:rFonts w:cs="Times New Roman"/>
          <w:szCs w:val="26"/>
        </w:rPr>
        <w:t xml:space="preserve"> of necessary services, such as</w:t>
      </w:r>
      <w:r w:rsidR="00CA6A9D" w:rsidRPr="007F70DF">
        <w:rPr>
          <w:rFonts w:cs="Times New Roman"/>
          <w:szCs w:val="26"/>
        </w:rPr>
        <w:t xml:space="preserve"> Accounting</w:t>
      </w:r>
      <w:r w:rsidR="00A749F3">
        <w:rPr>
          <w:rFonts w:cs="Times New Roman"/>
          <w:szCs w:val="26"/>
        </w:rPr>
        <w:t>,</w:t>
      </w:r>
      <w:r w:rsidR="002614AE">
        <w:rPr>
          <w:rFonts w:cs="Times New Roman"/>
          <w:szCs w:val="26"/>
        </w:rPr>
        <w:t xml:space="preserve"> are</w:t>
      </w:r>
      <w:r w:rsidR="00CA6A9D" w:rsidRPr="007F70DF">
        <w:rPr>
          <w:rFonts w:cs="Times New Roman"/>
          <w:szCs w:val="26"/>
        </w:rPr>
        <w:t xml:space="preserve"> built into the Marietta Division’s rates.  </w:t>
      </w:r>
      <w:r w:rsidRPr="007F70DF">
        <w:rPr>
          <w:rFonts w:cs="Times New Roman"/>
          <w:szCs w:val="26"/>
        </w:rPr>
        <w:t xml:space="preserve">She </w:t>
      </w:r>
      <w:r w:rsidR="00AF28BD">
        <w:rPr>
          <w:rFonts w:cs="Times New Roman"/>
          <w:szCs w:val="26"/>
        </w:rPr>
        <w:t xml:space="preserve">argued </w:t>
      </w:r>
      <w:r w:rsidRPr="007F70DF">
        <w:rPr>
          <w:rFonts w:cs="Times New Roman"/>
          <w:szCs w:val="26"/>
        </w:rPr>
        <w:t>that a</w:t>
      </w:r>
      <w:r w:rsidR="00CA6A9D" w:rsidRPr="007F70DF">
        <w:rPr>
          <w:rFonts w:cs="Times New Roman"/>
          <w:szCs w:val="26"/>
        </w:rPr>
        <w:t>llowing Columbia to recover the full cost of preparing</w:t>
      </w:r>
      <w:r w:rsidR="001E12BB">
        <w:rPr>
          <w:rFonts w:cs="Times New Roman"/>
          <w:szCs w:val="26"/>
        </w:rPr>
        <w:t xml:space="preserve"> and </w:t>
      </w:r>
      <w:r w:rsidR="00CA6A9D" w:rsidRPr="007F70DF">
        <w:rPr>
          <w:rFonts w:cs="Times New Roman"/>
          <w:szCs w:val="26"/>
        </w:rPr>
        <w:t xml:space="preserve">filing the tax return and audit would </w:t>
      </w:r>
      <w:r w:rsidRPr="007F70DF">
        <w:rPr>
          <w:rFonts w:cs="Times New Roman"/>
          <w:szCs w:val="26"/>
        </w:rPr>
        <w:t>permit</w:t>
      </w:r>
      <w:r w:rsidR="00CA6A9D" w:rsidRPr="007F70DF">
        <w:rPr>
          <w:rFonts w:cs="Times New Roman"/>
          <w:szCs w:val="26"/>
        </w:rPr>
        <w:t xml:space="preserve"> </w:t>
      </w:r>
      <w:r w:rsidRPr="007F70DF">
        <w:rPr>
          <w:rFonts w:cs="Times New Roman"/>
          <w:szCs w:val="26"/>
        </w:rPr>
        <w:t>Columbia</w:t>
      </w:r>
      <w:r w:rsidR="00CA6A9D" w:rsidRPr="007F70DF">
        <w:rPr>
          <w:rFonts w:cs="Times New Roman"/>
          <w:szCs w:val="26"/>
        </w:rPr>
        <w:t xml:space="preserve"> to double-collect this expense.  OCA St. 1 at 42-43.  </w:t>
      </w:r>
    </w:p>
    <w:p w:rsidR="00AF28BD" w:rsidRDefault="00AF28BD" w:rsidP="004272F2">
      <w:pPr>
        <w:contextualSpacing/>
        <w:rPr>
          <w:rFonts w:cs="Times New Roman"/>
          <w:szCs w:val="26"/>
        </w:rPr>
      </w:pPr>
    </w:p>
    <w:p w:rsidR="00053D6C" w:rsidRDefault="00CA6A9D" w:rsidP="005B7CD7">
      <w:pPr>
        <w:contextualSpacing/>
        <w:rPr>
          <w:rFonts w:cs="Times New Roman"/>
          <w:szCs w:val="26"/>
        </w:rPr>
      </w:pPr>
      <w:r w:rsidRPr="007F70DF">
        <w:rPr>
          <w:rFonts w:cs="Times New Roman"/>
          <w:szCs w:val="26"/>
        </w:rPr>
        <w:t>Company witness Lewis objected to any allocation of the expense on the basis that the Company expects overall accounting costs to go up as a result of the acquisition</w:t>
      </w:r>
      <w:r w:rsidR="00AF28BD">
        <w:rPr>
          <w:rFonts w:cs="Times New Roman"/>
          <w:szCs w:val="26"/>
        </w:rPr>
        <w:t xml:space="preserve"> of the MGWC</w:t>
      </w:r>
      <w:r w:rsidRPr="007F70DF">
        <w:rPr>
          <w:rFonts w:cs="Times New Roman"/>
          <w:szCs w:val="26"/>
        </w:rPr>
        <w:t>.  CWC St. 1R at 14.  He stated that the two divisions will keep separate books, budgets and depreciation calculations that will be used for the consolidated tax filings and audits.  Tr. 115.  As a result, Mr. Lewis contended</w:t>
      </w:r>
      <w:r w:rsidR="00AF28BD">
        <w:rPr>
          <w:rFonts w:cs="Times New Roman"/>
          <w:szCs w:val="26"/>
        </w:rPr>
        <w:t xml:space="preserve"> that the Colum</w:t>
      </w:r>
      <w:r w:rsidRPr="007F70DF">
        <w:rPr>
          <w:rFonts w:cs="Times New Roman"/>
          <w:szCs w:val="26"/>
        </w:rPr>
        <w:t>bia Division’s accounting costs will not go down or somehow get “shared” with the Marietta Division, but instead the accounting costs will increase and the additional costs will get allocated to the Marietta Division.</w:t>
      </w:r>
      <w:r w:rsidR="00053D6C" w:rsidRPr="007F70DF">
        <w:rPr>
          <w:rFonts w:cs="Times New Roman"/>
          <w:szCs w:val="26"/>
        </w:rPr>
        <w:t xml:space="preserve">  </w:t>
      </w:r>
      <w:r w:rsidRPr="007F70DF">
        <w:rPr>
          <w:rFonts w:cs="Times New Roman"/>
          <w:szCs w:val="26"/>
        </w:rPr>
        <w:t>CWC St. 1R at 14</w:t>
      </w:r>
      <w:r w:rsidR="005B7CD7">
        <w:rPr>
          <w:rFonts w:cs="Times New Roman"/>
          <w:szCs w:val="26"/>
        </w:rPr>
        <w:t>.</w:t>
      </w:r>
    </w:p>
    <w:p w:rsidR="005B7CD7" w:rsidRDefault="005B7CD7" w:rsidP="002D1F41">
      <w:pPr>
        <w:spacing w:line="240" w:lineRule="auto"/>
        <w:contextualSpacing/>
        <w:rPr>
          <w:rFonts w:cs="Times New Roman"/>
          <w:szCs w:val="26"/>
        </w:rPr>
      </w:pPr>
    </w:p>
    <w:p w:rsidR="005B7CD7" w:rsidRPr="005B7CD7" w:rsidRDefault="005B7CD7" w:rsidP="002D1F41">
      <w:pPr>
        <w:spacing w:line="240" w:lineRule="auto"/>
        <w:ind w:left="720"/>
        <w:contextualSpacing/>
        <w:rPr>
          <w:rFonts w:cs="Times New Roman"/>
          <w:b/>
          <w:szCs w:val="26"/>
        </w:rPr>
      </w:pPr>
      <w:r>
        <w:rPr>
          <w:rFonts w:cs="Times New Roman"/>
          <w:b/>
          <w:szCs w:val="26"/>
        </w:rPr>
        <w:t>b.</w:t>
      </w:r>
      <w:r>
        <w:rPr>
          <w:rFonts w:cs="Times New Roman"/>
          <w:b/>
          <w:szCs w:val="26"/>
        </w:rPr>
        <w:tab/>
        <w:t>ALJ’s Recommendation</w:t>
      </w:r>
    </w:p>
    <w:p w:rsidR="00053D6C" w:rsidRPr="007F70DF" w:rsidRDefault="00053D6C" w:rsidP="00047866">
      <w:pPr>
        <w:ind w:left="720" w:right="720"/>
        <w:contextualSpacing/>
        <w:jc w:val="both"/>
        <w:rPr>
          <w:rFonts w:cs="Times New Roman"/>
          <w:szCs w:val="26"/>
        </w:rPr>
      </w:pPr>
    </w:p>
    <w:p w:rsidR="00053D6C" w:rsidRDefault="00AF28BD" w:rsidP="004272F2">
      <w:pPr>
        <w:ind w:right="720"/>
        <w:contextualSpacing/>
        <w:rPr>
          <w:rFonts w:cs="Times New Roman"/>
          <w:szCs w:val="26"/>
        </w:rPr>
      </w:pPr>
      <w:r>
        <w:rPr>
          <w:rFonts w:cs="Times New Roman"/>
          <w:szCs w:val="26"/>
        </w:rPr>
        <w:t>The ALJ</w:t>
      </w:r>
      <w:r w:rsidR="00053D6C" w:rsidRPr="007F70DF">
        <w:rPr>
          <w:rFonts w:cs="Times New Roman"/>
          <w:szCs w:val="26"/>
        </w:rPr>
        <w:t xml:space="preserve"> agree</w:t>
      </w:r>
      <w:r>
        <w:rPr>
          <w:rFonts w:cs="Times New Roman"/>
          <w:szCs w:val="26"/>
        </w:rPr>
        <w:t>d</w:t>
      </w:r>
      <w:r w:rsidR="00053D6C" w:rsidRPr="007F70DF">
        <w:rPr>
          <w:rFonts w:cs="Times New Roman"/>
          <w:szCs w:val="26"/>
        </w:rPr>
        <w:t xml:space="preserve"> with the OCA that</w:t>
      </w:r>
      <w:r>
        <w:rPr>
          <w:rFonts w:cs="Times New Roman"/>
          <w:szCs w:val="26"/>
        </w:rPr>
        <w:t>,</w:t>
      </w:r>
      <w:r w:rsidR="00053D6C" w:rsidRPr="007F70DF">
        <w:rPr>
          <w:rFonts w:cs="Times New Roman"/>
          <w:szCs w:val="26"/>
        </w:rPr>
        <w:t xml:space="preserve"> </w:t>
      </w:r>
      <w:r w:rsidR="001C6BA6" w:rsidRPr="007F70DF">
        <w:rPr>
          <w:rFonts w:cs="Times New Roman"/>
          <w:szCs w:val="26"/>
        </w:rPr>
        <w:t xml:space="preserve">because the two divisions keep separate books, budgets and depreciation calculations, and </w:t>
      </w:r>
      <w:r w:rsidR="0040751C" w:rsidRPr="007F70DF">
        <w:rPr>
          <w:rFonts w:cs="Times New Roman"/>
          <w:szCs w:val="26"/>
        </w:rPr>
        <w:t>as a</w:t>
      </w:r>
      <w:r w:rsidR="00053D6C" w:rsidRPr="007F70DF">
        <w:rPr>
          <w:rFonts w:cs="Times New Roman"/>
          <w:szCs w:val="26"/>
        </w:rPr>
        <w:t xml:space="preserve">ccounting costs are built into the Marietta Division’s rates, to allow the inclusion of those costs in this </w:t>
      </w:r>
      <w:r w:rsidR="00053D6C" w:rsidRPr="007F70DF">
        <w:rPr>
          <w:rFonts w:cs="Times New Roman"/>
          <w:szCs w:val="26"/>
        </w:rPr>
        <w:lastRenderedPageBreak/>
        <w:t xml:space="preserve">case would be to allow double recovery.  </w:t>
      </w:r>
      <w:r w:rsidR="00241EDA" w:rsidRPr="007F70DF">
        <w:rPr>
          <w:rFonts w:cs="Times New Roman"/>
          <w:szCs w:val="26"/>
        </w:rPr>
        <w:t>T</w:t>
      </w:r>
      <w:r w:rsidR="00053D6C" w:rsidRPr="007F70DF">
        <w:rPr>
          <w:rFonts w:cs="Times New Roman"/>
          <w:szCs w:val="26"/>
        </w:rPr>
        <w:t xml:space="preserve">he </w:t>
      </w:r>
      <w:r>
        <w:rPr>
          <w:rFonts w:cs="Times New Roman"/>
          <w:szCs w:val="26"/>
        </w:rPr>
        <w:t xml:space="preserve">ALJ found that the </w:t>
      </w:r>
      <w:r w:rsidR="00053D6C" w:rsidRPr="007F70DF">
        <w:rPr>
          <w:rFonts w:cs="Times New Roman"/>
          <w:szCs w:val="26"/>
        </w:rPr>
        <w:t xml:space="preserve">OCA’s methodology is reasonable and $2,364 </w:t>
      </w:r>
      <w:r>
        <w:rPr>
          <w:rFonts w:cs="Times New Roman"/>
          <w:szCs w:val="26"/>
        </w:rPr>
        <w:t xml:space="preserve">of the Company’s claim </w:t>
      </w:r>
      <w:r w:rsidR="00DC4F55">
        <w:rPr>
          <w:rFonts w:cs="Times New Roman"/>
          <w:szCs w:val="26"/>
        </w:rPr>
        <w:t>should</w:t>
      </w:r>
      <w:r w:rsidR="00053D6C" w:rsidRPr="007F70DF">
        <w:rPr>
          <w:rFonts w:cs="Times New Roman"/>
          <w:szCs w:val="26"/>
        </w:rPr>
        <w:t xml:space="preserve"> be attributed to the Marietta </w:t>
      </w:r>
      <w:r w:rsidR="00241EDA" w:rsidRPr="007F70DF">
        <w:rPr>
          <w:rFonts w:cs="Times New Roman"/>
          <w:szCs w:val="26"/>
        </w:rPr>
        <w:t>D</w:t>
      </w:r>
      <w:r w:rsidR="00053D6C" w:rsidRPr="007F70DF">
        <w:rPr>
          <w:rFonts w:cs="Times New Roman"/>
          <w:szCs w:val="26"/>
        </w:rPr>
        <w:t>ivision.</w:t>
      </w:r>
      <w:r>
        <w:rPr>
          <w:rFonts w:cs="Times New Roman"/>
          <w:szCs w:val="26"/>
        </w:rPr>
        <w:t xml:space="preserve">  R.D. at 35.  </w:t>
      </w:r>
    </w:p>
    <w:p w:rsidR="005B7CD7" w:rsidRDefault="005B7CD7" w:rsidP="004272F2">
      <w:pPr>
        <w:ind w:right="720"/>
        <w:contextualSpacing/>
        <w:rPr>
          <w:rFonts w:cs="Times New Roman"/>
          <w:szCs w:val="26"/>
        </w:rPr>
      </w:pPr>
    </w:p>
    <w:p w:rsidR="005B7CD7" w:rsidRDefault="005B7CD7" w:rsidP="002D1F41">
      <w:pPr>
        <w:spacing w:line="240" w:lineRule="auto"/>
        <w:contextualSpacing/>
        <w:rPr>
          <w:rFonts w:cs="Times New Roman"/>
          <w:b/>
          <w:szCs w:val="26"/>
        </w:rPr>
      </w:pPr>
      <w:r>
        <w:rPr>
          <w:rFonts w:cs="Times New Roman"/>
          <w:b/>
          <w:szCs w:val="26"/>
        </w:rPr>
        <w:tab/>
      </w:r>
      <w:r w:rsidRPr="00231600">
        <w:rPr>
          <w:rFonts w:cs="Times New Roman"/>
          <w:b/>
          <w:szCs w:val="26"/>
        </w:rPr>
        <w:t>c.</w:t>
      </w:r>
      <w:r w:rsidRPr="00231600">
        <w:rPr>
          <w:rFonts w:cs="Times New Roman"/>
          <w:b/>
          <w:szCs w:val="26"/>
        </w:rPr>
        <w:tab/>
        <w:t>Exceptions and Reply Exceptions</w:t>
      </w:r>
    </w:p>
    <w:p w:rsidR="00DA7448" w:rsidRPr="00231600" w:rsidRDefault="00DA7448" w:rsidP="00231600">
      <w:pPr>
        <w:contextualSpacing/>
        <w:rPr>
          <w:rFonts w:cs="Times New Roman"/>
          <w:b/>
          <w:szCs w:val="26"/>
        </w:rPr>
      </w:pPr>
    </w:p>
    <w:p w:rsidR="00DA7448" w:rsidRDefault="00231600" w:rsidP="00231600">
      <w:pPr>
        <w:contextualSpacing/>
        <w:rPr>
          <w:rFonts w:cs="Times New Roman"/>
          <w:szCs w:val="26"/>
        </w:rPr>
      </w:pPr>
      <w:r w:rsidRPr="00231600">
        <w:rPr>
          <w:rFonts w:cs="Times New Roman"/>
          <w:szCs w:val="26"/>
        </w:rPr>
        <w:t xml:space="preserve">In its </w:t>
      </w:r>
      <w:r w:rsidR="00000624">
        <w:rPr>
          <w:rFonts w:cs="Times New Roman"/>
          <w:szCs w:val="26"/>
        </w:rPr>
        <w:t>E</w:t>
      </w:r>
      <w:r w:rsidRPr="00231600">
        <w:rPr>
          <w:rFonts w:cs="Times New Roman"/>
          <w:szCs w:val="26"/>
        </w:rPr>
        <w:t>xception</w:t>
      </w:r>
      <w:r w:rsidR="00000624">
        <w:rPr>
          <w:rFonts w:cs="Times New Roman"/>
          <w:szCs w:val="26"/>
        </w:rPr>
        <w:t>s</w:t>
      </w:r>
      <w:r w:rsidRPr="00231600">
        <w:rPr>
          <w:rFonts w:cs="Times New Roman"/>
          <w:szCs w:val="26"/>
        </w:rPr>
        <w:t xml:space="preserve">, Columbia </w:t>
      </w:r>
      <w:r w:rsidR="00000624">
        <w:rPr>
          <w:rFonts w:cs="Times New Roman"/>
          <w:szCs w:val="26"/>
        </w:rPr>
        <w:t xml:space="preserve">states that there is an </w:t>
      </w:r>
      <w:r w:rsidRPr="00231600">
        <w:rPr>
          <w:rFonts w:cs="Times New Roman"/>
          <w:szCs w:val="26"/>
        </w:rPr>
        <w:t>error in th</w:t>
      </w:r>
      <w:r w:rsidR="00000624">
        <w:rPr>
          <w:rFonts w:cs="Times New Roman"/>
          <w:szCs w:val="26"/>
        </w:rPr>
        <w:t>e ALJ’s</w:t>
      </w:r>
      <w:r w:rsidRPr="00231600">
        <w:rPr>
          <w:rFonts w:cs="Times New Roman"/>
          <w:szCs w:val="26"/>
        </w:rPr>
        <w:t xml:space="preserve"> logic</w:t>
      </w:r>
      <w:r w:rsidR="00000624">
        <w:rPr>
          <w:rFonts w:cs="Times New Roman"/>
          <w:szCs w:val="26"/>
        </w:rPr>
        <w:t xml:space="preserve">. </w:t>
      </w:r>
      <w:r w:rsidRPr="00231600">
        <w:rPr>
          <w:rFonts w:cs="Times New Roman"/>
          <w:szCs w:val="26"/>
        </w:rPr>
        <w:t xml:space="preserve"> </w:t>
      </w:r>
      <w:r w:rsidR="00000624">
        <w:rPr>
          <w:rFonts w:cs="Times New Roman"/>
          <w:szCs w:val="26"/>
        </w:rPr>
        <w:t xml:space="preserve">The Company submits that </w:t>
      </w:r>
      <w:r w:rsidRPr="00231600">
        <w:rPr>
          <w:rFonts w:cs="Times New Roman"/>
          <w:szCs w:val="26"/>
        </w:rPr>
        <w:t xml:space="preserve">the fact that the two divisions keep separate books, budgets and depreciation calculations is why the accounting costs should not be shared.  </w:t>
      </w:r>
      <w:r w:rsidR="00000624">
        <w:rPr>
          <w:rFonts w:cs="Times New Roman"/>
          <w:szCs w:val="26"/>
        </w:rPr>
        <w:t>Columbia emphasizes that t</w:t>
      </w:r>
      <w:r w:rsidRPr="00231600">
        <w:rPr>
          <w:rFonts w:cs="Times New Roman"/>
          <w:szCs w:val="26"/>
        </w:rPr>
        <w:t xml:space="preserve">he accounting work is </w:t>
      </w:r>
      <w:r w:rsidRPr="00000624">
        <w:rPr>
          <w:rFonts w:cs="Times New Roman"/>
          <w:i/>
          <w:szCs w:val="26"/>
        </w:rPr>
        <w:t>separate</w:t>
      </w:r>
      <w:r w:rsidRPr="00000624">
        <w:rPr>
          <w:rFonts w:cs="Times New Roman"/>
          <w:szCs w:val="26"/>
        </w:rPr>
        <w:t xml:space="preserve"> </w:t>
      </w:r>
      <w:r w:rsidRPr="00231600">
        <w:rPr>
          <w:rFonts w:cs="Times New Roman"/>
          <w:szCs w:val="26"/>
        </w:rPr>
        <w:t xml:space="preserve">for each division, not </w:t>
      </w:r>
      <w:r w:rsidRPr="00000624">
        <w:rPr>
          <w:rFonts w:cs="Times New Roman"/>
          <w:i/>
          <w:szCs w:val="26"/>
        </w:rPr>
        <w:t>shared</w:t>
      </w:r>
      <w:r w:rsidRPr="00231600">
        <w:rPr>
          <w:rFonts w:cs="Times New Roman"/>
          <w:b/>
          <w:i/>
          <w:szCs w:val="26"/>
        </w:rPr>
        <w:t>.</w:t>
      </w:r>
      <w:r w:rsidRPr="00231600">
        <w:rPr>
          <w:rFonts w:cs="Times New Roman"/>
          <w:szCs w:val="26"/>
        </w:rPr>
        <w:t xml:space="preserve">  Therefore, the accounting costs should be kept </w:t>
      </w:r>
      <w:r w:rsidRPr="00000624">
        <w:rPr>
          <w:rFonts w:cs="Times New Roman"/>
          <w:i/>
          <w:szCs w:val="26"/>
        </w:rPr>
        <w:t>separate</w:t>
      </w:r>
      <w:r w:rsidRPr="00231600">
        <w:rPr>
          <w:rFonts w:cs="Times New Roman"/>
          <w:szCs w:val="26"/>
        </w:rPr>
        <w:t xml:space="preserve">, not </w:t>
      </w:r>
      <w:r w:rsidRPr="00000624">
        <w:rPr>
          <w:rFonts w:cs="Times New Roman"/>
          <w:i/>
          <w:szCs w:val="26"/>
        </w:rPr>
        <w:t>shared</w:t>
      </w:r>
      <w:r w:rsidRPr="00000624">
        <w:rPr>
          <w:rFonts w:cs="Times New Roman"/>
          <w:szCs w:val="26"/>
        </w:rPr>
        <w:t>.</w:t>
      </w:r>
      <w:r w:rsidRPr="00231600">
        <w:rPr>
          <w:rFonts w:cs="Times New Roman"/>
          <w:szCs w:val="26"/>
        </w:rPr>
        <w:t xml:space="preserve">  </w:t>
      </w:r>
      <w:r w:rsidR="00000624">
        <w:rPr>
          <w:rFonts w:cs="Times New Roman"/>
          <w:szCs w:val="26"/>
        </w:rPr>
        <w:t xml:space="preserve">CWC Exc. at 32 (emphasis supplied).  In addition, the Company argues that, </w:t>
      </w:r>
      <w:r w:rsidRPr="00231600">
        <w:rPr>
          <w:rFonts w:cs="Times New Roman"/>
          <w:szCs w:val="26"/>
        </w:rPr>
        <w:t xml:space="preserve">because the accounting costs are already built into Marietta’s rates, allocating any additional costs to the Marietta Division would actually result in double billing Marietta’s customers, not Columbia’s. </w:t>
      </w:r>
      <w:r w:rsidR="001E12BB">
        <w:rPr>
          <w:rFonts w:cs="Times New Roman"/>
          <w:szCs w:val="26"/>
        </w:rPr>
        <w:t xml:space="preserve"> </w:t>
      </w:r>
      <w:r w:rsidR="00000624" w:rsidRPr="00000624">
        <w:rPr>
          <w:rFonts w:cs="Times New Roman"/>
          <w:i/>
          <w:szCs w:val="26"/>
        </w:rPr>
        <w:t>Id.</w:t>
      </w:r>
      <w:r w:rsidR="00000624">
        <w:rPr>
          <w:rFonts w:cs="Times New Roman"/>
          <w:szCs w:val="26"/>
        </w:rPr>
        <w:t xml:space="preserve"> </w:t>
      </w:r>
    </w:p>
    <w:p w:rsidR="00231600" w:rsidRPr="00231600" w:rsidRDefault="00231600" w:rsidP="00231600">
      <w:pPr>
        <w:contextualSpacing/>
        <w:rPr>
          <w:rFonts w:cs="Times New Roman"/>
          <w:szCs w:val="26"/>
        </w:rPr>
      </w:pPr>
      <w:r w:rsidRPr="00231600">
        <w:rPr>
          <w:rFonts w:cs="Times New Roman"/>
          <w:szCs w:val="26"/>
        </w:rPr>
        <w:t xml:space="preserve">  </w:t>
      </w:r>
    </w:p>
    <w:p w:rsidR="00231600" w:rsidRDefault="00000624" w:rsidP="00231600">
      <w:pPr>
        <w:contextualSpacing/>
        <w:rPr>
          <w:rFonts w:cs="Times New Roman"/>
          <w:szCs w:val="26"/>
        </w:rPr>
      </w:pPr>
      <w:r>
        <w:rPr>
          <w:rFonts w:cs="Times New Roman"/>
          <w:szCs w:val="26"/>
        </w:rPr>
        <w:t>Columbia avers that,</w:t>
      </w:r>
      <w:r w:rsidR="00231600" w:rsidRPr="00231600">
        <w:rPr>
          <w:rFonts w:cs="Times New Roman"/>
          <w:szCs w:val="26"/>
        </w:rPr>
        <w:t xml:space="preserve"> in allocating the $2,364 of accounting expense, the </w:t>
      </w:r>
      <w:r>
        <w:rPr>
          <w:rFonts w:cs="Times New Roman"/>
          <w:szCs w:val="26"/>
        </w:rPr>
        <w:t xml:space="preserve">ALJ </w:t>
      </w:r>
      <w:r w:rsidR="00231600" w:rsidRPr="00231600">
        <w:rPr>
          <w:rFonts w:cs="Times New Roman"/>
          <w:szCs w:val="26"/>
        </w:rPr>
        <w:t xml:space="preserve">relies on the arbitrary and speculative 12% allocation factor of </w:t>
      </w:r>
      <w:r>
        <w:rPr>
          <w:rFonts w:cs="Times New Roman"/>
          <w:szCs w:val="26"/>
        </w:rPr>
        <w:t xml:space="preserve">the </w:t>
      </w:r>
      <w:r w:rsidR="00231600" w:rsidRPr="00231600">
        <w:rPr>
          <w:rFonts w:cs="Times New Roman"/>
          <w:szCs w:val="26"/>
        </w:rPr>
        <w:t xml:space="preserve">OCA, which </w:t>
      </w:r>
      <w:r>
        <w:rPr>
          <w:rFonts w:cs="Times New Roman"/>
          <w:szCs w:val="26"/>
        </w:rPr>
        <w:t>the ALJ</w:t>
      </w:r>
      <w:r w:rsidR="00231600" w:rsidRPr="00231600">
        <w:rPr>
          <w:rFonts w:cs="Times New Roman"/>
          <w:szCs w:val="26"/>
        </w:rPr>
        <w:t xml:space="preserve"> reject</w:t>
      </w:r>
      <w:r>
        <w:rPr>
          <w:rFonts w:cs="Times New Roman"/>
          <w:szCs w:val="26"/>
        </w:rPr>
        <w:t>ed</w:t>
      </w:r>
      <w:r w:rsidR="00231600" w:rsidRPr="00231600">
        <w:rPr>
          <w:rFonts w:cs="Times New Roman"/>
          <w:szCs w:val="26"/>
        </w:rPr>
        <w:t xml:space="preserve"> on numerous occasions, and </w:t>
      </w:r>
      <w:r w:rsidR="001E12BB">
        <w:rPr>
          <w:rFonts w:cs="Times New Roman"/>
          <w:szCs w:val="26"/>
        </w:rPr>
        <w:t xml:space="preserve">also </w:t>
      </w:r>
      <w:r w:rsidR="00231600" w:rsidRPr="00231600">
        <w:rPr>
          <w:rFonts w:cs="Times New Roman"/>
          <w:szCs w:val="26"/>
        </w:rPr>
        <w:t>reject</w:t>
      </w:r>
      <w:r>
        <w:rPr>
          <w:rFonts w:cs="Times New Roman"/>
          <w:szCs w:val="26"/>
        </w:rPr>
        <w:t>ed</w:t>
      </w:r>
      <w:r w:rsidR="00231600" w:rsidRPr="00231600">
        <w:rPr>
          <w:rFonts w:cs="Times New Roman"/>
          <w:szCs w:val="26"/>
        </w:rPr>
        <w:t xml:space="preserve"> the testimony of the Company’s general manager who has first-hand knowledge of the Company’s operations.</w:t>
      </w:r>
      <w:r>
        <w:rPr>
          <w:rFonts w:cs="Times New Roman"/>
          <w:szCs w:val="26"/>
        </w:rPr>
        <w:t xml:space="preserve">  </w:t>
      </w:r>
      <w:r w:rsidRPr="00000624">
        <w:rPr>
          <w:rFonts w:cs="Times New Roman"/>
          <w:i/>
          <w:szCs w:val="26"/>
        </w:rPr>
        <w:t>Id.</w:t>
      </w:r>
      <w:r>
        <w:rPr>
          <w:rFonts w:cs="Times New Roman"/>
          <w:szCs w:val="26"/>
        </w:rPr>
        <w:t xml:space="preserve"> </w:t>
      </w:r>
      <w:r w:rsidR="00231600" w:rsidRPr="00231600">
        <w:rPr>
          <w:rFonts w:cs="Times New Roman"/>
          <w:szCs w:val="26"/>
        </w:rPr>
        <w:t xml:space="preserve">  </w:t>
      </w:r>
      <w:r>
        <w:rPr>
          <w:rFonts w:cs="Times New Roman"/>
          <w:szCs w:val="26"/>
        </w:rPr>
        <w:t>The Company states, a</w:t>
      </w:r>
      <w:r w:rsidR="00231600" w:rsidRPr="00231600">
        <w:rPr>
          <w:rFonts w:cs="Times New Roman"/>
          <w:szCs w:val="26"/>
        </w:rPr>
        <w:t>s Mr. Lewis explained, “our accountants have estimated that our accounting cost will increase by approximately 15% due to increased effort and time that will be associated with the separate Marietta Division books.”  CWC St</w:t>
      </w:r>
      <w:r>
        <w:rPr>
          <w:rFonts w:cs="Times New Roman"/>
          <w:szCs w:val="26"/>
        </w:rPr>
        <w:t>.</w:t>
      </w:r>
      <w:r w:rsidR="00A749F3">
        <w:rPr>
          <w:rFonts w:cs="Times New Roman"/>
          <w:szCs w:val="26"/>
        </w:rPr>
        <w:t xml:space="preserve"> </w:t>
      </w:r>
      <w:r w:rsidR="00231600" w:rsidRPr="00231600">
        <w:rPr>
          <w:rFonts w:cs="Times New Roman"/>
          <w:szCs w:val="26"/>
        </w:rPr>
        <w:t>2R at 14:11-13; DTL R</w:t>
      </w:r>
      <w:r>
        <w:rPr>
          <w:rFonts w:cs="Times New Roman"/>
          <w:szCs w:val="26"/>
        </w:rPr>
        <w:t>.</w:t>
      </w:r>
      <w:r w:rsidR="00231600" w:rsidRPr="00231600">
        <w:rPr>
          <w:rFonts w:cs="Times New Roman"/>
          <w:szCs w:val="26"/>
        </w:rPr>
        <w:t>Exh</w:t>
      </w:r>
      <w:r>
        <w:rPr>
          <w:rFonts w:cs="Times New Roman"/>
          <w:szCs w:val="26"/>
        </w:rPr>
        <w:t>.</w:t>
      </w:r>
      <w:r w:rsidR="00A749F3">
        <w:rPr>
          <w:rFonts w:cs="Times New Roman"/>
          <w:szCs w:val="26"/>
        </w:rPr>
        <w:t xml:space="preserve"> </w:t>
      </w:r>
      <w:r w:rsidR="00231600" w:rsidRPr="00231600">
        <w:rPr>
          <w:rFonts w:cs="Times New Roman"/>
          <w:szCs w:val="26"/>
        </w:rPr>
        <w:t>2</w:t>
      </w:r>
      <w:r>
        <w:rPr>
          <w:rFonts w:cs="Times New Roman"/>
          <w:szCs w:val="26"/>
        </w:rPr>
        <w:t>.  The Company explains that t</w:t>
      </w:r>
      <w:r w:rsidR="00231600" w:rsidRPr="00231600">
        <w:rPr>
          <w:rFonts w:cs="Times New Roman"/>
          <w:szCs w:val="26"/>
        </w:rPr>
        <w:t xml:space="preserve">his statement is not meant to show that Columbia’s accounting costs will increase, but is a projection of future accounting expenses over and above those already allocated to both divisions and which will be associated with additional Marietta Division work.  </w:t>
      </w:r>
      <w:r w:rsidR="00FD0CB9">
        <w:rPr>
          <w:rFonts w:cs="Times New Roman"/>
          <w:szCs w:val="26"/>
        </w:rPr>
        <w:t>Columbia submits that t</w:t>
      </w:r>
      <w:r w:rsidR="00231600" w:rsidRPr="00231600">
        <w:rPr>
          <w:rFonts w:cs="Times New Roman"/>
          <w:szCs w:val="26"/>
        </w:rPr>
        <w:t xml:space="preserve">hese expenses will be allocated solely to the Marietta Division when they occur.  </w:t>
      </w:r>
      <w:r w:rsidR="00FD0CB9">
        <w:rPr>
          <w:rFonts w:cs="Times New Roman"/>
          <w:szCs w:val="26"/>
        </w:rPr>
        <w:t xml:space="preserve">CWC Exc. at 32. </w:t>
      </w:r>
      <w:r w:rsidR="00231600" w:rsidRPr="00231600">
        <w:rPr>
          <w:rFonts w:cs="Times New Roman"/>
          <w:szCs w:val="26"/>
        </w:rPr>
        <w:t xml:space="preserve">  </w:t>
      </w:r>
    </w:p>
    <w:p w:rsidR="00FD0CB9" w:rsidRDefault="00FD0CB9" w:rsidP="00231600">
      <w:pPr>
        <w:contextualSpacing/>
        <w:rPr>
          <w:rFonts w:cs="Times New Roman"/>
          <w:szCs w:val="26"/>
        </w:rPr>
      </w:pPr>
    </w:p>
    <w:p w:rsidR="00FD0CB9" w:rsidRDefault="00FD0CB9" w:rsidP="00231600">
      <w:pPr>
        <w:contextualSpacing/>
        <w:rPr>
          <w:rFonts w:cs="Times New Roman"/>
          <w:szCs w:val="26"/>
        </w:rPr>
      </w:pPr>
      <w:r>
        <w:rPr>
          <w:rFonts w:cs="Times New Roman"/>
          <w:szCs w:val="26"/>
        </w:rPr>
        <w:t>In its Reply Exceptions, the OCA explain</w:t>
      </w:r>
      <w:r w:rsidR="00A749F3">
        <w:rPr>
          <w:rFonts w:cs="Times New Roman"/>
          <w:szCs w:val="26"/>
        </w:rPr>
        <w:t>s</w:t>
      </w:r>
      <w:r w:rsidR="00DC4F55">
        <w:rPr>
          <w:rFonts w:cs="Times New Roman"/>
          <w:szCs w:val="26"/>
        </w:rPr>
        <w:t xml:space="preserve"> that one of the invoices </w:t>
      </w:r>
      <w:r>
        <w:rPr>
          <w:rFonts w:cs="Times New Roman"/>
          <w:szCs w:val="26"/>
        </w:rPr>
        <w:t>the Company</w:t>
      </w:r>
      <w:r w:rsidR="00DC4F55">
        <w:rPr>
          <w:rFonts w:cs="Times New Roman"/>
          <w:szCs w:val="26"/>
        </w:rPr>
        <w:t xml:space="preserve"> submitted to support its claim</w:t>
      </w:r>
      <w:r>
        <w:rPr>
          <w:rFonts w:cs="Times New Roman"/>
          <w:szCs w:val="26"/>
        </w:rPr>
        <w:t xml:space="preserve"> was for the Company’s tax preparation and audit in </w:t>
      </w:r>
      <w:r>
        <w:rPr>
          <w:rFonts w:cs="Times New Roman"/>
          <w:szCs w:val="26"/>
        </w:rPr>
        <w:lastRenderedPageBreak/>
        <w:t>the amount of $19,700.  The OCA submits that the Company stated that it will file one tax return and one audit that include</w:t>
      </w:r>
      <w:r w:rsidR="00A749F3">
        <w:rPr>
          <w:rFonts w:cs="Times New Roman"/>
          <w:szCs w:val="26"/>
        </w:rPr>
        <w:t>s</w:t>
      </w:r>
      <w:r>
        <w:rPr>
          <w:rFonts w:cs="Times New Roman"/>
          <w:szCs w:val="26"/>
        </w:rPr>
        <w:t xml:space="preserve"> both divisions. </w:t>
      </w:r>
      <w:r w:rsidR="00DC4F55">
        <w:rPr>
          <w:rFonts w:cs="Times New Roman"/>
          <w:szCs w:val="26"/>
        </w:rPr>
        <w:t xml:space="preserve"> </w:t>
      </w:r>
      <w:r>
        <w:rPr>
          <w:rFonts w:cs="Times New Roman"/>
          <w:szCs w:val="26"/>
        </w:rPr>
        <w:t xml:space="preserve">The OCA avers that this indicates that the $19,700 expense for the joint filing will be borne by the Columbia ratepayers, but the Marietta customers </w:t>
      </w:r>
      <w:r w:rsidR="00DC4F55">
        <w:rPr>
          <w:rFonts w:cs="Times New Roman"/>
          <w:szCs w:val="26"/>
        </w:rPr>
        <w:t xml:space="preserve">also </w:t>
      </w:r>
      <w:r>
        <w:rPr>
          <w:rFonts w:cs="Times New Roman"/>
          <w:szCs w:val="26"/>
        </w:rPr>
        <w:t>will benefit from the expense.</w:t>
      </w:r>
      <w:r w:rsidR="00DC4F55">
        <w:rPr>
          <w:rFonts w:cs="Times New Roman"/>
          <w:szCs w:val="26"/>
        </w:rPr>
        <w:t xml:space="preserve"> </w:t>
      </w:r>
      <w:r>
        <w:rPr>
          <w:rFonts w:cs="Times New Roman"/>
          <w:szCs w:val="26"/>
        </w:rPr>
        <w:t xml:space="preserve"> OCA R.Exc. at 20. </w:t>
      </w:r>
      <w:r w:rsidR="00DC4F55">
        <w:rPr>
          <w:rFonts w:cs="Times New Roman"/>
          <w:szCs w:val="26"/>
        </w:rPr>
        <w:t xml:space="preserve"> </w:t>
      </w:r>
      <w:r w:rsidR="00AA2EDE">
        <w:rPr>
          <w:rFonts w:cs="Times New Roman"/>
          <w:szCs w:val="26"/>
        </w:rPr>
        <w:t xml:space="preserve">The OCA points out that its 12% allocation to the Marietta Division only applies to the $19,700 cost of the audit and tax preparation and not the Company’s total accounting costs.  </w:t>
      </w:r>
      <w:r w:rsidR="00AA2EDE" w:rsidRPr="00AA2EDE">
        <w:rPr>
          <w:rFonts w:cs="Times New Roman"/>
          <w:i/>
          <w:szCs w:val="26"/>
        </w:rPr>
        <w:t>Id.</w:t>
      </w:r>
      <w:r w:rsidR="00AA2EDE">
        <w:rPr>
          <w:rFonts w:cs="Times New Roman"/>
          <w:szCs w:val="26"/>
        </w:rPr>
        <w:t xml:space="preserve"> at 21.    </w:t>
      </w:r>
      <w:r>
        <w:rPr>
          <w:rFonts w:cs="Times New Roman"/>
          <w:szCs w:val="26"/>
        </w:rPr>
        <w:t xml:space="preserve"> </w:t>
      </w:r>
    </w:p>
    <w:p w:rsidR="00FD0CB9" w:rsidRDefault="00FD0CB9" w:rsidP="004272F2">
      <w:pPr>
        <w:ind w:right="720"/>
        <w:contextualSpacing/>
        <w:rPr>
          <w:rFonts w:cs="Times New Roman"/>
          <w:b/>
          <w:szCs w:val="26"/>
        </w:rPr>
      </w:pPr>
    </w:p>
    <w:p w:rsidR="005B7CD7" w:rsidRDefault="005B7CD7" w:rsidP="00AA2EDE">
      <w:pPr>
        <w:keepNext/>
        <w:spacing w:line="240" w:lineRule="auto"/>
        <w:ind w:right="720"/>
        <w:contextualSpacing/>
        <w:rPr>
          <w:rFonts w:cs="Times New Roman"/>
          <w:b/>
          <w:szCs w:val="26"/>
        </w:rPr>
      </w:pPr>
      <w:r>
        <w:rPr>
          <w:rFonts w:cs="Times New Roman"/>
          <w:b/>
          <w:szCs w:val="26"/>
        </w:rPr>
        <w:tab/>
        <w:t>d.</w:t>
      </w:r>
      <w:r>
        <w:rPr>
          <w:rFonts w:cs="Times New Roman"/>
          <w:b/>
          <w:szCs w:val="26"/>
        </w:rPr>
        <w:tab/>
        <w:t>Disposition</w:t>
      </w:r>
    </w:p>
    <w:p w:rsidR="00AA2EDE" w:rsidRDefault="00AA2EDE" w:rsidP="00AA2EDE">
      <w:pPr>
        <w:keepNext/>
        <w:ind w:right="720"/>
        <w:contextualSpacing/>
        <w:rPr>
          <w:rFonts w:cs="Times New Roman"/>
          <w:b/>
          <w:szCs w:val="26"/>
        </w:rPr>
      </w:pPr>
    </w:p>
    <w:p w:rsidR="00AA2EDE" w:rsidRPr="00A749F3" w:rsidRDefault="00AA2EDE" w:rsidP="00AA2EDE">
      <w:pPr>
        <w:keepNext/>
        <w:ind w:right="720"/>
        <w:contextualSpacing/>
        <w:rPr>
          <w:rFonts w:cs="Times New Roman"/>
          <w:szCs w:val="26"/>
        </w:rPr>
      </w:pPr>
      <w:r w:rsidRPr="00AA2EDE">
        <w:rPr>
          <w:rFonts w:cs="Times New Roman"/>
          <w:szCs w:val="26"/>
        </w:rPr>
        <w:t>Because the OCA</w:t>
      </w:r>
      <w:r>
        <w:rPr>
          <w:rFonts w:cs="Times New Roman"/>
          <w:szCs w:val="26"/>
        </w:rPr>
        <w:t>’s proposed allocation of accounting costs is limited to the audit and tax preparation, and the OCA has demonstrated that the Marietta Divisio</w:t>
      </w:r>
      <w:r w:rsidRPr="00A749F3">
        <w:rPr>
          <w:rFonts w:cs="Times New Roman"/>
          <w:szCs w:val="26"/>
        </w:rPr>
        <w:t xml:space="preserve">n will benefit from these services, we shall adopt the OCA’s adjustment.  </w:t>
      </w:r>
    </w:p>
    <w:p w:rsidR="00053D6C" w:rsidRPr="00A749F3" w:rsidRDefault="00053D6C" w:rsidP="004272F2">
      <w:pPr>
        <w:ind w:left="720" w:right="720"/>
        <w:contextualSpacing/>
        <w:rPr>
          <w:rFonts w:cs="Times New Roman"/>
          <w:szCs w:val="26"/>
        </w:rPr>
      </w:pPr>
    </w:p>
    <w:p w:rsidR="005B7CD7" w:rsidRPr="00A749F3" w:rsidRDefault="005B7CD7" w:rsidP="00992768">
      <w:pPr>
        <w:pStyle w:val="Heading3"/>
        <w:rPr>
          <w:rFonts w:ascii="Times New Roman" w:hAnsi="Times New Roman" w:cs="Times New Roman"/>
        </w:rPr>
      </w:pPr>
      <w:bookmarkStart w:id="51" w:name="_Toc367958631"/>
      <w:bookmarkStart w:id="52" w:name="_Toc378080175"/>
      <w:r w:rsidRPr="00A749F3">
        <w:rPr>
          <w:rFonts w:ascii="Times New Roman" w:hAnsi="Times New Roman" w:cs="Times New Roman"/>
        </w:rPr>
        <w:t>13</w:t>
      </w:r>
      <w:r w:rsidR="002F070B" w:rsidRPr="00A749F3">
        <w:rPr>
          <w:rFonts w:ascii="Times New Roman" w:hAnsi="Times New Roman" w:cs="Times New Roman"/>
        </w:rPr>
        <w:t>.</w:t>
      </w:r>
      <w:r w:rsidR="002F070B" w:rsidRPr="00A749F3">
        <w:rPr>
          <w:rFonts w:ascii="Times New Roman" w:hAnsi="Times New Roman" w:cs="Times New Roman"/>
        </w:rPr>
        <w:tab/>
        <w:t xml:space="preserve">Office </w:t>
      </w:r>
      <w:r w:rsidR="001E12BB" w:rsidRPr="00A749F3">
        <w:rPr>
          <w:rFonts w:ascii="Times New Roman" w:hAnsi="Times New Roman" w:cs="Times New Roman"/>
        </w:rPr>
        <w:t xml:space="preserve">and Utilities </w:t>
      </w:r>
      <w:r w:rsidR="002F070B" w:rsidRPr="00A749F3">
        <w:rPr>
          <w:rFonts w:ascii="Times New Roman" w:hAnsi="Times New Roman" w:cs="Times New Roman"/>
        </w:rPr>
        <w:t xml:space="preserve">Expenses </w:t>
      </w:r>
      <w:bookmarkEnd w:id="51"/>
      <w:bookmarkEnd w:id="52"/>
    </w:p>
    <w:p w:rsidR="005B7CD7" w:rsidRPr="00A749F3" w:rsidRDefault="005B7CD7" w:rsidP="005B7CD7">
      <w:pPr>
        <w:pStyle w:val="Heading2"/>
        <w:numPr>
          <w:ilvl w:val="0"/>
          <w:numId w:val="0"/>
        </w:numPr>
        <w:spacing w:line="360" w:lineRule="auto"/>
        <w:ind w:left="1440"/>
        <w:contextualSpacing/>
        <w:rPr>
          <w:rFonts w:ascii="Times New Roman" w:hAnsi="Times New Roman"/>
          <w:bCs w:val="0"/>
          <w:i/>
          <w:iCs w:val="0"/>
          <w:szCs w:val="26"/>
        </w:rPr>
      </w:pPr>
    </w:p>
    <w:p w:rsidR="00CA6A9D" w:rsidRPr="00A749F3" w:rsidRDefault="005B7CD7" w:rsidP="00AA2EDE">
      <w:pPr>
        <w:pStyle w:val="Heading2"/>
        <w:numPr>
          <w:ilvl w:val="0"/>
          <w:numId w:val="0"/>
        </w:numPr>
        <w:ind w:left="1440" w:firstLine="720"/>
        <w:contextualSpacing/>
        <w:rPr>
          <w:rFonts w:ascii="Times New Roman" w:hAnsi="Times New Roman"/>
        </w:rPr>
      </w:pPr>
      <w:bookmarkStart w:id="53" w:name="_Toc378012752"/>
      <w:bookmarkStart w:id="54" w:name="_Toc378079859"/>
      <w:bookmarkStart w:id="55" w:name="_Toc378080176"/>
      <w:r w:rsidRPr="00A749F3">
        <w:rPr>
          <w:rFonts w:ascii="Times New Roman" w:hAnsi="Times New Roman"/>
        </w:rPr>
        <w:t>a.</w:t>
      </w:r>
      <w:r w:rsidRPr="00A749F3">
        <w:rPr>
          <w:rFonts w:ascii="Times New Roman" w:hAnsi="Times New Roman"/>
        </w:rPr>
        <w:tab/>
        <w:t>Positions of the Parties</w:t>
      </w:r>
      <w:bookmarkEnd w:id="53"/>
      <w:bookmarkEnd w:id="54"/>
      <w:bookmarkEnd w:id="55"/>
      <w:r w:rsidR="000E74AA" w:rsidRPr="00A749F3">
        <w:rPr>
          <w:rFonts w:ascii="Times New Roman" w:hAnsi="Times New Roman"/>
        </w:rPr>
        <w:fldChar w:fldCharType="begin"/>
      </w:r>
      <w:r w:rsidR="000E74AA" w:rsidRPr="00A749F3">
        <w:rPr>
          <w:rFonts w:ascii="Times New Roman" w:hAnsi="Times New Roman"/>
        </w:rPr>
        <w:instrText xml:space="preserve"> TC "</w:instrText>
      </w:r>
      <w:bookmarkStart w:id="56" w:name="_Toc372704700"/>
      <w:r w:rsidR="000E74AA" w:rsidRPr="00A749F3">
        <w:rPr>
          <w:rFonts w:ascii="Times New Roman" w:hAnsi="Times New Roman"/>
        </w:rPr>
        <w:instrText>15.</w:instrText>
      </w:r>
      <w:r w:rsidR="000E74AA" w:rsidRPr="00A749F3">
        <w:rPr>
          <w:rFonts w:ascii="Times New Roman" w:hAnsi="Times New Roman"/>
        </w:rPr>
        <w:tab/>
        <w:instrText>Office Expenses and Utilities</w:instrText>
      </w:r>
      <w:bookmarkEnd w:id="56"/>
      <w:r w:rsidR="000E74AA" w:rsidRPr="00A749F3">
        <w:rPr>
          <w:rFonts w:ascii="Times New Roman" w:hAnsi="Times New Roman"/>
        </w:rPr>
        <w:instrText xml:space="preserve">" \f C \l "3" </w:instrText>
      </w:r>
      <w:r w:rsidR="000E74AA" w:rsidRPr="00A749F3">
        <w:rPr>
          <w:rFonts w:ascii="Times New Roman" w:hAnsi="Times New Roman"/>
        </w:rPr>
        <w:fldChar w:fldCharType="end"/>
      </w:r>
    </w:p>
    <w:p w:rsidR="009D3F59" w:rsidRPr="00A749F3" w:rsidRDefault="009D3F59" w:rsidP="004272F2">
      <w:pPr>
        <w:contextualSpacing/>
        <w:rPr>
          <w:rFonts w:cs="Times New Roman"/>
          <w:szCs w:val="26"/>
        </w:rPr>
      </w:pPr>
    </w:p>
    <w:p w:rsidR="00CA1D69" w:rsidRDefault="00CA6A9D" w:rsidP="004272F2">
      <w:pPr>
        <w:adjustRightInd w:val="0"/>
        <w:contextualSpacing/>
        <w:rPr>
          <w:rFonts w:cs="Times New Roman"/>
          <w:color w:val="000000"/>
          <w:szCs w:val="26"/>
        </w:rPr>
      </w:pPr>
      <w:r w:rsidRPr="00A749F3">
        <w:rPr>
          <w:rFonts w:cs="Times New Roman"/>
          <w:color w:val="000000"/>
          <w:szCs w:val="26"/>
        </w:rPr>
        <w:t xml:space="preserve">The Company </w:t>
      </w:r>
      <w:r w:rsidR="001E12BB" w:rsidRPr="00A749F3">
        <w:rPr>
          <w:rFonts w:cs="Times New Roman"/>
          <w:color w:val="000000"/>
          <w:szCs w:val="26"/>
        </w:rPr>
        <w:t xml:space="preserve">has made a </w:t>
      </w:r>
      <w:r w:rsidRPr="00A749F3">
        <w:rPr>
          <w:rFonts w:cs="Times New Roman"/>
          <w:color w:val="000000"/>
          <w:szCs w:val="26"/>
        </w:rPr>
        <w:t xml:space="preserve">future test year </w:t>
      </w:r>
      <w:r w:rsidR="001E12BB" w:rsidRPr="00A749F3">
        <w:rPr>
          <w:rFonts w:cs="Times New Roman"/>
          <w:color w:val="000000"/>
          <w:szCs w:val="26"/>
        </w:rPr>
        <w:t xml:space="preserve">claim </w:t>
      </w:r>
      <w:r w:rsidRPr="00A749F3">
        <w:rPr>
          <w:rFonts w:cs="Times New Roman"/>
          <w:color w:val="000000"/>
          <w:szCs w:val="26"/>
        </w:rPr>
        <w:t xml:space="preserve">for Office </w:t>
      </w:r>
      <w:r w:rsidR="001E12BB" w:rsidRPr="00A749F3">
        <w:rPr>
          <w:rFonts w:cs="Times New Roman"/>
          <w:color w:val="000000"/>
          <w:szCs w:val="26"/>
        </w:rPr>
        <w:t xml:space="preserve">and Utility </w:t>
      </w:r>
      <w:r w:rsidR="00DC4F55">
        <w:rPr>
          <w:rFonts w:cs="Times New Roman"/>
          <w:color w:val="000000"/>
          <w:szCs w:val="26"/>
        </w:rPr>
        <w:t>e</w:t>
      </w:r>
      <w:r w:rsidRPr="00A749F3">
        <w:rPr>
          <w:rFonts w:cs="Times New Roman"/>
          <w:color w:val="000000"/>
          <w:szCs w:val="26"/>
        </w:rPr>
        <w:t>xpens</w:t>
      </w:r>
      <w:r w:rsidRPr="007F70DF">
        <w:rPr>
          <w:rFonts w:cs="Times New Roman"/>
          <w:color w:val="000000"/>
          <w:szCs w:val="26"/>
        </w:rPr>
        <w:t>es of $18,000.  OCA St. 1 at 46; OCA St. 1S at 29-30.  Th</w:t>
      </w:r>
      <w:r w:rsidR="00A749F3">
        <w:rPr>
          <w:rFonts w:cs="Times New Roman"/>
          <w:color w:val="000000"/>
          <w:szCs w:val="26"/>
        </w:rPr>
        <w:t>e OCA argued</w:t>
      </w:r>
      <w:r w:rsidR="00171BC6" w:rsidRPr="007F70DF">
        <w:rPr>
          <w:rFonts w:cs="Times New Roman"/>
          <w:color w:val="000000"/>
          <w:szCs w:val="26"/>
        </w:rPr>
        <w:t xml:space="preserve"> that th</w:t>
      </w:r>
      <w:r w:rsidRPr="007F70DF">
        <w:rPr>
          <w:rFonts w:cs="Times New Roman"/>
          <w:color w:val="000000"/>
          <w:szCs w:val="26"/>
        </w:rPr>
        <w:t xml:space="preserve">is claim should be adjusted </w:t>
      </w:r>
      <w:r w:rsidR="001E12BB">
        <w:rPr>
          <w:rFonts w:cs="Times New Roman"/>
          <w:color w:val="000000"/>
          <w:szCs w:val="26"/>
        </w:rPr>
        <w:t xml:space="preserve">downward </w:t>
      </w:r>
      <w:r w:rsidRPr="007F70DF">
        <w:rPr>
          <w:rFonts w:cs="Times New Roman"/>
          <w:color w:val="000000"/>
          <w:szCs w:val="26"/>
        </w:rPr>
        <w:t xml:space="preserve">by $774 to reflect a 4.3% allocation to the Marietta Division.  OCA St. 1S at 30.  The </w:t>
      </w:r>
      <w:r w:rsidR="001E12BB">
        <w:rPr>
          <w:rFonts w:cs="Times New Roman"/>
          <w:color w:val="000000"/>
          <w:szCs w:val="26"/>
        </w:rPr>
        <w:t>O</w:t>
      </w:r>
      <w:r w:rsidRPr="007F70DF">
        <w:rPr>
          <w:rFonts w:cs="Times New Roman"/>
          <w:color w:val="000000"/>
          <w:szCs w:val="26"/>
        </w:rPr>
        <w:t xml:space="preserve">ffice and </w:t>
      </w:r>
      <w:r w:rsidR="001E12BB">
        <w:rPr>
          <w:rFonts w:cs="Times New Roman"/>
          <w:color w:val="000000"/>
          <w:szCs w:val="26"/>
        </w:rPr>
        <w:t>U</w:t>
      </w:r>
      <w:r w:rsidR="00DC4F55">
        <w:rPr>
          <w:rFonts w:cs="Times New Roman"/>
          <w:color w:val="000000"/>
          <w:szCs w:val="26"/>
        </w:rPr>
        <w:t>tility e</w:t>
      </w:r>
      <w:r w:rsidRPr="007F70DF">
        <w:rPr>
          <w:rFonts w:cs="Times New Roman"/>
          <w:color w:val="000000"/>
          <w:szCs w:val="26"/>
        </w:rPr>
        <w:t>xpenses are for software support, financial software, and office computers.  OCA St. 1 at 46.  These costs</w:t>
      </w:r>
      <w:r w:rsidR="0040751C" w:rsidRPr="007F70DF">
        <w:rPr>
          <w:rFonts w:cs="Times New Roman"/>
          <w:color w:val="000000"/>
          <w:szCs w:val="26"/>
        </w:rPr>
        <w:t xml:space="preserve"> are</w:t>
      </w:r>
      <w:r w:rsidRPr="007F70DF">
        <w:rPr>
          <w:rFonts w:cs="Times New Roman"/>
          <w:color w:val="000000"/>
          <w:szCs w:val="26"/>
        </w:rPr>
        <w:t xml:space="preserve"> “related directly to the number of bills [the Company] print</w:t>
      </w:r>
      <w:r w:rsidR="0040751C" w:rsidRPr="007F70DF">
        <w:rPr>
          <w:rFonts w:cs="Times New Roman"/>
          <w:color w:val="000000"/>
          <w:szCs w:val="26"/>
        </w:rPr>
        <w:t>s</w:t>
      </w:r>
      <w:r w:rsidRPr="007F70DF">
        <w:rPr>
          <w:rFonts w:cs="Times New Roman"/>
          <w:color w:val="000000"/>
          <w:szCs w:val="26"/>
        </w:rPr>
        <w:t xml:space="preserve"> and send</w:t>
      </w:r>
      <w:r w:rsidR="0040751C" w:rsidRPr="007F70DF">
        <w:rPr>
          <w:rFonts w:cs="Times New Roman"/>
          <w:color w:val="000000"/>
          <w:szCs w:val="26"/>
        </w:rPr>
        <w:t>s</w:t>
      </w:r>
      <w:r w:rsidRPr="007F70DF">
        <w:rPr>
          <w:rFonts w:cs="Times New Roman"/>
          <w:color w:val="000000"/>
          <w:szCs w:val="26"/>
        </w:rPr>
        <w:t xml:space="preserve"> and to the payments [the Company] receives.”  CWC St. 1R at 16.  The Columbia Division produces 105,600 bills per year and the Marietta Division produces 4,690 bills per year.  C</w:t>
      </w:r>
      <w:r w:rsidR="00CA1D69">
        <w:rPr>
          <w:rFonts w:cs="Times New Roman"/>
          <w:color w:val="000000"/>
          <w:szCs w:val="26"/>
        </w:rPr>
        <w:t xml:space="preserve">WC St. 1R at 16.  </w:t>
      </w:r>
      <w:r w:rsidR="00C3406D">
        <w:rPr>
          <w:rFonts w:cs="Times New Roman"/>
          <w:color w:val="000000"/>
          <w:szCs w:val="26"/>
        </w:rPr>
        <w:t>B</w:t>
      </w:r>
      <w:r w:rsidR="00C3406D" w:rsidRPr="007F70DF">
        <w:rPr>
          <w:rFonts w:cs="Times New Roman"/>
          <w:color w:val="000000"/>
          <w:szCs w:val="26"/>
        </w:rPr>
        <w:t xml:space="preserve">oth Columbia and the OCA agree that 4.3% is an accurate reflection of the </w:t>
      </w:r>
      <w:r w:rsidR="001E12BB">
        <w:rPr>
          <w:rFonts w:cs="Times New Roman"/>
          <w:color w:val="000000"/>
          <w:szCs w:val="26"/>
        </w:rPr>
        <w:t>O</w:t>
      </w:r>
      <w:r w:rsidR="00C3406D" w:rsidRPr="007F70DF">
        <w:rPr>
          <w:rFonts w:cs="Times New Roman"/>
          <w:color w:val="000000"/>
          <w:szCs w:val="26"/>
        </w:rPr>
        <w:t xml:space="preserve">ffice and </w:t>
      </w:r>
      <w:r w:rsidR="001E12BB">
        <w:rPr>
          <w:rFonts w:cs="Times New Roman"/>
          <w:color w:val="000000"/>
          <w:szCs w:val="26"/>
        </w:rPr>
        <w:t>U</w:t>
      </w:r>
      <w:r w:rsidR="00DC4F55">
        <w:rPr>
          <w:rFonts w:cs="Times New Roman"/>
          <w:color w:val="000000"/>
          <w:szCs w:val="26"/>
        </w:rPr>
        <w:t>tility e</w:t>
      </w:r>
      <w:r w:rsidR="00C3406D" w:rsidRPr="007F70DF">
        <w:rPr>
          <w:rFonts w:cs="Times New Roman"/>
          <w:color w:val="000000"/>
          <w:szCs w:val="26"/>
        </w:rPr>
        <w:t xml:space="preserve">xpenses that should be allocated to the Marietta Division.  OCA St. 1S at 30; CWC St. 1R at 16.  </w:t>
      </w:r>
    </w:p>
    <w:p w:rsidR="00CA1D69" w:rsidRDefault="00CA1D69" w:rsidP="004272F2">
      <w:pPr>
        <w:adjustRightInd w:val="0"/>
        <w:contextualSpacing/>
        <w:rPr>
          <w:rFonts w:cs="Times New Roman"/>
          <w:color w:val="000000"/>
          <w:szCs w:val="26"/>
        </w:rPr>
      </w:pPr>
    </w:p>
    <w:p w:rsidR="00CA1D69" w:rsidRDefault="00CA1D69" w:rsidP="002D1F41">
      <w:pPr>
        <w:keepNext/>
        <w:adjustRightInd w:val="0"/>
        <w:spacing w:line="240" w:lineRule="auto"/>
        <w:ind w:firstLine="720"/>
        <w:contextualSpacing/>
        <w:rPr>
          <w:rFonts w:cs="Times New Roman"/>
          <w:b/>
          <w:color w:val="000000"/>
          <w:szCs w:val="26"/>
        </w:rPr>
      </w:pPr>
      <w:r>
        <w:rPr>
          <w:rFonts w:cs="Times New Roman"/>
          <w:color w:val="000000"/>
          <w:szCs w:val="26"/>
        </w:rPr>
        <w:lastRenderedPageBreak/>
        <w:t xml:space="preserve"> </w:t>
      </w:r>
      <w:r>
        <w:rPr>
          <w:rFonts w:cs="Times New Roman"/>
          <w:color w:val="000000"/>
          <w:szCs w:val="26"/>
        </w:rPr>
        <w:tab/>
      </w:r>
      <w:r>
        <w:rPr>
          <w:rFonts w:cs="Times New Roman"/>
          <w:color w:val="000000"/>
          <w:szCs w:val="26"/>
        </w:rPr>
        <w:tab/>
      </w:r>
      <w:r>
        <w:rPr>
          <w:rFonts w:cs="Times New Roman"/>
          <w:b/>
          <w:color w:val="000000"/>
          <w:szCs w:val="26"/>
        </w:rPr>
        <w:t>b.</w:t>
      </w:r>
      <w:r>
        <w:rPr>
          <w:rFonts w:cs="Times New Roman"/>
          <w:b/>
          <w:color w:val="000000"/>
          <w:szCs w:val="26"/>
        </w:rPr>
        <w:tab/>
        <w:t>ALJ’s Recommendation</w:t>
      </w:r>
      <w:r w:rsidR="00C3406D">
        <w:rPr>
          <w:rFonts w:cs="Times New Roman"/>
          <w:b/>
          <w:color w:val="000000"/>
          <w:szCs w:val="26"/>
        </w:rPr>
        <w:t xml:space="preserve"> and Disposition</w:t>
      </w:r>
    </w:p>
    <w:p w:rsidR="00CA1D69" w:rsidRDefault="00CA1D69" w:rsidP="002D1F41">
      <w:pPr>
        <w:keepNext/>
        <w:adjustRightInd w:val="0"/>
        <w:ind w:firstLine="720"/>
        <w:contextualSpacing/>
        <w:rPr>
          <w:rFonts w:cs="Times New Roman"/>
          <w:b/>
          <w:color w:val="000000"/>
          <w:szCs w:val="26"/>
        </w:rPr>
      </w:pPr>
    </w:p>
    <w:p w:rsidR="00CA1D69" w:rsidRDefault="00C3406D" w:rsidP="002D1F41">
      <w:pPr>
        <w:keepNext/>
        <w:adjustRightInd w:val="0"/>
        <w:contextualSpacing/>
        <w:rPr>
          <w:rFonts w:cs="Times New Roman"/>
          <w:color w:val="000000"/>
          <w:szCs w:val="26"/>
        </w:rPr>
      </w:pPr>
      <w:r>
        <w:rPr>
          <w:rFonts w:cs="Times New Roman"/>
          <w:color w:val="000000"/>
          <w:szCs w:val="26"/>
        </w:rPr>
        <w:t>Because b</w:t>
      </w:r>
      <w:r w:rsidR="00CA6A9D" w:rsidRPr="007F70DF">
        <w:rPr>
          <w:rFonts w:cs="Times New Roman"/>
          <w:color w:val="000000"/>
          <w:szCs w:val="26"/>
        </w:rPr>
        <w:t>oth</w:t>
      </w:r>
      <w:r w:rsidR="00171BC6" w:rsidRPr="007F70DF">
        <w:rPr>
          <w:rFonts w:cs="Times New Roman"/>
          <w:color w:val="000000"/>
          <w:szCs w:val="26"/>
        </w:rPr>
        <w:t xml:space="preserve"> Columbia</w:t>
      </w:r>
      <w:r w:rsidR="00CA6A9D" w:rsidRPr="007F70DF">
        <w:rPr>
          <w:rFonts w:cs="Times New Roman"/>
          <w:color w:val="000000"/>
          <w:szCs w:val="26"/>
        </w:rPr>
        <w:t xml:space="preserve"> and the OCA agree</w:t>
      </w:r>
      <w:r w:rsidR="00A749F3">
        <w:rPr>
          <w:rFonts w:cs="Times New Roman"/>
          <w:color w:val="000000"/>
          <w:szCs w:val="26"/>
        </w:rPr>
        <w:t>d</w:t>
      </w:r>
      <w:r w:rsidR="00CA6A9D" w:rsidRPr="007F70DF">
        <w:rPr>
          <w:rFonts w:cs="Times New Roman"/>
          <w:color w:val="000000"/>
          <w:szCs w:val="26"/>
        </w:rPr>
        <w:t xml:space="preserve"> </w:t>
      </w:r>
      <w:r>
        <w:rPr>
          <w:rFonts w:cs="Times New Roman"/>
          <w:color w:val="000000"/>
          <w:szCs w:val="26"/>
        </w:rPr>
        <w:t xml:space="preserve">on the allocation and the adjustment, the ALJ recommended </w:t>
      </w:r>
      <w:r w:rsidR="00CA6A9D" w:rsidRPr="007F70DF">
        <w:rPr>
          <w:rFonts w:cs="Times New Roman"/>
          <w:color w:val="000000"/>
          <w:szCs w:val="26"/>
        </w:rPr>
        <w:t xml:space="preserve">that 4.3% </w:t>
      </w:r>
      <w:r>
        <w:rPr>
          <w:rFonts w:cs="Times New Roman"/>
          <w:color w:val="000000"/>
          <w:szCs w:val="26"/>
        </w:rPr>
        <w:t xml:space="preserve">or $774 </w:t>
      </w:r>
      <w:r w:rsidR="00CA6A9D" w:rsidRPr="007F70DF">
        <w:rPr>
          <w:rFonts w:cs="Times New Roman"/>
          <w:color w:val="000000"/>
          <w:szCs w:val="26"/>
        </w:rPr>
        <w:t xml:space="preserve">of the </w:t>
      </w:r>
      <w:r w:rsidR="007A2C47">
        <w:rPr>
          <w:rFonts w:cs="Times New Roman"/>
          <w:color w:val="000000"/>
          <w:szCs w:val="26"/>
        </w:rPr>
        <w:t>O</w:t>
      </w:r>
      <w:r w:rsidR="00CA6A9D" w:rsidRPr="007F70DF">
        <w:rPr>
          <w:rFonts w:cs="Times New Roman"/>
          <w:color w:val="000000"/>
          <w:szCs w:val="26"/>
        </w:rPr>
        <w:t xml:space="preserve">ffice and </w:t>
      </w:r>
      <w:r w:rsidR="007A2C47">
        <w:rPr>
          <w:rFonts w:cs="Times New Roman"/>
          <w:color w:val="000000"/>
          <w:szCs w:val="26"/>
        </w:rPr>
        <w:t>U</w:t>
      </w:r>
      <w:r w:rsidR="00DC4F55">
        <w:rPr>
          <w:rFonts w:cs="Times New Roman"/>
          <w:color w:val="000000"/>
          <w:szCs w:val="26"/>
        </w:rPr>
        <w:t xml:space="preserve">tility expenses should </w:t>
      </w:r>
      <w:r w:rsidR="007A2C47">
        <w:rPr>
          <w:rFonts w:cs="Times New Roman"/>
          <w:color w:val="000000"/>
          <w:szCs w:val="26"/>
        </w:rPr>
        <w:t>b</w:t>
      </w:r>
      <w:r w:rsidR="00CA6A9D" w:rsidRPr="007F70DF">
        <w:rPr>
          <w:rFonts w:cs="Times New Roman"/>
          <w:color w:val="000000"/>
          <w:szCs w:val="26"/>
        </w:rPr>
        <w:t>e allocated to the Marietta Division</w:t>
      </w:r>
      <w:r w:rsidR="007A2C47">
        <w:rPr>
          <w:rFonts w:cs="Times New Roman"/>
          <w:color w:val="000000"/>
          <w:szCs w:val="26"/>
        </w:rPr>
        <w:t>.</w:t>
      </w:r>
      <w:r>
        <w:rPr>
          <w:rFonts w:cs="Times New Roman"/>
          <w:color w:val="000000"/>
          <w:szCs w:val="26"/>
        </w:rPr>
        <w:t xml:space="preserve"> </w:t>
      </w:r>
      <w:r w:rsidR="00A749F3">
        <w:rPr>
          <w:rFonts w:cs="Times New Roman"/>
          <w:color w:val="000000"/>
          <w:szCs w:val="26"/>
        </w:rPr>
        <w:t xml:space="preserve"> R.</w:t>
      </w:r>
      <w:r w:rsidR="007A2C47">
        <w:rPr>
          <w:rFonts w:cs="Times New Roman"/>
          <w:color w:val="000000"/>
          <w:szCs w:val="26"/>
        </w:rPr>
        <w:t>D. at 35.  W</w:t>
      </w:r>
      <w:r w:rsidR="00A749F3">
        <w:rPr>
          <w:rFonts w:cs="Times New Roman"/>
          <w:color w:val="000000"/>
          <w:szCs w:val="26"/>
        </w:rPr>
        <w:t>e concur.</w:t>
      </w:r>
      <w:r w:rsidR="00DC4F55">
        <w:rPr>
          <w:rFonts w:cs="Times New Roman"/>
          <w:color w:val="000000"/>
          <w:szCs w:val="26"/>
        </w:rPr>
        <w:t xml:space="preserve">  Notably, however, t</w:t>
      </w:r>
      <w:r>
        <w:rPr>
          <w:rFonts w:cs="Times New Roman"/>
          <w:color w:val="000000"/>
          <w:szCs w:val="26"/>
        </w:rPr>
        <w:t>his adjustment is not reflected in the Company’s revised claim</w:t>
      </w:r>
      <w:r w:rsidR="00CA6A9D" w:rsidRPr="007F70DF">
        <w:rPr>
          <w:rFonts w:cs="Times New Roman"/>
          <w:color w:val="000000"/>
          <w:szCs w:val="26"/>
        </w:rPr>
        <w:t xml:space="preserve"> </w:t>
      </w:r>
      <w:r>
        <w:rPr>
          <w:rFonts w:cs="Times New Roman"/>
          <w:color w:val="000000"/>
          <w:szCs w:val="26"/>
        </w:rPr>
        <w:t xml:space="preserve">and, therefore, the adjustment will be made as part of this Opinion and Order. </w:t>
      </w:r>
      <w:r w:rsidR="00CA6A9D" w:rsidRPr="007F70DF">
        <w:rPr>
          <w:rFonts w:cs="Times New Roman"/>
          <w:color w:val="000000"/>
          <w:szCs w:val="26"/>
        </w:rPr>
        <w:t xml:space="preserve"> </w:t>
      </w:r>
    </w:p>
    <w:p w:rsidR="00C3406D" w:rsidRDefault="00C3406D" w:rsidP="00CA1D69">
      <w:pPr>
        <w:adjustRightInd w:val="0"/>
        <w:contextualSpacing/>
        <w:rPr>
          <w:rFonts w:cs="Times New Roman"/>
          <w:color w:val="000000"/>
          <w:szCs w:val="26"/>
        </w:rPr>
      </w:pPr>
    </w:p>
    <w:p w:rsidR="002F070B" w:rsidRPr="00C3406D" w:rsidRDefault="00CA1D69" w:rsidP="00992768">
      <w:pPr>
        <w:pStyle w:val="Heading3"/>
        <w:rPr>
          <w:i/>
        </w:rPr>
      </w:pPr>
      <w:bookmarkStart w:id="57" w:name="_Toc367958633"/>
      <w:bookmarkStart w:id="58" w:name="_Toc378080177"/>
      <w:r w:rsidRPr="00C3406D">
        <w:rPr>
          <w:rStyle w:val="Heading3Char"/>
          <w:rFonts w:ascii="Times New Roman" w:hAnsi="Times New Roman" w:cs="Times New Roman"/>
          <w:b/>
        </w:rPr>
        <w:t>14</w:t>
      </w:r>
      <w:r w:rsidR="002F070B" w:rsidRPr="00C3406D">
        <w:rPr>
          <w:rStyle w:val="Heading3Char"/>
          <w:rFonts w:ascii="Times New Roman" w:hAnsi="Times New Roman" w:cs="Times New Roman"/>
          <w:b/>
        </w:rPr>
        <w:t>.</w:t>
      </w:r>
      <w:r w:rsidR="002F070B" w:rsidRPr="00C3406D">
        <w:rPr>
          <w:rStyle w:val="Heading3Char"/>
          <w:rFonts w:ascii="Times New Roman" w:hAnsi="Times New Roman" w:cs="Times New Roman"/>
          <w:b/>
        </w:rPr>
        <w:tab/>
      </w:r>
      <w:r w:rsidR="00DA7448" w:rsidRPr="00C3406D">
        <w:rPr>
          <w:rStyle w:val="Heading3Char"/>
          <w:rFonts w:ascii="Times New Roman" w:hAnsi="Times New Roman" w:cs="Times New Roman"/>
          <w:b/>
        </w:rPr>
        <w:t>Officer Salaries</w:t>
      </w:r>
      <w:r w:rsidR="00CA6A9D" w:rsidRPr="00C3406D">
        <w:rPr>
          <w:rStyle w:val="Heading3Char"/>
          <w:rFonts w:ascii="Times New Roman" w:hAnsi="Times New Roman" w:cs="Times New Roman"/>
          <w:b/>
        </w:rPr>
        <w:t xml:space="preserve"> and Director</w:t>
      </w:r>
      <w:bookmarkEnd w:id="57"/>
      <w:r w:rsidR="00DA7448" w:rsidRPr="00C3406D">
        <w:rPr>
          <w:rStyle w:val="Heading3Char"/>
          <w:rFonts w:ascii="Times New Roman" w:hAnsi="Times New Roman" w:cs="Times New Roman"/>
          <w:b/>
        </w:rPr>
        <w:t xml:space="preserve"> Fees</w:t>
      </w:r>
      <w:bookmarkEnd w:id="58"/>
      <w:r w:rsidR="000E74AA" w:rsidRPr="00C3406D">
        <w:rPr>
          <w:i/>
        </w:rPr>
        <w:fldChar w:fldCharType="begin"/>
      </w:r>
      <w:r w:rsidR="000E74AA" w:rsidRPr="00C3406D">
        <w:instrText xml:space="preserve"> TC "</w:instrText>
      </w:r>
      <w:bookmarkStart w:id="59" w:name="_Toc372704701"/>
      <w:r w:rsidR="000E74AA" w:rsidRPr="00C3406D">
        <w:rPr>
          <w:i/>
        </w:rPr>
        <w:instrText>16.</w:instrText>
      </w:r>
      <w:r w:rsidR="000E74AA" w:rsidRPr="00C3406D">
        <w:rPr>
          <w:i/>
        </w:rPr>
        <w:tab/>
        <w:instrText>Officers and Directors</w:instrText>
      </w:r>
      <w:bookmarkEnd w:id="59"/>
      <w:r w:rsidR="000E74AA" w:rsidRPr="00C3406D">
        <w:instrText xml:space="preserve">" \f C \l "3" </w:instrText>
      </w:r>
      <w:r w:rsidR="000E74AA" w:rsidRPr="00C3406D">
        <w:rPr>
          <w:i/>
        </w:rPr>
        <w:fldChar w:fldCharType="end"/>
      </w:r>
    </w:p>
    <w:p w:rsidR="002F070B" w:rsidRPr="007F70DF" w:rsidRDefault="002F070B" w:rsidP="003C1466">
      <w:pPr>
        <w:keepNext/>
        <w:contextualSpacing/>
        <w:jc w:val="both"/>
        <w:rPr>
          <w:rFonts w:cs="Times New Roman"/>
          <w:szCs w:val="26"/>
        </w:rPr>
      </w:pPr>
    </w:p>
    <w:p w:rsidR="003C1466" w:rsidRDefault="0040751C" w:rsidP="003C1466">
      <w:pPr>
        <w:keepNext/>
        <w:contextualSpacing/>
        <w:rPr>
          <w:rFonts w:cs="Times New Roman"/>
          <w:szCs w:val="26"/>
        </w:rPr>
      </w:pPr>
      <w:r w:rsidRPr="007F70DF">
        <w:rPr>
          <w:rFonts w:cs="Times New Roman"/>
          <w:szCs w:val="26"/>
        </w:rPr>
        <w:t>Columbia claimed $68,0</w:t>
      </w:r>
      <w:r w:rsidR="00CA6A9D" w:rsidRPr="007F70DF">
        <w:rPr>
          <w:rFonts w:cs="Times New Roman"/>
          <w:szCs w:val="26"/>
        </w:rPr>
        <w:t xml:space="preserve">00 </w:t>
      </w:r>
      <w:r w:rsidR="007A2C47">
        <w:rPr>
          <w:rFonts w:cs="Times New Roman"/>
          <w:szCs w:val="26"/>
        </w:rPr>
        <w:t>for</w:t>
      </w:r>
      <w:r w:rsidR="00CA6A9D" w:rsidRPr="007F70DF">
        <w:rPr>
          <w:rFonts w:cs="Times New Roman"/>
          <w:szCs w:val="26"/>
        </w:rPr>
        <w:t xml:space="preserve"> </w:t>
      </w:r>
      <w:r w:rsidR="00F0582F">
        <w:rPr>
          <w:rFonts w:cs="Times New Roman"/>
          <w:szCs w:val="26"/>
        </w:rPr>
        <w:t>s</w:t>
      </w:r>
      <w:r w:rsidR="00CA6A9D" w:rsidRPr="007F70DF">
        <w:rPr>
          <w:rFonts w:cs="Times New Roman"/>
          <w:szCs w:val="26"/>
        </w:rPr>
        <w:t xml:space="preserve">alaries </w:t>
      </w:r>
      <w:r w:rsidR="007A2C47">
        <w:rPr>
          <w:rFonts w:cs="Times New Roman"/>
          <w:szCs w:val="26"/>
        </w:rPr>
        <w:t>of</w:t>
      </w:r>
      <w:r w:rsidR="00CA6A9D" w:rsidRPr="007F70DF">
        <w:rPr>
          <w:rFonts w:cs="Times New Roman"/>
          <w:szCs w:val="26"/>
        </w:rPr>
        <w:t xml:space="preserve"> </w:t>
      </w:r>
      <w:r w:rsidR="00F0582F">
        <w:rPr>
          <w:rFonts w:cs="Times New Roman"/>
          <w:szCs w:val="26"/>
        </w:rPr>
        <w:t>o</w:t>
      </w:r>
      <w:r w:rsidR="00CA6A9D" w:rsidRPr="007F70DF">
        <w:rPr>
          <w:rFonts w:cs="Times New Roman"/>
          <w:szCs w:val="26"/>
        </w:rPr>
        <w:t xml:space="preserve">fficers, </w:t>
      </w:r>
      <w:r w:rsidR="00F0582F">
        <w:rPr>
          <w:rFonts w:cs="Times New Roman"/>
          <w:szCs w:val="26"/>
        </w:rPr>
        <w:t>d</w:t>
      </w:r>
      <w:r w:rsidR="00CA6A9D" w:rsidRPr="007F70DF">
        <w:rPr>
          <w:rFonts w:cs="Times New Roman"/>
          <w:szCs w:val="26"/>
        </w:rPr>
        <w:t xml:space="preserve">irectors and </w:t>
      </w:r>
      <w:r w:rsidR="00F0582F">
        <w:rPr>
          <w:rFonts w:cs="Times New Roman"/>
          <w:szCs w:val="26"/>
        </w:rPr>
        <w:t>m</w:t>
      </w:r>
      <w:r w:rsidR="00CA6A9D" w:rsidRPr="007F70DF">
        <w:rPr>
          <w:rFonts w:cs="Times New Roman"/>
          <w:szCs w:val="26"/>
        </w:rPr>
        <w:t xml:space="preserve">ajority </w:t>
      </w:r>
      <w:r w:rsidR="00F0582F">
        <w:rPr>
          <w:rFonts w:cs="Times New Roman"/>
          <w:szCs w:val="26"/>
        </w:rPr>
        <w:t>s</w:t>
      </w:r>
      <w:r w:rsidR="00CA6A9D" w:rsidRPr="007F70DF">
        <w:rPr>
          <w:rFonts w:cs="Times New Roman"/>
          <w:szCs w:val="26"/>
        </w:rPr>
        <w:t xml:space="preserve">hareholders and $62,500 for </w:t>
      </w:r>
      <w:r w:rsidR="00F0582F">
        <w:rPr>
          <w:rFonts w:cs="Times New Roman"/>
          <w:szCs w:val="26"/>
        </w:rPr>
        <w:t>d</w:t>
      </w:r>
      <w:r w:rsidR="00CA6A9D" w:rsidRPr="007F70DF">
        <w:rPr>
          <w:rFonts w:cs="Times New Roman"/>
          <w:szCs w:val="26"/>
        </w:rPr>
        <w:t xml:space="preserve">irectors’ </w:t>
      </w:r>
      <w:r w:rsidR="00F0582F">
        <w:rPr>
          <w:rFonts w:cs="Times New Roman"/>
          <w:szCs w:val="26"/>
        </w:rPr>
        <w:t>f</w:t>
      </w:r>
      <w:r w:rsidR="00CA6A9D" w:rsidRPr="007F70DF">
        <w:rPr>
          <w:rFonts w:cs="Times New Roman"/>
          <w:szCs w:val="26"/>
        </w:rPr>
        <w:t xml:space="preserve">ees </w:t>
      </w:r>
      <w:r w:rsidR="00F0582F">
        <w:rPr>
          <w:rFonts w:cs="Times New Roman"/>
          <w:szCs w:val="26"/>
        </w:rPr>
        <w:t>and</w:t>
      </w:r>
      <w:r w:rsidR="00CA6A9D" w:rsidRPr="007F70DF">
        <w:rPr>
          <w:rFonts w:cs="Times New Roman"/>
          <w:szCs w:val="26"/>
        </w:rPr>
        <w:t xml:space="preserve"> </w:t>
      </w:r>
      <w:r w:rsidR="00F0582F">
        <w:rPr>
          <w:rFonts w:cs="Times New Roman"/>
          <w:szCs w:val="26"/>
        </w:rPr>
        <w:t>e</w:t>
      </w:r>
      <w:r w:rsidR="00CA6A9D" w:rsidRPr="007F70DF">
        <w:rPr>
          <w:rFonts w:cs="Times New Roman"/>
          <w:szCs w:val="26"/>
        </w:rPr>
        <w:t xml:space="preserve">xpenses in this proceeding.  GDS Exh. 1 </w:t>
      </w:r>
      <w:r w:rsidR="00DC4F55">
        <w:rPr>
          <w:rFonts w:cs="Times New Roman"/>
          <w:szCs w:val="26"/>
        </w:rPr>
        <w:t>at 1-15.  The OCA recommended a downward</w:t>
      </w:r>
      <w:r w:rsidR="00CA1D69">
        <w:rPr>
          <w:rFonts w:cs="Times New Roman"/>
          <w:szCs w:val="26"/>
        </w:rPr>
        <w:t xml:space="preserve"> </w:t>
      </w:r>
      <w:r w:rsidR="00CA6A9D" w:rsidRPr="007F70DF">
        <w:rPr>
          <w:rFonts w:cs="Times New Roman"/>
          <w:szCs w:val="26"/>
        </w:rPr>
        <w:t>adjustment based on the reasonableness of these costs</w:t>
      </w:r>
      <w:r w:rsidR="00CA1D69">
        <w:rPr>
          <w:rFonts w:cs="Times New Roman"/>
          <w:szCs w:val="26"/>
        </w:rPr>
        <w:t xml:space="preserve">, and </w:t>
      </w:r>
      <w:r w:rsidR="00CA6A9D" w:rsidRPr="007F70DF">
        <w:rPr>
          <w:rFonts w:cs="Times New Roman"/>
          <w:szCs w:val="26"/>
        </w:rPr>
        <w:t xml:space="preserve">an adjustment to allocate a portion of these expenses to the Marietta Division.  OCA St. 1 at 47, 56-57, 59-61; OCA St. 1S at 30-34, 37.  </w:t>
      </w:r>
    </w:p>
    <w:p w:rsidR="008B5434" w:rsidRPr="003C1466" w:rsidRDefault="008B5434" w:rsidP="003C1466">
      <w:pPr>
        <w:keepNext/>
        <w:contextualSpacing/>
        <w:rPr>
          <w:rFonts w:cs="Times New Roman"/>
          <w:color w:val="FF0000"/>
          <w:szCs w:val="26"/>
        </w:rPr>
      </w:pPr>
    </w:p>
    <w:p w:rsidR="00CA6A9D" w:rsidRPr="003C1466" w:rsidRDefault="009D3F59" w:rsidP="003C1466">
      <w:pPr>
        <w:spacing w:line="240" w:lineRule="auto"/>
        <w:ind w:left="720"/>
        <w:rPr>
          <w:b/>
        </w:rPr>
      </w:pPr>
      <w:bookmarkStart w:id="60" w:name="_Toc367958634"/>
      <w:r w:rsidRPr="003C1466">
        <w:rPr>
          <w:b/>
        </w:rPr>
        <w:t>a</w:t>
      </w:r>
      <w:r w:rsidR="00CA6A9D" w:rsidRPr="003C1466">
        <w:rPr>
          <w:b/>
        </w:rPr>
        <w:t>.</w:t>
      </w:r>
      <w:r w:rsidR="00CA6A9D" w:rsidRPr="003C1466">
        <w:rPr>
          <w:b/>
        </w:rPr>
        <w:tab/>
        <w:t>Adjustment to Re</w:t>
      </w:r>
      <w:r w:rsidR="00603F3C" w:rsidRPr="003C1466">
        <w:rPr>
          <w:b/>
        </w:rPr>
        <w:t>duce</w:t>
      </w:r>
      <w:r w:rsidR="00CA6A9D" w:rsidRPr="003C1466">
        <w:rPr>
          <w:b/>
        </w:rPr>
        <w:t xml:space="preserve"> Salaries and Fees</w:t>
      </w:r>
      <w:bookmarkEnd w:id="60"/>
      <w:r w:rsidR="000E74AA" w:rsidRPr="003C1466">
        <w:rPr>
          <w:b/>
        </w:rPr>
        <w:fldChar w:fldCharType="begin"/>
      </w:r>
      <w:r w:rsidR="000E74AA" w:rsidRPr="003C1466">
        <w:rPr>
          <w:b/>
        </w:rPr>
        <w:instrText xml:space="preserve"> TC "</w:instrText>
      </w:r>
      <w:bookmarkStart w:id="61" w:name="_Toc372704702"/>
      <w:r w:rsidR="000E74AA" w:rsidRPr="003C1466">
        <w:rPr>
          <w:b/>
        </w:rPr>
        <w:instrText>a.</w:instrText>
      </w:r>
      <w:r w:rsidR="000E74AA" w:rsidRPr="003C1466">
        <w:rPr>
          <w:b/>
        </w:rPr>
        <w:tab/>
        <w:instrText>Adjustment to Reduce Salaries and Fees</w:instrText>
      </w:r>
      <w:bookmarkEnd w:id="61"/>
      <w:r w:rsidR="000E74AA" w:rsidRPr="003C1466">
        <w:rPr>
          <w:b/>
        </w:rPr>
        <w:instrText xml:space="preserve">" \f C \l "4" </w:instrText>
      </w:r>
      <w:r w:rsidR="000E74AA" w:rsidRPr="003C1466">
        <w:rPr>
          <w:b/>
        </w:rPr>
        <w:fldChar w:fldCharType="end"/>
      </w:r>
    </w:p>
    <w:p w:rsidR="002F070B" w:rsidRPr="007F70DF" w:rsidRDefault="002F070B" w:rsidP="004272F2">
      <w:pPr>
        <w:contextualSpacing/>
        <w:rPr>
          <w:rFonts w:cs="Times New Roman"/>
          <w:szCs w:val="26"/>
        </w:rPr>
      </w:pPr>
    </w:p>
    <w:p w:rsidR="00CA1D69" w:rsidRPr="00CA1D69" w:rsidRDefault="002F070B" w:rsidP="003C1466">
      <w:pPr>
        <w:spacing w:line="240" w:lineRule="auto"/>
        <w:contextualSpacing/>
        <w:rPr>
          <w:rFonts w:cs="Times New Roman"/>
          <w:b/>
          <w:szCs w:val="26"/>
        </w:rPr>
      </w:pPr>
      <w:r w:rsidRPr="007F70DF">
        <w:rPr>
          <w:rFonts w:cs="Times New Roman"/>
          <w:szCs w:val="26"/>
        </w:rPr>
        <w:tab/>
      </w:r>
      <w:r w:rsidRPr="007F70DF">
        <w:rPr>
          <w:rFonts w:cs="Times New Roman"/>
          <w:szCs w:val="26"/>
        </w:rPr>
        <w:tab/>
      </w:r>
      <w:r w:rsidR="00CA1D69" w:rsidRPr="00CA1D69">
        <w:rPr>
          <w:rFonts w:cs="Times New Roman"/>
          <w:b/>
          <w:szCs w:val="26"/>
        </w:rPr>
        <w:t>i.</w:t>
      </w:r>
      <w:r w:rsidR="00CA1D69" w:rsidRPr="00CA1D69">
        <w:rPr>
          <w:rFonts w:cs="Times New Roman"/>
          <w:b/>
          <w:szCs w:val="26"/>
        </w:rPr>
        <w:tab/>
        <w:t>Positions of the Parties</w:t>
      </w:r>
    </w:p>
    <w:p w:rsidR="00CA1D69" w:rsidRDefault="00CA1D69" w:rsidP="004272F2">
      <w:pPr>
        <w:contextualSpacing/>
        <w:rPr>
          <w:rFonts w:cs="Times New Roman"/>
          <w:szCs w:val="26"/>
        </w:rPr>
      </w:pPr>
    </w:p>
    <w:p w:rsidR="00603F3C" w:rsidRPr="003C1466" w:rsidRDefault="00CA6A9D" w:rsidP="00CA1D69">
      <w:pPr>
        <w:contextualSpacing/>
        <w:rPr>
          <w:rFonts w:cs="Times New Roman"/>
          <w:i/>
          <w:szCs w:val="26"/>
        </w:rPr>
      </w:pPr>
      <w:r w:rsidRPr="007F70DF">
        <w:rPr>
          <w:rFonts w:cs="Times New Roman"/>
          <w:szCs w:val="26"/>
        </w:rPr>
        <w:t xml:space="preserve">The </w:t>
      </w:r>
      <w:r w:rsidR="003C1466">
        <w:rPr>
          <w:rFonts w:cs="Times New Roman"/>
          <w:szCs w:val="26"/>
        </w:rPr>
        <w:t>OCA argued</w:t>
      </w:r>
      <w:r w:rsidR="00603F3C" w:rsidRPr="007F70DF">
        <w:rPr>
          <w:rFonts w:cs="Times New Roman"/>
          <w:szCs w:val="26"/>
        </w:rPr>
        <w:t xml:space="preserve"> that the </w:t>
      </w:r>
      <w:r w:rsidRPr="007F70DF">
        <w:rPr>
          <w:rFonts w:cs="Times New Roman"/>
          <w:szCs w:val="26"/>
        </w:rPr>
        <w:t xml:space="preserve">evidence in this proceeding shows that the compensation of the </w:t>
      </w:r>
      <w:r w:rsidR="00DC4F55">
        <w:rPr>
          <w:rFonts w:cs="Times New Roman"/>
          <w:szCs w:val="26"/>
        </w:rPr>
        <w:t xml:space="preserve">Company’s </w:t>
      </w:r>
      <w:r w:rsidRPr="007F70DF">
        <w:rPr>
          <w:rFonts w:cs="Times New Roman"/>
          <w:szCs w:val="26"/>
        </w:rPr>
        <w:t xml:space="preserve">officers and directors is excessive in relation to the time spent on Columbia business. </w:t>
      </w:r>
      <w:r w:rsidR="00603F3C" w:rsidRPr="007F70DF">
        <w:rPr>
          <w:rFonts w:cs="Times New Roman"/>
          <w:szCs w:val="26"/>
        </w:rPr>
        <w:t xml:space="preserve"> </w:t>
      </w:r>
      <w:r w:rsidR="003C1466">
        <w:rPr>
          <w:rFonts w:cs="Times New Roman"/>
          <w:szCs w:val="26"/>
        </w:rPr>
        <w:t xml:space="preserve">The OCA averred that the </w:t>
      </w:r>
      <w:r w:rsidRPr="007F70DF">
        <w:rPr>
          <w:rFonts w:cs="Times New Roman"/>
          <w:szCs w:val="26"/>
        </w:rPr>
        <w:t xml:space="preserve">amount of </w:t>
      </w:r>
      <w:r w:rsidR="00F0582F">
        <w:rPr>
          <w:rFonts w:cs="Times New Roman"/>
          <w:szCs w:val="26"/>
        </w:rPr>
        <w:t>o</w:t>
      </w:r>
      <w:r w:rsidRPr="007F70DF">
        <w:rPr>
          <w:rFonts w:cs="Times New Roman"/>
          <w:szCs w:val="26"/>
        </w:rPr>
        <w:t xml:space="preserve">fficers’ </w:t>
      </w:r>
      <w:r w:rsidR="00F0582F">
        <w:rPr>
          <w:rFonts w:cs="Times New Roman"/>
          <w:szCs w:val="26"/>
        </w:rPr>
        <w:t>s</w:t>
      </w:r>
      <w:r w:rsidRPr="007F70DF">
        <w:rPr>
          <w:rFonts w:cs="Times New Roman"/>
          <w:szCs w:val="26"/>
        </w:rPr>
        <w:t xml:space="preserve">alaries and </w:t>
      </w:r>
      <w:r w:rsidR="00F0582F">
        <w:rPr>
          <w:rFonts w:cs="Times New Roman"/>
          <w:szCs w:val="26"/>
        </w:rPr>
        <w:t>d</w:t>
      </w:r>
      <w:r w:rsidRPr="007F70DF">
        <w:rPr>
          <w:rFonts w:cs="Times New Roman"/>
          <w:szCs w:val="26"/>
        </w:rPr>
        <w:t xml:space="preserve">irectors’ </w:t>
      </w:r>
      <w:r w:rsidR="00F0582F">
        <w:rPr>
          <w:rFonts w:cs="Times New Roman"/>
          <w:szCs w:val="26"/>
        </w:rPr>
        <w:t>f</w:t>
      </w:r>
      <w:r w:rsidRPr="007F70DF">
        <w:rPr>
          <w:rFonts w:cs="Times New Roman"/>
          <w:szCs w:val="26"/>
        </w:rPr>
        <w:t xml:space="preserve">ees that is charged to ratepayers should reflect the </w:t>
      </w:r>
      <w:r w:rsidR="00DC4F55">
        <w:rPr>
          <w:rFonts w:cs="Times New Roman"/>
          <w:szCs w:val="26"/>
        </w:rPr>
        <w:t xml:space="preserve">actual </w:t>
      </w:r>
      <w:r w:rsidRPr="007F70DF">
        <w:rPr>
          <w:rFonts w:cs="Times New Roman"/>
          <w:szCs w:val="26"/>
        </w:rPr>
        <w:t>contribution provided to Columbia by its officers/directors.</w:t>
      </w:r>
      <w:r w:rsidR="00603F3C" w:rsidRPr="007F70DF">
        <w:rPr>
          <w:rFonts w:cs="Times New Roman"/>
          <w:szCs w:val="26"/>
        </w:rPr>
        <w:t xml:space="preserve"> </w:t>
      </w:r>
      <w:r w:rsidR="003945E9" w:rsidRPr="007F70DF">
        <w:rPr>
          <w:rFonts w:cs="Times New Roman"/>
          <w:szCs w:val="26"/>
        </w:rPr>
        <w:t xml:space="preserve"> </w:t>
      </w:r>
      <w:r w:rsidR="00603F3C" w:rsidRPr="007F70DF">
        <w:rPr>
          <w:rFonts w:cs="Times New Roman"/>
          <w:szCs w:val="26"/>
        </w:rPr>
        <w:t>The OC</w:t>
      </w:r>
      <w:r w:rsidR="00DC4F55">
        <w:rPr>
          <w:rFonts w:cs="Times New Roman"/>
          <w:szCs w:val="26"/>
        </w:rPr>
        <w:t>A’s recommendation reduces the officers’ s</w:t>
      </w:r>
      <w:r w:rsidR="00603F3C" w:rsidRPr="007F70DF">
        <w:rPr>
          <w:rFonts w:cs="Times New Roman"/>
          <w:szCs w:val="26"/>
        </w:rPr>
        <w:t>alaries expense by $12,45</w:t>
      </w:r>
      <w:r w:rsidR="0040751C" w:rsidRPr="007F70DF">
        <w:rPr>
          <w:rFonts w:cs="Times New Roman"/>
          <w:szCs w:val="26"/>
        </w:rPr>
        <w:t>6</w:t>
      </w:r>
      <w:r w:rsidR="00DC4F55">
        <w:rPr>
          <w:rFonts w:cs="Times New Roman"/>
          <w:szCs w:val="26"/>
        </w:rPr>
        <w:t xml:space="preserve"> and reduces directors’ f</w:t>
      </w:r>
      <w:r w:rsidR="00603F3C" w:rsidRPr="007F70DF">
        <w:rPr>
          <w:rFonts w:cs="Times New Roman"/>
          <w:szCs w:val="26"/>
        </w:rPr>
        <w:t>ees by $20,995, or a total reduction of $33,451 from the Company’s claim of $130,835.</w:t>
      </w:r>
      <w:r w:rsidR="00BE7D03" w:rsidRPr="007F70DF">
        <w:rPr>
          <w:rFonts w:cs="Times New Roman"/>
          <w:szCs w:val="26"/>
        </w:rPr>
        <w:t xml:space="preserve"> </w:t>
      </w:r>
      <w:r w:rsidR="00A749F3">
        <w:rPr>
          <w:rFonts w:cs="Times New Roman"/>
          <w:szCs w:val="26"/>
        </w:rPr>
        <w:t xml:space="preserve"> </w:t>
      </w:r>
      <w:r w:rsidR="00BE7D03" w:rsidRPr="007F70DF">
        <w:rPr>
          <w:rFonts w:cs="Times New Roman"/>
          <w:szCs w:val="26"/>
        </w:rPr>
        <w:t xml:space="preserve">OCA St. 1 at 55-57.  </w:t>
      </w:r>
      <w:r w:rsidR="00A749F3">
        <w:rPr>
          <w:rFonts w:cs="Times New Roman"/>
          <w:szCs w:val="26"/>
        </w:rPr>
        <w:t xml:space="preserve">The </w:t>
      </w:r>
      <w:r w:rsidRPr="007F70DF">
        <w:rPr>
          <w:rFonts w:cs="Times New Roman"/>
          <w:szCs w:val="26"/>
        </w:rPr>
        <w:t>OCA</w:t>
      </w:r>
      <w:r w:rsidR="00603F3C" w:rsidRPr="007F70DF">
        <w:rPr>
          <w:rFonts w:cs="Times New Roman"/>
          <w:szCs w:val="26"/>
        </w:rPr>
        <w:t xml:space="preserve">’s </w:t>
      </w:r>
      <w:r w:rsidR="00A749F3">
        <w:rPr>
          <w:rFonts w:cs="Times New Roman"/>
          <w:szCs w:val="26"/>
        </w:rPr>
        <w:t xml:space="preserve">witness </w:t>
      </w:r>
      <w:r w:rsidRPr="007F70DF">
        <w:rPr>
          <w:rFonts w:cs="Times New Roman"/>
          <w:szCs w:val="26"/>
        </w:rPr>
        <w:t xml:space="preserve">explained that Columbia may choose to set salaries and fees at any level; its Board of Directors is accountable to the shareholders.  OCA St. 1 at 54-55.  </w:t>
      </w:r>
      <w:r w:rsidR="003C1466">
        <w:rPr>
          <w:rFonts w:cs="Times New Roman"/>
          <w:szCs w:val="26"/>
        </w:rPr>
        <w:t>However, the OCA submitted that o</w:t>
      </w:r>
      <w:r w:rsidRPr="007F70DF">
        <w:rPr>
          <w:rFonts w:cs="Times New Roman"/>
          <w:szCs w:val="26"/>
        </w:rPr>
        <w:t>nly the amount of those salaries and fees th</w:t>
      </w:r>
      <w:r w:rsidR="00A749F3">
        <w:rPr>
          <w:rFonts w:cs="Times New Roman"/>
          <w:szCs w:val="26"/>
        </w:rPr>
        <w:t>at the Commission determines is</w:t>
      </w:r>
      <w:r w:rsidRPr="007F70DF">
        <w:rPr>
          <w:rFonts w:cs="Times New Roman"/>
          <w:szCs w:val="26"/>
        </w:rPr>
        <w:t xml:space="preserve"> just and reasonable may be reflected in rates.  </w:t>
      </w:r>
      <w:r w:rsidRPr="003C1466">
        <w:rPr>
          <w:rFonts w:cs="Times New Roman"/>
          <w:i/>
          <w:szCs w:val="26"/>
        </w:rPr>
        <w:t>Id.</w:t>
      </w:r>
      <w:r w:rsidRPr="007F70DF">
        <w:rPr>
          <w:rFonts w:cs="Times New Roman"/>
          <w:szCs w:val="26"/>
        </w:rPr>
        <w:t xml:space="preserve"> at 54-56.  The OCA </w:t>
      </w:r>
      <w:r w:rsidR="003C1466">
        <w:rPr>
          <w:rFonts w:cs="Times New Roman"/>
          <w:szCs w:val="26"/>
        </w:rPr>
        <w:t xml:space="preserve">opined </w:t>
      </w:r>
      <w:r w:rsidRPr="007F70DF">
        <w:rPr>
          <w:rFonts w:cs="Times New Roman"/>
          <w:szCs w:val="26"/>
        </w:rPr>
        <w:t xml:space="preserve">that </w:t>
      </w:r>
      <w:r w:rsidR="003C1466">
        <w:rPr>
          <w:rFonts w:cs="Times New Roman"/>
          <w:szCs w:val="26"/>
        </w:rPr>
        <w:lastRenderedPageBreak/>
        <w:t>r</w:t>
      </w:r>
      <w:r w:rsidRPr="007F70DF">
        <w:rPr>
          <w:rFonts w:cs="Times New Roman"/>
          <w:szCs w:val="26"/>
        </w:rPr>
        <w:t>easonableness should be measured based on each officer</w:t>
      </w:r>
      <w:r w:rsidR="007A2C47">
        <w:rPr>
          <w:rFonts w:cs="Times New Roman"/>
          <w:szCs w:val="26"/>
        </w:rPr>
        <w:t>’s</w:t>
      </w:r>
      <w:r w:rsidRPr="007F70DF">
        <w:rPr>
          <w:rFonts w:cs="Times New Roman"/>
          <w:szCs w:val="26"/>
        </w:rPr>
        <w:t xml:space="preserve"> and director’s contribution to the provision of safe and adequate service.  </w:t>
      </w:r>
      <w:r w:rsidRPr="003C1466">
        <w:rPr>
          <w:rFonts w:cs="Times New Roman"/>
          <w:i/>
          <w:szCs w:val="26"/>
        </w:rPr>
        <w:t>Id.</w:t>
      </w:r>
    </w:p>
    <w:p w:rsidR="00603F3C" w:rsidRPr="007F70DF" w:rsidRDefault="00603F3C" w:rsidP="004272F2">
      <w:pPr>
        <w:contextualSpacing/>
        <w:rPr>
          <w:rFonts w:cs="Times New Roman"/>
          <w:szCs w:val="26"/>
        </w:rPr>
      </w:pPr>
    </w:p>
    <w:p w:rsidR="00CA6A9D" w:rsidRPr="007F70DF" w:rsidRDefault="00603F3C" w:rsidP="004272F2">
      <w:pPr>
        <w:ind w:firstLine="720"/>
        <w:contextualSpacing/>
        <w:rPr>
          <w:rFonts w:cs="Times New Roman"/>
          <w:szCs w:val="26"/>
        </w:rPr>
      </w:pPr>
      <w:r w:rsidRPr="007F70DF">
        <w:rPr>
          <w:rFonts w:cs="Times New Roman"/>
          <w:szCs w:val="26"/>
        </w:rPr>
        <w:tab/>
      </w:r>
      <w:r w:rsidR="00A749F3">
        <w:rPr>
          <w:rFonts w:cs="Times New Roman"/>
          <w:szCs w:val="26"/>
        </w:rPr>
        <w:t xml:space="preserve">The </w:t>
      </w:r>
      <w:r w:rsidR="00CA6A9D" w:rsidRPr="007F70DF">
        <w:rPr>
          <w:rFonts w:cs="Times New Roman"/>
          <w:szCs w:val="26"/>
        </w:rPr>
        <w:t>OCA</w:t>
      </w:r>
      <w:r w:rsidR="00A749F3">
        <w:rPr>
          <w:rFonts w:cs="Times New Roman"/>
          <w:szCs w:val="26"/>
        </w:rPr>
        <w:t xml:space="preserve">’s witness </w:t>
      </w:r>
      <w:r w:rsidR="00CA6A9D" w:rsidRPr="007F70DF">
        <w:rPr>
          <w:rFonts w:cs="Times New Roman"/>
          <w:szCs w:val="26"/>
        </w:rPr>
        <w:t xml:space="preserve">determined that the rate paid to the Company President was most realistic.  OCA St. 1 at 53, 56.  Mr. Nikolaus averaged $178 per hour as a director and $206 per hour as an officer from 2010 to 2012.  </w:t>
      </w:r>
      <w:r w:rsidR="00CA6A9D" w:rsidRPr="003C1466">
        <w:rPr>
          <w:rFonts w:cs="Times New Roman"/>
          <w:i/>
          <w:szCs w:val="26"/>
        </w:rPr>
        <w:t>Id.</w:t>
      </w:r>
      <w:r w:rsidR="00CA6A9D" w:rsidRPr="007F70DF">
        <w:rPr>
          <w:rFonts w:cs="Times New Roman"/>
          <w:szCs w:val="26"/>
        </w:rPr>
        <w:t xml:space="preserve">  Ms. Everette applied Mr. Nikolaus’ average rate of pay to the average total annual hours worked by the officers and director</w:t>
      </w:r>
      <w:r w:rsidR="00AD30FC" w:rsidRPr="007F70DF">
        <w:rPr>
          <w:rFonts w:cs="Times New Roman"/>
          <w:szCs w:val="26"/>
        </w:rPr>
        <w:t>s from 2010 to </w:t>
      </w:r>
      <w:r w:rsidR="00CA6A9D" w:rsidRPr="007F70DF">
        <w:rPr>
          <w:rFonts w:cs="Times New Roman"/>
          <w:szCs w:val="26"/>
        </w:rPr>
        <w:t xml:space="preserve">2012, which was 274 hours and 230 hours, respectively.  </w:t>
      </w:r>
      <w:r w:rsidR="00CA6A9D" w:rsidRPr="003C1466">
        <w:rPr>
          <w:rFonts w:cs="Times New Roman"/>
          <w:i/>
          <w:szCs w:val="26"/>
        </w:rPr>
        <w:t>Id</w:t>
      </w:r>
      <w:r w:rsidR="00A749F3">
        <w:rPr>
          <w:rFonts w:cs="Times New Roman"/>
          <w:szCs w:val="26"/>
        </w:rPr>
        <w:t>. at 56-57.  This resulted</w:t>
      </w:r>
      <w:r w:rsidR="00CA6A9D" w:rsidRPr="007F70DF">
        <w:rPr>
          <w:rFonts w:cs="Times New Roman"/>
          <w:szCs w:val="26"/>
        </w:rPr>
        <w:t xml:space="preserve"> in a reduction of $12,456 to the claim for officers</w:t>
      </w:r>
      <w:r w:rsidR="007A2C47">
        <w:rPr>
          <w:rFonts w:cs="Times New Roman"/>
          <w:szCs w:val="26"/>
        </w:rPr>
        <w:t xml:space="preserve">, </w:t>
      </w:r>
      <w:r w:rsidR="00CA6A9D" w:rsidRPr="007F70DF">
        <w:rPr>
          <w:rFonts w:cs="Times New Roman"/>
          <w:szCs w:val="26"/>
        </w:rPr>
        <w:t xml:space="preserve">and $20,995 to the claim for directors, or a total reduction of $33,451.  OCA Table II, line 31; OCA Sch. 1S, line 31.  </w:t>
      </w:r>
      <w:r w:rsidR="003C1466">
        <w:rPr>
          <w:rFonts w:cs="Times New Roman"/>
          <w:szCs w:val="26"/>
        </w:rPr>
        <w:t xml:space="preserve">As a result, </w:t>
      </w:r>
      <w:r w:rsidR="00A749F3">
        <w:rPr>
          <w:rFonts w:cs="Times New Roman"/>
          <w:szCs w:val="26"/>
        </w:rPr>
        <w:t>the OCA’s recommendation allowed</w:t>
      </w:r>
      <w:r w:rsidR="00DC4F55">
        <w:rPr>
          <w:rFonts w:cs="Times New Roman"/>
          <w:szCs w:val="26"/>
        </w:rPr>
        <w:t xml:space="preserve"> $97,384 for officers’ salaries and directors’ f</w:t>
      </w:r>
      <w:r w:rsidR="00CA6A9D" w:rsidRPr="007F70DF">
        <w:rPr>
          <w:rFonts w:cs="Times New Roman"/>
          <w:szCs w:val="26"/>
        </w:rPr>
        <w:t>ees expenses.</w:t>
      </w:r>
      <w:r w:rsidR="003C1466">
        <w:rPr>
          <w:rFonts w:cs="Times New Roman"/>
          <w:szCs w:val="26"/>
        </w:rPr>
        <w:t xml:space="preserve">  </w:t>
      </w:r>
    </w:p>
    <w:p w:rsidR="00CA6A9D" w:rsidRPr="007F70DF" w:rsidRDefault="00CA6A9D" w:rsidP="003C1466">
      <w:pPr>
        <w:contextualSpacing/>
        <w:jc w:val="both"/>
        <w:rPr>
          <w:rFonts w:cs="Times New Roman"/>
          <w:szCs w:val="26"/>
        </w:rPr>
      </w:pPr>
    </w:p>
    <w:p w:rsidR="00CA1D69" w:rsidRDefault="00603F3C" w:rsidP="004272F2">
      <w:pPr>
        <w:ind w:firstLine="720"/>
        <w:contextualSpacing/>
        <w:rPr>
          <w:rFonts w:cs="Times New Roman"/>
          <w:szCs w:val="26"/>
        </w:rPr>
      </w:pPr>
      <w:r w:rsidRPr="007F70DF">
        <w:rPr>
          <w:rFonts w:cs="Times New Roman"/>
          <w:szCs w:val="26"/>
        </w:rPr>
        <w:tab/>
      </w:r>
      <w:r w:rsidR="003C1466">
        <w:rPr>
          <w:rFonts w:cs="Times New Roman"/>
          <w:szCs w:val="26"/>
        </w:rPr>
        <w:t xml:space="preserve">In response to the OCA’s proposed adjustment, </w:t>
      </w:r>
      <w:r w:rsidRPr="007F70DF">
        <w:rPr>
          <w:rFonts w:cs="Times New Roman"/>
          <w:szCs w:val="26"/>
        </w:rPr>
        <w:t>Columbia</w:t>
      </w:r>
      <w:r w:rsidR="00CA6A9D" w:rsidRPr="007F70DF">
        <w:rPr>
          <w:rFonts w:cs="Times New Roman"/>
          <w:szCs w:val="26"/>
        </w:rPr>
        <w:t xml:space="preserve"> </w:t>
      </w:r>
      <w:r w:rsidR="003C1466">
        <w:rPr>
          <w:rFonts w:cs="Times New Roman"/>
          <w:szCs w:val="26"/>
        </w:rPr>
        <w:t>averred that its</w:t>
      </w:r>
      <w:r w:rsidR="00CA6A9D" w:rsidRPr="007F70DF">
        <w:rPr>
          <w:rFonts w:cs="Times New Roman"/>
          <w:szCs w:val="26"/>
        </w:rPr>
        <w:t xml:space="preserve"> officers and directors are being compensated for the quality of their work</w:t>
      </w:r>
      <w:r w:rsidR="00A749F3">
        <w:rPr>
          <w:rFonts w:cs="Times New Roman"/>
          <w:szCs w:val="26"/>
        </w:rPr>
        <w:t xml:space="preserve">, not </w:t>
      </w:r>
      <w:r w:rsidR="00CA6A9D" w:rsidRPr="007F70DF">
        <w:rPr>
          <w:rFonts w:cs="Times New Roman"/>
          <w:szCs w:val="26"/>
        </w:rPr>
        <w:t xml:space="preserve">just the quantity.  CWC St. 1 at 19-20; CWC St. 1R at 18, 21-22.  </w:t>
      </w:r>
    </w:p>
    <w:p w:rsidR="00CA1D69" w:rsidRDefault="00CA1D69" w:rsidP="004272F2">
      <w:pPr>
        <w:ind w:firstLine="720"/>
        <w:contextualSpacing/>
        <w:rPr>
          <w:rFonts w:cs="Times New Roman"/>
          <w:szCs w:val="26"/>
        </w:rPr>
      </w:pPr>
    </w:p>
    <w:p w:rsidR="00CA1D69" w:rsidRDefault="00AB1A86" w:rsidP="00F0582F">
      <w:pPr>
        <w:spacing w:line="240" w:lineRule="auto"/>
        <w:ind w:firstLine="720"/>
        <w:contextualSpacing/>
        <w:rPr>
          <w:rFonts w:cs="Times New Roman"/>
          <w:b/>
          <w:szCs w:val="26"/>
        </w:rPr>
      </w:pPr>
      <w:r>
        <w:rPr>
          <w:rFonts w:cs="Times New Roman"/>
          <w:szCs w:val="26"/>
        </w:rPr>
        <w:tab/>
      </w:r>
      <w:r w:rsidR="00F0582F">
        <w:rPr>
          <w:rFonts w:cs="Times New Roman"/>
          <w:szCs w:val="26"/>
        </w:rPr>
        <w:tab/>
      </w:r>
      <w:r w:rsidR="00CA1D69">
        <w:rPr>
          <w:rFonts w:cs="Times New Roman"/>
          <w:szCs w:val="26"/>
        </w:rPr>
        <w:tab/>
      </w:r>
      <w:r w:rsidR="00CA1D69">
        <w:rPr>
          <w:rFonts w:cs="Times New Roman"/>
          <w:b/>
          <w:szCs w:val="26"/>
        </w:rPr>
        <w:t>ii.</w:t>
      </w:r>
      <w:r w:rsidR="00CA1D69">
        <w:rPr>
          <w:rFonts w:cs="Times New Roman"/>
          <w:b/>
          <w:szCs w:val="26"/>
        </w:rPr>
        <w:tab/>
        <w:t>ALJ’s Recommendation</w:t>
      </w:r>
    </w:p>
    <w:p w:rsidR="00CA1D69" w:rsidRPr="00CA1D69" w:rsidRDefault="00CA1D69" w:rsidP="004272F2">
      <w:pPr>
        <w:ind w:firstLine="720"/>
        <w:contextualSpacing/>
        <w:rPr>
          <w:rFonts w:cs="Times New Roman"/>
          <w:b/>
          <w:szCs w:val="26"/>
        </w:rPr>
      </w:pPr>
    </w:p>
    <w:p w:rsidR="00CA6A9D" w:rsidRDefault="002279F2" w:rsidP="00CA1D69">
      <w:pPr>
        <w:contextualSpacing/>
        <w:rPr>
          <w:rFonts w:cs="Times New Roman"/>
          <w:szCs w:val="26"/>
        </w:rPr>
      </w:pPr>
      <w:r>
        <w:rPr>
          <w:rFonts w:cs="Times New Roman"/>
          <w:szCs w:val="26"/>
        </w:rPr>
        <w:t xml:space="preserve">The ALJ found that </w:t>
      </w:r>
      <w:r w:rsidR="00603F3C" w:rsidRPr="007F70DF">
        <w:rPr>
          <w:rFonts w:cs="Times New Roman"/>
          <w:szCs w:val="26"/>
        </w:rPr>
        <w:t>the OCA</w:t>
      </w:r>
      <w:r w:rsidR="00241EDA" w:rsidRPr="007F70DF">
        <w:rPr>
          <w:rFonts w:cs="Times New Roman"/>
          <w:szCs w:val="26"/>
        </w:rPr>
        <w:t xml:space="preserve">’s argument </w:t>
      </w:r>
      <w:r>
        <w:rPr>
          <w:rFonts w:cs="Times New Roman"/>
          <w:szCs w:val="26"/>
        </w:rPr>
        <w:t>was</w:t>
      </w:r>
      <w:r w:rsidR="00241EDA" w:rsidRPr="007F70DF">
        <w:rPr>
          <w:rFonts w:cs="Times New Roman"/>
          <w:szCs w:val="26"/>
        </w:rPr>
        <w:t xml:space="preserve"> </w:t>
      </w:r>
      <w:r w:rsidR="00603F3C" w:rsidRPr="007F70DF">
        <w:rPr>
          <w:rFonts w:cs="Times New Roman"/>
          <w:szCs w:val="26"/>
        </w:rPr>
        <w:t xml:space="preserve">based on hours and dollar amounts that are entirely hypothetical, and which take no recognition of any unique qualities of individual officers or of the challenges they face or the services they render to a company with its own unique business environment.  </w:t>
      </w:r>
      <w:r>
        <w:rPr>
          <w:rFonts w:cs="Times New Roman"/>
          <w:szCs w:val="26"/>
        </w:rPr>
        <w:t>Therefore, the ALJ</w:t>
      </w:r>
      <w:r w:rsidR="00603F3C" w:rsidRPr="007F70DF">
        <w:rPr>
          <w:rFonts w:cs="Times New Roman"/>
          <w:szCs w:val="26"/>
        </w:rPr>
        <w:t xml:space="preserve"> agree</w:t>
      </w:r>
      <w:r>
        <w:rPr>
          <w:rFonts w:cs="Times New Roman"/>
          <w:szCs w:val="26"/>
        </w:rPr>
        <w:t>d</w:t>
      </w:r>
      <w:r w:rsidR="00603F3C" w:rsidRPr="007F70DF">
        <w:rPr>
          <w:rFonts w:cs="Times New Roman"/>
          <w:szCs w:val="26"/>
        </w:rPr>
        <w:t xml:space="preserve"> with Columbia that </w:t>
      </w:r>
      <w:r w:rsidR="00CA6A9D" w:rsidRPr="007F70DF">
        <w:rPr>
          <w:rFonts w:cs="Times New Roman"/>
          <w:szCs w:val="26"/>
        </w:rPr>
        <w:t>the OCA</w:t>
      </w:r>
      <w:r w:rsidR="00603F3C" w:rsidRPr="007F70DF">
        <w:rPr>
          <w:rFonts w:cs="Times New Roman"/>
          <w:szCs w:val="26"/>
        </w:rPr>
        <w:t xml:space="preserve">, if not </w:t>
      </w:r>
      <w:r w:rsidR="00CA6A9D" w:rsidRPr="007F70DF">
        <w:rPr>
          <w:rFonts w:cs="Times New Roman"/>
          <w:szCs w:val="26"/>
        </w:rPr>
        <w:t>“engaging in micromanaging and invading the Company’s managerial discretion</w:t>
      </w:r>
      <w:r w:rsidR="00603F3C" w:rsidRPr="007F70DF">
        <w:rPr>
          <w:rFonts w:cs="Times New Roman"/>
          <w:szCs w:val="26"/>
        </w:rPr>
        <w:t>,</w:t>
      </w:r>
      <w:r w:rsidR="00CA6A9D" w:rsidRPr="007F70DF">
        <w:rPr>
          <w:rFonts w:cs="Times New Roman"/>
          <w:szCs w:val="26"/>
        </w:rPr>
        <w:t xml:space="preserve">” </w:t>
      </w:r>
      <w:r w:rsidR="00603F3C" w:rsidRPr="007F70DF">
        <w:rPr>
          <w:rFonts w:cs="Times New Roman"/>
          <w:szCs w:val="26"/>
        </w:rPr>
        <w:t>is coming very close to it</w:t>
      </w:r>
      <w:r w:rsidR="00CA6A9D" w:rsidRPr="007F70DF">
        <w:rPr>
          <w:rFonts w:cs="Times New Roman"/>
          <w:szCs w:val="26"/>
        </w:rPr>
        <w:t xml:space="preserve">.  </w:t>
      </w:r>
      <w:r>
        <w:rPr>
          <w:rFonts w:cs="Times New Roman"/>
          <w:szCs w:val="26"/>
        </w:rPr>
        <w:t xml:space="preserve">The ALJ concluded that </w:t>
      </w:r>
      <w:r w:rsidR="00603F3C" w:rsidRPr="007F70DF">
        <w:rPr>
          <w:rFonts w:cs="Times New Roman"/>
          <w:szCs w:val="26"/>
        </w:rPr>
        <w:t xml:space="preserve">Columbia’s request is reasonable and the </w:t>
      </w:r>
      <w:r w:rsidR="00CA6A9D" w:rsidRPr="007F70DF">
        <w:rPr>
          <w:rFonts w:cs="Times New Roman"/>
          <w:szCs w:val="26"/>
        </w:rPr>
        <w:t xml:space="preserve">OCA’s recommendation </w:t>
      </w:r>
      <w:r w:rsidR="00603F3C" w:rsidRPr="007F70DF">
        <w:rPr>
          <w:rFonts w:cs="Times New Roman"/>
          <w:szCs w:val="26"/>
        </w:rPr>
        <w:t xml:space="preserve">to </w:t>
      </w:r>
      <w:r w:rsidR="00DC4F55">
        <w:rPr>
          <w:rFonts w:cs="Times New Roman"/>
          <w:szCs w:val="26"/>
        </w:rPr>
        <w:t>reduce the officers’ s</w:t>
      </w:r>
      <w:r w:rsidR="00CA6A9D" w:rsidRPr="007F70DF">
        <w:rPr>
          <w:rFonts w:cs="Times New Roman"/>
          <w:szCs w:val="26"/>
        </w:rPr>
        <w:t>alaries expense by $12,45</w:t>
      </w:r>
      <w:r w:rsidR="0040751C" w:rsidRPr="007F70DF">
        <w:rPr>
          <w:rFonts w:cs="Times New Roman"/>
          <w:szCs w:val="26"/>
        </w:rPr>
        <w:t>6</w:t>
      </w:r>
      <w:r w:rsidR="00CA6A9D" w:rsidRPr="007F70DF">
        <w:rPr>
          <w:rFonts w:cs="Times New Roman"/>
          <w:szCs w:val="26"/>
        </w:rPr>
        <w:t xml:space="preserve"> and </w:t>
      </w:r>
      <w:r w:rsidR="00603F3C" w:rsidRPr="007F70DF">
        <w:rPr>
          <w:rFonts w:cs="Times New Roman"/>
          <w:szCs w:val="26"/>
        </w:rPr>
        <w:t xml:space="preserve">the </w:t>
      </w:r>
      <w:r w:rsidR="00DC4F55">
        <w:rPr>
          <w:rFonts w:cs="Times New Roman"/>
          <w:szCs w:val="26"/>
        </w:rPr>
        <w:t>directors’ f</w:t>
      </w:r>
      <w:r w:rsidR="00CA6A9D" w:rsidRPr="007F70DF">
        <w:rPr>
          <w:rFonts w:cs="Times New Roman"/>
          <w:szCs w:val="26"/>
        </w:rPr>
        <w:t xml:space="preserve">ees by $20,995, </w:t>
      </w:r>
      <w:r w:rsidR="00603F3C" w:rsidRPr="007F70DF">
        <w:rPr>
          <w:rFonts w:cs="Times New Roman"/>
          <w:szCs w:val="26"/>
        </w:rPr>
        <w:t>f</w:t>
      </w:r>
      <w:r w:rsidR="00CA6A9D" w:rsidRPr="007F70DF">
        <w:rPr>
          <w:rFonts w:cs="Times New Roman"/>
          <w:szCs w:val="26"/>
        </w:rPr>
        <w:t>or a total reduction of $33,451</w:t>
      </w:r>
      <w:r w:rsidR="00A749F3">
        <w:rPr>
          <w:rFonts w:cs="Times New Roman"/>
          <w:szCs w:val="26"/>
        </w:rPr>
        <w:t>,</w:t>
      </w:r>
      <w:r w:rsidR="00603F3C" w:rsidRPr="007F70DF">
        <w:rPr>
          <w:rFonts w:cs="Times New Roman"/>
          <w:szCs w:val="26"/>
        </w:rPr>
        <w:t xml:space="preserve"> </w:t>
      </w:r>
      <w:r>
        <w:rPr>
          <w:rFonts w:cs="Times New Roman"/>
          <w:szCs w:val="26"/>
        </w:rPr>
        <w:t>should be</w:t>
      </w:r>
      <w:r w:rsidR="00603F3C" w:rsidRPr="007F70DF">
        <w:rPr>
          <w:rFonts w:cs="Times New Roman"/>
          <w:szCs w:val="26"/>
        </w:rPr>
        <w:t xml:space="preserve"> </w:t>
      </w:r>
      <w:r w:rsidR="005A07B1" w:rsidRPr="007F70DF">
        <w:rPr>
          <w:rFonts w:cs="Times New Roman"/>
          <w:szCs w:val="26"/>
        </w:rPr>
        <w:t>rejected</w:t>
      </w:r>
      <w:r w:rsidR="00CA6A9D" w:rsidRPr="007F70DF">
        <w:rPr>
          <w:rFonts w:cs="Times New Roman"/>
          <w:szCs w:val="26"/>
        </w:rPr>
        <w:t>.</w:t>
      </w:r>
      <w:r>
        <w:rPr>
          <w:rFonts w:cs="Times New Roman"/>
          <w:szCs w:val="26"/>
        </w:rPr>
        <w:t xml:space="preserve">  R.D.at 37. </w:t>
      </w:r>
    </w:p>
    <w:p w:rsidR="00DA7448" w:rsidRDefault="00DA7448" w:rsidP="00CA1D69">
      <w:pPr>
        <w:contextualSpacing/>
        <w:rPr>
          <w:rFonts w:cs="Times New Roman"/>
          <w:szCs w:val="26"/>
        </w:rPr>
      </w:pPr>
    </w:p>
    <w:p w:rsidR="00DA7448" w:rsidRDefault="00DA7448" w:rsidP="00F0582F">
      <w:pPr>
        <w:keepNext/>
        <w:ind w:left="1440"/>
        <w:contextualSpacing/>
        <w:rPr>
          <w:rFonts w:cs="Times New Roman"/>
          <w:b/>
          <w:szCs w:val="26"/>
        </w:rPr>
      </w:pPr>
      <w:r w:rsidRPr="00DA7448">
        <w:rPr>
          <w:rFonts w:cs="Times New Roman"/>
          <w:b/>
          <w:szCs w:val="26"/>
        </w:rPr>
        <w:lastRenderedPageBreak/>
        <w:t>iii.</w:t>
      </w:r>
      <w:r w:rsidRPr="00DA7448">
        <w:rPr>
          <w:rFonts w:cs="Times New Roman"/>
          <w:b/>
          <w:szCs w:val="26"/>
        </w:rPr>
        <w:tab/>
        <w:t>Exceptions and Reply Exceptions</w:t>
      </w:r>
    </w:p>
    <w:p w:rsidR="009F576F" w:rsidRPr="00DA7448" w:rsidRDefault="009F576F" w:rsidP="001658F1">
      <w:pPr>
        <w:keepNext/>
        <w:contextualSpacing/>
        <w:rPr>
          <w:rFonts w:cs="Times New Roman"/>
          <w:b/>
          <w:szCs w:val="26"/>
        </w:rPr>
      </w:pPr>
    </w:p>
    <w:p w:rsidR="00DA7448" w:rsidRDefault="002279F2" w:rsidP="001658F1">
      <w:pPr>
        <w:keepNext/>
        <w:contextualSpacing/>
        <w:rPr>
          <w:rFonts w:cs="Times New Roman"/>
          <w:szCs w:val="26"/>
        </w:rPr>
      </w:pPr>
      <w:r>
        <w:rPr>
          <w:rFonts w:cs="Times New Roman"/>
          <w:szCs w:val="26"/>
        </w:rPr>
        <w:t xml:space="preserve">In its Exceptions, the OCA </w:t>
      </w:r>
      <w:r w:rsidR="00DA7448" w:rsidRPr="00DA7448">
        <w:rPr>
          <w:rFonts w:cs="Times New Roman"/>
          <w:szCs w:val="26"/>
        </w:rPr>
        <w:t xml:space="preserve">disagrees with the ALJ’s conclusion that consideration of the time spent on Company business means that the OCA is ignoring “quality in exchange for quantity.”  The </w:t>
      </w:r>
      <w:r>
        <w:rPr>
          <w:rFonts w:cs="Times New Roman"/>
          <w:szCs w:val="26"/>
        </w:rPr>
        <w:t>OCA submits that it</w:t>
      </w:r>
      <w:r w:rsidR="00DA7448" w:rsidRPr="00DA7448">
        <w:rPr>
          <w:rFonts w:cs="Times New Roman"/>
          <w:szCs w:val="26"/>
        </w:rPr>
        <w:t xml:space="preserve"> has not challenged the quality of work provided by the officers and directors</w:t>
      </w:r>
      <w:r>
        <w:rPr>
          <w:rFonts w:cs="Times New Roman"/>
          <w:szCs w:val="26"/>
        </w:rPr>
        <w:t>, but r</w:t>
      </w:r>
      <w:r w:rsidR="00DA7448" w:rsidRPr="00DA7448">
        <w:rPr>
          <w:rFonts w:cs="Times New Roman"/>
          <w:szCs w:val="26"/>
        </w:rPr>
        <w:t>ather</w:t>
      </w:r>
      <w:r>
        <w:rPr>
          <w:rFonts w:cs="Times New Roman"/>
          <w:szCs w:val="26"/>
        </w:rPr>
        <w:t xml:space="preserve"> </w:t>
      </w:r>
      <w:r w:rsidR="00DA7448" w:rsidRPr="00DA7448">
        <w:rPr>
          <w:rFonts w:cs="Times New Roman"/>
          <w:szCs w:val="26"/>
        </w:rPr>
        <w:t xml:space="preserve">is evaluating the active contribution of these individuals to the Company’s provision of water service.  </w:t>
      </w:r>
      <w:r>
        <w:rPr>
          <w:rFonts w:cs="Times New Roman"/>
          <w:szCs w:val="26"/>
        </w:rPr>
        <w:t xml:space="preserve">The OCA avers that </w:t>
      </w:r>
      <w:r w:rsidR="00DA7448" w:rsidRPr="00DA7448">
        <w:rPr>
          <w:rFonts w:cs="Times New Roman"/>
          <w:szCs w:val="26"/>
        </w:rPr>
        <w:t xml:space="preserve">the shareholders may pay any amount, but the hours spent on Company business are a reasonable check on the amount recoverable in rates.  </w:t>
      </w:r>
      <w:r w:rsidR="00696977">
        <w:rPr>
          <w:rFonts w:cs="Times New Roman"/>
          <w:szCs w:val="26"/>
        </w:rPr>
        <w:t xml:space="preserve">Therefore, </w:t>
      </w:r>
      <w:r w:rsidR="00DA7448" w:rsidRPr="00DA7448">
        <w:rPr>
          <w:rFonts w:cs="Times New Roman"/>
          <w:szCs w:val="26"/>
        </w:rPr>
        <w:t xml:space="preserve">contrary to the ALJ’s conclusion, the OCA </w:t>
      </w:r>
      <w:r w:rsidR="00696977">
        <w:rPr>
          <w:rFonts w:cs="Times New Roman"/>
          <w:szCs w:val="26"/>
        </w:rPr>
        <w:t xml:space="preserve">argues that </w:t>
      </w:r>
      <w:r w:rsidR="007A2C47">
        <w:rPr>
          <w:rFonts w:cs="Times New Roman"/>
          <w:szCs w:val="26"/>
        </w:rPr>
        <w:t xml:space="preserve">it </w:t>
      </w:r>
      <w:r w:rsidR="00DA7448" w:rsidRPr="00DA7448">
        <w:rPr>
          <w:rFonts w:cs="Times New Roman"/>
          <w:szCs w:val="26"/>
        </w:rPr>
        <w:t>is not micromanaging</w:t>
      </w:r>
      <w:r w:rsidR="00DC4F55">
        <w:rPr>
          <w:rFonts w:cs="Times New Roman"/>
          <w:szCs w:val="26"/>
        </w:rPr>
        <w:t xml:space="preserve"> the Company’s business</w:t>
      </w:r>
      <w:r w:rsidR="007A2C47">
        <w:rPr>
          <w:rFonts w:cs="Times New Roman"/>
          <w:szCs w:val="26"/>
        </w:rPr>
        <w:t>;</w:t>
      </w:r>
      <w:r w:rsidR="00DA7448" w:rsidRPr="00DA7448">
        <w:rPr>
          <w:rFonts w:cs="Times New Roman"/>
          <w:szCs w:val="26"/>
        </w:rPr>
        <w:t xml:space="preserve"> rather, the OCA is recommending an adjustment that would result in ratepayers paying a reasonable level of expense for the value provided by the officers and directors.  </w:t>
      </w:r>
      <w:r w:rsidR="00A749F3">
        <w:rPr>
          <w:rFonts w:cs="Times New Roman"/>
          <w:szCs w:val="26"/>
        </w:rPr>
        <w:t xml:space="preserve">The OCA opines that </w:t>
      </w:r>
      <w:r w:rsidR="00DA7448" w:rsidRPr="00DA7448">
        <w:rPr>
          <w:rFonts w:cs="Times New Roman"/>
          <w:szCs w:val="26"/>
        </w:rPr>
        <w:t>accept</w:t>
      </w:r>
      <w:r w:rsidR="00A749F3">
        <w:rPr>
          <w:rFonts w:cs="Times New Roman"/>
          <w:szCs w:val="26"/>
        </w:rPr>
        <w:t>ing</w:t>
      </w:r>
      <w:r w:rsidR="00DA7448" w:rsidRPr="00DA7448">
        <w:rPr>
          <w:rFonts w:cs="Times New Roman"/>
          <w:szCs w:val="26"/>
        </w:rPr>
        <w:t xml:space="preserve"> the ALJ’s approa</w:t>
      </w:r>
      <w:r w:rsidR="00A749F3">
        <w:rPr>
          <w:rFonts w:cs="Times New Roman"/>
          <w:szCs w:val="26"/>
        </w:rPr>
        <w:t xml:space="preserve">ch would </w:t>
      </w:r>
      <w:r w:rsidR="00DA7448" w:rsidRPr="00DA7448">
        <w:rPr>
          <w:rFonts w:cs="Times New Roman"/>
          <w:szCs w:val="26"/>
        </w:rPr>
        <w:t xml:space="preserve">allow any amount to be claimed, because it is so difficult to measure the quality of the work provided by the officers and directors.  </w:t>
      </w:r>
      <w:r w:rsidR="00696977">
        <w:rPr>
          <w:rFonts w:cs="Times New Roman"/>
          <w:szCs w:val="26"/>
        </w:rPr>
        <w:t>The OCA states that this</w:t>
      </w:r>
      <w:r w:rsidR="00DA7448" w:rsidRPr="00DA7448">
        <w:rPr>
          <w:rFonts w:cs="Times New Roman"/>
          <w:szCs w:val="26"/>
        </w:rPr>
        <w:t xml:space="preserve"> position is not reasonable for ratemaking purposes. </w:t>
      </w:r>
      <w:r w:rsidR="00DC4F55">
        <w:rPr>
          <w:rFonts w:cs="Times New Roman"/>
          <w:szCs w:val="26"/>
        </w:rPr>
        <w:t xml:space="preserve"> OCA Exc. at 34</w:t>
      </w:r>
      <w:r w:rsidR="00DC4F55">
        <w:rPr>
          <w:rFonts w:cs="Times New Roman"/>
          <w:szCs w:val="26"/>
        </w:rPr>
        <w:noBreakHyphen/>
      </w:r>
      <w:r w:rsidR="00696977">
        <w:rPr>
          <w:rFonts w:cs="Times New Roman"/>
          <w:szCs w:val="26"/>
        </w:rPr>
        <w:t xml:space="preserve">35. </w:t>
      </w:r>
    </w:p>
    <w:p w:rsidR="00DA7448" w:rsidRPr="00DA7448" w:rsidRDefault="00DA7448" w:rsidP="00DA7448">
      <w:pPr>
        <w:contextualSpacing/>
        <w:rPr>
          <w:rFonts w:cs="Times New Roman"/>
          <w:szCs w:val="26"/>
        </w:rPr>
      </w:pPr>
    </w:p>
    <w:p w:rsidR="001658F1" w:rsidRDefault="00696977" w:rsidP="00DA7448">
      <w:pPr>
        <w:contextualSpacing/>
        <w:rPr>
          <w:rFonts w:cs="Times New Roman"/>
          <w:szCs w:val="26"/>
        </w:rPr>
      </w:pPr>
      <w:r w:rsidRPr="00696977">
        <w:rPr>
          <w:rFonts w:cs="Times New Roman"/>
          <w:szCs w:val="26"/>
        </w:rPr>
        <w:t xml:space="preserve">In its reply to the OCA Exceptions, the Company </w:t>
      </w:r>
      <w:r>
        <w:rPr>
          <w:rFonts w:cs="Times New Roman"/>
          <w:szCs w:val="26"/>
        </w:rPr>
        <w:t xml:space="preserve">notes </w:t>
      </w:r>
      <w:r w:rsidRPr="00696977">
        <w:rPr>
          <w:rFonts w:cs="Times New Roman"/>
          <w:szCs w:val="26"/>
        </w:rPr>
        <w:t xml:space="preserve">that its claim for </w:t>
      </w:r>
      <w:r w:rsidR="007B4B0D">
        <w:rPr>
          <w:rFonts w:cs="Times New Roman"/>
          <w:szCs w:val="26"/>
        </w:rPr>
        <w:t>o</w:t>
      </w:r>
      <w:r w:rsidRPr="00696977">
        <w:rPr>
          <w:rFonts w:cs="Times New Roman"/>
          <w:szCs w:val="26"/>
        </w:rPr>
        <w:t xml:space="preserve">fficer and </w:t>
      </w:r>
      <w:r w:rsidR="007B4B0D">
        <w:rPr>
          <w:rFonts w:cs="Times New Roman"/>
          <w:szCs w:val="26"/>
        </w:rPr>
        <w:t>d</w:t>
      </w:r>
      <w:r w:rsidRPr="00696977">
        <w:rPr>
          <w:rFonts w:cs="Times New Roman"/>
          <w:szCs w:val="26"/>
        </w:rPr>
        <w:t xml:space="preserve">irector salaries is substantially less </w:t>
      </w:r>
      <w:r>
        <w:rPr>
          <w:rFonts w:cs="Times New Roman"/>
          <w:szCs w:val="26"/>
        </w:rPr>
        <w:t xml:space="preserve">than the </w:t>
      </w:r>
      <w:r w:rsidR="00A749F3">
        <w:rPr>
          <w:rFonts w:cs="Times New Roman"/>
          <w:szCs w:val="26"/>
        </w:rPr>
        <w:t>$80,800 that was approved for O</w:t>
      </w:r>
      <w:r w:rsidR="00495FAA">
        <w:rPr>
          <w:rFonts w:cs="Times New Roman"/>
          <w:szCs w:val="26"/>
        </w:rPr>
        <w:t xml:space="preserve">fficers and $68,000 that was approved for Directors in the Company’s last rate case.  The Company submits that the OCA has not provided any evidence that the performance of its officers and directors has lessened in any way.   The Company points out that </w:t>
      </w:r>
      <w:r w:rsidR="007A2C47">
        <w:rPr>
          <w:rFonts w:cs="Times New Roman"/>
          <w:szCs w:val="26"/>
        </w:rPr>
        <w:t xml:space="preserve">its General Manager, </w:t>
      </w:r>
      <w:r w:rsidR="00495FAA">
        <w:rPr>
          <w:rFonts w:cs="Times New Roman"/>
          <w:szCs w:val="26"/>
        </w:rPr>
        <w:t>Mr.</w:t>
      </w:r>
      <w:r w:rsidR="007A2C47">
        <w:rPr>
          <w:rFonts w:cs="Times New Roman"/>
          <w:szCs w:val="26"/>
        </w:rPr>
        <w:t xml:space="preserve"> Lewis,</w:t>
      </w:r>
      <w:r w:rsidR="00495FAA">
        <w:rPr>
          <w:rFonts w:cs="Times New Roman"/>
          <w:szCs w:val="26"/>
        </w:rPr>
        <w:t xml:space="preserve"> testified that the Company has provided exemplary performance in the past several years</w:t>
      </w:r>
      <w:r w:rsidR="001658F1">
        <w:rPr>
          <w:rFonts w:cs="Times New Roman"/>
          <w:szCs w:val="26"/>
        </w:rPr>
        <w:t>, including significant management, analysis and decision making regarding the acquisition of a neighboring water company.  The Company also points out that the Company’s officers and directors have not had an increase in their salaries and fees since 2009, and the Company is not requesting an increase in this proceeding.  CWC R.Exc. at 23-24.</w:t>
      </w:r>
    </w:p>
    <w:p w:rsidR="00DA7448" w:rsidRPr="00696977" w:rsidRDefault="001658F1" w:rsidP="00DA7448">
      <w:pPr>
        <w:contextualSpacing/>
        <w:rPr>
          <w:rFonts w:cs="Times New Roman"/>
          <w:szCs w:val="26"/>
        </w:rPr>
      </w:pPr>
      <w:r>
        <w:rPr>
          <w:rFonts w:cs="Times New Roman"/>
          <w:szCs w:val="26"/>
        </w:rPr>
        <w:t xml:space="preserve"> </w:t>
      </w:r>
    </w:p>
    <w:p w:rsidR="00DA7448" w:rsidRDefault="00F0582F" w:rsidP="00991846">
      <w:pPr>
        <w:keepNext/>
        <w:contextualSpacing/>
        <w:rPr>
          <w:rFonts w:cs="Times New Roman"/>
          <w:b/>
          <w:szCs w:val="26"/>
        </w:rPr>
      </w:pPr>
      <w:r>
        <w:rPr>
          <w:rFonts w:cs="Times New Roman"/>
          <w:b/>
          <w:szCs w:val="26"/>
        </w:rPr>
        <w:lastRenderedPageBreak/>
        <w:tab/>
      </w:r>
      <w:r w:rsidR="00DA7448" w:rsidRPr="00DA7448">
        <w:rPr>
          <w:rFonts w:cs="Times New Roman"/>
          <w:b/>
          <w:szCs w:val="26"/>
        </w:rPr>
        <w:tab/>
        <w:t>iv.</w:t>
      </w:r>
      <w:r w:rsidR="00DA7448" w:rsidRPr="00DA7448">
        <w:rPr>
          <w:rFonts w:cs="Times New Roman"/>
          <w:b/>
          <w:szCs w:val="26"/>
        </w:rPr>
        <w:tab/>
        <w:t>Disposition</w:t>
      </w:r>
    </w:p>
    <w:p w:rsidR="009F576F" w:rsidRDefault="009F576F" w:rsidP="00991846">
      <w:pPr>
        <w:keepNext/>
        <w:contextualSpacing/>
        <w:rPr>
          <w:rFonts w:cs="Times New Roman"/>
          <w:b/>
          <w:szCs w:val="26"/>
        </w:rPr>
      </w:pPr>
    </w:p>
    <w:p w:rsidR="00991846" w:rsidRPr="00BF4CA6" w:rsidRDefault="00991846" w:rsidP="00991846">
      <w:pPr>
        <w:keepNext/>
      </w:pPr>
      <w:r w:rsidRPr="00991846">
        <w:rPr>
          <w:rFonts w:cs="Times New Roman"/>
          <w:szCs w:val="26"/>
        </w:rPr>
        <w:t xml:space="preserve">As we stated in our Opinion and Order </w:t>
      </w:r>
      <w:r>
        <w:rPr>
          <w:rFonts w:cs="Times New Roman"/>
          <w:szCs w:val="26"/>
        </w:rPr>
        <w:t>addressing the Company</w:t>
      </w:r>
      <w:r w:rsidR="00862733">
        <w:rPr>
          <w:rFonts w:cs="Times New Roman"/>
          <w:szCs w:val="26"/>
        </w:rPr>
        <w:t>’s</w:t>
      </w:r>
      <w:r w:rsidR="00A749F3">
        <w:rPr>
          <w:rFonts w:cs="Times New Roman"/>
          <w:szCs w:val="26"/>
        </w:rPr>
        <w:t xml:space="preserve"> last rate proceeding, “[d]</w:t>
      </w:r>
      <w:r w:rsidRPr="00BF4CA6">
        <w:t>etermining the employment practices and compensation of its directors, officers</w:t>
      </w:r>
      <w:r>
        <w:t>,</w:t>
      </w:r>
      <w:r w:rsidRPr="00BF4CA6">
        <w:t xml:space="preserve"> and employees is within the managerial</w:t>
      </w:r>
      <w:r w:rsidR="00DC4F55">
        <w:t xml:space="preserve"> discretion of a public utility</w:t>
      </w:r>
      <w:r>
        <w:t xml:space="preserve">.”  </w:t>
      </w:r>
      <w:r w:rsidRPr="00991846">
        <w:rPr>
          <w:i/>
        </w:rPr>
        <w:t>2009 Rate Case Order</w:t>
      </w:r>
      <w:r>
        <w:t xml:space="preserve"> at 34-35</w:t>
      </w:r>
      <w:r w:rsidR="00DC4F55">
        <w:t xml:space="preserve"> (internal citations omitted)</w:t>
      </w:r>
      <w:r>
        <w:t xml:space="preserve">.   However, we recognize that the OCA is requesting that we </w:t>
      </w:r>
      <w:r w:rsidR="007B4B0D">
        <w:t xml:space="preserve">adjust </w:t>
      </w:r>
      <w:r>
        <w:t>the amount</w:t>
      </w:r>
      <w:r w:rsidR="007B4B0D">
        <w:t xml:space="preserve"> of officers’ and directors’ compensation that is recovered from ratepayers and not make a determination on the actual compensation that is paid by the Company.   Based on our review of the record in this proceeding, we find that the Company’s request of </w:t>
      </w:r>
      <w:r w:rsidR="007B4B0D" w:rsidRPr="007F70DF">
        <w:rPr>
          <w:rFonts w:cs="Times New Roman"/>
          <w:szCs w:val="26"/>
        </w:rPr>
        <w:t xml:space="preserve">$68,000 </w:t>
      </w:r>
      <w:r w:rsidR="007B4B0D">
        <w:rPr>
          <w:rFonts w:cs="Times New Roman"/>
          <w:szCs w:val="26"/>
        </w:rPr>
        <w:t>for the s</w:t>
      </w:r>
      <w:r w:rsidR="007B4B0D" w:rsidRPr="007F70DF">
        <w:rPr>
          <w:rFonts w:cs="Times New Roman"/>
          <w:szCs w:val="26"/>
        </w:rPr>
        <w:t xml:space="preserve">alaries for </w:t>
      </w:r>
      <w:r w:rsidR="007B4B0D">
        <w:rPr>
          <w:rFonts w:cs="Times New Roman"/>
          <w:szCs w:val="26"/>
        </w:rPr>
        <w:t>o</w:t>
      </w:r>
      <w:r w:rsidR="007B4B0D" w:rsidRPr="007F70DF">
        <w:rPr>
          <w:rFonts w:cs="Times New Roman"/>
          <w:szCs w:val="26"/>
        </w:rPr>
        <w:t xml:space="preserve">fficers, </w:t>
      </w:r>
      <w:r w:rsidR="007B4B0D">
        <w:rPr>
          <w:rFonts w:cs="Times New Roman"/>
          <w:szCs w:val="26"/>
        </w:rPr>
        <w:t>d</w:t>
      </w:r>
      <w:r w:rsidR="007B4B0D" w:rsidRPr="007F70DF">
        <w:rPr>
          <w:rFonts w:cs="Times New Roman"/>
          <w:szCs w:val="26"/>
        </w:rPr>
        <w:t xml:space="preserve">irectors and </w:t>
      </w:r>
      <w:r w:rsidR="007B4B0D">
        <w:rPr>
          <w:rFonts w:cs="Times New Roman"/>
          <w:szCs w:val="26"/>
        </w:rPr>
        <w:t>m</w:t>
      </w:r>
      <w:r w:rsidR="007B4B0D" w:rsidRPr="007F70DF">
        <w:rPr>
          <w:rFonts w:cs="Times New Roman"/>
          <w:szCs w:val="26"/>
        </w:rPr>
        <w:t xml:space="preserve">ajority </w:t>
      </w:r>
      <w:r w:rsidR="007B4B0D">
        <w:rPr>
          <w:rFonts w:cs="Times New Roman"/>
          <w:szCs w:val="26"/>
        </w:rPr>
        <w:t>s</w:t>
      </w:r>
      <w:r w:rsidR="007B4B0D" w:rsidRPr="007F70DF">
        <w:rPr>
          <w:rFonts w:cs="Times New Roman"/>
          <w:szCs w:val="26"/>
        </w:rPr>
        <w:t xml:space="preserve">hareholders and $62,500 for </w:t>
      </w:r>
      <w:r w:rsidR="007B4B0D">
        <w:rPr>
          <w:rFonts w:cs="Times New Roman"/>
          <w:szCs w:val="26"/>
        </w:rPr>
        <w:t>d</w:t>
      </w:r>
      <w:r w:rsidR="007B4B0D" w:rsidRPr="007F70DF">
        <w:rPr>
          <w:rFonts w:cs="Times New Roman"/>
          <w:szCs w:val="26"/>
        </w:rPr>
        <w:t xml:space="preserve">irectors’ </w:t>
      </w:r>
      <w:r w:rsidR="007B4B0D">
        <w:rPr>
          <w:rFonts w:cs="Times New Roman"/>
          <w:szCs w:val="26"/>
        </w:rPr>
        <w:t>f</w:t>
      </w:r>
      <w:r w:rsidR="007B4B0D" w:rsidRPr="007F70DF">
        <w:rPr>
          <w:rFonts w:cs="Times New Roman"/>
          <w:szCs w:val="26"/>
        </w:rPr>
        <w:t xml:space="preserve">ees </w:t>
      </w:r>
      <w:r w:rsidR="00862733">
        <w:rPr>
          <w:rFonts w:cs="Times New Roman"/>
          <w:szCs w:val="26"/>
        </w:rPr>
        <w:t xml:space="preserve">and </w:t>
      </w:r>
      <w:r w:rsidR="007B4B0D">
        <w:rPr>
          <w:rFonts w:cs="Times New Roman"/>
          <w:szCs w:val="26"/>
        </w:rPr>
        <w:t>e</w:t>
      </w:r>
      <w:r w:rsidR="007B4B0D" w:rsidRPr="007F70DF">
        <w:rPr>
          <w:rFonts w:cs="Times New Roman"/>
          <w:szCs w:val="26"/>
        </w:rPr>
        <w:t xml:space="preserve">xpenses </w:t>
      </w:r>
      <w:r w:rsidR="00A749F3">
        <w:rPr>
          <w:rFonts w:cs="Times New Roman"/>
          <w:szCs w:val="26"/>
        </w:rPr>
        <w:t>is</w:t>
      </w:r>
      <w:r w:rsidR="007B4B0D">
        <w:rPr>
          <w:rFonts w:cs="Times New Roman"/>
          <w:szCs w:val="26"/>
        </w:rPr>
        <w:t xml:space="preserve"> reasonable, particularly since the Company has reduced its request from the la</w:t>
      </w:r>
      <w:r w:rsidR="005E4F90">
        <w:rPr>
          <w:rFonts w:cs="Times New Roman"/>
          <w:szCs w:val="26"/>
        </w:rPr>
        <w:t>st proceeding</w:t>
      </w:r>
      <w:r w:rsidR="007B4B0D">
        <w:rPr>
          <w:rFonts w:cs="Times New Roman"/>
          <w:szCs w:val="26"/>
        </w:rPr>
        <w:t xml:space="preserve">. </w:t>
      </w:r>
    </w:p>
    <w:p w:rsidR="00CA1D69" w:rsidRDefault="00CA1D69" w:rsidP="00CA1D69">
      <w:pPr>
        <w:contextualSpacing/>
        <w:rPr>
          <w:rFonts w:cs="Times New Roman"/>
          <w:szCs w:val="26"/>
        </w:rPr>
      </w:pPr>
    </w:p>
    <w:p w:rsidR="00CA1D69" w:rsidRDefault="00CA1D69" w:rsidP="00F0582F">
      <w:pPr>
        <w:spacing w:line="240" w:lineRule="auto"/>
        <w:ind w:left="720"/>
        <w:contextualSpacing/>
        <w:rPr>
          <w:rFonts w:cs="Times New Roman"/>
          <w:b/>
          <w:szCs w:val="26"/>
        </w:rPr>
      </w:pPr>
      <w:r>
        <w:rPr>
          <w:rFonts w:cs="Times New Roman"/>
          <w:b/>
          <w:szCs w:val="26"/>
        </w:rPr>
        <w:t>b.</w:t>
      </w:r>
      <w:r>
        <w:rPr>
          <w:rFonts w:cs="Times New Roman"/>
          <w:b/>
          <w:szCs w:val="26"/>
        </w:rPr>
        <w:tab/>
      </w:r>
      <w:r w:rsidR="002722F8">
        <w:rPr>
          <w:rFonts w:cs="Times New Roman"/>
          <w:b/>
          <w:szCs w:val="26"/>
        </w:rPr>
        <w:t>Allocation to the Marietta Division</w:t>
      </w:r>
    </w:p>
    <w:p w:rsidR="002722F8" w:rsidRDefault="002722F8" w:rsidP="00CA1D69">
      <w:pPr>
        <w:contextualSpacing/>
        <w:rPr>
          <w:rFonts w:cs="Times New Roman"/>
          <w:b/>
          <w:szCs w:val="26"/>
        </w:rPr>
      </w:pPr>
    </w:p>
    <w:p w:rsidR="002722F8" w:rsidRDefault="002722F8" w:rsidP="00F0582F">
      <w:pPr>
        <w:spacing w:line="240" w:lineRule="auto"/>
        <w:contextualSpacing/>
        <w:rPr>
          <w:rFonts w:cs="Times New Roman"/>
          <w:b/>
          <w:szCs w:val="26"/>
        </w:rPr>
      </w:pPr>
      <w:r>
        <w:rPr>
          <w:rFonts w:cs="Times New Roman"/>
          <w:b/>
          <w:szCs w:val="26"/>
        </w:rPr>
        <w:tab/>
      </w:r>
      <w:r>
        <w:rPr>
          <w:rFonts w:cs="Times New Roman"/>
          <w:b/>
          <w:szCs w:val="26"/>
        </w:rPr>
        <w:tab/>
        <w:t>i.</w:t>
      </w:r>
      <w:r>
        <w:rPr>
          <w:rFonts w:cs="Times New Roman"/>
          <w:b/>
          <w:szCs w:val="26"/>
        </w:rPr>
        <w:tab/>
        <w:t>Positions of the Parties</w:t>
      </w:r>
    </w:p>
    <w:p w:rsidR="002722F8" w:rsidRDefault="002722F8" w:rsidP="00CA1D69">
      <w:pPr>
        <w:contextualSpacing/>
        <w:rPr>
          <w:rFonts w:cs="Times New Roman"/>
          <w:b/>
          <w:szCs w:val="26"/>
        </w:rPr>
      </w:pPr>
    </w:p>
    <w:p w:rsidR="002722F8" w:rsidRPr="007F70DF" w:rsidRDefault="002722F8" w:rsidP="002722F8">
      <w:pPr>
        <w:contextualSpacing/>
        <w:rPr>
          <w:rFonts w:cs="Times New Roman"/>
          <w:szCs w:val="26"/>
        </w:rPr>
      </w:pPr>
      <w:r w:rsidRPr="007F70DF">
        <w:rPr>
          <w:rFonts w:cs="Times New Roman"/>
          <w:szCs w:val="26"/>
        </w:rPr>
        <w:t xml:space="preserve">The </w:t>
      </w:r>
      <w:r>
        <w:rPr>
          <w:rFonts w:cs="Times New Roman"/>
          <w:szCs w:val="26"/>
        </w:rPr>
        <w:t>OCA argued</w:t>
      </w:r>
      <w:r w:rsidRPr="007F70DF">
        <w:rPr>
          <w:rFonts w:cs="Times New Roman"/>
          <w:szCs w:val="26"/>
        </w:rPr>
        <w:t xml:space="preserve"> that Columbia did not allocate any of the </w:t>
      </w:r>
      <w:r w:rsidR="00F0582F">
        <w:rPr>
          <w:rFonts w:cs="Times New Roman"/>
          <w:szCs w:val="26"/>
        </w:rPr>
        <w:t>o</w:t>
      </w:r>
      <w:r w:rsidRPr="007F70DF">
        <w:rPr>
          <w:rFonts w:cs="Times New Roman"/>
          <w:szCs w:val="26"/>
        </w:rPr>
        <w:t xml:space="preserve">fficers’ </w:t>
      </w:r>
      <w:r w:rsidR="00F0582F">
        <w:rPr>
          <w:rFonts w:cs="Times New Roman"/>
          <w:szCs w:val="26"/>
        </w:rPr>
        <w:t>s</w:t>
      </w:r>
      <w:r w:rsidRPr="007F70DF">
        <w:rPr>
          <w:rFonts w:cs="Times New Roman"/>
          <w:szCs w:val="26"/>
        </w:rPr>
        <w:t xml:space="preserve">alaries or </w:t>
      </w:r>
      <w:r w:rsidR="00F0582F">
        <w:rPr>
          <w:rFonts w:cs="Times New Roman"/>
          <w:szCs w:val="26"/>
        </w:rPr>
        <w:t>d</w:t>
      </w:r>
      <w:r w:rsidRPr="007F70DF">
        <w:rPr>
          <w:rFonts w:cs="Times New Roman"/>
          <w:szCs w:val="26"/>
        </w:rPr>
        <w:t xml:space="preserve">irectors’ </w:t>
      </w:r>
      <w:r w:rsidR="00F0582F">
        <w:rPr>
          <w:rFonts w:cs="Times New Roman"/>
          <w:szCs w:val="26"/>
        </w:rPr>
        <w:t>f</w:t>
      </w:r>
      <w:r w:rsidRPr="007F70DF">
        <w:rPr>
          <w:rFonts w:cs="Times New Roman"/>
          <w:szCs w:val="26"/>
        </w:rPr>
        <w:t xml:space="preserve">ees to the Marietta Division.  OCA St. 1 at 47 (citing the Company’s response to OCA Set III-14).  </w:t>
      </w:r>
      <w:r w:rsidR="00F0582F">
        <w:rPr>
          <w:rFonts w:cs="Times New Roman"/>
          <w:szCs w:val="26"/>
        </w:rPr>
        <w:t>The OCA noted that, a</w:t>
      </w:r>
      <w:r w:rsidRPr="007F70DF">
        <w:rPr>
          <w:rFonts w:cs="Times New Roman"/>
          <w:szCs w:val="26"/>
        </w:rPr>
        <w:t xml:space="preserve">s a result of the acquisition of the MGWC, the officers and directors of the Columbia Division are also the officers and directors of the Marietta Division.  </w:t>
      </w:r>
      <w:r>
        <w:rPr>
          <w:rFonts w:cs="Times New Roman"/>
          <w:szCs w:val="26"/>
        </w:rPr>
        <w:t>The OCA contended</w:t>
      </w:r>
      <w:r w:rsidRPr="007F70DF">
        <w:rPr>
          <w:rFonts w:cs="Times New Roman"/>
          <w:szCs w:val="26"/>
        </w:rPr>
        <w:t xml:space="preserve"> that it is therefore unreasonable to charge the Columbia Division customers for the entire cost of the officers and directors.  OCA St. 1R at 36-37.  Moreover, the </w:t>
      </w:r>
      <w:r w:rsidR="00F0582F">
        <w:rPr>
          <w:rFonts w:cs="Times New Roman"/>
          <w:szCs w:val="26"/>
        </w:rPr>
        <w:t xml:space="preserve">OCA pointed out that the </w:t>
      </w:r>
      <w:r w:rsidRPr="007F70DF">
        <w:rPr>
          <w:rFonts w:cs="Times New Roman"/>
          <w:szCs w:val="26"/>
        </w:rPr>
        <w:t>Ma</w:t>
      </w:r>
      <w:r w:rsidR="005E4F90">
        <w:rPr>
          <w:rFonts w:cs="Times New Roman"/>
          <w:szCs w:val="26"/>
        </w:rPr>
        <w:t>rietta Division has officers’ salaries and directors’ f</w:t>
      </w:r>
      <w:r w:rsidRPr="007F70DF">
        <w:rPr>
          <w:rFonts w:cs="Times New Roman"/>
          <w:szCs w:val="26"/>
        </w:rPr>
        <w:t xml:space="preserve">ees built into its existing base rates.  OCA St. 1 at 57-58.  </w:t>
      </w:r>
      <w:r w:rsidR="00F0582F">
        <w:rPr>
          <w:rFonts w:cs="Times New Roman"/>
          <w:szCs w:val="26"/>
        </w:rPr>
        <w:t>The OCA opined that t</w:t>
      </w:r>
      <w:r w:rsidRPr="007F70DF">
        <w:rPr>
          <w:rFonts w:cs="Times New Roman"/>
          <w:szCs w:val="26"/>
        </w:rPr>
        <w:t>o allow the Columbia Division to include the full amount of these costs in Columbia Division rates would allow the Company to double collect on these expenditures.</w:t>
      </w:r>
      <w:r w:rsidR="00F0582F">
        <w:rPr>
          <w:rFonts w:cs="Times New Roman"/>
          <w:szCs w:val="26"/>
        </w:rPr>
        <w:t xml:space="preserve">  </w:t>
      </w:r>
      <w:r w:rsidR="00FD54BF">
        <w:rPr>
          <w:rFonts w:cs="Times New Roman"/>
          <w:szCs w:val="26"/>
        </w:rPr>
        <w:t xml:space="preserve">OCA M.B. at 63. </w:t>
      </w:r>
    </w:p>
    <w:p w:rsidR="002722F8" w:rsidRPr="007F70DF" w:rsidRDefault="002722F8" w:rsidP="002722F8">
      <w:pPr>
        <w:ind w:firstLine="720"/>
        <w:contextualSpacing/>
        <w:rPr>
          <w:rFonts w:cs="Times New Roman"/>
          <w:szCs w:val="26"/>
        </w:rPr>
      </w:pPr>
    </w:p>
    <w:p w:rsidR="002722F8" w:rsidRDefault="002722F8" w:rsidP="002722F8">
      <w:pPr>
        <w:contextualSpacing/>
        <w:rPr>
          <w:rFonts w:cs="Times New Roman"/>
          <w:szCs w:val="26"/>
        </w:rPr>
      </w:pPr>
      <w:r w:rsidRPr="007F70DF">
        <w:rPr>
          <w:rFonts w:cs="Times New Roman"/>
          <w:szCs w:val="26"/>
        </w:rPr>
        <w:lastRenderedPageBreak/>
        <w:t xml:space="preserve">The OCA’s witness Everette recommended that 15% of the total </w:t>
      </w:r>
      <w:r w:rsidR="00FD54BF">
        <w:rPr>
          <w:rFonts w:cs="Times New Roman"/>
          <w:szCs w:val="26"/>
        </w:rPr>
        <w:t>o</w:t>
      </w:r>
      <w:r w:rsidRPr="007F70DF">
        <w:rPr>
          <w:rFonts w:cs="Times New Roman"/>
          <w:szCs w:val="26"/>
        </w:rPr>
        <w:t xml:space="preserve">fficers’ </w:t>
      </w:r>
      <w:r w:rsidR="00FD54BF">
        <w:rPr>
          <w:rFonts w:cs="Times New Roman"/>
          <w:szCs w:val="26"/>
        </w:rPr>
        <w:t>s</w:t>
      </w:r>
      <w:r w:rsidRPr="007F70DF">
        <w:rPr>
          <w:rFonts w:cs="Times New Roman"/>
          <w:szCs w:val="26"/>
        </w:rPr>
        <w:t xml:space="preserve">alaries and </w:t>
      </w:r>
      <w:r w:rsidR="00FD54BF">
        <w:rPr>
          <w:rFonts w:cs="Times New Roman"/>
          <w:szCs w:val="26"/>
        </w:rPr>
        <w:t>d</w:t>
      </w:r>
      <w:r w:rsidRPr="007F70DF">
        <w:rPr>
          <w:rFonts w:cs="Times New Roman"/>
          <w:szCs w:val="26"/>
        </w:rPr>
        <w:t xml:space="preserve">irectors’ </w:t>
      </w:r>
      <w:r w:rsidR="00FD54BF">
        <w:rPr>
          <w:rFonts w:cs="Times New Roman"/>
          <w:szCs w:val="26"/>
        </w:rPr>
        <w:t>f</w:t>
      </w:r>
      <w:r w:rsidRPr="007F70DF">
        <w:rPr>
          <w:rFonts w:cs="Times New Roman"/>
          <w:szCs w:val="26"/>
        </w:rPr>
        <w:t xml:space="preserve">ees allowed by the Commission be allocated to the Marietta Division.  OCA St. 1 at 58.  </w:t>
      </w:r>
      <w:r w:rsidR="00FD54BF">
        <w:rPr>
          <w:rFonts w:cs="Times New Roman"/>
          <w:szCs w:val="26"/>
        </w:rPr>
        <w:t xml:space="preserve">The OCA’s adjustment is based on the assumption that </w:t>
      </w:r>
      <w:r w:rsidRPr="007F70DF">
        <w:rPr>
          <w:rFonts w:cs="Times New Roman"/>
          <w:szCs w:val="26"/>
        </w:rPr>
        <w:t xml:space="preserve">the time spent by Columbia’s officers and directors will be the same as or similar to the ratio of time spent by Columbia employees on the Marietta Division.  </w:t>
      </w:r>
      <w:r w:rsidRPr="00FB19BA">
        <w:rPr>
          <w:rFonts w:cs="Times New Roman"/>
          <w:i/>
          <w:szCs w:val="26"/>
        </w:rPr>
        <w:t>Id</w:t>
      </w:r>
      <w:r w:rsidRPr="007F70DF">
        <w:rPr>
          <w:rFonts w:cs="Times New Roman"/>
          <w:szCs w:val="26"/>
        </w:rPr>
        <w:t xml:space="preserve">.  </w:t>
      </w:r>
      <w:r w:rsidR="00FB19BA">
        <w:rPr>
          <w:rFonts w:cs="Times New Roman"/>
          <w:szCs w:val="26"/>
        </w:rPr>
        <w:t xml:space="preserve"> Because the OCA recommended that a</w:t>
      </w:r>
      <w:r w:rsidRPr="007F70DF">
        <w:rPr>
          <w:rFonts w:cs="Times New Roman"/>
          <w:szCs w:val="26"/>
        </w:rPr>
        <w:t xml:space="preserve"> total expense of $97,384 for </w:t>
      </w:r>
      <w:r w:rsidR="00FB19BA">
        <w:rPr>
          <w:rFonts w:cs="Times New Roman"/>
          <w:szCs w:val="26"/>
        </w:rPr>
        <w:t>o</w:t>
      </w:r>
      <w:r w:rsidRPr="007F70DF">
        <w:rPr>
          <w:rFonts w:cs="Times New Roman"/>
          <w:szCs w:val="26"/>
        </w:rPr>
        <w:t xml:space="preserve">fficers’ </w:t>
      </w:r>
      <w:r w:rsidR="00FB19BA">
        <w:rPr>
          <w:rFonts w:cs="Times New Roman"/>
          <w:szCs w:val="26"/>
        </w:rPr>
        <w:t>s</w:t>
      </w:r>
      <w:r w:rsidRPr="007F70DF">
        <w:rPr>
          <w:rFonts w:cs="Times New Roman"/>
          <w:szCs w:val="26"/>
        </w:rPr>
        <w:t xml:space="preserve">alaries and </w:t>
      </w:r>
      <w:r w:rsidR="00FB19BA">
        <w:rPr>
          <w:rFonts w:cs="Times New Roman"/>
          <w:szCs w:val="26"/>
        </w:rPr>
        <w:t>d</w:t>
      </w:r>
      <w:r w:rsidRPr="007F70DF">
        <w:rPr>
          <w:rFonts w:cs="Times New Roman"/>
          <w:szCs w:val="26"/>
        </w:rPr>
        <w:t xml:space="preserve">irectors’ </w:t>
      </w:r>
      <w:r w:rsidR="00FB19BA">
        <w:rPr>
          <w:rFonts w:cs="Times New Roman"/>
          <w:szCs w:val="26"/>
        </w:rPr>
        <w:t>f</w:t>
      </w:r>
      <w:r w:rsidR="005E4F90">
        <w:rPr>
          <w:rFonts w:cs="Times New Roman"/>
          <w:szCs w:val="26"/>
        </w:rPr>
        <w:t>ees ($56,444 and $40,940, respectively</w:t>
      </w:r>
      <w:r w:rsidRPr="007F70DF">
        <w:rPr>
          <w:rFonts w:cs="Times New Roman"/>
          <w:szCs w:val="26"/>
        </w:rPr>
        <w:t>)</w:t>
      </w:r>
      <w:r w:rsidR="00A749F3">
        <w:rPr>
          <w:rFonts w:cs="Times New Roman"/>
          <w:szCs w:val="26"/>
        </w:rPr>
        <w:t xml:space="preserve"> be recognized for ratemaking,</w:t>
      </w:r>
      <w:r w:rsidR="00FB19BA">
        <w:rPr>
          <w:rFonts w:cs="Times New Roman"/>
          <w:szCs w:val="26"/>
        </w:rPr>
        <w:t xml:space="preserve"> </w:t>
      </w:r>
      <w:r w:rsidRPr="007F70DF">
        <w:rPr>
          <w:rFonts w:cs="Times New Roman"/>
          <w:szCs w:val="26"/>
        </w:rPr>
        <w:t xml:space="preserve">15% of this </w:t>
      </w:r>
      <w:r w:rsidR="00FB19BA">
        <w:rPr>
          <w:rFonts w:cs="Times New Roman"/>
          <w:szCs w:val="26"/>
        </w:rPr>
        <w:t xml:space="preserve">allowance </w:t>
      </w:r>
      <w:r w:rsidRPr="007F70DF">
        <w:rPr>
          <w:rFonts w:cs="Times New Roman"/>
          <w:szCs w:val="26"/>
        </w:rPr>
        <w:t>results in an allocation of $14,608 to the Marietta Division.  OCA Table II; OCA Sch. 1S, line 32.</w:t>
      </w:r>
    </w:p>
    <w:p w:rsidR="00FB19BA" w:rsidRDefault="00FB19BA" w:rsidP="002722F8">
      <w:pPr>
        <w:contextualSpacing/>
        <w:rPr>
          <w:rFonts w:cs="Times New Roman"/>
          <w:szCs w:val="26"/>
        </w:rPr>
      </w:pPr>
    </w:p>
    <w:p w:rsidR="00DA7448" w:rsidRDefault="00FB19BA" w:rsidP="002722F8">
      <w:pPr>
        <w:contextualSpacing/>
        <w:rPr>
          <w:rFonts w:cs="Times New Roman"/>
          <w:szCs w:val="26"/>
        </w:rPr>
      </w:pPr>
      <w:r>
        <w:rPr>
          <w:rFonts w:cs="Times New Roman"/>
          <w:szCs w:val="26"/>
        </w:rPr>
        <w:t>I&amp;E witness Wilson recommended that, in the absence of a formal s</w:t>
      </w:r>
      <w:r w:rsidR="00A749F3">
        <w:rPr>
          <w:rFonts w:cs="Times New Roman"/>
          <w:szCs w:val="26"/>
        </w:rPr>
        <w:t xml:space="preserve">tudy of time spent between </w:t>
      </w:r>
      <w:r>
        <w:rPr>
          <w:rFonts w:cs="Times New Roman"/>
          <w:szCs w:val="26"/>
        </w:rPr>
        <w:t>Marietta Divi</w:t>
      </w:r>
      <w:r w:rsidR="00A749F3">
        <w:rPr>
          <w:rFonts w:cs="Times New Roman"/>
          <w:szCs w:val="26"/>
        </w:rPr>
        <w:t>sion and Columbia Water issues,</w:t>
      </w:r>
      <w:r>
        <w:rPr>
          <w:rFonts w:cs="Times New Roman"/>
          <w:szCs w:val="26"/>
        </w:rPr>
        <w:t xml:space="preserve"> </w:t>
      </w:r>
      <w:r w:rsidR="00B07E25">
        <w:rPr>
          <w:rFonts w:cs="Times New Roman"/>
          <w:szCs w:val="26"/>
        </w:rPr>
        <w:t xml:space="preserve">12% </w:t>
      </w:r>
      <w:r w:rsidR="0023612C">
        <w:rPr>
          <w:rFonts w:cs="Times New Roman"/>
          <w:szCs w:val="26"/>
        </w:rPr>
        <w:t xml:space="preserve">or $5,512 </w:t>
      </w:r>
      <w:r w:rsidR="00B07E25">
        <w:rPr>
          <w:rFonts w:cs="Times New Roman"/>
          <w:szCs w:val="26"/>
        </w:rPr>
        <w:t>of the officers, directors and majority stockholders salaries of $6</w:t>
      </w:r>
      <w:r w:rsidR="0023612C">
        <w:rPr>
          <w:rFonts w:cs="Times New Roman"/>
          <w:szCs w:val="26"/>
        </w:rPr>
        <w:t>6</w:t>
      </w:r>
      <w:r w:rsidR="00B07E25">
        <w:rPr>
          <w:rFonts w:cs="Times New Roman"/>
          <w:szCs w:val="26"/>
        </w:rPr>
        <w:t>,</w:t>
      </w:r>
      <w:r w:rsidR="0023612C">
        <w:rPr>
          <w:rFonts w:cs="Times New Roman"/>
          <w:szCs w:val="26"/>
        </w:rPr>
        <w:t>144</w:t>
      </w:r>
      <w:r w:rsidR="00B07E25">
        <w:rPr>
          <w:rFonts w:cs="Times New Roman"/>
          <w:szCs w:val="26"/>
        </w:rPr>
        <w:t xml:space="preserve"> should be allocated to the Marietta Division.</w:t>
      </w:r>
      <w:r w:rsidR="0023612C">
        <w:rPr>
          <w:rStyle w:val="FootnoteReference"/>
          <w:rFonts w:cs="Times New Roman"/>
          <w:szCs w:val="26"/>
        </w:rPr>
        <w:footnoteReference w:id="36"/>
      </w:r>
      <w:r w:rsidR="00B07E25">
        <w:rPr>
          <w:rFonts w:cs="Times New Roman"/>
          <w:szCs w:val="26"/>
        </w:rPr>
        <w:t xml:space="preserve">  Ms. Wilson’s adjustment of $5,512 is based o</w:t>
      </w:r>
      <w:r w:rsidR="00A749F3">
        <w:rPr>
          <w:rFonts w:cs="Times New Roman"/>
          <w:szCs w:val="26"/>
        </w:rPr>
        <w:t xml:space="preserve">n the fact that the Company </w:t>
      </w:r>
      <w:r w:rsidR="00B07E25">
        <w:rPr>
          <w:rFonts w:cs="Times New Roman"/>
          <w:szCs w:val="26"/>
        </w:rPr>
        <w:t>allocated 13% of total wages to the Marietta Division.</w:t>
      </w:r>
      <w:r w:rsidR="00A749F3">
        <w:rPr>
          <w:rFonts w:cs="Times New Roman"/>
          <w:szCs w:val="26"/>
        </w:rPr>
        <w:t xml:space="preserve"> </w:t>
      </w:r>
      <w:r w:rsidR="00B07E25">
        <w:rPr>
          <w:rFonts w:cs="Times New Roman"/>
          <w:szCs w:val="26"/>
        </w:rPr>
        <w:t xml:space="preserve"> Ms. Wilson submitted that a 12% allocation is reasonable until a year’s worth of actual data becomes available.  </w:t>
      </w:r>
      <w:r w:rsidR="0023612C">
        <w:rPr>
          <w:rFonts w:cs="Times New Roman"/>
          <w:szCs w:val="26"/>
        </w:rPr>
        <w:t xml:space="preserve">I&amp;E M.B. at 34. </w:t>
      </w:r>
    </w:p>
    <w:p w:rsidR="00B07E25" w:rsidRDefault="00B07E25" w:rsidP="002722F8">
      <w:pPr>
        <w:contextualSpacing/>
        <w:rPr>
          <w:rFonts w:cs="Times New Roman"/>
          <w:szCs w:val="26"/>
        </w:rPr>
      </w:pPr>
    </w:p>
    <w:p w:rsidR="002722F8" w:rsidRDefault="002722F8" w:rsidP="0023612C">
      <w:pPr>
        <w:spacing w:line="240" w:lineRule="auto"/>
        <w:contextualSpacing/>
        <w:rPr>
          <w:rFonts w:cs="Times New Roman"/>
          <w:b/>
          <w:szCs w:val="26"/>
        </w:rPr>
      </w:pPr>
      <w:r>
        <w:rPr>
          <w:rFonts w:cs="Times New Roman"/>
          <w:szCs w:val="26"/>
        </w:rPr>
        <w:tab/>
      </w:r>
      <w:r>
        <w:rPr>
          <w:rFonts w:cs="Times New Roman"/>
          <w:szCs w:val="26"/>
        </w:rPr>
        <w:tab/>
      </w:r>
      <w:r>
        <w:rPr>
          <w:rFonts w:cs="Times New Roman"/>
          <w:b/>
          <w:szCs w:val="26"/>
        </w:rPr>
        <w:t>ii.</w:t>
      </w:r>
      <w:r>
        <w:rPr>
          <w:rFonts w:cs="Times New Roman"/>
          <w:b/>
          <w:szCs w:val="26"/>
        </w:rPr>
        <w:tab/>
        <w:t>ALJ’s Recommendation</w:t>
      </w:r>
    </w:p>
    <w:p w:rsidR="002722F8" w:rsidRDefault="002722F8" w:rsidP="002722F8">
      <w:pPr>
        <w:contextualSpacing/>
        <w:rPr>
          <w:rFonts w:cs="Times New Roman"/>
          <w:b/>
          <w:szCs w:val="26"/>
        </w:rPr>
      </w:pPr>
    </w:p>
    <w:p w:rsidR="00977948" w:rsidRPr="00977948" w:rsidRDefault="00977948" w:rsidP="00977948">
      <w:r>
        <w:t>The ALJ stated that he was unwilling to impose the OCA’s and I&amp;E’s proposed adjustments based on hypothetical c</w:t>
      </w:r>
      <w:r w:rsidRPr="00977948">
        <w:t>alculations</w:t>
      </w:r>
      <w:r>
        <w:t xml:space="preserve"> and rejected their proposed allocations to the Marietta Division.</w:t>
      </w:r>
      <w:r w:rsidRPr="00977948">
        <w:t xml:space="preserve">  </w:t>
      </w:r>
      <w:r>
        <w:t>However, the ALJ</w:t>
      </w:r>
      <w:r w:rsidR="008D2F93">
        <w:t xml:space="preserve"> </w:t>
      </w:r>
      <w:r>
        <w:t xml:space="preserve">opined that the Company </w:t>
      </w:r>
      <w:r w:rsidRPr="00977948">
        <w:t>cannot continue indefinitely arguing that record keeping and cost allocation among its divisions is too complex</w:t>
      </w:r>
      <w:r>
        <w:t xml:space="preserve"> or that not enough time has passed to develop precise allocations.  The ALJ reasoned that i</w:t>
      </w:r>
      <w:r w:rsidRPr="00977948">
        <w:t xml:space="preserve">mplicit within the “not enough time has passed” argument is the implication </w:t>
      </w:r>
      <w:r w:rsidRPr="00977948">
        <w:lastRenderedPageBreak/>
        <w:t xml:space="preserve">that at some point enough time </w:t>
      </w:r>
      <w:r w:rsidRPr="00977948">
        <w:rPr>
          <w:i/>
        </w:rPr>
        <w:t>will</w:t>
      </w:r>
      <w:r w:rsidRPr="00977948">
        <w:t xml:space="preserve"> have passed to allow greater precision in the Company’s accounting.</w:t>
      </w:r>
      <w:r>
        <w:t xml:space="preserve">  R.D. at 41-42. </w:t>
      </w:r>
    </w:p>
    <w:p w:rsidR="00E810ED" w:rsidRDefault="00E810ED" w:rsidP="002722F8">
      <w:pPr>
        <w:contextualSpacing/>
        <w:rPr>
          <w:rFonts w:cs="Times New Roman"/>
          <w:szCs w:val="26"/>
        </w:rPr>
      </w:pPr>
    </w:p>
    <w:p w:rsidR="002722F8" w:rsidRDefault="002722F8" w:rsidP="00ED6BBC">
      <w:pPr>
        <w:keepNext/>
        <w:spacing w:line="240" w:lineRule="auto"/>
        <w:contextualSpacing/>
        <w:rPr>
          <w:rFonts w:cs="Times New Roman"/>
          <w:b/>
          <w:szCs w:val="26"/>
        </w:rPr>
      </w:pPr>
      <w:r>
        <w:rPr>
          <w:rFonts w:cs="Times New Roman"/>
          <w:szCs w:val="26"/>
        </w:rPr>
        <w:tab/>
      </w:r>
      <w:r>
        <w:rPr>
          <w:rFonts w:cs="Times New Roman"/>
          <w:szCs w:val="26"/>
        </w:rPr>
        <w:tab/>
      </w:r>
      <w:r>
        <w:rPr>
          <w:rFonts w:cs="Times New Roman"/>
          <w:b/>
          <w:szCs w:val="26"/>
        </w:rPr>
        <w:t>iii.</w:t>
      </w:r>
      <w:r>
        <w:rPr>
          <w:rFonts w:cs="Times New Roman"/>
          <w:b/>
          <w:szCs w:val="26"/>
        </w:rPr>
        <w:tab/>
        <w:t>Exceptions and Reply Exceptions</w:t>
      </w:r>
    </w:p>
    <w:p w:rsidR="008B5434" w:rsidRDefault="008B5434" w:rsidP="00ED6BBC">
      <w:pPr>
        <w:keepNext/>
        <w:contextualSpacing/>
        <w:rPr>
          <w:rFonts w:cs="Times New Roman"/>
          <w:b/>
          <w:szCs w:val="26"/>
        </w:rPr>
      </w:pPr>
    </w:p>
    <w:p w:rsidR="00DA7448" w:rsidRDefault="008B5434" w:rsidP="00ED6BBC">
      <w:pPr>
        <w:keepNext/>
      </w:pPr>
      <w:r>
        <w:t>The arguments raised in I&amp;E’s and the OCA’s Exceptions mirr</w:t>
      </w:r>
      <w:r w:rsidR="005218B8">
        <w:t xml:space="preserve">or their arguments presented on this issue, </w:t>
      </w:r>
      <w:r w:rsidR="005218B8" w:rsidRPr="005218B8">
        <w:rPr>
          <w:i/>
        </w:rPr>
        <w:t>supra.</w:t>
      </w:r>
      <w:r w:rsidR="005218B8">
        <w:t xml:space="preserve">  In the Company’s Reply Exceptions, Columbia points out that it had adjusted its claim by allocating 4.3% of the officers</w:t>
      </w:r>
      <w:r w:rsidR="00992768">
        <w:t>’</w:t>
      </w:r>
      <w:r w:rsidR="005218B8">
        <w:t xml:space="preserve"> and directors</w:t>
      </w:r>
      <w:r w:rsidR="00992768">
        <w:t>’</w:t>
      </w:r>
      <w:r w:rsidR="005218B8">
        <w:t xml:space="preserve"> compensation to the Marietta Division and that this allocation is reasonable based on Mr. Lewis’ experience with the Company. </w:t>
      </w:r>
      <w:r w:rsidR="008D2F93">
        <w:t xml:space="preserve"> </w:t>
      </w:r>
      <w:r w:rsidR="005218B8">
        <w:t xml:space="preserve">CWC R.Exc. at 25.  </w:t>
      </w:r>
    </w:p>
    <w:p w:rsidR="002722F8" w:rsidRDefault="002722F8" w:rsidP="002722F8">
      <w:pPr>
        <w:contextualSpacing/>
        <w:rPr>
          <w:rFonts w:cs="Times New Roman"/>
          <w:b/>
          <w:szCs w:val="26"/>
        </w:rPr>
      </w:pPr>
    </w:p>
    <w:p w:rsidR="002722F8" w:rsidRDefault="002722F8" w:rsidP="00992768">
      <w:pPr>
        <w:spacing w:line="240" w:lineRule="auto"/>
        <w:contextualSpacing/>
        <w:rPr>
          <w:rFonts w:cs="Times New Roman"/>
          <w:b/>
          <w:szCs w:val="26"/>
        </w:rPr>
      </w:pPr>
      <w:r>
        <w:rPr>
          <w:rFonts w:cs="Times New Roman"/>
          <w:b/>
          <w:szCs w:val="26"/>
        </w:rPr>
        <w:tab/>
      </w:r>
      <w:r>
        <w:rPr>
          <w:rFonts w:cs="Times New Roman"/>
          <w:b/>
          <w:szCs w:val="26"/>
        </w:rPr>
        <w:tab/>
        <w:t>iv.</w:t>
      </w:r>
      <w:r>
        <w:rPr>
          <w:rFonts w:cs="Times New Roman"/>
          <w:b/>
          <w:szCs w:val="26"/>
        </w:rPr>
        <w:tab/>
        <w:t>Disposition</w:t>
      </w:r>
    </w:p>
    <w:p w:rsidR="00992768" w:rsidRPr="002722F8" w:rsidRDefault="00992768" w:rsidP="002722F8">
      <w:pPr>
        <w:contextualSpacing/>
        <w:rPr>
          <w:rFonts w:cs="Times New Roman"/>
          <w:b/>
          <w:szCs w:val="26"/>
        </w:rPr>
      </w:pPr>
    </w:p>
    <w:p w:rsidR="002722F8" w:rsidRPr="002722F8" w:rsidRDefault="005218B8" w:rsidP="002722F8">
      <w:pPr>
        <w:contextualSpacing/>
        <w:rPr>
          <w:rFonts w:cs="Times New Roman"/>
          <w:b/>
          <w:szCs w:val="26"/>
        </w:rPr>
      </w:pPr>
      <w:r>
        <w:rPr>
          <w:rFonts w:eastAsia="Calibri" w:cs="Times New Roman"/>
          <w:szCs w:val="26"/>
        </w:rPr>
        <w:t xml:space="preserve">Consistent with our disposition of the OCA’s other proposed reallocations of other expenses to the Marietta Division, we find that it is premature to </w:t>
      </w:r>
      <w:r w:rsidR="00992768">
        <w:rPr>
          <w:rFonts w:eastAsia="Calibri" w:cs="Times New Roman"/>
          <w:szCs w:val="26"/>
        </w:rPr>
        <w:t xml:space="preserve">increase the allocation of officers’ and directors’ compensation above the 4.3% proposed by the Company. Accordingly, we shall reject the adjustments proposed by I&amp;E and the OCA and adopt the adjustment proposed by the Company. </w:t>
      </w:r>
    </w:p>
    <w:p w:rsidR="00A93D0C" w:rsidRPr="007F70DF" w:rsidRDefault="00A93D0C" w:rsidP="004272F2">
      <w:pPr>
        <w:ind w:firstLine="720"/>
        <w:contextualSpacing/>
        <w:rPr>
          <w:rFonts w:cs="Times New Roman"/>
          <w:szCs w:val="26"/>
        </w:rPr>
      </w:pPr>
    </w:p>
    <w:p w:rsidR="00D36879" w:rsidRPr="00C32418" w:rsidRDefault="00D36879" w:rsidP="00390088">
      <w:pPr>
        <w:pStyle w:val="Heading3"/>
        <w:rPr>
          <w:rFonts w:ascii="Times New Roman" w:hAnsi="Times New Roman" w:cs="Times New Roman"/>
        </w:rPr>
      </w:pPr>
      <w:bookmarkStart w:id="62" w:name="_Toc378080178"/>
      <w:r w:rsidRPr="00C32418">
        <w:rPr>
          <w:rFonts w:ascii="Times New Roman" w:hAnsi="Times New Roman" w:cs="Times New Roman"/>
        </w:rPr>
        <w:t>1</w:t>
      </w:r>
      <w:r w:rsidR="00FC6DC3">
        <w:rPr>
          <w:rFonts w:ascii="Times New Roman" w:hAnsi="Times New Roman" w:cs="Times New Roman"/>
        </w:rPr>
        <w:t>5</w:t>
      </w:r>
      <w:r w:rsidRPr="00C32418">
        <w:rPr>
          <w:rFonts w:ascii="Times New Roman" w:hAnsi="Times New Roman" w:cs="Times New Roman"/>
        </w:rPr>
        <w:t>.</w:t>
      </w:r>
      <w:r w:rsidRPr="00C32418">
        <w:rPr>
          <w:rFonts w:ascii="Times New Roman" w:hAnsi="Times New Roman" w:cs="Times New Roman"/>
        </w:rPr>
        <w:tab/>
        <w:t>Rate Case Expense</w:t>
      </w:r>
      <w:bookmarkEnd w:id="62"/>
    </w:p>
    <w:p w:rsidR="00D36879" w:rsidRDefault="00D36879" w:rsidP="00D36879">
      <w:pPr>
        <w:contextualSpacing/>
        <w:rPr>
          <w:rFonts w:cs="Times New Roman"/>
          <w:b/>
          <w:szCs w:val="26"/>
        </w:rPr>
      </w:pPr>
    </w:p>
    <w:p w:rsidR="00D36879" w:rsidRDefault="00D36879" w:rsidP="00C32418">
      <w:pPr>
        <w:spacing w:line="240" w:lineRule="auto"/>
        <w:contextualSpacing/>
        <w:rPr>
          <w:rFonts w:cs="Times New Roman"/>
          <w:b/>
          <w:szCs w:val="26"/>
        </w:rPr>
      </w:pPr>
      <w:r>
        <w:rPr>
          <w:rFonts w:cs="Times New Roman"/>
          <w:b/>
          <w:szCs w:val="26"/>
        </w:rPr>
        <w:tab/>
        <w:t>a.</w:t>
      </w:r>
      <w:r>
        <w:rPr>
          <w:rFonts w:cs="Times New Roman"/>
          <w:b/>
          <w:szCs w:val="26"/>
        </w:rPr>
        <w:tab/>
        <w:t>Position</w:t>
      </w:r>
      <w:r w:rsidR="00A749F3">
        <w:rPr>
          <w:rFonts w:cs="Times New Roman"/>
          <w:b/>
          <w:szCs w:val="26"/>
        </w:rPr>
        <w:t>s</w:t>
      </w:r>
      <w:r>
        <w:rPr>
          <w:rFonts w:cs="Times New Roman"/>
          <w:b/>
          <w:szCs w:val="26"/>
        </w:rPr>
        <w:t xml:space="preserve"> of the Parties</w:t>
      </w:r>
    </w:p>
    <w:p w:rsidR="00D36879" w:rsidRDefault="00D36879" w:rsidP="00D36879">
      <w:pPr>
        <w:contextualSpacing/>
        <w:rPr>
          <w:rFonts w:cs="Times New Roman"/>
          <w:b/>
          <w:szCs w:val="26"/>
        </w:rPr>
      </w:pPr>
      <w:r>
        <w:rPr>
          <w:rFonts w:cs="Times New Roman"/>
          <w:b/>
          <w:szCs w:val="26"/>
        </w:rPr>
        <w:tab/>
      </w:r>
      <w:r>
        <w:rPr>
          <w:rFonts w:cs="Times New Roman"/>
          <w:b/>
          <w:szCs w:val="26"/>
        </w:rPr>
        <w:tab/>
      </w:r>
    </w:p>
    <w:p w:rsidR="00D36879" w:rsidRDefault="00D36879" w:rsidP="00D36879">
      <w:r>
        <w:t>In its original filing</w:t>
      </w:r>
      <w:r w:rsidR="008D2F93">
        <w:t>,</w:t>
      </w:r>
      <w:r>
        <w:t xml:space="preserve"> Columbia requested $252,800 in </w:t>
      </w:r>
      <w:r>
        <w:rPr>
          <w:i/>
        </w:rPr>
        <w:t xml:space="preserve">pro forma </w:t>
      </w:r>
      <w:r>
        <w:t>rate case expense, to be normalized over three years in the amount of $84,267.  Supporting Data for Supplement No. 60 to Tariff-Water Pa. P</w:t>
      </w:r>
      <w:r w:rsidR="008D2F93">
        <w:t>.</w:t>
      </w:r>
      <w:r>
        <w:t>U</w:t>
      </w:r>
      <w:r w:rsidR="008D2F93">
        <w:t>.</w:t>
      </w:r>
      <w:r>
        <w:t>C</w:t>
      </w:r>
      <w:r w:rsidR="008D2F93">
        <w:t>.</w:t>
      </w:r>
      <w:r>
        <w:t xml:space="preserve"> No. 7, at 1-16.  In a </w:t>
      </w:r>
      <w:r w:rsidR="00E22851">
        <w:t>rejoinder</w:t>
      </w:r>
      <w:r>
        <w:t xml:space="preserve"> exhibit, </w:t>
      </w:r>
      <w:r w:rsidRPr="00074AB9">
        <w:t xml:space="preserve">Columbia </w:t>
      </w:r>
      <w:r>
        <w:t>averred that it increased the requested</w:t>
      </w:r>
      <w:r w:rsidRPr="00074AB9">
        <w:t xml:space="preserve"> rate case expense amount to $258,412, to be normalized over three years in the amount of $86,137.</w:t>
      </w:r>
      <w:r>
        <w:t xml:space="preserve">  CWC M.B. at 45.  </w:t>
      </w:r>
    </w:p>
    <w:p w:rsidR="00D36879" w:rsidRPr="00074AB9" w:rsidRDefault="00D36879" w:rsidP="00D36879">
      <w:pPr>
        <w:contextualSpacing/>
        <w:rPr>
          <w:rFonts w:cs="Times New Roman"/>
          <w:szCs w:val="26"/>
        </w:rPr>
      </w:pPr>
    </w:p>
    <w:p w:rsidR="00D36879" w:rsidRDefault="00D36879" w:rsidP="002D1F41">
      <w:pPr>
        <w:keepNext/>
        <w:spacing w:line="240" w:lineRule="auto"/>
        <w:contextualSpacing/>
        <w:rPr>
          <w:rFonts w:cs="Times New Roman"/>
          <w:b/>
          <w:szCs w:val="26"/>
        </w:rPr>
      </w:pPr>
      <w:r>
        <w:rPr>
          <w:rFonts w:cs="Times New Roman"/>
          <w:b/>
          <w:szCs w:val="26"/>
        </w:rPr>
        <w:lastRenderedPageBreak/>
        <w:tab/>
        <w:t>b.</w:t>
      </w:r>
      <w:r>
        <w:rPr>
          <w:rFonts w:cs="Times New Roman"/>
          <w:b/>
          <w:szCs w:val="26"/>
        </w:rPr>
        <w:tab/>
        <w:t>ALJ’s Recommendation</w:t>
      </w:r>
    </w:p>
    <w:p w:rsidR="00D36879" w:rsidRDefault="00D36879" w:rsidP="002D1F41">
      <w:pPr>
        <w:keepNext/>
        <w:contextualSpacing/>
      </w:pPr>
    </w:p>
    <w:p w:rsidR="00D36879" w:rsidRDefault="00D36879" w:rsidP="002D1F41">
      <w:pPr>
        <w:keepNext/>
        <w:contextualSpacing/>
        <w:rPr>
          <w:rFonts w:cs="Times New Roman"/>
          <w:szCs w:val="26"/>
        </w:rPr>
      </w:pPr>
      <w:r w:rsidRPr="00074AB9">
        <w:rPr>
          <w:rFonts w:cs="Times New Roman"/>
          <w:szCs w:val="26"/>
        </w:rPr>
        <w:t xml:space="preserve">The rate case expense was not discussed by the ALJ in the body of his Recommended Decision.  </w:t>
      </w:r>
    </w:p>
    <w:p w:rsidR="00D36879" w:rsidRPr="00074AB9" w:rsidRDefault="00D36879" w:rsidP="00D36879">
      <w:pPr>
        <w:contextualSpacing/>
        <w:rPr>
          <w:rFonts w:cs="Times New Roman"/>
          <w:b/>
          <w:szCs w:val="26"/>
        </w:rPr>
      </w:pPr>
    </w:p>
    <w:p w:rsidR="00D36879" w:rsidRDefault="00D36879" w:rsidP="00ED6BBC">
      <w:pPr>
        <w:keepNext/>
        <w:spacing w:line="240" w:lineRule="auto"/>
        <w:ind w:left="720"/>
        <w:contextualSpacing/>
        <w:rPr>
          <w:rFonts w:cs="Times New Roman"/>
          <w:b/>
          <w:szCs w:val="26"/>
        </w:rPr>
      </w:pPr>
      <w:r w:rsidRPr="00CB4C55">
        <w:rPr>
          <w:rFonts w:cs="Times New Roman"/>
          <w:b/>
          <w:szCs w:val="26"/>
        </w:rPr>
        <w:t>c.</w:t>
      </w:r>
      <w:r w:rsidRPr="00CB4C55">
        <w:rPr>
          <w:rFonts w:cs="Times New Roman"/>
          <w:b/>
          <w:szCs w:val="26"/>
        </w:rPr>
        <w:tab/>
        <w:t>Exceptions and Reply Exceptions</w:t>
      </w:r>
    </w:p>
    <w:p w:rsidR="00D36879" w:rsidRDefault="00D36879" w:rsidP="00ED6BBC">
      <w:pPr>
        <w:keepNext/>
        <w:ind w:left="720"/>
        <w:contextualSpacing/>
        <w:rPr>
          <w:rFonts w:cs="Times New Roman"/>
          <w:b/>
          <w:szCs w:val="26"/>
        </w:rPr>
      </w:pPr>
    </w:p>
    <w:p w:rsidR="00D36879" w:rsidRDefault="00D36879" w:rsidP="00ED6BBC">
      <w:pPr>
        <w:keepNext/>
        <w:contextualSpacing/>
        <w:rPr>
          <w:rFonts w:cs="Times New Roman"/>
          <w:szCs w:val="26"/>
        </w:rPr>
      </w:pPr>
      <w:r w:rsidRPr="00CB4C55">
        <w:rPr>
          <w:rFonts w:cs="Times New Roman"/>
          <w:szCs w:val="26"/>
        </w:rPr>
        <w:t xml:space="preserve">In its </w:t>
      </w:r>
      <w:r>
        <w:rPr>
          <w:rFonts w:cs="Times New Roman"/>
          <w:szCs w:val="26"/>
        </w:rPr>
        <w:t>Exceptions</w:t>
      </w:r>
      <w:r w:rsidRPr="00CB4C55">
        <w:rPr>
          <w:rFonts w:cs="Times New Roman"/>
          <w:szCs w:val="26"/>
        </w:rPr>
        <w:t>, Columbia argues that the ALJ erred by not including an</w:t>
      </w:r>
      <w:r>
        <w:rPr>
          <w:rFonts w:cs="Times New Roman"/>
          <w:szCs w:val="26"/>
        </w:rPr>
        <w:t>y</w:t>
      </w:r>
      <w:r w:rsidRPr="00CB4C55">
        <w:rPr>
          <w:rFonts w:cs="Times New Roman"/>
          <w:szCs w:val="26"/>
        </w:rPr>
        <w:t xml:space="preserve"> allowance for rate case expense</w:t>
      </w:r>
      <w:r>
        <w:rPr>
          <w:rFonts w:cs="Times New Roman"/>
          <w:szCs w:val="26"/>
        </w:rPr>
        <w:t xml:space="preserve"> in the Recommended Decision or its appended tables.  </w:t>
      </w:r>
      <w:r w:rsidRPr="00CB4C55">
        <w:rPr>
          <w:rFonts w:cs="Times New Roman"/>
          <w:szCs w:val="26"/>
        </w:rPr>
        <w:t xml:space="preserve">     Columbia requests </w:t>
      </w:r>
      <w:r>
        <w:rPr>
          <w:rFonts w:cs="Times New Roman"/>
          <w:szCs w:val="26"/>
        </w:rPr>
        <w:t>that its updated claim of $258,412</w:t>
      </w:r>
      <w:r w:rsidRPr="00CB4C55">
        <w:rPr>
          <w:rFonts w:cs="Times New Roman"/>
          <w:szCs w:val="26"/>
        </w:rPr>
        <w:t xml:space="preserve"> be used </w:t>
      </w:r>
      <w:r>
        <w:rPr>
          <w:rFonts w:cs="Times New Roman"/>
          <w:szCs w:val="26"/>
        </w:rPr>
        <w:t>as the allowable rate case expense, to be n</w:t>
      </w:r>
      <w:r w:rsidRPr="00CB4C55">
        <w:rPr>
          <w:rFonts w:cs="Times New Roman"/>
          <w:szCs w:val="26"/>
        </w:rPr>
        <w:t xml:space="preserve">ormalized over three years in the amount of $86,137. </w:t>
      </w:r>
      <w:r>
        <w:rPr>
          <w:rFonts w:cs="Times New Roman"/>
          <w:szCs w:val="26"/>
        </w:rPr>
        <w:t xml:space="preserve"> CWC Exc. at 35-36.</w:t>
      </w:r>
    </w:p>
    <w:p w:rsidR="00D36879" w:rsidRDefault="00D36879" w:rsidP="00D36879">
      <w:pPr>
        <w:contextualSpacing/>
        <w:rPr>
          <w:rFonts w:cs="Times New Roman"/>
          <w:szCs w:val="26"/>
        </w:rPr>
      </w:pPr>
    </w:p>
    <w:p w:rsidR="00D36879" w:rsidRDefault="00D36879" w:rsidP="00C32418">
      <w:pPr>
        <w:rPr>
          <w:rFonts w:cs="Times New Roman"/>
          <w:szCs w:val="26"/>
        </w:rPr>
      </w:pPr>
      <w:r>
        <w:rPr>
          <w:rFonts w:cs="Times New Roman"/>
          <w:szCs w:val="26"/>
        </w:rPr>
        <w:t xml:space="preserve">In reply, </w:t>
      </w:r>
      <w:r w:rsidR="008D2F93">
        <w:rPr>
          <w:rFonts w:cs="Times New Roman"/>
          <w:szCs w:val="26"/>
        </w:rPr>
        <w:t xml:space="preserve">the </w:t>
      </w:r>
      <w:r>
        <w:rPr>
          <w:rFonts w:cs="Times New Roman"/>
          <w:szCs w:val="26"/>
        </w:rPr>
        <w:t>OCA asserts that t</w:t>
      </w:r>
      <w:r w:rsidRPr="007D55D8">
        <w:rPr>
          <w:rFonts w:cs="Times New Roman"/>
          <w:szCs w:val="26"/>
        </w:rPr>
        <w:t xml:space="preserve">he original claim of $84,267 was included in the </w:t>
      </w:r>
      <w:r w:rsidRPr="007D55D8">
        <w:rPr>
          <w:rFonts w:cs="Times New Roman"/>
          <w:i/>
          <w:szCs w:val="26"/>
        </w:rPr>
        <w:t>pro forma</w:t>
      </w:r>
      <w:r w:rsidRPr="007D55D8">
        <w:rPr>
          <w:rFonts w:cs="Times New Roman"/>
          <w:szCs w:val="26"/>
        </w:rPr>
        <w:t xml:space="preserve"> expenses listed in Tables I and II to the Recommended Decision, and therefore is included </w:t>
      </w:r>
      <w:r w:rsidR="00E22851">
        <w:rPr>
          <w:rFonts w:cs="Times New Roman"/>
          <w:szCs w:val="26"/>
        </w:rPr>
        <w:t xml:space="preserve">in the ALJ’s </w:t>
      </w:r>
      <w:r w:rsidR="003014E5">
        <w:rPr>
          <w:rFonts w:cs="Times New Roman"/>
          <w:szCs w:val="26"/>
        </w:rPr>
        <w:t>calculation of allowable revenue.</w:t>
      </w:r>
      <w:r w:rsidRPr="007D55D8">
        <w:rPr>
          <w:rFonts w:cs="Times New Roman"/>
          <w:szCs w:val="26"/>
        </w:rPr>
        <w:t xml:space="preserve">  </w:t>
      </w:r>
      <w:r w:rsidR="008D2F93">
        <w:rPr>
          <w:rFonts w:cs="Times New Roman"/>
          <w:szCs w:val="26"/>
        </w:rPr>
        <w:t xml:space="preserve">The </w:t>
      </w:r>
      <w:r>
        <w:rPr>
          <w:rFonts w:cs="Times New Roman"/>
          <w:szCs w:val="26"/>
        </w:rPr>
        <w:t>OCA also argues that Columbia’s</w:t>
      </w:r>
      <w:r w:rsidRPr="007D55D8">
        <w:rPr>
          <w:rFonts w:cs="Times New Roman"/>
          <w:szCs w:val="26"/>
        </w:rPr>
        <w:t xml:space="preserve"> upward revision to </w:t>
      </w:r>
      <w:r>
        <w:rPr>
          <w:rFonts w:cs="Times New Roman"/>
          <w:szCs w:val="26"/>
        </w:rPr>
        <w:t xml:space="preserve">the </w:t>
      </w:r>
      <w:r w:rsidRPr="007D55D8">
        <w:rPr>
          <w:rFonts w:cs="Times New Roman"/>
          <w:szCs w:val="26"/>
        </w:rPr>
        <w:t>rate case expense should be rejected because Columbia’s attorney represented that it was not updating its rate case expense</w:t>
      </w:r>
      <w:r>
        <w:rPr>
          <w:rFonts w:cs="Times New Roman"/>
          <w:szCs w:val="26"/>
        </w:rPr>
        <w:t>.  OCA R.Exc. at 24 (</w:t>
      </w:r>
      <w:r w:rsidRPr="00D36879">
        <w:rPr>
          <w:rFonts w:cs="Times New Roman"/>
          <w:szCs w:val="26"/>
        </w:rPr>
        <w:t>citing Tr. 149-150</w:t>
      </w:r>
      <w:r>
        <w:rPr>
          <w:rFonts w:cs="Times New Roman"/>
          <w:szCs w:val="26"/>
        </w:rPr>
        <w:t xml:space="preserve">).   Furthermore, </w:t>
      </w:r>
      <w:r w:rsidR="008D2F93">
        <w:rPr>
          <w:rFonts w:cs="Times New Roman"/>
          <w:szCs w:val="26"/>
        </w:rPr>
        <w:t xml:space="preserve">the </w:t>
      </w:r>
      <w:r>
        <w:rPr>
          <w:rFonts w:cs="Times New Roman"/>
          <w:szCs w:val="26"/>
        </w:rPr>
        <w:t>OCA contends that Tables I and II</w:t>
      </w:r>
      <w:r w:rsidRPr="007D55D8">
        <w:rPr>
          <w:rFonts w:cs="Times New Roman"/>
          <w:szCs w:val="26"/>
        </w:rPr>
        <w:t xml:space="preserve"> to the Company’s Main Brief show that the Company did not claim an additional amount for rate case expense beyond its original claim.  </w:t>
      </w:r>
      <w:r>
        <w:rPr>
          <w:rFonts w:cs="Times New Roman"/>
          <w:szCs w:val="26"/>
        </w:rPr>
        <w:t xml:space="preserve">Accordingly, </w:t>
      </w:r>
      <w:r w:rsidR="008D2F93">
        <w:rPr>
          <w:rFonts w:cs="Times New Roman"/>
          <w:szCs w:val="26"/>
        </w:rPr>
        <w:t xml:space="preserve">the </w:t>
      </w:r>
      <w:r>
        <w:rPr>
          <w:rFonts w:cs="Times New Roman"/>
          <w:szCs w:val="26"/>
        </w:rPr>
        <w:t xml:space="preserve">OCA argues that the updated amount should not be considered. </w:t>
      </w:r>
      <w:r w:rsidRPr="007D55D8">
        <w:rPr>
          <w:rFonts w:cs="Times New Roman"/>
          <w:szCs w:val="26"/>
        </w:rPr>
        <w:t xml:space="preserve"> OCA R.Exc. at 24.</w:t>
      </w:r>
    </w:p>
    <w:p w:rsidR="003014E5" w:rsidRPr="007D55D8" w:rsidRDefault="003014E5" w:rsidP="00C32418">
      <w:pPr>
        <w:rPr>
          <w:rFonts w:cs="Times New Roman"/>
          <w:szCs w:val="26"/>
        </w:rPr>
      </w:pPr>
    </w:p>
    <w:p w:rsidR="00D36879" w:rsidRDefault="00D36879" w:rsidP="00C32418">
      <w:pPr>
        <w:spacing w:line="240" w:lineRule="auto"/>
        <w:contextualSpacing/>
        <w:rPr>
          <w:rFonts w:cs="Times New Roman"/>
          <w:b/>
          <w:szCs w:val="26"/>
        </w:rPr>
      </w:pPr>
      <w:r w:rsidRPr="00CB4C55">
        <w:rPr>
          <w:rFonts w:cs="Times New Roman"/>
          <w:b/>
          <w:szCs w:val="26"/>
        </w:rPr>
        <w:tab/>
        <w:t>d.</w:t>
      </w:r>
      <w:r w:rsidRPr="00CB4C55">
        <w:rPr>
          <w:rFonts w:cs="Times New Roman"/>
          <w:b/>
          <w:szCs w:val="26"/>
        </w:rPr>
        <w:tab/>
        <w:t>Disposition</w:t>
      </w:r>
    </w:p>
    <w:p w:rsidR="00D36879" w:rsidRDefault="00D36879" w:rsidP="00D36879">
      <w:pPr>
        <w:contextualSpacing/>
        <w:rPr>
          <w:rFonts w:cs="Times New Roman"/>
          <w:b/>
          <w:szCs w:val="26"/>
        </w:rPr>
      </w:pPr>
    </w:p>
    <w:p w:rsidR="00D36879" w:rsidRDefault="00D36879" w:rsidP="00A749F3">
      <w:pPr>
        <w:contextualSpacing/>
        <w:rPr>
          <w:rFonts w:cs="Times New Roman"/>
          <w:szCs w:val="26"/>
        </w:rPr>
      </w:pPr>
      <w:r>
        <w:rPr>
          <w:rFonts w:cs="Times New Roman"/>
          <w:szCs w:val="26"/>
        </w:rPr>
        <w:t xml:space="preserve">We agree with </w:t>
      </w:r>
      <w:r w:rsidR="008D2F93">
        <w:rPr>
          <w:rFonts w:cs="Times New Roman"/>
          <w:szCs w:val="26"/>
        </w:rPr>
        <w:t xml:space="preserve">the </w:t>
      </w:r>
      <w:r>
        <w:rPr>
          <w:rFonts w:cs="Times New Roman"/>
          <w:szCs w:val="26"/>
        </w:rPr>
        <w:t xml:space="preserve">OCA that the original </w:t>
      </w:r>
      <w:r>
        <w:rPr>
          <w:rFonts w:cs="Times New Roman"/>
          <w:i/>
          <w:szCs w:val="26"/>
        </w:rPr>
        <w:t xml:space="preserve">pro forma </w:t>
      </w:r>
      <w:r>
        <w:rPr>
          <w:rFonts w:cs="Times New Roman"/>
          <w:szCs w:val="26"/>
        </w:rPr>
        <w:t>rate case expense was included in the ALJ’s calculations</w:t>
      </w:r>
      <w:r w:rsidR="00390088">
        <w:rPr>
          <w:rFonts w:cs="Times New Roman"/>
          <w:szCs w:val="26"/>
        </w:rPr>
        <w:t xml:space="preserve"> of the total revenue requirement.</w:t>
      </w:r>
      <w:r>
        <w:rPr>
          <w:rFonts w:cs="Times New Roman"/>
          <w:szCs w:val="26"/>
        </w:rPr>
        <w:t xml:space="preserve">   </w:t>
      </w:r>
      <w:r w:rsidR="00390088">
        <w:rPr>
          <w:rFonts w:cs="Times New Roman"/>
          <w:szCs w:val="26"/>
        </w:rPr>
        <w:t>W</w:t>
      </w:r>
      <w:r>
        <w:rPr>
          <w:rFonts w:cs="Times New Roman"/>
          <w:szCs w:val="26"/>
        </w:rPr>
        <w:t xml:space="preserve">e </w:t>
      </w:r>
      <w:r w:rsidR="00390088">
        <w:rPr>
          <w:rFonts w:cs="Times New Roman"/>
          <w:szCs w:val="26"/>
        </w:rPr>
        <w:t xml:space="preserve">also </w:t>
      </w:r>
      <w:r>
        <w:rPr>
          <w:rFonts w:cs="Times New Roman"/>
          <w:szCs w:val="26"/>
        </w:rPr>
        <w:t xml:space="preserve">agree with </w:t>
      </w:r>
      <w:r w:rsidR="008D2F93">
        <w:rPr>
          <w:rFonts w:cs="Times New Roman"/>
          <w:szCs w:val="26"/>
        </w:rPr>
        <w:t xml:space="preserve">the </w:t>
      </w:r>
      <w:r>
        <w:rPr>
          <w:rFonts w:cs="Times New Roman"/>
          <w:szCs w:val="26"/>
        </w:rPr>
        <w:t xml:space="preserve">OCA that Columbia did not make a claim for an additional amount of rate case expense above the amount requested in its original filing.   Therefore, </w:t>
      </w:r>
      <w:r w:rsidR="00390088">
        <w:rPr>
          <w:rFonts w:cs="Times New Roman"/>
          <w:szCs w:val="26"/>
        </w:rPr>
        <w:t xml:space="preserve">no adjustment for rate case </w:t>
      </w:r>
      <w:r w:rsidR="00A749F3">
        <w:rPr>
          <w:rFonts w:cs="Times New Roman"/>
          <w:szCs w:val="26"/>
        </w:rPr>
        <w:t xml:space="preserve">expense </w:t>
      </w:r>
      <w:r w:rsidR="00390088">
        <w:rPr>
          <w:rFonts w:cs="Times New Roman"/>
          <w:szCs w:val="26"/>
        </w:rPr>
        <w:t xml:space="preserve">is warranted in our determination of the Company’s revenue requirement. </w:t>
      </w:r>
    </w:p>
    <w:p w:rsidR="00A749F3" w:rsidRPr="00A749F3" w:rsidRDefault="00A749F3" w:rsidP="00A749F3">
      <w:pPr>
        <w:contextualSpacing/>
        <w:rPr>
          <w:rFonts w:cs="Times New Roman"/>
          <w:szCs w:val="26"/>
        </w:rPr>
      </w:pPr>
    </w:p>
    <w:p w:rsidR="00901C15" w:rsidRPr="00A749F3" w:rsidRDefault="000E74AA" w:rsidP="00D36879">
      <w:pPr>
        <w:pStyle w:val="Heading3"/>
        <w:rPr>
          <w:rStyle w:val="Heading3Char"/>
          <w:rFonts w:ascii="Times New Roman" w:hAnsi="Times New Roman" w:cs="Times New Roman"/>
          <w:b/>
        </w:rPr>
      </w:pPr>
      <w:r w:rsidRPr="00A749F3">
        <w:rPr>
          <w:rFonts w:ascii="Times New Roman" w:hAnsi="Times New Roman" w:cs="Times New Roman"/>
          <w:color w:val="000000" w:themeColor="text1"/>
        </w:rPr>
        <w:lastRenderedPageBreak/>
        <w:fldChar w:fldCharType="begin"/>
      </w:r>
      <w:r w:rsidRPr="00A749F3">
        <w:rPr>
          <w:rFonts w:ascii="Times New Roman" w:hAnsi="Times New Roman" w:cs="Times New Roman"/>
        </w:rPr>
        <w:instrText xml:space="preserve"> TC "</w:instrText>
      </w:r>
      <w:bookmarkStart w:id="63" w:name="_Toc372704705"/>
      <w:r w:rsidRPr="00A749F3">
        <w:rPr>
          <w:rFonts w:ascii="Times New Roman" w:hAnsi="Times New Roman" w:cs="Times New Roman"/>
          <w:color w:val="000000" w:themeColor="text1"/>
        </w:rPr>
        <w:instrText>E.</w:instrText>
      </w:r>
      <w:r w:rsidRPr="00A749F3">
        <w:rPr>
          <w:rFonts w:ascii="Times New Roman" w:hAnsi="Times New Roman" w:cs="Times New Roman"/>
          <w:color w:val="000000" w:themeColor="text1"/>
        </w:rPr>
        <w:tab/>
        <w:instrText>I&amp;E Proposed Adjustments</w:instrText>
      </w:r>
      <w:bookmarkEnd w:id="63"/>
      <w:r w:rsidRPr="00A749F3">
        <w:rPr>
          <w:rFonts w:ascii="Times New Roman" w:hAnsi="Times New Roman" w:cs="Times New Roman"/>
        </w:rPr>
        <w:instrText xml:space="preserve">" \f C \l "2" </w:instrText>
      </w:r>
      <w:r w:rsidRPr="00A749F3">
        <w:rPr>
          <w:rFonts w:ascii="Times New Roman" w:hAnsi="Times New Roman" w:cs="Times New Roman"/>
          <w:color w:val="000000" w:themeColor="text1"/>
        </w:rPr>
        <w:fldChar w:fldCharType="end"/>
      </w:r>
      <w:r w:rsidRPr="00A749F3">
        <w:rPr>
          <w:rFonts w:ascii="Times New Roman" w:hAnsi="Times New Roman" w:cs="Times New Roman"/>
        </w:rPr>
        <w:fldChar w:fldCharType="begin"/>
      </w:r>
      <w:r w:rsidRPr="00A749F3">
        <w:rPr>
          <w:rFonts w:ascii="Times New Roman" w:hAnsi="Times New Roman" w:cs="Times New Roman"/>
        </w:rPr>
        <w:instrText xml:space="preserve"> TC "</w:instrText>
      </w:r>
      <w:bookmarkStart w:id="64" w:name="_Toc372704706"/>
      <w:r w:rsidRPr="00A749F3">
        <w:rPr>
          <w:rFonts w:ascii="Times New Roman" w:hAnsi="Times New Roman" w:cs="Times New Roman"/>
        </w:rPr>
        <w:instrText>1.</w:instrText>
      </w:r>
      <w:r w:rsidRPr="00A749F3">
        <w:rPr>
          <w:rFonts w:ascii="Times New Roman" w:hAnsi="Times New Roman" w:cs="Times New Roman"/>
        </w:rPr>
        <w:tab/>
        <w:instrText>PennVest Plant</w:instrText>
      </w:r>
      <w:bookmarkEnd w:id="64"/>
      <w:r w:rsidRPr="00A749F3">
        <w:rPr>
          <w:rFonts w:ascii="Times New Roman" w:hAnsi="Times New Roman" w:cs="Times New Roman"/>
        </w:rPr>
        <w:instrText xml:space="preserve">" \f C \l "3" </w:instrText>
      </w:r>
      <w:r w:rsidRPr="00A749F3">
        <w:rPr>
          <w:rFonts w:ascii="Times New Roman" w:hAnsi="Times New Roman" w:cs="Times New Roman"/>
        </w:rPr>
        <w:fldChar w:fldCharType="end"/>
      </w:r>
      <w:bookmarkStart w:id="65" w:name="_Toc378080179"/>
      <w:r w:rsidR="00901C15" w:rsidRPr="00A749F3">
        <w:rPr>
          <w:rFonts w:ascii="Times New Roman" w:hAnsi="Times New Roman" w:cs="Times New Roman"/>
        </w:rPr>
        <w:t>1</w:t>
      </w:r>
      <w:r w:rsidR="00FC6DC3" w:rsidRPr="00A749F3">
        <w:rPr>
          <w:rFonts w:ascii="Times New Roman" w:hAnsi="Times New Roman" w:cs="Times New Roman"/>
        </w:rPr>
        <w:t>6</w:t>
      </w:r>
      <w:r w:rsidR="009D3F59" w:rsidRPr="00A749F3">
        <w:rPr>
          <w:rFonts w:ascii="Times New Roman" w:hAnsi="Times New Roman" w:cs="Times New Roman"/>
        </w:rPr>
        <w:t>.</w:t>
      </w:r>
      <w:r w:rsidR="009D3F59" w:rsidRPr="00A749F3">
        <w:rPr>
          <w:rFonts w:ascii="Times New Roman" w:hAnsi="Times New Roman" w:cs="Times New Roman"/>
          <w:b w:val="0"/>
        </w:rPr>
        <w:tab/>
      </w:r>
      <w:r w:rsidR="002F4544" w:rsidRPr="00A749F3">
        <w:rPr>
          <w:rStyle w:val="Heading3Char"/>
          <w:rFonts w:ascii="Times New Roman" w:hAnsi="Times New Roman" w:cs="Times New Roman"/>
          <w:b/>
        </w:rPr>
        <w:t>Taxes</w:t>
      </w:r>
      <w:bookmarkEnd w:id="65"/>
    </w:p>
    <w:p w:rsidR="00901C15" w:rsidRPr="00A749F3" w:rsidRDefault="00901C15" w:rsidP="00901C15">
      <w:pPr>
        <w:ind w:left="720" w:firstLine="720"/>
        <w:contextualSpacing/>
        <w:rPr>
          <w:rFonts w:cs="Times New Roman"/>
          <w:szCs w:val="26"/>
        </w:rPr>
      </w:pPr>
    </w:p>
    <w:p w:rsidR="002F4544" w:rsidRPr="00A749F3" w:rsidRDefault="00901C15" w:rsidP="002D1F41">
      <w:pPr>
        <w:spacing w:line="240" w:lineRule="auto"/>
        <w:ind w:left="1440" w:firstLine="720"/>
        <w:contextualSpacing/>
        <w:rPr>
          <w:rFonts w:cs="Times New Roman"/>
          <w:szCs w:val="26"/>
        </w:rPr>
      </w:pPr>
      <w:r w:rsidRPr="00A749F3">
        <w:rPr>
          <w:rFonts w:cs="Times New Roman"/>
          <w:b/>
          <w:szCs w:val="26"/>
        </w:rPr>
        <w:t>a.</w:t>
      </w:r>
      <w:r w:rsidRPr="00A749F3">
        <w:rPr>
          <w:rFonts w:cs="Times New Roman"/>
          <w:b/>
          <w:szCs w:val="26"/>
        </w:rPr>
        <w:tab/>
        <w:t>Positions of the Parties</w:t>
      </w:r>
      <w:r w:rsidR="000E74AA" w:rsidRPr="00A749F3">
        <w:rPr>
          <w:rFonts w:cs="Times New Roman"/>
          <w:szCs w:val="26"/>
        </w:rPr>
        <w:fldChar w:fldCharType="begin"/>
      </w:r>
      <w:r w:rsidR="000E74AA" w:rsidRPr="00A749F3">
        <w:rPr>
          <w:rFonts w:cs="Times New Roman"/>
          <w:szCs w:val="26"/>
        </w:rPr>
        <w:instrText xml:space="preserve"> TC "</w:instrText>
      </w:r>
      <w:bookmarkStart w:id="66" w:name="_Toc372704709"/>
      <w:r w:rsidR="000E74AA" w:rsidRPr="00A749F3">
        <w:rPr>
          <w:rFonts w:cs="Times New Roman"/>
          <w:szCs w:val="26"/>
        </w:rPr>
        <w:instrText>4.</w:instrText>
      </w:r>
      <w:r w:rsidR="000E74AA" w:rsidRPr="00A749F3">
        <w:rPr>
          <w:rFonts w:cs="Times New Roman"/>
          <w:szCs w:val="26"/>
        </w:rPr>
        <w:tab/>
        <w:instrText>Taxes</w:instrText>
      </w:r>
      <w:bookmarkEnd w:id="66"/>
      <w:r w:rsidR="000E74AA" w:rsidRPr="00A749F3">
        <w:rPr>
          <w:rFonts w:cs="Times New Roman"/>
          <w:szCs w:val="26"/>
        </w:rPr>
        <w:instrText xml:space="preserve">" \f C \l "3" </w:instrText>
      </w:r>
      <w:r w:rsidR="000E74AA" w:rsidRPr="00A749F3">
        <w:rPr>
          <w:rFonts w:cs="Times New Roman"/>
          <w:szCs w:val="26"/>
        </w:rPr>
        <w:fldChar w:fldCharType="end"/>
      </w:r>
    </w:p>
    <w:p w:rsidR="002F4544" w:rsidRPr="00A749F3" w:rsidRDefault="002F4544" w:rsidP="004272F2">
      <w:pPr>
        <w:contextualSpacing/>
        <w:rPr>
          <w:rFonts w:cs="Times New Roman"/>
          <w:szCs w:val="26"/>
        </w:rPr>
      </w:pPr>
    </w:p>
    <w:p w:rsidR="00901C15" w:rsidRDefault="00901C15" w:rsidP="004272F2">
      <w:pPr>
        <w:contextualSpacing/>
        <w:rPr>
          <w:rFonts w:cs="Times New Roman"/>
          <w:szCs w:val="26"/>
        </w:rPr>
      </w:pPr>
      <w:r w:rsidRPr="00A749F3">
        <w:rPr>
          <w:rFonts w:cs="Times New Roman"/>
          <w:szCs w:val="26"/>
        </w:rPr>
        <w:t>I&amp;E requested</w:t>
      </w:r>
      <w:r w:rsidR="002F4544" w:rsidRPr="00A749F3">
        <w:rPr>
          <w:rFonts w:cs="Times New Roman"/>
          <w:szCs w:val="26"/>
        </w:rPr>
        <w:t xml:space="preserve"> a</w:t>
      </w:r>
      <w:r w:rsidR="00A749F3">
        <w:rPr>
          <w:rFonts w:cs="Times New Roman"/>
          <w:szCs w:val="26"/>
        </w:rPr>
        <w:t xml:space="preserve">n </w:t>
      </w:r>
      <w:r w:rsidRPr="00A749F3">
        <w:rPr>
          <w:rFonts w:cs="Times New Roman"/>
          <w:szCs w:val="26"/>
        </w:rPr>
        <w:t xml:space="preserve">adjustment to state taxes, </w:t>
      </w:r>
      <w:r w:rsidR="002F4544" w:rsidRPr="00A749F3">
        <w:rPr>
          <w:rFonts w:cs="Times New Roman"/>
          <w:szCs w:val="26"/>
        </w:rPr>
        <w:t>as reflected on I&amp;E Table II at the line “Inter</w:t>
      </w:r>
      <w:r w:rsidR="005E4F90">
        <w:rPr>
          <w:rFonts w:cs="Times New Roman"/>
          <w:szCs w:val="26"/>
        </w:rPr>
        <w:t>est Synchronization” that</w:t>
      </w:r>
      <w:r w:rsidR="002F4544" w:rsidRPr="007F70DF">
        <w:rPr>
          <w:rFonts w:cs="Times New Roman"/>
          <w:szCs w:val="26"/>
        </w:rPr>
        <w:t xml:space="preserve"> reflects an amount of ($1,573) as shown in the “State Tax Effect” column.  That figure represents the difference between Columbia</w:t>
      </w:r>
      <w:r>
        <w:rPr>
          <w:rFonts w:cs="Times New Roman"/>
          <w:szCs w:val="26"/>
        </w:rPr>
        <w:t xml:space="preserve">’s interest expense and the </w:t>
      </w:r>
      <w:r w:rsidR="002F4544" w:rsidRPr="007F70DF">
        <w:rPr>
          <w:rFonts w:cs="Times New Roman"/>
          <w:szCs w:val="26"/>
        </w:rPr>
        <w:t xml:space="preserve">interest expense </w:t>
      </w:r>
      <w:r>
        <w:rPr>
          <w:rFonts w:cs="Times New Roman"/>
          <w:szCs w:val="26"/>
        </w:rPr>
        <w:t xml:space="preserve">recommended by I&amp;E </w:t>
      </w:r>
      <w:r w:rsidR="002F4544" w:rsidRPr="007F70DF">
        <w:rPr>
          <w:rFonts w:cs="Times New Roman"/>
          <w:szCs w:val="26"/>
        </w:rPr>
        <w:t>that is based on I&amp;E</w:t>
      </w:r>
      <w:r w:rsidR="008D2F93">
        <w:rPr>
          <w:rFonts w:cs="Times New Roman"/>
          <w:szCs w:val="26"/>
        </w:rPr>
        <w:t>’s</w:t>
      </w:r>
      <w:r w:rsidR="002F4544" w:rsidRPr="007F70DF">
        <w:rPr>
          <w:rFonts w:cs="Times New Roman"/>
          <w:szCs w:val="26"/>
        </w:rPr>
        <w:t xml:space="preserve"> recommended rate base multiplied by the weighted debt cost rate.  I&amp;E M</w:t>
      </w:r>
      <w:r>
        <w:rPr>
          <w:rFonts w:cs="Times New Roman"/>
          <w:szCs w:val="26"/>
        </w:rPr>
        <w:t>.</w:t>
      </w:r>
      <w:r w:rsidR="002F4544" w:rsidRPr="007F70DF">
        <w:rPr>
          <w:rFonts w:cs="Times New Roman"/>
          <w:szCs w:val="26"/>
        </w:rPr>
        <w:t>B</w:t>
      </w:r>
      <w:r>
        <w:rPr>
          <w:rFonts w:cs="Times New Roman"/>
          <w:szCs w:val="26"/>
        </w:rPr>
        <w:t>.</w:t>
      </w:r>
      <w:r w:rsidR="002F4544" w:rsidRPr="007F70DF">
        <w:rPr>
          <w:rFonts w:cs="Times New Roman"/>
          <w:szCs w:val="26"/>
        </w:rPr>
        <w:t xml:space="preserve"> at 36; </w:t>
      </w:r>
      <w:r w:rsidR="004830C4">
        <w:rPr>
          <w:rFonts w:cs="Times New Roman"/>
          <w:szCs w:val="26"/>
        </w:rPr>
        <w:t>(</w:t>
      </w:r>
      <w:r w:rsidR="002F4544" w:rsidRPr="007F70DF">
        <w:rPr>
          <w:rFonts w:cs="Times New Roman"/>
          <w:szCs w:val="26"/>
        </w:rPr>
        <w:t>citing Appendix</w:t>
      </w:r>
      <w:r w:rsidR="004830C4">
        <w:rPr>
          <w:rFonts w:cs="Times New Roman"/>
          <w:szCs w:val="26"/>
        </w:rPr>
        <w:t xml:space="preserve"> A</w:t>
      </w:r>
      <w:r w:rsidR="002F4544" w:rsidRPr="007F70DF">
        <w:rPr>
          <w:rFonts w:cs="Times New Roman"/>
          <w:szCs w:val="26"/>
        </w:rPr>
        <w:t>, Table II</w:t>
      </w:r>
      <w:r w:rsidR="004830C4">
        <w:rPr>
          <w:rFonts w:cs="Times New Roman"/>
          <w:szCs w:val="26"/>
        </w:rPr>
        <w:t>)</w:t>
      </w:r>
      <w:r w:rsidR="002F4544" w:rsidRPr="007F70DF">
        <w:rPr>
          <w:rFonts w:cs="Times New Roman"/>
          <w:szCs w:val="26"/>
        </w:rPr>
        <w:t>.</w:t>
      </w:r>
      <w:r w:rsidR="004830C4">
        <w:rPr>
          <w:rStyle w:val="FootnoteReference"/>
          <w:rFonts w:cs="Times New Roman"/>
          <w:szCs w:val="26"/>
        </w:rPr>
        <w:footnoteReference w:id="37"/>
      </w:r>
    </w:p>
    <w:p w:rsidR="00901C15" w:rsidRDefault="00901C15" w:rsidP="004272F2">
      <w:pPr>
        <w:contextualSpacing/>
        <w:rPr>
          <w:rFonts w:cs="Times New Roman"/>
          <w:szCs w:val="26"/>
        </w:rPr>
      </w:pPr>
    </w:p>
    <w:p w:rsidR="003F50EF" w:rsidRPr="007F70DF" w:rsidRDefault="00901C15" w:rsidP="002D1F41">
      <w:pPr>
        <w:spacing w:line="240" w:lineRule="auto"/>
        <w:contextualSpacing/>
        <w:rPr>
          <w:rFonts w:cs="Times New Roman"/>
          <w:szCs w:val="26"/>
        </w:rPr>
      </w:pPr>
      <w:r>
        <w:rPr>
          <w:rFonts w:cs="Times New Roman"/>
          <w:szCs w:val="26"/>
        </w:rPr>
        <w:tab/>
      </w:r>
      <w:r>
        <w:rPr>
          <w:rFonts w:cs="Times New Roman"/>
          <w:b/>
          <w:szCs w:val="26"/>
        </w:rPr>
        <w:t>b.</w:t>
      </w:r>
      <w:r>
        <w:rPr>
          <w:rFonts w:cs="Times New Roman"/>
          <w:b/>
          <w:szCs w:val="26"/>
        </w:rPr>
        <w:tab/>
        <w:t>ALJ’s Recommendation</w:t>
      </w:r>
      <w:r w:rsidR="002F4544" w:rsidRPr="007F70DF">
        <w:rPr>
          <w:rFonts w:cs="Times New Roman"/>
          <w:szCs w:val="26"/>
        </w:rPr>
        <w:t xml:space="preserve">  </w:t>
      </w:r>
    </w:p>
    <w:p w:rsidR="003F50EF" w:rsidRPr="007F70DF" w:rsidRDefault="003F50EF" w:rsidP="004272F2">
      <w:pPr>
        <w:contextualSpacing/>
        <w:rPr>
          <w:rFonts w:cs="Times New Roman"/>
          <w:szCs w:val="26"/>
        </w:rPr>
      </w:pPr>
    </w:p>
    <w:p w:rsidR="003F50EF" w:rsidRDefault="003F50EF" w:rsidP="004272F2">
      <w:pPr>
        <w:contextualSpacing/>
        <w:rPr>
          <w:rFonts w:cs="Times New Roman"/>
          <w:szCs w:val="26"/>
        </w:rPr>
      </w:pPr>
      <w:r w:rsidRPr="007F70DF">
        <w:rPr>
          <w:rFonts w:cs="Times New Roman"/>
          <w:szCs w:val="26"/>
        </w:rPr>
        <w:tab/>
      </w:r>
      <w:r w:rsidR="004830C4">
        <w:rPr>
          <w:rFonts w:cs="Times New Roman"/>
          <w:szCs w:val="26"/>
        </w:rPr>
        <w:t xml:space="preserve">The ALJ stated that because he was recommending the </w:t>
      </w:r>
      <w:r w:rsidRPr="007F70DF">
        <w:rPr>
          <w:rFonts w:cs="Times New Roman"/>
          <w:szCs w:val="26"/>
        </w:rPr>
        <w:t xml:space="preserve">5% cost </w:t>
      </w:r>
      <w:r w:rsidR="004830C4">
        <w:rPr>
          <w:rFonts w:cs="Times New Roman"/>
          <w:szCs w:val="26"/>
        </w:rPr>
        <w:t xml:space="preserve">of debt </w:t>
      </w:r>
      <w:r w:rsidR="002C3DFA">
        <w:rPr>
          <w:rFonts w:cs="Times New Roman"/>
          <w:szCs w:val="26"/>
        </w:rPr>
        <w:t xml:space="preserve">proposed </w:t>
      </w:r>
      <w:r w:rsidR="008D2F93">
        <w:rPr>
          <w:rFonts w:cs="Times New Roman"/>
          <w:szCs w:val="26"/>
        </w:rPr>
        <w:t xml:space="preserve">by </w:t>
      </w:r>
      <w:r w:rsidRPr="007F70DF">
        <w:rPr>
          <w:rFonts w:cs="Times New Roman"/>
          <w:szCs w:val="26"/>
        </w:rPr>
        <w:t xml:space="preserve">I&amp;E, </w:t>
      </w:r>
      <w:r w:rsidR="002C3DFA">
        <w:rPr>
          <w:rFonts w:cs="Times New Roman"/>
          <w:szCs w:val="26"/>
        </w:rPr>
        <w:t xml:space="preserve">he found that I&amp;E’s proposed </w:t>
      </w:r>
      <w:r w:rsidRPr="007F70DF">
        <w:rPr>
          <w:rFonts w:cs="Times New Roman"/>
          <w:szCs w:val="26"/>
        </w:rPr>
        <w:t>tax adjustment is appropriate because this is the only way to adjust taxes for the interest expense being proposed by I&amp;E versus that being proposed by Columbia.</w:t>
      </w:r>
      <w:r w:rsidR="002C3DFA">
        <w:rPr>
          <w:rFonts w:cs="Times New Roman"/>
          <w:szCs w:val="26"/>
        </w:rPr>
        <w:t xml:space="preserve">  R.D. at 42. </w:t>
      </w:r>
    </w:p>
    <w:p w:rsidR="00901C15" w:rsidRPr="00C16BD5" w:rsidRDefault="00901C15" w:rsidP="004272F2">
      <w:pPr>
        <w:contextualSpacing/>
        <w:rPr>
          <w:rFonts w:cs="Times New Roman"/>
          <w:szCs w:val="26"/>
        </w:rPr>
      </w:pPr>
    </w:p>
    <w:p w:rsidR="00901C15" w:rsidRPr="00C16BD5" w:rsidRDefault="00901C15" w:rsidP="002D1F41">
      <w:pPr>
        <w:spacing w:line="240" w:lineRule="auto"/>
        <w:contextualSpacing/>
        <w:rPr>
          <w:rFonts w:cs="Times New Roman"/>
          <w:b/>
          <w:szCs w:val="26"/>
        </w:rPr>
      </w:pPr>
      <w:r w:rsidRPr="00C16BD5">
        <w:rPr>
          <w:rFonts w:cs="Times New Roman"/>
          <w:szCs w:val="26"/>
        </w:rPr>
        <w:tab/>
      </w:r>
      <w:r w:rsidRPr="00C16BD5">
        <w:rPr>
          <w:rFonts w:cs="Times New Roman"/>
          <w:b/>
          <w:szCs w:val="26"/>
        </w:rPr>
        <w:t>c.</w:t>
      </w:r>
      <w:r w:rsidRPr="00C16BD5">
        <w:rPr>
          <w:rFonts w:cs="Times New Roman"/>
          <w:b/>
          <w:szCs w:val="26"/>
        </w:rPr>
        <w:tab/>
        <w:t>Exceptions and Reply Exceptions</w:t>
      </w:r>
    </w:p>
    <w:p w:rsidR="00C16BD5" w:rsidRPr="00C16BD5" w:rsidRDefault="00C16BD5" w:rsidP="004272F2">
      <w:pPr>
        <w:contextualSpacing/>
        <w:rPr>
          <w:rFonts w:cs="Times New Roman"/>
          <w:b/>
          <w:szCs w:val="26"/>
        </w:rPr>
      </w:pPr>
    </w:p>
    <w:p w:rsidR="00C16BD5" w:rsidRPr="00BA77A1" w:rsidRDefault="00C16BD5" w:rsidP="00633C95">
      <w:pPr>
        <w:rPr>
          <w:rFonts w:cs="Times New Roman"/>
          <w:b/>
          <w:szCs w:val="26"/>
        </w:rPr>
      </w:pPr>
      <w:r w:rsidRPr="00C16BD5">
        <w:rPr>
          <w:rFonts w:cs="Times New Roman"/>
          <w:szCs w:val="26"/>
        </w:rPr>
        <w:t>In its Exception</w:t>
      </w:r>
      <w:r w:rsidR="002C3DFA">
        <w:rPr>
          <w:rFonts w:cs="Times New Roman"/>
          <w:szCs w:val="26"/>
        </w:rPr>
        <w:t>s</w:t>
      </w:r>
      <w:r w:rsidRPr="00C16BD5">
        <w:rPr>
          <w:rFonts w:cs="Times New Roman"/>
          <w:szCs w:val="26"/>
        </w:rPr>
        <w:t>, Columbia argues that the ALJ erred in adopting the effective tax rates at the time of the</w:t>
      </w:r>
      <w:r w:rsidR="00A749F3">
        <w:rPr>
          <w:rFonts w:cs="Times New Roman"/>
          <w:szCs w:val="26"/>
        </w:rPr>
        <w:t xml:space="preserve"> Company’s filing instead of </w:t>
      </w:r>
      <w:r w:rsidRPr="00C16BD5">
        <w:rPr>
          <w:rFonts w:cs="Times New Roman"/>
          <w:szCs w:val="26"/>
        </w:rPr>
        <w:t>present rates</w:t>
      </w:r>
      <w:r w:rsidR="004C6817">
        <w:rPr>
          <w:rFonts w:cs="Times New Roman"/>
          <w:szCs w:val="26"/>
        </w:rPr>
        <w:t>,</w:t>
      </w:r>
      <w:r w:rsidRPr="00C16BD5">
        <w:rPr>
          <w:rFonts w:cs="Times New Roman"/>
          <w:szCs w:val="26"/>
        </w:rPr>
        <w:t xml:space="preserve"> resulting in an allowable net operating income shortfall of $254,707.  </w:t>
      </w:r>
      <w:r w:rsidR="005F4821">
        <w:rPr>
          <w:rFonts w:cs="Times New Roman"/>
          <w:szCs w:val="26"/>
        </w:rPr>
        <w:t>CWC avers that i</w:t>
      </w:r>
      <w:r w:rsidR="005F4821" w:rsidRPr="00C16BD5">
        <w:rPr>
          <w:rFonts w:cs="Times New Roman"/>
          <w:spacing w:val="-2"/>
          <w:szCs w:val="26"/>
        </w:rPr>
        <w:t xml:space="preserve">nstead of the current effective rates, the </w:t>
      </w:r>
      <w:r w:rsidR="005F4821">
        <w:rPr>
          <w:rFonts w:cs="Times New Roman"/>
          <w:spacing w:val="-2"/>
          <w:szCs w:val="26"/>
        </w:rPr>
        <w:t xml:space="preserve">ALJ </w:t>
      </w:r>
      <w:r w:rsidR="005F4821" w:rsidRPr="00C16BD5">
        <w:rPr>
          <w:rFonts w:cs="Times New Roman"/>
          <w:spacing w:val="-2"/>
          <w:szCs w:val="26"/>
        </w:rPr>
        <w:t>mistakenly uses effective state and federal tax rates of 7.6803051% and 17.462862%</w:t>
      </w:r>
      <w:r w:rsidR="005F4821">
        <w:rPr>
          <w:rFonts w:cs="Times New Roman"/>
          <w:spacing w:val="-2"/>
          <w:szCs w:val="26"/>
        </w:rPr>
        <w:t>,</w:t>
      </w:r>
      <w:r w:rsidR="005F4821" w:rsidRPr="00C16BD5">
        <w:rPr>
          <w:rFonts w:cs="Times New Roman"/>
          <w:spacing w:val="-2"/>
          <w:szCs w:val="26"/>
        </w:rPr>
        <w:t xml:space="preserve"> respectively</w:t>
      </w:r>
      <w:r w:rsidR="008D2F93">
        <w:rPr>
          <w:rFonts w:cs="Times New Roman"/>
          <w:spacing w:val="-2"/>
          <w:szCs w:val="26"/>
        </w:rPr>
        <w:t>,</w:t>
      </w:r>
      <w:r w:rsidR="005F4821" w:rsidRPr="00C16BD5">
        <w:rPr>
          <w:rFonts w:cs="Times New Roman"/>
          <w:spacing w:val="-2"/>
          <w:szCs w:val="26"/>
        </w:rPr>
        <w:t xml:space="preserve"> based upon $975,430 of allowable net income as set forth on Table 1 of </w:t>
      </w:r>
      <w:r w:rsidR="005F4821">
        <w:rPr>
          <w:rFonts w:cs="Times New Roman"/>
          <w:spacing w:val="-2"/>
          <w:szCs w:val="26"/>
        </w:rPr>
        <w:t xml:space="preserve">the Recommended Decision. </w:t>
      </w:r>
      <w:r w:rsidR="005F4821" w:rsidRPr="00C16BD5">
        <w:rPr>
          <w:rFonts w:cs="Times New Roman"/>
          <w:spacing w:val="-2"/>
          <w:szCs w:val="26"/>
        </w:rPr>
        <w:t xml:space="preserve"> </w:t>
      </w:r>
      <w:r w:rsidR="005F4821">
        <w:rPr>
          <w:rFonts w:cs="Times New Roman"/>
          <w:spacing w:val="-2"/>
          <w:szCs w:val="26"/>
        </w:rPr>
        <w:t>The Company recommends that</w:t>
      </w:r>
      <w:r w:rsidR="004C6817">
        <w:rPr>
          <w:rFonts w:cs="Times New Roman"/>
          <w:spacing w:val="-2"/>
          <w:szCs w:val="26"/>
        </w:rPr>
        <w:t>,</w:t>
      </w:r>
      <w:r w:rsidR="005F4821">
        <w:rPr>
          <w:rFonts w:cs="Times New Roman"/>
          <w:spacing w:val="-2"/>
          <w:szCs w:val="26"/>
        </w:rPr>
        <w:t xml:space="preserve"> t</w:t>
      </w:r>
      <w:r w:rsidR="005F4821" w:rsidRPr="00C16BD5">
        <w:rPr>
          <w:rFonts w:cs="Times New Roman"/>
          <w:szCs w:val="26"/>
        </w:rPr>
        <w:t>o reflect the effect of accumulated deferred taxes as a current expense to the Company, the current effective state tax rate is 12.968537% and the effective federal tax rate is 38.107911% based u</w:t>
      </w:r>
      <w:r w:rsidR="004C6817">
        <w:rPr>
          <w:rFonts w:cs="Times New Roman"/>
          <w:szCs w:val="26"/>
        </w:rPr>
        <w:t xml:space="preserve">pon the </w:t>
      </w:r>
      <w:r w:rsidR="004C6817">
        <w:rPr>
          <w:rFonts w:cs="Times New Roman"/>
          <w:szCs w:val="26"/>
        </w:rPr>
        <w:lastRenderedPageBreak/>
        <w:t>Recommended Decision’</w:t>
      </w:r>
      <w:r w:rsidR="005F4821" w:rsidRPr="00C16BD5">
        <w:rPr>
          <w:rFonts w:cs="Times New Roman"/>
          <w:szCs w:val="26"/>
        </w:rPr>
        <w:t>s $975,430 of allowable net operating income</w:t>
      </w:r>
      <w:r w:rsidR="005F4821">
        <w:rPr>
          <w:rFonts w:cs="Times New Roman"/>
          <w:szCs w:val="26"/>
        </w:rPr>
        <w:t>.  CWC Exc. at 24-</w:t>
      </w:r>
      <w:r w:rsidR="005F4821" w:rsidRPr="00BA77A1">
        <w:rPr>
          <w:rFonts w:cs="Times New Roman"/>
          <w:b/>
          <w:szCs w:val="26"/>
        </w:rPr>
        <w:t>25.</w:t>
      </w:r>
      <w:r w:rsidRPr="00BA77A1">
        <w:rPr>
          <w:rFonts w:cs="Times New Roman"/>
          <w:b/>
          <w:szCs w:val="26"/>
        </w:rPr>
        <w:t xml:space="preserve"> </w:t>
      </w:r>
    </w:p>
    <w:p w:rsidR="00C16BD5" w:rsidRPr="00BA77A1" w:rsidRDefault="00C16BD5" w:rsidP="00633C95">
      <w:pPr>
        <w:rPr>
          <w:rFonts w:cs="Times New Roman"/>
          <w:b/>
          <w:szCs w:val="26"/>
        </w:rPr>
      </w:pPr>
    </w:p>
    <w:p w:rsidR="0065283F" w:rsidRDefault="0065283F" w:rsidP="00633C95">
      <w:pPr>
        <w:rPr>
          <w:rFonts w:cs="Times New Roman"/>
          <w:szCs w:val="26"/>
        </w:rPr>
      </w:pPr>
      <w:r>
        <w:rPr>
          <w:rFonts w:cs="Times New Roman"/>
          <w:szCs w:val="26"/>
        </w:rPr>
        <w:t>In response to the Company’s Exceptions, the OCA submits that the Company’s proposed state tax rate of 12.97% and federal tax rate of 38.11% do not represent an accurate calculation of the effective tax rate.  The OCA avers that the Company is implying that the effect of accumulated deferred taxes as a current expense “influences the fact that the effective tax rate is higher than the marginal tax rates.”  OCA R.Exc. at 14. The OCA explains that</w:t>
      </w:r>
      <w:r w:rsidR="004C6817">
        <w:rPr>
          <w:rFonts w:cs="Times New Roman"/>
          <w:szCs w:val="26"/>
        </w:rPr>
        <w:t>,</w:t>
      </w:r>
      <w:r>
        <w:rPr>
          <w:rFonts w:cs="Times New Roman"/>
          <w:szCs w:val="26"/>
        </w:rPr>
        <w:t xml:space="preserve"> because the Company </w:t>
      </w:r>
      <w:r w:rsidR="008D2F93">
        <w:rPr>
          <w:rFonts w:cs="Times New Roman"/>
          <w:szCs w:val="26"/>
        </w:rPr>
        <w:t>i</w:t>
      </w:r>
      <w:r>
        <w:rPr>
          <w:rFonts w:cs="Times New Roman"/>
          <w:szCs w:val="26"/>
        </w:rPr>
        <w:t xml:space="preserve">s required to normalize depreciation for ratemaking purposes, the federal effective tax rate will never be higher than the marginal tax rate.  The OCA also explains that for state taxes, </w:t>
      </w:r>
      <w:r w:rsidR="0029774F">
        <w:rPr>
          <w:rFonts w:cs="Times New Roman"/>
          <w:szCs w:val="26"/>
        </w:rPr>
        <w:t xml:space="preserve">deferred taxes would only make the effective tax rate higher than the marginal tax rate when, at some future point in time, the deferred taxes are actually being paid by the Company.  The OCA notes that this is not the case here.  </w:t>
      </w:r>
      <w:r w:rsidR="0029774F" w:rsidRPr="0029774F">
        <w:rPr>
          <w:rFonts w:cs="Times New Roman"/>
          <w:i/>
          <w:szCs w:val="26"/>
        </w:rPr>
        <w:t>Id.</w:t>
      </w:r>
      <w:r w:rsidR="0029774F">
        <w:rPr>
          <w:rFonts w:cs="Times New Roman"/>
          <w:szCs w:val="26"/>
        </w:rPr>
        <w:t xml:space="preserve">   </w:t>
      </w:r>
      <w:r>
        <w:rPr>
          <w:rFonts w:cs="Times New Roman"/>
          <w:szCs w:val="26"/>
        </w:rPr>
        <w:t xml:space="preserve">     </w:t>
      </w:r>
    </w:p>
    <w:p w:rsidR="0065283F" w:rsidRDefault="0065283F" w:rsidP="00633C95">
      <w:pPr>
        <w:rPr>
          <w:rFonts w:cs="Times New Roman"/>
          <w:szCs w:val="26"/>
        </w:rPr>
      </w:pPr>
    </w:p>
    <w:p w:rsidR="00901C15" w:rsidRDefault="00901C15" w:rsidP="00FC6DC3">
      <w:pPr>
        <w:keepNext/>
        <w:spacing w:line="240" w:lineRule="auto"/>
        <w:contextualSpacing/>
        <w:rPr>
          <w:rFonts w:cs="Times New Roman"/>
          <w:b/>
          <w:szCs w:val="26"/>
        </w:rPr>
      </w:pPr>
      <w:r>
        <w:rPr>
          <w:rFonts w:cs="Times New Roman"/>
          <w:b/>
          <w:szCs w:val="26"/>
        </w:rPr>
        <w:tab/>
        <w:t>d.</w:t>
      </w:r>
      <w:r>
        <w:rPr>
          <w:rFonts w:cs="Times New Roman"/>
          <w:b/>
          <w:szCs w:val="26"/>
        </w:rPr>
        <w:tab/>
        <w:t>Disposition</w:t>
      </w:r>
    </w:p>
    <w:p w:rsidR="00CB4C55" w:rsidRDefault="00CB4C55" w:rsidP="00FC6DC3">
      <w:pPr>
        <w:keepNext/>
        <w:contextualSpacing/>
        <w:rPr>
          <w:rFonts w:cs="Times New Roman"/>
          <w:b/>
          <w:szCs w:val="26"/>
        </w:rPr>
      </w:pPr>
    </w:p>
    <w:p w:rsidR="0029774F" w:rsidRPr="004C6817" w:rsidRDefault="0029774F" w:rsidP="00FC6DC3">
      <w:pPr>
        <w:keepNext/>
        <w:contextualSpacing/>
        <w:rPr>
          <w:rFonts w:cs="Times New Roman"/>
          <w:szCs w:val="26"/>
        </w:rPr>
      </w:pPr>
      <w:r w:rsidRPr="0029774F">
        <w:rPr>
          <w:rFonts w:cs="Times New Roman"/>
          <w:szCs w:val="26"/>
        </w:rPr>
        <w:t>We disagree with the Comp</w:t>
      </w:r>
      <w:r>
        <w:rPr>
          <w:rFonts w:cs="Times New Roman"/>
          <w:szCs w:val="26"/>
        </w:rPr>
        <w:t>a</w:t>
      </w:r>
      <w:r w:rsidRPr="0029774F">
        <w:rPr>
          <w:rFonts w:cs="Times New Roman"/>
          <w:szCs w:val="26"/>
        </w:rPr>
        <w:t>ny</w:t>
      </w:r>
      <w:r w:rsidR="005A38A3">
        <w:rPr>
          <w:rFonts w:cs="Times New Roman"/>
          <w:szCs w:val="26"/>
        </w:rPr>
        <w:t>’s position</w:t>
      </w:r>
      <w:r w:rsidRPr="0029774F">
        <w:rPr>
          <w:rFonts w:cs="Times New Roman"/>
          <w:szCs w:val="26"/>
        </w:rPr>
        <w:t xml:space="preserve"> </w:t>
      </w:r>
      <w:r>
        <w:rPr>
          <w:rFonts w:cs="Times New Roman"/>
          <w:szCs w:val="26"/>
        </w:rPr>
        <w:t xml:space="preserve">that the ALJ </w:t>
      </w:r>
      <w:r w:rsidR="005A38A3">
        <w:rPr>
          <w:rFonts w:cs="Times New Roman"/>
          <w:szCs w:val="26"/>
        </w:rPr>
        <w:t xml:space="preserve">mistakenly </w:t>
      </w:r>
      <w:r>
        <w:rPr>
          <w:rFonts w:cs="Times New Roman"/>
          <w:szCs w:val="26"/>
        </w:rPr>
        <w:t>used e</w:t>
      </w:r>
      <w:r w:rsidR="005E4F90">
        <w:rPr>
          <w:rFonts w:cs="Times New Roman"/>
          <w:szCs w:val="26"/>
        </w:rPr>
        <w:t>ffective tax rates.  Instead, the ALJ</w:t>
      </w:r>
      <w:r>
        <w:rPr>
          <w:rFonts w:cs="Times New Roman"/>
          <w:szCs w:val="26"/>
        </w:rPr>
        <w:t xml:space="preserve"> followed the standard practice of applying </w:t>
      </w:r>
      <w:r w:rsidR="007E11FD">
        <w:rPr>
          <w:rFonts w:cs="Times New Roman"/>
          <w:szCs w:val="26"/>
        </w:rPr>
        <w:t xml:space="preserve">statutory rates to his adjustments and recommended rate increase.  While no correction is necessary to adjust the effective tax rates, as proposed by the Company, we find that a correction is necessary to increase income tax expense due to a double </w:t>
      </w:r>
      <w:r w:rsidR="00D953D3">
        <w:rPr>
          <w:rFonts w:cs="Times New Roman"/>
          <w:szCs w:val="26"/>
        </w:rPr>
        <w:t>count</w:t>
      </w:r>
      <w:r w:rsidR="005A38A3">
        <w:rPr>
          <w:rFonts w:cs="Times New Roman"/>
          <w:szCs w:val="26"/>
        </w:rPr>
        <w:t>ing</w:t>
      </w:r>
      <w:r w:rsidR="00D953D3">
        <w:rPr>
          <w:rFonts w:cs="Times New Roman"/>
          <w:szCs w:val="26"/>
        </w:rPr>
        <w:t xml:space="preserve"> of a deduction of taxable income </w:t>
      </w:r>
      <w:r w:rsidR="00C32418">
        <w:rPr>
          <w:rFonts w:cs="Times New Roman"/>
          <w:szCs w:val="26"/>
        </w:rPr>
        <w:t xml:space="preserve">related to Contributions in Aid of Construction. </w:t>
      </w:r>
      <w:r w:rsidR="004C6817">
        <w:rPr>
          <w:rFonts w:cs="Times New Roman"/>
          <w:szCs w:val="26"/>
        </w:rPr>
        <w:t xml:space="preserve"> </w:t>
      </w:r>
      <w:r w:rsidR="00C32418">
        <w:rPr>
          <w:rFonts w:cs="Times New Roman"/>
          <w:szCs w:val="26"/>
        </w:rPr>
        <w:t xml:space="preserve">CWC St. 2R at 20.  To correct this error, the income taxes reflected in the Recommended Decision will be increased to reflect the tax effect of increasing taxable income by $214,095. </w:t>
      </w:r>
      <w:r w:rsidR="007E11FD">
        <w:rPr>
          <w:rFonts w:cs="Times New Roman"/>
          <w:szCs w:val="26"/>
        </w:rPr>
        <w:t xml:space="preserve"> </w:t>
      </w:r>
    </w:p>
    <w:p w:rsidR="0029774F" w:rsidRPr="004C6817" w:rsidRDefault="0029774F" w:rsidP="00633C95">
      <w:pPr>
        <w:contextualSpacing/>
        <w:rPr>
          <w:rFonts w:cs="Times New Roman"/>
          <w:b/>
          <w:szCs w:val="26"/>
        </w:rPr>
      </w:pPr>
    </w:p>
    <w:p w:rsidR="0029774F" w:rsidRPr="004C6817" w:rsidRDefault="00B45A68" w:rsidP="00B45A68">
      <w:pPr>
        <w:pStyle w:val="Heading2"/>
        <w:numPr>
          <w:ilvl w:val="0"/>
          <w:numId w:val="0"/>
        </w:numPr>
        <w:ind w:left="720"/>
        <w:rPr>
          <w:rFonts w:ascii="Times New Roman" w:hAnsi="Times New Roman"/>
        </w:rPr>
      </w:pPr>
      <w:bookmarkStart w:id="67" w:name="_Toc378080180"/>
      <w:r w:rsidRPr="004C6817">
        <w:rPr>
          <w:rFonts w:ascii="Times New Roman" w:hAnsi="Times New Roman"/>
        </w:rPr>
        <w:t>G.</w:t>
      </w:r>
      <w:r w:rsidRPr="004C6817">
        <w:rPr>
          <w:rFonts w:ascii="Times New Roman" w:hAnsi="Times New Roman"/>
        </w:rPr>
        <w:tab/>
        <w:t>Rate Design</w:t>
      </w:r>
      <w:bookmarkEnd w:id="67"/>
    </w:p>
    <w:p w:rsidR="0029774F" w:rsidRPr="004C6817" w:rsidRDefault="0029774F" w:rsidP="00633C95">
      <w:pPr>
        <w:contextualSpacing/>
        <w:rPr>
          <w:rFonts w:cs="Times New Roman"/>
          <w:b/>
          <w:szCs w:val="26"/>
        </w:rPr>
      </w:pPr>
    </w:p>
    <w:p w:rsidR="006A690C" w:rsidRPr="004C6817" w:rsidRDefault="00B45A68" w:rsidP="00053F7D">
      <w:pPr>
        <w:contextualSpacing/>
        <w:rPr>
          <w:rFonts w:cs="Times New Roman"/>
          <w:szCs w:val="26"/>
        </w:rPr>
      </w:pPr>
      <w:r w:rsidRPr="004C6817">
        <w:rPr>
          <w:rFonts w:cs="Times New Roman"/>
          <w:szCs w:val="26"/>
        </w:rPr>
        <w:t xml:space="preserve">As discussed, </w:t>
      </w:r>
      <w:r w:rsidRPr="004C6817">
        <w:rPr>
          <w:rFonts w:cs="Times New Roman"/>
          <w:i/>
          <w:szCs w:val="26"/>
        </w:rPr>
        <w:t>s</w:t>
      </w:r>
      <w:r w:rsidRPr="00B45A68">
        <w:rPr>
          <w:rFonts w:cs="Times New Roman"/>
          <w:i/>
          <w:szCs w:val="26"/>
        </w:rPr>
        <w:t>upra</w:t>
      </w:r>
      <w:r w:rsidRPr="00B45A68">
        <w:rPr>
          <w:rFonts w:cs="Times New Roman"/>
          <w:szCs w:val="26"/>
        </w:rPr>
        <w:t xml:space="preserve">, </w:t>
      </w:r>
      <w:r>
        <w:rPr>
          <w:rFonts w:cs="Times New Roman"/>
          <w:szCs w:val="26"/>
        </w:rPr>
        <w:t xml:space="preserve">the Company proposed to allocate any proposed increase in revenue across-the-board to all customer classes and between the customer and </w:t>
      </w:r>
      <w:r>
        <w:rPr>
          <w:rFonts w:cs="Times New Roman"/>
          <w:szCs w:val="26"/>
        </w:rPr>
        <w:lastRenderedPageBreak/>
        <w:t xml:space="preserve">consumption charges.  </w:t>
      </w:r>
      <w:r w:rsidR="00C464DA">
        <w:rPr>
          <w:rFonts w:cs="Times New Roman"/>
          <w:szCs w:val="26"/>
        </w:rPr>
        <w:t xml:space="preserve">CWC St. 2 at 15.  I&amp;E and the OCA support this allocation and the ALJ recommended its adoption.  I&amp;E St. 3 at 16; OCA St. 1 at 672; R.D at 48.  Accordingly, we shall approve this allocation of the increase in the Company’s allowable revenues.  </w:t>
      </w:r>
      <w:r>
        <w:rPr>
          <w:rFonts w:cs="Times New Roman"/>
          <w:szCs w:val="26"/>
        </w:rPr>
        <w:t xml:space="preserve">  </w:t>
      </w:r>
      <w:r w:rsidR="00CB4C55" w:rsidRPr="00B45A68">
        <w:rPr>
          <w:rFonts w:cs="Times New Roman"/>
          <w:szCs w:val="26"/>
        </w:rPr>
        <w:tab/>
      </w:r>
      <w:r w:rsidR="00CB4C55" w:rsidRPr="00B45A68">
        <w:rPr>
          <w:rFonts w:cs="Times New Roman"/>
          <w:szCs w:val="26"/>
        </w:rPr>
        <w:tab/>
      </w:r>
    </w:p>
    <w:p w:rsidR="00BD4597" w:rsidRPr="004C6817" w:rsidRDefault="00BD4597" w:rsidP="004272F2">
      <w:pPr>
        <w:tabs>
          <w:tab w:val="left" w:pos="-720"/>
        </w:tabs>
        <w:suppressAutoHyphens/>
        <w:contextualSpacing/>
        <w:rPr>
          <w:rFonts w:cs="Times New Roman"/>
          <w:szCs w:val="26"/>
        </w:rPr>
      </w:pPr>
    </w:p>
    <w:p w:rsidR="00FC6DC3" w:rsidRPr="004C6817" w:rsidRDefault="00FC6DC3" w:rsidP="00CC56A3">
      <w:pPr>
        <w:pStyle w:val="Heading2"/>
        <w:numPr>
          <w:ilvl w:val="0"/>
          <w:numId w:val="0"/>
        </w:numPr>
        <w:ind w:left="720"/>
        <w:rPr>
          <w:rFonts w:ascii="Times New Roman" w:hAnsi="Times New Roman"/>
        </w:rPr>
      </w:pPr>
      <w:bookmarkStart w:id="68" w:name="_Toc378080181"/>
      <w:r w:rsidRPr="004C6817">
        <w:rPr>
          <w:rFonts w:ascii="Times New Roman" w:hAnsi="Times New Roman"/>
        </w:rPr>
        <w:t>H.</w:t>
      </w:r>
      <w:r w:rsidRPr="004C6817">
        <w:rPr>
          <w:rFonts w:ascii="Times New Roman" w:hAnsi="Times New Roman"/>
        </w:rPr>
        <w:tab/>
        <w:t>Miscellaneous</w:t>
      </w:r>
      <w:r w:rsidR="00CC56A3" w:rsidRPr="004C6817">
        <w:rPr>
          <w:rFonts w:ascii="Times New Roman" w:hAnsi="Times New Roman"/>
        </w:rPr>
        <w:t xml:space="preserve"> - </w:t>
      </w:r>
      <w:r w:rsidRPr="004C6817">
        <w:rPr>
          <w:rFonts w:ascii="Times New Roman" w:hAnsi="Times New Roman"/>
        </w:rPr>
        <w:t>Continuation of the Requirement for Time Records</w:t>
      </w:r>
      <w:bookmarkEnd w:id="68"/>
    </w:p>
    <w:p w:rsidR="00FC6DC3" w:rsidRPr="004C6817" w:rsidRDefault="00FC6DC3" w:rsidP="00FC6DC3">
      <w:pPr>
        <w:ind w:left="2160"/>
        <w:contextualSpacing/>
        <w:rPr>
          <w:rFonts w:cs="Times New Roman"/>
          <w:b/>
          <w:szCs w:val="26"/>
        </w:rPr>
      </w:pPr>
    </w:p>
    <w:p w:rsidR="00FC6DC3" w:rsidRPr="004C6817" w:rsidRDefault="004C6817" w:rsidP="004C6817">
      <w:pPr>
        <w:spacing w:line="240" w:lineRule="auto"/>
        <w:contextualSpacing/>
        <w:rPr>
          <w:rFonts w:cs="Times New Roman"/>
          <w:b/>
          <w:szCs w:val="26"/>
        </w:rPr>
      </w:pPr>
      <w:r>
        <w:rPr>
          <w:rFonts w:cs="Times New Roman"/>
          <w:b/>
          <w:szCs w:val="26"/>
        </w:rPr>
        <w:t>1</w:t>
      </w:r>
      <w:r w:rsidR="00FC6DC3" w:rsidRPr="004C6817">
        <w:rPr>
          <w:rFonts w:cs="Times New Roman"/>
          <w:b/>
          <w:szCs w:val="26"/>
        </w:rPr>
        <w:t>.</w:t>
      </w:r>
      <w:r w:rsidR="00FC6DC3" w:rsidRPr="004C6817">
        <w:rPr>
          <w:rFonts w:cs="Times New Roman"/>
          <w:b/>
          <w:szCs w:val="26"/>
        </w:rPr>
        <w:tab/>
        <w:t>Positions of the Parties</w:t>
      </w:r>
    </w:p>
    <w:p w:rsidR="002D1F41" w:rsidRPr="004C6817" w:rsidRDefault="002D1F41" w:rsidP="002D1F41">
      <w:pPr>
        <w:ind w:left="2160" w:firstLine="0"/>
        <w:contextualSpacing/>
        <w:rPr>
          <w:rFonts w:cs="Times New Roman"/>
          <w:szCs w:val="26"/>
        </w:rPr>
      </w:pPr>
    </w:p>
    <w:p w:rsidR="00FC6DC3" w:rsidRDefault="00FC6DC3" w:rsidP="00FC6DC3">
      <w:pPr>
        <w:ind w:firstLine="720"/>
        <w:contextualSpacing/>
        <w:rPr>
          <w:rFonts w:cs="Times New Roman"/>
          <w:szCs w:val="26"/>
        </w:rPr>
      </w:pPr>
      <w:r w:rsidRPr="004C6817">
        <w:rPr>
          <w:rFonts w:cs="Times New Roman"/>
          <w:szCs w:val="26"/>
        </w:rPr>
        <w:tab/>
        <w:t>The OCA stated</w:t>
      </w:r>
      <w:r w:rsidR="004C6817">
        <w:rPr>
          <w:rFonts w:cs="Times New Roman"/>
          <w:szCs w:val="26"/>
        </w:rPr>
        <w:t xml:space="preserve"> that in the Company’s last rate case</w:t>
      </w:r>
      <w:r w:rsidRPr="004C6817">
        <w:rPr>
          <w:rFonts w:cs="Times New Roman"/>
          <w:szCs w:val="26"/>
        </w:rPr>
        <w:t>, the Commission directed Columbia, in its future rate cases, to provide</w:t>
      </w:r>
      <w:r w:rsidRPr="007F70DF">
        <w:rPr>
          <w:rFonts w:cs="Times New Roman"/>
          <w:szCs w:val="26"/>
        </w:rPr>
        <w:t xml:space="preserve"> an account of time spent by officers on Columbia business in relation to all other business interests.  </w:t>
      </w:r>
      <w:r w:rsidR="004C6817">
        <w:rPr>
          <w:rFonts w:cs="Times New Roman"/>
          <w:i/>
          <w:szCs w:val="26"/>
        </w:rPr>
        <w:t>2009 Rate Case</w:t>
      </w:r>
      <w:r w:rsidRPr="007F70DF">
        <w:rPr>
          <w:rFonts w:cs="Times New Roman"/>
          <w:i/>
          <w:szCs w:val="26"/>
        </w:rPr>
        <w:t xml:space="preserve"> Order</w:t>
      </w:r>
      <w:r w:rsidRPr="007F70DF">
        <w:rPr>
          <w:rFonts w:cs="Times New Roman"/>
          <w:i/>
          <w:szCs w:val="26"/>
        </w:rPr>
        <w:fldChar w:fldCharType="begin"/>
      </w:r>
      <w:r w:rsidRPr="007F70DF">
        <w:rPr>
          <w:rFonts w:cs="Times New Roman"/>
          <w:i/>
          <w:szCs w:val="26"/>
        </w:rPr>
        <w:instrText xml:space="preserve"> TA \s "Pa. P.U.C. v. Columbia Water Co., 2009 Pa. PUC LEXIS 1423 (May 28, 2009)" </w:instrText>
      </w:r>
      <w:r w:rsidRPr="007F70DF">
        <w:rPr>
          <w:rFonts w:cs="Times New Roman"/>
          <w:i/>
          <w:szCs w:val="26"/>
        </w:rPr>
        <w:fldChar w:fldCharType="end"/>
      </w:r>
      <w:r w:rsidRPr="007F70DF">
        <w:rPr>
          <w:rFonts w:cs="Times New Roman"/>
          <w:i/>
          <w:szCs w:val="26"/>
        </w:rPr>
        <w:t xml:space="preserve"> </w:t>
      </w:r>
      <w:r w:rsidRPr="007F70DF">
        <w:rPr>
          <w:rFonts w:cs="Times New Roman"/>
          <w:szCs w:val="26"/>
        </w:rPr>
        <w:t xml:space="preserve">at </w:t>
      </w:r>
      <w:r w:rsidR="004C6817">
        <w:rPr>
          <w:rFonts w:cs="Times New Roman"/>
          <w:szCs w:val="26"/>
        </w:rPr>
        <w:t>55</w:t>
      </w:r>
      <w:r w:rsidR="004C6817">
        <w:rPr>
          <w:rFonts w:cs="Times New Roman"/>
          <w:szCs w:val="26"/>
        </w:rPr>
        <w:noBreakHyphen/>
      </w:r>
      <w:r>
        <w:rPr>
          <w:rFonts w:cs="Times New Roman"/>
          <w:szCs w:val="26"/>
        </w:rPr>
        <w:t xml:space="preserve">56, 138.  The OCA pointed out that all of the Company’s officers and directors are part-time and have outside business interests.  The OCA submitted that the information provided on the time sheets allowed the OCA to evaluate the reasonableness of the Company’s claims.  The OCA averred that because the Company has maintained Marietta as a separate division, keeping adequate time records will improve the accuracy of the allocation of officers’ and directors’ time between the two divisions.  OCA M.B. at 59-61.    </w:t>
      </w:r>
    </w:p>
    <w:p w:rsidR="00FC6DC3" w:rsidRDefault="00FC6DC3" w:rsidP="00FC6DC3">
      <w:pPr>
        <w:ind w:firstLine="720"/>
        <w:contextualSpacing/>
        <w:rPr>
          <w:rFonts w:cs="Times New Roman"/>
          <w:szCs w:val="26"/>
        </w:rPr>
      </w:pPr>
    </w:p>
    <w:p w:rsidR="00FC6DC3" w:rsidRDefault="00FC6DC3" w:rsidP="00FC6DC3">
      <w:r>
        <w:t xml:space="preserve">The Company pointed out that time sheets for officers and directors are not required for any other Class A utility in Pennsylvania.  Columbia argued that the Company is being unfairly singled out, and the requirement should be eliminated on that basis alone.   The Company explained that </w:t>
      </w:r>
      <w:r w:rsidRPr="00D0307C">
        <w:t xml:space="preserve">both positions are salaried positions and never were and never will be hourly positions.  </w:t>
      </w:r>
      <w:r>
        <w:t xml:space="preserve">The Company avers that </w:t>
      </w:r>
      <w:r w:rsidRPr="00D0307C">
        <w:t xml:space="preserve">the </w:t>
      </w:r>
      <w:r>
        <w:t>o</w:t>
      </w:r>
      <w:r w:rsidRPr="00D0307C">
        <w:t xml:space="preserve">fficers’ and </w:t>
      </w:r>
      <w:r>
        <w:t>d</w:t>
      </w:r>
      <w:r w:rsidRPr="00D0307C">
        <w:t>irectors’ compensation goes way beyond how much time they spend inside the office walls, but instead has everything to do with the level of experience and expertise they bring to the table, their responsibilities to the customers, shareholders and community, the quality of the corporate direction they provide, the quality of the decisions they make, the quality of service that they demand of the employees, and the legal exposure they assume.</w:t>
      </w:r>
      <w:r>
        <w:t xml:space="preserve">  CWC R.B at 63-65. </w:t>
      </w:r>
    </w:p>
    <w:p w:rsidR="00FC6DC3" w:rsidRDefault="00FC6DC3" w:rsidP="00FC6DC3">
      <w:pPr>
        <w:ind w:firstLine="720"/>
        <w:contextualSpacing/>
        <w:rPr>
          <w:rFonts w:cs="Times New Roman"/>
          <w:szCs w:val="26"/>
        </w:rPr>
      </w:pPr>
      <w:r>
        <w:rPr>
          <w:rFonts w:cs="Times New Roman"/>
          <w:szCs w:val="26"/>
        </w:rPr>
        <w:t xml:space="preserve"> </w:t>
      </w:r>
      <w:r w:rsidRPr="007F70DF">
        <w:rPr>
          <w:rFonts w:cs="Times New Roman"/>
          <w:szCs w:val="26"/>
        </w:rPr>
        <w:tab/>
      </w:r>
    </w:p>
    <w:p w:rsidR="00FC6DC3" w:rsidRPr="002722F8" w:rsidRDefault="004C6817" w:rsidP="00FC6DC3">
      <w:pPr>
        <w:spacing w:line="240" w:lineRule="auto"/>
        <w:ind w:firstLine="720"/>
        <w:contextualSpacing/>
        <w:rPr>
          <w:rFonts w:cs="Times New Roman"/>
          <w:b/>
          <w:szCs w:val="26"/>
        </w:rPr>
      </w:pPr>
      <w:r>
        <w:rPr>
          <w:rFonts w:cs="Times New Roman"/>
          <w:szCs w:val="26"/>
        </w:rPr>
        <w:lastRenderedPageBreak/>
        <w:tab/>
      </w:r>
      <w:r w:rsidRPr="004C6817">
        <w:rPr>
          <w:rFonts w:cs="Times New Roman"/>
          <w:b/>
          <w:szCs w:val="26"/>
        </w:rPr>
        <w:t>2</w:t>
      </w:r>
      <w:r w:rsidR="00FC6DC3" w:rsidRPr="004C6817">
        <w:rPr>
          <w:rFonts w:cs="Times New Roman"/>
          <w:b/>
          <w:szCs w:val="26"/>
        </w:rPr>
        <w:t>.</w:t>
      </w:r>
      <w:r w:rsidR="00FC6DC3">
        <w:rPr>
          <w:rFonts w:cs="Times New Roman"/>
          <w:szCs w:val="26"/>
        </w:rPr>
        <w:tab/>
      </w:r>
      <w:r w:rsidR="00FC6DC3">
        <w:rPr>
          <w:rFonts w:cs="Times New Roman"/>
          <w:b/>
          <w:szCs w:val="26"/>
        </w:rPr>
        <w:t>ALJ’s Recommendation</w:t>
      </w:r>
    </w:p>
    <w:p w:rsidR="00FC6DC3" w:rsidRPr="007F70DF" w:rsidRDefault="00FC6DC3" w:rsidP="00FC6DC3">
      <w:pPr>
        <w:ind w:firstLine="720"/>
        <w:contextualSpacing/>
        <w:rPr>
          <w:rFonts w:cs="Times New Roman"/>
          <w:szCs w:val="26"/>
        </w:rPr>
      </w:pPr>
    </w:p>
    <w:p w:rsidR="00FC6DC3" w:rsidRDefault="00FC6DC3" w:rsidP="00FC6DC3">
      <w:pPr>
        <w:ind w:firstLine="720"/>
        <w:contextualSpacing/>
        <w:rPr>
          <w:rFonts w:cs="Times New Roman"/>
          <w:szCs w:val="26"/>
        </w:rPr>
      </w:pPr>
      <w:r w:rsidRPr="007F70DF">
        <w:rPr>
          <w:rFonts w:cs="Times New Roman"/>
          <w:szCs w:val="26"/>
        </w:rPr>
        <w:tab/>
      </w:r>
      <w:r>
        <w:rPr>
          <w:rFonts w:cs="Times New Roman"/>
          <w:szCs w:val="26"/>
        </w:rPr>
        <w:t xml:space="preserve">The ALJ recommended that </w:t>
      </w:r>
      <w:r w:rsidRPr="007F70DF">
        <w:rPr>
          <w:rFonts w:cs="Times New Roman"/>
          <w:szCs w:val="26"/>
        </w:rPr>
        <w:t xml:space="preserve">the Commission’s directive in its </w:t>
      </w:r>
      <w:r w:rsidRPr="007F70DF">
        <w:rPr>
          <w:rFonts w:cs="Times New Roman"/>
          <w:i/>
          <w:szCs w:val="26"/>
        </w:rPr>
        <w:t>200</w:t>
      </w:r>
      <w:r w:rsidR="004C6817">
        <w:rPr>
          <w:rFonts w:cs="Times New Roman"/>
          <w:i/>
          <w:szCs w:val="26"/>
        </w:rPr>
        <w:t>9</w:t>
      </w:r>
      <w:r w:rsidRPr="007F70DF">
        <w:rPr>
          <w:rFonts w:cs="Times New Roman"/>
          <w:i/>
          <w:szCs w:val="26"/>
        </w:rPr>
        <w:t xml:space="preserve"> Rate Case Order</w:t>
      </w:r>
      <w:r w:rsidRPr="007F70DF">
        <w:rPr>
          <w:rFonts w:cs="Times New Roman"/>
          <w:szCs w:val="26"/>
        </w:rPr>
        <w:t xml:space="preserve"> should continue in this case.  </w:t>
      </w:r>
      <w:r>
        <w:rPr>
          <w:rFonts w:cs="Times New Roman"/>
          <w:szCs w:val="26"/>
        </w:rPr>
        <w:t xml:space="preserve">The ALJ stated that </w:t>
      </w:r>
      <w:r w:rsidRPr="007F70DF">
        <w:rPr>
          <w:rFonts w:cs="Times New Roman"/>
          <w:szCs w:val="26"/>
        </w:rPr>
        <w:t>Columbia cannot have it both ways and argue lack of time</w:t>
      </w:r>
      <w:r>
        <w:rPr>
          <w:rFonts w:cs="Times New Roman"/>
          <w:szCs w:val="26"/>
        </w:rPr>
        <w:t xml:space="preserve"> and </w:t>
      </w:r>
      <w:r w:rsidRPr="007F70DF">
        <w:rPr>
          <w:rFonts w:cs="Times New Roman"/>
          <w:szCs w:val="26"/>
        </w:rPr>
        <w:t xml:space="preserve">experience with the Marietta Division acquisition on one hand, but refuse reasonable accountability on the other.  </w:t>
      </w:r>
      <w:r>
        <w:rPr>
          <w:rFonts w:cs="Times New Roman"/>
          <w:szCs w:val="26"/>
        </w:rPr>
        <w:t xml:space="preserve"> The ALJ explained </w:t>
      </w:r>
      <w:r w:rsidRPr="007F70DF">
        <w:rPr>
          <w:rFonts w:cs="Times New Roman"/>
          <w:szCs w:val="26"/>
        </w:rPr>
        <w:t xml:space="preserve">that Columbia has made a good faith effort to comply with the Commission’s directive, </w:t>
      </w:r>
      <w:r>
        <w:rPr>
          <w:rFonts w:cs="Times New Roman"/>
          <w:szCs w:val="26"/>
        </w:rPr>
        <w:t xml:space="preserve">and recommended that it </w:t>
      </w:r>
      <w:r w:rsidRPr="007F70DF">
        <w:rPr>
          <w:rFonts w:cs="Times New Roman"/>
          <w:szCs w:val="26"/>
        </w:rPr>
        <w:t xml:space="preserve">continue to do so.  </w:t>
      </w:r>
      <w:r>
        <w:rPr>
          <w:rFonts w:cs="Times New Roman"/>
          <w:szCs w:val="26"/>
        </w:rPr>
        <w:t xml:space="preserve">R.D. at 38. </w:t>
      </w:r>
    </w:p>
    <w:p w:rsidR="00FC6DC3" w:rsidRDefault="00FC6DC3" w:rsidP="00FC6DC3">
      <w:pPr>
        <w:ind w:firstLine="720"/>
        <w:contextualSpacing/>
        <w:rPr>
          <w:rFonts w:cs="Times New Roman"/>
          <w:szCs w:val="26"/>
        </w:rPr>
      </w:pPr>
    </w:p>
    <w:p w:rsidR="00FC6DC3" w:rsidRDefault="004C6817" w:rsidP="00BA77A1">
      <w:pPr>
        <w:spacing w:line="240" w:lineRule="auto"/>
        <w:contextualSpacing/>
        <w:rPr>
          <w:rFonts w:cs="Times New Roman"/>
          <w:b/>
          <w:szCs w:val="26"/>
        </w:rPr>
      </w:pPr>
      <w:r>
        <w:rPr>
          <w:rFonts w:cs="Times New Roman"/>
          <w:b/>
          <w:szCs w:val="26"/>
        </w:rPr>
        <w:t>3.</w:t>
      </w:r>
      <w:r w:rsidR="00FC6DC3">
        <w:rPr>
          <w:rFonts w:cs="Times New Roman"/>
          <w:b/>
          <w:szCs w:val="26"/>
        </w:rPr>
        <w:tab/>
        <w:t>Exce</w:t>
      </w:r>
      <w:r w:rsidR="00FC6DC3" w:rsidRPr="00CB4C55">
        <w:rPr>
          <w:rFonts w:cs="Times New Roman"/>
          <w:b/>
          <w:szCs w:val="26"/>
        </w:rPr>
        <w:t>ptions and Reply Exceptions</w:t>
      </w:r>
    </w:p>
    <w:p w:rsidR="00FC6DC3" w:rsidRPr="00CB4C55" w:rsidRDefault="00FC6DC3" w:rsidP="00FC6DC3">
      <w:pPr>
        <w:ind w:firstLine="720"/>
        <w:contextualSpacing/>
        <w:rPr>
          <w:rFonts w:cs="Times New Roman"/>
          <w:b/>
          <w:szCs w:val="26"/>
        </w:rPr>
      </w:pPr>
    </w:p>
    <w:p w:rsidR="00FC6DC3" w:rsidRDefault="00FC6DC3" w:rsidP="00FC6DC3">
      <w:pPr>
        <w:contextualSpacing/>
        <w:rPr>
          <w:rFonts w:cs="Times New Roman"/>
          <w:szCs w:val="26"/>
        </w:rPr>
      </w:pPr>
      <w:r>
        <w:rPr>
          <w:rFonts w:cs="Times New Roman"/>
          <w:szCs w:val="26"/>
        </w:rPr>
        <w:t xml:space="preserve">In its Exceptions, the Company argues, </w:t>
      </w:r>
      <w:r w:rsidRPr="00860F1C">
        <w:rPr>
          <w:rFonts w:cs="Times New Roman"/>
          <w:i/>
          <w:szCs w:val="26"/>
        </w:rPr>
        <w:t>inter alia</w:t>
      </w:r>
      <w:r>
        <w:rPr>
          <w:rFonts w:cs="Times New Roman"/>
          <w:szCs w:val="26"/>
        </w:rPr>
        <w:t xml:space="preserve">, that the ALJ’s rejection of the OCA’s proposed adjustment to compensation of officers and directors based on an hourly rate is a clear indication that this time sheet requirement is not needed on a going forward basis.  CWC Exc. at 33. </w:t>
      </w:r>
    </w:p>
    <w:p w:rsidR="00FC6DC3" w:rsidRDefault="00FC6DC3" w:rsidP="00FC6DC3">
      <w:pPr>
        <w:contextualSpacing/>
        <w:rPr>
          <w:rFonts w:cs="Times New Roman"/>
          <w:szCs w:val="26"/>
        </w:rPr>
      </w:pPr>
    </w:p>
    <w:p w:rsidR="00FC6DC3" w:rsidRDefault="00FC6DC3" w:rsidP="00FC6DC3">
      <w:r w:rsidRPr="00B22FA2">
        <w:t xml:space="preserve">The OCA </w:t>
      </w:r>
      <w:r>
        <w:t xml:space="preserve">explains that it </w:t>
      </w:r>
      <w:r w:rsidRPr="00B22FA2">
        <w:t xml:space="preserve">based its request </w:t>
      </w:r>
      <w:r>
        <w:t xml:space="preserve">for time sheets </w:t>
      </w:r>
      <w:r w:rsidRPr="00B22FA2">
        <w:t>on the statutory requirement that the Company support every element of its claim with specific evidence to show it is reasonable for ratemaking purposes.  66 Pa. C.S. § 315(a)</w:t>
      </w:r>
      <w:r w:rsidRPr="00B22FA2">
        <w:fldChar w:fldCharType="begin"/>
      </w:r>
      <w:r w:rsidRPr="00B22FA2">
        <w:instrText xml:space="preserve"> TA \s "66 Pa. C.S. § 315(a)" </w:instrText>
      </w:r>
      <w:r w:rsidRPr="00B22FA2">
        <w:fldChar w:fldCharType="end"/>
      </w:r>
      <w:r w:rsidRPr="00B22FA2">
        <w:t xml:space="preserve">; </w:t>
      </w:r>
      <w:r w:rsidRPr="00A35A0F">
        <w:rPr>
          <w:i/>
        </w:rPr>
        <w:t>see also</w:t>
      </w:r>
      <w:r w:rsidRPr="00B22FA2">
        <w:t xml:space="preserve"> 66 Pa. C.S. </w:t>
      </w:r>
      <w:r>
        <w:br/>
      </w:r>
      <w:r w:rsidRPr="00B22FA2">
        <w:t xml:space="preserve">§ 1301, </w:t>
      </w:r>
      <w:r w:rsidRPr="00A35A0F">
        <w:rPr>
          <w:i/>
        </w:rPr>
        <w:t>et seq</w:t>
      </w:r>
      <w:r w:rsidRPr="00B22FA2">
        <w:rPr>
          <w:u w:val="single"/>
        </w:rPr>
        <w:fldChar w:fldCharType="begin"/>
      </w:r>
      <w:r w:rsidRPr="00B22FA2">
        <w:instrText xml:space="preserve"> TA \l "66 Pa. C.S. § 1301, </w:instrText>
      </w:r>
      <w:r w:rsidRPr="00B22FA2">
        <w:rPr>
          <w:u w:val="single"/>
        </w:rPr>
        <w:instrText>et seq</w:instrText>
      </w:r>
      <w:r w:rsidRPr="00B22FA2">
        <w:instrText xml:space="preserve">" \s "66 Pa. C.S. § 1301, et seq" \c 2 </w:instrText>
      </w:r>
      <w:r w:rsidRPr="00B22FA2">
        <w:rPr>
          <w:u w:val="single"/>
        </w:rPr>
        <w:fldChar w:fldCharType="end"/>
      </w:r>
      <w:r w:rsidRPr="00B22FA2">
        <w:t xml:space="preserve">.  </w:t>
      </w:r>
      <w:r>
        <w:t>The OCA submits that t</w:t>
      </w:r>
      <w:r w:rsidRPr="00B22FA2">
        <w:t xml:space="preserve">he Commission agreed with the OCA that, in light of the officers/directors’ multiple other business interests, the officers/directors should provide an actual accounting for their hours, relative to those interests, in future cases.  </w:t>
      </w:r>
      <w:r>
        <w:t xml:space="preserve">OCA R.Exc. at 22 (citing </w:t>
      </w:r>
      <w:r w:rsidR="004C6817">
        <w:rPr>
          <w:i/>
        </w:rPr>
        <w:t>2009 Rate Case</w:t>
      </w:r>
      <w:r w:rsidRPr="00A35A0F">
        <w:rPr>
          <w:i/>
        </w:rPr>
        <w:t xml:space="preserve"> Order </w:t>
      </w:r>
      <w:r w:rsidRPr="00B22FA2">
        <w:t>at 41</w:t>
      </w:r>
      <w:r>
        <w:t>)</w:t>
      </w:r>
      <w:r w:rsidRPr="00B22FA2">
        <w:t xml:space="preserve">.  </w:t>
      </w:r>
    </w:p>
    <w:p w:rsidR="00FC6DC3" w:rsidRDefault="00FC6DC3" w:rsidP="00FC6DC3">
      <w:pPr>
        <w:ind w:left="2160" w:firstLine="720"/>
        <w:contextualSpacing/>
        <w:rPr>
          <w:rFonts w:cs="Times New Roman"/>
          <w:b/>
          <w:szCs w:val="26"/>
        </w:rPr>
      </w:pPr>
    </w:p>
    <w:p w:rsidR="00FC6DC3" w:rsidRDefault="004C6817" w:rsidP="004C6817">
      <w:pPr>
        <w:keepNext/>
        <w:spacing w:line="240" w:lineRule="auto"/>
        <w:contextualSpacing/>
        <w:rPr>
          <w:rFonts w:cs="Times New Roman"/>
          <w:b/>
          <w:szCs w:val="26"/>
        </w:rPr>
      </w:pPr>
      <w:r>
        <w:rPr>
          <w:rFonts w:cs="Times New Roman"/>
          <w:b/>
          <w:szCs w:val="26"/>
        </w:rPr>
        <w:t>4</w:t>
      </w:r>
      <w:r w:rsidR="00FC6DC3">
        <w:rPr>
          <w:rFonts w:cs="Times New Roman"/>
          <w:b/>
          <w:szCs w:val="26"/>
        </w:rPr>
        <w:t>.</w:t>
      </w:r>
      <w:r w:rsidR="00FC6DC3">
        <w:rPr>
          <w:rFonts w:cs="Times New Roman"/>
          <w:b/>
          <w:szCs w:val="26"/>
        </w:rPr>
        <w:tab/>
      </w:r>
      <w:r w:rsidR="00FC6DC3" w:rsidRPr="00CB4C55">
        <w:rPr>
          <w:rFonts w:cs="Times New Roman"/>
          <w:b/>
          <w:szCs w:val="26"/>
        </w:rPr>
        <w:t>Disposition</w:t>
      </w:r>
    </w:p>
    <w:p w:rsidR="00FC6DC3" w:rsidRDefault="00FC6DC3" w:rsidP="002D1F41">
      <w:pPr>
        <w:keepNext/>
        <w:ind w:left="720"/>
        <w:contextualSpacing/>
        <w:rPr>
          <w:rFonts w:cs="Times New Roman"/>
          <w:b/>
          <w:szCs w:val="26"/>
        </w:rPr>
      </w:pPr>
    </w:p>
    <w:p w:rsidR="000C489E" w:rsidRPr="0094050C" w:rsidRDefault="000C489E" w:rsidP="000C489E">
      <w:pPr>
        <w:keepNext/>
        <w:ind w:firstLine="720"/>
      </w:pPr>
      <w:r>
        <w:t xml:space="preserve"> </w:t>
      </w:r>
      <w:r>
        <w:tab/>
      </w:r>
      <w:r w:rsidR="00FC6DC3">
        <w:t xml:space="preserve">We agree with the Company that </w:t>
      </w:r>
      <w:r w:rsidR="00FC6DC3" w:rsidRPr="00D0307C">
        <w:t xml:space="preserve">the </w:t>
      </w:r>
      <w:r w:rsidR="00FC6DC3">
        <w:t>o</w:t>
      </w:r>
      <w:r w:rsidR="00FC6DC3" w:rsidRPr="00D0307C">
        <w:t xml:space="preserve">fficers’ and </w:t>
      </w:r>
      <w:r w:rsidR="00FC6DC3">
        <w:t>d</w:t>
      </w:r>
      <w:r w:rsidR="00FC6DC3" w:rsidRPr="00D0307C">
        <w:t xml:space="preserve">irectors’ compensation </w:t>
      </w:r>
      <w:r w:rsidR="00FC6DC3">
        <w:t xml:space="preserve">should not be linked to the </w:t>
      </w:r>
      <w:r w:rsidR="005E4F90">
        <w:t xml:space="preserve">precise amount of </w:t>
      </w:r>
      <w:r w:rsidR="00FC6DC3">
        <w:t xml:space="preserve">time </w:t>
      </w:r>
      <w:r w:rsidR="005E4F90">
        <w:t xml:space="preserve">that </w:t>
      </w:r>
      <w:r w:rsidR="00FC6DC3" w:rsidRPr="00D0307C">
        <w:t xml:space="preserve">they spend </w:t>
      </w:r>
      <w:r w:rsidR="005E4F90">
        <w:t xml:space="preserve">on Company business.  Rather, their compensation should recognize </w:t>
      </w:r>
      <w:r w:rsidR="00FC6DC3">
        <w:t xml:space="preserve">the </w:t>
      </w:r>
      <w:r w:rsidR="00FC6DC3" w:rsidRPr="00D0307C">
        <w:t xml:space="preserve">quality of the direction they provide, the quality of the decisions they make, </w:t>
      </w:r>
      <w:r w:rsidR="005E4F90">
        <w:t xml:space="preserve">and </w:t>
      </w:r>
      <w:r w:rsidR="00FC6DC3" w:rsidRPr="00D0307C">
        <w:t xml:space="preserve">the quality of service </w:t>
      </w:r>
      <w:r w:rsidR="00FC6DC3">
        <w:t xml:space="preserve">that ratepayers experience as a </w:t>
      </w:r>
      <w:r w:rsidRPr="0094050C">
        <w:lastRenderedPageBreak/>
        <w:t>result of their direction.  In reviewing the</w:t>
      </w:r>
      <w:bookmarkStart w:id="69" w:name="_GoBack"/>
      <w:bookmarkEnd w:id="69"/>
      <w:r w:rsidRPr="0094050C">
        <w:t xml:space="preserve"> record developed in this proceeding regarding the compensation of officers and directors, it appears that the time sheets kept by officers and directors made little contribution to our disposition of those issues.  Accordingly, we shall reject the ALJ’s recommendation, and discontinue the directive in our </w:t>
      </w:r>
      <w:r w:rsidRPr="0094050C">
        <w:rPr>
          <w:i/>
        </w:rPr>
        <w:t>2009 Rate Case Order</w:t>
      </w:r>
      <w:r w:rsidRPr="0094050C">
        <w:t xml:space="preserve"> that Columbia’s officers and directors maintain time sheets.  That being said, we note that this proceeding has highlighted the need for Columbia to provide additional data in its future proceedings to support the Company’s proposed allocations of costs between the Columbia and Marietta Divisions.  Accordingly, we expect that, in future proceedings, the Company will be in a position to provide information regarding the time spent by its officers and directors and other Company personnel on Columbia Division and Marietta Division issues.</w:t>
      </w:r>
    </w:p>
    <w:p w:rsidR="000C489E" w:rsidRPr="0094050C" w:rsidRDefault="000C489E" w:rsidP="000C489E">
      <w:pPr>
        <w:tabs>
          <w:tab w:val="left" w:pos="-720"/>
        </w:tabs>
        <w:suppressAutoHyphens/>
        <w:contextualSpacing/>
        <w:rPr>
          <w:szCs w:val="26"/>
        </w:rPr>
      </w:pPr>
    </w:p>
    <w:p w:rsidR="000C489E" w:rsidRPr="0094050C" w:rsidRDefault="000C489E" w:rsidP="000C489E">
      <w:pPr>
        <w:keepNext/>
        <w:keepLines/>
        <w:spacing w:line="240" w:lineRule="auto"/>
        <w:ind w:firstLine="0"/>
        <w:outlineLvl w:val="0"/>
        <w:rPr>
          <w:rFonts w:eastAsiaTheme="majorEastAsia"/>
          <w:b/>
          <w:bCs/>
          <w:szCs w:val="28"/>
        </w:rPr>
      </w:pPr>
      <w:bookmarkStart w:id="70" w:name="_Toc378080182"/>
      <w:r w:rsidRPr="0094050C">
        <w:rPr>
          <w:rFonts w:eastAsiaTheme="majorEastAsia"/>
          <w:b/>
          <w:bCs/>
          <w:szCs w:val="28"/>
        </w:rPr>
        <w:t>IV.</w:t>
      </w:r>
      <w:r w:rsidRPr="0094050C">
        <w:rPr>
          <w:rFonts w:eastAsiaTheme="majorEastAsia"/>
          <w:b/>
          <w:bCs/>
          <w:szCs w:val="28"/>
        </w:rPr>
        <w:tab/>
        <w:t>CONCLUSION</w:t>
      </w:r>
      <w:bookmarkEnd w:id="70"/>
    </w:p>
    <w:p w:rsidR="000C489E" w:rsidRPr="0094050C" w:rsidRDefault="000C489E" w:rsidP="000C489E"/>
    <w:p w:rsidR="000C489E" w:rsidRPr="0094050C" w:rsidRDefault="000C489E" w:rsidP="000C489E">
      <w:pPr>
        <w:rPr>
          <w:b/>
        </w:rPr>
      </w:pPr>
      <w:r w:rsidRPr="0094050C">
        <w:t xml:space="preserve">Based on our review, evaluation, and analysis of the record evidence, we conclude that Columbia is entitled to an opportunity to earn income available for a return of $1,111,677.  </w:t>
      </w:r>
      <w:r w:rsidRPr="0094050C">
        <w:rPr>
          <w:i/>
        </w:rPr>
        <w:t>See</w:t>
      </w:r>
      <w:r w:rsidRPr="0094050C">
        <w:t>, Tables I, attached hereto and made a part hereof.  In furtherance of such objective, Columbia is authorized to establish rates that will produce jurisdictional operating revenues not in excess of $4,576,634.  The increase in annual operating revenues authorized herein of $5</w:t>
      </w:r>
      <w:r>
        <w:t>3</w:t>
      </w:r>
      <w:r w:rsidRPr="0094050C">
        <w:t xml:space="preserve">4,970 is approximately </w:t>
      </w:r>
      <w:r>
        <w:t>69</w:t>
      </w:r>
      <w:r w:rsidRPr="0094050C">
        <w:t xml:space="preserve">% of the $773,210 originally sought and an increase of approximately 13.5% over revenues generated through current rates.  The approved cost of equity of 9.75% is reasonable, appropriate and in accord with the record evidence.  As such, the Exceptions filed by the various Parties hereto, are granted or denied, as discussed, </w:t>
      </w:r>
      <w:r w:rsidRPr="0094050C">
        <w:rPr>
          <w:i/>
        </w:rPr>
        <w:t>supra</w:t>
      </w:r>
      <w:r w:rsidRPr="0094050C">
        <w:t xml:space="preserve">.  Accordingly, the ALJ’s Recommended Decision is adopted only to the extent that it is consistent with this Opinion and Order; </w:t>
      </w:r>
      <w:r w:rsidRPr="0094050C">
        <w:rPr>
          <w:b/>
        </w:rPr>
        <w:t xml:space="preserve">THEREFORE, </w:t>
      </w:r>
    </w:p>
    <w:p w:rsidR="001C51A5" w:rsidRDefault="00053F7D" w:rsidP="000C489E">
      <w:pPr>
        <w:keepNext/>
        <w:rPr>
          <w:b/>
        </w:rPr>
      </w:pPr>
      <w:r w:rsidRPr="003C63B1">
        <w:rPr>
          <w:b/>
        </w:rPr>
        <w:t xml:space="preserve"> </w:t>
      </w:r>
    </w:p>
    <w:p w:rsidR="001C51A5" w:rsidRDefault="001C51A5" w:rsidP="00053F7D">
      <w:pPr>
        <w:rPr>
          <w:b/>
        </w:rPr>
      </w:pPr>
    </w:p>
    <w:p w:rsidR="00053F7D" w:rsidRPr="003C63B1" w:rsidRDefault="00053F7D" w:rsidP="00EE12FD">
      <w:pPr>
        <w:keepNext/>
      </w:pPr>
      <w:r w:rsidRPr="003C63B1">
        <w:rPr>
          <w:b/>
        </w:rPr>
        <w:lastRenderedPageBreak/>
        <w:t>IT IS ORDERED:</w:t>
      </w:r>
    </w:p>
    <w:p w:rsidR="00053F7D" w:rsidRDefault="00053F7D" w:rsidP="00EE12FD">
      <w:pPr>
        <w:keepNext/>
        <w:tabs>
          <w:tab w:val="left" w:pos="-720"/>
        </w:tabs>
        <w:suppressAutoHyphens/>
      </w:pPr>
    </w:p>
    <w:p w:rsidR="00053F7D" w:rsidRDefault="00053F7D" w:rsidP="00EE12FD">
      <w:pPr>
        <w:keepNext/>
        <w:tabs>
          <w:tab w:val="left" w:pos="-720"/>
        </w:tabs>
        <w:suppressAutoHyphens/>
      </w:pPr>
      <w:r>
        <w:t>1.</w:t>
      </w:r>
      <w:r>
        <w:tab/>
        <w:t xml:space="preserve">That the Exceptions filed by </w:t>
      </w:r>
      <w:r w:rsidR="00DC41CF">
        <w:t>t</w:t>
      </w:r>
      <w:r>
        <w:t xml:space="preserve">he Columbia Water Company on </w:t>
      </w:r>
      <w:r w:rsidR="00AD2546">
        <w:t>December 6, 2013</w:t>
      </w:r>
      <w:r>
        <w:t xml:space="preserve">, to the Recommended Decision of Administrative </w:t>
      </w:r>
      <w:r w:rsidR="00AD2546">
        <w:t>Law Judge Dennis J. Buckley</w:t>
      </w:r>
      <w:r>
        <w:t>, are granted or denied, consistent with this Opinion and Order.</w:t>
      </w:r>
    </w:p>
    <w:p w:rsidR="00053F7D" w:rsidRDefault="00053F7D" w:rsidP="00053F7D">
      <w:pPr>
        <w:tabs>
          <w:tab w:val="left" w:pos="-720"/>
        </w:tabs>
        <w:suppressAutoHyphens/>
      </w:pPr>
    </w:p>
    <w:p w:rsidR="00053F7D" w:rsidRDefault="00053F7D" w:rsidP="00053F7D">
      <w:pPr>
        <w:tabs>
          <w:tab w:val="left" w:pos="-720"/>
        </w:tabs>
        <w:suppressAutoHyphens/>
      </w:pPr>
      <w:r>
        <w:t>2.</w:t>
      </w:r>
      <w:r>
        <w:tab/>
        <w:t xml:space="preserve">That the Exceptions filed by the </w:t>
      </w:r>
      <w:r w:rsidR="00CD3420">
        <w:t xml:space="preserve">Bureau of </w:t>
      </w:r>
      <w:r w:rsidR="00426967">
        <w:t>Investigation and Enforcement on December 6, 2013</w:t>
      </w:r>
      <w:r>
        <w:t xml:space="preserve">, to the Recommended Decision of Administrative Law Judge </w:t>
      </w:r>
      <w:r w:rsidR="00426967">
        <w:t>Dennis J. Buckley</w:t>
      </w:r>
      <w:r>
        <w:t>, are granted or denied, consistent with this Opinion and Order.</w:t>
      </w:r>
    </w:p>
    <w:p w:rsidR="00053F7D" w:rsidRDefault="00053F7D" w:rsidP="00053F7D">
      <w:pPr>
        <w:tabs>
          <w:tab w:val="left" w:pos="-720"/>
        </w:tabs>
        <w:suppressAutoHyphens/>
      </w:pPr>
    </w:p>
    <w:p w:rsidR="00053F7D" w:rsidRDefault="00053F7D" w:rsidP="00053F7D">
      <w:pPr>
        <w:tabs>
          <w:tab w:val="left" w:pos="-720"/>
        </w:tabs>
        <w:suppressAutoHyphens/>
      </w:pPr>
      <w:r>
        <w:t>3.</w:t>
      </w:r>
      <w:r>
        <w:tab/>
        <w:t xml:space="preserve">That the Exceptions filed by the Office of </w:t>
      </w:r>
      <w:r w:rsidR="00426967">
        <w:t>Consumer Advocate on December 6, 2013,</w:t>
      </w:r>
      <w:r>
        <w:t xml:space="preserve"> to the Recommended Decision of Administrative </w:t>
      </w:r>
      <w:r w:rsidR="00F0636A">
        <w:t xml:space="preserve">Law Judge </w:t>
      </w:r>
      <w:r w:rsidR="00426967">
        <w:t>Dennis J. Buckley</w:t>
      </w:r>
      <w:r>
        <w:t>, are granted or denied, consistent with this Opinion and Order.</w:t>
      </w:r>
    </w:p>
    <w:p w:rsidR="00053F7D" w:rsidRDefault="00053F7D" w:rsidP="00053F7D">
      <w:pPr>
        <w:tabs>
          <w:tab w:val="left" w:pos="-720"/>
        </w:tabs>
        <w:suppressAutoHyphens/>
      </w:pPr>
    </w:p>
    <w:p w:rsidR="00053F7D" w:rsidRDefault="00053F7D" w:rsidP="00053F7D">
      <w:pPr>
        <w:tabs>
          <w:tab w:val="left" w:pos="-720"/>
        </w:tabs>
        <w:suppressAutoHyphens/>
      </w:pPr>
      <w:r>
        <w:t>4.</w:t>
      </w:r>
      <w:r>
        <w:tab/>
        <w:t xml:space="preserve">That the Recommended Decision of Administrative Law </w:t>
      </w:r>
      <w:r w:rsidR="00F0636A">
        <w:t xml:space="preserve">Judge </w:t>
      </w:r>
      <w:r w:rsidR="00426967">
        <w:t>Dennis J. Buckley</w:t>
      </w:r>
      <w:r>
        <w:t xml:space="preserve"> is adopted only to the extent that it is consistent with this Opinion and Order, and is otherwise rejected.</w:t>
      </w:r>
    </w:p>
    <w:p w:rsidR="00053F7D" w:rsidRDefault="00053F7D" w:rsidP="00053F7D">
      <w:pPr>
        <w:tabs>
          <w:tab w:val="left" w:pos="-720"/>
        </w:tabs>
        <w:suppressAutoHyphens/>
      </w:pPr>
      <w:r>
        <w:tab/>
      </w:r>
    </w:p>
    <w:p w:rsidR="00053F7D" w:rsidRPr="003C63B1" w:rsidRDefault="00053F7D" w:rsidP="00053F7D">
      <w:pPr>
        <w:tabs>
          <w:tab w:val="left" w:pos="-720"/>
        </w:tabs>
        <w:suppressAutoHyphens/>
      </w:pPr>
      <w:r>
        <w:t>6.</w:t>
      </w:r>
      <w:r>
        <w:tab/>
        <w:t xml:space="preserve">That </w:t>
      </w:r>
      <w:r w:rsidR="00426967">
        <w:t>t</w:t>
      </w:r>
      <w:r>
        <w:t xml:space="preserve">he Columbia Water Company shall not place into effect the rates contained in Supplement No. </w:t>
      </w:r>
      <w:r w:rsidR="00A36343">
        <w:t>60</w:t>
      </w:r>
      <w:r>
        <w:t xml:space="preserve"> to Tariff Water-Pa. P.U.C. No. 7, which have been found to be unjust and unreasonable and</w:t>
      </w:r>
      <w:r w:rsidR="00DC41CF">
        <w:t>,</w:t>
      </w:r>
      <w:r>
        <w:t xml:space="preserve"> therefore</w:t>
      </w:r>
      <w:r w:rsidR="00DC41CF">
        <w:t>,</w:t>
      </w:r>
      <w:r>
        <w:t xml:space="preserve"> unlawful. </w:t>
      </w:r>
    </w:p>
    <w:p w:rsidR="00053F7D" w:rsidRDefault="00053F7D" w:rsidP="00053F7D">
      <w:pPr>
        <w:tabs>
          <w:tab w:val="left" w:pos="-720"/>
        </w:tabs>
        <w:suppressAutoHyphens/>
      </w:pPr>
    </w:p>
    <w:p w:rsidR="00053F7D" w:rsidRPr="0083450A" w:rsidRDefault="00053F7D" w:rsidP="00053F7D">
      <w:pPr>
        <w:tabs>
          <w:tab w:val="left" w:pos="-720"/>
        </w:tabs>
        <w:suppressAutoHyphens/>
      </w:pPr>
      <w:r w:rsidRPr="0083450A">
        <w:t>7.</w:t>
      </w:r>
      <w:r w:rsidRPr="0083450A">
        <w:tab/>
        <w:t xml:space="preserve">That </w:t>
      </w:r>
      <w:r w:rsidR="00DC41CF">
        <w:t>t</w:t>
      </w:r>
      <w:r w:rsidRPr="0083450A">
        <w:t>he Columbia Water Company is hereby authorized to file tariffs, tariff supplements, or tariff revisions containing rates, provisions, rules and regulations, consistent with the findings here</w:t>
      </w:r>
      <w:r w:rsidR="00DC41CF">
        <w:t>in</w:t>
      </w:r>
      <w:r w:rsidRPr="0083450A">
        <w:t xml:space="preserve">, </w:t>
      </w:r>
      <w:r w:rsidR="00DC41CF">
        <w:t xml:space="preserve">designed </w:t>
      </w:r>
      <w:r w:rsidRPr="0083450A">
        <w:t xml:space="preserve">to produce </w:t>
      </w:r>
      <w:r w:rsidR="00016730">
        <w:t xml:space="preserve">jurisdictional operating </w:t>
      </w:r>
      <w:r w:rsidRPr="0083450A">
        <w:t>revenues not in excess of $</w:t>
      </w:r>
      <w:r w:rsidRPr="00016730">
        <w:t>4,</w:t>
      </w:r>
      <w:r w:rsidR="00A36343" w:rsidRPr="00016730">
        <w:t>576,</w:t>
      </w:r>
      <w:r w:rsidR="00F0636A">
        <w:t>634</w:t>
      </w:r>
      <w:r w:rsidRPr="00016730">
        <w:t>.</w:t>
      </w:r>
    </w:p>
    <w:p w:rsidR="00053F7D" w:rsidRDefault="00053F7D" w:rsidP="00053F7D">
      <w:pPr>
        <w:tabs>
          <w:tab w:val="left" w:pos="-720"/>
        </w:tabs>
        <w:suppressAutoHyphens/>
      </w:pPr>
    </w:p>
    <w:p w:rsidR="00053F7D" w:rsidRDefault="00DC41CF" w:rsidP="00053F7D">
      <w:pPr>
        <w:tabs>
          <w:tab w:val="left" w:pos="-720"/>
        </w:tabs>
        <w:suppressAutoHyphens/>
      </w:pPr>
      <w:r>
        <w:t>8.</w:t>
      </w:r>
      <w:r>
        <w:tab/>
        <w:t>That t</w:t>
      </w:r>
      <w:r w:rsidR="00053F7D">
        <w:t xml:space="preserve">he Columbia Water Company’s tariffs, tariff supplements, or tariff revisions may be filed upon less than statutory notice and, pursuant to the provisions </w:t>
      </w:r>
      <w:r w:rsidR="00053F7D">
        <w:lastRenderedPageBreak/>
        <w:t>of 52 Pa. Code §§ 53.31 and 53.101, may be filed to be effective for service rendered on and after the date of entry of the instant Opinion and Order.</w:t>
      </w:r>
    </w:p>
    <w:p w:rsidR="00053F7D" w:rsidRDefault="00053F7D" w:rsidP="00053F7D">
      <w:pPr>
        <w:tabs>
          <w:tab w:val="left" w:pos="-720"/>
        </w:tabs>
        <w:suppressAutoHyphens/>
      </w:pPr>
    </w:p>
    <w:p w:rsidR="00053F7D" w:rsidRDefault="00053F7D" w:rsidP="00053F7D">
      <w:pPr>
        <w:tabs>
          <w:tab w:val="left" w:pos="-720"/>
        </w:tabs>
        <w:suppressAutoHyphens/>
      </w:pPr>
      <w:r>
        <w:t>9.</w:t>
      </w:r>
      <w:r>
        <w:tab/>
        <w:t xml:space="preserve">That </w:t>
      </w:r>
      <w:r w:rsidR="00A36343">
        <w:t>t</w:t>
      </w:r>
      <w:r>
        <w:t>he Columbia Water Company shall file detailed calculations with its tariff filing, which shall demonstrate to this Commission’s satisfaction that the filed rates comply with the proof of revenue, in the form and manner customarily filed in support of compliance tariffs.</w:t>
      </w:r>
    </w:p>
    <w:p w:rsidR="00053F7D" w:rsidRDefault="00053F7D" w:rsidP="00053F7D">
      <w:pPr>
        <w:tabs>
          <w:tab w:val="left" w:pos="-720"/>
        </w:tabs>
        <w:suppressAutoHyphens/>
      </w:pPr>
    </w:p>
    <w:p w:rsidR="00053F7D" w:rsidRDefault="00053F7D" w:rsidP="00053F7D">
      <w:pPr>
        <w:tabs>
          <w:tab w:val="left" w:pos="-720"/>
        </w:tabs>
        <w:suppressAutoHyphens/>
      </w:pPr>
      <w:r>
        <w:t>10.</w:t>
      </w:r>
      <w:r>
        <w:tab/>
        <w:t xml:space="preserve">That </w:t>
      </w:r>
      <w:r w:rsidR="00DC41CF">
        <w:t>t</w:t>
      </w:r>
      <w:r>
        <w:t>he Columbia Water Company shall comply with all directives, conclusions and recommendations contained in the instant Opinion and Order that are not the subject of individual ordering paragraphs as fully as if they were the subject of specific ordering paragraphs.</w:t>
      </w:r>
    </w:p>
    <w:p w:rsidR="00053F7D" w:rsidRDefault="00053F7D" w:rsidP="00053F7D">
      <w:pPr>
        <w:tabs>
          <w:tab w:val="left" w:pos="-720"/>
        </w:tabs>
        <w:suppressAutoHyphens/>
      </w:pPr>
    </w:p>
    <w:p w:rsidR="00053F7D" w:rsidRDefault="00053F7D" w:rsidP="00053F7D">
      <w:pPr>
        <w:tabs>
          <w:tab w:val="left" w:pos="-720"/>
        </w:tabs>
        <w:suppressAutoHyphens/>
      </w:pPr>
      <w:r>
        <w:t>11.</w:t>
      </w:r>
      <w:r>
        <w:tab/>
        <w:t xml:space="preserve">That </w:t>
      </w:r>
      <w:r w:rsidR="00A36343">
        <w:t>t</w:t>
      </w:r>
      <w:r>
        <w:t>he Columbia Water Company shall allocate the authorized increase in operating revenue to each customer class and rate schedule within each class in the manner prescribed in this Opinion and Order.</w:t>
      </w:r>
    </w:p>
    <w:p w:rsidR="00053F7D" w:rsidRDefault="00053F7D" w:rsidP="00053F7D">
      <w:pPr>
        <w:tabs>
          <w:tab w:val="left" w:pos="-720"/>
        </w:tabs>
        <w:suppressAutoHyphens/>
      </w:pPr>
    </w:p>
    <w:p w:rsidR="00053F7D" w:rsidRDefault="00053F7D" w:rsidP="00053F7D">
      <w:pPr>
        <w:tabs>
          <w:tab w:val="left" w:pos="-720"/>
        </w:tabs>
        <w:suppressAutoHyphens/>
      </w:pPr>
      <w:r>
        <w:t>12.</w:t>
      </w:r>
      <w:r>
        <w:tab/>
        <w:t>That the Complaint filed by the Office of Consumer Advocate in this proceeding at Docket No. C-20</w:t>
      </w:r>
      <w:r w:rsidR="00A36343">
        <w:t>13</w:t>
      </w:r>
      <w:r>
        <w:t>-2</w:t>
      </w:r>
      <w:r w:rsidR="00A36343">
        <w:t>363612</w:t>
      </w:r>
      <w:r>
        <w:t xml:space="preserve"> be terminated and marked closed.</w:t>
      </w:r>
    </w:p>
    <w:p w:rsidR="00053F7D" w:rsidRDefault="00053F7D" w:rsidP="00053F7D">
      <w:pPr>
        <w:tabs>
          <w:tab w:val="left" w:pos="-720"/>
        </w:tabs>
        <w:suppressAutoHyphens/>
      </w:pPr>
    </w:p>
    <w:p w:rsidR="00053F7D" w:rsidRDefault="00053F7D" w:rsidP="00053F7D">
      <w:pPr>
        <w:tabs>
          <w:tab w:val="left" w:pos="-720"/>
        </w:tabs>
        <w:suppressAutoHyphens/>
      </w:pPr>
      <w:r>
        <w:t>13.</w:t>
      </w:r>
      <w:r>
        <w:tab/>
        <w:t xml:space="preserve">That the Complaint filed by </w:t>
      </w:r>
      <w:r w:rsidR="00A36343">
        <w:t xml:space="preserve">the Office of Small Business Advocate </w:t>
      </w:r>
      <w:r>
        <w:t>in this proceeding at Docket No. C-20</w:t>
      </w:r>
      <w:r w:rsidR="00A36343">
        <w:t>13</w:t>
      </w:r>
      <w:r>
        <w:t>-</w:t>
      </w:r>
      <w:r w:rsidR="00A36343">
        <w:t>2363728</w:t>
      </w:r>
      <w:r>
        <w:t xml:space="preserve"> be terminated and marked closed.</w:t>
      </w:r>
    </w:p>
    <w:p w:rsidR="00053F7D" w:rsidRDefault="00053F7D" w:rsidP="00053F7D">
      <w:pPr>
        <w:tabs>
          <w:tab w:val="left" w:pos="-720"/>
        </w:tabs>
        <w:suppressAutoHyphens/>
      </w:pPr>
    </w:p>
    <w:p w:rsidR="00053F7D" w:rsidRDefault="00053F7D" w:rsidP="00053F7D">
      <w:pPr>
        <w:tabs>
          <w:tab w:val="left" w:pos="-720"/>
        </w:tabs>
        <w:suppressAutoHyphens/>
      </w:pPr>
      <w:r>
        <w:t>14.</w:t>
      </w:r>
      <w:r>
        <w:tab/>
        <w:t xml:space="preserve">That the Complaint filed by </w:t>
      </w:r>
      <w:r w:rsidR="00A36343">
        <w:t>Vincent Collier</w:t>
      </w:r>
      <w:r>
        <w:t xml:space="preserve"> in this proceeding at Docket No. C-20</w:t>
      </w:r>
      <w:r w:rsidR="00A36343">
        <w:t>13</w:t>
      </w:r>
      <w:r>
        <w:t>-2</w:t>
      </w:r>
      <w:r w:rsidR="00A36343">
        <w:t>364726</w:t>
      </w:r>
      <w:r>
        <w:t xml:space="preserve"> be terminated and marked closed.</w:t>
      </w:r>
    </w:p>
    <w:p w:rsidR="00A36343" w:rsidRDefault="00A36343" w:rsidP="00053F7D">
      <w:pPr>
        <w:tabs>
          <w:tab w:val="left" w:pos="-720"/>
        </w:tabs>
        <w:suppressAutoHyphens/>
      </w:pPr>
    </w:p>
    <w:p w:rsidR="00053F7D" w:rsidRDefault="00053F7D" w:rsidP="00DC41CF">
      <w:pPr>
        <w:keepNext/>
        <w:tabs>
          <w:tab w:val="left" w:pos="-720"/>
        </w:tabs>
      </w:pPr>
      <w:r>
        <w:lastRenderedPageBreak/>
        <w:t>1</w:t>
      </w:r>
      <w:r w:rsidR="00A36343">
        <w:t>5</w:t>
      </w:r>
      <w:r>
        <w:t>.</w:t>
      </w:r>
      <w:r>
        <w:tab/>
        <w:t>That the Pennsylvania Public Utility Commission’s inquiry and investigation at Docket R-20</w:t>
      </w:r>
      <w:r w:rsidR="00A36343">
        <w:t>13</w:t>
      </w:r>
      <w:r>
        <w:t>-2</w:t>
      </w:r>
      <w:r w:rsidR="00A36343">
        <w:t>360798</w:t>
      </w:r>
      <w:r>
        <w:t xml:space="preserve"> be terminated and marked closed.</w:t>
      </w:r>
    </w:p>
    <w:p w:rsidR="00053F7D" w:rsidRPr="003C63B1" w:rsidRDefault="00BE4383" w:rsidP="00DC41CF">
      <w:pPr>
        <w:keepNext/>
        <w:tabs>
          <w:tab w:val="left" w:pos="-720"/>
        </w:tabs>
      </w:pPr>
      <w:r w:rsidRPr="00D43764">
        <w:rPr>
          <w:noProof/>
        </w:rPr>
        <w:drawing>
          <wp:anchor distT="0" distB="0" distL="114300" distR="114300" simplePos="0" relativeHeight="251659264" behindDoc="1" locked="0" layoutInCell="1" allowOverlap="1" wp14:anchorId="0E7FDB5A" wp14:editId="5A0EBF65">
            <wp:simplePos x="0" y="0"/>
            <wp:positionH relativeFrom="column">
              <wp:posOffset>2880360</wp:posOffset>
            </wp:positionH>
            <wp:positionV relativeFrom="paragraph">
              <wp:posOffset>219075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3F7D" w:rsidRPr="003C63B1" w:rsidRDefault="00053F7D" w:rsidP="00DC41CF">
      <w:pPr>
        <w:keepNext/>
        <w:tabs>
          <w:tab w:val="left" w:pos="-720"/>
        </w:tabs>
      </w:pPr>
      <w:r w:rsidRPr="003C63B1">
        <w:rPr>
          <w:b/>
        </w:rPr>
        <w:tab/>
      </w:r>
      <w:r w:rsidRPr="003C63B1">
        <w:rPr>
          <w:b/>
        </w:rPr>
        <w:tab/>
      </w:r>
      <w:r w:rsidRPr="003C63B1">
        <w:rPr>
          <w:b/>
        </w:rPr>
        <w:tab/>
      </w:r>
      <w:r w:rsidRPr="003C63B1">
        <w:rPr>
          <w:b/>
        </w:rPr>
        <w:tab/>
      </w:r>
      <w:r w:rsidRPr="003C63B1">
        <w:rPr>
          <w:b/>
        </w:rPr>
        <w:tab/>
        <w:t>BY THE COMMISSION,</w:t>
      </w:r>
    </w:p>
    <w:p w:rsidR="00053F7D" w:rsidRPr="003C63B1" w:rsidRDefault="00053F7D" w:rsidP="00053F7D">
      <w:pPr>
        <w:tabs>
          <w:tab w:val="left" w:pos="-720"/>
        </w:tabs>
        <w:suppressAutoHyphens/>
      </w:pPr>
    </w:p>
    <w:p w:rsidR="00053F7D" w:rsidRPr="003C63B1" w:rsidRDefault="00053F7D" w:rsidP="00053F7D">
      <w:pPr>
        <w:tabs>
          <w:tab w:val="left" w:pos="-720"/>
        </w:tabs>
        <w:suppressAutoHyphens/>
      </w:pPr>
    </w:p>
    <w:p w:rsidR="00053F7D" w:rsidRPr="003C63B1" w:rsidRDefault="00053F7D" w:rsidP="00A36343">
      <w:pPr>
        <w:tabs>
          <w:tab w:val="left" w:pos="-720"/>
        </w:tabs>
        <w:suppressAutoHyphens/>
        <w:spacing w:line="240" w:lineRule="auto"/>
      </w:pPr>
      <w:r w:rsidRPr="003C63B1">
        <w:tab/>
      </w:r>
      <w:r w:rsidRPr="003C63B1">
        <w:tab/>
      </w:r>
      <w:r w:rsidRPr="003C63B1">
        <w:tab/>
      </w:r>
      <w:r w:rsidRPr="003C63B1">
        <w:tab/>
      </w:r>
      <w:r w:rsidRPr="003C63B1">
        <w:tab/>
      </w:r>
      <w:r w:rsidR="00A36343">
        <w:t>Rosemary C</w:t>
      </w:r>
      <w:r w:rsidR="0056683A">
        <w:t>h</w:t>
      </w:r>
      <w:r w:rsidR="00A36343">
        <w:t>iavetta</w:t>
      </w:r>
      <w:r w:rsidRPr="003C63B1">
        <w:tab/>
      </w:r>
      <w:r w:rsidRPr="003C63B1">
        <w:tab/>
      </w:r>
    </w:p>
    <w:p w:rsidR="00053F7D" w:rsidRDefault="00053F7D" w:rsidP="00A36343">
      <w:pPr>
        <w:tabs>
          <w:tab w:val="left" w:pos="-720"/>
        </w:tabs>
        <w:suppressAutoHyphens/>
        <w:spacing w:line="240" w:lineRule="auto"/>
      </w:pPr>
      <w:r w:rsidRPr="003C63B1">
        <w:tab/>
      </w:r>
      <w:r w:rsidRPr="003C63B1">
        <w:tab/>
      </w:r>
      <w:r w:rsidRPr="003C63B1">
        <w:tab/>
      </w:r>
      <w:r w:rsidRPr="003C63B1">
        <w:tab/>
      </w:r>
      <w:r w:rsidRPr="003C63B1">
        <w:tab/>
        <w:t>Secretary</w:t>
      </w:r>
    </w:p>
    <w:p w:rsidR="00053F7D" w:rsidRPr="003C63B1" w:rsidRDefault="00053F7D" w:rsidP="0056683A">
      <w:pPr>
        <w:tabs>
          <w:tab w:val="left" w:pos="-720"/>
        </w:tabs>
        <w:suppressAutoHyphens/>
        <w:ind w:firstLine="0"/>
      </w:pPr>
      <w:r w:rsidRPr="003C63B1">
        <w:t>(SEAL)</w:t>
      </w:r>
    </w:p>
    <w:p w:rsidR="00053F7D" w:rsidRPr="003C63B1" w:rsidRDefault="00053F7D" w:rsidP="0056683A">
      <w:pPr>
        <w:tabs>
          <w:tab w:val="left" w:pos="-720"/>
        </w:tabs>
        <w:suppressAutoHyphens/>
        <w:ind w:firstLine="0"/>
      </w:pPr>
    </w:p>
    <w:p w:rsidR="00053F7D" w:rsidRPr="003C63B1" w:rsidRDefault="00053F7D" w:rsidP="0056683A">
      <w:pPr>
        <w:tabs>
          <w:tab w:val="left" w:pos="-720"/>
        </w:tabs>
        <w:suppressAutoHyphens/>
        <w:ind w:firstLine="0"/>
      </w:pPr>
      <w:r>
        <w:t>ORDER ADOPTED:  January 9, 2014</w:t>
      </w:r>
    </w:p>
    <w:p w:rsidR="00053F7D" w:rsidRPr="0037563E" w:rsidRDefault="00053F7D" w:rsidP="0056683A">
      <w:pPr>
        <w:tabs>
          <w:tab w:val="left" w:pos="-720"/>
        </w:tabs>
        <w:suppressAutoHyphens/>
        <w:ind w:firstLine="0"/>
        <w:rPr>
          <w:b/>
        </w:rPr>
      </w:pPr>
      <w:r w:rsidRPr="003C63B1">
        <w:t xml:space="preserve">ORDER ENTERED: </w:t>
      </w:r>
      <w:r>
        <w:t xml:space="preserve"> </w:t>
      </w:r>
      <w:r w:rsidR="00BE4383">
        <w:t>January 23, 2014</w:t>
      </w:r>
    </w:p>
    <w:p w:rsidR="002E21CF" w:rsidRDefault="002E21CF" w:rsidP="00047866">
      <w:pPr>
        <w:contextualSpacing/>
        <w:jc w:val="center"/>
        <w:rPr>
          <w:rFonts w:cs="Times New Roman"/>
        </w:rPr>
      </w:pPr>
    </w:p>
    <w:p w:rsidR="00F0636A" w:rsidRDefault="00F0636A" w:rsidP="00047866">
      <w:pPr>
        <w:contextualSpacing/>
        <w:jc w:val="center"/>
        <w:rPr>
          <w:rFonts w:cs="Times New Roman"/>
        </w:rPr>
        <w:sectPr w:rsidR="00F0636A" w:rsidSect="002D1F41">
          <w:footerReference w:type="first" r:id="rId13"/>
          <w:pgSz w:w="12240" w:h="15840" w:code="1"/>
          <w:pgMar w:top="1296" w:right="1296" w:bottom="1296" w:left="1296" w:header="720" w:footer="720" w:gutter="0"/>
          <w:pgNumType w:start="1"/>
          <w:cols w:space="720"/>
          <w:noEndnote/>
          <w:titlePg/>
          <w:docGrid w:linePitch="354"/>
        </w:sectPr>
      </w:pPr>
    </w:p>
    <w:p w:rsidR="00241C39" w:rsidRDefault="008D7402" w:rsidP="00F0636A">
      <w:pPr>
        <w:ind w:firstLine="0"/>
        <w:contextualSpacing/>
        <w:jc w:val="center"/>
        <w:rPr>
          <w:rFonts w:cs="Times New Roman"/>
        </w:rPr>
      </w:pPr>
      <w:r w:rsidRPr="008D7402">
        <w:rPr>
          <w:noProof/>
        </w:rPr>
        <w:lastRenderedPageBreak/>
        <w:drawing>
          <wp:inline distT="0" distB="0" distL="0" distR="0">
            <wp:extent cx="5772150" cy="6553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72150" cy="6553200"/>
                    </a:xfrm>
                    <a:prstGeom prst="rect">
                      <a:avLst/>
                    </a:prstGeom>
                    <a:noFill/>
                    <a:ln>
                      <a:noFill/>
                    </a:ln>
                  </pic:spPr>
                </pic:pic>
              </a:graphicData>
            </a:graphic>
          </wp:inline>
        </w:drawing>
      </w:r>
    </w:p>
    <w:p w:rsidR="00297094" w:rsidRDefault="00297094" w:rsidP="00F0636A">
      <w:pPr>
        <w:ind w:firstLine="0"/>
        <w:contextualSpacing/>
        <w:jc w:val="center"/>
        <w:rPr>
          <w:rFonts w:cs="Times New Roman"/>
        </w:rPr>
      </w:pPr>
    </w:p>
    <w:p w:rsidR="00297094" w:rsidRDefault="00297094" w:rsidP="00F0636A">
      <w:pPr>
        <w:ind w:firstLine="0"/>
        <w:contextualSpacing/>
        <w:jc w:val="center"/>
        <w:rPr>
          <w:rFonts w:cs="Times New Roman"/>
        </w:rPr>
        <w:sectPr w:rsidR="00297094" w:rsidSect="00B05C89">
          <w:footerReference w:type="default" r:id="rId15"/>
          <w:pgSz w:w="12240" w:h="15840" w:code="1"/>
          <w:pgMar w:top="720" w:right="720" w:bottom="720" w:left="720" w:header="720" w:footer="720" w:gutter="0"/>
          <w:pgNumType w:start="1"/>
          <w:cols w:space="720"/>
          <w:noEndnote/>
          <w:titlePg/>
          <w:docGrid w:linePitch="326"/>
        </w:sectPr>
      </w:pPr>
    </w:p>
    <w:p w:rsidR="00297094" w:rsidRDefault="00297094" w:rsidP="00F0636A">
      <w:pPr>
        <w:ind w:firstLine="0"/>
        <w:contextualSpacing/>
        <w:jc w:val="center"/>
        <w:rPr>
          <w:rFonts w:cs="Times New Roman"/>
        </w:rPr>
      </w:pPr>
    </w:p>
    <w:p w:rsidR="00297094" w:rsidRDefault="00297094" w:rsidP="00F0636A">
      <w:pPr>
        <w:ind w:firstLine="0"/>
        <w:contextualSpacing/>
        <w:jc w:val="center"/>
        <w:rPr>
          <w:rFonts w:cs="Times New Roman"/>
        </w:rPr>
      </w:pPr>
    </w:p>
    <w:p w:rsidR="00297094" w:rsidRDefault="008D7402" w:rsidP="00F0636A">
      <w:pPr>
        <w:ind w:firstLine="0"/>
        <w:contextualSpacing/>
        <w:jc w:val="center"/>
        <w:rPr>
          <w:rFonts w:cs="Times New Roman"/>
        </w:rPr>
      </w:pPr>
      <w:r w:rsidRPr="008D7402">
        <w:rPr>
          <w:noProof/>
        </w:rPr>
        <w:drawing>
          <wp:inline distT="0" distB="0" distL="0" distR="0">
            <wp:extent cx="3695700" cy="2819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95700" cy="2819400"/>
                    </a:xfrm>
                    <a:prstGeom prst="rect">
                      <a:avLst/>
                    </a:prstGeom>
                    <a:noFill/>
                    <a:ln>
                      <a:noFill/>
                    </a:ln>
                  </pic:spPr>
                </pic:pic>
              </a:graphicData>
            </a:graphic>
          </wp:inline>
        </w:drawing>
      </w:r>
    </w:p>
    <w:p w:rsidR="00297094" w:rsidRDefault="00297094" w:rsidP="00F0636A">
      <w:pPr>
        <w:ind w:firstLine="0"/>
        <w:contextualSpacing/>
        <w:jc w:val="center"/>
        <w:rPr>
          <w:rFonts w:cs="Times New Roman"/>
        </w:rPr>
      </w:pPr>
    </w:p>
    <w:p w:rsidR="00297094" w:rsidRDefault="00297094" w:rsidP="00F0636A">
      <w:pPr>
        <w:ind w:firstLine="0"/>
        <w:contextualSpacing/>
        <w:jc w:val="center"/>
        <w:rPr>
          <w:rFonts w:cs="Times New Roman"/>
        </w:rPr>
        <w:sectPr w:rsidR="00297094" w:rsidSect="00B05C89">
          <w:pgSz w:w="12240" w:h="15840" w:code="1"/>
          <w:pgMar w:top="720" w:right="720" w:bottom="720" w:left="720" w:header="720" w:footer="720" w:gutter="0"/>
          <w:pgNumType w:start="1"/>
          <w:cols w:space="720"/>
          <w:noEndnote/>
          <w:titlePg/>
          <w:docGrid w:linePitch="326"/>
        </w:sectPr>
      </w:pPr>
    </w:p>
    <w:p w:rsidR="00297094" w:rsidRDefault="00297094" w:rsidP="00F0636A">
      <w:pPr>
        <w:ind w:firstLine="0"/>
        <w:contextualSpacing/>
        <w:jc w:val="center"/>
        <w:rPr>
          <w:rFonts w:cs="Times New Roman"/>
        </w:rPr>
      </w:pPr>
    </w:p>
    <w:p w:rsidR="00297094" w:rsidRDefault="00C07CD5" w:rsidP="00F0636A">
      <w:pPr>
        <w:ind w:firstLine="0"/>
        <w:contextualSpacing/>
        <w:jc w:val="center"/>
        <w:rPr>
          <w:rFonts w:cs="Times New Roman"/>
        </w:rPr>
      </w:pPr>
      <w:r w:rsidRPr="00C07CD5">
        <w:rPr>
          <w:noProof/>
        </w:rPr>
        <w:drawing>
          <wp:inline distT="0" distB="0" distL="0" distR="0">
            <wp:extent cx="5010150" cy="6934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10150" cy="6934200"/>
                    </a:xfrm>
                    <a:prstGeom prst="rect">
                      <a:avLst/>
                    </a:prstGeom>
                    <a:noFill/>
                    <a:ln>
                      <a:noFill/>
                    </a:ln>
                  </pic:spPr>
                </pic:pic>
              </a:graphicData>
            </a:graphic>
          </wp:inline>
        </w:drawing>
      </w:r>
    </w:p>
    <w:p w:rsidR="00297094" w:rsidRDefault="00297094" w:rsidP="00F0636A">
      <w:pPr>
        <w:ind w:firstLine="0"/>
        <w:contextualSpacing/>
        <w:jc w:val="center"/>
        <w:rPr>
          <w:rFonts w:cs="Times New Roman"/>
        </w:rPr>
      </w:pPr>
    </w:p>
    <w:p w:rsidR="00297094" w:rsidRDefault="00297094" w:rsidP="00F0636A">
      <w:pPr>
        <w:ind w:firstLine="0"/>
        <w:contextualSpacing/>
        <w:jc w:val="center"/>
        <w:rPr>
          <w:rFonts w:cs="Times New Roman"/>
        </w:rPr>
      </w:pPr>
    </w:p>
    <w:p w:rsidR="00297094" w:rsidRDefault="00297094" w:rsidP="00F0636A">
      <w:pPr>
        <w:ind w:firstLine="0"/>
        <w:contextualSpacing/>
        <w:jc w:val="center"/>
        <w:rPr>
          <w:rFonts w:cs="Times New Roman"/>
        </w:rPr>
        <w:sectPr w:rsidR="00297094" w:rsidSect="00B05C89">
          <w:pgSz w:w="12240" w:h="15840" w:code="1"/>
          <w:pgMar w:top="720" w:right="720" w:bottom="720" w:left="720" w:header="720" w:footer="720" w:gutter="0"/>
          <w:pgNumType w:start="1"/>
          <w:cols w:space="720"/>
          <w:noEndnote/>
          <w:titlePg/>
          <w:docGrid w:linePitch="326"/>
        </w:sectPr>
      </w:pPr>
    </w:p>
    <w:p w:rsidR="00695DF3" w:rsidRDefault="00695DF3" w:rsidP="00F0636A">
      <w:pPr>
        <w:ind w:firstLine="0"/>
        <w:contextualSpacing/>
        <w:jc w:val="center"/>
        <w:rPr>
          <w:rFonts w:cs="Times New Roman"/>
        </w:rPr>
        <w:sectPr w:rsidR="00695DF3" w:rsidSect="00297094">
          <w:pgSz w:w="15840" w:h="12240" w:orient="landscape" w:code="1"/>
          <w:pgMar w:top="720" w:right="720" w:bottom="720" w:left="720" w:header="720" w:footer="720" w:gutter="0"/>
          <w:pgNumType w:start="1"/>
          <w:cols w:space="720"/>
          <w:noEndnote/>
          <w:titlePg/>
          <w:docGrid w:linePitch="354"/>
        </w:sectPr>
      </w:pPr>
      <w:r w:rsidRPr="00695DF3">
        <w:rPr>
          <w:noProof/>
        </w:rPr>
        <w:lastRenderedPageBreak/>
        <w:drawing>
          <wp:inline distT="0" distB="0" distL="0" distR="0">
            <wp:extent cx="8734425" cy="63627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734425" cy="6362700"/>
                    </a:xfrm>
                    <a:prstGeom prst="rect">
                      <a:avLst/>
                    </a:prstGeom>
                    <a:noFill/>
                    <a:ln>
                      <a:noFill/>
                    </a:ln>
                  </pic:spPr>
                </pic:pic>
              </a:graphicData>
            </a:graphic>
          </wp:inline>
        </w:drawing>
      </w:r>
    </w:p>
    <w:p w:rsidR="00297094" w:rsidRDefault="00297094" w:rsidP="00F0636A">
      <w:pPr>
        <w:ind w:firstLine="0"/>
        <w:contextualSpacing/>
        <w:jc w:val="center"/>
        <w:rPr>
          <w:rFonts w:cs="Times New Roman"/>
        </w:rPr>
      </w:pPr>
    </w:p>
    <w:p w:rsidR="00297094" w:rsidRPr="00EA224A" w:rsidRDefault="00695DF3" w:rsidP="00F0636A">
      <w:pPr>
        <w:ind w:firstLine="0"/>
        <w:contextualSpacing/>
        <w:jc w:val="center"/>
        <w:rPr>
          <w:rFonts w:cs="Times New Roman"/>
        </w:rPr>
      </w:pPr>
      <w:r w:rsidRPr="00695DF3">
        <w:rPr>
          <w:noProof/>
        </w:rPr>
        <w:drawing>
          <wp:inline distT="0" distB="0" distL="0" distR="0">
            <wp:extent cx="3390900" cy="4857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90900" cy="4857750"/>
                    </a:xfrm>
                    <a:prstGeom prst="rect">
                      <a:avLst/>
                    </a:prstGeom>
                    <a:noFill/>
                    <a:ln>
                      <a:noFill/>
                    </a:ln>
                  </pic:spPr>
                </pic:pic>
              </a:graphicData>
            </a:graphic>
          </wp:inline>
        </w:drawing>
      </w:r>
    </w:p>
    <w:sectPr w:rsidR="00297094" w:rsidRPr="00EA224A" w:rsidSect="00297094">
      <w:pgSz w:w="12240" w:h="15840" w:code="1"/>
      <w:pgMar w:top="720" w:right="720" w:bottom="720" w:left="720" w:header="720" w:footer="720" w:gutter="0"/>
      <w:pgNumType w:start="1"/>
      <w:cols w:space="720"/>
      <w:noEndnote/>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4C6" w:rsidRDefault="009A24C6" w:rsidP="00045EE4">
      <w:r>
        <w:separator/>
      </w:r>
    </w:p>
  </w:endnote>
  <w:endnote w:type="continuationSeparator" w:id="0">
    <w:p w:rsidR="009A24C6" w:rsidRDefault="009A24C6" w:rsidP="00045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A1" w:rsidRDefault="00BA77A1" w:rsidP="005549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A77A1" w:rsidRDefault="00BA77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31930"/>
      <w:docPartObj>
        <w:docPartGallery w:val="Page Numbers (Bottom of Page)"/>
        <w:docPartUnique/>
      </w:docPartObj>
    </w:sdtPr>
    <w:sdtEndPr>
      <w:rPr>
        <w:rFonts w:cs="Times New Roman"/>
        <w:noProof/>
        <w:szCs w:val="26"/>
      </w:rPr>
    </w:sdtEndPr>
    <w:sdtContent>
      <w:p w:rsidR="00BA77A1" w:rsidRPr="00FF296D" w:rsidRDefault="00BA77A1" w:rsidP="00CC190F">
        <w:pPr>
          <w:pStyle w:val="Footer"/>
          <w:tabs>
            <w:tab w:val="clear" w:pos="4320"/>
            <w:tab w:val="clear" w:pos="8640"/>
          </w:tabs>
          <w:spacing w:line="240" w:lineRule="auto"/>
          <w:ind w:firstLine="0"/>
          <w:jc w:val="center"/>
          <w:rPr>
            <w:rFonts w:cs="Times New Roman"/>
            <w:szCs w:val="26"/>
          </w:rPr>
        </w:pPr>
        <w:r w:rsidRPr="00FF296D">
          <w:rPr>
            <w:rFonts w:cs="Times New Roman"/>
            <w:szCs w:val="26"/>
          </w:rPr>
          <w:fldChar w:fldCharType="begin"/>
        </w:r>
        <w:r w:rsidRPr="00FF296D">
          <w:rPr>
            <w:rFonts w:cs="Times New Roman"/>
            <w:szCs w:val="26"/>
          </w:rPr>
          <w:instrText xml:space="preserve"> PAGE   \* MERGEFORMAT </w:instrText>
        </w:r>
        <w:r w:rsidRPr="00FF296D">
          <w:rPr>
            <w:rFonts w:cs="Times New Roman"/>
            <w:szCs w:val="26"/>
          </w:rPr>
          <w:fldChar w:fldCharType="separate"/>
        </w:r>
        <w:r w:rsidR="000C489E">
          <w:rPr>
            <w:rFonts w:cs="Times New Roman"/>
            <w:noProof/>
            <w:szCs w:val="26"/>
          </w:rPr>
          <w:t>94</w:t>
        </w:r>
        <w:r w:rsidRPr="00FF296D">
          <w:rPr>
            <w:rFonts w:cs="Times New Roman"/>
            <w:noProof/>
            <w:szCs w:val="2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5016769"/>
      <w:docPartObj>
        <w:docPartGallery w:val="Page Numbers (Bottom of Page)"/>
        <w:docPartUnique/>
      </w:docPartObj>
    </w:sdtPr>
    <w:sdtEndPr>
      <w:rPr>
        <w:noProof/>
      </w:rPr>
    </w:sdtEndPr>
    <w:sdtContent>
      <w:p w:rsidR="00BA77A1" w:rsidRDefault="00BA77A1">
        <w:pPr>
          <w:pStyle w:val="Footer"/>
          <w:jc w:val="center"/>
        </w:pPr>
        <w:r>
          <w:fldChar w:fldCharType="begin"/>
        </w:r>
        <w:r>
          <w:instrText xml:space="preserve"> PAGE   \* MERGEFORMAT </w:instrText>
        </w:r>
        <w:r>
          <w:fldChar w:fldCharType="separate"/>
        </w:r>
        <w:r w:rsidR="000C489E">
          <w:rPr>
            <w:noProof/>
          </w:rPr>
          <w:t>i</w:t>
        </w:r>
        <w:r>
          <w:rPr>
            <w:noProof/>
          </w:rPr>
          <w:fldChar w:fldCharType="end"/>
        </w:r>
      </w:p>
    </w:sdtContent>
  </w:sdt>
  <w:p w:rsidR="00BA77A1" w:rsidRPr="000E74AA" w:rsidRDefault="00BA77A1" w:rsidP="000E74AA">
    <w:pPr>
      <w:pStyle w:val="Footer"/>
      <w:jc w:val="center"/>
      <w:rPr>
        <w:rFonts w:cs="Times New Roman"/>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A1" w:rsidRDefault="00BA77A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A1" w:rsidRPr="00047866" w:rsidRDefault="00BA77A1" w:rsidP="00047866">
    <w:pPr>
      <w:pStyle w:val="Footer"/>
      <w:tabs>
        <w:tab w:val="clear" w:pos="4320"/>
        <w:tab w:val="clear" w:pos="8640"/>
      </w:tabs>
      <w:jc w:val="center"/>
      <w:rPr>
        <w:rFonts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4C6" w:rsidRDefault="009A24C6" w:rsidP="00045EE4">
      <w:r>
        <w:separator/>
      </w:r>
    </w:p>
  </w:footnote>
  <w:footnote w:type="continuationSeparator" w:id="0">
    <w:p w:rsidR="009A24C6" w:rsidRDefault="009A24C6" w:rsidP="00045EE4">
      <w:r>
        <w:continuationSeparator/>
      </w:r>
    </w:p>
  </w:footnote>
  <w:footnote w:id="1">
    <w:p w:rsidR="00BA77A1" w:rsidRPr="00786044" w:rsidRDefault="00BA77A1" w:rsidP="004F0789">
      <w:pPr>
        <w:pStyle w:val="FootnoteText"/>
        <w:spacing w:line="240" w:lineRule="auto"/>
        <w:ind w:firstLine="720"/>
        <w:rPr>
          <w:rFonts w:cs="Times New Roman"/>
          <w:sz w:val="26"/>
          <w:szCs w:val="26"/>
        </w:rPr>
      </w:pPr>
      <w:r w:rsidRPr="00786044">
        <w:rPr>
          <w:rStyle w:val="FootnoteReference"/>
          <w:rFonts w:cs="Times New Roman"/>
          <w:sz w:val="26"/>
          <w:szCs w:val="26"/>
        </w:rPr>
        <w:footnoteRef/>
      </w:r>
      <w:r w:rsidRPr="00786044">
        <w:rPr>
          <w:rFonts w:cs="Times New Roman"/>
          <w:sz w:val="26"/>
          <w:szCs w:val="26"/>
        </w:rPr>
        <w:t xml:space="preserve"> </w:t>
      </w:r>
      <w:r w:rsidRPr="00786044">
        <w:rPr>
          <w:rFonts w:cs="Times New Roman"/>
          <w:sz w:val="26"/>
          <w:szCs w:val="26"/>
        </w:rPr>
        <w:tab/>
        <w:t>Neither the OSBA nor Mr. Coll</w:t>
      </w:r>
      <w:r>
        <w:rPr>
          <w:rFonts w:cs="Times New Roman"/>
          <w:sz w:val="26"/>
          <w:szCs w:val="26"/>
        </w:rPr>
        <w:t xml:space="preserve">ier </w:t>
      </w:r>
      <w:r w:rsidRPr="00786044">
        <w:rPr>
          <w:rFonts w:cs="Times New Roman"/>
          <w:sz w:val="26"/>
          <w:szCs w:val="26"/>
        </w:rPr>
        <w:t xml:space="preserve">filed </w:t>
      </w:r>
      <w:r>
        <w:rPr>
          <w:rFonts w:cs="Times New Roman"/>
          <w:sz w:val="26"/>
          <w:szCs w:val="26"/>
        </w:rPr>
        <w:t xml:space="preserve">a Main Brief, a Reply Brief, </w:t>
      </w:r>
      <w:r w:rsidRPr="00786044">
        <w:rPr>
          <w:rFonts w:cs="Times New Roman"/>
          <w:sz w:val="26"/>
          <w:szCs w:val="26"/>
        </w:rPr>
        <w:t xml:space="preserve">Exceptions </w:t>
      </w:r>
      <w:r>
        <w:rPr>
          <w:rFonts w:cs="Times New Roman"/>
          <w:sz w:val="26"/>
          <w:szCs w:val="26"/>
        </w:rPr>
        <w:t xml:space="preserve">or Reply </w:t>
      </w:r>
      <w:r w:rsidRPr="00786044">
        <w:rPr>
          <w:rFonts w:cs="Times New Roman"/>
          <w:sz w:val="26"/>
          <w:szCs w:val="26"/>
        </w:rPr>
        <w:t>Exceptions</w:t>
      </w:r>
      <w:r>
        <w:rPr>
          <w:rFonts w:cs="Times New Roman"/>
          <w:sz w:val="26"/>
          <w:szCs w:val="26"/>
        </w:rPr>
        <w:t xml:space="preserve"> in this proceeding</w:t>
      </w:r>
      <w:r w:rsidRPr="00786044">
        <w:rPr>
          <w:rFonts w:cs="Times New Roman"/>
          <w:sz w:val="26"/>
          <w:szCs w:val="26"/>
        </w:rPr>
        <w:t>.</w:t>
      </w:r>
    </w:p>
  </w:footnote>
  <w:footnote w:id="2">
    <w:p w:rsidR="00BA77A1" w:rsidRPr="001E6DA8" w:rsidRDefault="00BA77A1" w:rsidP="004F0789">
      <w:pPr>
        <w:pStyle w:val="FootnoteText"/>
        <w:spacing w:line="240" w:lineRule="auto"/>
        <w:ind w:firstLine="720"/>
        <w:rPr>
          <w:rFonts w:cs="Times New Roman"/>
          <w:sz w:val="26"/>
          <w:szCs w:val="26"/>
        </w:rPr>
      </w:pPr>
      <w:r w:rsidRPr="001E6DA8">
        <w:rPr>
          <w:rStyle w:val="FootnoteReference"/>
          <w:rFonts w:cs="Times New Roman"/>
          <w:sz w:val="26"/>
          <w:szCs w:val="26"/>
        </w:rPr>
        <w:footnoteRef/>
      </w:r>
      <w:r w:rsidRPr="001E6DA8">
        <w:rPr>
          <w:rFonts w:cs="Times New Roman"/>
          <w:sz w:val="26"/>
          <w:szCs w:val="26"/>
        </w:rPr>
        <w:t xml:space="preserve"> </w:t>
      </w:r>
      <w:r w:rsidRPr="001E6DA8">
        <w:rPr>
          <w:rFonts w:cs="Times New Roman"/>
          <w:sz w:val="26"/>
          <w:szCs w:val="26"/>
        </w:rPr>
        <w:tab/>
        <w:t>I&amp;E proposed</w:t>
      </w:r>
      <w:r>
        <w:rPr>
          <w:rFonts w:cs="Times New Roman"/>
          <w:sz w:val="26"/>
          <w:szCs w:val="26"/>
        </w:rPr>
        <w:t xml:space="preserve"> removing </w:t>
      </w:r>
      <w:r w:rsidRPr="001E6DA8">
        <w:rPr>
          <w:rFonts w:cs="Times New Roman"/>
          <w:sz w:val="26"/>
          <w:szCs w:val="26"/>
        </w:rPr>
        <w:t xml:space="preserve">the original cost of </w:t>
      </w:r>
      <w:r>
        <w:rPr>
          <w:rFonts w:cs="Times New Roman"/>
          <w:sz w:val="26"/>
          <w:szCs w:val="26"/>
        </w:rPr>
        <w:t xml:space="preserve">the PennVest plant of </w:t>
      </w:r>
      <w:r w:rsidRPr="00D15CC0">
        <w:rPr>
          <w:rFonts w:cs="Times New Roman"/>
          <w:sz w:val="26"/>
          <w:szCs w:val="26"/>
        </w:rPr>
        <w:t>$4,902,136 f</w:t>
      </w:r>
      <w:r>
        <w:rPr>
          <w:rFonts w:cs="Times New Roman"/>
          <w:sz w:val="26"/>
          <w:szCs w:val="26"/>
        </w:rPr>
        <w:t>rom rate base</w:t>
      </w:r>
      <w:r w:rsidRPr="001E6DA8">
        <w:rPr>
          <w:rFonts w:cs="Times New Roman"/>
          <w:sz w:val="26"/>
          <w:szCs w:val="26"/>
        </w:rPr>
        <w:t>, less the a</w:t>
      </w:r>
      <w:r>
        <w:rPr>
          <w:rFonts w:cs="Times New Roman"/>
          <w:sz w:val="26"/>
          <w:szCs w:val="26"/>
        </w:rPr>
        <w:t xml:space="preserve">ssociated </w:t>
      </w:r>
      <w:r w:rsidRPr="00D15CC0">
        <w:rPr>
          <w:rFonts w:cs="Times New Roman"/>
          <w:sz w:val="26"/>
          <w:szCs w:val="26"/>
        </w:rPr>
        <w:t>$1,853,844</w:t>
      </w:r>
      <w:r>
        <w:rPr>
          <w:rFonts w:cs="Times New Roman"/>
          <w:sz w:val="26"/>
          <w:szCs w:val="26"/>
        </w:rPr>
        <w:t xml:space="preserve"> in </w:t>
      </w:r>
      <w:r w:rsidRPr="001E6DA8">
        <w:rPr>
          <w:rFonts w:cs="Times New Roman"/>
          <w:sz w:val="26"/>
          <w:szCs w:val="26"/>
        </w:rPr>
        <w:t>accrued</w:t>
      </w:r>
      <w:r>
        <w:rPr>
          <w:rFonts w:cs="Times New Roman"/>
          <w:sz w:val="26"/>
          <w:szCs w:val="26"/>
        </w:rPr>
        <w:t xml:space="preserve"> depreciation.  I&amp;E St. 3-SR at 1</w:t>
      </w:r>
      <w:r>
        <w:rPr>
          <w:rFonts w:cs="Times New Roman"/>
          <w:sz w:val="26"/>
          <w:szCs w:val="26"/>
        </w:rPr>
        <w:noBreakHyphen/>
        <w:t xml:space="preserve">2, 8.  I&amp;E proposed an </w:t>
      </w:r>
      <w:r w:rsidRPr="001E6DA8">
        <w:rPr>
          <w:rFonts w:cs="Times New Roman"/>
          <w:sz w:val="26"/>
          <w:szCs w:val="26"/>
        </w:rPr>
        <w:t>overall measure of val</w:t>
      </w:r>
      <w:r>
        <w:rPr>
          <w:rFonts w:cs="Times New Roman"/>
          <w:sz w:val="26"/>
          <w:szCs w:val="26"/>
        </w:rPr>
        <w:t xml:space="preserve">ue </w:t>
      </w:r>
      <w:r w:rsidRPr="001E6DA8">
        <w:rPr>
          <w:rFonts w:cs="Times New Roman"/>
          <w:sz w:val="26"/>
          <w:szCs w:val="26"/>
        </w:rPr>
        <w:t xml:space="preserve">of </w:t>
      </w:r>
      <w:r w:rsidRPr="00D15CC0">
        <w:rPr>
          <w:rFonts w:cs="Times New Roman"/>
          <w:sz w:val="26"/>
          <w:szCs w:val="26"/>
        </w:rPr>
        <w:t>$10,748,415</w:t>
      </w:r>
      <w:r w:rsidRPr="001E6DA8">
        <w:rPr>
          <w:rFonts w:cs="Times New Roman"/>
          <w:sz w:val="26"/>
          <w:szCs w:val="26"/>
        </w:rPr>
        <w:t>.</w:t>
      </w:r>
    </w:p>
  </w:footnote>
  <w:footnote w:id="3">
    <w:p w:rsidR="00BA77A1" w:rsidRPr="008065D2" w:rsidRDefault="00BA77A1" w:rsidP="004F0789">
      <w:pPr>
        <w:pStyle w:val="FootnoteText"/>
        <w:spacing w:line="240" w:lineRule="auto"/>
        <w:ind w:firstLine="720"/>
        <w:rPr>
          <w:rFonts w:cs="Times New Roman"/>
          <w:sz w:val="26"/>
          <w:szCs w:val="26"/>
        </w:rPr>
      </w:pPr>
      <w:r w:rsidRPr="008065D2">
        <w:rPr>
          <w:rStyle w:val="FootnoteReference"/>
          <w:rFonts w:cs="Times New Roman"/>
          <w:sz w:val="26"/>
          <w:szCs w:val="26"/>
        </w:rPr>
        <w:footnoteRef/>
      </w:r>
      <w:r w:rsidRPr="008065D2">
        <w:rPr>
          <w:rFonts w:cs="Times New Roman"/>
          <w:sz w:val="26"/>
          <w:szCs w:val="26"/>
        </w:rPr>
        <w:t xml:space="preserve"> </w:t>
      </w:r>
      <w:r w:rsidRPr="008065D2">
        <w:rPr>
          <w:rFonts w:cs="Times New Roman"/>
          <w:sz w:val="26"/>
          <w:szCs w:val="26"/>
        </w:rPr>
        <w:tab/>
      </w:r>
      <w:r w:rsidRPr="008065D2">
        <w:rPr>
          <w:rFonts w:cs="Times New Roman"/>
          <w:i/>
          <w:color w:val="000000"/>
          <w:spacing w:val="-2"/>
          <w:sz w:val="26"/>
          <w:szCs w:val="26"/>
        </w:rPr>
        <w:t>PennVest Loan Obligations for Water and Sewer Companies – Statement of Policy</w:t>
      </w:r>
      <w:r w:rsidRPr="008065D2">
        <w:rPr>
          <w:rFonts w:cs="Times New Roman"/>
          <w:color w:val="000000"/>
          <w:spacing w:val="-2"/>
          <w:sz w:val="26"/>
          <w:szCs w:val="26"/>
        </w:rPr>
        <w:t>, 52 Pa. Code §§ 69.361 – 69.364</w:t>
      </w:r>
      <w:r>
        <w:rPr>
          <w:rFonts w:cs="Times New Roman"/>
          <w:color w:val="000000"/>
          <w:spacing w:val="-2"/>
          <w:sz w:val="26"/>
          <w:szCs w:val="26"/>
        </w:rPr>
        <w:t xml:space="preserve"> (</w:t>
      </w:r>
      <w:r w:rsidRPr="008065D2">
        <w:rPr>
          <w:rFonts w:cs="Times New Roman"/>
          <w:i/>
          <w:color w:val="000000"/>
          <w:spacing w:val="-2"/>
          <w:sz w:val="26"/>
          <w:szCs w:val="26"/>
        </w:rPr>
        <w:t>PennVest Policy Statement</w:t>
      </w:r>
      <w:r>
        <w:rPr>
          <w:rFonts w:cs="Times New Roman"/>
          <w:color w:val="000000"/>
          <w:spacing w:val="-2"/>
          <w:sz w:val="26"/>
          <w:szCs w:val="26"/>
        </w:rPr>
        <w:t>)</w:t>
      </w:r>
      <w:r w:rsidRPr="008065D2">
        <w:rPr>
          <w:rFonts w:cs="Times New Roman"/>
          <w:color w:val="000000"/>
          <w:spacing w:val="-2"/>
          <w:sz w:val="26"/>
          <w:szCs w:val="26"/>
        </w:rPr>
        <w:t>.</w:t>
      </w:r>
    </w:p>
  </w:footnote>
  <w:footnote w:id="4">
    <w:p w:rsidR="00BA77A1" w:rsidRPr="00944CEF" w:rsidRDefault="00BA77A1" w:rsidP="004F0789">
      <w:pPr>
        <w:pStyle w:val="FootnoteText"/>
        <w:spacing w:line="240" w:lineRule="auto"/>
        <w:ind w:firstLine="720"/>
        <w:rPr>
          <w:sz w:val="26"/>
          <w:szCs w:val="26"/>
        </w:rPr>
      </w:pPr>
      <w:r w:rsidRPr="00944CEF">
        <w:rPr>
          <w:rStyle w:val="FootnoteReference"/>
          <w:sz w:val="26"/>
          <w:szCs w:val="26"/>
        </w:rPr>
        <w:footnoteRef/>
      </w:r>
      <w:r w:rsidRPr="00944CEF">
        <w:rPr>
          <w:sz w:val="26"/>
          <w:szCs w:val="26"/>
        </w:rPr>
        <w:t xml:space="preserve">  </w:t>
      </w:r>
      <w:r>
        <w:rPr>
          <w:sz w:val="26"/>
          <w:szCs w:val="26"/>
        </w:rPr>
        <w:tab/>
        <w:t xml:space="preserve">I&amp;E explains that </w:t>
      </w:r>
      <w:r w:rsidRPr="00944CEF">
        <w:rPr>
          <w:sz w:val="26"/>
          <w:szCs w:val="26"/>
        </w:rPr>
        <w:t>the Company</w:t>
      </w:r>
      <w:r>
        <w:rPr>
          <w:sz w:val="26"/>
          <w:szCs w:val="26"/>
        </w:rPr>
        <w:t>’</w:t>
      </w:r>
      <w:r w:rsidRPr="00944CEF">
        <w:rPr>
          <w:sz w:val="26"/>
          <w:szCs w:val="26"/>
        </w:rPr>
        <w:t xml:space="preserve">s annual depreciation expense claim is </w:t>
      </w:r>
      <w:r w:rsidRPr="00D15CC0">
        <w:rPr>
          <w:sz w:val="26"/>
          <w:szCs w:val="26"/>
        </w:rPr>
        <w:t>$739,260</w:t>
      </w:r>
      <w:r w:rsidRPr="00944CEF">
        <w:rPr>
          <w:sz w:val="26"/>
          <w:szCs w:val="26"/>
        </w:rPr>
        <w:t xml:space="preserve">, determined by taking the original cost annual depreciation of </w:t>
      </w:r>
      <w:r w:rsidRPr="00D15CC0">
        <w:rPr>
          <w:sz w:val="26"/>
          <w:szCs w:val="26"/>
        </w:rPr>
        <w:t>$984,321</w:t>
      </w:r>
      <w:r w:rsidRPr="00944CEF">
        <w:rPr>
          <w:sz w:val="26"/>
          <w:szCs w:val="26"/>
        </w:rPr>
        <w:t xml:space="preserve"> less the annual depreciation expense associated with </w:t>
      </w:r>
      <w:r w:rsidRPr="007E643B">
        <w:rPr>
          <w:sz w:val="26"/>
          <w:szCs w:val="26"/>
        </w:rPr>
        <w:t>CIAC</w:t>
      </w:r>
      <w:r>
        <w:rPr>
          <w:sz w:val="26"/>
          <w:szCs w:val="26"/>
        </w:rPr>
        <w:t xml:space="preserve"> of </w:t>
      </w:r>
      <w:r w:rsidRPr="00D15CC0">
        <w:rPr>
          <w:sz w:val="26"/>
          <w:szCs w:val="26"/>
        </w:rPr>
        <w:t>$245,061</w:t>
      </w:r>
      <w:r>
        <w:rPr>
          <w:sz w:val="26"/>
          <w:szCs w:val="26"/>
        </w:rPr>
        <w:t>.  I&amp;E states that t</w:t>
      </w:r>
      <w:r w:rsidRPr="00944CEF">
        <w:rPr>
          <w:sz w:val="26"/>
          <w:szCs w:val="26"/>
        </w:rPr>
        <w:t xml:space="preserve">he Company provided a breakdown of the </w:t>
      </w:r>
      <w:r w:rsidRPr="00D15CC0">
        <w:rPr>
          <w:sz w:val="26"/>
          <w:szCs w:val="26"/>
        </w:rPr>
        <w:t>$984,321</w:t>
      </w:r>
      <w:r w:rsidRPr="00944CEF">
        <w:rPr>
          <w:sz w:val="26"/>
          <w:szCs w:val="26"/>
        </w:rPr>
        <w:t xml:space="preserve"> original cost annual depreciation expense as of December 31, 2013, and a breakdown of the annual depreciation expense associated with CIAC.  The Company used </w:t>
      </w:r>
      <w:r>
        <w:rPr>
          <w:sz w:val="26"/>
          <w:szCs w:val="26"/>
        </w:rPr>
        <w:t xml:space="preserve">the </w:t>
      </w:r>
      <w:r w:rsidRPr="00944CEF">
        <w:rPr>
          <w:sz w:val="26"/>
          <w:szCs w:val="26"/>
        </w:rPr>
        <w:t>straight line/av</w:t>
      </w:r>
      <w:r>
        <w:rPr>
          <w:sz w:val="26"/>
          <w:szCs w:val="26"/>
        </w:rPr>
        <w:t xml:space="preserve">erage service life method and </w:t>
      </w:r>
      <w:r w:rsidRPr="00944CEF">
        <w:rPr>
          <w:sz w:val="26"/>
          <w:szCs w:val="26"/>
        </w:rPr>
        <w:t>the average service</w:t>
      </w:r>
      <w:r>
        <w:rPr>
          <w:sz w:val="26"/>
          <w:szCs w:val="26"/>
        </w:rPr>
        <w:t xml:space="preserve"> life methodology.  I&amp;E Exc. at 14, n. 6, citing I&amp;E St. 3 at 12-13; CWC</w:t>
      </w:r>
      <w:r w:rsidRPr="00944CEF">
        <w:rPr>
          <w:sz w:val="26"/>
          <w:szCs w:val="26"/>
        </w:rPr>
        <w:t xml:space="preserve"> Ex</w:t>
      </w:r>
      <w:r>
        <w:rPr>
          <w:sz w:val="26"/>
          <w:szCs w:val="26"/>
        </w:rPr>
        <w:t>h. 1 at 1-3.</w:t>
      </w:r>
    </w:p>
  </w:footnote>
  <w:footnote w:id="5">
    <w:p w:rsidR="00BA77A1" w:rsidRDefault="00BA77A1" w:rsidP="004F0789">
      <w:pPr>
        <w:pStyle w:val="FootnoteText"/>
        <w:spacing w:line="240" w:lineRule="auto"/>
        <w:ind w:firstLine="720"/>
      </w:pPr>
      <w:r w:rsidRPr="0089333B">
        <w:rPr>
          <w:rStyle w:val="FootnoteReference"/>
          <w:rFonts w:cs="Times New Roman"/>
          <w:sz w:val="26"/>
          <w:szCs w:val="26"/>
        </w:rPr>
        <w:footnoteRef/>
      </w:r>
      <w:r w:rsidRPr="0089333B">
        <w:rPr>
          <w:rFonts w:cs="Times New Roman"/>
          <w:sz w:val="26"/>
          <w:szCs w:val="26"/>
        </w:rPr>
        <w:t xml:space="preserve"> </w:t>
      </w:r>
      <w:r w:rsidRPr="0089333B">
        <w:rPr>
          <w:rFonts w:cs="Times New Roman"/>
          <w:sz w:val="26"/>
          <w:szCs w:val="26"/>
        </w:rPr>
        <w:tab/>
        <w:t>The OCA refers to t</w:t>
      </w:r>
      <w:r>
        <w:rPr>
          <w:rFonts w:cs="Times New Roman"/>
          <w:sz w:val="26"/>
          <w:szCs w:val="26"/>
        </w:rPr>
        <w:t xml:space="preserve">he ALJ’s Recommended Decision in </w:t>
      </w:r>
      <w:r>
        <w:rPr>
          <w:rFonts w:cs="Times New Roman"/>
          <w:i/>
          <w:sz w:val="26"/>
          <w:szCs w:val="26"/>
        </w:rPr>
        <w:t>Pa. PUC</w:t>
      </w:r>
      <w:r w:rsidRPr="00D34891">
        <w:rPr>
          <w:rFonts w:cs="Times New Roman"/>
          <w:i/>
          <w:sz w:val="26"/>
          <w:szCs w:val="26"/>
        </w:rPr>
        <w:t xml:space="preserve"> v. Columbia Water Co.</w:t>
      </w:r>
      <w:r w:rsidRPr="009D076B">
        <w:rPr>
          <w:rFonts w:cs="Times New Roman"/>
          <w:sz w:val="26"/>
          <w:szCs w:val="26"/>
        </w:rPr>
        <w:t xml:space="preserve">, </w:t>
      </w:r>
      <w:r>
        <w:rPr>
          <w:rFonts w:cs="Times New Roman"/>
          <w:sz w:val="26"/>
          <w:szCs w:val="26"/>
        </w:rPr>
        <w:t>Docket No. R-00974007 (R.D. issued November 20, 1997).</w:t>
      </w:r>
    </w:p>
  </w:footnote>
  <w:footnote w:id="6">
    <w:p w:rsidR="00BA77A1" w:rsidRPr="00F6262B" w:rsidRDefault="00BA77A1" w:rsidP="004F0789">
      <w:pPr>
        <w:pStyle w:val="FootnoteText"/>
        <w:keepLines/>
        <w:spacing w:line="240" w:lineRule="auto"/>
        <w:ind w:firstLine="720"/>
        <w:rPr>
          <w:rFonts w:cs="Times New Roman"/>
          <w:sz w:val="26"/>
          <w:szCs w:val="26"/>
        </w:rPr>
      </w:pPr>
      <w:r w:rsidRPr="00F6262B">
        <w:rPr>
          <w:rStyle w:val="FootnoteReference"/>
          <w:rFonts w:cs="Times New Roman"/>
          <w:sz w:val="26"/>
          <w:szCs w:val="26"/>
        </w:rPr>
        <w:footnoteRef/>
      </w:r>
      <w:r w:rsidRPr="00F6262B">
        <w:rPr>
          <w:rFonts w:cs="Times New Roman"/>
          <w:sz w:val="26"/>
          <w:szCs w:val="26"/>
        </w:rPr>
        <w:t xml:space="preserve"> </w:t>
      </w:r>
      <w:r>
        <w:rPr>
          <w:rFonts w:cs="Times New Roman"/>
          <w:sz w:val="26"/>
          <w:szCs w:val="26"/>
        </w:rPr>
        <w:tab/>
      </w:r>
      <w:r w:rsidRPr="00F6262B">
        <w:rPr>
          <w:rFonts w:cs="Times New Roman"/>
          <w:sz w:val="26"/>
          <w:szCs w:val="26"/>
        </w:rPr>
        <w:t xml:space="preserve">The </w:t>
      </w:r>
      <w:r>
        <w:rPr>
          <w:rFonts w:cs="Times New Roman"/>
          <w:sz w:val="26"/>
          <w:szCs w:val="26"/>
        </w:rPr>
        <w:t>OCA states that P</w:t>
      </w:r>
      <w:r w:rsidRPr="00F6262B">
        <w:rPr>
          <w:rFonts w:cs="Times New Roman"/>
          <w:sz w:val="26"/>
          <w:szCs w:val="26"/>
        </w:rPr>
        <w:t xml:space="preserve">arties agreed on a PennVest-specific rate in the 1993 case because the revenue increase related solely to </w:t>
      </w:r>
      <w:r>
        <w:rPr>
          <w:rFonts w:cs="Times New Roman"/>
          <w:sz w:val="26"/>
          <w:szCs w:val="26"/>
        </w:rPr>
        <w:t>the Company’s proposed principal</w:t>
      </w:r>
      <w:r w:rsidRPr="00F6262B">
        <w:rPr>
          <w:rFonts w:cs="Times New Roman"/>
          <w:sz w:val="26"/>
          <w:szCs w:val="26"/>
        </w:rPr>
        <w:t xml:space="preserve">/interest surcharge.  </w:t>
      </w:r>
      <w:r w:rsidRPr="007E643B">
        <w:rPr>
          <w:rFonts w:cs="Times New Roman"/>
          <w:i/>
          <w:sz w:val="26"/>
          <w:szCs w:val="26"/>
        </w:rPr>
        <w:t>1993 PennVest Order</w:t>
      </w:r>
      <w:r w:rsidRPr="00F6262B">
        <w:rPr>
          <w:rFonts w:cs="Times New Roman"/>
          <w:sz w:val="26"/>
          <w:szCs w:val="26"/>
        </w:rPr>
        <w:t xml:space="preserve"> </w:t>
      </w:r>
      <w:r>
        <w:rPr>
          <w:rFonts w:cs="Times New Roman"/>
          <w:sz w:val="26"/>
          <w:szCs w:val="26"/>
        </w:rPr>
        <w:t>a</w:t>
      </w:r>
      <w:r w:rsidRPr="00F6262B">
        <w:rPr>
          <w:rFonts w:cs="Times New Roman"/>
          <w:sz w:val="26"/>
          <w:szCs w:val="26"/>
        </w:rPr>
        <w:t>t 3.  The initial rates of return and depreciation were intended to become irrelevant because the Company would have reflected the PennVest-funded plant in rate base thereafter</w:t>
      </w:r>
      <w:r>
        <w:rPr>
          <w:rFonts w:cs="Times New Roman"/>
          <w:sz w:val="26"/>
          <w:szCs w:val="26"/>
        </w:rPr>
        <w:t>,</w:t>
      </w:r>
      <w:r w:rsidRPr="00F6262B">
        <w:rPr>
          <w:rFonts w:cs="Times New Roman"/>
          <w:sz w:val="26"/>
          <w:szCs w:val="26"/>
        </w:rPr>
        <w:t xml:space="preserve"> and it would have been addressed just like any other plant in service in </w:t>
      </w:r>
      <w:r>
        <w:rPr>
          <w:rFonts w:cs="Times New Roman"/>
          <w:sz w:val="26"/>
          <w:szCs w:val="26"/>
        </w:rPr>
        <w:t xml:space="preserve">subsequent general rate cases.  OCA Exc. at 7, n.2, citing </w:t>
      </w:r>
      <w:r w:rsidRPr="00F6262B">
        <w:rPr>
          <w:rFonts w:cs="Times New Roman"/>
          <w:sz w:val="26"/>
          <w:szCs w:val="26"/>
        </w:rPr>
        <w:t xml:space="preserve">OCA St. 1S at 38, 41-42.  </w:t>
      </w:r>
    </w:p>
  </w:footnote>
  <w:footnote w:id="7">
    <w:p w:rsidR="00BA77A1" w:rsidRDefault="00BA77A1" w:rsidP="004F0789">
      <w:pPr>
        <w:pStyle w:val="FootnoteText"/>
        <w:spacing w:line="240" w:lineRule="auto"/>
        <w:ind w:firstLine="720"/>
      </w:pPr>
      <w:r w:rsidRPr="00560C7C">
        <w:rPr>
          <w:rStyle w:val="FootnoteReference"/>
          <w:rFonts w:cs="Times New Roman"/>
          <w:sz w:val="26"/>
          <w:szCs w:val="26"/>
        </w:rPr>
        <w:footnoteRef/>
      </w:r>
      <w:r>
        <w:t xml:space="preserve"> </w:t>
      </w:r>
      <w:r>
        <w:tab/>
      </w:r>
      <w:r w:rsidRPr="006E440D">
        <w:rPr>
          <w:rFonts w:cs="Times New Roman"/>
          <w:i/>
          <w:sz w:val="26"/>
          <w:szCs w:val="26"/>
        </w:rPr>
        <w:t>See, e.g., P</w:t>
      </w:r>
      <w:r>
        <w:rPr>
          <w:rFonts w:cs="Times New Roman"/>
          <w:i/>
          <w:sz w:val="26"/>
          <w:szCs w:val="26"/>
        </w:rPr>
        <w:t>a. PUC</w:t>
      </w:r>
      <w:r w:rsidRPr="003A0E8E">
        <w:rPr>
          <w:rFonts w:cs="Times New Roman"/>
          <w:i/>
          <w:sz w:val="26"/>
          <w:szCs w:val="26"/>
        </w:rPr>
        <w:t xml:space="preserve"> v. Columbia Water Co.</w:t>
      </w:r>
      <w:r w:rsidRPr="009D076B">
        <w:rPr>
          <w:rFonts w:cs="Times New Roman"/>
          <w:sz w:val="26"/>
          <w:szCs w:val="26"/>
        </w:rPr>
        <w:t xml:space="preserve">, </w:t>
      </w:r>
      <w:r>
        <w:rPr>
          <w:rFonts w:cs="Times New Roman"/>
          <w:sz w:val="26"/>
          <w:szCs w:val="26"/>
        </w:rPr>
        <w:t xml:space="preserve">Docket No. R-00038428 </w:t>
      </w:r>
      <w:r w:rsidRPr="009D076B">
        <w:rPr>
          <w:rFonts w:cs="Times New Roman"/>
          <w:sz w:val="26"/>
          <w:szCs w:val="26"/>
        </w:rPr>
        <w:t>(</w:t>
      </w:r>
      <w:r>
        <w:rPr>
          <w:rFonts w:cs="Times New Roman"/>
          <w:sz w:val="26"/>
          <w:szCs w:val="26"/>
        </w:rPr>
        <w:t xml:space="preserve">Order entered </w:t>
      </w:r>
      <w:r w:rsidRPr="009D076B">
        <w:rPr>
          <w:rFonts w:cs="Times New Roman"/>
          <w:sz w:val="26"/>
          <w:szCs w:val="26"/>
        </w:rPr>
        <w:t>July 17, 2003)</w:t>
      </w:r>
      <w:r>
        <w:rPr>
          <w:rFonts w:cs="Times New Roman"/>
          <w:sz w:val="26"/>
          <w:szCs w:val="26"/>
        </w:rPr>
        <w:t>;</w:t>
      </w:r>
      <w:r w:rsidRPr="00560C7C">
        <w:rPr>
          <w:rFonts w:cs="Times New Roman"/>
          <w:i/>
          <w:sz w:val="26"/>
          <w:szCs w:val="26"/>
        </w:rPr>
        <w:t xml:space="preserve"> </w:t>
      </w:r>
      <w:r>
        <w:rPr>
          <w:rFonts w:cs="Times New Roman"/>
          <w:i/>
          <w:sz w:val="26"/>
          <w:szCs w:val="26"/>
        </w:rPr>
        <w:t>Pa. PUC</w:t>
      </w:r>
      <w:r w:rsidRPr="003A0E8E">
        <w:rPr>
          <w:rFonts w:cs="Times New Roman"/>
          <w:i/>
          <w:sz w:val="26"/>
          <w:szCs w:val="26"/>
        </w:rPr>
        <w:t xml:space="preserve"> v. Columbia Water Co.</w:t>
      </w:r>
      <w:r w:rsidRPr="009D076B">
        <w:rPr>
          <w:rFonts w:cs="Times New Roman"/>
          <w:sz w:val="26"/>
          <w:szCs w:val="26"/>
        </w:rPr>
        <w:t xml:space="preserve">, </w:t>
      </w:r>
      <w:r>
        <w:rPr>
          <w:rFonts w:cs="Times New Roman"/>
          <w:sz w:val="26"/>
          <w:szCs w:val="26"/>
        </w:rPr>
        <w:t xml:space="preserve">Docket No. R-00050611 </w:t>
      </w:r>
      <w:r w:rsidRPr="009D076B">
        <w:rPr>
          <w:rFonts w:cs="Times New Roman"/>
          <w:sz w:val="26"/>
          <w:szCs w:val="26"/>
        </w:rPr>
        <w:t>(</w:t>
      </w:r>
      <w:r>
        <w:rPr>
          <w:rFonts w:cs="Times New Roman"/>
          <w:sz w:val="26"/>
          <w:szCs w:val="26"/>
        </w:rPr>
        <w:t xml:space="preserve">Order entered </w:t>
      </w:r>
      <w:r w:rsidRPr="009D076B">
        <w:rPr>
          <w:rFonts w:cs="Times New Roman"/>
          <w:sz w:val="26"/>
          <w:szCs w:val="26"/>
        </w:rPr>
        <w:t>July 14, 2005)</w:t>
      </w:r>
      <w:r>
        <w:rPr>
          <w:rFonts w:cs="Times New Roman"/>
          <w:sz w:val="26"/>
          <w:szCs w:val="26"/>
        </w:rPr>
        <w:t>.</w:t>
      </w:r>
    </w:p>
  </w:footnote>
  <w:footnote w:id="8">
    <w:p w:rsidR="00BA77A1" w:rsidRPr="00BB75C9" w:rsidRDefault="00BA77A1" w:rsidP="004F0789">
      <w:pPr>
        <w:pStyle w:val="FootnoteText"/>
        <w:keepLines/>
        <w:spacing w:line="240" w:lineRule="auto"/>
        <w:ind w:firstLine="720"/>
        <w:jc w:val="both"/>
        <w:rPr>
          <w:rFonts w:cs="Times New Roman"/>
          <w:sz w:val="26"/>
          <w:szCs w:val="26"/>
        </w:rPr>
      </w:pPr>
      <w:r w:rsidRPr="00BB75C9">
        <w:rPr>
          <w:rStyle w:val="FootnoteReference"/>
          <w:rFonts w:cs="Times New Roman"/>
          <w:sz w:val="26"/>
          <w:szCs w:val="26"/>
        </w:rPr>
        <w:footnoteRef/>
      </w:r>
      <w:r w:rsidRPr="00BB75C9">
        <w:rPr>
          <w:rFonts w:cs="Times New Roman"/>
          <w:sz w:val="26"/>
          <w:szCs w:val="26"/>
        </w:rPr>
        <w:t xml:space="preserve"> </w:t>
      </w:r>
      <w:r>
        <w:rPr>
          <w:rFonts w:cs="Times New Roman"/>
          <w:sz w:val="26"/>
          <w:szCs w:val="26"/>
        </w:rPr>
        <w:tab/>
      </w:r>
      <w:r w:rsidRPr="00BB75C9">
        <w:rPr>
          <w:rFonts w:cs="Times New Roman"/>
          <w:sz w:val="26"/>
          <w:szCs w:val="26"/>
        </w:rPr>
        <w:t>The OCA states that the</w:t>
      </w:r>
      <w:r>
        <w:rPr>
          <w:rFonts w:cs="Times New Roman"/>
          <w:sz w:val="26"/>
          <w:szCs w:val="26"/>
        </w:rPr>
        <w:t xml:space="preserve"> 1997 S</w:t>
      </w:r>
      <w:r w:rsidRPr="00BB75C9">
        <w:rPr>
          <w:rFonts w:cs="Times New Roman"/>
          <w:sz w:val="26"/>
          <w:szCs w:val="26"/>
        </w:rPr>
        <w:t>ettlement also provided that revenue from the PennVest surcharge would be “excluded from base revenue” and raised the surcharge amount “separate from but concurrently with” th</w:t>
      </w:r>
      <w:r>
        <w:rPr>
          <w:rFonts w:cs="Times New Roman"/>
          <w:sz w:val="26"/>
          <w:szCs w:val="26"/>
        </w:rPr>
        <w:t>e determination of base rates.  OCA Exc. at 10, n. 3.</w:t>
      </w:r>
    </w:p>
  </w:footnote>
  <w:footnote w:id="9">
    <w:p w:rsidR="00BA77A1" w:rsidRPr="00167204" w:rsidRDefault="00BA77A1" w:rsidP="004F0789">
      <w:pPr>
        <w:pStyle w:val="FootnoteText"/>
        <w:spacing w:line="240" w:lineRule="auto"/>
        <w:ind w:firstLine="720"/>
        <w:jc w:val="both"/>
        <w:rPr>
          <w:rFonts w:cs="Times New Roman"/>
          <w:sz w:val="26"/>
          <w:szCs w:val="26"/>
        </w:rPr>
      </w:pPr>
      <w:r w:rsidRPr="00167204">
        <w:rPr>
          <w:rStyle w:val="FootnoteReference"/>
          <w:rFonts w:cs="Times New Roman"/>
          <w:sz w:val="26"/>
          <w:szCs w:val="26"/>
        </w:rPr>
        <w:footnoteRef/>
      </w:r>
      <w:r w:rsidRPr="00167204">
        <w:rPr>
          <w:rFonts w:cs="Times New Roman"/>
          <w:sz w:val="26"/>
          <w:szCs w:val="26"/>
        </w:rPr>
        <w:t xml:space="preserve"> </w:t>
      </w:r>
      <w:r>
        <w:rPr>
          <w:rFonts w:cs="Times New Roman"/>
          <w:sz w:val="26"/>
          <w:szCs w:val="26"/>
        </w:rPr>
        <w:t xml:space="preserve"> </w:t>
      </w:r>
      <w:r>
        <w:rPr>
          <w:rFonts w:cs="Times New Roman"/>
          <w:sz w:val="26"/>
          <w:szCs w:val="26"/>
        </w:rPr>
        <w:tab/>
        <w:t xml:space="preserve">Columbia cites </w:t>
      </w:r>
      <w:r w:rsidRPr="00167204">
        <w:rPr>
          <w:rFonts w:cs="Times New Roman"/>
          <w:sz w:val="26"/>
          <w:szCs w:val="26"/>
        </w:rPr>
        <w:t xml:space="preserve">26 U.S.C. § 168(c); IRS Pub. 946 (2-15-13). </w:t>
      </w:r>
    </w:p>
  </w:footnote>
  <w:footnote w:id="10">
    <w:p w:rsidR="00BA77A1" w:rsidRPr="008F6EFB" w:rsidRDefault="00BA77A1" w:rsidP="00BA77A1">
      <w:pPr>
        <w:keepLines/>
        <w:spacing w:line="240" w:lineRule="auto"/>
        <w:ind w:firstLine="720"/>
        <w:rPr>
          <w:rFonts w:cs="Times New Roman"/>
          <w:szCs w:val="26"/>
        </w:rPr>
      </w:pPr>
      <w:r w:rsidRPr="008F6EFB">
        <w:rPr>
          <w:rStyle w:val="FootnoteReference"/>
          <w:rFonts w:cs="Times New Roman"/>
          <w:szCs w:val="26"/>
        </w:rPr>
        <w:footnoteRef/>
      </w:r>
      <w:r w:rsidRPr="008F6EFB">
        <w:rPr>
          <w:rFonts w:cs="Times New Roman"/>
          <w:szCs w:val="26"/>
        </w:rPr>
        <w:t xml:space="preserve"> </w:t>
      </w:r>
      <w:r>
        <w:rPr>
          <w:rFonts w:cs="Times New Roman"/>
          <w:szCs w:val="26"/>
        </w:rPr>
        <w:tab/>
      </w:r>
      <w:r w:rsidRPr="008F6EFB">
        <w:rPr>
          <w:rFonts w:cs="Times New Roman"/>
          <w:szCs w:val="26"/>
        </w:rPr>
        <w:t>T</w:t>
      </w:r>
      <w:r>
        <w:rPr>
          <w:rFonts w:cs="Times New Roman"/>
          <w:szCs w:val="26"/>
        </w:rPr>
        <w:t>he Company states that, to its knowledge, the</w:t>
      </w:r>
      <w:r w:rsidRPr="008F6EFB">
        <w:rPr>
          <w:rFonts w:cs="Times New Roman"/>
          <w:szCs w:val="26"/>
        </w:rPr>
        <w:t xml:space="preserve"> Com</w:t>
      </w:r>
      <w:r>
        <w:rPr>
          <w:rFonts w:cs="Times New Roman"/>
          <w:szCs w:val="26"/>
        </w:rPr>
        <w:t xml:space="preserve">mission has never </w:t>
      </w:r>
      <w:r w:rsidRPr="008F6EFB">
        <w:rPr>
          <w:rFonts w:cs="Times New Roman"/>
          <w:szCs w:val="26"/>
        </w:rPr>
        <w:t>accelerated the annual depreciation expense for ut</w:t>
      </w:r>
      <w:r>
        <w:rPr>
          <w:rFonts w:cs="Times New Roman"/>
          <w:szCs w:val="26"/>
        </w:rPr>
        <w:t>ility assets to match</w:t>
      </w:r>
      <w:r w:rsidRPr="008F6EFB">
        <w:rPr>
          <w:rFonts w:cs="Times New Roman"/>
          <w:szCs w:val="26"/>
        </w:rPr>
        <w:t xml:space="preserve"> the term of the funding for those assets.  </w:t>
      </w:r>
      <w:r>
        <w:rPr>
          <w:rFonts w:cs="Times New Roman"/>
          <w:szCs w:val="26"/>
        </w:rPr>
        <w:t xml:space="preserve">Because </w:t>
      </w:r>
      <w:r w:rsidRPr="008F6EFB">
        <w:rPr>
          <w:rFonts w:cs="Times New Roman"/>
          <w:szCs w:val="26"/>
        </w:rPr>
        <w:t xml:space="preserve">depreciation </w:t>
      </w:r>
      <w:r>
        <w:rPr>
          <w:rFonts w:cs="Times New Roman"/>
          <w:szCs w:val="26"/>
        </w:rPr>
        <w:t xml:space="preserve">of the PennVest plant </w:t>
      </w:r>
      <w:r w:rsidRPr="008F6EFB">
        <w:rPr>
          <w:rFonts w:cs="Times New Roman"/>
          <w:szCs w:val="26"/>
        </w:rPr>
        <w:t>was not accelerated</w:t>
      </w:r>
      <w:r>
        <w:rPr>
          <w:rFonts w:cs="Times New Roman"/>
          <w:szCs w:val="26"/>
        </w:rPr>
        <w:t>, the Company argues that adoption of the adjustment would leave</w:t>
      </w:r>
      <w:r w:rsidRPr="008F6EFB">
        <w:rPr>
          <w:rFonts w:cs="Times New Roman"/>
          <w:szCs w:val="26"/>
        </w:rPr>
        <w:t xml:space="preserve"> undepreciated assets floating in limbo.  </w:t>
      </w:r>
      <w:r>
        <w:rPr>
          <w:rFonts w:cs="Times New Roman"/>
          <w:szCs w:val="26"/>
        </w:rPr>
        <w:t>“</w:t>
      </w:r>
      <w:r w:rsidRPr="008F6EFB">
        <w:rPr>
          <w:rFonts w:cs="Times New Roman"/>
          <w:szCs w:val="26"/>
        </w:rPr>
        <w:t>No law or rate making procedure establishes, or even contemplates, the removal of assets from rate base upon the retirement of debt.</w:t>
      </w:r>
      <w:r>
        <w:rPr>
          <w:rFonts w:cs="Times New Roman"/>
          <w:szCs w:val="26"/>
        </w:rPr>
        <w:t>”  CWC R.Exc. at 9, n. 9.</w:t>
      </w:r>
    </w:p>
  </w:footnote>
  <w:footnote w:id="11">
    <w:p w:rsidR="00BA77A1" w:rsidRDefault="00BA77A1" w:rsidP="004F0789">
      <w:pPr>
        <w:spacing w:line="240" w:lineRule="auto"/>
        <w:rPr>
          <w:rFonts w:cs="Times New Roman"/>
          <w:szCs w:val="26"/>
        </w:rPr>
      </w:pPr>
    </w:p>
    <w:p w:rsidR="00BA77A1" w:rsidRPr="00DB0E62" w:rsidRDefault="00BA77A1" w:rsidP="004F0789">
      <w:pPr>
        <w:keepLines/>
        <w:spacing w:line="240" w:lineRule="auto"/>
        <w:ind w:firstLine="720"/>
        <w:rPr>
          <w:rFonts w:cs="Times New Roman"/>
          <w:i/>
          <w:spacing w:val="-2"/>
          <w:szCs w:val="26"/>
        </w:rPr>
      </w:pPr>
      <w:r w:rsidRPr="00DB0E62">
        <w:rPr>
          <w:rStyle w:val="FootnoteReference"/>
          <w:rFonts w:cs="Times New Roman"/>
          <w:szCs w:val="26"/>
        </w:rPr>
        <w:footnoteRef/>
      </w:r>
      <w:r>
        <w:rPr>
          <w:rFonts w:cs="Times New Roman"/>
          <w:szCs w:val="26"/>
        </w:rPr>
        <w:t xml:space="preserve"> </w:t>
      </w:r>
      <w:r>
        <w:rPr>
          <w:rFonts w:cs="Times New Roman"/>
          <w:szCs w:val="26"/>
        </w:rPr>
        <w:tab/>
      </w:r>
      <w:r>
        <w:rPr>
          <w:rFonts w:cs="Times New Roman"/>
          <w:spacing w:val="-2"/>
          <w:szCs w:val="26"/>
        </w:rPr>
        <w:t>The Company submits that the CIAC approach must be eliminated because there were no upfront cash payments from customers.  The Company states that t</w:t>
      </w:r>
      <w:r w:rsidRPr="00DB0E62">
        <w:rPr>
          <w:rFonts w:cs="Times New Roman"/>
          <w:spacing w:val="-2"/>
          <w:szCs w:val="26"/>
        </w:rPr>
        <w:t xml:space="preserve">he only other method for removing (establishing </w:t>
      </w:r>
      <w:r>
        <w:rPr>
          <w:rFonts w:cs="Times New Roman"/>
          <w:spacing w:val="-2"/>
          <w:szCs w:val="26"/>
        </w:rPr>
        <w:t xml:space="preserve">a </w:t>
      </w:r>
      <w:r w:rsidRPr="00DB0E62">
        <w:rPr>
          <w:rFonts w:cs="Times New Roman"/>
          <w:spacing w:val="-2"/>
          <w:szCs w:val="26"/>
        </w:rPr>
        <w:t>zero value fo</w:t>
      </w:r>
      <w:r>
        <w:rPr>
          <w:rFonts w:cs="Times New Roman"/>
          <w:spacing w:val="-2"/>
          <w:szCs w:val="26"/>
        </w:rPr>
        <w:t>r) the PennVest assets from rate base would have been to</w:t>
      </w:r>
      <w:r>
        <w:rPr>
          <w:rFonts w:cs="Times New Roman"/>
          <w:i/>
          <w:spacing w:val="-2"/>
          <w:szCs w:val="26"/>
        </w:rPr>
        <w:t xml:space="preserve"> </w:t>
      </w:r>
      <w:r w:rsidRPr="00DB0E62">
        <w:rPr>
          <w:rFonts w:cs="Times New Roman"/>
          <w:spacing w:val="-2"/>
          <w:szCs w:val="26"/>
        </w:rPr>
        <w:t>accelerate the an</w:t>
      </w:r>
      <w:r>
        <w:rPr>
          <w:rFonts w:cs="Times New Roman"/>
          <w:spacing w:val="-2"/>
          <w:szCs w:val="26"/>
        </w:rPr>
        <w:t xml:space="preserve">nual depreciation expense to twenty </w:t>
      </w:r>
      <w:r w:rsidRPr="00DB0E62">
        <w:rPr>
          <w:rFonts w:cs="Times New Roman"/>
          <w:spacing w:val="-2"/>
          <w:szCs w:val="26"/>
        </w:rPr>
        <w:t xml:space="preserve">years (which the Company has not been doing) to match the PennVest </w:t>
      </w:r>
      <w:r>
        <w:rPr>
          <w:rFonts w:cs="Times New Roman"/>
          <w:spacing w:val="-2"/>
          <w:szCs w:val="26"/>
        </w:rPr>
        <w:t>loan period.  However, the Company submits that there are several problems with this approach, as follows: the Company did not in fact accelerate its annual depreciation expense; t</w:t>
      </w:r>
      <w:r w:rsidRPr="00DB0E62">
        <w:rPr>
          <w:rFonts w:cs="Times New Roman"/>
          <w:spacing w:val="-2"/>
          <w:szCs w:val="26"/>
        </w:rPr>
        <w:t>he Commission would have had to approve the reduction in</w:t>
      </w:r>
      <w:r>
        <w:rPr>
          <w:rFonts w:cs="Times New Roman"/>
          <w:spacing w:val="-2"/>
          <w:szCs w:val="26"/>
        </w:rPr>
        <w:t xml:space="preserve"> the plant’s useful life to twenty</w:t>
      </w:r>
      <w:r w:rsidRPr="00DB0E62">
        <w:rPr>
          <w:rFonts w:cs="Times New Roman"/>
          <w:spacing w:val="-2"/>
          <w:szCs w:val="26"/>
        </w:rPr>
        <w:t xml:space="preserve"> y</w:t>
      </w:r>
      <w:r>
        <w:rPr>
          <w:rFonts w:cs="Times New Roman"/>
          <w:spacing w:val="-2"/>
          <w:szCs w:val="26"/>
        </w:rPr>
        <w:t xml:space="preserve">ears </w:t>
      </w:r>
      <w:r w:rsidRPr="00DB0E62">
        <w:rPr>
          <w:rFonts w:cs="Times New Roman"/>
          <w:spacing w:val="-2"/>
          <w:szCs w:val="26"/>
        </w:rPr>
        <w:t>at the time the assets were</w:t>
      </w:r>
      <w:r w:rsidRPr="00DB0E62">
        <w:rPr>
          <w:rFonts w:cs="Times New Roman"/>
          <w:szCs w:val="26"/>
        </w:rPr>
        <w:t xml:space="preserve"> placed on the boo</w:t>
      </w:r>
      <w:r>
        <w:rPr>
          <w:rFonts w:cs="Times New Roman"/>
          <w:szCs w:val="26"/>
        </w:rPr>
        <w:t xml:space="preserve">ks; </w:t>
      </w:r>
      <w:r w:rsidRPr="00DB0E62">
        <w:rPr>
          <w:rFonts w:cs="Times New Roman"/>
          <w:szCs w:val="26"/>
        </w:rPr>
        <w:t>accelerated depr</w:t>
      </w:r>
      <w:r>
        <w:rPr>
          <w:rFonts w:cs="Times New Roman"/>
          <w:szCs w:val="26"/>
        </w:rPr>
        <w:t xml:space="preserve">eciation is rarely </w:t>
      </w:r>
      <w:r w:rsidRPr="00DB0E62">
        <w:rPr>
          <w:rFonts w:cs="Times New Roman"/>
          <w:szCs w:val="26"/>
        </w:rPr>
        <w:t>a</w:t>
      </w:r>
      <w:r>
        <w:rPr>
          <w:rFonts w:cs="Times New Roman"/>
          <w:szCs w:val="26"/>
        </w:rPr>
        <w:t xml:space="preserve">dopted for ratemaking purposes; </w:t>
      </w:r>
      <w:r w:rsidRPr="00DB0E62">
        <w:rPr>
          <w:rFonts w:cs="Times New Roman"/>
          <w:szCs w:val="26"/>
        </w:rPr>
        <w:t>the life expectancies of the assets and annua</w:t>
      </w:r>
      <w:r>
        <w:rPr>
          <w:rFonts w:cs="Times New Roman"/>
          <w:szCs w:val="26"/>
        </w:rPr>
        <w:t>l depreciation rates had to be</w:t>
      </w:r>
      <w:r w:rsidRPr="00DB0E62">
        <w:rPr>
          <w:rFonts w:cs="Times New Roman"/>
          <w:szCs w:val="26"/>
        </w:rPr>
        <w:t xml:space="preserve"> determined during the 1993 case, not retroactively during</w:t>
      </w:r>
      <w:r>
        <w:rPr>
          <w:rFonts w:cs="Times New Roman"/>
          <w:szCs w:val="26"/>
        </w:rPr>
        <w:t xml:space="preserve"> a rate case proceeding in 2013; and even then accelerated depreciation over twenty years</w:t>
      </w:r>
      <w:r w:rsidRPr="00DB0E62">
        <w:rPr>
          <w:rFonts w:cs="Times New Roman"/>
          <w:szCs w:val="26"/>
        </w:rPr>
        <w:t xml:space="preserve"> would </w:t>
      </w:r>
      <w:r>
        <w:rPr>
          <w:rFonts w:cs="Times New Roman"/>
          <w:szCs w:val="26"/>
        </w:rPr>
        <w:t>have been in conflict with the Internal Revenue Code.  Columbia asserts that t</w:t>
      </w:r>
      <w:r w:rsidRPr="00DB0E62">
        <w:rPr>
          <w:rFonts w:cs="Times New Roman"/>
          <w:szCs w:val="26"/>
        </w:rPr>
        <w:t xml:space="preserve">he PennVest assets have been and continue </w:t>
      </w:r>
      <w:r>
        <w:rPr>
          <w:rFonts w:cs="Times New Roman"/>
          <w:szCs w:val="26"/>
        </w:rPr>
        <w:t xml:space="preserve">to be depreciated </w:t>
      </w:r>
      <w:r w:rsidRPr="00DB0E62">
        <w:rPr>
          <w:rFonts w:cs="Times New Roman"/>
          <w:szCs w:val="26"/>
        </w:rPr>
        <w:t>for ratemaking purposes utilizing th</w:t>
      </w:r>
      <w:r>
        <w:rPr>
          <w:rFonts w:cs="Times New Roman"/>
          <w:szCs w:val="26"/>
        </w:rPr>
        <w:t xml:space="preserve">e 4% Compound Interest Method.  CWC R.Exc. at 9-10, n. 10, citing </w:t>
      </w:r>
      <w:r w:rsidRPr="00DB0E62">
        <w:rPr>
          <w:rFonts w:cs="Times New Roman"/>
          <w:szCs w:val="26"/>
        </w:rPr>
        <w:t xml:space="preserve">CWC St. </w:t>
      </w:r>
      <w:r>
        <w:rPr>
          <w:rFonts w:cs="Times New Roman"/>
          <w:szCs w:val="26"/>
        </w:rPr>
        <w:t>2R at 20:16-17.</w:t>
      </w:r>
    </w:p>
  </w:footnote>
  <w:footnote w:id="12">
    <w:p w:rsidR="00BA77A1" w:rsidRDefault="00BA77A1" w:rsidP="00343CB6">
      <w:pPr>
        <w:pStyle w:val="FootnoteText"/>
        <w:keepLines/>
        <w:spacing w:line="240" w:lineRule="auto"/>
        <w:ind w:firstLine="720"/>
      </w:pPr>
      <w:r w:rsidRPr="00AB6E2B">
        <w:rPr>
          <w:rStyle w:val="FootnoteReference"/>
          <w:rFonts w:cs="Times New Roman"/>
          <w:sz w:val="26"/>
          <w:szCs w:val="26"/>
        </w:rPr>
        <w:footnoteRef/>
      </w:r>
      <w:r w:rsidRPr="00AB6E2B">
        <w:rPr>
          <w:rFonts w:cs="Times New Roman"/>
          <w:sz w:val="26"/>
          <w:szCs w:val="26"/>
        </w:rPr>
        <w:t xml:space="preserve"> </w:t>
      </w:r>
      <w:r>
        <w:rPr>
          <w:rFonts w:cs="Times New Roman"/>
          <w:sz w:val="26"/>
          <w:szCs w:val="26"/>
        </w:rPr>
        <w:tab/>
        <w:t xml:space="preserve">As examples of non-volumetric, flat PennVest surcharges, Columbia cites </w:t>
      </w:r>
      <w:r w:rsidRPr="00A140BB">
        <w:rPr>
          <w:rFonts w:cs="Times New Roman"/>
          <w:i/>
          <w:sz w:val="26"/>
          <w:szCs w:val="26"/>
        </w:rPr>
        <w:t>Pa. PUC v. Olwen Heights Water Service Co.</w:t>
      </w:r>
      <w:r>
        <w:rPr>
          <w:rFonts w:cs="Times New Roman"/>
          <w:sz w:val="26"/>
          <w:szCs w:val="26"/>
        </w:rPr>
        <w:t xml:space="preserve">, Docket No. R-00040011 (Order entered April 7, 2005) (surcharge of $21.02 per customer); </w:t>
      </w:r>
      <w:r w:rsidRPr="00A140BB">
        <w:rPr>
          <w:rFonts w:cs="Times New Roman"/>
          <w:i/>
          <w:sz w:val="26"/>
          <w:szCs w:val="26"/>
        </w:rPr>
        <w:t>Pa. PUC v. Wilbar Realty Co.</w:t>
      </w:r>
      <w:r>
        <w:rPr>
          <w:rFonts w:cs="Times New Roman"/>
          <w:sz w:val="26"/>
          <w:szCs w:val="26"/>
        </w:rPr>
        <w:t xml:space="preserve">, 88 Pa. PUC 1 (Order entered June 16, 1998) (surcharge of $28.80 per customer); </w:t>
      </w:r>
      <w:r w:rsidRPr="00A140BB">
        <w:rPr>
          <w:rFonts w:cs="Times New Roman"/>
          <w:i/>
          <w:sz w:val="26"/>
          <w:szCs w:val="26"/>
        </w:rPr>
        <w:t>Pa. PUC v. Mountain Spring Water</w:t>
      </w:r>
      <w:r>
        <w:rPr>
          <w:rFonts w:cs="Times New Roman"/>
          <w:sz w:val="26"/>
          <w:szCs w:val="26"/>
        </w:rPr>
        <w:t>, Docket No. R-00984346, 1998 WL 8422814 (Order entered July 24, 1998) (surcharge of $39 per customer).</w:t>
      </w:r>
    </w:p>
  </w:footnote>
  <w:footnote w:id="13">
    <w:p w:rsidR="00BA77A1" w:rsidRDefault="00BA77A1" w:rsidP="004F0789">
      <w:pPr>
        <w:pStyle w:val="FootnoteText"/>
        <w:spacing w:line="240" w:lineRule="auto"/>
        <w:ind w:firstLine="720"/>
      </w:pPr>
      <w:r w:rsidRPr="00CF0A92">
        <w:rPr>
          <w:rStyle w:val="FootnoteReference"/>
          <w:rFonts w:cs="Times New Roman"/>
          <w:sz w:val="26"/>
          <w:szCs w:val="26"/>
        </w:rPr>
        <w:footnoteRef/>
      </w:r>
      <w:r w:rsidRPr="00CF0A92">
        <w:rPr>
          <w:rFonts w:cs="Times New Roman"/>
          <w:sz w:val="26"/>
          <w:szCs w:val="26"/>
        </w:rPr>
        <w:t xml:space="preserve"> </w:t>
      </w:r>
      <w:r w:rsidRPr="00CF0A92">
        <w:rPr>
          <w:rFonts w:cs="Times New Roman"/>
          <w:sz w:val="26"/>
          <w:szCs w:val="26"/>
        </w:rPr>
        <w:tab/>
        <w:t xml:space="preserve">The OCA cites </w:t>
      </w:r>
      <w:r w:rsidRPr="00CF0A92">
        <w:rPr>
          <w:rFonts w:cs="Times New Roman"/>
          <w:i/>
          <w:sz w:val="26"/>
          <w:szCs w:val="26"/>
        </w:rPr>
        <w:t xml:space="preserve">Pa. </w:t>
      </w:r>
      <w:r w:rsidRPr="00CF0A92">
        <w:rPr>
          <w:i/>
          <w:sz w:val="26"/>
          <w:szCs w:val="26"/>
        </w:rPr>
        <w:t>PUC v. Total Envtl. Solutions, Inc. – Treasure Lake Water Div.</w:t>
      </w:r>
      <w:r w:rsidRPr="00462EDA">
        <w:rPr>
          <w:sz w:val="26"/>
          <w:szCs w:val="26"/>
        </w:rPr>
        <w:t>, 2008 PaPUC LEXIS 1227, *22, 24-25, 29</w:t>
      </w:r>
      <w:r>
        <w:rPr>
          <w:sz w:val="26"/>
          <w:szCs w:val="26"/>
        </w:rPr>
        <w:t xml:space="preserve"> (</w:t>
      </w:r>
      <w:r w:rsidRPr="00CF0A92">
        <w:rPr>
          <w:i/>
          <w:sz w:val="26"/>
          <w:szCs w:val="26"/>
        </w:rPr>
        <w:t>Treasure Lake</w:t>
      </w:r>
      <w:r>
        <w:rPr>
          <w:sz w:val="26"/>
          <w:szCs w:val="26"/>
        </w:rPr>
        <w:t>)</w:t>
      </w:r>
      <w:r w:rsidRPr="00462EDA">
        <w:rPr>
          <w:sz w:val="26"/>
          <w:szCs w:val="26"/>
        </w:rPr>
        <w:t xml:space="preserve">; </w:t>
      </w:r>
      <w:r w:rsidRPr="00CF0A92">
        <w:rPr>
          <w:i/>
          <w:sz w:val="26"/>
          <w:szCs w:val="26"/>
        </w:rPr>
        <w:t>Pa. PUC v. Mechanicsburg Water Co</w:t>
      </w:r>
      <w:r w:rsidRPr="00462EDA">
        <w:rPr>
          <w:sz w:val="26"/>
          <w:szCs w:val="26"/>
        </w:rPr>
        <w:t>., 1993 PaPUC LEXIS 112, *34-35 (</w:t>
      </w:r>
      <w:r w:rsidRPr="00CF0A92">
        <w:rPr>
          <w:i/>
          <w:sz w:val="26"/>
          <w:szCs w:val="26"/>
        </w:rPr>
        <w:t>Mechanicsburg</w:t>
      </w:r>
      <w:r w:rsidRPr="00462EDA">
        <w:rPr>
          <w:sz w:val="26"/>
          <w:szCs w:val="26"/>
        </w:rPr>
        <w:t xml:space="preserve">); </w:t>
      </w:r>
      <w:r w:rsidRPr="00CF0A92">
        <w:rPr>
          <w:i/>
          <w:sz w:val="26"/>
          <w:szCs w:val="26"/>
        </w:rPr>
        <w:t>Pa. PUC v. Borough of Media Water Works</w:t>
      </w:r>
      <w:r w:rsidRPr="00462EDA">
        <w:rPr>
          <w:sz w:val="26"/>
          <w:szCs w:val="26"/>
        </w:rPr>
        <w:t>, 72 Pa</w:t>
      </w:r>
      <w:r>
        <w:rPr>
          <w:sz w:val="26"/>
          <w:szCs w:val="26"/>
        </w:rPr>
        <w:t xml:space="preserve">. </w:t>
      </w:r>
      <w:r w:rsidRPr="00462EDA">
        <w:rPr>
          <w:sz w:val="26"/>
          <w:szCs w:val="26"/>
        </w:rPr>
        <w:t>PUC 144, 150-51 (1990) (</w:t>
      </w:r>
      <w:r w:rsidRPr="00CF0A92">
        <w:rPr>
          <w:i/>
          <w:sz w:val="26"/>
          <w:szCs w:val="26"/>
        </w:rPr>
        <w:t>Media</w:t>
      </w:r>
      <w:r w:rsidRPr="00462EDA">
        <w:rPr>
          <w:sz w:val="26"/>
          <w:szCs w:val="26"/>
        </w:rPr>
        <w:t>).</w:t>
      </w:r>
    </w:p>
  </w:footnote>
  <w:footnote w:id="14">
    <w:p w:rsidR="00BA77A1" w:rsidRPr="00CD1ACF" w:rsidRDefault="00BA77A1" w:rsidP="004F0789">
      <w:pPr>
        <w:pStyle w:val="FootnoteText"/>
        <w:spacing w:line="240" w:lineRule="auto"/>
        <w:ind w:firstLine="720"/>
        <w:contextualSpacing/>
        <w:rPr>
          <w:rFonts w:cs="Times New Roman"/>
          <w:sz w:val="26"/>
          <w:szCs w:val="26"/>
        </w:rPr>
      </w:pPr>
      <w:r w:rsidRPr="00CD1ACF">
        <w:rPr>
          <w:rStyle w:val="FootnoteReference"/>
          <w:rFonts w:cs="Times New Roman"/>
          <w:sz w:val="26"/>
          <w:szCs w:val="26"/>
        </w:rPr>
        <w:footnoteRef/>
      </w:r>
      <w:r w:rsidRPr="00CD1ACF">
        <w:rPr>
          <w:rFonts w:cs="Times New Roman"/>
          <w:sz w:val="26"/>
          <w:szCs w:val="26"/>
        </w:rPr>
        <w:t xml:space="preserve"> </w:t>
      </w:r>
      <w:r>
        <w:rPr>
          <w:rFonts w:cs="Times New Roman"/>
          <w:sz w:val="26"/>
          <w:szCs w:val="26"/>
        </w:rPr>
        <w:tab/>
        <w:t xml:space="preserve">CWC St. 3R at </w:t>
      </w:r>
      <w:r w:rsidRPr="00CD1ACF">
        <w:rPr>
          <w:rFonts w:cs="Times New Roman"/>
          <w:sz w:val="26"/>
          <w:szCs w:val="26"/>
        </w:rPr>
        <w:t xml:space="preserve">2-3; </w:t>
      </w:r>
      <w:r>
        <w:rPr>
          <w:rFonts w:cs="Times New Roman"/>
          <w:i/>
          <w:sz w:val="26"/>
          <w:szCs w:val="26"/>
        </w:rPr>
        <w:t>2009</w:t>
      </w:r>
      <w:r w:rsidRPr="00CD1ACF">
        <w:rPr>
          <w:rFonts w:cs="Times New Roman"/>
          <w:i/>
          <w:sz w:val="26"/>
          <w:szCs w:val="26"/>
        </w:rPr>
        <w:t xml:space="preserve"> Rate Case Order </w:t>
      </w:r>
      <w:r w:rsidRPr="00CD1ACF">
        <w:rPr>
          <w:rFonts w:cs="Times New Roman"/>
          <w:sz w:val="26"/>
          <w:szCs w:val="26"/>
        </w:rPr>
        <w:t>at 71.</w:t>
      </w:r>
    </w:p>
  </w:footnote>
  <w:footnote w:id="15">
    <w:p w:rsidR="00BA77A1" w:rsidRPr="005218CD" w:rsidRDefault="00BA77A1" w:rsidP="004F0789">
      <w:pPr>
        <w:pStyle w:val="FootnoteText"/>
        <w:spacing w:line="240" w:lineRule="auto"/>
        <w:ind w:firstLine="720"/>
        <w:contextualSpacing/>
        <w:rPr>
          <w:rFonts w:cs="Times New Roman"/>
          <w:sz w:val="26"/>
          <w:szCs w:val="26"/>
        </w:rPr>
      </w:pPr>
      <w:r w:rsidRPr="005218CD">
        <w:rPr>
          <w:rStyle w:val="FootnoteReference"/>
          <w:rFonts w:cs="Times New Roman"/>
          <w:sz w:val="26"/>
          <w:szCs w:val="26"/>
        </w:rPr>
        <w:footnoteRef/>
      </w:r>
      <w:r w:rsidRPr="005218CD">
        <w:rPr>
          <w:rFonts w:cs="Times New Roman"/>
          <w:sz w:val="26"/>
          <w:szCs w:val="26"/>
        </w:rPr>
        <w:t xml:space="preserve"> </w:t>
      </w:r>
      <w:r>
        <w:rPr>
          <w:rFonts w:cs="Times New Roman"/>
          <w:sz w:val="26"/>
          <w:szCs w:val="26"/>
        </w:rPr>
        <w:tab/>
      </w:r>
      <w:r>
        <w:rPr>
          <w:rFonts w:cs="Times New Roman"/>
          <w:i/>
          <w:sz w:val="26"/>
          <w:szCs w:val="26"/>
        </w:rPr>
        <w:t>Id</w:t>
      </w:r>
      <w:r>
        <w:rPr>
          <w:rFonts w:cs="Times New Roman"/>
          <w:sz w:val="26"/>
          <w:szCs w:val="26"/>
        </w:rPr>
        <w:t>.</w:t>
      </w:r>
    </w:p>
  </w:footnote>
  <w:footnote w:id="16">
    <w:p w:rsidR="00BA77A1" w:rsidRPr="005218CD" w:rsidRDefault="00BA77A1" w:rsidP="004F0789">
      <w:pPr>
        <w:pStyle w:val="FootnoteText"/>
        <w:spacing w:line="240" w:lineRule="auto"/>
        <w:ind w:firstLine="720"/>
        <w:rPr>
          <w:rFonts w:cs="Times New Roman"/>
          <w:sz w:val="26"/>
          <w:szCs w:val="26"/>
        </w:rPr>
      </w:pPr>
      <w:r w:rsidRPr="005218CD">
        <w:rPr>
          <w:rStyle w:val="FootnoteReference"/>
          <w:rFonts w:cs="Times New Roman"/>
          <w:sz w:val="26"/>
          <w:szCs w:val="26"/>
        </w:rPr>
        <w:footnoteRef/>
      </w:r>
      <w:r w:rsidRPr="005218CD">
        <w:rPr>
          <w:rFonts w:cs="Times New Roman"/>
          <w:sz w:val="26"/>
          <w:szCs w:val="26"/>
        </w:rPr>
        <w:t xml:space="preserve"> </w:t>
      </w:r>
      <w:r w:rsidRPr="005218CD">
        <w:rPr>
          <w:rFonts w:cs="Times New Roman"/>
          <w:sz w:val="26"/>
          <w:szCs w:val="26"/>
        </w:rPr>
        <w:tab/>
      </w:r>
      <w:r>
        <w:rPr>
          <w:rFonts w:cs="Times New Roman"/>
          <w:i/>
          <w:sz w:val="26"/>
          <w:szCs w:val="26"/>
        </w:rPr>
        <w:t>Pa. PUC v. Carnegie Natural Gas Co.</w:t>
      </w:r>
      <w:r>
        <w:rPr>
          <w:rFonts w:cs="Times New Roman"/>
          <w:sz w:val="26"/>
          <w:szCs w:val="26"/>
        </w:rPr>
        <w:t>, 54 Pa. P.U.C. 381 (Order e</w:t>
      </w:r>
      <w:r w:rsidRPr="005218CD">
        <w:rPr>
          <w:rFonts w:cs="Times New Roman"/>
          <w:sz w:val="26"/>
          <w:szCs w:val="26"/>
        </w:rPr>
        <w:t>ntered July</w:t>
      </w:r>
      <w:r>
        <w:rPr>
          <w:rFonts w:cs="Times New Roman"/>
          <w:sz w:val="26"/>
          <w:szCs w:val="26"/>
        </w:rPr>
        <w:t> </w:t>
      </w:r>
      <w:r w:rsidRPr="005218CD">
        <w:rPr>
          <w:rFonts w:cs="Times New Roman"/>
          <w:sz w:val="26"/>
          <w:szCs w:val="26"/>
        </w:rPr>
        <w:t>17, 1980)</w:t>
      </w:r>
      <w:r>
        <w:rPr>
          <w:rFonts w:cs="Times New Roman"/>
          <w:sz w:val="26"/>
          <w:szCs w:val="26"/>
        </w:rPr>
        <w:t xml:space="preserve"> (</w:t>
      </w:r>
      <w:r w:rsidRPr="002A5AA9">
        <w:rPr>
          <w:rFonts w:cs="Times New Roman"/>
          <w:i/>
          <w:sz w:val="26"/>
          <w:szCs w:val="26"/>
        </w:rPr>
        <w:t>Carnegie</w:t>
      </w:r>
      <w:r>
        <w:rPr>
          <w:rFonts w:cs="Times New Roman"/>
          <w:sz w:val="26"/>
          <w:szCs w:val="26"/>
        </w:rPr>
        <w:t>).</w:t>
      </w:r>
    </w:p>
  </w:footnote>
  <w:footnote w:id="17">
    <w:p w:rsidR="00BA77A1" w:rsidRPr="005218CD" w:rsidRDefault="00BA77A1" w:rsidP="004F0789">
      <w:pPr>
        <w:pStyle w:val="FootnoteText"/>
        <w:spacing w:line="240" w:lineRule="auto"/>
        <w:ind w:firstLine="720"/>
        <w:rPr>
          <w:rFonts w:cs="Times New Roman"/>
          <w:sz w:val="26"/>
          <w:szCs w:val="26"/>
        </w:rPr>
      </w:pPr>
      <w:r w:rsidRPr="005218CD">
        <w:rPr>
          <w:rStyle w:val="FootnoteReference"/>
          <w:rFonts w:cs="Times New Roman"/>
          <w:sz w:val="26"/>
          <w:szCs w:val="26"/>
        </w:rPr>
        <w:footnoteRef/>
      </w:r>
      <w:r w:rsidRPr="005218CD">
        <w:rPr>
          <w:rFonts w:cs="Times New Roman"/>
          <w:sz w:val="26"/>
          <w:szCs w:val="26"/>
        </w:rPr>
        <w:t xml:space="preserve"> </w:t>
      </w:r>
      <w:r>
        <w:rPr>
          <w:rFonts w:cs="Times New Roman"/>
          <w:sz w:val="26"/>
          <w:szCs w:val="26"/>
        </w:rPr>
        <w:t xml:space="preserve"> </w:t>
      </w:r>
      <w:r>
        <w:rPr>
          <w:rFonts w:cs="Times New Roman"/>
          <w:sz w:val="26"/>
          <w:szCs w:val="26"/>
        </w:rPr>
        <w:tab/>
      </w:r>
      <w:r>
        <w:rPr>
          <w:rFonts w:cs="Times New Roman"/>
          <w:i/>
          <w:sz w:val="26"/>
          <w:szCs w:val="26"/>
        </w:rPr>
        <w:t>Carnegie</w:t>
      </w:r>
      <w:r w:rsidRPr="005218CD">
        <w:rPr>
          <w:rFonts w:cs="Times New Roman"/>
          <w:i/>
          <w:sz w:val="26"/>
          <w:szCs w:val="26"/>
        </w:rPr>
        <w:t xml:space="preserve"> </w:t>
      </w:r>
      <w:r>
        <w:rPr>
          <w:rFonts w:cs="Times New Roman"/>
          <w:sz w:val="26"/>
          <w:szCs w:val="26"/>
        </w:rPr>
        <w:t>at 393.</w:t>
      </w:r>
    </w:p>
  </w:footnote>
  <w:footnote w:id="18">
    <w:p w:rsidR="00BA77A1" w:rsidRPr="005218CD" w:rsidRDefault="00BA77A1" w:rsidP="004F0789">
      <w:pPr>
        <w:pStyle w:val="FootnoteText"/>
        <w:spacing w:line="240" w:lineRule="auto"/>
        <w:ind w:firstLine="720"/>
        <w:rPr>
          <w:rFonts w:cs="Times New Roman"/>
          <w:i/>
          <w:sz w:val="26"/>
          <w:szCs w:val="26"/>
        </w:rPr>
      </w:pPr>
      <w:r w:rsidRPr="005218CD">
        <w:rPr>
          <w:rStyle w:val="FootnoteReference"/>
          <w:rFonts w:cs="Times New Roman"/>
          <w:sz w:val="26"/>
          <w:szCs w:val="26"/>
        </w:rPr>
        <w:footnoteRef/>
      </w:r>
      <w:r w:rsidRPr="005218CD">
        <w:rPr>
          <w:rFonts w:cs="Times New Roman"/>
          <w:sz w:val="26"/>
          <w:szCs w:val="26"/>
        </w:rPr>
        <w:t xml:space="preserve"> </w:t>
      </w:r>
      <w:r>
        <w:rPr>
          <w:rFonts w:cs="Times New Roman"/>
          <w:sz w:val="26"/>
          <w:szCs w:val="26"/>
        </w:rPr>
        <w:tab/>
      </w:r>
      <w:r w:rsidRPr="005218CD">
        <w:rPr>
          <w:rFonts w:cs="Times New Roman"/>
          <w:i/>
          <w:sz w:val="26"/>
          <w:szCs w:val="26"/>
        </w:rPr>
        <w:t xml:space="preserve">Carnegie </w:t>
      </w:r>
      <w:r w:rsidRPr="005218CD">
        <w:rPr>
          <w:rFonts w:cs="Times New Roman"/>
          <w:sz w:val="26"/>
          <w:szCs w:val="26"/>
        </w:rPr>
        <w:t>at 393</w:t>
      </w:r>
      <w:r>
        <w:rPr>
          <w:rFonts w:cs="Times New Roman"/>
          <w:sz w:val="26"/>
          <w:szCs w:val="26"/>
        </w:rPr>
        <w:t>.</w:t>
      </w:r>
      <w:r w:rsidRPr="005218CD">
        <w:rPr>
          <w:rFonts w:cs="Times New Roman"/>
          <w:i/>
          <w:sz w:val="26"/>
          <w:szCs w:val="26"/>
        </w:rPr>
        <w:t xml:space="preserve"> </w:t>
      </w:r>
    </w:p>
  </w:footnote>
  <w:footnote w:id="19">
    <w:p w:rsidR="00BA77A1" w:rsidRPr="002521B1" w:rsidRDefault="00BA77A1" w:rsidP="004F0789">
      <w:pPr>
        <w:pStyle w:val="FootnoteText"/>
        <w:spacing w:line="240" w:lineRule="auto"/>
        <w:ind w:firstLine="720"/>
        <w:rPr>
          <w:rFonts w:cs="Times New Roman"/>
          <w:sz w:val="26"/>
          <w:szCs w:val="26"/>
        </w:rPr>
      </w:pPr>
      <w:r w:rsidRPr="002521B1">
        <w:rPr>
          <w:rStyle w:val="FootnoteReference"/>
          <w:rFonts w:cs="Times New Roman"/>
          <w:sz w:val="26"/>
          <w:szCs w:val="26"/>
        </w:rPr>
        <w:footnoteRef/>
      </w:r>
      <w:r w:rsidRPr="002521B1">
        <w:rPr>
          <w:rFonts w:cs="Times New Roman"/>
          <w:sz w:val="26"/>
          <w:szCs w:val="26"/>
        </w:rPr>
        <w:t xml:space="preserve"> </w:t>
      </w:r>
      <w:r w:rsidRPr="002521B1">
        <w:rPr>
          <w:rFonts w:cs="Times New Roman"/>
          <w:sz w:val="26"/>
          <w:szCs w:val="26"/>
        </w:rPr>
        <w:tab/>
        <w:t>We note that Columbia</w:t>
      </w:r>
      <w:r>
        <w:rPr>
          <w:rFonts w:cs="Times New Roman"/>
          <w:sz w:val="26"/>
          <w:szCs w:val="26"/>
        </w:rPr>
        <w:t>’</w:t>
      </w:r>
      <w:r w:rsidRPr="002521B1">
        <w:rPr>
          <w:rFonts w:cs="Times New Roman"/>
          <w:sz w:val="26"/>
          <w:szCs w:val="26"/>
        </w:rPr>
        <w:t>s Main Brief also states that its witness recommended a ROE of 11.55% and an overall rate of return of 9.09%.</w:t>
      </w:r>
      <w:r>
        <w:rPr>
          <w:rFonts w:cs="Times New Roman"/>
          <w:sz w:val="26"/>
          <w:szCs w:val="26"/>
        </w:rPr>
        <w:t xml:space="preserve">  CWC M.B. at 50.  The discrepancy is not explained.</w:t>
      </w:r>
    </w:p>
  </w:footnote>
  <w:footnote w:id="20">
    <w:p w:rsidR="00BA77A1" w:rsidRPr="001D7127" w:rsidRDefault="00BA77A1" w:rsidP="004F0789">
      <w:pPr>
        <w:pStyle w:val="FootnoteText"/>
        <w:keepLines/>
        <w:spacing w:line="240" w:lineRule="auto"/>
        <w:ind w:firstLine="720"/>
        <w:rPr>
          <w:rFonts w:cs="Times New Roman"/>
          <w:sz w:val="26"/>
          <w:szCs w:val="26"/>
        </w:rPr>
      </w:pPr>
      <w:r w:rsidRPr="001D7127">
        <w:rPr>
          <w:rStyle w:val="FootnoteReference"/>
          <w:rFonts w:cs="Times New Roman"/>
          <w:sz w:val="26"/>
          <w:szCs w:val="26"/>
        </w:rPr>
        <w:footnoteRef/>
      </w:r>
      <w:r w:rsidRPr="001D7127">
        <w:rPr>
          <w:rFonts w:cs="Times New Roman"/>
          <w:sz w:val="26"/>
          <w:szCs w:val="26"/>
        </w:rPr>
        <w:t xml:space="preserve"> </w:t>
      </w:r>
      <w:r w:rsidRPr="001D7127">
        <w:rPr>
          <w:rFonts w:cs="Times New Roman"/>
          <w:sz w:val="26"/>
          <w:szCs w:val="26"/>
        </w:rPr>
        <w:tab/>
        <w:t>The OCA also recommended a downward adjustment to the Company</w:t>
      </w:r>
      <w:r>
        <w:rPr>
          <w:rFonts w:cs="Times New Roman"/>
          <w:sz w:val="26"/>
          <w:szCs w:val="26"/>
        </w:rPr>
        <w:t>’</w:t>
      </w:r>
      <w:r w:rsidRPr="001D7127">
        <w:rPr>
          <w:rFonts w:cs="Times New Roman"/>
          <w:sz w:val="26"/>
          <w:szCs w:val="26"/>
        </w:rPr>
        <w:t>s cost of long term debt from 5.0% to 4.85%.  OCA M.B. at 69.</w:t>
      </w:r>
    </w:p>
  </w:footnote>
  <w:footnote w:id="21">
    <w:p w:rsidR="00BA77A1" w:rsidRDefault="00BA77A1" w:rsidP="004F0789">
      <w:pPr>
        <w:pStyle w:val="FootnoteText"/>
        <w:spacing w:line="240" w:lineRule="auto"/>
        <w:ind w:firstLine="720"/>
      </w:pPr>
      <w:r w:rsidRPr="008F1E67">
        <w:rPr>
          <w:rStyle w:val="FootnoteReference"/>
          <w:rFonts w:cs="Times New Roman"/>
          <w:sz w:val="26"/>
          <w:szCs w:val="26"/>
        </w:rPr>
        <w:footnoteRef/>
      </w:r>
      <w:r>
        <w:t xml:space="preserve"> </w:t>
      </w:r>
      <w:r>
        <w:tab/>
      </w:r>
      <w:r>
        <w:rPr>
          <w:rFonts w:cs="Times New Roman"/>
          <w:sz w:val="26"/>
          <w:szCs w:val="26"/>
        </w:rPr>
        <w:t xml:space="preserve">According to Columbia, the Commission </w:t>
      </w:r>
      <w:r w:rsidRPr="00F03813">
        <w:rPr>
          <w:rFonts w:cs="Times New Roman"/>
          <w:sz w:val="26"/>
          <w:szCs w:val="26"/>
        </w:rPr>
        <w:t>affirmed the tendency</w:t>
      </w:r>
      <w:r>
        <w:rPr>
          <w:rFonts w:cs="Times New Roman"/>
          <w:sz w:val="26"/>
          <w:szCs w:val="26"/>
        </w:rPr>
        <w:t xml:space="preserve"> of the DCF model to misstate</w:t>
      </w:r>
      <w:r w:rsidRPr="00F03813">
        <w:rPr>
          <w:rFonts w:cs="Times New Roman"/>
          <w:sz w:val="26"/>
          <w:szCs w:val="26"/>
        </w:rPr>
        <w:t xml:space="preserve"> investors</w:t>
      </w:r>
      <w:r>
        <w:rPr>
          <w:rFonts w:cs="Times New Roman"/>
          <w:sz w:val="26"/>
          <w:szCs w:val="26"/>
        </w:rPr>
        <w:t>’</w:t>
      </w:r>
      <w:r w:rsidRPr="00F03813">
        <w:rPr>
          <w:rFonts w:cs="Times New Roman"/>
          <w:sz w:val="26"/>
          <w:szCs w:val="26"/>
        </w:rPr>
        <w:t xml:space="preserve"> required return</w:t>
      </w:r>
      <w:r>
        <w:rPr>
          <w:rFonts w:cs="Times New Roman"/>
          <w:sz w:val="26"/>
          <w:szCs w:val="26"/>
        </w:rPr>
        <w:t xml:space="preserve"> in 2007 in its Opinion and Order at </w:t>
      </w:r>
      <w:r w:rsidRPr="0055112F">
        <w:rPr>
          <w:rFonts w:cs="Times New Roman"/>
          <w:i/>
          <w:sz w:val="26"/>
          <w:szCs w:val="26"/>
        </w:rPr>
        <w:t>Pa. PUC v.  P</w:t>
      </w:r>
      <w:r w:rsidRPr="00F03813">
        <w:rPr>
          <w:rFonts w:cs="Times New Roman"/>
          <w:i/>
          <w:sz w:val="26"/>
          <w:szCs w:val="26"/>
        </w:rPr>
        <w:t>PL Gas Utilities Corporation</w:t>
      </w:r>
      <w:r>
        <w:rPr>
          <w:rFonts w:cs="Times New Roman"/>
          <w:sz w:val="26"/>
          <w:szCs w:val="26"/>
        </w:rPr>
        <w:t>, Docket No. R</w:t>
      </w:r>
      <w:r>
        <w:rPr>
          <w:rFonts w:cs="Times New Roman"/>
          <w:sz w:val="26"/>
          <w:szCs w:val="26"/>
        </w:rPr>
        <w:noBreakHyphen/>
      </w:r>
      <w:r w:rsidRPr="00F03813">
        <w:rPr>
          <w:rFonts w:cs="Times New Roman"/>
          <w:sz w:val="26"/>
          <w:szCs w:val="26"/>
        </w:rPr>
        <w:t>00061398</w:t>
      </w:r>
      <w:r>
        <w:rPr>
          <w:rFonts w:cs="Times New Roman"/>
          <w:sz w:val="26"/>
          <w:szCs w:val="26"/>
        </w:rPr>
        <w:t xml:space="preserve"> (Order entered February 8, 2007).  However, Columbia refers to the portion of the Commission’s Opinion and Order that merely summarized the ALJ’s recommendation in that case to adopt a leverage adjustment to compensate for the differences between market prices and book value.  Although the Commission itself adopted a leverage adjustment, it did not state that a leverage adjustment was necessary when a DCF analysis is used.</w:t>
      </w:r>
    </w:p>
  </w:footnote>
  <w:footnote w:id="22">
    <w:p w:rsidR="00BA77A1" w:rsidRPr="00B06D05" w:rsidRDefault="00BA77A1" w:rsidP="004F0789">
      <w:pPr>
        <w:pStyle w:val="FootnoteText"/>
        <w:spacing w:line="240" w:lineRule="auto"/>
        <w:ind w:firstLine="720"/>
        <w:rPr>
          <w:rFonts w:cs="Times New Roman"/>
          <w:sz w:val="26"/>
          <w:szCs w:val="26"/>
        </w:rPr>
      </w:pPr>
      <w:r w:rsidRPr="00B06D05">
        <w:rPr>
          <w:rStyle w:val="FootnoteReference"/>
          <w:rFonts w:cs="Times New Roman"/>
          <w:sz w:val="26"/>
          <w:szCs w:val="26"/>
        </w:rPr>
        <w:footnoteRef/>
      </w:r>
      <w:r w:rsidRPr="00B06D05">
        <w:rPr>
          <w:rFonts w:cs="Times New Roman"/>
          <w:sz w:val="26"/>
          <w:szCs w:val="26"/>
        </w:rPr>
        <w:t xml:space="preserve"> </w:t>
      </w:r>
      <w:r w:rsidRPr="00B06D05">
        <w:rPr>
          <w:rFonts w:cs="Times New Roman"/>
          <w:sz w:val="26"/>
          <w:szCs w:val="26"/>
        </w:rPr>
        <w:tab/>
        <w:t>CWC St. 3 at 2-3.</w:t>
      </w:r>
    </w:p>
  </w:footnote>
  <w:footnote w:id="23">
    <w:p w:rsidR="00BA77A1" w:rsidRDefault="00BA77A1" w:rsidP="004F0789">
      <w:pPr>
        <w:pStyle w:val="FootnoteText"/>
        <w:spacing w:line="240" w:lineRule="auto"/>
        <w:ind w:firstLine="720"/>
      </w:pPr>
      <w:r w:rsidRPr="00B06D05">
        <w:rPr>
          <w:rStyle w:val="FootnoteReference"/>
          <w:rFonts w:cs="Times New Roman"/>
          <w:sz w:val="26"/>
          <w:szCs w:val="26"/>
        </w:rPr>
        <w:footnoteRef/>
      </w:r>
      <w:r w:rsidRPr="00B06D05">
        <w:rPr>
          <w:rFonts w:cs="Times New Roman"/>
          <w:sz w:val="26"/>
          <w:szCs w:val="26"/>
        </w:rPr>
        <w:t xml:space="preserve"> </w:t>
      </w:r>
      <w:r w:rsidRPr="00B06D05">
        <w:rPr>
          <w:rFonts w:cs="Times New Roman"/>
          <w:sz w:val="26"/>
          <w:szCs w:val="26"/>
        </w:rPr>
        <w:tab/>
      </w:r>
      <w:r>
        <w:rPr>
          <w:rFonts w:cs="Times New Roman"/>
          <w:sz w:val="26"/>
          <w:szCs w:val="26"/>
        </w:rPr>
        <w:t>I&amp;E refers to Columbia’s statement t</w:t>
      </w:r>
      <w:r w:rsidRPr="00B06D05">
        <w:rPr>
          <w:rFonts w:cs="Times New Roman"/>
          <w:sz w:val="26"/>
          <w:szCs w:val="26"/>
        </w:rPr>
        <w:t>hat 9.15% would be the lowest authorized ROE in the country for a water utility, at least since 2011 (without provisions for double leverage)</w:t>
      </w:r>
      <w:r>
        <w:rPr>
          <w:rFonts w:cs="Times New Roman"/>
          <w:sz w:val="26"/>
          <w:szCs w:val="26"/>
        </w:rPr>
        <w:t>.  CWC Exc. at 10.</w:t>
      </w:r>
    </w:p>
  </w:footnote>
  <w:footnote w:id="24">
    <w:p w:rsidR="00BA77A1" w:rsidRPr="00BE5B9A" w:rsidRDefault="00BA77A1" w:rsidP="004F0789">
      <w:pPr>
        <w:pStyle w:val="FootnoteText"/>
        <w:spacing w:line="240" w:lineRule="auto"/>
        <w:ind w:firstLine="720"/>
        <w:rPr>
          <w:rFonts w:cs="Times New Roman"/>
          <w:sz w:val="26"/>
          <w:szCs w:val="26"/>
        </w:rPr>
      </w:pPr>
      <w:r w:rsidRPr="00BE5B9A">
        <w:rPr>
          <w:rStyle w:val="FootnoteReference"/>
          <w:rFonts w:cs="Times New Roman"/>
          <w:sz w:val="26"/>
          <w:szCs w:val="26"/>
        </w:rPr>
        <w:footnoteRef/>
      </w:r>
      <w:r w:rsidRPr="00BE5B9A">
        <w:rPr>
          <w:rFonts w:cs="Times New Roman"/>
          <w:sz w:val="26"/>
          <w:szCs w:val="26"/>
        </w:rPr>
        <w:t xml:space="preserve"> </w:t>
      </w:r>
      <w:r w:rsidRPr="00BE5B9A">
        <w:rPr>
          <w:rFonts w:cs="Times New Roman"/>
          <w:sz w:val="26"/>
          <w:szCs w:val="26"/>
        </w:rPr>
        <w:tab/>
        <w:t xml:space="preserve">I&amp;E cites </w:t>
      </w:r>
      <w:r>
        <w:rPr>
          <w:rFonts w:cs="Times New Roman"/>
          <w:i/>
          <w:sz w:val="26"/>
          <w:szCs w:val="26"/>
        </w:rPr>
        <w:t>Pa. PUC</w:t>
      </w:r>
      <w:r w:rsidRPr="00BE5B9A">
        <w:rPr>
          <w:rFonts w:cs="Times New Roman"/>
          <w:i/>
          <w:sz w:val="26"/>
          <w:szCs w:val="26"/>
        </w:rPr>
        <w:t xml:space="preserve"> v. Consumers Pennsylvania Water Company - Roaring Creek Division</w:t>
      </w:r>
      <w:r w:rsidRPr="00BE5B9A">
        <w:rPr>
          <w:rFonts w:cs="Times New Roman"/>
          <w:sz w:val="26"/>
          <w:szCs w:val="26"/>
        </w:rPr>
        <w:t xml:space="preserve">, 87 PA PUC 826 (1997); </w:t>
      </w:r>
      <w:r>
        <w:rPr>
          <w:rFonts w:cs="Times New Roman"/>
          <w:i/>
          <w:sz w:val="26"/>
          <w:szCs w:val="26"/>
        </w:rPr>
        <w:t>Pa. PUC</w:t>
      </w:r>
      <w:r w:rsidRPr="00BE5B9A">
        <w:rPr>
          <w:rFonts w:cs="Times New Roman"/>
          <w:i/>
          <w:sz w:val="26"/>
          <w:szCs w:val="26"/>
        </w:rPr>
        <w:t xml:space="preserve"> v. Roaring Creek Water Company</w:t>
      </w:r>
      <w:r w:rsidRPr="00BE5B9A">
        <w:rPr>
          <w:rFonts w:cs="Times New Roman"/>
          <w:sz w:val="26"/>
          <w:szCs w:val="26"/>
        </w:rPr>
        <w:t>, 81 PA PUC 285, 323, 150 PUR 4th 449, 483-488 (1994</w:t>
      </w:r>
      <w:r>
        <w:rPr>
          <w:rFonts w:cs="Times New Roman"/>
          <w:i/>
          <w:sz w:val="26"/>
          <w:szCs w:val="26"/>
        </w:rPr>
        <w:t>); Pa. PUC</w:t>
      </w:r>
      <w:r w:rsidRPr="00BE5B9A">
        <w:rPr>
          <w:rFonts w:cs="Times New Roman"/>
          <w:i/>
          <w:sz w:val="26"/>
          <w:szCs w:val="26"/>
        </w:rPr>
        <w:t xml:space="preserve"> v. York Water Co.</w:t>
      </w:r>
      <w:r w:rsidRPr="00BE5B9A">
        <w:rPr>
          <w:rFonts w:cs="Times New Roman"/>
          <w:sz w:val="26"/>
          <w:szCs w:val="26"/>
        </w:rPr>
        <w:t xml:space="preserve">, 75 PA PUC 134, 153-167 (1991); </w:t>
      </w:r>
      <w:r>
        <w:rPr>
          <w:rFonts w:cs="Times New Roman"/>
          <w:i/>
          <w:sz w:val="26"/>
          <w:szCs w:val="26"/>
        </w:rPr>
        <w:t>Pa. PUC</w:t>
      </w:r>
      <w:r w:rsidRPr="00BE5B9A">
        <w:rPr>
          <w:rFonts w:cs="Times New Roman"/>
          <w:i/>
          <w:sz w:val="26"/>
          <w:szCs w:val="26"/>
        </w:rPr>
        <w:t xml:space="preserve"> v. Equitable Gas Company</w:t>
      </w:r>
      <w:r w:rsidRPr="00BE5B9A">
        <w:rPr>
          <w:rFonts w:cs="Times New Roman"/>
          <w:sz w:val="26"/>
          <w:szCs w:val="26"/>
        </w:rPr>
        <w:t xml:space="preserve">, 73 PA PUC 345-346 (1990); </w:t>
      </w:r>
      <w:r>
        <w:rPr>
          <w:rFonts w:cs="Times New Roman"/>
          <w:sz w:val="26"/>
          <w:szCs w:val="26"/>
        </w:rPr>
        <w:t xml:space="preserve">and </w:t>
      </w:r>
      <w:r>
        <w:rPr>
          <w:rFonts w:cs="Times New Roman"/>
          <w:i/>
          <w:sz w:val="26"/>
          <w:szCs w:val="26"/>
        </w:rPr>
        <w:t>Pa. PUC</w:t>
      </w:r>
      <w:r w:rsidRPr="00BE5B9A">
        <w:rPr>
          <w:rFonts w:cs="Times New Roman"/>
          <w:i/>
          <w:sz w:val="26"/>
          <w:szCs w:val="26"/>
        </w:rPr>
        <w:t xml:space="preserve"> v. Philadelphia Suburban Water Company</w:t>
      </w:r>
      <w:r w:rsidRPr="00BE5B9A">
        <w:rPr>
          <w:rFonts w:cs="Times New Roman"/>
          <w:sz w:val="26"/>
          <w:szCs w:val="26"/>
        </w:rPr>
        <w:t>, 71 PA PUC 593, 623-632 (1989).</w:t>
      </w:r>
    </w:p>
  </w:footnote>
  <w:footnote w:id="25">
    <w:p w:rsidR="00BA77A1" w:rsidRPr="00722A2B" w:rsidRDefault="00BA77A1" w:rsidP="009C285A">
      <w:pPr>
        <w:pStyle w:val="FootnoteText"/>
        <w:keepLines/>
        <w:spacing w:line="240" w:lineRule="auto"/>
        <w:ind w:firstLine="720"/>
        <w:rPr>
          <w:sz w:val="26"/>
          <w:szCs w:val="26"/>
        </w:rPr>
      </w:pPr>
      <w:r w:rsidRPr="00722A2B">
        <w:rPr>
          <w:rStyle w:val="FootnoteReference"/>
          <w:sz w:val="26"/>
          <w:szCs w:val="26"/>
        </w:rPr>
        <w:footnoteRef/>
      </w:r>
      <w:r>
        <w:rPr>
          <w:sz w:val="26"/>
          <w:szCs w:val="26"/>
        </w:rPr>
        <w:t xml:space="preserve"> </w:t>
      </w:r>
      <w:r>
        <w:rPr>
          <w:sz w:val="26"/>
          <w:szCs w:val="26"/>
        </w:rPr>
        <w:tab/>
        <w:t>The OCA calculated the increased revenue requirement as follows:  U</w:t>
      </w:r>
      <w:r w:rsidRPr="00722A2B">
        <w:rPr>
          <w:sz w:val="26"/>
          <w:szCs w:val="26"/>
        </w:rPr>
        <w:t>sing the Company</w:t>
      </w:r>
      <w:r>
        <w:rPr>
          <w:sz w:val="26"/>
          <w:szCs w:val="26"/>
        </w:rPr>
        <w:t>’</w:t>
      </w:r>
      <w:r w:rsidRPr="00722A2B">
        <w:rPr>
          <w:sz w:val="26"/>
          <w:szCs w:val="26"/>
        </w:rPr>
        <w:t>s proposed equity ratio of</w:t>
      </w:r>
      <w:r>
        <w:rPr>
          <w:sz w:val="26"/>
          <w:szCs w:val="26"/>
        </w:rPr>
        <w:t xml:space="preserve"> 64.4%, a 0.25% equity premium would result in a 0.16% increase</w:t>
      </w:r>
      <w:r w:rsidRPr="00722A2B">
        <w:rPr>
          <w:sz w:val="26"/>
          <w:szCs w:val="26"/>
        </w:rPr>
        <w:t xml:space="preserve"> to </w:t>
      </w:r>
      <w:r>
        <w:rPr>
          <w:sz w:val="26"/>
          <w:szCs w:val="26"/>
        </w:rPr>
        <w:t>ROR</w:t>
      </w:r>
      <w:r w:rsidRPr="00722A2B">
        <w:rPr>
          <w:sz w:val="26"/>
          <w:szCs w:val="26"/>
        </w:rPr>
        <w:t xml:space="preserve"> (64.</w:t>
      </w:r>
      <w:r>
        <w:rPr>
          <w:sz w:val="26"/>
          <w:szCs w:val="26"/>
        </w:rPr>
        <w:t>45% x 0.25% = 0.16%).  Sch. DWD</w:t>
      </w:r>
      <w:r>
        <w:rPr>
          <w:sz w:val="26"/>
          <w:szCs w:val="26"/>
        </w:rPr>
        <w:noBreakHyphen/>
      </w:r>
      <w:r w:rsidRPr="00722A2B">
        <w:rPr>
          <w:sz w:val="26"/>
          <w:szCs w:val="26"/>
        </w:rPr>
        <w:t>1 at 1.  Using the rate base claimed in Columbia</w:t>
      </w:r>
      <w:r>
        <w:rPr>
          <w:sz w:val="26"/>
          <w:szCs w:val="26"/>
        </w:rPr>
        <w:t>’</w:t>
      </w:r>
      <w:r w:rsidRPr="00722A2B">
        <w:rPr>
          <w:sz w:val="26"/>
          <w:szCs w:val="26"/>
        </w:rPr>
        <w:t xml:space="preserve">s revised rebuttal testimony of $13,796,707, each 0.25% adder </w:t>
      </w:r>
      <w:r>
        <w:rPr>
          <w:sz w:val="26"/>
          <w:szCs w:val="26"/>
        </w:rPr>
        <w:t>would result</w:t>
      </w:r>
      <w:r w:rsidRPr="00722A2B">
        <w:rPr>
          <w:sz w:val="26"/>
          <w:szCs w:val="26"/>
        </w:rPr>
        <w:t xml:space="preserve"> in an additional $34,492 of revenue requirement ($13,796,707 x 0.25% = $34,492).  </w:t>
      </w:r>
      <w:r>
        <w:rPr>
          <w:sz w:val="26"/>
          <w:szCs w:val="26"/>
        </w:rPr>
        <w:t xml:space="preserve">OCA M.B. at 86, n. 34, citing </w:t>
      </w:r>
      <w:r w:rsidRPr="00722A2B">
        <w:rPr>
          <w:sz w:val="26"/>
          <w:szCs w:val="26"/>
        </w:rPr>
        <w:t xml:space="preserve">GDS Rebuttal Exh. 3 at 3.  </w:t>
      </w:r>
    </w:p>
  </w:footnote>
  <w:footnote w:id="26">
    <w:p w:rsidR="00BA77A1" w:rsidRPr="00926A1E" w:rsidRDefault="00BA77A1" w:rsidP="004F0789">
      <w:pPr>
        <w:pStyle w:val="FootnoteText"/>
        <w:spacing w:line="240" w:lineRule="auto"/>
        <w:ind w:firstLine="720"/>
        <w:rPr>
          <w:rFonts w:cs="Times New Roman"/>
          <w:sz w:val="26"/>
          <w:szCs w:val="26"/>
        </w:rPr>
      </w:pPr>
      <w:r w:rsidRPr="00926A1E">
        <w:rPr>
          <w:rStyle w:val="FootnoteReference"/>
          <w:rFonts w:cs="Times New Roman"/>
          <w:sz w:val="26"/>
          <w:szCs w:val="26"/>
        </w:rPr>
        <w:footnoteRef/>
      </w:r>
      <w:r w:rsidRPr="00926A1E">
        <w:rPr>
          <w:rFonts w:cs="Times New Roman"/>
          <w:sz w:val="26"/>
          <w:szCs w:val="26"/>
        </w:rPr>
        <w:t xml:space="preserve"> </w:t>
      </w:r>
      <w:r w:rsidRPr="00926A1E">
        <w:rPr>
          <w:rFonts w:cs="Times New Roman"/>
          <w:sz w:val="26"/>
          <w:szCs w:val="26"/>
        </w:rPr>
        <w:tab/>
      </w:r>
      <w:r>
        <w:rPr>
          <w:rFonts w:cs="Times New Roman"/>
          <w:i/>
          <w:sz w:val="26"/>
          <w:szCs w:val="26"/>
        </w:rPr>
        <w:t>Pa. PUC</w:t>
      </w:r>
      <w:r w:rsidRPr="00926A1E">
        <w:rPr>
          <w:rFonts w:cs="Times New Roman"/>
          <w:i/>
          <w:sz w:val="26"/>
          <w:szCs w:val="26"/>
        </w:rPr>
        <w:t xml:space="preserve"> v. Aqua Pennsylvania, Inc.</w:t>
      </w:r>
      <w:r>
        <w:rPr>
          <w:rFonts w:cs="Times New Roman"/>
          <w:sz w:val="26"/>
          <w:szCs w:val="26"/>
        </w:rPr>
        <w:t>, Docket No. R-00072711 (Order e</w:t>
      </w:r>
      <w:r w:rsidRPr="00926A1E">
        <w:rPr>
          <w:rFonts w:cs="Times New Roman"/>
          <w:sz w:val="26"/>
          <w:szCs w:val="26"/>
        </w:rPr>
        <w:t>ntered July 31, 2008)</w:t>
      </w:r>
      <w:r>
        <w:rPr>
          <w:rFonts w:cs="Times New Roman"/>
          <w:sz w:val="26"/>
          <w:szCs w:val="26"/>
        </w:rPr>
        <w:t xml:space="preserve"> (</w:t>
      </w:r>
      <w:r w:rsidRPr="00926A1E">
        <w:rPr>
          <w:rFonts w:cs="Times New Roman"/>
          <w:i/>
          <w:sz w:val="26"/>
          <w:szCs w:val="26"/>
        </w:rPr>
        <w:t>Aqua</w:t>
      </w:r>
      <w:r>
        <w:rPr>
          <w:rFonts w:cs="Times New Roman"/>
          <w:sz w:val="26"/>
          <w:szCs w:val="26"/>
        </w:rPr>
        <w:t>)</w:t>
      </w:r>
      <w:r w:rsidRPr="00926A1E">
        <w:rPr>
          <w:rFonts w:cs="Times New Roman"/>
          <w:sz w:val="26"/>
          <w:szCs w:val="26"/>
        </w:rPr>
        <w:fldChar w:fldCharType="begin"/>
      </w:r>
      <w:r w:rsidRPr="00926A1E">
        <w:rPr>
          <w:rFonts w:cs="Times New Roman"/>
          <w:sz w:val="26"/>
          <w:szCs w:val="26"/>
        </w:rPr>
        <w:instrText xml:space="preserve"> TA \l "</w:instrText>
      </w:r>
      <w:r w:rsidRPr="00926A1E">
        <w:rPr>
          <w:rFonts w:cs="Times New Roman"/>
          <w:i/>
          <w:sz w:val="26"/>
          <w:szCs w:val="26"/>
        </w:rPr>
        <w:instrText>Pa. P.U.C. v. Aqua Pennsylvania, Inc.</w:instrText>
      </w:r>
      <w:r w:rsidRPr="00926A1E">
        <w:rPr>
          <w:rFonts w:cs="Times New Roman"/>
          <w:sz w:val="26"/>
          <w:szCs w:val="26"/>
        </w:rPr>
        <w:instrText xml:space="preserve">, Dkt No. R-00072711 (Final Order Entered July 31, 2008)" \s "Pa. P.U.C. v. Aqua Pennsylvania, Inc., Dkt No. R-00072711 (Final Order Entered July 31, 2008)" \c 1 </w:instrText>
      </w:r>
      <w:r w:rsidRPr="00926A1E">
        <w:rPr>
          <w:rFonts w:cs="Times New Roman"/>
          <w:sz w:val="26"/>
          <w:szCs w:val="26"/>
        </w:rPr>
        <w:fldChar w:fldCharType="end"/>
      </w:r>
      <w:r w:rsidRPr="00926A1E">
        <w:rPr>
          <w:rFonts w:cs="Times New Roman"/>
          <w:sz w:val="26"/>
          <w:szCs w:val="26"/>
        </w:rPr>
        <w:t xml:space="preserve">. </w:t>
      </w:r>
      <w:r w:rsidRPr="00926A1E">
        <w:rPr>
          <w:rFonts w:cs="Times New Roman"/>
          <w:i/>
          <w:sz w:val="26"/>
          <w:szCs w:val="26"/>
        </w:rPr>
        <w:t xml:space="preserve"> </w:t>
      </w:r>
    </w:p>
  </w:footnote>
  <w:footnote w:id="27">
    <w:p w:rsidR="00BA77A1" w:rsidRPr="00926A1E" w:rsidRDefault="00BA77A1" w:rsidP="004F0789">
      <w:pPr>
        <w:pStyle w:val="FootnoteText"/>
        <w:ind w:firstLine="720"/>
        <w:rPr>
          <w:rFonts w:cs="Times New Roman"/>
          <w:sz w:val="26"/>
          <w:szCs w:val="26"/>
        </w:rPr>
      </w:pPr>
      <w:r w:rsidRPr="00926A1E">
        <w:rPr>
          <w:rStyle w:val="FootnoteReference"/>
          <w:rFonts w:cs="Times New Roman"/>
          <w:sz w:val="26"/>
          <w:szCs w:val="26"/>
        </w:rPr>
        <w:footnoteRef/>
      </w:r>
      <w:r w:rsidRPr="00926A1E">
        <w:rPr>
          <w:rFonts w:cs="Times New Roman"/>
          <w:sz w:val="26"/>
          <w:szCs w:val="26"/>
        </w:rPr>
        <w:t xml:space="preserve"> </w:t>
      </w:r>
      <w:r w:rsidRPr="00926A1E">
        <w:rPr>
          <w:rFonts w:cs="Times New Roman"/>
          <w:sz w:val="26"/>
          <w:szCs w:val="26"/>
        </w:rPr>
        <w:tab/>
      </w:r>
      <w:r w:rsidRPr="00926A1E">
        <w:rPr>
          <w:rFonts w:cs="Times New Roman"/>
          <w:i/>
          <w:sz w:val="26"/>
          <w:szCs w:val="26"/>
        </w:rPr>
        <w:t>Aqua</w:t>
      </w:r>
      <w:r w:rsidRPr="00926A1E">
        <w:rPr>
          <w:rFonts w:cs="Times New Roman"/>
          <w:sz w:val="26"/>
          <w:szCs w:val="26"/>
        </w:rPr>
        <w:t xml:space="preserve"> at 50.</w:t>
      </w:r>
    </w:p>
  </w:footnote>
  <w:footnote w:id="28">
    <w:p w:rsidR="00BA77A1" w:rsidRPr="00DF473A" w:rsidRDefault="00BA77A1" w:rsidP="00AA34C2">
      <w:pPr>
        <w:pStyle w:val="FootnoteText"/>
        <w:spacing w:line="240" w:lineRule="auto"/>
        <w:ind w:firstLine="720"/>
        <w:rPr>
          <w:rFonts w:cs="Times New Roman"/>
          <w:sz w:val="26"/>
          <w:szCs w:val="26"/>
        </w:rPr>
      </w:pPr>
      <w:r w:rsidRPr="00DF473A">
        <w:rPr>
          <w:rStyle w:val="FootnoteReference"/>
          <w:rFonts w:cs="Times New Roman"/>
          <w:sz w:val="26"/>
          <w:szCs w:val="26"/>
        </w:rPr>
        <w:footnoteRef/>
      </w:r>
      <w:r w:rsidRPr="00DF473A">
        <w:rPr>
          <w:rFonts w:cs="Times New Roman"/>
          <w:sz w:val="26"/>
          <w:szCs w:val="26"/>
        </w:rPr>
        <w:t xml:space="preserve"> </w:t>
      </w:r>
      <w:r>
        <w:rPr>
          <w:rFonts w:cs="Times New Roman"/>
          <w:sz w:val="26"/>
          <w:szCs w:val="26"/>
        </w:rPr>
        <w:tab/>
        <w:t xml:space="preserve">With regard to the </w:t>
      </w:r>
      <w:r w:rsidRPr="00DF473A">
        <w:rPr>
          <w:rFonts w:cs="Times New Roman"/>
          <w:sz w:val="26"/>
          <w:szCs w:val="26"/>
        </w:rPr>
        <w:t>OCA</w:t>
      </w:r>
      <w:r>
        <w:rPr>
          <w:rFonts w:cs="Times New Roman"/>
          <w:sz w:val="26"/>
          <w:szCs w:val="26"/>
        </w:rPr>
        <w:t xml:space="preserve">’s argument that similar expenses </w:t>
      </w:r>
      <w:r w:rsidRPr="00DF473A">
        <w:rPr>
          <w:rFonts w:cs="Times New Roman"/>
          <w:sz w:val="26"/>
          <w:szCs w:val="26"/>
        </w:rPr>
        <w:t>were accepted by the Company as operatin</w:t>
      </w:r>
      <w:r>
        <w:rPr>
          <w:rFonts w:cs="Times New Roman"/>
          <w:sz w:val="26"/>
          <w:szCs w:val="26"/>
        </w:rPr>
        <w:t>g revenue in the Company’s last rate case, Columbia states that its witness, who was not the rate expert in the last</w:t>
      </w:r>
      <w:r w:rsidRPr="00DF473A">
        <w:rPr>
          <w:rFonts w:cs="Times New Roman"/>
          <w:sz w:val="26"/>
          <w:szCs w:val="26"/>
        </w:rPr>
        <w:t xml:space="preserve"> case</w:t>
      </w:r>
      <w:r>
        <w:rPr>
          <w:rFonts w:cs="Times New Roman"/>
          <w:sz w:val="26"/>
          <w:szCs w:val="26"/>
        </w:rPr>
        <w:t>, testified that he disagrees that these adjustments</w:t>
      </w:r>
      <w:r w:rsidRPr="00DF473A">
        <w:rPr>
          <w:rFonts w:cs="Times New Roman"/>
          <w:sz w:val="26"/>
          <w:szCs w:val="26"/>
        </w:rPr>
        <w:t xml:space="preserve"> should have</w:t>
      </w:r>
      <w:r>
        <w:rPr>
          <w:rFonts w:cs="Times New Roman"/>
          <w:sz w:val="26"/>
          <w:szCs w:val="26"/>
        </w:rPr>
        <w:t xml:space="preserve"> been accepted by the Company.  Tr. at 134.  Furthermore, Columbia argues that the</w:t>
      </w:r>
      <w:r w:rsidRPr="00DF473A">
        <w:rPr>
          <w:rFonts w:cs="Times New Roman"/>
          <w:sz w:val="26"/>
          <w:szCs w:val="26"/>
        </w:rPr>
        <w:t xml:space="preserve"> Commis</w:t>
      </w:r>
      <w:r>
        <w:rPr>
          <w:rFonts w:cs="Times New Roman"/>
          <w:sz w:val="26"/>
          <w:szCs w:val="26"/>
        </w:rPr>
        <w:t xml:space="preserve">sion encourages settlements, and </w:t>
      </w:r>
      <w:r w:rsidRPr="00DF473A">
        <w:rPr>
          <w:rFonts w:cs="Times New Roman"/>
          <w:sz w:val="26"/>
          <w:szCs w:val="26"/>
        </w:rPr>
        <w:t xml:space="preserve">just because the Company accepted </w:t>
      </w:r>
      <w:r>
        <w:rPr>
          <w:rFonts w:cs="Times New Roman"/>
          <w:sz w:val="26"/>
          <w:szCs w:val="26"/>
        </w:rPr>
        <w:t xml:space="preserve">an adjustment </w:t>
      </w:r>
      <w:r w:rsidRPr="00DF473A">
        <w:rPr>
          <w:rFonts w:cs="Times New Roman"/>
          <w:sz w:val="26"/>
          <w:szCs w:val="26"/>
        </w:rPr>
        <w:t>in a previous rat</w:t>
      </w:r>
      <w:r>
        <w:rPr>
          <w:rFonts w:cs="Times New Roman"/>
          <w:sz w:val="26"/>
          <w:szCs w:val="26"/>
        </w:rPr>
        <w:t xml:space="preserve">e case settlement does not preclude a different outcome </w:t>
      </w:r>
      <w:r w:rsidRPr="00DF473A">
        <w:rPr>
          <w:rFonts w:cs="Times New Roman"/>
          <w:sz w:val="26"/>
          <w:szCs w:val="26"/>
        </w:rPr>
        <w:t>in a subsequent case.</w:t>
      </w:r>
    </w:p>
  </w:footnote>
  <w:footnote w:id="29">
    <w:p w:rsidR="00BA77A1" w:rsidRPr="00C81972" w:rsidRDefault="00BA77A1" w:rsidP="00C81972">
      <w:pPr>
        <w:pStyle w:val="FootnoteText"/>
        <w:spacing w:line="240" w:lineRule="auto"/>
        <w:ind w:firstLine="720"/>
        <w:rPr>
          <w:rFonts w:cs="Times New Roman"/>
          <w:spacing w:val="-2"/>
          <w:sz w:val="26"/>
          <w:szCs w:val="26"/>
        </w:rPr>
      </w:pPr>
      <w:r w:rsidRPr="00C81972">
        <w:rPr>
          <w:rStyle w:val="FootnoteReference"/>
          <w:rFonts w:cs="Times New Roman"/>
          <w:sz w:val="26"/>
          <w:szCs w:val="26"/>
        </w:rPr>
        <w:footnoteRef/>
      </w:r>
      <w:r w:rsidRPr="00C81972">
        <w:rPr>
          <w:rFonts w:cs="Times New Roman"/>
          <w:sz w:val="26"/>
          <w:szCs w:val="26"/>
        </w:rPr>
        <w:t xml:space="preserve"> </w:t>
      </w:r>
      <w:r w:rsidRPr="00C81972">
        <w:rPr>
          <w:rFonts w:cs="Times New Roman"/>
          <w:sz w:val="26"/>
          <w:szCs w:val="26"/>
        </w:rPr>
        <w:tab/>
      </w:r>
      <w:r w:rsidRPr="00C81972">
        <w:rPr>
          <w:rFonts w:cs="Times New Roman"/>
          <w:i/>
          <w:spacing w:val="-4"/>
          <w:sz w:val="26"/>
          <w:szCs w:val="26"/>
        </w:rPr>
        <w:t xml:space="preserve">Joint Application of the Columbia Water Company and </w:t>
      </w:r>
      <w:r>
        <w:rPr>
          <w:rFonts w:cs="Times New Roman"/>
          <w:i/>
          <w:spacing w:val="-4"/>
          <w:sz w:val="26"/>
          <w:szCs w:val="26"/>
        </w:rPr>
        <w:t xml:space="preserve">Marietta Gravity Water Company, </w:t>
      </w:r>
      <w:r>
        <w:rPr>
          <w:rFonts w:cs="Times New Roman"/>
          <w:spacing w:val="-4"/>
          <w:sz w:val="26"/>
          <w:szCs w:val="26"/>
        </w:rPr>
        <w:t xml:space="preserve">Docket No. A-2012-2282219 (Order entered </w:t>
      </w:r>
      <w:r w:rsidRPr="00C81972">
        <w:rPr>
          <w:rFonts w:cs="Times New Roman"/>
          <w:spacing w:val="-4"/>
          <w:sz w:val="26"/>
          <w:szCs w:val="26"/>
        </w:rPr>
        <w:t>August 30, 201</w:t>
      </w:r>
      <w:r>
        <w:rPr>
          <w:rFonts w:cs="Times New Roman"/>
          <w:spacing w:val="-4"/>
          <w:sz w:val="26"/>
          <w:szCs w:val="26"/>
        </w:rPr>
        <w:t>2).</w:t>
      </w:r>
    </w:p>
  </w:footnote>
  <w:footnote w:id="30">
    <w:p w:rsidR="00BA77A1" w:rsidRPr="004A388E" w:rsidRDefault="00BA77A1" w:rsidP="004A388E">
      <w:pPr>
        <w:pStyle w:val="FootnoteText"/>
        <w:spacing w:line="240" w:lineRule="auto"/>
        <w:ind w:firstLine="720"/>
        <w:rPr>
          <w:rFonts w:cs="Times New Roman"/>
          <w:i/>
          <w:sz w:val="26"/>
          <w:szCs w:val="26"/>
        </w:rPr>
      </w:pPr>
      <w:r w:rsidRPr="004A388E">
        <w:rPr>
          <w:rStyle w:val="FootnoteReference"/>
          <w:rFonts w:cs="Times New Roman"/>
          <w:sz w:val="26"/>
          <w:szCs w:val="26"/>
        </w:rPr>
        <w:footnoteRef/>
      </w:r>
      <w:r w:rsidRPr="004A388E">
        <w:rPr>
          <w:rFonts w:cs="Times New Roman"/>
          <w:sz w:val="26"/>
          <w:szCs w:val="26"/>
        </w:rPr>
        <w:t xml:space="preserve"> </w:t>
      </w:r>
      <w:r>
        <w:rPr>
          <w:rFonts w:cs="Times New Roman"/>
          <w:sz w:val="26"/>
          <w:szCs w:val="26"/>
        </w:rPr>
        <w:tab/>
      </w:r>
      <w:r w:rsidRPr="004A388E">
        <w:rPr>
          <w:rFonts w:cs="Times New Roman"/>
          <w:i/>
          <w:sz w:val="26"/>
          <w:szCs w:val="26"/>
        </w:rPr>
        <w:t>P</w:t>
      </w:r>
      <w:r>
        <w:rPr>
          <w:rFonts w:cs="Times New Roman"/>
          <w:i/>
          <w:sz w:val="26"/>
          <w:szCs w:val="26"/>
        </w:rPr>
        <w:t>opowsky v. Pa. PUC</w:t>
      </w:r>
      <w:r w:rsidRPr="004A388E">
        <w:rPr>
          <w:rFonts w:cs="Times New Roman"/>
          <w:sz w:val="26"/>
          <w:szCs w:val="26"/>
        </w:rPr>
        <w:t>, 869 A.2d 1144, 1153 n.</w:t>
      </w:r>
      <w:r>
        <w:rPr>
          <w:rFonts w:cs="Times New Roman"/>
          <w:sz w:val="26"/>
          <w:szCs w:val="26"/>
        </w:rPr>
        <w:t xml:space="preserve"> </w:t>
      </w:r>
      <w:r w:rsidRPr="004A388E">
        <w:rPr>
          <w:rFonts w:cs="Times New Roman"/>
          <w:sz w:val="26"/>
          <w:szCs w:val="26"/>
        </w:rPr>
        <w:t xml:space="preserve">24 (Pa. Cmwlth. 2005); </w:t>
      </w:r>
      <w:r w:rsidRPr="004A388E">
        <w:rPr>
          <w:rFonts w:cs="Times New Roman"/>
          <w:i/>
          <w:sz w:val="26"/>
          <w:szCs w:val="26"/>
        </w:rPr>
        <w:t>UG</w:t>
      </w:r>
      <w:r>
        <w:rPr>
          <w:rFonts w:cs="Times New Roman"/>
          <w:i/>
          <w:sz w:val="26"/>
          <w:szCs w:val="26"/>
        </w:rPr>
        <w:t>I Corp. v. Pa. PUC</w:t>
      </w:r>
      <w:r>
        <w:rPr>
          <w:rFonts w:cs="Times New Roman"/>
          <w:sz w:val="26"/>
          <w:szCs w:val="26"/>
        </w:rPr>
        <w:t xml:space="preserve">, 410 </w:t>
      </w:r>
      <w:r w:rsidRPr="004A388E">
        <w:rPr>
          <w:rFonts w:cs="Times New Roman"/>
          <w:sz w:val="26"/>
          <w:szCs w:val="26"/>
        </w:rPr>
        <w:t>A.2d 923,</w:t>
      </w:r>
      <w:r>
        <w:rPr>
          <w:rFonts w:cs="Times New Roman"/>
          <w:sz w:val="26"/>
          <w:szCs w:val="26"/>
        </w:rPr>
        <w:t xml:space="preserve"> 933-934 (Pa. Cmwlth. </w:t>
      </w:r>
      <w:r w:rsidRPr="004A388E">
        <w:rPr>
          <w:rFonts w:cs="Times New Roman"/>
          <w:sz w:val="26"/>
          <w:szCs w:val="26"/>
        </w:rPr>
        <w:t>1980)</w:t>
      </w:r>
      <w:r>
        <w:rPr>
          <w:rFonts w:cs="Times New Roman"/>
          <w:sz w:val="26"/>
          <w:szCs w:val="26"/>
        </w:rPr>
        <w:t xml:space="preserve"> </w:t>
      </w:r>
      <w:r w:rsidRPr="004A388E">
        <w:rPr>
          <w:rFonts w:cs="Times New Roman"/>
          <w:sz w:val="26"/>
          <w:szCs w:val="26"/>
        </w:rPr>
        <w:t xml:space="preserve">(expenses allowed for studies involving the feasibility of proposals to enhance the utility’s supply capability); </w:t>
      </w:r>
      <w:r w:rsidRPr="004A388E">
        <w:rPr>
          <w:rFonts w:cs="Times New Roman"/>
          <w:i/>
          <w:iCs/>
          <w:sz w:val="26"/>
          <w:szCs w:val="26"/>
        </w:rPr>
        <w:t>Popowsky v</w:t>
      </w:r>
      <w:r>
        <w:rPr>
          <w:rFonts w:cs="Times New Roman"/>
          <w:i/>
          <w:iCs/>
          <w:sz w:val="26"/>
          <w:szCs w:val="26"/>
        </w:rPr>
        <w:t>. Pa. PUC</w:t>
      </w:r>
      <w:r>
        <w:rPr>
          <w:rFonts w:cs="Times New Roman"/>
          <w:sz w:val="26"/>
          <w:szCs w:val="26"/>
        </w:rPr>
        <w:t>, 695 A.2d 448, 452-53 (Pa. C</w:t>
      </w:r>
      <w:r w:rsidRPr="004A388E">
        <w:rPr>
          <w:rFonts w:cs="Times New Roman"/>
          <w:sz w:val="26"/>
          <w:szCs w:val="26"/>
        </w:rPr>
        <w:t>mw</w:t>
      </w:r>
      <w:r>
        <w:rPr>
          <w:rFonts w:cs="Times New Roman"/>
          <w:sz w:val="26"/>
          <w:szCs w:val="26"/>
        </w:rPr>
        <w:t xml:space="preserve">lth. </w:t>
      </w:r>
      <w:r w:rsidRPr="004A388E">
        <w:rPr>
          <w:rFonts w:cs="Times New Roman"/>
          <w:sz w:val="26"/>
          <w:szCs w:val="26"/>
        </w:rPr>
        <w:t>1997)</w:t>
      </w:r>
      <w:r>
        <w:rPr>
          <w:rFonts w:cs="Times New Roman"/>
          <w:sz w:val="26"/>
          <w:szCs w:val="26"/>
        </w:rPr>
        <w:t xml:space="preserve"> </w:t>
      </w:r>
      <w:r w:rsidRPr="004A388E">
        <w:rPr>
          <w:rFonts w:cs="Times New Roman"/>
          <w:sz w:val="26"/>
          <w:szCs w:val="26"/>
        </w:rPr>
        <w:t>(expenses allowed for costs associated with change in accounting method).</w:t>
      </w:r>
    </w:p>
  </w:footnote>
  <w:footnote w:id="31">
    <w:p w:rsidR="00BA77A1" w:rsidRPr="00941822" w:rsidRDefault="00BA77A1" w:rsidP="00941822">
      <w:pPr>
        <w:pStyle w:val="FootnoteText"/>
        <w:spacing w:line="240" w:lineRule="auto"/>
        <w:ind w:firstLine="720"/>
        <w:rPr>
          <w:rFonts w:cs="Times New Roman"/>
          <w:sz w:val="26"/>
          <w:szCs w:val="26"/>
        </w:rPr>
      </w:pPr>
      <w:r w:rsidRPr="00941822">
        <w:rPr>
          <w:rStyle w:val="FootnoteReference"/>
          <w:rFonts w:cs="Times New Roman"/>
          <w:sz w:val="26"/>
          <w:szCs w:val="26"/>
        </w:rPr>
        <w:footnoteRef/>
      </w:r>
      <w:r w:rsidRPr="00941822">
        <w:rPr>
          <w:rFonts w:cs="Times New Roman"/>
          <w:sz w:val="26"/>
          <w:szCs w:val="26"/>
        </w:rPr>
        <w:t xml:space="preserve"> </w:t>
      </w:r>
      <w:r w:rsidRPr="00941822">
        <w:rPr>
          <w:rFonts w:cs="Times New Roman"/>
          <w:sz w:val="26"/>
          <w:szCs w:val="26"/>
        </w:rPr>
        <w:tab/>
        <w:t>The Company states that</w:t>
      </w:r>
      <w:r>
        <w:rPr>
          <w:rFonts w:cs="Times New Roman"/>
          <w:sz w:val="26"/>
          <w:szCs w:val="26"/>
        </w:rPr>
        <w:t xml:space="preserve"> this would be </w:t>
      </w:r>
      <w:r w:rsidRPr="00941822">
        <w:rPr>
          <w:rFonts w:cs="Times New Roman"/>
          <w:spacing w:val="2"/>
          <w:sz w:val="26"/>
          <w:szCs w:val="26"/>
        </w:rPr>
        <w:t>at the Company’s recommended rate of return of 9.10%.  This would equal an additional net operating income of $11,007.  The income taxes would amount to $6,032 for a total increase in revenues of $17,039</w:t>
      </w:r>
      <w:r>
        <w:rPr>
          <w:rFonts w:cs="Times New Roman"/>
          <w:spacing w:val="2"/>
          <w:sz w:val="26"/>
          <w:szCs w:val="26"/>
        </w:rPr>
        <w:t>,</w:t>
      </w:r>
      <w:r w:rsidRPr="00941822">
        <w:rPr>
          <w:rFonts w:cs="Times New Roman"/>
          <w:spacing w:val="2"/>
          <w:sz w:val="26"/>
          <w:szCs w:val="26"/>
        </w:rPr>
        <w:t xml:space="preserve"> which is higher than the Company’s $15,039 as claimed in this pr</w:t>
      </w:r>
      <w:r>
        <w:rPr>
          <w:rFonts w:cs="Times New Roman"/>
          <w:spacing w:val="2"/>
          <w:sz w:val="26"/>
          <w:szCs w:val="26"/>
        </w:rPr>
        <w:t>oceeding by $2,000.  CWC Exc. at 28.</w:t>
      </w:r>
    </w:p>
  </w:footnote>
  <w:footnote w:id="32">
    <w:p w:rsidR="00BA77A1" w:rsidRPr="007C3299" w:rsidRDefault="00BA77A1" w:rsidP="007C3299">
      <w:pPr>
        <w:pStyle w:val="FootnoteText"/>
        <w:spacing w:line="240" w:lineRule="auto"/>
        <w:ind w:firstLine="720"/>
        <w:rPr>
          <w:rFonts w:cs="Times New Roman"/>
          <w:sz w:val="26"/>
          <w:szCs w:val="26"/>
        </w:rPr>
      </w:pPr>
      <w:r w:rsidRPr="007C3299">
        <w:rPr>
          <w:rStyle w:val="FootnoteReference"/>
          <w:rFonts w:cs="Times New Roman"/>
          <w:sz w:val="26"/>
          <w:szCs w:val="26"/>
        </w:rPr>
        <w:footnoteRef/>
      </w:r>
      <w:r w:rsidRPr="007C3299">
        <w:rPr>
          <w:rFonts w:cs="Times New Roman"/>
          <w:sz w:val="26"/>
          <w:szCs w:val="26"/>
        </w:rPr>
        <w:t xml:space="preserve"> </w:t>
      </w:r>
      <w:r>
        <w:rPr>
          <w:rFonts w:cs="Times New Roman"/>
          <w:sz w:val="26"/>
          <w:szCs w:val="26"/>
        </w:rPr>
        <w:tab/>
      </w:r>
      <w:r w:rsidRPr="007C3299">
        <w:rPr>
          <w:rFonts w:cs="Times New Roman"/>
          <w:sz w:val="26"/>
          <w:szCs w:val="26"/>
        </w:rPr>
        <w:t xml:space="preserve">The OCA </w:t>
      </w:r>
      <w:r>
        <w:rPr>
          <w:rFonts w:cs="Times New Roman"/>
          <w:sz w:val="26"/>
          <w:szCs w:val="26"/>
        </w:rPr>
        <w:t>proposed adjustments to:</w:t>
      </w:r>
      <w:r w:rsidRPr="007C3299">
        <w:rPr>
          <w:rFonts w:cs="Times New Roman"/>
          <w:sz w:val="26"/>
          <w:szCs w:val="26"/>
        </w:rPr>
        <w:t xml:space="preserve"> employee salaries and wage</w:t>
      </w:r>
      <w:r>
        <w:rPr>
          <w:rFonts w:cs="Times New Roman"/>
          <w:sz w:val="26"/>
          <w:szCs w:val="26"/>
        </w:rPr>
        <w:t>s, and associated payroll taxes;</w:t>
      </w:r>
      <w:r w:rsidRPr="007C3299">
        <w:rPr>
          <w:rFonts w:cs="Times New Roman"/>
          <w:sz w:val="26"/>
          <w:szCs w:val="26"/>
        </w:rPr>
        <w:t xml:space="preserve"> p</w:t>
      </w:r>
      <w:r>
        <w:rPr>
          <w:rFonts w:cs="Times New Roman"/>
          <w:sz w:val="26"/>
          <w:szCs w:val="26"/>
        </w:rPr>
        <w:t>ensions and benefits, including</w:t>
      </w:r>
      <w:r w:rsidRPr="007C3299">
        <w:rPr>
          <w:rFonts w:cs="Times New Roman"/>
          <w:sz w:val="26"/>
          <w:szCs w:val="26"/>
        </w:rPr>
        <w:t xml:space="preserve"> health insurance, pension</w:t>
      </w:r>
      <w:r>
        <w:rPr>
          <w:rFonts w:cs="Times New Roman"/>
          <w:sz w:val="26"/>
          <w:szCs w:val="26"/>
        </w:rPr>
        <w:t>, disability and life insurance; vehicle insurance;</w:t>
      </w:r>
      <w:r w:rsidRPr="007C3299">
        <w:rPr>
          <w:rFonts w:cs="Times New Roman"/>
          <w:sz w:val="26"/>
          <w:szCs w:val="26"/>
        </w:rPr>
        <w:t xml:space="preserve"> worker’s comp</w:t>
      </w:r>
      <w:r>
        <w:rPr>
          <w:rFonts w:cs="Times New Roman"/>
          <w:sz w:val="26"/>
          <w:szCs w:val="26"/>
        </w:rPr>
        <w:t>ensation insurance, accounting;</w:t>
      </w:r>
      <w:r w:rsidRPr="007C3299">
        <w:rPr>
          <w:rFonts w:cs="Times New Roman"/>
          <w:sz w:val="26"/>
          <w:szCs w:val="26"/>
        </w:rPr>
        <w:t xml:space="preserve"> and office expenses and utilities.  OCA M.B. at 36-53.</w:t>
      </w:r>
    </w:p>
  </w:footnote>
  <w:footnote w:id="33">
    <w:p w:rsidR="00BA77A1" w:rsidRPr="00640B95" w:rsidRDefault="00BA77A1" w:rsidP="00A76DA2">
      <w:pPr>
        <w:pStyle w:val="FootnoteText"/>
        <w:keepLines/>
        <w:spacing w:line="240" w:lineRule="auto"/>
        <w:ind w:firstLine="720"/>
        <w:rPr>
          <w:rFonts w:cs="Times New Roman"/>
          <w:spacing w:val="2"/>
          <w:sz w:val="26"/>
          <w:szCs w:val="26"/>
        </w:rPr>
      </w:pPr>
      <w:r w:rsidRPr="00640B95">
        <w:rPr>
          <w:rStyle w:val="FootnoteReference"/>
          <w:rFonts w:cs="Times New Roman"/>
          <w:sz w:val="26"/>
          <w:szCs w:val="26"/>
        </w:rPr>
        <w:footnoteRef/>
      </w:r>
      <w:r w:rsidRPr="00640B95">
        <w:rPr>
          <w:rFonts w:cs="Times New Roman"/>
          <w:sz w:val="26"/>
          <w:szCs w:val="26"/>
        </w:rPr>
        <w:t xml:space="preserve"> </w:t>
      </w:r>
      <w:r>
        <w:rPr>
          <w:rFonts w:cs="Times New Roman"/>
          <w:sz w:val="26"/>
          <w:szCs w:val="26"/>
        </w:rPr>
        <w:tab/>
      </w:r>
      <w:r w:rsidRPr="00640B95">
        <w:rPr>
          <w:rFonts w:cs="Times New Roman"/>
          <w:spacing w:val="2"/>
          <w:sz w:val="26"/>
          <w:szCs w:val="26"/>
        </w:rPr>
        <w:t>The Company</w:t>
      </w:r>
      <w:r>
        <w:rPr>
          <w:rFonts w:cs="Times New Roman"/>
          <w:spacing w:val="2"/>
          <w:sz w:val="26"/>
          <w:szCs w:val="26"/>
        </w:rPr>
        <w:t xml:space="preserve"> submits that its</w:t>
      </w:r>
      <w:r w:rsidRPr="00640B95">
        <w:rPr>
          <w:rFonts w:cs="Times New Roman"/>
          <w:spacing w:val="2"/>
          <w:sz w:val="26"/>
          <w:szCs w:val="26"/>
        </w:rPr>
        <w:t xml:space="preserve"> general manager, Dave Lewis, testifi</w:t>
      </w:r>
      <w:r>
        <w:rPr>
          <w:rFonts w:cs="Times New Roman"/>
          <w:spacing w:val="2"/>
          <w:sz w:val="26"/>
          <w:szCs w:val="26"/>
        </w:rPr>
        <w:t xml:space="preserve">ed that the Company </w:t>
      </w:r>
      <w:r w:rsidRPr="00640B95">
        <w:rPr>
          <w:rFonts w:cs="Times New Roman"/>
          <w:spacing w:val="2"/>
          <w:sz w:val="26"/>
          <w:szCs w:val="26"/>
        </w:rPr>
        <w:t>allocated an average of 8% of its employees’ time to the Marietta Division; however</w:t>
      </w:r>
      <w:r>
        <w:rPr>
          <w:rFonts w:cs="Times New Roman"/>
          <w:spacing w:val="2"/>
          <w:sz w:val="26"/>
          <w:szCs w:val="26"/>
        </w:rPr>
        <w:t>, the specific percentage varied</w:t>
      </w:r>
      <w:r w:rsidRPr="00640B95">
        <w:rPr>
          <w:rFonts w:cs="Times New Roman"/>
          <w:spacing w:val="2"/>
          <w:sz w:val="26"/>
          <w:szCs w:val="26"/>
        </w:rPr>
        <w:t xml:space="preserve"> by employee.</w:t>
      </w:r>
      <w:r w:rsidRPr="00640B95">
        <w:rPr>
          <w:rFonts w:eastAsia="Calibri" w:cs="Times New Roman"/>
          <w:spacing w:val="2"/>
          <w:sz w:val="26"/>
          <w:szCs w:val="26"/>
        </w:rPr>
        <w:t xml:space="preserve"> </w:t>
      </w:r>
      <w:r w:rsidRPr="00640B95">
        <w:rPr>
          <w:rFonts w:cs="Times New Roman"/>
          <w:spacing w:val="2"/>
          <w:sz w:val="26"/>
          <w:szCs w:val="26"/>
        </w:rPr>
        <w:t>Columbia’s allocations to the Marietta Divi</w:t>
      </w:r>
      <w:r>
        <w:rPr>
          <w:rFonts w:cs="Times New Roman"/>
          <w:spacing w:val="2"/>
          <w:sz w:val="26"/>
          <w:szCs w:val="26"/>
        </w:rPr>
        <w:t>sion we</w:t>
      </w:r>
      <w:r w:rsidRPr="00640B95">
        <w:rPr>
          <w:rFonts w:cs="Times New Roman"/>
          <w:spacing w:val="2"/>
          <w:sz w:val="26"/>
          <w:szCs w:val="26"/>
        </w:rPr>
        <w:t>re based on Mr. Lewis’ first-hand knowledge of Columbia’s operation</w:t>
      </w:r>
      <w:r>
        <w:rPr>
          <w:rFonts w:cs="Times New Roman"/>
          <w:spacing w:val="2"/>
          <w:sz w:val="26"/>
          <w:szCs w:val="26"/>
        </w:rPr>
        <w:t xml:space="preserve">s.  Mr. Lewis </w:t>
      </w:r>
      <w:r w:rsidRPr="00640B95">
        <w:rPr>
          <w:rFonts w:cs="Times New Roman"/>
          <w:spacing w:val="2"/>
          <w:sz w:val="26"/>
          <w:szCs w:val="26"/>
        </w:rPr>
        <w:t xml:space="preserve">is </w:t>
      </w:r>
      <w:r>
        <w:rPr>
          <w:rFonts w:cs="Times New Roman"/>
          <w:spacing w:val="2"/>
          <w:sz w:val="26"/>
          <w:szCs w:val="26"/>
        </w:rPr>
        <w:t xml:space="preserve">the </w:t>
      </w:r>
      <w:r w:rsidRPr="00640B95">
        <w:rPr>
          <w:rFonts w:cs="Times New Roman"/>
          <w:spacing w:val="2"/>
          <w:sz w:val="26"/>
          <w:szCs w:val="26"/>
        </w:rPr>
        <w:t xml:space="preserve">Vice President and </w:t>
      </w:r>
      <w:r>
        <w:rPr>
          <w:rFonts w:cs="Times New Roman"/>
          <w:spacing w:val="2"/>
          <w:sz w:val="26"/>
          <w:szCs w:val="26"/>
        </w:rPr>
        <w:t xml:space="preserve">General Manager of Columbia, and </w:t>
      </w:r>
      <w:r w:rsidRPr="00640B95">
        <w:rPr>
          <w:rFonts w:cs="Times New Roman"/>
          <w:spacing w:val="2"/>
          <w:sz w:val="26"/>
          <w:szCs w:val="26"/>
        </w:rPr>
        <w:t>has been employed by Colum</w:t>
      </w:r>
      <w:r>
        <w:rPr>
          <w:rFonts w:cs="Times New Roman"/>
          <w:spacing w:val="2"/>
          <w:sz w:val="26"/>
          <w:szCs w:val="26"/>
        </w:rPr>
        <w:t xml:space="preserve">bia for eight years.  Prior to that, he </w:t>
      </w:r>
      <w:r w:rsidRPr="00640B95">
        <w:rPr>
          <w:rFonts w:cs="Times New Roman"/>
          <w:spacing w:val="2"/>
          <w:sz w:val="26"/>
          <w:szCs w:val="26"/>
        </w:rPr>
        <w:t>worked for ARRO Consulting, Inc., providing engineering services to Columbi</w:t>
      </w:r>
      <w:r>
        <w:rPr>
          <w:rFonts w:cs="Times New Roman"/>
          <w:spacing w:val="2"/>
          <w:sz w:val="26"/>
          <w:szCs w:val="26"/>
        </w:rPr>
        <w:t xml:space="preserve">a for approximately fifteen years.  CWC St. 1 at 1:7-17.  He </w:t>
      </w:r>
      <w:r w:rsidRPr="00640B95">
        <w:rPr>
          <w:rFonts w:cs="Times New Roman"/>
          <w:spacing w:val="2"/>
          <w:sz w:val="26"/>
          <w:szCs w:val="26"/>
        </w:rPr>
        <w:t>is responsible for the day-to-day management of the C</w:t>
      </w:r>
      <w:r>
        <w:rPr>
          <w:rFonts w:cs="Times New Roman"/>
          <w:spacing w:val="2"/>
          <w:sz w:val="26"/>
          <w:szCs w:val="26"/>
        </w:rPr>
        <w:t>ompany, including the</w:t>
      </w:r>
      <w:r w:rsidRPr="00640B95">
        <w:rPr>
          <w:rFonts w:cs="Times New Roman"/>
          <w:spacing w:val="2"/>
          <w:sz w:val="26"/>
          <w:szCs w:val="26"/>
        </w:rPr>
        <w:t xml:space="preserve"> oversight and management of the bus</w:t>
      </w:r>
      <w:r>
        <w:rPr>
          <w:rFonts w:cs="Times New Roman"/>
          <w:spacing w:val="2"/>
          <w:sz w:val="26"/>
          <w:szCs w:val="26"/>
        </w:rPr>
        <w:t>iness office (three</w:t>
      </w:r>
      <w:r w:rsidRPr="00640B95">
        <w:rPr>
          <w:rFonts w:cs="Times New Roman"/>
          <w:spacing w:val="2"/>
          <w:sz w:val="26"/>
          <w:szCs w:val="26"/>
        </w:rPr>
        <w:t xml:space="preserve"> employees)</w:t>
      </w:r>
      <w:r>
        <w:rPr>
          <w:rFonts w:cs="Times New Roman"/>
          <w:spacing w:val="2"/>
          <w:sz w:val="26"/>
          <w:szCs w:val="26"/>
        </w:rPr>
        <w:t>, the distribution department (nine</w:t>
      </w:r>
      <w:r w:rsidRPr="00640B95">
        <w:rPr>
          <w:rFonts w:cs="Times New Roman"/>
          <w:spacing w:val="2"/>
          <w:sz w:val="26"/>
          <w:szCs w:val="26"/>
        </w:rPr>
        <w:t xml:space="preserve"> employees), th</w:t>
      </w:r>
      <w:r>
        <w:rPr>
          <w:rFonts w:cs="Times New Roman"/>
          <w:spacing w:val="2"/>
          <w:sz w:val="26"/>
          <w:szCs w:val="26"/>
        </w:rPr>
        <w:t>e water production department (five</w:t>
      </w:r>
      <w:r w:rsidRPr="00640B95">
        <w:rPr>
          <w:rFonts w:cs="Times New Roman"/>
          <w:spacing w:val="2"/>
          <w:sz w:val="26"/>
          <w:szCs w:val="26"/>
        </w:rPr>
        <w:t xml:space="preserve"> employees), and several </w:t>
      </w:r>
      <w:r>
        <w:rPr>
          <w:rFonts w:cs="Times New Roman"/>
          <w:spacing w:val="2"/>
          <w:sz w:val="26"/>
          <w:szCs w:val="26"/>
        </w:rPr>
        <w:t xml:space="preserve">part-time/seasonal employees.  CWC St. 1 </w:t>
      </w:r>
      <w:r>
        <w:rPr>
          <w:rFonts w:cs="Times New Roman"/>
          <w:spacing w:val="2"/>
          <w:sz w:val="26"/>
          <w:szCs w:val="26"/>
        </w:rPr>
        <w:br/>
        <w:t>at 1:20-23.</w:t>
      </w:r>
    </w:p>
  </w:footnote>
  <w:footnote w:id="34">
    <w:p w:rsidR="00BA77A1" w:rsidRDefault="00BA77A1" w:rsidP="00A76DA2">
      <w:pPr>
        <w:spacing w:line="240" w:lineRule="auto"/>
        <w:ind w:firstLine="720"/>
        <w:rPr>
          <w:rFonts w:asciiTheme="minorHAnsi" w:hAnsiTheme="minorHAnsi" w:cstheme="minorBidi"/>
          <w:color w:val="1F497D" w:themeColor="dark2"/>
          <w:sz w:val="22"/>
          <w:szCs w:val="22"/>
        </w:rPr>
      </w:pPr>
      <w:r>
        <w:rPr>
          <w:rStyle w:val="FootnoteReference"/>
        </w:rPr>
        <w:footnoteRef/>
      </w:r>
      <w:r>
        <w:t xml:space="preserve">  </w:t>
      </w:r>
      <w:r>
        <w:tab/>
        <w:t>The OCA also proposed other adjustments to the Company’s h</w:t>
      </w:r>
      <w:r w:rsidRPr="007F70DF">
        <w:rPr>
          <w:rFonts w:eastAsia="Calibri" w:cs="Times New Roman"/>
          <w:szCs w:val="26"/>
        </w:rPr>
        <w:t xml:space="preserve">ealth </w:t>
      </w:r>
      <w:r>
        <w:rPr>
          <w:rFonts w:eastAsia="Calibri" w:cs="Times New Roman"/>
          <w:szCs w:val="26"/>
        </w:rPr>
        <w:t>i</w:t>
      </w:r>
      <w:r w:rsidRPr="007F70DF">
        <w:rPr>
          <w:rFonts w:eastAsia="Calibri" w:cs="Times New Roman"/>
          <w:szCs w:val="26"/>
        </w:rPr>
        <w:t xml:space="preserve">nsurance, </w:t>
      </w:r>
      <w:r>
        <w:rPr>
          <w:rFonts w:eastAsia="Calibri" w:cs="Times New Roman"/>
          <w:szCs w:val="26"/>
        </w:rPr>
        <w:t>p</w:t>
      </w:r>
      <w:r w:rsidRPr="007F70DF">
        <w:rPr>
          <w:rFonts w:eastAsia="Calibri" w:cs="Times New Roman"/>
          <w:szCs w:val="26"/>
        </w:rPr>
        <w:t xml:space="preserve">ension </w:t>
      </w:r>
      <w:r>
        <w:rPr>
          <w:rFonts w:eastAsia="Calibri" w:cs="Times New Roman"/>
          <w:szCs w:val="26"/>
        </w:rPr>
        <w:t>e</w:t>
      </w:r>
      <w:r w:rsidRPr="007F70DF">
        <w:rPr>
          <w:rFonts w:eastAsia="Calibri" w:cs="Times New Roman"/>
          <w:szCs w:val="26"/>
        </w:rPr>
        <w:t xml:space="preserve">xpense, </w:t>
      </w:r>
      <w:r>
        <w:rPr>
          <w:rFonts w:eastAsia="Calibri" w:cs="Times New Roman"/>
          <w:szCs w:val="26"/>
        </w:rPr>
        <w:t>and d</w:t>
      </w:r>
      <w:r w:rsidRPr="007F70DF">
        <w:rPr>
          <w:rFonts w:eastAsia="Calibri" w:cs="Times New Roman"/>
          <w:szCs w:val="26"/>
        </w:rPr>
        <w:t>isability/</w:t>
      </w:r>
      <w:r>
        <w:rPr>
          <w:rFonts w:eastAsia="Calibri" w:cs="Times New Roman"/>
          <w:szCs w:val="26"/>
        </w:rPr>
        <w:t>l</w:t>
      </w:r>
      <w:r w:rsidRPr="007F70DF">
        <w:rPr>
          <w:rFonts w:eastAsia="Calibri" w:cs="Times New Roman"/>
          <w:szCs w:val="26"/>
        </w:rPr>
        <w:t xml:space="preserve">ife </w:t>
      </w:r>
      <w:r>
        <w:rPr>
          <w:rFonts w:eastAsia="Calibri" w:cs="Times New Roman"/>
          <w:szCs w:val="26"/>
        </w:rPr>
        <w:t>i</w:t>
      </w:r>
      <w:r w:rsidRPr="007F70DF">
        <w:rPr>
          <w:rFonts w:eastAsia="Calibri" w:cs="Times New Roman"/>
          <w:szCs w:val="26"/>
        </w:rPr>
        <w:t>nsurance</w:t>
      </w:r>
      <w:r>
        <w:rPr>
          <w:rFonts w:eastAsia="Calibri" w:cs="Times New Roman"/>
          <w:szCs w:val="26"/>
        </w:rPr>
        <w:t xml:space="preserve"> claims which are addressed, </w:t>
      </w:r>
      <w:r w:rsidRPr="00A76DA2">
        <w:rPr>
          <w:rFonts w:eastAsia="Calibri" w:cs="Times New Roman"/>
          <w:i/>
          <w:szCs w:val="26"/>
        </w:rPr>
        <w:t>infra</w:t>
      </w:r>
      <w:r>
        <w:rPr>
          <w:rFonts w:eastAsia="Calibri" w:cs="Times New Roman"/>
          <w:szCs w:val="26"/>
        </w:rPr>
        <w:t xml:space="preserve">. </w:t>
      </w:r>
    </w:p>
    <w:p w:rsidR="00BA77A1" w:rsidRDefault="00BA77A1">
      <w:pPr>
        <w:pStyle w:val="FootnoteText"/>
      </w:pPr>
    </w:p>
  </w:footnote>
  <w:footnote w:id="35">
    <w:p w:rsidR="00BA77A1" w:rsidRPr="00097B8E" w:rsidRDefault="00BA77A1" w:rsidP="00097B8E">
      <w:pPr>
        <w:pStyle w:val="FootnoteText"/>
        <w:spacing w:line="240" w:lineRule="auto"/>
        <w:ind w:firstLine="720"/>
        <w:rPr>
          <w:sz w:val="26"/>
          <w:szCs w:val="26"/>
        </w:rPr>
      </w:pPr>
      <w:r w:rsidRPr="00097B8E">
        <w:rPr>
          <w:rStyle w:val="FootnoteReference"/>
          <w:sz w:val="26"/>
          <w:szCs w:val="26"/>
        </w:rPr>
        <w:footnoteRef/>
      </w:r>
      <w:r w:rsidRPr="00097B8E">
        <w:rPr>
          <w:sz w:val="26"/>
          <w:szCs w:val="26"/>
        </w:rPr>
        <w:t xml:space="preserve"> </w:t>
      </w:r>
      <w:r w:rsidRPr="00097B8E">
        <w:rPr>
          <w:sz w:val="26"/>
          <w:szCs w:val="26"/>
        </w:rPr>
        <w:tab/>
        <w:t xml:space="preserve"> The OCA noted that</w:t>
      </w:r>
      <w:r>
        <w:rPr>
          <w:sz w:val="26"/>
          <w:szCs w:val="26"/>
        </w:rPr>
        <w:t>,</w:t>
      </w:r>
      <w:r w:rsidRPr="00097B8E">
        <w:rPr>
          <w:sz w:val="26"/>
          <w:szCs w:val="26"/>
        </w:rPr>
        <w:t xml:space="preserve"> </w:t>
      </w:r>
      <w:r>
        <w:rPr>
          <w:sz w:val="26"/>
          <w:szCs w:val="26"/>
        </w:rPr>
        <w:t>as</w:t>
      </w:r>
      <w:r w:rsidRPr="00097B8E">
        <w:rPr>
          <w:sz w:val="26"/>
          <w:szCs w:val="26"/>
        </w:rPr>
        <w:t xml:space="preserve"> </w:t>
      </w:r>
      <w:r>
        <w:rPr>
          <w:sz w:val="26"/>
          <w:szCs w:val="26"/>
        </w:rPr>
        <w:t xml:space="preserve">an </w:t>
      </w:r>
      <w:r w:rsidRPr="00097B8E">
        <w:rPr>
          <w:sz w:val="26"/>
          <w:szCs w:val="26"/>
        </w:rPr>
        <w:t xml:space="preserve">alternative to rejecting the Company’s claim for a premium increase, the Commission should adopt the 11.99% allocation of worker’s compensation costs to the Marietta Division. </w:t>
      </w:r>
      <w:r>
        <w:rPr>
          <w:sz w:val="26"/>
          <w:szCs w:val="26"/>
        </w:rPr>
        <w:t xml:space="preserve"> </w:t>
      </w:r>
      <w:r w:rsidRPr="00097B8E">
        <w:rPr>
          <w:sz w:val="26"/>
          <w:szCs w:val="26"/>
        </w:rPr>
        <w:t xml:space="preserve">OCA M.B. at 42. </w:t>
      </w:r>
    </w:p>
  </w:footnote>
  <w:footnote w:id="36">
    <w:p w:rsidR="00BA77A1" w:rsidRPr="0023612C" w:rsidRDefault="00BA77A1" w:rsidP="0023612C">
      <w:pPr>
        <w:pStyle w:val="FootnoteText"/>
        <w:spacing w:line="240" w:lineRule="auto"/>
        <w:ind w:firstLine="720"/>
        <w:rPr>
          <w:sz w:val="26"/>
          <w:szCs w:val="26"/>
        </w:rPr>
      </w:pPr>
      <w:r w:rsidRPr="0023612C">
        <w:rPr>
          <w:rStyle w:val="FootnoteReference"/>
          <w:sz w:val="26"/>
          <w:szCs w:val="26"/>
        </w:rPr>
        <w:footnoteRef/>
      </w:r>
      <w:r w:rsidRPr="0023612C">
        <w:rPr>
          <w:sz w:val="26"/>
          <w:szCs w:val="26"/>
        </w:rPr>
        <w:t xml:space="preserve"> </w:t>
      </w:r>
      <w:r w:rsidRPr="0023612C">
        <w:rPr>
          <w:sz w:val="26"/>
          <w:szCs w:val="26"/>
        </w:rPr>
        <w:tab/>
        <w:t xml:space="preserve">I&amp;E notes that the Company revised its claim for officers, directors and majority stockholders salaries from $68,900 to $66,144 as a result of </w:t>
      </w:r>
      <w:r>
        <w:rPr>
          <w:sz w:val="26"/>
          <w:szCs w:val="26"/>
        </w:rPr>
        <w:t xml:space="preserve">the Company’s proposal </w:t>
      </w:r>
      <w:r w:rsidRPr="0023612C">
        <w:rPr>
          <w:sz w:val="26"/>
          <w:szCs w:val="26"/>
        </w:rPr>
        <w:t xml:space="preserve"> </w:t>
      </w:r>
      <w:r>
        <w:rPr>
          <w:sz w:val="26"/>
          <w:szCs w:val="26"/>
        </w:rPr>
        <w:t>to a</w:t>
      </w:r>
      <w:r w:rsidRPr="0023612C">
        <w:rPr>
          <w:sz w:val="26"/>
          <w:szCs w:val="26"/>
        </w:rPr>
        <w:t>llocat</w:t>
      </w:r>
      <w:r>
        <w:rPr>
          <w:sz w:val="26"/>
          <w:szCs w:val="26"/>
        </w:rPr>
        <w:t xml:space="preserve">e 4% of this claim </w:t>
      </w:r>
      <w:r w:rsidRPr="0023612C">
        <w:rPr>
          <w:sz w:val="26"/>
          <w:szCs w:val="26"/>
        </w:rPr>
        <w:t xml:space="preserve">to the Marietta Division.  GDS Exh. 3(Revised) at 2.  </w:t>
      </w:r>
    </w:p>
  </w:footnote>
  <w:footnote w:id="37">
    <w:p w:rsidR="00BA77A1" w:rsidRPr="002C3DFA" w:rsidRDefault="00BA77A1" w:rsidP="002C3DFA">
      <w:pPr>
        <w:pStyle w:val="FootnoteText"/>
        <w:spacing w:line="240" w:lineRule="auto"/>
        <w:ind w:firstLine="720"/>
        <w:rPr>
          <w:sz w:val="26"/>
          <w:szCs w:val="26"/>
        </w:rPr>
      </w:pPr>
      <w:r w:rsidRPr="002C3DFA">
        <w:rPr>
          <w:rStyle w:val="FootnoteReference"/>
          <w:sz w:val="26"/>
          <w:szCs w:val="26"/>
        </w:rPr>
        <w:footnoteRef/>
      </w:r>
      <w:r w:rsidRPr="002C3DFA">
        <w:rPr>
          <w:sz w:val="26"/>
          <w:szCs w:val="26"/>
        </w:rPr>
        <w:t xml:space="preserve"> </w:t>
      </w:r>
      <w:r>
        <w:rPr>
          <w:sz w:val="26"/>
          <w:szCs w:val="26"/>
        </w:rPr>
        <w:tab/>
      </w:r>
      <w:r w:rsidRPr="002C3DFA">
        <w:rPr>
          <w:sz w:val="26"/>
          <w:szCs w:val="26"/>
        </w:rPr>
        <w:t xml:space="preserve">We note that I&amp;E also proposed a corresponding $4,817 federal tax adjustment for interest synchronization.  CWC M.B. Appendix A, Table II.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273DC"/>
    <w:multiLevelType w:val="singleLevel"/>
    <w:tmpl w:val="29D64138"/>
    <w:lvl w:ilvl="0">
      <w:start w:val="2"/>
      <w:numFmt w:val="upperRoman"/>
      <w:lvlText w:val="%1."/>
      <w:lvlJc w:val="left"/>
      <w:pPr>
        <w:tabs>
          <w:tab w:val="num" w:pos="720"/>
        </w:tabs>
        <w:ind w:left="720" w:hanging="720"/>
      </w:pPr>
      <w:rPr>
        <w:rFonts w:hint="default"/>
        <w:u w:val="none"/>
      </w:rPr>
    </w:lvl>
  </w:abstractNum>
  <w:abstractNum w:abstractNumId="1">
    <w:nsid w:val="0CF3756E"/>
    <w:multiLevelType w:val="multilevel"/>
    <w:tmpl w:val="3DB25F92"/>
    <w:lvl w:ilvl="0">
      <w:start w:val="1"/>
      <w:numFmt w:val="upperRoman"/>
      <w:lvlText w:val="%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ind w:left="720" w:firstLine="0"/>
      </w:pPr>
      <w:rPr>
        <w:rFonts w:hint="default"/>
        <w:b w:val="0"/>
        <w:i w:val="0"/>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b w:val="0"/>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
    <w:nsid w:val="1DD40070"/>
    <w:multiLevelType w:val="hybridMultilevel"/>
    <w:tmpl w:val="739C9D1C"/>
    <w:lvl w:ilvl="0" w:tplc="FD485EF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657132"/>
    <w:multiLevelType w:val="hybridMultilevel"/>
    <w:tmpl w:val="27DEECF2"/>
    <w:lvl w:ilvl="0" w:tplc="E608647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31C87903"/>
    <w:multiLevelType w:val="hybridMultilevel"/>
    <w:tmpl w:val="BD6090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DA15C20"/>
    <w:multiLevelType w:val="hybridMultilevel"/>
    <w:tmpl w:val="5C9EB698"/>
    <w:lvl w:ilvl="0" w:tplc="5EF8DCAE">
      <w:start w:val="1"/>
      <w:numFmt w:val="decimal"/>
      <w:pStyle w:val="Heading2"/>
      <w:lvlText w:val="%1."/>
      <w:lvlJc w:val="right"/>
      <w:pPr>
        <w:ind w:left="108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8D64837"/>
    <w:multiLevelType w:val="hybridMultilevel"/>
    <w:tmpl w:val="481E09FC"/>
    <w:lvl w:ilvl="0" w:tplc="5EF8DCAE">
      <w:start w:val="1"/>
      <w:numFmt w:val="decimal"/>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74524D71"/>
    <w:multiLevelType w:val="hybridMultilevel"/>
    <w:tmpl w:val="E93E8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2C5A2A"/>
    <w:multiLevelType w:val="hybridMultilevel"/>
    <w:tmpl w:val="FE3A8212"/>
    <w:lvl w:ilvl="0" w:tplc="04090019">
      <w:start w:val="1"/>
      <w:numFmt w:val="lowerLetter"/>
      <w:lvlText w:val="%1."/>
      <w:lvlJc w:val="left"/>
      <w:pPr>
        <w:ind w:left="7020" w:hanging="360"/>
      </w:pPr>
    </w:lvl>
    <w:lvl w:ilvl="1" w:tplc="04090019">
      <w:start w:val="1"/>
      <w:numFmt w:val="lowerLetter"/>
      <w:lvlText w:val="%2."/>
      <w:lvlJc w:val="left"/>
      <w:pPr>
        <w:ind w:left="7740" w:hanging="360"/>
      </w:pPr>
    </w:lvl>
    <w:lvl w:ilvl="2" w:tplc="0409001B" w:tentative="1">
      <w:start w:val="1"/>
      <w:numFmt w:val="lowerRoman"/>
      <w:lvlText w:val="%3."/>
      <w:lvlJc w:val="right"/>
      <w:pPr>
        <w:ind w:left="8460" w:hanging="180"/>
      </w:pPr>
    </w:lvl>
    <w:lvl w:ilvl="3" w:tplc="0409000F" w:tentative="1">
      <w:start w:val="1"/>
      <w:numFmt w:val="decimal"/>
      <w:lvlText w:val="%4."/>
      <w:lvlJc w:val="left"/>
      <w:pPr>
        <w:ind w:left="9180" w:hanging="360"/>
      </w:pPr>
    </w:lvl>
    <w:lvl w:ilvl="4" w:tplc="04090019" w:tentative="1">
      <w:start w:val="1"/>
      <w:numFmt w:val="lowerLetter"/>
      <w:lvlText w:val="%5."/>
      <w:lvlJc w:val="left"/>
      <w:pPr>
        <w:ind w:left="9900" w:hanging="360"/>
      </w:pPr>
    </w:lvl>
    <w:lvl w:ilvl="5" w:tplc="0409001B" w:tentative="1">
      <w:start w:val="1"/>
      <w:numFmt w:val="lowerRoman"/>
      <w:lvlText w:val="%6."/>
      <w:lvlJc w:val="right"/>
      <w:pPr>
        <w:ind w:left="10620" w:hanging="180"/>
      </w:pPr>
    </w:lvl>
    <w:lvl w:ilvl="6" w:tplc="0409000F" w:tentative="1">
      <w:start w:val="1"/>
      <w:numFmt w:val="decimal"/>
      <w:lvlText w:val="%7."/>
      <w:lvlJc w:val="left"/>
      <w:pPr>
        <w:ind w:left="11340" w:hanging="360"/>
      </w:pPr>
    </w:lvl>
    <w:lvl w:ilvl="7" w:tplc="04090019" w:tentative="1">
      <w:start w:val="1"/>
      <w:numFmt w:val="lowerLetter"/>
      <w:lvlText w:val="%8."/>
      <w:lvlJc w:val="left"/>
      <w:pPr>
        <w:ind w:left="12060" w:hanging="360"/>
      </w:pPr>
    </w:lvl>
    <w:lvl w:ilvl="8" w:tplc="0409001B" w:tentative="1">
      <w:start w:val="1"/>
      <w:numFmt w:val="lowerRoman"/>
      <w:lvlText w:val="%9."/>
      <w:lvlJc w:val="right"/>
      <w:pPr>
        <w:ind w:left="12780" w:hanging="180"/>
      </w:pPr>
    </w:lvl>
  </w:abstractNum>
  <w:num w:numId="1">
    <w:abstractNumId w:val="7"/>
  </w:num>
  <w:num w:numId="2">
    <w:abstractNumId w:val="4"/>
  </w:num>
  <w:num w:numId="3">
    <w:abstractNumId w:val="5"/>
  </w:num>
  <w:num w:numId="4">
    <w:abstractNumId w:val="5"/>
    <w:lvlOverride w:ilvl="0">
      <w:startOverride w:val="1"/>
    </w:lvlOverride>
  </w:num>
  <w:num w:numId="5">
    <w:abstractNumId w:val="8"/>
  </w:num>
  <w:num w:numId="6">
    <w:abstractNumId w:val="2"/>
  </w:num>
  <w:num w:numId="7">
    <w:abstractNumId w:val="1"/>
  </w:num>
  <w:num w:numId="8">
    <w:abstractNumId w:val="1"/>
    <w:lvlOverride w:ilvl="0">
      <w:startOverride w:val="8"/>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num>
  <w:num w:numId="11">
    <w:abstractNumId w:val="1"/>
    <w:lvlOverride w:ilvl="0">
      <w:startOverride w:val="1"/>
    </w:lvlOverride>
    <w:lvlOverride w:ilvl="1">
      <w:startOverride w:val="1"/>
    </w:lvlOverride>
    <w:lvlOverride w:ilvl="2">
      <w:startOverride w:val="2"/>
    </w:lvlOverride>
  </w:num>
  <w:num w:numId="12">
    <w:abstractNumId w:val="0"/>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9BD"/>
    <w:rsid w:val="00000624"/>
    <w:rsid w:val="00000648"/>
    <w:rsid w:val="0000090F"/>
    <w:rsid w:val="00000ABE"/>
    <w:rsid w:val="000010E5"/>
    <w:rsid w:val="000014B7"/>
    <w:rsid w:val="00001FC3"/>
    <w:rsid w:val="00003BA3"/>
    <w:rsid w:val="0000470F"/>
    <w:rsid w:val="00004E7C"/>
    <w:rsid w:val="000051DD"/>
    <w:rsid w:val="0000587C"/>
    <w:rsid w:val="000058E0"/>
    <w:rsid w:val="000068D5"/>
    <w:rsid w:val="00006F99"/>
    <w:rsid w:val="00007174"/>
    <w:rsid w:val="000075FA"/>
    <w:rsid w:val="00007C08"/>
    <w:rsid w:val="000115F2"/>
    <w:rsid w:val="00014304"/>
    <w:rsid w:val="00014CD8"/>
    <w:rsid w:val="00016730"/>
    <w:rsid w:val="00016B73"/>
    <w:rsid w:val="000174C3"/>
    <w:rsid w:val="00020520"/>
    <w:rsid w:val="00021414"/>
    <w:rsid w:val="00021426"/>
    <w:rsid w:val="00021EA0"/>
    <w:rsid w:val="00021ECB"/>
    <w:rsid w:val="00022505"/>
    <w:rsid w:val="000238BC"/>
    <w:rsid w:val="00023E3C"/>
    <w:rsid w:val="000245B7"/>
    <w:rsid w:val="00025668"/>
    <w:rsid w:val="0002592A"/>
    <w:rsid w:val="00026710"/>
    <w:rsid w:val="00027A04"/>
    <w:rsid w:val="00030158"/>
    <w:rsid w:val="0003039C"/>
    <w:rsid w:val="00031046"/>
    <w:rsid w:val="00031DFE"/>
    <w:rsid w:val="000326DC"/>
    <w:rsid w:val="00032A7E"/>
    <w:rsid w:val="000336F2"/>
    <w:rsid w:val="0003399E"/>
    <w:rsid w:val="000353F1"/>
    <w:rsid w:val="00036D5D"/>
    <w:rsid w:val="000376F9"/>
    <w:rsid w:val="00037FC4"/>
    <w:rsid w:val="000403CD"/>
    <w:rsid w:val="000407AC"/>
    <w:rsid w:val="000408CE"/>
    <w:rsid w:val="00042201"/>
    <w:rsid w:val="00045EE4"/>
    <w:rsid w:val="00046304"/>
    <w:rsid w:val="00047207"/>
    <w:rsid w:val="00047866"/>
    <w:rsid w:val="00047FCF"/>
    <w:rsid w:val="000500B9"/>
    <w:rsid w:val="0005066D"/>
    <w:rsid w:val="0005071B"/>
    <w:rsid w:val="00050E0C"/>
    <w:rsid w:val="00052817"/>
    <w:rsid w:val="0005286E"/>
    <w:rsid w:val="00053747"/>
    <w:rsid w:val="00053D6C"/>
    <w:rsid w:val="00053F7D"/>
    <w:rsid w:val="00054371"/>
    <w:rsid w:val="000609B6"/>
    <w:rsid w:val="00061364"/>
    <w:rsid w:val="000633D8"/>
    <w:rsid w:val="0006490E"/>
    <w:rsid w:val="0006608A"/>
    <w:rsid w:val="000673AB"/>
    <w:rsid w:val="000700AB"/>
    <w:rsid w:val="00070AB6"/>
    <w:rsid w:val="000725BE"/>
    <w:rsid w:val="00075E7E"/>
    <w:rsid w:val="00075F00"/>
    <w:rsid w:val="0007783A"/>
    <w:rsid w:val="00077BC2"/>
    <w:rsid w:val="00082C08"/>
    <w:rsid w:val="00083758"/>
    <w:rsid w:val="0008548B"/>
    <w:rsid w:val="00086351"/>
    <w:rsid w:val="00087A18"/>
    <w:rsid w:val="0009147B"/>
    <w:rsid w:val="0009160C"/>
    <w:rsid w:val="00092D77"/>
    <w:rsid w:val="00092F06"/>
    <w:rsid w:val="00093008"/>
    <w:rsid w:val="00093C4A"/>
    <w:rsid w:val="00094125"/>
    <w:rsid w:val="000943BE"/>
    <w:rsid w:val="000952F9"/>
    <w:rsid w:val="000957FA"/>
    <w:rsid w:val="000964CC"/>
    <w:rsid w:val="00096BB9"/>
    <w:rsid w:val="000974B4"/>
    <w:rsid w:val="000977CD"/>
    <w:rsid w:val="00097A4C"/>
    <w:rsid w:val="00097B8E"/>
    <w:rsid w:val="000A18DD"/>
    <w:rsid w:val="000A3309"/>
    <w:rsid w:val="000A4939"/>
    <w:rsid w:val="000A4ECA"/>
    <w:rsid w:val="000A5469"/>
    <w:rsid w:val="000A6A9D"/>
    <w:rsid w:val="000A725A"/>
    <w:rsid w:val="000B0A10"/>
    <w:rsid w:val="000B175D"/>
    <w:rsid w:val="000B3728"/>
    <w:rsid w:val="000B3AB8"/>
    <w:rsid w:val="000B3BA5"/>
    <w:rsid w:val="000B4314"/>
    <w:rsid w:val="000B4D7F"/>
    <w:rsid w:val="000B611F"/>
    <w:rsid w:val="000B6C5B"/>
    <w:rsid w:val="000B77B7"/>
    <w:rsid w:val="000B77FB"/>
    <w:rsid w:val="000C0C90"/>
    <w:rsid w:val="000C13F0"/>
    <w:rsid w:val="000C26AF"/>
    <w:rsid w:val="000C3889"/>
    <w:rsid w:val="000C3DF7"/>
    <w:rsid w:val="000C4224"/>
    <w:rsid w:val="000C489E"/>
    <w:rsid w:val="000C5ACE"/>
    <w:rsid w:val="000C67B7"/>
    <w:rsid w:val="000C723E"/>
    <w:rsid w:val="000C7890"/>
    <w:rsid w:val="000C7F5C"/>
    <w:rsid w:val="000D06AC"/>
    <w:rsid w:val="000D142A"/>
    <w:rsid w:val="000D2C07"/>
    <w:rsid w:val="000D36CB"/>
    <w:rsid w:val="000D42E8"/>
    <w:rsid w:val="000D4D9A"/>
    <w:rsid w:val="000D4F59"/>
    <w:rsid w:val="000D4FF3"/>
    <w:rsid w:val="000D5FFC"/>
    <w:rsid w:val="000E09A5"/>
    <w:rsid w:val="000E1D21"/>
    <w:rsid w:val="000E45E1"/>
    <w:rsid w:val="000E4E90"/>
    <w:rsid w:val="000E65E8"/>
    <w:rsid w:val="000E74AA"/>
    <w:rsid w:val="000F1529"/>
    <w:rsid w:val="000F160B"/>
    <w:rsid w:val="000F2774"/>
    <w:rsid w:val="000F2893"/>
    <w:rsid w:val="000F31BB"/>
    <w:rsid w:val="000F3452"/>
    <w:rsid w:val="000F7C81"/>
    <w:rsid w:val="00100125"/>
    <w:rsid w:val="001030D4"/>
    <w:rsid w:val="0010318E"/>
    <w:rsid w:val="00104F14"/>
    <w:rsid w:val="001055F6"/>
    <w:rsid w:val="0010634F"/>
    <w:rsid w:val="00106C5A"/>
    <w:rsid w:val="0011051F"/>
    <w:rsid w:val="00110C5C"/>
    <w:rsid w:val="00111240"/>
    <w:rsid w:val="0011188B"/>
    <w:rsid w:val="00111FE3"/>
    <w:rsid w:val="00112205"/>
    <w:rsid w:val="00112499"/>
    <w:rsid w:val="0011280A"/>
    <w:rsid w:val="00113394"/>
    <w:rsid w:val="0011339D"/>
    <w:rsid w:val="00114BDE"/>
    <w:rsid w:val="00114C3A"/>
    <w:rsid w:val="00114CA5"/>
    <w:rsid w:val="00115EE3"/>
    <w:rsid w:val="00116E2A"/>
    <w:rsid w:val="00117645"/>
    <w:rsid w:val="00117CF3"/>
    <w:rsid w:val="00117D59"/>
    <w:rsid w:val="00120535"/>
    <w:rsid w:val="00120769"/>
    <w:rsid w:val="00122110"/>
    <w:rsid w:val="00123623"/>
    <w:rsid w:val="0012407C"/>
    <w:rsid w:val="001246BA"/>
    <w:rsid w:val="00124910"/>
    <w:rsid w:val="00125EB2"/>
    <w:rsid w:val="001265C7"/>
    <w:rsid w:val="001268C6"/>
    <w:rsid w:val="001272C9"/>
    <w:rsid w:val="001276DF"/>
    <w:rsid w:val="001276E8"/>
    <w:rsid w:val="00132793"/>
    <w:rsid w:val="001328F5"/>
    <w:rsid w:val="00132AFD"/>
    <w:rsid w:val="001332E9"/>
    <w:rsid w:val="00133371"/>
    <w:rsid w:val="001347FF"/>
    <w:rsid w:val="00134805"/>
    <w:rsid w:val="00134F9B"/>
    <w:rsid w:val="001363D7"/>
    <w:rsid w:val="00137568"/>
    <w:rsid w:val="001415C0"/>
    <w:rsid w:val="0014255A"/>
    <w:rsid w:val="00143C40"/>
    <w:rsid w:val="001444EA"/>
    <w:rsid w:val="0015082B"/>
    <w:rsid w:val="001512B6"/>
    <w:rsid w:val="00151955"/>
    <w:rsid w:val="00151CD1"/>
    <w:rsid w:val="00152189"/>
    <w:rsid w:val="00152B62"/>
    <w:rsid w:val="001533FD"/>
    <w:rsid w:val="00154870"/>
    <w:rsid w:val="00154C1C"/>
    <w:rsid w:val="00155AE8"/>
    <w:rsid w:val="001563DF"/>
    <w:rsid w:val="00157015"/>
    <w:rsid w:val="00157BD9"/>
    <w:rsid w:val="00160272"/>
    <w:rsid w:val="00161030"/>
    <w:rsid w:val="00161335"/>
    <w:rsid w:val="001622C5"/>
    <w:rsid w:val="00162640"/>
    <w:rsid w:val="00162681"/>
    <w:rsid w:val="00162770"/>
    <w:rsid w:val="00162D6F"/>
    <w:rsid w:val="0016307D"/>
    <w:rsid w:val="00164493"/>
    <w:rsid w:val="00164A37"/>
    <w:rsid w:val="00164F5D"/>
    <w:rsid w:val="001655E0"/>
    <w:rsid w:val="001658F1"/>
    <w:rsid w:val="00165D81"/>
    <w:rsid w:val="00167204"/>
    <w:rsid w:val="00170604"/>
    <w:rsid w:val="00170B11"/>
    <w:rsid w:val="00171293"/>
    <w:rsid w:val="00171BC6"/>
    <w:rsid w:val="00171C38"/>
    <w:rsid w:val="001732D6"/>
    <w:rsid w:val="00173A2C"/>
    <w:rsid w:val="0017577C"/>
    <w:rsid w:val="001757DC"/>
    <w:rsid w:val="00176B89"/>
    <w:rsid w:val="001771D0"/>
    <w:rsid w:val="00177B7D"/>
    <w:rsid w:val="00180659"/>
    <w:rsid w:val="00180890"/>
    <w:rsid w:val="00180C37"/>
    <w:rsid w:val="00181742"/>
    <w:rsid w:val="00181EA0"/>
    <w:rsid w:val="001827F1"/>
    <w:rsid w:val="00185F44"/>
    <w:rsid w:val="00186414"/>
    <w:rsid w:val="00186848"/>
    <w:rsid w:val="0018756E"/>
    <w:rsid w:val="001875C7"/>
    <w:rsid w:val="00187979"/>
    <w:rsid w:val="0019059E"/>
    <w:rsid w:val="00191877"/>
    <w:rsid w:val="001930A0"/>
    <w:rsid w:val="00194558"/>
    <w:rsid w:val="001945F7"/>
    <w:rsid w:val="00194DDD"/>
    <w:rsid w:val="00195784"/>
    <w:rsid w:val="0019705E"/>
    <w:rsid w:val="0019717E"/>
    <w:rsid w:val="001A0B2C"/>
    <w:rsid w:val="001A0B60"/>
    <w:rsid w:val="001A18A3"/>
    <w:rsid w:val="001A205B"/>
    <w:rsid w:val="001A2D9F"/>
    <w:rsid w:val="001A2ED7"/>
    <w:rsid w:val="001A3666"/>
    <w:rsid w:val="001A4154"/>
    <w:rsid w:val="001A5BDD"/>
    <w:rsid w:val="001A5FBA"/>
    <w:rsid w:val="001A79DB"/>
    <w:rsid w:val="001A7C00"/>
    <w:rsid w:val="001B1986"/>
    <w:rsid w:val="001B21A8"/>
    <w:rsid w:val="001B2E09"/>
    <w:rsid w:val="001B3717"/>
    <w:rsid w:val="001B3C1C"/>
    <w:rsid w:val="001B3CA5"/>
    <w:rsid w:val="001B4C82"/>
    <w:rsid w:val="001B5EE4"/>
    <w:rsid w:val="001B7181"/>
    <w:rsid w:val="001B71A2"/>
    <w:rsid w:val="001B7D8F"/>
    <w:rsid w:val="001B7DCE"/>
    <w:rsid w:val="001C0B64"/>
    <w:rsid w:val="001C0D4B"/>
    <w:rsid w:val="001C25AF"/>
    <w:rsid w:val="001C2B4E"/>
    <w:rsid w:val="001C3896"/>
    <w:rsid w:val="001C4BE5"/>
    <w:rsid w:val="001C4EE7"/>
    <w:rsid w:val="001C506B"/>
    <w:rsid w:val="001C51A5"/>
    <w:rsid w:val="001C5C0F"/>
    <w:rsid w:val="001C6BA6"/>
    <w:rsid w:val="001C7EDD"/>
    <w:rsid w:val="001D08BE"/>
    <w:rsid w:val="001D1BF2"/>
    <w:rsid w:val="001D2011"/>
    <w:rsid w:val="001D25F2"/>
    <w:rsid w:val="001D2D4B"/>
    <w:rsid w:val="001D3147"/>
    <w:rsid w:val="001D35D3"/>
    <w:rsid w:val="001D3CD0"/>
    <w:rsid w:val="001D41D0"/>
    <w:rsid w:val="001D4996"/>
    <w:rsid w:val="001D6380"/>
    <w:rsid w:val="001D69FA"/>
    <w:rsid w:val="001D6EBF"/>
    <w:rsid w:val="001D7127"/>
    <w:rsid w:val="001D758C"/>
    <w:rsid w:val="001D796D"/>
    <w:rsid w:val="001E02A9"/>
    <w:rsid w:val="001E12BB"/>
    <w:rsid w:val="001E1CA9"/>
    <w:rsid w:val="001E2102"/>
    <w:rsid w:val="001E2DAB"/>
    <w:rsid w:val="001E425D"/>
    <w:rsid w:val="001E456F"/>
    <w:rsid w:val="001E540F"/>
    <w:rsid w:val="001E5F8C"/>
    <w:rsid w:val="001E60B4"/>
    <w:rsid w:val="001E6220"/>
    <w:rsid w:val="001E6DA8"/>
    <w:rsid w:val="001F0CC2"/>
    <w:rsid w:val="001F1481"/>
    <w:rsid w:val="001F2281"/>
    <w:rsid w:val="001F4258"/>
    <w:rsid w:val="001F51F6"/>
    <w:rsid w:val="001F5A84"/>
    <w:rsid w:val="001F5ABE"/>
    <w:rsid w:val="001F69E2"/>
    <w:rsid w:val="001F79A1"/>
    <w:rsid w:val="001F7C20"/>
    <w:rsid w:val="001F7CC9"/>
    <w:rsid w:val="001F7CE1"/>
    <w:rsid w:val="002014FB"/>
    <w:rsid w:val="0020238F"/>
    <w:rsid w:val="00202CEE"/>
    <w:rsid w:val="00203E6A"/>
    <w:rsid w:val="00205179"/>
    <w:rsid w:val="0020626E"/>
    <w:rsid w:val="00210041"/>
    <w:rsid w:val="0021079B"/>
    <w:rsid w:val="00211C77"/>
    <w:rsid w:val="002120D7"/>
    <w:rsid w:val="002121D1"/>
    <w:rsid w:val="00213471"/>
    <w:rsid w:val="00214627"/>
    <w:rsid w:val="00215177"/>
    <w:rsid w:val="00215EDD"/>
    <w:rsid w:val="002162E0"/>
    <w:rsid w:val="00216596"/>
    <w:rsid w:val="0021750D"/>
    <w:rsid w:val="00217F6F"/>
    <w:rsid w:val="00220A4C"/>
    <w:rsid w:val="00220C0D"/>
    <w:rsid w:val="002215A5"/>
    <w:rsid w:val="002219F4"/>
    <w:rsid w:val="00221EC8"/>
    <w:rsid w:val="002226B9"/>
    <w:rsid w:val="0022290A"/>
    <w:rsid w:val="00222C28"/>
    <w:rsid w:val="00222D10"/>
    <w:rsid w:val="00222D5C"/>
    <w:rsid w:val="00222DCA"/>
    <w:rsid w:val="00224795"/>
    <w:rsid w:val="002248CB"/>
    <w:rsid w:val="00226CF6"/>
    <w:rsid w:val="002273B5"/>
    <w:rsid w:val="00227412"/>
    <w:rsid w:val="002279F2"/>
    <w:rsid w:val="002305E2"/>
    <w:rsid w:val="00231600"/>
    <w:rsid w:val="00233590"/>
    <w:rsid w:val="002343A0"/>
    <w:rsid w:val="0023534C"/>
    <w:rsid w:val="0023612C"/>
    <w:rsid w:val="00241C39"/>
    <w:rsid w:val="00241EDA"/>
    <w:rsid w:val="00241EF9"/>
    <w:rsid w:val="00243C4D"/>
    <w:rsid w:val="00244793"/>
    <w:rsid w:val="00244C03"/>
    <w:rsid w:val="00244F7B"/>
    <w:rsid w:val="00244FA8"/>
    <w:rsid w:val="00245183"/>
    <w:rsid w:val="002458A2"/>
    <w:rsid w:val="00245FE6"/>
    <w:rsid w:val="002513A4"/>
    <w:rsid w:val="002521B1"/>
    <w:rsid w:val="00252589"/>
    <w:rsid w:val="00253036"/>
    <w:rsid w:val="00253307"/>
    <w:rsid w:val="00253D0B"/>
    <w:rsid w:val="00254E65"/>
    <w:rsid w:val="00255D2C"/>
    <w:rsid w:val="002574E6"/>
    <w:rsid w:val="002575D1"/>
    <w:rsid w:val="00257BD5"/>
    <w:rsid w:val="00257C84"/>
    <w:rsid w:val="0026004C"/>
    <w:rsid w:val="002601AE"/>
    <w:rsid w:val="00261086"/>
    <w:rsid w:val="002614AE"/>
    <w:rsid w:val="0026163F"/>
    <w:rsid w:val="00261A96"/>
    <w:rsid w:val="002629E1"/>
    <w:rsid w:val="00264C8B"/>
    <w:rsid w:val="00265798"/>
    <w:rsid w:val="00265FA8"/>
    <w:rsid w:val="00266B22"/>
    <w:rsid w:val="00266BC3"/>
    <w:rsid w:val="00267864"/>
    <w:rsid w:val="0027083A"/>
    <w:rsid w:val="00270C80"/>
    <w:rsid w:val="0027160D"/>
    <w:rsid w:val="002722F8"/>
    <w:rsid w:val="00272399"/>
    <w:rsid w:val="002726EE"/>
    <w:rsid w:val="00272E22"/>
    <w:rsid w:val="002735F3"/>
    <w:rsid w:val="00274D2A"/>
    <w:rsid w:val="00275874"/>
    <w:rsid w:val="00276643"/>
    <w:rsid w:val="00280722"/>
    <w:rsid w:val="00280D4C"/>
    <w:rsid w:val="00281519"/>
    <w:rsid w:val="00282A13"/>
    <w:rsid w:val="00282D4F"/>
    <w:rsid w:val="00283622"/>
    <w:rsid w:val="00284E81"/>
    <w:rsid w:val="00286372"/>
    <w:rsid w:val="00287E74"/>
    <w:rsid w:val="00293441"/>
    <w:rsid w:val="0029693B"/>
    <w:rsid w:val="00297094"/>
    <w:rsid w:val="0029774F"/>
    <w:rsid w:val="002A227A"/>
    <w:rsid w:val="002A255E"/>
    <w:rsid w:val="002A280E"/>
    <w:rsid w:val="002A2E7D"/>
    <w:rsid w:val="002A3298"/>
    <w:rsid w:val="002A53D2"/>
    <w:rsid w:val="002A5AA9"/>
    <w:rsid w:val="002A651B"/>
    <w:rsid w:val="002B0F8B"/>
    <w:rsid w:val="002B2928"/>
    <w:rsid w:val="002B48F2"/>
    <w:rsid w:val="002B5699"/>
    <w:rsid w:val="002B5A8F"/>
    <w:rsid w:val="002C0065"/>
    <w:rsid w:val="002C0B54"/>
    <w:rsid w:val="002C0E42"/>
    <w:rsid w:val="002C1188"/>
    <w:rsid w:val="002C18A6"/>
    <w:rsid w:val="002C2238"/>
    <w:rsid w:val="002C34DD"/>
    <w:rsid w:val="002C3DFA"/>
    <w:rsid w:val="002C422B"/>
    <w:rsid w:val="002D007C"/>
    <w:rsid w:val="002D01A5"/>
    <w:rsid w:val="002D1126"/>
    <w:rsid w:val="002D1165"/>
    <w:rsid w:val="002D1358"/>
    <w:rsid w:val="002D1A2C"/>
    <w:rsid w:val="002D1F41"/>
    <w:rsid w:val="002D2C75"/>
    <w:rsid w:val="002D2DDD"/>
    <w:rsid w:val="002D3352"/>
    <w:rsid w:val="002D3A5E"/>
    <w:rsid w:val="002D61EC"/>
    <w:rsid w:val="002D7DE1"/>
    <w:rsid w:val="002E011F"/>
    <w:rsid w:val="002E1019"/>
    <w:rsid w:val="002E1050"/>
    <w:rsid w:val="002E1741"/>
    <w:rsid w:val="002E21CF"/>
    <w:rsid w:val="002E285E"/>
    <w:rsid w:val="002E2EAD"/>
    <w:rsid w:val="002E32AF"/>
    <w:rsid w:val="002E39CD"/>
    <w:rsid w:val="002E3BEE"/>
    <w:rsid w:val="002E47AF"/>
    <w:rsid w:val="002E54C0"/>
    <w:rsid w:val="002E6905"/>
    <w:rsid w:val="002E6D1D"/>
    <w:rsid w:val="002F070B"/>
    <w:rsid w:val="002F1946"/>
    <w:rsid w:val="002F3B1E"/>
    <w:rsid w:val="002F41A7"/>
    <w:rsid w:val="002F4544"/>
    <w:rsid w:val="002F4C63"/>
    <w:rsid w:val="002F6ADF"/>
    <w:rsid w:val="0030077E"/>
    <w:rsid w:val="003008BF"/>
    <w:rsid w:val="00300ADA"/>
    <w:rsid w:val="00300E20"/>
    <w:rsid w:val="003014E5"/>
    <w:rsid w:val="003029F5"/>
    <w:rsid w:val="0030377F"/>
    <w:rsid w:val="003038CC"/>
    <w:rsid w:val="003061BD"/>
    <w:rsid w:val="0030655E"/>
    <w:rsid w:val="003065CC"/>
    <w:rsid w:val="00306C69"/>
    <w:rsid w:val="00306F18"/>
    <w:rsid w:val="00306F1D"/>
    <w:rsid w:val="00306F9C"/>
    <w:rsid w:val="00307285"/>
    <w:rsid w:val="003107D8"/>
    <w:rsid w:val="00310D5B"/>
    <w:rsid w:val="0031235C"/>
    <w:rsid w:val="0031312F"/>
    <w:rsid w:val="00313180"/>
    <w:rsid w:val="00316451"/>
    <w:rsid w:val="00320B24"/>
    <w:rsid w:val="003216E3"/>
    <w:rsid w:val="00321BB7"/>
    <w:rsid w:val="00321E33"/>
    <w:rsid w:val="00322654"/>
    <w:rsid w:val="00322D9C"/>
    <w:rsid w:val="0032426F"/>
    <w:rsid w:val="003255F4"/>
    <w:rsid w:val="00325A42"/>
    <w:rsid w:val="003262CF"/>
    <w:rsid w:val="003265E4"/>
    <w:rsid w:val="00330E4F"/>
    <w:rsid w:val="00332895"/>
    <w:rsid w:val="00335BC5"/>
    <w:rsid w:val="00336A58"/>
    <w:rsid w:val="00337261"/>
    <w:rsid w:val="00337899"/>
    <w:rsid w:val="003379C3"/>
    <w:rsid w:val="00337AC8"/>
    <w:rsid w:val="00340EF4"/>
    <w:rsid w:val="00342A67"/>
    <w:rsid w:val="00343CB6"/>
    <w:rsid w:val="00343D20"/>
    <w:rsid w:val="00344769"/>
    <w:rsid w:val="00346CEC"/>
    <w:rsid w:val="00347C69"/>
    <w:rsid w:val="00347E76"/>
    <w:rsid w:val="003509D0"/>
    <w:rsid w:val="00350C1F"/>
    <w:rsid w:val="0035471F"/>
    <w:rsid w:val="00354C10"/>
    <w:rsid w:val="00356948"/>
    <w:rsid w:val="00360C79"/>
    <w:rsid w:val="00360EC5"/>
    <w:rsid w:val="003611FD"/>
    <w:rsid w:val="00361A26"/>
    <w:rsid w:val="0036395F"/>
    <w:rsid w:val="00364288"/>
    <w:rsid w:val="003642FA"/>
    <w:rsid w:val="00365F06"/>
    <w:rsid w:val="00366832"/>
    <w:rsid w:val="00366E3E"/>
    <w:rsid w:val="003702D0"/>
    <w:rsid w:val="00371944"/>
    <w:rsid w:val="00371F3B"/>
    <w:rsid w:val="003720B7"/>
    <w:rsid w:val="003725CC"/>
    <w:rsid w:val="00372982"/>
    <w:rsid w:val="00374266"/>
    <w:rsid w:val="0037474A"/>
    <w:rsid w:val="00375EEF"/>
    <w:rsid w:val="00376A17"/>
    <w:rsid w:val="00376F95"/>
    <w:rsid w:val="003777FA"/>
    <w:rsid w:val="00377AF6"/>
    <w:rsid w:val="0038042C"/>
    <w:rsid w:val="00380559"/>
    <w:rsid w:val="00380D74"/>
    <w:rsid w:val="00381136"/>
    <w:rsid w:val="003813F9"/>
    <w:rsid w:val="003826B8"/>
    <w:rsid w:val="0038273F"/>
    <w:rsid w:val="00382A4D"/>
    <w:rsid w:val="00382F09"/>
    <w:rsid w:val="00382FAC"/>
    <w:rsid w:val="00383391"/>
    <w:rsid w:val="00383A4D"/>
    <w:rsid w:val="00385A85"/>
    <w:rsid w:val="00386FA7"/>
    <w:rsid w:val="00387A3F"/>
    <w:rsid w:val="00387B4E"/>
    <w:rsid w:val="00390088"/>
    <w:rsid w:val="003900AF"/>
    <w:rsid w:val="0039037B"/>
    <w:rsid w:val="003903B3"/>
    <w:rsid w:val="00390D83"/>
    <w:rsid w:val="0039181D"/>
    <w:rsid w:val="00393489"/>
    <w:rsid w:val="00393584"/>
    <w:rsid w:val="003945E9"/>
    <w:rsid w:val="00394A5B"/>
    <w:rsid w:val="00397350"/>
    <w:rsid w:val="00397596"/>
    <w:rsid w:val="003A068B"/>
    <w:rsid w:val="003A0CD5"/>
    <w:rsid w:val="003A0E25"/>
    <w:rsid w:val="003A0E8E"/>
    <w:rsid w:val="003A1936"/>
    <w:rsid w:val="003A337C"/>
    <w:rsid w:val="003A44FE"/>
    <w:rsid w:val="003A4783"/>
    <w:rsid w:val="003A5CF2"/>
    <w:rsid w:val="003A6558"/>
    <w:rsid w:val="003A6895"/>
    <w:rsid w:val="003A6FC1"/>
    <w:rsid w:val="003B0369"/>
    <w:rsid w:val="003B087B"/>
    <w:rsid w:val="003B2831"/>
    <w:rsid w:val="003B3462"/>
    <w:rsid w:val="003B5D72"/>
    <w:rsid w:val="003B6C95"/>
    <w:rsid w:val="003B7152"/>
    <w:rsid w:val="003B7CD5"/>
    <w:rsid w:val="003C1466"/>
    <w:rsid w:val="003C1C76"/>
    <w:rsid w:val="003C1E6F"/>
    <w:rsid w:val="003C1ED4"/>
    <w:rsid w:val="003C3154"/>
    <w:rsid w:val="003C3181"/>
    <w:rsid w:val="003C4142"/>
    <w:rsid w:val="003C4FF1"/>
    <w:rsid w:val="003C51C2"/>
    <w:rsid w:val="003C555B"/>
    <w:rsid w:val="003C628E"/>
    <w:rsid w:val="003D05CD"/>
    <w:rsid w:val="003D0B7E"/>
    <w:rsid w:val="003D2703"/>
    <w:rsid w:val="003D29AA"/>
    <w:rsid w:val="003D36D7"/>
    <w:rsid w:val="003D4361"/>
    <w:rsid w:val="003D45D8"/>
    <w:rsid w:val="003D467D"/>
    <w:rsid w:val="003D5112"/>
    <w:rsid w:val="003D63B0"/>
    <w:rsid w:val="003D6465"/>
    <w:rsid w:val="003D667F"/>
    <w:rsid w:val="003D7E0F"/>
    <w:rsid w:val="003E06CC"/>
    <w:rsid w:val="003E2396"/>
    <w:rsid w:val="003E587F"/>
    <w:rsid w:val="003E601D"/>
    <w:rsid w:val="003E63F0"/>
    <w:rsid w:val="003E6D3B"/>
    <w:rsid w:val="003E728F"/>
    <w:rsid w:val="003E744E"/>
    <w:rsid w:val="003E782B"/>
    <w:rsid w:val="003E7AED"/>
    <w:rsid w:val="003F0638"/>
    <w:rsid w:val="003F17CD"/>
    <w:rsid w:val="003F2A3E"/>
    <w:rsid w:val="003F50EF"/>
    <w:rsid w:val="003F5917"/>
    <w:rsid w:val="003F5D54"/>
    <w:rsid w:val="003F62D0"/>
    <w:rsid w:val="003F6B18"/>
    <w:rsid w:val="003F6ED1"/>
    <w:rsid w:val="003F7963"/>
    <w:rsid w:val="00400067"/>
    <w:rsid w:val="00400CB9"/>
    <w:rsid w:val="00401132"/>
    <w:rsid w:val="00402D38"/>
    <w:rsid w:val="004032D2"/>
    <w:rsid w:val="004044CD"/>
    <w:rsid w:val="00405AAF"/>
    <w:rsid w:val="00405FDB"/>
    <w:rsid w:val="00406223"/>
    <w:rsid w:val="00406525"/>
    <w:rsid w:val="00406EC5"/>
    <w:rsid w:val="0040751C"/>
    <w:rsid w:val="00407C57"/>
    <w:rsid w:val="00407E07"/>
    <w:rsid w:val="0041026A"/>
    <w:rsid w:val="00411114"/>
    <w:rsid w:val="00411DD8"/>
    <w:rsid w:val="004126DC"/>
    <w:rsid w:val="00412CE2"/>
    <w:rsid w:val="00412E26"/>
    <w:rsid w:val="00414098"/>
    <w:rsid w:val="00414835"/>
    <w:rsid w:val="004148CC"/>
    <w:rsid w:val="00414EB1"/>
    <w:rsid w:val="004151E8"/>
    <w:rsid w:val="004165C4"/>
    <w:rsid w:val="00416E36"/>
    <w:rsid w:val="00417473"/>
    <w:rsid w:val="0041770D"/>
    <w:rsid w:val="004202D8"/>
    <w:rsid w:val="00420ACD"/>
    <w:rsid w:val="00422E20"/>
    <w:rsid w:val="00423119"/>
    <w:rsid w:val="00423267"/>
    <w:rsid w:val="0042443D"/>
    <w:rsid w:val="00424539"/>
    <w:rsid w:val="00424779"/>
    <w:rsid w:val="004251AB"/>
    <w:rsid w:val="004252E4"/>
    <w:rsid w:val="00425A4A"/>
    <w:rsid w:val="00426967"/>
    <w:rsid w:val="00426CB2"/>
    <w:rsid w:val="004272F2"/>
    <w:rsid w:val="004279C9"/>
    <w:rsid w:val="004320F9"/>
    <w:rsid w:val="004337C3"/>
    <w:rsid w:val="0043400C"/>
    <w:rsid w:val="00434ED3"/>
    <w:rsid w:val="00435CA3"/>
    <w:rsid w:val="004364A8"/>
    <w:rsid w:val="00437530"/>
    <w:rsid w:val="00437681"/>
    <w:rsid w:val="004400EC"/>
    <w:rsid w:val="00440264"/>
    <w:rsid w:val="00440B5E"/>
    <w:rsid w:val="00442A59"/>
    <w:rsid w:val="004430B2"/>
    <w:rsid w:val="00447FAF"/>
    <w:rsid w:val="004501E7"/>
    <w:rsid w:val="00450588"/>
    <w:rsid w:val="00452827"/>
    <w:rsid w:val="00452E93"/>
    <w:rsid w:val="00453473"/>
    <w:rsid w:val="00454155"/>
    <w:rsid w:val="00454DD5"/>
    <w:rsid w:val="00455FEC"/>
    <w:rsid w:val="004568F5"/>
    <w:rsid w:val="00457AB5"/>
    <w:rsid w:val="00460B7B"/>
    <w:rsid w:val="00462EDA"/>
    <w:rsid w:val="00462FB6"/>
    <w:rsid w:val="00463F63"/>
    <w:rsid w:val="004656AC"/>
    <w:rsid w:val="00465C27"/>
    <w:rsid w:val="00470B17"/>
    <w:rsid w:val="004714BC"/>
    <w:rsid w:val="00473AF4"/>
    <w:rsid w:val="00474492"/>
    <w:rsid w:val="00476978"/>
    <w:rsid w:val="00480006"/>
    <w:rsid w:val="00480806"/>
    <w:rsid w:val="00480BE5"/>
    <w:rsid w:val="00480CA9"/>
    <w:rsid w:val="004820EC"/>
    <w:rsid w:val="0048225A"/>
    <w:rsid w:val="004826EB"/>
    <w:rsid w:val="00482CA9"/>
    <w:rsid w:val="004830C4"/>
    <w:rsid w:val="00485D8E"/>
    <w:rsid w:val="004868B2"/>
    <w:rsid w:val="00486EE4"/>
    <w:rsid w:val="00487E40"/>
    <w:rsid w:val="00487F3B"/>
    <w:rsid w:val="00491B8C"/>
    <w:rsid w:val="004933E6"/>
    <w:rsid w:val="0049487C"/>
    <w:rsid w:val="004959F8"/>
    <w:rsid w:val="00495B6F"/>
    <w:rsid w:val="00495FAA"/>
    <w:rsid w:val="004A02E2"/>
    <w:rsid w:val="004A0A46"/>
    <w:rsid w:val="004A1D99"/>
    <w:rsid w:val="004A21AA"/>
    <w:rsid w:val="004A2F5A"/>
    <w:rsid w:val="004A3846"/>
    <w:rsid w:val="004A388E"/>
    <w:rsid w:val="004A3FAA"/>
    <w:rsid w:val="004A3FDF"/>
    <w:rsid w:val="004A432F"/>
    <w:rsid w:val="004A5D8A"/>
    <w:rsid w:val="004A6296"/>
    <w:rsid w:val="004A6671"/>
    <w:rsid w:val="004A6CF8"/>
    <w:rsid w:val="004A6DFB"/>
    <w:rsid w:val="004A70D0"/>
    <w:rsid w:val="004B203D"/>
    <w:rsid w:val="004B3652"/>
    <w:rsid w:val="004B6203"/>
    <w:rsid w:val="004C0D74"/>
    <w:rsid w:val="004C1F88"/>
    <w:rsid w:val="004C2695"/>
    <w:rsid w:val="004C2FC6"/>
    <w:rsid w:val="004C306B"/>
    <w:rsid w:val="004C3B86"/>
    <w:rsid w:val="004C41CA"/>
    <w:rsid w:val="004C493C"/>
    <w:rsid w:val="004C58BF"/>
    <w:rsid w:val="004C6817"/>
    <w:rsid w:val="004C6B90"/>
    <w:rsid w:val="004C739B"/>
    <w:rsid w:val="004C73F4"/>
    <w:rsid w:val="004C7475"/>
    <w:rsid w:val="004C7C28"/>
    <w:rsid w:val="004C7F9C"/>
    <w:rsid w:val="004D04F3"/>
    <w:rsid w:val="004D105C"/>
    <w:rsid w:val="004D1F16"/>
    <w:rsid w:val="004D21EA"/>
    <w:rsid w:val="004D257A"/>
    <w:rsid w:val="004D486D"/>
    <w:rsid w:val="004D67D2"/>
    <w:rsid w:val="004D7162"/>
    <w:rsid w:val="004D722E"/>
    <w:rsid w:val="004E05A5"/>
    <w:rsid w:val="004E1A77"/>
    <w:rsid w:val="004E1B09"/>
    <w:rsid w:val="004E39AA"/>
    <w:rsid w:val="004E40A6"/>
    <w:rsid w:val="004E4266"/>
    <w:rsid w:val="004E5676"/>
    <w:rsid w:val="004E5860"/>
    <w:rsid w:val="004E5C0C"/>
    <w:rsid w:val="004E5DE6"/>
    <w:rsid w:val="004E71E1"/>
    <w:rsid w:val="004F0200"/>
    <w:rsid w:val="004F0789"/>
    <w:rsid w:val="004F0C65"/>
    <w:rsid w:val="004F0DA6"/>
    <w:rsid w:val="004F23F9"/>
    <w:rsid w:val="004F2A22"/>
    <w:rsid w:val="004F321F"/>
    <w:rsid w:val="004F4736"/>
    <w:rsid w:val="004F4A1A"/>
    <w:rsid w:val="004F5C1C"/>
    <w:rsid w:val="004F6103"/>
    <w:rsid w:val="004F69ED"/>
    <w:rsid w:val="00500629"/>
    <w:rsid w:val="005006EF"/>
    <w:rsid w:val="005027A7"/>
    <w:rsid w:val="00502CF5"/>
    <w:rsid w:val="00502E0A"/>
    <w:rsid w:val="00503610"/>
    <w:rsid w:val="00503BE6"/>
    <w:rsid w:val="00504A12"/>
    <w:rsid w:val="00504B56"/>
    <w:rsid w:val="00504CBF"/>
    <w:rsid w:val="005054CE"/>
    <w:rsid w:val="00505B45"/>
    <w:rsid w:val="00506CBE"/>
    <w:rsid w:val="00507335"/>
    <w:rsid w:val="00507740"/>
    <w:rsid w:val="00510C05"/>
    <w:rsid w:val="00510E85"/>
    <w:rsid w:val="00511247"/>
    <w:rsid w:val="00511A8D"/>
    <w:rsid w:val="00512246"/>
    <w:rsid w:val="00514626"/>
    <w:rsid w:val="005156AE"/>
    <w:rsid w:val="0051593C"/>
    <w:rsid w:val="00516450"/>
    <w:rsid w:val="005202BE"/>
    <w:rsid w:val="005218B8"/>
    <w:rsid w:val="005218CD"/>
    <w:rsid w:val="005218EC"/>
    <w:rsid w:val="0052238D"/>
    <w:rsid w:val="0052406C"/>
    <w:rsid w:val="00526D58"/>
    <w:rsid w:val="00526E4B"/>
    <w:rsid w:val="00527ED0"/>
    <w:rsid w:val="00527F8C"/>
    <w:rsid w:val="005318DD"/>
    <w:rsid w:val="00532446"/>
    <w:rsid w:val="0053276B"/>
    <w:rsid w:val="005334ED"/>
    <w:rsid w:val="00534487"/>
    <w:rsid w:val="0053562C"/>
    <w:rsid w:val="00535D1D"/>
    <w:rsid w:val="00541786"/>
    <w:rsid w:val="00542077"/>
    <w:rsid w:val="00542DB1"/>
    <w:rsid w:val="005437EF"/>
    <w:rsid w:val="00543A6C"/>
    <w:rsid w:val="005443F7"/>
    <w:rsid w:val="00544DE9"/>
    <w:rsid w:val="005460F9"/>
    <w:rsid w:val="00546D78"/>
    <w:rsid w:val="005504F4"/>
    <w:rsid w:val="00550922"/>
    <w:rsid w:val="0055112F"/>
    <w:rsid w:val="00551212"/>
    <w:rsid w:val="0055128E"/>
    <w:rsid w:val="00552028"/>
    <w:rsid w:val="00552F47"/>
    <w:rsid w:val="00553062"/>
    <w:rsid w:val="00554011"/>
    <w:rsid w:val="00554972"/>
    <w:rsid w:val="005559B7"/>
    <w:rsid w:val="00555D0E"/>
    <w:rsid w:val="00556BA5"/>
    <w:rsid w:val="00557D49"/>
    <w:rsid w:val="00557EF4"/>
    <w:rsid w:val="00560968"/>
    <w:rsid w:val="005609C7"/>
    <w:rsid w:val="00560C7C"/>
    <w:rsid w:val="005617F1"/>
    <w:rsid w:val="00561D8A"/>
    <w:rsid w:val="00562172"/>
    <w:rsid w:val="00562460"/>
    <w:rsid w:val="00564EC8"/>
    <w:rsid w:val="00566074"/>
    <w:rsid w:val="005660BA"/>
    <w:rsid w:val="0056683A"/>
    <w:rsid w:val="0056721C"/>
    <w:rsid w:val="0057045E"/>
    <w:rsid w:val="00570821"/>
    <w:rsid w:val="0057148A"/>
    <w:rsid w:val="00574128"/>
    <w:rsid w:val="00574F21"/>
    <w:rsid w:val="00575775"/>
    <w:rsid w:val="00575791"/>
    <w:rsid w:val="005770FE"/>
    <w:rsid w:val="005806B1"/>
    <w:rsid w:val="005815C8"/>
    <w:rsid w:val="00583280"/>
    <w:rsid w:val="00584177"/>
    <w:rsid w:val="00586D0C"/>
    <w:rsid w:val="00587E59"/>
    <w:rsid w:val="0059046D"/>
    <w:rsid w:val="0059104E"/>
    <w:rsid w:val="00592F9A"/>
    <w:rsid w:val="00593B2F"/>
    <w:rsid w:val="005955ED"/>
    <w:rsid w:val="005956BA"/>
    <w:rsid w:val="00595C86"/>
    <w:rsid w:val="005964AD"/>
    <w:rsid w:val="00597335"/>
    <w:rsid w:val="00597EC2"/>
    <w:rsid w:val="00597F95"/>
    <w:rsid w:val="005A07B1"/>
    <w:rsid w:val="005A0DCC"/>
    <w:rsid w:val="005A1BB4"/>
    <w:rsid w:val="005A2592"/>
    <w:rsid w:val="005A2636"/>
    <w:rsid w:val="005A2CA4"/>
    <w:rsid w:val="005A3661"/>
    <w:rsid w:val="005A38A3"/>
    <w:rsid w:val="005A71E9"/>
    <w:rsid w:val="005A7951"/>
    <w:rsid w:val="005A7C4D"/>
    <w:rsid w:val="005A7EFA"/>
    <w:rsid w:val="005B14C1"/>
    <w:rsid w:val="005B2255"/>
    <w:rsid w:val="005B25FD"/>
    <w:rsid w:val="005B2CF6"/>
    <w:rsid w:val="005B362C"/>
    <w:rsid w:val="005B5432"/>
    <w:rsid w:val="005B58EC"/>
    <w:rsid w:val="005B62CD"/>
    <w:rsid w:val="005B63DC"/>
    <w:rsid w:val="005B6BC3"/>
    <w:rsid w:val="005B7367"/>
    <w:rsid w:val="005B7CD7"/>
    <w:rsid w:val="005B7E31"/>
    <w:rsid w:val="005C01FB"/>
    <w:rsid w:val="005C2837"/>
    <w:rsid w:val="005C2B9D"/>
    <w:rsid w:val="005C5474"/>
    <w:rsid w:val="005C6A72"/>
    <w:rsid w:val="005C7353"/>
    <w:rsid w:val="005C7F23"/>
    <w:rsid w:val="005D0D58"/>
    <w:rsid w:val="005D165A"/>
    <w:rsid w:val="005D2899"/>
    <w:rsid w:val="005D36C2"/>
    <w:rsid w:val="005D4834"/>
    <w:rsid w:val="005D50F7"/>
    <w:rsid w:val="005D58D5"/>
    <w:rsid w:val="005D6216"/>
    <w:rsid w:val="005D7B38"/>
    <w:rsid w:val="005E1756"/>
    <w:rsid w:val="005E2124"/>
    <w:rsid w:val="005E2168"/>
    <w:rsid w:val="005E2A4A"/>
    <w:rsid w:val="005E2B4B"/>
    <w:rsid w:val="005E2C25"/>
    <w:rsid w:val="005E44B5"/>
    <w:rsid w:val="005E4580"/>
    <w:rsid w:val="005E4F90"/>
    <w:rsid w:val="005E50A6"/>
    <w:rsid w:val="005E53FD"/>
    <w:rsid w:val="005E625F"/>
    <w:rsid w:val="005E7A84"/>
    <w:rsid w:val="005F0758"/>
    <w:rsid w:val="005F0D24"/>
    <w:rsid w:val="005F1C0D"/>
    <w:rsid w:val="005F2108"/>
    <w:rsid w:val="005F309D"/>
    <w:rsid w:val="005F311C"/>
    <w:rsid w:val="005F34C6"/>
    <w:rsid w:val="005F3C15"/>
    <w:rsid w:val="005F3E71"/>
    <w:rsid w:val="005F3F56"/>
    <w:rsid w:val="005F4374"/>
    <w:rsid w:val="005F4821"/>
    <w:rsid w:val="005F513F"/>
    <w:rsid w:val="005F51F2"/>
    <w:rsid w:val="005F5A9C"/>
    <w:rsid w:val="005F620A"/>
    <w:rsid w:val="005F68F2"/>
    <w:rsid w:val="005F6FA6"/>
    <w:rsid w:val="005F7FC5"/>
    <w:rsid w:val="0060001C"/>
    <w:rsid w:val="0060127D"/>
    <w:rsid w:val="00601EF7"/>
    <w:rsid w:val="00603F3C"/>
    <w:rsid w:val="00604B58"/>
    <w:rsid w:val="00605A4A"/>
    <w:rsid w:val="00607BEC"/>
    <w:rsid w:val="00607D96"/>
    <w:rsid w:val="006125E9"/>
    <w:rsid w:val="006168F4"/>
    <w:rsid w:val="00616F11"/>
    <w:rsid w:val="006201B3"/>
    <w:rsid w:val="006205E8"/>
    <w:rsid w:val="00620DB6"/>
    <w:rsid w:val="00620DFE"/>
    <w:rsid w:val="0062137E"/>
    <w:rsid w:val="00621416"/>
    <w:rsid w:val="00621777"/>
    <w:rsid w:val="00621A13"/>
    <w:rsid w:val="006226E9"/>
    <w:rsid w:val="00622947"/>
    <w:rsid w:val="00623C4B"/>
    <w:rsid w:val="0062408A"/>
    <w:rsid w:val="00624702"/>
    <w:rsid w:val="00625112"/>
    <w:rsid w:val="00626B0C"/>
    <w:rsid w:val="00631462"/>
    <w:rsid w:val="00632D59"/>
    <w:rsid w:val="0063357F"/>
    <w:rsid w:val="00633C95"/>
    <w:rsid w:val="00634FB9"/>
    <w:rsid w:val="0063593C"/>
    <w:rsid w:val="006368DA"/>
    <w:rsid w:val="00637507"/>
    <w:rsid w:val="00637AED"/>
    <w:rsid w:val="00637C00"/>
    <w:rsid w:val="00637CFE"/>
    <w:rsid w:val="00640B4C"/>
    <w:rsid w:val="00640B95"/>
    <w:rsid w:val="00641E82"/>
    <w:rsid w:val="0064297C"/>
    <w:rsid w:val="006429DC"/>
    <w:rsid w:val="00642F45"/>
    <w:rsid w:val="006456EA"/>
    <w:rsid w:val="00647152"/>
    <w:rsid w:val="00647B98"/>
    <w:rsid w:val="006500DB"/>
    <w:rsid w:val="00651DFD"/>
    <w:rsid w:val="006525B9"/>
    <w:rsid w:val="0065283F"/>
    <w:rsid w:val="00653729"/>
    <w:rsid w:val="00653DFE"/>
    <w:rsid w:val="0065470B"/>
    <w:rsid w:val="006550DC"/>
    <w:rsid w:val="006553EF"/>
    <w:rsid w:val="00655862"/>
    <w:rsid w:val="00655C45"/>
    <w:rsid w:val="00655DC4"/>
    <w:rsid w:val="00656214"/>
    <w:rsid w:val="006613A7"/>
    <w:rsid w:val="006614A9"/>
    <w:rsid w:val="00661CC7"/>
    <w:rsid w:val="00661FF5"/>
    <w:rsid w:val="0066203C"/>
    <w:rsid w:val="00662676"/>
    <w:rsid w:val="00662B91"/>
    <w:rsid w:val="00664C73"/>
    <w:rsid w:val="006666FD"/>
    <w:rsid w:val="00667979"/>
    <w:rsid w:val="00667F83"/>
    <w:rsid w:val="00670572"/>
    <w:rsid w:val="00671EEC"/>
    <w:rsid w:val="00673BCD"/>
    <w:rsid w:val="00674365"/>
    <w:rsid w:val="0067478C"/>
    <w:rsid w:val="00675939"/>
    <w:rsid w:val="0067658A"/>
    <w:rsid w:val="0067697D"/>
    <w:rsid w:val="006770BC"/>
    <w:rsid w:val="00677582"/>
    <w:rsid w:val="006801AE"/>
    <w:rsid w:val="00683549"/>
    <w:rsid w:val="0068576F"/>
    <w:rsid w:val="0068634B"/>
    <w:rsid w:val="006906E0"/>
    <w:rsid w:val="0069106E"/>
    <w:rsid w:val="006911DE"/>
    <w:rsid w:val="00691D20"/>
    <w:rsid w:val="006933F1"/>
    <w:rsid w:val="006943F0"/>
    <w:rsid w:val="0069511F"/>
    <w:rsid w:val="006953BC"/>
    <w:rsid w:val="00695806"/>
    <w:rsid w:val="00695DF3"/>
    <w:rsid w:val="00696066"/>
    <w:rsid w:val="00696313"/>
    <w:rsid w:val="00696977"/>
    <w:rsid w:val="00696DAB"/>
    <w:rsid w:val="00697B9A"/>
    <w:rsid w:val="006A15BE"/>
    <w:rsid w:val="006A2880"/>
    <w:rsid w:val="006A305D"/>
    <w:rsid w:val="006A3AD9"/>
    <w:rsid w:val="006A41CF"/>
    <w:rsid w:val="006A4E20"/>
    <w:rsid w:val="006A605E"/>
    <w:rsid w:val="006A60C2"/>
    <w:rsid w:val="006A690C"/>
    <w:rsid w:val="006A6E97"/>
    <w:rsid w:val="006A73F7"/>
    <w:rsid w:val="006A764F"/>
    <w:rsid w:val="006A7C78"/>
    <w:rsid w:val="006B17E3"/>
    <w:rsid w:val="006B2070"/>
    <w:rsid w:val="006B215C"/>
    <w:rsid w:val="006B2851"/>
    <w:rsid w:val="006B2B42"/>
    <w:rsid w:val="006B34A1"/>
    <w:rsid w:val="006B36BF"/>
    <w:rsid w:val="006B3887"/>
    <w:rsid w:val="006B3FE8"/>
    <w:rsid w:val="006B57B3"/>
    <w:rsid w:val="006B5C09"/>
    <w:rsid w:val="006B663C"/>
    <w:rsid w:val="006B66A0"/>
    <w:rsid w:val="006B6844"/>
    <w:rsid w:val="006B7A7B"/>
    <w:rsid w:val="006C05B0"/>
    <w:rsid w:val="006C089B"/>
    <w:rsid w:val="006C1226"/>
    <w:rsid w:val="006C2392"/>
    <w:rsid w:val="006C251B"/>
    <w:rsid w:val="006C2B4B"/>
    <w:rsid w:val="006C2D49"/>
    <w:rsid w:val="006C3780"/>
    <w:rsid w:val="006C3857"/>
    <w:rsid w:val="006C38B6"/>
    <w:rsid w:val="006C3EE5"/>
    <w:rsid w:val="006C43EA"/>
    <w:rsid w:val="006C4D5D"/>
    <w:rsid w:val="006C5463"/>
    <w:rsid w:val="006C5E0E"/>
    <w:rsid w:val="006D05CE"/>
    <w:rsid w:val="006D1329"/>
    <w:rsid w:val="006D1811"/>
    <w:rsid w:val="006D359E"/>
    <w:rsid w:val="006D3607"/>
    <w:rsid w:val="006D470A"/>
    <w:rsid w:val="006D48F3"/>
    <w:rsid w:val="006D595E"/>
    <w:rsid w:val="006D6308"/>
    <w:rsid w:val="006E0F1E"/>
    <w:rsid w:val="006E1393"/>
    <w:rsid w:val="006E34E6"/>
    <w:rsid w:val="006E42FE"/>
    <w:rsid w:val="006E440D"/>
    <w:rsid w:val="006E5493"/>
    <w:rsid w:val="006E5A07"/>
    <w:rsid w:val="006E62C8"/>
    <w:rsid w:val="006E6B8A"/>
    <w:rsid w:val="006E7D87"/>
    <w:rsid w:val="006F2F81"/>
    <w:rsid w:val="006F3B1F"/>
    <w:rsid w:val="006F3B6C"/>
    <w:rsid w:val="006F3E74"/>
    <w:rsid w:val="006F4C9A"/>
    <w:rsid w:val="006F4DC9"/>
    <w:rsid w:val="006F7B81"/>
    <w:rsid w:val="006F7D9C"/>
    <w:rsid w:val="007005D5"/>
    <w:rsid w:val="00700748"/>
    <w:rsid w:val="00700C74"/>
    <w:rsid w:val="00702183"/>
    <w:rsid w:val="00702742"/>
    <w:rsid w:val="00703173"/>
    <w:rsid w:val="00705C62"/>
    <w:rsid w:val="0070681E"/>
    <w:rsid w:val="00706A95"/>
    <w:rsid w:val="00707200"/>
    <w:rsid w:val="00707FB4"/>
    <w:rsid w:val="00710400"/>
    <w:rsid w:val="00710F9A"/>
    <w:rsid w:val="00711D05"/>
    <w:rsid w:val="00712903"/>
    <w:rsid w:val="00712D4F"/>
    <w:rsid w:val="007136F7"/>
    <w:rsid w:val="007149F5"/>
    <w:rsid w:val="00714DBB"/>
    <w:rsid w:val="00715F98"/>
    <w:rsid w:val="007160EF"/>
    <w:rsid w:val="00720669"/>
    <w:rsid w:val="00721707"/>
    <w:rsid w:val="0072191E"/>
    <w:rsid w:val="007228DD"/>
    <w:rsid w:val="00722A2B"/>
    <w:rsid w:val="00723AC1"/>
    <w:rsid w:val="00726E67"/>
    <w:rsid w:val="00730F33"/>
    <w:rsid w:val="00732379"/>
    <w:rsid w:val="00732BD0"/>
    <w:rsid w:val="00733AE0"/>
    <w:rsid w:val="00734C69"/>
    <w:rsid w:val="00734D04"/>
    <w:rsid w:val="0073583A"/>
    <w:rsid w:val="0073624A"/>
    <w:rsid w:val="007362DE"/>
    <w:rsid w:val="00736FFE"/>
    <w:rsid w:val="00737203"/>
    <w:rsid w:val="007374B2"/>
    <w:rsid w:val="00737DB1"/>
    <w:rsid w:val="00740B09"/>
    <w:rsid w:val="00740FBA"/>
    <w:rsid w:val="007410BD"/>
    <w:rsid w:val="0074256E"/>
    <w:rsid w:val="00742684"/>
    <w:rsid w:val="00746077"/>
    <w:rsid w:val="00746155"/>
    <w:rsid w:val="0074685F"/>
    <w:rsid w:val="00751D6E"/>
    <w:rsid w:val="00751F0D"/>
    <w:rsid w:val="00752DB8"/>
    <w:rsid w:val="00753BA9"/>
    <w:rsid w:val="00755762"/>
    <w:rsid w:val="0075762A"/>
    <w:rsid w:val="00760360"/>
    <w:rsid w:val="00760497"/>
    <w:rsid w:val="00760EA0"/>
    <w:rsid w:val="0076278D"/>
    <w:rsid w:val="00762D04"/>
    <w:rsid w:val="007634FD"/>
    <w:rsid w:val="00763911"/>
    <w:rsid w:val="00763FBC"/>
    <w:rsid w:val="00764715"/>
    <w:rsid w:val="0076515E"/>
    <w:rsid w:val="007651A8"/>
    <w:rsid w:val="0076554D"/>
    <w:rsid w:val="00765B5E"/>
    <w:rsid w:val="00766788"/>
    <w:rsid w:val="00766B9B"/>
    <w:rsid w:val="00770E6C"/>
    <w:rsid w:val="007716F6"/>
    <w:rsid w:val="00772746"/>
    <w:rsid w:val="00773640"/>
    <w:rsid w:val="007746FA"/>
    <w:rsid w:val="00776704"/>
    <w:rsid w:val="0077736D"/>
    <w:rsid w:val="00780161"/>
    <w:rsid w:val="00781DF0"/>
    <w:rsid w:val="00783B18"/>
    <w:rsid w:val="00786044"/>
    <w:rsid w:val="00786970"/>
    <w:rsid w:val="00787BD6"/>
    <w:rsid w:val="00790EEE"/>
    <w:rsid w:val="00791AF5"/>
    <w:rsid w:val="00791D2C"/>
    <w:rsid w:val="00792D96"/>
    <w:rsid w:val="00792EA2"/>
    <w:rsid w:val="00793A87"/>
    <w:rsid w:val="007948AB"/>
    <w:rsid w:val="00794B2B"/>
    <w:rsid w:val="00794EC2"/>
    <w:rsid w:val="00794F5B"/>
    <w:rsid w:val="0079546A"/>
    <w:rsid w:val="0079652E"/>
    <w:rsid w:val="007970DC"/>
    <w:rsid w:val="007978A5"/>
    <w:rsid w:val="007A06EA"/>
    <w:rsid w:val="007A0D2D"/>
    <w:rsid w:val="007A2577"/>
    <w:rsid w:val="007A2859"/>
    <w:rsid w:val="007A2C47"/>
    <w:rsid w:val="007A2CF5"/>
    <w:rsid w:val="007A3677"/>
    <w:rsid w:val="007A3713"/>
    <w:rsid w:val="007A45D7"/>
    <w:rsid w:val="007A5C0E"/>
    <w:rsid w:val="007A69E4"/>
    <w:rsid w:val="007A6F57"/>
    <w:rsid w:val="007A749C"/>
    <w:rsid w:val="007A79CD"/>
    <w:rsid w:val="007B1CE3"/>
    <w:rsid w:val="007B283E"/>
    <w:rsid w:val="007B385E"/>
    <w:rsid w:val="007B3DDE"/>
    <w:rsid w:val="007B48FD"/>
    <w:rsid w:val="007B4AD3"/>
    <w:rsid w:val="007B4B0D"/>
    <w:rsid w:val="007B505E"/>
    <w:rsid w:val="007B5858"/>
    <w:rsid w:val="007B7FA8"/>
    <w:rsid w:val="007C08BD"/>
    <w:rsid w:val="007C1BCB"/>
    <w:rsid w:val="007C2D9C"/>
    <w:rsid w:val="007C3299"/>
    <w:rsid w:val="007C381C"/>
    <w:rsid w:val="007C3F2F"/>
    <w:rsid w:val="007C5667"/>
    <w:rsid w:val="007C64A2"/>
    <w:rsid w:val="007C64EF"/>
    <w:rsid w:val="007C6B96"/>
    <w:rsid w:val="007D04BE"/>
    <w:rsid w:val="007D04E9"/>
    <w:rsid w:val="007D3037"/>
    <w:rsid w:val="007D3667"/>
    <w:rsid w:val="007D4160"/>
    <w:rsid w:val="007D46F1"/>
    <w:rsid w:val="007D47F8"/>
    <w:rsid w:val="007D504E"/>
    <w:rsid w:val="007D5618"/>
    <w:rsid w:val="007D578E"/>
    <w:rsid w:val="007D58CA"/>
    <w:rsid w:val="007D7343"/>
    <w:rsid w:val="007D791A"/>
    <w:rsid w:val="007D7CE6"/>
    <w:rsid w:val="007D7E0C"/>
    <w:rsid w:val="007E0358"/>
    <w:rsid w:val="007E11FD"/>
    <w:rsid w:val="007E2169"/>
    <w:rsid w:val="007E27F4"/>
    <w:rsid w:val="007E2E94"/>
    <w:rsid w:val="007E465A"/>
    <w:rsid w:val="007E554B"/>
    <w:rsid w:val="007E643B"/>
    <w:rsid w:val="007E67F2"/>
    <w:rsid w:val="007F05AC"/>
    <w:rsid w:val="007F0A6D"/>
    <w:rsid w:val="007F53A3"/>
    <w:rsid w:val="007F55F2"/>
    <w:rsid w:val="007F5625"/>
    <w:rsid w:val="007F6478"/>
    <w:rsid w:val="007F659F"/>
    <w:rsid w:val="007F6715"/>
    <w:rsid w:val="007F70DF"/>
    <w:rsid w:val="007F7136"/>
    <w:rsid w:val="007F777F"/>
    <w:rsid w:val="007F7B4A"/>
    <w:rsid w:val="00801944"/>
    <w:rsid w:val="00802190"/>
    <w:rsid w:val="00804D56"/>
    <w:rsid w:val="008065CF"/>
    <w:rsid w:val="008065D2"/>
    <w:rsid w:val="00806CA6"/>
    <w:rsid w:val="0080754A"/>
    <w:rsid w:val="008101B7"/>
    <w:rsid w:val="00810586"/>
    <w:rsid w:val="00810E2F"/>
    <w:rsid w:val="008110F5"/>
    <w:rsid w:val="00812D54"/>
    <w:rsid w:val="00813C93"/>
    <w:rsid w:val="00816D1E"/>
    <w:rsid w:val="00816DDF"/>
    <w:rsid w:val="00817C26"/>
    <w:rsid w:val="00817CFC"/>
    <w:rsid w:val="0082035A"/>
    <w:rsid w:val="0082047B"/>
    <w:rsid w:val="00822013"/>
    <w:rsid w:val="0082329F"/>
    <w:rsid w:val="008232CF"/>
    <w:rsid w:val="008249E3"/>
    <w:rsid w:val="008255E6"/>
    <w:rsid w:val="00830D8D"/>
    <w:rsid w:val="008324B4"/>
    <w:rsid w:val="00832B8E"/>
    <w:rsid w:val="00832F12"/>
    <w:rsid w:val="00834011"/>
    <w:rsid w:val="0083412A"/>
    <w:rsid w:val="00834281"/>
    <w:rsid w:val="00834F55"/>
    <w:rsid w:val="00835111"/>
    <w:rsid w:val="00835465"/>
    <w:rsid w:val="00835582"/>
    <w:rsid w:val="008362B1"/>
    <w:rsid w:val="00836647"/>
    <w:rsid w:val="0083719A"/>
    <w:rsid w:val="008373D6"/>
    <w:rsid w:val="00837DBF"/>
    <w:rsid w:val="00837F97"/>
    <w:rsid w:val="00840DE0"/>
    <w:rsid w:val="00842001"/>
    <w:rsid w:val="00843041"/>
    <w:rsid w:val="0084362D"/>
    <w:rsid w:val="008445FD"/>
    <w:rsid w:val="00846878"/>
    <w:rsid w:val="00850057"/>
    <w:rsid w:val="00850E8C"/>
    <w:rsid w:val="008514B7"/>
    <w:rsid w:val="0085264C"/>
    <w:rsid w:val="008535FF"/>
    <w:rsid w:val="00854777"/>
    <w:rsid w:val="008559C5"/>
    <w:rsid w:val="00855A9A"/>
    <w:rsid w:val="00855D1F"/>
    <w:rsid w:val="00856045"/>
    <w:rsid w:val="0085685B"/>
    <w:rsid w:val="00856F90"/>
    <w:rsid w:val="0086082A"/>
    <w:rsid w:val="00860F1C"/>
    <w:rsid w:val="008616C6"/>
    <w:rsid w:val="00862560"/>
    <w:rsid w:val="00862733"/>
    <w:rsid w:val="0086522F"/>
    <w:rsid w:val="008652FC"/>
    <w:rsid w:val="00867715"/>
    <w:rsid w:val="00867FF1"/>
    <w:rsid w:val="00871BB9"/>
    <w:rsid w:val="008722C4"/>
    <w:rsid w:val="008723D2"/>
    <w:rsid w:val="008741E1"/>
    <w:rsid w:val="008743D2"/>
    <w:rsid w:val="00874C0D"/>
    <w:rsid w:val="008750BC"/>
    <w:rsid w:val="00876026"/>
    <w:rsid w:val="00877858"/>
    <w:rsid w:val="00877917"/>
    <w:rsid w:val="0088192C"/>
    <w:rsid w:val="00882408"/>
    <w:rsid w:val="00883250"/>
    <w:rsid w:val="00884284"/>
    <w:rsid w:val="008863FD"/>
    <w:rsid w:val="00886423"/>
    <w:rsid w:val="008901FD"/>
    <w:rsid w:val="00890F6D"/>
    <w:rsid w:val="0089147F"/>
    <w:rsid w:val="00892E95"/>
    <w:rsid w:val="008931F8"/>
    <w:rsid w:val="0089333B"/>
    <w:rsid w:val="00893F45"/>
    <w:rsid w:val="00894452"/>
    <w:rsid w:val="00896236"/>
    <w:rsid w:val="008970C2"/>
    <w:rsid w:val="0089787B"/>
    <w:rsid w:val="008A23E4"/>
    <w:rsid w:val="008A25E6"/>
    <w:rsid w:val="008A2C31"/>
    <w:rsid w:val="008A3487"/>
    <w:rsid w:val="008A3832"/>
    <w:rsid w:val="008A3B76"/>
    <w:rsid w:val="008A3C97"/>
    <w:rsid w:val="008A436A"/>
    <w:rsid w:val="008A5DD7"/>
    <w:rsid w:val="008A712B"/>
    <w:rsid w:val="008B07E8"/>
    <w:rsid w:val="008B12D0"/>
    <w:rsid w:val="008B18B0"/>
    <w:rsid w:val="008B294F"/>
    <w:rsid w:val="008B337F"/>
    <w:rsid w:val="008B4702"/>
    <w:rsid w:val="008B4BD9"/>
    <w:rsid w:val="008B5434"/>
    <w:rsid w:val="008B5C91"/>
    <w:rsid w:val="008B5DDA"/>
    <w:rsid w:val="008C0B74"/>
    <w:rsid w:val="008C0B9D"/>
    <w:rsid w:val="008C0BCA"/>
    <w:rsid w:val="008C0DAA"/>
    <w:rsid w:val="008C13AD"/>
    <w:rsid w:val="008C1E23"/>
    <w:rsid w:val="008C2565"/>
    <w:rsid w:val="008C405A"/>
    <w:rsid w:val="008C46F5"/>
    <w:rsid w:val="008C673B"/>
    <w:rsid w:val="008C6968"/>
    <w:rsid w:val="008C75E0"/>
    <w:rsid w:val="008D0C24"/>
    <w:rsid w:val="008D2F93"/>
    <w:rsid w:val="008D3953"/>
    <w:rsid w:val="008D45C9"/>
    <w:rsid w:val="008D5C99"/>
    <w:rsid w:val="008D6D66"/>
    <w:rsid w:val="008D7402"/>
    <w:rsid w:val="008D798D"/>
    <w:rsid w:val="008E06CB"/>
    <w:rsid w:val="008E119F"/>
    <w:rsid w:val="008E17A3"/>
    <w:rsid w:val="008E17E0"/>
    <w:rsid w:val="008E1DB1"/>
    <w:rsid w:val="008E23CB"/>
    <w:rsid w:val="008E259F"/>
    <w:rsid w:val="008E5F76"/>
    <w:rsid w:val="008E6500"/>
    <w:rsid w:val="008E65A7"/>
    <w:rsid w:val="008F0EF6"/>
    <w:rsid w:val="008F1E67"/>
    <w:rsid w:val="008F3484"/>
    <w:rsid w:val="008F3974"/>
    <w:rsid w:val="008F4046"/>
    <w:rsid w:val="008F420D"/>
    <w:rsid w:val="008F48EA"/>
    <w:rsid w:val="008F4C9A"/>
    <w:rsid w:val="008F4F98"/>
    <w:rsid w:val="008F6B64"/>
    <w:rsid w:val="008F6EFB"/>
    <w:rsid w:val="008F7192"/>
    <w:rsid w:val="008F7EC3"/>
    <w:rsid w:val="00900B4F"/>
    <w:rsid w:val="00900B99"/>
    <w:rsid w:val="00901C15"/>
    <w:rsid w:val="009030CB"/>
    <w:rsid w:val="009038C9"/>
    <w:rsid w:val="009062E8"/>
    <w:rsid w:val="00907324"/>
    <w:rsid w:val="00907EB3"/>
    <w:rsid w:val="00910251"/>
    <w:rsid w:val="00910763"/>
    <w:rsid w:val="00912234"/>
    <w:rsid w:val="00913011"/>
    <w:rsid w:val="00913E8F"/>
    <w:rsid w:val="00914B64"/>
    <w:rsid w:val="009155CE"/>
    <w:rsid w:val="009155F7"/>
    <w:rsid w:val="009156FB"/>
    <w:rsid w:val="0091610B"/>
    <w:rsid w:val="0091705E"/>
    <w:rsid w:val="0092050D"/>
    <w:rsid w:val="00920AC9"/>
    <w:rsid w:val="009210E1"/>
    <w:rsid w:val="009215A0"/>
    <w:rsid w:val="00921844"/>
    <w:rsid w:val="00921B8F"/>
    <w:rsid w:val="00922714"/>
    <w:rsid w:val="00923CF8"/>
    <w:rsid w:val="00925925"/>
    <w:rsid w:val="009269B4"/>
    <w:rsid w:val="00926A1E"/>
    <w:rsid w:val="009272F9"/>
    <w:rsid w:val="009278E9"/>
    <w:rsid w:val="00927A9D"/>
    <w:rsid w:val="00930CFF"/>
    <w:rsid w:val="00932A5E"/>
    <w:rsid w:val="00934901"/>
    <w:rsid w:val="009358D5"/>
    <w:rsid w:val="0093634C"/>
    <w:rsid w:val="00936E59"/>
    <w:rsid w:val="0094026D"/>
    <w:rsid w:val="00940605"/>
    <w:rsid w:val="009409DE"/>
    <w:rsid w:val="0094124A"/>
    <w:rsid w:val="00941822"/>
    <w:rsid w:val="0094182C"/>
    <w:rsid w:val="009420E9"/>
    <w:rsid w:val="009438AD"/>
    <w:rsid w:val="00943D23"/>
    <w:rsid w:val="00943DBB"/>
    <w:rsid w:val="00944CEF"/>
    <w:rsid w:val="00944EA4"/>
    <w:rsid w:val="00945060"/>
    <w:rsid w:val="009475EB"/>
    <w:rsid w:val="00947E7C"/>
    <w:rsid w:val="00950F89"/>
    <w:rsid w:val="009512CC"/>
    <w:rsid w:val="00952FC8"/>
    <w:rsid w:val="00954642"/>
    <w:rsid w:val="0095533F"/>
    <w:rsid w:val="009554A0"/>
    <w:rsid w:val="00955902"/>
    <w:rsid w:val="0095597B"/>
    <w:rsid w:val="00957424"/>
    <w:rsid w:val="009578AA"/>
    <w:rsid w:val="00957EA9"/>
    <w:rsid w:val="009602CD"/>
    <w:rsid w:val="0096089A"/>
    <w:rsid w:val="00960C2D"/>
    <w:rsid w:val="00960ECC"/>
    <w:rsid w:val="00961274"/>
    <w:rsid w:val="009621D4"/>
    <w:rsid w:val="00962EC7"/>
    <w:rsid w:val="00964A70"/>
    <w:rsid w:val="0096518B"/>
    <w:rsid w:val="00965299"/>
    <w:rsid w:val="00970CF8"/>
    <w:rsid w:val="0097402C"/>
    <w:rsid w:val="0097524B"/>
    <w:rsid w:val="009757CC"/>
    <w:rsid w:val="00977948"/>
    <w:rsid w:val="0098076F"/>
    <w:rsid w:val="00981780"/>
    <w:rsid w:val="00987057"/>
    <w:rsid w:val="0098783A"/>
    <w:rsid w:val="00990AF0"/>
    <w:rsid w:val="00991121"/>
    <w:rsid w:val="009913F0"/>
    <w:rsid w:val="00991789"/>
    <w:rsid w:val="00991840"/>
    <w:rsid w:val="00991846"/>
    <w:rsid w:val="0099255A"/>
    <w:rsid w:val="00992768"/>
    <w:rsid w:val="0099335F"/>
    <w:rsid w:val="00994B36"/>
    <w:rsid w:val="00994D91"/>
    <w:rsid w:val="009950C8"/>
    <w:rsid w:val="00996CEA"/>
    <w:rsid w:val="00997B8D"/>
    <w:rsid w:val="009A02D7"/>
    <w:rsid w:val="009A0683"/>
    <w:rsid w:val="009A1A1D"/>
    <w:rsid w:val="009A1B32"/>
    <w:rsid w:val="009A24C6"/>
    <w:rsid w:val="009A2D09"/>
    <w:rsid w:val="009A4614"/>
    <w:rsid w:val="009A7102"/>
    <w:rsid w:val="009A733F"/>
    <w:rsid w:val="009B1CDE"/>
    <w:rsid w:val="009B1F13"/>
    <w:rsid w:val="009B3127"/>
    <w:rsid w:val="009B78EA"/>
    <w:rsid w:val="009B79D2"/>
    <w:rsid w:val="009C13FA"/>
    <w:rsid w:val="009C1478"/>
    <w:rsid w:val="009C285A"/>
    <w:rsid w:val="009C37CB"/>
    <w:rsid w:val="009C4C1A"/>
    <w:rsid w:val="009C502E"/>
    <w:rsid w:val="009C5618"/>
    <w:rsid w:val="009C5A9E"/>
    <w:rsid w:val="009C60A4"/>
    <w:rsid w:val="009C62BF"/>
    <w:rsid w:val="009D076B"/>
    <w:rsid w:val="009D0D6D"/>
    <w:rsid w:val="009D2A06"/>
    <w:rsid w:val="009D3F59"/>
    <w:rsid w:val="009D41D5"/>
    <w:rsid w:val="009D4602"/>
    <w:rsid w:val="009D5B2D"/>
    <w:rsid w:val="009D6DB8"/>
    <w:rsid w:val="009D6FBC"/>
    <w:rsid w:val="009D715F"/>
    <w:rsid w:val="009E1ADB"/>
    <w:rsid w:val="009E2C80"/>
    <w:rsid w:val="009E44FC"/>
    <w:rsid w:val="009E4B8E"/>
    <w:rsid w:val="009F02D9"/>
    <w:rsid w:val="009F087D"/>
    <w:rsid w:val="009F141C"/>
    <w:rsid w:val="009F1C55"/>
    <w:rsid w:val="009F3BD0"/>
    <w:rsid w:val="009F470C"/>
    <w:rsid w:val="009F48D1"/>
    <w:rsid w:val="009F4F3C"/>
    <w:rsid w:val="009F576F"/>
    <w:rsid w:val="009F632A"/>
    <w:rsid w:val="009F63EB"/>
    <w:rsid w:val="00A00F70"/>
    <w:rsid w:val="00A016D8"/>
    <w:rsid w:val="00A04425"/>
    <w:rsid w:val="00A04773"/>
    <w:rsid w:val="00A047C5"/>
    <w:rsid w:val="00A04ABE"/>
    <w:rsid w:val="00A061F3"/>
    <w:rsid w:val="00A07541"/>
    <w:rsid w:val="00A07A19"/>
    <w:rsid w:val="00A106F0"/>
    <w:rsid w:val="00A10E6A"/>
    <w:rsid w:val="00A10EA2"/>
    <w:rsid w:val="00A11E53"/>
    <w:rsid w:val="00A1253A"/>
    <w:rsid w:val="00A129B9"/>
    <w:rsid w:val="00A12A3B"/>
    <w:rsid w:val="00A13950"/>
    <w:rsid w:val="00A140BB"/>
    <w:rsid w:val="00A159FC"/>
    <w:rsid w:val="00A17E43"/>
    <w:rsid w:val="00A2049D"/>
    <w:rsid w:val="00A20FB9"/>
    <w:rsid w:val="00A22543"/>
    <w:rsid w:val="00A225D8"/>
    <w:rsid w:val="00A22D18"/>
    <w:rsid w:val="00A23313"/>
    <w:rsid w:val="00A245F1"/>
    <w:rsid w:val="00A25069"/>
    <w:rsid w:val="00A26264"/>
    <w:rsid w:val="00A270F6"/>
    <w:rsid w:val="00A273C4"/>
    <w:rsid w:val="00A279A6"/>
    <w:rsid w:val="00A27C72"/>
    <w:rsid w:val="00A300BA"/>
    <w:rsid w:val="00A30A8C"/>
    <w:rsid w:val="00A316FD"/>
    <w:rsid w:val="00A317B1"/>
    <w:rsid w:val="00A31F96"/>
    <w:rsid w:val="00A32BDE"/>
    <w:rsid w:val="00A32C2C"/>
    <w:rsid w:val="00A335CB"/>
    <w:rsid w:val="00A33E09"/>
    <w:rsid w:val="00A343CD"/>
    <w:rsid w:val="00A35188"/>
    <w:rsid w:val="00A35243"/>
    <w:rsid w:val="00A352C6"/>
    <w:rsid w:val="00A35928"/>
    <w:rsid w:val="00A35A0F"/>
    <w:rsid w:val="00A35B53"/>
    <w:rsid w:val="00A35D24"/>
    <w:rsid w:val="00A36221"/>
    <w:rsid w:val="00A36343"/>
    <w:rsid w:val="00A36C99"/>
    <w:rsid w:val="00A40970"/>
    <w:rsid w:val="00A4118B"/>
    <w:rsid w:val="00A41B97"/>
    <w:rsid w:val="00A42605"/>
    <w:rsid w:val="00A42D74"/>
    <w:rsid w:val="00A4553B"/>
    <w:rsid w:val="00A455F3"/>
    <w:rsid w:val="00A47872"/>
    <w:rsid w:val="00A50338"/>
    <w:rsid w:val="00A5142A"/>
    <w:rsid w:val="00A52254"/>
    <w:rsid w:val="00A52CA6"/>
    <w:rsid w:val="00A53366"/>
    <w:rsid w:val="00A5338F"/>
    <w:rsid w:val="00A543C8"/>
    <w:rsid w:val="00A55288"/>
    <w:rsid w:val="00A6143A"/>
    <w:rsid w:val="00A61658"/>
    <w:rsid w:val="00A619D6"/>
    <w:rsid w:val="00A61FFC"/>
    <w:rsid w:val="00A621F1"/>
    <w:rsid w:val="00A62960"/>
    <w:rsid w:val="00A62992"/>
    <w:rsid w:val="00A62EF2"/>
    <w:rsid w:val="00A631B4"/>
    <w:rsid w:val="00A64316"/>
    <w:rsid w:val="00A64AE6"/>
    <w:rsid w:val="00A6548B"/>
    <w:rsid w:val="00A659B9"/>
    <w:rsid w:val="00A65C86"/>
    <w:rsid w:val="00A65D4D"/>
    <w:rsid w:val="00A66306"/>
    <w:rsid w:val="00A66C37"/>
    <w:rsid w:val="00A673B9"/>
    <w:rsid w:val="00A678AC"/>
    <w:rsid w:val="00A67B8C"/>
    <w:rsid w:val="00A7170B"/>
    <w:rsid w:val="00A71743"/>
    <w:rsid w:val="00A71A94"/>
    <w:rsid w:val="00A72B69"/>
    <w:rsid w:val="00A73DE0"/>
    <w:rsid w:val="00A746BE"/>
    <w:rsid w:val="00A749F3"/>
    <w:rsid w:val="00A7537C"/>
    <w:rsid w:val="00A75B1E"/>
    <w:rsid w:val="00A76DA2"/>
    <w:rsid w:val="00A76EBC"/>
    <w:rsid w:val="00A7797A"/>
    <w:rsid w:val="00A802C6"/>
    <w:rsid w:val="00A81658"/>
    <w:rsid w:val="00A81932"/>
    <w:rsid w:val="00A81B1E"/>
    <w:rsid w:val="00A82530"/>
    <w:rsid w:val="00A83ED7"/>
    <w:rsid w:val="00A85195"/>
    <w:rsid w:val="00A86E2C"/>
    <w:rsid w:val="00A8715C"/>
    <w:rsid w:val="00A8728B"/>
    <w:rsid w:val="00A8740D"/>
    <w:rsid w:val="00A9061C"/>
    <w:rsid w:val="00A91CF0"/>
    <w:rsid w:val="00A9385B"/>
    <w:rsid w:val="00A93D0C"/>
    <w:rsid w:val="00A940B1"/>
    <w:rsid w:val="00A94FDD"/>
    <w:rsid w:val="00A9720F"/>
    <w:rsid w:val="00A97303"/>
    <w:rsid w:val="00AA01A8"/>
    <w:rsid w:val="00AA0487"/>
    <w:rsid w:val="00AA08C6"/>
    <w:rsid w:val="00AA0A06"/>
    <w:rsid w:val="00AA15E0"/>
    <w:rsid w:val="00AA2923"/>
    <w:rsid w:val="00AA2EDE"/>
    <w:rsid w:val="00AA34C2"/>
    <w:rsid w:val="00AA4CC4"/>
    <w:rsid w:val="00AA5B53"/>
    <w:rsid w:val="00AA5CFB"/>
    <w:rsid w:val="00AA68B7"/>
    <w:rsid w:val="00AA6C49"/>
    <w:rsid w:val="00AA7044"/>
    <w:rsid w:val="00AA769C"/>
    <w:rsid w:val="00AB0987"/>
    <w:rsid w:val="00AB19E2"/>
    <w:rsid w:val="00AB1A86"/>
    <w:rsid w:val="00AB2A6B"/>
    <w:rsid w:val="00AB2DF5"/>
    <w:rsid w:val="00AB439B"/>
    <w:rsid w:val="00AB45D6"/>
    <w:rsid w:val="00AB5513"/>
    <w:rsid w:val="00AB56F7"/>
    <w:rsid w:val="00AB5806"/>
    <w:rsid w:val="00AB6E2B"/>
    <w:rsid w:val="00AC06AF"/>
    <w:rsid w:val="00AC06F2"/>
    <w:rsid w:val="00AC129C"/>
    <w:rsid w:val="00AC20CE"/>
    <w:rsid w:val="00AC2E98"/>
    <w:rsid w:val="00AC39F6"/>
    <w:rsid w:val="00AC5794"/>
    <w:rsid w:val="00AC68EC"/>
    <w:rsid w:val="00AD1199"/>
    <w:rsid w:val="00AD1303"/>
    <w:rsid w:val="00AD1680"/>
    <w:rsid w:val="00AD2546"/>
    <w:rsid w:val="00AD2A01"/>
    <w:rsid w:val="00AD3093"/>
    <w:rsid w:val="00AD30FC"/>
    <w:rsid w:val="00AD3E85"/>
    <w:rsid w:val="00AD5F97"/>
    <w:rsid w:val="00AD6765"/>
    <w:rsid w:val="00AD704A"/>
    <w:rsid w:val="00AE0358"/>
    <w:rsid w:val="00AE0D87"/>
    <w:rsid w:val="00AE1068"/>
    <w:rsid w:val="00AE2F32"/>
    <w:rsid w:val="00AE3CD0"/>
    <w:rsid w:val="00AE3F3C"/>
    <w:rsid w:val="00AE5075"/>
    <w:rsid w:val="00AE66AF"/>
    <w:rsid w:val="00AE698E"/>
    <w:rsid w:val="00AE756B"/>
    <w:rsid w:val="00AF1257"/>
    <w:rsid w:val="00AF1946"/>
    <w:rsid w:val="00AF2420"/>
    <w:rsid w:val="00AF28BD"/>
    <w:rsid w:val="00AF2F12"/>
    <w:rsid w:val="00AF30ED"/>
    <w:rsid w:val="00AF5B03"/>
    <w:rsid w:val="00AF7177"/>
    <w:rsid w:val="00B00C43"/>
    <w:rsid w:val="00B00F69"/>
    <w:rsid w:val="00B02090"/>
    <w:rsid w:val="00B0308E"/>
    <w:rsid w:val="00B0314E"/>
    <w:rsid w:val="00B03470"/>
    <w:rsid w:val="00B0470B"/>
    <w:rsid w:val="00B05C89"/>
    <w:rsid w:val="00B06D05"/>
    <w:rsid w:val="00B07303"/>
    <w:rsid w:val="00B0784C"/>
    <w:rsid w:val="00B0794F"/>
    <w:rsid w:val="00B07E25"/>
    <w:rsid w:val="00B102E4"/>
    <w:rsid w:val="00B10D2A"/>
    <w:rsid w:val="00B1198A"/>
    <w:rsid w:val="00B11A65"/>
    <w:rsid w:val="00B11F59"/>
    <w:rsid w:val="00B12725"/>
    <w:rsid w:val="00B13C8A"/>
    <w:rsid w:val="00B145AB"/>
    <w:rsid w:val="00B146F8"/>
    <w:rsid w:val="00B14719"/>
    <w:rsid w:val="00B14BAD"/>
    <w:rsid w:val="00B1540B"/>
    <w:rsid w:val="00B16AD2"/>
    <w:rsid w:val="00B16DF7"/>
    <w:rsid w:val="00B16FE6"/>
    <w:rsid w:val="00B173B1"/>
    <w:rsid w:val="00B22D2F"/>
    <w:rsid w:val="00B23A5D"/>
    <w:rsid w:val="00B249B9"/>
    <w:rsid w:val="00B253FB"/>
    <w:rsid w:val="00B256D7"/>
    <w:rsid w:val="00B25715"/>
    <w:rsid w:val="00B265C3"/>
    <w:rsid w:val="00B2767F"/>
    <w:rsid w:val="00B27F89"/>
    <w:rsid w:val="00B3086D"/>
    <w:rsid w:val="00B30DAF"/>
    <w:rsid w:val="00B3165A"/>
    <w:rsid w:val="00B31F22"/>
    <w:rsid w:val="00B3228C"/>
    <w:rsid w:val="00B325C8"/>
    <w:rsid w:val="00B32AAF"/>
    <w:rsid w:val="00B33E9B"/>
    <w:rsid w:val="00B3412A"/>
    <w:rsid w:val="00B34FF1"/>
    <w:rsid w:val="00B359A0"/>
    <w:rsid w:val="00B36B86"/>
    <w:rsid w:val="00B379C6"/>
    <w:rsid w:val="00B40409"/>
    <w:rsid w:val="00B404FE"/>
    <w:rsid w:val="00B415D3"/>
    <w:rsid w:val="00B4399B"/>
    <w:rsid w:val="00B44C4E"/>
    <w:rsid w:val="00B45822"/>
    <w:rsid w:val="00B45A68"/>
    <w:rsid w:val="00B46E1E"/>
    <w:rsid w:val="00B50B51"/>
    <w:rsid w:val="00B515F1"/>
    <w:rsid w:val="00B52436"/>
    <w:rsid w:val="00B52970"/>
    <w:rsid w:val="00B5448D"/>
    <w:rsid w:val="00B546E5"/>
    <w:rsid w:val="00B554F0"/>
    <w:rsid w:val="00B566C1"/>
    <w:rsid w:val="00B57B95"/>
    <w:rsid w:val="00B57D73"/>
    <w:rsid w:val="00B60270"/>
    <w:rsid w:val="00B613E3"/>
    <w:rsid w:val="00B61B72"/>
    <w:rsid w:val="00B61D13"/>
    <w:rsid w:val="00B63A10"/>
    <w:rsid w:val="00B63DB3"/>
    <w:rsid w:val="00B65D85"/>
    <w:rsid w:val="00B665A3"/>
    <w:rsid w:val="00B70571"/>
    <w:rsid w:val="00B717F6"/>
    <w:rsid w:val="00B71B9B"/>
    <w:rsid w:val="00B722E9"/>
    <w:rsid w:val="00B723F9"/>
    <w:rsid w:val="00B73527"/>
    <w:rsid w:val="00B73BEB"/>
    <w:rsid w:val="00B747C8"/>
    <w:rsid w:val="00B74F55"/>
    <w:rsid w:val="00B805FD"/>
    <w:rsid w:val="00B80C6C"/>
    <w:rsid w:val="00B81484"/>
    <w:rsid w:val="00B81C39"/>
    <w:rsid w:val="00B822F7"/>
    <w:rsid w:val="00B8287E"/>
    <w:rsid w:val="00B82E03"/>
    <w:rsid w:val="00B8322C"/>
    <w:rsid w:val="00B84108"/>
    <w:rsid w:val="00B85474"/>
    <w:rsid w:val="00B876BB"/>
    <w:rsid w:val="00B90354"/>
    <w:rsid w:val="00B90A67"/>
    <w:rsid w:val="00B91A99"/>
    <w:rsid w:val="00B91AF0"/>
    <w:rsid w:val="00B92155"/>
    <w:rsid w:val="00B92B63"/>
    <w:rsid w:val="00B93727"/>
    <w:rsid w:val="00B949AC"/>
    <w:rsid w:val="00B95451"/>
    <w:rsid w:val="00B9628F"/>
    <w:rsid w:val="00B97CDA"/>
    <w:rsid w:val="00BA03C1"/>
    <w:rsid w:val="00BA0A2A"/>
    <w:rsid w:val="00BA16AC"/>
    <w:rsid w:val="00BA16E8"/>
    <w:rsid w:val="00BA240A"/>
    <w:rsid w:val="00BA25EF"/>
    <w:rsid w:val="00BA29F7"/>
    <w:rsid w:val="00BA5F89"/>
    <w:rsid w:val="00BA6BF2"/>
    <w:rsid w:val="00BA77A1"/>
    <w:rsid w:val="00BA7ECF"/>
    <w:rsid w:val="00BB01D8"/>
    <w:rsid w:val="00BB0352"/>
    <w:rsid w:val="00BB092F"/>
    <w:rsid w:val="00BB0ABA"/>
    <w:rsid w:val="00BB30FC"/>
    <w:rsid w:val="00BB34D9"/>
    <w:rsid w:val="00BB35AF"/>
    <w:rsid w:val="00BB3757"/>
    <w:rsid w:val="00BB3924"/>
    <w:rsid w:val="00BB4862"/>
    <w:rsid w:val="00BB5C86"/>
    <w:rsid w:val="00BB6B48"/>
    <w:rsid w:val="00BB75C9"/>
    <w:rsid w:val="00BC09B3"/>
    <w:rsid w:val="00BC19D4"/>
    <w:rsid w:val="00BC1A08"/>
    <w:rsid w:val="00BC214C"/>
    <w:rsid w:val="00BC2D0F"/>
    <w:rsid w:val="00BC2EB2"/>
    <w:rsid w:val="00BC32FE"/>
    <w:rsid w:val="00BC414E"/>
    <w:rsid w:val="00BC58B1"/>
    <w:rsid w:val="00BC61F4"/>
    <w:rsid w:val="00BC673F"/>
    <w:rsid w:val="00BD0278"/>
    <w:rsid w:val="00BD038D"/>
    <w:rsid w:val="00BD4597"/>
    <w:rsid w:val="00BD5B38"/>
    <w:rsid w:val="00BD62AE"/>
    <w:rsid w:val="00BE05B2"/>
    <w:rsid w:val="00BE0AAF"/>
    <w:rsid w:val="00BE3524"/>
    <w:rsid w:val="00BE396C"/>
    <w:rsid w:val="00BE3E15"/>
    <w:rsid w:val="00BE4383"/>
    <w:rsid w:val="00BE4E78"/>
    <w:rsid w:val="00BE4F60"/>
    <w:rsid w:val="00BE5B9A"/>
    <w:rsid w:val="00BE6099"/>
    <w:rsid w:val="00BE6418"/>
    <w:rsid w:val="00BE64DA"/>
    <w:rsid w:val="00BE6501"/>
    <w:rsid w:val="00BE6D6E"/>
    <w:rsid w:val="00BE6FC5"/>
    <w:rsid w:val="00BE78BC"/>
    <w:rsid w:val="00BE7D03"/>
    <w:rsid w:val="00BF1D44"/>
    <w:rsid w:val="00BF1F08"/>
    <w:rsid w:val="00BF2358"/>
    <w:rsid w:val="00BF288B"/>
    <w:rsid w:val="00BF36CB"/>
    <w:rsid w:val="00BF3A63"/>
    <w:rsid w:val="00BF3C26"/>
    <w:rsid w:val="00BF43D7"/>
    <w:rsid w:val="00BF45AB"/>
    <w:rsid w:val="00BF4BD4"/>
    <w:rsid w:val="00BF595C"/>
    <w:rsid w:val="00BF5FDD"/>
    <w:rsid w:val="00BF6735"/>
    <w:rsid w:val="00BF70B1"/>
    <w:rsid w:val="00C0123F"/>
    <w:rsid w:val="00C01CC1"/>
    <w:rsid w:val="00C02959"/>
    <w:rsid w:val="00C02DE0"/>
    <w:rsid w:val="00C03411"/>
    <w:rsid w:val="00C0420B"/>
    <w:rsid w:val="00C0490B"/>
    <w:rsid w:val="00C056D5"/>
    <w:rsid w:val="00C061A3"/>
    <w:rsid w:val="00C06D32"/>
    <w:rsid w:val="00C073E0"/>
    <w:rsid w:val="00C075D3"/>
    <w:rsid w:val="00C07697"/>
    <w:rsid w:val="00C07BD5"/>
    <w:rsid w:val="00C07CD5"/>
    <w:rsid w:val="00C07E18"/>
    <w:rsid w:val="00C103C4"/>
    <w:rsid w:val="00C12F0C"/>
    <w:rsid w:val="00C138F7"/>
    <w:rsid w:val="00C14831"/>
    <w:rsid w:val="00C150BC"/>
    <w:rsid w:val="00C15310"/>
    <w:rsid w:val="00C16313"/>
    <w:rsid w:val="00C16814"/>
    <w:rsid w:val="00C16BD5"/>
    <w:rsid w:val="00C20399"/>
    <w:rsid w:val="00C20432"/>
    <w:rsid w:val="00C2056A"/>
    <w:rsid w:val="00C2092E"/>
    <w:rsid w:val="00C21188"/>
    <w:rsid w:val="00C212B6"/>
    <w:rsid w:val="00C22541"/>
    <w:rsid w:val="00C228CB"/>
    <w:rsid w:val="00C23843"/>
    <w:rsid w:val="00C24BFD"/>
    <w:rsid w:val="00C25681"/>
    <w:rsid w:val="00C264D5"/>
    <w:rsid w:val="00C26D4E"/>
    <w:rsid w:val="00C3061E"/>
    <w:rsid w:val="00C30D72"/>
    <w:rsid w:val="00C317A0"/>
    <w:rsid w:val="00C31C79"/>
    <w:rsid w:val="00C32418"/>
    <w:rsid w:val="00C333D0"/>
    <w:rsid w:val="00C3363B"/>
    <w:rsid w:val="00C33CB2"/>
    <w:rsid w:val="00C3406D"/>
    <w:rsid w:val="00C34A99"/>
    <w:rsid w:val="00C34E2D"/>
    <w:rsid w:val="00C3524B"/>
    <w:rsid w:val="00C353EE"/>
    <w:rsid w:val="00C35F76"/>
    <w:rsid w:val="00C3644D"/>
    <w:rsid w:val="00C36859"/>
    <w:rsid w:val="00C36FB6"/>
    <w:rsid w:val="00C415DF"/>
    <w:rsid w:val="00C41D8E"/>
    <w:rsid w:val="00C421EE"/>
    <w:rsid w:val="00C44520"/>
    <w:rsid w:val="00C4622D"/>
    <w:rsid w:val="00C464DA"/>
    <w:rsid w:val="00C46B19"/>
    <w:rsid w:val="00C47D97"/>
    <w:rsid w:val="00C522A6"/>
    <w:rsid w:val="00C52C62"/>
    <w:rsid w:val="00C537F2"/>
    <w:rsid w:val="00C5442F"/>
    <w:rsid w:val="00C5450D"/>
    <w:rsid w:val="00C54CE7"/>
    <w:rsid w:val="00C54D2B"/>
    <w:rsid w:val="00C55807"/>
    <w:rsid w:val="00C577E1"/>
    <w:rsid w:val="00C60832"/>
    <w:rsid w:val="00C60AA3"/>
    <w:rsid w:val="00C60AC0"/>
    <w:rsid w:val="00C61896"/>
    <w:rsid w:val="00C623CA"/>
    <w:rsid w:val="00C62407"/>
    <w:rsid w:val="00C62C8A"/>
    <w:rsid w:val="00C644B5"/>
    <w:rsid w:val="00C6545A"/>
    <w:rsid w:val="00C65C1A"/>
    <w:rsid w:val="00C66413"/>
    <w:rsid w:val="00C6642E"/>
    <w:rsid w:val="00C67CA1"/>
    <w:rsid w:val="00C7024E"/>
    <w:rsid w:val="00C70E43"/>
    <w:rsid w:val="00C71246"/>
    <w:rsid w:val="00C731FE"/>
    <w:rsid w:val="00C735C0"/>
    <w:rsid w:val="00C743BB"/>
    <w:rsid w:val="00C74A27"/>
    <w:rsid w:val="00C74FB9"/>
    <w:rsid w:val="00C75139"/>
    <w:rsid w:val="00C7582C"/>
    <w:rsid w:val="00C75EE5"/>
    <w:rsid w:val="00C7712D"/>
    <w:rsid w:val="00C777CE"/>
    <w:rsid w:val="00C77F29"/>
    <w:rsid w:val="00C80BD5"/>
    <w:rsid w:val="00C80C7D"/>
    <w:rsid w:val="00C81233"/>
    <w:rsid w:val="00C81972"/>
    <w:rsid w:val="00C82369"/>
    <w:rsid w:val="00C83AF2"/>
    <w:rsid w:val="00C83F97"/>
    <w:rsid w:val="00C8446C"/>
    <w:rsid w:val="00C84582"/>
    <w:rsid w:val="00C85851"/>
    <w:rsid w:val="00C858B8"/>
    <w:rsid w:val="00C8620A"/>
    <w:rsid w:val="00C86E9C"/>
    <w:rsid w:val="00C904AA"/>
    <w:rsid w:val="00C913B1"/>
    <w:rsid w:val="00C91E92"/>
    <w:rsid w:val="00C93168"/>
    <w:rsid w:val="00C93EF2"/>
    <w:rsid w:val="00C944B3"/>
    <w:rsid w:val="00C94CAC"/>
    <w:rsid w:val="00C968A1"/>
    <w:rsid w:val="00CA049C"/>
    <w:rsid w:val="00CA0617"/>
    <w:rsid w:val="00CA11BA"/>
    <w:rsid w:val="00CA1D69"/>
    <w:rsid w:val="00CA3056"/>
    <w:rsid w:val="00CA4B04"/>
    <w:rsid w:val="00CA6515"/>
    <w:rsid w:val="00CA697E"/>
    <w:rsid w:val="00CA6A9D"/>
    <w:rsid w:val="00CA6FAB"/>
    <w:rsid w:val="00CA773A"/>
    <w:rsid w:val="00CA77E6"/>
    <w:rsid w:val="00CA7E9A"/>
    <w:rsid w:val="00CB05DF"/>
    <w:rsid w:val="00CB1287"/>
    <w:rsid w:val="00CB1F8B"/>
    <w:rsid w:val="00CB3151"/>
    <w:rsid w:val="00CB330F"/>
    <w:rsid w:val="00CB4C55"/>
    <w:rsid w:val="00CB5D16"/>
    <w:rsid w:val="00CB7A84"/>
    <w:rsid w:val="00CB7DA9"/>
    <w:rsid w:val="00CC0BB3"/>
    <w:rsid w:val="00CC0BE3"/>
    <w:rsid w:val="00CC124D"/>
    <w:rsid w:val="00CC190F"/>
    <w:rsid w:val="00CC2A7E"/>
    <w:rsid w:val="00CC2D7F"/>
    <w:rsid w:val="00CC56A3"/>
    <w:rsid w:val="00CC6B59"/>
    <w:rsid w:val="00CD12E3"/>
    <w:rsid w:val="00CD1910"/>
    <w:rsid w:val="00CD1ACF"/>
    <w:rsid w:val="00CD2D69"/>
    <w:rsid w:val="00CD3420"/>
    <w:rsid w:val="00CD345F"/>
    <w:rsid w:val="00CD3C55"/>
    <w:rsid w:val="00CD418B"/>
    <w:rsid w:val="00CD43F0"/>
    <w:rsid w:val="00CD63D9"/>
    <w:rsid w:val="00CD6D8A"/>
    <w:rsid w:val="00CD6E08"/>
    <w:rsid w:val="00CD7464"/>
    <w:rsid w:val="00CE0045"/>
    <w:rsid w:val="00CE1345"/>
    <w:rsid w:val="00CE1B1D"/>
    <w:rsid w:val="00CE1DD4"/>
    <w:rsid w:val="00CE1F64"/>
    <w:rsid w:val="00CE2561"/>
    <w:rsid w:val="00CE38FD"/>
    <w:rsid w:val="00CE3AF1"/>
    <w:rsid w:val="00CE4189"/>
    <w:rsid w:val="00CE41E1"/>
    <w:rsid w:val="00CE4F2E"/>
    <w:rsid w:val="00CE5174"/>
    <w:rsid w:val="00CE52B0"/>
    <w:rsid w:val="00CE77FB"/>
    <w:rsid w:val="00CE79BD"/>
    <w:rsid w:val="00CE7E58"/>
    <w:rsid w:val="00CF0A92"/>
    <w:rsid w:val="00CF3E7E"/>
    <w:rsid w:val="00CF485D"/>
    <w:rsid w:val="00CF50BB"/>
    <w:rsid w:val="00CF58DD"/>
    <w:rsid w:val="00CF6464"/>
    <w:rsid w:val="00D029CB"/>
    <w:rsid w:val="00D0371C"/>
    <w:rsid w:val="00D03A2B"/>
    <w:rsid w:val="00D05546"/>
    <w:rsid w:val="00D066BA"/>
    <w:rsid w:val="00D06F30"/>
    <w:rsid w:val="00D073CD"/>
    <w:rsid w:val="00D104D8"/>
    <w:rsid w:val="00D11F09"/>
    <w:rsid w:val="00D12953"/>
    <w:rsid w:val="00D12F97"/>
    <w:rsid w:val="00D13757"/>
    <w:rsid w:val="00D1513D"/>
    <w:rsid w:val="00D16C19"/>
    <w:rsid w:val="00D1768F"/>
    <w:rsid w:val="00D17F66"/>
    <w:rsid w:val="00D20587"/>
    <w:rsid w:val="00D21049"/>
    <w:rsid w:val="00D2106D"/>
    <w:rsid w:val="00D21075"/>
    <w:rsid w:val="00D21102"/>
    <w:rsid w:val="00D2112F"/>
    <w:rsid w:val="00D21620"/>
    <w:rsid w:val="00D22402"/>
    <w:rsid w:val="00D2267C"/>
    <w:rsid w:val="00D2459D"/>
    <w:rsid w:val="00D2486F"/>
    <w:rsid w:val="00D24B2C"/>
    <w:rsid w:val="00D24CB1"/>
    <w:rsid w:val="00D257C2"/>
    <w:rsid w:val="00D261B8"/>
    <w:rsid w:val="00D26232"/>
    <w:rsid w:val="00D26BFA"/>
    <w:rsid w:val="00D27042"/>
    <w:rsid w:val="00D3041B"/>
    <w:rsid w:val="00D309B0"/>
    <w:rsid w:val="00D313B3"/>
    <w:rsid w:val="00D3160E"/>
    <w:rsid w:val="00D318A9"/>
    <w:rsid w:val="00D31AF7"/>
    <w:rsid w:val="00D33EB1"/>
    <w:rsid w:val="00D34102"/>
    <w:rsid w:val="00D346A8"/>
    <w:rsid w:val="00D34891"/>
    <w:rsid w:val="00D34ED3"/>
    <w:rsid w:val="00D356B6"/>
    <w:rsid w:val="00D35D7A"/>
    <w:rsid w:val="00D35D91"/>
    <w:rsid w:val="00D36879"/>
    <w:rsid w:val="00D36B3B"/>
    <w:rsid w:val="00D37CC1"/>
    <w:rsid w:val="00D37DE0"/>
    <w:rsid w:val="00D403E8"/>
    <w:rsid w:val="00D4127F"/>
    <w:rsid w:val="00D42211"/>
    <w:rsid w:val="00D42403"/>
    <w:rsid w:val="00D42522"/>
    <w:rsid w:val="00D42DEB"/>
    <w:rsid w:val="00D433ED"/>
    <w:rsid w:val="00D4487A"/>
    <w:rsid w:val="00D44EA9"/>
    <w:rsid w:val="00D471A1"/>
    <w:rsid w:val="00D5056E"/>
    <w:rsid w:val="00D50665"/>
    <w:rsid w:val="00D51758"/>
    <w:rsid w:val="00D52459"/>
    <w:rsid w:val="00D5306E"/>
    <w:rsid w:val="00D53C1A"/>
    <w:rsid w:val="00D54B5B"/>
    <w:rsid w:val="00D55162"/>
    <w:rsid w:val="00D5541E"/>
    <w:rsid w:val="00D5546A"/>
    <w:rsid w:val="00D556C0"/>
    <w:rsid w:val="00D55731"/>
    <w:rsid w:val="00D55C76"/>
    <w:rsid w:val="00D62B6F"/>
    <w:rsid w:val="00D63A94"/>
    <w:rsid w:val="00D63D87"/>
    <w:rsid w:val="00D63E80"/>
    <w:rsid w:val="00D65954"/>
    <w:rsid w:val="00D65A8D"/>
    <w:rsid w:val="00D65BA1"/>
    <w:rsid w:val="00D662BA"/>
    <w:rsid w:val="00D664BD"/>
    <w:rsid w:val="00D6720A"/>
    <w:rsid w:val="00D6782D"/>
    <w:rsid w:val="00D67BF4"/>
    <w:rsid w:val="00D72B72"/>
    <w:rsid w:val="00D734A6"/>
    <w:rsid w:val="00D73573"/>
    <w:rsid w:val="00D73930"/>
    <w:rsid w:val="00D73B3B"/>
    <w:rsid w:val="00D74BC2"/>
    <w:rsid w:val="00D75043"/>
    <w:rsid w:val="00D76A04"/>
    <w:rsid w:val="00D77FC4"/>
    <w:rsid w:val="00D80B82"/>
    <w:rsid w:val="00D8122C"/>
    <w:rsid w:val="00D817C0"/>
    <w:rsid w:val="00D83B64"/>
    <w:rsid w:val="00D8442A"/>
    <w:rsid w:val="00D856F3"/>
    <w:rsid w:val="00D85A2A"/>
    <w:rsid w:val="00D85E0B"/>
    <w:rsid w:val="00D912E2"/>
    <w:rsid w:val="00D92CFC"/>
    <w:rsid w:val="00D93854"/>
    <w:rsid w:val="00D93F8A"/>
    <w:rsid w:val="00D940F5"/>
    <w:rsid w:val="00D953D3"/>
    <w:rsid w:val="00D966BD"/>
    <w:rsid w:val="00D972CF"/>
    <w:rsid w:val="00D97C0D"/>
    <w:rsid w:val="00DA0847"/>
    <w:rsid w:val="00DA2708"/>
    <w:rsid w:val="00DA2772"/>
    <w:rsid w:val="00DA2F8F"/>
    <w:rsid w:val="00DA5989"/>
    <w:rsid w:val="00DA7448"/>
    <w:rsid w:val="00DA7945"/>
    <w:rsid w:val="00DA7E07"/>
    <w:rsid w:val="00DB0E62"/>
    <w:rsid w:val="00DB226E"/>
    <w:rsid w:val="00DB2378"/>
    <w:rsid w:val="00DB2560"/>
    <w:rsid w:val="00DB2E73"/>
    <w:rsid w:val="00DB2F85"/>
    <w:rsid w:val="00DB3399"/>
    <w:rsid w:val="00DB3CFC"/>
    <w:rsid w:val="00DB423A"/>
    <w:rsid w:val="00DB62E0"/>
    <w:rsid w:val="00DB6928"/>
    <w:rsid w:val="00DB73A7"/>
    <w:rsid w:val="00DB7853"/>
    <w:rsid w:val="00DC01E9"/>
    <w:rsid w:val="00DC04EF"/>
    <w:rsid w:val="00DC0F56"/>
    <w:rsid w:val="00DC1CB7"/>
    <w:rsid w:val="00DC2296"/>
    <w:rsid w:val="00DC2B0D"/>
    <w:rsid w:val="00DC3144"/>
    <w:rsid w:val="00DC3395"/>
    <w:rsid w:val="00DC41CF"/>
    <w:rsid w:val="00DC4DDD"/>
    <w:rsid w:val="00DC4F55"/>
    <w:rsid w:val="00DC5482"/>
    <w:rsid w:val="00DC723D"/>
    <w:rsid w:val="00DD1A58"/>
    <w:rsid w:val="00DD2F2F"/>
    <w:rsid w:val="00DD3197"/>
    <w:rsid w:val="00DD5A5D"/>
    <w:rsid w:val="00DD661D"/>
    <w:rsid w:val="00DD7ABD"/>
    <w:rsid w:val="00DE00A7"/>
    <w:rsid w:val="00DE0C27"/>
    <w:rsid w:val="00DE24BE"/>
    <w:rsid w:val="00DE34D9"/>
    <w:rsid w:val="00DE4EC8"/>
    <w:rsid w:val="00DE5C19"/>
    <w:rsid w:val="00DE5CD6"/>
    <w:rsid w:val="00DE71E3"/>
    <w:rsid w:val="00DE7590"/>
    <w:rsid w:val="00DE7A6E"/>
    <w:rsid w:val="00DF0FC7"/>
    <w:rsid w:val="00DF1237"/>
    <w:rsid w:val="00DF13AB"/>
    <w:rsid w:val="00DF275F"/>
    <w:rsid w:val="00DF33E1"/>
    <w:rsid w:val="00DF473A"/>
    <w:rsid w:val="00DF5C12"/>
    <w:rsid w:val="00DF627B"/>
    <w:rsid w:val="00DF7748"/>
    <w:rsid w:val="00DF7776"/>
    <w:rsid w:val="00E00C8E"/>
    <w:rsid w:val="00E00CFE"/>
    <w:rsid w:val="00E020B0"/>
    <w:rsid w:val="00E02C0E"/>
    <w:rsid w:val="00E032B2"/>
    <w:rsid w:val="00E036BE"/>
    <w:rsid w:val="00E038DF"/>
    <w:rsid w:val="00E04231"/>
    <w:rsid w:val="00E0484B"/>
    <w:rsid w:val="00E0575E"/>
    <w:rsid w:val="00E05C66"/>
    <w:rsid w:val="00E07B0C"/>
    <w:rsid w:val="00E10DC4"/>
    <w:rsid w:val="00E1121E"/>
    <w:rsid w:val="00E11866"/>
    <w:rsid w:val="00E11ADC"/>
    <w:rsid w:val="00E11B1F"/>
    <w:rsid w:val="00E12A47"/>
    <w:rsid w:val="00E15100"/>
    <w:rsid w:val="00E1589F"/>
    <w:rsid w:val="00E15E5F"/>
    <w:rsid w:val="00E1694D"/>
    <w:rsid w:val="00E16B9C"/>
    <w:rsid w:val="00E16C22"/>
    <w:rsid w:val="00E16D6A"/>
    <w:rsid w:val="00E178CF"/>
    <w:rsid w:val="00E22081"/>
    <w:rsid w:val="00E222A5"/>
    <w:rsid w:val="00E224BE"/>
    <w:rsid w:val="00E22851"/>
    <w:rsid w:val="00E22942"/>
    <w:rsid w:val="00E23625"/>
    <w:rsid w:val="00E23D46"/>
    <w:rsid w:val="00E24F5C"/>
    <w:rsid w:val="00E2511F"/>
    <w:rsid w:val="00E25764"/>
    <w:rsid w:val="00E265F6"/>
    <w:rsid w:val="00E26ED2"/>
    <w:rsid w:val="00E27125"/>
    <w:rsid w:val="00E278D4"/>
    <w:rsid w:val="00E27ED0"/>
    <w:rsid w:val="00E30674"/>
    <w:rsid w:val="00E30A58"/>
    <w:rsid w:val="00E30A83"/>
    <w:rsid w:val="00E33726"/>
    <w:rsid w:val="00E33BAD"/>
    <w:rsid w:val="00E344AB"/>
    <w:rsid w:val="00E3603A"/>
    <w:rsid w:val="00E36953"/>
    <w:rsid w:val="00E36B34"/>
    <w:rsid w:val="00E3718B"/>
    <w:rsid w:val="00E419D9"/>
    <w:rsid w:val="00E43D81"/>
    <w:rsid w:val="00E43E09"/>
    <w:rsid w:val="00E444F3"/>
    <w:rsid w:val="00E445FD"/>
    <w:rsid w:val="00E47478"/>
    <w:rsid w:val="00E47893"/>
    <w:rsid w:val="00E47CA3"/>
    <w:rsid w:val="00E50732"/>
    <w:rsid w:val="00E51815"/>
    <w:rsid w:val="00E518A8"/>
    <w:rsid w:val="00E51FC0"/>
    <w:rsid w:val="00E5275A"/>
    <w:rsid w:val="00E52AE5"/>
    <w:rsid w:val="00E53B0C"/>
    <w:rsid w:val="00E545B3"/>
    <w:rsid w:val="00E54AB7"/>
    <w:rsid w:val="00E54EDF"/>
    <w:rsid w:val="00E563DE"/>
    <w:rsid w:val="00E56439"/>
    <w:rsid w:val="00E60AF3"/>
    <w:rsid w:val="00E629AD"/>
    <w:rsid w:val="00E62D27"/>
    <w:rsid w:val="00E64D4B"/>
    <w:rsid w:val="00E652BD"/>
    <w:rsid w:val="00E66328"/>
    <w:rsid w:val="00E66D33"/>
    <w:rsid w:val="00E673F3"/>
    <w:rsid w:val="00E702E6"/>
    <w:rsid w:val="00E703CE"/>
    <w:rsid w:val="00E708F4"/>
    <w:rsid w:val="00E70903"/>
    <w:rsid w:val="00E70E8D"/>
    <w:rsid w:val="00E70EE6"/>
    <w:rsid w:val="00E719D1"/>
    <w:rsid w:val="00E71CE4"/>
    <w:rsid w:val="00E720EE"/>
    <w:rsid w:val="00E73FBB"/>
    <w:rsid w:val="00E7604F"/>
    <w:rsid w:val="00E763EF"/>
    <w:rsid w:val="00E80409"/>
    <w:rsid w:val="00E810ED"/>
    <w:rsid w:val="00E8166C"/>
    <w:rsid w:val="00E846D0"/>
    <w:rsid w:val="00E85025"/>
    <w:rsid w:val="00E87814"/>
    <w:rsid w:val="00E87F30"/>
    <w:rsid w:val="00E902EE"/>
    <w:rsid w:val="00E9132D"/>
    <w:rsid w:val="00E9152E"/>
    <w:rsid w:val="00E91FFD"/>
    <w:rsid w:val="00E921DD"/>
    <w:rsid w:val="00E93282"/>
    <w:rsid w:val="00E935A7"/>
    <w:rsid w:val="00E93DFF"/>
    <w:rsid w:val="00E94092"/>
    <w:rsid w:val="00E94DB8"/>
    <w:rsid w:val="00E95381"/>
    <w:rsid w:val="00E9553A"/>
    <w:rsid w:val="00E95593"/>
    <w:rsid w:val="00E95E51"/>
    <w:rsid w:val="00E9714B"/>
    <w:rsid w:val="00EA057A"/>
    <w:rsid w:val="00EA077B"/>
    <w:rsid w:val="00EA11BC"/>
    <w:rsid w:val="00EA1FCF"/>
    <w:rsid w:val="00EA224A"/>
    <w:rsid w:val="00EA2B5B"/>
    <w:rsid w:val="00EA32FD"/>
    <w:rsid w:val="00EA398B"/>
    <w:rsid w:val="00EA3AC5"/>
    <w:rsid w:val="00EA3E9A"/>
    <w:rsid w:val="00EA3FB0"/>
    <w:rsid w:val="00EA63AA"/>
    <w:rsid w:val="00EA6965"/>
    <w:rsid w:val="00EA7D61"/>
    <w:rsid w:val="00EB049A"/>
    <w:rsid w:val="00EB0895"/>
    <w:rsid w:val="00EB0B35"/>
    <w:rsid w:val="00EB13A2"/>
    <w:rsid w:val="00EB1B94"/>
    <w:rsid w:val="00EB1D42"/>
    <w:rsid w:val="00EB3DCE"/>
    <w:rsid w:val="00EB4CDB"/>
    <w:rsid w:val="00EB4E41"/>
    <w:rsid w:val="00EB58ED"/>
    <w:rsid w:val="00EB672A"/>
    <w:rsid w:val="00EC1F38"/>
    <w:rsid w:val="00EC2565"/>
    <w:rsid w:val="00EC3B4F"/>
    <w:rsid w:val="00EC488A"/>
    <w:rsid w:val="00EC4BF2"/>
    <w:rsid w:val="00EC644B"/>
    <w:rsid w:val="00EC6B97"/>
    <w:rsid w:val="00EC7998"/>
    <w:rsid w:val="00ED09B9"/>
    <w:rsid w:val="00ED2423"/>
    <w:rsid w:val="00ED399F"/>
    <w:rsid w:val="00ED41D4"/>
    <w:rsid w:val="00ED4BB5"/>
    <w:rsid w:val="00ED5353"/>
    <w:rsid w:val="00ED5EE7"/>
    <w:rsid w:val="00ED6455"/>
    <w:rsid w:val="00ED6BBC"/>
    <w:rsid w:val="00ED7C1C"/>
    <w:rsid w:val="00EE002D"/>
    <w:rsid w:val="00EE0039"/>
    <w:rsid w:val="00EE0A0C"/>
    <w:rsid w:val="00EE1152"/>
    <w:rsid w:val="00EE12FD"/>
    <w:rsid w:val="00EE274A"/>
    <w:rsid w:val="00EE2DF2"/>
    <w:rsid w:val="00EE37C4"/>
    <w:rsid w:val="00EE3926"/>
    <w:rsid w:val="00EE39C3"/>
    <w:rsid w:val="00EE4173"/>
    <w:rsid w:val="00EE483A"/>
    <w:rsid w:val="00EE5D88"/>
    <w:rsid w:val="00EE5D97"/>
    <w:rsid w:val="00EE7D9E"/>
    <w:rsid w:val="00EF0EEC"/>
    <w:rsid w:val="00EF161E"/>
    <w:rsid w:val="00EF19D0"/>
    <w:rsid w:val="00EF1E7F"/>
    <w:rsid w:val="00EF2237"/>
    <w:rsid w:val="00EF25DB"/>
    <w:rsid w:val="00EF2633"/>
    <w:rsid w:val="00EF2E91"/>
    <w:rsid w:val="00EF3A06"/>
    <w:rsid w:val="00EF3B97"/>
    <w:rsid w:val="00EF4722"/>
    <w:rsid w:val="00EF4AAB"/>
    <w:rsid w:val="00EF4BED"/>
    <w:rsid w:val="00EF5F0E"/>
    <w:rsid w:val="00EF6996"/>
    <w:rsid w:val="00EF6B65"/>
    <w:rsid w:val="00EF7CB6"/>
    <w:rsid w:val="00F00078"/>
    <w:rsid w:val="00F00B9E"/>
    <w:rsid w:val="00F0105F"/>
    <w:rsid w:val="00F03813"/>
    <w:rsid w:val="00F03BC8"/>
    <w:rsid w:val="00F0417A"/>
    <w:rsid w:val="00F0424E"/>
    <w:rsid w:val="00F04C36"/>
    <w:rsid w:val="00F0582F"/>
    <w:rsid w:val="00F05C1A"/>
    <w:rsid w:val="00F05C80"/>
    <w:rsid w:val="00F06089"/>
    <w:rsid w:val="00F0636A"/>
    <w:rsid w:val="00F06452"/>
    <w:rsid w:val="00F07605"/>
    <w:rsid w:val="00F076B8"/>
    <w:rsid w:val="00F07F12"/>
    <w:rsid w:val="00F1003F"/>
    <w:rsid w:val="00F10991"/>
    <w:rsid w:val="00F10E44"/>
    <w:rsid w:val="00F11714"/>
    <w:rsid w:val="00F135C5"/>
    <w:rsid w:val="00F144CD"/>
    <w:rsid w:val="00F147C3"/>
    <w:rsid w:val="00F21946"/>
    <w:rsid w:val="00F22CAC"/>
    <w:rsid w:val="00F2428A"/>
    <w:rsid w:val="00F26681"/>
    <w:rsid w:val="00F271C6"/>
    <w:rsid w:val="00F278A1"/>
    <w:rsid w:val="00F27BC9"/>
    <w:rsid w:val="00F27D88"/>
    <w:rsid w:val="00F316FA"/>
    <w:rsid w:val="00F31FCF"/>
    <w:rsid w:val="00F323F6"/>
    <w:rsid w:val="00F3463F"/>
    <w:rsid w:val="00F34A3D"/>
    <w:rsid w:val="00F34C09"/>
    <w:rsid w:val="00F34D02"/>
    <w:rsid w:val="00F34F3D"/>
    <w:rsid w:val="00F35719"/>
    <w:rsid w:val="00F3616A"/>
    <w:rsid w:val="00F3691C"/>
    <w:rsid w:val="00F36F94"/>
    <w:rsid w:val="00F37623"/>
    <w:rsid w:val="00F41012"/>
    <w:rsid w:val="00F411B0"/>
    <w:rsid w:val="00F4258F"/>
    <w:rsid w:val="00F4280E"/>
    <w:rsid w:val="00F433C0"/>
    <w:rsid w:val="00F43FF7"/>
    <w:rsid w:val="00F449F5"/>
    <w:rsid w:val="00F45BB3"/>
    <w:rsid w:val="00F45D80"/>
    <w:rsid w:val="00F475C8"/>
    <w:rsid w:val="00F505A5"/>
    <w:rsid w:val="00F50A60"/>
    <w:rsid w:val="00F51758"/>
    <w:rsid w:val="00F51D4B"/>
    <w:rsid w:val="00F5223B"/>
    <w:rsid w:val="00F52290"/>
    <w:rsid w:val="00F5285A"/>
    <w:rsid w:val="00F5539F"/>
    <w:rsid w:val="00F5553F"/>
    <w:rsid w:val="00F557BD"/>
    <w:rsid w:val="00F56285"/>
    <w:rsid w:val="00F56A55"/>
    <w:rsid w:val="00F56AD8"/>
    <w:rsid w:val="00F5787E"/>
    <w:rsid w:val="00F5796E"/>
    <w:rsid w:val="00F6015C"/>
    <w:rsid w:val="00F6102F"/>
    <w:rsid w:val="00F615FE"/>
    <w:rsid w:val="00F61F8E"/>
    <w:rsid w:val="00F6262B"/>
    <w:rsid w:val="00F62BA8"/>
    <w:rsid w:val="00F63740"/>
    <w:rsid w:val="00F63BAE"/>
    <w:rsid w:val="00F65DC9"/>
    <w:rsid w:val="00F660E9"/>
    <w:rsid w:val="00F67937"/>
    <w:rsid w:val="00F70137"/>
    <w:rsid w:val="00F71098"/>
    <w:rsid w:val="00F7233E"/>
    <w:rsid w:val="00F7264D"/>
    <w:rsid w:val="00F72E0E"/>
    <w:rsid w:val="00F76612"/>
    <w:rsid w:val="00F7734E"/>
    <w:rsid w:val="00F80883"/>
    <w:rsid w:val="00F81350"/>
    <w:rsid w:val="00F82636"/>
    <w:rsid w:val="00F82A55"/>
    <w:rsid w:val="00F82A87"/>
    <w:rsid w:val="00F83EC2"/>
    <w:rsid w:val="00F8448A"/>
    <w:rsid w:val="00F84548"/>
    <w:rsid w:val="00F851F9"/>
    <w:rsid w:val="00F86D21"/>
    <w:rsid w:val="00F8752C"/>
    <w:rsid w:val="00F87A10"/>
    <w:rsid w:val="00F90038"/>
    <w:rsid w:val="00F90298"/>
    <w:rsid w:val="00F90747"/>
    <w:rsid w:val="00F9165D"/>
    <w:rsid w:val="00F91CA3"/>
    <w:rsid w:val="00F91E46"/>
    <w:rsid w:val="00F92D85"/>
    <w:rsid w:val="00F933D4"/>
    <w:rsid w:val="00F94C91"/>
    <w:rsid w:val="00F95337"/>
    <w:rsid w:val="00F95C8F"/>
    <w:rsid w:val="00F961D1"/>
    <w:rsid w:val="00F96C5D"/>
    <w:rsid w:val="00F96CE8"/>
    <w:rsid w:val="00F96D48"/>
    <w:rsid w:val="00F96E45"/>
    <w:rsid w:val="00F97FE8"/>
    <w:rsid w:val="00FA0E83"/>
    <w:rsid w:val="00FA168A"/>
    <w:rsid w:val="00FA2D12"/>
    <w:rsid w:val="00FA3156"/>
    <w:rsid w:val="00FA31D3"/>
    <w:rsid w:val="00FA3609"/>
    <w:rsid w:val="00FA3C6B"/>
    <w:rsid w:val="00FA4F5B"/>
    <w:rsid w:val="00FA58AF"/>
    <w:rsid w:val="00FA5B0E"/>
    <w:rsid w:val="00FA71A4"/>
    <w:rsid w:val="00FA7696"/>
    <w:rsid w:val="00FA7AF2"/>
    <w:rsid w:val="00FB0F5C"/>
    <w:rsid w:val="00FB1861"/>
    <w:rsid w:val="00FB19BA"/>
    <w:rsid w:val="00FB4334"/>
    <w:rsid w:val="00FB4EB4"/>
    <w:rsid w:val="00FB594F"/>
    <w:rsid w:val="00FB67AB"/>
    <w:rsid w:val="00FB691E"/>
    <w:rsid w:val="00FC0989"/>
    <w:rsid w:val="00FC1AC6"/>
    <w:rsid w:val="00FC21B5"/>
    <w:rsid w:val="00FC2945"/>
    <w:rsid w:val="00FC3AB3"/>
    <w:rsid w:val="00FC440E"/>
    <w:rsid w:val="00FC6B34"/>
    <w:rsid w:val="00FC6C94"/>
    <w:rsid w:val="00FC6DAF"/>
    <w:rsid w:val="00FC6DB5"/>
    <w:rsid w:val="00FC6DC3"/>
    <w:rsid w:val="00FC761A"/>
    <w:rsid w:val="00FD0CB9"/>
    <w:rsid w:val="00FD1BE7"/>
    <w:rsid w:val="00FD1FB1"/>
    <w:rsid w:val="00FD25F2"/>
    <w:rsid w:val="00FD2B3F"/>
    <w:rsid w:val="00FD37BA"/>
    <w:rsid w:val="00FD3B4C"/>
    <w:rsid w:val="00FD439F"/>
    <w:rsid w:val="00FD4CF6"/>
    <w:rsid w:val="00FD4E0B"/>
    <w:rsid w:val="00FD5226"/>
    <w:rsid w:val="00FD54BF"/>
    <w:rsid w:val="00FD55DD"/>
    <w:rsid w:val="00FD67EF"/>
    <w:rsid w:val="00FD7087"/>
    <w:rsid w:val="00FD79A1"/>
    <w:rsid w:val="00FD7ABE"/>
    <w:rsid w:val="00FE07CB"/>
    <w:rsid w:val="00FE0C87"/>
    <w:rsid w:val="00FE0EB1"/>
    <w:rsid w:val="00FE1260"/>
    <w:rsid w:val="00FE146B"/>
    <w:rsid w:val="00FE1857"/>
    <w:rsid w:val="00FE4615"/>
    <w:rsid w:val="00FE48D7"/>
    <w:rsid w:val="00FE5E36"/>
    <w:rsid w:val="00FE77A4"/>
    <w:rsid w:val="00FF102A"/>
    <w:rsid w:val="00FF296D"/>
    <w:rsid w:val="00FF6995"/>
    <w:rsid w:val="00FF6A3A"/>
    <w:rsid w:val="00FF6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EE7"/>
    <w:pPr>
      <w:ind w:firstLine="1440"/>
    </w:pPr>
    <w:rPr>
      <w:rFonts w:ascii="Times New Roman" w:eastAsia="Times New Roman" w:hAnsi="Times New Roman" w:cs="CG Times"/>
      <w:sz w:val="26"/>
      <w:szCs w:val="24"/>
    </w:rPr>
  </w:style>
  <w:style w:type="paragraph" w:styleId="Heading1">
    <w:name w:val="heading 1"/>
    <w:basedOn w:val="Normal"/>
    <w:next w:val="Normal"/>
    <w:link w:val="Heading1Char"/>
    <w:qFormat/>
    <w:rsid w:val="00343CB6"/>
    <w:pPr>
      <w:keepNext/>
      <w:keepLines/>
      <w:spacing w:line="240" w:lineRule="auto"/>
      <w:ind w:firstLine="0"/>
      <w:outlineLvl w:val="0"/>
    </w:pPr>
    <w:rPr>
      <w:rFonts w:ascii="Times New Roman Bold" w:eastAsiaTheme="majorEastAsia" w:hAnsi="Times New Roman Bold" w:cstheme="majorBidi"/>
      <w:b/>
      <w:bCs/>
      <w:szCs w:val="28"/>
    </w:rPr>
  </w:style>
  <w:style w:type="paragraph" w:styleId="Heading2">
    <w:name w:val="heading 2"/>
    <w:basedOn w:val="Normal"/>
    <w:next w:val="Normal"/>
    <w:link w:val="Heading2Char"/>
    <w:uiPriority w:val="9"/>
    <w:unhideWhenUsed/>
    <w:qFormat/>
    <w:rsid w:val="000957FA"/>
    <w:pPr>
      <w:keepNext/>
      <w:numPr>
        <w:numId w:val="13"/>
      </w:numPr>
      <w:spacing w:line="240" w:lineRule="auto"/>
      <w:outlineLvl w:val="1"/>
    </w:pPr>
    <w:rPr>
      <w:rFonts w:ascii="Times" w:hAnsi="Times" w:cs="Times New Roman"/>
      <w:b/>
      <w:bCs/>
      <w:iCs/>
      <w:szCs w:val="28"/>
    </w:rPr>
  </w:style>
  <w:style w:type="paragraph" w:styleId="Heading3">
    <w:name w:val="heading 3"/>
    <w:basedOn w:val="Normal"/>
    <w:next w:val="Normal"/>
    <w:link w:val="Heading3Char"/>
    <w:uiPriority w:val="9"/>
    <w:unhideWhenUsed/>
    <w:qFormat/>
    <w:rsid w:val="00992768"/>
    <w:pPr>
      <w:keepNext/>
      <w:keepLines/>
      <w:spacing w:line="240" w:lineRule="auto"/>
      <w:ind w:left="2160" w:hanging="72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CA6A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A6A9D"/>
    <w:pPr>
      <w:spacing w:before="240" w:after="60" w:line="276" w:lineRule="auto"/>
      <w:ind w:left="2880"/>
      <w:outlineLvl w:val="4"/>
    </w:pPr>
    <w:rPr>
      <w:rFonts w:ascii="Calibri" w:hAnsi="Calibri" w:cs="Times New Roman"/>
      <w:b/>
      <w:bCs/>
      <w:i/>
      <w:iCs/>
      <w:szCs w:val="26"/>
    </w:rPr>
  </w:style>
  <w:style w:type="paragraph" w:styleId="Heading6">
    <w:name w:val="heading 6"/>
    <w:basedOn w:val="Normal"/>
    <w:next w:val="Normal"/>
    <w:link w:val="Heading6Char"/>
    <w:uiPriority w:val="9"/>
    <w:semiHidden/>
    <w:unhideWhenUsed/>
    <w:qFormat/>
    <w:rsid w:val="00CA6A9D"/>
    <w:pPr>
      <w:spacing w:before="240" w:after="60" w:line="276" w:lineRule="auto"/>
      <w:ind w:left="3600"/>
      <w:outlineLvl w:val="5"/>
    </w:pPr>
    <w:rPr>
      <w:rFonts w:ascii="Calibri" w:hAnsi="Calibri" w:cs="Times New Roman"/>
      <w:b/>
      <w:bCs/>
      <w:sz w:val="22"/>
      <w:szCs w:val="22"/>
    </w:rPr>
  </w:style>
  <w:style w:type="paragraph" w:styleId="Heading7">
    <w:name w:val="heading 7"/>
    <w:basedOn w:val="Normal"/>
    <w:next w:val="Normal"/>
    <w:link w:val="Heading7Char"/>
    <w:uiPriority w:val="9"/>
    <w:semiHidden/>
    <w:unhideWhenUsed/>
    <w:qFormat/>
    <w:rsid w:val="00CA6A9D"/>
    <w:pPr>
      <w:spacing w:before="240" w:after="60" w:line="276" w:lineRule="auto"/>
      <w:ind w:left="4320"/>
      <w:outlineLvl w:val="6"/>
    </w:pPr>
    <w:rPr>
      <w:rFonts w:ascii="Calibri" w:hAnsi="Calibri" w:cs="Times New Roman"/>
    </w:rPr>
  </w:style>
  <w:style w:type="paragraph" w:styleId="Heading8">
    <w:name w:val="heading 8"/>
    <w:basedOn w:val="Normal"/>
    <w:next w:val="Normal"/>
    <w:link w:val="Heading8Char"/>
    <w:uiPriority w:val="9"/>
    <w:semiHidden/>
    <w:unhideWhenUsed/>
    <w:qFormat/>
    <w:rsid w:val="00CA6A9D"/>
    <w:pPr>
      <w:spacing w:before="240" w:after="60" w:line="276" w:lineRule="auto"/>
      <w:ind w:left="5040"/>
      <w:outlineLvl w:val="7"/>
    </w:pPr>
    <w:rPr>
      <w:rFonts w:ascii="Calibri" w:hAnsi="Calibri" w:cs="Times New Roman"/>
      <w:i/>
      <w:iCs/>
    </w:rPr>
  </w:style>
  <w:style w:type="paragraph" w:styleId="Heading9">
    <w:name w:val="heading 9"/>
    <w:basedOn w:val="Normal"/>
    <w:next w:val="Normal"/>
    <w:link w:val="Heading9Char"/>
    <w:uiPriority w:val="9"/>
    <w:semiHidden/>
    <w:unhideWhenUsed/>
    <w:qFormat/>
    <w:rsid w:val="00CA6A9D"/>
    <w:pPr>
      <w:spacing w:before="240" w:after="60" w:line="276" w:lineRule="auto"/>
      <w:ind w:left="57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CE79BD"/>
    <w:pPr>
      <w:tabs>
        <w:tab w:val="left" w:pos="-720"/>
      </w:tabs>
      <w:suppressAutoHyphens/>
      <w:autoSpaceDE w:val="0"/>
      <w:autoSpaceDN w:val="0"/>
      <w:spacing w:line="240" w:lineRule="auto"/>
      <w:ind w:firstLine="1440"/>
    </w:pPr>
    <w:rPr>
      <w:rFonts w:ascii="CG Times" w:eastAsia="Times New Roman" w:hAnsi="CG Times" w:cs="CG Times"/>
      <w:sz w:val="24"/>
      <w:szCs w:val="24"/>
    </w:rPr>
  </w:style>
  <w:style w:type="paragraph" w:styleId="Footer">
    <w:name w:val="footer"/>
    <w:basedOn w:val="Normal"/>
    <w:link w:val="FooterChar"/>
    <w:uiPriority w:val="99"/>
    <w:rsid w:val="00CE79BD"/>
    <w:pPr>
      <w:tabs>
        <w:tab w:val="center" w:pos="4320"/>
        <w:tab w:val="right" w:pos="8640"/>
      </w:tabs>
    </w:pPr>
  </w:style>
  <w:style w:type="character" w:customStyle="1" w:styleId="FooterChar">
    <w:name w:val="Footer Char"/>
    <w:basedOn w:val="DefaultParagraphFont"/>
    <w:link w:val="Footer"/>
    <w:uiPriority w:val="99"/>
    <w:rsid w:val="00CE79BD"/>
    <w:rPr>
      <w:rFonts w:ascii="CG Times" w:eastAsia="Times New Roman" w:hAnsi="CG Times" w:cs="CG Times"/>
      <w:sz w:val="24"/>
      <w:szCs w:val="24"/>
    </w:rPr>
  </w:style>
  <w:style w:type="character" w:styleId="PageNumber">
    <w:name w:val="page number"/>
    <w:basedOn w:val="DefaultParagraphFont"/>
    <w:rsid w:val="00CE79BD"/>
  </w:style>
  <w:style w:type="character" w:styleId="Hyperlink">
    <w:name w:val="Hyperlink"/>
    <w:basedOn w:val="DefaultParagraphFont"/>
    <w:uiPriority w:val="99"/>
    <w:unhideWhenUsed/>
    <w:rsid w:val="004820EC"/>
    <w:rPr>
      <w:color w:val="0000FF" w:themeColor="hyperlink"/>
      <w:u w:val="single"/>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 Char1 Char Char"/>
    <w:basedOn w:val="Normal"/>
    <w:link w:val="FootnoteTextChar"/>
    <w:uiPriority w:val="99"/>
    <w:unhideWhenUsed/>
    <w:qFormat/>
    <w:rsid w:val="00550922"/>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
    <w:basedOn w:val="DefaultParagraphFont"/>
    <w:link w:val="FootnoteText"/>
    <w:uiPriority w:val="99"/>
    <w:rsid w:val="00550922"/>
    <w:rPr>
      <w:rFonts w:ascii="CG Times" w:eastAsia="Times New Roman" w:hAnsi="CG Times" w:cs="CG Times"/>
      <w:sz w:val="20"/>
      <w:szCs w:val="20"/>
    </w:rPr>
  </w:style>
  <w:style w:type="character" w:styleId="FootnoteReference">
    <w:name w:val="footnote reference"/>
    <w:basedOn w:val="DefaultParagraphFont"/>
    <w:uiPriority w:val="99"/>
    <w:unhideWhenUsed/>
    <w:rsid w:val="00550922"/>
    <w:rPr>
      <w:vertAlign w:val="superscript"/>
    </w:rPr>
  </w:style>
  <w:style w:type="paragraph" w:styleId="BalloonText">
    <w:name w:val="Balloon Text"/>
    <w:basedOn w:val="Normal"/>
    <w:link w:val="BalloonTextChar"/>
    <w:uiPriority w:val="99"/>
    <w:semiHidden/>
    <w:unhideWhenUsed/>
    <w:rsid w:val="00512246"/>
    <w:rPr>
      <w:rFonts w:ascii="Tahoma" w:hAnsi="Tahoma" w:cs="Tahoma"/>
      <w:sz w:val="16"/>
      <w:szCs w:val="16"/>
    </w:rPr>
  </w:style>
  <w:style w:type="character" w:customStyle="1" w:styleId="BalloonTextChar">
    <w:name w:val="Balloon Text Char"/>
    <w:basedOn w:val="DefaultParagraphFont"/>
    <w:link w:val="BalloonText"/>
    <w:uiPriority w:val="99"/>
    <w:semiHidden/>
    <w:rsid w:val="00512246"/>
    <w:rPr>
      <w:rFonts w:ascii="Tahoma" w:eastAsia="Times New Roman" w:hAnsi="Tahoma" w:cs="Tahoma"/>
      <w:sz w:val="16"/>
      <w:szCs w:val="16"/>
    </w:rPr>
  </w:style>
  <w:style w:type="paragraph" w:styleId="Header">
    <w:name w:val="header"/>
    <w:basedOn w:val="Normal"/>
    <w:link w:val="HeaderChar"/>
    <w:uiPriority w:val="99"/>
    <w:unhideWhenUsed/>
    <w:rsid w:val="004656AC"/>
    <w:pPr>
      <w:tabs>
        <w:tab w:val="center" w:pos="4680"/>
        <w:tab w:val="right" w:pos="9360"/>
      </w:tabs>
    </w:pPr>
  </w:style>
  <w:style w:type="character" w:customStyle="1" w:styleId="HeaderChar">
    <w:name w:val="Header Char"/>
    <w:basedOn w:val="DefaultParagraphFont"/>
    <w:link w:val="Header"/>
    <w:uiPriority w:val="99"/>
    <w:rsid w:val="004656AC"/>
    <w:rPr>
      <w:rFonts w:ascii="CG Times" w:eastAsia="Times New Roman" w:hAnsi="CG Times" w:cs="CG Times"/>
      <w:sz w:val="24"/>
      <w:szCs w:val="24"/>
    </w:rPr>
  </w:style>
  <w:style w:type="paragraph" w:styleId="NoSpacing">
    <w:name w:val="No Spacing"/>
    <w:uiPriority w:val="1"/>
    <w:qFormat/>
    <w:rsid w:val="00120769"/>
    <w:pPr>
      <w:spacing w:line="240" w:lineRule="auto"/>
    </w:pPr>
  </w:style>
  <w:style w:type="character" w:customStyle="1" w:styleId="Heading2Char">
    <w:name w:val="Heading 2 Char"/>
    <w:basedOn w:val="DefaultParagraphFont"/>
    <w:link w:val="Heading2"/>
    <w:uiPriority w:val="9"/>
    <w:rsid w:val="000957FA"/>
    <w:rPr>
      <w:rFonts w:ascii="Times" w:eastAsia="Times New Roman" w:hAnsi="Times" w:cs="Times New Roman"/>
      <w:b/>
      <w:bCs/>
      <w:iCs/>
      <w:sz w:val="26"/>
      <w:szCs w:val="28"/>
    </w:rPr>
  </w:style>
  <w:style w:type="character" w:customStyle="1" w:styleId="Heading3Char">
    <w:name w:val="Heading 3 Char"/>
    <w:basedOn w:val="DefaultParagraphFont"/>
    <w:link w:val="Heading3"/>
    <w:uiPriority w:val="9"/>
    <w:rsid w:val="00992768"/>
    <w:rPr>
      <w:rFonts w:asciiTheme="majorHAnsi" w:eastAsiaTheme="majorEastAsia" w:hAnsiTheme="majorHAnsi" w:cstheme="majorBidi"/>
      <w:b/>
      <w:bCs/>
      <w:sz w:val="26"/>
      <w:szCs w:val="24"/>
    </w:rPr>
  </w:style>
  <w:style w:type="character" w:customStyle="1" w:styleId="Heading1Char">
    <w:name w:val="Heading 1 Char"/>
    <w:basedOn w:val="DefaultParagraphFont"/>
    <w:link w:val="Heading1"/>
    <w:rsid w:val="00343CB6"/>
    <w:rPr>
      <w:rFonts w:ascii="Times New Roman Bold" w:eastAsiaTheme="majorEastAsia" w:hAnsi="Times New Roman Bold" w:cstheme="majorBidi"/>
      <w:b/>
      <w:bCs/>
      <w:sz w:val="26"/>
      <w:szCs w:val="28"/>
    </w:rPr>
  </w:style>
  <w:style w:type="character" w:customStyle="1" w:styleId="Heading4Char">
    <w:name w:val="Heading 4 Char"/>
    <w:basedOn w:val="DefaultParagraphFont"/>
    <w:link w:val="Heading4"/>
    <w:uiPriority w:val="9"/>
    <w:rsid w:val="00CA6A9D"/>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CA6A9D"/>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CA6A9D"/>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CA6A9D"/>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CA6A9D"/>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CA6A9D"/>
    <w:rPr>
      <w:rFonts w:ascii="Cambria" w:eastAsia="Times New Roman" w:hAnsi="Cambria" w:cs="Times New Roman"/>
    </w:rPr>
  </w:style>
  <w:style w:type="paragraph" w:styleId="BodyText">
    <w:name w:val="Body Text"/>
    <w:basedOn w:val="Normal"/>
    <w:link w:val="BodyTextChar"/>
    <w:uiPriority w:val="99"/>
    <w:unhideWhenUsed/>
    <w:rsid w:val="009D3F59"/>
    <w:pPr>
      <w:spacing w:after="120"/>
    </w:pPr>
  </w:style>
  <w:style w:type="character" w:customStyle="1" w:styleId="BodyTextChar">
    <w:name w:val="Body Text Char"/>
    <w:basedOn w:val="DefaultParagraphFont"/>
    <w:link w:val="BodyText"/>
    <w:uiPriority w:val="99"/>
    <w:rsid w:val="009D3F59"/>
    <w:rPr>
      <w:rFonts w:ascii="CG Times" w:eastAsia="Times New Roman" w:hAnsi="CG Times" w:cs="CG Times"/>
      <w:sz w:val="24"/>
      <w:szCs w:val="24"/>
    </w:rPr>
  </w:style>
  <w:style w:type="paragraph" w:styleId="ListParagraph">
    <w:name w:val="List Paragraph"/>
    <w:basedOn w:val="Normal"/>
    <w:uiPriority w:val="34"/>
    <w:qFormat/>
    <w:rsid w:val="00452827"/>
    <w:pPr>
      <w:ind w:left="720"/>
      <w:contextualSpacing/>
    </w:pPr>
  </w:style>
  <w:style w:type="paragraph" w:styleId="TOC1">
    <w:name w:val="toc 1"/>
    <w:basedOn w:val="Normal"/>
    <w:next w:val="Normal"/>
    <w:autoRedefine/>
    <w:uiPriority w:val="39"/>
    <w:unhideWhenUsed/>
    <w:rsid w:val="00CC56A3"/>
    <w:pPr>
      <w:tabs>
        <w:tab w:val="left" w:pos="0"/>
        <w:tab w:val="left" w:pos="270"/>
        <w:tab w:val="right" w:leader="dot" w:pos="9638"/>
      </w:tabs>
      <w:ind w:firstLine="0"/>
    </w:pPr>
  </w:style>
  <w:style w:type="paragraph" w:styleId="TOC2">
    <w:name w:val="toc 2"/>
    <w:basedOn w:val="Normal"/>
    <w:next w:val="Normal"/>
    <w:autoRedefine/>
    <w:uiPriority w:val="39"/>
    <w:unhideWhenUsed/>
    <w:rsid w:val="00CC56A3"/>
    <w:pPr>
      <w:tabs>
        <w:tab w:val="left" w:pos="1440"/>
        <w:tab w:val="right" w:leader="dot" w:pos="9638"/>
      </w:tabs>
      <w:ind w:left="360" w:firstLine="0"/>
    </w:pPr>
  </w:style>
  <w:style w:type="paragraph" w:styleId="TOC3">
    <w:name w:val="toc 3"/>
    <w:basedOn w:val="Normal"/>
    <w:next w:val="Normal"/>
    <w:autoRedefine/>
    <w:uiPriority w:val="39"/>
    <w:unhideWhenUsed/>
    <w:rsid w:val="008D3953"/>
    <w:pPr>
      <w:tabs>
        <w:tab w:val="left" w:pos="1710"/>
        <w:tab w:val="right" w:leader="dot" w:pos="9638"/>
      </w:tabs>
      <w:ind w:left="1080" w:hanging="360"/>
    </w:pPr>
    <w:rPr>
      <w:rFonts w:cs="Times New Roman"/>
      <w:bCs/>
      <w:noProof/>
    </w:rPr>
  </w:style>
  <w:style w:type="paragraph" w:styleId="TOC4">
    <w:name w:val="toc 4"/>
    <w:basedOn w:val="Normal"/>
    <w:next w:val="Normal"/>
    <w:autoRedefine/>
    <w:uiPriority w:val="39"/>
    <w:unhideWhenUsed/>
    <w:rsid w:val="00A36C99"/>
    <w:pPr>
      <w:tabs>
        <w:tab w:val="left" w:pos="2880"/>
        <w:tab w:val="right" w:leader="dot" w:pos="9638"/>
      </w:tabs>
      <w:ind w:left="2880" w:hanging="720"/>
    </w:pPr>
  </w:style>
  <w:style w:type="paragraph" w:styleId="BodyText2">
    <w:name w:val="Body Text 2"/>
    <w:basedOn w:val="Normal"/>
    <w:link w:val="BodyText2Char"/>
    <w:rsid w:val="00092D77"/>
    <w:pPr>
      <w:autoSpaceDE w:val="0"/>
      <w:autoSpaceDN w:val="0"/>
      <w:spacing w:after="120" w:line="480" w:lineRule="auto"/>
    </w:pPr>
    <w:rPr>
      <w:rFonts w:cs="Times New Roman"/>
      <w:lang w:val="x-none" w:eastAsia="x-none"/>
    </w:rPr>
  </w:style>
  <w:style w:type="character" w:customStyle="1" w:styleId="BodyText2Char">
    <w:name w:val="Body Text 2 Char"/>
    <w:basedOn w:val="DefaultParagraphFont"/>
    <w:link w:val="BodyText2"/>
    <w:rsid w:val="00092D77"/>
    <w:rPr>
      <w:rFonts w:ascii="Times New Roman" w:eastAsia="Times New Roman" w:hAnsi="Times New Roman" w:cs="Times New Roman"/>
      <w:sz w:val="24"/>
      <w:szCs w:val="24"/>
      <w:lang w:val="x-none" w:eastAsia="x-none"/>
    </w:rPr>
  </w:style>
  <w:style w:type="paragraph" w:styleId="BodyTextIndent3">
    <w:name w:val="Body Text Indent 3"/>
    <w:basedOn w:val="Normal"/>
    <w:link w:val="BodyTextIndent3Char"/>
    <w:uiPriority w:val="99"/>
    <w:unhideWhenUsed/>
    <w:rsid w:val="0056721C"/>
    <w:pPr>
      <w:spacing w:after="120"/>
      <w:ind w:left="360"/>
    </w:pPr>
    <w:rPr>
      <w:sz w:val="16"/>
      <w:szCs w:val="16"/>
    </w:rPr>
  </w:style>
  <w:style w:type="character" w:customStyle="1" w:styleId="BodyTextIndent3Char">
    <w:name w:val="Body Text Indent 3 Char"/>
    <w:basedOn w:val="DefaultParagraphFont"/>
    <w:link w:val="BodyTextIndent3"/>
    <w:uiPriority w:val="99"/>
    <w:rsid w:val="0056721C"/>
    <w:rPr>
      <w:rFonts w:ascii="CG Times" w:eastAsia="Times New Roman" w:hAnsi="CG Times" w:cs="CG Times"/>
      <w:sz w:val="16"/>
      <w:szCs w:val="16"/>
    </w:rPr>
  </w:style>
  <w:style w:type="paragraph" w:customStyle="1" w:styleId="Document1">
    <w:name w:val="Document 1"/>
    <w:rsid w:val="0056721C"/>
    <w:pPr>
      <w:keepNext/>
      <w:keepLines/>
      <w:tabs>
        <w:tab w:val="left" w:pos="-720"/>
      </w:tabs>
      <w:suppressAutoHyphens/>
      <w:spacing w:line="240" w:lineRule="auto"/>
    </w:pPr>
    <w:rPr>
      <w:rFonts w:ascii="CG Times" w:eastAsia="Times New Roman" w:hAnsi="CG Times" w:cs="Times New Roman"/>
      <w:sz w:val="26"/>
      <w:szCs w:val="20"/>
    </w:rPr>
  </w:style>
  <w:style w:type="character" w:styleId="Strong">
    <w:name w:val="Strong"/>
    <w:qFormat/>
    <w:rsid w:val="0056721C"/>
    <w:rPr>
      <w:b/>
    </w:rPr>
  </w:style>
  <w:style w:type="paragraph" w:styleId="BodyTextIndent">
    <w:name w:val="Body Text Indent"/>
    <w:basedOn w:val="Normal"/>
    <w:link w:val="BodyTextIndentChar"/>
    <w:uiPriority w:val="99"/>
    <w:unhideWhenUsed/>
    <w:rsid w:val="00F615FE"/>
    <w:pPr>
      <w:spacing w:after="120"/>
      <w:ind w:left="360"/>
    </w:pPr>
  </w:style>
  <w:style w:type="character" w:customStyle="1" w:styleId="BodyTextIndentChar">
    <w:name w:val="Body Text Indent Char"/>
    <w:basedOn w:val="DefaultParagraphFont"/>
    <w:link w:val="BodyTextIndent"/>
    <w:uiPriority w:val="99"/>
    <w:rsid w:val="00F615FE"/>
    <w:rPr>
      <w:rFonts w:ascii="CG Times" w:eastAsia="Times New Roman" w:hAnsi="CG Times" w:cs="CG Times"/>
      <w:sz w:val="24"/>
      <w:szCs w:val="24"/>
    </w:rPr>
  </w:style>
  <w:style w:type="paragraph" w:styleId="PlainText">
    <w:name w:val="Plain Text"/>
    <w:basedOn w:val="Normal"/>
    <w:link w:val="PlainTextChar"/>
    <w:uiPriority w:val="99"/>
    <w:semiHidden/>
    <w:unhideWhenUsed/>
    <w:rsid w:val="009D076B"/>
    <w:pPr>
      <w:spacing w:after="200" w:line="276" w:lineRule="auto"/>
    </w:pPr>
    <w:rPr>
      <w:rFonts w:ascii="Courier New" w:eastAsia="Calibri" w:hAnsi="Courier New" w:cs="Courier New"/>
      <w:sz w:val="20"/>
      <w:szCs w:val="20"/>
    </w:rPr>
  </w:style>
  <w:style w:type="character" w:customStyle="1" w:styleId="PlainTextChar">
    <w:name w:val="Plain Text Char"/>
    <w:basedOn w:val="DefaultParagraphFont"/>
    <w:link w:val="PlainText"/>
    <w:uiPriority w:val="99"/>
    <w:semiHidden/>
    <w:rsid w:val="009D076B"/>
    <w:rPr>
      <w:rFonts w:ascii="Courier New" w:eastAsia="Calibri" w:hAnsi="Courier New" w:cs="Courier New"/>
      <w:sz w:val="20"/>
      <w:szCs w:val="20"/>
    </w:rPr>
  </w:style>
  <w:style w:type="paragraph" w:styleId="TOCHeading">
    <w:name w:val="TOC Heading"/>
    <w:basedOn w:val="Heading1"/>
    <w:next w:val="Normal"/>
    <w:uiPriority w:val="39"/>
    <w:semiHidden/>
    <w:unhideWhenUsed/>
    <w:qFormat/>
    <w:rsid w:val="00343CB6"/>
    <w:pPr>
      <w:spacing w:line="276" w:lineRule="auto"/>
      <w:outlineLvl w:val="9"/>
    </w:pPr>
    <w:rPr>
      <w:rFonts w:asciiTheme="majorHAnsi" w:hAnsiTheme="majorHAnsi"/>
      <w:color w:val="365F91" w:themeColor="accent1" w:themeShade="BF"/>
      <w:sz w:val="28"/>
      <w:lang w:eastAsia="ja-JP"/>
    </w:rPr>
  </w:style>
  <w:style w:type="character" w:styleId="CommentReference">
    <w:name w:val="annotation reference"/>
    <w:basedOn w:val="DefaultParagraphFont"/>
    <w:uiPriority w:val="99"/>
    <w:semiHidden/>
    <w:unhideWhenUsed/>
    <w:rsid w:val="00D36879"/>
    <w:rPr>
      <w:sz w:val="16"/>
      <w:szCs w:val="16"/>
    </w:rPr>
  </w:style>
  <w:style w:type="paragraph" w:styleId="CommentText">
    <w:name w:val="annotation text"/>
    <w:basedOn w:val="Normal"/>
    <w:link w:val="CommentTextChar"/>
    <w:uiPriority w:val="99"/>
    <w:semiHidden/>
    <w:unhideWhenUsed/>
    <w:rsid w:val="00D36879"/>
    <w:pPr>
      <w:spacing w:line="240" w:lineRule="auto"/>
      <w:ind w:firstLine="0"/>
    </w:pPr>
    <w:rPr>
      <w:rFonts w:ascii="CG Times" w:hAnsi="CG Times"/>
      <w:sz w:val="20"/>
      <w:szCs w:val="20"/>
    </w:rPr>
  </w:style>
  <w:style w:type="character" w:customStyle="1" w:styleId="CommentTextChar">
    <w:name w:val="Comment Text Char"/>
    <w:basedOn w:val="DefaultParagraphFont"/>
    <w:link w:val="CommentText"/>
    <w:uiPriority w:val="99"/>
    <w:semiHidden/>
    <w:rsid w:val="00D36879"/>
    <w:rPr>
      <w:rFonts w:ascii="CG Times" w:eastAsia="Times New Roman" w:hAnsi="CG Times" w:cs="CG 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EE7"/>
    <w:pPr>
      <w:ind w:firstLine="1440"/>
    </w:pPr>
    <w:rPr>
      <w:rFonts w:ascii="Times New Roman" w:eastAsia="Times New Roman" w:hAnsi="Times New Roman" w:cs="CG Times"/>
      <w:sz w:val="26"/>
      <w:szCs w:val="24"/>
    </w:rPr>
  </w:style>
  <w:style w:type="paragraph" w:styleId="Heading1">
    <w:name w:val="heading 1"/>
    <w:basedOn w:val="Normal"/>
    <w:next w:val="Normal"/>
    <w:link w:val="Heading1Char"/>
    <w:qFormat/>
    <w:rsid w:val="00343CB6"/>
    <w:pPr>
      <w:keepNext/>
      <w:keepLines/>
      <w:spacing w:line="240" w:lineRule="auto"/>
      <w:ind w:firstLine="0"/>
      <w:outlineLvl w:val="0"/>
    </w:pPr>
    <w:rPr>
      <w:rFonts w:ascii="Times New Roman Bold" w:eastAsiaTheme="majorEastAsia" w:hAnsi="Times New Roman Bold" w:cstheme="majorBidi"/>
      <w:b/>
      <w:bCs/>
      <w:szCs w:val="28"/>
    </w:rPr>
  </w:style>
  <w:style w:type="paragraph" w:styleId="Heading2">
    <w:name w:val="heading 2"/>
    <w:basedOn w:val="Normal"/>
    <w:next w:val="Normal"/>
    <w:link w:val="Heading2Char"/>
    <w:uiPriority w:val="9"/>
    <w:unhideWhenUsed/>
    <w:qFormat/>
    <w:rsid w:val="000957FA"/>
    <w:pPr>
      <w:keepNext/>
      <w:numPr>
        <w:numId w:val="13"/>
      </w:numPr>
      <w:spacing w:line="240" w:lineRule="auto"/>
      <w:outlineLvl w:val="1"/>
    </w:pPr>
    <w:rPr>
      <w:rFonts w:ascii="Times" w:hAnsi="Times" w:cs="Times New Roman"/>
      <w:b/>
      <w:bCs/>
      <w:iCs/>
      <w:szCs w:val="28"/>
    </w:rPr>
  </w:style>
  <w:style w:type="paragraph" w:styleId="Heading3">
    <w:name w:val="heading 3"/>
    <w:basedOn w:val="Normal"/>
    <w:next w:val="Normal"/>
    <w:link w:val="Heading3Char"/>
    <w:uiPriority w:val="9"/>
    <w:unhideWhenUsed/>
    <w:qFormat/>
    <w:rsid w:val="00992768"/>
    <w:pPr>
      <w:keepNext/>
      <w:keepLines/>
      <w:spacing w:line="240" w:lineRule="auto"/>
      <w:ind w:left="2160" w:hanging="72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CA6A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A6A9D"/>
    <w:pPr>
      <w:spacing w:before="240" w:after="60" w:line="276" w:lineRule="auto"/>
      <w:ind w:left="2880"/>
      <w:outlineLvl w:val="4"/>
    </w:pPr>
    <w:rPr>
      <w:rFonts w:ascii="Calibri" w:hAnsi="Calibri" w:cs="Times New Roman"/>
      <w:b/>
      <w:bCs/>
      <w:i/>
      <w:iCs/>
      <w:szCs w:val="26"/>
    </w:rPr>
  </w:style>
  <w:style w:type="paragraph" w:styleId="Heading6">
    <w:name w:val="heading 6"/>
    <w:basedOn w:val="Normal"/>
    <w:next w:val="Normal"/>
    <w:link w:val="Heading6Char"/>
    <w:uiPriority w:val="9"/>
    <w:semiHidden/>
    <w:unhideWhenUsed/>
    <w:qFormat/>
    <w:rsid w:val="00CA6A9D"/>
    <w:pPr>
      <w:spacing w:before="240" w:after="60" w:line="276" w:lineRule="auto"/>
      <w:ind w:left="3600"/>
      <w:outlineLvl w:val="5"/>
    </w:pPr>
    <w:rPr>
      <w:rFonts w:ascii="Calibri" w:hAnsi="Calibri" w:cs="Times New Roman"/>
      <w:b/>
      <w:bCs/>
      <w:sz w:val="22"/>
      <w:szCs w:val="22"/>
    </w:rPr>
  </w:style>
  <w:style w:type="paragraph" w:styleId="Heading7">
    <w:name w:val="heading 7"/>
    <w:basedOn w:val="Normal"/>
    <w:next w:val="Normal"/>
    <w:link w:val="Heading7Char"/>
    <w:uiPriority w:val="9"/>
    <w:semiHidden/>
    <w:unhideWhenUsed/>
    <w:qFormat/>
    <w:rsid w:val="00CA6A9D"/>
    <w:pPr>
      <w:spacing w:before="240" w:after="60" w:line="276" w:lineRule="auto"/>
      <w:ind w:left="4320"/>
      <w:outlineLvl w:val="6"/>
    </w:pPr>
    <w:rPr>
      <w:rFonts w:ascii="Calibri" w:hAnsi="Calibri" w:cs="Times New Roman"/>
    </w:rPr>
  </w:style>
  <w:style w:type="paragraph" w:styleId="Heading8">
    <w:name w:val="heading 8"/>
    <w:basedOn w:val="Normal"/>
    <w:next w:val="Normal"/>
    <w:link w:val="Heading8Char"/>
    <w:uiPriority w:val="9"/>
    <w:semiHidden/>
    <w:unhideWhenUsed/>
    <w:qFormat/>
    <w:rsid w:val="00CA6A9D"/>
    <w:pPr>
      <w:spacing w:before="240" w:after="60" w:line="276" w:lineRule="auto"/>
      <w:ind w:left="5040"/>
      <w:outlineLvl w:val="7"/>
    </w:pPr>
    <w:rPr>
      <w:rFonts w:ascii="Calibri" w:hAnsi="Calibri" w:cs="Times New Roman"/>
      <w:i/>
      <w:iCs/>
    </w:rPr>
  </w:style>
  <w:style w:type="paragraph" w:styleId="Heading9">
    <w:name w:val="heading 9"/>
    <w:basedOn w:val="Normal"/>
    <w:next w:val="Normal"/>
    <w:link w:val="Heading9Char"/>
    <w:uiPriority w:val="9"/>
    <w:semiHidden/>
    <w:unhideWhenUsed/>
    <w:qFormat/>
    <w:rsid w:val="00CA6A9D"/>
    <w:pPr>
      <w:spacing w:before="240" w:after="60" w:line="276" w:lineRule="auto"/>
      <w:ind w:left="57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CE79BD"/>
    <w:pPr>
      <w:tabs>
        <w:tab w:val="left" w:pos="-720"/>
      </w:tabs>
      <w:suppressAutoHyphens/>
      <w:autoSpaceDE w:val="0"/>
      <w:autoSpaceDN w:val="0"/>
      <w:spacing w:line="240" w:lineRule="auto"/>
      <w:ind w:firstLine="1440"/>
    </w:pPr>
    <w:rPr>
      <w:rFonts w:ascii="CG Times" w:eastAsia="Times New Roman" w:hAnsi="CG Times" w:cs="CG Times"/>
      <w:sz w:val="24"/>
      <w:szCs w:val="24"/>
    </w:rPr>
  </w:style>
  <w:style w:type="paragraph" w:styleId="Footer">
    <w:name w:val="footer"/>
    <w:basedOn w:val="Normal"/>
    <w:link w:val="FooterChar"/>
    <w:uiPriority w:val="99"/>
    <w:rsid w:val="00CE79BD"/>
    <w:pPr>
      <w:tabs>
        <w:tab w:val="center" w:pos="4320"/>
        <w:tab w:val="right" w:pos="8640"/>
      </w:tabs>
    </w:pPr>
  </w:style>
  <w:style w:type="character" w:customStyle="1" w:styleId="FooterChar">
    <w:name w:val="Footer Char"/>
    <w:basedOn w:val="DefaultParagraphFont"/>
    <w:link w:val="Footer"/>
    <w:uiPriority w:val="99"/>
    <w:rsid w:val="00CE79BD"/>
    <w:rPr>
      <w:rFonts w:ascii="CG Times" w:eastAsia="Times New Roman" w:hAnsi="CG Times" w:cs="CG Times"/>
      <w:sz w:val="24"/>
      <w:szCs w:val="24"/>
    </w:rPr>
  </w:style>
  <w:style w:type="character" w:styleId="PageNumber">
    <w:name w:val="page number"/>
    <w:basedOn w:val="DefaultParagraphFont"/>
    <w:rsid w:val="00CE79BD"/>
  </w:style>
  <w:style w:type="character" w:styleId="Hyperlink">
    <w:name w:val="Hyperlink"/>
    <w:basedOn w:val="DefaultParagraphFont"/>
    <w:uiPriority w:val="99"/>
    <w:unhideWhenUsed/>
    <w:rsid w:val="004820EC"/>
    <w:rPr>
      <w:color w:val="0000FF" w:themeColor="hyperlink"/>
      <w:u w:val="single"/>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 Char1 Char Char"/>
    <w:basedOn w:val="Normal"/>
    <w:link w:val="FootnoteTextChar"/>
    <w:uiPriority w:val="99"/>
    <w:unhideWhenUsed/>
    <w:qFormat/>
    <w:rsid w:val="00550922"/>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
    <w:basedOn w:val="DefaultParagraphFont"/>
    <w:link w:val="FootnoteText"/>
    <w:uiPriority w:val="99"/>
    <w:rsid w:val="00550922"/>
    <w:rPr>
      <w:rFonts w:ascii="CG Times" w:eastAsia="Times New Roman" w:hAnsi="CG Times" w:cs="CG Times"/>
      <w:sz w:val="20"/>
      <w:szCs w:val="20"/>
    </w:rPr>
  </w:style>
  <w:style w:type="character" w:styleId="FootnoteReference">
    <w:name w:val="footnote reference"/>
    <w:basedOn w:val="DefaultParagraphFont"/>
    <w:uiPriority w:val="99"/>
    <w:unhideWhenUsed/>
    <w:rsid w:val="00550922"/>
    <w:rPr>
      <w:vertAlign w:val="superscript"/>
    </w:rPr>
  </w:style>
  <w:style w:type="paragraph" w:styleId="BalloonText">
    <w:name w:val="Balloon Text"/>
    <w:basedOn w:val="Normal"/>
    <w:link w:val="BalloonTextChar"/>
    <w:uiPriority w:val="99"/>
    <w:semiHidden/>
    <w:unhideWhenUsed/>
    <w:rsid w:val="00512246"/>
    <w:rPr>
      <w:rFonts w:ascii="Tahoma" w:hAnsi="Tahoma" w:cs="Tahoma"/>
      <w:sz w:val="16"/>
      <w:szCs w:val="16"/>
    </w:rPr>
  </w:style>
  <w:style w:type="character" w:customStyle="1" w:styleId="BalloonTextChar">
    <w:name w:val="Balloon Text Char"/>
    <w:basedOn w:val="DefaultParagraphFont"/>
    <w:link w:val="BalloonText"/>
    <w:uiPriority w:val="99"/>
    <w:semiHidden/>
    <w:rsid w:val="00512246"/>
    <w:rPr>
      <w:rFonts w:ascii="Tahoma" w:eastAsia="Times New Roman" w:hAnsi="Tahoma" w:cs="Tahoma"/>
      <w:sz w:val="16"/>
      <w:szCs w:val="16"/>
    </w:rPr>
  </w:style>
  <w:style w:type="paragraph" w:styleId="Header">
    <w:name w:val="header"/>
    <w:basedOn w:val="Normal"/>
    <w:link w:val="HeaderChar"/>
    <w:uiPriority w:val="99"/>
    <w:unhideWhenUsed/>
    <w:rsid w:val="004656AC"/>
    <w:pPr>
      <w:tabs>
        <w:tab w:val="center" w:pos="4680"/>
        <w:tab w:val="right" w:pos="9360"/>
      </w:tabs>
    </w:pPr>
  </w:style>
  <w:style w:type="character" w:customStyle="1" w:styleId="HeaderChar">
    <w:name w:val="Header Char"/>
    <w:basedOn w:val="DefaultParagraphFont"/>
    <w:link w:val="Header"/>
    <w:uiPriority w:val="99"/>
    <w:rsid w:val="004656AC"/>
    <w:rPr>
      <w:rFonts w:ascii="CG Times" w:eastAsia="Times New Roman" w:hAnsi="CG Times" w:cs="CG Times"/>
      <w:sz w:val="24"/>
      <w:szCs w:val="24"/>
    </w:rPr>
  </w:style>
  <w:style w:type="paragraph" w:styleId="NoSpacing">
    <w:name w:val="No Spacing"/>
    <w:uiPriority w:val="1"/>
    <w:qFormat/>
    <w:rsid w:val="00120769"/>
    <w:pPr>
      <w:spacing w:line="240" w:lineRule="auto"/>
    </w:pPr>
  </w:style>
  <w:style w:type="character" w:customStyle="1" w:styleId="Heading2Char">
    <w:name w:val="Heading 2 Char"/>
    <w:basedOn w:val="DefaultParagraphFont"/>
    <w:link w:val="Heading2"/>
    <w:uiPriority w:val="9"/>
    <w:rsid w:val="000957FA"/>
    <w:rPr>
      <w:rFonts w:ascii="Times" w:eastAsia="Times New Roman" w:hAnsi="Times" w:cs="Times New Roman"/>
      <w:b/>
      <w:bCs/>
      <w:iCs/>
      <w:sz w:val="26"/>
      <w:szCs w:val="28"/>
    </w:rPr>
  </w:style>
  <w:style w:type="character" w:customStyle="1" w:styleId="Heading3Char">
    <w:name w:val="Heading 3 Char"/>
    <w:basedOn w:val="DefaultParagraphFont"/>
    <w:link w:val="Heading3"/>
    <w:uiPriority w:val="9"/>
    <w:rsid w:val="00992768"/>
    <w:rPr>
      <w:rFonts w:asciiTheme="majorHAnsi" w:eastAsiaTheme="majorEastAsia" w:hAnsiTheme="majorHAnsi" w:cstheme="majorBidi"/>
      <w:b/>
      <w:bCs/>
      <w:sz w:val="26"/>
      <w:szCs w:val="24"/>
    </w:rPr>
  </w:style>
  <w:style w:type="character" w:customStyle="1" w:styleId="Heading1Char">
    <w:name w:val="Heading 1 Char"/>
    <w:basedOn w:val="DefaultParagraphFont"/>
    <w:link w:val="Heading1"/>
    <w:rsid w:val="00343CB6"/>
    <w:rPr>
      <w:rFonts w:ascii="Times New Roman Bold" w:eastAsiaTheme="majorEastAsia" w:hAnsi="Times New Roman Bold" w:cstheme="majorBidi"/>
      <w:b/>
      <w:bCs/>
      <w:sz w:val="26"/>
      <w:szCs w:val="28"/>
    </w:rPr>
  </w:style>
  <w:style w:type="character" w:customStyle="1" w:styleId="Heading4Char">
    <w:name w:val="Heading 4 Char"/>
    <w:basedOn w:val="DefaultParagraphFont"/>
    <w:link w:val="Heading4"/>
    <w:uiPriority w:val="9"/>
    <w:rsid w:val="00CA6A9D"/>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CA6A9D"/>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CA6A9D"/>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CA6A9D"/>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CA6A9D"/>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CA6A9D"/>
    <w:rPr>
      <w:rFonts w:ascii="Cambria" w:eastAsia="Times New Roman" w:hAnsi="Cambria" w:cs="Times New Roman"/>
    </w:rPr>
  </w:style>
  <w:style w:type="paragraph" w:styleId="BodyText">
    <w:name w:val="Body Text"/>
    <w:basedOn w:val="Normal"/>
    <w:link w:val="BodyTextChar"/>
    <w:uiPriority w:val="99"/>
    <w:unhideWhenUsed/>
    <w:rsid w:val="009D3F59"/>
    <w:pPr>
      <w:spacing w:after="120"/>
    </w:pPr>
  </w:style>
  <w:style w:type="character" w:customStyle="1" w:styleId="BodyTextChar">
    <w:name w:val="Body Text Char"/>
    <w:basedOn w:val="DefaultParagraphFont"/>
    <w:link w:val="BodyText"/>
    <w:uiPriority w:val="99"/>
    <w:rsid w:val="009D3F59"/>
    <w:rPr>
      <w:rFonts w:ascii="CG Times" w:eastAsia="Times New Roman" w:hAnsi="CG Times" w:cs="CG Times"/>
      <w:sz w:val="24"/>
      <w:szCs w:val="24"/>
    </w:rPr>
  </w:style>
  <w:style w:type="paragraph" w:styleId="ListParagraph">
    <w:name w:val="List Paragraph"/>
    <w:basedOn w:val="Normal"/>
    <w:uiPriority w:val="34"/>
    <w:qFormat/>
    <w:rsid w:val="00452827"/>
    <w:pPr>
      <w:ind w:left="720"/>
      <w:contextualSpacing/>
    </w:pPr>
  </w:style>
  <w:style w:type="paragraph" w:styleId="TOC1">
    <w:name w:val="toc 1"/>
    <w:basedOn w:val="Normal"/>
    <w:next w:val="Normal"/>
    <w:autoRedefine/>
    <w:uiPriority w:val="39"/>
    <w:unhideWhenUsed/>
    <w:rsid w:val="00CC56A3"/>
    <w:pPr>
      <w:tabs>
        <w:tab w:val="left" w:pos="0"/>
        <w:tab w:val="left" w:pos="270"/>
        <w:tab w:val="right" w:leader="dot" w:pos="9638"/>
      </w:tabs>
      <w:ind w:firstLine="0"/>
    </w:pPr>
  </w:style>
  <w:style w:type="paragraph" w:styleId="TOC2">
    <w:name w:val="toc 2"/>
    <w:basedOn w:val="Normal"/>
    <w:next w:val="Normal"/>
    <w:autoRedefine/>
    <w:uiPriority w:val="39"/>
    <w:unhideWhenUsed/>
    <w:rsid w:val="00CC56A3"/>
    <w:pPr>
      <w:tabs>
        <w:tab w:val="left" w:pos="1440"/>
        <w:tab w:val="right" w:leader="dot" w:pos="9638"/>
      </w:tabs>
      <w:ind w:left="360" w:firstLine="0"/>
    </w:pPr>
  </w:style>
  <w:style w:type="paragraph" w:styleId="TOC3">
    <w:name w:val="toc 3"/>
    <w:basedOn w:val="Normal"/>
    <w:next w:val="Normal"/>
    <w:autoRedefine/>
    <w:uiPriority w:val="39"/>
    <w:unhideWhenUsed/>
    <w:rsid w:val="008D3953"/>
    <w:pPr>
      <w:tabs>
        <w:tab w:val="left" w:pos="1710"/>
        <w:tab w:val="right" w:leader="dot" w:pos="9638"/>
      </w:tabs>
      <w:ind w:left="1080" w:hanging="360"/>
    </w:pPr>
    <w:rPr>
      <w:rFonts w:cs="Times New Roman"/>
      <w:bCs/>
      <w:noProof/>
    </w:rPr>
  </w:style>
  <w:style w:type="paragraph" w:styleId="TOC4">
    <w:name w:val="toc 4"/>
    <w:basedOn w:val="Normal"/>
    <w:next w:val="Normal"/>
    <w:autoRedefine/>
    <w:uiPriority w:val="39"/>
    <w:unhideWhenUsed/>
    <w:rsid w:val="00A36C99"/>
    <w:pPr>
      <w:tabs>
        <w:tab w:val="left" w:pos="2880"/>
        <w:tab w:val="right" w:leader="dot" w:pos="9638"/>
      </w:tabs>
      <w:ind w:left="2880" w:hanging="720"/>
    </w:pPr>
  </w:style>
  <w:style w:type="paragraph" w:styleId="BodyText2">
    <w:name w:val="Body Text 2"/>
    <w:basedOn w:val="Normal"/>
    <w:link w:val="BodyText2Char"/>
    <w:rsid w:val="00092D77"/>
    <w:pPr>
      <w:autoSpaceDE w:val="0"/>
      <w:autoSpaceDN w:val="0"/>
      <w:spacing w:after="120" w:line="480" w:lineRule="auto"/>
    </w:pPr>
    <w:rPr>
      <w:rFonts w:cs="Times New Roman"/>
      <w:lang w:val="x-none" w:eastAsia="x-none"/>
    </w:rPr>
  </w:style>
  <w:style w:type="character" w:customStyle="1" w:styleId="BodyText2Char">
    <w:name w:val="Body Text 2 Char"/>
    <w:basedOn w:val="DefaultParagraphFont"/>
    <w:link w:val="BodyText2"/>
    <w:rsid w:val="00092D77"/>
    <w:rPr>
      <w:rFonts w:ascii="Times New Roman" w:eastAsia="Times New Roman" w:hAnsi="Times New Roman" w:cs="Times New Roman"/>
      <w:sz w:val="24"/>
      <w:szCs w:val="24"/>
      <w:lang w:val="x-none" w:eastAsia="x-none"/>
    </w:rPr>
  </w:style>
  <w:style w:type="paragraph" w:styleId="BodyTextIndent3">
    <w:name w:val="Body Text Indent 3"/>
    <w:basedOn w:val="Normal"/>
    <w:link w:val="BodyTextIndent3Char"/>
    <w:uiPriority w:val="99"/>
    <w:unhideWhenUsed/>
    <w:rsid w:val="0056721C"/>
    <w:pPr>
      <w:spacing w:after="120"/>
      <w:ind w:left="360"/>
    </w:pPr>
    <w:rPr>
      <w:sz w:val="16"/>
      <w:szCs w:val="16"/>
    </w:rPr>
  </w:style>
  <w:style w:type="character" w:customStyle="1" w:styleId="BodyTextIndent3Char">
    <w:name w:val="Body Text Indent 3 Char"/>
    <w:basedOn w:val="DefaultParagraphFont"/>
    <w:link w:val="BodyTextIndent3"/>
    <w:uiPriority w:val="99"/>
    <w:rsid w:val="0056721C"/>
    <w:rPr>
      <w:rFonts w:ascii="CG Times" w:eastAsia="Times New Roman" w:hAnsi="CG Times" w:cs="CG Times"/>
      <w:sz w:val="16"/>
      <w:szCs w:val="16"/>
    </w:rPr>
  </w:style>
  <w:style w:type="paragraph" w:customStyle="1" w:styleId="Document1">
    <w:name w:val="Document 1"/>
    <w:rsid w:val="0056721C"/>
    <w:pPr>
      <w:keepNext/>
      <w:keepLines/>
      <w:tabs>
        <w:tab w:val="left" w:pos="-720"/>
      </w:tabs>
      <w:suppressAutoHyphens/>
      <w:spacing w:line="240" w:lineRule="auto"/>
    </w:pPr>
    <w:rPr>
      <w:rFonts w:ascii="CG Times" w:eastAsia="Times New Roman" w:hAnsi="CG Times" w:cs="Times New Roman"/>
      <w:sz w:val="26"/>
      <w:szCs w:val="20"/>
    </w:rPr>
  </w:style>
  <w:style w:type="character" w:styleId="Strong">
    <w:name w:val="Strong"/>
    <w:qFormat/>
    <w:rsid w:val="0056721C"/>
    <w:rPr>
      <w:b/>
    </w:rPr>
  </w:style>
  <w:style w:type="paragraph" w:styleId="BodyTextIndent">
    <w:name w:val="Body Text Indent"/>
    <w:basedOn w:val="Normal"/>
    <w:link w:val="BodyTextIndentChar"/>
    <w:uiPriority w:val="99"/>
    <w:unhideWhenUsed/>
    <w:rsid w:val="00F615FE"/>
    <w:pPr>
      <w:spacing w:after="120"/>
      <w:ind w:left="360"/>
    </w:pPr>
  </w:style>
  <w:style w:type="character" w:customStyle="1" w:styleId="BodyTextIndentChar">
    <w:name w:val="Body Text Indent Char"/>
    <w:basedOn w:val="DefaultParagraphFont"/>
    <w:link w:val="BodyTextIndent"/>
    <w:uiPriority w:val="99"/>
    <w:rsid w:val="00F615FE"/>
    <w:rPr>
      <w:rFonts w:ascii="CG Times" w:eastAsia="Times New Roman" w:hAnsi="CG Times" w:cs="CG Times"/>
      <w:sz w:val="24"/>
      <w:szCs w:val="24"/>
    </w:rPr>
  </w:style>
  <w:style w:type="paragraph" w:styleId="PlainText">
    <w:name w:val="Plain Text"/>
    <w:basedOn w:val="Normal"/>
    <w:link w:val="PlainTextChar"/>
    <w:uiPriority w:val="99"/>
    <w:semiHidden/>
    <w:unhideWhenUsed/>
    <w:rsid w:val="009D076B"/>
    <w:pPr>
      <w:spacing w:after="200" w:line="276" w:lineRule="auto"/>
    </w:pPr>
    <w:rPr>
      <w:rFonts w:ascii="Courier New" w:eastAsia="Calibri" w:hAnsi="Courier New" w:cs="Courier New"/>
      <w:sz w:val="20"/>
      <w:szCs w:val="20"/>
    </w:rPr>
  </w:style>
  <w:style w:type="character" w:customStyle="1" w:styleId="PlainTextChar">
    <w:name w:val="Plain Text Char"/>
    <w:basedOn w:val="DefaultParagraphFont"/>
    <w:link w:val="PlainText"/>
    <w:uiPriority w:val="99"/>
    <w:semiHidden/>
    <w:rsid w:val="009D076B"/>
    <w:rPr>
      <w:rFonts w:ascii="Courier New" w:eastAsia="Calibri" w:hAnsi="Courier New" w:cs="Courier New"/>
      <w:sz w:val="20"/>
      <w:szCs w:val="20"/>
    </w:rPr>
  </w:style>
  <w:style w:type="paragraph" w:styleId="TOCHeading">
    <w:name w:val="TOC Heading"/>
    <w:basedOn w:val="Heading1"/>
    <w:next w:val="Normal"/>
    <w:uiPriority w:val="39"/>
    <w:semiHidden/>
    <w:unhideWhenUsed/>
    <w:qFormat/>
    <w:rsid w:val="00343CB6"/>
    <w:pPr>
      <w:spacing w:line="276" w:lineRule="auto"/>
      <w:outlineLvl w:val="9"/>
    </w:pPr>
    <w:rPr>
      <w:rFonts w:asciiTheme="majorHAnsi" w:hAnsiTheme="majorHAnsi"/>
      <w:color w:val="365F91" w:themeColor="accent1" w:themeShade="BF"/>
      <w:sz w:val="28"/>
      <w:lang w:eastAsia="ja-JP"/>
    </w:rPr>
  </w:style>
  <w:style w:type="character" w:styleId="CommentReference">
    <w:name w:val="annotation reference"/>
    <w:basedOn w:val="DefaultParagraphFont"/>
    <w:uiPriority w:val="99"/>
    <w:semiHidden/>
    <w:unhideWhenUsed/>
    <w:rsid w:val="00D36879"/>
    <w:rPr>
      <w:sz w:val="16"/>
      <w:szCs w:val="16"/>
    </w:rPr>
  </w:style>
  <w:style w:type="paragraph" w:styleId="CommentText">
    <w:name w:val="annotation text"/>
    <w:basedOn w:val="Normal"/>
    <w:link w:val="CommentTextChar"/>
    <w:uiPriority w:val="99"/>
    <w:semiHidden/>
    <w:unhideWhenUsed/>
    <w:rsid w:val="00D36879"/>
    <w:pPr>
      <w:spacing w:line="240" w:lineRule="auto"/>
      <w:ind w:firstLine="0"/>
    </w:pPr>
    <w:rPr>
      <w:rFonts w:ascii="CG Times" w:hAnsi="CG Times"/>
      <w:sz w:val="20"/>
      <w:szCs w:val="20"/>
    </w:rPr>
  </w:style>
  <w:style w:type="character" w:customStyle="1" w:styleId="CommentTextChar">
    <w:name w:val="Comment Text Char"/>
    <w:basedOn w:val="DefaultParagraphFont"/>
    <w:link w:val="CommentText"/>
    <w:uiPriority w:val="99"/>
    <w:semiHidden/>
    <w:rsid w:val="00D36879"/>
    <w:rPr>
      <w:rFonts w:ascii="CG Times" w:eastAsia="Times New Roman" w:hAnsi="CG Times" w:cs="CG 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353436">
      <w:bodyDiv w:val="1"/>
      <w:marLeft w:val="0"/>
      <w:marRight w:val="0"/>
      <w:marTop w:val="0"/>
      <w:marBottom w:val="0"/>
      <w:divBdr>
        <w:top w:val="none" w:sz="0" w:space="0" w:color="auto"/>
        <w:left w:val="none" w:sz="0" w:space="0" w:color="auto"/>
        <w:bottom w:val="none" w:sz="0" w:space="0" w:color="auto"/>
        <w:right w:val="none" w:sz="0" w:space="0" w:color="auto"/>
      </w:divBdr>
    </w:div>
    <w:div w:id="1059089875">
      <w:bodyDiv w:val="1"/>
      <w:marLeft w:val="0"/>
      <w:marRight w:val="0"/>
      <w:marTop w:val="0"/>
      <w:marBottom w:val="0"/>
      <w:divBdr>
        <w:top w:val="none" w:sz="0" w:space="0" w:color="auto"/>
        <w:left w:val="none" w:sz="0" w:space="0" w:color="auto"/>
        <w:bottom w:val="none" w:sz="0" w:space="0" w:color="auto"/>
        <w:right w:val="none" w:sz="0" w:space="0" w:color="auto"/>
      </w:divBdr>
    </w:div>
    <w:div w:id="1746494833">
      <w:bodyDiv w:val="1"/>
      <w:marLeft w:val="0"/>
      <w:marRight w:val="0"/>
      <w:marTop w:val="0"/>
      <w:marBottom w:val="0"/>
      <w:divBdr>
        <w:top w:val="none" w:sz="0" w:space="0" w:color="auto"/>
        <w:left w:val="none" w:sz="0" w:space="0" w:color="auto"/>
        <w:bottom w:val="none" w:sz="0" w:space="0" w:color="auto"/>
        <w:right w:val="none" w:sz="0" w:space="0" w:color="auto"/>
      </w:divBdr>
    </w:div>
    <w:div w:id="1933123649">
      <w:bodyDiv w:val="1"/>
      <w:marLeft w:val="0"/>
      <w:marRight w:val="0"/>
      <w:marTop w:val="0"/>
      <w:marBottom w:val="0"/>
      <w:divBdr>
        <w:top w:val="none" w:sz="0" w:space="0" w:color="auto"/>
        <w:left w:val="none" w:sz="0" w:space="0" w:color="auto"/>
        <w:bottom w:val="none" w:sz="0" w:space="0" w:color="auto"/>
        <w:right w:val="none" w:sz="0" w:space="0" w:color="auto"/>
      </w:divBdr>
    </w:div>
    <w:div w:id="206945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6CFEC-954B-4F27-ABA9-095167D0E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105</Pages>
  <Words>26880</Words>
  <Characters>153218</Characters>
  <Application>Microsoft Office Word</Application>
  <DocSecurity>0</DocSecurity>
  <Lines>1276</Lines>
  <Paragraphs>359</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179739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evero</dc:creator>
  <cp:lastModifiedBy>kywilliams</cp:lastModifiedBy>
  <cp:revision>11</cp:revision>
  <cp:lastPrinted>2014-01-23T18:32:00Z</cp:lastPrinted>
  <dcterms:created xsi:type="dcterms:W3CDTF">2014-01-23T16:46:00Z</dcterms:created>
  <dcterms:modified xsi:type="dcterms:W3CDTF">2014-01-27T16:27:00Z</dcterms:modified>
</cp:coreProperties>
</file>