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66" w:rsidRPr="00183666" w:rsidRDefault="00183666">
      <w:pPr>
        <w:pStyle w:val="Title"/>
        <w:rPr>
          <w:sz w:val="24"/>
          <w:szCs w:val="24"/>
        </w:rPr>
      </w:pPr>
      <w:r w:rsidRPr="00183666">
        <w:rPr>
          <w:sz w:val="24"/>
          <w:szCs w:val="24"/>
        </w:rPr>
        <w:t>BEFORE THE</w:t>
      </w:r>
    </w:p>
    <w:p w:rsidR="00183666" w:rsidRPr="00183666" w:rsidRDefault="00183666">
      <w:pPr>
        <w:pStyle w:val="Subtitle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183666">
            <w:rPr>
              <w:sz w:val="24"/>
              <w:szCs w:val="24"/>
            </w:rPr>
            <w:t>PENNSYLVANIA</w:t>
          </w:r>
        </w:smartTag>
      </w:smartTag>
      <w:r w:rsidRPr="00183666">
        <w:rPr>
          <w:sz w:val="24"/>
          <w:szCs w:val="24"/>
        </w:rPr>
        <w:t xml:space="preserve"> PUBLIC UTILITY COMMISSION</w:t>
      </w:r>
    </w:p>
    <w:p w:rsidR="00183666" w:rsidRPr="00183666" w:rsidRDefault="00183666">
      <w:pPr>
        <w:jc w:val="both"/>
        <w:rPr>
          <w:sz w:val="24"/>
          <w:szCs w:val="24"/>
        </w:rPr>
      </w:pPr>
    </w:p>
    <w:p w:rsidR="00183666" w:rsidRPr="00183666" w:rsidRDefault="00183666">
      <w:pPr>
        <w:jc w:val="both"/>
        <w:rPr>
          <w:sz w:val="24"/>
          <w:szCs w:val="24"/>
        </w:rPr>
      </w:pPr>
    </w:p>
    <w:p w:rsidR="00183666" w:rsidRDefault="00183666">
      <w:pPr>
        <w:jc w:val="both"/>
        <w:rPr>
          <w:sz w:val="24"/>
          <w:szCs w:val="24"/>
        </w:rPr>
      </w:pPr>
    </w:p>
    <w:p w:rsidR="00183666" w:rsidRPr="00183666" w:rsidRDefault="00C941AF">
      <w:pPr>
        <w:jc w:val="both"/>
        <w:rPr>
          <w:sz w:val="24"/>
          <w:szCs w:val="24"/>
        </w:rPr>
      </w:pPr>
      <w:r>
        <w:rPr>
          <w:sz w:val="24"/>
          <w:szCs w:val="24"/>
        </w:rPr>
        <w:t>Thomas Egan</w:t>
      </w:r>
      <w:r w:rsidR="00F52147">
        <w:rPr>
          <w:sz w:val="24"/>
          <w:szCs w:val="24"/>
        </w:rPr>
        <w:tab/>
      </w:r>
      <w:r w:rsidR="00183666" w:rsidRPr="00183666">
        <w:rPr>
          <w:sz w:val="24"/>
          <w:szCs w:val="24"/>
        </w:rPr>
        <w:tab/>
      </w:r>
      <w:r w:rsidR="00183666" w:rsidRPr="00183666">
        <w:rPr>
          <w:sz w:val="24"/>
          <w:szCs w:val="24"/>
        </w:rPr>
        <w:tab/>
      </w:r>
      <w:r w:rsidR="00183666" w:rsidRPr="00183666">
        <w:rPr>
          <w:sz w:val="24"/>
          <w:szCs w:val="24"/>
        </w:rPr>
        <w:tab/>
      </w:r>
      <w:r w:rsidR="00183666" w:rsidRPr="00183666">
        <w:rPr>
          <w:sz w:val="24"/>
          <w:szCs w:val="24"/>
        </w:rPr>
        <w:tab/>
      </w:r>
      <w:r w:rsidR="00183666">
        <w:rPr>
          <w:sz w:val="24"/>
          <w:szCs w:val="24"/>
        </w:rPr>
        <w:tab/>
      </w:r>
      <w:r w:rsidR="00183666" w:rsidRPr="00183666">
        <w:rPr>
          <w:sz w:val="24"/>
          <w:szCs w:val="24"/>
        </w:rPr>
        <w:t>:</w:t>
      </w:r>
    </w:p>
    <w:p w:rsidR="00183666" w:rsidRPr="00183666" w:rsidRDefault="00183666">
      <w:pPr>
        <w:jc w:val="both"/>
        <w:rPr>
          <w:sz w:val="24"/>
          <w:szCs w:val="24"/>
        </w:rPr>
      </w:pP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3666">
        <w:rPr>
          <w:sz w:val="24"/>
          <w:szCs w:val="24"/>
        </w:rPr>
        <w:t>:</w:t>
      </w:r>
    </w:p>
    <w:p w:rsidR="00183666" w:rsidRPr="00183666" w:rsidRDefault="00183666">
      <w:pPr>
        <w:jc w:val="both"/>
        <w:rPr>
          <w:sz w:val="24"/>
          <w:szCs w:val="24"/>
        </w:rPr>
      </w:pPr>
      <w:r w:rsidRPr="00183666">
        <w:rPr>
          <w:sz w:val="24"/>
          <w:szCs w:val="24"/>
        </w:rPr>
        <w:tab/>
        <w:t>v.</w:t>
      </w: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3666">
        <w:rPr>
          <w:sz w:val="24"/>
          <w:szCs w:val="24"/>
        </w:rPr>
        <w:t>:</w:t>
      </w:r>
      <w:r w:rsidRPr="00183666">
        <w:rPr>
          <w:sz w:val="24"/>
          <w:szCs w:val="24"/>
        </w:rPr>
        <w:tab/>
      </w:r>
      <w:r w:rsidR="00B50E1A">
        <w:rPr>
          <w:sz w:val="24"/>
          <w:szCs w:val="24"/>
        </w:rPr>
        <w:tab/>
      </w:r>
      <w:r w:rsidR="00F52147">
        <w:rPr>
          <w:sz w:val="24"/>
          <w:szCs w:val="24"/>
        </w:rPr>
        <w:t>C</w:t>
      </w:r>
      <w:r w:rsidR="00F52147">
        <w:rPr>
          <w:sz w:val="24"/>
          <w:szCs w:val="24"/>
        </w:rPr>
        <w:noBreakHyphen/>
      </w:r>
      <w:r w:rsidR="00C941AF">
        <w:rPr>
          <w:sz w:val="24"/>
          <w:szCs w:val="24"/>
        </w:rPr>
        <w:t>2013-2368645</w:t>
      </w:r>
    </w:p>
    <w:p w:rsidR="00183666" w:rsidRPr="00183666" w:rsidRDefault="00183666">
      <w:pPr>
        <w:jc w:val="both"/>
        <w:rPr>
          <w:sz w:val="24"/>
          <w:szCs w:val="24"/>
        </w:rPr>
      </w:pP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 w:rsidRPr="0018366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3666">
        <w:rPr>
          <w:sz w:val="24"/>
          <w:szCs w:val="24"/>
        </w:rPr>
        <w:t>:</w:t>
      </w:r>
    </w:p>
    <w:p w:rsidR="00183666" w:rsidRDefault="00C941AF">
      <w:pPr>
        <w:jc w:val="both"/>
        <w:rPr>
          <w:sz w:val="24"/>
          <w:szCs w:val="24"/>
        </w:rPr>
      </w:pPr>
      <w:r>
        <w:rPr>
          <w:sz w:val="24"/>
          <w:szCs w:val="24"/>
        </w:rPr>
        <w:t>PECO Energy</w:t>
      </w:r>
      <w:r w:rsidR="00F52147">
        <w:rPr>
          <w:sz w:val="24"/>
          <w:szCs w:val="24"/>
        </w:rPr>
        <w:t xml:space="preserve"> Company</w:t>
      </w:r>
      <w:r w:rsidR="00183666" w:rsidRPr="00183666">
        <w:rPr>
          <w:sz w:val="24"/>
          <w:szCs w:val="24"/>
        </w:rPr>
        <w:tab/>
      </w:r>
      <w:r w:rsidR="00E27ACF">
        <w:rPr>
          <w:sz w:val="24"/>
          <w:szCs w:val="24"/>
        </w:rPr>
        <w:tab/>
      </w:r>
      <w:r w:rsidR="00183666" w:rsidRPr="00183666">
        <w:rPr>
          <w:sz w:val="24"/>
          <w:szCs w:val="24"/>
        </w:rPr>
        <w:tab/>
      </w:r>
      <w:r w:rsidR="00183666">
        <w:rPr>
          <w:sz w:val="24"/>
          <w:szCs w:val="24"/>
        </w:rPr>
        <w:tab/>
      </w:r>
      <w:r w:rsidR="00183666" w:rsidRPr="00183666">
        <w:rPr>
          <w:sz w:val="24"/>
          <w:szCs w:val="24"/>
        </w:rPr>
        <w:t>:</w:t>
      </w:r>
    </w:p>
    <w:p w:rsidR="00183666" w:rsidRPr="00183666" w:rsidRDefault="00183666">
      <w:pPr>
        <w:jc w:val="both"/>
        <w:rPr>
          <w:sz w:val="24"/>
          <w:szCs w:val="24"/>
        </w:rPr>
      </w:pPr>
    </w:p>
    <w:p w:rsidR="00183666" w:rsidRDefault="00183666">
      <w:pPr>
        <w:jc w:val="both"/>
        <w:rPr>
          <w:sz w:val="24"/>
          <w:szCs w:val="24"/>
        </w:rPr>
      </w:pPr>
    </w:p>
    <w:p w:rsidR="00E27ACF" w:rsidRPr="00183666" w:rsidRDefault="00E27ACF" w:rsidP="00E27ACF">
      <w:pPr>
        <w:jc w:val="both"/>
        <w:rPr>
          <w:sz w:val="24"/>
          <w:szCs w:val="24"/>
        </w:rPr>
      </w:pPr>
    </w:p>
    <w:p w:rsidR="00E27ACF" w:rsidRDefault="00E27ACF" w:rsidP="00E27ACF">
      <w:pPr>
        <w:pStyle w:val="Heading1"/>
        <w:rPr>
          <w:sz w:val="24"/>
          <w:szCs w:val="24"/>
        </w:rPr>
      </w:pPr>
      <w:r w:rsidRPr="00183666">
        <w:rPr>
          <w:sz w:val="24"/>
          <w:szCs w:val="24"/>
        </w:rPr>
        <w:t>INITIAL DECISION</w:t>
      </w:r>
      <w:r>
        <w:rPr>
          <w:sz w:val="24"/>
          <w:szCs w:val="24"/>
        </w:rPr>
        <w:t xml:space="preserve"> </w:t>
      </w:r>
    </w:p>
    <w:p w:rsidR="00F52147" w:rsidRDefault="00E27ACF">
      <w:pPr>
        <w:jc w:val="center"/>
        <w:rPr>
          <w:sz w:val="24"/>
          <w:szCs w:val="24"/>
        </w:rPr>
      </w:pPr>
      <w:r>
        <w:rPr>
          <w:sz w:val="24"/>
          <w:szCs w:val="24"/>
        </w:rPr>
        <w:t>Granting</w:t>
      </w:r>
      <w:r w:rsidR="00F52147">
        <w:rPr>
          <w:sz w:val="24"/>
          <w:szCs w:val="24"/>
        </w:rPr>
        <w:t xml:space="preserve"> </w:t>
      </w:r>
    </w:p>
    <w:p w:rsidR="00F52147" w:rsidRDefault="00F521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Preliminary Objection </w:t>
      </w:r>
    </w:p>
    <w:p w:rsidR="002B70F3" w:rsidRDefault="002B70F3">
      <w:pPr>
        <w:jc w:val="center"/>
        <w:rPr>
          <w:sz w:val="24"/>
          <w:szCs w:val="24"/>
        </w:rPr>
      </w:pPr>
    </w:p>
    <w:p w:rsidR="00E27ACF" w:rsidRPr="00183666" w:rsidRDefault="00E27ACF" w:rsidP="00E27ACF">
      <w:pPr>
        <w:jc w:val="center"/>
        <w:rPr>
          <w:sz w:val="24"/>
          <w:szCs w:val="24"/>
        </w:rPr>
      </w:pPr>
    </w:p>
    <w:p w:rsidR="00E27ACF" w:rsidRPr="00183666" w:rsidRDefault="00E27ACF" w:rsidP="00E27ACF">
      <w:pPr>
        <w:jc w:val="center"/>
        <w:rPr>
          <w:sz w:val="24"/>
          <w:szCs w:val="24"/>
        </w:rPr>
      </w:pPr>
      <w:r w:rsidRPr="00183666">
        <w:rPr>
          <w:sz w:val="24"/>
          <w:szCs w:val="24"/>
        </w:rPr>
        <w:t>Before</w:t>
      </w:r>
    </w:p>
    <w:p w:rsidR="00E27ACF" w:rsidRPr="00183666" w:rsidRDefault="00E27ACF" w:rsidP="00E27ACF">
      <w:pPr>
        <w:jc w:val="center"/>
        <w:rPr>
          <w:sz w:val="24"/>
          <w:szCs w:val="24"/>
        </w:rPr>
      </w:pPr>
      <w:r w:rsidRPr="005C5AB6">
        <w:rPr>
          <w:sz w:val="24"/>
          <w:szCs w:val="24"/>
        </w:rPr>
        <w:t>Katrina L. Dunderdale</w:t>
      </w:r>
    </w:p>
    <w:p w:rsidR="00E27ACF" w:rsidRPr="00183666" w:rsidRDefault="00E27ACF" w:rsidP="00E27ACF">
      <w:pPr>
        <w:jc w:val="center"/>
        <w:rPr>
          <w:sz w:val="24"/>
          <w:szCs w:val="24"/>
        </w:rPr>
      </w:pPr>
      <w:r w:rsidRPr="00183666">
        <w:rPr>
          <w:sz w:val="24"/>
          <w:szCs w:val="24"/>
        </w:rPr>
        <w:t>Administrative Law Judge</w:t>
      </w:r>
    </w:p>
    <w:p w:rsidR="00E27ACF" w:rsidRPr="00183666" w:rsidRDefault="00E27ACF" w:rsidP="00E27ACF">
      <w:pPr>
        <w:jc w:val="both"/>
        <w:rPr>
          <w:sz w:val="24"/>
          <w:szCs w:val="24"/>
        </w:rPr>
      </w:pPr>
    </w:p>
    <w:p w:rsidR="00E27ACF" w:rsidRPr="00183666" w:rsidRDefault="00E27ACF" w:rsidP="00E27ACF">
      <w:pPr>
        <w:jc w:val="both"/>
        <w:rPr>
          <w:sz w:val="24"/>
          <w:szCs w:val="24"/>
        </w:rPr>
      </w:pPr>
    </w:p>
    <w:p w:rsidR="00E27ACF" w:rsidRDefault="00E27ACF" w:rsidP="00E27ACF">
      <w:pPr>
        <w:pStyle w:val="Heading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HISTORY OF THE PROCEEDING</w:t>
      </w:r>
    </w:p>
    <w:p w:rsidR="00E27ACF" w:rsidRPr="00604AA8" w:rsidRDefault="00E27ACF" w:rsidP="00E27ACF"/>
    <w:p w:rsidR="00E27ACF" w:rsidRDefault="00E27ACF" w:rsidP="00885A86">
      <w:pPr>
        <w:spacing w:line="360" w:lineRule="auto"/>
        <w:rPr>
          <w:sz w:val="24"/>
          <w:szCs w:val="24"/>
        </w:rPr>
      </w:pPr>
    </w:p>
    <w:p w:rsidR="00F90A70" w:rsidRDefault="00885A86" w:rsidP="00885A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</w:t>
      </w:r>
      <w:r w:rsidR="00C941AF">
        <w:rPr>
          <w:sz w:val="24"/>
          <w:szCs w:val="24"/>
        </w:rPr>
        <w:t>June 10, 2013</w:t>
      </w:r>
      <w:r>
        <w:rPr>
          <w:sz w:val="24"/>
          <w:szCs w:val="24"/>
        </w:rPr>
        <w:t xml:space="preserve">, </w:t>
      </w:r>
      <w:r w:rsidR="00C941AF">
        <w:rPr>
          <w:sz w:val="24"/>
          <w:szCs w:val="24"/>
        </w:rPr>
        <w:t>Thomas Egan</w:t>
      </w:r>
      <w:r>
        <w:rPr>
          <w:sz w:val="24"/>
          <w:szCs w:val="24"/>
        </w:rPr>
        <w:t xml:space="preserve"> (Complainant) filed a </w:t>
      </w:r>
      <w:r w:rsidR="000157A6">
        <w:rPr>
          <w:sz w:val="24"/>
          <w:szCs w:val="24"/>
        </w:rPr>
        <w:t>F</w:t>
      </w:r>
      <w:r>
        <w:rPr>
          <w:sz w:val="24"/>
          <w:szCs w:val="24"/>
        </w:rPr>
        <w:t xml:space="preserve">ormal </w:t>
      </w:r>
      <w:r w:rsidR="000157A6">
        <w:rPr>
          <w:sz w:val="24"/>
          <w:szCs w:val="24"/>
        </w:rPr>
        <w:t>C</w:t>
      </w:r>
      <w:r>
        <w:rPr>
          <w:sz w:val="24"/>
          <w:szCs w:val="24"/>
        </w:rPr>
        <w:t xml:space="preserve">omplaint against </w:t>
      </w:r>
      <w:r w:rsidR="00C941AF">
        <w:rPr>
          <w:sz w:val="24"/>
          <w:szCs w:val="24"/>
        </w:rPr>
        <w:t>PECO Energy</w:t>
      </w:r>
      <w:r w:rsidR="00F52147">
        <w:rPr>
          <w:sz w:val="24"/>
          <w:szCs w:val="24"/>
        </w:rPr>
        <w:t xml:space="preserve"> Company</w:t>
      </w:r>
      <w:r w:rsidR="00C941AF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Respondent or </w:t>
      </w:r>
      <w:r w:rsidR="00C941AF">
        <w:rPr>
          <w:sz w:val="24"/>
          <w:szCs w:val="24"/>
        </w:rPr>
        <w:t>PECO</w:t>
      </w:r>
      <w:r>
        <w:rPr>
          <w:sz w:val="24"/>
          <w:szCs w:val="24"/>
        </w:rPr>
        <w:t xml:space="preserve">) </w:t>
      </w:r>
      <w:r w:rsidR="007F6AE7">
        <w:rPr>
          <w:sz w:val="24"/>
          <w:szCs w:val="24"/>
        </w:rPr>
        <w:t xml:space="preserve">regarding </w:t>
      </w:r>
      <w:r w:rsidR="00F52147">
        <w:rPr>
          <w:sz w:val="24"/>
          <w:szCs w:val="24"/>
        </w:rPr>
        <w:t>electric</w:t>
      </w:r>
      <w:r w:rsidR="007F6AE7">
        <w:rPr>
          <w:sz w:val="24"/>
          <w:szCs w:val="24"/>
        </w:rPr>
        <w:t xml:space="preserve"> service to </w:t>
      </w:r>
      <w:r w:rsidR="00C941AF">
        <w:rPr>
          <w:sz w:val="24"/>
          <w:szCs w:val="24"/>
        </w:rPr>
        <w:t>his residence</w:t>
      </w:r>
      <w:r w:rsidR="007F6AE7">
        <w:rPr>
          <w:sz w:val="24"/>
          <w:szCs w:val="24"/>
        </w:rPr>
        <w:t xml:space="preserve"> (</w:t>
      </w:r>
      <w:r w:rsidR="00C941AF">
        <w:rPr>
          <w:sz w:val="24"/>
          <w:szCs w:val="24"/>
        </w:rPr>
        <w:t>service a</w:t>
      </w:r>
      <w:r w:rsidR="007F6AE7">
        <w:rPr>
          <w:sz w:val="24"/>
          <w:szCs w:val="24"/>
        </w:rPr>
        <w:t>ddress)</w:t>
      </w:r>
      <w:r w:rsidR="00F90A70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F90A70">
        <w:rPr>
          <w:sz w:val="24"/>
          <w:szCs w:val="24"/>
        </w:rPr>
        <w:t xml:space="preserve">Complainant alleges </w:t>
      </w:r>
      <w:r w:rsidR="00C941AF">
        <w:rPr>
          <w:sz w:val="24"/>
          <w:szCs w:val="24"/>
        </w:rPr>
        <w:t xml:space="preserve">PECO promised to credit his account with $30 monthly from June 2012 through September 2012 in exchange for his permission to shut down the air conditioning unit during peak usage.  As a result, Complainant’s house had holes drilled into the foundation before PECO notified him that it would pay a reduced sum monthly due to directives from the Public Utility Commission (Commission).  </w:t>
      </w:r>
      <w:r w:rsidR="007F6AE7">
        <w:rPr>
          <w:sz w:val="24"/>
          <w:szCs w:val="24"/>
        </w:rPr>
        <w:t xml:space="preserve">  </w:t>
      </w:r>
    </w:p>
    <w:p w:rsidR="00F90A70" w:rsidRDefault="00F90A70" w:rsidP="00885A86">
      <w:pPr>
        <w:spacing w:line="360" w:lineRule="auto"/>
        <w:rPr>
          <w:sz w:val="24"/>
          <w:szCs w:val="24"/>
        </w:rPr>
      </w:pPr>
    </w:p>
    <w:p w:rsidR="00E36020" w:rsidRDefault="00C941AF" w:rsidP="005D1DC4">
      <w:pPr>
        <w:spacing w:line="360" w:lineRule="auto"/>
        <w:ind w:firstLine="1440"/>
        <w:rPr>
          <w:sz w:val="24"/>
        </w:rPr>
      </w:pPr>
      <w:r>
        <w:rPr>
          <w:sz w:val="24"/>
          <w:szCs w:val="24"/>
        </w:rPr>
        <w:t>On June 24, 2013, PECO filed an Answer in which it denied generally the allegations.  PECO</w:t>
      </w:r>
      <w:r w:rsidR="0018019F">
        <w:rPr>
          <w:sz w:val="24"/>
          <w:szCs w:val="24"/>
        </w:rPr>
        <w:t xml:space="preserve"> </w:t>
      </w:r>
      <w:r w:rsidR="0018019F">
        <w:rPr>
          <w:sz w:val="24"/>
        </w:rPr>
        <w:t>aver</w:t>
      </w:r>
      <w:r w:rsidR="00E36020">
        <w:rPr>
          <w:sz w:val="24"/>
        </w:rPr>
        <w:t xml:space="preserve">red </w:t>
      </w:r>
      <w:r w:rsidR="008E1D76">
        <w:rPr>
          <w:sz w:val="24"/>
        </w:rPr>
        <w:t xml:space="preserve">in its Answer </w:t>
      </w:r>
      <w:r w:rsidR="00E36020">
        <w:rPr>
          <w:sz w:val="24"/>
        </w:rPr>
        <w:t xml:space="preserve">that Complainant enrolled in the Smart A/C Saver program which initially would have provided him with a $30 monthly credit for four months but that credit was reduced to $20 after an annual review of the program revealed fewer conservation events were planned in 2013.  </w:t>
      </w:r>
    </w:p>
    <w:p w:rsidR="00E36020" w:rsidRDefault="00E36020" w:rsidP="005D1DC4">
      <w:pPr>
        <w:spacing w:line="360" w:lineRule="auto"/>
        <w:ind w:firstLine="1440"/>
        <w:rPr>
          <w:sz w:val="24"/>
        </w:rPr>
      </w:pPr>
    </w:p>
    <w:p w:rsidR="00C95A98" w:rsidRDefault="00E36020" w:rsidP="005D1DC4">
      <w:pPr>
        <w:spacing w:line="360" w:lineRule="auto"/>
        <w:ind w:firstLine="1440"/>
        <w:rPr>
          <w:sz w:val="24"/>
          <w:szCs w:val="24"/>
        </w:rPr>
      </w:pPr>
      <w:r>
        <w:rPr>
          <w:sz w:val="24"/>
        </w:rPr>
        <w:lastRenderedPageBreak/>
        <w:t xml:space="preserve">On </w:t>
      </w:r>
      <w:r>
        <w:rPr>
          <w:sz w:val="24"/>
          <w:szCs w:val="24"/>
        </w:rPr>
        <w:t xml:space="preserve">August </w:t>
      </w:r>
      <w:r w:rsidR="00294384">
        <w:rPr>
          <w:sz w:val="24"/>
          <w:szCs w:val="24"/>
        </w:rPr>
        <w:t>1</w:t>
      </w:r>
      <w:r>
        <w:rPr>
          <w:sz w:val="24"/>
          <w:szCs w:val="24"/>
        </w:rPr>
        <w:t>3, 2013, PECO filed Preliminary Objections against Complainant.  The Preliminary Objections included a Noti</w:t>
      </w:r>
      <w:r w:rsidR="001A5CC5">
        <w:rPr>
          <w:sz w:val="24"/>
          <w:szCs w:val="24"/>
        </w:rPr>
        <w:t xml:space="preserve">ce to Plead (pursuant to 52 </w:t>
      </w:r>
      <w:proofErr w:type="spellStart"/>
      <w:r w:rsidR="001A5CC5">
        <w:rPr>
          <w:sz w:val="24"/>
          <w:szCs w:val="24"/>
        </w:rPr>
        <w:t>Pa.</w:t>
      </w:r>
      <w:r>
        <w:rPr>
          <w:sz w:val="24"/>
          <w:szCs w:val="24"/>
        </w:rPr>
        <w:t>Code</w:t>
      </w:r>
      <w:proofErr w:type="spellEnd"/>
      <w:r>
        <w:rPr>
          <w:sz w:val="24"/>
          <w:szCs w:val="24"/>
        </w:rPr>
        <w:t xml:space="preserve"> §</w:t>
      </w:r>
      <w:r w:rsidR="001A5C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5.101) and was served upon Complainant via First Class mail on </w:t>
      </w:r>
      <w:r w:rsidR="00294384">
        <w:rPr>
          <w:sz w:val="24"/>
          <w:szCs w:val="24"/>
        </w:rPr>
        <w:t>August</w:t>
      </w:r>
      <w:r>
        <w:rPr>
          <w:sz w:val="24"/>
          <w:szCs w:val="24"/>
        </w:rPr>
        <w:t xml:space="preserve"> 13, 2013</w:t>
      </w:r>
      <w:r w:rsidR="00AD10F1">
        <w:rPr>
          <w:sz w:val="24"/>
        </w:rPr>
        <w:t xml:space="preserve">.  </w:t>
      </w:r>
      <w:r>
        <w:rPr>
          <w:sz w:val="24"/>
          <w:szCs w:val="24"/>
        </w:rPr>
        <w:t>PECO</w:t>
      </w:r>
      <w:r w:rsidR="00851677">
        <w:rPr>
          <w:sz w:val="24"/>
          <w:szCs w:val="24"/>
        </w:rPr>
        <w:t xml:space="preserve"> r</w:t>
      </w:r>
      <w:r w:rsidR="00792661">
        <w:rPr>
          <w:sz w:val="24"/>
          <w:szCs w:val="24"/>
        </w:rPr>
        <w:t xml:space="preserve">equests the Commission sustain the preliminary objection and </w:t>
      </w:r>
      <w:r w:rsidR="00AD10F1">
        <w:rPr>
          <w:sz w:val="24"/>
          <w:szCs w:val="24"/>
        </w:rPr>
        <w:t xml:space="preserve">dismiss the </w:t>
      </w:r>
      <w:r>
        <w:rPr>
          <w:sz w:val="24"/>
          <w:szCs w:val="24"/>
        </w:rPr>
        <w:t xml:space="preserve">formal complaint as a matter of law because the Commission approved the reduction in credit by its Order entered May 9, 2013 in PECO’s Phase II proceeding at Docket No. </w:t>
      </w:r>
      <w:proofErr w:type="gramStart"/>
      <w:r>
        <w:rPr>
          <w:sz w:val="24"/>
          <w:szCs w:val="24"/>
        </w:rPr>
        <w:t>M-2012-2333992.</w:t>
      </w:r>
      <w:proofErr w:type="gramEnd"/>
    </w:p>
    <w:p w:rsidR="00E36020" w:rsidRDefault="00E36020" w:rsidP="005D1DC4">
      <w:pPr>
        <w:spacing w:line="360" w:lineRule="auto"/>
        <w:ind w:firstLine="1440"/>
        <w:rPr>
          <w:sz w:val="24"/>
          <w:szCs w:val="24"/>
        </w:rPr>
      </w:pPr>
    </w:p>
    <w:p w:rsidR="00E36020" w:rsidRDefault="00E36020" w:rsidP="005D1DC4">
      <w:pPr>
        <w:spacing w:line="360" w:lineRule="auto"/>
        <w:ind w:firstLine="1440"/>
        <w:rPr>
          <w:sz w:val="24"/>
        </w:rPr>
      </w:pPr>
      <w:r>
        <w:rPr>
          <w:sz w:val="24"/>
          <w:szCs w:val="24"/>
        </w:rPr>
        <w:t>Complainant has not responded to the Preliminary Objections.</w:t>
      </w:r>
    </w:p>
    <w:p w:rsidR="004F23D5" w:rsidRDefault="004F23D5" w:rsidP="005D1DC4">
      <w:pPr>
        <w:spacing w:line="360" w:lineRule="auto"/>
        <w:rPr>
          <w:sz w:val="24"/>
          <w:szCs w:val="24"/>
        </w:rPr>
      </w:pPr>
    </w:p>
    <w:p w:rsidR="002A08F6" w:rsidRDefault="002A08F6" w:rsidP="002A08F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DISCUSSION</w:t>
      </w:r>
    </w:p>
    <w:p w:rsidR="002A08F6" w:rsidRDefault="002A08F6" w:rsidP="002A08F6">
      <w:pPr>
        <w:spacing w:line="360" w:lineRule="auto"/>
        <w:rPr>
          <w:sz w:val="24"/>
          <w:szCs w:val="24"/>
        </w:rPr>
      </w:pPr>
    </w:p>
    <w:p w:rsidR="005C4F06" w:rsidRDefault="005C4F06" w:rsidP="002A08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A4D">
        <w:rPr>
          <w:sz w:val="24"/>
          <w:szCs w:val="24"/>
        </w:rPr>
        <w:t>The Commission’s regulations make p</w:t>
      </w:r>
      <w:r>
        <w:rPr>
          <w:sz w:val="24"/>
          <w:szCs w:val="24"/>
        </w:rPr>
        <w:t>reliminary objections available to parties and</w:t>
      </w:r>
      <w:r w:rsidR="00F57A4D">
        <w:rPr>
          <w:sz w:val="24"/>
          <w:szCs w:val="24"/>
        </w:rPr>
        <w:t xml:space="preserve"> allow for those objections to be </w:t>
      </w:r>
      <w:r>
        <w:rPr>
          <w:sz w:val="24"/>
          <w:szCs w:val="24"/>
        </w:rPr>
        <w:t>filed in response to a</w:t>
      </w:r>
      <w:r w:rsidR="00F57A4D">
        <w:rPr>
          <w:sz w:val="24"/>
          <w:szCs w:val="24"/>
        </w:rPr>
        <w:t>ny</w:t>
      </w:r>
      <w:r>
        <w:rPr>
          <w:sz w:val="24"/>
          <w:szCs w:val="24"/>
        </w:rPr>
        <w:t xml:space="preserve"> pleading except </w:t>
      </w:r>
      <w:r w:rsidR="00F57A4D">
        <w:rPr>
          <w:sz w:val="24"/>
          <w:szCs w:val="24"/>
        </w:rPr>
        <w:t xml:space="preserve">a </w:t>
      </w:r>
      <w:r>
        <w:rPr>
          <w:sz w:val="24"/>
          <w:szCs w:val="24"/>
        </w:rPr>
        <w:t>mo</w:t>
      </w:r>
      <w:r w:rsidR="00F57A4D">
        <w:rPr>
          <w:sz w:val="24"/>
          <w:szCs w:val="24"/>
        </w:rPr>
        <w:t xml:space="preserve">tion or </w:t>
      </w:r>
      <w:r>
        <w:rPr>
          <w:sz w:val="24"/>
          <w:szCs w:val="24"/>
        </w:rPr>
        <w:t xml:space="preserve">prior preliminary objections.  </w:t>
      </w:r>
      <w:r w:rsidR="00F57A4D">
        <w:rPr>
          <w:sz w:val="24"/>
          <w:szCs w:val="24"/>
        </w:rPr>
        <w:t>A party filing p</w:t>
      </w:r>
      <w:r>
        <w:rPr>
          <w:sz w:val="24"/>
          <w:szCs w:val="24"/>
        </w:rPr>
        <w:t xml:space="preserve">reliminary objections must </w:t>
      </w:r>
      <w:r w:rsidR="00F57A4D">
        <w:rPr>
          <w:sz w:val="24"/>
          <w:szCs w:val="24"/>
        </w:rPr>
        <w:t>include</w:t>
      </w:r>
      <w:r>
        <w:rPr>
          <w:sz w:val="24"/>
          <w:szCs w:val="24"/>
        </w:rPr>
        <w:t xml:space="preserve"> a notice to plead, must state specifically the legal and factual grounds </w:t>
      </w:r>
      <w:r w:rsidR="00F57A4D">
        <w:rPr>
          <w:sz w:val="24"/>
          <w:szCs w:val="24"/>
        </w:rPr>
        <w:t>relied</w:t>
      </w:r>
      <w:r>
        <w:rPr>
          <w:sz w:val="24"/>
          <w:szCs w:val="24"/>
        </w:rPr>
        <w:t xml:space="preserve"> upon and </w:t>
      </w:r>
      <w:r w:rsidR="00F57A4D">
        <w:rPr>
          <w:sz w:val="24"/>
          <w:szCs w:val="24"/>
        </w:rPr>
        <w:t>limit the objections to the fo</w:t>
      </w:r>
      <w:r>
        <w:rPr>
          <w:sz w:val="24"/>
          <w:szCs w:val="24"/>
        </w:rPr>
        <w:t>llowing:</w:t>
      </w:r>
    </w:p>
    <w:p w:rsidR="001832DB" w:rsidRDefault="001832DB" w:rsidP="002A08F6">
      <w:pPr>
        <w:spacing w:line="360" w:lineRule="auto"/>
        <w:rPr>
          <w:sz w:val="24"/>
          <w:szCs w:val="24"/>
        </w:rPr>
      </w:pPr>
    </w:p>
    <w:p w:rsidR="005C4F06" w:rsidRDefault="005C4F06" w:rsidP="003F4CD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Lack of Commission jurisdiction or improper service </w:t>
      </w:r>
      <w:r w:rsidR="00F57A4D">
        <w:rPr>
          <w:sz w:val="24"/>
          <w:szCs w:val="24"/>
        </w:rPr>
        <w:t>of the pleading</w:t>
      </w:r>
      <w:r>
        <w:rPr>
          <w:sz w:val="24"/>
          <w:szCs w:val="24"/>
        </w:rPr>
        <w:t xml:space="preserve"> initiating the proceeding.</w:t>
      </w:r>
    </w:p>
    <w:p w:rsidR="003F4CDE" w:rsidRDefault="003F4CDE" w:rsidP="003F4CDE">
      <w:pPr>
        <w:ind w:left="1440"/>
        <w:rPr>
          <w:sz w:val="24"/>
          <w:szCs w:val="24"/>
        </w:rPr>
      </w:pPr>
    </w:p>
    <w:p w:rsidR="005C4F06" w:rsidRDefault="005C4F06" w:rsidP="003F4CD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Failure of a pleading to conform to </w:t>
      </w:r>
      <w:r w:rsidR="00F57A4D">
        <w:rPr>
          <w:sz w:val="24"/>
          <w:szCs w:val="24"/>
        </w:rPr>
        <w:t>Chapter 5, Title 52 of the Pennsylvania Code, or include scandalous or impertinent matter.</w:t>
      </w:r>
    </w:p>
    <w:p w:rsidR="003F4CDE" w:rsidRDefault="003F4CDE" w:rsidP="003F4CDE">
      <w:pPr>
        <w:rPr>
          <w:sz w:val="24"/>
          <w:szCs w:val="24"/>
        </w:rPr>
      </w:pPr>
    </w:p>
    <w:p w:rsidR="0005231E" w:rsidRDefault="00F57A4D" w:rsidP="0005231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Insufficient specificity of a pleading.</w:t>
      </w:r>
    </w:p>
    <w:p w:rsidR="0005231E" w:rsidRPr="0005231E" w:rsidRDefault="0005231E" w:rsidP="0005231E">
      <w:pPr>
        <w:rPr>
          <w:sz w:val="24"/>
          <w:szCs w:val="24"/>
        </w:rPr>
      </w:pPr>
    </w:p>
    <w:p w:rsidR="00F57A4D" w:rsidRDefault="00F57A4D" w:rsidP="0005231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Legal insufficiency of a pleading.</w:t>
      </w:r>
    </w:p>
    <w:p w:rsidR="0005231E" w:rsidRDefault="0005231E" w:rsidP="0005231E">
      <w:pPr>
        <w:rPr>
          <w:sz w:val="24"/>
          <w:szCs w:val="24"/>
        </w:rPr>
      </w:pPr>
    </w:p>
    <w:p w:rsidR="00F57A4D" w:rsidRDefault="00F57A4D" w:rsidP="003F4CD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Lack </w:t>
      </w:r>
      <w:r w:rsidRPr="009779CF">
        <w:rPr>
          <w:sz w:val="24"/>
          <w:szCs w:val="24"/>
        </w:rPr>
        <w:t xml:space="preserve">of capacity to sue, </w:t>
      </w:r>
      <w:proofErr w:type="spellStart"/>
      <w:r w:rsidRPr="009779CF">
        <w:rPr>
          <w:sz w:val="24"/>
          <w:szCs w:val="24"/>
        </w:rPr>
        <w:t>nonjoinder</w:t>
      </w:r>
      <w:proofErr w:type="spellEnd"/>
      <w:r w:rsidRPr="009779CF">
        <w:rPr>
          <w:sz w:val="24"/>
          <w:szCs w:val="24"/>
        </w:rPr>
        <w:t xml:space="preserve"> of a necessary party or misjoinder of a cause of action.  </w:t>
      </w:r>
    </w:p>
    <w:p w:rsidR="003F4CDE" w:rsidRPr="009779CF" w:rsidRDefault="003F4CDE" w:rsidP="003F4CDE">
      <w:pPr>
        <w:ind w:left="1440"/>
        <w:rPr>
          <w:sz w:val="24"/>
          <w:szCs w:val="24"/>
        </w:rPr>
      </w:pPr>
    </w:p>
    <w:p w:rsidR="00F377D5" w:rsidRPr="009779CF" w:rsidRDefault="00F377D5" w:rsidP="005C4F0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779CF">
        <w:rPr>
          <w:sz w:val="24"/>
          <w:szCs w:val="24"/>
        </w:rPr>
        <w:t>Pendency of a prior proceeding or agreement for alternative dispute resolution.</w:t>
      </w:r>
    </w:p>
    <w:p w:rsidR="00F377D5" w:rsidRPr="009779CF" w:rsidRDefault="001A5CC5" w:rsidP="00F377D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52 </w:t>
      </w:r>
      <w:proofErr w:type="spellStart"/>
      <w:r>
        <w:rPr>
          <w:sz w:val="24"/>
          <w:szCs w:val="24"/>
        </w:rPr>
        <w:t>Pa.</w:t>
      </w:r>
      <w:r w:rsidR="00F377D5" w:rsidRPr="009779CF">
        <w:rPr>
          <w:sz w:val="24"/>
          <w:szCs w:val="24"/>
        </w:rPr>
        <w:t>Code</w:t>
      </w:r>
      <w:proofErr w:type="spellEnd"/>
      <w:r w:rsidR="00F377D5" w:rsidRPr="009779CF">
        <w:rPr>
          <w:sz w:val="24"/>
          <w:szCs w:val="24"/>
        </w:rPr>
        <w:t xml:space="preserve"> §</w:t>
      </w:r>
      <w:r>
        <w:rPr>
          <w:sz w:val="24"/>
          <w:szCs w:val="24"/>
        </w:rPr>
        <w:t xml:space="preserve"> </w:t>
      </w:r>
      <w:r w:rsidR="00F377D5" w:rsidRPr="009779CF">
        <w:rPr>
          <w:sz w:val="24"/>
          <w:szCs w:val="24"/>
        </w:rPr>
        <w:t>5.101(a).</w:t>
      </w:r>
      <w:proofErr w:type="gramEnd"/>
    </w:p>
    <w:p w:rsidR="00F377D5" w:rsidRPr="009779CF" w:rsidRDefault="00F377D5" w:rsidP="00F377D5">
      <w:pPr>
        <w:spacing w:line="360" w:lineRule="auto"/>
        <w:rPr>
          <w:sz w:val="24"/>
          <w:szCs w:val="24"/>
        </w:rPr>
      </w:pPr>
    </w:p>
    <w:p w:rsidR="00F377D5" w:rsidRDefault="00F377D5" w:rsidP="009779CF">
      <w:pPr>
        <w:spacing w:line="360" w:lineRule="auto"/>
        <w:rPr>
          <w:sz w:val="24"/>
          <w:szCs w:val="24"/>
        </w:rPr>
      </w:pPr>
      <w:r w:rsidRPr="009779CF">
        <w:rPr>
          <w:sz w:val="24"/>
          <w:szCs w:val="24"/>
        </w:rPr>
        <w:lastRenderedPageBreak/>
        <w:tab/>
      </w:r>
      <w:r w:rsidRPr="009779CF">
        <w:rPr>
          <w:sz w:val="24"/>
          <w:szCs w:val="24"/>
        </w:rPr>
        <w:tab/>
        <w:t xml:space="preserve">The party against whom </w:t>
      </w:r>
      <w:r w:rsidR="00522D80" w:rsidRPr="009779CF">
        <w:rPr>
          <w:sz w:val="24"/>
          <w:szCs w:val="24"/>
        </w:rPr>
        <w:t>preliminary objection</w:t>
      </w:r>
      <w:r w:rsidR="005D1DC4">
        <w:rPr>
          <w:sz w:val="24"/>
          <w:szCs w:val="24"/>
        </w:rPr>
        <w:t>s are</w:t>
      </w:r>
      <w:r w:rsidRPr="009779CF">
        <w:rPr>
          <w:sz w:val="24"/>
          <w:szCs w:val="24"/>
        </w:rPr>
        <w:t xml:space="preserve"> filed may file an answ</w:t>
      </w:r>
      <w:r w:rsidR="00522D80" w:rsidRPr="009779CF">
        <w:rPr>
          <w:sz w:val="24"/>
          <w:szCs w:val="24"/>
        </w:rPr>
        <w:t>er to the objection</w:t>
      </w:r>
      <w:r w:rsidR="005D1DC4">
        <w:rPr>
          <w:sz w:val="24"/>
          <w:szCs w:val="24"/>
        </w:rPr>
        <w:t>s</w:t>
      </w:r>
      <w:r w:rsidRPr="009779CF">
        <w:rPr>
          <w:sz w:val="24"/>
          <w:szCs w:val="24"/>
        </w:rPr>
        <w:t xml:space="preserve"> but the answer must be filed within ten days of the date </w:t>
      </w:r>
      <w:r w:rsidR="00CE6F44">
        <w:rPr>
          <w:sz w:val="24"/>
          <w:szCs w:val="24"/>
        </w:rPr>
        <w:t>the preliminary objections are served</w:t>
      </w:r>
      <w:r w:rsidRPr="009779CF">
        <w:rPr>
          <w:sz w:val="24"/>
          <w:szCs w:val="24"/>
        </w:rPr>
        <w:t xml:space="preserve">.  52 </w:t>
      </w:r>
      <w:proofErr w:type="spellStart"/>
      <w:r w:rsidR="001A5CC5">
        <w:rPr>
          <w:sz w:val="24"/>
          <w:szCs w:val="24"/>
        </w:rPr>
        <w:t>Pa.</w:t>
      </w:r>
      <w:r w:rsidRPr="009779CF">
        <w:rPr>
          <w:sz w:val="24"/>
          <w:szCs w:val="24"/>
        </w:rPr>
        <w:t>Code</w:t>
      </w:r>
      <w:proofErr w:type="spellEnd"/>
      <w:r w:rsidRPr="009779CF">
        <w:rPr>
          <w:sz w:val="24"/>
          <w:szCs w:val="24"/>
        </w:rPr>
        <w:t xml:space="preserve"> §</w:t>
      </w:r>
      <w:r w:rsidR="001A5CC5">
        <w:rPr>
          <w:sz w:val="24"/>
          <w:szCs w:val="24"/>
        </w:rPr>
        <w:t xml:space="preserve"> </w:t>
      </w:r>
      <w:r w:rsidRPr="009779CF">
        <w:rPr>
          <w:sz w:val="24"/>
          <w:szCs w:val="24"/>
        </w:rPr>
        <w:t>5.101(f</w:t>
      </w:r>
      <w:proofErr w:type="gramStart"/>
      <w:r w:rsidRPr="009779CF">
        <w:rPr>
          <w:sz w:val="24"/>
          <w:szCs w:val="24"/>
        </w:rPr>
        <w:t>)(</w:t>
      </w:r>
      <w:proofErr w:type="gramEnd"/>
      <w:r w:rsidRPr="009779CF">
        <w:rPr>
          <w:sz w:val="24"/>
          <w:szCs w:val="24"/>
        </w:rPr>
        <w:t>1).</w:t>
      </w:r>
      <w:r w:rsidR="00AD1C1C" w:rsidRPr="009779CF">
        <w:rPr>
          <w:sz w:val="24"/>
          <w:szCs w:val="24"/>
        </w:rPr>
        <w:t xml:space="preserve">  </w:t>
      </w:r>
    </w:p>
    <w:p w:rsidR="009779CF" w:rsidRPr="009779CF" w:rsidRDefault="009779CF" w:rsidP="00C255D6">
      <w:pPr>
        <w:spacing w:line="360" w:lineRule="auto"/>
        <w:rPr>
          <w:sz w:val="24"/>
          <w:szCs w:val="24"/>
        </w:rPr>
      </w:pP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</w:p>
    <w:p w:rsidR="00CE6F44" w:rsidRDefault="009779CF" w:rsidP="00C255D6">
      <w:pPr>
        <w:spacing w:line="360" w:lineRule="auto"/>
        <w:rPr>
          <w:sz w:val="24"/>
          <w:szCs w:val="24"/>
        </w:rPr>
      </w:pP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  <w:t>In deciding preliminary objections, the Commission must determine whether, based on well-pleaded factual averments of the petitioners, recovery or relief is possible.</w:t>
      </w:r>
      <w:r w:rsidRPr="009779CF">
        <w:rPr>
          <w:rStyle w:val="FootnoteReference"/>
          <w:sz w:val="24"/>
          <w:szCs w:val="24"/>
        </w:rPr>
        <w:footnoteReference w:id="1"/>
      </w:r>
      <w:r w:rsidRPr="009779CF">
        <w:rPr>
          <w:sz w:val="24"/>
          <w:szCs w:val="24"/>
        </w:rPr>
        <w:t xml:space="preserve">  Any doubt must be resolved in</w:t>
      </w:r>
      <w:r w:rsidR="00CE6F44">
        <w:rPr>
          <w:sz w:val="24"/>
          <w:szCs w:val="24"/>
        </w:rPr>
        <w:t xml:space="preserve"> favor of the non-moving party</w:t>
      </w:r>
      <w:r w:rsidR="00FD66D1">
        <w:rPr>
          <w:sz w:val="24"/>
          <w:szCs w:val="24"/>
        </w:rPr>
        <w:t>,</w:t>
      </w:r>
      <w:r w:rsidR="00CE6F44">
        <w:rPr>
          <w:sz w:val="24"/>
          <w:szCs w:val="24"/>
        </w:rPr>
        <w:t xml:space="preserve"> and</w:t>
      </w:r>
      <w:r w:rsidR="00FD66D1">
        <w:rPr>
          <w:sz w:val="24"/>
          <w:szCs w:val="24"/>
        </w:rPr>
        <w:t xml:space="preserve"> if there is doubt,</w:t>
      </w:r>
      <w:r w:rsidR="00CE6F44">
        <w:rPr>
          <w:sz w:val="24"/>
          <w:szCs w:val="24"/>
        </w:rPr>
        <w:t xml:space="preserve"> the tribunal must refuse</w:t>
      </w:r>
      <w:r w:rsidRPr="009779CF">
        <w:rPr>
          <w:sz w:val="24"/>
          <w:szCs w:val="24"/>
        </w:rPr>
        <w:t xml:space="preserve"> to sustain the preliminary objections.</w:t>
      </w:r>
      <w:r w:rsidRPr="009779CF">
        <w:rPr>
          <w:rStyle w:val="FootnoteReference"/>
          <w:sz w:val="24"/>
          <w:szCs w:val="24"/>
        </w:rPr>
        <w:footnoteReference w:id="2"/>
      </w:r>
      <w:r w:rsidRPr="009779CF">
        <w:rPr>
          <w:sz w:val="24"/>
          <w:szCs w:val="24"/>
        </w:rPr>
        <w:t xml:space="preserve">  All of the non-moving party’s averments in the complaint must be viewed as true for purposes of deciding the preliminary objections, and only those facts specifically admitted may be considered against the non-moving party.</w:t>
      </w:r>
      <w:r w:rsidRPr="009779CF">
        <w:rPr>
          <w:rStyle w:val="FootnoteReference"/>
          <w:sz w:val="24"/>
          <w:szCs w:val="24"/>
        </w:rPr>
        <w:footnoteReference w:id="3"/>
      </w:r>
      <w:r w:rsidR="002B70F3">
        <w:rPr>
          <w:sz w:val="24"/>
          <w:szCs w:val="24"/>
        </w:rPr>
        <w:t xml:space="preserve">  </w:t>
      </w:r>
      <w:r w:rsidRPr="009779CF">
        <w:rPr>
          <w:sz w:val="24"/>
          <w:szCs w:val="24"/>
        </w:rPr>
        <w:t xml:space="preserve">Thus, it is only facts in the complaint which can be presumed to be true in order to determine whether recovery is possible.  </w:t>
      </w:r>
    </w:p>
    <w:p w:rsidR="00CE6F44" w:rsidRDefault="00CE6F44" w:rsidP="00C255D6">
      <w:pPr>
        <w:spacing w:line="360" w:lineRule="auto"/>
        <w:rPr>
          <w:sz w:val="24"/>
          <w:szCs w:val="24"/>
        </w:rPr>
      </w:pPr>
    </w:p>
    <w:p w:rsidR="00570E75" w:rsidRDefault="009779CF" w:rsidP="00CE6F44">
      <w:pPr>
        <w:spacing w:line="360" w:lineRule="auto"/>
        <w:ind w:firstLine="1440"/>
        <w:rPr>
          <w:sz w:val="24"/>
          <w:szCs w:val="24"/>
        </w:rPr>
      </w:pPr>
      <w:r w:rsidRPr="009779CF">
        <w:rPr>
          <w:sz w:val="24"/>
          <w:szCs w:val="24"/>
        </w:rPr>
        <w:t xml:space="preserve">The allegation in </w:t>
      </w:r>
      <w:r w:rsidR="00586348">
        <w:rPr>
          <w:sz w:val="24"/>
          <w:szCs w:val="24"/>
        </w:rPr>
        <w:t xml:space="preserve">Mr. </w:t>
      </w:r>
      <w:r w:rsidR="00CE6F44">
        <w:rPr>
          <w:sz w:val="24"/>
          <w:szCs w:val="24"/>
        </w:rPr>
        <w:t>Egan’s</w:t>
      </w:r>
      <w:r w:rsidRPr="009779CF">
        <w:rPr>
          <w:sz w:val="24"/>
          <w:szCs w:val="24"/>
        </w:rPr>
        <w:t xml:space="preserve"> complaint is </w:t>
      </w:r>
      <w:r w:rsidR="00CE6F44">
        <w:rPr>
          <w:sz w:val="24"/>
          <w:szCs w:val="24"/>
        </w:rPr>
        <w:t xml:space="preserve">PECO promised to credit his account with $30 monthly from June 2012 through September 2012 in exchange for his permission to shut down the air conditioning unit during peak usage, however, PECO </w:t>
      </w:r>
      <w:r w:rsidR="00CE6F44">
        <w:rPr>
          <w:sz w:val="24"/>
        </w:rPr>
        <w:t>reduced the credit to $20 after an annual review of the program</w:t>
      </w:r>
      <w:r w:rsidRPr="009779CF">
        <w:rPr>
          <w:sz w:val="24"/>
          <w:szCs w:val="24"/>
        </w:rPr>
        <w:t>.</w:t>
      </w:r>
      <w:r w:rsidR="00CE6F44">
        <w:rPr>
          <w:sz w:val="24"/>
          <w:szCs w:val="24"/>
        </w:rPr>
        <w:t xml:space="preserve">  </w:t>
      </w:r>
      <w:r w:rsidR="00E36020">
        <w:rPr>
          <w:sz w:val="24"/>
          <w:szCs w:val="24"/>
        </w:rPr>
        <w:t>PECO</w:t>
      </w:r>
      <w:r w:rsidRPr="009779CF">
        <w:rPr>
          <w:sz w:val="24"/>
          <w:szCs w:val="24"/>
        </w:rPr>
        <w:t xml:space="preserve"> contends </w:t>
      </w:r>
      <w:r w:rsidR="00E36020">
        <w:rPr>
          <w:sz w:val="24"/>
          <w:szCs w:val="24"/>
        </w:rPr>
        <w:t xml:space="preserve">the Commission approved the reduction in the credit amount </w:t>
      </w:r>
      <w:r w:rsidR="00CE6F44">
        <w:rPr>
          <w:sz w:val="24"/>
          <w:szCs w:val="24"/>
        </w:rPr>
        <w:t xml:space="preserve">on May 9, 2013 in PECO’s </w:t>
      </w:r>
      <w:r w:rsidR="00757F8D">
        <w:rPr>
          <w:sz w:val="24"/>
          <w:szCs w:val="24"/>
        </w:rPr>
        <w:t xml:space="preserve">Act 129 Energy Efficiency &amp; Conservation Program </w:t>
      </w:r>
      <w:r w:rsidR="00CE6F44">
        <w:rPr>
          <w:sz w:val="24"/>
          <w:szCs w:val="24"/>
        </w:rPr>
        <w:t xml:space="preserve">Phase II proceeding at Docket No. </w:t>
      </w:r>
      <w:proofErr w:type="gramStart"/>
      <w:r w:rsidR="00CE6F44">
        <w:rPr>
          <w:sz w:val="24"/>
          <w:szCs w:val="24"/>
        </w:rPr>
        <w:t>M-2012-2333992.</w:t>
      </w:r>
      <w:proofErr w:type="gramEnd"/>
      <w:r w:rsidR="00CE6F44">
        <w:rPr>
          <w:sz w:val="24"/>
          <w:szCs w:val="24"/>
        </w:rPr>
        <w:t xml:space="preserve">  PECO avers </w:t>
      </w:r>
      <w:r w:rsidR="00A24160">
        <w:rPr>
          <w:sz w:val="24"/>
          <w:szCs w:val="24"/>
        </w:rPr>
        <w:t>Complainant now attempts to question and change</w:t>
      </w:r>
      <w:r w:rsidR="00CE6F44">
        <w:rPr>
          <w:sz w:val="24"/>
          <w:szCs w:val="24"/>
        </w:rPr>
        <w:t xml:space="preserve"> the final result from that Commission action</w:t>
      </w:r>
      <w:r w:rsidR="00A24160">
        <w:rPr>
          <w:sz w:val="24"/>
          <w:szCs w:val="24"/>
        </w:rPr>
        <w:t>.  PECO insist</w:t>
      </w:r>
      <w:r w:rsidR="00CE6F44">
        <w:rPr>
          <w:sz w:val="24"/>
          <w:szCs w:val="24"/>
        </w:rPr>
        <w:t>s</w:t>
      </w:r>
      <w:r w:rsidR="00A24160">
        <w:rPr>
          <w:sz w:val="24"/>
          <w:szCs w:val="24"/>
        </w:rPr>
        <w:t xml:space="preserve"> it </w:t>
      </w:r>
      <w:r w:rsidR="00E36020">
        <w:rPr>
          <w:sz w:val="24"/>
          <w:szCs w:val="24"/>
        </w:rPr>
        <w:t xml:space="preserve">is precluded from paying a higher credit amount </w:t>
      </w:r>
      <w:r w:rsidR="00CE6F44">
        <w:rPr>
          <w:sz w:val="24"/>
          <w:szCs w:val="24"/>
        </w:rPr>
        <w:t xml:space="preserve">(i.e., $30) </w:t>
      </w:r>
      <w:r w:rsidR="00E36020">
        <w:rPr>
          <w:sz w:val="24"/>
          <w:szCs w:val="24"/>
        </w:rPr>
        <w:t>to Complainant</w:t>
      </w:r>
      <w:r w:rsidR="00A24160">
        <w:rPr>
          <w:sz w:val="24"/>
          <w:szCs w:val="24"/>
        </w:rPr>
        <w:t xml:space="preserve"> because the </w:t>
      </w:r>
      <w:r w:rsidR="00CE6F44">
        <w:rPr>
          <w:sz w:val="24"/>
          <w:szCs w:val="24"/>
        </w:rPr>
        <w:t xml:space="preserve">current </w:t>
      </w:r>
      <w:r w:rsidR="00A24160">
        <w:rPr>
          <w:sz w:val="24"/>
          <w:szCs w:val="24"/>
        </w:rPr>
        <w:t xml:space="preserve">credit amount </w:t>
      </w:r>
      <w:r w:rsidR="00CE6F44">
        <w:rPr>
          <w:sz w:val="24"/>
          <w:szCs w:val="24"/>
        </w:rPr>
        <w:t xml:space="preserve">(i.e., $20) </w:t>
      </w:r>
      <w:r w:rsidR="00A24160">
        <w:rPr>
          <w:sz w:val="24"/>
          <w:szCs w:val="24"/>
        </w:rPr>
        <w:t>is a Commission-approved amount from which PECO is not permitted to deviate</w:t>
      </w:r>
      <w:r w:rsidR="00E36020">
        <w:rPr>
          <w:sz w:val="24"/>
          <w:szCs w:val="24"/>
        </w:rPr>
        <w:t xml:space="preserve">.  PECO points out </w:t>
      </w:r>
      <w:r w:rsidR="00586348">
        <w:rPr>
          <w:sz w:val="24"/>
          <w:szCs w:val="24"/>
        </w:rPr>
        <w:t>Complainant</w:t>
      </w:r>
      <w:r w:rsidRPr="009779CF">
        <w:rPr>
          <w:sz w:val="24"/>
          <w:szCs w:val="24"/>
        </w:rPr>
        <w:t xml:space="preserve"> cannot prevail in </w:t>
      </w:r>
      <w:r w:rsidR="00570E75">
        <w:rPr>
          <w:sz w:val="24"/>
          <w:szCs w:val="24"/>
        </w:rPr>
        <w:t>his</w:t>
      </w:r>
      <w:r w:rsidRPr="009779CF">
        <w:rPr>
          <w:sz w:val="24"/>
          <w:szCs w:val="24"/>
        </w:rPr>
        <w:t xml:space="preserve"> complaint</w:t>
      </w:r>
      <w:r w:rsidR="00570E75">
        <w:rPr>
          <w:sz w:val="24"/>
          <w:szCs w:val="24"/>
        </w:rPr>
        <w:t xml:space="preserve"> </w:t>
      </w:r>
      <w:r w:rsidR="00E36020">
        <w:rPr>
          <w:sz w:val="24"/>
          <w:szCs w:val="24"/>
        </w:rPr>
        <w:t xml:space="preserve">herein due to the binding effect of the Commission’s Order in the Phase II proceeding.  </w:t>
      </w:r>
      <w:r w:rsidRPr="009779CF">
        <w:rPr>
          <w:sz w:val="24"/>
          <w:szCs w:val="24"/>
        </w:rPr>
        <w:t xml:space="preserve">  </w:t>
      </w:r>
    </w:p>
    <w:p w:rsidR="00570E75" w:rsidRDefault="00570E75" w:rsidP="00C255D6">
      <w:pPr>
        <w:spacing w:line="360" w:lineRule="auto"/>
        <w:rPr>
          <w:sz w:val="24"/>
          <w:szCs w:val="24"/>
        </w:rPr>
      </w:pPr>
    </w:p>
    <w:p w:rsidR="00674189" w:rsidRDefault="00E36020" w:rsidP="00674189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PECO’s</w:t>
      </w:r>
      <w:r w:rsidR="00570E75">
        <w:rPr>
          <w:sz w:val="24"/>
          <w:szCs w:val="24"/>
        </w:rPr>
        <w:t xml:space="preserve"> contention is correct:</w:t>
      </w:r>
      <w:r w:rsidR="00C101A4">
        <w:rPr>
          <w:sz w:val="24"/>
          <w:szCs w:val="24"/>
        </w:rPr>
        <w:t xml:space="preserve"> </w:t>
      </w:r>
      <w:r w:rsidR="00570E75">
        <w:rPr>
          <w:sz w:val="24"/>
          <w:szCs w:val="24"/>
        </w:rPr>
        <w:t xml:space="preserve"> </w:t>
      </w:r>
      <w:r w:rsidR="00CE6F44">
        <w:rPr>
          <w:sz w:val="24"/>
          <w:szCs w:val="24"/>
        </w:rPr>
        <w:t xml:space="preserve">a </w:t>
      </w:r>
      <w:r>
        <w:rPr>
          <w:sz w:val="24"/>
          <w:szCs w:val="24"/>
        </w:rPr>
        <w:t>Commission-approved tariff</w:t>
      </w:r>
      <w:r w:rsidR="00CE6F44">
        <w:rPr>
          <w:sz w:val="24"/>
          <w:szCs w:val="24"/>
        </w:rPr>
        <w:t xml:space="preserve"> </w:t>
      </w:r>
      <w:r>
        <w:rPr>
          <w:sz w:val="24"/>
          <w:szCs w:val="24"/>
        </w:rPr>
        <w:t>which include</w:t>
      </w:r>
      <w:r w:rsidR="00CE6F44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CE6F4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provision </w:t>
      </w:r>
      <w:r w:rsidR="00CE6F44">
        <w:rPr>
          <w:sz w:val="24"/>
          <w:szCs w:val="24"/>
        </w:rPr>
        <w:t>to</w:t>
      </w:r>
      <w:r>
        <w:rPr>
          <w:sz w:val="24"/>
          <w:szCs w:val="24"/>
        </w:rPr>
        <w:t xml:space="preserve"> provide credits to ratepayers’ accounts</w:t>
      </w:r>
      <w:r w:rsidR="00CE6F44">
        <w:rPr>
          <w:sz w:val="24"/>
          <w:szCs w:val="24"/>
        </w:rPr>
        <w:t xml:space="preserve"> has</w:t>
      </w:r>
      <w:r w:rsidR="009779CF" w:rsidRPr="009779CF">
        <w:rPr>
          <w:sz w:val="24"/>
          <w:szCs w:val="24"/>
        </w:rPr>
        <w:t xml:space="preserve"> the force of law</w:t>
      </w:r>
      <w:r w:rsidR="00570E75">
        <w:rPr>
          <w:sz w:val="24"/>
          <w:szCs w:val="24"/>
        </w:rPr>
        <w:t>.  C</w:t>
      </w:r>
      <w:r w:rsidR="009779CF" w:rsidRPr="009779CF">
        <w:rPr>
          <w:sz w:val="24"/>
          <w:szCs w:val="24"/>
        </w:rPr>
        <w:t xml:space="preserve">omplainant </w:t>
      </w:r>
      <w:r>
        <w:rPr>
          <w:sz w:val="24"/>
          <w:szCs w:val="24"/>
          <w:u w:val="single"/>
        </w:rPr>
        <w:t>cannot</w:t>
      </w:r>
      <w:r w:rsidR="009779CF" w:rsidRPr="009779CF">
        <w:rPr>
          <w:sz w:val="24"/>
          <w:szCs w:val="24"/>
        </w:rPr>
        <w:t xml:space="preserve"> </w:t>
      </w:r>
      <w:r w:rsidR="00CE6F44">
        <w:rPr>
          <w:sz w:val="24"/>
          <w:szCs w:val="24"/>
        </w:rPr>
        <w:lastRenderedPageBreak/>
        <w:t>avoid</w:t>
      </w:r>
      <w:r w:rsidR="009779CF" w:rsidRPr="009779CF">
        <w:rPr>
          <w:sz w:val="24"/>
          <w:szCs w:val="24"/>
        </w:rPr>
        <w:t xml:space="preserve"> the effect of </w:t>
      </w:r>
      <w:r w:rsidR="00570E75">
        <w:rPr>
          <w:sz w:val="24"/>
          <w:szCs w:val="24"/>
        </w:rPr>
        <w:t xml:space="preserve">an </w:t>
      </w:r>
      <w:r w:rsidR="009779CF" w:rsidRPr="009779CF">
        <w:rPr>
          <w:sz w:val="24"/>
          <w:szCs w:val="24"/>
        </w:rPr>
        <w:t xml:space="preserve">existing tariff </w:t>
      </w:r>
      <w:r w:rsidR="00CE6F44">
        <w:rPr>
          <w:sz w:val="24"/>
          <w:szCs w:val="24"/>
        </w:rPr>
        <w:t xml:space="preserve">by arguing for a higher credit amount </w:t>
      </w:r>
      <w:r w:rsidR="00CE6F44" w:rsidRPr="00CE6F44">
        <w:rPr>
          <w:sz w:val="24"/>
          <w:szCs w:val="24"/>
          <w:u w:val="single"/>
        </w:rPr>
        <w:t>after</w:t>
      </w:r>
      <w:r w:rsidR="00CE6F44">
        <w:rPr>
          <w:sz w:val="24"/>
          <w:szCs w:val="24"/>
        </w:rPr>
        <w:t xml:space="preserve"> the Commission conclude</w:t>
      </w:r>
      <w:r w:rsidR="00446740">
        <w:rPr>
          <w:sz w:val="24"/>
          <w:szCs w:val="24"/>
        </w:rPr>
        <w:t>d</w:t>
      </w:r>
      <w:r w:rsidR="00CE6F44">
        <w:rPr>
          <w:sz w:val="24"/>
          <w:szCs w:val="24"/>
        </w:rPr>
        <w:t xml:space="preserve"> the Phase II proceeding.  The time to argue against the credit level was </w:t>
      </w:r>
      <w:r w:rsidR="00CE6F44" w:rsidRPr="00A800AC">
        <w:rPr>
          <w:sz w:val="24"/>
          <w:szCs w:val="24"/>
          <w:u w:val="single"/>
        </w:rPr>
        <w:t>during</w:t>
      </w:r>
      <w:r w:rsidR="00CE6F44">
        <w:rPr>
          <w:sz w:val="24"/>
          <w:szCs w:val="24"/>
        </w:rPr>
        <w:t xml:space="preserve"> the Phase II</w:t>
      </w:r>
      <w:r w:rsidR="0079402D">
        <w:rPr>
          <w:sz w:val="24"/>
          <w:szCs w:val="24"/>
        </w:rPr>
        <w:t xml:space="preserve"> proc</w:t>
      </w:r>
      <w:bookmarkStart w:id="0" w:name="_GoBack"/>
      <w:bookmarkEnd w:id="0"/>
      <w:r w:rsidR="0079402D">
        <w:rPr>
          <w:sz w:val="24"/>
          <w:szCs w:val="24"/>
        </w:rPr>
        <w:t>eeding</w:t>
      </w:r>
      <w:r w:rsidR="00CE6F44">
        <w:rPr>
          <w:sz w:val="24"/>
          <w:szCs w:val="24"/>
        </w:rPr>
        <w:t>, not after</w:t>
      </w:r>
      <w:r w:rsidR="00A800AC">
        <w:rPr>
          <w:sz w:val="24"/>
          <w:szCs w:val="24"/>
        </w:rPr>
        <w:t xml:space="preserve"> the Commission concluded the matter</w:t>
      </w:r>
      <w:r w:rsidR="00CE6F44">
        <w:rPr>
          <w:sz w:val="24"/>
          <w:szCs w:val="24"/>
        </w:rPr>
        <w:t xml:space="preserve">.  </w:t>
      </w:r>
    </w:p>
    <w:p w:rsidR="00674189" w:rsidRDefault="00674189" w:rsidP="00674189">
      <w:pPr>
        <w:spacing w:line="360" w:lineRule="auto"/>
        <w:ind w:firstLine="1440"/>
        <w:rPr>
          <w:sz w:val="24"/>
          <w:szCs w:val="24"/>
        </w:rPr>
      </w:pPr>
    </w:p>
    <w:p w:rsidR="00674189" w:rsidRPr="00746858" w:rsidRDefault="00CE6F44" w:rsidP="00674189">
      <w:pPr>
        <w:spacing w:line="360" w:lineRule="auto"/>
        <w:ind w:firstLine="1440"/>
        <w:rPr>
          <w:snapToGrid w:val="0"/>
          <w:sz w:val="24"/>
          <w:szCs w:val="24"/>
        </w:rPr>
      </w:pPr>
      <w:r>
        <w:rPr>
          <w:sz w:val="24"/>
          <w:szCs w:val="24"/>
        </w:rPr>
        <w:t>Tar</w:t>
      </w:r>
      <w:r w:rsidR="009779CF" w:rsidRPr="009779CF">
        <w:rPr>
          <w:sz w:val="24"/>
          <w:szCs w:val="24"/>
        </w:rPr>
        <w:t>iff provisions previously approved by the Commission are prima facie reasonable</w:t>
      </w:r>
      <w:r w:rsidR="001A5CC5">
        <w:rPr>
          <w:sz w:val="24"/>
          <w:szCs w:val="24"/>
        </w:rPr>
        <w:t>.</w:t>
      </w:r>
      <w:r w:rsidR="00CB6C31">
        <w:rPr>
          <w:rStyle w:val="FootnoteReference"/>
          <w:sz w:val="24"/>
          <w:szCs w:val="24"/>
        </w:rPr>
        <w:footnoteReference w:id="4"/>
      </w:r>
      <w:r w:rsidR="001A5CC5">
        <w:rPr>
          <w:sz w:val="24"/>
          <w:szCs w:val="24"/>
        </w:rPr>
        <w:t xml:space="preserve">  </w:t>
      </w:r>
      <w:r w:rsidR="00674189">
        <w:rPr>
          <w:snapToGrid w:val="0"/>
          <w:sz w:val="24"/>
          <w:szCs w:val="24"/>
        </w:rPr>
        <w:t xml:space="preserve">Under </w:t>
      </w:r>
      <w:r w:rsidR="00674189" w:rsidRPr="00746858">
        <w:rPr>
          <w:snapToGrid w:val="0"/>
          <w:sz w:val="24"/>
          <w:szCs w:val="24"/>
        </w:rPr>
        <w:t>the doctrine of collateral estoppel</w:t>
      </w:r>
      <w:r w:rsidR="00674189">
        <w:rPr>
          <w:snapToGrid w:val="0"/>
          <w:sz w:val="24"/>
          <w:szCs w:val="24"/>
        </w:rPr>
        <w:t xml:space="preserve">, courts </w:t>
      </w:r>
      <w:r w:rsidR="00674189" w:rsidRPr="00746858">
        <w:rPr>
          <w:snapToGrid w:val="0"/>
          <w:sz w:val="24"/>
          <w:szCs w:val="24"/>
        </w:rPr>
        <w:t xml:space="preserve">prevent a question of law or an issue of fact </w:t>
      </w:r>
      <w:r w:rsidR="00674189">
        <w:rPr>
          <w:snapToGrid w:val="0"/>
          <w:sz w:val="24"/>
          <w:szCs w:val="24"/>
        </w:rPr>
        <w:t xml:space="preserve">from being re-litigated if the issue already was </w:t>
      </w:r>
      <w:r w:rsidR="00674189" w:rsidRPr="00746858">
        <w:rPr>
          <w:snapToGrid w:val="0"/>
          <w:sz w:val="24"/>
          <w:szCs w:val="24"/>
        </w:rPr>
        <w:t xml:space="preserve">litigated </w:t>
      </w:r>
      <w:r w:rsidR="00674189">
        <w:rPr>
          <w:snapToGrid w:val="0"/>
          <w:sz w:val="24"/>
          <w:szCs w:val="24"/>
        </w:rPr>
        <w:t xml:space="preserve">once </w:t>
      </w:r>
      <w:r w:rsidR="00674189" w:rsidRPr="00746858">
        <w:rPr>
          <w:snapToGrid w:val="0"/>
          <w:sz w:val="24"/>
          <w:szCs w:val="24"/>
        </w:rPr>
        <w:t>and adjudicated finally in a court of competent jurisdiction.</w:t>
      </w:r>
      <w:r w:rsidR="00674189">
        <w:rPr>
          <w:rStyle w:val="FootnoteReference"/>
          <w:snapToGrid w:val="0"/>
          <w:sz w:val="24"/>
          <w:szCs w:val="24"/>
        </w:rPr>
        <w:footnoteReference w:id="5"/>
      </w:r>
      <w:r w:rsidR="00674189" w:rsidRPr="00746858">
        <w:rPr>
          <w:snapToGrid w:val="0"/>
          <w:sz w:val="24"/>
          <w:szCs w:val="24"/>
        </w:rPr>
        <w:t xml:space="preserve">  Collateral estoppel is a doctrine of issue preclusion that seeks to prevent the re</w:t>
      </w:r>
      <w:r w:rsidR="00674189">
        <w:rPr>
          <w:snapToGrid w:val="0"/>
          <w:sz w:val="24"/>
          <w:szCs w:val="24"/>
        </w:rPr>
        <w:t>-</w:t>
      </w:r>
      <w:r w:rsidR="00674189" w:rsidRPr="00746858">
        <w:rPr>
          <w:snapToGrid w:val="0"/>
          <w:sz w:val="24"/>
          <w:szCs w:val="24"/>
        </w:rPr>
        <w:t>litigation of a finally litigated issue in a subsequent proceeding between the same parties.</w:t>
      </w:r>
      <w:r w:rsidR="00674189">
        <w:rPr>
          <w:rStyle w:val="FootnoteReference"/>
          <w:snapToGrid w:val="0"/>
          <w:sz w:val="24"/>
          <w:szCs w:val="24"/>
        </w:rPr>
        <w:footnoteReference w:id="6"/>
      </w:r>
      <w:r w:rsidR="00674189" w:rsidRPr="00746858">
        <w:rPr>
          <w:snapToGrid w:val="0"/>
          <w:sz w:val="24"/>
          <w:szCs w:val="24"/>
        </w:rPr>
        <w:t xml:space="preserve">  </w:t>
      </w:r>
      <w:r w:rsidR="00674189">
        <w:rPr>
          <w:snapToGrid w:val="0"/>
          <w:sz w:val="24"/>
          <w:szCs w:val="24"/>
        </w:rPr>
        <w:t>Herein, Complainant attempts to question the Commission’s decision to allow PECO to reduce the amount of the credit.  To permit Complainant to proceed with his formal complaint now – when the matter was fully litigated previously and Mr. Egan had a full and fair opportunity to participate but chose not to do so – would violate the law’s instruction on collateral estoppel.</w:t>
      </w:r>
    </w:p>
    <w:p w:rsidR="009779CF" w:rsidRPr="009779CF" w:rsidRDefault="009779CF" w:rsidP="00674189">
      <w:pPr>
        <w:spacing w:line="360" w:lineRule="auto"/>
        <w:rPr>
          <w:sz w:val="24"/>
          <w:szCs w:val="24"/>
        </w:rPr>
      </w:pPr>
    </w:p>
    <w:p w:rsidR="009779CF" w:rsidRPr="009779CF" w:rsidRDefault="009779CF" w:rsidP="00674189">
      <w:pPr>
        <w:spacing w:line="360" w:lineRule="auto"/>
        <w:rPr>
          <w:sz w:val="24"/>
          <w:szCs w:val="24"/>
        </w:rPr>
      </w:pP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  <w:t xml:space="preserve">In sum, </w:t>
      </w:r>
      <w:r w:rsidR="00674189">
        <w:rPr>
          <w:sz w:val="24"/>
          <w:szCs w:val="24"/>
        </w:rPr>
        <w:t>i</w:t>
      </w:r>
      <w:r w:rsidRPr="009779CF">
        <w:rPr>
          <w:sz w:val="24"/>
          <w:szCs w:val="24"/>
        </w:rPr>
        <w:t xml:space="preserve">t </w:t>
      </w:r>
      <w:r w:rsidR="00674189">
        <w:rPr>
          <w:sz w:val="24"/>
          <w:szCs w:val="24"/>
        </w:rPr>
        <w:t>is</w:t>
      </w:r>
      <w:r w:rsidRPr="009779CF">
        <w:rPr>
          <w:sz w:val="24"/>
          <w:szCs w:val="24"/>
        </w:rPr>
        <w:t xml:space="preserve"> not appropriate to </w:t>
      </w:r>
      <w:r w:rsidR="0054050B">
        <w:rPr>
          <w:sz w:val="24"/>
          <w:szCs w:val="24"/>
        </w:rPr>
        <w:t xml:space="preserve">permit Mr. Egan to </w:t>
      </w:r>
      <w:r w:rsidR="001A5CC5">
        <w:rPr>
          <w:sz w:val="24"/>
          <w:szCs w:val="24"/>
        </w:rPr>
        <w:t xml:space="preserve">pursue this </w:t>
      </w:r>
      <w:r w:rsidR="00144CC9">
        <w:rPr>
          <w:sz w:val="24"/>
          <w:szCs w:val="24"/>
        </w:rPr>
        <w:t xml:space="preserve">proceeding </w:t>
      </w:r>
      <w:r w:rsidR="001A5CC5">
        <w:rPr>
          <w:sz w:val="24"/>
          <w:szCs w:val="24"/>
        </w:rPr>
        <w:t xml:space="preserve">on an </w:t>
      </w:r>
      <w:r w:rsidR="0054050B">
        <w:rPr>
          <w:sz w:val="24"/>
          <w:szCs w:val="24"/>
        </w:rPr>
        <w:t xml:space="preserve">identical </w:t>
      </w:r>
      <w:r w:rsidR="001A5CC5">
        <w:rPr>
          <w:sz w:val="24"/>
          <w:szCs w:val="24"/>
        </w:rPr>
        <w:t xml:space="preserve">issue </w:t>
      </w:r>
      <w:r w:rsidR="0054050B">
        <w:rPr>
          <w:sz w:val="24"/>
          <w:szCs w:val="24"/>
        </w:rPr>
        <w:t>with</w:t>
      </w:r>
      <w:r w:rsidR="001A5CC5">
        <w:rPr>
          <w:sz w:val="24"/>
          <w:szCs w:val="24"/>
        </w:rPr>
        <w:t xml:space="preserve"> the issue contained within another Commission proceeding</w:t>
      </w:r>
      <w:r w:rsidR="0054050B">
        <w:rPr>
          <w:sz w:val="24"/>
          <w:szCs w:val="24"/>
        </w:rPr>
        <w:t xml:space="preserve"> and in which there has been a full, fair opportunity to participate</w:t>
      </w:r>
      <w:r w:rsidR="001A5CC5">
        <w:rPr>
          <w:sz w:val="24"/>
          <w:szCs w:val="24"/>
        </w:rPr>
        <w:t>.  To permit Complainant to re-litigate this matter is an unwise use of judicial time and resources</w:t>
      </w:r>
      <w:r w:rsidRPr="009779CF">
        <w:rPr>
          <w:sz w:val="24"/>
          <w:szCs w:val="24"/>
        </w:rPr>
        <w:t>.</w:t>
      </w:r>
    </w:p>
    <w:p w:rsidR="00E27ACF" w:rsidRDefault="00E27ACF" w:rsidP="00E27ACF">
      <w:pPr>
        <w:spacing w:line="360" w:lineRule="auto"/>
        <w:rPr>
          <w:sz w:val="24"/>
          <w:szCs w:val="24"/>
        </w:rPr>
      </w:pPr>
    </w:p>
    <w:p w:rsidR="00E27ACF" w:rsidRDefault="00E27ACF" w:rsidP="00E27AC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CONCLUSIONS OF LAW</w:t>
      </w:r>
    </w:p>
    <w:p w:rsidR="00E27ACF" w:rsidRDefault="00E27ACF" w:rsidP="00E27ACF">
      <w:pPr>
        <w:spacing w:line="360" w:lineRule="auto"/>
        <w:rPr>
          <w:sz w:val="24"/>
          <w:szCs w:val="24"/>
        </w:rPr>
      </w:pPr>
    </w:p>
    <w:p w:rsidR="00E27ACF" w:rsidRDefault="00E27ACF" w:rsidP="00A800AC">
      <w:pPr>
        <w:numPr>
          <w:ilvl w:val="0"/>
          <w:numId w:val="2"/>
        </w:numPr>
        <w:tabs>
          <w:tab w:val="clear" w:pos="2160"/>
          <w:tab w:val="num" w:pos="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Commission has jurisdiction over the parties </w:t>
      </w:r>
      <w:r w:rsidR="00A800AC">
        <w:rPr>
          <w:sz w:val="24"/>
          <w:szCs w:val="24"/>
        </w:rPr>
        <w:t xml:space="preserve">and subject matter </w:t>
      </w:r>
      <w:r>
        <w:rPr>
          <w:sz w:val="24"/>
          <w:szCs w:val="24"/>
        </w:rPr>
        <w:t>to this dispute.</w:t>
      </w:r>
      <w:r w:rsidR="00A800AC">
        <w:rPr>
          <w:sz w:val="24"/>
          <w:szCs w:val="24"/>
        </w:rPr>
        <w:t xml:space="preserve">  </w:t>
      </w:r>
      <w:proofErr w:type="gramStart"/>
      <w:r w:rsidR="00A800AC">
        <w:rPr>
          <w:sz w:val="24"/>
          <w:szCs w:val="24"/>
        </w:rPr>
        <w:t xml:space="preserve">66 </w:t>
      </w:r>
      <w:proofErr w:type="spellStart"/>
      <w:r w:rsidR="00A800AC">
        <w:rPr>
          <w:sz w:val="24"/>
          <w:szCs w:val="24"/>
        </w:rPr>
        <w:t>Pa.C.S.A</w:t>
      </w:r>
      <w:proofErr w:type="spellEnd"/>
      <w:r w:rsidR="00A800AC">
        <w:rPr>
          <w:sz w:val="24"/>
          <w:szCs w:val="24"/>
        </w:rPr>
        <w:t>.</w:t>
      </w:r>
      <w:proofErr w:type="gramEnd"/>
      <w:r w:rsidR="00A800AC">
        <w:rPr>
          <w:sz w:val="24"/>
          <w:szCs w:val="24"/>
        </w:rPr>
        <w:t xml:space="preserve"> § 701.</w:t>
      </w:r>
    </w:p>
    <w:p w:rsidR="00E27ACF" w:rsidRDefault="00E27ACF" w:rsidP="00E27ACF">
      <w:pPr>
        <w:spacing w:line="360" w:lineRule="auto"/>
        <w:rPr>
          <w:sz w:val="24"/>
          <w:szCs w:val="24"/>
        </w:rPr>
      </w:pPr>
    </w:p>
    <w:p w:rsidR="00E27ACF" w:rsidRDefault="00E27ACF" w:rsidP="00E27ACF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ab/>
      </w:r>
      <w:r w:rsidR="00A800AC">
        <w:rPr>
          <w:sz w:val="24"/>
          <w:szCs w:val="24"/>
        </w:rPr>
        <w:t>Complainant’s complaint fails to raise a claim that, if proven, would show Respondent failed to furnish adequate, efficient, safe and reasonable service and facilities, and upon which relief can be granted</w:t>
      </w:r>
      <w:r>
        <w:rPr>
          <w:sz w:val="24"/>
          <w:szCs w:val="24"/>
        </w:rPr>
        <w:t xml:space="preserve">.  </w:t>
      </w:r>
    </w:p>
    <w:p w:rsidR="00E27ACF" w:rsidRDefault="00E27ACF" w:rsidP="00E27ACF">
      <w:pPr>
        <w:spacing w:line="360" w:lineRule="auto"/>
        <w:ind w:firstLine="1440"/>
        <w:rPr>
          <w:sz w:val="24"/>
          <w:szCs w:val="24"/>
        </w:rPr>
      </w:pPr>
    </w:p>
    <w:p w:rsidR="00E27ACF" w:rsidRPr="0054050B" w:rsidRDefault="00E27ACF" w:rsidP="00E27ACF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54050B">
        <w:rPr>
          <w:sz w:val="24"/>
          <w:szCs w:val="24"/>
        </w:rPr>
        <w:t xml:space="preserve">Collateral estoppel precludes a litigant from re-litigating an issue which the tribunal adjudicated fully in another previous </w:t>
      </w:r>
      <w:r w:rsidR="0054050B" w:rsidRPr="0054050B">
        <w:rPr>
          <w:sz w:val="24"/>
          <w:szCs w:val="24"/>
        </w:rPr>
        <w:t xml:space="preserve">proceeding.  </w:t>
      </w:r>
      <w:proofErr w:type="gramStart"/>
      <w:r w:rsidR="0054050B" w:rsidRPr="0054050B">
        <w:rPr>
          <w:sz w:val="24"/>
          <w:szCs w:val="24"/>
          <w:u w:val="single"/>
        </w:rPr>
        <w:t xml:space="preserve">Day v. </w:t>
      </w:r>
      <w:proofErr w:type="spellStart"/>
      <w:r w:rsidR="0054050B" w:rsidRPr="0054050B">
        <w:rPr>
          <w:sz w:val="24"/>
          <w:szCs w:val="24"/>
          <w:u w:val="single"/>
        </w:rPr>
        <w:t>Volkswaqenwerk</w:t>
      </w:r>
      <w:proofErr w:type="spellEnd"/>
      <w:r w:rsidR="0054050B" w:rsidRPr="0054050B">
        <w:rPr>
          <w:sz w:val="24"/>
          <w:szCs w:val="24"/>
          <w:u w:val="single"/>
        </w:rPr>
        <w:t xml:space="preserve"> </w:t>
      </w:r>
      <w:proofErr w:type="spellStart"/>
      <w:r w:rsidR="0054050B" w:rsidRPr="0054050B">
        <w:rPr>
          <w:sz w:val="24"/>
          <w:szCs w:val="24"/>
          <w:u w:val="single"/>
        </w:rPr>
        <w:t>Aktiengesellschaft</w:t>
      </w:r>
      <w:proofErr w:type="spellEnd"/>
      <w:r w:rsidR="0054050B" w:rsidRPr="0054050B">
        <w:rPr>
          <w:sz w:val="24"/>
          <w:szCs w:val="24"/>
        </w:rPr>
        <w:t>, 318 Pa. S</w:t>
      </w:r>
      <w:r w:rsidR="0054050B">
        <w:rPr>
          <w:sz w:val="24"/>
          <w:szCs w:val="24"/>
        </w:rPr>
        <w:t>uper.</w:t>
      </w:r>
      <w:proofErr w:type="gramEnd"/>
      <w:r w:rsidR="0054050B">
        <w:rPr>
          <w:sz w:val="24"/>
          <w:szCs w:val="24"/>
        </w:rPr>
        <w:t xml:space="preserve"> 225, 464 A.2d 1313 </w:t>
      </w:r>
      <w:r w:rsidR="0054050B" w:rsidRPr="0054050B">
        <w:rPr>
          <w:sz w:val="24"/>
          <w:szCs w:val="24"/>
        </w:rPr>
        <w:t xml:space="preserve">(1983); </w:t>
      </w:r>
      <w:r w:rsidR="0054050B" w:rsidRPr="0054050B">
        <w:rPr>
          <w:sz w:val="24"/>
          <w:szCs w:val="24"/>
          <w:u w:val="single"/>
        </w:rPr>
        <w:t>O’Toole v. Bell Telephone Co. of Pa.</w:t>
      </w:r>
      <w:r w:rsidR="0054050B" w:rsidRPr="0054050B">
        <w:rPr>
          <w:sz w:val="24"/>
          <w:szCs w:val="24"/>
        </w:rPr>
        <w:t>, 77 Pa. P.U.C. 98 (1992).</w:t>
      </w:r>
    </w:p>
    <w:p w:rsidR="00E27ACF" w:rsidRDefault="00E27ACF" w:rsidP="00E27ACF">
      <w:pPr>
        <w:spacing w:line="360" w:lineRule="auto"/>
        <w:ind w:firstLine="1440"/>
        <w:rPr>
          <w:sz w:val="24"/>
          <w:szCs w:val="24"/>
        </w:rPr>
      </w:pPr>
    </w:p>
    <w:p w:rsidR="00E27ACF" w:rsidRDefault="00E27ACF" w:rsidP="00E27ACF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A800AC">
        <w:rPr>
          <w:sz w:val="24"/>
          <w:szCs w:val="24"/>
        </w:rPr>
        <w:t>It is just, reasonable and in the public interest that the complaint be dismissed because a</w:t>
      </w:r>
      <w:r>
        <w:rPr>
          <w:sz w:val="24"/>
          <w:szCs w:val="24"/>
        </w:rPr>
        <w:t xml:space="preserve"> hearing in this matter is not necessary to the public interest.</w:t>
      </w:r>
    </w:p>
    <w:p w:rsidR="00E27ACF" w:rsidRDefault="00E27ACF" w:rsidP="00E27ACF">
      <w:pPr>
        <w:spacing w:line="360" w:lineRule="auto"/>
        <w:ind w:left="1440"/>
        <w:rPr>
          <w:sz w:val="24"/>
          <w:szCs w:val="24"/>
        </w:rPr>
      </w:pPr>
    </w:p>
    <w:p w:rsidR="00E27ACF" w:rsidRDefault="00E27ACF" w:rsidP="00E27ACF">
      <w:pPr>
        <w:spacing w:line="360" w:lineRule="auto"/>
        <w:jc w:val="center"/>
        <w:rPr>
          <w:sz w:val="24"/>
          <w:szCs w:val="24"/>
        </w:rPr>
      </w:pPr>
      <w:r w:rsidRPr="00A91769">
        <w:rPr>
          <w:sz w:val="24"/>
          <w:szCs w:val="24"/>
          <w:u w:val="single"/>
        </w:rPr>
        <w:t>ORDER</w:t>
      </w:r>
    </w:p>
    <w:p w:rsidR="00E27ACF" w:rsidRDefault="00E27ACF" w:rsidP="00E27ACF">
      <w:pPr>
        <w:spacing w:line="360" w:lineRule="auto"/>
        <w:rPr>
          <w:sz w:val="24"/>
          <w:szCs w:val="24"/>
        </w:rPr>
      </w:pPr>
    </w:p>
    <w:p w:rsidR="000875CB" w:rsidRDefault="000875CB" w:rsidP="00E27ACF">
      <w:pPr>
        <w:spacing w:line="360" w:lineRule="auto"/>
        <w:rPr>
          <w:sz w:val="24"/>
          <w:szCs w:val="24"/>
        </w:rPr>
      </w:pPr>
    </w:p>
    <w:p w:rsidR="00E27ACF" w:rsidRDefault="00E27ACF" w:rsidP="00E27A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THEREFORE,</w:t>
      </w:r>
    </w:p>
    <w:p w:rsidR="00E27ACF" w:rsidRDefault="00E27ACF" w:rsidP="00E27ACF">
      <w:pPr>
        <w:spacing w:line="360" w:lineRule="auto"/>
        <w:rPr>
          <w:sz w:val="24"/>
          <w:szCs w:val="24"/>
        </w:rPr>
      </w:pPr>
    </w:p>
    <w:p w:rsidR="00E27ACF" w:rsidRDefault="00E27ACF" w:rsidP="00E27A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:rsidR="00E27ACF" w:rsidRDefault="00E27ACF" w:rsidP="00E27ACF">
      <w:pPr>
        <w:spacing w:line="360" w:lineRule="auto"/>
        <w:rPr>
          <w:sz w:val="24"/>
          <w:szCs w:val="24"/>
        </w:rPr>
      </w:pPr>
    </w:p>
    <w:p w:rsidR="009779CF" w:rsidRPr="009779CF" w:rsidRDefault="009779CF" w:rsidP="00C255D6">
      <w:pPr>
        <w:spacing w:line="360" w:lineRule="auto"/>
        <w:rPr>
          <w:sz w:val="24"/>
          <w:szCs w:val="24"/>
        </w:rPr>
      </w:pP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  <w:t>1.</w:t>
      </w:r>
      <w:r w:rsidRPr="009779CF">
        <w:rPr>
          <w:sz w:val="24"/>
          <w:szCs w:val="24"/>
        </w:rPr>
        <w:tab/>
      </w:r>
      <w:r w:rsidR="00C255D6">
        <w:rPr>
          <w:sz w:val="24"/>
          <w:szCs w:val="24"/>
        </w:rPr>
        <w:t>That the preliminary objection</w:t>
      </w:r>
      <w:r w:rsidR="00A800AC">
        <w:rPr>
          <w:sz w:val="24"/>
          <w:szCs w:val="24"/>
        </w:rPr>
        <w:t>s</w:t>
      </w:r>
      <w:r w:rsidRPr="009779CF">
        <w:rPr>
          <w:sz w:val="24"/>
          <w:szCs w:val="24"/>
        </w:rPr>
        <w:t xml:space="preserve"> of </w:t>
      </w:r>
      <w:r w:rsidR="001A5CC5">
        <w:rPr>
          <w:sz w:val="24"/>
          <w:szCs w:val="24"/>
        </w:rPr>
        <w:t>PECO Energy</w:t>
      </w:r>
      <w:r w:rsidR="00C255D6">
        <w:rPr>
          <w:sz w:val="24"/>
          <w:szCs w:val="24"/>
        </w:rPr>
        <w:t xml:space="preserve"> Company</w:t>
      </w:r>
      <w:r w:rsidRPr="009779CF">
        <w:rPr>
          <w:sz w:val="24"/>
          <w:szCs w:val="24"/>
        </w:rPr>
        <w:t xml:space="preserve"> seeking dismissal of the complaint filed by </w:t>
      </w:r>
      <w:r w:rsidR="001A5CC5">
        <w:rPr>
          <w:sz w:val="24"/>
          <w:szCs w:val="24"/>
        </w:rPr>
        <w:t>Thomas Egan</w:t>
      </w:r>
      <w:r w:rsidRPr="009779CF">
        <w:rPr>
          <w:sz w:val="24"/>
          <w:szCs w:val="24"/>
        </w:rPr>
        <w:t xml:space="preserve"> at Docket No. </w:t>
      </w:r>
      <w:r w:rsidR="00C255D6">
        <w:rPr>
          <w:sz w:val="24"/>
          <w:szCs w:val="24"/>
        </w:rPr>
        <w:t>C-</w:t>
      </w:r>
      <w:r w:rsidR="001A5CC5">
        <w:rPr>
          <w:sz w:val="24"/>
          <w:szCs w:val="24"/>
        </w:rPr>
        <w:t>2013-2368645</w:t>
      </w:r>
      <w:r w:rsidR="00C255D6">
        <w:rPr>
          <w:sz w:val="24"/>
          <w:szCs w:val="24"/>
        </w:rPr>
        <w:t xml:space="preserve"> </w:t>
      </w:r>
      <w:proofErr w:type="gramStart"/>
      <w:r w:rsidR="00A800AC">
        <w:rPr>
          <w:sz w:val="24"/>
          <w:szCs w:val="24"/>
        </w:rPr>
        <w:t>are</w:t>
      </w:r>
      <w:proofErr w:type="gramEnd"/>
      <w:r w:rsidR="00A800AC">
        <w:rPr>
          <w:sz w:val="24"/>
          <w:szCs w:val="24"/>
        </w:rPr>
        <w:t xml:space="preserve"> sustained</w:t>
      </w:r>
      <w:r w:rsidRPr="009779CF">
        <w:rPr>
          <w:sz w:val="24"/>
          <w:szCs w:val="24"/>
        </w:rPr>
        <w:t>.</w:t>
      </w:r>
    </w:p>
    <w:p w:rsidR="009779CF" w:rsidRPr="009779CF" w:rsidRDefault="009779CF" w:rsidP="00C255D6">
      <w:pPr>
        <w:spacing w:line="360" w:lineRule="auto"/>
        <w:rPr>
          <w:sz w:val="24"/>
          <w:szCs w:val="24"/>
        </w:rPr>
      </w:pPr>
    </w:p>
    <w:p w:rsidR="009779CF" w:rsidRPr="009779CF" w:rsidRDefault="009779CF" w:rsidP="00C255D6">
      <w:pPr>
        <w:spacing w:line="360" w:lineRule="auto"/>
        <w:rPr>
          <w:sz w:val="24"/>
          <w:szCs w:val="24"/>
        </w:rPr>
      </w:pP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  <w:t>2.</w:t>
      </w:r>
      <w:r w:rsidRPr="009779CF">
        <w:rPr>
          <w:sz w:val="24"/>
          <w:szCs w:val="24"/>
        </w:rPr>
        <w:tab/>
        <w:t xml:space="preserve">That </w:t>
      </w:r>
      <w:r w:rsidR="001A5CC5">
        <w:rPr>
          <w:sz w:val="24"/>
          <w:szCs w:val="24"/>
        </w:rPr>
        <w:t>the complaint of Thomas Egan versus PECO Energy Company at Docket No. C-2013-236</w:t>
      </w:r>
      <w:r w:rsidR="00AA29CC">
        <w:rPr>
          <w:sz w:val="24"/>
          <w:szCs w:val="24"/>
        </w:rPr>
        <w:t>8645</w:t>
      </w:r>
      <w:r w:rsidR="001A5CC5">
        <w:rPr>
          <w:sz w:val="24"/>
          <w:szCs w:val="24"/>
        </w:rPr>
        <w:t xml:space="preserve"> </w:t>
      </w:r>
      <w:r w:rsidR="00A800AC">
        <w:rPr>
          <w:sz w:val="24"/>
          <w:szCs w:val="24"/>
        </w:rPr>
        <w:t xml:space="preserve">is dismissed and </w:t>
      </w:r>
      <w:r w:rsidR="001A5CC5">
        <w:rPr>
          <w:sz w:val="24"/>
          <w:szCs w:val="24"/>
        </w:rPr>
        <w:t>shall be marked closed.</w:t>
      </w:r>
    </w:p>
    <w:p w:rsidR="009779CF" w:rsidRDefault="009779CF" w:rsidP="00C255D6">
      <w:pPr>
        <w:spacing w:line="360" w:lineRule="auto"/>
        <w:rPr>
          <w:sz w:val="24"/>
          <w:szCs w:val="24"/>
        </w:rPr>
      </w:pPr>
    </w:p>
    <w:p w:rsidR="002B70F3" w:rsidRPr="009779CF" w:rsidRDefault="002B70F3" w:rsidP="00C255D6">
      <w:pPr>
        <w:spacing w:line="360" w:lineRule="auto"/>
        <w:rPr>
          <w:sz w:val="24"/>
          <w:szCs w:val="24"/>
        </w:rPr>
      </w:pPr>
    </w:p>
    <w:p w:rsidR="00652084" w:rsidRPr="00F83021" w:rsidRDefault="00DA0B63" w:rsidP="00652084">
      <w:pPr>
        <w:rPr>
          <w:sz w:val="24"/>
          <w:szCs w:val="24"/>
        </w:rPr>
      </w:pPr>
      <w:r w:rsidRPr="009779CF">
        <w:rPr>
          <w:sz w:val="24"/>
          <w:szCs w:val="24"/>
        </w:rPr>
        <w:t xml:space="preserve">Date:  </w:t>
      </w:r>
      <w:r w:rsidR="00A800AC">
        <w:rPr>
          <w:sz w:val="24"/>
          <w:szCs w:val="24"/>
          <w:u w:val="single"/>
        </w:rPr>
        <w:t>December 1</w:t>
      </w:r>
      <w:r w:rsidR="005E6B7C">
        <w:rPr>
          <w:sz w:val="24"/>
          <w:szCs w:val="24"/>
          <w:u w:val="single"/>
        </w:rPr>
        <w:t>9</w:t>
      </w:r>
      <w:r w:rsidR="001A5CC5">
        <w:rPr>
          <w:sz w:val="24"/>
          <w:szCs w:val="24"/>
          <w:u w:val="single"/>
        </w:rPr>
        <w:t>, 2013</w:t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="00652084">
        <w:rPr>
          <w:sz w:val="24"/>
          <w:szCs w:val="24"/>
        </w:rPr>
        <w:tab/>
      </w:r>
      <w:r w:rsidR="00652084" w:rsidRPr="00F83021">
        <w:rPr>
          <w:sz w:val="24"/>
          <w:szCs w:val="24"/>
          <w:u w:val="single"/>
        </w:rPr>
        <w:tab/>
      </w:r>
      <w:r w:rsidR="00652084" w:rsidRPr="00F83021">
        <w:rPr>
          <w:sz w:val="24"/>
          <w:szCs w:val="24"/>
          <w:u w:val="single"/>
        </w:rPr>
        <w:tab/>
        <w:t>/s/</w:t>
      </w:r>
      <w:r w:rsidR="00652084" w:rsidRPr="00F83021">
        <w:rPr>
          <w:sz w:val="24"/>
          <w:szCs w:val="24"/>
          <w:u w:val="single"/>
        </w:rPr>
        <w:tab/>
      </w:r>
      <w:r w:rsidR="00652084" w:rsidRPr="00F83021">
        <w:rPr>
          <w:sz w:val="24"/>
          <w:szCs w:val="24"/>
          <w:u w:val="single"/>
        </w:rPr>
        <w:tab/>
      </w:r>
      <w:r w:rsidR="00652084" w:rsidRPr="00F83021">
        <w:rPr>
          <w:sz w:val="24"/>
          <w:szCs w:val="24"/>
          <w:u w:val="single"/>
        </w:rPr>
        <w:tab/>
      </w:r>
    </w:p>
    <w:p w:rsidR="00DA0B63" w:rsidRPr="009779CF" w:rsidRDefault="00DA0B63" w:rsidP="0056566B">
      <w:pPr>
        <w:rPr>
          <w:sz w:val="24"/>
          <w:szCs w:val="24"/>
        </w:rPr>
      </w:pP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="00652084">
        <w:rPr>
          <w:sz w:val="24"/>
          <w:szCs w:val="24"/>
        </w:rPr>
        <w:tab/>
      </w:r>
      <w:r w:rsidR="00247485" w:rsidRPr="009779CF">
        <w:rPr>
          <w:sz w:val="24"/>
          <w:szCs w:val="24"/>
        </w:rPr>
        <w:t>Katrina L. Dunderdale</w:t>
      </w:r>
    </w:p>
    <w:p w:rsidR="00DA0B63" w:rsidRPr="009779CF" w:rsidRDefault="00DA0B63" w:rsidP="0056566B">
      <w:pPr>
        <w:rPr>
          <w:sz w:val="24"/>
          <w:szCs w:val="24"/>
        </w:rPr>
      </w:pP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Pr="009779CF">
        <w:rPr>
          <w:sz w:val="24"/>
          <w:szCs w:val="24"/>
        </w:rPr>
        <w:tab/>
      </w:r>
      <w:r w:rsidR="00652084">
        <w:rPr>
          <w:sz w:val="24"/>
          <w:szCs w:val="24"/>
        </w:rPr>
        <w:tab/>
      </w:r>
      <w:r w:rsidRPr="009779CF">
        <w:rPr>
          <w:sz w:val="24"/>
          <w:szCs w:val="24"/>
        </w:rPr>
        <w:t>Administrative Law Judge</w:t>
      </w:r>
    </w:p>
    <w:p w:rsidR="00247485" w:rsidRPr="00DA0B63" w:rsidRDefault="00247485" w:rsidP="00950495">
      <w:pPr>
        <w:rPr>
          <w:sz w:val="24"/>
          <w:szCs w:val="24"/>
        </w:rPr>
      </w:pPr>
    </w:p>
    <w:sectPr w:rsidR="00247485" w:rsidRPr="00DA0B63" w:rsidSect="0091669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F6" w:rsidRDefault="00DC0AF6">
      <w:r>
        <w:separator/>
      </w:r>
    </w:p>
  </w:endnote>
  <w:endnote w:type="continuationSeparator" w:id="0">
    <w:p w:rsidR="00DC0AF6" w:rsidRDefault="00D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1D" w:rsidRDefault="008604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761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3B09">
      <w:rPr>
        <w:rStyle w:val="PageNumber"/>
        <w:noProof/>
      </w:rPr>
      <w:t>1</w:t>
    </w:r>
    <w:r>
      <w:rPr>
        <w:rStyle w:val="PageNumber"/>
      </w:rPr>
      <w:fldChar w:fldCharType="end"/>
    </w:r>
  </w:p>
  <w:p w:rsidR="00C9761D" w:rsidRDefault="00C976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1D" w:rsidRDefault="008604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761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02D">
      <w:rPr>
        <w:rStyle w:val="PageNumber"/>
        <w:noProof/>
      </w:rPr>
      <w:t>4</w:t>
    </w:r>
    <w:r>
      <w:rPr>
        <w:rStyle w:val="PageNumber"/>
      </w:rPr>
      <w:fldChar w:fldCharType="end"/>
    </w:r>
  </w:p>
  <w:p w:rsidR="00C9761D" w:rsidRDefault="00C976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F6" w:rsidRDefault="00DC0AF6">
      <w:r>
        <w:separator/>
      </w:r>
    </w:p>
  </w:footnote>
  <w:footnote w:type="continuationSeparator" w:id="0">
    <w:p w:rsidR="00DC0AF6" w:rsidRDefault="00DC0AF6">
      <w:r>
        <w:continuationSeparator/>
      </w:r>
    </w:p>
  </w:footnote>
  <w:footnote w:id="1">
    <w:p w:rsidR="009779CF" w:rsidRDefault="009779CF" w:rsidP="009779CF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 w:rsidRPr="005D1DC4">
        <w:rPr>
          <w:u w:val="single"/>
        </w:rPr>
        <w:t>Dept. of Auditor General, et al</w:t>
      </w:r>
      <w:r w:rsidR="00FB36C9">
        <w:rPr>
          <w:u w:val="single"/>
        </w:rPr>
        <w:t>.</w:t>
      </w:r>
      <w:r w:rsidRPr="005D1DC4">
        <w:rPr>
          <w:u w:val="single"/>
        </w:rPr>
        <w:t xml:space="preserve"> v. SERS, et al.</w:t>
      </w:r>
      <w:r w:rsidRPr="00AB2BD8">
        <w:t>,</w:t>
      </w:r>
      <w:r w:rsidR="001A5CC5">
        <w:t xml:space="preserve"> 836 A.2d 1053, 1064 (</w:t>
      </w:r>
      <w:proofErr w:type="spellStart"/>
      <w:r w:rsidR="001A5CC5">
        <w:t>Pa.</w:t>
      </w:r>
      <w:r>
        <w:t>Cmwlth</w:t>
      </w:r>
      <w:proofErr w:type="spellEnd"/>
      <w:r>
        <w:t xml:space="preserve">. 2003); </w:t>
      </w:r>
      <w:r w:rsidRPr="005D1DC4">
        <w:rPr>
          <w:u w:val="single"/>
        </w:rPr>
        <w:t xml:space="preserve">P.J.S. v. Pa. State Ethics </w:t>
      </w:r>
      <w:r w:rsidR="002B70F3">
        <w:rPr>
          <w:u w:val="single"/>
        </w:rPr>
        <w:t>Comm.</w:t>
      </w:r>
      <w:r w:rsidR="001A5CC5">
        <w:t>, 669 A.2d 1105 (</w:t>
      </w:r>
      <w:proofErr w:type="spellStart"/>
      <w:r w:rsidR="001A5CC5">
        <w:t>Pa.</w:t>
      </w:r>
      <w:r>
        <w:t>Cmwlth</w:t>
      </w:r>
      <w:proofErr w:type="spellEnd"/>
      <w:r>
        <w:t>. 1996).</w:t>
      </w:r>
      <w:proofErr w:type="gramEnd"/>
    </w:p>
    <w:p w:rsidR="009779CF" w:rsidRDefault="009779CF" w:rsidP="009779CF">
      <w:pPr>
        <w:pStyle w:val="FootnoteText"/>
      </w:pPr>
    </w:p>
  </w:footnote>
  <w:footnote w:id="2">
    <w:p w:rsidR="009779CF" w:rsidRDefault="009779CF" w:rsidP="009779CF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 w:rsidRPr="005D1DC4">
        <w:rPr>
          <w:u w:val="single"/>
        </w:rPr>
        <w:t>Boyd v. Ward</w:t>
      </w:r>
      <w:r>
        <w:t>, 802 A.2d 705 (</w:t>
      </w:r>
      <w:proofErr w:type="spellStart"/>
      <w:r>
        <w:t>Pa.Cmwlth</w:t>
      </w:r>
      <w:proofErr w:type="spellEnd"/>
      <w:r>
        <w:t>. 2002).</w:t>
      </w:r>
      <w:proofErr w:type="gramEnd"/>
      <w:r>
        <w:t xml:space="preserve">  </w:t>
      </w:r>
    </w:p>
    <w:p w:rsidR="009779CF" w:rsidRDefault="009779CF" w:rsidP="009779CF">
      <w:pPr>
        <w:pStyle w:val="FootnoteText"/>
      </w:pPr>
    </w:p>
  </w:footnote>
  <w:footnote w:id="3">
    <w:p w:rsidR="009779CF" w:rsidRDefault="009779CF" w:rsidP="009779CF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 w:rsidRPr="00144CC9">
        <w:rPr>
          <w:u w:val="single"/>
        </w:rPr>
        <w:t>Ridge v. State Employees’ Retirement Board</w:t>
      </w:r>
      <w:r w:rsidR="001A5CC5">
        <w:t>, 690 A.2d 1312 (</w:t>
      </w:r>
      <w:proofErr w:type="spellStart"/>
      <w:r w:rsidR="001A5CC5">
        <w:t>Pa.</w:t>
      </w:r>
      <w:r>
        <w:t>Cmwlth</w:t>
      </w:r>
      <w:proofErr w:type="spellEnd"/>
      <w:r>
        <w:t>. 1997).</w:t>
      </w:r>
      <w:proofErr w:type="gramEnd"/>
      <w:r>
        <w:t xml:space="preserve"> </w:t>
      </w:r>
    </w:p>
    <w:p w:rsidR="009779CF" w:rsidRDefault="009779CF" w:rsidP="009779CF">
      <w:pPr>
        <w:pStyle w:val="FootnoteText"/>
      </w:pPr>
      <w:r>
        <w:t xml:space="preserve"> </w:t>
      </w:r>
    </w:p>
  </w:footnote>
  <w:footnote w:id="4">
    <w:p w:rsidR="00CB6C31" w:rsidRPr="00674189" w:rsidRDefault="00CB6C31" w:rsidP="00CB6C31">
      <w:pPr>
        <w:pStyle w:val="FootnoteText"/>
        <w:ind w:firstLine="720"/>
      </w:pPr>
      <w:r w:rsidRPr="00674189">
        <w:rPr>
          <w:rStyle w:val="FootnoteReference"/>
        </w:rPr>
        <w:footnoteRef/>
      </w:r>
      <w:r w:rsidRPr="00674189">
        <w:t xml:space="preserve"> </w:t>
      </w:r>
      <w:r w:rsidRPr="00674189">
        <w:tab/>
        <w:t xml:space="preserve">See </w:t>
      </w:r>
      <w:proofErr w:type="gramStart"/>
      <w:r w:rsidRPr="00674189">
        <w:t xml:space="preserve">66 </w:t>
      </w:r>
      <w:proofErr w:type="spellStart"/>
      <w:r w:rsidRPr="00674189">
        <w:t>Pa.C.S.A</w:t>
      </w:r>
      <w:proofErr w:type="spellEnd"/>
      <w:proofErr w:type="gramEnd"/>
      <w:r w:rsidRPr="00674189">
        <w:t>. § 316.</w:t>
      </w:r>
    </w:p>
  </w:footnote>
  <w:footnote w:id="5">
    <w:p w:rsidR="00674189" w:rsidRPr="00674189" w:rsidRDefault="00674189">
      <w:pPr>
        <w:pStyle w:val="FootnoteText"/>
      </w:pPr>
    </w:p>
    <w:p w:rsidR="00674189" w:rsidRPr="00674189" w:rsidRDefault="00674189" w:rsidP="00674189">
      <w:pPr>
        <w:pStyle w:val="FootnoteText"/>
        <w:ind w:firstLine="720"/>
      </w:pPr>
      <w:r w:rsidRPr="00674189">
        <w:rPr>
          <w:rStyle w:val="FootnoteReference"/>
        </w:rPr>
        <w:footnoteRef/>
      </w:r>
      <w:r w:rsidRPr="00674189">
        <w:t xml:space="preserve"> </w:t>
      </w:r>
      <w:r w:rsidRPr="00674189">
        <w:tab/>
      </w:r>
      <w:r w:rsidRPr="00674189">
        <w:rPr>
          <w:snapToGrid w:val="0"/>
        </w:rPr>
        <w:t xml:space="preserve">The four requirements </w:t>
      </w:r>
      <w:r>
        <w:rPr>
          <w:snapToGrid w:val="0"/>
        </w:rPr>
        <w:t>to find</w:t>
      </w:r>
      <w:r w:rsidRPr="00674189">
        <w:rPr>
          <w:snapToGrid w:val="0"/>
        </w:rPr>
        <w:t xml:space="preserve"> collateral estoppel </w:t>
      </w:r>
      <w:r>
        <w:rPr>
          <w:snapToGrid w:val="0"/>
        </w:rPr>
        <w:t>is present</w:t>
      </w:r>
      <w:r w:rsidRPr="00674189">
        <w:rPr>
          <w:snapToGrid w:val="0"/>
        </w:rPr>
        <w:t xml:space="preserve"> are: </w:t>
      </w:r>
      <w:r w:rsidR="00016598">
        <w:rPr>
          <w:snapToGrid w:val="0"/>
        </w:rPr>
        <w:t xml:space="preserve"> </w:t>
      </w:r>
      <w:r w:rsidRPr="00674189">
        <w:rPr>
          <w:snapToGrid w:val="0"/>
        </w:rPr>
        <w:t>(1) the issue decided in the prior adjudication is identical with the one presented in the later action; (2) there was a final judgment on the merits; (3)</w:t>
      </w:r>
      <w:r w:rsidR="00016598">
        <w:rPr>
          <w:snapToGrid w:val="0"/>
        </w:rPr>
        <w:t> </w:t>
      </w:r>
      <w:r w:rsidRPr="00674189">
        <w:rPr>
          <w:snapToGrid w:val="0"/>
        </w:rPr>
        <w:t xml:space="preserve">the party against whom the plea is asserted was a party or in </w:t>
      </w:r>
      <w:proofErr w:type="spellStart"/>
      <w:r w:rsidRPr="00674189">
        <w:rPr>
          <w:snapToGrid w:val="0"/>
        </w:rPr>
        <w:t>privity</w:t>
      </w:r>
      <w:proofErr w:type="spellEnd"/>
      <w:r w:rsidRPr="00674189">
        <w:rPr>
          <w:snapToGrid w:val="0"/>
        </w:rPr>
        <w:t xml:space="preserve"> with the party to the prior adjudication; and (4) the party against whom the plea is asserted has had a full and fair opportunity to litigate the issues in question in the prior action.  </w:t>
      </w:r>
      <w:proofErr w:type="gramStart"/>
      <w:r w:rsidRPr="00674189">
        <w:rPr>
          <w:u w:val="single"/>
        </w:rPr>
        <w:t xml:space="preserve">Day v. </w:t>
      </w:r>
      <w:proofErr w:type="spellStart"/>
      <w:r w:rsidRPr="00674189">
        <w:rPr>
          <w:u w:val="single"/>
        </w:rPr>
        <w:t>Volkswaqenwerk</w:t>
      </w:r>
      <w:proofErr w:type="spellEnd"/>
      <w:r w:rsidRPr="00674189">
        <w:rPr>
          <w:u w:val="single"/>
        </w:rPr>
        <w:t xml:space="preserve"> </w:t>
      </w:r>
      <w:proofErr w:type="spellStart"/>
      <w:r w:rsidRPr="00674189">
        <w:rPr>
          <w:u w:val="single"/>
        </w:rPr>
        <w:t>Aktiengesellschaft</w:t>
      </w:r>
      <w:proofErr w:type="spellEnd"/>
      <w:r w:rsidRPr="00674189">
        <w:t>, 318 Pa. Super</w:t>
      </w:r>
      <w:r>
        <w:t>.</w:t>
      </w:r>
      <w:proofErr w:type="gramEnd"/>
      <w:r>
        <w:t xml:space="preserve"> </w:t>
      </w:r>
      <w:proofErr w:type="gramStart"/>
      <w:r>
        <w:t xml:space="preserve">225, 464 A.2d 1313 </w:t>
      </w:r>
      <w:r w:rsidRPr="00674189">
        <w:t xml:space="preserve">(1983); </w:t>
      </w:r>
      <w:r w:rsidRPr="00674189">
        <w:rPr>
          <w:u w:val="single"/>
        </w:rPr>
        <w:t>O’Toole</w:t>
      </w:r>
      <w:r w:rsidR="00016598">
        <w:rPr>
          <w:u w:val="single"/>
        </w:rPr>
        <w:t> </w:t>
      </w:r>
      <w:r w:rsidRPr="00674189">
        <w:rPr>
          <w:u w:val="single"/>
        </w:rPr>
        <w:t>v. Bell Telephone Co. of Pa.</w:t>
      </w:r>
      <w:r w:rsidRPr="00674189">
        <w:t>, 77 Pa. P.U.C. 98 (1992).</w:t>
      </w:r>
      <w:proofErr w:type="gramEnd"/>
      <w:r w:rsidRPr="00674189">
        <w:rPr>
          <w:snapToGrid w:val="0"/>
        </w:rPr>
        <w:t xml:space="preserve">  </w:t>
      </w:r>
    </w:p>
  </w:footnote>
  <w:footnote w:id="6">
    <w:p w:rsidR="00674189" w:rsidRPr="00674189" w:rsidRDefault="00674189">
      <w:pPr>
        <w:pStyle w:val="FootnoteText"/>
      </w:pPr>
    </w:p>
    <w:p w:rsidR="00674189" w:rsidRPr="00674189" w:rsidRDefault="00674189" w:rsidP="00674189">
      <w:pPr>
        <w:pStyle w:val="FootnoteText"/>
        <w:ind w:firstLine="720"/>
      </w:pPr>
      <w:r w:rsidRPr="00674189">
        <w:rPr>
          <w:rStyle w:val="FootnoteReference"/>
        </w:rPr>
        <w:footnoteRef/>
      </w:r>
      <w:r w:rsidRPr="00674189">
        <w:t xml:space="preserve"> </w:t>
      </w:r>
      <w:r w:rsidRPr="00674189">
        <w:tab/>
      </w:r>
      <w:proofErr w:type="gramStart"/>
      <w:r w:rsidRPr="00674189">
        <w:rPr>
          <w:snapToGrid w:val="0"/>
          <w:u w:val="single"/>
        </w:rPr>
        <w:t>Baker v. Pa. Human Relations Comm.</w:t>
      </w:r>
      <w:r w:rsidRPr="00674189">
        <w:rPr>
          <w:snapToGrid w:val="0"/>
        </w:rPr>
        <w:t>, 462 A.2d 881 (</w:t>
      </w:r>
      <w:proofErr w:type="spellStart"/>
      <w:r w:rsidRPr="00674189">
        <w:rPr>
          <w:snapToGrid w:val="0"/>
        </w:rPr>
        <w:t>Pa.</w:t>
      </w:r>
      <w:r>
        <w:rPr>
          <w:snapToGrid w:val="0"/>
        </w:rPr>
        <w:t>Cmw</w:t>
      </w:r>
      <w:r w:rsidR="00FC67E0">
        <w:rPr>
          <w:snapToGrid w:val="0"/>
        </w:rPr>
        <w:t>lth</w:t>
      </w:r>
      <w:proofErr w:type="spellEnd"/>
      <w:r w:rsidRPr="00674189">
        <w:rPr>
          <w:snapToGrid w:val="0"/>
        </w:rPr>
        <w:t>. 1983).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73D0"/>
    <w:multiLevelType w:val="hybridMultilevel"/>
    <w:tmpl w:val="2140FCB0"/>
    <w:lvl w:ilvl="0" w:tplc="88BACD64">
      <w:start w:val="52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F067EC0"/>
    <w:multiLevelType w:val="hybridMultilevel"/>
    <w:tmpl w:val="B47CA454"/>
    <w:lvl w:ilvl="0" w:tplc="BA3C0BD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BFC644D"/>
    <w:multiLevelType w:val="hybridMultilevel"/>
    <w:tmpl w:val="B7B2DA2A"/>
    <w:lvl w:ilvl="0" w:tplc="0BEA91F4">
      <w:start w:val="52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2B82C7A"/>
    <w:multiLevelType w:val="hybridMultilevel"/>
    <w:tmpl w:val="D30299A8"/>
    <w:lvl w:ilvl="0" w:tplc="3BBE592E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7C27B1D"/>
    <w:multiLevelType w:val="hybridMultilevel"/>
    <w:tmpl w:val="105A9B88"/>
    <w:lvl w:ilvl="0" w:tplc="892006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B0A63E8"/>
    <w:multiLevelType w:val="hybridMultilevel"/>
    <w:tmpl w:val="3B66192C"/>
    <w:lvl w:ilvl="0" w:tplc="E2904CA2">
      <w:start w:val="5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97087480"/>
  </w:docVars>
  <w:rsids>
    <w:rsidRoot w:val="00183666"/>
    <w:rsid w:val="000141F1"/>
    <w:rsid w:val="000157A6"/>
    <w:rsid w:val="00016598"/>
    <w:rsid w:val="00020DD7"/>
    <w:rsid w:val="00047F8E"/>
    <w:rsid w:val="0005231E"/>
    <w:rsid w:val="00052537"/>
    <w:rsid w:val="000569D2"/>
    <w:rsid w:val="000875CB"/>
    <w:rsid w:val="000A32D5"/>
    <w:rsid w:val="000D7B64"/>
    <w:rsid w:val="00104280"/>
    <w:rsid w:val="00106F62"/>
    <w:rsid w:val="001251FF"/>
    <w:rsid w:val="00144CC9"/>
    <w:rsid w:val="001510B7"/>
    <w:rsid w:val="0018019F"/>
    <w:rsid w:val="00182ED6"/>
    <w:rsid w:val="001832DB"/>
    <w:rsid w:val="00183666"/>
    <w:rsid w:val="0019563C"/>
    <w:rsid w:val="001A1AE7"/>
    <w:rsid w:val="001A5CC5"/>
    <w:rsid w:val="001A619F"/>
    <w:rsid w:val="001D7CFB"/>
    <w:rsid w:val="001F0078"/>
    <w:rsid w:val="002173B7"/>
    <w:rsid w:val="00247485"/>
    <w:rsid w:val="0026007D"/>
    <w:rsid w:val="0026091C"/>
    <w:rsid w:val="00271E4B"/>
    <w:rsid w:val="002826AE"/>
    <w:rsid w:val="0029316B"/>
    <w:rsid w:val="00294384"/>
    <w:rsid w:val="00295C56"/>
    <w:rsid w:val="002A08F6"/>
    <w:rsid w:val="002B70F3"/>
    <w:rsid w:val="002D6515"/>
    <w:rsid w:val="002F73E4"/>
    <w:rsid w:val="00300B6A"/>
    <w:rsid w:val="003252A9"/>
    <w:rsid w:val="00360636"/>
    <w:rsid w:val="003A5A49"/>
    <w:rsid w:val="003C2699"/>
    <w:rsid w:val="003F4CDE"/>
    <w:rsid w:val="00415E79"/>
    <w:rsid w:val="00444E02"/>
    <w:rsid w:val="00446740"/>
    <w:rsid w:val="0046592C"/>
    <w:rsid w:val="00472748"/>
    <w:rsid w:val="004A587C"/>
    <w:rsid w:val="004B74B0"/>
    <w:rsid w:val="004C5D57"/>
    <w:rsid w:val="004F23D5"/>
    <w:rsid w:val="0051707A"/>
    <w:rsid w:val="00522D80"/>
    <w:rsid w:val="00527613"/>
    <w:rsid w:val="005304D0"/>
    <w:rsid w:val="0054050B"/>
    <w:rsid w:val="0056566B"/>
    <w:rsid w:val="00570E75"/>
    <w:rsid w:val="00573D1D"/>
    <w:rsid w:val="00586348"/>
    <w:rsid w:val="00591665"/>
    <w:rsid w:val="00597CC4"/>
    <w:rsid w:val="005B65CD"/>
    <w:rsid w:val="005C4F06"/>
    <w:rsid w:val="005C5AB6"/>
    <w:rsid w:val="005D1DC4"/>
    <w:rsid w:val="005D7B09"/>
    <w:rsid w:val="005E635E"/>
    <w:rsid w:val="005E6B7C"/>
    <w:rsid w:val="005F7DD8"/>
    <w:rsid w:val="00604AA8"/>
    <w:rsid w:val="00617356"/>
    <w:rsid w:val="006367A1"/>
    <w:rsid w:val="00652084"/>
    <w:rsid w:val="00661E86"/>
    <w:rsid w:val="00674189"/>
    <w:rsid w:val="00690D59"/>
    <w:rsid w:val="00693686"/>
    <w:rsid w:val="006D25AC"/>
    <w:rsid w:val="00703B09"/>
    <w:rsid w:val="00716CD3"/>
    <w:rsid w:val="00734C6D"/>
    <w:rsid w:val="00743AF6"/>
    <w:rsid w:val="007472B3"/>
    <w:rsid w:val="00757F8D"/>
    <w:rsid w:val="00773C0E"/>
    <w:rsid w:val="00792661"/>
    <w:rsid w:val="0079402D"/>
    <w:rsid w:val="007A5E66"/>
    <w:rsid w:val="007E7099"/>
    <w:rsid w:val="007F6AE7"/>
    <w:rsid w:val="008134E1"/>
    <w:rsid w:val="00832930"/>
    <w:rsid w:val="008409BD"/>
    <w:rsid w:val="0084601B"/>
    <w:rsid w:val="00851677"/>
    <w:rsid w:val="008604F5"/>
    <w:rsid w:val="0086445D"/>
    <w:rsid w:val="0088524E"/>
    <w:rsid w:val="00885A86"/>
    <w:rsid w:val="00896271"/>
    <w:rsid w:val="008A1063"/>
    <w:rsid w:val="008A7EFC"/>
    <w:rsid w:val="008B0F97"/>
    <w:rsid w:val="008E1D76"/>
    <w:rsid w:val="008E1EB6"/>
    <w:rsid w:val="00907D67"/>
    <w:rsid w:val="00910564"/>
    <w:rsid w:val="00916692"/>
    <w:rsid w:val="009329D6"/>
    <w:rsid w:val="00950495"/>
    <w:rsid w:val="0095401D"/>
    <w:rsid w:val="00976C06"/>
    <w:rsid w:val="009779CF"/>
    <w:rsid w:val="009842D2"/>
    <w:rsid w:val="009A1B93"/>
    <w:rsid w:val="009B2EF1"/>
    <w:rsid w:val="009C5ED3"/>
    <w:rsid w:val="009E33C2"/>
    <w:rsid w:val="009E6C83"/>
    <w:rsid w:val="009F00F3"/>
    <w:rsid w:val="009F1C7B"/>
    <w:rsid w:val="009F24C1"/>
    <w:rsid w:val="00A06C46"/>
    <w:rsid w:val="00A1220B"/>
    <w:rsid w:val="00A14C46"/>
    <w:rsid w:val="00A209C1"/>
    <w:rsid w:val="00A24160"/>
    <w:rsid w:val="00A52C0E"/>
    <w:rsid w:val="00A6158A"/>
    <w:rsid w:val="00A800AC"/>
    <w:rsid w:val="00A91769"/>
    <w:rsid w:val="00AA29CC"/>
    <w:rsid w:val="00AC6463"/>
    <w:rsid w:val="00AD10F1"/>
    <w:rsid w:val="00AD1C1C"/>
    <w:rsid w:val="00AD1EA6"/>
    <w:rsid w:val="00AF04F4"/>
    <w:rsid w:val="00B047C5"/>
    <w:rsid w:val="00B06A4A"/>
    <w:rsid w:val="00B359CE"/>
    <w:rsid w:val="00B47D17"/>
    <w:rsid w:val="00B50E1A"/>
    <w:rsid w:val="00B51E61"/>
    <w:rsid w:val="00B53D83"/>
    <w:rsid w:val="00B7518D"/>
    <w:rsid w:val="00B83B79"/>
    <w:rsid w:val="00BB1251"/>
    <w:rsid w:val="00BB2224"/>
    <w:rsid w:val="00BF7BE6"/>
    <w:rsid w:val="00C101A4"/>
    <w:rsid w:val="00C1137C"/>
    <w:rsid w:val="00C255D6"/>
    <w:rsid w:val="00C46568"/>
    <w:rsid w:val="00C47E79"/>
    <w:rsid w:val="00C55F24"/>
    <w:rsid w:val="00C941AF"/>
    <w:rsid w:val="00C95A98"/>
    <w:rsid w:val="00C9761D"/>
    <w:rsid w:val="00CA24F1"/>
    <w:rsid w:val="00CB1CC0"/>
    <w:rsid w:val="00CB3991"/>
    <w:rsid w:val="00CB6C31"/>
    <w:rsid w:val="00CD11DC"/>
    <w:rsid w:val="00CE53E6"/>
    <w:rsid w:val="00CE6F44"/>
    <w:rsid w:val="00D02DB7"/>
    <w:rsid w:val="00D43AFF"/>
    <w:rsid w:val="00D5261C"/>
    <w:rsid w:val="00D64284"/>
    <w:rsid w:val="00D8497F"/>
    <w:rsid w:val="00D90ABA"/>
    <w:rsid w:val="00DA0B63"/>
    <w:rsid w:val="00DC0AF6"/>
    <w:rsid w:val="00DC23F3"/>
    <w:rsid w:val="00DE4CDE"/>
    <w:rsid w:val="00E0339A"/>
    <w:rsid w:val="00E13F61"/>
    <w:rsid w:val="00E24E2F"/>
    <w:rsid w:val="00E279F4"/>
    <w:rsid w:val="00E27ACF"/>
    <w:rsid w:val="00E36020"/>
    <w:rsid w:val="00E428C5"/>
    <w:rsid w:val="00E5577B"/>
    <w:rsid w:val="00E55E22"/>
    <w:rsid w:val="00E908F4"/>
    <w:rsid w:val="00EB74D8"/>
    <w:rsid w:val="00EC45BA"/>
    <w:rsid w:val="00ED1A5F"/>
    <w:rsid w:val="00EF1D42"/>
    <w:rsid w:val="00EF4518"/>
    <w:rsid w:val="00F20BE2"/>
    <w:rsid w:val="00F316B8"/>
    <w:rsid w:val="00F377D5"/>
    <w:rsid w:val="00F47CFA"/>
    <w:rsid w:val="00F52147"/>
    <w:rsid w:val="00F57A4D"/>
    <w:rsid w:val="00F74FD6"/>
    <w:rsid w:val="00F83021"/>
    <w:rsid w:val="00F90A70"/>
    <w:rsid w:val="00FA4047"/>
    <w:rsid w:val="00FB36C9"/>
    <w:rsid w:val="00FC67E0"/>
    <w:rsid w:val="00FD0182"/>
    <w:rsid w:val="00FD60EE"/>
    <w:rsid w:val="00FD66D1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692"/>
  </w:style>
  <w:style w:type="paragraph" w:styleId="Heading1">
    <w:name w:val="heading 1"/>
    <w:basedOn w:val="Normal"/>
    <w:next w:val="Normal"/>
    <w:qFormat/>
    <w:rsid w:val="00916692"/>
    <w:pPr>
      <w:keepNext/>
      <w:jc w:val="center"/>
      <w:outlineLvl w:val="0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16692"/>
    <w:pPr>
      <w:jc w:val="center"/>
    </w:pPr>
    <w:rPr>
      <w:b/>
      <w:sz w:val="26"/>
    </w:rPr>
  </w:style>
  <w:style w:type="paragraph" w:styleId="Subtitle">
    <w:name w:val="Subtitle"/>
    <w:basedOn w:val="Normal"/>
    <w:qFormat/>
    <w:rsid w:val="00916692"/>
    <w:pPr>
      <w:jc w:val="center"/>
    </w:pPr>
    <w:rPr>
      <w:b/>
      <w:sz w:val="26"/>
    </w:rPr>
  </w:style>
  <w:style w:type="paragraph" w:styleId="Footer">
    <w:name w:val="footer"/>
    <w:basedOn w:val="Normal"/>
    <w:rsid w:val="009166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6692"/>
  </w:style>
  <w:style w:type="paragraph" w:styleId="Header">
    <w:name w:val="header"/>
    <w:basedOn w:val="Normal"/>
    <w:rsid w:val="009166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qFormat/>
    <w:rsid w:val="0026091C"/>
  </w:style>
  <w:style w:type="character" w:styleId="FootnoteReference">
    <w:name w:val="footnote reference"/>
    <w:basedOn w:val="DefaultParagraphFont"/>
    <w:uiPriority w:val="99"/>
    <w:rsid w:val="0026091C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9779CF"/>
  </w:style>
  <w:style w:type="paragraph" w:styleId="Quote">
    <w:name w:val="Quote"/>
    <w:basedOn w:val="Normal"/>
    <w:next w:val="Normal"/>
    <w:link w:val="QuoteChar"/>
    <w:uiPriority w:val="29"/>
    <w:qFormat/>
    <w:rsid w:val="009779CF"/>
    <w:pPr>
      <w:spacing w:after="120"/>
    </w:pPr>
    <w:rPr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779CF"/>
    <w:rPr>
      <w:iCs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F4CD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D1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692"/>
  </w:style>
  <w:style w:type="paragraph" w:styleId="Heading1">
    <w:name w:val="heading 1"/>
    <w:basedOn w:val="Normal"/>
    <w:next w:val="Normal"/>
    <w:qFormat/>
    <w:rsid w:val="00916692"/>
    <w:pPr>
      <w:keepNext/>
      <w:jc w:val="center"/>
      <w:outlineLvl w:val="0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16692"/>
    <w:pPr>
      <w:jc w:val="center"/>
    </w:pPr>
    <w:rPr>
      <w:b/>
      <w:sz w:val="26"/>
    </w:rPr>
  </w:style>
  <w:style w:type="paragraph" w:styleId="Subtitle">
    <w:name w:val="Subtitle"/>
    <w:basedOn w:val="Normal"/>
    <w:qFormat/>
    <w:rsid w:val="00916692"/>
    <w:pPr>
      <w:jc w:val="center"/>
    </w:pPr>
    <w:rPr>
      <w:b/>
      <w:sz w:val="26"/>
    </w:rPr>
  </w:style>
  <w:style w:type="paragraph" w:styleId="Footer">
    <w:name w:val="footer"/>
    <w:basedOn w:val="Normal"/>
    <w:rsid w:val="009166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6692"/>
  </w:style>
  <w:style w:type="paragraph" w:styleId="Header">
    <w:name w:val="header"/>
    <w:basedOn w:val="Normal"/>
    <w:rsid w:val="009166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qFormat/>
    <w:rsid w:val="0026091C"/>
  </w:style>
  <w:style w:type="character" w:styleId="FootnoteReference">
    <w:name w:val="footnote reference"/>
    <w:basedOn w:val="DefaultParagraphFont"/>
    <w:uiPriority w:val="99"/>
    <w:rsid w:val="0026091C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9779CF"/>
  </w:style>
  <w:style w:type="paragraph" w:styleId="Quote">
    <w:name w:val="Quote"/>
    <w:basedOn w:val="Normal"/>
    <w:next w:val="Normal"/>
    <w:link w:val="QuoteChar"/>
    <w:uiPriority w:val="29"/>
    <w:qFormat/>
    <w:rsid w:val="009779CF"/>
    <w:pPr>
      <w:spacing w:after="120"/>
    </w:pPr>
    <w:rPr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779CF"/>
    <w:rPr>
      <w:iCs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F4CD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D1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corbett\My%20Documents\Templates\General%20Dec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44E25-8AA8-47DF-B5BE-767DA377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Decision.dot</Template>
  <TotalTime>14</TotalTime>
  <Pages>5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johcorbett</dc:creator>
  <cp:lastModifiedBy>sandra elizabeth oldynski</cp:lastModifiedBy>
  <cp:revision>21</cp:revision>
  <cp:lastPrinted>2013-12-31T16:58:00Z</cp:lastPrinted>
  <dcterms:created xsi:type="dcterms:W3CDTF">2013-12-18T19:05:00Z</dcterms:created>
  <dcterms:modified xsi:type="dcterms:W3CDTF">2013-12-31T17:00:00Z</dcterms:modified>
</cp:coreProperties>
</file>