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A73592" w:rsidP="00A73592">
      <w:pPr>
        <w:spacing w:line="240" w:lineRule="auto"/>
        <w:rPr>
          <w:b/>
        </w:rPr>
      </w:pPr>
      <w:r>
        <w:rPr>
          <w:b/>
        </w:rPr>
        <w:t>BEFORE THE</w:t>
      </w:r>
    </w:p>
    <w:p w:rsidR="00A73592" w:rsidRDefault="00A73592" w:rsidP="00A73592">
      <w:pPr>
        <w:spacing w:line="240" w:lineRule="auto"/>
        <w:rPr>
          <w:b/>
        </w:rPr>
      </w:pPr>
      <w:r>
        <w:rPr>
          <w:b/>
        </w:rPr>
        <w:t>PENNSYLVANIA PUBLIC UTILITY COMMISSION</w:t>
      </w:r>
    </w:p>
    <w:p w:rsidR="00A73592" w:rsidRDefault="00A73592" w:rsidP="00A73592">
      <w:pPr>
        <w:spacing w:line="240" w:lineRule="auto"/>
        <w:rPr>
          <w:b/>
        </w:rPr>
      </w:pPr>
    </w:p>
    <w:p w:rsidR="00A73592" w:rsidRDefault="00A73592" w:rsidP="00A73592">
      <w:pPr>
        <w:spacing w:line="240" w:lineRule="auto"/>
        <w:rPr>
          <w:b/>
        </w:rPr>
      </w:pPr>
    </w:p>
    <w:p w:rsidR="00A73592" w:rsidRDefault="00A73592" w:rsidP="00A73592">
      <w:pPr>
        <w:spacing w:line="240" w:lineRule="auto"/>
        <w:rPr>
          <w:b/>
        </w:rPr>
      </w:pPr>
    </w:p>
    <w:p w:rsidR="00A73592" w:rsidRDefault="00A73592" w:rsidP="00A73592">
      <w:pPr>
        <w:spacing w:line="240" w:lineRule="auto"/>
        <w:jc w:val="left"/>
      </w:pPr>
      <w:r>
        <w:t>Henry Gonzalez</w:t>
      </w:r>
      <w:r>
        <w:tab/>
      </w:r>
      <w:r>
        <w:tab/>
      </w:r>
      <w:r>
        <w:tab/>
      </w:r>
      <w:r>
        <w:tab/>
        <w:t>:</w:t>
      </w:r>
    </w:p>
    <w:p w:rsidR="00A73592" w:rsidRDefault="00A73592" w:rsidP="00A73592">
      <w:pPr>
        <w:spacing w:line="240" w:lineRule="auto"/>
        <w:jc w:val="left"/>
      </w:pPr>
      <w:r>
        <w:tab/>
      </w:r>
      <w:r>
        <w:tab/>
      </w:r>
      <w:r>
        <w:tab/>
      </w:r>
      <w:r>
        <w:tab/>
      </w:r>
      <w:r>
        <w:tab/>
      </w:r>
      <w:r>
        <w:tab/>
        <w:t>:</w:t>
      </w:r>
      <w:r>
        <w:tab/>
      </w:r>
      <w:r>
        <w:tab/>
      </w:r>
      <w:r>
        <w:tab/>
        <w:t>C-2013-2393573</w:t>
      </w:r>
    </w:p>
    <w:p w:rsidR="00A73592" w:rsidRDefault="00A73592" w:rsidP="00A73592">
      <w:pPr>
        <w:spacing w:line="240" w:lineRule="auto"/>
        <w:jc w:val="left"/>
      </w:pPr>
      <w:r>
        <w:tab/>
        <w:t>v.</w:t>
      </w:r>
      <w:r>
        <w:tab/>
      </w:r>
      <w:r>
        <w:tab/>
      </w:r>
      <w:r>
        <w:tab/>
      </w:r>
      <w:r>
        <w:tab/>
      </w:r>
      <w:r>
        <w:tab/>
        <w:t>:</w:t>
      </w:r>
      <w:r>
        <w:tab/>
      </w:r>
      <w:r>
        <w:tab/>
      </w:r>
      <w:r>
        <w:tab/>
        <w:t>C-2013-2392521</w:t>
      </w:r>
    </w:p>
    <w:p w:rsidR="00A73592" w:rsidRDefault="00A73592" w:rsidP="00A73592">
      <w:pPr>
        <w:spacing w:line="240" w:lineRule="auto"/>
        <w:jc w:val="left"/>
      </w:pPr>
      <w:r>
        <w:tab/>
      </w:r>
      <w:r>
        <w:tab/>
      </w:r>
      <w:r>
        <w:tab/>
      </w:r>
      <w:r>
        <w:tab/>
      </w:r>
      <w:r>
        <w:tab/>
      </w:r>
      <w:r>
        <w:tab/>
        <w:t>:</w:t>
      </w:r>
    </w:p>
    <w:p w:rsidR="00A73592" w:rsidRDefault="00A73592" w:rsidP="00A73592">
      <w:pPr>
        <w:spacing w:line="240" w:lineRule="auto"/>
        <w:jc w:val="left"/>
      </w:pPr>
      <w:r>
        <w:t>Philadelphia Gas Works</w:t>
      </w:r>
      <w:r>
        <w:tab/>
      </w:r>
      <w:r>
        <w:tab/>
      </w:r>
      <w:r>
        <w:tab/>
        <w:t>:</w:t>
      </w:r>
    </w:p>
    <w:p w:rsidR="00A73592" w:rsidRDefault="00A73592" w:rsidP="00A73592">
      <w:pPr>
        <w:spacing w:line="240" w:lineRule="auto"/>
        <w:jc w:val="left"/>
      </w:pPr>
    </w:p>
    <w:p w:rsidR="00A73592" w:rsidRDefault="00A73592" w:rsidP="00A73592">
      <w:pPr>
        <w:spacing w:line="240" w:lineRule="auto"/>
        <w:jc w:val="left"/>
      </w:pPr>
    </w:p>
    <w:p w:rsidR="00A73592" w:rsidRDefault="00A73592" w:rsidP="00A73592">
      <w:pPr>
        <w:spacing w:line="240" w:lineRule="auto"/>
        <w:rPr>
          <w:b/>
        </w:rPr>
      </w:pPr>
      <w:r>
        <w:rPr>
          <w:b/>
        </w:rPr>
        <w:t>PREHEARING ORDER</w:t>
      </w:r>
    </w:p>
    <w:p w:rsidR="00A73592" w:rsidRDefault="00A73592" w:rsidP="00A73592">
      <w:pPr>
        <w:spacing w:line="240" w:lineRule="auto"/>
        <w:rPr>
          <w:b/>
        </w:rPr>
      </w:pPr>
    </w:p>
    <w:p w:rsidR="00615A25" w:rsidRDefault="00A73592" w:rsidP="00A73592">
      <w:pPr>
        <w:spacing w:line="240" w:lineRule="auto"/>
        <w:rPr>
          <w:b/>
        </w:rPr>
      </w:pPr>
      <w:r>
        <w:rPr>
          <w:b/>
        </w:rPr>
        <w:t xml:space="preserve">GRANTING THE MOTION FOR CONTINUANCE FILED BY PHILADELPHIA </w:t>
      </w:r>
    </w:p>
    <w:p w:rsidR="00615A25" w:rsidRDefault="00A73592" w:rsidP="00A73592">
      <w:pPr>
        <w:spacing w:line="240" w:lineRule="auto"/>
        <w:rPr>
          <w:b/>
        </w:rPr>
      </w:pPr>
      <w:r>
        <w:rPr>
          <w:b/>
        </w:rPr>
        <w:t>GAS WORKS AND DIRECTING THE PARTIES TO SUBMIT THREE DA</w:t>
      </w:r>
      <w:r w:rsidR="00615A25">
        <w:rPr>
          <w:b/>
        </w:rPr>
        <w:t>TE</w:t>
      </w:r>
      <w:r>
        <w:rPr>
          <w:b/>
        </w:rPr>
        <w:t xml:space="preserve">S </w:t>
      </w:r>
    </w:p>
    <w:p w:rsidR="00A73592" w:rsidRDefault="00A73592" w:rsidP="00A73592">
      <w:pPr>
        <w:spacing w:line="240" w:lineRule="auto"/>
        <w:rPr>
          <w:b/>
        </w:rPr>
      </w:pPr>
      <w:r>
        <w:rPr>
          <w:b/>
        </w:rPr>
        <w:t>AGREED UPON FOR RESCHEDULING THE HEARING</w:t>
      </w:r>
    </w:p>
    <w:p w:rsidR="00A73592" w:rsidRDefault="00A73592" w:rsidP="00A73592">
      <w:pPr>
        <w:spacing w:line="240" w:lineRule="auto"/>
        <w:rPr>
          <w:b/>
        </w:rPr>
      </w:pPr>
    </w:p>
    <w:p w:rsidR="00A73592" w:rsidRDefault="00A73592" w:rsidP="00A73592">
      <w:pPr>
        <w:spacing w:line="240" w:lineRule="auto"/>
        <w:rPr>
          <w:b/>
        </w:rPr>
      </w:pPr>
    </w:p>
    <w:p w:rsidR="00A73592" w:rsidRDefault="00A73592" w:rsidP="00A73592">
      <w:pPr>
        <w:jc w:val="left"/>
      </w:pPr>
      <w:r>
        <w:tab/>
      </w:r>
      <w:r>
        <w:tab/>
        <w:t>On October 21, 2013, Henry Gonzalez (Complainant), represented by Peter Katevatis, Esq., filed a formal Complaint (First Complaint) against Philadelphia Gas Works (PGW or respondent or utility) alleging that he had received notice of a municipal lien placed on his property at 15117 Beverly Drive, Philadelphia in the amount of $9,744.22 with no explanation of how this amount accrued.  Complainant attempted to discern the policies of PGW regarding notice to property owners and for filing a criminal complaint when PGW knows that a crime, here theft of gas, has been committed.  Docket No. C-2013-2392521 was assigned to the First Complaint.</w:t>
      </w:r>
    </w:p>
    <w:p w:rsidR="00A73592" w:rsidRDefault="00A73592" w:rsidP="00A73592">
      <w:pPr>
        <w:jc w:val="left"/>
      </w:pPr>
    </w:p>
    <w:p w:rsidR="00A73592" w:rsidRDefault="00A73592" w:rsidP="00A73592">
      <w:pPr>
        <w:jc w:val="left"/>
      </w:pPr>
      <w:r>
        <w:tab/>
      </w:r>
      <w:r>
        <w:tab/>
        <w:t>On November 12, 2013, Complainant, again represented by Peter Katevatis, Esq., filed a s</w:t>
      </w:r>
      <w:r w:rsidR="008D2FC3">
        <w:t xml:space="preserve">econd complaint (Second Complaint) against PGW alleging that PGW's billing, in the form </w:t>
      </w:r>
      <w:proofErr w:type="spellStart"/>
      <w:r w:rsidR="008D2FC3">
        <w:t>ao</w:t>
      </w:r>
      <w:proofErr w:type="spellEnd"/>
      <w:r w:rsidR="008D2FC3">
        <w:t xml:space="preserve"> </w:t>
      </w:r>
      <w:proofErr w:type="spellStart"/>
      <w:r w:rsidR="008D2FC3">
        <w:t>fa</w:t>
      </w:r>
      <w:proofErr w:type="spellEnd"/>
      <w:r w:rsidR="008D2FC3">
        <w:t xml:space="preserve"> municipal lien, was unjustified and incorrect as PGW had failed to properly notify the property owner of the situation prior to filing the lien; that PGW was negligent in failing to shut off gas service to the premised for an unreasonable length of time, and that the lack of PGW's mitigating action results in its being responsible for the bill, not the property owner.  Docket No. C-2013-2393573 was assigned to the Second Complaint. </w:t>
      </w:r>
    </w:p>
    <w:p w:rsidR="008D2FC3" w:rsidRDefault="008D2FC3" w:rsidP="00A73592">
      <w:pPr>
        <w:jc w:val="left"/>
      </w:pPr>
    </w:p>
    <w:p w:rsidR="008D2FC3" w:rsidRDefault="008D2FC3" w:rsidP="00A73592">
      <w:pPr>
        <w:jc w:val="left"/>
      </w:pPr>
      <w:r>
        <w:lastRenderedPageBreak/>
        <w:tab/>
      </w:r>
      <w:r>
        <w:tab/>
        <w:t>On November 14, 2013, the Commission's Secretary served the first Complaint on PGW.  On November 21, 2013, the Commission's Secretary served the Second Complaint on PGW.</w:t>
      </w:r>
    </w:p>
    <w:p w:rsidR="008D2FC3" w:rsidRDefault="008D2FC3" w:rsidP="00A73592">
      <w:pPr>
        <w:jc w:val="left"/>
      </w:pPr>
    </w:p>
    <w:p w:rsidR="008D2FC3" w:rsidRDefault="008D2FC3" w:rsidP="00A73592">
      <w:pPr>
        <w:jc w:val="left"/>
      </w:pPr>
      <w:r>
        <w:tab/>
      </w:r>
      <w:r>
        <w:tab/>
        <w:t xml:space="preserve">On December 4, 2013, PGW filed its Answer and Preliminary Objections (POs) to the First Complaint.  In its Answer, PGW averred that on August 10, 2004, PGW terminated the gas service at the service address for nonpayment.  On August 6, 2013, PGW was conducting an unbilled use investigation at the service address and found the gas on with an "unknown" meter at the property.  PGW removed the meter and shut off service.  On August 7, 2013, </w:t>
      </w:r>
      <w:proofErr w:type="spellStart"/>
      <w:r>
        <w:t>Melicia</w:t>
      </w:r>
      <w:proofErr w:type="spellEnd"/>
      <w:r>
        <w:t xml:space="preserve"> McDonald applied for service at the service address.  PGW determined that </w:t>
      </w:r>
      <w:proofErr w:type="spellStart"/>
      <w:r>
        <w:t>Melicia</w:t>
      </w:r>
      <w:proofErr w:type="spellEnd"/>
      <w:r>
        <w:t xml:space="preserve"> McDonald was linked to the service address since 2001 and billed her account for unauthorized usage form August 6, 2009 through August 19, 2013, for $9,744.22.  On August 19, 2013, the city of Philadelphia, as owner of PGW, filed a municipal lien against the service address.</w:t>
      </w:r>
    </w:p>
    <w:p w:rsidR="008D2FC3" w:rsidRDefault="008D2FC3" w:rsidP="00A73592">
      <w:pPr>
        <w:jc w:val="left"/>
      </w:pPr>
    </w:p>
    <w:p w:rsidR="008D2FC3" w:rsidRDefault="008D2FC3" w:rsidP="00A73592">
      <w:pPr>
        <w:jc w:val="left"/>
      </w:pPr>
      <w:r>
        <w:tab/>
      </w:r>
      <w:r>
        <w:tab/>
        <w:t>The POs seek dismissal of the request for removal of the lien as beyond the jurisdiction of the Commission.</w:t>
      </w:r>
    </w:p>
    <w:p w:rsidR="008D2FC3" w:rsidRDefault="008D2FC3" w:rsidP="00A73592">
      <w:pPr>
        <w:jc w:val="left"/>
      </w:pPr>
    </w:p>
    <w:p w:rsidR="008D2FC3" w:rsidRDefault="008D2FC3" w:rsidP="00A73592">
      <w:pPr>
        <w:jc w:val="left"/>
      </w:pPr>
      <w:r>
        <w:tab/>
      </w:r>
      <w:r>
        <w:tab/>
        <w:t xml:space="preserve">On December 10, 2013, Complainant filed his response to POs.  On December 11, 2013, PGW filed its Answer and POs to the Second Complaint.  </w:t>
      </w:r>
    </w:p>
    <w:p w:rsidR="008D2FC3" w:rsidRDefault="008D2FC3" w:rsidP="00A73592">
      <w:pPr>
        <w:jc w:val="left"/>
      </w:pPr>
    </w:p>
    <w:p w:rsidR="008D2FC3" w:rsidRDefault="008D2FC3" w:rsidP="00A73592">
      <w:pPr>
        <w:jc w:val="left"/>
      </w:pPr>
      <w:r>
        <w:tab/>
      </w:r>
      <w:r>
        <w:tab/>
        <w:t>On December 30, 2013, the first Complaint was assigned to Administrative Law Judge Kandace Melillo by Motion Judge Assignment Notice.</w:t>
      </w:r>
    </w:p>
    <w:p w:rsidR="008D2FC3" w:rsidRDefault="008D2FC3" w:rsidP="00A73592">
      <w:pPr>
        <w:jc w:val="left"/>
      </w:pPr>
    </w:p>
    <w:p w:rsidR="008D2FC3" w:rsidRDefault="008D2FC3" w:rsidP="00A73592">
      <w:pPr>
        <w:jc w:val="left"/>
      </w:pPr>
      <w:r>
        <w:tab/>
      </w:r>
      <w:r>
        <w:tab/>
        <w:t xml:space="preserve">On January 6, 2014, a telephonic hearing notice scheduled the Second Complaint for hearing on February 6, 2013, and assigned the matter to me.  </w:t>
      </w:r>
      <w:r w:rsidR="00000BF9">
        <w:t xml:space="preserve">On January 9, 2013, an Order Consolidating the Dockets, Granting in Part and </w:t>
      </w:r>
      <w:proofErr w:type="gramStart"/>
      <w:r w:rsidR="00000BF9">
        <w:t>Denying</w:t>
      </w:r>
      <w:proofErr w:type="gramEnd"/>
      <w:r w:rsidR="00000BF9">
        <w:t xml:space="preserve"> in Part the Preliminary Objections of Philadelphia Gas Works and Providing Prehearing Direction was issued.</w:t>
      </w:r>
    </w:p>
    <w:p w:rsidR="00000BF9" w:rsidRDefault="00000BF9" w:rsidP="00A73592">
      <w:pPr>
        <w:jc w:val="left"/>
      </w:pPr>
    </w:p>
    <w:p w:rsidR="00000BF9" w:rsidRDefault="00000BF9" w:rsidP="00A73592">
      <w:pPr>
        <w:jc w:val="left"/>
      </w:pPr>
      <w:r>
        <w:tab/>
      </w:r>
      <w:r>
        <w:tab/>
        <w:t xml:space="preserve">On January 13, 2014, a Judge Change Notice was issued which reassigned the First Complaint to me and scheduled the hearing for Thursday, February 6, 2014.  </w:t>
      </w:r>
    </w:p>
    <w:p w:rsidR="00000BF9" w:rsidRDefault="00000BF9" w:rsidP="00A73592">
      <w:pPr>
        <w:jc w:val="left"/>
      </w:pPr>
    </w:p>
    <w:p w:rsidR="00000BF9" w:rsidRDefault="00000BF9" w:rsidP="00A73592">
      <w:pPr>
        <w:jc w:val="left"/>
      </w:pPr>
      <w:r>
        <w:lastRenderedPageBreak/>
        <w:tab/>
      </w:r>
      <w:r>
        <w:tab/>
        <w:t>On February 4, 2014, PGW filed a Motion for Continuance of Hearing, citing the unavailability of a witness due to that witness being on jury duty on the day of the hearing and stating that the attorney for Complainant had no objection to the continuance.</w:t>
      </w:r>
    </w:p>
    <w:p w:rsidR="00000BF9" w:rsidRDefault="00000BF9" w:rsidP="00A73592">
      <w:pPr>
        <w:jc w:val="left"/>
      </w:pPr>
    </w:p>
    <w:p w:rsidR="00000BF9" w:rsidRDefault="00000BF9" w:rsidP="00A73592">
      <w:pPr>
        <w:jc w:val="left"/>
      </w:pPr>
      <w:r>
        <w:tab/>
      </w:r>
      <w:r>
        <w:tab/>
        <w:t>THEREFORE,</w:t>
      </w:r>
    </w:p>
    <w:p w:rsidR="00000BF9" w:rsidRDefault="00000BF9" w:rsidP="00A73592">
      <w:pPr>
        <w:jc w:val="left"/>
      </w:pPr>
    </w:p>
    <w:p w:rsidR="00000BF9" w:rsidRDefault="00000BF9" w:rsidP="00A73592">
      <w:pPr>
        <w:jc w:val="left"/>
      </w:pPr>
      <w:r>
        <w:tab/>
      </w:r>
      <w:r>
        <w:tab/>
        <w:t>IT IS ORDERED:</w:t>
      </w:r>
    </w:p>
    <w:p w:rsidR="00000BF9" w:rsidRDefault="00000BF9" w:rsidP="00A73592">
      <w:pPr>
        <w:jc w:val="left"/>
      </w:pPr>
    </w:p>
    <w:p w:rsidR="00000BF9" w:rsidRDefault="00000BF9" w:rsidP="00A73592">
      <w:pPr>
        <w:jc w:val="left"/>
      </w:pPr>
      <w:r>
        <w:tab/>
      </w:r>
      <w:r>
        <w:tab/>
        <w:t>1.</w:t>
      </w:r>
      <w:r>
        <w:tab/>
        <w:t>That the Motion for Continuance of Hearing filed by Philadelphia Gas Works is granted as unopposed.</w:t>
      </w:r>
    </w:p>
    <w:p w:rsidR="00000BF9" w:rsidRDefault="00000BF9" w:rsidP="00A73592">
      <w:pPr>
        <w:jc w:val="left"/>
      </w:pPr>
    </w:p>
    <w:p w:rsidR="00000BF9" w:rsidRDefault="00000BF9" w:rsidP="00A73592">
      <w:pPr>
        <w:jc w:val="left"/>
      </w:pPr>
      <w:r>
        <w:tab/>
      </w:r>
      <w:r>
        <w:tab/>
        <w:t>2.</w:t>
      </w:r>
      <w:r>
        <w:tab/>
        <w:t>That the evidentiary hearing set for February 6, 2014, is canceled.</w:t>
      </w:r>
    </w:p>
    <w:p w:rsidR="00000BF9" w:rsidRDefault="00000BF9" w:rsidP="00A73592">
      <w:pPr>
        <w:jc w:val="left"/>
      </w:pPr>
    </w:p>
    <w:p w:rsidR="00000BF9" w:rsidRDefault="00000BF9" w:rsidP="00A73592">
      <w:pPr>
        <w:jc w:val="left"/>
      </w:pPr>
      <w:r>
        <w:tab/>
      </w:r>
      <w:r>
        <w:tab/>
        <w:t>3.</w:t>
      </w:r>
      <w:r>
        <w:tab/>
        <w:t>That the parties shall consult and agree upon THREE dates that they and all witnesses are available for a rescheduled hearing.</w:t>
      </w:r>
    </w:p>
    <w:p w:rsidR="00000BF9" w:rsidRDefault="00000BF9" w:rsidP="00A73592">
      <w:pPr>
        <w:jc w:val="left"/>
      </w:pPr>
    </w:p>
    <w:p w:rsidR="00000BF9" w:rsidRDefault="00000BF9" w:rsidP="00A73592">
      <w:pPr>
        <w:jc w:val="left"/>
      </w:pPr>
      <w:r>
        <w:tab/>
      </w:r>
      <w:r>
        <w:tab/>
        <w:t>4.</w:t>
      </w:r>
      <w:r>
        <w:tab/>
        <w:t>That within thirty days of the date of this Order, counsel for PGW shall submit</w:t>
      </w:r>
      <w:r>
        <w:tab/>
        <w:t xml:space="preserve">THREE dates that both parties have indicated that they are available for a rescheduled hearing.  </w:t>
      </w:r>
    </w:p>
    <w:p w:rsidR="00000BF9" w:rsidRDefault="00000BF9" w:rsidP="00A73592">
      <w:pPr>
        <w:jc w:val="left"/>
      </w:pPr>
    </w:p>
    <w:p w:rsidR="00000BF9" w:rsidRDefault="00000BF9" w:rsidP="00A73592">
      <w:pPr>
        <w:jc w:val="left"/>
      </w:pPr>
      <w:r>
        <w:tab/>
      </w:r>
      <w:r>
        <w:tab/>
        <w:t>5.</w:t>
      </w:r>
      <w:r>
        <w:tab/>
        <w:t>That failure to comply with this Order will result in a hearing scheduled for a date chosen by the Office of Administrative Law Judge</w:t>
      </w:r>
      <w:r w:rsidR="00615A25">
        <w:t>,</w:t>
      </w:r>
      <w:r>
        <w:t xml:space="preserve"> and no continuances shall be granted.</w:t>
      </w:r>
    </w:p>
    <w:p w:rsidR="00000BF9" w:rsidRDefault="00000BF9" w:rsidP="00A73592">
      <w:pPr>
        <w:jc w:val="left"/>
      </w:pPr>
    </w:p>
    <w:p w:rsidR="00000BF9" w:rsidRDefault="00000BF9" w:rsidP="00A73592">
      <w:pPr>
        <w:jc w:val="left"/>
      </w:pPr>
    </w:p>
    <w:p w:rsidR="00000BF9" w:rsidRDefault="00000BF9" w:rsidP="00000BF9">
      <w:pPr>
        <w:spacing w:line="240" w:lineRule="auto"/>
        <w:jc w:val="left"/>
      </w:pPr>
      <w:r>
        <w:t>Dated:</w:t>
      </w:r>
      <w:r>
        <w:tab/>
      </w:r>
      <w:r>
        <w:rPr>
          <w:u w:val="single"/>
        </w:rPr>
        <w:t>February 4, 2014</w:t>
      </w:r>
      <w:r>
        <w:tab/>
      </w:r>
      <w:r>
        <w:tab/>
      </w:r>
      <w:r>
        <w:tab/>
      </w:r>
      <w:r>
        <w:tab/>
      </w:r>
      <w:r>
        <w:tab/>
        <w:t>_____________________________</w:t>
      </w:r>
    </w:p>
    <w:p w:rsidR="00000BF9" w:rsidRDefault="00000BF9" w:rsidP="00000BF9">
      <w:pPr>
        <w:spacing w:line="240" w:lineRule="auto"/>
        <w:jc w:val="left"/>
      </w:pPr>
      <w:r>
        <w:tab/>
      </w:r>
      <w:r>
        <w:tab/>
      </w:r>
      <w:r>
        <w:tab/>
      </w:r>
      <w:r>
        <w:tab/>
      </w:r>
      <w:r>
        <w:tab/>
      </w:r>
      <w:r>
        <w:tab/>
      </w:r>
      <w:r>
        <w:tab/>
      </w:r>
      <w:r>
        <w:tab/>
        <w:t>Susan D. Colwell</w:t>
      </w:r>
    </w:p>
    <w:p w:rsidR="00000BF9" w:rsidRDefault="00000BF9" w:rsidP="00000BF9">
      <w:pPr>
        <w:spacing w:line="240" w:lineRule="auto"/>
        <w:jc w:val="left"/>
      </w:pPr>
      <w:r>
        <w:tab/>
      </w:r>
      <w:r>
        <w:tab/>
      </w:r>
      <w:r>
        <w:tab/>
      </w:r>
      <w:r>
        <w:tab/>
      </w:r>
      <w:r>
        <w:tab/>
      </w:r>
      <w:r>
        <w:tab/>
      </w:r>
      <w:r>
        <w:tab/>
      </w:r>
      <w:r>
        <w:tab/>
        <w:t>Administrative Law Judge</w:t>
      </w:r>
    </w:p>
    <w:p w:rsidR="00000BF9" w:rsidRDefault="00000BF9" w:rsidP="00000BF9">
      <w:pPr>
        <w:spacing w:line="240" w:lineRule="auto"/>
        <w:jc w:val="left"/>
      </w:pPr>
    </w:p>
    <w:p w:rsidR="00000BF9" w:rsidRPr="00000BF9" w:rsidRDefault="00000BF9" w:rsidP="00000BF9">
      <w:pPr>
        <w:spacing w:line="240" w:lineRule="auto"/>
        <w:jc w:val="left"/>
      </w:pPr>
    </w:p>
    <w:p w:rsidR="00F94A53" w:rsidRDefault="00F94A53" w:rsidP="00A73592">
      <w:pPr>
        <w:spacing w:line="240" w:lineRule="auto"/>
        <w:rPr>
          <w:b/>
        </w:rPr>
        <w:sectPr w:rsidR="00F94A53" w:rsidSect="00C04960">
          <w:pgSz w:w="12240" w:h="15840"/>
          <w:pgMar w:top="1440" w:right="1440" w:bottom="1440" w:left="1440" w:header="720" w:footer="720" w:gutter="0"/>
          <w:cols w:space="720"/>
          <w:docGrid w:linePitch="360"/>
        </w:sectPr>
      </w:pPr>
    </w:p>
    <w:p w:rsidR="00F94A53" w:rsidRDefault="00F94A53" w:rsidP="00F94A53">
      <w:pPr>
        <w:spacing w:line="240" w:lineRule="auto"/>
        <w:contextualSpacing/>
        <w:jc w:val="left"/>
        <w:rPr>
          <w:rFonts w:ascii="Arial monospaced for SAP" w:hAnsi="Arial monospaced for SAP"/>
          <w:b/>
          <w:u w:val="single"/>
        </w:rPr>
      </w:pPr>
      <w:r>
        <w:rPr>
          <w:rFonts w:ascii="Arial monospaced for SAP" w:hAnsi="Arial monospaced for SAP"/>
          <w:b/>
          <w:u w:val="single"/>
        </w:rPr>
        <w:lastRenderedPageBreak/>
        <w:t>C-2013-2393573 - HENRY GONZALEZ v. PHILADELPHIA GAS WORKS</w:t>
      </w:r>
    </w:p>
    <w:p w:rsidR="00F94A53" w:rsidRDefault="00F94A53" w:rsidP="00F94A53">
      <w:pPr>
        <w:spacing w:line="240" w:lineRule="auto"/>
        <w:contextualSpacing/>
        <w:jc w:val="left"/>
        <w:rPr>
          <w:rFonts w:ascii="Arial monospaced for SAP" w:hAnsi="Arial monospaced for SAP"/>
          <w:b/>
          <w:u w:val="single"/>
        </w:rPr>
      </w:pPr>
    </w:p>
    <w:p w:rsidR="00F94A53" w:rsidRDefault="00F94A53" w:rsidP="00F94A53">
      <w:pPr>
        <w:spacing w:line="240" w:lineRule="auto"/>
        <w:contextualSpacing/>
        <w:jc w:val="left"/>
        <w:rPr>
          <w:rFonts w:ascii="Arial monospaced for SAP" w:hAnsi="Arial monospaced for SAP"/>
        </w:rPr>
      </w:pPr>
      <w:r>
        <w:rPr>
          <w:rFonts w:ascii="Arial monospaced for SAP" w:hAnsi="Arial monospaced for SAP"/>
        </w:rPr>
        <w:t>PETER KATEVATIS ESQ</w:t>
      </w:r>
    </w:p>
    <w:p w:rsidR="00F94A53" w:rsidRDefault="00F94A53" w:rsidP="00F94A53">
      <w:pPr>
        <w:spacing w:line="240" w:lineRule="auto"/>
        <w:contextualSpacing/>
        <w:jc w:val="left"/>
        <w:rPr>
          <w:rFonts w:ascii="Arial monospaced for SAP" w:hAnsi="Arial monospaced for SAP"/>
        </w:rPr>
      </w:pPr>
      <w:r>
        <w:rPr>
          <w:rFonts w:ascii="Arial monospaced for SAP" w:hAnsi="Arial monospaced for SAP"/>
        </w:rPr>
        <w:t>2318 PEROT STREET</w:t>
      </w:r>
    </w:p>
    <w:p w:rsidR="00F94A53" w:rsidRDefault="00F94A53" w:rsidP="00F94A53">
      <w:pPr>
        <w:spacing w:line="240" w:lineRule="auto"/>
        <w:contextualSpacing/>
        <w:jc w:val="left"/>
        <w:rPr>
          <w:rFonts w:ascii="Arial monospaced for SAP" w:hAnsi="Arial monospaced for SAP"/>
        </w:rPr>
      </w:pPr>
      <w:r>
        <w:rPr>
          <w:rFonts w:ascii="Arial monospaced for SAP" w:hAnsi="Arial monospaced for SAP"/>
        </w:rPr>
        <w:t>PHILADELPHIA PA  19130</w:t>
      </w:r>
    </w:p>
    <w:p w:rsidR="00F94A53" w:rsidRDefault="00F94A53" w:rsidP="00F94A53">
      <w:pPr>
        <w:spacing w:line="240" w:lineRule="auto"/>
        <w:contextualSpacing/>
        <w:jc w:val="left"/>
        <w:rPr>
          <w:rFonts w:ascii="Arial monospaced for SAP" w:hAnsi="Arial monospaced for SAP"/>
        </w:rPr>
      </w:pPr>
      <w:r>
        <w:rPr>
          <w:rFonts w:ascii="Arial monospaced for SAP" w:hAnsi="Arial monospaced for SAP"/>
        </w:rPr>
        <w:t>215.485.0362</w:t>
      </w:r>
    </w:p>
    <w:p w:rsidR="00F94A53" w:rsidRDefault="00F94A53" w:rsidP="00F94A53">
      <w:pPr>
        <w:spacing w:line="240" w:lineRule="auto"/>
        <w:contextualSpacing/>
        <w:jc w:val="left"/>
        <w:rPr>
          <w:rFonts w:ascii="Arial monospaced for SAP" w:hAnsi="Arial monospaced for SAP"/>
        </w:rPr>
      </w:pPr>
    </w:p>
    <w:p w:rsidR="00F94A53" w:rsidRDefault="00F94A53" w:rsidP="00F94A53">
      <w:pPr>
        <w:spacing w:line="240" w:lineRule="auto"/>
        <w:contextualSpacing/>
        <w:jc w:val="left"/>
        <w:rPr>
          <w:rFonts w:ascii="Arial monospaced for SAP" w:hAnsi="Arial monospaced for SAP"/>
        </w:rPr>
      </w:pPr>
      <w:bookmarkStart w:id="0" w:name="_GoBack"/>
      <w:r>
        <w:rPr>
          <w:rFonts w:ascii="Arial monospaced for SAP" w:hAnsi="Arial monospaced for SAP"/>
        </w:rPr>
        <w:t>HENRY GONZALEZ</w:t>
      </w:r>
    </w:p>
    <w:p w:rsidR="00F94A53" w:rsidRDefault="00F94A53" w:rsidP="00F94A53">
      <w:pPr>
        <w:spacing w:line="240" w:lineRule="auto"/>
        <w:contextualSpacing/>
        <w:jc w:val="left"/>
        <w:rPr>
          <w:rFonts w:ascii="Arial monospaced for SAP" w:hAnsi="Arial monospaced for SAP"/>
        </w:rPr>
      </w:pPr>
      <w:r>
        <w:rPr>
          <w:rFonts w:ascii="Arial monospaced for SAP" w:hAnsi="Arial monospaced for SAP"/>
        </w:rPr>
        <w:t>2140 RACE ST</w:t>
      </w:r>
    </w:p>
    <w:p w:rsidR="00F94A53" w:rsidRDefault="00F94A53" w:rsidP="00F94A53">
      <w:pPr>
        <w:spacing w:line="240" w:lineRule="auto"/>
        <w:contextualSpacing/>
        <w:jc w:val="left"/>
        <w:rPr>
          <w:rFonts w:ascii="Arial monospaced for SAP" w:hAnsi="Arial monospaced for SAP"/>
        </w:rPr>
      </w:pPr>
      <w:r>
        <w:rPr>
          <w:rFonts w:ascii="Arial monospaced for SAP" w:hAnsi="Arial monospaced for SAP"/>
        </w:rPr>
        <w:t>PHILADELPHIA PA  19103</w:t>
      </w:r>
    </w:p>
    <w:bookmarkEnd w:id="0"/>
    <w:p w:rsidR="00F94A53" w:rsidRDefault="00F94A53" w:rsidP="00F94A53">
      <w:pPr>
        <w:spacing w:line="240" w:lineRule="auto"/>
        <w:contextualSpacing/>
        <w:jc w:val="left"/>
        <w:rPr>
          <w:rFonts w:ascii="Arial monospaced for SAP" w:hAnsi="Arial monospaced for SAP"/>
        </w:rPr>
      </w:pPr>
      <w:r>
        <w:rPr>
          <w:rFonts w:ascii="Arial monospaced for SAP" w:hAnsi="Arial monospaced for SAP"/>
        </w:rPr>
        <w:t>267.324.5254</w:t>
      </w:r>
    </w:p>
    <w:p w:rsidR="00F94A53" w:rsidRDefault="00F94A53" w:rsidP="00F94A53">
      <w:pPr>
        <w:spacing w:line="240" w:lineRule="auto"/>
        <w:contextualSpacing/>
        <w:jc w:val="left"/>
        <w:rPr>
          <w:rFonts w:ascii="Arial monospaced for SAP" w:hAnsi="Arial monospaced for SAP"/>
          <w:sz w:val="22"/>
        </w:rPr>
      </w:pPr>
    </w:p>
    <w:p w:rsidR="00F94A53" w:rsidRDefault="00F94A53" w:rsidP="00F94A53">
      <w:pPr>
        <w:spacing w:line="240" w:lineRule="auto"/>
        <w:contextualSpacing/>
        <w:jc w:val="left"/>
        <w:rPr>
          <w:rFonts w:ascii="Arial monospaced for SAP" w:hAnsi="Arial monospaced for SAP"/>
        </w:rPr>
      </w:pPr>
      <w:r>
        <w:rPr>
          <w:rFonts w:ascii="Arial monospaced for SAP" w:hAnsi="Arial monospaced for SAP"/>
        </w:rPr>
        <w:t>LAURETO FARINAS ESQUIRE</w:t>
      </w:r>
    </w:p>
    <w:p w:rsidR="00F94A53" w:rsidRDefault="00F94A53" w:rsidP="00F94A53">
      <w:pPr>
        <w:spacing w:line="240" w:lineRule="auto"/>
        <w:contextualSpacing/>
        <w:jc w:val="left"/>
        <w:rPr>
          <w:rFonts w:ascii="Arial monospaced for SAP" w:hAnsi="Arial monospaced for SAP"/>
        </w:rPr>
      </w:pPr>
      <w:r>
        <w:rPr>
          <w:rFonts w:ascii="Arial monospaced for SAP" w:hAnsi="Arial monospaced for SAP"/>
        </w:rPr>
        <w:t>PHILADELPHIA GAS WORKS</w:t>
      </w:r>
    </w:p>
    <w:p w:rsidR="00F94A53" w:rsidRDefault="00F94A53" w:rsidP="00F94A53">
      <w:pPr>
        <w:spacing w:line="240" w:lineRule="auto"/>
        <w:contextualSpacing/>
        <w:jc w:val="left"/>
        <w:rPr>
          <w:rFonts w:ascii="Arial monospaced for SAP" w:hAnsi="Arial monospaced for SAP"/>
        </w:rPr>
      </w:pPr>
      <w:r>
        <w:rPr>
          <w:rFonts w:ascii="Arial monospaced for SAP" w:hAnsi="Arial monospaced for SAP"/>
        </w:rPr>
        <w:t>4TH FLOOR</w:t>
      </w:r>
    </w:p>
    <w:p w:rsidR="00F94A53" w:rsidRDefault="00F94A53" w:rsidP="00F94A53">
      <w:pPr>
        <w:spacing w:line="240" w:lineRule="auto"/>
        <w:contextualSpacing/>
        <w:jc w:val="left"/>
        <w:rPr>
          <w:rFonts w:ascii="Arial monospaced for SAP" w:hAnsi="Arial monospaced for SAP"/>
        </w:rPr>
      </w:pPr>
      <w:r>
        <w:rPr>
          <w:rFonts w:ascii="Arial monospaced for SAP" w:hAnsi="Arial monospaced for SAP"/>
        </w:rPr>
        <w:t>800 W MONTGOMERY AVENUE</w:t>
      </w:r>
    </w:p>
    <w:p w:rsidR="00F94A53" w:rsidRDefault="00F94A53" w:rsidP="00F94A53">
      <w:pPr>
        <w:spacing w:line="240" w:lineRule="auto"/>
        <w:contextualSpacing/>
        <w:jc w:val="left"/>
        <w:rPr>
          <w:rFonts w:ascii="Arial monospaced for SAP" w:hAnsi="Arial monospaced for SAP"/>
        </w:rPr>
      </w:pPr>
      <w:r>
        <w:rPr>
          <w:rFonts w:ascii="Arial monospaced for SAP" w:hAnsi="Arial monospaced for SAP"/>
        </w:rPr>
        <w:t>PHILADELPHIA PA  19122</w:t>
      </w:r>
    </w:p>
    <w:p w:rsidR="00F94A53" w:rsidRDefault="00F94A53" w:rsidP="00F94A53">
      <w:pPr>
        <w:spacing w:line="240" w:lineRule="auto"/>
        <w:contextualSpacing/>
        <w:jc w:val="left"/>
        <w:rPr>
          <w:rFonts w:ascii="Arial monospaced for SAP" w:hAnsi="Arial monospaced for SAP"/>
        </w:rPr>
      </w:pPr>
      <w:r>
        <w:rPr>
          <w:rFonts w:ascii="Arial monospaced for SAP" w:hAnsi="Arial monospaced for SAP"/>
        </w:rPr>
        <w:t>215.684.6982</w:t>
      </w:r>
    </w:p>
    <w:p w:rsidR="00F94A53" w:rsidRDefault="00F94A53" w:rsidP="00F94A53">
      <w:pPr>
        <w:spacing w:line="240" w:lineRule="auto"/>
        <w:contextualSpacing/>
        <w:jc w:val="left"/>
        <w:rPr>
          <w:rFonts w:ascii="Arial monospaced for SAP" w:hAnsi="Arial monospaced for SAP"/>
          <w:b/>
          <w:i/>
          <w:sz w:val="22"/>
          <w:u w:val="single"/>
        </w:rPr>
      </w:pPr>
      <w:r>
        <w:rPr>
          <w:rFonts w:ascii="Arial monospaced for SAP" w:hAnsi="Arial monospaced for SAP"/>
          <w:b/>
          <w:i/>
          <w:u w:val="single"/>
        </w:rPr>
        <w:t>E-Serve</w:t>
      </w:r>
    </w:p>
    <w:p w:rsidR="00F94A53" w:rsidRDefault="00F94A53" w:rsidP="00F94A53">
      <w:pPr>
        <w:spacing w:line="240" w:lineRule="auto"/>
        <w:jc w:val="left"/>
        <w:rPr>
          <w:b/>
        </w:rPr>
      </w:pPr>
    </w:p>
    <w:p w:rsidR="00F94A53" w:rsidRPr="00F94A53" w:rsidRDefault="00F94A53" w:rsidP="00F94A53"/>
    <w:p w:rsidR="00F94A53" w:rsidRDefault="00F94A53" w:rsidP="00F94A53"/>
    <w:p w:rsidR="00F94A53" w:rsidRDefault="00F94A53" w:rsidP="00F94A53"/>
    <w:p w:rsidR="00A73592" w:rsidRPr="00F94A53" w:rsidRDefault="00F94A53" w:rsidP="00F94A53">
      <w:pPr>
        <w:tabs>
          <w:tab w:val="left" w:pos="7560"/>
        </w:tabs>
        <w:jc w:val="left"/>
      </w:pPr>
      <w:r>
        <w:tab/>
      </w:r>
    </w:p>
    <w:sectPr w:rsidR="00A73592" w:rsidRPr="00F94A53" w:rsidSect="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592"/>
    <w:rsid w:val="00000BF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5A25"/>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86CC3"/>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2FC3"/>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592"/>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2C32"/>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4A53"/>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A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A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A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A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58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2014-02-04T20:37:00Z</cp:lastPrinted>
  <dcterms:created xsi:type="dcterms:W3CDTF">2014-02-04T20:34:00Z</dcterms:created>
  <dcterms:modified xsi:type="dcterms:W3CDTF">2014-02-04T20:40:00Z</dcterms:modified>
</cp:coreProperties>
</file>