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w:t>
        </w:r>
        <w:smartTag w:uri="urn:schemas-microsoft-com:office:smarttags" w:element="PostalCode">
          <w:r>
            <w:rPr>
              <w:b/>
              <w:sz w:val="26"/>
              <w:szCs w:val="26"/>
            </w:rPr>
            <w:t>17105-3265</w:t>
          </w:r>
        </w:smartTag>
      </w:smartTag>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9078DF" w:rsidRDefault="00251BC5" w:rsidP="00592753">
      <w:pPr>
        <w:tabs>
          <w:tab w:val="left" w:pos="-720"/>
        </w:tabs>
        <w:suppressAutoHyphens/>
        <w:spacing w:line="240" w:lineRule="auto"/>
        <w:ind w:firstLine="0"/>
        <w:jc w:val="right"/>
        <w:rPr>
          <w:sz w:val="26"/>
          <w:szCs w:val="26"/>
        </w:rPr>
      </w:pPr>
      <w:r>
        <w:rPr>
          <w:sz w:val="26"/>
          <w:szCs w:val="26"/>
        </w:rPr>
        <w:t xml:space="preserve"> </w:t>
      </w:r>
      <w:r w:rsidR="009078DF">
        <w:rPr>
          <w:sz w:val="26"/>
          <w:szCs w:val="26"/>
        </w:rPr>
        <w:t xml:space="preserve">Public Meeting held </w:t>
      </w:r>
      <w:r>
        <w:rPr>
          <w:sz w:val="26"/>
          <w:szCs w:val="26"/>
        </w:rPr>
        <w:t>February 6,</w:t>
      </w:r>
      <w:r w:rsidR="009078DF">
        <w:rPr>
          <w:sz w:val="26"/>
          <w:szCs w:val="26"/>
        </w:rPr>
        <w:t xml:space="preserve"> 20</w:t>
      </w:r>
      <w:r w:rsidR="008F0C2C">
        <w:rPr>
          <w:sz w:val="26"/>
          <w:szCs w:val="26"/>
        </w:rPr>
        <w:t>1</w:t>
      </w:r>
      <w:r>
        <w:rPr>
          <w:sz w:val="26"/>
          <w:szCs w:val="26"/>
        </w:rPr>
        <w:t>4</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251BC5" w:rsidP="00251BC5">
      <w:pPr>
        <w:tabs>
          <w:tab w:val="left" w:pos="705"/>
        </w:tabs>
        <w:spacing w:line="240" w:lineRule="auto"/>
        <w:ind w:firstLine="720"/>
        <w:rPr>
          <w:sz w:val="26"/>
          <w:szCs w:val="26"/>
        </w:rPr>
      </w:pPr>
      <w:r w:rsidRPr="00251BC5">
        <w:rPr>
          <w:sz w:val="26"/>
          <w:szCs w:val="26"/>
        </w:rPr>
        <w:t>Robert F. Powelson,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John F. Coleman, Jr., Vice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James H. Cawley</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Pamela A. Witmer</w:t>
      </w:r>
    </w:p>
    <w:p w:rsidR="00251BC5" w:rsidRDefault="00251BC5" w:rsidP="00251BC5">
      <w:pPr>
        <w:widowControl w:val="0"/>
        <w:tabs>
          <w:tab w:val="left" w:pos="705"/>
        </w:tabs>
        <w:spacing w:line="240" w:lineRule="auto"/>
        <w:ind w:firstLine="720"/>
        <w:rPr>
          <w:sz w:val="26"/>
          <w:szCs w:val="26"/>
        </w:rPr>
      </w:pPr>
      <w:r w:rsidRPr="00251BC5">
        <w:rPr>
          <w:sz w:val="26"/>
          <w:szCs w:val="26"/>
        </w:rPr>
        <w:t>Gladys M. Brown</w:t>
      </w:r>
    </w:p>
    <w:p w:rsidR="006266C0" w:rsidRDefault="006266C0" w:rsidP="00251BC5">
      <w:pPr>
        <w:widowControl w:val="0"/>
        <w:tabs>
          <w:tab w:val="left" w:pos="705"/>
        </w:tabs>
        <w:spacing w:line="240" w:lineRule="auto"/>
        <w:ind w:firstLine="720"/>
        <w:rPr>
          <w:sz w:val="26"/>
          <w:szCs w:val="26"/>
        </w:rPr>
      </w:pP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C6799F">
        <w:tc>
          <w:tcPr>
            <w:tcW w:w="5238" w:type="dxa"/>
          </w:tcPr>
          <w:p w:rsidR="006266C0" w:rsidRP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Pennsylvania Public Utility Commission</w:t>
            </w:r>
            <w:r w:rsidRPr="006266C0">
              <w:rPr>
                <w:rFonts w:ascii="Times New Roman" w:hAnsi="Times New Roman"/>
                <w:sz w:val="26"/>
                <w:szCs w:val="26"/>
              </w:rPr>
              <w:tab/>
            </w:r>
          </w:p>
        </w:tc>
        <w:tc>
          <w:tcPr>
            <w:tcW w:w="4320" w:type="dxa"/>
          </w:tcPr>
          <w:p w:rsidR="006266C0" w:rsidRPr="006266C0" w:rsidRDefault="006266C0" w:rsidP="006266C0">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R</w:t>
            </w:r>
            <w:r w:rsidRPr="006266C0">
              <w:rPr>
                <w:rFonts w:ascii="Times New Roman" w:hAnsi="Times New Roman"/>
                <w:sz w:val="26"/>
                <w:szCs w:val="26"/>
              </w:rPr>
              <w:t>-201</w:t>
            </w:r>
            <w:r>
              <w:rPr>
                <w:rFonts w:ascii="Times New Roman" w:hAnsi="Times New Roman"/>
                <w:sz w:val="26"/>
                <w:szCs w:val="26"/>
              </w:rPr>
              <w:t>3</w:t>
            </w:r>
            <w:r w:rsidRPr="006266C0">
              <w:rPr>
                <w:rFonts w:ascii="Times New Roman" w:hAnsi="Times New Roman"/>
                <w:sz w:val="26"/>
                <w:szCs w:val="26"/>
              </w:rPr>
              <w:t>-</w:t>
            </w:r>
            <w:r>
              <w:rPr>
                <w:rFonts w:ascii="Times New Roman" w:hAnsi="Times New Roman"/>
                <w:sz w:val="26"/>
                <w:szCs w:val="26"/>
              </w:rPr>
              <w:t>2372129</w:t>
            </w:r>
          </w:p>
        </w:tc>
      </w:tr>
      <w:tr w:rsidR="006266C0" w:rsidRPr="006266C0" w:rsidTr="00C6799F">
        <w:tc>
          <w:tcPr>
            <w:tcW w:w="5238" w:type="dxa"/>
          </w:tcPr>
          <w:p w:rsidR="006266C0" w:rsidRDefault="006266C0" w:rsidP="006266C0">
            <w:pPr>
              <w:widowControl w:val="0"/>
              <w:spacing w:line="240" w:lineRule="auto"/>
              <w:ind w:right="-108" w:firstLine="0"/>
              <w:rPr>
                <w:rFonts w:ascii="Times New Roman" w:hAnsi="Times New Roman"/>
                <w:sz w:val="26"/>
                <w:szCs w:val="26"/>
              </w:rPr>
            </w:pPr>
            <w:r>
              <w:rPr>
                <w:rFonts w:ascii="Times New Roman" w:hAnsi="Times New Roman"/>
                <w:sz w:val="26"/>
                <w:szCs w:val="26"/>
              </w:rPr>
              <w:t>Office of Consumer Advocate</w:t>
            </w:r>
          </w:p>
          <w:p w:rsidR="006266C0" w:rsidRPr="006266C0" w:rsidRDefault="006266C0" w:rsidP="006266C0">
            <w:pPr>
              <w:widowControl w:val="0"/>
              <w:spacing w:line="240" w:lineRule="auto"/>
              <w:ind w:right="-108" w:firstLine="0"/>
              <w:rPr>
                <w:rFonts w:ascii="Times New Roman" w:hAnsi="Times New Roman"/>
                <w:sz w:val="26"/>
                <w:szCs w:val="26"/>
              </w:rPr>
            </w:pPr>
            <w:r>
              <w:rPr>
                <w:rFonts w:ascii="Times New Roman" w:hAnsi="Times New Roman"/>
                <w:sz w:val="26"/>
                <w:szCs w:val="26"/>
              </w:rPr>
              <w:t>Office of Small Business Advocate</w:t>
            </w:r>
          </w:p>
        </w:tc>
        <w:tc>
          <w:tcPr>
            <w:tcW w:w="4320" w:type="dxa"/>
          </w:tcPr>
          <w:p w:rsidR="006266C0" w:rsidRDefault="006266C0" w:rsidP="006266C0">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C-2013-2379084</w:t>
            </w:r>
          </w:p>
          <w:p w:rsidR="006266C0" w:rsidRPr="006266C0" w:rsidRDefault="006266C0" w:rsidP="006266C0">
            <w:pPr>
              <w:widowControl w:val="0"/>
              <w:spacing w:line="240" w:lineRule="auto"/>
              <w:ind w:left="-108" w:firstLine="0"/>
              <w:jc w:val="right"/>
              <w:rPr>
                <w:rFonts w:ascii="Times New Roman" w:hAnsi="Times New Roman"/>
                <w:sz w:val="26"/>
                <w:szCs w:val="26"/>
                <w:highlight w:val="green"/>
              </w:rPr>
            </w:pPr>
            <w:r>
              <w:rPr>
                <w:rFonts w:ascii="Times New Roman" w:hAnsi="Times New Roman"/>
                <w:sz w:val="26"/>
                <w:szCs w:val="26"/>
              </w:rPr>
              <w:t>C-2013-2380474</w:t>
            </w:r>
            <w:r w:rsidRPr="006266C0">
              <w:rPr>
                <w:rFonts w:ascii="Times New Roman" w:hAnsi="Times New Roman"/>
                <w:sz w:val="26"/>
                <w:szCs w:val="26"/>
              </w:rPr>
              <w:t xml:space="preserve"> </w:t>
            </w:r>
          </w:p>
        </w:tc>
      </w:tr>
      <w:tr w:rsidR="006266C0" w:rsidRPr="006266C0" w:rsidTr="00C6799F">
        <w:tc>
          <w:tcPr>
            <w:tcW w:w="5238" w:type="dxa"/>
          </w:tcPr>
          <w:p w:rsid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 xml:space="preserve">Jacquelyn and Robert Miller </w:t>
            </w:r>
          </w:p>
          <w:p w:rsidR="006266C0" w:rsidRP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Gwendolyn L. LeVert</w:t>
            </w:r>
          </w:p>
        </w:tc>
        <w:tc>
          <w:tcPr>
            <w:tcW w:w="4320" w:type="dxa"/>
          </w:tcPr>
          <w:p w:rsidR="006266C0" w:rsidRDefault="006266C0" w:rsidP="006266C0">
            <w:pPr>
              <w:widowControl w:val="0"/>
              <w:spacing w:line="240" w:lineRule="auto"/>
              <w:ind w:firstLine="0"/>
              <w:jc w:val="right"/>
              <w:rPr>
                <w:rFonts w:ascii="Times New Roman" w:hAnsi="Times New Roman"/>
                <w:sz w:val="26"/>
                <w:szCs w:val="26"/>
              </w:rPr>
            </w:pPr>
            <w:r>
              <w:rPr>
                <w:rFonts w:ascii="Times New Roman" w:hAnsi="Times New Roman"/>
                <w:sz w:val="26"/>
                <w:szCs w:val="26"/>
              </w:rPr>
              <w:t>C-2013-2383835</w:t>
            </w:r>
          </w:p>
          <w:p w:rsidR="006266C0" w:rsidRPr="006266C0" w:rsidRDefault="006266C0" w:rsidP="006266C0">
            <w:pPr>
              <w:widowControl w:val="0"/>
              <w:spacing w:line="240" w:lineRule="auto"/>
              <w:ind w:firstLine="0"/>
              <w:jc w:val="right"/>
              <w:rPr>
                <w:rFonts w:ascii="Times New Roman" w:hAnsi="Times New Roman"/>
                <w:sz w:val="26"/>
                <w:szCs w:val="26"/>
              </w:rPr>
            </w:pPr>
            <w:r>
              <w:rPr>
                <w:rFonts w:ascii="Times New Roman" w:hAnsi="Times New Roman"/>
                <w:sz w:val="26"/>
                <w:szCs w:val="26"/>
              </w:rPr>
              <w:t>C-2013-2383980</w:t>
            </w:r>
          </w:p>
        </w:tc>
      </w:tr>
      <w:tr w:rsidR="006266C0" w:rsidRPr="006266C0" w:rsidTr="00C6799F">
        <w:tc>
          <w:tcPr>
            <w:tcW w:w="5238" w:type="dxa"/>
          </w:tcPr>
          <w:p w:rsidR="006266C0" w:rsidRP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Duquesne Industrial Intervenors</w:t>
            </w:r>
          </w:p>
        </w:tc>
        <w:tc>
          <w:tcPr>
            <w:tcW w:w="4320" w:type="dxa"/>
          </w:tcPr>
          <w:p w:rsidR="006266C0" w:rsidRPr="006266C0" w:rsidRDefault="006266C0" w:rsidP="006266C0">
            <w:pPr>
              <w:widowControl w:val="0"/>
              <w:spacing w:line="240" w:lineRule="auto"/>
              <w:ind w:firstLine="0"/>
              <w:jc w:val="right"/>
              <w:rPr>
                <w:rFonts w:ascii="Times New Roman" w:hAnsi="Times New Roman"/>
                <w:sz w:val="26"/>
                <w:szCs w:val="26"/>
              </w:rPr>
            </w:pPr>
            <w:r>
              <w:rPr>
                <w:rFonts w:ascii="Times New Roman" w:hAnsi="Times New Roman"/>
                <w:sz w:val="26"/>
                <w:szCs w:val="26"/>
              </w:rPr>
              <w:t>C-2013-2385292</w:t>
            </w:r>
          </w:p>
        </w:tc>
      </w:tr>
      <w:tr w:rsidR="006266C0" w:rsidRPr="006266C0" w:rsidTr="00C6799F">
        <w:tc>
          <w:tcPr>
            <w:tcW w:w="5238" w:type="dxa"/>
          </w:tcPr>
          <w:p w:rsidR="006266C0" w:rsidRPr="006266C0" w:rsidRDefault="006266C0" w:rsidP="00171BE0">
            <w:pPr>
              <w:widowControl w:val="0"/>
              <w:spacing w:line="240" w:lineRule="auto"/>
              <w:ind w:firstLine="0"/>
              <w:rPr>
                <w:rFonts w:ascii="Times New Roman" w:hAnsi="Times New Roman"/>
                <w:sz w:val="26"/>
                <w:szCs w:val="26"/>
              </w:rPr>
            </w:pPr>
            <w:r>
              <w:rPr>
                <w:rFonts w:ascii="Times New Roman" w:hAnsi="Times New Roman"/>
                <w:sz w:val="26"/>
                <w:szCs w:val="26"/>
              </w:rPr>
              <w:t>Aimee</w:t>
            </w:r>
            <w:r w:rsidR="00171BE0">
              <w:rPr>
                <w:rFonts w:ascii="Times New Roman" w:hAnsi="Times New Roman"/>
                <w:sz w:val="26"/>
                <w:szCs w:val="26"/>
              </w:rPr>
              <w:t>-</w:t>
            </w:r>
            <w:r>
              <w:rPr>
                <w:rFonts w:ascii="Times New Roman" w:hAnsi="Times New Roman"/>
                <w:sz w:val="26"/>
                <w:szCs w:val="26"/>
              </w:rPr>
              <w:t>M</w:t>
            </w:r>
            <w:r w:rsidR="00171BE0">
              <w:rPr>
                <w:rFonts w:ascii="Times New Roman" w:hAnsi="Times New Roman"/>
                <w:sz w:val="26"/>
                <w:szCs w:val="26"/>
              </w:rPr>
              <w:t>arie</w:t>
            </w:r>
            <w:r>
              <w:rPr>
                <w:rFonts w:ascii="Times New Roman" w:hAnsi="Times New Roman"/>
                <w:sz w:val="26"/>
                <w:szCs w:val="26"/>
              </w:rPr>
              <w:t xml:space="preserve"> Dorsten</w:t>
            </w:r>
          </w:p>
        </w:tc>
        <w:tc>
          <w:tcPr>
            <w:tcW w:w="4320" w:type="dxa"/>
          </w:tcPr>
          <w:p w:rsidR="006266C0" w:rsidRPr="006266C0" w:rsidRDefault="006266C0" w:rsidP="006266C0">
            <w:pPr>
              <w:widowControl w:val="0"/>
              <w:spacing w:line="240" w:lineRule="auto"/>
              <w:ind w:firstLine="0"/>
              <w:jc w:val="right"/>
              <w:rPr>
                <w:rFonts w:ascii="Times New Roman" w:hAnsi="Times New Roman"/>
                <w:sz w:val="26"/>
                <w:szCs w:val="26"/>
              </w:rPr>
            </w:pPr>
            <w:r>
              <w:rPr>
                <w:rFonts w:ascii="Times New Roman" w:hAnsi="Times New Roman"/>
                <w:sz w:val="26"/>
                <w:szCs w:val="26"/>
              </w:rPr>
              <w:t>C-2013-2386037</w:t>
            </w:r>
          </w:p>
        </w:tc>
      </w:tr>
    </w:tbl>
    <w:p w:rsidR="009A49A2" w:rsidRDefault="006266C0" w:rsidP="006266C0">
      <w:pPr>
        <w:tabs>
          <w:tab w:val="left" w:pos="-720"/>
        </w:tabs>
        <w:suppressAutoHyphens/>
        <w:spacing w:line="240" w:lineRule="auto"/>
        <w:ind w:firstLine="0"/>
        <w:rPr>
          <w:sz w:val="26"/>
        </w:rPr>
      </w:pPr>
      <w:r>
        <w:rPr>
          <w:sz w:val="26"/>
        </w:rPr>
        <w:t>Connie Schiavo</w:t>
      </w:r>
      <w:r>
        <w:rPr>
          <w:sz w:val="26"/>
        </w:rPr>
        <w:tab/>
      </w:r>
      <w:r>
        <w:rPr>
          <w:sz w:val="26"/>
        </w:rPr>
        <w:tab/>
      </w:r>
      <w:r>
        <w:rPr>
          <w:sz w:val="26"/>
        </w:rPr>
        <w:tab/>
      </w:r>
      <w:r>
        <w:rPr>
          <w:sz w:val="26"/>
        </w:rPr>
        <w:tab/>
      </w:r>
      <w:r>
        <w:rPr>
          <w:sz w:val="26"/>
        </w:rPr>
        <w:tab/>
      </w:r>
      <w:r>
        <w:rPr>
          <w:sz w:val="26"/>
        </w:rPr>
        <w:tab/>
      </w:r>
      <w:r>
        <w:rPr>
          <w:sz w:val="26"/>
        </w:rPr>
        <w:tab/>
      </w:r>
      <w:r>
        <w:rPr>
          <w:sz w:val="26"/>
        </w:rPr>
        <w:tab/>
        <w:t xml:space="preserve">     C-2013-2386284</w:t>
      </w:r>
    </w:p>
    <w:p w:rsidR="0037622C" w:rsidRDefault="0037622C" w:rsidP="0037622C">
      <w:pPr>
        <w:tabs>
          <w:tab w:val="left" w:pos="-720"/>
          <w:tab w:val="right" w:pos="9360"/>
        </w:tabs>
        <w:suppressAutoHyphens/>
        <w:spacing w:line="240" w:lineRule="auto"/>
        <w:ind w:firstLine="0"/>
        <w:rPr>
          <w:sz w:val="26"/>
        </w:rPr>
      </w:pPr>
      <w:r>
        <w:rPr>
          <w:sz w:val="26"/>
        </w:rPr>
        <w:t>NRG Power Midwest LP, NRG Energy</w:t>
      </w:r>
      <w:r>
        <w:rPr>
          <w:sz w:val="26"/>
        </w:rPr>
        <w:tab/>
        <w:t>C-2013-2390562</w:t>
      </w:r>
    </w:p>
    <w:p w:rsidR="0037622C" w:rsidRDefault="0037622C" w:rsidP="0037622C">
      <w:pPr>
        <w:tabs>
          <w:tab w:val="left" w:pos="-720"/>
          <w:tab w:val="right" w:pos="9360"/>
        </w:tabs>
        <w:suppressAutoHyphens/>
        <w:spacing w:line="240" w:lineRule="auto"/>
        <w:ind w:firstLine="0"/>
        <w:rPr>
          <w:sz w:val="26"/>
        </w:rPr>
      </w:pPr>
      <w:r>
        <w:rPr>
          <w:sz w:val="26"/>
        </w:rPr>
        <w:t>Center Pittsburgh LLC, and Reliant</w:t>
      </w:r>
    </w:p>
    <w:p w:rsidR="0037622C" w:rsidRDefault="0037622C" w:rsidP="0037622C">
      <w:pPr>
        <w:tabs>
          <w:tab w:val="left" w:pos="-720"/>
          <w:tab w:val="right" w:pos="9360"/>
        </w:tabs>
        <w:suppressAutoHyphens/>
        <w:spacing w:line="240" w:lineRule="auto"/>
        <w:ind w:firstLine="0"/>
        <w:rPr>
          <w:sz w:val="26"/>
        </w:rPr>
      </w:pPr>
      <w:r>
        <w:rPr>
          <w:sz w:val="26"/>
        </w:rPr>
        <w:t>Energy Northeast LLC</w:t>
      </w:r>
    </w:p>
    <w:p w:rsidR="0037622C" w:rsidRDefault="0037622C" w:rsidP="0037622C">
      <w:pPr>
        <w:tabs>
          <w:tab w:val="left" w:pos="-720"/>
          <w:tab w:val="right" w:pos="9360"/>
        </w:tabs>
        <w:suppressAutoHyphens/>
        <w:spacing w:line="240" w:lineRule="auto"/>
        <w:ind w:firstLine="0"/>
        <w:rPr>
          <w:sz w:val="26"/>
        </w:rPr>
      </w:pPr>
    </w:p>
    <w:p w:rsidR="006266C0" w:rsidRDefault="0037622C" w:rsidP="0037622C">
      <w:pPr>
        <w:tabs>
          <w:tab w:val="left" w:pos="-720"/>
          <w:tab w:val="right" w:pos="9360"/>
        </w:tabs>
        <w:suppressAutoHyphens/>
        <w:spacing w:line="240" w:lineRule="auto"/>
        <w:ind w:left="1440" w:firstLine="0"/>
        <w:rPr>
          <w:sz w:val="26"/>
        </w:rPr>
      </w:pPr>
      <w:r>
        <w:rPr>
          <w:sz w:val="26"/>
        </w:rPr>
        <w:t>v.</w:t>
      </w:r>
      <w:r>
        <w:rPr>
          <w:sz w:val="26"/>
        </w:rPr>
        <w:tab/>
      </w:r>
    </w:p>
    <w:p w:rsidR="006266C0" w:rsidRDefault="006266C0" w:rsidP="006266C0">
      <w:pPr>
        <w:tabs>
          <w:tab w:val="left" w:pos="-720"/>
        </w:tabs>
        <w:suppressAutoHyphens/>
        <w:spacing w:line="240" w:lineRule="auto"/>
        <w:ind w:firstLine="0"/>
        <w:jc w:val="right"/>
        <w:rPr>
          <w:sz w:val="26"/>
        </w:rPr>
      </w:pPr>
    </w:p>
    <w:p w:rsidR="0037622C" w:rsidRPr="0037622C" w:rsidRDefault="0037622C" w:rsidP="0037622C">
      <w:pPr>
        <w:tabs>
          <w:tab w:val="center" w:pos="4680"/>
        </w:tabs>
        <w:suppressAutoHyphens/>
        <w:spacing w:line="240" w:lineRule="auto"/>
        <w:ind w:firstLine="0"/>
        <w:rPr>
          <w:sz w:val="26"/>
        </w:rPr>
      </w:pPr>
      <w:r w:rsidRPr="0037622C">
        <w:rPr>
          <w:sz w:val="26"/>
        </w:rPr>
        <w:t xml:space="preserve">Duquesne Light Company </w:t>
      </w:r>
    </w:p>
    <w:p w:rsidR="0037622C" w:rsidRDefault="0037622C" w:rsidP="00592753">
      <w:pPr>
        <w:tabs>
          <w:tab w:val="center" w:pos="4680"/>
        </w:tabs>
        <w:suppressAutoHyphens/>
        <w:spacing w:line="240" w:lineRule="auto"/>
        <w:ind w:firstLine="0"/>
        <w:jc w:val="center"/>
        <w:rPr>
          <w:b/>
          <w:sz w:val="26"/>
        </w:rPr>
      </w:pPr>
    </w:p>
    <w:p w:rsidR="00D14914" w:rsidRDefault="00D14914" w:rsidP="00592753">
      <w:pPr>
        <w:tabs>
          <w:tab w:val="center" w:pos="4680"/>
        </w:tabs>
        <w:suppressAutoHyphens/>
        <w:spacing w:line="240" w:lineRule="auto"/>
        <w:ind w:firstLine="0"/>
        <w:jc w:val="center"/>
        <w:rPr>
          <w:b/>
          <w:sz w:val="26"/>
        </w:rPr>
      </w:pPr>
    </w:p>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F428CD"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a Petition for Inte</w:t>
      </w:r>
      <w:r w:rsidR="00B6333B">
        <w:rPr>
          <w:sz w:val="26"/>
        </w:rPr>
        <w:t xml:space="preserve">rlocutory Review and Answer to </w:t>
      </w:r>
      <w:r w:rsidR="000B539F">
        <w:rPr>
          <w:sz w:val="26"/>
        </w:rPr>
        <w:t>Material Question</w:t>
      </w:r>
      <w:r w:rsidR="007612E5">
        <w:rPr>
          <w:sz w:val="26"/>
        </w:rPr>
        <w:t>s</w:t>
      </w:r>
      <w:r w:rsidR="000B539F">
        <w:rPr>
          <w:sz w:val="26"/>
        </w:rPr>
        <w:t xml:space="preserve"> (Petition) filed on </w:t>
      </w:r>
      <w:r w:rsidR="007612E5">
        <w:rPr>
          <w:sz w:val="26"/>
        </w:rPr>
        <w:t>December 13</w:t>
      </w:r>
      <w:r w:rsidR="000B539F">
        <w:rPr>
          <w:sz w:val="26"/>
        </w:rPr>
        <w:t>, 20</w:t>
      </w:r>
      <w:r w:rsidR="008F0C2C">
        <w:rPr>
          <w:sz w:val="26"/>
        </w:rPr>
        <w:t>1</w:t>
      </w:r>
      <w:r w:rsidR="007612E5">
        <w:rPr>
          <w:sz w:val="26"/>
        </w:rPr>
        <w:t>3</w:t>
      </w:r>
      <w:r w:rsidR="000B539F">
        <w:rPr>
          <w:sz w:val="26"/>
        </w:rPr>
        <w:t>, by</w:t>
      </w:r>
      <w:r w:rsidR="00114E0D">
        <w:rPr>
          <w:sz w:val="26"/>
        </w:rPr>
        <w:t xml:space="preserve"> </w:t>
      </w:r>
      <w:r w:rsidR="007612E5">
        <w:rPr>
          <w:sz w:val="26"/>
        </w:rPr>
        <w:t>Duquesne Light Company</w:t>
      </w:r>
      <w:r w:rsidR="00DA36F8">
        <w:rPr>
          <w:sz w:val="26"/>
        </w:rPr>
        <w:t xml:space="preserve"> </w:t>
      </w:r>
      <w:r w:rsidR="00DA36F8">
        <w:rPr>
          <w:sz w:val="26"/>
        </w:rPr>
        <w:lastRenderedPageBreak/>
        <w:t>(</w:t>
      </w:r>
      <w:r w:rsidR="007612E5">
        <w:rPr>
          <w:sz w:val="26"/>
        </w:rPr>
        <w:t>DLC</w:t>
      </w:r>
      <w:r w:rsidR="00691400">
        <w:rPr>
          <w:sz w:val="26"/>
        </w:rPr>
        <w:t xml:space="preserve"> or Company</w:t>
      </w:r>
      <w:r w:rsidR="00DA36F8">
        <w:rPr>
          <w:sz w:val="26"/>
        </w:rPr>
        <w:t>)</w:t>
      </w:r>
      <w:r w:rsidR="00AD7DC7">
        <w:rPr>
          <w:sz w:val="26"/>
        </w:rPr>
        <w:t xml:space="preserve"> </w:t>
      </w:r>
      <w:r w:rsidR="007612E5">
        <w:rPr>
          <w:sz w:val="26"/>
        </w:rPr>
        <w:t>in</w:t>
      </w:r>
      <w:r w:rsidR="00AD7DC7">
        <w:rPr>
          <w:sz w:val="26"/>
        </w:rPr>
        <w:t xml:space="preserve"> the above-captioned proceeding</w:t>
      </w:r>
      <w:r w:rsidR="000B539F">
        <w:rPr>
          <w:sz w:val="26"/>
        </w:rPr>
        <w:t xml:space="preserve">.  </w:t>
      </w:r>
      <w:r w:rsidR="00AD7DC7">
        <w:rPr>
          <w:sz w:val="26"/>
        </w:rPr>
        <w:t xml:space="preserve">In its Petition, </w:t>
      </w:r>
      <w:r w:rsidR="00A73F0D">
        <w:rPr>
          <w:sz w:val="26"/>
        </w:rPr>
        <w:t>DLC</w:t>
      </w:r>
      <w:r w:rsidR="00AD7DC7">
        <w:rPr>
          <w:sz w:val="26"/>
        </w:rPr>
        <w:t xml:space="preserve"> s</w:t>
      </w:r>
      <w:r w:rsidR="000B539F">
        <w:rPr>
          <w:sz w:val="26"/>
        </w:rPr>
        <w:t>eeks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sidR="00AD7DC7">
        <w:rPr>
          <w:sz w:val="26"/>
        </w:rPr>
        <w:t>uestion</w:t>
      </w:r>
      <w:r w:rsidR="00A73F0D">
        <w:rPr>
          <w:sz w:val="26"/>
        </w:rPr>
        <w:t>s</w:t>
      </w:r>
      <w:r w:rsidR="00AD7DC7">
        <w:rPr>
          <w:sz w:val="26"/>
        </w:rPr>
        <w:t>:</w:t>
      </w:r>
    </w:p>
    <w:p w:rsidR="009C5776" w:rsidRDefault="009C5776" w:rsidP="000D6E5C">
      <w:pPr>
        <w:adjustRightInd w:val="0"/>
        <w:spacing w:line="240" w:lineRule="auto"/>
        <w:ind w:left="1440" w:right="1440" w:firstLine="0"/>
        <w:rPr>
          <w:color w:val="000000"/>
          <w:sz w:val="26"/>
          <w:szCs w:val="26"/>
        </w:rPr>
      </w:pPr>
    </w:p>
    <w:p w:rsidR="0071626B" w:rsidRDefault="00A73F0D" w:rsidP="000D6E5C">
      <w:pPr>
        <w:adjustRightInd w:val="0"/>
        <w:spacing w:line="240" w:lineRule="auto"/>
        <w:ind w:left="1440" w:right="1440" w:firstLine="0"/>
        <w:rPr>
          <w:color w:val="000000"/>
          <w:sz w:val="26"/>
          <w:szCs w:val="26"/>
        </w:rPr>
      </w:pPr>
      <w:r>
        <w:rPr>
          <w:color w:val="000000"/>
          <w:sz w:val="26"/>
          <w:szCs w:val="26"/>
        </w:rPr>
        <w:t xml:space="preserve">(1)  </w:t>
      </w:r>
      <w:r w:rsidR="008F0C2C">
        <w:rPr>
          <w:color w:val="000000"/>
          <w:sz w:val="26"/>
          <w:szCs w:val="26"/>
        </w:rPr>
        <w:t>Whether</w:t>
      </w:r>
      <w:r>
        <w:rPr>
          <w:color w:val="000000"/>
          <w:sz w:val="26"/>
          <w:szCs w:val="26"/>
        </w:rPr>
        <w:t xml:space="preserve"> </w:t>
      </w:r>
      <w:r w:rsidR="00425BD7">
        <w:rPr>
          <w:color w:val="000000"/>
          <w:sz w:val="26"/>
          <w:szCs w:val="26"/>
        </w:rPr>
        <w:t xml:space="preserve">[the] </w:t>
      </w:r>
      <w:r>
        <w:rPr>
          <w:color w:val="000000"/>
          <w:sz w:val="26"/>
          <w:szCs w:val="26"/>
        </w:rPr>
        <w:t>NRG</w:t>
      </w:r>
      <w:r w:rsidR="00425BD7">
        <w:rPr>
          <w:color w:val="000000"/>
          <w:sz w:val="26"/>
          <w:szCs w:val="26"/>
        </w:rPr>
        <w:t xml:space="preserve"> [Companies’]</w:t>
      </w:r>
      <w:r w:rsidR="00425BD7">
        <w:rPr>
          <w:rStyle w:val="FootnoteReference"/>
          <w:color w:val="000000"/>
          <w:sz w:val="26"/>
          <w:szCs w:val="26"/>
        </w:rPr>
        <w:footnoteReference w:id="1"/>
      </w:r>
      <w:r>
        <w:rPr>
          <w:color w:val="000000"/>
          <w:sz w:val="26"/>
          <w:szCs w:val="26"/>
        </w:rPr>
        <w:t xml:space="preserve"> Complaint must be dismissed for failure to join the affected </w:t>
      </w:r>
      <w:r w:rsidR="00F85655">
        <w:rPr>
          <w:color w:val="000000"/>
          <w:sz w:val="26"/>
          <w:szCs w:val="26"/>
        </w:rPr>
        <w:t>QFs</w:t>
      </w:r>
      <w:r w:rsidR="00F85655">
        <w:rPr>
          <w:rStyle w:val="FootnoteReference"/>
          <w:color w:val="000000"/>
          <w:sz w:val="26"/>
          <w:szCs w:val="26"/>
        </w:rPr>
        <w:footnoteReference w:id="2"/>
      </w:r>
      <w:r w:rsidR="00F85655">
        <w:rPr>
          <w:color w:val="000000"/>
          <w:sz w:val="26"/>
          <w:szCs w:val="26"/>
        </w:rPr>
        <w:t xml:space="preserve"> as necessary and indispensable</w:t>
      </w:r>
      <w:r w:rsidR="006533BD">
        <w:rPr>
          <w:color w:val="000000"/>
          <w:sz w:val="26"/>
          <w:szCs w:val="26"/>
        </w:rPr>
        <w:t xml:space="preserve"> parties</w:t>
      </w:r>
      <w:r w:rsidR="00C117E5">
        <w:rPr>
          <w:color w:val="000000"/>
          <w:sz w:val="26"/>
          <w:szCs w:val="26"/>
        </w:rPr>
        <w:t xml:space="preserve">; and </w:t>
      </w:r>
    </w:p>
    <w:p w:rsidR="00C117E5" w:rsidRDefault="00C117E5" w:rsidP="000D6E5C">
      <w:pPr>
        <w:adjustRightInd w:val="0"/>
        <w:spacing w:line="240" w:lineRule="auto"/>
        <w:ind w:left="1440" w:right="1440" w:firstLine="0"/>
        <w:rPr>
          <w:color w:val="000000"/>
          <w:sz w:val="26"/>
          <w:szCs w:val="26"/>
        </w:rPr>
      </w:pPr>
      <w:r>
        <w:rPr>
          <w:color w:val="000000"/>
          <w:sz w:val="26"/>
          <w:szCs w:val="26"/>
        </w:rPr>
        <w:t xml:space="preserve">(2)  Whether the PUC lacks authority to change the wholesale PURPA rate set forth in Rider No. 18? </w:t>
      </w:r>
    </w:p>
    <w:p w:rsidR="00DB7B98" w:rsidRDefault="00DB7B98" w:rsidP="000D6E5C">
      <w:pPr>
        <w:adjustRightInd w:val="0"/>
        <w:spacing w:line="240" w:lineRule="auto"/>
        <w:ind w:left="1440" w:right="1440" w:firstLine="0"/>
        <w:rPr>
          <w:color w:val="000000"/>
          <w:sz w:val="26"/>
          <w:szCs w:val="26"/>
        </w:rPr>
      </w:pPr>
    </w:p>
    <w:p w:rsidR="00DA36F8" w:rsidRPr="0071626B" w:rsidRDefault="00C117E5" w:rsidP="0071626B">
      <w:pPr>
        <w:adjustRightInd w:val="0"/>
        <w:ind w:firstLine="0"/>
        <w:rPr>
          <w:color w:val="000000"/>
          <w:sz w:val="26"/>
          <w:szCs w:val="26"/>
        </w:rPr>
      </w:pPr>
      <w:r>
        <w:rPr>
          <w:sz w:val="26"/>
          <w:szCs w:val="26"/>
        </w:rPr>
        <w:t>DLC</w:t>
      </w:r>
      <w:r w:rsidR="00DA36F8">
        <w:rPr>
          <w:sz w:val="26"/>
          <w:szCs w:val="26"/>
        </w:rPr>
        <w:t xml:space="preserve"> requests that the Commission answer the </w:t>
      </w:r>
      <w:r w:rsidR="00D01711">
        <w:rPr>
          <w:sz w:val="26"/>
          <w:szCs w:val="26"/>
        </w:rPr>
        <w:t>M</w:t>
      </w:r>
      <w:r w:rsidR="00DA36F8">
        <w:rPr>
          <w:sz w:val="26"/>
          <w:szCs w:val="26"/>
        </w:rPr>
        <w:t xml:space="preserve">aterial </w:t>
      </w:r>
      <w:r w:rsidR="00D01711">
        <w:rPr>
          <w:sz w:val="26"/>
          <w:szCs w:val="26"/>
        </w:rPr>
        <w:t>Q</w:t>
      </w:r>
      <w:r w:rsidR="00B62890">
        <w:rPr>
          <w:sz w:val="26"/>
          <w:szCs w:val="26"/>
        </w:rPr>
        <w:t>uestion</w:t>
      </w:r>
      <w:r>
        <w:rPr>
          <w:sz w:val="26"/>
          <w:szCs w:val="26"/>
        </w:rPr>
        <w:t>s</w:t>
      </w:r>
      <w:r w:rsidR="00B62890">
        <w:rPr>
          <w:sz w:val="26"/>
          <w:szCs w:val="26"/>
        </w:rPr>
        <w:t xml:space="preserve"> in the </w:t>
      </w:r>
      <w:r w:rsidR="007A7D86">
        <w:rPr>
          <w:sz w:val="26"/>
          <w:szCs w:val="26"/>
        </w:rPr>
        <w:t xml:space="preserve">affirmative.  Petition at </w:t>
      </w:r>
      <w:r>
        <w:rPr>
          <w:sz w:val="26"/>
          <w:szCs w:val="26"/>
        </w:rPr>
        <w:t>2</w:t>
      </w:r>
      <w:r w:rsidR="007A7D86">
        <w:rPr>
          <w:sz w:val="26"/>
          <w:szCs w:val="26"/>
        </w:rPr>
        <w:t>.</w:t>
      </w:r>
    </w:p>
    <w:p w:rsidR="00B970FC" w:rsidRDefault="00B970FC" w:rsidP="00952A16">
      <w:pPr>
        <w:ind w:firstLine="0"/>
        <w:rPr>
          <w:sz w:val="26"/>
          <w:szCs w:val="26"/>
        </w:rPr>
      </w:pPr>
    </w:p>
    <w:p w:rsidR="003170EA" w:rsidRDefault="003170EA" w:rsidP="00952A16">
      <w:pPr>
        <w:ind w:firstLine="0"/>
        <w:rPr>
          <w:color w:val="000000"/>
          <w:sz w:val="26"/>
          <w:szCs w:val="26"/>
        </w:rPr>
      </w:pPr>
      <w:r>
        <w:rPr>
          <w:color w:val="000000"/>
          <w:sz w:val="26"/>
          <w:szCs w:val="26"/>
        </w:rPr>
        <w:tab/>
      </w:r>
      <w:r>
        <w:rPr>
          <w:color w:val="000000"/>
          <w:sz w:val="26"/>
          <w:szCs w:val="26"/>
        </w:rPr>
        <w:tab/>
        <w:t xml:space="preserve">By Secretarial Letter issued </w:t>
      </w:r>
      <w:r w:rsidR="008C5167">
        <w:rPr>
          <w:color w:val="000000"/>
          <w:sz w:val="26"/>
          <w:szCs w:val="26"/>
        </w:rPr>
        <w:t>January 9</w:t>
      </w:r>
      <w:r>
        <w:rPr>
          <w:color w:val="000000"/>
          <w:sz w:val="26"/>
          <w:szCs w:val="26"/>
        </w:rPr>
        <w:t>, 201</w:t>
      </w:r>
      <w:r w:rsidR="008C5167">
        <w:rPr>
          <w:color w:val="000000"/>
          <w:sz w:val="26"/>
          <w:szCs w:val="26"/>
        </w:rPr>
        <w:t>4</w:t>
      </w:r>
      <w:r w:rsidR="00DA4B2D">
        <w:rPr>
          <w:color w:val="000000"/>
          <w:sz w:val="26"/>
          <w:szCs w:val="26"/>
        </w:rPr>
        <w:t xml:space="preserve">, </w:t>
      </w:r>
      <w:r>
        <w:rPr>
          <w:color w:val="000000"/>
          <w:sz w:val="26"/>
          <w:szCs w:val="26"/>
        </w:rPr>
        <w:t xml:space="preserve">the Commission waived the </w:t>
      </w:r>
      <w:r w:rsidR="00DA4B2D">
        <w:rPr>
          <w:color w:val="000000"/>
          <w:sz w:val="26"/>
          <w:szCs w:val="26"/>
        </w:rPr>
        <w:t>thirty-</w:t>
      </w:r>
      <w:r>
        <w:rPr>
          <w:color w:val="000000"/>
          <w:sz w:val="26"/>
          <w:szCs w:val="26"/>
        </w:rPr>
        <w:t xml:space="preserve">day </w:t>
      </w:r>
      <w:r w:rsidR="00DA4B2D">
        <w:rPr>
          <w:color w:val="000000"/>
          <w:sz w:val="26"/>
          <w:szCs w:val="26"/>
        </w:rPr>
        <w:t xml:space="preserve">consideration </w:t>
      </w:r>
      <w:r>
        <w:rPr>
          <w:color w:val="000000"/>
          <w:sz w:val="26"/>
          <w:szCs w:val="26"/>
        </w:rPr>
        <w:t xml:space="preserve">period set forth in </w:t>
      </w:r>
      <w:r w:rsidR="00DA4B2D">
        <w:rPr>
          <w:color w:val="000000"/>
          <w:sz w:val="26"/>
          <w:szCs w:val="26"/>
        </w:rPr>
        <w:t>Section 5.</w:t>
      </w:r>
      <w:r w:rsidR="00171BE0">
        <w:rPr>
          <w:color w:val="000000"/>
          <w:sz w:val="26"/>
          <w:szCs w:val="26"/>
        </w:rPr>
        <w:t>3</w:t>
      </w:r>
      <w:r w:rsidR="00DA4B2D">
        <w:rPr>
          <w:color w:val="000000"/>
          <w:sz w:val="26"/>
          <w:szCs w:val="26"/>
        </w:rPr>
        <w:t xml:space="preserve">03 of its Regulations, </w:t>
      </w:r>
      <w:r>
        <w:rPr>
          <w:color w:val="000000"/>
          <w:sz w:val="26"/>
          <w:szCs w:val="26"/>
        </w:rPr>
        <w:t>52 Pa. Code § 5.303</w:t>
      </w:r>
      <w:r w:rsidR="00DA4B2D">
        <w:rPr>
          <w:color w:val="000000"/>
          <w:sz w:val="26"/>
          <w:szCs w:val="26"/>
        </w:rPr>
        <w:t xml:space="preserve">, in order to provide </w:t>
      </w:r>
      <w:r w:rsidR="00D117D7">
        <w:rPr>
          <w:color w:val="000000"/>
          <w:sz w:val="26"/>
          <w:szCs w:val="26"/>
        </w:rPr>
        <w:t xml:space="preserve">adequate </w:t>
      </w:r>
      <w:r w:rsidR="00DA4B2D">
        <w:rPr>
          <w:color w:val="000000"/>
          <w:sz w:val="26"/>
          <w:szCs w:val="26"/>
        </w:rPr>
        <w:t>time for a thorough review of the Material Question</w:t>
      </w:r>
      <w:r w:rsidR="008C5167">
        <w:rPr>
          <w:color w:val="000000"/>
          <w:sz w:val="26"/>
          <w:szCs w:val="26"/>
        </w:rPr>
        <w:t>s</w:t>
      </w:r>
      <w:r w:rsidR="00DA4B2D">
        <w:rPr>
          <w:color w:val="000000"/>
          <w:sz w:val="26"/>
          <w:szCs w:val="26"/>
        </w:rPr>
        <w:t>.</w:t>
      </w:r>
      <w:r w:rsidR="00691400">
        <w:rPr>
          <w:color w:val="000000"/>
          <w:sz w:val="26"/>
          <w:szCs w:val="26"/>
        </w:rPr>
        <w:t xml:space="preserve">  </w:t>
      </w:r>
      <w:r>
        <w:rPr>
          <w:i/>
          <w:color w:val="000000"/>
          <w:sz w:val="26"/>
          <w:szCs w:val="26"/>
        </w:rPr>
        <w:t>See</w:t>
      </w:r>
      <w:r>
        <w:rPr>
          <w:color w:val="000000"/>
          <w:sz w:val="26"/>
          <w:szCs w:val="26"/>
        </w:rPr>
        <w:t xml:space="preserve"> 52 Pa. Code § 1.2(c); </w:t>
      </w:r>
      <w:r>
        <w:rPr>
          <w:i/>
          <w:color w:val="000000"/>
          <w:sz w:val="26"/>
          <w:szCs w:val="26"/>
        </w:rPr>
        <w:t>see also C.S. War</w:t>
      </w:r>
      <w:r w:rsidR="00844F62">
        <w:rPr>
          <w:i/>
          <w:color w:val="000000"/>
          <w:sz w:val="26"/>
          <w:szCs w:val="26"/>
        </w:rPr>
        <w:t>thman Funeral Home, et al. v. G</w:t>
      </w:r>
      <w:r>
        <w:rPr>
          <w:i/>
          <w:color w:val="000000"/>
          <w:sz w:val="26"/>
          <w:szCs w:val="26"/>
        </w:rPr>
        <w:t>T</w:t>
      </w:r>
      <w:r w:rsidR="00844F62">
        <w:rPr>
          <w:i/>
          <w:color w:val="000000"/>
          <w:sz w:val="26"/>
          <w:szCs w:val="26"/>
        </w:rPr>
        <w:t>E</w:t>
      </w:r>
      <w:r>
        <w:rPr>
          <w:i/>
          <w:color w:val="000000"/>
          <w:sz w:val="26"/>
          <w:szCs w:val="26"/>
        </w:rPr>
        <w:t xml:space="preserve"> North, Incorporated,</w:t>
      </w:r>
      <w:r>
        <w:rPr>
          <w:color w:val="000000"/>
          <w:sz w:val="26"/>
          <w:szCs w:val="26"/>
        </w:rPr>
        <w:t xml:space="preserve"> Docket No. C-00924416 (Order entered June 4, 1993).</w:t>
      </w:r>
    </w:p>
    <w:p w:rsidR="003170EA" w:rsidRDefault="003170EA" w:rsidP="00952A16">
      <w:pPr>
        <w:ind w:firstLine="0"/>
        <w:rPr>
          <w:sz w:val="26"/>
          <w:szCs w:val="26"/>
        </w:rPr>
      </w:pPr>
    </w:p>
    <w:p w:rsidR="00B970FC" w:rsidRPr="00D3557F" w:rsidRDefault="00B970FC" w:rsidP="00B970FC">
      <w:pPr>
        <w:rPr>
          <w:sz w:val="26"/>
        </w:rPr>
      </w:pPr>
      <w:r w:rsidRPr="009B7A28">
        <w:rPr>
          <w:sz w:val="26"/>
        </w:rPr>
        <w:t xml:space="preserve">For the reasons more fully discussed below, </w:t>
      </w:r>
      <w:r w:rsidRPr="00D3557F">
        <w:rPr>
          <w:sz w:val="26"/>
        </w:rPr>
        <w:t>we</w:t>
      </w:r>
      <w:r w:rsidRPr="00D3557F">
        <w:rPr>
          <w:color w:val="FF0000"/>
          <w:sz w:val="26"/>
        </w:rPr>
        <w:t xml:space="preserve"> </w:t>
      </w:r>
      <w:r w:rsidR="007C4EBB" w:rsidRPr="00D3557F">
        <w:rPr>
          <w:sz w:val="26"/>
        </w:rPr>
        <w:t xml:space="preserve">shall decline to </w:t>
      </w:r>
      <w:r w:rsidR="00EB0B29" w:rsidRPr="00D3557F">
        <w:rPr>
          <w:sz w:val="26"/>
        </w:rPr>
        <w:t>answer the Material Question</w:t>
      </w:r>
      <w:r w:rsidR="005E3267">
        <w:rPr>
          <w:sz w:val="26"/>
        </w:rPr>
        <w:t>s</w:t>
      </w:r>
      <w:r w:rsidR="00EB0B29" w:rsidRPr="00D3557F">
        <w:rPr>
          <w:sz w:val="26"/>
        </w:rPr>
        <w:t>.</w:t>
      </w:r>
    </w:p>
    <w:p w:rsidR="00B970FC" w:rsidRDefault="00B970FC" w:rsidP="00B970FC">
      <w:pPr>
        <w:rPr>
          <w:sz w:val="26"/>
        </w:rPr>
      </w:pPr>
    </w:p>
    <w:p w:rsidR="00EB5FEB" w:rsidRPr="00672118" w:rsidRDefault="009078DF" w:rsidP="006A29D9">
      <w:pPr>
        <w:ind w:firstLine="0"/>
        <w:jc w:val="center"/>
        <w:rPr>
          <w:color w:val="000000"/>
          <w:sz w:val="26"/>
          <w:szCs w:val="26"/>
        </w:rPr>
      </w:pPr>
      <w:r w:rsidRPr="00672118">
        <w:rPr>
          <w:b/>
          <w:sz w:val="26"/>
          <w:szCs w:val="26"/>
        </w:rPr>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EF2E4B" w:rsidRDefault="00E0670B" w:rsidP="00E0670B">
      <w:pPr>
        <w:adjustRightInd w:val="0"/>
        <w:ind w:firstLine="0"/>
        <w:rPr>
          <w:color w:val="000000"/>
          <w:sz w:val="26"/>
          <w:szCs w:val="26"/>
        </w:rPr>
      </w:pPr>
      <w:r>
        <w:rPr>
          <w:color w:val="000000"/>
          <w:sz w:val="26"/>
          <w:szCs w:val="26"/>
        </w:rPr>
        <w:tab/>
      </w:r>
      <w:r>
        <w:rPr>
          <w:color w:val="000000"/>
          <w:sz w:val="26"/>
          <w:szCs w:val="26"/>
        </w:rPr>
        <w:tab/>
        <w:t xml:space="preserve">On August 2, 2013, </w:t>
      </w:r>
      <w:r w:rsidR="00EF2E4B">
        <w:rPr>
          <w:color w:val="000000"/>
          <w:sz w:val="26"/>
          <w:szCs w:val="26"/>
        </w:rPr>
        <w:t>DLC filed Supplement No. 81 to Tariff Electric – Pa. P.U.C. No. 24 (Supplement No. 81)</w:t>
      </w:r>
      <w:r w:rsidR="00D3557F">
        <w:rPr>
          <w:color w:val="000000"/>
          <w:sz w:val="26"/>
          <w:szCs w:val="26"/>
        </w:rPr>
        <w:t xml:space="preserve"> to become effective on October 1, 2013.</w:t>
      </w:r>
      <w:r w:rsidR="00EF2E4B">
        <w:rPr>
          <w:color w:val="000000"/>
          <w:sz w:val="26"/>
          <w:szCs w:val="26"/>
        </w:rPr>
        <w:t xml:space="preserve"> </w:t>
      </w:r>
      <w:r w:rsidR="00D3557F">
        <w:rPr>
          <w:color w:val="000000"/>
          <w:sz w:val="26"/>
          <w:szCs w:val="26"/>
        </w:rPr>
        <w:t xml:space="preserve"> DLC </w:t>
      </w:r>
      <w:r w:rsidR="00EF2E4B">
        <w:rPr>
          <w:color w:val="000000"/>
          <w:sz w:val="26"/>
          <w:szCs w:val="26"/>
        </w:rPr>
        <w:lastRenderedPageBreak/>
        <w:t>propos</w:t>
      </w:r>
      <w:r w:rsidR="00D3557F">
        <w:rPr>
          <w:color w:val="000000"/>
          <w:sz w:val="26"/>
          <w:szCs w:val="26"/>
        </w:rPr>
        <w:t>ed</w:t>
      </w:r>
      <w:r w:rsidR="00EF2E4B">
        <w:rPr>
          <w:color w:val="000000"/>
          <w:sz w:val="26"/>
          <w:szCs w:val="26"/>
        </w:rPr>
        <w:t xml:space="preserve"> to increase rates to produce additional annual operating revenues of approximately $76.3 million, or an overall increase of 17.6% in annual distribution revenues</w:t>
      </w:r>
      <w:r w:rsidR="00D3557F">
        <w:rPr>
          <w:color w:val="000000"/>
          <w:sz w:val="26"/>
          <w:szCs w:val="26"/>
        </w:rPr>
        <w:t xml:space="preserve">, based on data for a </w:t>
      </w:r>
      <w:r w:rsidR="00106A2F">
        <w:rPr>
          <w:color w:val="000000"/>
          <w:sz w:val="26"/>
          <w:szCs w:val="26"/>
        </w:rPr>
        <w:t>Fully Projected Future Test Year</w:t>
      </w:r>
      <w:r w:rsidR="00635041">
        <w:rPr>
          <w:color w:val="000000"/>
          <w:sz w:val="26"/>
          <w:szCs w:val="26"/>
        </w:rPr>
        <w:t xml:space="preserve"> (FPFTY) ending April 30, 2015</w:t>
      </w:r>
      <w:r w:rsidR="00EF2E4B">
        <w:rPr>
          <w:color w:val="000000"/>
          <w:sz w:val="26"/>
          <w:szCs w:val="26"/>
        </w:rPr>
        <w:t xml:space="preserve">.  </w:t>
      </w:r>
    </w:p>
    <w:p w:rsidR="00EF2E4B" w:rsidRDefault="00EF2E4B" w:rsidP="00E0670B">
      <w:pPr>
        <w:adjustRightInd w:val="0"/>
        <w:ind w:firstLine="0"/>
        <w:rPr>
          <w:color w:val="000000"/>
          <w:sz w:val="26"/>
          <w:szCs w:val="26"/>
        </w:rPr>
      </w:pPr>
    </w:p>
    <w:p w:rsidR="00D3557F" w:rsidRDefault="00EF2E4B" w:rsidP="00E0670B">
      <w:pPr>
        <w:adjustRightInd w:val="0"/>
        <w:ind w:firstLine="0"/>
        <w:rPr>
          <w:color w:val="000000"/>
          <w:sz w:val="26"/>
          <w:szCs w:val="26"/>
        </w:rPr>
      </w:pPr>
      <w:r>
        <w:rPr>
          <w:color w:val="000000"/>
          <w:sz w:val="26"/>
          <w:szCs w:val="26"/>
        </w:rPr>
        <w:tab/>
      </w:r>
      <w:r>
        <w:rPr>
          <w:color w:val="000000"/>
          <w:sz w:val="26"/>
          <w:szCs w:val="26"/>
        </w:rPr>
        <w:tab/>
        <w:t>On August 9, 2013, the Commission’s Bureau of Investigation and Enforcement (I&amp;E) filed a Notice of Appearance.  On August 16, 2013, the Office of Consumer Advocate (OCA) filed a Formal Complaint, Public Statement, and Notice of Appearance.  On August 22, 2013, the Office of Small Business Advocate (OSBA) f</w:t>
      </w:r>
      <w:r w:rsidR="006477CE">
        <w:rPr>
          <w:color w:val="000000"/>
          <w:sz w:val="26"/>
          <w:szCs w:val="26"/>
        </w:rPr>
        <w:t xml:space="preserve">iled a Formal Complaint, Public Statement, and Notice of Appearance.  </w:t>
      </w:r>
    </w:p>
    <w:p w:rsidR="00D3557F" w:rsidRDefault="00D3557F" w:rsidP="00E0670B">
      <w:pPr>
        <w:adjustRightInd w:val="0"/>
        <w:ind w:firstLine="0"/>
        <w:rPr>
          <w:color w:val="000000"/>
          <w:sz w:val="26"/>
          <w:szCs w:val="26"/>
        </w:rPr>
      </w:pPr>
    </w:p>
    <w:p w:rsidR="00D3557F" w:rsidRDefault="00D3557F" w:rsidP="00D3557F">
      <w:pPr>
        <w:adjustRightInd w:val="0"/>
        <w:ind w:firstLine="0"/>
        <w:rPr>
          <w:color w:val="000000"/>
          <w:sz w:val="26"/>
          <w:szCs w:val="26"/>
        </w:rPr>
      </w:pPr>
      <w:r>
        <w:rPr>
          <w:color w:val="000000"/>
          <w:sz w:val="26"/>
          <w:szCs w:val="26"/>
        </w:rPr>
        <w:tab/>
      </w:r>
      <w:r>
        <w:rPr>
          <w:color w:val="000000"/>
          <w:sz w:val="26"/>
          <w:szCs w:val="26"/>
        </w:rPr>
        <w:tab/>
        <w:t xml:space="preserve">By Order entered September 26, 2013, the Commission suspended the effective date of Supplement No. 81 by operation of law until May 1, 2014, and instituted an investigation into the lawfulness, justness, and reasonableness of the Company’s proposed and existing rates, rules, and regulations.  </w:t>
      </w:r>
    </w:p>
    <w:p w:rsidR="00D3557F" w:rsidRDefault="00D3557F" w:rsidP="00E0670B">
      <w:pPr>
        <w:adjustRightInd w:val="0"/>
        <w:ind w:firstLine="0"/>
        <w:rPr>
          <w:color w:val="000000"/>
          <w:sz w:val="26"/>
          <w:szCs w:val="26"/>
        </w:rPr>
      </w:pPr>
    </w:p>
    <w:p w:rsidR="00004994" w:rsidRDefault="00425BD7" w:rsidP="00325F1C">
      <w:pPr>
        <w:adjustRightInd w:val="0"/>
        <w:rPr>
          <w:color w:val="000000"/>
          <w:sz w:val="26"/>
          <w:szCs w:val="26"/>
        </w:rPr>
      </w:pPr>
      <w:r>
        <w:rPr>
          <w:color w:val="000000"/>
          <w:sz w:val="26"/>
          <w:szCs w:val="26"/>
        </w:rPr>
        <w:t xml:space="preserve">On September 27, 2013, </w:t>
      </w:r>
      <w:r w:rsidR="006477CE">
        <w:rPr>
          <w:color w:val="000000"/>
          <w:sz w:val="26"/>
          <w:szCs w:val="26"/>
        </w:rPr>
        <w:t xml:space="preserve">Duquesne Industrial Interveners </w:t>
      </w:r>
      <w:r w:rsidR="00F3633F">
        <w:rPr>
          <w:color w:val="000000"/>
          <w:sz w:val="26"/>
          <w:szCs w:val="26"/>
        </w:rPr>
        <w:t xml:space="preserve">(DII) </w:t>
      </w:r>
      <w:r w:rsidR="006477CE">
        <w:rPr>
          <w:color w:val="000000"/>
          <w:sz w:val="26"/>
          <w:szCs w:val="26"/>
        </w:rPr>
        <w:t>filed a Formal Complaint</w:t>
      </w:r>
      <w:r w:rsidR="00E154F5">
        <w:rPr>
          <w:color w:val="000000"/>
          <w:sz w:val="26"/>
          <w:szCs w:val="26"/>
        </w:rPr>
        <w:t>.</w:t>
      </w:r>
      <w:r w:rsidR="00106A2F">
        <w:rPr>
          <w:color w:val="000000"/>
          <w:sz w:val="26"/>
          <w:szCs w:val="26"/>
        </w:rPr>
        <w:t xml:space="preserve">  </w:t>
      </w:r>
    </w:p>
    <w:p w:rsidR="00004994" w:rsidRDefault="00004994" w:rsidP="00325F1C">
      <w:pPr>
        <w:adjustRightInd w:val="0"/>
        <w:rPr>
          <w:color w:val="000000"/>
          <w:sz w:val="26"/>
          <w:szCs w:val="26"/>
        </w:rPr>
      </w:pPr>
    </w:p>
    <w:p w:rsidR="00D234D2" w:rsidRDefault="0018387E" w:rsidP="00325F1C">
      <w:pPr>
        <w:adjustRightInd w:val="0"/>
        <w:rPr>
          <w:color w:val="000000"/>
          <w:sz w:val="26"/>
          <w:szCs w:val="26"/>
        </w:rPr>
      </w:pPr>
      <w:r>
        <w:rPr>
          <w:color w:val="000000"/>
          <w:sz w:val="26"/>
          <w:szCs w:val="26"/>
        </w:rPr>
        <w:t xml:space="preserve">On October 28, 2013, </w:t>
      </w:r>
      <w:r w:rsidR="00004994">
        <w:rPr>
          <w:color w:val="000000"/>
          <w:sz w:val="26"/>
          <w:szCs w:val="26"/>
        </w:rPr>
        <w:t>the</w:t>
      </w:r>
      <w:r w:rsidR="00D234D2">
        <w:rPr>
          <w:color w:val="000000"/>
          <w:sz w:val="26"/>
          <w:szCs w:val="26"/>
        </w:rPr>
        <w:t xml:space="preserve"> NRG</w:t>
      </w:r>
      <w:r w:rsidR="00F12D26">
        <w:rPr>
          <w:color w:val="000000"/>
          <w:sz w:val="26"/>
          <w:szCs w:val="26"/>
        </w:rPr>
        <w:t xml:space="preserve"> Companies</w:t>
      </w:r>
      <w:r w:rsidR="00D234D2">
        <w:rPr>
          <w:color w:val="000000"/>
          <w:sz w:val="26"/>
          <w:szCs w:val="26"/>
        </w:rPr>
        <w:t xml:space="preserve"> </w:t>
      </w:r>
      <w:r w:rsidR="006477CE">
        <w:rPr>
          <w:color w:val="000000"/>
          <w:sz w:val="26"/>
          <w:szCs w:val="26"/>
        </w:rPr>
        <w:t>jointly filed a Formal Complaint</w:t>
      </w:r>
      <w:r w:rsidR="00E154F5">
        <w:rPr>
          <w:color w:val="000000"/>
          <w:sz w:val="26"/>
          <w:szCs w:val="26"/>
        </w:rPr>
        <w:t>.</w:t>
      </w:r>
      <w:r w:rsidR="00D234D2">
        <w:rPr>
          <w:color w:val="000000"/>
          <w:sz w:val="26"/>
          <w:szCs w:val="26"/>
        </w:rPr>
        <w:t xml:space="preserve">  </w:t>
      </w:r>
      <w:r w:rsidR="001E298E">
        <w:rPr>
          <w:color w:val="000000"/>
          <w:sz w:val="26"/>
          <w:szCs w:val="26"/>
        </w:rPr>
        <w:t xml:space="preserve">In </w:t>
      </w:r>
      <w:r w:rsidR="00004994">
        <w:rPr>
          <w:color w:val="000000"/>
          <w:sz w:val="26"/>
          <w:szCs w:val="26"/>
        </w:rPr>
        <w:t>their</w:t>
      </w:r>
      <w:r w:rsidR="001E298E">
        <w:rPr>
          <w:color w:val="000000"/>
          <w:sz w:val="26"/>
          <w:szCs w:val="26"/>
        </w:rPr>
        <w:t xml:space="preserve"> Complaint, </w:t>
      </w:r>
      <w:r w:rsidR="00F12D26">
        <w:rPr>
          <w:color w:val="000000"/>
          <w:sz w:val="26"/>
          <w:szCs w:val="26"/>
        </w:rPr>
        <w:t xml:space="preserve">the </w:t>
      </w:r>
      <w:r w:rsidR="00D234D2">
        <w:rPr>
          <w:color w:val="000000"/>
          <w:sz w:val="26"/>
          <w:szCs w:val="26"/>
        </w:rPr>
        <w:t xml:space="preserve">NRG </w:t>
      </w:r>
      <w:r w:rsidR="00F12D26">
        <w:rPr>
          <w:color w:val="000000"/>
          <w:sz w:val="26"/>
          <w:szCs w:val="26"/>
        </w:rPr>
        <w:t xml:space="preserve">Companies </w:t>
      </w:r>
      <w:r w:rsidR="00D234D2">
        <w:rPr>
          <w:color w:val="000000"/>
          <w:sz w:val="26"/>
          <w:szCs w:val="26"/>
        </w:rPr>
        <w:t>allege</w:t>
      </w:r>
      <w:r w:rsidR="00E064E3">
        <w:rPr>
          <w:color w:val="000000"/>
          <w:sz w:val="26"/>
          <w:szCs w:val="26"/>
        </w:rPr>
        <w:t>d</w:t>
      </w:r>
      <w:r w:rsidR="00D234D2">
        <w:rPr>
          <w:color w:val="000000"/>
          <w:sz w:val="26"/>
          <w:szCs w:val="26"/>
        </w:rPr>
        <w:t xml:space="preserve">, </w:t>
      </w:r>
      <w:r w:rsidR="00D234D2" w:rsidRPr="00D234D2">
        <w:rPr>
          <w:i/>
          <w:color w:val="000000"/>
          <w:sz w:val="26"/>
          <w:szCs w:val="26"/>
        </w:rPr>
        <w:t>inter alia</w:t>
      </w:r>
      <w:r w:rsidR="00D234D2">
        <w:rPr>
          <w:color w:val="000000"/>
          <w:sz w:val="26"/>
          <w:szCs w:val="26"/>
        </w:rPr>
        <w:t>,</w:t>
      </w:r>
      <w:r w:rsidR="00853618">
        <w:rPr>
          <w:color w:val="000000"/>
          <w:sz w:val="26"/>
          <w:szCs w:val="26"/>
        </w:rPr>
        <w:t xml:space="preserve"> </w:t>
      </w:r>
      <w:r w:rsidR="005C62B4">
        <w:rPr>
          <w:color w:val="000000"/>
          <w:sz w:val="26"/>
          <w:szCs w:val="26"/>
        </w:rPr>
        <w:t xml:space="preserve">that Rider No. 18 </w:t>
      </w:r>
      <w:r w:rsidR="00325F1C">
        <w:rPr>
          <w:color w:val="000000"/>
          <w:sz w:val="26"/>
          <w:szCs w:val="26"/>
        </w:rPr>
        <w:t>may be discriminatory and request</w:t>
      </w:r>
      <w:r w:rsidR="00E064E3">
        <w:rPr>
          <w:color w:val="000000"/>
          <w:sz w:val="26"/>
          <w:szCs w:val="26"/>
        </w:rPr>
        <w:t>ed</w:t>
      </w:r>
      <w:r w:rsidR="00325F1C">
        <w:rPr>
          <w:color w:val="000000"/>
          <w:sz w:val="26"/>
          <w:szCs w:val="26"/>
        </w:rPr>
        <w:t xml:space="preserve"> that </w:t>
      </w:r>
      <w:r w:rsidR="00E064E3">
        <w:rPr>
          <w:color w:val="000000"/>
          <w:sz w:val="26"/>
          <w:szCs w:val="26"/>
        </w:rPr>
        <w:t>the Commission investigate this particular tariff provision</w:t>
      </w:r>
      <w:r w:rsidR="00004994">
        <w:rPr>
          <w:color w:val="000000"/>
          <w:sz w:val="26"/>
          <w:szCs w:val="26"/>
        </w:rPr>
        <w:t xml:space="preserve"> to ensure that the terms, conditions, and electric energy purchase price continue to be just, reasonable, and non-discriminatory</w:t>
      </w:r>
      <w:r w:rsidR="00325F1C">
        <w:rPr>
          <w:color w:val="000000"/>
          <w:sz w:val="26"/>
          <w:szCs w:val="26"/>
        </w:rPr>
        <w:t>.</w:t>
      </w:r>
      <w:r w:rsidR="00004994">
        <w:rPr>
          <w:color w:val="000000"/>
          <w:sz w:val="26"/>
          <w:szCs w:val="26"/>
        </w:rPr>
        <w:t xml:space="preserve">  NRG Companies Complaint at ¶ 11.  </w:t>
      </w:r>
      <w:r w:rsidR="00CE658B">
        <w:rPr>
          <w:color w:val="000000"/>
          <w:sz w:val="26"/>
          <w:szCs w:val="26"/>
        </w:rPr>
        <w:t xml:space="preserve">Later in the proceeding, the NRG Companies requested that the Commission either modify the wholesale PURPA rates in Rider No. 18 or eliminate Rider No. 18.  NRG Midwest St. 1 at 6-7; St. 1-S at 6, 9, 12. </w:t>
      </w:r>
    </w:p>
    <w:p w:rsidR="00D234D2" w:rsidRDefault="00D234D2" w:rsidP="00E0670B">
      <w:pPr>
        <w:adjustRightInd w:val="0"/>
        <w:ind w:firstLine="0"/>
        <w:rPr>
          <w:color w:val="000000"/>
          <w:sz w:val="26"/>
          <w:szCs w:val="26"/>
        </w:rPr>
      </w:pPr>
    </w:p>
    <w:p w:rsidR="00D234D2" w:rsidRDefault="00D16C46" w:rsidP="00D234D2">
      <w:pPr>
        <w:adjustRightInd w:val="0"/>
        <w:rPr>
          <w:color w:val="000000"/>
          <w:sz w:val="26"/>
          <w:szCs w:val="26"/>
        </w:rPr>
      </w:pPr>
      <w:r>
        <w:rPr>
          <w:color w:val="000000"/>
          <w:sz w:val="26"/>
          <w:szCs w:val="26"/>
        </w:rPr>
        <w:lastRenderedPageBreak/>
        <w:t>Petitions to Intervene</w:t>
      </w:r>
      <w:r w:rsidR="00106A2F">
        <w:rPr>
          <w:color w:val="000000"/>
          <w:sz w:val="26"/>
          <w:szCs w:val="26"/>
        </w:rPr>
        <w:t>, which were subsequently granted,</w:t>
      </w:r>
      <w:r>
        <w:rPr>
          <w:color w:val="000000"/>
          <w:sz w:val="26"/>
          <w:szCs w:val="26"/>
        </w:rPr>
        <w:t xml:space="preserve"> were filed by the following entities:  the International Brotherhood of Electrical Workers, Local 29</w:t>
      </w:r>
      <w:r w:rsidR="00F612DB">
        <w:rPr>
          <w:color w:val="000000"/>
          <w:sz w:val="26"/>
          <w:szCs w:val="26"/>
        </w:rPr>
        <w:t xml:space="preserve"> (IBEW)</w:t>
      </w:r>
      <w:r w:rsidR="00171BE0">
        <w:rPr>
          <w:color w:val="000000"/>
          <w:sz w:val="26"/>
          <w:szCs w:val="26"/>
        </w:rPr>
        <w:t>;</w:t>
      </w:r>
      <w:r>
        <w:rPr>
          <w:color w:val="000000"/>
          <w:sz w:val="26"/>
          <w:szCs w:val="26"/>
        </w:rPr>
        <w:t xml:space="preserve"> United States Steel Corporation</w:t>
      </w:r>
      <w:r w:rsidR="00F3633F">
        <w:rPr>
          <w:color w:val="000000"/>
          <w:sz w:val="26"/>
          <w:szCs w:val="26"/>
        </w:rPr>
        <w:t xml:space="preserve"> (U.S. Steel)</w:t>
      </w:r>
      <w:r w:rsidR="00171BE0">
        <w:rPr>
          <w:color w:val="000000"/>
          <w:sz w:val="26"/>
          <w:szCs w:val="26"/>
        </w:rPr>
        <w:t>;</w:t>
      </w:r>
      <w:r>
        <w:rPr>
          <w:color w:val="000000"/>
          <w:sz w:val="26"/>
          <w:szCs w:val="26"/>
        </w:rPr>
        <w:t xml:space="preserve"> Citizen Power, Inc.</w:t>
      </w:r>
      <w:r w:rsidR="00F612DB">
        <w:rPr>
          <w:color w:val="000000"/>
          <w:sz w:val="26"/>
          <w:szCs w:val="26"/>
        </w:rPr>
        <w:t xml:space="preserve"> (Citizen Power)</w:t>
      </w:r>
      <w:r w:rsidR="00171BE0">
        <w:rPr>
          <w:color w:val="000000"/>
          <w:sz w:val="26"/>
          <w:szCs w:val="26"/>
        </w:rPr>
        <w:t>;</w:t>
      </w:r>
      <w:r>
        <w:rPr>
          <w:color w:val="000000"/>
          <w:sz w:val="26"/>
          <w:szCs w:val="26"/>
        </w:rPr>
        <w:t xml:space="preserve"> Community Action Association of Pennsylvania</w:t>
      </w:r>
      <w:r w:rsidR="00F612DB">
        <w:rPr>
          <w:color w:val="000000"/>
          <w:sz w:val="26"/>
          <w:szCs w:val="26"/>
        </w:rPr>
        <w:t xml:space="preserve"> (CAAP)</w:t>
      </w:r>
      <w:r w:rsidR="00171BE0">
        <w:rPr>
          <w:color w:val="000000"/>
          <w:sz w:val="26"/>
          <w:szCs w:val="26"/>
        </w:rPr>
        <w:t>;</w:t>
      </w:r>
      <w:r w:rsidR="008F1934">
        <w:rPr>
          <w:color w:val="000000"/>
          <w:sz w:val="26"/>
          <w:szCs w:val="26"/>
        </w:rPr>
        <w:t xml:space="preserve"> </w:t>
      </w:r>
      <w:r w:rsidR="00F3633F">
        <w:rPr>
          <w:color w:val="000000"/>
          <w:sz w:val="26"/>
          <w:szCs w:val="26"/>
        </w:rPr>
        <w:t>the Coalition for Affordable Utility Service and Energy Efficiency in Pennsylvania (</w:t>
      </w:r>
      <w:r w:rsidR="008F1934">
        <w:rPr>
          <w:color w:val="000000"/>
          <w:sz w:val="26"/>
          <w:szCs w:val="26"/>
        </w:rPr>
        <w:t>CAUSE-PA</w:t>
      </w:r>
      <w:r w:rsidR="00F3633F">
        <w:rPr>
          <w:color w:val="000000"/>
          <w:sz w:val="26"/>
          <w:szCs w:val="26"/>
        </w:rPr>
        <w:t>)</w:t>
      </w:r>
      <w:r w:rsidR="00171BE0">
        <w:rPr>
          <w:color w:val="000000"/>
          <w:sz w:val="26"/>
          <w:szCs w:val="26"/>
        </w:rPr>
        <w:t>;</w:t>
      </w:r>
      <w:r w:rsidR="008F1934">
        <w:rPr>
          <w:color w:val="000000"/>
          <w:sz w:val="26"/>
          <w:szCs w:val="26"/>
        </w:rPr>
        <w:t xml:space="preserve"> Interstate Gas Supply, Inc.</w:t>
      </w:r>
      <w:r w:rsidR="00F612DB">
        <w:rPr>
          <w:color w:val="000000"/>
          <w:sz w:val="26"/>
          <w:szCs w:val="26"/>
        </w:rPr>
        <w:t xml:space="preserve"> (IGS)</w:t>
      </w:r>
      <w:r w:rsidR="00171BE0">
        <w:rPr>
          <w:color w:val="000000"/>
          <w:sz w:val="26"/>
          <w:szCs w:val="26"/>
        </w:rPr>
        <w:t>;</w:t>
      </w:r>
      <w:r w:rsidR="008F1934">
        <w:rPr>
          <w:color w:val="000000"/>
          <w:sz w:val="26"/>
          <w:szCs w:val="26"/>
        </w:rPr>
        <w:t xml:space="preserve"> Citizen</w:t>
      </w:r>
      <w:r w:rsidR="00F15DF5">
        <w:rPr>
          <w:color w:val="000000"/>
          <w:sz w:val="26"/>
          <w:szCs w:val="26"/>
        </w:rPr>
        <w:t>s</w:t>
      </w:r>
      <w:r w:rsidR="008F1934">
        <w:rPr>
          <w:color w:val="000000"/>
          <w:sz w:val="26"/>
          <w:szCs w:val="26"/>
        </w:rPr>
        <w:t xml:space="preserve"> for</w:t>
      </w:r>
      <w:r w:rsidR="00F15DF5">
        <w:rPr>
          <w:color w:val="000000"/>
          <w:sz w:val="26"/>
          <w:szCs w:val="26"/>
        </w:rPr>
        <w:t xml:space="preserve"> Pennsylvania’s Future</w:t>
      </w:r>
      <w:r w:rsidR="00F3633F">
        <w:rPr>
          <w:color w:val="000000"/>
          <w:sz w:val="26"/>
          <w:szCs w:val="26"/>
        </w:rPr>
        <w:t xml:space="preserve"> (PennFuture)</w:t>
      </w:r>
      <w:r w:rsidR="00171BE0">
        <w:rPr>
          <w:color w:val="000000"/>
          <w:sz w:val="26"/>
          <w:szCs w:val="26"/>
        </w:rPr>
        <w:t>;</w:t>
      </w:r>
      <w:r w:rsidR="00F15DF5">
        <w:rPr>
          <w:color w:val="000000"/>
          <w:sz w:val="26"/>
          <w:szCs w:val="26"/>
        </w:rPr>
        <w:t xml:space="preserve"> and Beaver Falls Municipal Authority</w:t>
      </w:r>
      <w:r w:rsidR="001B1607">
        <w:rPr>
          <w:color w:val="000000"/>
          <w:sz w:val="26"/>
          <w:szCs w:val="26"/>
        </w:rPr>
        <w:t xml:space="preserve"> (BFMA)</w:t>
      </w:r>
      <w:r w:rsidR="00F15DF5">
        <w:rPr>
          <w:color w:val="000000"/>
          <w:sz w:val="26"/>
          <w:szCs w:val="26"/>
        </w:rPr>
        <w:t xml:space="preserve">.  Various individuals filed Formal Complaints and </w:t>
      </w:r>
      <w:r w:rsidR="0035047A">
        <w:rPr>
          <w:color w:val="000000"/>
          <w:sz w:val="26"/>
          <w:szCs w:val="26"/>
        </w:rPr>
        <w:t>Oppositions to the rate increase</w:t>
      </w:r>
      <w:r w:rsidR="00F15DF5">
        <w:rPr>
          <w:color w:val="000000"/>
          <w:sz w:val="26"/>
          <w:szCs w:val="26"/>
        </w:rPr>
        <w:t>.</w:t>
      </w:r>
      <w:r w:rsidR="0035047A">
        <w:rPr>
          <w:color w:val="000000"/>
          <w:sz w:val="26"/>
          <w:szCs w:val="26"/>
        </w:rPr>
        <w:t xml:space="preserve"> </w:t>
      </w:r>
    </w:p>
    <w:p w:rsidR="007D7505" w:rsidRDefault="00EF2E4B" w:rsidP="00D234D2">
      <w:pPr>
        <w:adjustRightInd w:val="0"/>
        <w:rPr>
          <w:color w:val="000000"/>
          <w:sz w:val="26"/>
          <w:szCs w:val="26"/>
        </w:rPr>
      </w:pPr>
      <w:r>
        <w:rPr>
          <w:color w:val="000000"/>
          <w:sz w:val="26"/>
          <w:szCs w:val="26"/>
        </w:rPr>
        <w:t xml:space="preserve"> </w:t>
      </w:r>
      <w:r w:rsidR="00EB5FEB">
        <w:rPr>
          <w:color w:val="000000"/>
          <w:sz w:val="26"/>
          <w:szCs w:val="26"/>
        </w:rPr>
        <w:tab/>
      </w:r>
      <w:r w:rsidR="00EB5FEB">
        <w:rPr>
          <w:color w:val="000000"/>
          <w:sz w:val="26"/>
          <w:szCs w:val="26"/>
        </w:rPr>
        <w:tab/>
      </w:r>
    </w:p>
    <w:p w:rsidR="00EA1DE7" w:rsidRDefault="00BB51A1" w:rsidP="00E0670B">
      <w:pPr>
        <w:adjustRightInd w:val="0"/>
        <w:ind w:firstLine="0"/>
        <w:rPr>
          <w:color w:val="000000"/>
          <w:sz w:val="26"/>
          <w:szCs w:val="26"/>
        </w:rPr>
      </w:pPr>
      <w:r>
        <w:rPr>
          <w:color w:val="000000"/>
          <w:sz w:val="26"/>
          <w:szCs w:val="26"/>
        </w:rPr>
        <w:tab/>
      </w:r>
      <w:r>
        <w:rPr>
          <w:color w:val="000000"/>
          <w:sz w:val="26"/>
          <w:szCs w:val="26"/>
        </w:rPr>
        <w:tab/>
      </w:r>
      <w:r w:rsidR="007A64CF">
        <w:rPr>
          <w:color w:val="000000"/>
          <w:sz w:val="26"/>
          <w:szCs w:val="26"/>
        </w:rPr>
        <w:t>A public input hearing was held on October 28, 2013, in the Borough of Green Tree, Pennsylvania.</w:t>
      </w:r>
      <w:r w:rsidR="00EA1DE7">
        <w:rPr>
          <w:color w:val="000000"/>
          <w:sz w:val="26"/>
          <w:szCs w:val="26"/>
        </w:rPr>
        <w:t xml:space="preserve">  Two customers made statements but did not testify on the record.</w:t>
      </w:r>
      <w:r w:rsidR="00E07B11">
        <w:rPr>
          <w:color w:val="000000"/>
          <w:sz w:val="26"/>
          <w:szCs w:val="26"/>
        </w:rPr>
        <w:t xml:space="preserve">  </w:t>
      </w:r>
    </w:p>
    <w:p w:rsidR="001B6A5F" w:rsidRDefault="001B6A5F" w:rsidP="00E0670B">
      <w:pPr>
        <w:adjustRightInd w:val="0"/>
        <w:ind w:firstLine="0"/>
        <w:rPr>
          <w:color w:val="000000"/>
          <w:sz w:val="26"/>
          <w:szCs w:val="26"/>
        </w:rPr>
      </w:pPr>
    </w:p>
    <w:p w:rsidR="00EA11B7" w:rsidRDefault="00E07B11" w:rsidP="00EA1DE7">
      <w:pPr>
        <w:adjustRightInd w:val="0"/>
        <w:rPr>
          <w:color w:val="000000"/>
          <w:sz w:val="26"/>
          <w:szCs w:val="26"/>
        </w:rPr>
      </w:pPr>
      <w:r>
        <w:rPr>
          <w:color w:val="000000"/>
          <w:sz w:val="26"/>
          <w:szCs w:val="26"/>
        </w:rPr>
        <w:t>The Parties s</w:t>
      </w:r>
      <w:r w:rsidR="00EA1DE7">
        <w:rPr>
          <w:color w:val="000000"/>
          <w:sz w:val="26"/>
          <w:szCs w:val="26"/>
        </w:rPr>
        <w:t>erved</w:t>
      </w:r>
      <w:r>
        <w:rPr>
          <w:color w:val="000000"/>
          <w:sz w:val="26"/>
          <w:szCs w:val="26"/>
        </w:rPr>
        <w:t xml:space="preserve"> direct, rebuttal, and surrebuttal testimony</w:t>
      </w:r>
      <w:r w:rsidR="00EA1DE7">
        <w:rPr>
          <w:color w:val="000000"/>
          <w:sz w:val="26"/>
          <w:szCs w:val="26"/>
        </w:rPr>
        <w:t>, along with various exhibits</w:t>
      </w:r>
      <w:r>
        <w:rPr>
          <w:color w:val="000000"/>
          <w:sz w:val="26"/>
          <w:szCs w:val="26"/>
        </w:rPr>
        <w:t>.</w:t>
      </w:r>
      <w:r w:rsidR="00EA1DE7">
        <w:rPr>
          <w:color w:val="000000"/>
          <w:sz w:val="26"/>
          <w:szCs w:val="26"/>
        </w:rPr>
        <w:t xml:space="preserve">  </w:t>
      </w:r>
    </w:p>
    <w:p w:rsidR="00EA11B7" w:rsidRDefault="00EA11B7" w:rsidP="00E0670B">
      <w:pPr>
        <w:adjustRightInd w:val="0"/>
        <w:ind w:firstLine="0"/>
        <w:rPr>
          <w:color w:val="000000"/>
          <w:sz w:val="26"/>
          <w:szCs w:val="26"/>
        </w:rPr>
      </w:pPr>
    </w:p>
    <w:p w:rsidR="00D3291D" w:rsidRDefault="00EA11B7" w:rsidP="00E0670B">
      <w:pPr>
        <w:adjustRightInd w:val="0"/>
        <w:ind w:firstLine="0"/>
        <w:rPr>
          <w:color w:val="000000"/>
          <w:sz w:val="26"/>
          <w:szCs w:val="26"/>
        </w:rPr>
      </w:pPr>
      <w:r>
        <w:rPr>
          <w:color w:val="000000"/>
          <w:sz w:val="26"/>
          <w:szCs w:val="26"/>
        </w:rPr>
        <w:tab/>
      </w:r>
      <w:r>
        <w:rPr>
          <w:color w:val="000000"/>
          <w:sz w:val="26"/>
          <w:szCs w:val="26"/>
        </w:rPr>
        <w:tab/>
      </w:r>
      <w:r w:rsidR="004118B7">
        <w:rPr>
          <w:color w:val="000000"/>
          <w:sz w:val="26"/>
          <w:szCs w:val="26"/>
        </w:rPr>
        <w:t xml:space="preserve">On November 12, 2013, DLC filed Preliminary Objections raising the following objections to the portions of </w:t>
      </w:r>
      <w:r w:rsidR="00F12D26">
        <w:rPr>
          <w:color w:val="000000"/>
          <w:sz w:val="26"/>
          <w:szCs w:val="26"/>
        </w:rPr>
        <w:t xml:space="preserve">the </w:t>
      </w:r>
      <w:r w:rsidR="004118B7">
        <w:rPr>
          <w:color w:val="000000"/>
          <w:sz w:val="26"/>
          <w:szCs w:val="26"/>
        </w:rPr>
        <w:t>NRG</w:t>
      </w:r>
      <w:r w:rsidR="00F12D26">
        <w:rPr>
          <w:color w:val="000000"/>
          <w:sz w:val="26"/>
          <w:szCs w:val="26"/>
        </w:rPr>
        <w:t xml:space="preserve"> Companie</w:t>
      </w:r>
      <w:r w:rsidR="004118B7">
        <w:rPr>
          <w:color w:val="000000"/>
          <w:sz w:val="26"/>
          <w:szCs w:val="26"/>
        </w:rPr>
        <w:t>s</w:t>
      </w:r>
      <w:r w:rsidR="00F12D26">
        <w:rPr>
          <w:color w:val="000000"/>
          <w:sz w:val="26"/>
          <w:szCs w:val="26"/>
        </w:rPr>
        <w:t>’</w:t>
      </w:r>
      <w:r w:rsidR="004118B7">
        <w:rPr>
          <w:color w:val="000000"/>
          <w:sz w:val="26"/>
          <w:szCs w:val="26"/>
        </w:rPr>
        <w:t xml:space="preserve"> Complaint pertaining to Rider No. 18:  the Complaint is beyond the scope of the instant base rate proceeding; </w:t>
      </w:r>
      <w:r w:rsidR="00F12D26">
        <w:rPr>
          <w:color w:val="000000"/>
          <w:sz w:val="26"/>
          <w:szCs w:val="26"/>
        </w:rPr>
        <w:t xml:space="preserve">the </w:t>
      </w:r>
      <w:r w:rsidR="004118B7">
        <w:rPr>
          <w:color w:val="000000"/>
          <w:sz w:val="26"/>
          <w:szCs w:val="26"/>
        </w:rPr>
        <w:t xml:space="preserve">NRG </w:t>
      </w:r>
      <w:r w:rsidR="00F12D26">
        <w:rPr>
          <w:color w:val="000000"/>
          <w:sz w:val="26"/>
          <w:szCs w:val="26"/>
        </w:rPr>
        <w:t xml:space="preserve">Companies </w:t>
      </w:r>
      <w:r w:rsidR="004118B7">
        <w:rPr>
          <w:color w:val="000000"/>
          <w:sz w:val="26"/>
          <w:szCs w:val="26"/>
        </w:rPr>
        <w:t xml:space="preserve">failed to join parties indispensable to </w:t>
      </w:r>
      <w:r w:rsidR="00F12D26">
        <w:rPr>
          <w:color w:val="000000"/>
          <w:sz w:val="26"/>
          <w:szCs w:val="26"/>
        </w:rPr>
        <w:t>the</w:t>
      </w:r>
      <w:r w:rsidR="004118B7">
        <w:rPr>
          <w:color w:val="000000"/>
          <w:sz w:val="26"/>
          <w:szCs w:val="26"/>
        </w:rPr>
        <w:t xml:space="preserve"> claims regarding the PURPA rates paid under Rider No. 18; and the relief </w:t>
      </w:r>
      <w:r w:rsidR="00F12D26">
        <w:rPr>
          <w:color w:val="000000"/>
          <w:sz w:val="26"/>
          <w:szCs w:val="26"/>
        </w:rPr>
        <w:t xml:space="preserve">the </w:t>
      </w:r>
      <w:r w:rsidR="004118B7">
        <w:rPr>
          <w:color w:val="000000"/>
          <w:sz w:val="26"/>
          <w:szCs w:val="26"/>
        </w:rPr>
        <w:t xml:space="preserve">NRG </w:t>
      </w:r>
      <w:r w:rsidR="00F12D26">
        <w:rPr>
          <w:color w:val="000000"/>
          <w:sz w:val="26"/>
          <w:szCs w:val="26"/>
        </w:rPr>
        <w:t xml:space="preserve">Companies </w:t>
      </w:r>
      <w:r w:rsidR="004118B7">
        <w:rPr>
          <w:color w:val="000000"/>
          <w:sz w:val="26"/>
          <w:szCs w:val="26"/>
        </w:rPr>
        <w:t xml:space="preserve">requested is beyond the Commission’s jurisdiction.  On November 22, 2013, </w:t>
      </w:r>
      <w:r w:rsidR="00F12D26">
        <w:rPr>
          <w:color w:val="000000"/>
          <w:sz w:val="26"/>
          <w:szCs w:val="26"/>
        </w:rPr>
        <w:t xml:space="preserve">the </w:t>
      </w:r>
      <w:r w:rsidR="004118B7">
        <w:rPr>
          <w:color w:val="000000"/>
          <w:sz w:val="26"/>
          <w:szCs w:val="26"/>
        </w:rPr>
        <w:t xml:space="preserve">NRG </w:t>
      </w:r>
      <w:r w:rsidR="00F12D26">
        <w:rPr>
          <w:color w:val="000000"/>
          <w:sz w:val="26"/>
          <w:szCs w:val="26"/>
        </w:rPr>
        <w:t xml:space="preserve">Companies </w:t>
      </w:r>
      <w:r w:rsidR="004118B7">
        <w:rPr>
          <w:color w:val="000000"/>
          <w:sz w:val="26"/>
          <w:szCs w:val="26"/>
        </w:rPr>
        <w:t xml:space="preserve">filed an Answer to DLC’s Preliminary Objections.  Administrative Law Judge (ALJ) Conrad A. Johnson denied the Company’s Preliminary Objections </w:t>
      </w:r>
      <w:r w:rsidR="00B6333B">
        <w:rPr>
          <w:color w:val="000000"/>
          <w:sz w:val="26"/>
          <w:szCs w:val="26"/>
        </w:rPr>
        <w:t>by Interim Order dated December </w:t>
      </w:r>
      <w:r w:rsidR="004118B7">
        <w:rPr>
          <w:color w:val="000000"/>
          <w:sz w:val="26"/>
          <w:szCs w:val="26"/>
        </w:rPr>
        <w:t xml:space="preserve">12, 2013.  </w:t>
      </w:r>
    </w:p>
    <w:p w:rsidR="00D3291D" w:rsidRDefault="00D3291D" w:rsidP="00E0670B">
      <w:pPr>
        <w:adjustRightInd w:val="0"/>
        <w:ind w:firstLine="0"/>
        <w:rPr>
          <w:color w:val="000000"/>
          <w:sz w:val="26"/>
          <w:szCs w:val="26"/>
        </w:rPr>
      </w:pPr>
    </w:p>
    <w:p w:rsidR="00655701" w:rsidRDefault="00D3291D" w:rsidP="00E0670B">
      <w:pPr>
        <w:adjustRightInd w:val="0"/>
        <w:ind w:firstLine="0"/>
        <w:rPr>
          <w:color w:val="000000"/>
          <w:sz w:val="26"/>
          <w:szCs w:val="26"/>
        </w:rPr>
      </w:pPr>
      <w:r>
        <w:rPr>
          <w:color w:val="000000"/>
          <w:sz w:val="26"/>
          <w:szCs w:val="26"/>
        </w:rPr>
        <w:tab/>
      </w:r>
      <w:r>
        <w:rPr>
          <w:color w:val="000000"/>
          <w:sz w:val="26"/>
          <w:szCs w:val="26"/>
        </w:rPr>
        <w:tab/>
        <w:t xml:space="preserve">On December 13, 2013, DLC filed a Motion to Sever the Rider No. 18 portion of </w:t>
      </w:r>
      <w:r w:rsidR="00F12D26">
        <w:rPr>
          <w:color w:val="000000"/>
          <w:sz w:val="26"/>
          <w:szCs w:val="26"/>
        </w:rPr>
        <w:t xml:space="preserve">the </w:t>
      </w:r>
      <w:r>
        <w:rPr>
          <w:color w:val="000000"/>
          <w:sz w:val="26"/>
          <w:szCs w:val="26"/>
        </w:rPr>
        <w:t>NRG</w:t>
      </w:r>
      <w:r w:rsidR="00F12D26">
        <w:rPr>
          <w:color w:val="000000"/>
          <w:sz w:val="26"/>
          <w:szCs w:val="26"/>
        </w:rPr>
        <w:t xml:space="preserve"> Companie</w:t>
      </w:r>
      <w:r>
        <w:rPr>
          <w:color w:val="000000"/>
          <w:sz w:val="26"/>
          <w:szCs w:val="26"/>
        </w:rPr>
        <w:t>s</w:t>
      </w:r>
      <w:r w:rsidR="00F12D26">
        <w:rPr>
          <w:color w:val="000000"/>
          <w:sz w:val="26"/>
          <w:szCs w:val="26"/>
        </w:rPr>
        <w:t>’</w:t>
      </w:r>
      <w:r>
        <w:rPr>
          <w:color w:val="000000"/>
          <w:sz w:val="26"/>
          <w:szCs w:val="26"/>
        </w:rPr>
        <w:t xml:space="preserve"> Complaint from this base rate proceeding.  The ALJ denied the Motion to Sever on the second day of hearings, December </w:t>
      </w:r>
      <w:r w:rsidR="00553B02">
        <w:rPr>
          <w:color w:val="000000"/>
          <w:sz w:val="26"/>
          <w:szCs w:val="26"/>
        </w:rPr>
        <w:t>17, 2013.</w:t>
      </w:r>
      <w:r w:rsidR="001D49CA">
        <w:rPr>
          <w:color w:val="000000"/>
          <w:sz w:val="26"/>
          <w:szCs w:val="26"/>
        </w:rPr>
        <w:t xml:space="preserve">  </w:t>
      </w:r>
    </w:p>
    <w:p w:rsidR="00EA11B7" w:rsidRDefault="00051048" w:rsidP="00655701">
      <w:pPr>
        <w:adjustRightInd w:val="0"/>
        <w:ind w:left="720" w:firstLine="720"/>
        <w:rPr>
          <w:color w:val="000000"/>
          <w:sz w:val="26"/>
          <w:szCs w:val="26"/>
        </w:rPr>
      </w:pPr>
      <w:r>
        <w:rPr>
          <w:color w:val="000000"/>
          <w:sz w:val="26"/>
          <w:szCs w:val="26"/>
        </w:rPr>
        <w:lastRenderedPageBreak/>
        <w:t xml:space="preserve">Also on December 13, 2013, DLC filed the instant Petition.  </w:t>
      </w:r>
    </w:p>
    <w:p w:rsidR="00EA11B7" w:rsidRDefault="00EA11B7" w:rsidP="00E0670B">
      <w:pPr>
        <w:adjustRightInd w:val="0"/>
        <w:ind w:firstLine="0"/>
        <w:rPr>
          <w:color w:val="000000"/>
          <w:sz w:val="26"/>
          <w:szCs w:val="26"/>
        </w:rPr>
      </w:pPr>
    </w:p>
    <w:p w:rsidR="00EA1DE7" w:rsidRDefault="00EA1DE7" w:rsidP="004118B7">
      <w:pPr>
        <w:adjustRightInd w:val="0"/>
        <w:rPr>
          <w:color w:val="000000"/>
          <w:sz w:val="26"/>
          <w:szCs w:val="26"/>
        </w:rPr>
      </w:pPr>
      <w:r>
        <w:rPr>
          <w:color w:val="000000"/>
          <w:sz w:val="26"/>
          <w:szCs w:val="26"/>
        </w:rPr>
        <w:t>The Parties engaged in substantial formal and informal discovery</w:t>
      </w:r>
      <w:r w:rsidR="00655701">
        <w:rPr>
          <w:color w:val="000000"/>
          <w:sz w:val="26"/>
          <w:szCs w:val="26"/>
        </w:rPr>
        <w:t>,</w:t>
      </w:r>
      <w:r>
        <w:rPr>
          <w:color w:val="000000"/>
          <w:sz w:val="26"/>
          <w:szCs w:val="26"/>
        </w:rPr>
        <w:t xml:space="preserve"> and DLC responded to approxim</w:t>
      </w:r>
      <w:r w:rsidR="00B6333B">
        <w:rPr>
          <w:color w:val="000000"/>
          <w:sz w:val="26"/>
          <w:szCs w:val="26"/>
        </w:rPr>
        <w:t xml:space="preserve">ately 500 discovery requests.  </w:t>
      </w:r>
    </w:p>
    <w:p w:rsidR="00EA1DE7" w:rsidRDefault="00EA1DE7" w:rsidP="004118B7">
      <w:pPr>
        <w:adjustRightInd w:val="0"/>
        <w:rPr>
          <w:color w:val="000000"/>
          <w:sz w:val="26"/>
          <w:szCs w:val="26"/>
        </w:rPr>
      </w:pPr>
    </w:p>
    <w:p w:rsidR="0097384B" w:rsidRDefault="00E07B11" w:rsidP="004118B7">
      <w:pPr>
        <w:adjustRightInd w:val="0"/>
        <w:rPr>
          <w:color w:val="000000"/>
          <w:sz w:val="26"/>
          <w:szCs w:val="26"/>
        </w:rPr>
      </w:pPr>
      <w:r>
        <w:rPr>
          <w:color w:val="000000"/>
          <w:sz w:val="26"/>
          <w:szCs w:val="26"/>
        </w:rPr>
        <w:t>Evidentiary hearings were held on December 16, 17, and 20, 2013.</w:t>
      </w:r>
      <w:r w:rsidR="00F832A2">
        <w:rPr>
          <w:color w:val="000000"/>
          <w:sz w:val="26"/>
          <w:szCs w:val="26"/>
        </w:rPr>
        <w:t xml:space="preserve">  </w:t>
      </w:r>
      <w:r w:rsidR="00EA1DE7">
        <w:rPr>
          <w:color w:val="000000"/>
          <w:sz w:val="26"/>
          <w:szCs w:val="26"/>
        </w:rPr>
        <w:t xml:space="preserve">At the hearings, the Parties advised the ALJ that all Parties, other than </w:t>
      </w:r>
      <w:r w:rsidR="0097384B">
        <w:rPr>
          <w:color w:val="000000"/>
          <w:sz w:val="26"/>
          <w:szCs w:val="26"/>
        </w:rPr>
        <w:t xml:space="preserve">the </w:t>
      </w:r>
      <w:r w:rsidR="00EA1DE7">
        <w:rPr>
          <w:color w:val="000000"/>
          <w:sz w:val="26"/>
          <w:szCs w:val="26"/>
        </w:rPr>
        <w:t xml:space="preserve">NRG </w:t>
      </w:r>
      <w:r w:rsidR="0097384B">
        <w:rPr>
          <w:color w:val="000000"/>
          <w:sz w:val="26"/>
          <w:szCs w:val="26"/>
        </w:rPr>
        <w:t>Companies</w:t>
      </w:r>
      <w:r w:rsidR="00655701">
        <w:rPr>
          <w:color w:val="000000"/>
          <w:sz w:val="26"/>
          <w:szCs w:val="26"/>
        </w:rPr>
        <w:t>,</w:t>
      </w:r>
      <w:r w:rsidR="0097384B">
        <w:rPr>
          <w:color w:val="000000"/>
          <w:sz w:val="26"/>
          <w:szCs w:val="26"/>
        </w:rPr>
        <w:t xml:space="preserve"> had reached a settlement of all base rate issues</w:t>
      </w:r>
      <w:r w:rsidR="00655701">
        <w:rPr>
          <w:color w:val="000000"/>
          <w:sz w:val="26"/>
          <w:szCs w:val="26"/>
        </w:rPr>
        <w:t>,</w:t>
      </w:r>
      <w:r w:rsidR="0097384B">
        <w:rPr>
          <w:color w:val="000000"/>
          <w:sz w:val="26"/>
          <w:szCs w:val="26"/>
        </w:rPr>
        <w:t xml:space="preserve"> and that the only issues remaining for decision were those issues raised by the NRG Companies.</w:t>
      </w:r>
      <w:r w:rsidR="00B6333B">
        <w:rPr>
          <w:color w:val="000000"/>
          <w:sz w:val="26"/>
          <w:szCs w:val="26"/>
        </w:rPr>
        <w:t xml:space="preserve">  Tr. at 71. </w:t>
      </w:r>
    </w:p>
    <w:p w:rsidR="0097384B" w:rsidRDefault="0097384B" w:rsidP="004118B7">
      <w:pPr>
        <w:adjustRightInd w:val="0"/>
        <w:rPr>
          <w:color w:val="000000"/>
          <w:sz w:val="26"/>
          <w:szCs w:val="26"/>
        </w:rPr>
      </w:pPr>
    </w:p>
    <w:p w:rsidR="0097384B" w:rsidRDefault="0097384B" w:rsidP="004118B7">
      <w:pPr>
        <w:adjustRightInd w:val="0"/>
        <w:rPr>
          <w:color w:val="000000"/>
          <w:sz w:val="26"/>
          <w:szCs w:val="26"/>
        </w:rPr>
      </w:pPr>
      <w:r>
        <w:rPr>
          <w:color w:val="000000"/>
          <w:sz w:val="26"/>
          <w:szCs w:val="26"/>
        </w:rPr>
        <w:t xml:space="preserve">During the hearings, the Parties’ respective testimony and exhibits were admitted into the record.  Certain Parties were cross-examined on issues raised by the NRG Companies, and the NRG Companies cross-examined I&amp;E and the OCA witnesses.  </w:t>
      </w:r>
    </w:p>
    <w:p w:rsidR="0097384B" w:rsidRDefault="0097384B" w:rsidP="004118B7">
      <w:pPr>
        <w:adjustRightInd w:val="0"/>
        <w:rPr>
          <w:color w:val="000000"/>
          <w:sz w:val="26"/>
          <w:szCs w:val="26"/>
        </w:rPr>
      </w:pPr>
    </w:p>
    <w:p w:rsidR="001D49CA" w:rsidRDefault="0097384B" w:rsidP="004118B7">
      <w:pPr>
        <w:adjustRightInd w:val="0"/>
        <w:rPr>
          <w:color w:val="000000"/>
          <w:sz w:val="26"/>
          <w:szCs w:val="26"/>
        </w:rPr>
      </w:pPr>
      <w:r>
        <w:rPr>
          <w:color w:val="000000"/>
          <w:sz w:val="26"/>
          <w:szCs w:val="26"/>
        </w:rPr>
        <w:t xml:space="preserve">The record was closed on December 20, 2013.  </w:t>
      </w:r>
      <w:r w:rsidR="00E07B11">
        <w:rPr>
          <w:color w:val="000000"/>
          <w:sz w:val="26"/>
          <w:szCs w:val="26"/>
        </w:rPr>
        <w:t xml:space="preserve">The record consists of a transcript of </w:t>
      </w:r>
      <w:r w:rsidR="00EB582C">
        <w:rPr>
          <w:color w:val="000000"/>
          <w:sz w:val="26"/>
          <w:szCs w:val="26"/>
        </w:rPr>
        <w:t xml:space="preserve">459 pages and the </w:t>
      </w:r>
      <w:r w:rsidR="00D33978">
        <w:rPr>
          <w:color w:val="000000"/>
          <w:sz w:val="26"/>
          <w:szCs w:val="26"/>
        </w:rPr>
        <w:t xml:space="preserve">various </w:t>
      </w:r>
      <w:r w:rsidR="00540001">
        <w:rPr>
          <w:color w:val="000000"/>
          <w:sz w:val="26"/>
          <w:szCs w:val="26"/>
        </w:rPr>
        <w:t>statements and exhibits of</w:t>
      </w:r>
      <w:r w:rsidR="00D33978">
        <w:rPr>
          <w:color w:val="000000"/>
          <w:sz w:val="26"/>
          <w:szCs w:val="26"/>
        </w:rPr>
        <w:t xml:space="preserve"> the Parties.</w:t>
      </w:r>
      <w:r w:rsidR="001D49CA">
        <w:rPr>
          <w:color w:val="000000"/>
          <w:sz w:val="26"/>
          <w:szCs w:val="26"/>
        </w:rPr>
        <w:t xml:space="preserve">  </w:t>
      </w:r>
    </w:p>
    <w:p w:rsidR="001D49CA" w:rsidRDefault="001D49CA" w:rsidP="004118B7">
      <w:pPr>
        <w:adjustRightInd w:val="0"/>
        <w:rPr>
          <w:color w:val="000000"/>
          <w:sz w:val="26"/>
          <w:szCs w:val="26"/>
        </w:rPr>
      </w:pPr>
    </w:p>
    <w:p w:rsidR="001D49CA" w:rsidRDefault="001D49CA" w:rsidP="004118B7">
      <w:pPr>
        <w:adjustRightInd w:val="0"/>
        <w:rPr>
          <w:color w:val="000000"/>
          <w:sz w:val="26"/>
          <w:szCs w:val="26"/>
        </w:rPr>
      </w:pPr>
      <w:r>
        <w:rPr>
          <w:color w:val="000000"/>
          <w:sz w:val="26"/>
          <w:szCs w:val="26"/>
        </w:rPr>
        <w:t>On December 23, 2013, DLC filed a Brief in Support of the Petition</w:t>
      </w:r>
      <w:r w:rsidR="00655701">
        <w:rPr>
          <w:color w:val="000000"/>
          <w:sz w:val="26"/>
          <w:szCs w:val="26"/>
        </w:rPr>
        <w:t>,</w:t>
      </w:r>
      <w:r>
        <w:rPr>
          <w:color w:val="000000"/>
          <w:sz w:val="26"/>
          <w:szCs w:val="26"/>
        </w:rPr>
        <w:t xml:space="preserve"> BFMA filed a Brief in Support of the Petition</w:t>
      </w:r>
      <w:r w:rsidR="00655701">
        <w:rPr>
          <w:color w:val="000000"/>
          <w:sz w:val="26"/>
          <w:szCs w:val="26"/>
        </w:rPr>
        <w:t>,</w:t>
      </w:r>
      <w:r>
        <w:rPr>
          <w:color w:val="000000"/>
          <w:sz w:val="26"/>
          <w:szCs w:val="26"/>
        </w:rPr>
        <w:t xml:space="preserve"> and </w:t>
      </w:r>
      <w:r w:rsidR="00604686">
        <w:rPr>
          <w:color w:val="000000"/>
          <w:sz w:val="26"/>
          <w:szCs w:val="26"/>
        </w:rPr>
        <w:t xml:space="preserve">the </w:t>
      </w:r>
      <w:r>
        <w:rPr>
          <w:color w:val="000000"/>
          <w:sz w:val="26"/>
          <w:szCs w:val="26"/>
        </w:rPr>
        <w:t xml:space="preserve">NRG </w:t>
      </w:r>
      <w:r w:rsidR="00604686">
        <w:rPr>
          <w:color w:val="000000"/>
          <w:sz w:val="26"/>
          <w:szCs w:val="26"/>
        </w:rPr>
        <w:t xml:space="preserve">Companies </w:t>
      </w:r>
      <w:r>
        <w:rPr>
          <w:color w:val="000000"/>
          <w:sz w:val="26"/>
          <w:szCs w:val="26"/>
        </w:rPr>
        <w:t>filed a Brief in Opposition to the Petition.</w:t>
      </w:r>
      <w:r w:rsidR="00D33978">
        <w:rPr>
          <w:color w:val="000000"/>
          <w:sz w:val="26"/>
          <w:szCs w:val="26"/>
        </w:rPr>
        <w:t xml:space="preserve"> </w:t>
      </w:r>
    </w:p>
    <w:p w:rsidR="00726E2C" w:rsidRDefault="00726E2C" w:rsidP="004118B7">
      <w:pPr>
        <w:adjustRightInd w:val="0"/>
        <w:rPr>
          <w:color w:val="000000"/>
          <w:sz w:val="26"/>
          <w:szCs w:val="26"/>
        </w:rPr>
      </w:pPr>
    </w:p>
    <w:p w:rsidR="00F3633F" w:rsidRDefault="005C2151" w:rsidP="004118B7">
      <w:pPr>
        <w:adjustRightInd w:val="0"/>
        <w:rPr>
          <w:color w:val="000000"/>
          <w:sz w:val="26"/>
          <w:szCs w:val="26"/>
        </w:rPr>
      </w:pPr>
      <w:r>
        <w:rPr>
          <w:color w:val="000000"/>
          <w:sz w:val="26"/>
          <w:szCs w:val="26"/>
        </w:rPr>
        <w:t xml:space="preserve">On January 6, 2014, the </w:t>
      </w:r>
      <w:r w:rsidR="000B3BA4">
        <w:rPr>
          <w:color w:val="000000"/>
          <w:sz w:val="26"/>
          <w:szCs w:val="26"/>
        </w:rPr>
        <w:t>following</w:t>
      </w:r>
      <w:r w:rsidR="003D368A">
        <w:rPr>
          <w:color w:val="000000"/>
          <w:sz w:val="26"/>
          <w:szCs w:val="26"/>
        </w:rPr>
        <w:t xml:space="preserve"> Parties filed Main Briefs</w:t>
      </w:r>
      <w:r w:rsidR="000B3BA4">
        <w:rPr>
          <w:color w:val="000000"/>
          <w:sz w:val="26"/>
          <w:szCs w:val="26"/>
        </w:rPr>
        <w:t xml:space="preserve">:  </w:t>
      </w:r>
      <w:r w:rsidR="00F3633F">
        <w:rPr>
          <w:color w:val="000000"/>
          <w:sz w:val="26"/>
          <w:szCs w:val="26"/>
        </w:rPr>
        <w:t>BFMA, the NRG Companies,</w:t>
      </w:r>
      <w:r w:rsidR="003D368A">
        <w:rPr>
          <w:color w:val="000000"/>
          <w:sz w:val="26"/>
          <w:szCs w:val="26"/>
        </w:rPr>
        <w:t xml:space="preserve"> </w:t>
      </w:r>
      <w:r w:rsidR="00F3633F">
        <w:rPr>
          <w:color w:val="000000"/>
          <w:sz w:val="26"/>
          <w:szCs w:val="26"/>
        </w:rPr>
        <w:t xml:space="preserve">DLC, I&amp;E, and the OCA.  </w:t>
      </w:r>
    </w:p>
    <w:p w:rsidR="00F3633F" w:rsidRDefault="00F3633F" w:rsidP="004118B7">
      <w:pPr>
        <w:adjustRightInd w:val="0"/>
        <w:rPr>
          <w:color w:val="000000"/>
          <w:sz w:val="26"/>
          <w:szCs w:val="26"/>
        </w:rPr>
      </w:pPr>
    </w:p>
    <w:p w:rsidR="00B60FB4" w:rsidRDefault="00F3633F" w:rsidP="004118B7">
      <w:pPr>
        <w:adjustRightInd w:val="0"/>
        <w:rPr>
          <w:color w:val="000000"/>
          <w:sz w:val="26"/>
          <w:szCs w:val="26"/>
        </w:rPr>
      </w:pPr>
      <w:r>
        <w:rPr>
          <w:color w:val="000000"/>
          <w:sz w:val="26"/>
          <w:szCs w:val="26"/>
        </w:rPr>
        <w:t>On January 16, 2014, the following Parties filed a Joint Petition for Approval of Non-Unanimous Settlement</w:t>
      </w:r>
      <w:r w:rsidR="00DE2B9F">
        <w:rPr>
          <w:color w:val="000000"/>
          <w:sz w:val="26"/>
          <w:szCs w:val="26"/>
        </w:rPr>
        <w:t xml:space="preserve"> (Settlement)</w:t>
      </w:r>
      <w:r>
        <w:rPr>
          <w:color w:val="000000"/>
          <w:sz w:val="26"/>
          <w:szCs w:val="26"/>
        </w:rPr>
        <w:t xml:space="preserve">:  DLC, I&amp;E, the OCA, the OSBA, CAUSE-PA, DII, PennFuture, and U.S. Steel.  </w:t>
      </w:r>
      <w:r w:rsidR="00F612DB">
        <w:rPr>
          <w:color w:val="000000"/>
          <w:sz w:val="26"/>
          <w:szCs w:val="26"/>
        </w:rPr>
        <w:t>Other Parties, including the CAAP, Citizen Power,</w:t>
      </w:r>
      <w:r w:rsidR="00DE2B9F">
        <w:rPr>
          <w:color w:val="000000"/>
          <w:sz w:val="26"/>
          <w:szCs w:val="26"/>
        </w:rPr>
        <w:t xml:space="preserve"> IGS, IBEW, and BFMA have indicated they do not oppose the Settlement.</w:t>
      </w:r>
      <w:r w:rsidR="00F612DB">
        <w:rPr>
          <w:color w:val="000000"/>
          <w:sz w:val="26"/>
          <w:szCs w:val="26"/>
        </w:rPr>
        <w:t xml:space="preserve">  </w:t>
      </w:r>
      <w:r w:rsidR="00DE2B9F">
        <w:rPr>
          <w:color w:val="000000"/>
          <w:sz w:val="26"/>
          <w:szCs w:val="26"/>
        </w:rPr>
        <w:t xml:space="preserve">The NRG Companies have reserved the right to oppose the Settlement.  </w:t>
      </w:r>
      <w:r w:rsidR="00DE2B9F">
        <w:rPr>
          <w:color w:val="000000"/>
          <w:sz w:val="26"/>
          <w:szCs w:val="26"/>
        </w:rPr>
        <w:lastRenderedPageBreak/>
        <w:t>NRG Companies M.B. at 7-8.</w:t>
      </w:r>
      <w:r w:rsidR="00B22886">
        <w:rPr>
          <w:color w:val="000000"/>
          <w:sz w:val="26"/>
          <w:szCs w:val="26"/>
        </w:rPr>
        <w:t xml:space="preserve">  The Settlement provides for, </w:t>
      </w:r>
      <w:r w:rsidR="00B22886" w:rsidRPr="00B22886">
        <w:rPr>
          <w:i/>
          <w:color w:val="000000"/>
          <w:sz w:val="26"/>
          <w:szCs w:val="26"/>
        </w:rPr>
        <w:t>inter alia</w:t>
      </w:r>
      <w:r w:rsidR="00B22886">
        <w:rPr>
          <w:color w:val="000000"/>
          <w:sz w:val="26"/>
          <w:szCs w:val="26"/>
        </w:rPr>
        <w:t xml:space="preserve">, </w:t>
      </w:r>
      <w:r w:rsidR="00635041">
        <w:rPr>
          <w:color w:val="000000"/>
          <w:sz w:val="26"/>
          <w:szCs w:val="26"/>
        </w:rPr>
        <w:t>increases in rates designed to produce a net increase in annual distribution operating revenues of $48 million, based on a FPFTY ending April 30, 2015, to become effective for service rendered on and after May 1, 2014.</w:t>
      </w:r>
      <w:r w:rsidR="00DF3541">
        <w:rPr>
          <w:color w:val="000000"/>
          <w:sz w:val="26"/>
          <w:szCs w:val="26"/>
        </w:rPr>
        <w:t xml:space="preserve">  </w:t>
      </w:r>
    </w:p>
    <w:p w:rsidR="00B60FB4" w:rsidRDefault="00B60FB4" w:rsidP="004118B7">
      <w:pPr>
        <w:adjustRightInd w:val="0"/>
        <w:rPr>
          <w:color w:val="000000"/>
          <w:sz w:val="26"/>
          <w:szCs w:val="26"/>
        </w:rPr>
      </w:pPr>
    </w:p>
    <w:p w:rsidR="00DE2B9F" w:rsidRDefault="00B60FB4" w:rsidP="004118B7">
      <w:pPr>
        <w:adjustRightInd w:val="0"/>
        <w:rPr>
          <w:color w:val="000000"/>
          <w:sz w:val="26"/>
          <w:szCs w:val="26"/>
        </w:rPr>
      </w:pPr>
      <w:r>
        <w:rPr>
          <w:color w:val="000000"/>
          <w:sz w:val="26"/>
          <w:szCs w:val="26"/>
        </w:rPr>
        <w:t xml:space="preserve">On </w:t>
      </w:r>
      <w:r w:rsidR="00B77B51">
        <w:rPr>
          <w:color w:val="000000"/>
          <w:sz w:val="26"/>
          <w:szCs w:val="26"/>
        </w:rPr>
        <w:t xml:space="preserve">January 17, 2014, the following Parties filed Reply Briefs:  I&amp;E, the OCA, BFMA, DLC, and the NRG Companies. </w:t>
      </w:r>
    </w:p>
    <w:p w:rsidR="00DF3541" w:rsidRDefault="00DF3541" w:rsidP="004118B7">
      <w:pPr>
        <w:adjustRightInd w:val="0"/>
        <w:rPr>
          <w:color w:val="000000"/>
          <w:sz w:val="26"/>
          <w:szCs w:val="26"/>
        </w:rPr>
      </w:pPr>
    </w:p>
    <w:p w:rsidR="00D6672E" w:rsidRDefault="00736427" w:rsidP="00497470">
      <w:pPr>
        <w:adjustRightInd w:val="0"/>
        <w:ind w:firstLine="0"/>
        <w:jc w:val="center"/>
        <w:rPr>
          <w:b/>
          <w:sz w:val="26"/>
          <w:szCs w:val="26"/>
        </w:rPr>
      </w:pPr>
      <w:r w:rsidRPr="00672118">
        <w:rPr>
          <w:b/>
          <w:sz w:val="26"/>
          <w:szCs w:val="26"/>
        </w:rPr>
        <w:t>Discussion</w:t>
      </w:r>
    </w:p>
    <w:p w:rsidR="00F211B8" w:rsidRDefault="00F211B8" w:rsidP="009A0A44">
      <w:pPr>
        <w:ind w:firstLine="0"/>
        <w:jc w:val="center"/>
        <w:rPr>
          <w:b/>
          <w:sz w:val="26"/>
          <w:szCs w:val="26"/>
        </w:rPr>
      </w:pPr>
    </w:p>
    <w:p w:rsidR="003F4BFD" w:rsidRDefault="00F211B8" w:rsidP="00260520">
      <w:pPr>
        <w:ind w:firstLine="0"/>
        <w:rPr>
          <w:bCs/>
          <w:sz w:val="26"/>
          <w:szCs w:val="26"/>
        </w:rPr>
      </w:pPr>
      <w:r>
        <w:rPr>
          <w:b/>
          <w:sz w:val="26"/>
          <w:szCs w:val="26"/>
        </w:rPr>
        <w:tab/>
      </w:r>
      <w:r>
        <w:rPr>
          <w:b/>
          <w:sz w:val="26"/>
          <w:szCs w:val="26"/>
        </w:rPr>
        <w:tab/>
      </w:r>
      <w:r>
        <w:rPr>
          <w:sz w:val="26"/>
          <w:szCs w:val="26"/>
        </w:rPr>
        <w:t xml:space="preserve">We begin our discussion by addressing whether </w:t>
      </w:r>
      <w:r w:rsidR="001D49CA">
        <w:rPr>
          <w:sz w:val="26"/>
          <w:szCs w:val="26"/>
        </w:rPr>
        <w:t>DLC’</w:t>
      </w:r>
      <w:r w:rsidR="007E35F9">
        <w:rPr>
          <w:sz w:val="26"/>
          <w:szCs w:val="26"/>
        </w:rPr>
        <w:t>s Petition</w:t>
      </w:r>
      <w:r>
        <w:rPr>
          <w:sz w:val="26"/>
          <w:szCs w:val="26"/>
        </w:rPr>
        <w:t xml:space="preserve"> me</w:t>
      </w:r>
      <w:r w:rsidR="007E35F9">
        <w:rPr>
          <w:sz w:val="26"/>
          <w:szCs w:val="26"/>
        </w:rPr>
        <w:t>e</w:t>
      </w:r>
      <w:r>
        <w:rPr>
          <w:sz w:val="26"/>
          <w:szCs w:val="26"/>
        </w:rPr>
        <w:t>t</w:t>
      </w:r>
      <w:r w:rsidR="007E35F9">
        <w:rPr>
          <w:sz w:val="26"/>
          <w:szCs w:val="26"/>
        </w:rPr>
        <w:t>s</w:t>
      </w:r>
      <w:r>
        <w:rPr>
          <w:sz w:val="26"/>
          <w:szCs w:val="26"/>
        </w:rPr>
        <w:t xml:space="preserve"> the </w:t>
      </w:r>
      <w:r w:rsidR="007E35F9">
        <w:rPr>
          <w:sz w:val="26"/>
          <w:szCs w:val="26"/>
        </w:rPr>
        <w:t>standards</w:t>
      </w:r>
      <w:r>
        <w:rPr>
          <w:sz w:val="26"/>
          <w:szCs w:val="26"/>
        </w:rPr>
        <w:t xml:space="preserve"> for interlocutory review.  </w:t>
      </w:r>
      <w:r w:rsidR="00844F62">
        <w:rPr>
          <w:sz w:val="26"/>
        </w:rPr>
        <w:t xml:space="preserve">During the course of a proceeding and pursuant to the provisions of 52 Pa. Code § 5.302, a party may seek interlocutory review and answer to a material question which has arisen or is likely to arise.  </w:t>
      </w:r>
      <w:r w:rsidR="00B970FC">
        <w:rPr>
          <w:sz w:val="26"/>
        </w:rPr>
        <w:t>The standards for interlocutory review are well established.  Secti</w:t>
      </w:r>
      <w:r w:rsidR="00260520">
        <w:rPr>
          <w:sz w:val="26"/>
        </w:rPr>
        <w:t xml:space="preserve">on 5.302 of our </w:t>
      </w:r>
      <w:r w:rsidR="005D6B9A">
        <w:rPr>
          <w:sz w:val="26"/>
        </w:rPr>
        <w:t>R</w:t>
      </w:r>
      <w:r w:rsidR="00260520">
        <w:rPr>
          <w:sz w:val="26"/>
        </w:rPr>
        <w:t xml:space="preserve">egulations, 52 </w:t>
      </w:r>
      <w:r w:rsidR="00B970FC">
        <w:rPr>
          <w:sz w:val="26"/>
        </w:rPr>
        <w:t>Pa.</w:t>
      </w:r>
      <w:r w:rsidR="00260520">
        <w:rPr>
          <w:sz w:val="26"/>
        </w:rPr>
        <w:t xml:space="preserve"> Code § </w:t>
      </w:r>
      <w:r w:rsidR="00B970FC">
        <w:rPr>
          <w:sz w:val="26"/>
        </w:rPr>
        <w:t>5.302, requires that the petition “state . . . the com</w:t>
      </w:r>
      <w:r w:rsidR="00B970FC">
        <w:rPr>
          <w:sz w:val="26"/>
        </w:rPr>
        <w:softHyphen/>
        <w:t xml:space="preserve">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A-310200F0002, </w:t>
      </w:r>
      <w:r w:rsidR="00221E58" w:rsidRPr="00B62548">
        <w:rPr>
          <w:bCs/>
          <w:i/>
          <w:iCs/>
          <w:sz w:val="26"/>
          <w:szCs w:val="26"/>
        </w:rPr>
        <w:t>et al.</w:t>
      </w:r>
      <w:r w:rsidR="00221E58" w:rsidRPr="00B62548">
        <w:rPr>
          <w:bCs/>
          <w:sz w:val="26"/>
          <w:szCs w:val="26"/>
        </w:rPr>
        <w:t xml:space="preserve"> (Order entered June 10, 1999);</w:t>
      </w:r>
      <w:r w:rsidR="00221E58">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 </w:t>
      </w:r>
    </w:p>
    <w:p w:rsidR="00B970FC" w:rsidRPr="00B14533" w:rsidRDefault="00221E58" w:rsidP="00260520">
      <w:pPr>
        <w:ind w:firstLine="0"/>
        <w:rPr>
          <w:sz w:val="26"/>
          <w:szCs w:val="26"/>
        </w:rPr>
      </w:pPr>
      <w:r w:rsidRPr="00B62548">
        <w:rPr>
          <w:bCs/>
          <w:sz w:val="26"/>
          <w:szCs w:val="26"/>
        </w:rPr>
        <w:t>R-00984411 (Order entered February 11, 1999)</w:t>
      </w:r>
      <w:r w:rsidR="00E972CF" w:rsidRPr="00B62548">
        <w:rPr>
          <w:bCs/>
          <w:sz w:val="26"/>
          <w:szCs w:val="26"/>
        </w:rPr>
        <w:t>;</w:t>
      </w:r>
      <w:r>
        <w:rPr>
          <w:bCs/>
          <w:sz w:val="26"/>
          <w:szCs w:val="26"/>
        </w:rPr>
        <w:t xml:space="preserve"> </w:t>
      </w:r>
      <w:r w:rsidR="003F4BFD" w:rsidRPr="003F4BFD">
        <w:rPr>
          <w:bCs/>
          <w:i/>
          <w:sz w:val="26"/>
          <w:szCs w:val="26"/>
        </w:rPr>
        <w:t>In</w:t>
      </w:r>
      <w:r w:rsidR="003F4BFD">
        <w:rPr>
          <w:bCs/>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  </w:t>
      </w:r>
    </w:p>
    <w:p w:rsidR="00B970FC" w:rsidRDefault="00B970FC" w:rsidP="00F15D8C">
      <w:pPr>
        <w:ind w:firstLine="0"/>
        <w:rPr>
          <w:sz w:val="26"/>
        </w:rPr>
      </w:pPr>
    </w:p>
    <w:p w:rsidR="00B970FC" w:rsidRDefault="00B970FC" w:rsidP="00B970FC">
      <w:pPr>
        <w:rPr>
          <w:sz w:val="26"/>
        </w:rPr>
      </w:pPr>
      <w:r>
        <w:rPr>
          <w:sz w:val="26"/>
        </w:rPr>
        <w:t xml:space="preserve">Pursuant to 52 Pa. Code § 5.303, the Commission may take one of the following courses of action on requests for interlocutory review and answer to a material question:  </w:t>
      </w:r>
    </w:p>
    <w:p w:rsidR="00B970FC" w:rsidRDefault="00B970FC" w:rsidP="00B970FC">
      <w:pPr>
        <w:ind w:left="1440" w:right="1440"/>
        <w:rPr>
          <w:sz w:val="26"/>
        </w:rPr>
      </w:pPr>
    </w:p>
    <w:p w:rsidR="00B970FC" w:rsidRDefault="00B970FC" w:rsidP="003612A3">
      <w:pPr>
        <w:spacing w:line="240" w:lineRule="auto"/>
        <w:ind w:left="2160" w:right="1440" w:hanging="720"/>
        <w:rPr>
          <w:sz w:val="26"/>
        </w:rPr>
      </w:pPr>
      <w:r>
        <w:rPr>
          <w:sz w:val="26"/>
        </w:rPr>
        <w:lastRenderedPageBreak/>
        <w:t>(1)</w:t>
      </w:r>
      <w:r>
        <w:rPr>
          <w:sz w:val="26"/>
        </w:rPr>
        <w:tab/>
        <w:t>Continue, revoke or grant a stay of proceedings if necessary to protect the substantial rights of the parti</w:t>
      </w:r>
      <w:r w:rsidR="003F60CC">
        <w:rPr>
          <w:sz w:val="26"/>
        </w:rPr>
        <w:t>e</w:t>
      </w:r>
      <w:r>
        <w:rPr>
          <w:sz w:val="26"/>
        </w:rPr>
        <w:t>s.</w:t>
      </w:r>
    </w:p>
    <w:p w:rsidR="00B970FC" w:rsidRDefault="00B970FC"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(2)</w:t>
      </w:r>
      <w:r>
        <w:rPr>
          <w:sz w:val="26"/>
        </w:rPr>
        <w:tab/>
        <w:t>Determine that the petition was improper and return the matter to the presiding officer.</w:t>
      </w:r>
    </w:p>
    <w:p w:rsidR="00B970FC" w:rsidRDefault="00B970FC" w:rsidP="003612A3">
      <w:pPr>
        <w:spacing w:line="240" w:lineRule="auto"/>
        <w:ind w:left="2160" w:hanging="720"/>
        <w:rPr>
          <w:sz w:val="26"/>
        </w:rPr>
      </w:pPr>
    </w:p>
    <w:p w:rsidR="00B970FC" w:rsidRDefault="00B970FC" w:rsidP="0061704B">
      <w:pPr>
        <w:spacing w:line="240" w:lineRule="auto"/>
        <w:ind w:left="2160" w:right="1440" w:hanging="720"/>
        <w:rPr>
          <w:sz w:val="26"/>
        </w:rPr>
      </w:pPr>
      <w:r>
        <w:rPr>
          <w:sz w:val="26"/>
        </w:rPr>
        <w:t>(3)</w:t>
      </w:r>
      <w:r>
        <w:rPr>
          <w:sz w:val="26"/>
        </w:rPr>
        <w:tab/>
        <w:t>Decline to answer the question.</w:t>
      </w:r>
    </w:p>
    <w:p w:rsidR="00B970FC" w:rsidRDefault="00B970FC" w:rsidP="0061704B">
      <w:pPr>
        <w:spacing w:line="240" w:lineRule="auto"/>
        <w:ind w:left="2160" w:right="1440" w:hanging="720"/>
        <w:rPr>
          <w:sz w:val="26"/>
        </w:rPr>
      </w:pPr>
    </w:p>
    <w:p w:rsidR="00B970FC" w:rsidRDefault="00B970FC" w:rsidP="0061704B">
      <w:pPr>
        <w:spacing w:line="240" w:lineRule="auto"/>
        <w:ind w:left="2160" w:right="1440" w:hanging="720"/>
        <w:rPr>
          <w:sz w:val="26"/>
        </w:rPr>
      </w:pPr>
      <w:r>
        <w:rPr>
          <w:sz w:val="26"/>
        </w:rPr>
        <w:t>(4)</w:t>
      </w:r>
      <w:r>
        <w:rPr>
          <w:sz w:val="26"/>
        </w:rPr>
        <w:tab/>
        <w:t>Answer the question.</w:t>
      </w:r>
    </w:p>
    <w:p w:rsidR="00B010A2" w:rsidRDefault="00B010A2" w:rsidP="0061704B">
      <w:pPr>
        <w:spacing w:line="240" w:lineRule="auto"/>
        <w:ind w:left="2160" w:right="1440" w:hanging="720"/>
        <w:rPr>
          <w:sz w:val="26"/>
        </w:rPr>
      </w:pPr>
    </w:p>
    <w:p w:rsidR="0083346C" w:rsidRPr="0083346C" w:rsidRDefault="0083346C" w:rsidP="00B30595">
      <w:pPr>
        <w:ind w:firstLine="0"/>
        <w:rPr>
          <w:sz w:val="26"/>
        </w:rPr>
      </w:pPr>
      <w:r>
        <w:rPr>
          <w:sz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Re:  Philadelphia Gas Works Universal Service and Energy Conservation Plan</w:t>
      </w:r>
      <w:r w:rsidR="002B1A85">
        <w:rPr>
          <w:sz w:val="26"/>
        </w:rPr>
        <w:t>, Docket No. M-00072021 (Order entered October 23, 2009)</w:t>
      </w:r>
      <w:r w:rsidR="00CA739E">
        <w:rPr>
          <w:sz w:val="26"/>
        </w:rPr>
        <w:t>, at 3</w:t>
      </w:r>
      <w:r w:rsidR="002B1A85">
        <w:rPr>
          <w:sz w:val="26"/>
        </w:rPr>
        <w:t>.</w:t>
      </w:r>
      <w:r w:rsidR="00CA739E">
        <w:rPr>
          <w:sz w:val="26"/>
        </w:rPr>
        <w:t xml:space="preserve">  </w:t>
      </w:r>
    </w:p>
    <w:p w:rsidR="0083346C" w:rsidRDefault="0083346C" w:rsidP="00B30595">
      <w:pPr>
        <w:ind w:firstLine="0"/>
        <w:rPr>
          <w:b/>
          <w:sz w:val="26"/>
        </w:rPr>
      </w:pPr>
    </w:p>
    <w:p w:rsidR="00CC3221" w:rsidRPr="007723BD" w:rsidRDefault="00F27D64" w:rsidP="00B30595">
      <w:pPr>
        <w:ind w:firstLine="0"/>
        <w:rPr>
          <w:b/>
          <w:sz w:val="26"/>
        </w:rPr>
      </w:pPr>
      <w:r w:rsidRPr="007723BD">
        <w:rPr>
          <w:b/>
          <w:sz w:val="26"/>
        </w:rPr>
        <w:t>Position</w:t>
      </w:r>
      <w:r w:rsidR="005367FD" w:rsidRPr="007723BD">
        <w:rPr>
          <w:b/>
          <w:sz w:val="26"/>
        </w:rPr>
        <w:t>s</w:t>
      </w:r>
      <w:r w:rsidRPr="007723BD">
        <w:rPr>
          <w:b/>
          <w:sz w:val="26"/>
        </w:rPr>
        <w:t xml:space="preserve"> of the Parties</w:t>
      </w:r>
    </w:p>
    <w:p w:rsidR="00F27D64" w:rsidRDefault="00F27D64" w:rsidP="00B30595">
      <w:pPr>
        <w:ind w:firstLine="0"/>
        <w:rPr>
          <w:sz w:val="26"/>
        </w:rPr>
      </w:pPr>
    </w:p>
    <w:p w:rsidR="00827990" w:rsidRPr="00E8597B" w:rsidRDefault="00F84367" w:rsidP="00B30595">
      <w:pPr>
        <w:ind w:firstLine="0"/>
        <w:rPr>
          <w:b/>
          <w:sz w:val="26"/>
        </w:rPr>
      </w:pPr>
      <w:r>
        <w:rPr>
          <w:sz w:val="26"/>
        </w:rPr>
        <w:tab/>
      </w:r>
      <w:r w:rsidR="00827990" w:rsidRPr="00E8597B">
        <w:rPr>
          <w:b/>
          <w:sz w:val="26"/>
        </w:rPr>
        <w:t>1.</w:t>
      </w:r>
      <w:r w:rsidR="00827990" w:rsidRPr="00E8597B">
        <w:rPr>
          <w:b/>
          <w:sz w:val="26"/>
        </w:rPr>
        <w:tab/>
        <w:t>Whether the qualifying facilities are indispensable parties</w:t>
      </w:r>
    </w:p>
    <w:p w:rsidR="00827990" w:rsidRDefault="00827990" w:rsidP="00B30595">
      <w:pPr>
        <w:ind w:firstLine="0"/>
        <w:rPr>
          <w:sz w:val="26"/>
        </w:rPr>
      </w:pPr>
    </w:p>
    <w:p w:rsidR="009D1730" w:rsidRDefault="00827990" w:rsidP="00B30595">
      <w:pPr>
        <w:ind w:firstLine="0"/>
        <w:rPr>
          <w:sz w:val="26"/>
        </w:rPr>
      </w:pPr>
      <w:r>
        <w:rPr>
          <w:sz w:val="26"/>
        </w:rPr>
        <w:tab/>
      </w:r>
      <w:r>
        <w:rPr>
          <w:sz w:val="26"/>
        </w:rPr>
        <w:tab/>
      </w:r>
      <w:r w:rsidR="007D368B">
        <w:rPr>
          <w:sz w:val="26"/>
        </w:rPr>
        <w:t xml:space="preserve">In support of its Petition, DLC argues that </w:t>
      </w:r>
      <w:r w:rsidR="00127981">
        <w:rPr>
          <w:sz w:val="26"/>
        </w:rPr>
        <w:t xml:space="preserve">the </w:t>
      </w:r>
      <w:r w:rsidR="007D368B">
        <w:rPr>
          <w:sz w:val="26"/>
        </w:rPr>
        <w:t>NRG</w:t>
      </w:r>
      <w:r w:rsidR="00127981">
        <w:rPr>
          <w:sz w:val="26"/>
        </w:rPr>
        <w:t xml:space="preserve"> Companie</w:t>
      </w:r>
      <w:r w:rsidR="007D368B">
        <w:rPr>
          <w:sz w:val="26"/>
        </w:rPr>
        <w:t>s</w:t>
      </w:r>
      <w:r w:rsidR="00127981">
        <w:rPr>
          <w:sz w:val="26"/>
        </w:rPr>
        <w:t>’</w:t>
      </w:r>
      <w:r w:rsidR="007D368B">
        <w:rPr>
          <w:sz w:val="26"/>
        </w:rPr>
        <w:t xml:space="preserve"> Complaint must be dismissed for failure to join all affected qualifying facilities.  DLC avers that the QFs are necessary and indispensable parties to </w:t>
      </w:r>
      <w:r w:rsidR="00127981">
        <w:rPr>
          <w:sz w:val="26"/>
        </w:rPr>
        <w:t>the</w:t>
      </w:r>
      <w:r w:rsidR="007D368B">
        <w:rPr>
          <w:sz w:val="26"/>
        </w:rPr>
        <w:t xml:space="preserve"> Complaint and that </w:t>
      </w:r>
      <w:r w:rsidR="00127981">
        <w:rPr>
          <w:sz w:val="26"/>
        </w:rPr>
        <w:t xml:space="preserve">the </w:t>
      </w:r>
      <w:r w:rsidR="007D368B">
        <w:rPr>
          <w:sz w:val="26"/>
        </w:rPr>
        <w:t>NRG</w:t>
      </w:r>
      <w:r w:rsidR="00127981">
        <w:rPr>
          <w:sz w:val="26"/>
        </w:rPr>
        <w:t xml:space="preserve"> Companie</w:t>
      </w:r>
      <w:r w:rsidR="007D368B">
        <w:rPr>
          <w:sz w:val="26"/>
        </w:rPr>
        <w:t>s</w:t>
      </w:r>
      <w:r w:rsidR="00127981">
        <w:rPr>
          <w:sz w:val="26"/>
        </w:rPr>
        <w:t>’</w:t>
      </w:r>
      <w:r w:rsidR="007D368B">
        <w:rPr>
          <w:sz w:val="26"/>
        </w:rPr>
        <w:t xml:space="preserve"> failure to join them deprives the Commission of jurisdiction.  DLC Brief in Support at 5.</w:t>
      </w:r>
      <w:r w:rsidR="008A6FBA">
        <w:rPr>
          <w:sz w:val="26"/>
        </w:rPr>
        <w:t xml:space="preserve">  The Company explains that its Rider No. 18, which was approved by the Commission in 1981, establishes the rates to be paid for the wholesale power produced </w:t>
      </w:r>
    </w:p>
    <w:p w:rsidR="009D1730" w:rsidRDefault="009D1730">
      <w:pPr>
        <w:spacing w:line="240" w:lineRule="auto"/>
        <w:ind w:firstLine="0"/>
        <w:rPr>
          <w:sz w:val="26"/>
        </w:rPr>
      </w:pPr>
      <w:r>
        <w:rPr>
          <w:sz w:val="26"/>
        </w:rPr>
        <w:br w:type="page"/>
      </w:r>
    </w:p>
    <w:p w:rsidR="00745827" w:rsidRDefault="008A6FBA" w:rsidP="00B30595">
      <w:pPr>
        <w:ind w:firstLine="0"/>
        <w:rPr>
          <w:sz w:val="26"/>
        </w:rPr>
      </w:pPr>
      <w:r>
        <w:rPr>
          <w:sz w:val="26"/>
        </w:rPr>
        <w:lastRenderedPageBreak/>
        <w:t>by QFs pursuant to PURPA.</w:t>
      </w:r>
      <w:r w:rsidR="00906F21">
        <w:rPr>
          <w:rStyle w:val="FootnoteReference"/>
          <w:sz w:val="26"/>
        </w:rPr>
        <w:footnoteReference w:id="3"/>
      </w:r>
      <w:r w:rsidR="003850A7">
        <w:rPr>
          <w:sz w:val="26"/>
        </w:rPr>
        <w:t xml:space="preserve">  According to DLC, there are two QFs that have existing p</w:t>
      </w:r>
      <w:r w:rsidR="006A781F">
        <w:rPr>
          <w:sz w:val="26"/>
        </w:rPr>
        <w:t>ower purchase</w:t>
      </w:r>
      <w:r w:rsidR="003850A7">
        <w:rPr>
          <w:sz w:val="26"/>
        </w:rPr>
        <w:t xml:space="preserve"> agreements </w:t>
      </w:r>
      <w:r w:rsidR="002C24F1">
        <w:rPr>
          <w:sz w:val="26"/>
        </w:rPr>
        <w:t>which</w:t>
      </w:r>
      <w:r w:rsidR="003850A7">
        <w:rPr>
          <w:sz w:val="26"/>
        </w:rPr>
        <w:t xml:space="preserve"> are subject to the wholesale PURPA rate in Rider No. 18:  the negotiated </w:t>
      </w:r>
      <w:r w:rsidR="006A781F">
        <w:rPr>
          <w:sz w:val="26"/>
        </w:rPr>
        <w:t xml:space="preserve">power </w:t>
      </w:r>
      <w:r w:rsidR="003850A7">
        <w:rPr>
          <w:sz w:val="26"/>
        </w:rPr>
        <w:t xml:space="preserve">purchase agreement with Beaver Valley Power Company </w:t>
      </w:r>
      <w:r w:rsidR="008C22C8">
        <w:rPr>
          <w:sz w:val="26"/>
        </w:rPr>
        <w:t xml:space="preserve">(BVPC) </w:t>
      </w:r>
      <w:r w:rsidR="003850A7">
        <w:rPr>
          <w:sz w:val="26"/>
        </w:rPr>
        <w:t>entered on August 18, 1982, and the negotiated power</w:t>
      </w:r>
      <w:r w:rsidR="006A781F">
        <w:rPr>
          <w:sz w:val="26"/>
        </w:rPr>
        <w:t xml:space="preserve"> purchase</w:t>
      </w:r>
      <w:r w:rsidR="003850A7">
        <w:rPr>
          <w:sz w:val="26"/>
        </w:rPr>
        <w:t xml:space="preserve"> agreement with BFMA entered on February 28, 1985.  </w:t>
      </w:r>
      <w:r w:rsidR="003850A7" w:rsidRPr="003850A7">
        <w:rPr>
          <w:i/>
          <w:sz w:val="26"/>
        </w:rPr>
        <w:t>Id</w:t>
      </w:r>
      <w:r w:rsidR="003850A7">
        <w:rPr>
          <w:sz w:val="26"/>
        </w:rPr>
        <w:t xml:space="preserve">. at 6.  </w:t>
      </w:r>
      <w:r w:rsidR="00745827">
        <w:rPr>
          <w:sz w:val="26"/>
        </w:rPr>
        <w:t xml:space="preserve">DLC states that, as the successor to the entities that bought DLC’s generation facilities and QF obligations, </w:t>
      </w:r>
      <w:r w:rsidR="003177EF">
        <w:rPr>
          <w:sz w:val="26"/>
        </w:rPr>
        <w:t xml:space="preserve">the </w:t>
      </w:r>
      <w:r w:rsidR="00745827">
        <w:rPr>
          <w:sz w:val="26"/>
        </w:rPr>
        <w:t xml:space="preserve">NRG </w:t>
      </w:r>
      <w:r w:rsidR="003177EF">
        <w:rPr>
          <w:sz w:val="26"/>
        </w:rPr>
        <w:t xml:space="preserve">Companies </w:t>
      </w:r>
      <w:r w:rsidR="00745827">
        <w:rPr>
          <w:sz w:val="26"/>
        </w:rPr>
        <w:t xml:space="preserve">must pay the wholesale rate set forth in Rider No. 18.  DLC asserts that, if the Commission were to grant the relief requested by </w:t>
      </w:r>
      <w:r w:rsidR="003177EF">
        <w:rPr>
          <w:sz w:val="26"/>
        </w:rPr>
        <w:t xml:space="preserve">the </w:t>
      </w:r>
      <w:r w:rsidR="00745827">
        <w:rPr>
          <w:sz w:val="26"/>
        </w:rPr>
        <w:t xml:space="preserve">NRG </w:t>
      </w:r>
      <w:r w:rsidR="003177EF">
        <w:rPr>
          <w:sz w:val="26"/>
        </w:rPr>
        <w:t xml:space="preserve">Companies </w:t>
      </w:r>
      <w:r w:rsidR="00745827">
        <w:rPr>
          <w:sz w:val="26"/>
        </w:rPr>
        <w:t xml:space="preserve">and either eliminate Rider No. 18 or modify the rate in Rider No. 18, both of the QFs would be directly and materially affected.  As such, DLC contends that the two QFs are necessary and indispensable parties to the claims and relief sought by </w:t>
      </w:r>
      <w:r w:rsidR="003177EF">
        <w:rPr>
          <w:sz w:val="26"/>
        </w:rPr>
        <w:t xml:space="preserve">the </w:t>
      </w:r>
      <w:r w:rsidR="00745827">
        <w:rPr>
          <w:sz w:val="26"/>
        </w:rPr>
        <w:t>NRG</w:t>
      </w:r>
      <w:r w:rsidR="003177EF">
        <w:rPr>
          <w:sz w:val="26"/>
        </w:rPr>
        <w:t xml:space="preserve"> Companies</w:t>
      </w:r>
      <w:r w:rsidR="00745827">
        <w:rPr>
          <w:sz w:val="26"/>
        </w:rPr>
        <w:t xml:space="preserve">.  </w:t>
      </w:r>
      <w:r w:rsidR="00745827" w:rsidRPr="00745827">
        <w:rPr>
          <w:i/>
          <w:sz w:val="26"/>
        </w:rPr>
        <w:t>Id</w:t>
      </w:r>
      <w:r w:rsidR="00B6333B">
        <w:rPr>
          <w:sz w:val="26"/>
        </w:rPr>
        <w:t xml:space="preserve">. at 7.  </w:t>
      </w:r>
    </w:p>
    <w:p w:rsidR="00745827" w:rsidRDefault="00745827" w:rsidP="00B30595">
      <w:pPr>
        <w:ind w:firstLine="0"/>
        <w:rPr>
          <w:sz w:val="26"/>
        </w:rPr>
      </w:pPr>
    </w:p>
    <w:p w:rsidR="00F84367" w:rsidRDefault="00745827" w:rsidP="00B30595">
      <w:pPr>
        <w:ind w:firstLine="0"/>
        <w:rPr>
          <w:sz w:val="26"/>
        </w:rPr>
      </w:pPr>
      <w:r>
        <w:rPr>
          <w:sz w:val="26"/>
        </w:rPr>
        <w:tab/>
      </w:r>
      <w:r>
        <w:rPr>
          <w:sz w:val="26"/>
        </w:rPr>
        <w:tab/>
      </w:r>
      <w:r w:rsidR="00B83502">
        <w:rPr>
          <w:sz w:val="26"/>
        </w:rPr>
        <w:t xml:space="preserve">DLC notes that, to date, neither QF has been joined by NRG as a party to this base rate proceeding.  DLC acknowledges that BFMA has been granted intervenor status in this proceeding, but avers that an intervenor does not have the same rights as a party.  </w:t>
      </w:r>
      <w:r w:rsidR="00B83502" w:rsidRPr="00B83502">
        <w:rPr>
          <w:i/>
          <w:sz w:val="26"/>
        </w:rPr>
        <w:t>Id</w:t>
      </w:r>
      <w:r w:rsidR="00B83502">
        <w:rPr>
          <w:sz w:val="26"/>
        </w:rPr>
        <w:t>. n.8 (citing 52 Pa. Code § 5.75(c)).</w:t>
      </w:r>
      <w:r w:rsidR="00CF2552">
        <w:rPr>
          <w:sz w:val="26"/>
        </w:rPr>
        <w:t xml:space="preserve">  DLC avers that it appears from recent Commission precedent that, if the NRG </w:t>
      </w:r>
      <w:r w:rsidR="003177EF">
        <w:rPr>
          <w:sz w:val="26"/>
        </w:rPr>
        <w:t xml:space="preserve">Companies’ </w:t>
      </w:r>
      <w:r w:rsidR="00CF2552">
        <w:rPr>
          <w:sz w:val="26"/>
        </w:rPr>
        <w:t>Complaint</w:t>
      </w:r>
      <w:r w:rsidR="003177EF">
        <w:rPr>
          <w:sz w:val="26"/>
        </w:rPr>
        <w:t xml:space="preserve"> is</w:t>
      </w:r>
      <w:r w:rsidR="00CF2552">
        <w:rPr>
          <w:sz w:val="26"/>
        </w:rPr>
        <w:t xml:space="preserve"> litigated as part of this base rate proceeding without first joining all indispensable parties, the parties would, at a minimum, be required to re-litigate these issues with all indispensable parties joined in the proceeding.  </w:t>
      </w:r>
      <w:r w:rsidR="00CF2552" w:rsidRPr="00CF2552">
        <w:rPr>
          <w:i/>
          <w:sz w:val="26"/>
        </w:rPr>
        <w:t>Id</w:t>
      </w:r>
      <w:r w:rsidR="00CF2552">
        <w:rPr>
          <w:sz w:val="26"/>
        </w:rPr>
        <w:t>. at 8</w:t>
      </w:r>
      <w:r w:rsidR="00D106F1">
        <w:rPr>
          <w:sz w:val="26"/>
        </w:rPr>
        <w:t xml:space="preserve"> (citing </w:t>
      </w:r>
      <w:r w:rsidR="00D106F1">
        <w:rPr>
          <w:i/>
          <w:sz w:val="26"/>
        </w:rPr>
        <w:t>J3 Energy Group</w:t>
      </w:r>
      <w:r w:rsidR="00FC21B6">
        <w:rPr>
          <w:i/>
          <w:sz w:val="26"/>
        </w:rPr>
        <w:t>, Inc.</w:t>
      </w:r>
      <w:r w:rsidR="00D106F1">
        <w:rPr>
          <w:i/>
          <w:sz w:val="26"/>
        </w:rPr>
        <w:t xml:space="preserve"> v. West Penn Power Company</w:t>
      </w:r>
      <w:r w:rsidR="00D106F1">
        <w:rPr>
          <w:sz w:val="26"/>
        </w:rPr>
        <w:t xml:space="preserve">, </w:t>
      </w:r>
      <w:r w:rsidR="00D106F1">
        <w:rPr>
          <w:sz w:val="26"/>
        </w:rPr>
        <w:lastRenderedPageBreak/>
        <w:t xml:space="preserve">Docket No. C-2011-2219920 (Order entered </w:t>
      </w:r>
      <w:r w:rsidR="00FC21B6">
        <w:rPr>
          <w:sz w:val="26"/>
        </w:rPr>
        <w:t>October 31, 2013)</w:t>
      </w:r>
      <w:r w:rsidR="003177EF">
        <w:rPr>
          <w:sz w:val="26"/>
        </w:rPr>
        <w:t>)</w:t>
      </w:r>
      <w:r w:rsidR="00CF2552">
        <w:rPr>
          <w:sz w:val="26"/>
        </w:rPr>
        <w:t>.</w:t>
      </w:r>
      <w:r w:rsidR="00FC21B6">
        <w:rPr>
          <w:sz w:val="26"/>
        </w:rPr>
        <w:t xml:space="preserve">  </w:t>
      </w:r>
      <w:r w:rsidR="00B25FC1">
        <w:rPr>
          <w:sz w:val="26"/>
        </w:rPr>
        <w:t xml:space="preserve">The Company asserts that it would be a waste of the Commission’s and the Parties’ resources to litigate the NRG </w:t>
      </w:r>
      <w:r w:rsidR="003177EF">
        <w:rPr>
          <w:sz w:val="26"/>
        </w:rPr>
        <w:t xml:space="preserve">Companies’ </w:t>
      </w:r>
      <w:r w:rsidR="00B25FC1">
        <w:rPr>
          <w:sz w:val="26"/>
        </w:rPr>
        <w:t xml:space="preserve">Complaint without first joining all indispensable parties.  Accordingly, DLC requests that the Commission dismiss </w:t>
      </w:r>
      <w:r w:rsidR="003177EF">
        <w:rPr>
          <w:sz w:val="26"/>
        </w:rPr>
        <w:t>the</w:t>
      </w:r>
      <w:r w:rsidR="00B25FC1">
        <w:rPr>
          <w:sz w:val="26"/>
        </w:rPr>
        <w:t xml:space="preserve"> Complaint as to the Rider No. 18 issues, without prejudice to refile and join all indispensable parties.  </w:t>
      </w:r>
      <w:r w:rsidR="00B25FC1" w:rsidRPr="00B25FC1">
        <w:rPr>
          <w:i/>
          <w:sz w:val="26"/>
        </w:rPr>
        <w:t>Id</w:t>
      </w:r>
      <w:r w:rsidR="00B25FC1">
        <w:rPr>
          <w:sz w:val="26"/>
        </w:rPr>
        <w:t xml:space="preserve">. at 10. </w:t>
      </w:r>
    </w:p>
    <w:p w:rsidR="00F84367" w:rsidRDefault="00F84367" w:rsidP="00B30595">
      <w:pPr>
        <w:ind w:firstLine="0"/>
        <w:rPr>
          <w:sz w:val="26"/>
        </w:rPr>
      </w:pPr>
    </w:p>
    <w:p w:rsidR="009249C6" w:rsidRDefault="008C22C8" w:rsidP="00B30595">
      <w:pPr>
        <w:ind w:firstLine="0"/>
        <w:rPr>
          <w:sz w:val="26"/>
        </w:rPr>
      </w:pPr>
      <w:r>
        <w:rPr>
          <w:sz w:val="26"/>
        </w:rPr>
        <w:tab/>
      </w:r>
      <w:r>
        <w:rPr>
          <w:sz w:val="26"/>
        </w:rPr>
        <w:tab/>
      </w:r>
      <w:r w:rsidR="00FC5CAC">
        <w:rPr>
          <w:sz w:val="26"/>
        </w:rPr>
        <w:t xml:space="preserve">In its Brief in Support of the Petition, BFMA avers that BVPC satisfies each of the criteria for indispensability.  Brief in Support at 13 (citing </w:t>
      </w:r>
      <w:r w:rsidR="00FC5CAC" w:rsidRPr="00865346">
        <w:rPr>
          <w:i/>
          <w:sz w:val="26"/>
        </w:rPr>
        <w:t>Mechanicsburg Area Sch. Dist. v. Kline</w:t>
      </w:r>
      <w:r w:rsidR="00FC5CAC">
        <w:rPr>
          <w:sz w:val="26"/>
        </w:rPr>
        <w:t xml:space="preserve">, 494 Pa. 476, </w:t>
      </w:r>
      <w:r w:rsidR="00431A02">
        <w:rPr>
          <w:sz w:val="26"/>
        </w:rPr>
        <w:t>431 A.2d 953 (1981)</w:t>
      </w:r>
      <w:r w:rsidR="00865346">
        <w:rPr>
          <w:sz w:val="26"/>
        </w:rPr>
        <w:t>)</w:t>
      </w:r>
      <w:r w:rsidR="00431A02">
        <w:rPr>
          <w:sz w:val="26"/>
        </w:rPr>
        <w:t>.</w:t>
      </w:r>
      <w:r w:rsidR="00865346">
        <w:rPr>
          <w:sz w:val="26"/>
        </w:rPr>
        <w:t xml:space="preserve">  BFMA asserts that, as QFs that stand to lose all or a substantial portion of the rate under which they have been paid for their facility generation, they each have a right or interest to the claim that is essential to the merits of the case because the Complaint concerns the price set under Rider No. 18.  BFMA states that the failure to join the two QFs</w:t>
      </w:r>
      <w:r w:rsidR="003177EF">
        <w:rPr>
          <w:sz w:val="26"/>
        </w:rPr>
        <w:t>,</w:t>
      </w:r>
      <w:r w:rsidR="00865346">
        <w:rPr>
          <w:sz w:val="26"/>
        </w:rPr>
        <w:t xml:space="preserve"> when their existing contract rights could be unilaterally modified by the Commission </w:t>
      </w:r>
      <w:r w:rsidR="000635DA">
        <w:rPr>
          <w:sz w:val="26"/>
        </w:rPr>
        <w:t>without being afforded the right to participate, violates the</w:t>
      </w:r>
      <w:r w:rsidR="003177EF">
        <w:rPr>
          <w:sz w:val="26"/>
        </w:rPr>
        <w:t xml:space="preserve"> QFs’</w:t>
      </w:r>
      <w:r w:rsidR="000635DA">
        <w:rPr>
          <w:sz w:val="26"/>
        </w:rPr>
        <w:t xml:space="preserve"> procedural due process</w:t>
      </w:r>
      <w:r w:rsidR="003177EF">
        <w:rPr>
          <w:sz w:val="26"/>
        </w:rPr>
        <w:t xml:space="preserve"> rights</w:t>
      </w:r>
      <w:r w:rsidR="000635DA">
        <w:rPr>
          <w:sz w:val="26"/>
        </w:rPr>
        <w:t xml:space="preserve">.  </w:t>
      </w:r>
      <w:r w:rsidR="000635DA" w:rsidRPr="000635DA">
        <w:rPr>
          <w:i/>
          <w:sz w:val="26"/>
        </w:rPr>
        <w:t>Id</w:t>
      </w:r>
      <w:r w:rsidR="000635DA">
        <w:rPr>
          <w:sz w:val="26"/>
        </w:rPr>
        <w:t>.</w:t>
      </w:r>
      <w:r w:rsidR="00592A89">
        <w:rPr>
          <w:sz w:val="26"/>
        </w:rPr>
        <w:t xml:space="preserve">  BFMA contends that </w:t>
      </w:r>
      <w:r w:rsidR="003177EF">
        <w:rPr>
          <w:sz w:val="26"/>
        </w:rPr>
        <w:t xml:space="preserve">the </w:t>
      </w:r>
      <w:r w:rsidR="00592A89">
        <w:rPr>
          <w:sz w:val="26"/>
        </w:rPr>
        <w:t>NRG</w:t>
      </w:r>
      <w:r w:rsidR="003177EF">
        <w:rPr>
          <w:sz w:val="26"/>
        </w:rPr>
        <w:t xml:space="preserve"> Companie</w:t>
      </w:r>
      <w:r w:rsidR="00592A89">
        <w:rPr>
          <w:sz w:val="26"/>
        </w:rPr>
        <w:t>s</w:t>
      </w:r>
      <w:r w:rsidR="003177EF">
        <w:rPr>
          <w:sz w:val="26"/>
        </w:rPr>
        <w:t>’</w:t>
      </w:r>
      <w:r w:rsidR="00592A89">
        <w:rPr>
          <w:sz w:val="26"/>
        </w:rPr>
        <w:t xml:space="preserve"> failure to name both QFs as indispensable parties deprives the Commission of jurisdiction to adjudicate the Complaint.  </w:t>
      </w:r>
      <w:r w:rsidR="00592A89" w:rsidRPr="00592A89">
        <w:rPr>
          <w:i/>
          <w:sz w:val="26"/>
        </w:rPr>
        <w:t>Id</w:t>
      </w:r>
      <w:r w:rsidR="00B6333B">
        <w:rPr>
          <w:sz w:val="26"/>
        </w:rPr>
        <w:t>. at 14.</w:t>
      </w:r>
      <w:r w:rsidR="00592A89">
        <w:rPr>
          <w:sz w:val="26"/>
        </w:rPr>
        <w:t xml:space="preserve">  </w:t>
      </w:r>
    </w:p>
    <w:p w:rsidR="00592A89" w:rsidRDefault="00592A89" w:rsidP="00B30595">
      <w:pPr>
        <w:ind w:firstLine="0"/>
        <w:rPr>
          <w:sz w:val="26"/>
        </w:rPr>
      </w:pPr>
    </w:p>
    <w:p w:rsidR="0097143A" w:rsidRDefault="008C22C8" w:rsidP="00FC5CAC">
      <w:pPr>
        <w:rPr>
          <w:sz w:val="26"/>
        </w:rPr>
      </w:pPr>
      <w:r>
        <w:rPr>
          <w:sz w:val="26"/>
        </w:rPr>
        <w:t xml:space="preserve">In its Brief in Opposition to the Petition, </w:t>
      </w:r>
      <w:r w:rsidR="003177EF">
        <w:rPr>
          <w:sz w:val="26"/>
        </w:rPr>
        <w:t xml:space="preserve">the </w:t>
      </w:r>
      <w:r>
        <w:rPr>
          <w:sz w:val="26"/>
        </w:rPr>
        <w:t xml:space="preserve">NRG </w:t>
      </w:r>
      <w:r w:rsidR="003177EF">
        <w:rPr>
          <w:sz w:val="26"/>
        </w:rPr>
        <w:t xml:space="preserve">Companies </w:t>
      </w:r>
      <w:r>
        <w:rPr>
          <w:sz w:val="26"/>
        </w:rPr>
        <w:t xml:space="preserve">argue that the QFs are not necessary and indispensable parties to this proceeding.  </w:t>
      </w:r>
      <w:r w:rsidR="003177EF">
        <w:rPr>
          <w:sz w:val="26"/>
        </w:rPr>
        <w:t xml:space="preserve">The </w:t>
      </w:r>
      <w:r>
        <w:rPr>
          <w:sz w:val="26"/>
        </w:rPr>
        <w:t xml:space="preserve">NRG </w:t>
      </w:r>
      <w:r w:rsidR="003177EF">
        <w:rPr>
          <w:sz w:val="26"/>
        </w:rPr>
        <w:t xml:space="preserve">Companies </w:t>
      </w:r>
      <w:r>
        <w:rPr>
          <w:sz w:val="26"/>
        </w:rPr>
        <w:t>state that both BVPC and BFMA were served with copies of the Complaint</w:t>
      </w:r>
      <w:r w:rsidR="00834E4A">
        <w:rPr>
          <w:sz w:val="26"/>
        </w:rPr>
        <w:t>,</w:t>
      </w:r>
      <w:r>
        <w:rPr>
          <w:sz w:val="26"/>
        </w:rPr>
        <w:t xml:space="preserve"> DLC has acknowledged that its attorneys have been in </w:t>
      </w:r>
      <w:r w:rsidR="00834E4A">
        <w:rPr>
          <w:sz w:val="26"/>
        </w:rPr>
        <w:t>communication with both BVPC and BFMA, and one of the two QFs, BFMA, has intervened in this proceeding.</w:t>
      </w:r>
      <w:r w:rsidR="0097143A">
        <w:rPr>
          <w:sz w:val="26"/>
        </w:rPr>
        <w:t xml:space="preserve">  Brief in Opposition at 7.  As such, </w:t>
      </w:r>
      <w:r w:rsidR="003177EF">
        <w:rPr>
          <w:sz w:val="26"/>
        </w:rPr>
        <w:t xml:space="preserve">the </w:t>
      </w:r>
      <w:r w:rsidR="0097143A">
        <w:rPr>
          <w:sz w:val="26"/>
        </w:rPr>
        <w:t xml:space="preserve">NRG </w:t>
      </w:r>
      <w:r w:rsidR="003177EF">
        <w:rPr>
          <w:sz w:val="26"/>
        </w:rPr>
        <w:t xml:space="preserve">Companies </w:t>
      </w:r>
      <w:r w:rsidR="0097143A">
        <w:rPr>
          <w:sz w:val="26"/>
        </w:rPr>
        <w:t>aver that DLC’s argument regarding the failure to join an indispensable party only pertains to BVPC, and that BVPC willingly chose not to participate</w:t>
      </w:r>
      <w:r w:rsidR="003177EF">
        <w:rPr>
          <w:sz w:val="26"/>
        </w:rPr>
        <w:t>,</w:t>
      </w:r>
      <w:r w:rsidR="0097143A">
        <w:rPr>
          <w:sz w:val="26"/>
        </w:rPr>
        <w:t xml:space="preserve"> despite being served with the Complaint.  </w:t>
      </w:r>
      <w:r w:rsidR="0097143A" w:rsidRPr="0097143A">
        <w:rPr>
          <w:i/>
          <w:sz w:val="26"/>
        </w:rPr>
        <w:t>Id</w:t>
      </w:r>
      <w:r w:rsidR="00B6333B">
        <w:rPr>
          <w:sz w:val="26"/>
        </w:rPr>
        <w:t xml:space="preserve">. at 8. </w:t>
      </w:r>
      <w:r w:rsidR="0097143A">
        <w:rPr>
          <w:sz w:val="26"/>
        </w:rPr>
        <w:t xml:space="preserve"> </w:t>
      </w:r>
    </w:p>
    <w:p w:rsidR="0097143A" w:rsidRDefault="0097143A" w:rsidP="00B30595">
      <w:pPr>
        <w:ind w:firstLine="0"/>
        <w:rPr>
          <w:sz w:val="26"/>
        </w:rPr>
      </w:pPr>
    </w:p>
    <w:p w:rsidR="008C22C8" w:rsidRDefault="0097143A" w:rsidP="00B30595">
      <w:pPr>
        <w:ind w:firstLine="0"/>
        <w:rPr>
          <w:sz w:val="26"/>
        </w:rPr>
      </w:pPr>
      <w:r>
        <w:rPr>
          <w:sz w:val="26"/>
        </w:rPr>
        <w:tab/>
      </w:r>
      <w:r>
        <w:rPr>
          <w:sz w:val="26"/>
        </w:rPr>
        <w:tab/>
      </w:r>
      <w:r w:rsidR="003177EF">
        <w:rPr>
          <w:sz w:val="26"/>
        </w:rPr>
        <w:t xml:space="preserve">The </w:t>
      </w:r>
      <w:r>
        <w:rPr>
          <w:sz w:val="26"/>
        </w:rPr>
        <w:t xml:space="preserve">NRG </w:t>
      </w:r>
      <w:r w:rsidR="003177EF">
        <w:rPr>
          <w:sz w:val="26"/>
        </w:rPr>
        <w:t xml:space="preserve">Companies </w:t>
      </w:r>
      <w:r>
        <w:rPr>
          <w:sz w:val="26"/>
        </w:rPr>
        <w:t xml:space="preserve">also aver that this is a rate case in which </w:t>
      </w:r>
      <w:r w:rsidR="003177EF">
        <w:rPr>
          <w:sz w:val="26"/>
        </w:rPr>
        <w:t>the Companies</w:t>
      </w:r>
      <w:r>
        <w:rPr>
          <w:sz w:val="26"/>
        </w:rPr>
        <w:t xml:space="preserve"> </w:t>
      </w:r>
      <w:r w:rsidR="003177EF">
        <w:rPr>
          <w:sz w:val="26"/>
        </w:rPr>
        <w:t>are</w:t>
      </w:r>
      <w:r>
        <w:rPr>
          <w:sz w:val="26"/>
        </w:rPr>
        <w:t xml:space="preserve"> seeking review of a tariff provision, Rider No. 18.  </w:t>
      </w:r>
      <w:r w:rsidR="003177EF">
        <w:rPr>
          <w:sz w:val="26"/>
        </w:rPr>
        <w:t>They</w:t>
      </w:r>
      <w:r>
        <w:rPr>
          <w:sz w:val="26"/>
        </w:rPr>
        <w:t xml:space="preserve"> state that, while </w:t>
      </w:r>
      <w:r>
        <w:rPr>
          <w:sz w:val="26"/>
        </w:rPr>
        <w:lastRenderedPageBreak/>
        <w:t xml:space="preserve">BVPC may have contractual issues tied to Rider No. 18, this does not make BVPC any more necessary or indispensable than any other DLC customer that may be impacted by this rate case.  </w:t>
      </w:r>
      <w:r w:rsidRPr="0097143A">
        <w:rPr>
          <w:i/>
          <w:sz w:val="26"/>
        </w:rPr>
        <w:t>Id</w:t>
      </w:r>
      <w:r>
        <w:rPr>
          <w:sz w:val="26"/>
        </w:rPr>
        <w:t xml:space="preserve">. </w:t>
      </w:r>
      <w:r w:rsidR="00CB3471">
        <w:rPr>
          <w:sz w:val="26"/>
        </w:rPr>
        <w:t xml:space="preserve"> </w:t>
      </w:r>
      <w:r w:rsidR="003177EF">
        <w:rPr>
          <w:sz w:val="26"/>
        </w:rPr>
        <w:t xml:space="preserve">The </w:t>
      </w:r>
      <w:r w:rsidR="00CB3471">
        <w:rPr>
          <w:sz w:val="26"/>
        </w:rPr>
        <w:t xml:space="preserve">NRG </w:t>
      </w:r>
      <w:r w:rsidR="003177EF">
        <w:rPr>
          <w:sz w:val="26"/>
        </w:rPr>
        <w:t xml:space="preserve">Companies </w:t>
      </w:r>
      <w:r w:rsidR="00CB3471">
        <w:rPr>
          <w:sz w:val="26"/>
        </w:rPr>
        <w:t xml:space="preserve">contend that, although parties to a private contract may voluntarily reference a tariff in their agreement, this does not make them indispensable parties to subsequent proceedings brought by another party to alter that tariff.  </w:t>
      </w:r>
      <w:r w:rsidR="00CB3471" w:rsidRPr="00CB3471">
        <w:rPr>
          <w:i/>
          <w:sz w:val="26"/>
        </w:rPr>
        <w:t>Id</w:t>
      </w:r>
      <w:r w:rsidR="00CB3471">
        <w:rPr>
          <w:sz w:val="26"/>
        </w:rPr>
        <w:t xml:space="preserve">. at 9. </w:t>
      </w:r>
    </w:p>
    <w:p w:rsidR="00001119" w:rsidRDefault="00F1439E" w:rsidP="00F43FA8">
      <w:pPr>
        <w:ind w:firstLine="0"/>
        <w:rPr>
          <w:sz w:val="26"/>
        </w:rPr>
      </w:pPr>
      <w:r>
        <w:rPr>
          <w:sz w:val="26"/>
        </w:rPr>
        <w:tab/>
      </w:r>
      <w:r>
        <w:rPr>
          <w:sz w:val="26"/>
        </w:rPr>
        <w:tab/>
      </w:r>
    </w:p>
    <w:p w:rsidR="0060148C" w:rsidRDefault="0060148C" w:rsidP="009D3999">
      <w:pPr>
        <w:spacing w:line="240" w:lineRule="auto"/>
        <w:ind w:left="1440" w:hanging="720"/>
        <w:rPr>
          <w:b/>
          <w:sz w:val="26"/>
        </w:rPr>
      </w:pPr>
      <w:r w:rsidRPr="009D3999">
        <w:rPr>
          <w:b/>
          <w:sz w:val="26"/>
        </w:rPr>
        <w:t>2.</w:t>
      </w:r>
      <w:r w:rsidRPr="009D3999">
        <w:rPr>
          <w:b/>
          <w:sz w:val="26"/>
        </w:rPr>
        <w:tab/>
      </w:r>
      <w:r w:rsidR="004C119F" w:rsidRPr="009D3999">
        <w:rPr>
          <w:b/>
          <w:sz w:val="26"/>
        </w:rPr>
        <w:t xml:space="preserve">Whether the Commission has the authority to </w:t>
      </w:r>
      <w:r w:rsidR="009D3999" w:rsidRPr="009D3999">
        <w:rPr>
          <w:b/>
          <w:sz w:val="26"/>
        </w:rPr>
        <w:t>change the wholesale PURPA rate set forth in Rider No. 18</w:t>
      </w:r>
      <w:r w:rsidR="004C119F" w:rsidRPr="009D3999">
        <w:rPr>
          <w:b/>
          <w:sz w:val="26"/>
        </w:rPr>
        <w:t xml:space="preserve"> </w:t>
      </w:r>
    </w:p>
    <w:p w:rsidR="009D3999" w:rsidRDefault="009D3999" w:rsidP="009D3999">
      <w:pPr>
        <w:spacing w:line="240" w:lineRule="auto"/>
        <w:ind w:left="1440" w:hanging="720"/>
        <w:rPr>
          <w:b/>
          <w:sz w:val="26"/>
        </w:rPr>
      </w:pPr>
    </w:p>
    <w:p w:rsidR="009D3999" w:rsidRDefault="009D3999" w:rsidP="009D3999">
      <w:pPr>
        <w:spacing w:line="240" w:lineRule="auto"/>
        <w:ind w:left="1440" w:hanging="720"/>
        <w:rPr>
          <w:b/>
          <w:sz w:val="26"/>
        </w:rPr>
      </w:pPr>
    </w:p>
    <w:p w:rsidR="004C5ADD" w:rsidRDefault="001E298E" w:rsidP="001D45E0">
      <w:pPr>
        <w:ind w:hanging="720"/>
        <w:rPr>
          <w:sz w:val="26"/>
        </w:rPr>
      </w:pPr>
      <w:r>
        <w:rPr>
          <w:b/>
          <w:sz w:val="26"/>
        </w:rPr>
        <w:tab/>
      </w:r>
      <w:r w:rsidR="001D45E0">
        <w:rPr>
          <w:b/>
          <w:sz w:val="26"/>
        </w:rPr>
        <w:tab/>
      </w:r>
      <w:r w:rsidR="001D45E0">
        <w:rPr>
          <w:b/>
          <w:sz w:val="26"/>
        </w:rPr>
        <w:tab/>
      </w:r>
      <w:r w:rsidR="001D45E0">
        <w:rPr>
          <w:sz w:val="26"/>
        </w:rPr>
        <w:t xml:space="preserve">DLC avers that the Commission lacks the authority to modify the wholesale PURPA rate in Rider No. 18 or to eliminate Rider No. 18, as requested by </w:t>
      </w:r>
      <w:r w:rsidR="00615F9F">
        <w:rPr>
          <w:sz w:val="26"/>
        </w:rPr>
        <w:t xml:space="preserve">the </w:t>
      </w:r>
      <w:r w:rsidR="001D45E0">
        <w:rPr>
          <w:sz w:val="26"/>
        </w:rPr>
        <w:t>NRG</w:t>
      </w:r>
      <w:r w:rsidR="00615F9F">
        <w:rPr>
          <w:sz w:val="26"/>
        </w:rPr>
        <w:t xml:space="preserve"> Companies</w:t>
      </w:r>
      <w:r w:rsidR="001D45E0">
        <w:rPr>
          <w:sz w:val="26"/>
        </w:rPr>
        <w:t xml:space="preserve">.  DLC states that wholesale power supply agreements under PURPA are within the exclusive jurisdiction of FERC.  DLC Brief in Support at 10 (citing </w:t>
      </w:r>
      <w:r w:rsidR="001D45E0" w:rsidRPr="00615F9F">
        <w:rPr>
          <w:i/>
          <w:sz w:val="26"/>
        </w:rPr>
        <w:t>Nantahala Power &amp; Light Co. v. Thornburg</w:t>
      </w:r>
      <w:r w:rsidR="001D45E0">
        <w:rPr>
          <w:sz w:val="26"/>
        </w:rPr>
        <w:t xml:space="preserve">, 476 U.S. 953, 965-66 (1986)).  DLC further states that, once a state regulatory commission establishes the “avoided cost” to be paid under PURPA, the state no longer has authority to regulate the QFs’ rate.  </w:t>
      </w:r>
      <w:r w:rsidR="001D45E0" w:rsidRPr="00707A65">
        <w:rPr>
          <w:i/>
          <w:sz w:val="26"/>
        </w:rPr>
        <w:t>Id</w:t>
      </w:r>
      <w:r w:rsidR="001D45E0">
        <w:rPr>
          <w:sz w:val="26"/>
        </w:rPr>
        <w:t xml:space="preserve">. (citing </w:t>
      </w:r>
      <w:r w:rsidR="001D45E0" w:rsidRPr="00707A65">
        <w:rPr>
          <w:i/>
          <w:sz w:val="26"/>
        </w:rPr>
        <w:t>Freehold Cogeneration Assoc., L.P. v. Board of Regulatory Comm’rs</w:t>
      </w:r>
      <w:r w:rsidR="001D45E0">
        <w:rPr>
          <w:sz w:val="26"/>
        </w:rPr>
        <w:t>, 44 F.3d 1178, 1190 (3d Cir. 1995)</w:t>
      </w:r>
      <w:r w:rsidR="006F2C21">
        <w:rPr>
          <w:sz w:val="26"/>
        </w:rPr>
        <w:t>)</w:t>
      </w:r>
      <w:r w:rsidR="001D45E0">
        <w:rPr>
          <w:sz w:val="26"/>
        </w:rPr>
        <w:t>.</w:t>
      </w:r>
      <w:r w:rsidR="00707A65">
        <w:rPr>
          <w:sz w:val="26"/>
        </w:rPr>
        <w:t xml:space="preserve">  </w:t>
      </w:r>
      <w:r w:rsidR="00F45860">
        <w:rPr>
          <w:sz w:val="26"/>
        </w:rPr>
        <w:t xml:space="preserve">The Company avers that the Commission approved Rider No. 18, including the wholesale PURPA rate, in 1981 and is without the authority to alter, revise, or continually monitor the wholesale PURPA rates in the previously approved Rider No. 18.  </w:t>
      </w:r>
      <w:r w:rsidR="00B72908" w:rsidRPr="00595992">
        <w:rPr>
          <w:i/>
          <w:sz w:val="26"/>
        </w:rPr>
        <w:t>Id</w:t>
      </w:r>
      <w:r w:rsidR="00B72908">
        <w:rPr>
          <w:sz w:val="26"/>
        </w:rPr>
        <w:t xml:space="preserve">. at 11 (citing </w:t>
      </w:r>
      <w:r w:rsidR="00B72908" w:rsidRPr="00B72908">
        <w:rPr>
          <w:i/>
          <w:sz w:val="26"/>
        </w:rPr>
        <w:t>West Penn Power Company v. Pa. PUC</w:t>
      </w:r>
      <w:r w:rsidR="00B72908">
        <w:rPr>
          <w:sz w:val="26"/>
        </w:rPr>
        <w:t>, 659 A.2d 1055, 1066 (Pa. Cmwlth. 1995)</w:t>
      </w:r>
      <w:r w:rsidR="006F2C21">
        <w:rPr>
          <w:sz w:val="26"/>
        </w:rPr>
        <w:t>)</w:t>
      </w:r>
      <w:r w:rsidR="00B72908">
        <w:rPr>
          <w:sz w:val="26"/>
        </w:rPr>
        <w:t>.</w:t>
      </w:r>
      <w:r w:rsidR="00DE39E7">
        <w:rPr>
          <w:sz w:val="26"/>
        </w:rPr>
        <w:t xml:space="preserve">  </w:t>
      </w:r>
    </w:p>
    <w:p w:rsidR="004C5ADD" w:rsidRDefault="004C5ADD" w:rsidP="001D45E0">
      <w:pPr>
        <w:ind w:hanging="720"/>
        <w:rPr>
          <w:sz w:val="26"/>
        </w:rPr>
      </w:pPr>
    </w:p>
    <w:p w:rsidR="008D02CA" w:rsidRDefault="004C5ADD" w:rsidP="001D45E0">
      <w:pPr>
        <w:ind w:hanging="720"/>
        <w:rPr>
          <w:sz w:val="26"/>
        </w:rPr>
      </w:pPr>
      <w:r>
        <w:rPr>
          <w:sz w:val="26"/>
        </w:rPr>
        <w:tab/>
      </w:r>
      <w:r>
        <w:rPr>
          <w:sz w:val="26"/>
        </w:rPr>
        <w:tab/>
      </w:r>
      <w:r>
        <w:rPr>
          <w:sz w:val="26"/>
        </w:rPr>
        <w:tab/>
        <w:t xml:space="preserve">Alternatively, DLC requests that, if the Commission determines that it has authority to grant the relief requested by </w:t>
      </w:r>
      <w:r w:rsidR="00CE4555">
        <w:rPr>
          <w:sz w:val="26"/>
        </w:rPr>
        <w:t xml:space="preserve">the </w:t>
      </w:r>
      <w:r>
        <w:rPr>
          <w:sz w:val="26"/>
        </w:rPr>
        <w:t xml:space="preserve">NRG </w:t>
      </w:r>
      <w:r w:rsidR="00CE4555">
        <w:rPr>
          <w:sz w:val="26"/>
        </w:rPr>
        <w:t xml:space="preserve">Companies </w:t>
      </w:r>
      <w:r>
        <w:rPr>
          <w:sz w:val="26"/>
        </w:rPr>
        <w:t xml:space="preserve">or </w:t>
      </w:r>
      <w:r w:rsidR="00CE4555">
        <w:rPr>
          <w:sz w:val="26"/>
        </w:rPr>
        <w:t>wants</w:t>
      </w:r>
      <w:r w:rsidR="0020417A">
        <w:rPr>
          <w:sz w:val="26"/>
        </w:rPr>
        <w:t xml:space="preserve"> to have jurisdiction considered on a preliminary basis, the Rider No. 18 portion of </w:t>
      </w:r>
      <w:r w:rsidR="00CE4555">
        <w:rPr>
          <w:sz w:val="26"/>
        </w:rPr>
        <w:t>the</w:t>
      </w:r>
      <w:r w:rsidR="0020417A">
        <w:rPr>
          <w:sz w:val="26"/>
        </w:rPr>
        <w:t xml:space="preserve"> Complaint be severed from the base rate case and held in abeyance.  </w:t>
      </w:r>
      <w:r w:rsidR="00595992" w:rsidRPr="00595992">
        <w:rPr>
          <w:i/>
          <w:sz w:val="26"/>
        </w:rPr>
        <w:t>Id</w:t>
      </w:r>
      <w:r w:rsidR="00595992">
        <w:rPr>
          <w:sz w:val="26"/>
        </w:rPr>
        <w:t xml:space="preserve">. at 13.  </w:t>
      </w:r>
      <w:r w:rsidR="0020417A">
        <w:rPr>
          <w:sz w:val="26"/>
        </w:rPr>
        <w:t xml:space="preserve">The Company avers that there is not sufficient time in this proceeding </w:t>
      </w:r>
      <w:r w:rsidR="00595992">
        <w:rPr>
          <w:sz w:val="26"/>
        </w:rPr>
        <w:t xml:space="preserve">for the Parties </w:t>
      </w:r>
      <w:r w:rsidR="0020417A">
        <w:rPr>
          <w:sz w:val="26"/>
        </w:rPr>
        <w:t xml:space="preserve">to </w:t>
      </w:r>
      <w:r w:rsidR="00595992">
        <w:rPr>
          <w:sz w:val="26"/>
        </w:rPr>
        <w:t xml:space="preserve">fully and adequately </w:t>
      </w:r>
      <w:r w:rsidR="00595992">
        <w:rPr>
          <w:sz w:val="26"/>
        </w:rPr>
        <w:lastRenderedPageBreak/>
        <w:t xml:space="preserve">address the novel and complex issue regarding the appropriate “avoided costs” to be paid to the QFs in today’s electric market.  DLC states that the issues related to Rider No. 18 have arisen solely due to </w:t>
      </w:r>
      <w:r w:rsidR="00CE4555">
        <w:rPr>
          <w:sz w:val="26"/>
        </w:rPr>
        <w:t xml:space="preserve">the </w:t>
      </w:r>
      <w:r w:rsidR="00595992">
        <w:rPr>
          <w:sz w:val="26"/>
        </w:rPr>
        <w:t>NRG</w:t>
      </w:r>
      <w:r w:rsidR="00CE4555">
        <w:rPr>
          <w:sz w:val="26"/>
        </w:rPr>
        <w:t xml:space="preserve"> Companie</w:t>
      </w:r>
      <w:r w:rsidR="00595992">
        <w:rPr>
          <w:sz w:val="26"/>
        </w:rPr>
        <w:t>s</w:t>
      </w:r>
      <w:r w:rsidR="00CE4555">
        <w:rPr>
          <w:sz w:val="26"/>
        </w:rPr>
        <w:t>’</w:t>
      </w:r>
      <w:r w:rsidR="00595992">
        <w:rPr>
          <w:sz w:val="26"/>
        </w:rPr>
        <w:t xml:space="preserve"> challenges and do not have any effect on the agreed upon revenue requirement contained in the Settlement reached </w:t>
      </w:r>
      <w:r w:rsidR="00CE4555">
        <w:rPr>
          <w:sz w:val="26"/>
        </w:rPr>
        <w:t>by</w:t>
      </w:r>
      <w:r w:rsidR="00595992">
        <w:rPr>
          <w:sz w:val="26"/>
        </w:rPr>
        <w:t xml:space="preserve"> all Parties, except </w:t>
      </w:r>
      <w:r w:rsidR="00CE4555">
        <w:rPr>
          <w:sz w:val="26"/>
        </w:rPr>
        <w:t xml:space="preserve">the </w:t>
      </w:r>
      <w:r w:rsidR="00595992">
        <w:rPr>
          <w:sz w:val="26"/>
        </w:rPr>
        <w:t>NRG</w:t>
      </w:r>
      <w:r w:rsidR="00CE4555">
        <w:rPr>
          <w:sz w:val="26"/>
        </w:rPr>
        <w:t xml:space="preserve"> Companies</w:t>
      </w:r>
      <w:r w:rsidR="00595992">
        <w:rPr>
          <w:sz w:val="26"/>
        </w:rPr>
        <w:t xml:space="preserve">.  </w:t>
      </w:r>
      <w:r w:rsidR="00595992" w:rsidRPr="00595992">
        <w:rPr>
          <w:i/>
          <w:sz w:val="26"/>
        </w:rPr>
        <w:t>Id</w:t>
      </w:r>
      <w:r w:rsidR="00595992">
        <w:rPr>
          <w:sz w:val="26"/>
        </w:rPr>
        <w:t xml:space="preserve">. at 14. </w:t>
      </w:r>
    </w:p>
    <w:p w:rsidR="008D02CA" w:rsidRDefault="008D02CA" w:rsidP="001D45E0">
      <w:pPr>
        <w:ind w:hanging="720"/>
        <w:rPr>
          <w:sz w:val="26"/>
        </w:rPr>
      </w:pPr>
    </w:p>
    <w:p w:rsidR="00CC5E9B" w:rsidRDefault="008D02CA" w:rsidP="001D45E0">
      <w:pPr>
        <w:ind w:hanging="720"/>
        <w:rPr>
          <w:sz w:val="26"/>
        </w:rPr>
      </w:pPr>
      <w:r>
        <w:rPr>
          <w:sz w:val="26"/>
        </w:rPr>
        <w:tab/>
      </w:r>
      <w:r>
        <w:rPr>
          <w:sz w:val="26"/>
        </w:rPr>
        <w:tab/>
      </w:r>
      <w:r>
        <w:rPr>
          <w:sz w:val="26"/>
        </w:rPr>
        <w:tab/>
        <w:t>In its Brief in Support, BFMA avers that modification of the price in Rider No. 18 is beyond the Commission’s authority for two reasons.  First, BFMA states that, because utility tariffs have the force and effect of law, the QFs are entitled</w:t>
      </w:r>
      <w:r w:rsidR="00CE4555">
        <w:rPr>
          <w:sz w:val="26"/>
        </w:rPr>
        <w:t xml:space="preserve"> </w:t>
      </w:r>
      <w:r>
        <w:rPr>
          <w:sz w:val="26"/>
        </w:rPr>
        <w:t xml:space="preserve">to the Rider No. 18 price as of July 1987 when the Commission grandfathered BFMA’s agreement with DLC and “locked-in” the Rider No. 18 price.  </w:t>
      </w:r>
      <w:r w:rsidR="0010631A">
        <w:rPr>
          <w:sz w:val="26"/>
        </w:rPr>
        <w:t xml:space="preserve">BFMA Brief in Support at 9 (citing </w:t>
      </w:r>
      <w:r w:rsidR="0010631A" w:rsidRPr="0010631A">
        <w:rPr>
          <w:i/>
          <w:sz w:val="26"/>
        </w:rPr>
        <w:t>Pa. PUC v. Duquesne Light Co</w:t>
      </w:r>
      <w:r w:rsidR="0010631A">
        <w:rPr>
          <w:sz w:val="26"/>
        </w:rPr>
        <w:t>., Docket No. R-860556 (Order entered July 20, 1987)).</w:t>
      </w:r>
      <w:r w:rsidR="00B6333B">
        <w:rPr>
          <w:sz w:val="26"/>
        </w:rPr>
        <w:t xml:space="preserve"> </w:t>
      </w:r>
    </w:p>
    <w:p w:rsidR="009D3999" w:rsidRPr="001D45E0" w:rsidRDefault="0010631A" w:rsidP="001D45E0">
      <w:pPr>
        <w:ind w:hanging="720"/>
        <w:rPr>
          <w:sz w:val="26"/>
        </w:rPr>
      </w:pPr>
      <w:r>
        <w:rPr>
          <w:sz w:val="26"/>
        </w:rPr>
        <w:t xml:space="preserve"> </w:t>
      </w:r>
    </w:p>
    <w:p w:rsidR="00CE4555" w:rsidRDefault="007622D9" w:rsidP="00207F5C">
      <w:pPr>
        <w:ind w:firstLine="720"/>
        <w:rPr>
          <w:sz w:val="26"/>
        </w:rPr>
      </w:pPr>
      <w:r>
        <w:rPr>
          <w:b/>
          <w:sz w:val="26"/>
        </w:rPr>
        <w:tab/>
      </w:r>
      <w:r w:rsidR="00207F5C" w:rsidRPr="00207F5C">
        <w:rPr>
          <w:sz w:val="26"/>
        </w:rPr>
        <w:t>Second,</w:t>
      </w:r>
      <w:r w:rsidR="00207F5C">
        <w:rPr>
          <w:sz w:val="26"/>
        </w:rPr>
        <w:t xml:space="preserve"> similar to DLC’s argument, BFMA argues that Rider No. 18 pertains to wholesale power supply agreements under PURPA that are within FERC’s exclusive jurisdiction.  BFMA avers that </w:t>
      </w:r>
      <w:r w:rsidR="00605DBD">
        <w:rPr>
          <w:sz w:val="26"/>
        </w:rPr>
        <w:t xml:space="preserve">a state commission has the authority to implement PURPA in connection with the approval of contracts between utilities and QFs, but once the state commission has established the “avoided cost” to be paid, the state can no longer regulate the QFs’ rate.  </w:t>
      </w:r>
      <w:r w:rsidR="00605DBD" w:rsidRPr="00605DBD">
        <w:rPr>
          <w:i/>
          <w:sz w:val="26"/>
        </w:rPr>
        <w:t>Id</w:t>
      </w:r>
      <w:r w:rsidR="00605DBD">
        <w:rPr>
          <w:sz w:val="26"/>
        </w:rPr>
        <w:t xml:space="preserve">. at 10. </w:t>
      </w:r>
      <w:r w:rsidR="00776F73">
        <w:rPr>
          <w:sz w:val="26"/>
        </w:rPr>
        <w:t xml:space="preserve"> BFMA additionally avers that, while the NRG</w:t>
      </w:r>
      <w:r w:rsidR="00CE4555">
        <w:rPr>
          <w:sz w:val="26"/>
        </w:rPr>
        <w:t xml:space="preserve"> Companie</w:t>
      </w:r>
      <w:r w:rsidR="00776F73">
        <w:rPr>
          <w:sz w:val="26"/>
        </w:rPr>
        <w:t>s</w:t>
      </w:r>
      <w:r w:rsidR="00CE4555">
        <w:rPr>
          <w:sz w:val="26"/>
        </w:rPr>
        <w:t>’</w:t>
      </w:r>
      <w:r w:rsidR="00776F73">
        <w:rPr>
          <w:sz w:val="26"/>
        </w:rPr>
        <w:t xml:space="preserve"> main argument is that it is paying an excessive amount </w:t>
      </w:r>
      <w:r w:rsidR="00CE4555">
        <w:rPr>
          <w:sz w:val="26"/>
        </w:rPr>
        <w:t xml:space="preserve">in </w:t>
      </w:r>
      <w:r w:rsidR="00776F73">
        <w:rPr>
          <w:sz w:val="26"/>
        </w:rPr>
        <w:t>today</w:t>
      </w:r>
      <w:r w:rsidR="00CE4555">
        <w:rPr>
          <w:sz w:val="26"/>
        </w:rPr>
        <w:t>’s market</w:t>
      </w:r>
      <w:r w:rsidR="00776F73">
        <w:rPr>
          <w:sz w:val="26"/>
        </w:rPr>
        <w:t xml:space="preserve"> for energy provided by the QFs, this argument ignores that 18 C.F.R. </w:t>
      </w:r>
    </w:p>
    <w:p w:rsidR="009D3999" w:rsidRPr="00207F5C" w:rsidRDefault="00776F73" w:rsidP="00CE4555">
      <w:pPr>
        <w:ind w:firstLine="0"/>
        <w:rPr>
          <w:sz w:val="26"/>
        </w:rPr>
      </w:pPr>
      <w:r>
        <w:rPr>
          <w:sz w:val="26"/>
        </w:rPr>
        <w:t xml:space="preserve">§ 292.304(b)(5) acknowledges that rates for QF purchases based on estimates established by contract or other legally enforceable obligation do not violate FERC’s PURPA regulations if those rates are different from the avoided costs at the time of delivery.  </w:t>
      </w:r>
      <w:r w:rsidRPr="00776F73">
        <w:rPr>
          <w:i/>
          <w:sz w:val="26"/>
        </w:rPr>
        <w:t>Id</w:t>
      </w:r>
      <w:r w:rsidR="00B6333B">
        <w:rPr>
          <w:sz w:val="26"/>
        </w:rPr>
        <w:t xml:space="preserve">. at 12. </w:t>
      </w:r>
    </w:p>
    <w:p w:rsidR="0060148C" w:rsidRDefault="0060148C" w:rsidP="009D3999">
      <w:pPr>
        <w:spacing w:line="240" w:lineRule="auto"/>
        <w:ind w:firstLine="0"/>
        <w:rPr>
          <w:sz w:val="26"/>
        </w:rPr>
      </w:pPr>
    </w:p>
    <w:p w:rsidR="00F35DBC" w:rsidRDefault="00E14D49" w:rsidP="00ED7483">
      <w:pPr>
        <w:ind w:firstLine="0"/>
        <w:rPr>
          <w:sz w:val="26"/>
        </w:rPr>
      </w:pPr>
      <w:r>
        <w:rPr>
          <w:sz w:val="26"/>
        </w:rPr>
        <w:tab/>
      </w:r>
      <w:r>
        <w:rPr>
          <w:sz w:val="26"/>
        </w:rPr>
        <w:tab/>
        <w:t>In response to the argument that,</w:t>
      </w:r>
      <w:r w:rsidR="00ED7483">
        <w:rPr>
          <w:sz w:val="26"/>
        </w:rPr>
        <w:t xml:space="preserve"> after a state regulatory commission has approved the terms of a power purchase agreement, it cannot reconsider that approval, </w:t>
      </w:r>
      <w:r w:rsidR="00CE4555">
        <w:rPr>
          <w:sz w:val="26"/>
        </w:rPr>
        <w:t xml:space="preserve">the </w:t>
      </w:r>
      <w:r w:rsidR="007E36B2">
        <w:rPr>
          <w:sz w:val="26"/>
        </w:rPr>
        <w:t>NRG</w:t>
      </w:r>
      <w:r w:rsidR="00ED7483">
        <w:rPr>
          <w:sz w:val="26"/>
        </w:rPr>
        <w:t xml:space="preserve"> </w:t>
      </w:r>
      <w:r w:rsidR="00CE4555">
        <w:rPr>
          <w:sz w:val="26"/>
        </w:rPr>
        <w:t xml:space="preserve">Companies </w:t>
      </w:r>
      <w:r w:rsidR="00ED7483">
        <w:rPr>
          <w:sz w:val="26"/>
        </w:rPr>
        <w:t xml:space="preserve">aver that the rule in </w:t>
      </w:r>
      <w:r w:rsidR="00ED7483">
        <w:rPr>
          <w:i/>
          <w:sz w:val="26"/>
        </w:rPr>
        <w:t>Freehold, supra</w:t>
      </w:r>
      <w:r w:rsidR="00ED7483">
        <w:rPr>
          <w:sz w:val="26"/>
        </w:rPr>
        <w:t xml:space="preserve">, is applied strictly on a </w:t>
      </w:r>
      <w:r w:rsidR="00ED7483">
        <w:rPr>
          <w:sz w:val="26"/>
        </w:rPr>
        <w:lastRenderedPageBreak/>
        <w:t xml:space="preserve">contract-by-contract basis and recognizes that parties to a power purchase agreement under PURPA are free to negotiate terms that differ from PURPA’s requirements.  </w:t>
      </w:r>
      <w:r w:rsidR="007E36B2">
        <w:rPr>
          <w:sz w:val="26"/>
        </w:rPr>
        <w:t>NRG</w:t>
      </w:r>
      <w:r w:rsidR="00ED7483">
        <w:rPr>
          <w:sz w:val="26"/>
        </w:rPr>
        <w:t xml:space="preserve"> </w:t>
      </w:r>
      <w:r w:rsidR="00CE4555">
        <w:rPr>
          <w:sz w:val="26"/>
        </w:rPr>
        <w:t xml:space="preserve">Companies </w:t>
      </w:r>
      <w:r w:rsidR="00ED7483">
        <w:rPr>
          <w:sz w:val="26"/>
        </w:rPr>
        <w:t xml:space="preserve">Brief in Opposition at 10 (citing </w:t>
      </w:r>
      <w:r w:rsidR="00ED7483" w:rsidRPr="00ED7483">
        <w:rPr>
          <w:i/>
          <w:sz w:val="26"/>
        </w:rPr>
        <w:t>Freehold</w:t>
      </w:r>
      <w:r w:rsidR="00ED7483">
        <w:rPr>
          <w:sz w:val="26"/>
        </w:rPr>
        <w:t xml:space="preserve">, 44 F.3d at 1187).  </w:t>
      </w:r>
      <w:r w:rsidR="00CE4555">
        <w:rPr>
          <w:sz w:val="26"/>
        </w:rPr>
        <w:t xml:space="preserve">The </w:t>
      </w:r>
      <w:r w:rsidR="007E36B2">
        <w:rPr>
          <w:sz w:val="26"/>
        </w:rPr>
        <w:t>NRG</w:t>
      </w:r>
      <w:r w:rsidR="00CE4555">
        <w:rPr>
          <w:sz w:val="26"/>
        </w:rPr>
        <w:t xml:space="preserve"> Companies</w:t>
      </w:r>
      <w:r w:rsidR="007E36B2">
        <w:rPr>
          <w:sz w:val="26"/>
        </w:rPr>
        <w:t xml:space="preserve"> assert that the issue in this case is a Commission-approved tariff and not the terms of a power purchase agreement, a distinction that DLC has failed to acknowledge.  </w:t>
      </w:r>
      <w:r w:rsidR="00CE4555">
        <w:rPr>
          <w:sz w:val="26"/>
        </w:rPr>
        <w:t>They</w:t>
      </w:r>
      <w:r w:rsidR="007E36B2">
        <w:rPr>
          <w:sz w:val="26"/>
        </w:rPr>
        <w:t xml:space="preserve"> argue that </w:t>
      </w:r>
      <w:r w:rsidR="00CE4555">
        <w:rPr>
          <w:sz w:val="26"/>
        </w:rPr>
        <w:t>they</w:t>
      </w:r>
      <w:r w:rsidR="007E36B2">
        <w:rPr>
          <w:sz w:val="26"/>
        </w:rPr>
        <w:t xml:space="preserve"> ha</w:t>
      </w:r>
      <w:r w:rsidR="00CE4555">
        <w:rPr>
          <w:sz w:val="26"/>
        </w:rPr>
        <w:t>ve</w:t>
      </w:r>
      <w:r w:rsidR="007E36B2">
        <w:rPr>
          <w:sz w:val="26"/>
        </w:rPr>
        <w:t xml:space="preserve"> not alleged a cause of action under any power purchase agreement or asked the Commission to construe or modify the terms of a power purchase agreement, rather, </w:t>
      </w:r>
      <w:r w:rsidR="00CE4555">
        <w:rPr>
          <w:sz w:val="26"/>
        </w:rPr>
        <w:t>they</w:t>
      </w:r>
      <w:r w:rsidR="007E36B2">
        <w:rPr>
          <w:sz w:val="26"/>
        </w:rPr>
        <w:t xml:space="preserve"> ha</w:t>
      </w:r>
      <w:r w:rsidR="00CE4555">
        <w:rPr>
          <w:sz w:val="26"/>
        </w:rPr>
        <w:t>ve</w:t>
      </w:r>
      <w:r w:rsidR="007E36B2">
        <w:rPr>
          <w:sz w:val="26"/>
        </w:rPr>
        <w:t xml:space="preserve"> asked the Commission to review the justness, reasonableness, and discriminatory nature of a Commission-approved tariff.</w:t>
      </w:r>
      <w:r w:rsidR="00F35DBC">
        <w:rPr>
          <w:sz w:val="26"/>
        </w:rPr>
        <w:t xml:space="preserve">  </w:t>
      </w:r>
      <w:r w:rsidR="00CE4555" w:rsidRPr="00CE4555">
        <w:rPr>
          <w:i/>
          <w:sz w:val="26"/>
        </w:rPr>
        <w:t>Id</w:t>
      </w:r>
      <w:r w:rsidR="00CE4555">
        <w:rPr>
          <w:sz w:val="26"/>
        </w:rPr>
        <w:t>.</w:t>
      </w:r>
      <w:r w:rsidR="00F35DBC">
        <w:rPr>
          <w:sz w:val="26"/>
        </w:rPr>
        <w:t xml:space="preserve"> at 10.</w:t>
      </w:r>
    </w:p>
    <w:p w:rsidR="00F35DBC" w:rsidRDefault="00F35DBC" w:rsidP="00ED7483">
      <w:pPr>
        <w:ind w:firstLine="0"/>
        <w:rPr>
          <w:sz w:val="26"/>
        </w:rPr>
      </w:pPr>
    </w:p>
    <w:p w:rsidR="009D2C46" w:rsidRPr="009D2C46" w:rsidRDefault="00F35DBC" w:rsidP="00ED7483">
      <w:pPr>
        <w:ind w:firstLine="0"/>
        <w:rPr>
          <w:sz w:val="26"/>
        </w:rPr>
      </w:pPr>
      <w:r>
        <w:rPr>
          <w:sz w:val="26"/>
        </w:rPr>
        <w:tab/>
      </w:r>
      <w:r>
        <w:rPr>
          <w:sz w:val="26"/>
        </w:rPr>
        <w:tab/>
      </w:r>
      <w:r w:rsidR="00CE4555">
        <w:rPr>
          <w:sz w:val="26"/>
        </w:rPr>
        <w:t xml:space="preserve">The </w:t>
      </w:r>
      <w:r>
        <w:rPr>
          <w:sz w:val="26"/>
        </w:rPr>
        <w:t xml:space="preserve">NRG </w:t>
      </w:r>
      <w:r w:rsidR="00CE4555">
        <w:rPr>
          <w:sz w:val="26"/>
        </w:rPr>
        <w:t xml:space="preserve">Companies </w:t>
      </w:r>
      <w:r>
        <w:rPr>
          <w:sz w:val="26"/>
        </w:rPr>
        <w:t>stat</w:t>
      </w:r>
      <w:r w:rsidR="00CE4555">
        <w:rPr>
          <w:sz w:val="26"/>
        </w:rPr>
        <w:t>e</w:t>
      </w:r>
      <w:r>
        <w:rPr>
          <w:sz w:val="26"/>
        </w:rPr>
        <w:t xml:space="preserve"> that, while the purchase power agreements between the two QFs may index the price for power to the tariff, this does not divest the Commission of jurisdiction to consider a tariff provision of otherwise general applicability to DLC customers.  </w:t>
      </w:r>
      <w:r w:rsidR="00CE4555">
        <w:rPr>
          <w:sz w:val="26"/>
        </w:rPr>
        <w:t>The Companies</w:t>
      </w:r>
      <w:r>
        <w:rPr>
          <w:sz w:val="26"/>
        </w:rPr>
        <w:t xml:space="preserve"> aver that the Commission has exclusive jurisdiction over the rates, terms, and conditions contained in a public utility’s tariff and has the authority and duty to ensure that such </w:t>
      </w:r>
      <w:r w:rsidR="006178A2">
        <w:rPr>
          <w:sz w:val="26"/>
        </w:rPr>
        <w:t>terms remain just, reasonable, and non-discriminatory</w:t>
      </w:r>
      <w:r>
        <w:rPr>
          <w:sz w:val="26"/>
        </w:rPr>
        <w:t>.</w:t>
      </w:r>
      <w:r w:rsidR="006178A2">
        <w:rPr>
          <w:sz w:val="26"/>
        </w:rPr>
        <w:t xml:space="preserve">  </w:t>
      </w:r>
      <w:r w:rsidR="005B1AA1" w:rsidRPr="006178A2">
        <w:rPr>
          <w:i/>
          <w:sz w:val="26"/>
        </w:rPr>
        <w:t>Id</w:t>
      </w:r>
      <w:r w:rsidR="005B1AA1">
        <w:rPr>
          <w:sz w:val="26"/>
        </w:rPr>
        <w:t xml:space="preserve">. at 11. </w:t>
      </w:r>
    </w:p>
    <w:p w:rsidR="007622D9" w:rsidRDefault="007622D9" w:rsidP="009D3999">
      <w:pPr>
        <w:spacing w:line="240" w:lineRule="auto"/>
        <w:ind w:firstLine="0"/>
        <w:rPr>
          <w:b/>
          <w:sz w:val="26"/>
        </w:rPr>
      </w:pPr>
    </w:p>
    <w:p w:rsidR="007622D9" w:rsidRDefault="00F02E74" w:rsidP="00C67E80">
      <w:pPr>
        <w:spacing w:line="240" w:lineRule="auto"/>
        <w:ind w:left="1440" w:hanging="720"/>
        <w:rPr>
          <w:b/>
          <w:sz w:val="26"/>
        </w:rPr>
      </w:pPr>
      <w:r>
        <w:rPr>
          <w:b/>
          <w:sz w:val="26"/>
        </w:rPr>
        <w:t>3.</w:t>
      </w:r>
      <w:r>
        <w:rPr>
          <w:b/>
          <w:sz w:val="26"/>
        </w:rPr>
        <w:tab/>
      </w:r>
      <w:r w:rsidR="00C67E80">
        <w:rPr>
          <w:b/>
          <w:sz w:val="26"/>
        </w:rPr>
        <w:t>Whether the Commission should answer the material questions presented</w:t>
      </w:r>
      <w:r w:rsidR="006F7B2E">
        <w:rPr>
          <w:b/>
          <w:sz w:val="26"/>
        </w:rPr>
        <w:t xml:space="preserve">  </w:t>
      </w:r>
    </w:p>
    <w:p w:rsidR="00F02E74" w:rsidRDefault="00F02E74" w:rsidP="009D3999">
      <w:pPr>
        <w:spacing w:line="240" w:lineRule="auto"/>
        <w:ind w:firstLine="0"/>
        <w:rPr>
          <w:b/>
          <w:sz w:val="26"/>
        </w:rPr>
      </w:pPr>
    </w:p>
    <w:p w:rsidR="006757D0" w:rsidRDefault="00EA21C5" w:rsidP="00DC5B05">
      <w:pPr>
        <w:ind w:firstLine="0"/>
        <w:rPr>
          <w:sz w:val="26"/>
        </w:rPr>
      </w:pPr>
      <w:r>
        <w:rPr>
          <w:b/>
          <w:sz w:val="26"/>
        </w:rPr>
        <w:tab/>
      </w:r>
      <w:r>
        <w:rPr>
          <w:b/>
          <w:sz w:val="26"/>
        </w:rPr>
        <w:tab/>
      </w:r>
      <w:r w:rsidR="00DC5B05">
        <w:rPr>
          <w:sz w:val="26"/>
        </w:rPr>
        <w:t>DLC believes that compelling reasons for interlocutory review exist because, if the material questions it has raised are not resolved in the first instance, the Parties will have to litigate issues that are beyond the Commission’s authority and, at a minimum, w</w:t>
      </w:r>
      <w:r w:rsidR="00E71168">
        <w:rPr>
          <w:sz w:val="26"/>
        </w:rPr>
        <w:t>ill</w:t>
      </w:r>
      <w:r w:rsidR="00DC5B05">
        <w:rPr>
          <w:sz w:val="26"/>
        </w:rPr>
        <w:t xml:space="preserve"> be required to re-litigate these same issues with all necessary and indispensable parties.  The Company avers that it would be a waste of the Commission’s and the Parties’ resources to litigate </w:t>
      </w:r>
      <w:r w:rsidR="00E71168">
        <w:rPr>
          <w:sz w:val="26"/>
        </w:rPr>
        <w:t xml:space="preserve">the </w:t>
      </w:r>
      <w:r w:rsidR="00DC5B05">
        <w:rPr>
          <w:sz w:val="26"/>
        </w:rPr>
        <w:t>NRG</w:t>
      </w:r>
      <w:r w:rsidR="00E71168">
        <w:rPr>
          <w:sz w:val="26"/>
        </w:rPr>
        <w:t xml:space="preserve"> Companie</w:t>
      </w:r>
      <w:r w:rsidR="00DC5B05">
        <w:rPr>
          <w:sz w:val="26"/>
        </w:rPr>
        <w:t>s</w:t>
      </w:r>
      <w:r w:rsidR="00E71168">
        <w:rPr>
          <w:sz w:val="26"/>
        </w:rPr>
        <w:t>’</w:t>
      </w:r>
      <w:r w:rsidR="00DC5B05">
        <w:rPr>
          <w:sz w:val="26"/>
        </w:rPr>
        <w:t xml:space="preserve"> Complaint without joining all indispensable parties and deciding the scope of the Commission’s jurisdiction in the </w:t>
      </w:r>
      <w:r w:rsidR="006757D0">
        <w:rPr>
          <w:sz w:val="26"/>
        </w:rPr>
        <w:t>first instance.  Petition at 2-3.</w:t>
      </w:r>
    </w:p>
    <w:p w:rsidR="006757D0" w:rsidRDefault="006757D0" w:rsidP="00DC5B05">
      <w:pPr>
        <w:ind w:firstLine="0"/>
        <w:rPr>
          <w:sz w:val="26"/>
        </w:rPr>
      </w:pPr>
    </w:p>
    <w:p w:rsidR="00EE0A8D" w:rsidRDefault="006757D0" w:rsidP="00DC5B05">
      <w:pPr>
        <w:ind w:firstLine="0"/>
        <w:rPr>
          <w:sz w:val="26"/>
        </w:rPr>
      </w:pPr>
      <w:r>
        <w:rPr>
          <w:sz w:val="26"/>
        </w:rPr>
        <w:lastRenderedPageBreak/>
        <w:tab/>
      </w:r>
      <w:r>
        <w:rPr>
          <w:sz w:val="26"/>
        </w:rPr>
        <w:tab/>
        <w:t xml:space="preserve">BFMA also believes that the Commission should answer the material questions presented by DLC.  </w:t>
      </w:r>
      <w:r w:rsidR="00A713C7">
        <w:rPr>
          <w:sz w:val="26"/>
        </w:rPr>
        <w:t xml:space="preserve">BFMA Brief in Support at 7.  BFMA avers that a clear statement that the Commission lacks jurisdiction over </w:t>
      </w:r>
      <w:r w:rsidR="00E71168">
        <w:rPr>
          <w:sz w:val="26"/>
        </w:rPr>
        <w:t xml:space="preserve">the </w:t>
      </w:r>
      <w:r w:rsidR="00A713C7">
        <w:rPr>
          <w:sz w:val="26"/>
        </w:rPr>
        <w:t xml:space="preserve">Rider No. 18 issues raised in </w:t>
      </w:r>
      <w:r w:rsidR="00E71168">
        <w:rPr>
          <w:sz w:val="26"/>
        </w:rPr>
        <w:t xml:space="preserve">the </w:t>
      </w:r>
      <w:r w:rsidR="00A713C7">
        <w:rPr>
          <w:sz w:val="26"/>
        </w:rPr>
        <w:t>NRG</w:t>
      </w:r>
      <w:r w:rsidR="00E71168">
        <w:rPr>
          <w:sz w:val="26"/>
        </w:rPr>
        <w:t xml:space="preserve"> Companie</w:t>
      </w:r>
      <w:r w:rsidR="00A713C7">
        <w:rPr>
          <w:sz w:val="26"/>
        </w:rPr>
        <w:t>s</w:t>
      </w:r>
      <w:r w:rsidR="00E71168">
        <w:rPr>
          <w:sz w:val="26"/>
        </w:rPr>
        <w:t>’</w:t>
      </w:r>
      <w:r w:rsidR="00A713C7">
        <w:rPr>
          <w:sz w:val="26"/>
        </w:rPr>
        <w:t xml:space="preserve"> Complaint would avoid needless and costly litigation by all Parties, including BFMA.</w:t>
      </w:r>
      <w:r w:rsidR="00ED25EE">
        <w:rPr>
          <w:sz w:val="26"/>
        </w:rPr>
        <w:t xml:space="preserve">  </w:t>
      </w:r>
      <w:r w:rsidR="00ED25EE" w:rsidRPr="00ED25EE">
        <w:rPr>
          <w:i/>
          <w:sz w:val="26"/>
        </w:rPr>
        <w:t>Id</w:t>
      </w:r>
      <w:r w:rsidR="00ED25EE">
        <w:rPr>
          <w:sz w:val="26"/>
        </w:rPr>
        <w:t>. at 8.</w:t>
      </w:r>
      <w:r w:rsidR="00E71168">
        <w:rPr>
          <w:sz w:val="26"/>
        </w:rPr>
        <w:t xml:space="preserve">  </w:t>
      </w:r>
      <w:r w:rsidR="00A713C7">
        <w:rPr>
          <w:sz w:val="26"/>
        </w:rPr>
        <w:t xml:space="preserve">BFMA </w:t>
      </w:r>
      <w:r w:rsidR="00E71168">
        <w:rPr>
          <w:sz w:val="26"/>
        </w:rPr>
        <w:t>contends</w:t>
      </w:r>
      <w:r w:rsidR="00A713C7">
        <w:rPr>
          <w:sz w:val="26"/>
        </w:rPr>
        <w:t xml:space="preserve"> that the answers to the material questions are clear and compelling, because it is well-settled that the Commission cannot revisit or change </w:t>
      </w:r>
      <w:r w:rsidR="00390421">
        <w:rPr>
          <w:sz w:val="26"/>
        </w:rPr>
        <w:t xml:space="preserve">QF rates once they have been approved.  </w:t>
      </w:r>
      <w:r w:rsidR="00ED25EE" w:rsidRPr="00ED25EE">
        <w:rPr>
          <w:i/>
          <w:sz w:val="26"/>
        </w:rPr>
        <w:t>Id</w:t>
      </w:r>
      <w:r w:rsidR="00ED25EE">
        <w:rPr>
          <w:sz w:val="26"/>
        </w:rPr>
        <w:t xml:space="preserve">.  </w:t>
      </w:r>
      <w:r w:rsidR="00E71168">
        <w:rPr>
          <w:sz w:val="26"/>
        </w:rPr>
        <w:t>Additionally</w:t>
      </w:r>
      <w:r w:rsidR="00390421">
        <w:rPr>
          <w:sz w:val="26"/>
        </w:rPr>
        <w:t xml:space="preserve">, BFMA asserts that, absent the Commission’s proactive action in answering the material questions, it is possible that litigation regarding Rider No. 18 would continue until completion, only to be subject to a later challenge by indispensable parties and possible reversal by a successful challenge to the Commission’s jurisdiction.  </w:t>
      </w:r>
      <w:r w:rsidR="00ED25EE" w:rsidRPr="00ED25EE">
        <w:rPr>
          <w:i/>
          <w:sz w:val="26"/>
        </w:rPr>
        <w:t>Id</w:t>
      </w:r>
      <w:r w:rsidR="00ED25EE">
        <w:rPr>
          <w:sz w:val="26"/>
        </w:rPr>
        <w:t xml:space="preserve">. at 8-9.  </w:t>
      </w:r>
      <w:r w:rsidR="00390421">
        <w:rPr>
          <w:sz w:val="26"/>
        </w:rPr>
        <w:t>BFMA requests that the Commission first answer the material question about its jurisdiction to change the Rider No. 18 price</w:t>
      </w:r>
      <w:r w:rsidR="00E71168">
        <w:rPr>
          <w:sz w:val="26"/>
        </w:rPr>
        <w:t>,</w:t>
      </w:r>
      <w:r w:rsidR="00390421">
        <w:rPr>
          <w:sz w:val="26"/>
        </w:rPr>
        <w:t xml:space="preserve"> because if the Commission determines that it lacks jurisdiction, there is no need to address the indispensable party issue</w:t>
      </w:r>
      <w:r w:rsidR="00ED25EE">
        <w:rPr>
          <w:sz w:val="26"/>
        </w:rPr>
        <w:t xml:space="preserve"> as such a conclusion would not be adverse to the missing party, BVPC</w:t>
      </w:r>
      <w:r w:rsidR="00390421">
        <w:rPr>
          <w:sz w:val="26"/>
        </w:rPr>
        <w:t>.</w:t>
      </w:r>
      <w:r w:rsidR="00ED25EE">
        <w:rPr>
          <w:sz w:val="26"/>
        </w:rPr>
        <w:t xml:space="preserve">  </w:t>
      </w:r>
      <w:r w:rsidR="00ED25EE" w:rsidRPr="00ED25EE">
        <w:rPr>
          <w:i/>
          <w:sz w:val="26"/>
        </w:rPr>
        <w:t>Id</w:t>
      </w:r>
      <w:r w:rsidR="00ED25EE">
        <w:rPr>
          <w:sz w:val="26"/>
        </w:rPr>
        <w:t>. at 9.</w:t>
      </w:r>
    </w:p>
    <w:p w:rsidR="00EE0A8D" w:rsidRDefault="00EE0A8D" w:rsidP="00DC5B05">
      <w:pPr>
        <w:ind w:firstLine="0"/>
        <w:rPr>
          <w:sz w:val="26"/>
        </w:rPr>
      </w:pPr>
    </w:p>
    <w:p w:rsidR="00EA21C5" w:rsidRPr="00DC5B05" w:rsidRDefault="00EE0A8D" w:rsidP="00DC5B05">
      <w:pPr>
        <w:ind w:firstLine="0"/>
        <w:rPr>
          <w:sz w:val="26"/>
        </w:rPr>
      </w:pPr>
      <w:r>
        <w:rPr>
          <w:sz w:val="26"/>
        </w:rPr>
        <w:tab/>
      </w:r>
      <w:r>
        <w:rPr>
          <w:sz w:val="26"/>
        </w:rPr>
        <w:tab/>
      </w:r>
      <w:r w:rsidR="00E71168">
        <w:rPr>
          <w:sz w:val="26"/>
        </w:rPr>
        <w:t xml:space="preserve">The </w:t>
      </w:r>
      <w:r w:rsidR="00FD116A">
        <w:rPr>
          <w:sz w:val="26"/>
        </w:rPr>
        <w:t xml:space="preserve">NRG </w:t>
      </w:r>
      <w:r w:rsidR="00E71168">
        <w:rPr>
          <w:sz w:val="26"/>
        </w:rPr>
        <w:t xml:space="preserve">Companies </w:t>
      </w:r>
      <w:r w:rsidR="00FD116A">
        <w:rPr>
          <w:sz w:val="26"/>
        </w:rPr>
        <w:t>aver that consider</w:t>
      </w:r>
      <w:r w:rsidR="00E71168">
        <w:rPr>
          <w:sz w:val="26"/>
        </w:rPr>
        <w:t>ation</w:t>
      </w:r>
      <w:r w:rsidR="00FD116A">
        <w:rPr>
          <w:sz w:val="26"/>
        </w:rPr>
        <w:t xml:space="preserve"> of the material questions is not necessary to protect the substantial rights of any party.  </w:t>
      </w:r>
      <w:r w:rsidR="00E71168">
        <w:rPr>
          <w:sz w:val="26"/>
        </w:rPr>
        <w:t>They</w:t>
      </w:r>
      <w:r w:rsidR="00FD116A">
        <w:rPr>
          <w:sz w:val="26"/>
        </w:rPr>
        <w:t xml:space="preserve"> state that, at this stage of the proceeding, three days of evidentiary hearings already have been held.  According to </w:t>
      </w:r>
      <w:r w:rsidR="00E71168">
        <w:rPr>
          <w:sz w:val="26"/>
        </w:rPr>
        <w:t xml:space="preserve">the </w:t>
      </w:r>
      <w:r w:rsidR="00FD116A">
        <w:rPr>
          <w:sz w:val="26"/>
        </w:rPr>
        <w:t>NRG</w:t>
      </w:r>
      <w:r w:rsidR="00E71168">
        <w:rPr>
          <w:sz w:val="26"/>
        </w:rPr>
        <w:t xml:space="preserve"> Companies</w:t>
      </w:r>
      <w:r w:rsidR="00FD116A">
        <w:rPr>
          <w:sz w:val="26"/>
        </w:rPr>
        <w:t xml:space="preserve">, the material questions raised in the Petition are red-herrings that do not warrant delaying the proceeding for further consideration.  NRG Brief in Opposition at 12. </w:t>
      </w:r>
    </w:p>
    <w:p w:rsidR="00EA21C5" w:rsidRDefault="00EA21C5" w:rsidP="002F4467">
      <w:pPr>
        <w:ind w:firstLine="0"/>
        <w:rPr>
          <w:b/>
          <w:sz w:val="26"/>
        </w:rPr>
      </w:pPr>
    </w:p>
    <w:p w:rsidR="00001119" w:rsidRDefault="0097174A" w:rsidP="008D044F">
      <w:pPr>
        <w:ind w:firstLine="0"/>
        <w:rPr>
          <w:b/>
          <w:sz w:val="26"/>
        </w:rPr>
      </w:pPr>
      <w:r>
        <w:rPr>
          <w:b/>
          <w:sz w:val="26"/>
        </w:rPr>
        <w:t>Disposition</w:t>
      </w:r>
    </w:p>
    <w:p w:rsidR="0097174A" w:rsidRDefault="0097174A" w:rsidP="0097174A">
      <w:pPr>
        <w:ind w:firstLine="0"/>
        <w:rPr>
          <w:sz w:val="26"/>
        </w:rPr>
      </w:pPr>
    </w:p>
    <w:p w:rsidR="00752625" w:rsidRDefault="00914759" w:rsidP="000E4E3B">
      <w:pPr>
        <w:adjustRightInd w:val="0"/>
        <w:rPr>
          <w:color w:val="000000"/>
          <w:sz w:val="26"/>
          <w:szCs w:val="26"/>
        </w:rPr>
      </w:pPr>
      <w:r>
        <w:rPr>
          <w:color w:val="000000"/>
          <w:sz w:val="26"/>
          <w:szCs w:val="26"/>
        </w:rPr>
        <w:t xml:space="preserve">Given the procedural posture of this case, DLC’s Petition does not support the necessity for interlocutory review in order to prevent substantial prejudice; that is, </w:t>
      </w:r>
      <w:r w:rsidR="00752625">
        <w:rPr>
          <w:color w:val="000000"/>
          <w:sz w:val="26"/>
          <w:szCs w:val="26"/>
        </w:rPr>
        <w:t xml:space="preserve">that </w:t>
      </w:r>
      <w:r>
        <w:rPr>
          <w:color w:val="000000"/>
          <w:sz w:val="26"/>
          <w:szCs w:val="26"/>
        </w:rPr>
        <w:t xml:space="preserve">the error and any prejudice flowing therefrom could not be satisfactorily cured during the normal Commission review process.  The major concerns that have been </w:t>
      </w:r>
      <w:r>
        <w:rPr>
          <w:color w:val="000000"/>
          <w:sz w:val="26"/>
          <w:szCs w:val="26"/>
        </w:rPr>
        <w:lastRenderedPageBreak/>
        <w:t xml:space="preserve">expressed by DLC and BFMA in support of the Petition are that:  (1) the Commission </w:t>
      </w:r>
      <w:r>
        <w:rPr>
          <w:sz w:val="26"/>
        </w:rPr>
        <w:t xml:space="preserve">lacks the authority to modify the wholesale PURPA rates in Rider No. 18 or to eliminate Rider No. 18, and (2) the NRG Complaint cannot be litigated without first joining all indispensable parties.  These Parties have averred that, if the Material Questions are not resolved in the first instance, the Parties will have to litigate issues that are beyond the Commission’s authority and </w:t>
      </w:r>
      <w:r w:rsidR="00752625">
        <w:rPr>
          <w:sz w:val="26"/>
        </w:rPr>
        <w:t>may</w:t>
      </w:r>
      <w:r>
        <w:rPr>
          <w:sz w:val="26"/>
        </w:rPr>
        <w:t xml:space="preserve"> be required to re-litigate these same issues with all necessary and indispensable parties</w:t>
      </w:r>
      <w:r w:rsidR="00752625">
        <w:rPr>
          <w:sz w:val="26"/>
        </w:rPr>
        <w:t xml:space="preserve"> joined in this proceeding</w:t>
      </w:r>
      <w:r>
        <w:rPr>
          <w:sz w:val="26"/>
        </w:rPr>
        <w:t>.</w:t>
      </w:r>
      <w:r w:rsidRPr="00CB41EC">
        <w:rPr>
          <w:color w:val="000000"/>
          <w:sz w:val="26"/>
          <w:szCs w:val="26"/>
        </w:rPr>
        <w:t xml:space="preserve"> </w:t>
      </w:r>
      <w:r>
        <w:rPr>
          <w:color w:val="000000"/>
          <w:sz w:val="26"/>
          <w:szCs w:val="26"/>
        </w:rPr>
        <w:t xml:space="preserve"> </w:t>
      </w:r>
      <w:r w:rsidR="00752625">
        <w:rPr>
          <w:color w:val="000000"/>
          <w:sz w:val="26"/>
          <w:szCs w:val="26"/>
        </w:rPr>
        <w:t xml:space="preserve">These concerns have </w:t>
      </w:r>
      <w:r w:rsidR="00B855CE">
        <w:rPr>
          <w:color w:val="000000"/>
          <w:sz w:val="26"/>
          <w:szCs w:val="26"/>
        </w:rPr>
        <w:t xml:space="preserve">little </w:t>
      </w:r>
      <w:r w:rsidR="00752625">
        <w:rPr>
          <w:color w:val="000000"/>
          <w:sz w:val="26"/>
          <w:szCs w:val="26"/>
        </w:rPr>
        <w:t xml:space="preserve">merit, as the Parties have already expended resources in fully vetting the factual and legal positions related to the Rider No. 18 issues.  </w:t>
      </w:r>
      <w:r>
        <w:rPr>
          <w:color w:val="000000"/>
          <w:sz w:val="26"/>
          <w:szCs w:val="26"/>
        </w:rPr>
        <w:t>At this stage in the proceeding,</w:t>
      </w:r>
      <w:r w:rsidR="000E4E3B">
        <w:rPr>
          <w:color w:val="000000"/>
          <w:sz w:val="26"/>
          <w:szCs w:val="26"/>
        </w:rPr>
        <w:t xml:space="preserve"> </w:t>
      </w:r>
      <w:r w:rsidR="000E4E3B">
        <w:rPr>
          <w:sz w:val="26"/>
        </w:rPr>
        <w:t>t</w:t>
      </w:r>
      <w:r w:rsidR="000E4E3B">
        <w:rPr>
          <w:color w:val="000000"/>
          <w:sz w:val="26"/>
          <w:szCs w:val="26"/>
        </w:rPr>
        <w:t xml:space="preserve">he Parties have submitted direct, rebuttal, and surrebuttal testimony, along with various exhibits; three days of </w:t>
      </w:r>
      <w:r>
        <w:rPr>
          <w:color w:val="000000"/>
          <w:sz w:val="26"/>
          <w:szCs w:val="26"/>
        </w:rPr>
        <w:t>evidentiary hearings have been held to address the Rider No. 18 issues raised in the NRG Companies’ Complaint</w:t>
      </w:r>
      <w:r w:rsidR="000E4E3B">
        <w:rPr>
          <w:color w:val="000000"/>
          <w:sz w:val="26"/>
          <w:szCs w:val="26"/>
        </w:rPr>
        <w:t>; and the Parties have filed Main and Reply Briefs</w:t>
      </w:r>
      <w:r w:rsidR="001221C4">
        <w:rPr>
          <w:color w:val="000000"/>
          <w:sz w:val="26"/>
          <w:szCs w:val="26"/>
        </w:rPr>
        <w:t xml:space="preserve"> addressing the merits of the issues in the Complaint</w:t>
      </w:r>
      <w:r w:rsidR="000E4E3B">
        <w:rPr>
          <w:color w:val="000000"/>
          <w:sz w:val="26"/>
          <w:szCs w:val="26"/>
        </w:rPr>
        <w:t>.</w:t>
      </w:r>
      <w:r>
        <w:rPr>
          <w:color w:val="000000"/>
          <w:sz w:val="26"/>
          <w:szCs w:val="26"/>
        </w:rPr>
        <w:t xml:space="preserve"> </w:t>
      </w:r>
      <w:r w:rsidR="000E4E3B">
        <w:rPr>
          <w:color w:val="000000"/>
          <w:sz w:val="26"/>
          <w:szCs w:val="26"/>
        </w:rPr>
        <w:t xml:space="preserve"> </w:t>
      </w:r>
    </w:p>
    <w:p w:rsidR="00752625" w:rsidRDefault="00752625" w:rsidP="000E4E3B">
      <w:pPr>
        <w:adjustRightInd w:val="0"/>
        <w:rPr>
          <w:color w:val="000000"/>
          <w:sz w:val="26"/>
          <w:szCs w:val="26"/>
        </w:rPr>
      </w:pPr>
    </w:p>
    <w:p w:rsidR="005D4476" w:rsidRDefault="005F1906" w:rsidP="00804F70">
      <w:pPr>
        <w:adjustRightInd w:val="0"/>
        <w:rPr>
          <w:color w:val="000000"/>
          <w:sz w:val="26"/>
          <w:szCs w:val="26"/>
        </w:rPr>
      </w:pPr>
      <w:r>
        <w:rPr>
          <w:color w:val="000000"/>
          <w:sz w:val="26"/>
          <w:szCs w:val="26"/>
        </w:rPr>
        <w:t xml:space="preserve">For instance, </w:t>
      </w:r>
      <w:r w:rsidR="005F488D">
        <w:rPr>
          <w:color w:val="000000"/>
          <w:sz w:val="26"/>
          <w:szCs w:val="26"/>
        </w:rPr>
        <w:t>the NRG Companies</w:t>
      </w:r>
      <w:r>
        <w:rPr>
          <w:color w:val="000000"/>
          <w:sz w:val="26"/>
          <w:szCs w:val="26"/>
        </w:rPr>
        <w:t xml:space="preserve"> presented evidence and legal arguments that</w:t>
      </w:r>
      <w:r w:rsidR="005F488D">
        <w:rPr>
          <w:color w:val="000000"/>
          <w:sz w:val="26"/>
          <w:szCs w:val="26"/>
        </w:rPr>
        <w:t xml:space="preserve">, </w:t>
      </w:r>
      <w:r w:rsidR="00D17448">
        <w:rPr>
          <w:color w:val="000000"/>
          <w:sz w:val="26"/>
          <w:szCs w:val="26"/>
        </w:rPr>
        <w:t>since</w:t>
      </w:r>
      <w:r w:rsidR="005F488D">
        <w:rPr>
          <w:color w:val="000000"/>
          <w:sz w:val="26"/>
          <w:szCs w:val="26"/>
        </w:rPr>
        <w:t xml:space="preserve"> the restructuring of the electric utility industry in Pennsylvania and the passage of both the Electricity Generation Customer Choice and Competition Act</w:t>
      </w:r>
      <w:r w:rsidR="00202E86">
        <w:rPr>
          <w:color w:val="000000"/>
          <w:sz w:val="26"/>
          <w:szCs w:val="26"/>
        </w:rPr>
        <w:t xml:space="preserve">, 66 Pa. C.S. </w:t>
      </w:r>
    </w:p>
    <w:p w:rsidR="00C67652" w:rsidRDefault="00202E86" w:rsidP="005D4476">
      <w:pPr>
        <w:adjustRightInd w:val="0"/>
        <w:ind w:firstLine="0"/>
        <w:rPr>
          <w:color w:val="000000"/>
          <w:sz w:val="26"/>
          <w:szCs w:val="26"/>
        </w:rPr>
      </w:pPr>
      <w:r>
        <w:rPr>
          <w:color w:val="000000"/>
          <w:sz w:val="26"/>
          <w:szCs w:val="26"/>
        </w:rPr>
        <w:t xml:space="preserve">§ 2801, </w:t>
      </w:r>
      <w:r w:rsidRPr="00202E86">
        <w:rPr>
          <w:i/>
          <w:color w:val="000000"/>
          <w:sz w:val="26"/>
          <w:szCs w:val="26"/>
        </w:rPr>
        <w:t>et seq</w:t>
      </w:r>
      <w:r>
        <w:rPr>
          <w:color w:val="000000"/>
          <w:sz w:val="26"/>
          <w:szCs w:val="26"/>
        </w:rPr>
        <w:t>.,</w:t>
      </w:r>
      <w:r w:rsidR="005F488D">
        <w:rPr>
          <w:color w:val="000000"/>
          <w:sz w:val="26"/>
          <w:szCs w:val="26"/>
        </w:rPr>
        <w:t xml:space="preserve"> and the Alternative Energy Portfolio Standards Act</w:t>
      </w:r>
      <w:r>
        <w:rPr>
          <w:color w:val="000000"/>
          <w:sz w:val="26"/>
          <w:szCs w:val="26"/>
        </w:rPr>
        <w:t xml:space="preserve">, 73 P.S. § 1648.1, </w:t>
      </w:r>
      <w:r w:rsidRPr="00202E86">
        <w:rPr>
          <w:i/>
          <w:color w:val="000000"/>
          <w:sz w:val="26"/>
          <w:szCs w:val="26"/>
        </w:rPr>
        <w:t>et seq</w:t>
      </w:r>
      <w:r>
        <w:rPr>
          <w:color w:val="000000"/>
          <w:sz w:val="26"/>
          <w:szCs w:val="26"/>
        </w:rPr>
        <w:t>.,</w:t>
      </w:r>
      <w:r w:rsidR="005F488D">
        <w:rPr>
          <w:color w:val="000000"/>
          <w:sz w:val="26"/>
          <w:szCs w:val="26"/>
        </w:rPr>
        <w:t xml:space="preserve"> Rider No. 18 </w:t>
      </w:r>
      <w:r w:rsidR="002E42C7">
        <w:rPr>
          <w:color w:val="000000"/>
          <w:sz w:val="26"/>
          <w:szCs w:val="26"/>
        </w:rPr>
        <w:t>has become</w:t>
      </w:r>
      <w:r w:rsidR="005F488D">
        <w:rPr>
          <w:color w:val="000000"/>
          <w:sz w:val="26"/>
          <w:szCs w:val="26"/>
        </w:rPr>
        <w:t xml:space="preserve"> inconsistent with statutory law and the current regulatory scheme in Pennsylvania.  </w:t>
      </w:r>
      <w:r w:rsidR="002E42C7">
        <w:rPr>
          <w:color w:val="000000"/>
          <w:sz w:val="26"/>
          <w:szCs w:val="26"/>
        </w:rPr>
        <w:t>T</w:t>
      </w:r>
      <w:r w:rsidR="005F488D">
        <w:rPr>
          <w:color w:val="000000"/>
          <w:sz w:val="26"/>
          <w:szCs w:val="26"/>
        </w:rPr>
        <w:t>he NRG Companies argue</w:t>
      </w:r>
      <w:r w:rsidR="00701236">
        <w:rPr>
          <w:color w:val="000000"/>
          <w:sz w:val="26"/>
          <w:szCs w:val="26"/>
        </w:rPr>
        <w:t>d</w:t>
      </w:r>
      <w:r w:rsidR="005F488D">
        <w:rPr>
          <w:color w:val="000000"/>
          <w:sz w:val="26"/>
          <w:szCs w:val="26"/>
        </w:rPr>
        <w:t xml:space="preserve"> that</w:t>
      </w:r>
      <w:r w:rsidR="002E42C7">
        <w:rPr>
          <w:color w:val="000000"/>
          <w:sz w:val="26"/>
          <w:szCs w:val="26"/>
        </w:rPr>
        <w:t>, as a result,</w:t>
      </w:r>
      <w:r w:rsidR="005F488D">
        <w:rPr>
          <w:color w:val="000000"/>
          <w:sz w:val="26"/>
          <w:szCs w:val="26"/>
        </w:rPr>
        <w:t xml:space="preserve"> Rider No. 18 is </w:t>
      </w:r>
      <w:r w:rsidR="005F488D" w:rsidRPr="005F488D">
        <w:rPr>
          <w:i/>
          <w:color w:val="000000"/>
          <w:sz w:val="26"/>
          <w:szCs w:val="26"/>
        </w:rPr>
        <w:t>per s</w:t>
      </w:r>
      <w:r w:rsidR="005F488D">
        <w:rPr>
          <w:color w:val="000000"/>
          <w:sz w:val="26"/>
          <w:szCs w:val="26"/>
        </w:rPr>
        <w:t xml:space="preserve">e unjust and unreasonable and should be removed from DLC’s tariff.  </w:t>
      </w:r>
      <w:r w:rsidR="004A584E">
        <w:rPr>
          <w:color w:val="000000"/>
          <w:sz w:val="26"/>
          <w:szCs w:val="26"/>
        </w:rPr>
        <w:t xml:space="preserve">NRG Companies M.B. at 8-11; Tr. at </w:t>
      </w:r>
      <w:r>
        <w:rPr>
          <w:color w:val="000000"/>
          <w:sz w:val="26"/>
          <w:szCs w:val="26"/>
        </w:rPr>
        <w:t xml:space="preserve">237, 238, 245, 250, 251, </w:t>
      </w:r>
      <w:r w:rsidR="004A584E">
        <w:rPr>
          <w:color w:val="000000"/>
          <w:sz w:val="26"/>
          <w:szCs w:val="26"/>
        </w:rPr>
        <w:t>254</w:t>
      </w:r>
      <w:r>
        <w:rPr>
          <w:color w:val="000000"/>
          <w:sz w:val="26"/>
          <w:szCs w:val="26"/>
        </w:rPr>
        <w:t>.</w:t>
      </w:r>
      <w:r w:rsidR="004A584E">
        <w:rPr>
          <w:color w:val="000000"/>
          <w:sz w:val="26"/>
          <w:szCs w:val="26"/>
        </w:rPr>
        <w:t xml:space="preserve"> </w:t>
      </w:r>
      <w:r>
        <w:rPr>
          <w:color w:val="000000"/>
          <w:sz w:val="26"/>
          <w:szCs w:val="26"/>
        </w:rPr>
        <w:t xml:space="preserve"> </w:t>
      </w:r>
      <w:r w:rsidR="005F488D">
        <w:rPr>
          <w:color w:val="000000"/>
          <w:sz w:val="26"/>
          <w:szCs w:val="26"/>
        </w:rPr>
        <w:t>In the alternative, the NRG Companies aver</w:t>
      </w:r>
      <w:r w:rsidR="00701236">
        <w:rPr>
          <w:color w:val="000000"/>
          <w:sz w:val="26"/>
          <w:szCs w:val="26"/>
        </w:rPr>
        <w:t>red</w:t>
      </w:r>
      <w:r w:rsidR="005F488D">
        <w:rPr>
          <w:color w:val="000000"/>
          <w:sz w:val="26"/>
          <w:szCs w:val="26"/>
        </w:rPr>
        <w:t xml:space="preserve"> that the six-cent price </w:t>
      </w:r>
      <w:r w:rsidR="002E42C7">
        <w:rPr>
          <w:color w:val="000000"/>
          <w:sz w:val="26"/>
          <w:szCs w:val="26"/>
        </w:rPr>
        <w:t xml:space="preserve">in Rider No. 18 </w:t>
      </w:r>
      <w:r w:rsidR="005F488D">
        <w:rPr>
          <w:color w:val="000000"/>
          <w:sz w:val="26"/>
          <w:szCs w:val="26"/>
        </w:rPr>
        <w:t xml:space="preserve">should be revised to reflect the current competitive market for electricity and DLC’s costs of purchasing the power in the market. </w:t>
      </w:r>
      <w:r w:rsidR="001846D9">
        <w:rPr>
          <w:color w:val="000000"/>
          <w:sz w:val="26"/>
          <w:szCs w:val="26"/>
        </w:rPr>
        <w:t xml:space="preserve"> NRG Companies M.B. at 11-12; Tr. at 237, 238</w:t>
      </w:r>
      <w:r w:rsidR="002A1096">
        <w:rPr>
          <w:color w:val="000000"/>
          <w:sz w:val="26"/>
          <w:szCs w:val="26"/>
        </w:rPr>
        <w:t xml:space="preserve">, 290.  </w:t>
      </w:r>
    </w:p>
    <w:p w:rsidR="00C67652" w:rsidRDefault="00C67652" w:rsidP="00804F70">
      <w:pPr>
        <w:adjustRightInd w:val="0"/>
        <w:rPr>
          <w:color w:val="000000"/>
          <w:sz w:val="26"/>
          <w:szCs w:val="26"/>
        </w:rPr>
      </w:pPr>
    </w:p>
    <w:p w:rsidR="00207C51" w:rsidRDefault="00701236" w:rsidP="00804F70">
      <w:pPr>
        <w:adjustRightInd w:val="0"/>
        <w:rPr>
          <w:color w:val="000000"/>
          <w:sz w:val="26"/>
          <w:szCs w:val="26"/>
        </w:rPr>
      </w:pPr>
      <w:r>
        <w:rPr>
          <w:color w:val="000000"/>
          <w:sz w:val="26"/>
          <w:szCs w:val="26"/>
        </w:rPr>
        <w:t>In turn, DLC asserted that the NRG Companies failed to meet their burden o</w:t>
      </w:r>
      <w:r w:rsidR="009801D9">
        <w:rPr>
          <w:color w:val="000000"/>
          <w:sz w:val="26"/>
          <w:szCs w:val="26"/>
        </w:rPr>
        <w:t>f</w:t>
      </w:r>
      <w:r>
        <w:rPr>
          <w:color w:val="000000"/>
          <w:sz w:val="26"/>
          <w:szCs w:val="26"/>
        </w:rPr>
        <w:t xml:space="preserve"> proving that Rider No. 18 is unjust or unreasonable.</w:t>
      </w:r>
      <w:r w:rsidR="00366CB8">
        <w:rPr>
          <w:color w:val="000000"/>
          <w:sz w:val="26"/>
          <w:szCs w:val="26"/>
        </w:rPr>
        <w:t xml:space="preserve">  DLC argue</w:t>
      </w:r>
      <w:r w:rsidR="00F85C87">
        <w:rPr>
          <w:color w:val="000000"/>
          <w:sz w:val="26"/>
          <w:szCs w:val="26"/>
        </w:rPr>
        <w:t>d</w:t>
      </w:r>
      <w:r w:rsidR="00366CB8">
        <w:rPr>
          <w:color w:val="000000"/>
          <w:sz w:val="26"/>
          <w:szCs w:val="26"/>
        </w:rPr>
        <w:t xml:space="preserve"> that its obligation to purchase power from qualifying facilities under federal law cannot be preempted by state </w:t>
      </w:r>
      <w:r w:rsidR="00366CB8">
        <w:rPr>
          <w:color w:val="000000"/>
          <w:sz w:val="26"/>
          <w:szCs w:val="26"/>
        </w:rPr>
        <w:lastRenderedPageBreak/>
        <w:t xml:space="preserve">law or regulation; </w:t>
      </w:r>
      <w:r w:rsidR="00D3306D">
        <w:rPr>
          <w:color w:val="000000"/>
          <w:sz w:val="26"/>
          <w:szCs w:val="26"/>
        </w:rPr>
        <w:t xml:space="preserve">that </w:t>
      </w:r>
      <w:r w:rsidR="00366CB8">
        <w:rPr>
          <w:color w:val="000000"/>
          <w:sz w:val="26"/>
          <w:szCs w:val="26"/>
        </w:rPr>
        <w:t xml:space="preserve">the NRG Companies have failed to demonstrate that Rider No. 18 is outdated; and </w:t>
      </w:r>
      <w:r w:rsidR="00D3306D">
        <w:rPr>
          <w:color w:val="000000"/>
          <w:sz w:val="26"/>
          <w:szCs w:val="26"/>
        </w:rPr>
        <w:t xml:space="preserve">that </w:t>
      </w:r>
      <w:r w:rsidR="00366CB8">
        <w:rPr>
          <w:color w:val="000000"/>
          <w:sz w:val="26"/>
          <w:szCs w:val="26"/>
        </w:rPr>
        <w:t xml:space="preserve">the NRG Companies’ citation to current spot market prices does not support their position.  </w:t>
      </w:r>
      <w:r w:rsidR="00E63868">
        <w:rPr>
          <w:color w:val="000000"/>
          <w:sz w:val="26"/>
          <w:szCs w:val="26"/>
        </w:rPr>
        <w:t xml:space="preserve">DLC M.B. at 53-62; Tr. at 240-242, 322-328, 380-381; DLC St. 12-R at 23-24.  </w:t>
      </w:r>
      <w:r w:rsidR="00F85C87">
        <w:rPr>
          <w:color w:val="000000"/>
          <w:sz w:val="26"/>
          <w:szCs w:val="26"/>
        </w:rPr>
        <w:t>DLC averred that it demonstrated, based on its recent history of the costs to acquire default service supply, that the six cents per kilowatt-hour rate in Rider No. 18 is within the range of reasonable rates paid by DLC to purchase power to provide default service.  DLC M.B. at 64; Tr. at 237- 238, 240-242.</w:t>
      </w:r>
      <w:r w:rsidR="00C67652">
        <w:rPr>
          <w:color w:val="000000"/>
          <w:sz w:val="26"/>
          <w:szCs w:val="26"/>
        </w:rPr>
        <w:t xml:space="preserve">  Likewise, based on the evidence as a whole, BFMA contend</w:t>
      </w:r>
      <w:r w:rsidR="00D3306D">
        <w:rPr>
          <w:color w:val="000000"/>
          <w:sz w:val="26"/>
          <w:szCs w:val="26"/>
        </w:rPr>
        <w:t>ed</w:t>
      </w:r>
      <w:r w:rsidR="00C67652">
        <w:rPr>
          <w:color w:val="000000"/>
          <w:sz w:val="26"/>
          <w:szCs w:val="26"/>
        </w:rPr>
        <w:t xml:space="preserve"> that the NRG Companies failed to demonstrate that the price established in Rider No. 18 for DLC’s purchases of QF power should be modified.  BFMA M.B. at 21-31.  </w:t>
      </w:r>
    </w:p>
    <w:p w:rsidR="00207C51" w:rsidRDefault="00207C51" w:rsidP="00804F70">
      <w:pPr>
        <w:adjustRightInd w:val="0"/>
        <w:rPr>
          <w:color w:val="000000"/>
          <w:sz w:val="26"/>
          <w:szCs w:val="26"/>
        </w:rPr>
      </w:pPr>
    </w:p>
    <w:p w:rsidR="00AC6FFE" w:rsidRDefault="0076484B" w:rsidP="00AC6FFE">
      <w:pPr>
        <w:adjustRightInd w:val="0"/>
        <w:rPr>
          <w:color w:val="000000"/>
          <w:sz w:val="26"/>
          <w:szCs w:val="26"/>
        </w:rPr>
      </w:pPr>
      <w:r>
        <w:rPr>
          <w:color w:val="000000"/>
          <w:sz w:val="26"/>
          <w:szCs w:val="26"/>
        </w:rPr>
        <w:t xml:space="preserve">Given the advanced procedural stage of this case, we find no compelling reason to preempt the normal review process prior to the ALJ rendering his decision in this proceeding.  </w:t>
      </w:r>
      <w:r w:rsidR="00AC6FFE">
        <w:rPr>
          <w:sz w:val="26"/>
        </w:rPr>
        <w:t xml:space="preserve">Based on our review of the instant Petition, the Briefs in Support and in Opposition thereto, and the record that has been developed in this proceeding, we shall decline to answer the Material Questions presented by DLC.  </w:t>
      </w:r>
    </w:p>
    <w:p w:rsidR="00885BDA" w:rsidRDefault="00CB41EC" w:rsidP="00885BDA">
      <w:pPr>
        <w:adjustRightInd w:val="0"/>
        <w:rPr>
          <w:sz w:val="26"/>
        </w:rPr>
      </w:pPr>
      <w:r>
        <w:rPr>
          <w:color w:val="000000"/>
          <w:sz w:val="26"/>
          <w:szCs w:val="26"/>
        </w:rPr>
        <w:t xml:space="preserve"> </w:t>
      </w:r>
    </w:p>
    <w:p w:rsidR="00AA4577" w:rsidRPr="0097174A" w:rsidRDefault="00AA4577" w:rsidP="006D4F02">
      <w:pPr>
        <w:ind w:firstLine="0"/>
        <w:jc w:val="center"/>
        <w:rPr>
          <w:b/>
          <w:sz w:val="26"/>
        </w:rPr>
      </w:pPr>
      <w:r w:rsidRPr="0097174A">
        <w:rPr>
          <w:b/>
          <w:sz w:val="26"/>
        </w:rPr>
        <w:t>Conclusion</w:t>
      </w:r>
    </w:p>
    <w:p w:rsidR="00130D9D" w:rsidRPr="0097174A" w:rsidRDefault="00130D9D" w:rsidP="00E55BE9">
      <w:pPr>
        <w:keepNext/>
        <w:ind w:firstLine="0"/>
        <w:jc w:val="center"/>
        <w:rPr>
          <w:sz w:val="26"/>
          <w:szCs w:val="26"/>
        </w:rPr>
      </w:pPr>
    </w:p>
    <w:p w:rsidR="00AA4577" w:rsidRPr="003C56D5" w:rsidRDefault="004414EE" w:rsidP="00AA4577">
      <w:pPr>
        <w:rPr>
          <w:sz w:val="26"/>
          <w:szCs w:val="26"/>
        </w:rPr>
      </w:pPr>
      <w:r>
        <w:rPr>
          <w:sz w:val="26"/>
        </w:rPr>
        <w:t>Based on our review of the instant Petition, the Briefs in Support and in Opposition thereto, and the record, we shall decline to answer the Material Questions</w:t>
      </w:r>
      <w:r w:rsidR="00AA4577" w:rsidRPr="003C56D5">
        <w:rPr>
          <w:sz w:val="26"/>
          <w:szCs w:val="26"/>
        </w:rPr>
        <w:t xml:space="preserve">; </w:t>
      </w:r>
      <w:r w:rsidR="00AA4577" w:rsidRPr="003C56D5">
        <w:rPr>
          <w:b/>
          <w:sz w:val="26"/>
          <w:szCs w:val="26"/>
        </w:rPr>
        <w:t>THEREFORE,</w:t>
      </w:r>
    </w:p>
    <w:p w:rsidR="00F7112B" w:rsidRDefault="00F7112B">
      <w:pPr>
        <w:spacing w:line="240" w:lineRule="auto"/>
        <w:ind w:firstLine="0"/>
        <w:rPr>
          <w:sz w:val="26"/>
        </w:rPr>
      </w:pPr>
    </w:p>
    <w:p w:rsidR="00AA4577" w:rsidRPr="00A530FB" w:rsidRDefault="00DD62E9" w:rsidP="00114E0D">
      <w:pPr>
        <w:ind w:firstLine="0"/>
        <w:outlineLvl w:val="0"/>
        <w:rPr>
          <w:sz w:val="26"/>
        </w:rPr>
      </w:pPr>
      <w:r>
        <w:rPr>
          <w:b/>
          <w:sz w:val="26"/>
        </w:rPr>
        <w:tab/>
      </w:r>
      <w:r>
        <w:rPr>
          <w:b/>
          <w:sz w:val="26"/>
        </w:rPr>
        <w:tab/>
      </w:r>
      <w:r w:rsidR="00AA4577">
        <w:rPr>
          <w:b/>
          <w:sz w:val="26"/>
        </w:rPr>
        <w:t>IT IS ORDERED:</w:t>
      </w:r>
    </w:p>
    <w:p w:rsidR="00AA4577" w:rsidRPr="00A530FB" w:rsidRDefault="00AA4577" w:rsidP="00AA4577">
      <w:pPr>
        <w:rPr>
          <w:sz w:val="26"/>
        </w:rPr>
      </w:pPr>
    </w:p>
    <w:p w:rsidR="00C16547" w:rsidRPr="00CB496D" w:rsidRDefault="00B23F88" w:rsidP="00CB496D">
      <w:pPr>
        <w:pStyle w:val="ListParagraph"/>
        <w:numPr>
          <w:ilvl w:val="0"/>
          <w:numId w:val="13"/>
        </w:numPr>
        <w:ind w:left="0" w:firstLine="1440"/>
        <w:rPr>
          <w:sz w:val="26"/>
        </w:rPr>
      </w:pPr>
      <w:r w:rsidRPr="00CB496D">
        <w:rPr>
          <w:sz w:val="26"/>
        </w:rPr>
        <w:t xml:space="preserve">That, with regard to the </w:t>
      </w:r>
      <w:r w:rsidR="00E314BA" w:rsidRPr="00CB496D">
        <w:rPr>
          <w:sz w:val="26"/>
        </w:rPr>
        <w:t>Petition for Inte</w:t>
      </w:r>
      <w:r w:rsidR="00B6333B" w:rsidRPr="00CB496D">
        <w:rPr>
          <w:sz w:val="26"/>
        </w:rPr>
        <w:t xml:space="preserve">rlocutory Review and Answer to </w:t>
      </w:r>
      <w:r w:rsidR="00E314BA" w:rsidRPr="00CB496D">
        <w:rPr>
          <w:sz w:val="26"/>
        </w:rPr>
        <w:t xml:space="preserve">Material Questions, filed by Duquesne Light Company on December 13, 2013, </w:t>
      </w:r>
      <w:r w:rsidR="0031368C" w:rsidRPr="00CB496D">
        <w:rPr>
          <w:sz w:val="26"/>
        </w:rPr>
        <w:t xml:space="preserve">we </w:t>
      </w:r>
      <w:r w:rsidR="004F4934" w:rsidRPr="00CB496D">
        <w:rPr>
          <w:sz w:val="26"/>
        </w:rPr>
        <w:t>decline to answer</w:t>
      </w:r>
      <w:r w:rsidR="003424AD" w:rsidRPr="00CB496D">
        <w:rPr>
          <w:sz w:val="26"/>
        </w:rPr>
        <w:t xml:space="preserve"> the following Material Question</w:t>
      </w:r>
      <w:r w:rsidR="00E314BA" w:rsidRPr="00CB496D">
        <w:rPr>
          <w:sz w:val="26"/>
        </w:rPr>
        <w:t>s</w:t>
      </w:r>
      <w:r w:rsidR="003424AD" w:rsidRPr="00CB496D">
        <w:rPr>
          <w:sz w:val="26"/>
        </w:rPr>
        <w:t>:</w:t>
      </w:r>
    </w:p>
    <w:p w:rsidR="004C57A8" w:rsidRDefault="004C57A8" w:rsidP="00CA1713">
      <w:pPr>
        <w:adjustRightInd w:val="0"/>
        <w:spacing w:line="240" w:lineRule="auto"/>
        <w:ind w:left="1440" w:right="1440" w:firstLine="0"/>
        <w:rPr>
          <w:color w:val="000000"/>
          <w:sz w:val="26"/>
          <w:szCs w:val="26"/>
        </w:rPr>
      </w:pPr>
    </w:p>
    <w:p w:rsidR="00CA1713" w:rsidRDefault="00CA1713" w:rsidP="00CA1713">
      <w:pPr>
        <w:adjustRightInd w:val="0"/>
        <w:spacing w:line="240" w:lineRule="auto"/>
        <w:ind w:left="1440" w:right="1440" w:firstLine="0"/>
        <w:rPr>
          <w:color w:val="000000"/>
          <w:sz w:val="26"/>
          <w:szCs w:val="26"/>
        </w:rPr>
      </w:pPr>
      <w:r>
        <w:rPr>
          <w:color w:val="000000"/>
          <w:sz w:val="26"/>
          <w:szCs w:val="26"/>
        </w:rPr>
        <w:lastRenderedPageBreak/>
        <w:t xml:space="preserve">(1)  Whether </w:t>
      </w:r>
      <w:r w:rsidR="004C57A8">
        <w:rPr>
          <w:color w:val="000000"/>
          <w:sz w:val="26"/>
          <w:szCs w:val="26"/>
        </w:rPr>
        <w:t xml:space="preserve">[the] NRG [Companies’] Complaint must be dismissed for failure to join the affected QFs as necessary and indispensable parties; </w:t>
      </w:r>
      <w:r w:rsidR="001D4045">
        <w:rPr>
          <w:color w:val="000000"/>
          <w:sz w:val="26"/>
          <w:szCs w:val="26"/>
        </w:rPr>
        <w:t>and</w:t>
      </w:r>
    </w:p>
    <w:p w:rsidR="00CA1713" w:rsidRDefault="00CA1713" w:rsidP="00CA1713">
      <w:pPr>
        <w:adjustRightInd w:val="0"/>
        <w:spacing w:line="240" w:lineRule="auto"/>
        <w:ind w:left="1440" w:right="1440" w:firstLine="0"/>
        <w:rPr>
          <w:color w:val="000000"/>
          <w:sz w:val="26"/>
          <w:szCs w:val="26"/>
        </w:rPr>
      </w:pPr>
    </w:p>
    <w:p w:rsidR="00CA1713" w:rsidRDefault="00CA1713" w:rsidP="00CA1713">
      <w:pPr>
        <w:adjustRightInd w:val="0"/>
        <w:spacing w:line="240" w:lineRule="auto"/>
        <w:ind w:left="1440" w:right="1440" w:firstLine="0"/>
        <w:rPr>
          <w:color w:val="000000"/>
          <w:sz w:val="26"/>
          <w:szCs w:val="26"/>
        </w:rPr>
      </w:pPr>
      <w:r>
        <w:rPr>
          <w:color w:val="000000"/>
          <w:sz w:val="26"/>
          <w:szCs w:val="26"/>
        </w:rPr>
        <w:t xml:space="preserve">(2)  Whether the PUC lacks authority to change the wholesale PURPA rate set forth in Rider No. 18? </w:t>
      </w:r>
    </w:p>
    <w:p w:rsidR="00CB496D" w:rsidRDefault="00CB496D" w:rsidP="009279E4">
      <w:pPr>
        <w:rPr>
          <w:sz w:val="26"/>
        </w:rPr>
      </w:pPr>
    </w:p>
    <w:p w:rsidR="00CB496D" w:rsidRPr="00CB496D" w:rsidRDefault="00CB496D" w:rsidP="00CB496D">
      <w:pPr>
        <w:pStyle w:val="ListParagraph"/>
        <w:numPr>
          <w:ilvl w:val="0"/>
          <w:numId w:val="13"/>
        </w:numPr>
        <w:ind w:left="0" w:firstLine="1440"/>
        <w:rPr>
          <w:sz w:val="26"/>
        </w:rPr>
      </w:pPr>
      <w:r>
        <w:rPr>
          <w:sz w:val="26"/>
        </w:rPr>
        <w:t>That this matter is returned to the Office of Administrative Law Judge.</w:t>
      </w:r>
    </w:p>
    <w:p w:rsidR="00D2389F" w:rsidRDefault="00B322BA" w:rsidP="00C16547">
      <w:pPr>
        <w:rPr>
          <w:sz w:val="26"/>
          <w:szCs w:val="26"/>
        </w:rPr>
      </w:pPr>
      <w:bookmarkStart w:id="0" w:name="_GoBack"/>
      <w:r>
        <w:rPr>
          <w:noProof/>
        </w:rPr>
        <w:drawing>
          <wp:anchor distT="0" distB="0" distL="114300" distR="114300" simplePos="0" relativeHeight="251659264" behindDoc="1" locked="0" layoutInCell="1" allowOverlap="1" wp14:anchorId="140C88B1" wp14:editId="3FE4BC4D">
            <wp:simplePos x="0" y="0"/>
            <wp:positionH relativeFrom="column">
              <wp:posOffset>2821940</wp:posOffset>
            </wp:positionH>
            <wp:positionV relativeFrom="paragraph">
              <wp:posOffset>259080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078DF">
        <w:rPr>
          <w:sz w:val="26"/>
          <w:szCs w:val="26"/>
        </w:rPr>
        <w:tab/>
      </w:r>
      <w:r w:rsidR="009078DF">
        <w:rPr>
          <w:sz w:val="26"/>
          <w:szCs w:val="26"/>
        </w:rPr>
        <w:tab/>
      </w:r>
      <w:r w:rsidR="009078DF">
        <w:rPr>
          <w:sz w:val="26"/>
          <w:szCs w:val="26"/>
        </w:rPr>
        <w:tab/>
      </w:r>
      <w:r w:rsidR="009078DF">
        <w:rPr>
          <w:sz w:val="26"/>
          <w:szCs w:val="26"/>
        </w:rPr>
        <w:tab/>
      </w:r>
      <w:r w:rsidR="009078DF">
        <w:rPr>
          <w:sz w:val="26"/>
          <w:szCs w:val="26"/>
        </w:rPr>
        <w:tab/>
      </w:r>
    </w:p>
    <w:p w:rsidR="00C16547" w:rsidRDefault="009078DF" w:rsidP="00D2389F">
      <w:pPr>
        <w:ind w:left="3600"/>
        <w:rPr>
          <w:b/>
          <w:sz w:val="26"/>
          <w:szCs w:val="26"/>
        </w:rPr>
      </w:pPr>
      <w:r>
        <w:rPr>
          <w:b/>
          <w:sz w:val="26"/>
          <w:szCs w:val="26"/>
        </w:rPr>
        <w:t>BY THE C</w:t>
      </w:r>
      <w:r w:rsidR="00C16547">
        <w:rPr>
          <w:b/>
          <w:sz w:val="26"/>
          <w:szCs w:val="26"/>
        </w:rPr>
        <w:t>OMMISSIO</w:t>
      </w:r>
      <w:r w:rsidR="00160408">
        <w:rPr>
          <w:b/>
          <w:sz w:val="26"/>
          <w:szCs w:val="26"/>
        </w:rPr>
        <w:t>N</w:t>
      </w:r>
    </w:p>
    <w:p w:rsidR="00C16547" w:rsidRDefault="00C16547" w:rsidP="00357AD2">
      <w:pPr>
        <w:ind w:firstLine="0"/>
        <w:rPr>
          <w:sz w:val="26"/>
          <w:szCs w:val="26"/>
        </w:rPr>
      </w:pPr>
    </w:p>
    <w:p w:rsidR="00D2389F" w:rsidRDefault="00D2389F"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9078DF" w:rsidRDefault="009078DF" w:rsidP="00B16D02">
      <w:pPr>
        <w:widowControl w:val="0"/>
        <w:spacing w:line="240" w:lineRule="auto"/>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9078DF" w:rsidRDefault="00E46816" w:rsidP="00B16D02">
      <w:pPr>
        <w:widowControl w:val="0"/>
        <w:spacing w:line="240" w:lineRule="auto"/>
        <w:ind w:firstLine="0"/>
        <w:rPr>
          <w:sz w:val="26"/>
          <w:szCs w:val="26"/>
        </w:rPr>
      </w:pPr>
      <w:r>
        <w:rPr>
          <w:sz w:val="26"/>
          <w:szCs w:val="26"/>
        </w:rPr>
        <w:t xml:space="preserve">ORDER ADOPTED:  </w:t>
      </w:r>
      <w:r w:rsidR="00C81B09">
        <w:rPr>
          <w:sz w:val="26"/>
          <w:szCs w:val="26"/>
        </w:rPr>
        <w:t>February 6, 2014</w:t>
      </w:r>
    </w:p>
    <w:p w:rsidR="00DD62E9" w:rsidRDefault="00DD62E9"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 xml:space="preserve">ORDER ENTERED:  </w:t>
      </w:r>
      <w:r w:rsidR="00B322BA">
        <w:rPr>
          <w:sz w:val="26"/>
          <w:szCs w:val="26"/>
        </w:rPr>
        <w:t>February 6, 2014</w:t>
      </w:r>
    </w:p>
    <w:p w:rsidR="00B322BA" w:rsidRDefault="00B322BA" w:rsidP="00B16D02">
      <w:pPr>
        <w:widowControl w:val="0"/>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11" w:rsidRDefault="00AF2211">
      <w:r>
        <w:separator/>
      </w:r>
    </w:p>
  </w:endnote>
  <w:endnote w:type="continuationSeparator" w:id="0">
    <w:p w:rsidR="00AF2211" w:rsidRDefault="00AF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DF" w:rsidRDefault="008D64BD">
    <w:pPr>
      <w:pStyle w:val="Footer"/>
      <w:framePr w:wrap="around" w:vAnchor="text" w:hAnchor="margin" w:xAlign="center" w:y="1"/>
      <w:rPr>
        <w:rStyle w:val="PageNumber"/>
      </w:rPr>
    </w:pPr>
    <w:r>
      <w:rPr>
        <w:rStyle w:val="PageNumber"/>
      </w:rPr>
      <w:fldChar w:fldCharType="begin"/>
    </w:r>
    <w:r w:rsidR="009078DF">
      <w:rPr>
        <w:rStyle w:val="PageNumber"/>
      </w:rPr>
      <w:instrText xml:space="preserve">PAGE  </w:instrText>
    </w:r>
    <w:r>
      <w:rPr>
        <w:rStyle w:val="PageNumber"/>
      </w:rPr>
      <w:fldChar w:fldCharType="end"/>
    </w:r>
  </w:p>
  <w:p w:rsidR="009078DF" w:rsidRDefault="00907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8DF" w:rsidRDefault="008D64BD" w:rsidP="003E6607">
    <w:pPr>
      <w:pStyle w:val="Footer"/>
      <w:tabs>
        <w:tab w:val="clear" w:pos="4320"/>
        <w:tab w:val="clear" w:pos="8640"/>
      </w:tabs>
      <w:ind w:firstLine="0"/>
      <w:jc w:val="center"/>
      <w:rPr>
        <w:rStyle w:val="PageNumber"/>
      </w:rPr>
    </w:pPr>
    <w:r>
      <w:rPr>
        <w:rStyle w:val="PageNumber"/>
      </w:rPr>
      <w:fldChar w:fldCharType="begin"/>
    </w:r>
    <w:r w:rsidR="009078DF">
      <w:rPr>
        <w:rStyle w:val="PageNumber"/>
      </w:rPr>
      <w:instrText xml:space="preserve">PAGE  </w:instrText>
    </w:r>
    <w:r>
      <w:rPr>
        <w:rStyle w:val="PageNumber"/>
      </w:rPr>
      <w:fldChar w:fldCharType="separate"/>
    </w:r>
    <w:r w:rsidR="00B322BA">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11" w:rsidRDefault="00AF2211">
      <w:r>
        <w:separator/>
      </w:r>
    </w:p>
  </w:footnote>
  <w:footnote w:type="continuationSeparator" w:id="0">
    <w:p w:rsidR="00AF2211" w:rsidRDefault="00AF2211">
      <w:r>
        <w:continuationSeparator/>
      </w:r>
    </w:p>
  </w:footnote>
  <w:footnote w:id="1">
    <w:p w:rsidR="00425BD7" w:rsidRPr="00425BD7" w:rsidRDefault="00425BD7" w:rsidP="00425BD7">
      <w:pPr>
        <w:pStyle w:val="FootnoteText"/>
        <w:spacing w:line="240" w:lineRule="auto"/>
        <w:ind w:firstLine="720"/>
        <w:rPr>
          <w:sz w:val="26"/>
        </w:rPr>
      </w:pPr>
      <w:r w:rsidRPr="00425BD7">
        <w:rPr>
          <w:rStyle w:val="FootnoteReference"/>
          <w:sz w:val="26"/>
        </w:rPr>
        <w:footnoteRef/>
      </w:r>
      <w:r w:rsidRPr="00425BD7">
        <w:rPr>
          <w:sz w:val="26"/>
        </w:rPr>
        <w:t xml:space="preserve"> </w:t>
      </w:r>
      <w:r w:rsidRPr="00425BD7">
        <w:rPr>
          <w:sz w:val="26"/>
        </w:rPr>
        <w:tab/>
      </w:r>
      <w:r>
        <w:rPr>
          <w:sz w:val="26"/>
        </w:rPr>
        <w:t xml:space="preserve">The NRG Companies include </w:t>
      </w:r>
      <w:r w:rsidRPr="00425BD7">
        <w:rPr>
          <w:color w:val="000000"/>
          <w:sz w:val="26"/>
          <w:szCs w:val="26"/>
        </w:rPr>
        <w:t>NRG Power Midwest LP</w:t>
      </w:r>
      <w:r w:rsidR="00CE658B">
        <w:rPr>
          <w:color w:val="000000"/>
          <w:sz w:val="26"/>
          <w:szCs w:val="26"/>
        </w:rPr>
        <w:t xml:space="preserve"> (NRG Midwest)</w:t>
      </w:r>
      <w:r w:rsidRPr="00425BD7">
        <w:rPr>
          <w:color w:val="000000"/>
          <w:sz w:val="26"/>
          <w:szCs w:val="26"/>
        </w:rPr>
        <w:t>, NRG Energy Center Pittsburgh LLC, and Reliant Energy Northeast LLC</w:t>
      </w:r>
      <w:r w:rsidR="00171BE0">
        <w:rPr>
          <w:color w:val="000000"/>
          <w:sz w:val="26"/>
          <w:szCs w:val="26"/>
        </w:rPr>
        <w:t>,</w:t>
      </w:r>
      <w:r>
        <w:rPr>
          <w:color w:val="000000"/>
          <w:sz w:val="26"/>
          <w:szCs w:val="26"/>
        </w:rPr>
        <w:t xml:space="preserve"> and will be referred to collectively herein as</w:t>
      </w:r>
      <w:r w:rsidRPr="00425BD7">
        <w:rPr>
          <w:color w:val="000000"/>
          <w:sz w:val="26"/>
          <w:szCs w:val="26"/>
        </w:rPr>
        <w:t xml:space="preserve"> </w:t>
      </w:r>
      <w:r>
        <w:rPr>
          <w:color w:val="000000"/>
          <w:sz w:val="26"/>
          <w:szCs w:val="26"/>
        </w:rPr>
        <w:t xml:space="preserve">the </w:t>
      </w:r>
      <w:r w:rsidRPr="00425BD7">
        <w:rPr>
          <w:color w:val="000000"/>
          <w:sz w:val="26"/>
          <w:szCs w:val="26"/>
        </w:rPr>
        <w:t>NRG Companies</w:t>
      </w:r>
      <w:r>
        <w:rPr>
          <w:color w:val="000000"/>
          <w:sz w:val="26"/>
          <w:szCs w:val="26"/>
        </w:rPr>
        <w:t xml:space="preserve">. </w:t>
      </w:r>
    </w:p>
  </w:footnote>
  <w:footnote w:id="2">
    <w:p w:rsidR="00F85655" w:rsidRPr="00F85655" w:rsidRDefault="00F85655" w:rsidP="00F85655">
      <w:pPr>
        <w:pStyle w:val="FootnoteText"/>
        <w:spacing w:line="240" w:lineRule="auto"/>
        <w:ind w:firstLine="720"/>
        <w:rPr>
          <w:sz w:val="26"/>
        </w:rPr>
      </w:pPr>
      <w:r w:rsidRPr="00F85655">
        <w:rPr>
          <w:rStyle w:val="FootnoteReference"/>
          <w:sz w:val="26"/>
        </w:rPr>
        <w:footnoteRef/>
      </w:r>
      <w:r w:rsidRPr="00F85655">
        <w:rPr>
          <w:sz w:val="26"/>
        </w:rPr>
        <w:t xml:space="preserve"> </w:t>
      </w:r>
      <w:r w:rsidRPr="00F85655">
        <w:rPr>
          <w:sz w:val="26"/>
        </w:rPr>
        <w:tab/>
      </w:r>
      <w:r>
        <w:rPr>
          <w:sz w:val="26"/>
        </w:rPr>
        <w:t>QFs stands for qualifying facilities.  DLC’s Tariff Rider No. 18</w:t>
      </w:r>
      <w:r w:rsidR="003E053E">
        <w:rPr>
          <w:sz w:val="26"/>
        </w:rPr>
        <w:t xml:space="preserve"> – Rate for Purchase of Electric Energy from Customer-Owned Renewable Resources Generating Facilities (Rider No. 18)</w:t>
      </w:r>
      <w:r>
        <w:rPr>
          <w:sz w:val="26"/>
        </w:rPr>
        <w:t xml:space="preserve"> establishes the rates to be paid for power produced by certain specified categories of QFs under the Public Utility Regulatory Policies Act of 1978 (PURPA), 16 U.S.C. §§ 824, </w:t>
      </w:r>
      <w:r w:rsidRPr="00F85655">
        <w:rPr>
          <w:i/>
          <w:sz w:val="26"/>
        </w:rPr>
        <w:t>et seq</w:t>
      </w:r>
      <w:r>
        <w:rPr>
          <w:sz w:val="26"/>
        </w:rPr>
        <w:t>.</w:t>
      </w:r>
      <w:r w:rsidR="00C96DAA">
        <w:rPr>
          <w:sz w:val="26"/>
        </w:rPr>
        <w:t xml:space="preserve">  DLC St. 12-R at 19. </w:t>
      </w:r>
    </w:p>
  </w:footnote>
  <w:footnote w:id="3">
    <w:p w:rsidR="00906F21" w:rsidRPr="0010176D" w:rsidRDefault="00906F21" w:rsidP="0087545E">
      <w:pPr>
        <w:pStyle w:val="FootnoteText"/>
        <w:spacing w:line="240" w:lineRule="auto"/>
        <w:ind w:firstLine="720"/>
        <w:rPr>
          <w:sz w:val="26"/>
        </w:rPr>
      </w:pPr>
      <w:r w:rsidRPr="00B6333B">
        <w:rPr>
          <w:rStyle w:val="FootnoteReference"/>
          <w:sz w:val="26"/>
          <w:szCs w:val="26"/>
        </w:rPr>
        <w:footnoteRef/>
      </w:r>
      <w:r>
        <w:t xml:space="preserve"> </w:t>
      </w:r>
      <w:r>
        <w:tab/>
      </w:r>
      <w:r w:rsidRPr="00661956">
        <w:rPr>
          <w:sz w:val="26"/>
        </w:rPr>
        <w:t xml:space="preserve">Rider No. 18 provides that the power produced by QFs will be purchased at the “rate of six </w:t>
      </w:r>
      <w:r w:rsidR="00661956" w:rsidRPr="00661956">
        <w:rPr>
          <w:sz w:val="26"/>
        </w:rPr>
        <w:t xml:space="preserve">(6) </w:t>
      </w:r>
      <w:r w:rsidRPr="00661956">
        <w:rPr>
          <w:sz w:val="26"/>
        </w:rPr>
        <w:t>cents per kilo</w:t>
      </w:r>
      <w:r w:rsidR="00661956" w:rsidRPr="00661956">
        <w:rPr>
          <w:sz w:val="26"/>
        </w:rPr>
        <w:t>watt-hour, or at a rate based on the Company’s avoided costs when such costs exceed six (6) cents per kilowatt-hour.”</w:t>
      </w:r>
      <w:r w:rsidR="000719D6">
        <w:rPr>
          <w:sz w:val="26"/>
        </w:rPr>
        <w:t xml:space="preserve">  DLC St. 12-R at 20.  Under the Federal Energy Regulatory Commission (FERC) Regulations implementing PURPA, the electric utility is required to purchase electricity generated by a qualifying facility at the utility’s “avoided cost.”  18 C.F.R. § 292.304(a)(2).  </w:t>
      </w:r>
      <w:r w:rsidR="000719D6" w:rsidRPr="0010176D">
        <w:rPr>
          <w:sz w:val="26"/>
        </w:rPr>
        <w:t xml:space="preserve">“Avoided costs” are </w:t>
      </w:r>
      <w:r w:rsidR="0010176D">
        <w:rPr>
          <w:sz w:val="26"/>
        </w:rPr>
        <w:t>defined as “</w:t>
      </w:r>
      <w:r w:rsidR="0010176D" w:rsidRPr="0010176D">
        <w:rPr>
          <w:sz w:val="26"/>
        </w:rPr>
        <w:t>the incremental costs to an electric utility of electric energy or capacity or both which, but for the purchase from the qualifying facility or qualifying facilities, such utility would generate itself or purchase from another source.</w:t>
      </w:r>
      <w:r w:rsidR="0010176D">
        <w:rPr>
          <w:sz w:val="26"/>
        </w:rPr>
        <w:t xml:space="preserve">”  18 C.F.R. </w:t>
      </w:r>
      <w:r w:rsidR="009D1730">
        <w:rPr>
          <w:sz w:val="26"/>
        </w:rPr>
        <w:br/>
      </w:r>
      <w:r w:rsidR="0010176D">
        <w:rPr>
          <w:sz w:val="26"/>
        </w:rPr>
        <w:t>§ 292.101(b)(6).</w:t>
      </w:r>
      <w:r w:rsidR="00B6333B">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8">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0"/>
  </w:num>
  <w:num w:numId="3">
    <w:abstractNumId w:val="9"/>
  </w:num>
  <w:num w:numId="4">
    <w:abstractNumId w:val="2"/>
  </w:num>
  <w:num w:numId="5">
    <w:abstractNumId w:val="6"/>
  </w:num>
  <w:num w:numId="6">
    <w:abstractNumId w:val="8"/>
  </w:num>
  <w:num w:numId="7">
    <w:abstractNumId w:val="10"/>
  </w:num>
  <w:num w:numId="8">
    <w:abstractNumId w:val="4"/>
  </w:num>
  <w:num w:numId="9">
    <w:abstractNumId w:val="12"/>
  </w:num>
  <w:num w:numId="10">
    <w:abstractNumId w:val="7"/>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4994"/>
    <w:rsid w:val="00006A6C"/>
    <w:rsid w:val="00010C2C"/>
    <w:rsid w:val="000125AB"/>
    <w:rsid w:val="00017985"/>
    <w:rsid w:val="00021836"/>
    <w:rsid w:val="00021EBA"/>
    <w:rsid w:val="00023D23"/>
    <w:rsid w:val="00027CC4"/>
    <w:rsid w:val="00030995"/>
    <w:rsid w:val="00031717"/>
    <w:rsid w:val="000346E4"/>
    <w:rsid w:val="0004057B"/>
    <w:rsid w:val="00043ABA"/>
    <w:rsid w:val="00046C24"/>
    <w:rsid w:val="00046D2C"/>
    <w:rsid w:val="00047550"/>
    <w:rsid w:val="00051048"/>
    <w:rsid w:val="000514BE"/>
    <w:rsid w:val="00053335"/>
    <w:rsid w:val="00053BD5"/>
    <w:rsid w:val="000553E5"/>
    <w:rsid w:val="00057BD9"/>
    <w:rsid w:val="00061F18"/>
    <w:rsid w:val="000635DA"/>
    <w:rsid w:val="000706D0"/>
    <w:rsid w:val="000719D6"/>
    <w:rsid w:val="00083A09"/>
    <w:rsid w:val="0008767C"/>
    <w:rsid w:val="000953EF"/>
    <w:rsid w:val="00097699"/>
    <w:rsid w:val="000A1375"/>
    <w:rsid w:val="000A2658"/>
    <w:rsid w:val="000A297C"/>
    <w:rsid w:val="000A2B83"/>
    <w:rsid w:val="000A777B"/>
    <w:rsid w:val="000B07E6"/>
    <w:rsid w:val="000B3BA4"/>
    <w:rsid w:val="000B3BE9"/>
    <w:rsid w:val="000B4595"/>
    <w:rsid w:val="000B539F"/>
    <w:rsid w:val="000B5E09"/>
    <w:rsid w:val="000C46BF"/>
    <w:rsid w:val="000C5552"/>
    <w:rsid w:val="000C5680"/>
    <w:rsid w:val="000D06A4"/>
    <w:rsid w:val="000D1DA9"/>
    <w:rsid w:val="000D6E5C"/>
    <w:rsid w:val="000D74E8"/>
    <w:rsid w:val="000E0B17"/>
    <w:rsid w:val="000E1F33"/>
    <w:rsid w:val="000E41EC"/>
    <w:rsid w:val="000E4E3B"/>
    <w:rsid w:val="000E5232"/>
    <w:rsid w:val="000E57F9"/>
    <w:rsid w:val="000E694E"/>
    <w:rsid w:val="000E6AC9"/>
    <w:rsid w:val="000E6E5C"/>
    <w:rsid w:val="000F1B49"/>
    <w:rsid w:val="000F5465"/>
    <w:rsid w:val="000F6C0E"/>
    <w:rsid w:val="00100508"/>
    <w:rsid w:val="0010176D"/>
    <w:rsid w:val="00101836"/>
    <w:rsid w:val="00103D94"/>
    <w:rsid w:val="00104D37"/>
    <w:rsid w:val="00105828"/>
    <w:rsid w:val="0010631A"/>
    <w:rsid w:val="00106A2F"/>
    <w:rsid w:val="00106C7F"/>
    <w:rsid w:val="00112AFE"/>
    <w:rsid w:val="00113195"/>
    <w:rsid w:val="00113E36"/>
    <w:rsid w:val="00114294"/>
    <w:rsid w:val="00114E0D"/>
    <w:rsid w:val="00121A5F"/>
    <w:rsid w:val="001221C4"/>
    <w:rsid w:val="001225B2"/>
    <w:rsid w:val="00125613"/>
    <w:rsid w:val="00125F28"/>
    <w:rsid w:val="00127981"/>
    <w:rsid w:val="00130D9D"/>
    <w:rsid w:val="001325C4"/>
    <w:rsid w:val="001365D1"/>
    <w:rsid w:val="0013730E"/>
    <w:rsid w:val="00137A08"/>
    <w:rsid w:val="00142044"/>
    <w:rsid w:val="00145C08"/>
    <w:rsid w:val="00146BCE"/>
    <w:rsid w:val="00150344"/>
    <w:rsid w:val="00155803"/>
    <w:rsid w:val="00160408"/>
    <w:rsid w:val="0016112F"/>
    <w:rsid w:val="00162718"/>
    <w:rsid w:val="00165DFF"/>
    <w:rsid w:val="00166A23"/>
    <w:rsid w:val="001675F1"/>
    <w:rsid w:val="001676D4"/>
    <w:rsid w:val="00167EDF"/>
    <w:rsid w:val="00167F9A"/>
    <w:rsid w:val="00171BE0"/>
    <w:rsid w:val="00171D79"/>
    <w:rsid w:val="00172BD2"/>
    <w:rsid w:val="00183567"/>
    <w:rsid w:val="0018387E"/>
    <w:rsid w:val="001840C2"/>
    <w:rsid w:val="001846D9"/>
    <w:rsid w:val="00190880"/>
    <w:rsid w:val="001913B0"/>
    <w:rsid w:val="00191905"/>
    <w:rsid w:val="00191B52"/>
    <w:rsid w:val="0019210B"/>
    <w:rsid w:val="0019281A"/>
    <w:rsid w:val="0019307C"/>
    <w:rsid w:val="001966BE"/>
    <w:rsid w:val="001A49F5"/>
    <w:rsid w:val="001A6F64"/>
    <w:rsid w:val="001B1607"/>
    <w:rsid w:val="001B1715"/>
    <w:rsid w:val="001B5725"/>
    <w:rsid w:val="001B5DB5"/>
    <w:rsid w:val="001B6A5F"/>
    <w:rsid w:val="001B6F07"/>
    <w:rsid w:val="001C1708"/>
    <w:rsid w:val="001C3CF1"/>
    <w:rsid w:val="001C3D3D"/>
    <w:rsid w:val="001C4774"/>
    <w:rsid w:val="001C5EEE"/>
    <w:rsid w:val="001C6D3F"/>
    <w:rsid w:val="001D4045"/>
    <w:rsid w:val="001D45E0"/>
    <w:rsid w:val="001D49CA"/>
    <w:rsid w:val="001D5B8B"/>
    <w:rsid w:val="001D7E82"/>
    <w:rsid w:val="001E080E"/>
    <w:rsid w:val="001E298E"/>
    <w:rsid w:val="001E2AC0"/>
    <w:rsid w:val="001E5D33"/>
    <w:rsid w:val="001F0C12"/>
    <w:rsid w:val="001F498D"/>
    <w:rsid w:val="001F665F"/>
    <w:rsid w:val="001F72EA"/>
    <w:rsid w:val="001F77AE"/>
    <w:rsid w:val="0020010E"/>
    <w:rsid w:val="002003A6"/>
    <w:rsid w:val="00202E86"/>
    <w:rsid w:val="0020323E"/>
    <w:rsid w:val="00203344"/>
    <w:rsid w:val="0020417A"/>
    <w:rsid w:val="00204CE5"/>
    <w:rsid w:val="002057B2"/>
    <w:rsid w:val="00205B36"/>
    <w:rsid w:val="00207AD5"/>
    <w:rsid w:val="00207B28"/>
    <w:rsid w:val="00207C51"/>
    <w:rsid w:val="00207F5C"/>
    <w:rsid w:val="002102FC"/>
    <w:rsid w:val="00211584"/>
    <w:rsid w:val="00211DEB"/>
    <w:rsid w:val="002139E1"/>
    <w:rsid w:val="00214E7F"/>
    <w:rsid w:val="002210A7"/>
    <w:rsid w:val="002219F9"/>
    <w:rsid w:val="00221E58"/>
    <w:rsid w:val="002261D9"/>
    <w:rsid w:val="002373CD"/>
    <w:rsid w:val="002402BB"/>
    <w:rsid w:val="00240C64"/>
    <w:rsid w:val="00243E20"/>
    <w:rsid w:val="00245415"/>
    <w:rsid w:val="00247293"/>
    <w:rsid w:val="00251BC5"/>
    <w:rsid w:val="0025559B"/>
    <w:rsid w:val="00260520"/>
    <w:rsid w:val="0026062F"/>
    <w:rsid w:val="00261E8E"/>
    <w:rsid w:val="0026237F"/>
    <w:rsid w:val="0026420B"/>
    <w:rsid w:val="002644B5"/>
    <w:rsid w:val="002648FA"/>
    <w:rsid w:val="002707C9"/>
    <w:rsid w:val="00272E98"/>
    <w:rsid w:val="00272F18"/>
    <w:rsid w:val="00273A7B"/>
    <w:rsid w:val="00274BAD"/>
    <w:rsid w:val="00274E87"/>
    <w:rsid w:val="0027558B"/>
    <w:rsid w:val="00276496"/>
    <w:rsid w:val="00280A6D"/>
    <w:rsid w:val="0028270A"/>
    <w:rsid w:val="00282F9C"/>
    <w:rsid w:val="00295B19"/>
    <w:rsid w:val="00296112"/>
    <w:rsid w:val="00297DA2"/>
    <w:rsid w:val="002A1096"/>
    <w:rsid w:val="002A1CB7"/>
    <w:rsid w:val="002A3231"/>
    <w:rsid w:val="002A4B28"/>
    <w:rsid w:val="002A56D1"/>
    <w:rsid w:val="002B1A85"/>
    <w:rsid w:val="002B25FC"/>
    <w:rsid w:val="002C24F1"/>
    <w:rsid w:val="002C2FF6"/>
    <w:rsid w:val="002C4D48"/>
    <w:rsid w:val="002C5763"/>
    <w:rsid w:val="002C7171"/>
    <w:rsid w:val="002C7EE6"/>
    <w:rsid w:val="002D11A4"/>
    <w:rsid w:val="002D1455"/>
    <w:rsid w:val="002D4137"/>
    <w:rsid w:val="002E0502"/>
    <w:rsid w:val="002E0B0E"/>
    <w:rsid w:val="002E0E5D"/>
    <w:rsid w:val="002E1082"/>
    <w:rsid w:val="002E126F"/>
    <w:rsid w:val="002E151E"/>
    <w:rsid w:val="002E29ED"/>
    <w:rsid w:val="002E2CD7"/>
    <w:rsid w:val="002E42C7"/>
    <w:rsid w:val="002E64DA"/>
    <w:rsid w:val="002F38A3"/>
    <w:rsid w:val="002F4467"/>
    <w:rsid w:val="002F7498"/>
    <w:rsid w:val="00301491"/>
    <w:rsid w:val="00303A18"/>
    <w:rsid w:val="00310038"/>
    <w:rsid w:val="00311E8F"/>
    <w:rsid w:val="00312827"/>
    <w:rsid w:val="0031368C"/>
    <w:rsid w:val="003137A0"/>
    <w:rsid w:val="00315A37"/>
    <w:rsid w:val="003170E5"/>
    <w:rsid w:val="003170EA"/>
    <w:rsid w:val="003177EF"/>
    <w:rsid w:val="00320F56"/>
    <w:rsid w:val="003232D0"/>
    <w:rsid w:val="00325F1C"/>
    <w:rsid w:val="00333CF8"/>
    <w:rsid w:val="00336847"/>
    <w:rsid w:val="00340E2E"/>
    <w:rsid w:val="003411F8"/>
    <w:rsid w:val="003415C5"/>
    <w:rsid w:val="003424AD"/>
    <w:rsid w:val="00344C1D"/>
    <w:rsid w:val="00347113"/>
    <w:rsid w:val="0035047A"/>
    <w:rsid w:val="00353461"/>
    <w:rsid w:val="00353F28"/>
    <w:rsid w:val="00357AD2"/>
    <w:rsid w:val="00360991"/>
    <w:rsid w:val="003612A3"/>
    <w:rsid w:val="00361C0F"/>
    <w:rsid w:val="003628E6"/>
    <w:rsid w:val="00363D81"/>
    <w:rsid w:val="00365C3C"/>
    <w:rsid w:val="003665D0"/>
    <w:rsid w:val="00366CB8"/>
    <w:rsid w:val="00370041"/>
    <w:rsid w:val="00371C22"/>
    <w:rsid w:val="0037346D"/>
    <w:rsid w:val="0037370D"/>
    <w:rsid w:val="0037622C"/>
    <w:rsid w:val="00376ACA"/>
    <w:rsid w:val="00377C5F"/>
    <w:rsid w:val="00381FA3"/>
    <w:rsid w:val="003850A7"/>
    <w:rsid w:val="003879A6"/>
    <w:rsid w:val="00390421"/>
    <w:rsid w:val="00392B40"/>
    <w:rsid w:val="0039666C"/>
    <w:rsid w:val="00396E53"/>
    <w:rsid w:val="00396EB0"/>
    <w:rsid w:val="003A235B"/>
    <w:rsid w:val="003A2B1B"/>
    <w:rsid w:val="003A31A3"/>
    <w:rsid w:val="003A5BDE"/>
    <w:rsid w:val="003A6583"/>
    <w:rsid w:val="003A6686"/>
    <w:rsid w:val="003A6801"/>
    <w:rsid w:val="003B055B"/>
    <w:rsid w:val="003B31F2"/>
    <w:rsid w:val="003B48F2"/>
    <w:rsid w:val="003B7D11"/>
    <w:rsid w:val="003C0714"/>
    <w:rsid w:val="003C305C"/>
    <w:rsid w:val="003C4CD1"/>
    <w:rsid w:val="003C56D5"/>
    <w:rsid w:val="003C5B5C"/>
    <w:rsid w:val="003D368A"/>
    <w:rsid w:val="003D4C38"/>
    <w:rsid w:val="003D7DF5"/>
    <w:rsid w:val="003E053E"/>
    <w:rsid w:val="003E1E0F"/>
    <w:rsid w:val="003E6607"/>
    <w:rsid w:val="003E703B"/>
    <w:rsid w:val="003E7C67"/>
    <w:rsid w:val="003F09CD"/>
    <w:rsid w:val="003F2D02"/>
    <w:rsid w:val="003F3BBB"/>
    <w:rsid w:val="003F3E00"/>
    <w:rsid w:val="003F4BFD"/>
    <w:rsid w:val="003F5EC0"/>
    <w:rsid w:val="003F60CC"/>
    <w:rsid w:val="00400D1A"/>
    <w:rsid w:val="004029D4"/>
    <w:rsid w:val="00405429"/>
    <w:rsid w:val="00406602"/>
    <w:rsid w:val="004102C1"/>
    <w:rsid w:val="004118B7"/>
    <w:rsid w:val="00411A40"/>
    <w:rsid w:val="00414978"/>
    <w:rsid w:val="0041665B"/>
    <w:rsid w:val="004166BE"/>
    <w:rsid w:val="00423C60"/>
    <w:rsid w:val="00424783"/>
    <w:rsid w:val="00424DCC"/>
    <w:rsid w:val="00425312"/>
    <w:rsid w:val="00425BD7"/>
    <w:rsid w:val="00426023"/>
    <w:rsid w:val="00426142"/>
    <w:rsid w:val="004261DD"/>
    <w:rsid w:val="00431A02"/>
    <w:rsid w:val="00432195"/>
    <w:rsid w:val="004328A5"/>
    <w:rsid w:val="00433BC6"/>
    <w:rsid w:val="00433DE7"/>
    <w:rsid w:val="00437FB5"/>
    <w:rsid w:val="004407A8"/>
    <w:rsid w:val="00440F85"/>
    <w:rsid w:val="004413F9"/>
    <w:rsid w:val="0044143E"/>
    <w:rsid w:val="004414EE"/>
    <w:rsid w:val="00441B2C"/>
    <w:rsid w:val="00443A4C"/>
    <w:rsid w:val="004467E3"/>
    <w:rsid w:val="00447C51"/>
    <w:rsid w:val="00447C84"/>
    <w:rsid w:val="00451532"/>
    <w:rsid w:val="00454D4C"/>
    <w:rsid w:val="00457249"/>
    <w:rsid w:val="00461070"/>
    <w:rsid w:val="004640E0"/>
    <w:rsid w:val="0046446C"/>
    <w:rsid w:val="004669EE"/>
    <w:rsid w:val="0047112C"/>
    <w:rsid w:val="0047325F"/>
    <w:rsid w:val="00476E5A"/>
    <w:rsid w:val="00476FB3"/>
    <w:rsid w:val="0047795C"/>
    <w:rsid w:val="00480E72"/>
    <w:rsid w:val="0048107C"/>
    <w:rsid w:val="0048439F"/>
    <w:rsid w:val="0048640F"/>
    <w:rsid w:val="004901E9"/>
    <w:rsid w:val="004911E1"/>
    <w:rsid w:val="00492717"/>
    <w:rsid w:val="0049475A"/>
    <w:rsid w:val="00495E2C"/>
    <w:rsid w:val="004966A7"/>
    <w:rsid w:val="00497470"/>
    <w:rsid w:val="004A0C01"/>
    <w:rsid w:val="004A1D20"/>
    <w:rsid w:val="004A2A08"/>
    <w:rsid w:val="004A584E"/>
    <w:rsid w:val="004A7455"/>
    <w:rsid w:val="004B1119"/>
    <w:rsid w:val="004B2DC8"/>
    <w:rsid w:val="004B31C8"/>
    <w:rsid w:val="004B700A"/>
    <w:rsid w:val="004C0816"/>
    <w:rsid w:val="004C119F"/>
    <w:rsid w:val="004C181B"/>
    <w:rsid w:val="004C31BA"/>
    <w:rsid w:val="004C33CF"/>
    <w:rsid w:val="004C57A8"/>
    <w:rsid w:val="004C5ADD"/>
    <w:rsid w:val="004C5CEA"/>
    <w:rsid w:val="004D06C3"/>
    <w:rsid w:val="004D0785"/>
    <w:rsid w:val="004D096F"/>
    <w:rsid w:val="004D0B74"/>
    <w:rsid w:val="004D1344"/>
    <w:rsid w:val="004D459F"/>
    <w:rsid w:val="004D6BFE"/>
    <w:rsid w:val="004E031E"/>
    <w:rsid w:val="004E3CC9"/>
    <w:rsid w:val="004E3FEA"/>
    <w:rsid w:val="004E4310"/>
    <w:rsid w:val="004E477E"/>
    <w:rsid w:val="004E6E76"/>
    <w:rsid w:val="004E781D"/>
    <w:rsid w:val="004F110F"/>
    <w:rsid w:val="004F1C20"/>
    <w:rsid w:val="004F4230"/>
    <w:rsid w:val="004F44DF"/>
    <w:rsid w:val="004F4934"/>
    <w:rsid w:val="004F4AE6"/>
    <w:rsid w:val="004F6C5D"/>
    <w:rsid w:val="0050187B"/>
    <w:rsid w:val="00502423"/>
    <w:rsid w:val="0050257B"/>
    <w:rsid w:val="005028F7"/>
    <w:rsid w:val="005062F9"/>
    <w:rsid w:val="00507065"/>
    <w:rsid w:val="005079DC"/>
    <w:rsid w:val="00507F0F"/>
    <w:rsid w:val="00512E35"/>
    <w:rsid w:val="005168C4"/>
    <w:rsid w:val="005220FB"/>
    <w:rsid w:val="0053223A"/>
    <w:rsid w:val="0053426B"/>
    <w:rsid w:val="005342B1"/>
    <w:rsid w:val="00535343"/>
    <w:rsid w:val="005367FD"/>
    <w:rsid w:val="00540001"/>
    <w:rsid w:val="00541427"/>
    <w:rsid w:val="005420AB"/>
    <w:rsid w:val="0054230B"/>
    <w:rsid w:val="00543589"/>
    <w:rsid w:val="00544BC2"/>
    <w:rsid w:val="00546D51"/>
    <w:rsid w:val="00553B02"/>
    <w:rsid w:val="005557F0"/>
    <w:rsid w:val="00560CE5"/>
    <w:rsid w:val="00561BA3"/>
    <w:rsid w:val="005627A7"/>
    <w:rsid w:val="0056329A"/>
    <w:rsid w:val="005659CE"/>
    <w:rsid w:val="005660DF"/>
    <w:rsid w:val="005724A8"/>
    <w:rsid w:val="00575BF5"/>
    <w:rsid w:val="005769E2"/>
    <w:rsid w:val="005808CA"/>
    <w:rsid w:val="00580F3D"/>
    <w:rsid w:val="00582B84"/>
    <w:rsid w:val="00586D10"/>
    <w:rsid w:val="0059093B"/>
    <w:rsid w:val="005915BF"/>
    <w:rsid w:val="00592753"/>
    <w:rsid w:val="00592A89"/>
    <w:rsid w:val="00595992"/>
    <w:rsid w:val="005A2CC8"/>
    <w:rsid w:val="005A349E"/>
    <w:rsid w:val="005A4537"/>
    <w:rsid w:val="005A6161"/>
    <w:rsid w:val="005B0379"/>
    <w:rsid w:val="005B11F9"/>
    <w:rsid w:val="005B16CC"/>
    <w:rsid w:val="005B17A3"/>
    <w:rsid w:val="005B1AA1"/>
    <w:rsid w:val="005B1D53"/>
    <w:rsid w:val="005B259E"/>
    <w:rsid w:val="005B4235"/>
    <w:rsid w:val="005B4568"/>
    <w:rsid w:val="005B6859"/>
    <w:rsid w:val="005B7081"/>
    <w:rsid w:val="005C2151"/>
    <w:rsid w:val="005C436C"/>
    <w:rsid w:val="005C4415"/>
    <w:rsid w:val="005C614C"/>
    <w:rsid w:val="005C62B4"/>
    <w:rsid w:val="005C6C58"/>
    <w:rsid w:val="005D30F2"/>
    <w:rsid w:val="005D3B5A"/>
    <w:rsid w:val="005D4476"/>
    <w:rsid w:val="005D4D71"/>
    <w:rsid w:val="005D6B9A"/>
    <w:rsid w:val="005E3267"/>
    <w:rsid w:val="005E3C7C"/>
    <w:rsid w:val="005E53B6"/>
    <w:rsid w:val="005E73AB"/>
    <w:rsid w:val="005F1906"/>
    <w:rsid w:val="005F488D"/>
    <w:rsid w:val="005F5A99"/>
    <w:rsid w:val="0060148C"/>
    <w:rsid w:val="00604686"/>
    <w:rsid w:val="00604A3A"/>
    <w:rsid w:val="00605DBD"/>
    <w:rsid w:val="0060754E"/>
    <w:rsid w:val="006111A9"/>
    <w:rsid w:val="00612205"/>
    <w:rsid w:val="00613489"/>
    <w:rsid w:val="00615F9F"/>
    <w:rsid w:val="0061704B"/>
    <w:rsid w:val="006178A2"/>
    <w:rsid w:val="0062289E"/>
    <w:rsid w:val="00624F34"/>
    <w:rsid w:val="006266C0"/>
    <w:rsid w:val="00626CDD"/>
    <w:rsid w:val="00635041"/>
    <w:rsid w:val="0064323B"/>
    <w:rsid w:val="0064355B"/>
    <w:rsid w:val="006477CE"/>
    <w:rsid w:val="0064787F"/>
    <w:rsid w:val="00651633"/>
    <w:rsid w:val="00651C99"/>
    <w:rsid w:val="00652712"/>
    <w:rsid w:val="006533BD"/>
    <w:rsid w:val="00655701"/>
    <w:rsid w:val="00657516"/>
    <w:rsid w:val="00661956"/>
    <w:rsid w:val="006643AC"/>
    <w:rsid w:val="00665584"/>
    <w:rsid w:val="00665BB7"/>
    <w:rsid w:val="00671BE3"/>
    <w:rsid w:val="00671F2C"/>
    <w:rsid w:val="00672118"/>
    <w:rsid w:val="006757D0"/>
    <w:rsid w:val="00675B07"/>
    <w:rsid w:val="00681647"/>
    <w:rsid w:val="0068553C"/>
    <w:rsid w:val="006856DF"/>
    <w:rsid w:val="00685E19"/>
    <w:rsid w:val="00685E47"/>
    <w:rsid w:val="00691400"/>
    <w:rsid w:val="00692097"/>
    <w:rsid w:val="00692E63"/>
    <w:rsid w:val="0069449B"/>
    <w:rsid w:val="00696254"/>
    <w:rsid w:val="00697774"/>
    <w:rsid w:val="006A1AC6"/>
    <w:rsid w:val="006A27AB"/>
    <w:rsid w:val="006A29D9"/>
    <w:rsid w:val="006A371A"/>
    <w:rsid w:val="006A5D77"/>
    <w:rsid w:val="006A6CD9"/>
    <w:rsid w:val="006A6EFC"/>
    <w:rsid w:val="006A7118"/>
    <w:rsid w:val="006A781F"/>
    <w:rsid w:val="006A7CD0"/>
    <w:rsid w:val="006B0B19"/>
    <w:rsid w:val="006B21E0"/>
    <w:rsid w:val="006B4433"/>
    <w:rsid w:val="006B5A53"/>
    <w:rsid w:val="006B5C75"/>
    <w:rsid w:val="006C3338"/>
    <w:rsid w:val="006C486B"/>
    <w:rsid w:val="006C5315"/>
    <w:rsid w:val="006C65D2"/>
    <w:rsid w:val="006C6A2B"/>
    <w:rsid w:val="006C6ACC"/>
    <w:rsid w:val="006C7784"/>
    <w:rsid w:val="006D24EB"/>
    <w:rsid w:val="006D25AC"/>
    <w:rsid w:val="006D4F02"/>
    <w:rsid w:val="006D4F8E"/>
    <w:rsid w:val="006D55F5"/>
    <w:rsid w:val="006D7857"/>
    <w:rsid w:val="006E223A"/>
    <w:rsid w:val="006E2D40"/>
    <w:rsid w:val="006E5257"/>
    <w:rsid w:val="006E6ACB"/>
    <w:rsid w:val="006F2C21"/>
    <w:rsid w:val="006F59A0"/>
    <w:rsid w:val="006F6BD4"/>
    <w:rsid w:val="006F6D21"/>
    <w:rsid w:val="006F7B2E"/>
    <w:rsid w:val="007000C5"/>
    <w:rsid w:val="007007D1"/>
    <w:rsid w:val="00701236"/>
    <w:rsid w:val="007034D8"/>
    <w:rsid w:val="00703687"/>
    <w:rsid w:val="00705322"/>
    <w:rsid w:val="00707A65"/>
    <w:rsid w:val="00710184"/>
    <w:rsid w:val="00710CBE"/>
    <w:rsid w:val="00716039"/>
    <w:rsid w:val="0071626B"/>
    <w:rsid w:val="00716A51"/>
    <w:rsid w:val="00716B28"/>
    <w:rsid w:val="0072105D"/>
    <w:rsid w:val="00726E2C"/>
    <w:rsid w:val="00727D1B"/>
    <w:rsid w:val="00727DEA"/>
    <w:rsid w:val="00730F1E"/>
    <w:rsid w:val="007338C8"/>
    <w:rsid w:val="007343ED"/>
    <w:rsid w:val="00734559"/>
    <w:rsid w:val="00735E96"/>
    <w:rsid w:val="00736427"/>
    <w:rsid w:val="007449FE"/>
    <w:rsid w:val="00745382"/>
    <w:rsid w:val="00745827"/>
    <w:rsid w:val="0075096F"/>
    <w:rsid w:val="00750B01"/>
    <w:rsid w:val="00752625"/>
    <w:rsid w:val="00753DB6"/>
    <w:rsid w:val="007612E5"/>
    <w:rsid w:val="00761A46"/>
    <w:rsid w:val="007622D9"/>
    <w:rsid w:val="0076283B"/>
    <w:rsid w:val="0076289E"/>
    <w:rsid w:val="0076484B"/>
    <w:rsid w:val="00764F1E"/>
    <w:rsid w:val="0076516C"/>
    <w:rsid w:val="0076670B"/>
    <w:rsid w:val="007672D1"/>
    <w:rsid w:val="00771DA8"/>
    <w:rsid w:val="00771F3E"/>
    <w:rsid w:val="007723BD"/>
    <w:rsid w:val="00772CBE"/>
    <w:rsid w:val="00774FE4"/>
    <w:rsid w:val="00776F73"/>
    <w:rsid w:val="00777215"/>
    <w:rsid w:val="00777BA3"/>
    <w:rsid w:val="0078074F"/>
    <w:rsid w:val="0078111B"/>
    <w:rsid w:val="00781464"/>
    <w:rsid w:val="00782E3F"/>
    <w:rsid w:val="00783369"/>
    <w:rsid w:val="00785E15"/>
    <w:rsid w:val="0078602D"/>
    <w:rsid w:val="00795184"/>
    <w:rsid w:val="0079542C"/>
    <w:rsid w:val="00795BBC"/>
    <w:rsid w:val="00795CA6"/>
    <w:rsid w:val="00795EED"/>
    <w:rsid w:val="00796C34"/>
    <w:rsid w:val="007A2854"/>
    <w:rsid w:val="007A49A0"/>
    <w:rsid w:val="007A64CF"/>
    <w:rsid w:val="007A7D86"/>
    <w:rsid w:val="007B31E6"/>
    <w:rsid w:val="007C3F38"/>
    <w:rsid w:val="007C4EBB"/>
    <w:rsid w:val="007C5040"/>
    <w:rsid w:val="007D0186"/>
    <w:rsid w:val="007D1ECB"/>
    <w:rsid w:val="007D368B"/>
    <w:rsid w:val="007D505F"/>
    <w:rsid w:val="007D7505"/>
    <w:rsid w:val="007E0655"/>
    <w:rsid w:val="007E35F9"/>
    <w:rsid w:val="007E36B2"/>
    <w:rsid w:val="007F125C"/>
    <w:rsid w:val="007F2FF5"/>
    <w:rsid w:val="007F37BD"/>
    <w:rsid w:val="007F74F6"/>
    <w:rsid w:val="00802649"/>
    <w:rsid w:val="008038AD"/>
    <w:rsid w:val="00804F70"/>
    <w:rsid w:val="00805351"/>
    <w:rsid w:val="008059B3"/>
    <w:rsid w:val="008059BB"/>
    <w:rsid w:val="0081534F"/>
    <w:rsid w:val="00815512"/>
    <w:rsid w:val="00815EF2"/>
    <w:rsid w:val="008160D0"/>
    <w:rsid w:val="00816BAB"/>
    <w:rsid w:val="00817729"/>
    <w:rsid w:val="00820CB4"/>
    <w:rsid w:val="00823894"/>
    <w:rsid w:val="00823BF9"/>
    <w:rsid w:val="00825116"/>
    <w:rsid w:val="00827387"/>
    <w:rsid w:val="00827990"/>
    <w:rsid w:val="00830A85"/>
    <w:rsid w:val="00830CBD"/>
    <w:rsid w:val="0083346C"/>
    <w:rsid w:val="00834E4A"/>
    <w:rsid w:val="00843DD5"/>
    <w:rsid w:val="00844F62"/>
    <w:rsid w:val="00845224"/>
    <w:rsid w:val="00845B00"/>
    <w:rsid w:val="00845DE1"/>
    <w:rsid w:val="00847697"/>
    <w:rsid w:val="00853297"/>
    <w:rsid w:val="008533A3"/>
    <w:rsid w:val="00853618"/>
    <w:rsid w:val="00856437"/>
    <w:rsid w:val="00860C6F"/>
    <w:rsid w:val="008642CB"/>
    <w:rsid w:val="00865346"/>
    <w:rsid w:val="00865C16"/>
    <w:rsid w:val="0087545E"/>
    <w:rsid w:val="008755F7"/>
    <w:rsid w:val="0087578A"/>
    <w:rsid w:val="00876C95"/>
    <w:rsid w:val="0088287D"/>
    <w:rsid w:val="00883B2E"/>
    <w:rsid w:val="00885BDA"/>
    <w:rsid w:val="0088731C"/>
    <w:rsid w:val="00887F51"/>
    <w:rsid w:val="0089169A"/>
    <w:rsid w:val="00891A21"/>
    <w:rsid w:val="0089527E"/>
    <w:rsid w:val="008957E2"/>
    <w:rsid w:val="008A1099"/>
    <w:rsid w:val="008A2E70"/>
    <w:rsid w:val="008A3C74"/>
    <w:rsid w:val="008A4E7A"/>
    <w:rsid w:val="008A645E"/>
    <w:rsid w:val="008A6FBA"/>
    <w:rsid w:val="008A77EE"/>
    <w:rsid w:val="008B0B77"/>
    <w:rsid w:val="008B1FE2"/>
    <w:rsid w:val="008B7693"/>
    <w:rsid w:val="008C1219"/>
    <w:rsid w:val="008C195B"/>
    <w:rsid w:val="008C22C8"/>
    <w:rsid w:val="008C4DB3"/>
    <w:rsid w:val="008C5167"/>
    <w:rsid w:val="008C5DE4"/>
    <w:rsid w:val="008C79D2"/>
    <w:rsid w:val="008D02CA"/>
    <w:rsid w:val="008D044F"/>
    <w:rsid w:val="008D0636"/>
    <w:rsid w:val="008D41C6"/>
    <w:rsid w:val="008D64BD"/>
    <w:rsid w:val="008E1921"/>
    <w:rsid w:val="008E278B"/>
    <w:rsid w:val="008E2CD8"/>
    <w:rsid w:val="008E2E7E"/>
    <w:rsid w:val="008E484E"/>
    <w:rsid w:val="008E5109"/>
    <w:rsid w:val="008E5C87"/>
    <w:rsid w:val="008E7491"/>
    <w:rsid w:val="008F0C2C"/>
    <w:rsid w:val="008F13CC"/>
    <w:rsid w:val="008F1934"/>
    <w:rsid w:val="008F703C"/>
    <w:rsid w:val="00905DF4"/>
    <w:rsid w:val="00905E8D"/>
    <w:rsid w:val="00906166"/>
    <w:rsid w:val="00906F21"/>
    <w:rsid w:val="009078DF"/>
    <w:rsid w:val="00910BFE"/>
    <w:rsid w:val="00911344"/>
    <w:rsid w:val="00912C73"/>
    <w:rsid w:val="00914759"/>
    <w:rsid w:val="00920AEF"/>
    <w:rsid w:val="00921AF7"/>
    <w:rsid w:val="009227A3"/>
    <w:rsid w:val="009238A9"/>
    <w:rsid w:val="009249C6"/>
    <w:rsid w:val="00925AB0"/>
    <w:rsid w:val="009279E4"/>
    <w:rsid w:val="00934715"/>
    <w:rsid w:val="0093527A"/>
    <w:rsid w:val="009367D6"/>
    <w:rsid w:val="00943505"/>
    <w:rsid w:val="009475CD"/>
    <w:rsid w:val="00950415"/>
    <w:rsid w:val="009506DA"/>
    <w:rsid w:val="00951C09"/>
    <w:rsid w:val="00952156"/>
    <w:rsid w:val="00952A16"/>
    <w:rsid w:val="00953C00"/>
    <w:rsid w:val="00962586"/>
    <w:rsid w:val="009675A1"/>
    <w:rsid w:val="0097143A"/>
    <w:rsid w:val="0097174A"/>
    <w:rsid w:val="00971895"/>
    <w:rsid w:val="0097384B"/>
    <w:rsid w:val="0097769F"/>
    <w:rsid w:val="00977924"/>
    <w:rsid w:val="009801D9"/>
    <w:rsid w:val="009835C6"/>
    <w:rsid w:val="009849B9"/>
    <w:rsid w:val="00990AD5"/>
    <w:rsid w:val="009922A9"/>
    <w:rsid w:val="0099350D"/>
    <w:rsid w:val="00997B01"/>
    <w:rsid w:val="009A0A44"/>
    <w:rsid w:val="009A0C09"/>
    <w:rsid w:val="009A161F"/>
    <w:rsid w:val="009A49A2"/>
    <w:rsid w:val="009A527C"/>
    <w:rsid w:val="009B146D"/>
    <w:rsid w:val="009B2A73"/>
    <w:rsid w:val="009B690E"/>
    <w:rsid w:val="009B6D83"/>
    <w:rsid w:val="009B7A28"/>
    <w:rsid w:val="009C4F6C"/>
    <w:rsid w:val="009C5776"/>
    <w:rsid w:val="009C59C7"/>
    <w:rsid w:val="009D1730"/>
    <w:rsid w:val="009D1B05"/>
    <w:rsid w:val="009D1D01"/>
    <w:rsid w:val="009D2C46"/>
    <w:rsid w:val="009D3999"/>
    <w:rsid w:val="009D569F"/>
    <w:rsid w:val="009D6D4A"/>
    <w:rsid w:val="009E00EC"/>
    <w:rsid w:val="009E1D8D"/>
    <w:rsid w:val="009E20C9"/>
    <w:rsid w:val="009E53BB"/>
    <w:rsid w:val="009F468A"/>
    <w:rsid w:val="009F4955"/>
    <w:rsid w:val="00A03B94"/>
    <w:rsid w:val="00A069A9"/>
    <w:rsid w:val="00A16C10"/>
    <w:rsid w:val="00A179FF"/>
    <w:rsid w:val="00A20377"/>
    <w:rsid w:val="00A20F19"/>
    <w:rsid w:val="00A2264B"/>
    <w:rsid w:val="00A255B5"/>
    <w:rsid w:val="00A26562"/>
    <w:rsid w:val="00A27E16"/>
    <w:rsid w:val="00A3203A"/>
    <w:rsid w:val="00A3690B"/>
    <w:rsid w:val="00A37D57"/>
    <w:rsid w:val="00A40FD9"/>
    <w:rsid w:val="00A413BA"/>
    <w:rsid w:val="00A44E47"/>
    <w:rsid w:val="00A45F91"/>
    <w:rsid w:val="00A467FD"/>
    <w:rsid w:val="00A47463"/>
    <w:rsid w:val="00A53CA0"/>
    <w:rsid w:val="00A54381"/>
    <w:rsid w:val="00A559C6"/>
    <w:rsid w:val="00A568CF"/>
    <w:rsid w:val="00A56C8B"/>
    <w:rsid w:val="00A573B6"/>
    <w:rsid w:val="00A61E47"/>
    <w:rsid w:val="00A624D6"/>
    <w:rsid w:val="00A62B57"/>
    <w:rsid w:val="00A64DF8"/>
    <w:rsid w:val="00A713C7"/>
    <w:rsid w:val="00A716CB"/>
    <w:rsid w:val="00A73F0D"/>
    <w:rsid w:val="00A747D5"/>
    <w:rsid w:val="00A75E07"/>
    <w:rsid w:val="00A81271"/>
    <w:rsid w:val="00A84D13"/>
    <w:rsid w:val="00A84DF8"/>
    <w:rsid w:val="00A860B3"/>
    <w:rsid w:val="00A870CC"/>
    <w:rsid w:val="00A90FAC"/>
    <w:rsid w:val="00A968A2"/>
    <w:rsid w:val="00AA16F8"/>
    <w:rsid w:val="00AA2589"/>
    <w:rsid w:val="00AA343F"/>
    <w:rsid w:val="00AA4577"/>
    <w:rsid w:val="00AA4DB7"/>
    <w:rsid w:val="00AA65CC"/>
    <w:rsid w:val="00AB0C0A"/>
    <w:rsid w:val="00AB4118"/>
    <w:rsid w:val="00AC163A"/>
    <w:rsid w:val="00AC292C"/>
    <w:rsid w:val="00AC3B64"/>
    <w:rsid w:val="00AC6FFE"/>
    <w:rsid w:val="00AC7479"/>
    <w:rsid w:val="00AD4344"/>
    <w:rsid w:val="00AD72F7"/>
    <w:rsid w:val="00AD7DC7"/>
    <w:rsid w:val="00AE1D65"/>
    <w:rsid w:val="00AE2530"/>
    <w:rsid w:val="00AE461B"/>
    <w:rsid w:val="00AE5D6A"/>
    <w:rsid w:val="00AE6E1C"/>
    <w:rsid w:val="00AF12AF"/>
    <w:rsid w:val="00AF12E5"/>
    <w:rsid w:val="00AF2211"/>
    <w:rsid w:val="00AF323B"/>
    <w:rsid w:val="00AF479C"/>
    <w:rsid w:val="00AF5ACF"/>
    <w:rsid w:val="00B010A2"/>
    <w:rsid w:val="00B03879"/>
    <w:rsid w:val="00B03DCC"/>
    <w:rsid w:val="00B0634F"/>
    <w:rsid w:val="00B06C31"/>
    <w:rsid w:val="00B13399"/>
    <w:rsid w:val="00B14533"/>
    <w:rsid w:val="00B147DF"/>
    <w:rsid w:val="00B15275"/>
    <w:rsid w:val="00B16D02"/>
    <w:rsid w:val="00B178D1"/>
    <w:rsid w:val="00B20EEF"/>
    <w:rsid w:val="00B22886"/>
    <w:rsid w:val="00B238A7"/>
    <w:rsid w:val="00B23DA9"/>
    <w:rsid w:val="00B23F88"/>
    <w:rsid w:val="00B25FC1"/>
    <w:rsid w:val="00B30595"/>
    <w:rsid w:val="00B322BA"/>
    <w:rsid w:val="00B35498"/>
    <w:rsid w:val="00B35E4C"/>
    <w:rsid w:val="00B41F8D"/>
    <w:rsid w:val="00B439AE"/>
    <w:rsid w:val="00B43E02"/>
    <w:rsid w:val="00B45448"/>
    <w:rsid w:val="00B45AFE"/>
    <w:rsid w:val="00B46954"/>
    <w:rsid w:val="00B52157"/>
    <w:rsid w:val="00B5329D"/>
    <w:rsid w:val="00B60FB4"/>
    <w:rsid w:val="00B615CD"/>
    <w:rsid w:val="00B62689"/>
    <w:rsid w:val="00B62890"/>
    <w:rsid w:val="00B6333B"/>
    <w:rsid w:val="00B6481E"/>
    <w:rsid w:val="00B7117B"/>
    <w:rsid w:val="00B721AF"/>
    <w:rsid w:val="00B72908"/>
    <w:rsid w:val="00B75592"/>
    <w:rsid w:val="00B75622"/>
    <w:rsid w:val="00B75DCB"/>
    <w:rsid w:val="00B77B51"/>
    <w:rsid w:val="00B81C5F"/>
    <w:rsid w:val="00B823B3"/>
    <w:rsid w:val="00B83502"/>
    <w:rsid w:val="00B83E69"/>
    <w:rsid w:val="00B855CE"/>
    <w:rsid w:val="00B87751"/>
    <w:rsid w:val="00B90A51"/>
    <w:rsid w:val="00B91B88"/>
    <w:rsid w:val="00B92995"/>
    <w:rsid w:val="00B92E64"/>
    <w:rsid w:val="00B92F31"/>
    <w:rsid w:val="00B966AC"/>
    <w:rsid w:val="00B96E8B"/>
    <w:rsid w:val="00B970FC"/>
    <w:rsid w:val="00B97377"/>
    <w:rsid w:val="00B97CD9"/>
    <w:rsid w:val="00BA0873"/>
    <w:rsid w:val="00BA18E0"/>
    <w:rsid w:val="00BA21B7"/>
    <w:rsid w:val="00BA2BAB"/>
    <w:rsid w:val="00BA459F"/>
    <w:rsid w:val="00BA564E"/>
    <w:rsid w:val="00BB3B2C"/>
    <w:rsid w:val="00BB3B89"/>
    <w:rsid w:val="00BB42D6"/>
    <w:rsid w:val="00BB4DF6"/>
    <w:rsid w:val="00BB51A1"/>
    <w:rsid w:val="00BC2D55"/>
    <w:rsid w:val="00BC51B4"/>
    <w:rsid w:val="00BC6DDB"/>
    <w:rsid w:val="00BD2003"/>
    <w:rsid w:val="00BD2B39"/>
    <w:rsid w:val="00BD2BE1"/>
    <w:rsid w:val="00BD4E22"/>
    <w:rsid w:val="00BD6BDA"/>
    <w:rsid w:val="00BD77C0"/>
    <w:rsid w:val="00BE0CFC"/>
    <w:rsid w:val="00BE2452"/>
    <w:rsid w:val="00BE2714"/>
    <w:rsid w:val="00BE5741"/>
    <w:rsid w:val="00BE7536"/>
    <w:rsid w:val="00BF205B"/>
    <w:rsid w:val="00BF292D"/>
    <w:rsid w:val="00BF39C6"/>
    <w:rsid w:val="00BF442F"/>
    <w:rsid w:val="00BF48BF"/>
    <w:rsid w:val="00BF6C30"/>
    <w:rsid w:val="00BF6FC2"/>
    <w:rsid w:val="00C0631A"/>
    <w:rsid w:val="00C06E7B"/>
    <w:rsid w:val="00C117E5"/>
    <w:rsid w:val="00C12B9B"/>
    <w:rsid w:val="00C13DC5"/>
    <w:rsid w:val="00C14B25"/>
    <w:rsid w:val="00C154F6"/>
    <w:rsid w:val="00C15A00"/>
    <w:rsid w:val="00C16547"/>
    <w:rsid w:val="00C16FF0"/>
    <w:rsid w:val="00C22124"/>
    <w:rsid w:val="00C256F2"/>
    <w:rsid w:val="00C27A73"/>
    <w:rsid w:val="00C30537"/>
    <w:rsid w:val="00C33FF5"/>
    <w:rsid w:val="00C34E8B"/>
    <w:rsid w:val="00C413BD"/>
    <w:rsid w:val="00C41C24"/>
    <w:rsid w:val="00C440B2"/>
    <w:rsid w:val="00C45AA7"/>
    <w:rsid w:val="00C4631E"/>
    <w:rsid w:val="00C463AD"/>
    <w:rsid w:val="00C46C5C"/>
    <w:rsid w:val="00C47D71"/>
    <w:rsid w:val="00C53E01"/>
    <w:rsid w:val="00C54441"/>
    <w:rsid w:val="00C55D3E"/>
    <w:rsid w:val="00C56A33"/>
    <w:rsid w:val="00C56CAA"/>
    <w:rsid w:val="00C5773A"/>
    <w:rsid w:val="00C60304"/>
    <w:rsid w:val="00C60D60"/>
    <w:rsid w:val="00C67652"/>
    <w:rsid w:val="00C67E80"/>
    <w:rsid w:val="00C705AA"/>
    <w:rsid w:val="00C80590"/>
    <w:rsid w:val="00C80755"/>
    <w:rsid w:val="00C8179E"/>
    <w:rsid w:val="00C81B09"/>
    <w:rsid w:val="00C82323"/>
    <w:rsid w:val="00C91439"/>
    <w:rsid w:val="00C92B31"/>
    <w:rsid w:val="00C96766"/>
    <w:rsid w:val="00C96DAA"/>
    <w:rsid w:val="00CA1713"/>
    <w:rsid w:val="00CA2356"/>
    <w:rsid w:val="00CA29FB"/>
    <w:rsid w:val="00CA39DD"/>
    <w:rsid w:val="00CA3CC2"/>
    <w:rsid w:val="00CA6485"/>
    <w:rsid w:val="00CA739E"/>
    <w:rsid w:val="00CA7813"/>
    <w:rsid w:val="00CA7985"/>
    <w:rsid w:val="00CB08F1"/>
    <w:rsid w:val="00CB12E8"/>
    <w:rsid w:val="00CB3471"/>
    <w:rsid w:val="00CB41EC"/>
    <w:rsid w:val="00CB496D"/>
    <w:rsid w:val="00CB4AED"/>
    <w:rsid w:val="00CB55F8"/>
    <w:rsid w:val="00CC0B1C"/>
    <w:rsid w:val="00CC1A43"/>
    <w:rsid w:val="00CC23FD"/>
    <w:rsid w:val="00CC3221"/>
    <w:rsid w:val="00CC327C"/>
    <w:rsid w:val="00CC5E9B"/>
    <w:rsid w:val="00CD2E55"/>
    <w:rsid w:val="00CD32BB"/>
    <w:rsid w:val="00CD35B9"/>
    <w:rsid w:val="00CD72D7"/>
    <w:rsid w:val="00CD77FF"/>
    <w:rsid w:val="00CE104E"/>
    <w:rsid w:val="00CE16C4"/>
    <w:rsid w:val="00CE1703"/>
    <w:rsid w:val="00CE4555"/>
    <w:rsid w:val="00CE4BD1"/>
    <w:rsid w:val="00CE583A"/>
    <w:rsid w:val="00CE591B"/>
    <w:rsid w:val="00CE5D53"/>
    <w:rsid w:val="00CE635D"/>
    <w:rsid w:val="00CE658B"/>
    <w:rsid w:val="00CF2552"/>
    <w:rsid w:val="00CF3EEB"/>
    <w:rsid w:val="00CF4217"/>
    <w:rsid w:val="00CF61E0"/>
    <w:rsid w:val="00CF6A1A"/>
    <w:rsid w:val="00D00D0C"/>
    <w:rsid w:val="00D01711"/>
    <w:rsid w:val="00D01984"/>
    <w:rsid w:val="00D0204E"/>
    <w:rsid w:val="00D03B08"/>
    <w:rsid w:val="00D106F1"/>
    <w:rsid w:val="00D117D7"/>
    <w:rsid w:val="00D14587"/>
    <w:rsid w:val="00D14914"/>
    <w:rsid w:val="00D14CEB"/>
    <w:rsid w:val="00D154BE"/>
    <w:rsid w:val="00D16C46"/>
    <w:rsid w:val="00D17448"/>
    <w:rsid w:val="00D22EA2"/>
    <w:rsid w:val="00D234D2"/>
    <w:rsid w:val="00D2389F"/>
    <w:rsid w:val="00D24F62"/>
    <w:rsid w:val="00D302ED"/>
    <w:rsid w:val="00D30815"/>
    <w:rsid w:val="00D324C0"/>
    <w:rsid w:val="00D327D9"/>
    <w:rsid w:val="00D3291D"/>
    <w:rsid w:val="00D3306D"/>
    <w:rsid w:val="00D33978"/>
    <w:rsid w:val="00D34542"/>
    <w:rsid w:val="00D34E06"/>
    <w:rsid w:val="00D3557F"/>
    <w:rsid w:val="00D44CF1"/>
    <w:rsid w:val="00D45851"/>
    <w:rsid w:val="00D4604F"/>
    <w:rsid w:val="00D547F0"/>
    <w:rsid w:val="00D63DE0"/>
    <w:rsid w:val="00D652DC"/>
    <w:rsid w:val="00D6672E"/>
    <w:rsid w:val="00D7046C"/>
    <w:rsid w:val="00D74A4B"/>
    <w:rsid w:val="00D75212"/>
    <w:rsid w:val="00D84291"/>
    <w:rsid w:val="00D85683"/>
    <w:rsid w:val="00D869AC"/>
    <w:rsid w:val="00D87A3E"/>
    <w:rsid w:val="00D92836"/>
    <w:rsid w:val="00DA08F4"/>
    <w:rsid w:val="00DA0C61"/>
    <w:rsid w:val="00DA36F8"/>
    <w:rsid w:val="00DA3848"/>
    <w:rsid w:val="00DA4B2D"/>
    <w:rsid w:val="00DA678D"/>
    <w:rsid w:val="00DB1D16"/>
    <w:rsid w:val="00DB3F38"/>
    <w:rsid w:val="00DB4F03"/>
    <w:rsid w:val="00DB6461"/>
    <w:rsid w:val="00DB6E46"/>
    <w:rsid w:val="00DB7B98"/>
    <w:rsid w:val="00DC377C"/>
    <w:rsid w:val="00DC5B05"/>
    <w:rsid w:val="00DC75E6"/>
    <w:rsid w:val="00DD1E22"/>
    <w:rsid w:val="00DD62E9"/>
    <w:rsid w:val="00DD6733"/>
    <w:rsid w:val="00DD7D31"/>
    <w:rsid w:val="00DE02D4"/>
    <w:rsid w:val="00DE2B9F"/>
    <w:rsid w:val="00DE39E7"/>
    <w:rsid w:val="00DE4147"/>
    <w:rsid w:val="00DE4F31"/>
    <w:rsid w:val="00DE56D1"/>
    <w:rsid w:val="00DE5F4A"/>
    <w:rsid w:val="00DE6A10"/>
    <w:rsid w:val="00DE7132"/>
    <w:rsid w:val="00DF12FD"/>
    <w:rsid w:val="00DF1E36"/>
    <w:rsid w:val="00DF3541"/>
    <w:rsid w:val="00DF4366"/>
    <w:rsid w:val="00DF47B1"/>
    <w:rsid w:val="00DF5895"/>
    <w:rsid w:val="00DF6206"/>
    <w:rsid w:val="00DF6E4E"/>
    <w:rsid w:val="00E00C66"/>
    <w:rsid w:val="00E0495D"/>
    <w:rsid w:val="00E064E3"/>
    <w:rsid w:val="00E0670B"/>
    <w:rsid w:val="00E07B11"/>
    <w:rsid w:val="00E122D7"/>
    <w:rsid w:val="00E13A33"/>
    <w:rsid w:val="00E14D49"/>
    <w:rsid w:val="00E154F5"/>
    <w:rsid w:val="00E15E97"/>
    <w:rsid w:val="00E2044C"/>
    <w:rsid w:val="00E20A36"/>
    <w:rsid w:val="00E215A4"/>
    <w:rsid w:val="00E22311"/>
    <w:rsid w:val="00E26BBF"/>
    <w:rsid w:val="00E27FEA"/>
    <w:rsid w:val="00E314BA"/>
    <w:rsid w:val="00E3162F"/>
    <w:rsid w:val="00E3345E"/>
    <w:rsid w:val="00E339F5"/>
    <w:rsid w:val="00E41E07"/>
    <w:rsid w:val="00E42654"/>
    <w:rsid w:val="00E434CC"/>
    <w:rsid w:val="00E43A21"/>
    <w:rsid w:val="00E45FAE"/>
    <w:rsid w:val="00E46816"/>
    <w:rsid w:val="00E46B0A"/>
    <w:rsid w:val="00E4767A"/>
    <w:rsid w:val="00E50498"/>
    <w:rsid w:val="00E51CB4"/>
    <w:rsid w:val="00E54F0B"/>
    <w:rsid w:val="00E55119"/>
    <w:rsid w:val="00E55BE9"/>
    <w:rsid w:val="00E6248A"/>
    <w:rsid w:val="00E62493"/>
    <w:rsid w:val="00E63868"/>
    <w:rsid w:val="00E65ACA"/>
    <w:rsid w:val="00E703DB"/>
    <w:rsid w:val="00E71168"/>
    <w:rsid w:val="00E71D37"/>
    <w:rsid w:val="00E7482F"/>
    <w:rsid w:val="00E83F67"/>
    <w:rsid w:val="00E8597B"/>
    <w:rsid w:val="00E904D6"/>
    <w:rsid w:val="00E93285"/>
    <w:rsid w:val="00E94A55"/>
    <w:rsid w:val="00E972CF"/>
    <w:rsid w:val="00E97E72"/>
    <w:rsid w:val="00EA0544"/>
    <w:rsid w:val="00EA0C50"/>
    <w:rsid w:val="00EA11B7"/>
    <w:rsid w:val="00EA1DE7"/>
    <w:rsid w:val="00EA21C5"/>
    <w:rsid w:val="00EA2B0B"/>
    <w:rsid w:val="00EA4933"/>
    <w:rsid w:val="00EA4FC0"/>
    <w:rsid w:val="00EA7C35"/>
    <w:rsid w:val="00EB0B29"/>
    <w:rsid w:val="00EB1A80"/>
    <w:rsid w:val="00EB46BD"/>
    <w:rsid w:val="00EB5151"/>
    <w:rsid w:val="00EB582C"/>
    <w:rsid w:val="00EB5FEB"/>
    <w:rsid w:val="00EB665B"/>
    <w:rsid w:val="00EB6AA7"/>
    <w:rsid w:val="00EB7326"/>
    <w:rsid w:val="00EB7A73"/>
    <w:rsid w:val="00EB7BE5"/>
    <w:rsid w:val="00EB7FC3"/>
    <w:rsid w:val="00EC0AAD"/>
    <w:rsid w:val="00EC38F7"/>
    <w:rsid w:val="00EC7BEF"/>
    <w:rsid w:val="00ED120F"/>
    <w:rsid w:val="00ED25EE"/>
    <w:rsid w:val="00ED30FE"/>
    <w:rsid w:val="00ED4661"/>
    <w:rsid w:val="00ED4BEB"/>
    <w:rsid w:val="00ED528F"/>
    <w:rsid w:val="00ED7483"/>
    <w:rsid w:val="00EE0A8D"/>
    <w:rsid w:val="00EE6DCD"/>
    <w:rsid w:val="00EF126F"/>
    <w:rsid w:val="00EF15F0"/>
    <w:rsid w:val="00EF1E55"/>
    <w:rsid w:val="00EF2E4B"/>
    <w:rsid w:val="00EF4F28"/>
    <w:rsid w:val="00EF570B"/>
    <w:rsid w:val="00EF7BD3"/>
    <w:rsid w:val="00F02E74"/>
    <w:rsid w:val="00F040DE"/>
    <w:rsid w:val="00F04A2B"/>
    <w:rsid w:val="00F12403"/>
    <w:rsid w:val="00F12D26"/>
    <w:rsid w:val="00F1439E"/>
    <w:rsid w:val="00F14D9B"/>
    <w:rsid w:val="00F157D6"/>
    <w:rsid w:val="00F15D8C"/>
    <w:rsid w:val="00F15DF5"/>
    <w:rsid w:val="00F211B8"/>
    <w:rsid w:val="00F21D86"/>
    <w:rsid w:val="00F2559A"/>
    <w:rsid w:val="00F27D64"/>
    <w:rsid w:val="00F333C5"/>
    <w:rsid w:val="00F340C4"/>
    <w:rsid w:val="00F35283"/>
    <w:rsid w:val="00F35DBC"/>
    <w:rsid w:val="00F3633F"/>
    <w:rsid w:val="00F37604"/>
    <w:rsid w:val="00F37673"/>
    <w:rsid w:val="00F37F3B"/>
    <w:rsid w:val="00F40823"/>
    <w:rsid w:val="00F428CD"/>
    <w:rsid w:val="00F43FA8"/>
    <w:rsid w:val="00F45860"/>
    <w:rsid w:val="00F4602B"/>
    <w:rsid w:val="00F51243"/>
    <w:rsid w:val="00F51740"/>
    <w:rsid w:val="00F51F6D"/>
    <w:rsid w:val="00F556B4"/>
    <w:rsid w:val="00F57B67"/>
    <w:rsid w:val="00F612DB"/>
    <w:rsid w:val="00F7112B"/>
    <w:rsid w:val="00F7636E"/>
    <w:rsid w:val="00F77292"/>
    <w:rsid w:val="00F77A29"/>
    <w:rsid w:val="00F8219F"/>
    <w:rsid w:val="00F82B15"/>
    <w:rsid w:val="00F832A2"/>
    <w:rsid w:val="00F83D5A"/>
    <w:rsid w:val="00F84367"/>
    <w:rsid w:val="00F84378"/>
    <w:rsid w:val="00F84EB1"/>
    <w:rsid w:val="00F85655"/>
    <w:rsid w:val="00F85BD6"/>
    <w:rsid w:val="00F85C87"/>
    <w:rsid w:val="00F85F4A"/>
    <w:rsid w:val="00F873F0"/>
    <w:rsid w:val="00F96E44"/>
    <w:rsid w:val="00FA2CC4"/>
    <w:rsid w:val="00FA2FDD"/>
    <w:rsid w:val="00FB13AB"/>
    <w:rsid w:val="00FB14D6"/>
    <w:rsid w:val="00FB31B9"/>
    <w:rsid w:val="00FB531C"/>
    <w:rsid w:val="00FB7CFC"/>
    <w:rsid w:val="00FC1040"/>
    <w:rsid w:val="00FC2078"/>
    <w:rsid w:val="00FC21B6"/>
    <w:rsid w:val="00FC3460"/>
    <w:rsid w:val="00FC5AA5"/>
    <w:rsid w:val="00FC5CAC"/>
    <w:rsid w:val="00FC6F74"/>
    <w:rsid w:val="00FD0A33"/>
    <w:rsid w:val="00FD116A"/>
    <w:rsid w:val="00FD14B2"/>
    <w:rsid w:val="00FD45B4"/>
    <w:rsid w:val="00FD7F72"/>
    <w:rsid w:val="00FE17ED"/>
    <w:rsid w:val="00FE1B32"/>
    <w:rsid w:val="00FE424E"/>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F3EA-37A9-4350-AD30-98747F5D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16</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26533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Farner, Joyce</cp:lastModifiedBy>
  <cp:revision>351</cp:revision>
  <cp:lastPrinted>2014-02-06T13:40:00Z</cp:lastPrinted>
  <dcterms:created xsi:type="dcterms:W3CDTF">2014-01-13T15:16:00Z</dcterms:created>
  <dcterms:modified xsi:type="dcterms:W3CDTF">2014-02-06T13:40:00Z</dcterms:modified>
</cp:coreProperties>
</file>