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F08EC">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871F2">
            <w:pPr>
              <w:rPr>
                <w:sz w:val="26"/>
                <w:szCs w:val="26"/>
              </w:rPr>
            </w:pPr>
          </w:p>
        </w:tc>
        <w:tc>
          <w:tcPr>
            <w:tcW w:w="4428" w:type="dxa"/>
          </w:tcPr>
          <w:p w:rsidR="00F514FB" w:rsidRPr="00F514FB" w:rsidRDefault="005C1B90" w:rsidP="00E871F2">
            <w:pPr>
              <w:jc w:val="right"/>
              <w:rPr>
                <w:sz w:val="26"/>
                <w:szCs w:val="26"/>
              </w:rPr>
            </w:pPr>
            <w:r>
              <w:rPr>
                <w:sz w:val="26"/>
                <w:szCs w:val="26"/>
              </w:rPr>
              <w:t>Public Meeting held February 6, 2014</w:t>
            </w:r>
          </w:p>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E871F2">
        <w:tc>
          <w:tcPr>
            <w:tcW w:w="505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731444" w:rsidRPr="008516FF" w:rsidRDefault="00731444" w:rsidP="00731444">
            <w:pPr>
              <w:tabs>
                <w:tab w:val="left" w:pos="705"/>
              </w:tabs>
              <w:ind w:firstLine="720"/>
              <w:contextualSpacing/>
              <w:rPr>
                <w:sz w:val="26"/>
                <w:szCs w:val="26"/>
              </w:rPr>
            </w:pPr>
            <w:r w:rsidRPr="008516FF">
              <w:rPr>
                <w:sz w:val="26"/>
                <w:szCs w:val="26"/>
              </w:rPr>
              <w:t>Robert F. Powelson, Chairman</w:t>
            </w:r>
          </w:p>
          <w:p w:rsidR="00731444" w:rsidRPr="008516FF" w:rsidRDefault="00731444" w:rsidP="00731444">
            <w:pPr>
              <w:tabs>
                <w:tab w:val="left" w:pos="705"/>
              </w:tabs>
              <w:ind w:firstLine="720"/>
              <w:contextualSpacing/>
              <w:rPr>
                <w:sz w:val="26"/>
                <w:szCs w:val="26"/>
              </w:rPr>
            </w:pPr>
            <w:r w:rsidRPr="008516FF">
              <w:rPr>
                <w:sz w:val="26"/>
                <w:szCs w:val="26"/>
              </w:rPr>
              <w:t>John F. Coleman, Jr., Vice Chairman</w:t>
            </w:r>
          </w:p>
          <w:p w:rsidR="00731444" w:rsidRPr="008516FF" w:rsidRDefault="00731444" w:rsidP="00731444">
            <w:pPr>
              <w:tabs>
                <w:tab w:val="left" w:pos="705"/>
              </w:tabs>
              <w:ind w:firstLine="720"/>
              <w:contextualSpacing/>
              <w:rPr>
                <w:sz w:val="26"/>
                <w:szCs w:val="26"/>
              </w:rPr>
            </w:pPr>
            <w:r w:rsidRPr="008516FF">
              <w:rPr>
                <w:sz w:val="26"/>
                <w:szCs w:val="26"/>
              </w:rPr>
              <w:t>James H. Cawley</w:t>
            </w:r>
          </w:p>
          <w:p w:rsidR="00731444" w:rsidRDefault="00731444" w:rsidP="00731444">
            <w:pPr>
              <w:tabs>
                <w:tab w:val="left" w:pos="705"/>
              </w:tabs>
              <w:ind w:firstLine="720"/>
              <w:contextualSpacing/>
              <w:rPr>
                <w:sz w:val="26"/>
                <w:szCs w:val="26"/>
              </w:rPr>
            </w:pPr>
            <w:r w:rsidRPr="008516FF">
              <w:rPr>
                <w:sz w:val="26"/>
                <w:szCs w:val="26"/>
              </w:rPr>
              <w:t>Pamela A. Witmer</w:t>
            </w:r>
          </w:p>
          <w:p w:rsidR="00731444" w:rsidRPr="008516FF" w:rsidRDefault="00731444" w:rsidP="00731444">
            <w:pPr>
              <w:tabs>
                <w:tab w:val="left" w:pos="705"/>
              </w:tabs>
              <w:ind w:firstLine="720"/>
              <w:contextualSpacing/>
              <w:rPr>
                <w:sz w:val="26"/>
                <w:szCs w:val="26"/>
              </w:rPr>
            </w:pPr>
            <w:r>
              <w:rPr>
                <w:sz w:val="26"/>
                <w:szCs w:val="26"/>
              </w:rPr>
              <w:t>Gladys M. Brown</w:t>
            </w:r>
          </w:p>
          <w:p w:rsidR="00F514FB" w:rsidRPr="00F514FB" w:rsidRDefault="00F514FB" w:rsidP="00E871F2">
            <w:pPr>
              <w:rPr>
                <w:sz w:val="26"/>
                <w:szCs w:val="26"/>
              </w:rPr>
            </w:pPr>
          </w:p>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DE25AC">
        <w:tc>
          <w:tcPr>
            <w:tcW w:w="5058" w:type="dxa"/>
          </w:tcPr>
          <w:p w:rsidR="00F514FB" w:rsidRPr="00F514FB" w:rsidRDefault="005C1B90" w:rsidP="00E871F2">
            <w:pPr>
              <w:rPr>
                <w:sz w:val="26"/>
                <w:szCs w:val="26"/>
              </w:rPr>
            </w:pPr>
            <w:r>
              <w:rPr>
                <w:sz w:val="26"/>
                <w:szCs w:val="26"/>
              </w:rPr>
              <w:t>Frank Veasey</w:t>
            </w:r>
          </w:p>
          <w:p w:rsidR="00F514FB" w:rsidRPr="00F514FB" w:rsidRDefault="00F514FB" w:rsidP="00E871F2">
            <w:pPr>
              <w:rPr>
                <w:sz w:val="26"/>
                <w:szCs w:val="26"/>
              </w:rPr>
            </w:pPr>
          </w:p>
        </w:tc>
        <w:tc>
          <w:tcPr>
            <w:tcW w:w="4428" w:type="dxa"/>
          </w:tcPr>
          <w:p w:rsidR="00F514FB" w:rsidRPr="00F514FB" w:rsidRDefault="005C1B90" w:rsidP="00E871F2">
            <w:pPr>
              <w:jc w:val="right"/>
              <w:rPr>
                <w:sz w:val="26"/>
                <w:szCs w:val="26"/>
              </w:rPr>
            </w:pPr>
            <w:r>
              <w:rPr>
                <w:sz w:val="26"/>
                <w:szCs w:val="26"/>
              </w:rPr>
              <w:t>C-2013-2356</w:t>
            </w:r>
            <w:r w:rsidR="00077DFE">
              <w:rPr>
                <w:sz w:val="26"/>
                <w:szCs w:val="26"/>
              </w:rPr>
              <w:t>5</w:t>
            </w:r>
            <w:r>
              <w:rPr>
                <w:sz w:val="26"/>
                <w:szCs w:val="26"/>
              </w:rPr>
              <w:t>86</w:t>
            </w:r>
          </w:p>
        </w:tc>
      </w:tr>
      <w:tr w:rsidR="00F514FB" w:rsidRPr="00F514FB" w:rsidTr="00DE25AC">
        <w:tc>
          <w:tcPr>
            <w:tcW w:w="5058" w:type="dxa"/>
          </w:tcPr>
          <w:p w:rsidR="00F514FB" w:rsidRPr="00F514FB" w:rsidRDefault="00F514FB" w:rsidP="00E871F2">
            <w:pPr>
              <w:ind w:firstLine="1440"/>
              <w:rPr>
                <w:sz w:val="26"/>
                <w:szCs w:val="26"/>
              </w:rPr>
            </w:pPr>
            <w:r w:rsidRPr="00F514FB">
              <w:rPr>
                <w:sz w:val="26"/>
                <w:szCs w:val="26"/>
              </w:rPr>
              <w:t>v.</w:t>
            </w:r>
          </w:p>
          <w:p w:rsidR="00F514FB" w:rsidRPr="00F514FB" w:rsidRDefault="00F514FB" w:rsidP="00E871F2">
            <w:pPr>
              <w:ind w:firstLine="1440"/>
              <w:rPr>
                <w:sz w:val="26"/>
                <w:szCs w:val="26"/>
              </w:rPr>
            </w:pPr>
          </w:p>
        </w:tc>
        <w:tc>
          <w:tcPr>
            <w:tcW w:w="4428" w:type="dxa"/>
          </w:tcPr>
          <w:p w:rsidR="00F514FB" w:rsidRPr="00F514FB" w:rsidRDefault="00F514FB" w:rsidP="00E871F2">
            <w:pPr>
              <w:rPr>
                <w:sz w:val="26"/>
                <w:szCs w:val="26"/>
              </w:rPr>
            </w:pPr>
          </w:p>
        </w:tc>
      </w:tr>
      <w:tr w:rsidR="00F514FB" w:rsidRPr="00F514FB" w:rsidTr="00E871F2">
        <w:tc>
          <w:tcPr>
            <w:tcW w:w="5058" w:type="dxa"/>
          </w:tcPr>
          <w:p w:rsidR="00F514FB" w:rsidRPr="00F514FB" w:rsidRDefault="005C1B90" w:rsidP="00E871F2">
            <w:pPr>
              <w:rPr>
                <w:sz w:val="26"/>
                <w:szCs w:val="26"/>
              </w:rPr>
            </w:pPr>
            <w:r>
              <w:rPr>
                <w:sz w:val="26"/>
                <w:szCs w:val="26"/>
              </w:rPr>
              <w:t>Philadelphia Gas Works</w:t>
            </w:r>
          </w:p>
        </w:tc>
        <w:tc>
          <w:tcPr>
            <w:tcW w:w="4428"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B462F6" w:rsidRDefault="00CA43A5" w:rsidP="00570400">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w:t>
      </w:r>
      <w:r w:rsidR="00B72D14">
        <w:rPr>
          <w:color w:val="000000"/>
          <w:sz w:val="26"/>
        </w:rPr>
        <w:t>ptions) of Frank Veasey (Complainant</w:t>
      </w:r>
      <w:r w:rsidR="00110738">
        <w:rPr>
          <w:color w:val="000000"/>
          <w:sz w:val="26"/>
        </w:rPr>
        <w:t>) filed on November 18, 2013</w:t>
      </w:r>
      <w:r w:rsidR="00671E4C">
        <w:rPr>
          <w:color w:val="000000"/>
          <w:sz w:val="26"/>
        </w:rPr>
        <w:t xml:space="preserve">, to the Initial Decision (I.D.) of Administrative </w:t>
      </w:r>
      <w:r w:rsidR="00110738">
        <w:rPr>
          <w:color w:val="000000"/>
          <w:sz w:val="26"/>
        </w:rPr>
        <w:t>Law Judge (ALJ) Eranda Vero</w:t>
      </w:r>
      <w:r w:rsidR="00671E4C">
        <w:rPr>
          <w:color w:val="000000"/>
          <w:sz w:val="26"/>
        </w:rPr>
        <w:t>, w</w:t>
      </w:r>
      <w:r w:rsidR="00110738">
        <w:rPr>
          <w:color w:val="000000"/>
          <w:sz w:val="26"/>
        </w:rPr>
        <w:t>hich was issued on October 29, 2013</w:t>
      </w:r>
      <w:r w:rsidR="00671E4C">
        <w:rPr>
          <w:color w:val="000000"/>
          <w:sz w:val="26"/>
        </w:rPr>
        <w:t>, in</w:t>
      </w:r>
      <w:r w:rsidR="00EF13AF">
        <w:rPr>
          <w:color w:val="000000"/>
          <w:sz w:val="26"/>
        </w:rPr>
        <w:t xml:space="preserve"> the above-captioned proceeding</w:t>
      </w:r>
      <w:r w:rsidR="00671E4C">
        <w:rPr>
          <w:color w:val="000000"/>
          <w:sz w:val="26"/>
        </w:rPr>
        <w:t xml:space="preserve">.  Replies to Exceptions </w:t>
      </w:r>
      <w:r w:rsidR="00100A8F">
        <w:rPr>
          <w:color w:val="000000"/>
          <w:sz w:val="26"/>
        </w:rPr>
        <w:t>were fil</w:t>
      </w:r>
      <w:r w:rsidR="00570400">
        <w:rPr>
          <w:color w:val="000000"/>
          <w:sz w:val="26"/>
        </w:rPr>
        <w:t>ed by Philadelphia Gas Works (</w:t>
      </w:r>
      <w:r w:rsidR="00100A8F">
        <w:rPr>
          <w:color w:val="000000"/>
          <w:sz w:val="26"/>
        </w:rPr>
        <w:t>PGW</w:t>
      </w:r>
      <w:r w:rsidR="00570400">
        <w:rPr>
          <w:color w:val="000000"/>
          <w:sz w:val="26"/>
        </w:rPr>
        <w:t xml:space="preserve"> or Company</w:t>
      </w:r>
      <w:r w:rsidR="00110738">
        <w:rPr>
          <w:color w:val="000000"/>
          <w:sz w:val="26"/>
        </w:rPr>
        <w:t>) on December 2, 201</w:t>
      </w:r>
      <w:r w:rsidR="00077DFE">
        <w:rPr>
          <w:color w:val="000000"/>
          <w:sz w:val="26"/>
        </w:rPr>
        <w:t>3</w:t>
      </w:r>
      <w:r w:rsidR="00671E4C">
        <w:rPr>
          <w:color w:val="000000"/>
          <w:sz w:val="26"/>
        </w:rPr>
        <w:t xml:space="preserve">.  </w:t>
      </w:r>
      <w:r w:rsidRPr="00CA43A5">
        <w:rPr>
          <w:sz w:val="26"/>
          <w:szCs w:val="26"/>
        </w:rPr>
        <w:t>For the reason</w:t>
      </w:r>
      <w:r w:rsidR="00110738">
        <w:rPr>
          <w:sz w:val="26"/>
          <w:szCs w:val="26"/>
        </w:rPr>
        <w:t>s stated below, we shall deny the Complainant’s Exceptions</w:t>
      </w:r>
      <w:r w:rsidRPr="00CA43A5">
        <w:rPr>
          <w:sz w:val="26"/>
          <w:szCs w:val="26"/>
        </w:rPr>
        <w:t>.</w:t>
      </w:r>
    </w:p>
    <w:p w:rsidR="00570400" w:rsidRDefault="00570400" w:rsidP="00570400">
      <w:pPr>
        <w:spacing w:line="360" w:lineRule="auto"/>
        <w:ind w:firstLine="1440"/>
        <w:rPr>
          <w:sz w:val="26"/>
          <w:szCs w:val="26"/>
        </w:rPr>
      </w:pPr>
    </w:p>
    <w:p w:rsidR="00570400" w:rsidRPr="00CA43A5" w:rsidRDefault="00570400" w:rsidP="00570400">
      <w:pPr>
        <w:spacing w:line="360" w:lineRule="auto"/>
        <w:ind w:firstLine="1440"/>
        <w:rPr>
          <w:sz w:val="26"/>
          <w:szCs w:val="26"/>
        </w:rPr>
      </w:pPr>
    </w:p>
    <w:p w:rsidR="00CA43A5" w:rsidRPr="00CA43A5" w:rsidRDefault="00CA43A5" w:rsidP="00CA43A5">
      <w:pPr>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CA43A5" w:rsidRDefault="00CA43A5" w:rsidP="00B72D14">
      <w:pPr>
        <w:spacing w:line="360" w:lineRule="auto"/>
        <w:rPr>
          <w:sz w:val="26"/>
          <w:szCs w:val="26"/>
        </w:rPr>
      </w:pPr>
    </w:p>
    <w:p w:rsidR="00B72D14" w:rsidRPr="00B72D14" w:rsidRDefault="00B72D14" w:rsidP="00B72D14">
      <w:pPr>
        <w:autoSpaceDE w:val="0"/>
        <w:autoSpaceDN w:val="0"/>
        <w:spacing w:line="360" w:lineRule="auto"/>
        <w:ind w:firstLine="1440"/>
        <w:rPr>
          <w:sz w:val="26"/>
          <w:szCs w:val="26"/>
        </w:rPr>
      </w:pPr>
      <w:r w:rsidRPr="00B72D14">
        <w:rPr>
          <w:sz w:val="26"/>
          <w:szCs w:val="26"/>
        </w:rPr>
        <w:t xml:space="preserve">On March 11, 2013, </w:t>
      </w:r>
      <w:r w:rsidRPr="00B72D14">
        <w:rPr>
          <w:spacing w:val="-3"/>
          <w:sz w:val="26"/>
          <w:szCs w:val="26"/>
        </w:rPr>
        <w:t xml:space="preserve">Frank </w:t>
      </w:r>
      <w:r w:rsidR="00100A8F" w:rsidRPr="00B72D14">
        <w:rPr>
          <w:spacing w:val="-3"/>
          <w:sz w:val="26"/>
          <w:szCs w:val="26"/>
        </w:rPr>
        <w:t xml:space="preserve">Veasey </w:t>
      </w:r>
      <w:r w:rsidR="00100A8F" w:rsidRPr="00B72D14">
        <w:rPr>
          <w:sz w:val="26"/>
          <w:szCs w:val="26"/>
        </w:rPr>
        <w:t>filed</w:t>
      </w:r>
      <w:r w:rsidR="00A624C7">
        <w:rPr>
          <w:sz w:val="26"/>
          <w:szCs w:val="26"/>
        </w:rPr>
        <w:t xml:space="preserve"> a F</w:t>
      </w:r>
      <w:r w:rsidRPr="00B72D14">
        <w:rPr>
          <w:sz w:val="26"/>
          <w:szCs w:val="26"/>
        </w:rPr>
        <w:t>ormal Compl</w:t>
      </w:r>
      <w:r w:rsidR="009B241D">
        <w:rPr>
          <w:sz w:val="26"/>
          <w:szCs w:val="26"/>
        </w:rPr>
        <w:t>aint (Complaint) against PGW</w:t>
      </w:r>
      <w:r w:rsidRPr="00B72D14">
        <w:rPr>
          <w:sz w:val="26"/>
          <w:szCs w:val="26"/>
        </w:rPr>
        <w:t xml:space="preserve"> alleging that</w:t>
      </w:r>
      <w:r w:rsidR="00E04361">
        <w:rPr>
          <w:sz w:val="26"/>
          <w:szCs w:val="26"/>
        </w:rPr>
        <w:t>:</w:t>
      </w:r>
      <w:r w:rsidR="009B241D">
        <w:rPr>
          <w:sz w:val="26"/>
          <w:szCs w:val="26"/>
        </w:rPr>
        <w:t xml:space="preserve"> his service had been</w:t>
      </w:r>
      <w:r w:rsidR="00D60271">
        <w:rPr>
          <w:sz w:val="26"/>
          <w:szCs w:val="26"/>
        </w:rPr>
        <w:t xml:space="preserve"> terminated on Augu</w:t>
      </w:r>
      <w:r w:rsidR="00F61596">
        <w:rPr>
          <w:sz w:val="26"/>
          <w:szCs w:val="26"/>
        </w:rPr>
        <w:t>st 24, 2012</w:t>
      </w:r>
      <w:r w:rsidR="00E04361">
        <w:rPr>
          <w:sz w:val="26"/>
          <w:szCs w:val="26"/>
        </w:rPr>
        <w:t>,</w:t>
      </w:r>
      <w:r w:rsidR="00F61596">
        <w:rPr>
          <w:sz w:val="26"/>
          <w:szCs w:val="26"/>
        </w:rPr>
        <w:t xml:space="preserve"> without notice</w:t>
      </w:r>
      <w:r w:rsidR="00E04361">
        <w:rPr>
          <w:sz w:val="26"/>
          <w:szCs w:val="26"/>
        </w:rPr>
        <w:t>;</w:t>
      </w:r>
      <w:r w:rsidR="003A7B21">
        <w:rPr>
          <w:sz w:val="26"/>
          <w:szCs w:val="26"/>
        </w:rPr>
        <w:t xml:space="preserve"> his service had been</w:t>
      </w:r>
      <w:r w:rsidR="00D60271">
        <w:rPr>
          <w:sz w:val="26"/>
          <w:szCs w:val="26"/>
        </w:rPr>
        <w:t xml:space="preserve"> terminated despite his </w:t>
      </w:r>
      <w:r w:rsidR="00F61596">
        <w:rPr>
          <w:sz w:val="26"/>
          <w:szCs w:val="26"/>
        </w:rPr>
        <w:t>being current on his bill</w:t>
      </w:r>
      <w:r w:rsidR="00E04361">
        <w:rPr>
          <w:sz w:val="26"/>
          <w:szCs w:val="26"/>
        </w:rPr>
        <w:t>;</w:t>
      </w:r>
      <w:r w:rsidR="009B241D">
        <w:rPr>
          <w:sz w:val="26"/>
          <w:szCs w:val="26"/>
        </w:rPr>
        <w:t xml:space="preserve"> </w:t>
      </w:r>
      <w:r w:rsidR="00D60271">
        <w:rPr>
          <w:sz w:val="26"/>
          <w:szCs w:val="26"/>
        </w:rPr>
        <w:t>h</w:t>
      </w:r>
      <w:r w:rsidR="00F61596">
        <w:rPr>
          <w:sz w:val="26"/>
          <w:szCs w:val="26"/>
        </w:rPr>
        <w:t xml:space="preserve">e </w:t>
      </w:r>
      <w:r w:rsidR="00F32A53">
        <w:rPr>
          <w:sz w:val="26"/>
          <w:szCs w:val="26"/>
        </w:rPr>
        <w:t xml:space="preserve">had </w:t>
      </w:r>
      <w:r w:rsidR="00F61596">
        <w:rPr>
          <w:sz w:val="26"/>
          <w:szCs w:val="26"/>
        </w:rPr>
        <w:t>paid amounts requested by PGW</w:t>
      </w:r>
      <w:r w:rsidR="00E04361">
        <w:rPr>
          <w:sz w:val="26"/>
          <w:szCs w:val="26"/>
        </w:rPr>
        <w:t>;</w:t>
      </w:r>
      <w:r w:rsidR="00D60271">
        <w:rPr>
          <w:sz w:val="26"/>
          <w:szCs w:val="26"/>
        </w:rPr>
        <w:t xml:space="preserve"> and</w:t>
      </w:r>
      <w:r w:rsidR="00E04361">
        <w:rPr>
          <w:sz w:val="26"/>
          <w:szCs w:val="26"/>
        </w:rPr>
        <w:t>,</w:t>
      </w:r>
      <w:r w:rsidR="00D60271">
        <w:rPr>
          <w:sz w:val="26"/>
          <w:szCs w:val="26"/>
        </w:rPr>
        <w:t xml:space="preserve"> PGW </w:t>
      </w:r>
      <w:r w:rsidR="00E04361">
        <w:rPr>
          <w:sz w:val="26"/>
          <w:szCs w:val="26"/>
        </w:rPr>
        <w:t xml:space="preserve">had </w:t>
      </w:r>
      <w:r w:rsidR="00D60271">
        <w:rPr>
          <w:sz w:val="26"/>
          <w:szCs w:val="26"/>
        </w:rPr>
        <w:t>refused to restore service despite being presented with an emergency restoration order</w:t>
      </w:r>
      <w:r w:rsidRPr="00B72D14">
        <w:rPr>
          <w:sz w:val="26"/>
          <w:szCs w:val="26"/>
        </w:rPr>
        <w:t xml:space="preserve">.  </w:t>
      </w:r>
      <w:r w:rsidR="00F609CF">
        <w:rPr>
          <w:sz w:val="26"/>
          <w:szCs w:val="26"/>
        </w:rPr>
        <w:t xml:space="preserve">He also alleged that he had been on a budget plan with PGW and the budget amount was paid according to the plan terms.  </w:t>
      </w:r>
      <w:r w:rsidRPr="00B72D14">
        <w:rPr>
          <w:sz w:val="26"/>
          <w:szCs w:val="26"/>
        </w:rPr>
        <w:t>As re</w:t>
      </w:r>
      <w:r w:rsidR="003A7B21">
        <w:rPr>
          <w:sz w:val="26"/>
          <w:szCs w:val="26"/>
        </w:rPr>
        <w:t>lief, the Complainant requested</w:t>
      </w:r>
      <w:r w:rsidR="00077DFE">
        <w:rPr>
          <w:sz w:val="26"/>
          <w:szCs w:val="26"/>
        </w:rPr>
        <w:t xml:space="preserve"> th</w:t>
      </w:r>
      <w:r w:rsidR="00E04361">
        <w:rPr>
          <w:sz w:val="26"/>
          <w:szCs w:val="26"/>
        </w:rPr>
        <w:t>at</w:t>
      </w:r>
      <w:r w:rsidR="00077DFE">
        <w:rPr>
          <w:sz w:val="26"/>
          <w:szCs w:val="26"/>
        </w:rPr>
        <w:t>:</w:t>
      </w:r>
      <w:r w:rsidRPr="00B72D14">
        <w:rPr>
          <w:sz w:val="26"/>
          <w:szCs w:val="26"/>
        </w:rPr>
        <w:t xml:space="preserve"> </w:t>
      </w:r>
      <w:r w:rsidR="00E52D03">
        <w:rPr>
          <w:sz w:val="26"/>
          <w:szCs w:val="26"/>
        </w:rPr>
        <w:t xml:space="preserve"> </w:t>
      </w:r>
      <w:r w:rsidRPr="00B72D14">
        <w:rPr>
          <w:sz w:val="26"/>
          <w:szCs w:val="26"/>
        </w:rPr>
        <w:t xml:space="preserve">(1) </w:t>
      </w:r>
      <w:r w:rsidR="00E04361">
        <w:rPr>
          <w:sz w:val="26"/>
          <w:szCs w:val="26"/>
        </w:rPr>
        <w:t>his service be restored;</w:t>
      </w:r>
      <w:r w:rsidRPr="00B72D14">
        <w:rPr>
          <w:sz w:val="26"/>
          <w:szCs w:val="26"/>
        </w:rPr>
        <w:t xml:space="preserve"> (2) </w:t>
      </w:r>
      <w:r w:rsidR="00E04361">
        <w:rPr>
          <w:sz w:val="26"/>
          <w:szCs w:val="26"/>
        </w:rPr>
        <w:t xml:space="preserve">he receive </w:t>
      </w:r>
      <w:r w:rsidRPr="00B72D14">
        <w:rPr>
          <w:sz w:val="26"/>
          <w:szCs w:val="26"/>
        </w:rPr>
        <w:t>a payment arrangement</w:t>
      </w:r>
      <w:r w:rsidR="00E04361">
        <w:rPr>
          <w:sz w:val="26"/>
          <w:szCs w:val="26"/>
        </w:rPr>
        <w:t>;</w:t>
      </w:r>
      <w:r w:rsidRPr="00B72D14">
        <w:rPr>
          <w:sz w:val="26"/>
          <w:szCs w:val="26"/>
        </w:rPr>
        <w:t xml:space="preserve"> (3) </w:t>
      </w:r>
      <w:r w:rsidR="00E04361">
        <w:rPr>
          <w:sz w:val="26"/>
          <w:szCs w:val="26"/>
        </w:rPr>
        <w:t xml:space="preserve">PGW be ordered to pay him </w:t>
      </w:r>
      <w:r w:rsidRPr="00B72D14">
        <w:rPr>
          <w:sz w:val="26"/>
          <w:szCs w:val="26"/>
        </w:rPr>
        <w:t>compensation for fees and costs incurred “to comply with PGW arbitrary service restoration refusals</w:t>
      </w:r>
      <w:r w:rsidR="00E04361">
        <w:rPr>
          <w:sz w:val="26"/>
          <w:szCs w:val="26"/>
        </w:rPr>
        <w:t>;</w:t>
      </w:r>
      <w:r w:rsidRPr="00B72D14">
        <w:rPr>
          <w:sz w:val="26"/>
          <w:szCs w:val="26"/>
        </w:rPr>
        <w:t xml:space="preserve">” (4) </w:t>
      </w:r>
      <w:r w:rsidR="00E04361">
        <w:rPr>
          <w:sz w:val="26"/>
          <w:szCs w:val="26"/>
        </w:rPr>
        <w:t>PGW</w:t>
      </w:r>
      <w:r w:rsidRPr="00B72D14">
        <w:rPr>
          <w:sz w:val="26"/>
          <w:szCs w:val="26"/>
        </w:rPr>
        <w:t xml:space="preserve"> waive any and all security deposit charges</w:t>
      </w:r>
      <w:r w:rsidR="00E04361">
        <w:rPr>
          <w:sz w:val="26"/>
          <w:szCs w:val="26"/>
        </w:rPr>
        <w:t>;</w:t>
      </w:r>
      <w:r w:rsidRPr="00B72D14">
        <w:rPr>
          <w:sz w:val="26"/>
          <w:szCs w:val="26"/>
        </w:rPr>
        <w:t xml:space="preserve"> and (5)</w:t>
      </w:r>
      <w:r w:rsidR="00E04361">
        <w:rPr>
          <w:sz w:val="26"/>
          <w:szCs w:val="26"/>
        </w:rPr>
        <w:t xml:space="preserve"> PGW be ordered to pay</w:t>
      </w:r>
      <w:r w:rsidRPr="00B72D14">
        <w:rPr>
          <w:sz w:val="26"/>
          <w:szCs w:val="26"/>
        </w:rPr>
        <w:t xml:space="preserve"> “medical treatment and compensatory damages for health problems suffered by the account holder over the course of the term</w:t>
      </w:r>
      <w:r w:rsidR="00647447">
        <w:rPr>
          <w:sz w:val="26"/>
          <w:szCs w:val="26"/>
        </w:rPr>
        <w:t xml:space="preserve">inated service.” </w:t>
      </w:r>
    </w:p>
    <w:p w:rsidR="00B72D14" w:rsidRPr="00B72D14" w:rsidRDefault="00B72D14" w:rsidP="00B72D14">
      <w:pPr>
        <w:autoSpaceDE w:val="0"/>
        <w:autoSpaceDN w:val="0"/>
        <w:spacing w:line="360" w:lineRule="auto"/>
        <w:ind w:firstLine="1440"/>
        <w:rPr>
          <w:sz w:val="26"/>
          <w:szCs w:val="26"/>
        </w:rPr>
      </w:pPr>
    </w:p>
    <w:p w:rsidR="00705E9B" w:rsidRDefault="00B72D14" w:rsidP="00B72D14">
      <w:pPr>
        <w:autoSpaceDE w:val="0"/>
        <w:autoSpaceDN w:val="0"/>
        <w:spacing w:line="360" w:lineRule="auto"/>
        <w:ind w:firstLine="1440"/>
        <w:rPr>
          <w:sz w:val="26"/>
          <w:szCs w:val="26"/>
        </w:rPr>
      </w:pPr>
      <w:r w:rsidRPr="00B72D14">
        <w:rPr>
          <w:sz w:val="26"/>
          <w:szCs w:val="26"/>
        </w:rPr>
        <w:t>O</w:t>
      </w:r>
      <w:r w:rsidR="009B241D">
        <w:rPr>
          <w:sz w:val="26"/>
          <w:szCs w:val="26"/>
        </w:rPr>
        <w:t>n April 29, 2013, PGW</w:t>
      </w:r>
      <w:r w:rsidRPr="00B72D14">
        <w:rPr>
          <w:sz w:val="26"/>
          <w:szCs w:val="26"/>
        </w:rPr>
        <w:t xml:space="preserve"> filed an Answer denying the material</w:t>
      </w:r>
      <w:r w:rsidR="009A6997">
        <w:rPr>
          <w:sz w:val="26"/>
          <w:szCs w:val="26"/>
        </w:rPr>
        <w:t xml:space="preserve"> allegati</w:t>
      </w:r>
      <w:r w:rsidR="003A7B21">
        <w:rPr>
          <w:sz w:val="26"/>
          <w:szCs w:val="26"/>
        </w:rPr>
        <w:t>o</w:t>
      </w:r>
      <w:r w:rsidR="00F61596">
        <w:rPr>
          <w:sz w:val="26"/>
          <w:szCs w:val="26"/>
        </w:rPr>
        <w:t>ns of the Complaint but admitting</w:t>
      </w:r>
      <w:r w:rsidR="009B241D">
        <w:rPr>
          <w:sz w:val="26"/>
          <w:szCs w:val="26"/>
        </w:rPr>
        <w:t xml:space="preserve"> that it issued a shut off</w:t>
      </w:r>
      <w:r w:rsidR="00F609CF">
        <w:rPr>
          <w:sz w:val="26"/>
          <w:szCs w:val="26"/>
        </w:rPr>
        <w:t xml:space="preserve"> notice on July 24, 2012</w:t>
      </w:r>
      <w:r w:rsidR="00E04361">
        <w:rPr>
          <w:sz w:val="26"/>
          <w:szCs w:val="26"/>
        </w:rPr>
        <w:t>,</w:t>
      </w:r>
      <w:r w:rsidR="00F609CF">
        <w:rPr>
          <w:sz w:val="26"/>
          <w:szCs w:val="26"/>
        </w:rPr>
        <w:t xml:space="preserve"> and terminated </w:t>
      </w:r>
      <w:r w:rsidR="003120BA">
        <w:rPr>
          <w:sz w:val="26"/>
          <w:szCs w:val="26"/>
        </w:rPr>
        <w:t xml:space="preserve">the Complainant’s </w:t>
      </w:r>
      <w:r w:rsidR="00F609CF">
        <w:rPr>
          <w:sz w:val="26"/>
          <w:szCs w:val="26"/>
        </w:rPr>
        <w:t>service on August 28, 2012</w:t>
      </w:r>
      <w:r w:rsidR="009A6997">
        <w:rPr>
          <w:sz w:val="26"/>
          <w:szCs w:val="26"/>
        </w:rPr>
        <w:t>.  PGW further</w:t>
      </w:r>
      <w:r w:rsidR="00F609CF">
        <w:rPr>
          <w:sz w:val="26"/>
          <w:szCs w:val="26"/>
        </w:rPr>
        <w:t xml:space="preserve"> denied that </w:t>
      </w:r>
      <w:r w:rsidR="00077DFE">
        <w:rPr>
          <w:sz w:val="26"/>
          <w:szCs w:val="26"/>
        </w:rPr>
        <w:t>t</w:t>
      </w:r>
      <w:r w:rsidR="00F609CF">
        <w:rPr>
          <w:sz w:val="26"/>
          <w:szCs w:val="26"/>
        </w:rPr>
        <w:t>here was an active budget agreement on the Complainant’s account in August 2012</w:t>
      </w:r>
      <w:r w:rsidR="00E04361">
        <w:rPr>
          <w:sz w:val="26"/>
          <w:szCs w:val="26"/>
        </w:rPr>
        <w:t>,</w:t>
      </w:r>
      <w:r w:rsidR="00F609CF">
        <w:rPr>
          <w:sz w:val="26"/>
          <w:szCs w:val="26"/>
        </w:rPr>
        <w:t xml:space="preserve"> as he had missed two payments</w:t>
      </w:r>
      <w:r w:rsidR="009B241D">
        <w:rPr>
          <w:sz w:val="26"/>
          <w:szCs w:val="26"/>
        </w:rPr>
        <w:t xml:space="preserve"> resulting in his removal from the budget payment plan</w:t>
      </w:r>
      <w:r w:rsidR="00E52D03">
        <w:rPr>
          <w:sz w:val="26"/>
          <w:szCs w:val="26"/>
        </w:rPr>
        <w:t>.</w:t>
      </w:r>
      <w:r w:rsidR="003D460F">
        <w:rPr>
          <w:sz w:val="26"/>
          <w:szCs w:val="26"/>
        </w:rPr>
        <w:t xml:space="preserve">  </w:t>
      </w:r>
      <w:r w:rsidR="009A6997">
        <w:rPr>
          <w:sz w:val="26"/>
          <w:szCs w:val="26"/>
        </w:rPr>
        <w:t>PGW also explained that it had received a medical certificate</w:t>
      </w:r>
      <w:r w:rsidR="003120BA">
        <w:rPr>
          <w:sz w:val="26"/>
          <w:szCs w:val="26"/>
        </w:rPr>
        <w:t xml:space="preserve"> from the Complainant</w:t>
      </w:r>
      <w:r w:rsidR="009A6997">
        <w:rPr>
          <w:sz w:val="26"/>
          <w:szCs w:val="26"/>
        </w:rPr>
        <w:t xml:space="preserve"> for service restoration in October 2012</w:t>
      </w:r>
      <w:r w:rsidR="009B241D">
        <w:rPr>
          <w:sz w:val="26"/>
          <w:szCs w:val="26"/>
        </w:rPr>
        <w:t>,</w:t>
      </w:r>
      <w:r w:rsidR="009A6997">
        <w:rPr>
          <w:sz w:val="26"/>
          <w:szCs w:val="26"/>
        </w:rPr>
        <w:t xml:space="preserve"> but was unable to restore service because </w:t>
      </w:r>
      <w:r w:rsidR="00052CD2">
        <w:rPr>
          <w:sz w:val="26"/>
          <w:szCs w:val="26"/>
        </w:rPr>
        <w:t>repairs</w:t>
      </w:r>
      <w:r w:rsidR="009A6997">
        <w:rPr>
          <w:sz w:val="26"/>
          <w:szCs w:val="26"/>
        </w:rPr>
        <w:t xml:space="preserve"> </w:t>
      </w:r>
      <w:r w:rsidR="009B241D">
        <w:rPr>
          <w:sz w:val="26"/>
          <w:szCs w:val="26"/>
        </w:rPr>
        <w:t>were needed to the</w:t>
      </w:r>
      <w:r w:rsidR="009A6997">
        <w:rPr>
          <w:sz w:val="26"/>
          <w:szCs w:val="26"/>
        </w:rPr>
        <w:t xml:space="preserve"> chimney and flue pipe</w:t>
      </w:r>
      <w:r w:rsidR="009B241D">
        <w:rPr>
          <w:sz w:val="26"/>
          <w:szCs w:val="26"/>
        </w:rPr>
        <w:t xml:space="preserve"> at the service address.  The Company</w:t>
      </w:r>
      <w:r w:rsidR="009A6997">
        <w:rPr>
          <w:sz w:val="26"/>
          <w:szCs w:val="26"/>
        </w:rPr>
        <w:t xml:space="preserve"> further explained that it attempted on several occasions to restore service, but the necessary </w:t>
      </w:r>
      <w:r w:rsidR="00052CD2">
        <w:rPr>
          <w:sz w:val="26"/>
          <w:szCs w:val="26"/>
        </w:rPr>
        <w:t>repairs</w:t>
      </w:r>
      <w:r w:rsidR="009A6997">
        <w:rPr>
          <w:sz w:val="26"/>
          <w:szCs w:val="26"/>
        </w:rPr>
        <w:t xml:space="preserve"> were never completed.  Fina</w:t>
      </w:r>
      <w:r w:rsidR="009B241D">
        <w:rPr>
          <w:sz w:val="26"/>
          <w:szCs w:val="26"/>
        </w:rPr>
        <w:t xml:space="preserve">lly, PGW stated </w:t>
      </w:r>
      <w:r w:rsidR="009A6997">
        <w:rPr>
          <w:sz w:val="26"/>
          <w:szCs w:val="26"/>
        </w:rPr>
        <w:t xml:space="preserve">that the Complainant had satisfied his account balance but had not paid a required reconnection fee or security deposit.  </w:t>
      </w:r>
    </w:p>
    <w:p w:rsidR="00705E9B" w:rsidRDefault="00705E9B" w:rsidP="00B72D14">
      <w:pPr>
        <w:autoSpaceDE w:val="0"/>
        <w:autoSpaceDN w:val="0"/>
        <w:spacing w:line="360" w:lineRule="auto"/>
        <w:ind w:firstLine="1440"/>
        <w:rPr>
          <w:sz w:val="26"/>
          <w:szCs w:val="26"/>
        </w:rPr>
      </w:pPr>
    </w:p>
    <w:p w:rsidR="00B72D14" w:rsidRPr="00B72D14" w:rsidRDefault="00B72D14" w:rsidP="00B72D14">
      <w:pPr>
        <w:autoSpaceDE w:val="0"/>
        <w:autoSpaceDN w:val="0"/>
        <w:spacing w:line="360" w:lineRule="auto"/>
        <w:ind w:firstLine="1440"/>
        <w:rPr>
          <w:sz w:val="26"/>
          <w:szCs w:val="26"/>
        </w:rPr>
      </w:pPr>
      <w:r w:rsidRPr="00B72D14">
        <w:rPr>
          <w:sz w:val="26"/>
          <w:szCs w:val="26"/>
        </w:rPr>
        <w:t>Also o</w:t>
      </w:r>
      <w:r w:rsidR="002275A9">
        <w:rPr>
          <w:sz w:val="26"/>
          <w:szCs w:val="26"/>
        </w:rPr>
        <w:t>n April 29, 2013, PGW filed</w:t>
      </w:r>
      <w:r w:rsidRPr="00B72D14">
        <w:rPr>
          <w:sz w:val="26"/>
          <w:szCs w:val="26"/>
        </w:rPr>
        <w:t xml:space="preserve"> Preliminary Objection</w:t>
      </w:r>
      <w:r w:rsidR="002275A9">
        <w:rPr>
          <w:sz w:val="26"/>
          <w:szCs w:val="26"/>
        </w:rPr>
        <w:t>s</w:t>
      </w:r>
      <w:r w:rsidR="00052CD2">
        <w:rPr>
          <w:sz w:val="26"/>
          <w:szCs w:val="26"/>
        </w:rPr>
        <w:t xml:space="preserve"> seeking to dismiss the Complainant</w:t>
      </w:r>
      <w:r w:rsidRPr="00B72D14">
        <w:rPr>
          <w:sz w:val="26"/>
          <w:szCs w:val="26"/>
        </w:rPr>
        <w:t>’s request for damages as impertinent matter, pursuant to 52 Pa.</w:t>
      </w:r>
      <w:r w:rsidR="004C4381">
        <w:rPr>
          <w:sz w:val="26"/>
          <w:szCs w:val="26"/>
        </w:rPr>
        <w:t xml:space="preserve"> </w:t>
      </w:r>
      <w:r w:rsidRPr="00B72D14">
        <w:rPr>
          <w:sz w:val="26"/>
          <w:szCs w:val="26"/>
        </w:rPr>
        <w:lastRenderedPageBreak/>
        <w:t xml:space="preserve">Code § 5.101(a)(2), on the grounds that the Commission lacks power to award monetary damages. </w:t>
      </w:r>
      <w:r w:rsidR="00052CD2">
        <w:rPr>
          <w:sz w:val="26"/>
          <w:szCs w:val="26"/>
        </w:rPr>
        <w:t xml:space="preserve"> T</w:t>
      </w:r>
      <w:r w:rsidR="002275A9">
        <w:rPr>
          <w:sz w:val="26"/>
          <w:szCs w:val="26"/>
        </w:rPr>
        <w:t xml:space="preserve">he Complainant did not file an </w:t>
      </w:r>
      <w:r w:rsidR="00E04361">
        <w:rPr>
          <w:sz w:val="26"/>
          <w:szCs w:val="26"/>
        </w:rPr>
        <w:t>A</w:t>
      </w:r>
      <w:r w:rsidR="00052CD2">
        <w:rPr>
          <w:sz w:val="26"/>
          <w:szCs w:val="26"/>
        </w:rPr>
        <w:t>nswer to the Preliminary Objections.</w:t>
      </w:r>
      <w:r w:rsidR="003A31A9">
        <w:rPr>
          <w:sz w:val="26"/>
          <w:szCs w:val="26"/>
        </w:rPr>
        <w:t xml:space="preserve">  On May 31, 2013, the ALJ</w:t>
      </w:r>
      <w:r w:rsidRPr="00B72D14">
        <w:rPr>
          <w:sz w:val="26"/>
          <w:szCs w:val="26"/>
        </w:rPr>
        <w:t xml:space="preserve"> issued an Order granting PGW’s Prelimina</w:t>
      </w:r>
      <w:r w:rsidR="003A31A9">
        <w:rPr>
          <w:sz w:val="26"/>
          <w:szCs w:val="26"/>
        </w:rPr>
        <w:t>ry Objection</w:t>
      </w:r>
      <w:r w:rsidR="002275A9">
        <w:rPr>
          <w:sz w:val="26"/>
          <w:szCs w:val="26"/>
        </w:rPr>
        <w:t>s</w:t>
      </w:r>
      <w:r w:rsidR="003A31A9">
        <w:rPr>
          <w:sz w:val="26"/>
          <w:szCs w:val="26"/>
        </w:rPr>
        <w:t xml:space="preserve"> a</w:t>
      </w:r>
      <w:r w:rsidR="002275A9">
        <w:rPr>
          <w:sz w:val="26"/>
          <w:szCs w:val="26"/>
        </w:rPr>
        <w:t>nd dismissing the Complainant’s request for</w:t>
      </w:r>
      <w:r w:rsidRPr="00B72D14">
        <w:rPr>
          <w:sz w:val="26"/>
          <w:szCs w:val="26"/>
        </w:rPr>
        <w:t xml:space="preserve"> monetary damages.</w:t>
      </w:r>
    </w:p>
    <w:p w:rsidR="00B72D14" w:rsidRPr="00B72D14" w:rsidRDefault="00B72D14" w:rsidP="00B72D14">
      <w:pPr>
        <w:spacing w:line="360" w:lineRule="auto"/>
        <w:rPr>
          <w:sz w:val="26"/>
          <w:szCs w:val="26"/>
        </w:rPr>
      </w:pPr>
    </w:p>
    <w:p w:rsidR="00B72D14" w:rsidRDefault="00B72D14" w:rsidP="001C2315">
      <w:pPr>
        <w:tabs>
          <w:tab w:val="left" w:pos="-1440"/>
          <w:tab w:val="left" w:pos="-720"/>
        </w:tabs>
        <w:suppressAutoHyphens/>
        <w:spacing w:line="360" w:lineRule="auto"/>
        <w:ind w:firstLine="1440"/>
        <w:rPr>
          <w:sz w:val="26"/>
          <w:szCs w:val="26"/>
        </w:rPr>
      </w:pPr>
      <w:r w:rsidRPr="00B72D14">
        <w:rPr>
          <w:sz w:val="26"/>
          <w:szCs w:val="26"/>
        </w:rPr>
        <w:t xml:space="preserve">The hearing convened </w:t>
      </w:r>
      <w:r w:rsidR="003A31A9">
        <w:rPr>
          <w:sz w:val="26"/>
          <w:szCs w:val="26"/>
        </w:rPr>
        <w:t xml:space="preserve">on July 11, 2013, </w:t>
      </w:r>
      <w:r w:rsidRPr="00B72D14">
        <w:rPr>
          <w:sz w:val="26"/>
          <w:szCs w:val="26"/>
        </w:rPr>
        <w:t>as scheduled</w:t>
      </w:r>
      <w:r w:rsidR="003A31A9">
        <w:rPr>
          <w:sz w:val="26"/>
          <w:szCs w:val="26"/>
        </w:rPr>
        <w:t>.</w:t>
      </w:r>
      <w:r w:rsidR="003A31A9">
        <w:rPr>
          <w:rStyle w:val="FootnoteReference"/>
          <w:sz w:val="26"/>
          <w:szCs w:val="26"/>
        </w:rPr>
        <w:footnoteReference w:id="1"/>
      </w:r>
      <w:r w:rsidRPr="00B72D14">
        <w:rPr>
          <w:sz w:val="26"/>
          <w:szCs w:val="26"/>
        </w:rPr>
        <w:t xml:space="preserve"> </w:t>
      </w:r>
      <w:r w:rsidR="009E1E4A">
        <w:rPr>
          <w:sz w:val="26"/>
          <w:szCs w:val="26"/>
        </w:rPr>
        <w:t xml:space="preserve"> The Complainant</w:t>
      </w:r>
      <w:r w:rsidRPr="00B72D14">
        <w:rPr>
          <w:sz w:val="26"/>
          <w:szCs w:val="26"/>
        </w:rPr>
        <w:t xml:space="preserve"> appeared </w:t>
      </w:r>
      <w:r w:rsidRPr="00B72D14">
        <w:rPr>
          <w:i/>
          <w:sz w:val="26"/>
          <w:szCs w:val="26"/>
        </w:rPr>
        <w:t xml:space="preserve">pro se </w:t>
      </w:r>
      <w:r w:rsidRPr="00B72D14">
        <w:rPr>
          <w:sz w:val="26"/>
          <w:szCs w:val="26"/>
        </w:rPr>
        <w:t>an</w:t>
      </w:r>
      <w:r w:rsidR="0034369F">
        <w:rPr>
          <w:sz w:val="26"/>
          <w:szCs w:val="26"/>
        </w:rPr>
        <w:t>d</w:t>
      </w:r>
      <w:r w:rsidR="009E1E4A">
        <w:rPr>
          <w:sz w:val="26"/>
          <w:szCs w:val="26"/>
        </w:rPr>
        <w:t xml:space="preserve"> sponsored eight</w:t>
      </w:r>
      <w:r w:rsidRPr="00B72D14">
        <w:rPr>
          <w:sz w:val="26"/>
          <w:szCs w:val="26"/>
        </w:rPr>
        <w:t xml:space="preserve"> exhibits which were admitted into the record.  </w:t>
      </w:r>
      <w:r w:rsidR="0034369F">
        <w:rPr>
          <w:sz w:val="26"/>
          <w:szCs w:val="26"/>
        </w:rPr>
        <w:t>PGW was</w:t>
      </w:r>
      <w:r w:rsidR="009E1E4A">
        <w:rPr>
          <w:sz w:val="26"/>
          <w:szCs w:val="26"/>
        </w:rPr>
        <w:t xml:space="preserve"> represented</w:t>
      </w:r>
      <w:r w:rsidRPr="00B72D14">
        <w:rPr>
          <w:sz w:val="26"/>
          <w:szCs w:val="26"/>
        </w:rPr>
        <w:t xml:space="preserve"> </w:t>
      </w:r>
      <w:r w:rsidR="0034369F">
        <w:rPr>
          <w:sz w:val="26"/>
          <w:szCs w:val="26"/>
        </w:rPr>
        <w:t xml:space="preserve">by counsel </w:t>
      </w:r>
      <w:r w:rsidRPr="00B72D14">
        <w:rPr>
          <w:sz w:val="26"/>
          <w:szCs w:val="26"/>
        </w:rPr>
        <w:t>and pr</w:t>
      </w:r>
      <w:r w:rsidR="009E1E4A">
        <w:rPr>
          <w:sz w:val="26"/>
          <w:szCs w:val="26"/>
        </w:rPr>
        <w:t>esented the testimony of two witnesses as well as five</w:t>
      </w:r>
      <w:r w:rsidRPr="00B72D14">
        <w:rPr>
          <w:sz w:val="26"/>
          <w:szCs w:val="26"/>
        </w:rPr>
        <w:t xml:space="preserve"> exhibits, which were admitted into the record.  The record closed upon receipt of the transcript on August 2, 2013</w:t>
      </w:r>
      <w:r w:rsidR="001C2315">
        <w:rPr>
          <w:sz w:val="26"/>
          <w:szCs w:val="26"/>
        </w:rPr>
        <w:t>.</w:t>
      </w:r>
    </w:p>
    <w:p w:rsidR="001C2315" w:rsidRDefault="001C2315" w:rsidP="001C2315">
      <w:pPr>
        <w:tabs>
          <w:tab w:val="left" w:pos="-1440"/>
          <w:tab w:val="left" w:pos="-720"/>
        </w:tabs>
        <w:suppressAutoHyphens/>
        <w:spacing w:line="360" w:lineRule="auto"/>
        <w:ind w:firstLine="1440"/>
        <w:rPr>
          <w:sz w:val="26"/>
          <w:szCs w:val="26"/>
        </w:rPr>
      </w:pPr>
    </w:p>
    <w:p w:rsidR="001C2315" w:rsidRPr="00002B4F" w:rsidRDefault="001C2315" w:rsidP="001C2315">
      <w:pPr>
        <w:widowControl/>
        <w:tabs>
          <w:tab w:val="left" w:pos="-1440"/>
          <w:tab w:val="left" w:pos="-720"/>
        </w:tabs>
        <w:suppressAutoHyphens/>
        <w:spacing w:line="360" w:lineRule="auto"/>
        <w:ind w:firstLine="1440"/>
        <w:rPr>
          <w:sz w:val="26"/>
          <w:szCs w:val="24"/>
        </w:rPr>
      </w:pPr>
      <w:r w:rsidRPr="00002B4F">
        <w:rPr>
          <w:sz w:val="26"/>
          <w:szCs w:val="24"/>
        </w:rPr>
        <w:t>In the Initial Decision</w:t>
      </w:r>
      <w:r>
        <w:rPr>
          <w:sz w:val="26"/>
          <w:szCs w:val="24"/>
        </w:rPr>
        <w:t>,</w:t>
      </w:r>
      <w:r w:rsidRPr="00002B4F">
        <w:rPr>
          <w:sz w:val="26"/>
          <w:szCs w:val="24"/>
        </w:rPr>
        <w:t xml:space="preserve"> i</w:t>
      </w:r>
      <w:r>
        <w:rPr>
          <w:sz w:val="26"/>
          <w:szCs w:val="24"/>
        </w:rPr>
        <w:t>ssued October 29, 2013, ALJ Vero</w:t>
      </w:r>
      <w:r w:rsidRPr="00002B4F">
        <w:rPr>
          <w:sz w:val="26"/>
          <w:szCs w:val="24"/>
        </w:rPr>
        <w:t xml:space="preserve"> dismissed the Complaint.  As previously indicated, the Complaina</w:t>
      </w:r>
      <w:r>
        <w:rPr>
          <w:sz w:val="26"/>
          <w:szCs w:val="24"/>
        </w:rPr>
        <w:t>nt filed Exceptions</w:t>
      </w:r>
      <w:r w:rsidR="002E31DF">
        <w:rPr>
          <w:sz w:val="26"/>
          <w:szCs w:val="24"/>
        </w:rPr>
        <w:t xml:space="preserve"> </w:t>
      </w:r>
      <w:r>
        <w:rPr>
          <w:sz w:val="26"/>
          <w:szCs w:val="24"/>
        </w:rPr>
        <w:t>on November 18, 2013.</w:t>
      </w:r>
      <w:r w:rsidR="005565D8">
        <w:rPr>
          <w:rStyle w:val="FootnoteReference"/>
          <w:sz w:val="26"/>
          <w:szCs w:val="24"/>
        </w:rPr>
        <w:footnoteReference w:id="2"/>
      </w:r>
      <w:r w:rsidR="00E52D03">
        <w:rPr>
          <w:sz w:val="26"/>
          <w:szCs w:val="24"/>
        </w:rPr>
        <w:t xml:space="preserve"> </w:t>
      </w:r>
      <w:r>
        <w:rPr>
          <w:sz w:val="26"/>
          <w:szCs w:val="24"/>
        </w:rPr>
        <w:t xml:space="preserve"> PGW</w:t>
      </w:r>
      <w:r w:rsidRPr="00002B4F">
        <w:rPr>
          <w:sz w:val="26"/>
          <w:szCs w:val="24"/>
        </w:rPr>
        <w:t xml:space="preserve"> filed Repl</w:t>
      </w:r>
      <w:r>
        <w:rPr>
          <w:sz w:val="26"/>
          <w:szCs w:val="24"/>
        </w:rPr>
        <w:t>ies to Exceptions on December 2</w:t>
      </w:r>
      <w:r w:rsidRPr="00002B4F">
        <w:rPr>
          <w:sz w:val="26"/>
          <w:szCs w:val="24"/>
        </w:rPr>
        <w:t>, 2013.</w:t>
      </w:r>
      <w:r w:rsidR="00E52D03">
        <w:rPr>
          <w:sz w:val="26"/>
          <w:szCs w:val="24"/>
        </w:rPr>
        <w:t xml:space="preserve">  </w:t>
      </w:r>
    </w:p>
    <w:p w:rsidR="00CA43A5" w:rsidRDefault="00CA43A5" w:rsidP="00CA43A5">
      <w:pPr>
        <w:spacing w:line="360" w:lineRule="auto"/>
        <w:jc w:val="center"/>
        <w:rPr>
          <w:b/>
          <w:sz w:val="26"/>
          <w:szCs w:val="26"/>
        </w:rPr>
      </w:pPr>
      <w:r w:rsidRPr="00CA43A5">
        <w:rPr>
          <w:b/>
          <w:sz w:val="26"/>
          <w:szCs w:val="26"/>
        </w:rPr>
        <w:lastRenderedPageBreak/>
        <w:t>Discussion</w:t>
      </w:r>
    </w:p>
    <w:p w:rsidR="005C1B90" w:rsidRPr="00CA43A5" w:rsidRDefault="005C1B90" w:rsidP="00CA43A5">
      <w:pPr>
        <w:spacing w:line="360" w:lineRule="auto"/>
        <w:jc w:val="center"/>
        <w:rPr>
          <w:sz w:val="26"/>
          <w:szCs w:val="26"/>
        </w:rPr>
      </w:pPr>
    </w:p>
    <w:p w:rsidR="007F7270" w:rsidRPr="00D36748" w:rsidRDefault="007F7270" w:rsidP="007F7270">
      <w:pPr>
        <w:spacing w:line="360" w:lineRule="auto"/>
        <w:contextualSpacing/>
        <w:rPr>
          <w:b/>
          <w:sz w:val="26"/>
          <w:szCs w:val="26"/>
        </w:rPr>
      </w:pPr>
      <w:r w:rsidRPr="00D36748">
        <w:rPr>
          <w:b/>
          <w:sz w:val="26"/>
          <w:szCs w:val="26"/>
        </w:rPr>
        <w:t>Legal Standards</w:t>
      </w:r>
    </w:p>
    <w:p w:rsidR="0043592C" w:rsidRDefault="0043592C" w:rsidP="007F7270">
      <w:pPr>
        <w:spacing w:line="360" w:lineRule="auto"/>
        <w:rPr>
          <w:sz w:val="26"/>
          <w:szCs w:val="26"/>
        </w:rPr>
      </w:pPr>
    </w:p>
    <w:p w:rsidR="001F6FFF" w:rsidRDefault="001F6FFF" w:rsidP="001F6FFF">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 xml:space="preserve">Public Utility </w:t>
      </w:r>
      <w:r w:rsidRPr="00CA43A5">
        <w:rPr>
          <w:sz w:val="26"/>
          <w:szCs w:val="26"/>
        </w:rPr>
        <w:t>Code</w:t>
      </w:r>
      <w:r>
        <w:rPr>
          <w:sz w:val="26"/>
          <w:szCs w:val="26"/>
        </w:rPr>
        <w:t xml:space="preserve"> (Code)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1F6FFF" w:rsidRPr="00CA43A5" w:rsidRDefault="001F6FFF" w:rsidP="001F6FFF">
      <w:pPr>
        <w:widowControl/>
        <w:spacing w:line="360" w:lineRule="auto"/>
        <w:rPr>
          <w:sz w:val="26"/>
          <w:szCs w:val="26"/>
        </w:rPr>
      </w:pPr>
    </w:p>
    <w:p w:rsidR="001F6FFF" w:rsidRPr="00CC1FD7" w:rsidRDefault="001F6FFF" w:rsidP="001F6FFF">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sidR="004C4381">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rsidR="001F6FFF" w:rsidRPr="00182752" w:rsidRDefault="001F6FFF" w:rsidP="001F6FFF">
      <w:pPr>
        <w:widowControl/>
        <w:spacing w:line="360" w:lineRule="auto"/>
        <w:ind w:firstLine="1440"/>
        <w:rPr>
          <w:sz w:val="26"/>
        </w:rPr>
      </w:pPr>
    </w:p>
    <w:p w:rsidR="001F6FFF" w:rsidRDefault="001F6FFF" w:rsidP="001F6FFF">
      <w:pPr>
        <w:widowControl/>
        <w:spacing w:line="360" w:lineRule="auto"/>
        <w:ind w:firstLine="1440"/>
        <w:rPr>
          <w:i/>
          <w:sz w:val="26"/>
        </w:rPr>
      </w:pPr>
      <w:r w:rsidRPr="00182752">
        <w:rPr>
          <w:sz w:val="26"/>
        </w:rPr>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E52D03">
        <w:rPr>
          <w:rStyle w:val="term1"/>
          <w:b w:val="0"/>
          <w:bCs w:val="0"/>
          <w:sz w:val="26"/>
        </w:rPr>
        <w:t xml:space="preserve"> </w:t>
      </w:r>
      <w:r w:rsidRPr="008F16A1">
        <w:rPr>
          <w:rStyle w:val="term1"/>
          <w:b w:val="0"/>
          <w:bCs w:val="0"/>
          <w:sz w:val="26"/>
        </w:rPr>
        <w:t>The burden of proof</w:t>
      </w:r>
      <w:r w:rsidRPr="008F16A1">
        <w:rPr>
          <w:sz w:val="26"/>
        </w:rPr>
        <w:t xml:space="preserve"> always </w:t>
      </w:r>
      <w:r w:rsidRPr="008F16A1">
        <w:rPr>
          <w:sz w:val="26"/>
        </w:rPr>
        <w:lastRenderedPageBreak/>
        <w:t>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1F6FFF" w:rsidRPr="00CA43A5" w:rsidRDefault="001F6FFF" w:rsidP="001F6FFF">
      <w:pPr>
        <w:widowControl/>
        <w:spacing w:line="360" w:lineRule="auto"/>
        <w:rPr>
          <w:sz w:val="26"/>
          <w:szCs w:val="26"/>
        </w:rPr>
      </w:pPr>
    </w:p>
    <w:p w:rsidR="00990F9E" w:rsidRDefault="001F6FFF" w:rsidP="00290847">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1" w:history="1">
        <w:r w:rsidRPr="002A6750">
          <w:rPr>
            <w:rStyle w:val="Emphasis"/>
            <w:color w:val="000000"/>
            <w:sz w:val="26"/>
            <w:szCs w:val="26"/>
          </w:rPr>
          <w:t xml:space="preserve">University of </w:t>
        </w:r>
        <w:r>
          <w:rPr>
            <w:rStyle w:val="Emphasis"/>
            <w:color w:val="000000"/>
            <w:sz w:val="26"/>
            <w:szCs w:val="26"/>
          </w:rPr>
          <w:t xml:space="preserve">Pennsylvania </w:t>
        </w:r>
        <w:r w:rsidRPr="002A6750">
          <w:rPr>
            <w:rStyle w:val="Emphasis"/>
            <w:color w:val="000000"/>
            <w:sz w:val="26"/>
            <w:szCs w:val="26"/>
          </w:rPr>
          <w:t>v. Pa. PUC</w:t>
        </w:r>
        <w:r w:rsidRPr="002A6750">
          <w:rPr>
            <w:rStyle w:val="Hyperlink"/>
            <w:color w:val="000000"/>
            <w:sz w:val="26"/>
            <w:szCs w:val="26"/>
            <w:u w:val="none"/>
          </w:rPr>
          <w:t>, 485 A.2d 1217 (Pa. Cmwlth. 1984).</w:t>
        </w:r>
      </w:hyperlink>
      <w:r w:rsidRPr="002A6750">
        <w:rPr>
          <w:sz w:val="26"/>
          <w:szCs w:val="26"/>
        </w:rPr>
        <w:t xml:space="preserve"> </w:t>
      </w:r>
    </w:p>
    <w:p w:rsidR="00990F9E" w:rsidRDefault="00990F9E" w:rsidP="00006F35">
      <w:pPr>
        <w:spacing w:line="360" w:lineRule="auto"/>
        <w:ind w:firstLine="1440"/>
        <w:rPr>
          <w:sz w:val="26"/>
          <w:szCs w:val="26"/>
        </w:rPr>
      </w:pPr>
    </w:p>
    <w:p w:rsidR="00006F35" w:rsidRDefault="00802E4F" w:rsidP="00802E4F">
      <w:pPr>
        <w:spacing w:line="360" w:lineRule="auto"/>
        <w:rPr>
          <w:b/>
          <w:sz w:val="26"/>
          <w:szCs w:val="26"/>
        </w:rPr>
      </w:pPr>
      <w:r>
        <w:rPr>
          <w:b/>
          <w:sz w:val="26"/>
          <w:szCs w:val="26"/>
        </w:rPr>
        <w:t>ALJ’s Initial Decision</w:t>
      </w:r>
    </w:p>
    <w:p w:rsidR="00802E4F" w:rsidRDefault="00802E4F" w:rsidP="00006F35">
      <w:pPr>
        <w:spacing w:line="360" w:lineRule="auto"/>
        <w:ind w:firstLine="1440"/>
        <w:rPr>
          <w:b/>
          <w:sz w:val="26"/>
          <w:szCs w:val="26"/>
        </w:rPr>
      </w:pPr>
    </w:p>
    <w:p w:rsidR="00802E4F" w:rsidRDefault="00990F9E" w:rsidP="00802E4F">
      <w:pPr>
        <w:spacing w:line="360" w:lineRule="auto"/>
        <w:ind w:firstLine="1440"/>
        <w:rPr>
          <w:sz w:val="26"/>
          <w:szCs w:val="26"/>
        </w:rPr>
      </w:pPr>
      <w:r>
        <w:rPr>
          <w:sz w:val="26"/>
          <w:szCs w:val="26"/>
        </w:rPr>
        <w:t>ALJ Vero made forty-five</w:t>
      </w:r>
      <w:r w:rsidR="00802E4F" w:rsidRPr="00CA43A5">
        <w:rPr>
          <w:sz w:val="26"/>
          <w:szCs w:val="26"/>
        </w:rPr>
        <w:t xml:space="preserve"> Find</w:t>
      </w:r>
      <w:r>
        <w:rPr>
          <w:sz w:val="26"/>
          <w:szCs w:val="26"/>
        </w:rPr>
        <w:t>ings of Fact and reached eight</w:t>
      </w:r>
      <w:r w:rsidR="00802E4F" w:rsidRPr="00CA43A5">
        <w:rPr>
          <w:sz w:val="26"/>
          <w:szCs w:val="26"/>
        </w:rPr>
        <w:t xml:space="preserve"> Conclusions of Law.  </w:t>
      </w:r>
      <w:r>
        <w:rPr>
          <w:sz w:val="26"/>
          <w:szCs w:val="26"/>
        </w:rPr>
        <w:t xml:space="preserve">I.D. at 3-9, 19.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B8140A" w:rsidRDefault="00B8140A" w:rsidP="00802E4F">
      <w:pPr>
        <w:spacing w:line="360" w:lineRule="auto"/>
        <w:ind w:firstLine="1440"/>
        <w:rPr>
          <w:sz w:val="26"/>
          <w:szCs w:val="26"/>
        </w:rPr>
      </w:pPr>
    </w:p>
    <w:p w:rsidR="00B8140A" w:rsidRDefault="00486579" w:rsidP="008B32DA">
      <w:pPr>
        <w:widowControl/>
        <w:spacing w:line="360" w:lineRule="auto"/>
        <w:ind w:firstLine="1440"/>
        <w:rPr>
          <w:sz w:val="26"/>
          <w:szCs w:val="26"/>
        </w:rPr>
      </w:pPr>
      <w:r>
        <w:rPr>
          <w:sz w:val="26"/>
          <w:szCs w:val="26"/>
        </w:rPr>
        <w:t xml:space="preserve">In her Initial Decision, </w:t>
      </w:r>
      <w:r w:rsidR="00E44A8D">
        <w:rPr>
          <w:sz w:val="26"/>
          <w:szCs w:val="26"/>
        </w:rPr>
        <w:t xml:space="preserve">the ALJ found that the Complainant was properly terminated for a past due balance of over $200 which consisted of actual charges, not budget billing charges, </w:t>
      </w:r>
      <w:r w:rsidR="00A054F1">
        <w:rPr>
          <w:sz w:val="26"/>
          <w:szCs w:val="26"/>
        </w:rPr>
        <w:t xml:space="preserve">and </w:t>
      </w:r>
      <w:r w:rsidR="00E44A8D">
        <w:rPr>
          <w:sz w:val="26"/>
          <w:szCs w:val="26"/>
        </w:rPr>
        <w:t>that PGW is allowed to require a reconn</w:t>
      </w:r>
      <w:r w:rsidR="00A054F1">
        <w:rPr>
          <w:sz w:val="26"/>
          <w:szCs w:val="26"/>
        </w:rPr>
        <w:t>ection fee and</w:t>
      </w:r>
      <w:r w:rsidR="00E44A8D">
        <w:rPr>
          <w:sz w:val="26"/>
          <w:szCs w:val="26"/>
        </w:rPr>
        <w:t xml:space="preserve"> impose a security deposit. </w:t>
      </w:r>
      <w:r w:rsidR="004D5556">
        <w:rPr>
          <w:sz w:val="26"/>
          <w:szCs w:val="26"/>
        </w:rPr>
        <w:t xml:space="preserve"> </w:t>
      </w:r>
      <w:r w:rsidR="003120BA">
        <w:rPr>
          <w:sz w:val="26"/>
          <w:szCs w:val="26"/>
        </w:rPr>
        <w:t xml:space="preserve">I.D. at 15.  </w:t>
      </w:r>
      <w:r w:rsidR="00B06BA6">
        <w:rPr>
          <w:sz w:val="26"/>
          <w:szCs w:val="26"/>
        </w:rPr>
        <w:t>Turning to the Complainant’s allegation that he had</w:t>
      </w:r>
      <w:r w:rsidR="003120BA">
        <w:rPr>
          <w:sz w:val="26"/>
          <w:szCs w:val="26"/>
        </w:rPr>
        <w:t xml:space="preserve"> not</w:t>
      </w:r>
      <w:r w:rsidR="003D6956">
        <w:rPr>
          <w:sz w:val="26"/>
          <w:szCs w:val="26"/>
        </w:rPr>
        <w:t xml:space="preserve"> rec</w:t>
      </w:r>
      <w:r w:rsidR="00F61596">
        <w:rPr>
          <w:sz w:val="26"/>
          <w:szCs w:val="26"/>
        </w:rPr>
        <w:t>e</w:t>
      </w:r>
      <w:r w:rsidR="003D6956">
        <w:rPr>
          <w:sz w:val="26"/>
          <w:szCs w:val="26"/>
        </w:rPr>
        <w:t>i</w:t>
      </w:r>
      <w:r w:rsidR="00F61596">
        <w:rPr>
          <w:sz w:val="26"/>
          <w:szCs w:val="26"/>
        </w:rPr>
        <w:t>ved</w:t>
      </w:r>
      <w:r w:rsidR="003120BA">
        <w:rPr>
          <w:sz w:val="26"/>
          <w:szCs w:val="26"/>
        </w:rPr>
        <w:t xml:space="preserve"> a notice from PGW prior to termination</w:t>
      </w:r>
      <w:r w:rsidR="00B06BA6">
        <w:rPr>
          <w:sz w:val="26"/>
          <w:szCs w:val="26"/>
        </w:rPr>
        <w:t>, the</w:t>
      </w:r>
      <w:r w:rsidR="00F152A6">
        <w:rPr>
          <w:sz w:val="26"/>
          <w:szCs w:val="26"/>
        </w:rPr>
        <w:t xml:space="preserve"> ALJ found that</w:t>
      </w:r>
      <w:r>
        <w:rPr>
          <w:sz w:val="26"/>
          <w:szCs w:val="26"/>
        </w:rPr>
        <w:t xml:space="preserve"> he had</w:t>
      </w:r>
      <w:r w:rsidR="003120BA">
        <w:rPr>
          <w:sz w:val="26"/>
          <w:szCs w:val="26"/>
        </w:rPr>
        <w:t xml:space="preserve"> indeed received the required ten-</w:t>
      </w:r>
      <w:r>
        <w:rPr>
          <w:sz w:val="26"/>
          <w:szCs w:val="26"/>
        </w:rPr>
        <w:t>day termination notice</w:t>
      </w:r>
      <w:r w:rsidR="00F61596">
        <w:rPr>
          <w:sz w:val="26"/>
          <w:szCs w:val="26"/>
        </w:rPr>
        <w:t>,</w:t>
      </w:r>
      <w:r w:rsidR="003120BA">
        <w:rPr>
          <w:sz w:val="26"/>
          <w:szCs w:val="26"/>
        </w:rPr>
        <w:t xml:space="preserve"> as well as two 72-hour notices</w:t>
      </w:r>
      <w:r>
        <w:rPr>
          <w:sz w:val="26"/>
          <w:szCs w:val="26"/>
        </w:rPr>
        <w:t>.  The ALJ noted that the Complainant’s issue appeared to be with a post-termination notice as the one he received on the day of termination bore a different date.</w:t>
      </w:r>
      <w:r w:rsidR="00590C8D">
        <w:rPr>
          <w:sz w:val="26"/>
          <w:szCs w:val="26"/>
        </w:rPr>
        <w:t xml:space="preserve">  </w:t>
      </w:r>
      <w:r w:rsidR="003318AE">
        <w:rPr>
          <w:sz w:val="26"/>
          <w:szCs w:val="26"/>
        </w:rPr>
        <w:t>H</w:t>
      </w:r>
      <w:r w:rsidR="00E44A8D">
        <w:rPr>
          <w:sz w:val="26"/>
          <w:szCs w:val="26"/>
        </w:rPr>
        <w:t>owever, she</w:t>
      </w:r>
      <w:r w:rsidR="003318AE">
        <w:rPr>
          <w:sz w:val="26"/>
          <w:szCs w:val="26"/>
        </w:rPr>
        <w:t xml:space="preserve"> observed</w:t>
      </w:r>
      <w:r w:rsidR="001B02F1">
        <w:rPr>
          <w:sz w:val="26"/>
          <w:szCs w:val="26"/>
        </w:rPr>
        <w:t xml:space="preserve"> that he did not produce a copy of the post-termination notice showing a date</w:t>
      </w:r>
      <w:r w:rsidR="00F152A6">
        <w:rPr>
          <w:sz w:val="26"/>
          <w:szCs w:val="26"/>
        </w:rPr>
        <w:t xml:space="preserve"> discrepancy</w:t>
      </w:r>
      <w:r w:rsidR="003E1858">
        <w:rPr>
          <w:sz w:val="26"/>
          <w:szCs w:val="26"/>
        </w:rPr>
        <w:t>,</w:t>
      </w:r>
      <w:r w:rsidR="00F152A6">
        <w:rPr>
          <w:sz w:val="26"/>
          <w:szCs w:val="26"/>
        </w:rPr>
        <w:t xml:space="preserve"> and</w:t>
      </w:r>
      <w:r w:rsidR="003E1858">
        <w:rPr>
          <w:sz w:val="26"/>
          <w:szCs w:val="26"/>
        </w:rPr>
        <w:t>,</w:t>
      </w:r>
      <w:r w:rsidR="00F152A6">
        <w:rPr>
          <w:sz w:val="26"/>
          <w:szCs w:val="26"/>
        </w:rPr>
        <w:t xml:space="preserve"> even if he had</w:t>
      </w:r>
      <w:r w:rsidR="003E1858">
        <w:rPr>
          <w:sz w:val="26"/>
          <w:szCs w:val="26"/>
        </w:rPr>
        <w:t>,</w:t>
      </w:r>
      <w:r w:rsidR="001B02F1">
        <w:rPr>
          <w:sz w:val="26"/>
          <w:szCs w:val="26"/>
        </w:rPr>
        <w:t xml:space="preserve"> it would not prove unreasonable service</w:t>
      </w:r>
      <w:r w:rsidR="00F152A6">
        <w:rPr>
          <w:sz w:val="26"/>
          <w:szCs w:val="26"/>
        </w:rPr>
        <w:t xml:space="preserve"> as he had received the notice</w:t>
      </w:r>
      <w:r w:rsidR="00E52D03">
        <w:rPr>
          <w:sz w:val="26"/>
          <w:szCs w:val="26"/>
        </w:rPr>
        <w:t>.</w:t>
      </w:r>
      <w:r w:rsidR="00E44A8D">
        <w:rPr>
          <w:sz w:val="26"/>
          <w:szCs w:val="26"/>
        </w:rPr>
        <w:t xml:space="preserve">  </w:t>
      </w:r>
      <w:r w:rsidR="003120BA">
        <w:rPr>
          <w:sz w:val="26"/>
          <w:szCs w:val="26"/>
        </w:rPr>
        <w:t xml:space="preserve">I.D. at 15-16. </w:t>
      </w:r>
    </w:p>
    <w:p w:rsidR="00B06BA6" w:rsidRDefault="00B06BA6" w:rsidP="00802E4F">
      <w:pPr>
        <w:spacing w:line="360" w:lineRule="auto"/>
        <w:ind w:firstLine="1440"/>
        <w:rPr>
          <w:sz w:val="26"/>
          <w:szCs w:val="26"/>
        </w:rPr>
      </w:pPr>
    </w:p>
    <w:p w:rsidR="00B06BA6" w:rsidRPr="00CA43A5" w:rsidRDefault="00B06BA6" w:rsidP="00802E4F">
      <w:pPr>
        <w:spacing w:line="360" w:lineRule="auto"/>
        <w:ind w:firstLine="1440"/>
        <w:rPr>
          <w:sz w:val="26"/>
          <w:szCs w:val="26"/>
        </w:rPr>
      </w:pPr>
      <w:r>
        <w:rPr>
          <w:sz w:val="26"/>
          <w:szCs w:val="26"/>
        </w:rPr>
        <w:lastRenderedPageBreak/>
        <w:t>Finally,</w:t>
      </w:r>
      <w:r w:rsidR="000848E6">
        <w:rPr>
          <w:sz w:val="26"/>
          <w:szCs w:val="26"/>
        </w:rPr>
        <w:t xml:space="preserve"> t</w:t>
      </w:r>
      <w:r w:rsidR="00D94DE2">
        <w:rPr>
          <w:sz w:val="26"/>
          <w:szCs w:val="26"/>
        </w:rPr>
        <w:t>he ALJ concluded</w:t>
      </w:r>
      <w:r w:rsidR="00DA4D98">
        <w:rPr>
          <w:sz w:val="26"/>
          <w:szCs w:val="26"/>
        </w:rPr>
        <w:t xml:space="preserve"> that PGW</w:t>
      </w:r>
      <w:r w:rsidR="000848E6">
        <w:rPr>
          <w:sz w:val="26"/>
          <w:szCs w:val="26"/>
        </w:rPr>
        <w:t xml:space="preserve"> had gone above and beyond its call of duty to restore</w:t>
      </w:r>
      <w:r w:rsidR="00B54BC7">
        <w:rPr>
          <w:sz w:val="26"/>
          <w:szCs w:val="26"/>
        </w:rPr>
        <w:t xml:space="preserve"> the C</w:t>
      </w:r>
      <w:r w:rsidR="00D94DE2">
        <w:rPr>
          <w:sz w:val="26"/>
          <w:szCs w:val="26"/>
        </w:rPr>
        <w:t>omplainant’s service.  She found</w:t>
      </w:r>
      <w:r w:rsidR="00B54BC7">
        <w:rPr>
          <w:sz w:val="26"/>
          <w:szCs w:val="26"/>
        </w:rPr>
        <w:t xml:space="preserve"> that PGW</w:t>
      </w:r>
      <w:r w:rsidR="000848E6">
        <w:rPr>
          <w:sz w:val="26"/>
          <w:szCs w:val="26"/>
        </w:rPr>
        <w:t xml:space="preserve"> had attempted to restore service the same day it had received a medical certificate</w:t>
      </w:r>
      <w:r w:rsidR="00B54BC7">
        <w:rPr>
          <w:sz w:val="26"/>
          <w:szCs w:val="26"/>
        </w:rPr>
        <w:t xml:space="preserve">.  Additionally, its employees </w:t>
      </w:r>
      <w:r w:rsidR="000848E6">
        <w:rPr>
          <w:sz w:val="26"/>
          <w:szCs w:val="26"/>
        </w:rPr>
        <w:t xml:space="preserve">had attempted several times </w:t>
      </w:r>
      <w:r w:rsidR="00B54BC7">
        <w:rPr>
          <w:sz w:val="26"/>
          <w:szCs w:val="26"/>
        </w:rPr>
        <w:t>subsequently to restore service</w:t>
      </w:r>
      <w:r w:rsidR="009974E2">
        <w:rPr>
          <w:sz w:val="26"/>
          <w:szCs w:val="26"/>
        </w:rPr>
        <w:t>,</w:t>
      </w:r>
      <w:r w:rsidR="00B54BC7">
        <w:rPr>
          <w:sz w:val="26"/>
          <w:szCs w:val="26"/>
        </w:rPr>
        <w:t xml:space="preserve"> but had been</w:t>
      </w:r>
      <w:r w:rsidR="000848E6">
        <w:rPr>
          <w:sz w:val="26"/>
          <w:szCs w:val="26"/>
        </w:rPr>
        <w:t xml:space="preserve"> unable to do</w:t>
      </w:r>
      <w:r w:rsidR="00B54BC7">
        <w:rPr>
          <w:sz w:val="26"/>
          <w:szCs w:val="26"/>
        </w:rPr>
        <w:t xml:space="preserve"> so due to the existence of hazardous conditions; the</w:t>
      </w:r>
      <w:r w:rsidR="00BC2FEA">
        <w:rPr>
          <w:sz w:val="26"/>
          <w:szCs w:val="26"/>
        </w:rPr>
        <w:t xml:space="preserve"> chimney and flue pipe need</w:t>
      </w:r>
      <w:r w:rsidR="00B54BC7">
        <w:rPr>
          <w:sz w:val="26"/>
          <w:szCs w:val="26"/>
        </w:rPr>
        <w:t>ed</w:t>
      </w:r>
      <w:r w:rsidR="00BC2FEA">
        <w:rPr>
          <w:sz w:val="26"/>
          <w:szCs w:val="26"/>
        </w:rPr>
        <w:t xml:space="preserve"> repairs b</w:t>
      </w:r>
      <w:r w:rsidR="003120BA">
        <w:rPr>
          <w:sz w:val="26"/>
          <w:szCs w:val="26"/>
        </w:rPr>
        <w:t xml:space="preserve">efore service could be restored.  I.D. at 17. </w:t>
      </w:r>
    </w:p>
    <w:p w:rsidR="00D85189" w:rsidRDefault="00D85189" w:rsidP="00006F35">
      <w:pPr>
        <w:spacing w:line="360" w:lineRule="auto"/>
        <w:ind w:firstLine="1440"/>
        <w:rPr>
          <w:b/>
          <w:sz w:val="26"/>
          <w:szCs w:val="26"/>
        </w:rPr>
      </w:pPr>
    </w:p>
    <w:p w:rsidR="00006F35" w:rsidRDefault="00804BE4" w:rsidP="00804BE4">
      <w:pPr>
        <w:widowControl/>
        <w:spacing w:line="360" w:lineRule="auto"/>
        <w:contextualSpacing/>
        <w:rPr>
          <w:b/>
          <w:sz w:val="26"/>
          <w:szCs w:val="26"/>
        </w:rPr>
      </w:pPr>
      <w:r>
        <w:rPr>
          <w:b/>
          <w:sz w:val="26"/>
          <w:szCs w:val="26"/>
        </w:rPr>
        <w:t>Exceptions, Replies and Disposition</w:t>
      </w:r>
    </w:p>
    <w:p w:rsidR="00B8140A" w:rsidRDefault="00B8140A" w:rsidP="00804BE4">
      <w:pPr>
        <w:widowControl/>
        <w:spacing w:line="360" w:lineRule="auto"/>
        <w:contextualSpacing/>
        <w:rPr>
          <w:b/>
          <w:sz w:val="26"/>
          <w:szCs w:val="26"/>
        </w:rPr>
      </w:pPr>
    </w:p>
    <w:p w:rsidR="0030447C" w:rsidRDefault="0030447C" w:rsidP="00804BE4">
      <w:pPr>
        <w:widowControl/>
        <w:spacing w:line="360" w:lineRule="auto"/>
        <w:contextualSpacing/>
        <w:rPr>
          <w:sz w:val="26"/>
          <w:szCs w:val="26"/>
        </w:rPr>
      </w:pPr>
      <w:r>
        <w:rPr>
          <w:b/>
          <w:sz w:val="26"/>
          <w:szCs w:val="26"/>
        </w:rPr>
        <w:tab/>
      </w:r>
      <w:r>
        <w:rPr>
          <w:b/>
          <w:sz w:val="26"/>
          <w:szCs w:val="26"/>
        </w:rPr>
        <w:tab/>
      </w:r>
      <w:r>
        <w:rPr>
          <w:sz w:val="26"/>
          <w:szCs w:val="26"/>
        </w:rPr>
        <w:t xml:space="preserve">In his first Exception, </w:t>
      </w:r>
      <w:r w:rsidR="00813DFC">
        <w:rPr>
          <w:sz w:val="26"/>
          <w:szCs w:val="26"/>
        </w:rPr>
        <w:t xml:space="preserve">the Complainant avers that he had </w:t>
      </w:r>
      <w:r w:rsidR="008532B7">
        <w:rPr>
          <w:sz w:val="26"/>
          <w:szCs w:val="26"/>
        </w:rPr>
        <w:t>not</w:t>
      </w:r>
      <w:r w:rsidR="00813DFC">
        <w:rPr>
          <w:sz w:val="26"/>
          <w:szCs w:val="26"/>
        </w:rPr>
        <w:t xml:space="preserve"> been</w:t>
      </w:r>
      <w:r w:rsidR="008532B7">
        <w:rPr>
          <w:sz w:val="26"/>
          <w:szCs w:val="26"/>
        </w:rPr>
        <w:t xml:space="preserve"> served</w:t>
      </w:r>
      <w:r w:rsidR="00813DFC">
        <w:rPr>
          <w:sz w:val="26"/>
          <w:szCs w:val="26"/>
        </w:rPr>
        <w:t xml:space="preserve"> with PGW’s</w:t>
      </w:r>
      <w:r w:rsidR="002514B4">
        <w:rPr>
          <w:sz w:val="26"/>
          <w:szCs w:val="26"/>
        </w:rPr>
        <w:t xml:space="preserve"> Answer or</w:t>
      </w:r>
      <w:r>
        <w:rPr>
          <w:sz w:val="26"/>
          <w:szCs w:val="26"/>
        </w:rPr>
        <w:t xml:space="preserve"> Preliminary Objections.  </w:t>
      </w:r>
      <w:r w:rsidR="00D9241F">
        <w:rPr>
          <w:sz w:val="26"/>
          <w:szCs w:val="26"/>
        </w:rPr>
        <w:t>He</w:t>
      </w:r>
      <w:r>
        <w:rPr>
          <w:sz w:val="26"/>
          <w:szCs w:val="26"/>
        </w:rPr>
        <w:t xml:space="preserve"> argues that because he was not served, he was </w:t>
      </w:r>
      <w:r w:rsidR="002514B4">
        <w:rPr>
          <w:sz w:val="26"/>
          <w:szCs w:val="26"/>
        </w:rPr>
        <w:t>unable to respond.</w:t>
      </w:r>
      <w:r w:rsidR="00730C1B">
        <w:rPr>
          <w:sz w:val="26"/>
          <w:szCs w:val="26"/>
        </w:rPr>
        <w:t xml:space="preserve">  He states that he had made a </w:t>
      </w:r>
      <w:r w:rsidR="00C276EA">
        <w:rPr>
          <w:sz w:val="26"/>
          <w:szCs w:val="26"/>
        </w:rPr>
        <w:t>m</w:t>
      </w:r>
      <w:r w:rsidR="00730C1B">
        <w:rPr>
          <w:sz w:val="26"/>
          <w:szCs w:val="26"/>
        </w:rPr>
        <w:t xml:space="preserve">otion for </w:t>
      </w:r>
      <w:r w:rsidR="00C276EA">
        <w:rPr>
          <w:sz w:val="26"/>
          <w:szCs w:val="26"/>
        </w:rPr>
        <w:t>d</w:t>
      </w:r>
      <w:r w:rsidR="00730C1B">
        <w:rPr>
          <w:sz w:val="26"/>
          <w:szCs w:val="26"/>
        </w:rPr>
        <w:t xml:space="preserve">efault </w:t>
      </w:r>
      <w:r w:rsidR="00C276EA">
        <w:rPr>
          <w:sz w:val="26"/>
          <w:szCs w:val="26"/>
        </w:rPr>
        <w:t>j</w:t>
      </w:r>
      <w:r w:rsidR="002514B4">
        <w:rPr>
          <w:sz w:val="26"/>
          <w:szCs w:val="26"/>
        </w:rPr>
        <w:t xml:space="preserve">udgment </w:t>
      </w:r>
      <w:r w:rsidR="00D94DE2">
        <w:rPr>
          <w:sz w:val="26"/>
          <w:szCs w:val="26"/>
        </w:rPr>
        <w:t xml:space="preserve">based on the lack of service </w:t>
      </w:r>
      <w:r w:rsidR="002514B4">
        <w:rPr>
          <w:sz w:val="26"/>
          <w:szCs w:val="26"/>
        </w:rPr>
        <w:t>at the hearing which was denied</w:t>
      </w:r>
      <w:r w:rsidR="00C276EA">
        <w:rPr>
          <w:sz w:val="26"/>
          <w:szCs w:val="26"/>
        </w:rPr>
        <w:t xml:space="preserve"> by the ALJ</w:t>
      </w:r>
      <w:r w:rsidR="002514B4">
        <w:rPr>
          <w:sz w:val="26"/>
          <w:szCs w:val="26"/>
        </w:rPr>
        <w:t xml:space="preserve">.  He renews that motion here.  </w:t>
      </w:r>
      <w:r w:rsidR="005D3C8F">
        <w:rPr>
          <w:sz w:val="26"/>
          <w:szCs w:val="26"/>
        </w:rPr>
        <w:t>Exc. at 3-4.</w:t>
      </w:r>
      <w:r w:rsidR="002B1336">
        <w:rPr>
          <w:sz w:val="26"/>
          <w:szCs w:val="26"/>
        </w:rPr>
        <w:t xml:space="preserve"> </w:t>
      </w:r>
      <w:r w:rsidR="00813DFC">
        <w:rPr>
          <w:sz w:val="26"/>
          <w:szCs w:val="26"/>
        </w:rPr>
        <w:t xml:space="preserve"> </w:t>
      </w:r>
      <w:r w:rsidR="002B1336">
        <w:rPr>
          <w:sz w:val="26"/>
          <w:szCs w:val="26"/>
        </w:rPr>
        <w:t>PGW asserts that it did serve the Complainant with its Answer and Preliminary Objections in the usual way</w:t>
      </w:r>
      <w:r w:rsidR="00813DFC">
        <w:rPr>
          <w:sz w:val="26"/>
          <w:szCs w:val="26"/>
        </w:rPr>
        <w:t>,</w:t>
      </w:r>
      <w:r w:rsidR="002B1336">
        <w:rPr>
          <w:sz w:val="26"/>
          <w:szCs w:val="26"/>
        </w:rPr>
        <w:t xml:space="preserve"> simultaneous with filing the doc</w:t>
      </w:r>
      <w:r w:rsidR="00C276EA">
        <w:rPr>
          <w:sz w:val="26"/>
          <w:szCs w:val="26"/>
        </w:rPr>
        <w:t>uments with the Commission.  The Company</w:t>
      </w:r>
      <w:r w:rsidR="002B1336">
        <w:rPr>
          <w:sz w:val="26"/>
          <w:szCs w:val="26"/>
        </w:rPr>
        <w:t xml:space="preserve"> also avers that the Complainant was not prejudiced and that he failed to raise the issue</w:t>
      </w:r>
      <w:r w:rsidR="00B577F4">
        <w:rPr>
          <w:sz w:val="26"/>
          <w:szCs w:val="26"/>
        </w:rPr>
        <w:t xml:space="preserve"> before the hearing even tho</w:t>
      </w:r>
      <w:r w:rsidR="00C276EA">
        <w:rPr>
          <w:sz w:val="26"/>
          <w:szCs w:val="26"/>
        </w:rPr>
        <w:t>ugh he knew of the Preliminary O</w:t>
      </w:r>
      <w:r w:rsidR="00B577F4">
        <w:rPr>
          <w:sz w:val="26"/>
          <w:szCs w:val="26"/>
        </w:rPr>
        <w:t>bj</w:t>
      </w:r>
      <w:r w:rsidR="00D94DE2">
        <w:rPr>
          <w:sz w:val="26"/>
          <w:szCs w:val="26"/>
        </w:rPr>
        <w:t>ections much earlier</w:t>
      </w:r>
      <w:r w:rsidR="00B577F4">
        <w:rPr>
          <w:sz w:val="26"/>
          <w:szCs w:val="26"/>
        </w:rPr>
        <w:t>.</w:t>
      </w:r>
      <w:r w:rsidR="005D3C8F">
        <w:rPr>
          <w:sz w:val="26"/>
          <w:szCs w:val="26"/>
        </w:rPr>
        <w:t xml:space="preserve">  R. Exc. at 4-5.</w:t>
      </w:r>
    </w:p>
    <w:p w:rsidR="006B71BD" w:rsidRDefault="006B71BD" w:rsidP="00804BE4">
      <w:pPr>
        <w:widowControl/>
        <w:spacing w:line="360" w:lineRule="auto"/>
        <w:contextualSpacing/>
        <w:rPr>
          <w:sz w:val="26"/>
          <w:szCs w:val="26"/>
        </w:rPr>
      </w:pPr>
    </w:p>
    <w:p w:rsidR="008F0E2D" w:rsidRDefault="006B71BD" w:rsidP="00804BE4">
      <w:pPr>
        <w:widowControl/>
        <w:spacing w:line="360" w:lineRule="auto"/>
        <w:contextualSpacing/>
        <w:rPr>
          <w:sz w:val="26"/>
          <w:szCs w:val="26"/>
        </w:rPr>
      </w:pPr>
      <w:r>
        <w:rPr>
          <w:sz w:val="26"/>
          <w:szCs w:val="26"/>
        </w:rPr>
        <w:tab/>
      </w:r>
      <w:r>
        <w:rPr>
          <w:sz w:val="26"/>
          <w:szCs w:val="26"/>
        </w:rPr>
        <w:tab/>
      </w:r>
      <w:r w:rsidR="008F0E2D">
        <w:rPr>
          <w:sz w:val="26"/>
          <w:szCs w:val="26"/>
        </w:rPr>
        <w:t xml:space="preserve">Notice mailed to a party’s last known address and not returned by the post office is presumed to have been received.  </w:t>
      </w:r>
      <w:r w:rsidR="008F0E2D">
        <w:rPr>
          <w:i/>
          <w:sz w:val="26"/>
          <w:szCs w:val="26"/>
        </w:rPr>
        <w:t xml:space="preserve">Berkowitz v. Mayflower Securities, Inc., </w:t>
      </w:r>
      <w:r w:rsidR="00E52D03">
        <w:rPr>
          <w:sz w:val="26"/>
          <w:szCs w:val="26"/>
        </w:rPr>
        <w:t>455 </w:t>
      </w:r>
      <w:r w:rsidR="008F0E2D">
        <w:rPr>
          <w:sz w:val="26"/>
          <w:szCs w:val="26"/>
        </w:rPr>
        <w:t xml:space="preserve">Pa. 531, 317 A.2d 584 (1974); </w:t>
      </w:r>
      <w:r w:rsidR="008F0E2D">
        <w:rPr>
          <w:i/>
          <w:sz w:val="26"/>
          <w:szCs w:val="26"/>
        </w:rPr>
        <w:t>Geary v. Verizon Pennsylvania Inc.</w:t>
      </w:r>
      <w:r w:rsidR="008F0E2D">
        <w:rPr>
          <w:sz w:val="26"/>
          <w:szCs w:val="26"/>
        </w:rPr>
        <w:t xml:space="preserve">, Docket No. </w:t>
      </w:r>
      <w:r w:rsidR="008F0E2D">
        <w:rPr>
          <w:sz w:val="26"/>
          <w:szCs w:val="26"/>
        </w:rPr>
        <w:br/>
        <w:t xml:space="preserve">C-2009-2118625 (Order entered September 16, 2010).  </w:t>
      </w:r>
      <w:r w:rsidR="00E620E0">
        <w:rPr>
          <w:sz w:val="26"/>
          <w:szCs w:val="26"/>
        </w:rPr>
        <w:t xml:space="preserve">“Once this presumption is established, the party alleging that it did not receive the letter has the burden of establishing such, and merely asserting that the letter was not received, without corroboration, is insufficient to overcome the presumption of receipt.”  </w:t>
      </w:r>
      <w:r w:rsidR="00E620E0">
        <w:rPr>
          <w:i/>
          <w:sz w:val="26"/>
          <w:szCs w:val="26"/>
        </w:rPr>
        <w:t>Donegal Mut. Ins. Co. v. Insurance Dept.</w:t>
      </w:r>
      <w:r w:rsidR="00E620E0">
        <w:rPr>
          <w:sz w:val="26"/>
          <w:szCs w:val="26"/>
        </w:rPr>
        <w:t>, 719 A.2d 825, 827 (Pa. Cmwlth. 1998).</w:t>
      </w:r>
    </w:p>
    <w:p w:rsidR="008D6CBA" w:rsidRDefault="008D6CBA" w:rsidP="00804BE4">
      <w:pPr>
        <w:widowControl/>
        <w:spacing w:line="360" w:lineRule="auto"/>
        <w:contextualSpacing/>
        <w:rPr>
          <w:sz w:val="26"/>
          <w:szCs w:val="26"/>
        </w:rPr>
      </w:pPr>
    </w:p>
    <w:p w:rsidR="006B71BD" w:rsidRDefault="008D6CBA" w:rsidP="008B32DA">
      <w:pPr>
        <w:widowControl/>
        <w:spacing w:line="360" w:lineRule="auto"/>
        <w:ind w:firstLine="1440"/>
        <w:contextualSpacing/>
        <w:rPr>
          <w:sz w:val="26"/>
          <w:szCs w:val="26"/>
        </w:rPr>
      </w:pPr>
      <w:r>
        <w:rPr>
          <w:sz w:val="26"/>
          <w:szCs w:val="26"/>
        </w:rPr>
        <w:lastRenderedPageBreak/>
        <w:t xml:space="preserve">Here, PGW established that the Answer and Preliminary Objections had been mailed to the Complainant’s last known address and were not returned by the U.S. Postal Service.  The Complainant, however, did not introduce any evidence at the hearing to </w:t>
      </w:r>
      <w:r w:rsidR="005D4799">
        <w:rPr>
          <w:sz w:val="26"/>
          <w:szCs w:val="26"/>
        </w:rPr>
        <w:t xml:space="preserve">corroborate his testimony </w:t>
      </w:r>
      <w:r>
        <w:rPr>
          <w:sz w:val="26"/>
          <w:szCs w:val="26"/>
        </w:rPr>
        <w:t xml:space="preserve">that he </w:t>
      </w:r>
      <w:r w:rsidR="005D4799">
        <w:rPr>
          <w:sz w:val="26"/>
          <w:szCs w:val="26"/>
        </w:rPr>
        <w:t xml:space="preserve">did not </w:t>
      </w:r>
      <w:r>
        <w:rPr>
          <w:sz w:val="26"/>
          <w:szCs w:val="26"/>
        </w:rPr>
        <w:t xml:space="preserve">receive the Answer and Preliminary Objections.  In fact, we </w:t>
      </w:r>
      <w:r w:rsidR="006B71BD">
        <w:rPr>
          <w:sz w:val="26"/>
          <w:szCs w:val="26"/>
        </w:rPr>
        <w:t>find that the Complainant</w:t>
      </w:r>
      <w:r w:rsidR="005D3C8F">
        <w:rPr>
          <w:sz w:val="26"/>
          <w:szCs w:val="26"/>
        </w:rPr>
        <w:t xml:space="preserve"> had </w:t>
      </w:r>
      <w:r w:rsidR="005D4799">
        <w:rPr>
          <w:sz w:val="26"/>
          <w:szCs w:val="26"/>
        </w:rPr>
        <w:t xml:space="preserve">actual </w:t>
      </w:r>
      <w:r w:rsidR="005D3C8F">
        <w:rPr>
          <w:sz w:val="26"/>
          <w:szCs w:val="26"/>
        </w:rPr>
        <w:t>notice of the Answer and Preliminary Objectio</w:t>
      </w:r>
      <w:r w:rsidR="00813DFC">
        <w:rPr>
          <w:sz w:val="26"/>
          <w:szCs w:val="26"/>
        </w:rPr>
        <w:t>ns</w:t>
      </w:r>
      <w:r w:rsidR="005D3C8F">
        <w:rPr>
          <w:sz w:val="26"/>
          <w:szCs w:val="26"/>
        </w:rPr>
        <w:t xml:space="preserve">.  </w:t>
      </w:r>
      <w:r>
        <w:rPr>
          <w:sz w:val="26"/>
          <w:szCs w:val="26"/>
        </w:rPr>
        <w:t>T</w:t>
      </w:r>
      <w:r w:rsidR="005403F7">
        <w:rPr>
          <w:sz w:val="26"/>
          <w:szCs w:val="26"/>
        </w:rPr>
        <w:t xml:space="preserve">he </w:t>
      </w:r>
      <w:r>
        <w:rPr>
          <w:sz w:val="26"/>
          <w:szCs w:val="26"/>
        </w:rPr>
        <w:t xml:space="preserve">Complainant </w:t>
      </w:r>
      <w:r w:rsidR="005403F7">
        <w:rPr>
          <w:sz w:val="26"/>
          <w:szCs w:val="26"/>
        </w:rPr>
        <w:t xml:space="preserve">received the ALJ’s Order </w:t>
      </w:r>
      <w:r w:rsidR="007156B1">
        <w:rPr>
          <w:sz w:val="26"/>
          <w:szCs w:val="26"/>
        </w:rPr>
        <w:t xml:space="preserve">dated May 31, 2013 </w:t>
      </w:r>
      <w:r w:rsidR="005403F7">
        <w:rPr>
          <w:sz w:val="26"/>
          <w:szCs w:val="26"/>
        </w:rPr>
        <w:t>sustaining the Preliminary Objections.</w:t>
      </w:r>
      <w:r w:rsidR="007156B1">
        <w:rPr>
          <w:rStyle w:val="FootnoteReference"/>
          <w:sz w:val="26"/>
          <w:szCs w:val="26"/>
        </w:rPr>
        <w:footnoteReference w:id="3"/>
      </w:r>
      <w:r w:rsidR="005403F7">
        <w:rPr>
          <w:sz w:val="26"/>
          <w:szCs w:val="26"/>
        </w:rPr>
        <w:t xml:space="preserve">  </w:t>
      </w:r>
      <w:r w:rsidR="00813DFC">
        <w:rPr>
          <w:sz w:val="26"/>
          <w:szCs w:val="26"/>
        </w:rPr>
        <w:t>In addition to giving the Complainant notice of the Preliminary Objections, t</w:t>
      </w:r>
      <w:r w:rsidR="005403F7">
        <w:rPr>
          <w:sz w:val="26"/>
          <w:szCs w:val="26"/>
        </w:rPr>
        <w:t xml:space="preserve">hat Order contained a statement explaining that PGW had filed an Answer on April 29, 2013.  The Complainant did not raise any issue regarding service until he appeared for the hearing on July 11, </w:t>
      </w:r>
      <w:r w:rsidR="00813DFC">
        <w:rPr>
          <w:sz w:val="26"/>
          <w:szCs w:val="26"/>
        </w:rPr>
        <w:t>2013; he</w:t>
      </w:r>
      <w:r w:rsidR="008B198C">
        <w:rPr>
          <w:sz w:val="26"/>
          <w:szCs w:val="26"/>
        </w:rPr>
        <w:t xml:space="preserve"> had ample time </w:t>
      </w:r>
      <w:r w:rsidR="00D94DE2">
        <w:rPr>
          <w:sz w:val="26"/>
          <w:szCs w:val="26"/>
        </w:rPr>
        <w:t xml:space="preserve">previously </w:t>
      </w:r>
      <w:r w:rsidR="008B198C">
        <w:rPr>
          <w:sz w:val="26"/>
          <w:szCs w:val="26"/>
        </w:rPr>
        <w:t>to raise this issue.  Accordingly, this Exception is denied.</w:t>
      </w:r>
    </w:p>
    <w:p w:rsidR="0052592B" w:rsidRDefault="0052592B" w:rsidP="00804BE4">
      <w:pPr>
        <w:widowControl/>
        <w:spacing w:line="360" w:lineRule="auto"/>
        <w:contextualSpacing/>
        <w:rPr>
          <w:sz w:val="26"/>
          <w:szCs w:val="26"/>
        </w:rPr>
      </w:pPr>
    </w:p>
    <w:p w:rsidR="004F7B97" w:rsidRDefault="0052592B" w:rsidP="00804BE4">
      <w:pPr>
        <w:widowControl/>
        <w:spacing w:line="360" w:lineRule="auto"/>
        <w:contextualSpacing/>
        <w:rPr>
          <w:sz w:val="26"/>
          <w:szCs w:val="26"/>
        </w:rPr>
      </w:pPr>
      <w:r>
        <w:rPr>
          <w:sz w:val="26"/>
          <w:szCs w:val="26"/>
        </w:rPr>
        <w:tab/>
      </w:r>
      <w:r>
        <w:rPr>
          <w:sz w:val="26"/>
          <w:szCs w:val="26"/>
        </w:rPr>
        <w:tab/>
      </w:r>
      <w:r w:rsidR="00A36303">
        <w:rPr>
          <w:sz w:val="26"/>
          <w:szCs w:val="26"/>
        </w:rPr>
        <w:t xml:space="preserve">In his second Exception, the Complainant asks that the Commission not consider </w:t>
      </w:r>
      <w:r w:rsidR="00D94DE2">
        <w:rPr>
          <w:sz w:val="26"/>
          <w:szCs w:val="26"/>
        </w:rPr>
        <w:t>the alleged debt claimed by PGW</w:t>
      </w:r>
      <w:r w:rsidR="00A36303">
        <w:rPr>
          <w:sz w:val="26"/>
          <w:szCs w:val="26"/>
        </w:rPr>
        <w:t xml:space="preserve"> for the time period following the filing of his Informal Complaint in October 2012.  </w:t>
      </w:r>
      <w:r w:rsidR="009E7E6D">
        <w:rPr>
          <w:sz w:val="26"/>
          <w:szCs w:val="26"/>
        </w:rPr>
        <w:t xml:space="preserve">He states that this serves to unduly influence the finder of fact.  </w:t>
      </w:r>
      <w:r w:rsidR="00A36303">
        <w:rPr>
          <w:sz w:val="26"/>
          <w:szCs w:val="26"/>
        </w:rPr>
        <w:t xml:space="preserve">Exc. at 5.  PGW replies that the Complainant has failed to demonstrate how the additional information concerning gas usage at the service address post October 2012 has prejudiced the fact finder.  R. Exc. at 5.  </w:t>
      </w:r>
    </w:p>
    <w:p w:rsidR="004F7B97" w:rsidRDefault="004F7B97" w:rsidP="00804BE4">
      <w:pPr>
        <w:widowControl/>
        <w:spacing w:line="360" w:lineRule="auto"/>
        <w:contextualSpacing/>
        <w:rPr>
          <w:sz w:val="26"/>
          <w:szCs w:val="26"/>
        </w:rPr>
      </w:pPr>
    </w:p>
    <w:p w:rsidR="0052592B" w:rsidRDefault="00646289" w:rsidP="008B32DA">
      <w:pPr>
        <w:widowControl/>
        <w:spacing w:line="360" w:lineRule="auto"/>
        <w:ind w:firstLine="1440"/>
        <w:contextualSpacing/>
        <w:rPr>
          <w:sz w:val="26"/>
          <w:szCs w:val="26"/>
        </w:rPr>
      </w:pPr>
      <w:r>
        <w:rPr>
          <w:sz w:val="26"/>
          <w:szCs w:val="26"/>
        </w:rPr>
        <w:t xml:space="preserve">We will deny this Exception also.  </w:t>
      </w:r>
      <w:r w:rsidR="004F7B97">
        <w:rPr>
          <w:sz w:val="26"/>
          <w:szCs w:val="26"/>
        </w:rPr>
        <w:t>We find that the Complainant has waived any objection to the admissibility of this evidence as he did not object to it at the hearing.  Moreover, r</w:t>
      </w:r>
      <w:r w:rsidR="00D63A43">
        <w:rPr>
          <w:sz w:val="26"/>
          <w:szCs w:val="26"/>
        </w:rPr>
        <w:t>ele</w:t>
      </w:r>
      <w:r w:rsidR="00D93436">
        <w:rPr>
          <w:sz w:val="26"/>
          <w:szCs w:val="26"/>
        </w:rPr>
        <w:t>vant</w:t>
      </w:r>
      <w:r w:rsidR="009E7E6D">
        <w:rPr>
          <w:sz w:val="26"/>
          <w:szCs w:val="26"/>
        </w:rPr>
        <w:t xml:space="preserve"> </w:t>
      </w:r>
      <w:r w:rsidR="00405877">
        <w:rPr>
          <w:sz w:val="26"/>
          <w:szCs w:val="26"/>
        </w:rPr>
        <w:t xml:space="preserve">and material </w:t>
      </w:r>
      <w:r w:rsidR="009E7E6D">
        <w:rPr>
          <w:sz w:val="26"/>
          <w:szCs w:val="26"/>
        </w:rPr>
        <w:t>evidence is admissible</w:t>
      </w:r>
      <w:r w:rsidR="004F7B97">
        <w:rPr>
          <w:sz w:val="26"/>
          <w:szCs w:val="26"/>
        </w:rPr>
        <w:t>, but</w:t>
      </w:r>
      <w:r w:rsidR="009E7E6D">
        <w:rPr>
          <w:sz w:val="26"/>
          <w:szCs w:val="26"/>
        </w:rPr>
        <w:t xml:space="preserve"> </w:t>
      </w:r>
      <w:r w:rsidR="004F7B97">
        <w:rPr>
          <w:sz w:val="26"/>
          <w:szCs w:val="26"/>
        </w:rPr>
        <w:t xml:space="preserve">will be excluded if its probative value is outweighed by, </w:t>
      </w:r>
      <w:r w:rsidR="004F7B97">
        <w:rPr>
          <w:i/>
          <w:sz w:val="26"/>
          <w:szCs w:val="26"/>
        </w:rPr>
        <w:t xml:space="preserve">inter alia, </w:t>
      </w:r>
      <w:r w:rsidR="004F7B97">
        <w:rPr>
          <w:sz w:val="26"/>
          <w:szCs w:val="26"/>
        </w:rPr>
        <w:t xml:space="preserve">the danger of unfair prejudice.  </w:t>
      </w:r>
      <w:r w:rsidR="003D6956">
        <w:rPr>
          <w:sz w:val="26"/>
          <w:szCs w:val="26"/>
        </w:rPr>
        <w:t xml:space="preserve">52 Pa. Code </w:t>
      </w:r>
      <w:r w:rsidR="00D63A43">
        <w:rPr>
          <w:sz w:val="26"/>
          <w:szCs w:val="26"/>
        </w:rPr>
        <w:t xml:space="preserve">§ </w:t>
      </w:r>
      <w:r w:rsidR="002E31DF">
        <w:rPr>
          <w:sz w:val="26"/>
          <w:szCs w:val="26"/>
        </w:rPr>
        <w:t>5.401</w:t>
      </w:r>
      <w:r w:rsidR="00D63A43">
        <w:rPr>
          <w:sz w:val="26"/>
          <w:szCs w:val="26"/>
        </w:rPr>
        <w:t>(</w:t>
      </w:r>
      <w:r w:rsidR="004F7B97">
        <w:rPr>
          <w:sz w:val="26"/>
          <w:szCs w:val="26"/>
        </w:rPr>
        <w:t>b</w:t>
      </w:r>
      <w:r w:rsidR="0059553F">
        <w:rPr>
          <w:sz w:val="26"/>
          <w:szCs w:val="26"/>
        </w:rPr>
        <w:t>)</w:t>
      </w:r>
      <w:r w:rsidR="004F7B97">
        <w:rPr>
          <w:sz w:val="26"/>
          <w:szCs w:val="26"/>
        </w:rPr>
        <w:t>(2)</w:t>
      </w:r>
      <w:r w:rsidR="0059553F">
        <w:rPr>
          <w:sz w:val="26"/>
          <w:szCs w:val="26"/>
        </w:rPr>
        <w:t>.</w:t>
      </w:r>
      <w:r w:rsidR="004F7B97">
        <w:rPr>
          <w:sz w:val="26"/>
          <w:szCs w:val="26"/>
        </w:rPr>
        <w:t xml:space="preserve">  We </w:t>
      </w:r>
      <w:r w:rsidR="00F318AF">
        <w:rPr>
          <w:sz w:val="26"/>
          <w:szCs w:val="26"/>
        </w:rPr>
        <w:t xml:space="preserve">are not convinced that the danger of unfair prejudice here </w:t>
      </w:r>
      <w:r w:rsidR="00F318AF">
        <w:rPr>
          <w:sz w:val="26"/>
          <w:szCs w:val="26"/>
        </w:rPr>
        <w:lastRenderedPageBreak/>
        <w:t xml:space="preserve">outweighs the probative value of the evidence. </w:t>
      </w:r>
      <w:r w:rsidR="008B32DA">
        <w:rPr>
          <w:sz w:val="26"/>
          <w:szCs w:val="26"/>
        </w:rPr>
        <w:t xml:space="preserve"> </w:t>
      </w:r>
      <w:r w:rsidR="00DE49DE">
        <w:rPr>
          <w:sz w:val="26"/>
          <w:szCs w:val="26"/>
        </w:rPr>
        <w:t>Any “alleged debt” in this case, is not what is preventing the restora</w:t>
      </w:r>
      <w:r w:rsidR="00F62A2F">
        <w:rPr>
          <w:sz w:val="26"/>
          <w:szCs w:val="26"/>
        </w:rPr>
        <w:t xml:space="preserve">tion of service; </w:t>
      </w:r>
      <w:r w:rsidR="00DE49DE">
        <w:rPr>
          <w:sz w:val="26"/>
          <w:szCs w:val="26"/>
        </w:rPr>
        <w:t xml:space="preserve">the Complainant has not been prejudiced by the inclusion of this evidence.  </w:t>
      </w:r>
    </w:p>
    <w:p w:rsidR="00B17AA0" w:rsidRDefault="00B17AA0" w:rsidP="00804BE4">
      <w:pPr>
        <w:widowControl/>
        <w:spacing w:line="360" w:lineRule="auto"/>
        <w:contextualSpacing/>
        <w:rPr>
          <w:sz w:val="26"/>
          <w:szCs w:val="26"/>
        </w:rPr>
      </w:pPr>
    </w:p>
    <w:p w:rsidR="00B17AA0" w:rsidRDefault="00B17AA0" w:rsidP="00804BE4">
      <w:pPr>
        <w:widowControl/>
        <w:spacing w:line="360" w:lineRule="auto"/>
        <w:contextualSpacing/>
        <w:rPr>
          <w:sz w:val="26"/>
          <w:szCs w:val="26"/>
        </w:rPr>
      </w:pPr>
      <w:r>
        <w:rPr>
          <w:sz w:val="26"/>
          <w:szCs w:val="26"/>
        </w:rPr>
        <w:tab/>
      </w:r>
      <w:r>
        <w:rPr>
          <w:sz w:val="26"/>
          <w:szCs w:val="26"/>
        </w:rPr>
        <w:tab/>
        <w:t>In his next Exception, the Complainant states that the payment demanded before termination was for satisfaction of the budget plan, not current charges</w:t>
      </w:r>
      <w:r w:rsidR="00324C74">
        <w:rPr>
          <w:sz w:val="26"/>
          <w:szCs w:val="26"/>
        </w:rPr>
        <w:t>,</w:t>
      </w:r>
      <w:r>
        <w:rPr>
          <w:sz w:val="26"/>
          <w:szCs w:val="26"/>
        </w:rPr>
        <w:t xml:space="preserve"> and if he had paid the amount demanded, it w</w:t>
      </w:r>
      <w:r w:rsidR="00F4235F">
        <w:rPr>
          <w:sz w:val="26"/>
          <w:szCs w:val="26"/>
        </w:rPr>
        <w:t xml:space="preserve">ould have resulted in a </w:t>
      </w:r>
      <w:r w:rsidR="00E52D03">
        <w:rPr>
          <w:sz w:val="26"/>
          <w:szCs w:val="26"/>
        </w:rPr>
        <w:t>credit to his account.  Exc. at </w:t>
      </w:r>
      <w:r w:rsidR="00F4235F">
        <w:rPr>
          <w:sz w:val="26"/>
          <w:szCs w:val="26"/>
        </w:rPr>
        <w:t>5.  We agree with t</w:t>
      </w:r>
      <w:r w:rsidR="00813DFC">
        <w:rPr>
          <w:sz w:val="26"/>
          <w:szCs w:val="26"/>
        </w:rPr>
        <w:t>he ALJ that the record clarifies</w:t>
      </w:r>
      <w:r w:rsidR="00F4235F">
        <w:rPr>
          <w:sz w:val="26"/>
          <w:szCs w:val="26"/>
        </w:rPr>
        <w:t xml:space="preserve"> that PGW terminated service for unpaid, actual charges, not a budget amount.</w:t>
      </w:r>
      <w:r w:rsidR="00D94DE2">
        <w:rPr>
          <w:rStyle w:val="FootnoteReference"/>
          <w:sz w:val="26"/>
          <w:szCs w:val="26"/>
        </w:rPr>
        <w:footnoteReference w:id="4"/>
      </w:r>
      <w:r w:rsidR="00F4235F">
        <w:rPr>
          <w:sz w:val="26"/>
          <w:szCs w:val="26"/>
        </w:rPr>
        <w:t xml:space="preserve">  On July 6, 2012, over a month prior to termination, the Complainant received a bill informing him that his budget plan was cancelled.  I.D. at 5.  At that point, the Complainant was only being billed for actual charges, not a budget amount.  This Exception is also denied. </w:t>
      </w:r>
    </w:p>
    <w:p w:rsidR="009D7668" w:rsidRDefault="009D7668" w:rsidP="00804BE4">
      <w:pPr>
        <w:widowControl/>
        <w:spacing w:line="360" w:lineRule="auto"/>
        <w:contextualSpacing/>
        <w:rPr>
          <w:sz w:val="26"/>
          <w:szCs w:val="26"/>
        </w:rPr>
      </w:pPr>
    </w:p>
    <w:p w:rsidR="009D7668" w:rsidRDefault="009D7668" w:rsidP="00804BE4">
      <w:pPr>
        <w:widowControl/>
        <w:spacing w:line="360" w:lineRule="auto"/>
        <w:contextualSpacing/>
        <w:rPr>
          <w:sz w:val="26"/>
          <w:szCs w:val="26"/>
        </w:rPr>
      </w:pPr>
      <w:r>
        <w:rPr>
          <w:sz w:val="26"/>
          <w:szCs w:val="26"/>
        </w:rPr>
        <w:tab/>
      </w:r>
      <w:r>
        <w:rPr>
          <w:sz w:val="26"/>
          <w:szCs w:val="26"/>
        </w:rPr>
        <w:tab/>
        <w:t>In his fourth Exception, the Complainant argues, as he did at the hearing, that upon receipt of the termination notice, he called PGW and was told</w:t>
      </w:r>
      <w:r w:rsidR="00324C74">
        <w:rPr>
          <w:sz w:val="26"/>
          <w:szCs w:val="26"/>
        </w:rPr>
        <w:t xml:space="preserve"> by a PGW representative</w:t>
      </w:r>
      <w:r>
        <w:rPr>
          <w:sz w:val="26"/>
          <w:szCs w:val="26"/>
        </w:rPr>
        <w:t xml:space="preserve"> to </w:t>
      </w:r>
      <w:r w:rsidR="00324C74">
        <w:rPr>
          <w:sz w:val="26"/>
          <w:szCs w:val="26"/>
        </w:rPr>
        <w:t>“</w:t>
      </w:r>
      <w:r>
        <w:rPr>
          <w:sz w:val="26"/>
          <w:szCs w:val="26"/>
        </w:rPr>
        <w:t>send some money</w:t>
      </w:r>
      <w:r w:rsidR="00324C74">
        <w:rPr>
          <w:sz w:val="26"/>
          <w:szCs w:val="26"/>
        </w:rPr>
        <w:t>”</w:t>
      </w:r>
      <w:r>
        <w:rPr>
          <w:sz w:val="26"/>
          <w:szCs w:val="26"/>
        </w:rPr>
        <w:t xml:space="preserve"> and the ten day notice would </w:t>
      </w:r>
      <w:r w:rsidR="00AC1096">
        <w:rPr>
          <w:sz w:val="26"/>
          <w:szCs w:val="26"/>
        </w:rPr>
        <w:t xml:space="preserve">no longer </w:t>
      </w:r>
      <w:r>
        <w:rPr>
          <w:sz w:val="26"/>
          <w:szCs w:val="26"/>
        </w:rPr>
        <w:t>be in effect.  He states that h</w:t>
      </w:r>
      <w:r w:rsidR="00AC1096">
        <w:rPr>
          <w:sz w:val="26"/>
          <w:szCs w:val="26"/>
        </w:rPr>
        <w:t>e did send PGW money,</w:t>
      </w:r>
      <w:r>
        <w:rPr>
          <w:sz w:val="26"/>
          <w:szCs w:val="26"/>
        </w:rPr>
        <w:t xml:space="preserve"> but his service was</w:t>
      </w:r>
      <w:r w:rsidR="00AC1096">
        <w:rPr>
          <w:sz w:val="26"/>
          <w:szCs w:val="26"/>
        </w:rPr>
        <w:t xml:space="preserve"> still terminated.  Exc. at 5.  In response, PGW asserts that the Complainant did not make payment until after service was terminated.  R. Exc. at 5.  We find that the Complainant did not send sufficient funds to stop the termination process and was properly terminated.  The Complainant was served with a termination notice on July 24, 2012.  The notice informed him that $234.33 was past due on his account.  On August 17, 2012, he made a $100 payment and his service was, subsequently, terminated.  </w:t>
      </w:r>
      <w:r w:rsidR="00CA0256">
        <w:rPr>
          <w:sz w:val="26"/>
          <w:szCs w:val="26"/>
        </w:rPr>
        <w:t xml:space="preserve">I.D. at 5.  </w:t>
      </w:r>
      <w:r w:rsidR="00275C42">
        <w:rPr>
          <w:sz w:val="26"/>
          <w:szCs w:val="26"/>
        </w:rPr>
        <w:t xml:space="preserve">We see no violation of our Regulation at 52 Pa. Code § 56.83.  As a result, </w:t>
      </w:r>
      <w:r w:rsidR="00813DFC">
        <w:rPr>
          <w:sz w:val="26"/>
          <w:szCs w:val="26"/>
        </w:rPr>
        <w:t xml:space="preserve">this Exception is denied. </w:t>
      </w:r>
    </w:p>
    <w:p w:rsidR="006658BB" w:rsidRDefault="006658BB" w:rsidP="00804BE4">
      <w:pPr>
        <w:widowControl/>
        <w:spacing w:line="360" w:lineRule="auto"/>
        <w:contextualSpacing/>
        <w:rPr>
          <w:sz w:val="26"/>
          <w:szCs w:val="26"/>
        </w:rPr>
      </w:pPr>
    </w:p>
    <w:p w:rsidR="004F56BF" w:rsidRDefault="006658BB" w:rsidP="00804BE4">
      <w:pPr>
        <w:widowControl/>
        <w:spacing w:line="360" w:lineRule="auto"/>
        <w:contextualSpacing/>
        <w:rPr>
          <w:sz w:val="26"/>
          <w:szCs w:val="26"/>
        </w:rPr>
      </w:pPr>
      <w:r>
        <w:rPr>
          <w:sz w:val="26"/>
          <w:szCs w:val="26"/>
        </w:rPr>
        <w:lastRenderedPageBreak/>
        <w:tab/>
      </w:r>
      <w:r>
        <w:rPr>
          <w:sz w:val="26"/>
          <w:szCs w:val="26"/>
        </w:rPr>
        <w:tab/>
      </w:r>
      <w:r w:rsidR="00A02675">
        <w:rPr>
          <w:sz w:val="26"/>
          <w:szCs w:val="26"/>
        </w:rPr>
        <w:t>In his final</w:t>
      </w:r>
      <w:r w:rsidR="00A40439">
        <w:rPr>
          <w:sz w:val="26"/>
          <w:szCs w:val="26"/>
        </w:rPr>
        <w:t xml:space="preserve"> Exception, the Complainant </w:t>
      </w:r>
      <w:r w:rsidR="006A16CC">
        <w:rPr>
          <w:sz w:val="26"/>
          <w:szCs w:val="26"/>
        </w:rPr>
        <w:t xml:space="preserve">notes that he is a tenant at the service address.  He </w:t>
      </w:r>
      <w:r w:rsidR="00A40439">
        <w:rPr>
          <w:sz w:val="26"/>
          <w:szCs w:val="26"/>
        </w:rPr>
        <w:t>argues that he ha</w:t>
      </w:r>
      <w:r w:rsidR="006A16CC">
        <w:rPr>
          <w:sz w:val="26"/>
          <w:szCs w:val="26"/>
        </w:rPr>
        <w:t>s</w:t>
      </w:r>
      <w:r w:rsidR="00A40439">
        <w:rPr>
          <w:sz w:val="26"/>
          <w:szCs w:val="26"/>
        </w:rPr>
        <w:t xml:space="preserve"> been repeatedly assured by the property ow</w:t>
      </w:r>
      <w:r w:rsidR="00777008">
        <w:rPr>
          <w:sz w:val="26"/>
          <w:szCs w:val="26"/>
        </w:rPr>
        <w:t>ner and contractor that</w:t>
      </w:r>
      <w:r w:rsidR="00A40439">
        <w:rPr>
          <w:sz w:val="26"/>
          <w:szCs w:val="26"/>
        </w:rPr>
        <w:t xml:space="preserve"> no safety hazard</w:t>
      </w:r>
      <w:r w:rsidR="00777008">
        <w:rPr>
          <w:sz w:val="26"/>
          <w:szCs w:val="26"/>
        </w:rPr>
        <w:t xml:space="preserve"> exists at the service address</w:t>
      </w:r>
      <w:r w:rsidR="00A40439">
        <w:rPr>
          <w:sz w:val="26"/>
          <w:szCs w:val="26"/>
        </w:rPr>
        <w:t xml:space="preserve"> and his service should be restored.  Exc. at 6.  In its Replies</w:t>
      </w:r>
      <w:r w:rsidR="006A16CC">
        <w:rPr>
          <w:sz w:val="26"/>
          <w:szCs w:val="26"/>
        </w:rPr>
        <w:t xml:space="preserve"> to Exceptions</w:t>
      </w:r>
      <w:r w:rsidR="00A40439">
        <w:rPr>
          <w:sz w:val="26"/>
          <w:szCs w:val="26"/>
        </w:rPr>
        <w:t>, PGW asserts that</w:t>
      </w:r>
      <w:r w:rsidR="006A16CC">
        <w:rPr>
          <w:sz w:val="26"/>
          <w:szCs w:val="26"/>
        </w:rPr>
        <w:t>, at the hearing,</w:t>
      </w:r>
      <w:r w:rsidR="00A40439">
        <w:rPr>
          <w:sz w:val="26"/>
          <w:szCs w:val="26"/>
        </w:rPr>
        <w:t xml:space="preserve"> it provided extensive testimony regarding the existing hazards at the property.  R. Exc. at 5.  </w:t>
      </w:r>
      <w:r w:rsidR="00184E50">
        <w:rPr>
          <w:sz w:val="26"/>
          <w:szCs w:val="26"/>
        </w:rPr>
        <w:t xml:space="preserve">We find that hazards at the property have prevented PGW from restoring service.  </w:t>
      </w:r>
      <w:r w:rsidR="00DA37A9">
        <w:rPr>
          <w:sz w:val="26"/>
          <w:szCs w:val="26"/>
        </w:rPr>
        <w:t>A public utility</w:t>
      </w:r>
      <w:r w:rsidR="00F56112">
        <w:rPr>
          <w:sz w:val="26"/>
          <w:szCs w:val="26"/>
        </w:rPr>
        <w:t xml:space="preserve"> may decline to serve a customer if, in the company’s judgment, a hazardous condition exists regarding the customer’s equipment.  52 Pa. </w:t>
      </w:r>
      <w:r w:rsidR="00C12BF3">
        <w:rPr>
          <w:sz w:val="26"/>
          <w:szCs w:val="26"/>
        </w:rPr>
        <w:t>C</w:t>
      </w:r>
      <w:r w:rsidR="00F56112">
        <w:rPr>
          <w:sz w:val="26"/>
          <w:szCs w:val="26"/>
        </w:rPr>
        <w:t xml:space="preserve">ode § 59.26.  </w:t>
      </w:r>
      <w:r w:rsidR="00184E50">
        <w:rPr>
          <w:sz w:val="26"/>
          <w:szCs w:val="26"/>
        </w:rPr>
        <w:t>PGW presented evidence that it had attempted to restore the Complainant’s service seven times</w:t>
      </w:r>
      <w:r w:rsidR="00F32936">
        <w:rPr>
          <w:sz w:val="26"/>
          <w:szCs w:val="26"/>
        </w:rPr>
        <w:t>; each time the same hazards were present.  In fact, several different PGW employees noted</w:t>
      </w:r>
      <w:r w:rsidR="00F56112">
        <w:rPr>
          <w:sz w:val="26"/>
          <w:szCs w:val="26"/>
        </w:rPr>
        <w:t xml:space="preserve"> </w:t>
      </w:r>
      <w:r w:rsidR="00F32936">
        <w:rPr>
          <w:sz w:val="26"/>
          <w:szCs w:val="26"/>
        </w:rPr>
        <w:t xml:space="preserve">that the chimney and flue pipe needed </w:t>
      </w:r>
      <w:r w:rsidR="006A16CC">
        <w:rPr>
          <w:sz w:val="26"/>
          <w:szCs w:val="26"/>
        </w:rPr>
        <w:t xml:space="preserve">to be </w:t>
      </w:r>
      <w:r w:rsidR="00F32936">
        <w:rPr>
          <w:sz w:val="26"/>
          <w:szCs w:val="26"/>
        </w:rPr>
        <w:t>repair</w:t>
      </w:r>
      <w:r w:rsidR="006A16CC">
        <w:rPr>
          <w:sz w:val="26"/>
          <w:szCs w:val="26"/>
        </w:rPr>
        <w:t>ed</w:t>
      </w:r>
      <w:r w:rsidR="00F32936">
        <w:rPr>
          <w:sz w:val="26"/>
          <w:szCs w:val="26"/>
        </w:rPr>
        <w:t xml:space="preserve"> b</w:t>
      </w:r>
      <w:r w:rsidR="004F56BF">
        <w:rPr>
          <w:sz w:val="26"/>
          <w:szCs w:val="26"/>
        </w:rPr>
        <w:t xml:space="preserve">efore service could be restored.  </w:t>
      </w:r>
      <w:r w:rsidR="00F56112">
        <w:rPr>
          <w:sz w:val="26"/>
          <w:szCs w:val="26"/>
        </w:rPr>
        <w:t>I.D. at 6-7.  Although the Complainant testified that he was told by the property owner that no hazards existed and restoration of service was safe, he also testified that he did not have any expertise regarding the equipment.  T</w:t>
      </w:r>
      <w:r w:rsidR="00C12BF3">
        <w:rPr>
          <w:sz w:val="26"/>
          <w:szCs w:val="26"/>
        </w:rPr>
        <w:t>r</w:t>
      </w:r>
      <w:r w:rsidR="00E52D03">
        <w:rPr>
          <w:sz w:val="26"/>
          <w:szCs w:val="26"/>
        </w:rPr>
        <w:t xml:space="preserve">. at 64-70. </w:t>
      </w:r>
      <w:r w:rsidR="00F56112">
        <w:rPr>
          <w:sz w:val="26"/>
          <w:szCs w:val="26"/>
        </w:rPr>
        <w:t xml:space="preserve"> </w:t>
      </w:r>
    </w:p>
    <w:p w:rsidR="004F56BF" w:rsidRDefault="004F56BF" w:rsidP="00804BE4">
      <w:pPr>
        <w:widowControl/>
        <w:spacing w:line="360" w:lineRule="auto"/>
        <w:contextualSpacing/>
        <w:rPr>
          <w:sz w:val="26"/>
          <w:szCs w:val="26"/>
        </w:rPr>
      </w:pPr>
    </w:p>
    <w:p w:rsidR="00B8140A" w:rsidRDefault="004F56BF" w:rsidP="00804BE4">
      <w:pPr>
        <w:widowControl/>
        <w:spacing w:line="360" w:lineRule="auto"/>
        <w:contextualSpacing/>
        <w:rPr>
          <w:sz w:val="26"/>
          <w:szCs w:val="26"/>
        </w:rPr>
      </w:pPr>
      <w:r>
        <w:rPr>
          <w:sz w:val="26"/>
          <w:szCs w:val="26"/>
        </w:rPr>
        <w:tab/>
      </w:r>
      <w:r>
        <w:rPr>
          <w:sz w:val="26"/>
          <w:szCs w:val="26"/>
        </w:rPr>
        <w:tab/>
      </w:r>
      <w:r w:rsidR="006A16CC">
        <w:rPr>
          <w:sz w:val="26"/>
          <w:szCs w:val="26"/>
        </w:rPr>
        <w:t xml:space="preserve">We will not order </w:t>
      </w:r>
      <w:r w:rsidR="00F56112">
        <w:rPr>
          <w:sz w:val="26"/>
          <w:szCs w:val="26"/>
        </w:rPr>
        <w:t xml:space="preserve">PGW </w:t>
      </w:r>
      <w:r w:rsidR="006A16CC">
        <w:rPr>
          <w:sz w:val="26"/>
          <w:szCs w:val="26"/>
        </w:rPr>
        <w:t xml:space="preserve">to </w:t>
      </w:r>
      <w:r w:rsidR="00F56112">
        <w:rPr>
          <w:sz w:val="26"/>
          <w:szCs w:val="26"/>
        </w:rPr>
        <w:t>provide natural gas service if doing so woul</w:t>
      </w:r>
      <w:r>
        <w:rPr>
          <w:sz w:val="26"/>
          <w:szCs w:val="26"/>
        </w:rPr>
        <w:t>d create a dangerous situation</w:t>
      </w:r>
      <w:r w:rsidR="00F56112">
        <w:rPr>
          <w:sz w:val="26"/>
          <w:szCs w:val="26"/>
        </w:rPr>
        <w:t>.  We recognize that the Complainant is in a difficult position because he does not own the property or equipment which need</w:t>
      </w:r>
      <w:r w:rsidR="006A16CC">
        <w:rPr>
          <w:sz w:val="26"/>
          <w:szCs w:val="26"/>
        </w:rPr>
        <w:t>s</w:t>
      </w:r>
      <w:r>
        <w:rPr>
          <w:sz w:val="26"/>
          <w:szCs w:val="26"/>
        </w:rPr>
        <w:t xml:space="preserve"> the</w:t>
      </w:r>
      <w:r w:rsidR="00F56112">
        <w:rPr>
          <w:sz w:val="26"/>
          <w:szCs w:val="26"/>
        </w:rPr>
        <w:t xml:space="preserve"> repairs</w:t>
      </w:r>
      <w:r w:rsidR="00DA37A9">
        <w:rPr>
          <w:sz w:val="26"/>
          <w:szCs w:val="26"/>
        </w:rPr>
        <w:t>,</w:t>
      </w:r>
      <w:r w:rsidR="00F56112">
        <w:rPr>
          <w:sz w:val="26"/>
          <w:szCs w:val="26"/>
        </w:rPr>
        <w:t xml:space="preserve"> does not have access to them</w:t>
      </w:r>
      <w:r w:rsidR="00DA37A9">
        <w:rPr>
          <w:sz w:val="26"/>
          <w:szCs w:val="26"/>
        </w:rPr>
        <w:t>,</w:t>
      </w:r>
      <w:r w:rsidR="00843770">
        <w:rPr>
          <w:sz w:val="26"/>
          <w:szCs w:val="26"/>
        </w:rPr>
        <w:t xml:space="preserve"> and has experience</w:t>
      </w:r>
      <w:r w:rsidR="00FD6506">
        <w:rPr>
          <w:sz w:val="26"/>
          <w:szCs w:val="26"/>
        </w:rPr>
        <w:t>d</w:t>
      </w:r>
      <w:r w:rsidR="00843770">
        <w:rPr>
          <w:sz w:val="26"/>
          <w:szCs w:val="26"/>
        </w:rPr>
        <w:t xml:space="preserve"> difficulty coordinating access for PGW with his landlord</w:t>
      </w:r>
      <w:r w:rsidR="00F56112">
        <w:rPr>
          <w:sz w:val="26"/>
          <w:szCs w:val="26"/>
        </w:rPr>
        <w:t xml:space="preserve">.  </w:t>
      </w:r>
      <w:r>
        <w:rPr>
          <w:sz w:val="26"/>
          <w:szCs w:val="26"/>
        </w:rPr>
        <w:t>Although it appears that the Complainant has been report</w:t>
      </w:r>
      <w:r w:rsidR="00FD6506">
        <w:rPr>
          <w:sz w:val="26"/>
          <w:szCs w:val="26"/>
        </w:rPr>
        <w:t>ing</w:t>
      </w:r>
      <w:r>
        <w:rPr>
          <w:sz w:val="26"/>
          <w:szCs w:val="26"/>
        </w:rPr>
        <w:t xml:space="preserve"> to PGW that repairs were made when they were not, we</w:t>
      </w:r>
      <w:r w:rsidR="00843770">
        <w:rPr>
          <w:sz w:val="26"/>
          <w:szCs w:val="26"/>
        </w:rPr>
        <w:t xml:space="preserve"> </w:t>
      </w:r>
      <w:r w:rsidR="00F56112">
        <w:rPr>
          <w:sz w:val="26"/>
          <w:szCs w:val="26"/>
        </w:rPr>
        <w:t>note that PGW’s customer contact records show that</w:t>
      </w:r>
      <w:r w:rsidR="006A16CC">
        <w:rPr>
          <w:sz w:val="26"/>
          <w:szCs w:val="26"/>
        </w:rPr>
        <w:t>,</w:t>
      </w:r>
      <w:r w:rsidR="00F56112">
        <w:rPr>
          <w:sz w:val="26"/>
          <w:szCs w:val="26"/>
        </w:rPr>
        <w:t xml:space="preserve"> at least once, PGW was told by the property owner that the repairs had been effectuated</w:t>
      </w:r>
      <w:r w:rsidR="00811E49">
        <w:rPr>
          <w:sz w:val="26"/>
          <w:szCs w:val="26"/>
        </w:rPr>
        <w:t>, when they had not</w:t>
      </w:r>
      <w:r w:rsidR="00F56112">
        <w:rPr>
          <w:sz w:val="26"/>
          <w:szCs w:val="26"/>
        </w:rPr>
        <w:t xml:space="preserve">.  </w:t>
      </w:r>
      <w:r w:rsidR="002E191A">
        <w:rPr>
          <w:sz w:val="26"/>
          <w:szCs w:val="26"/>
        </w:rPr>
        <w:t xml:space="preserve">PGW Exh. 3 at 2.  </w:t>
      </w:r>
      <w:r>
        <w:rPr>
          <w:sz w:val="26"/>
          <w:szCs w:val="26"/>
        </w:rPr>
        <w:t>B</w:t>
      </w:r>
      <w:r w:rsidR="00DA37A9">
        <w:rPr>
          <w:sz w:val="26"/>
          <w:szCs w:val="26"/>
        </w:rPr>
        <w:t>ecause a hazardous condition exists</w:t>
      </w:r>
      <w:r>
        <w:rPr>
          <w:sz w:val="26"/>
          <w:szCs w:val="26"/>
        </w:rPr>
        <w:t xml:space="preserve"> at the service address</w:t>
      </w:r>
      <w:r w:rsidR="00DA37A9">
        <w:rPr>
          <w:sz w:val="26"/>
          <w:szCs w:val="26"/>
        </w:rPr>
        <w:t>, t</w:t>
      </w:r>
      <w:r>
        <w:rPr>
          <w:sz w:val="26"/>
          <w:szCs w:val="26"/>
        </w:rPr>
        <w:t>he</w:t>
      </w:r>
      <w:r w:rsidR="00A02675">
        <w:rPr>
          <w:sz w:val="26"/>
          <w:szCs w:val="26"/>
        </w:rPr>
        <w:t xml:space="preserve"> repairs</w:t>
      </w:r>
      <w:r>
        <w:rPr>
          <w:sz w:val="26"/>
          <w:szCs w:val="26"/>
        </w:rPr>
        <w:t xml:space="preserve"> required by PGW</w:t>
      </w:r>
      <w:r w:rsidR="00A02675">
        <w:rPr>
          <w:sz w:val="26"/>
          <w:szCs w:val="26"/>
        </w:rPr>
        <w:t xml:space="preserve"> will have to be made before PGW can restore </w:t>
      </w:r>
      <w:r>
        <w:rPr>
          <w:sz w:val="26"/>
          <w:szCs w:val="26"/>
        </w:rPr>
        <w:t xml:space="preserve">the Complainant’s </w:t>
      </w:r>
      <w:r w:rsidR="00A02675">
        <w:rPr>
          <w:sz w:val="26"/>
          <w:szCs w:val="26"/>
        </w:rPr>
        <w:t xml:space="preserve">service.  </w:t>
      </w:r>
      <w:r w:rsidR="00E96195">
        <w:rPr>
          <w:sz w:val="26"/>
          <w:szCs w:val="26"/>
        </w:rPr>
        <w:t>This Exception is denied.</w:t>
      </w:r>
    </w:p>
    <w:p w:rsidR="005508B1" w:rsidRDefault="005508B1" w:rsidP="00804BE4">
      <w:pPr>
        <w:widowControl/>
        <w:spacing w:line="360" w:lineRule="auto"/>
        <w:contextualSpacing/>
        <w:rPr>
          <w:sz w:val="26"/>
          <w:szCs w:val="26"/>
        </w:rPr>
      </w:pPr>
    </w:p>
    <w:p w:rsidR="005508B1" w:rsidRDefault="005508B1" w:rsidP="005508B1">
      <w:pPr>
        <w:widowControl/>
        <w:spacing w:line="360" w:lineRule="auto"/>
        <w:ind w:firstLine="1440"/>
        <w:rPr>
          <w:rStyle w:val="Hyperlink"/>
          <w:color w:val="000000"/>
          <w:sz w:val="26"/>
          <w:szCs w:val="26"/>
          <w:u w:val="none"/>
        </w:rPr>
      </w:pPr>
      <w:r>
        <w:rPr>
          <w:sz w:val="26"/>
          <w:szCs w:val="26"/>
        </w:rPr>
        <w:t>Included with his Exceptions, the Complainant requested</w:t>
      </w:r>
      <w:r w:rsidR="005B7B29">
        <w:rPr>
          <w:sz w:val="26"/>
          <w:szCs w:val="26"/>
        </w:rPr>
        <w:t xml:space="preserve"> as relief</w:t>
      </w:r>
      <w:r>
        <w:rPr>
          <w:sz w:val="26"/>
          <w:szCs w:val="26"/>
        </w:rPr>
        <w:t xml:space="preserve"> that</w:t>
      </w:r>
      <w:r w:rsidR="0081184F">
        <w:rPr>
          <w:sz w:val="26"/>
          <w:szCs w:val="26"/>
        </w:rPr>
        <w:t>:</w:t>
      </w:r>
      <w:r>
        <w:rPr>
          <w:sz w:val="26"/>
          <w:szCs w:val="26"/>
        </w:rPr>
        <w:t xml:space="preserve"> his service be restored, he not be denied a budget payment plan, and </w:t>
      </w:r>
      <w:r w:rsidR="003D6956">
        <w:rPr>
          <w:sz w:val="26"/>
          <w:szCs w:val="26"/>
        </w:rPr>
        <w:t xml:space="preserve">his </w:t>
      </w:r>
      <w:r>
        <w:rPr>
          <w:sz w:val="26"/>
          <w:szCs w:val="26"/>
        </w:rPr>
        <w:t xml:space="preserve">security deposit and restoration fees be waived.  He also renewed his request for damages.  The </w:t>
      </w:r>
      <w:r>
        <w:rPr>
          <w:sz w:val="26"/>
          <w:szCs w:val="26"/>
        </w:rPr>
        <w:lastRenderedPageBreak/>
        <w:t>Complainant’s request</w:t>
      </w:r>
      <w:r w:rsidR="00EF0D39">
        <w:rPr>
          <w:sz w:val="26"/>
          <w:szCs w:val="26"/>
        </w:rPr>
        <w:t>s</w:t>
      </w:r>
      <w:r>
        <w:rPr>
          <w:sz w:val="26"/>
          <w:szCs w:val="26"/>
        </w:rPr>
        <w:t xml:space="preserve"> for service restoration </w:t>
      </w:r>
      <w:r w:rsidR="00EF0D39">
        <w:rPr>
          <w:sz w:val="26"/>
          <w:szCs w:val="26"/>
        </w:rPr>
        <w:t xml:space="preserve">and damages </w:t>
      </w:r>
      <w:r>
        <w:rPr>
          <w:sz w:val="26"/>
          <w:szCs w:val="26"/>
        </w:rPr>
        <w:t>ha</w:t>
      </w:r>
      <w:r w:rsidR="00EF0D39">
        <w:rPr>
          <w:sz w:val="26"/>
          <w:szCs w:val="26"/>
        </w:rPr>
        <w:t>ve</w:t>
      </w:r>
      <w:r>
        <w:rPr>
          <w:sz w:val="26"/>
          <w:szCs w:val="26"/>
        </w:rPr>
        <w:t xml:space="preserve"> been addressed above.  </w:t>
      </w:r>
      <w:r w:rsidR="00286E44">
        <w:rPr>
          <w:sz w:val="26"/>
          <w:szCs w:val="26"/>
        </w:rPr>
        <w:t xml:space="preserve">With regard to payment plans, the Complainant requests that “eligibility for payment plans not be prevented or denied should [b]udget [p]ayment plan be needed in the subsequent conduct of business.”  Exc. at 2.  We </w:t>
      </w:r>
      <w:r>
        <w:rPr>
          <w:sz w:val="26"/>
          <w:szCs w:val="26"/>
        </w:rPr>
        <w:t>decline to address th</w:t>
      </w:r>
      <w:r w:rsidR="00286E44">
        <w:rPr>
          <w:sz w:val="26"/>
          <w:szCs w:val="26"/>
        </w:rPr>
        <w:t>is</w:t>
      </w:r>
      <w:r>
        <w:rPr>
          <w:sz w:val="26"/>
          <w:szCs w:val="26"/>
        </w:rPr>
        <w:t xml:space="preserve"> request </w:t>
      </w:r>
      <w:r w:rsidR="00286E44">
        <w:rPr>
          <w:sz w:val="26"/>
          <w:szCs w:val="26"/>
        </w:rPr>
        <w:t xml:space="preserve">at this time on the grounds it is speculative.  </w:t>
      </w:r>
      <w:r>
        <w:rPr>
          <w:sz w:val="26"/>
          <w:szCs w:val="26"/>
        </w:rPr>
        <w:t xml:space="preserve">Regarding the security deposit and restoration fee, we agree with the ALJ that PGW may impose both.  </w:t>
      </w:r>
      <w:r w:rsidR="001C6491">
        <w:rPr>
          <w:sz w:val="26"/>
          <w:szCs w:val="26"/>
        </w:rPr>
        <w:t>52 Pa. Code § 56.32 allows PGW to require a security deposit following a lawful termination.  Likewise, 5</w:t>
      </w:r>
      <w:r w:rsidR="000C65EE">
        <w:rPr>
          <w:sz w:val="26"/>
          <w:szCs w:val="26"/>
        </w:rPr>
        <w:t>2 Pa. Code § 56.4</w:t>
      </w:r>
      <w:r w:rsidR="001C6491">
        <w:rPr>
          <w:sz w:val="26"/>
          <w:szCs w:val="26"/>
        </w:rPr>
        <w:t>1 allows the imposition of a reconnection fee prior to service restoration f</w:t>
      </w:r>
      <w:r w:rsidR="00E52D03">
        <w:rPr>
          <w:sz w:val="26"/>
          <w:szCs w:val="26"/>
        </w:rPr>
        <w:t xml:space="preserve">ollowing a lawful termination. </w:t>
      </w:r>
      <w:r w:rsidR="001C6491">
        <w:rPr>
          <w:sz w:val="26"/>
          <w:szCs w:val="26"/>
        </w:rPr>
        <w:t xml:space="preserve"> The Complainant’s requested relief is denied. </w:t>
      </w:r>
    </w:p>
    <w:p w:rsidR="00006F35" w:rsidRDefault="00006F35" w:rsidP="00CA43A5">
      <w:pPr>
        <w:spacing w:line="360" w:lineRule="auto"/>
        <w:jc w:val="center"/>
        <w:rPr>
          <w:b/>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Default="008A0420" w:rsidP="00CA43A5">
      <w:pPr>
        <w:spacing w:line="360" w:lineRule="auto"/>
        <w:ind w:firstLine="1440"/>
        <w:rPr>
          <w:sz w:val="26"/>
          <w:szCs w:val="26"/>
        </w:rPr>
      </w:pPr>
      <w:r>
        <w:rPr>
          <w:sz w:val="26"/>
          <w:szCs w:val="26"/>
        </w:rPr>
        <w:t>We shall deny the Exceptions of the Complainant</w:t>
      </w:r>
      <w:r w:rsidR="00CA43A5" w:rsidRPr="00CA43A5">
        <w:rPr>
          <w:sz w:val="26"/>
          <w:szCs w:val="26"/>
        </w:rPr>
        <w:t xml:space="preserve">, consistent with the foregoing discussion; </w:t>
      </w:r>
      <w:r w:rsidR="00CA43A5" w:rsidRPr="00CA43A5">
        <w:rPr>
          <w:b/>
          <w:sz w:val="26"/>
          <w:szCs w:val="26"/>
        </w:rPr>
        <w:t>THEREFORE,</w:t>
      </w:r>
      <w:r w:rsidR="00CA43A5" w:rsidRPr="00CA43A5">
        <w:rPr>
          <w:sz w:val="26"/>
          <w:szCs w:val="26"/>
        </w:rPr>
        <w:t xml:space="preserve"> </w:t>
      </w:r>
    </w:p>
    <w:p w:rsidR="007D4609" w:rsidRPr="00CA43A5" w:rsidRDefault="007D4609" w:rsidP="00CA43A5">
      <w:pPr>
        <w:spacing w:line="360" w:lineRule="auto"/>
        <w:ind w:firstLine="1440"/>
        <w:rPr>
          <w:sz w:val="26"/>
          <w:szCs w:val="26"/>
        </w:rPr>
      </w:pPr>
    </w:p>
    <w:p w:rsidR="00CA43A5" w:rsidRPr="00CA43A5" w:rsidRDefault="00CA43A5" w:rsidP="008B32DA">
      <w:pPr>
        <w:spacing w:line="360" w:lineRule="auto"/>
        <w:ind w:firstLine="1440"/>
        <w:rPr>
          <w:b/>
          <w:sz w:val="26"/>
          <w:szCs w:val="26"/>
        </w:rPr>
      </w:pPr>
      <w:r w:rsidRPr="00CA43A5">
        <w:rPr>
          <w:b/>
          <w:sz w:val="26"/>
          <w:szCs w:val="26"/>
        </w:rPr>
        <w:t>IT IS ORDERED:</w:t>
      </w:r>
    </w:p>
    <w:p w:rsidR="00CA43A5" w:rsidRPr="00CA43A5" w:rsidRDefault="00CA43A5" w:rsidP="008B32DA">
      <w:pPr>
        <w:spacing w:line="360" w:lineRule="auto"/>
        <w:rPr>
          <w:sz w:val="26"/>
          <w:szCs w:val="26"/>
        </w:rPr>
      </w:pPr>
    </w:p>
    <w:p w:rsidR="009155F7" w:rsidRDefault="00494B07" w:rsidP="00B80C43">
      <w:pPr>
        <w:numPr>
          <w:ilvl w:val="0"/>
          <w:numId w:val="1"/>
        </w:numPr>
        <w:tabs>
          <w:tab w:val="clear" w:pos="2160"/>
          <w:tab w:val="num" w:pos="0"/>
        </w:tabs>
        <w:spacing w:line="360" w:lineRule="auto"/>
        <w:ind w:left="0" w:firstLine="1440"/>
        <w:rPr>
          <w:sz w:val="26"/>
          <w:szCs w:val="26"/>
        </w:rPr>
      </w:pPr>
      <w:r>
        <w:rPr>
          <w:sz w:val="26"/>
          <w:szCs w:val="26"/>
        </w:rPr>
        <w:t xml:space="preserve">That the Exceptions of Frank Veasey filed on </w:t>
      </w:r>
      <w:r>
        <w:rPr>
          <w:color w:val="000000"/>
          <w:sz w:val="26"/>
        </w:rPr>
        <w:t xml:space="preserve">November 18, 2013, </w:t>
      </w:r>
      <w:r>
        <w:rPr>
          <w:sz w:val="26"/>
          <w:szCs w:val="26"/>
        </w:rPr>
        <w:t>are denied</w:t>
      </w:r>
      <w:r w:rsidR="003F51F4">
        <w:rPr>
          <w:sz w:val="26"/>
          <w:szCs w:val="26"/>
        </w:rPr>
        <w:t xml:space="preserve">, consistent with this Opinion </w:t>
      </w:r>
      <w:r w:rsidR="00B80C43">
        <w:rPr>
          <w:sz w:val="26"/>
          <w:szCs w:val="26"/>
        </w:rPr>
        <w:t>and Order</w:t>
      </w:r>
      <w:r w:rsidR="009155F7">
        <w:rPr>
          <w:sz w:val="26"/>
          <w:szCs w:val="26"/>
        </w:rPr>
        <w:t>.</w:t>
      </w:r>
    </w:p>
    <w:p w:rsidR="003F51F4" w:rsidRPr="00B80C43" w:rsidRDefault="003F51F4" w:rsidP="003F51F4">
      <w:pPr>
        <w:spacing w:line="360" w:lineRule="auto"/>
        <w:ind w:left="1440"/>
        <w:rPr>
          <w:sz w:val="26"/>
          <w:szCs w:val="26"/>
        </w:rPr>
      </w:pPr>
    </w:p>
    <w:p w:rsidR="00CA43A5" w:rsidRDefault="00CA43A5" w:rsidP="00CA43A5">
      <w:pPr>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494B07">
        <w:rPr>
          <w:sz w:val="26"/>
          <w:szCs w:val="26"/>
        </w:rPr>
        <w:t xml:space="preserve">inistrative Law Judge Eranda Vero issued on </w:t>
      </w:r>
      <w:r w:rsidR="00494B07">
        <w:rPr>
          <w:color w:val="000000"/>
          <w:sz w:val="26"/>
        </w:rPr>
        <w:t>October 29, 2013,</w:t>
      </w:r>
      <w:r w:rsidR="00494B07">
        <w:rPr>
          <w:sz w:val="26"/>
          <w:szCs w:val="26"/>
        </w:rPr>
        <w:t xml:space="preserve"> is adopted,</w:t>
      </w:r>
      <w:r w:rsidRPr="00CA43A5">
        <w:rPr>
          <w:sz w:val="26"/>
          <w:szCs w:val="26"/>
        </w:rPr>
        <w:t xml:space="preserve"> consistent with this Opinion and Order.</w:t>
      </w:r>
    </w:p>
    <w:p w:rsidR="00494B07" w:rsidRDefault="00494B07" w:rsidP="00494B07">
      <w:pPr>
        <w:pStyle w:val="ListParagraph"/>
        <w:rPr>
          <w:sz w:val="26"/>
          <w:szCs w:val="26"/>
        </w:rPr>
      </w:pPr>
    </w:p>
    <w:p w:rsidR="00494B07" w:rsidRDefault="00494B07" w:rsidP="00CA43A5">
      <w:pPr>
        <w:numPr>
          <w:ilvl w:val="0"/>
          <w:numId w:val="1"/>
        </w:numPr>
        <w:tabs>
          <w:tab w:val="clear" w:pos="2160"/>
          <w:tab w:val="num" w:pos="0"/>
        </w:tabs>
        <w:spacing w:line="360" w:lineRule="auto"/>
        <w:ind w:left="0" w:firstLine="1440"/>
        <w:rPr>
          <w:sz w:val="26"/>
          <w:szCs w:val="26"/>
        </w:rPr>
      </w:pPr>
      <w:r>
        <w:rPr>
          <w:sz w:val="26"/>
          <w:szCs w:val="26"/>
        </w:rPr>
        <w:t xml:space="preserve">That the </w:t>
      </w:r>
      <w:r w:rsidR="00A624C7">
        <w:rPr>
          <w:sz w:val="26"/>
          <w:szCs w:val="26"/>
        </w:rPr>
        <w:t xml:space="preserve">Formal Complaint filed by Frank Veasey on </w:t>
      </w:r>
      <w:r w:rsidR="00A624C7" w:rsidRPr="00B72D14">
        <w:rPr>
          <w:sz w:val="26"/>
          <w:szCs w:val="26"/>
        </w:rPr>
        <w:t>March 11, 2013</w:t>
      </w:r>
      <w:r w:rsidR="00A624C7">
        <w:rPr>
          <w:sz w:val="26"/>
          <w:szCs w:val="26"/>
        </w:rPr>
        <w:t xml:space="preserve"> against Philadelphia Gas Works, is d</w:t>
      </w:r>
      <w:r w:rsidR="007F377D">
        <w:rPr>
          <w:sz w:val="26"/>
          <w:szCs w:val="26"/>
        </w:rPr>
        <w:t>ismissed</w:t>
      </w:r>
      <w:r w:rsidR="00A624C7">
        <w:rPr>
          <w:sz w:val="26"/>
          <w:szCs w:val="26"/>
        </w:rPr>
        <w:t xml:space="preserve"> consistent with this Opinion and Order.</w:t>
      </w:r>
    </w:p>
    <w:p w:rsidR="00A624C7" w:rsidRDefault="00A624C7" w:rsidP="00A624C7">
      <w:pPr>
        <w:pStyle w:val="ListParagraph"/>
        <w:rPr>
          <w:sz w:val="26"/>
          <w:szCs w:val="26"/>
        </w:rPr>
      </w:pPr>
    </w:p>
    <w:p w:rsidR="00A624C7" w:rsidRPr="00494B07" w:rsidRDefault="00A624C7" w:rsidP="00E52D03">
      <w:pPr>
        <w:keepNext/>
        <w:numPr>
          <w:ilvl w:val="0"/>
          <w:numId w:val="1"/>
        </w:numPr>
        <w:tabs>
          <w:tab w:val="clear" w:pos="2160"/>
          <w:tab w:val="num" w:pos="0"/>
        </w:tabs>
        <w:spacing w:line="360" w:lineRule="auto"/>
        <w:ind w:left="0" w:firstLine="1440"/>
        <w:rPr>
          <w:sz w:val="26"/>
          <w:szCs w:val="26"/>
        </w:rPr>
      </w:pPr>
      <w:r>
        <w:rPr>
          <w:sz w:val="26"/>
          <w:szCs w:val="26"/>
        </w:rPr>
        <w:lastRenderedPageBreak/>
        <w:t>That the proceeding docketed at C-2013-2356</w:t>
      </w:r>
      <w:r w:rsidR="002E31DF">
        <w:rPr>
          <w:sz w:val="26"/>
          <w:szCs w:val="26"/>
        </w:rPr>
        <w:t>5</w:t>
      </w:r>
      <w:r>
        <w:rPr>
          <w:sz w:val="26"/>
          <w:szCs w:val="26"/>
        </w:rPr>
        <w:t>86, be marked closed.</w:t>
      </w:r>
    </w:p>
    <w:p w:rsidR="00CA43A5" w:rsidRPr="00CA43A5" w:rsidRDefault="00CA43A5" w:rsidP="00E52D03">
      <w:pPr>
        <w:keepNext/>
        <w:rPr>
          <w:sz w:val="26"/>
          <w:szCs w:val="26"/>
        </w:rPr>
      </w:pPr>
    </w:p>
    <w:p w:rsidR="00CA43A5" w:rsidRPr="00CA43A5" w:rsidRDefault="004E3898" w:rsidP="00E52D03">
      <w:pPr>
        <w:keepNext/>
        <w:tabs>
          <w:tab w:val="left" w:pos="-720"/>
        </w:tabs>
        <w:ind w:firstLine="5040"/>
        <w:rPr>
          <w:sz w:val="26"/>
          <w:szCs w:val="26"/>
        </w:rPr>
      </w:pPr>
      <w:r>
        <w:rPr>
          <w:noProof/>
        </w:rPr>
        <w:drawing>
          <wp:anchor distT="0" distB="0" distL="114300" distR="114300" simplePos="0" relativeHeight="251658240" behindDoc="1" locked="0" layoutInCell="1" allowOverlap="1" wp14:anchorId="1516B18C" wp14:editId="22A60E85">
            <wp:simplePos x="0" y="0"/>
            <wp:positionH relativeFrom="column">
              <wp:posOffset>2914650</wp:posOffset>
            </wp:positionH>
            <wp:positionV relativeFrom="paragraph">
              <wp:posOffset>154305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E52D03">
      <w:pPr>
        <w:keepNext/>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A624C7">
        <w:rPr>
          <w:sz w:val="26"/>
          <w:szCs w:val="26"/>
        </w:rPr>
        <w:t>February 6, 2014</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4E3898">
        <w:rPr>
          <w:sz w:val="26"/>
          <w:szCs w:val="26"/>
        </w:rPr>
        <w:t>February 6, 2014</w:t>
      </w:r>
      <w:bookmarkStart w:id="2" w:name="_GoBack"/>
      <w:bookmarkEnd w:id="2"/>
    </w:p>
    <w:p w:rsidR="00344804" w:rsidRPr="00CA43A5" w:rsidRDefault="00344804" w:rsidP="00344804">
      <w:pPr>
        <w:ind w:right="360"/>
        <w:rPr>
          <w:sz w:val="26"/>
          <w:szCs w:val="26"/>
        </w:rPr>
      </w:pPr>
    </w:p>
    <w:sectPr w:rsidR="00344804" w:rsidRPr="00CA43A5" w:rsidSect="0029084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F7" w:rsidRDefault="00FB15F7" w:rsidP="00B72D14">
      <w:r>
        <w:separator/>
      </w:r>
    </w:p>
  </w:endnote>
  <w:endnote w:type="continuationSeparator" w:id="0">
    <w:p w:rsidR="00FB15F7" w:rsidRDefault="00FB15F7" w:rsidP="00B7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88081"/>
      <w:docPartObj>
        <w:docPartGallery w:val="Page Numbers (Bottom of Page)"/>
        <w:docPartUnique/>
      </w:docPartObj>
    </w:sdtPr>
    <w:sdtEndPr>
      <w:rPr>
        <w:noProof/>
        <w:sz w:val="26"/>
        <w:szCs w:val="26"/>
      </w:rPr>
    </w:sdtEndPr>
    <w:sdtContent>
      <w:p w:rsidR="00290847" w:rsidRPr="00290847" w:rsidRDefault="00290847">
        <w:pPr>
          <w:pStyle w:val="Footer"/>
          <w:jc w:val="center"/>
          <w:rPr>
            <w:sz w:val="26"/>
            <w:szCs w:val="26"/>
          </w:rPr>
        </w:pPr>
        <w:r w:rsidRPr="00290847">
          <w:rPr>
            <w:sz w:val="26"/>
            <w:szCs w:val="26"/>
          </w:rPr>
          <w:fldChar w:fldCharType="begin"/>
        </w:r>
        <w:r w:rsidRPr="00290847">
          <w:rPr>
            <w:sz w:val="26"/>
            <w:szCs w:val="26"/>
          </w:rPr>
          <w:instrText xml:space="preserve"> PAGE   \* MERGEFORMAT </w:instrText>
        </w:r>
        <w:r w:rsidRPr="00290847">
          <w:rPr>
            <w:sz w:val="26"/>
            <w:szCs w:val="26"/>
          </w:rPr>
          <w:fldChar w:fldCharType="separate"/>
        </w:r>
        <w:r w:rsidR="004E3898">
          <w:rPr>
            <w:noProof/>
            <w:sz w:val="26"/>
            <w:szCs w:val="26"/>
          </w:rPr>
          <w:t>11</w:t>
        </w:r>
        <w:r w:rsidRPr="00290847">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F7" w:rsidRDefault="00FB15F7" w:rsidP="00B72D14">
      <w:r>
        <w:separator/>
      </w:r>
    </w:p>
  </w:footnote>
  <w:footnote w:type="continuationSeparator" w:id="0">
    <w:p w:rsidR="00FB15F7" w:rsidRDefault="00FB15F7" w:rsidP="00B72D14">
      <w:r>
        <w:continuationSeparator/>
      </w:r>
    </w:p>
  </w:footnote>
  <w:footnote w:id="1">
    <w:p w:rsidR="003A31A9" w:rsidRPr="003A31A9" w:rsidRDefault="003A31A9">
      <w:pPr>
        <w:pStyle w:val="FootnoteText"/>
        <w:rPr>
          <w:rFonts w:ascii="Times New Roman" w:hAnsi="Times New Roman"/>
          <w:sz w:val="26"/>
          <w:szCs w:val="26"/>
        </w:rPr>
      </w:pPr>
      <w:r>
        <w:tab/>
      </w:r>
      <w:r w:rsidRPr="003A31A9">
        <w:rPr>
          <w:rStyle w:val="FootnoteReference"/>
          <w:rFonts w:ascii="Times New Roman" w:hAnsi="Times New Roman"/>
          <w:sz w:val="26"/>
          <w:szCs w:val="26"/>
        </w:rPr>
        <w:footnoteRef/>
      </w:r>
      <w:r w:rsidRPr="003A31A9">
        <w:rPr>
          <w:rFonts w:ascii="Times New Roman" w:hAnsi="Times New Roman"/>
          <w:sz w:val="26"/>
          <w:szCs w:val="26"/>
        </w:rPr>
        <w:t xml:space="preserve"> </w:t>
      </w:r>
      <w:r w:rsidRPr="003A31A9">
        <w:rPr>
          <w:rFonts w:ascii="Times New Roman" w:hAnsi="Times New Roman"/>
          <w:sz w:val="26"/>
          <w:szCs w:val="26"/>
        </w:rPr>
        <w:tab/>
        <w:t>Alt</w:t>
      </w:r>
      <w:r w:rsidR="00D119B4">
        <w:rPr>
          <w:rFonts w:ascii="Times New Roman" w:hAnsi="Times New Roman"/>
          <w:sz w:val="26"/>
          <w:szCs w:val="26"/>
        </w:rPr>
        <w:t>hough ALJ Vero was the assigned</w:t>
      </w:r>
      <w:r w:rsidRPr="003A31A9">
        <w:rPr>
          <w:rFonts w:ascii="Times New Roman" w:hAnsi="Times New Roman"/>
          <w:sz w:val="26"/>
          <w:szCs w:val="26"/>
        </w:rPr>
        <w:t xml:space="preserve"> ALJ in this proceeding, ALJ Angela T. Jones presided over the hearing.</w:t>
      </w:r>
    </w:p>
  </w:footnote>
  <w:footnote w:id="2">
    <w:p w:rsidR="005565D8" w:rsidRPr="005565D8" w:rsidRDefault="005565D8" w:rsidP="005565D8">
      <w:pPr>
        <w:pStyle w:val="FootnoteText"/>
        <w:rPr>
          <w:rFonts w:ascii="Times New Roman" w:hAnsi="Times New Roman"/>
          <w:sz w:val="26"/>
          <w:szCs w:val="26"/>
        </w:rPr>
      </w:pPr>
      <w:r>
        <w:tab/>
      </w:r>
      <w:r w:rsidRPr="005565D8">
        <w:rPr>
          <w:rStyle w:val="FootnoteReference"/>
          <w:rFonts w:ascii="Times New Roman" w:hAnsi="Times New Roman"/>
          <w:sz w:val="26"/>
          <w:szCs w:val="26"/>
        </w:rPr>
        <w:footnoteRef/>
      </w:r>
      <w:r w:rsidRPr="005565D8">
        <w:rPr>
          <w:rFonts w:ascii="Times New Roman" w:hAnsi="Times New Roman"/>
          <w:sz w:val="26"/>
          <w:szCs w:val="26"/>
        </w:rPr>
        <w:tab/>
        <w:t>We note at the outset that the Exceptions of the Complainant are not in strict compliance with Section 5.533(b) of our Rules of Administrative Practice and Procedure, 52 Pa. Code § 5.533(b), which provides that:</w:t>
      </w:r>
    </w:p>
    <w:p w:rsidR="005565D8" w:rsidRPr="005565D8" w:rsidRDefault="005565D8" w:rsidP="005565D8">
      <w:pPr>
        <w:pStyle w:val="FootnoteText"/>
        <w:rPr>
          <w:rFonts w:ascii="Times New Roman" w:hAnsi="Times New Roman"/>
          <w:sz w:val="26"/>
          <w:szCs w:val="26"/>
        </w:rPr>
      </w:pPr>
    </w:p>
    <w:p w:rsidR="005565D8" w:rsidRPr="005565D8" w:rsidRDefault="005565D8" w:rsidP="005565D8">
      <w:pPr>
        <w:pStyle w:val="FootnoteText"/>
        <w:tabs>
          <w:tab w:val="left" w:pos="7920"/>
        </w:tabs>
        <w:ind w:left="1440" w:right="1440"/>
        <w:rPr>
          <w:rFonts w:ascii="Times New Roman" w:hAnsi="Times New Roman"/>
          <w:sz w:val="26"/>
          <w:szCs w:val="26"/>
        </w:rPr>
      </w:pPr>
      <w:r w:rsidRPr="005565D8">
        <w:rPr>
          <w:rFonts w:ascii="Times New Roman" w:hAnsi="Times New Roman"/>
          <w:sz w:val="26"/>
          <w:szCs w:val="26"/>
        </w:rPr>
        <w:t>(b) Each exception must be numbered and identify the finding of fact or conclusion of law to which exception is taken and cite relevant pages of the decision.  Supporting reasons for the exceptions shall follow each specific exception.</w:t>
      </w:r>
    </w:p>
    <w:p w:rsidR="005565D8" w:rsidRPr="005565D8" w:rsidRDefault="005565D8" w:rsidP="005565D8">
      <w:pPr>
        <w:pStyle w:val="FootnoteText"/>
        <w:rPr>
          <w:rFonts w:ascii="Times New Roman" w:hAnsi="Times New Roman"/>
          <w:sz w:val="26"/>
          <w:szCs w:val="26"/>
        </w:rPr>
      </w:pPr>
    </w:p>
    <w:p w:rsidR="005565D8" w:rsidRPr="005565D8" w:rsidRDefault="005565D8" w:rsidP="005565D8">
      <w:pPr>
        <w:pStyle w:val="FootnoteText"/>
        <w:rPr>
          <w:rFonts w:ascii="Times New Roman" w:hAnsi="Times New Roman"/>
          <w:sz w:val="26"/>
          <w:szCs w:val="26"/>
          <w:u w:val="single"/>
        </w:rPr>
      </w:pPr>
      <w:r w:rsidRPr="005565D8">
        <w:rPr>
          <w:rFonts w:ascii="Times New Roman" w:hAnsi="Times New Roman"/>
          <w:sz w:val="26"/>
          <w:szCs w:val="26"/>
        </w:rPr>
        <w:t xml:space="preserve">We recognize, however, that the Complainant is appearing </w:t>
      </w:r>
      <w:r w:rsidRPr="005565D8">
        <w:rPr>
          <w:rFonts w:ascii="Times New Roman" w:hAnsi="Times New Roman"/>
          <w:i/>
          <w:sz w:val="26"/>
          <w:szCs w:val="26"/>
        </w:rPr>
        <w:t>pro se</w:t>
      </w:r>
      <w:r w:rsidRPr="005565D8">
        <w:rPr>
          <w:rFonts w:ascii="Times New Roman" w:hAnsi="Times New Roman"/>
          <w:sz w:val="26"/>
          <w:szCs w:val="26"/>
        </w:rPr>
        <w:t xml:space="preserve"> in this proceeding.  Traditionally, we have been hesitant to rule unfavorably against </w:t>
      </w:r>
      <w:r w:rsidRPr="005565D8">
        <w:rPr>
          <w:rFonts w:ascii="Times New Roman" w:hAnsi="Times New Roman"/>
          <w:bCs/>
          <w:i/>
          <w:sz w:val="26"/>
          <w:szCs w:val="26"/>
        </w:rPr>
        <w:t>pro se</w:t>
      </w:r>
      <w:r w:rsidRPr="005565D8">
        <w:rPr>
          <w:rFonts w:ascii="Times New Roman" w:hAnsi="Times New Roman"/>
          <w:bCs/>
          <w:sz w:val="26"/>
          <w:szCs w:val="26"/>
        </w:rPr>
        <w:t xml:space="preserve"> litigants</w:t>
      </w:r>
      <w:r w:rsidRPr="005565D8">
        <w:rPr>
          <w:rFonts w:ascii="Times New Roman" w:hAnsi="Times New Roman"/>
          <w:sz w:val="26"/>
          <w:szCs w:val="26"/>
        </w:rPr>
        <w:t xml:space="preserve"> based on technical grounds.  </w:t>
      </w:r>
      <w:r w:rsidRPr="008B32DA">
        <w:rPr>
          <w:rFonts w:ascii="Times New Roman" w:hAnsi="Times New Roman"/>
          <w:i/>
          <w:sz w:val="26"/>
          <w:szCs w:val="26"/>
        </w:rPr>
        <w:t>See</w:t>
      </w:r>
      <w:r w:rsidRPr="005565D8">
        <w:rPr>
          <w:rFonts w:ascii="Times New Roman" w:hAnsi="Times New Roman"/>
          <w:sz w:val="26"/>
          <w:szCs w:val="26"/>
        </w:rPr>
        <w:t xml:space="preserve">, </w:t>
      </w:r>
      <w:r w:rsidRPr="005565D8">
        <w:rPr>
          <w:rFonts w:ascii="Times New Roman" w:hAnsi="Times New Roman"/>
          <w:i/>
          <w:sz w:val="26"/>
          <w:szCs w:val="26"/>
        </w:rPr>
        <w:t>e.g.</w:t>
      </w:r>
      <w:r w:rsidRPr="005565D8">
        <w:rPr>
          <w:rFonts w:ascii="Times New Roman" w:hAnsi="Times New Roman"/>
          <w:sz w:val="26"/>
          <w:szCs w:val="26"/>
        </w:rPr>
        <w:t xml:space="preserve">, </w:t>
      </w:r>
      <w:r w:rsidRPr="005565D8">
        <w:rPr>
          <w:rFonts w:ascii="Times New Roman" w:hAnsi="Times New Roman"/>
          <w:i/>
          <w:sz w:val="26"/>
          <w:szCs w:val="26"/>
        </w:rPr>
        <w:t>DeStefano v. Peoples Natural Gas Company</w:t>
      </w:r>
      <w:r w:rsidRPr="005565D8">
        <w:rPr>
          <w:rFonts w:ascii="Times New Roman" w:hAnsi="Times New Roman"/>
          <w:sz w:val="26"/>
          <w:szCs w:val="26"/>
        </w:rPr>
        <w:t xml:space="preserve">, 56 Pa. P.U.C. 489 (1982); </w:t>
      </w:r>
      <w:r w:rsidRPr="005565D8">
        <w:rPr>
          <w:rFonts w:ascii="Times New Roman" w:hAnsi="Times New Roman"/>
          <w:i/>
          <w:sz w:val="26"/>
          <w:szCs w:val="26"/>
        </w:rPr>
        <w:t>Halpern v. The Bell Telephone Company of Pennsylvania</w:t>
      </w:r>
      <w:r w:rsidRPr="005565D8">
        <w:rPr>
          <w:rFonts w:ascii="Times New Roman" w:hAnsi="Times New Roman"/>
          <w:sz w:val="26"/>
          <w:szCs w:val="26"/>
        </w:rPr>
        <w:t>, Docket No.</w:t>
      </w:r>
      <w:r w:rsidRPr="005565D8">
        <w:rPr>
          <w:rFonts w:ascii="Times New Roman" w:hAnsi="Times New Roman"/>
          <w:sz w:val="26"/>
          <w:szCs w:val="26"/>
        </w:rPr>
        <w:br/>
        <w:t xml:space="preserve"> C-00923950 (Order entered October 19, 1992); </w:t>
      </w:r>
      <w:r w:rsidRPr="005565D8">
        <w:rPr>
          <w:rFonts w:ascii="Times New Roman" w:hAnsi="Times New Roman"/>
          <w:i/>
          <w:sz w:val="26"/>
          <w:szCs w:val="26"/>
        </w:rPr>
        <w:t>William Schleicherinder v. The Bell Telephone Company of Pennsylvania</w:t>
      </w:r>
      <w:r w:rsidRPr="005565D8">
        <w:rPr>
          <w:rFonts w:ascii="Times New Roman" w:hAnsi="Times New Roman"/>
          <w:sz w:val="26"/>
          <w:szCs w:val="26"/>
        </w:rPr>
        <w:t>, Docket No. F-00161252 (Order entered March 26, 1993).  In the interest of securing the just, speedy and inexpensive determination of this proceeding, we will consider the merits of the Complainant's Exceptions.  52 Pa. Code § 1.2(a).</w:t>
      </w:r>
    </w:p>
    <w:p w:rsidR="005565D8" w:rsidRDefault="005565D8">
      <w:pPr>
        <w:pStyle w:val="FootnoteText"/>
      </w:pPr>
      <w:r>
        <w:t xml:space="preserve"> </w:t>
      </w:r>
    </w:p>
  </w:footnote>
  <w:footnote w:id="3">
    <w:p w:rsidR="007156B1" w:rsidRPr="008B198C" w:rsidRDefault="007156B1" w:rsidP="007156B1">
      <w:pPr>
        <w:pStyle w:val="FootnoteText"/>
        <w:rPr>
          <w:rFonts w:ascii="Times New Roman" w:hAnsi="Times New Roman"/>
          <w:sz w:val="26"/>
          <w:szCs w:val="26"/>
        </w:rPr>
      </w:pPr>
      <w:r>
        <w:tab/>
      </w:r>
      <w:r w:rsidRPr="008B198C">
        <w:rPr>
          <w:rStyle w:val="FootnoteReference"/>
          <w:rFonts w:ascii="Times New Roman" w:hAnsi="Times New Roman"/>
          <w:sz w:val="26"/>
          <w:szCs w:val="26"/>
        </w:rPr>
        <w:footnoteRef/>
      </w:r>
      <w:r w:rsidRPr="008B198C">
        <w:rPr>
          <w:rFonts w:ascii="Times New Roman" w:hAnsi="Times New Roman"/>
          <w:sz w:val="26"/>
          <w:szCs w:val="26"/>
        </w:rPr>
        <w:t xml:space="preserve"> </w:t>
      </w:r>
      <w:r w:rsidRPr="008B198C">
        <w:rPr>
          <w:rFonts w:ascii="Times New Roman" w:hAnsi="Times New Roman"/>
          <w:sz w:val="26"/>
          <w:szCs w:val="26"/>
        </w:rPr>
        <w:tab/>
      </w:r>
      <w:r>
        <w:rPr>
          <w:rFonts w:ascii="Times New Roman" w:hAnsi="Times New Roman"/>
          <w:sz w:val="26"/>
          <w:szCs w:val="26"/>
        </w:rPr>
        <w:t xml:space="preserve">On review, we find no error in the ALJ’s decision to grant the Preliminary Objections.  </w:t>
      </w:r>
      <w:r w:rsidRPr="008B198C">
        <w:rPr>
          <w:rFonts w:ascii="Times New Roman" w:eastAsia="Times New Roman" w:hAnsi="Times New Roman"/>
          <w:sz w:val="26"/>
          <w:szCs w:val="26"/>
        </w:rPr>
        <w:t xml:space="preserve">Pennsylvania appellate courts have repeatedly held that the Commission is without power to award monetary damages to a private litigant.  </w:t>
      </w:r>
      <w:r>
        <w:rPr>
          <w:rFonts w:ascii="Times New Roman" w:eastAsia="Times New Roman" w:hAnsi="Times New Roman"/>
          <w:i/>
          <w:sz w:val="26"/>
          <w:szCs w:val="26"/>
        </w:rPr>
        <w:t>Feingold v. Bell o</w:t>
      </w:r>
      <w:r w:rsidRPr="008B198C">
        <w:rPr>
          <w:rFonts w:ascii="Times New Roman" w:eastAsia="Times New Roman" w:hAnsi="Times New Roman"/>
          <w:i/>
          <w:sz w:val="26"/>
          <w:szCs w:val="26"/>
        </w:rPr>
        <w:t>f Pennsylvania</w:t>
      </w:r>
      <w:r w:rsidRPr="008B198C">
        <w:rPr>
          <w:rFonts w:ascii="Times New Roman" w:eastAsia="Times New Roman" w:hAnsi="Times New Roman"/>
          <w:sz w:val="26"/>
          <w:szCs w:val="26"/>
        </w:rPr>
        <w:t xml:space="preserve">, 477 Pa. 1, 383 A.2d 791 (1977); </w:t>
      </w:r>
      <w:r w:rsidRPr="008B198C">
        <w:rPr>
          <w:rFonts w:ascii="Times New Roman" w:eastAsia="Times New Roman" w:hAnsi="Times New Roman"/>
          <w:i/>
          <w:sz w:val="26"/>
          <w:szCs w:val="26"/>
        </w:rPr>
        <w:t>Morrow v. Bell Telephone Co. of Pennsylvania</w:t>
      </w:r>
      <w:r w:rsidRPr="008B198C">
        <w:rPr>
          <w:rFonts w:ascii="Times New Roman" w:eastAsia="Times New Roman" w:hAnsi="Times New Roman"/>
          <w:sz w:val="26"/>
          <w:szCs w:val="26"/>
        </w:rPr>
        <w:t>, 330 Pa.</w:t>
      </w:r>
      <w:r>
        <w:rPr>
          <w:rFonts w:ascii="Times New Roman" w:eastAsia="Times New Roman" w:hAnsi="Times New Roman"/>
          <w:sz w:val="26"/>
          <w:szCs w:val="26"/>
        </w:rPr>
        <w:t xml:space="preserve"> </w:t>
      </w:r>
      <w:r w:rsidRPr="008B198C">
        <w:rPr>
          <w:rFonts w:ascii="Times New Roman" w:eastAsia="Times New Roman" w:hAnsi="Times New Roman"/>
          <w:sz w:val="26"/>
          <w:szCs w:val="26"/>
        </w:rPr>
        <w:t xml:space="preserve">Super. 276, 479 A.2d 548 (1984); </w:t>
      </w:r>
      <w:r w:rsidRPr="008B198C">
        <w:rPr>
          <w:rFonts w:ascii="Times New Roman" w:eastAsia="Times New Roman" w:hAnsi="Times New Roman"/>
          <w:i/>
          <w:sz w:val="26"/>
          <w:szCs w:val="26"/>
        </w:rPr>
        <w:t xml:space="preserve">West Penn Power </w:t>
      </w:r>
      <w:r>
        <w:rPr>
          <w:rFonts w:ascii="Times New Roman" w:eastAsia="Times New Roman" w:hAnsi="Times New Roman"/>
          <w:i/>
          <w:sz w:val="26"/>
          <w:szCs w:val="26"/>
        </w:rPr>
        <w:t>Co. v. Pa. PUC</w:t>
      </w:r>
      <w:r w:rsidRPr="008B198C">
        <w:rPr>
          <w:rFonts w:ascii="Times New Roman" w:eastAsia="Times New Roman" w:hAnsi="Times New Roman"/>
          <w:sz w:val="26"/>
          <w:szCs w:val="26"/>
        </w:rPr>
        <w:t>, 104 Pa.</w:t>
      </w:r>
      <w:r>
        <w:rPr>
          <w:rFonts w:ascii="Times New Roman" w:eastAsia="Times New Roman" w:hAnsi="Times New Roman"/>
          <w:sz w:val="26"/>
          <w:szCs w:val="26"/>
        </w:rPr>
        <w:t xml:space="preserve"> </w:t>
      </w:r>
      <w:r w:rsidRPr="008B198C">
        <w:rPr>
          <w:rFonts w:ascii="Times New Roman" w:eastAsia="Times New Roman" w:hAnsi="Times New Roman"/>
          <w:sz w:val="26"/>
          <w:szCs w:val="26"/>
        </w:rPr>
        <w:t xml:space="preserve">Cmwlth. 21, 521 A.2d 75 (1987); </w:t>
      </w:r>
      <w:r w:rsidRPr="008B198C">
        <w:rPr>
          <w:rFonts w:ascii="Times New Roman" w:eastAsia="Times New Roman" w:hAnsi="Times New Roman"/>
          <w:i/>
          <w:sz w:val="26"/>
          <w:szCs w:val="26"/>
        </w:rPr>
        <w:t>Ostrov v. I.F.T., Inc.</w:t>
      </w:r>
      <w:r w:rsidRPr="008B198C">
        <w:rPr>
          <w:rFonts w:ascii="Times New Roman" w:eastAsia="Times New Roman" w:hAnsi="Times New Roman"/>
          <w:sz w:val="26"/>
          <w:szCs w:val="26"/>
        </w:rPr>
        <w:t>, 402 Pa.</w:t>
      </w:r>
      <w:r>
        <w:rPr>
          <w:rFonts w:ascii="Times New Roman" w:eastAsia="Times New Roman" w:hAnsi="Times New Roman"/>
          <w:sz w:val="26"/>
          <w:szCs w:val="26"/>
        </w:rPr>
        <w:t xml:space="preserve"> </w:t>
      </w:r>
      <w:r w:rsidRPr="008B198C">
        <w:rPr>
          <w:rFonts w:ascii="Times New Roman" w:eastAsia="Times New Roman" w:hAnsi="Times New Roman"/>
          <w:sz w:val="26"/>
          <w:szCs w:val="26"/>
        </w:rPr>
        <w:t>Super. 87, 586 A.2d 409 (1991).</w:t>
      </w:r>
    </w:p>
  </w:footnote>
  <w:footnote w:id="4">
    <w:p w:rsidR="00D94DE2" w:rsidRPr="00D94DE2" w:rsidRDefault="00D94DE2" w:rsidP="00D94DE2">
      <w:pPr>
        <w:pStyle w:val="FootnoteText"/>
        <w:rPr>
          <w:rFonts w:ascii="Times New Roman" w:hAnsi="Times New Roman"/>
          <w:sz w:val="26"/>
          <w:szCs w:val="26"/>
        </w:rPr>
      </w:pPr>
      <w:r>
        <w:tab/>
      </w:r>
      <w:r w:rsidRPr="00D94DE2">
        <w:rPr>
          <w:rStyle w:val="FootnoteReference"/>
          <w:rFonts w:ascii="Times New Roman" w:hAnsi="Times New Roman"/>
          <w:sz w:val="26"/>
          <w:szCs w:val="26"/>
        </w:rPr>
        <w:footnoteRef/>
      </w:r>
      <w:r w:rsidRPr="00D94DE2">
        <w:rPr>
          <w:rFonts w:ascii="Times New Roman" w:hAnsi="Times New Roman"/>
          <w:sz w:val="26"/>
          <w:szCs w:val="26"/>
        </w:rPr>
        <w:t xml:space="preserve"> </w:t>
      </w:r>
      <w:r w:rsidRPr="00D94DE2">
        <w:rPr>
          <w:rFonts w:ascii="Times New Roman" w:hAnsi="Times New Roman"/>
          <w:sz w:val="26"/>
          <w:szCs w:val="26"/>
        </w:rPr>
        <w:tab/>
        <w:t xml:space="preserve">A budget plan allows a gas utility customer to spread payment for one year’s natural gas usage over the year in equal installments so that a customer is not faced with unmanageable winter heating bills.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2CD2"/>
    <w:rsid w:val="00054612"/>
    <w:rsid w:val="0005572E"/>
    <w:rsid w:val="00056286"/>
    <w:rsid w:val="00060E4A"/>
    <w:rsid w:val="000612FD"/>
    <w:rsid w:val="000642AA"/>
    <w:rsid w:val="000649EC"/>
    <w:rsid w:val="00066EE5"/>
    <w:rsid w:val="00067260"/>
    <w:rsid w:val="00072808"/>
    <w:rsid w:val="00076F35"/>
    <w:rsid w:val="00077DFE"/>
    <w:rsid w:val="00084573"/>
    <w:rsid w:val="000848E6"/>
    <w:rsid w:val="00084AF9"/>
    <w:rsid w:val="000918D4"/>
    <w:rsid w:val="00093164"/>
    <w:rsid w:val="00094D61"/>
    <w:rsid w:val="0009612D"/>
    <w:rsid w:val="00097504"/>
    <w:rsid w:val="000A2E52"/>
    <w:rsid w:val="000A365D"/>
    <w:rsid w:val="000B216D"/>
    <w:rsid w:val="000B2755"/>
    <w:rsid w:val="000B4EAE"/>
    <w:rsid w:val="000B5238"/>
    <w:rsid w:val="000B607A"/>
    <w:rsid w:val="000B6B15"/>
    <w:rsid w:val="000C2AE3"/>
    <w:rsid w:val="000C65EE"/>
    <w:rsid w:val="000C709A"/>
    <w:rsid w:val="000F08B9"/>
    <w:rsid w:val="000F179E"/>
    <w:rsid w:val="000F4307"/>
    <w:rsid w:val="00100A8F"/>
    <w:rsid w:val="0010158F"/>
    <w:rsid w:val="00101F51"/>
    <w:rsid w:val="001026CA"/>
    <w:rsid w:val="00104D9B"/>
    <w:rsid w:val="00110738"/>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577FE"/>
    <w:rsid w:val="00164DA4"/>
    <w:rsid w:val="00166298"/>
    <w:rsid w:val="001663C8"/>
    <w:rsid w:val="00174D3D"/>
    <w:rsid w:val="00182478"/>
    <w:rsid w:val="00184E50"/>
    <w:rsid w:val="00186A97"/>
    <w:rsid w:val="0019530E"/>
    <w:rsid w:val="00195F2E"/>
    <w:rsid w:val="001B02F1"/>
    <w:rsid w:val="001B1DB4"/>
    <w:rsid w:val="001C2315"/>
    <w:rsid w:val="001C4978"/>
    <w:rsid w:val="001C6491"/>
    <w:rsid w:val="001D0ED2"/>
    <w:rsid w:val="001E0B61"/>
    <w:rsid w:val="001E1276"/>
    <w:rsid w:val="001F285E"/>
    <w:rsid w:val="001F6FFF"/>
    <w:rsid w:val="00202524"/>
    <w:rsid w:val="00210736"/>
    <w:rsid w:val="00210F81"/>
    <w:rsid w:val="00211622"/>
    <w:rsid w:val="00214B3E"/>
    <w:rsid w:val="0022698E"/>
    <w:rsid w:val="002275A9"/>
    <w:rsid w:val="00227912"/>
    <w:rsid w:val="002306F3"/>
    <w:rsid w:val="002311EE"/>
    <w:rsid w:val="002370F5"/>
    <w:rsid w:val="00240ACA"/>
    <w:rsid w:val="00240D7B"/>
    <w:rsid w:val="00241299"/>
    <w:rsid w:val="002514B4"/>
    <w:rsid w:val="00255462"/>
    <w:rsid w:val="00260957"/>
    <w:rsid w:val="00264646"/>
    <w:rsid w:val="0027232D"/>
    <w:rsid w:val="00274D0F"/>
    <w:rsid w:val="00275C42"/>
    <w:rsid w:val="00277500"/>
    <w:rsid w:val="00280D41"/>
    <w:rsid w:val="00281A5F"/>
    <w:rsid w:val="00286E44"/>
    <w:rsid w:val="00290847"/>
    <w:rsid w:val="00291F68"/>
    <w:rsid w:val="002A060A"/>
    <w:rsid w:val="002A4450"/>
    <w:rsid w:val="002A6750"/>
    <w:rsid w:val="002B1336"/>
    <w:rsid w:val="002B2296"/>
    <w:rsid w:val="002B4407"/>
    <w:rsid w:val="002B67B7"/>
    <w:rsid w:val="002C0429"/>
    <w:rsid w:val="002C19E4"/>
    <w:rsid w:val="002C6CC4"/>
    <w:rsid w:val="002D13C4"/>
    <w:rsid w:val="002D275E"/>
    <w:rsid w:val="002D6357"/>
    <w:rsid w:val="002D7584"/>
    <w:rsid w:val="002E191A"/>
    <w:rsid w:val="002E3026"/>
    <w:rsid w:val="002E31DF"/>
    <w:rsid w:val="002E3F06"/>
    <w:rsid w:val="002E6FFA"/>
    <w:rsid w:val="002E7F8F"/>
    <w:rsid w:val="002F33C8"/>
    <w:rsid w:val="002F3F04"/>
    <w:rsid w:val="002F41BA"/>
    <w:rsid w:val="003018AA"/>
    <w:rsid w:val="00303B99"/>
    <w:rsid w:val="0030447C"/>
    <w:rsid w:val="00304776"/>
    <w:rsid w:val="0030714F"/>
    <w:rsid w:val="003073E2"/>
    <w:rsid w:val="00307DDF"/>
    <w:rsid w:val="003120BA"/>
    <w:rsid w:val="00312FD5"/>
    <w:rsid w:val="00314A43"/>
    <w:rsid w:val="00322040"/>
    <w:rsid w:val="003240B8"/>
    <w:rsid w:val="00324C74"/>
    <w:rsid w:val="00325422"/>
    <w:rsid w:val="003318AE"/>
    <w:rsid w:val="00333FDA"/>
    <w:rsid w:val="003340DE"/>
    <w:rsid w:val="00336647"/>
    <w:rsid w:val="00340D19"/>
    <w:rsid w:val="0034369F"/>
    <w:rsid w:val="00344804"/>
    <w:rsid w:val="003518C8"/>
    <w:rsid w:val="003533B5"/>
    <w:rsid w:val="003622CA"/>
    <w:rsid w:val="00363030"/>
    <w:rsid w:val="0036462C"/>
    <w:rsid w:val="00364A42"/>
    <w:rsid w:val="003755FB"/>
    <w:rsid w:val="0037577C"/>
    <w:rsid w:val="00385502"/>
    <w:rsid w:val="00391A43"/>
    <w:rsid w:val="003A31A9"/>
    <w:rsid w:val="003A7B21"/>
    <w:rsid w:val="003B0611"/>
    <w:rsid w:val="003B42D9"/>
    <w:rsid w:val="003C3140"/>
    <w:rsid w:val="003C3E02"/>
    <w:rsid w:val="003C3FE8"/>
    <w:rsid w:val="003C73F9"/>
    <w:rsid w:val="003D460F"/>
    <w:rsid w:val="003D5F07"/>
    <w:rsid w:val="003D6956"/>
    <w:rsid w:val="003D6AB5"/>
    <w:rsid w:val="003E1858"/>
    <w:rsid w:val="003E3FF5"/>
    <w:rsid w:val="003E5354"/>
    <w:rsid w:val="003F51F4"/>
    <w:rsid w:val="003F52C6"/>
    <w:rsid w:val="003F558E"/>
    <w:rsid w:val="00403D6E"/>
    <w:rsid w:val="00405877"/>
    <w:rsid w:val="00407AC0"/>
    <w:rsid w:val="00412E30"/>
    <w:rsid w:val="004170AF"/>
    <w:rsid w:val="00432BB7"/>
    <w:rsid w:val="004331E9"/>
    <w:rsid w:val="00433E8D"/>
    <w:rsid w:val="0043592C"/>
    <w:rsid w:val="004411B9"/>
    <w:rsid w:val="00441207"/>
    <w:rsid w:val="004422CA"/>
    <w:rsid w:val="00443807"/>
    <w:rsid w:val="00445914"/>
    <w:rsid w:val="004462F7"/>
    <w:rsid w:val="0046019D"/>
    <w:rsid w:val="00462320"/>
    <w:rsid w:val="00464536"/>
    <w:rsid w:val="0046514E"/>
    <w:rsid w:val="0046623C"/>
    <w:rsid w:val="00467739"/>
    <w:rsid w:val="00470D0C"/>
    <w:rsid w:val="00474E22"/>
    <w:rsid w:val="0047608F"/>
    <w:rsid w:val="00476554"/>
    <w:rsid w:val="004813D4"/>
    <w:rsid w:val="00486579"/>
    <w:rsid w:val="00491D91"/>
    <w:rsid w:val="00494388"/>
    <w:rsid w:val="00494B07"/>
    <w:rsid w:val="0049580C"/>
    <w:rsid w:val="0049768F"/>
    <w:rsid w:val="004A04E5"/>
    <w:rsid w:val="004A1495"/>
    <w:rsid w:val="004A2165"/>
    <w:rsid w:val="004A5F74"/>
    <w:rsid w:val="004B1052"/>
    <w:rsid w:val="004B6B14"/>
    <w:rsid w:val="004C4381"/>
    <w:rsid w:val="004D2D68"/>
    <w:rsid w:val="004D5556"/>
    <w:rsid w:val="004E3898"/>
    <w:rsid w:val="004E47EC"/>
    <w:rsid w:val="004E514F"/>
    <w:rsid w:val="004E737F"/>
    <w:rsid w:val="004F03DE"/>
    <w:rsid w:val="004F22DA"/>
    <w:rsid w:val="004F56BF"/>
    <w:rsid w:val="004F7B97"/>
    <w:rsid w:val="00502165"/>
    <w:rsid w:val="00504834"/>
    <w:rsid w:val="00504C7A"/>
    <w:rsid w:val="00505AEE"/>
    <w:rsid w:val="0050632E"/>
    <w:rsid w:val="0050752D"/>
    <w:rsid w:val="00511EF3"/>
    <w:rsid w:val="00514507"/>
    <w:rsid w:val="00521350"/>
    <w:rsid w:val="0052592B"/>
    <w:rsid w:val="005351B9"/>
    <w:rsid w:val="00536011"/>
    <w:rsid w:val="005403F7"/>
    <w:rsid w:val="00547B3C"/>
    <w:rsid w:val="005508B1"/>
    <w:rsid w:val="00550B79"/>
    <w:rsid w:val="0055150B"/>
    <w:rsid w:val="005532F9"/>
    <w:rsid w:val="0055440B"/>
    <w:rsid w:val="005565D8"/>
    <w:rsid w:val="0055708D"/>
    <w:rsid w:val="00561CA6"/>
    <w:rsid w:val="00564565"/>
    <w:rsid w:val="005647BE"/>
    <w:rsid w:val="00566299"/>
    <w:rsid w:val="00570400"/>
    <w:rsid w:val="005725F6"/>
    <w:rsid w:val="00586817"/>
    <w:rsid w:val="00586D92"/>
    <w:rsid w:val="00587507"/>
    <w:rsid w:val="00590C8D"/>
    <w:rsid w:val="0059553F"/>
    <w:rsid w:val="00596A0B"/>
    <w:rsid w:val="00596E05"/>
    <w:rsid w:val="00596F85"/>
    <w:rsid w:val="005970FA"/>
    <w:rsid w:val="005A0176"/>
    <w:rsid w:val="005A088E"/>
    <w:rsid w:val="005A2298"/>
    <w:rsid w:val="005A28C1"/>
    <w:rsid w:val="005A72FC"/>
    <w:rsid w:val="005B0388"/>
    <w:rsid w:val="005B109A"/>
    <w:rsid w:val="005B2234"/>
    <w:rsid w:val="005B52CA"/>
    <w:rsid w:val="005B7B29"/>
    <w:rsid w:val="005C1B90"/>
    <w:rsid w:val="005C2FD5"/>
    <w:rsid w:val="005C5378"/>
    <w:rsid w:val="005D0B94"/>
    <w:rsid w:val="005D2AB9"/>
    <w:rsid w:val="005D34E2"/>
    <w:rsid w:val="005D3C8F"/>
    <w:rsid w:val="005D4799"/>
    <w:rsid w:val="005D496E"/>
    <w:rsid w:val="005D7C20"/>
    <w:rsid w:val="005E6960"/>
    <w:rsid w:val="005E7EB8"/>
    <w:rsid w:val="005F18D6"/>
    <w:rsid w:val="005F3530"/>
    <w:rsid w:val="005F3537"/>
    <w:rsid w:val="00603024"/>
    <w:rsid w:val="006116E3"/>
    <w:rsid w:val="00624400"/>
    <w:rsid w:val="00624E51"/>
    <w:rsid w:val="00626162"/>
    <w:rsid w:val="006265BA"/>
    <w:rsid w:val="00634719"/>
    <w:rsid w:val="00637C64"/>
    <w:rsid w:val="00646289"/>
    <w:rsid w:val="00647447"/>
    <w:rsid w:val="006503E8"/>
    <w:rsid w:val="00654A4A"/>
    <w:rsid w:val="0065545A"/>
    <w:rsid w:val="006658BB"/>
    <w:rsid w:val="006661CF"/>
    <w:rsid w:val="00670BFD"/>
    <w:rsid w:val="00671E4C"/>
    <w:rsid w:val="00674295"/>
    <w:rsid w:val="006818A8"/>
    <w:rsid w:val="00681A51"/>
    <w:rsid w:val="00682469"/>
    <w:rsid w:val="00683D97"/>
    <w:rsid w:val="00684FCA"/>
    <w:rsid w:val="00686B5C"/>
    <w:rsid w:val="00696997"/>
    <w:rsid w:val="006A16CC"/>
    <w:rsid w:val="006A758C"/>
    <w:rsid w:val="006B71BD"/>
    <w:rsid w:val="006C1550"/>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05E9B"/>
    <w:rsid w:val="00714F3B"/>
    <w:rsid w:val="007156B1"/>
    <w:rsid w:val="007166F7"/>
    <w:rsid w:val="00716AEF"/>
    <w:rsid w:val="00717076"/>
    <w:rsid w:val="00717296"/>
    <w:rsid w:val="00727370"/>
    <w:rsid w:val="00730C1B"/>
    <w:rsid w:val="00731444"/>
    <w:rsid w:val="00735D9E"/>
    <w:rsid w:val="0074109C"/>
    <w:rsid w:val="00742335"/>
    <w:rsid w:val="00742842"/>
    <w:rsid w:val="00753376"/>
    <w:rsid w:val="007543B0"/>
    <w:rsid w:val="007568A9"/>
    <w:rsid w:val="00760736"/>
    <w:rsid w:val="00761514"/>
    <w:rsid w:val="00763CE7"/>
    <w:rsid w:val="00772177"/>
    <w:rsid w:val="00775C65"/>
    <w:rsid w:val="0077639A"/>
    <w:rsid w:val="007769A4"/>
    <w:rsid w:val="00777008"/>
    <w:rsid w:val="0078100C"/>
    <w:rsid w:val="0078157F"/>
    <w:rsid w:val="00786F48"/>
    <w:rsid w:val="0078772C"/>
    <w:rsid w:val="007878E4"/>
    <w:rsid w:val="007963BD"/>
    <w:rsid w:val="007A4783"/>
    <w:rsid w:val="007A5191"/>
    <w:rsid w:val="007B0500"/>
    <w:rsid w:val="007B111B"/>
    <w:rsid w:val="007B3906"/>
    <w:rsid w:val="007B3AE8"/>
    <w:rsid w:val="007B4418"/>
    <w:rsid w:val="007B5F62"/>
    <w:rsid w:val="007B66B3"/>
    <w:rsid w:val="007B7077"/>
    <w:rsid w:val="007C3003"/>
    <w:rsid w:val="007C6B60"/>
    <w:rsid w:val="007C6F85"/>
    <w:rsid w:val="007C7F2B"/>
    <w:rsid w:val="007D3AA0"/>
    <w:rsid w:val="007D3FE2"/>
    <w:rsid w:val="007D4609"/>
    <w:rsid w:val="007D5690"/>
    <w:rsid w:val="007D69FA"/>
    <w:rsid w:val="007E1600"/>
    <w:rsid w:val="007F377D"/>
    <w:rsid w:val="007F5960"/>
    <w:rsid w:val="007F7270"/>
    <w:rsid w:val="00802E4F"/>
    <w:rsid w:val="00804BE4"/>
    <w:rsid w:val="00810603"/>
    <w:rsid w:val="0081184F"/>
    <w:rsid w:val="00811E49"/>
    <w:rsid w:val="00813DFC"/>
    <w:rsid w:val="00814283"/>
    <w:rsid w:val="00820209"/>
    <w:rsid w:val="00820F35"/>
    <w:rsid w:val="00820FEC"/>
    <w:rsid w:val="0082393D"/>
    <w:rsid w:val="0083324D"/>
    <w:rsid w:val="00841733"/>
    <w:rsid w:val="00841983"/>
    <w:rsid w:val="00843770"/>
    <w:rsid w:val="00844D38"/>
    <w:rsid w:val="00844D85"/>
    <w:rsid w:val="00851A17"/>
    <w:rsid w:val="00851B0F"/>
    <w:rsid w:val="008524BE"/>
    <w:rsid w:val="008532B7"/>
    <w:rsid w:val="00853BC2"/>
    <w:rsid w:val="00854278"/>
    <w:rsid w:val="00856063"/>
    <w:rsid w:val="00857172"/>
    <w:rsid w:val="0086236A"/>
    <w:rsid w:val="0087035A"/>
    <w:rsid w:val="0087347D"/>
    <w:rsid w:val="00881244"/>
    <w:rsid w:val="00882DAD"/>
    <w:rsid w:val="00885263"/>
    <w:rsid w:val="00892DA5"/>
    <w:rsid w:val="008949B1"/>
    <w:rsid w:val="0089713E"/>
    <w:rsid w:val="008A0420"/>
    <w:rsid w:val="008A10F3"/>
    <w:rsid w:val="008A5C0F"/>
    <w:rsid w:val="008B1596"/>
    <w:rsid w:val="008B198C"/>
    <w:rsid w:val="008B32DA"/>
    <w:rsid w:val="008C09C4"/>
    <w:rsid w:val="008C1F44"/>
    <w:rsid w:val="008C646F"/>
    <w:rsid w:val="008D6CBA"/>
    <w:rsid w:val="008E3E4B"/>
    <w:rsid w:val="008E4EF9"/>
    <w:rsid w:val="008E6DFC"/>
    <w:rsid w:val="008E7710"/>
    <w:rsid w:val="008F0E2D"/>
    <w:rsid w:val="00900D4D"/>
    <w:rsid w:val="00903F34"/>
    <w:rsid w:val="00905C0A"/>
    <w:rsid w:val="009122F8"/>
    <w:rsid w:val="00915520"/>
    <w:rsid w:val="009155F7"/>
    <w:rsid w:val="00921131"/>
    <w:rsid w:val="00924243"/>
    <w:rsid w:val="009247F5"/>
    <w:rsid w:val="00926AB2"/>
    <w:rsid w:val="009407FE"/>
    <w:rsid w:val="00942436"/>
    <w:rsid w:val="0095503C"/>
    <w:rsid w:val="00957603"/>
    <w:rsid w:val="00957A1D"/>
    <w:rsid w:val="00957BC0"/>
    <w:rsid w:val="00963392"/>
    <w:rsid w:val="0096487B"/>
    <w:rsid w:val="009757D1"/>
    <w:rsid w:val="00980754"/>
    <w:rsid w:val="00981535"/>
    <w:rsid w:val="009825C8"/>
    <w:rsid w:val="0098409F"/>
    <w:rsid w:val="00985537"/>
    <w:rsid w:val="00990F9E"/>
    <w:rsid w:val="00991698"/>
    <w:rsid w:val="00991C17"/>
    <w:rsid w:val="00992D1E"/>
    <w:rsid w:val="009974E2"/>
    <w:rsid w:val="00997EB2"/>
    <w:rsid w:val="009A0557"/>
    <w:rsid w:val="009A06F5"/>
    <w:rsid w:val="009A0788"/>
    <w:rsid w:val="009A0E92"/>
    <w:rsid w:val="009A17EC"/>
    <w:rsid w:val="009A6997"/>
    <w:rsid w:val="009B03DF"/>
    <w:rsid w:val="009B241D"/>
    <w:rsid w:val="009B6AF0"/>
    <w:rsid w:val="009C1A10"/>
    <w:rsid w:val="009C292D"/>
    <w:rsid w:val="009C5F0C"/>
    <w:rsid w:val="009C67C0"/>
    <w:rsid w:val="009D1035"/>
    <w:rsid w:val="009D13D0"/>
    <w:rsid w:val="009D2068"/>
    <w:rsid w:val="009D7668"/>
    <w:rsid w:val="009D7D33"/>
    <w:rsid w:val="009E1E4A"/>
    <w:rsid w:val="009E4DD4"/>
    <w:rsid w:val="009E4E3F"/>
    <w:rsid w:val="009E698B"/>
    <w:rsid w:val="009E7E6D"/>
    <w:rsid w:val="009F1547"/>
    <w:rsid w:val="009F4ABA"/>
    <w:rsid w:val="00A02675"/>
    <w:rsid w:val="00A054F1"/>
    <w:rsid w:val="00A066AE"/>
    <w:rsid w:val="00A10DD9"/>
    <w:rsid w:val="00A12C6B"/>
    <w:rsid w:val="00A14117"/>
    <w:rsid w:val="00A149FA"/>
    <w:rsid w:val="00A17DF0"/>
    <w:rsid w:val="00A20F78"/>
    <w:rsid w:val="00A218F1"/>
    <w:rsid w:val="00A27DEE"/>
    <w:rsid w:val="00A31B93"/>
    <w:rsid w:val="00A36303"/>
    <w:rsid w:val="00A375EF"/>
    <w:rsid w:val="00A40439"/>
    <w:rsid w:val="00A40D87"/>
    <w:rsid w:val="00A528C2"/>
    <w:rsid w:val="00A54AFD"/>
    <w:rsid w:val="00A54E69"/>
    <w:rsid w:val="00A61B06"/>
    <w:rsid w:val="00A62113"/>
    <w:rsid w:val="00A624C7"/>
    <w:rsid w:val="00A6759C"/>
    <w:rsid w:val="00A67923"/>
    <w:rsid w:val="00A70EBF"/>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096"/>
    <w:rsid w:val="00AC1404"/>
    <w:rsid w:val="00AD039F"/>
    <w:rsid w:val="00AD3902"/>
    <w:rsid w:val="00AD6010"/>
    <w:rsid w:val="00AD7467"/>
    <w:rsid w:val="00AE33FF"/>
    <w:rsid w:val="00AE49E1"/>
    <w:rsid w:val="00AE751D"/>
    <w:rsid w:val="00AF06D5"/>
    <w:rsid w:val="00AF09DD"/>
    <w:rsid w:val="00AF7659"/>
    <w:rsid w:val="00B02655"/>
    <w:rsid w:val="00B05102"/>
    <w:rsid w:val="00B06BA6"/>
    <w:rsid w:val="00B16A34"/>
    <w:rsid w:val="00B17AA0"/>
    <w:rsid w:val="00B25453"/>
    <w:rsid w:val="00B31B9C"/>
    <w:rsid w:val="00B34D6C"/>
    <w:rsid w:val="00B462F6"/>
    <w:rsid w:val="00B54BC7"/>
    <w:rsid w:val="00B5544F"/>
    <w:rsid w:val="00B55E5D"/>
    <w:rsid w:val="00B577F4"/>
    <w:rsid w:val="00B60A36"/>
    <w:rsid w:val="00B66867"/>
    <w:rsid w:val="00B66994"/>
    <w:rsid w:val="00B71AFB"/>
    <w:rsid w:val="00B71F3A"/>
    <w:rsid w:val="00B72D14"/>
    <w:rsid w:val="00B73C97"/>
    <w:rsid w:val="00B76340"/>
    <w:rsid w:val="00B80C43"/>
    <w:rsid w:val="00B8140A"/>
    <w:rsid w:val="00B94786"/>
    <w:rsid w:val="00BA6281"/>
    <w:rsid w:val="00BA78B6"/>
    <w:rsid w:val="00BB26AD"/>
    <w:rsid w:val="00BB79BD"/>
    <w:rsid w:val="00BC1ADB"/>
    <w:rsid w:val="00BC2FEA"/>
    <w:rsid w:val="00BC4862"/>
    <w:rsid w:val="00BC7208"/>
    <w:rsid w:val="00BD0B48"/>
    <w:rsid w:val="00BD2A0A"/>
    <w:rsid w:val="00BD5D0F"/>
    <w:rsid w:val="00BD7C68"/>
    <w:rsid w:val="00BE1CBC"/>
    <w:rsid w:val="00BE29DC"/>
    <w:rsid w:val="00BF697A"/>
    <w:rsid w:val="00BF6ADB"/>
    <w:rsid w:val="00C03776"/>
    <w:rsid w:val="00C12BF3"/>
    <w:rsid w:val="00C13821"/>
    <w:rsid w:val="00C14051"/>
    <w:rsid w:val="00C15F73"/>
    <w:rsid w:val="00C162F5"/>
    <w:rsid w:val="00C2037B"/>
    <w:rsid w:val="00C22FF7"/>
    <w:rsid w:val="00C276EA"/>
    <w:rsid w:val="00C27F76"/>
    <w:rsid w:val="00C30DA4"/>
    <w:rsid w:val="00C44719"/>
    <w:rsid w:val="00C50108"/>
    <w:rsid w:val="00C6572C"/>
    <w:rsid w:val="00C70CFF"/>
    <w:rsid w:val="00C75655"/>
    <w:rsid w:val="00C837C3"/>
    <w:rsid w:val="00C84497"/>
    <w:rsid w:val="00C868F6"/>
    <w:rsid w:val="00C9137C"/>
    <w:rsid w:val="00C91644"/>
    <w:rsid w:val="00C9663B"/>
    <w:rsid w:val="00CA0256"/>
    <w:rsid w:val="00CA43A5"/>
    <w:rsid w:val="00CA7C0B"/>
    <w:rsid w:val="00CB6E2B"/>
    <w:rsid w:val="00CB6FF7"/>
    <w:rsid w:val="00CB7302"/>
    <w:rsid w:val="00CC1E9F"/>
    <w:rsid w:val="00CC5896"/>
    <w:rsid w:val="00CE0C35"/>
    <w:rsid w:val="00CE3810"/>
    <w:rsid w:val="00CE52B4"/>
    <w:rsid w:val="00CE5DCD"/>
    <w:rsid w:val="00CE701C"/>
    <w:rsid w:val="00CE7599"/>
    <w:rsid w:val="00CF414A"/>
    <w:rsid w:val="00CF4FF0"/>
    <w:rsid w:val="00CF5B47"/>
    <w:rsid w:val="00D06352"/>
    <w:rsid w:val="00D104F9"/>
    <w:rsid w:val="00D119B4"/>
    <w:rsid w:val="00D14323"/>
    <w:rsid w:val="00D1577F"/>
    <w:rsid w:val="00D16008"/>
    <w:rsid w:val="00D166D4"/>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271"/>
    <w:rsid w:val="00D60CE2"/>
    <w:rsid w:val="00D612EC"/>
    <w:rsid w:val="00D6153E"/>
    <w:rsid w:val="00D623C4"/>
    <w:rsid w:val="00D63A43"/>
    <w:rsid w:val="00D722DF"/>
    <w:rsid w:val="00D84675"/>
    <w:rsid w:val="00D85189"/>
    <w:rsid w:val="00D8526A"/>
    <w:rsid w:val="00D86252"/>
    <w:rsid w:val="00D917F3"/>
    <w:rsid w:val="00D9241F"/>
    <w:rsid w:val="00D93436"/>
    <w:rsid w:val="00D94DE2"/>
    <w:rsid w:val="00D97BAA"/>
    <w:rsid w:val="00DA37A9"/>
    <w:rsid w:val="00DA3AF3"/>
    <w:rsid w:val="00DA4D98"/>
    <w:rsid w:val="00DA5455"/>
    <w:rsid w:val="00DA5C2B"/>
    <w:rsid w:val="00DB5EFB"/>
    <w:rsid w:val="00DB6EF1"/>
    <w:rsid w:val="00DC19BB"/>
    <w:rsid w:val="00DC6404"/>
    <w:rsid w:val="00DD7FDF"/>
    <w:rsid w:val="00DE1703"/>
    <w:rsid w:val="00DE25AC"/>
    <w:rsid w:val="00DE49DE"/>
    <w:rsid w:val="00DF568D"/>
    <w:rsid w:val="00E00CCB"/>
    <w:rsid w:val="00E042C7"/>
    <w:rsid w:val="00E04361"/>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44A8D"/>
    <w:rsid w:val="00E51FDE"/>
    <w:rsid w:val="00E52D03"/>
    <w:rsid w:val="00E534B2"/>
    <w:rsid w:val="00E56B66"/>
    <w:rsid w:val="00E579AF"/>
    <w:rsid w:val="00E620E0"/>
    <w:rsid w:val="00E705B7"/>
    <w:rsid w:val="00E7086E"/>
    <w:rsid w:val="00E70ECC"/>
    <w:rsid w:val="00E71A89"/>
    <w:rsid w:val="00E77197"/>
    <w:rsid w:val="00E81B1A"/>
    <w:rsid w:val="00E84FB3"/>
    <w:rsid w:val="00E87037"/>
    <w:rsid w:val="00E96195"/>
    <w:rsid w:val="00EA0299"/>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F08EC"/>
    <w:rsid w:val="00EF0D39"/>
    <w:rsid w:val="00EF13AF"/>
    <w:rsid w:val="00EF4099"/>
    <w:rsid w:val="00EF6BDC"/>
    <w:rsid w:val="00F01C4C"/>
    <w:rsid w:val="00F02786"/>
    <w:rsid w:val="00F0434F"/>
    <w:rsid w:val="00F0670F"/>
    <w:rsid w:val="00F07FA6"/>
    <w:rsid w:val="00F11BB3"/>
    <w:rsid w:val="00F13036"/>
    <w:rsid w:val="00F152A6"/>
    <w:rsid w:val="00F21D1A"/>
    <w:rsid w:val="00F22865"/>
    <w:rsid w:val="00F24D75"/>
    <w:rsid w:val="00F261E3"/>
    <w:rsid w:val="00F30DAF"/>
    <w:rsid w:val="00F318AF"/>
    <w:rsid w:val="00F32936"/>
    <w:rsid w:val="00F32A53"/>
    <w:rsid w:val="00F34B2F"/>
    <w:rsid w:val="00F34F33"/>
    <w:rsid w:val="00F36D1F"/>
    <w:rsid w:val="00F3769E"/>
    <w:rsid w:val="00F40F06"/>
    <w:rsid w:val="00F4235F"/>
    <w:rsid w:val="00F42669"/>
    <w:rsid w:val="00F4749B"/>
    <w:rsid w:val="00F514FB"/>
    <w:rsid w:val="00F56112"/>
    <w:rsid w:val="00F56CE9"/>
    <w:rsid w:val="00F609CF"/>
    <w:rsid w:val="00F61151"/>
    <w:rsid w:val="00F61596"/>
    <w:rsid w:val="00F62A2F"/>
    <w:rsid w:val="00F64ECE"/>
    <w:rsid w:val="00F67B6E"/>
    <w:rsid w:val="00F77765"/>
    <w:rsid w:val="00F77EC3"/>
    <w:rsid w:val="00F85E98"/>
    <w:rsid w:val="00FA7C8B"/>
    <w:rsid w:val="00FB0249"/>
    <w:rsid w:val="00FB15F7"/>
    <w:rsid w:val="00FB4547"/>
    <w:rsid w:val="00FB793A"/>
    <w:rsid w:val="00FC5915"/>
    <w:rsid w:val="00FC5D6D"/>
    <w:rsid w:val="00FD6506"/>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Car"/>
    <w:basedOn w:val="Normal"/>
    <w:link w:val="FootnoteTextChar"/>
    <w:unhideWhenUsed/>
    <w:qFormat/>
    <w:rsid w:val="00B72D14"/>
    <w:pPr>
      <w:widowControl/>
    </w:pPr>
    <w:rPr>
      <w:rFonts w:ascii="Calibri" w:eastAsia="Calibri" w:hAnsi="Calibri"/>
    </w:rPr>
  </w:style>
  <w:style w:type="character" w:customStyle="1" w:styleId="FootnoteTextChar">
    <w:name w:val="Footnote Text Char"/>
    <w:aliases w:val="Car Char"/>
    <w:basedOn w:val="DefaultParagraphFont"/>
    <w:link w:val="FootnoteText"/>
    <w:rsid w:val="00B72D14"/>
    <w:rPr>
      <w:rFonts w:ascii="Calibri" w:eastAsia="Calibri" w:hAnsi="Calibri" w:cs="Times New Roman"/>
      <w:sz w:val="20"/>
      <w:szCs w:val="20"/>
    </w:rPr>
  </w:style>
  <w:style w:type="paragraph" w:styleId="ListParagraph">
    <w:name w:val="List Paragraph"/>
    <w:basedOn w:val="Normal"/>
    <w:uiPriority w:val="34"/>
    <w:qFormat/>
    <w:rsid w:val="00494B07"/>
    <w:pPr>
      <w:ind w:left="720"/>
      <w:contextualSpacing/>
    </w:pPr>
  </w:style>
  <w:style w:type="paragraph" w:styleId="Header">
    <w:name w:val="header"/>
    <w:basedOn w:val="Normal"/>
    <w:link w:val="HeaderChar"/>
    <w:uiPriority w:val="99"/>
    <w:unhideWhenUsed/>
    <w:rsid w:val="00290847"/>
    <w:pPr>
      <w:tabs>
        <w:tab w:val="center" w:pos="4680"/>
        <w:tab w:val="right" w:pos="9360"/>
      </w:tabs>
    </w:pPr>
  </w:style>
  <w:style w:type="character" w:customStyle="1" w:styleId="HeaderChar">
    <w:name w:val="Header Char"/>
    <w:basedOn w:val="DefaultParagraphFont"/>
    <w:link w:val="Header"/>
    <w:uiPriority w:val="99"/>
    <w:rsid w:val="002908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0847"/>
    <w:pPr>
      <w:tabs>
        <w:tab w:val="center" w:pos="4680"/>
        <w:tab w:val="right" w:pos="9360"/>
      </w:tabs>
    </w:pPr>
  </w:style>
  <w:style w:type="character" w:customStyle="1" w:styleId="FooterChar">
    <w:name w:val="Footer Char"/>
    <w:basedOn w:val="DefaultParagraphFont"/>
    <w:link w:val="Footer"/>
    <w:uiPriority w:val="99"/>
    <w:rsid w:val="0029084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04776"/>
    <w:rPr>
      <w:sz w:val="16"/>
      <w:szCs w:val="16"/>
    </w:rPr>
  </w:style>
  <w:style w:type="paragraph" w:styleId="CommentText">
    <w:name w:val="annotation text"/>
    <w:basedOn w:val="Normal"/>
    <w:link w:val="CommentTextChar"/>
    <w:uiPriority w:val="99"/>
    <w:semiHidden/>
    <w:unhideWhenUsed/>
    <w:rsid w:val="00304776"/>
  </w:style>
  <w:style w:type="character" w:customStyle="1" w:styleId="CommentTextChar">
    <w:name w:val="Comment Text Char"/>
    <w:basedOn w:val="DefaultParagraphFont"/>
    <w:link w:val="CommentText"/>
    <w:uiPriority w:val="99"/>
    <w:semiHidden/>
    <w:rsid w:val="003047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776"/>
    <w:rPr>
      <w:b/>
      <w:bCs/>
    </w:rPr>
  </w:style>
  <w:style w:type="character" w:customStyle="1" w:styleId="CommentSubjectChar">
    <w:name w:val="Comment Subject Char"/>
    <w:basedOn w:val="CommentTextChar"/>
    <w:link w:val="CommentSubject"/>
    <w:uiPriority w:val="99"/>
    <w:semiHidden/>
    <w:rsid w:val="00304776"/>
    <w:rPr>
      <w:rFonts w:ascii="Times New Roman" w:eastAsia="Times New Roman" w:hAnsi="Times New Roman" w:cs="Times New Roman"/>
      <w:b/>
      <w:bCs/>
      <w:sz w:val="20"/>
      <w:szCs w:val="20"/>
    </w:rPr>
  </w:style>
  <w:style w:type="paragraph" w:styleId="Revision">
    <w:name w:val="Revision"/>
    <w:hidden/>
    <w:uiPriority w:val="99"/>
    <w:semiHidden/>
    <w:rsid w:val="005D4799"/>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5F3537"/>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F353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Car"/>
    <w:basedOn w:val="Normal"/>
    <w:link w:val="FootnoteTextChar"/>
    <w:unhideWhenUsed/>
    <w:qFormat/>
    <w:rsid w:val="00B72D14"/>
    <w:pPr>
      <w:widowControl/>
    </w:pPr>
    <w:rPr>
      <w:rFonts w:ascii="Calibri" w:eastAsia="Calibri" w:hAnsi="Calibri"/>
    </w:rPr>
  </w:style>
  <w:style w:type="character" w:customStyle="1" w:styleId="FootnoteTextChar">
    <w:name w:val="Footnote Text Char"/>
    <w:aliases w:val="Car Char"/>
    <w:basedOn w:val="DefaultParagraphFont"/>
    <w:link w:val="FootnoteText"/>
    <w:rsid w:val="00B72D14"/>
    <w:rPr>
      <w:rFonts w:ascii="Calibri" w:eastAsia="Calibri" w:hAnsi="Calibri" w:cs="Times New Roman"/>
      <w:sz w:val="20"/>
      <w:szCs w:val="20"/>
    </w:rPr>
  </w:style>
  <w:style w:type="paragraph" w:styleId="ListParagraph">
    <w:name w:val="List Paragraph"/>
    <w:basedOn w:val="Normal"/>
    <w:uiPriority w:val="34"/>
    <w:qFormat/>
    <w:rsid w:val="00494B07"/>
    <w:pPr>
      <w:ind w:left="720"/>
      <w:contextualSpacing/>
    </w:pPr>
  </w:style>
  <w:style w:type="paragraph" w:styleId="Header">
    <w:name w:val="header"/>
    <w:basedOn w:val="Normal"/>
    <w:link w:val="HeaderChar"/>
    <w:uiPriority w:val="99"/>
    <w:unhideWhenUsed/>
    <w:rsid w:val="00290847"/>
    <w:pPr>
      <w:tabs>
        <w:tab w:val="center" w:pos="4680"/>
        <w:tab w:val="right" w:pos="9360"/>
      </w:tabs>
    </w:pPr>
  </w:style>
  <w:style w:type="character" w:customStyle="1" w:styleId="HeaderChar">
    <w:name w:val="Header Char"/>
    <w:basedOn w:val="DefaultParagraphFont"/>
    <w:link w:val="Header"/>
    <w:uiPriority w:val="99"/>
    <w:rsid w:val="002908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0847"/>
    <w:pPr>
      <w:tabs>
        <w:tab w:val="center" w:pos="4680"/>
        <w:tab w:val="right" w:pos="9360"/>
      </w:tabs>
    </w:pPr>
  </w:style>
  <w:style w:type="character" w:customStyle="1" w:styleId="FooterChar">
    <w:name w:val="Footer Char"/>
    <w:basedOn w:val="DefaultParagraphFont"/>
    <w:link w:val="Footer"/>
    <w:uiPriority w:val="99"/>
    <w:rsid w:val="0029084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04776"/>
    <w:rPr>
      <w:sz w:val="16"/>
      <w:szCs w:val="16"/>
    </w:rPr>
  </w:style>
  <w:style w:type="paragraph" w:styleId="CommentText">
    <w:name w:val="annotation text"/>
    <w:basedOn w:val="Normal"/>
    <w:link w:val="CommentTextChar"/>
    <w:uiPriority w:val="99"/>
    <w:semiHidden/>
    <w:unhideWhenUsed/>
    <w:rsid w:val="00304776"/>
  </w:style>
  <w:style w:type="character" w:customStyle="1" w:styleId="CommentTextChar">
    <w:name w:val="Comment Text Char"/>
    <w:basedOn w:val="DefaultParagraphFont"/>
    <w:link w:val="CommentText"/>
    <w:uiPriority w:val="99"/>
    <w:semiHidden/>
    <w:rsid w:val="003047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776"/>
    <w:rPr>
      <w:b/>
      <w:bCs/>
    </w:rPr>
  </w:style>
  <w:style w:type="character" w:customStyle="1" w:styleId="CommentSubjectChar">
    <w:name w:val="Comment Subject Char"/>
    <w:basedOn w:val="CommentTextChar"/>
    <w:link w:val="CommentSubject"/>
    <w:uiPriority w:val="99"/>
    <w:semiHidden/>
    <w:rsid w:val="00304776"/>
    <w:rPr>
      <w:rFonts w:ascii="Times New Roman" w:eastAsia="Times New Roman" w:hAnsi="Times New Roman" w:cs="Times New Roman"/>
      <w:b/>
      <w:bCs/>
      <w:sz w:val="20"/>
      <w:szCs w:val="20"/>
    </w:rPr>
  </w:style>
  <w:style w:type="paragraph" w:styleId="Revision">
    <w:name w:val="Revision"/>
    <w:hidden/>
    <w:uiPriority w:val="99"/>
    <w:semiHidden/>
    <w:rsid w:val="005D4799"/>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5F3537"/>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F353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02D4-9CE1-4DA1-9DAC-CC64B5F3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6</cp:revision>
  <cp:lastPrinted>2014-02-06T13:37:00Z</cp:lastPrinted>
  <dcterms:created xsi:type="dcterms:W3CDTF">2014-01-22T20:55:00Z</dcterms:created>
  <dcterms:modified xsi:type="dcterms:W3CDTF">2014-02-06T13:37:00Z</dcterms:modified>
</cp:coreProperties>
</file>