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7D3509" w:rsidP="00E126F9">
      <w:pPr>
        <w:spacing w:line="240" w:lineRule="auto"/>
        <w:rPr>
          <w:sz w:val="24"/>
          <w:szCs w:val="24"/>
        </w:rPr>
      </w:pPr>
      <w:r>
        <w:rPr>
          <w:sz w:val="24"/>
          <w:szCs w:val="24"/>
        </w:rPr>
        <w:t xml:space="preserve">Robert </w:t>
      </w:r>
      <w:proofErr w:type="spellStart"/>
      <w:r>
        <w:rPr>
          <w:sz w:val="24"/>
          <w:szCs w:val="24"/>
        </w:rPr>
        <w:t>Espenship</w:t>
      </w:r>
      <w:proofErr w:type="spellEnd"/>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7D3509">
        <w:rPr>
          <w:sz w:val="24"/>
          <w:szCs w:val="24"/>
        </w:rPr>
        <w:t>C-2013-2354841</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7D3509" w:rsidP="00E126F9">
      <w:pPr>
        <w:spacing w:line="240" w:lineRule="auto"/>
        <w:rPr>
          <w:sz w:val="24"/>
          <w:szCs w:val="24"/>
        </w:rPr>
      </w:pPr>
      <w:r>
        <w:rPr>
          <w:sz w:val="24"/>
          <w:szCs w:val="24"/>
        </w:rPr>
        <w:t>PECO Energy</w:t>
      </w:r>
      <w:r w:rsidR="00DE2949" w:rsidRPr="00FB448C">
        <w:rPr>
          <w:sz w:val="24"/>
          <w:szCs w:val="24"/>
        </w:rPr>
        <w:t xml:space="preserve"> Company</w:t>
      </w:r>
      <w:r w:rsidR="008B5083">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DE2949" w:rsidRDefault="00DE2949" w:rsidP="00E126F9">
      <w:pPr>
        <w:spacing w:line="240" w:lineRule="auto"/>
        <w:jc w:val="center"/>
        <w:rPr>
          <w:sz w:val="24"/>
          <w:szCs w:val="24"/>
        </w:rPr>
      </w:pPr>
    </w:p>
    <w:p w:rsidR="000B0551" w:rsidRDefault="000B0551" w:rsidP="00E126F9">
      <w:pPr>
        <w:spacing w:line="240" w:lineRule="auto"/>
        <w:jc w:val="center"/>
        <w:rPr>
          <w:sz w:val="24"/>
          <w:szCs w:val="24"/>
        </w:rPr>
      </w:pPr>
    </w:p>
    <w:p w:rsidR="000B0551" w:rsidRPr="000B0551" w:rsidRDefault="000B0551" w:rsidP="00E126F9">
      <w:pPr>
        <w:spacing w:line="240" w:lineRule="auto"/>
        <w:jc w:val="center"/>
        <w:rPr>
          <w:sz w:val="24"/>
          <w:szCs w:val="24"/>
          <w:u w:val="single"/>
        </w:rPr>
      </w:pPr>
      <w:r w:rsidRPr="000B0551">
        <w:rPr>
          <w:sz w:val="24"/>
          <w:szCs w:val="24"/>
          <w:u w:val="single"/>
        </w:rPr>
        <w:t>INTRODUCTION</w:t>
      </w:r>
    </w:p>
    <w:p w:rsidR="00DE2949" w:rsidRDefault="00DE2949" w:rsidP="000B0551">
      <w:pPr>
        <w:spacing w:line="240" w:lineRule="auto"/>
        <w:rPr>
          <w:sz w:val="24"/>
          <w:szCs w:val="24"/>
        </w:rPr>
      </w:pPr>
    </w:p>
    <w:p w:rsidR="000B0551" w:rsidRDefault="000B0551" w:rsidP="009B6694">
      <w:pPr>
        <w:spacing w:line="240" w:lineRule="auto"/>
        <w:rPr>
          <w:sz w:val="24"/>
          <w:szCs w:val="24"/>
        </w:rPr>
      </w:pPr>
    </w:p>
    <w:p w:rsidR="000B0551" w:rsidRDefault="000B0551" w:rsidP="000B0551">
      <w:pPr>
        <w:rPr>
          <w:sz w:val="24"/>
          <w:szCs w:val="24"/>
        </w:rPr>
      </w:pPr>
      <w:r>
        <w:rPr>
          <w:sz w:val="24"/>
          <w:szCs w:val="24"/>
        </w:rPr>
        <w:tab/>
      </w:r>
      <w:r>
        <w:rPr>
          <w:sz w:val="24"/>
          <w:szCs w:val="24"/>
        </w:rPr>
        <w:tab/>
        <w:t>This decision denies the complaint</w:t>
      </w:r>
      <w:r w:rsidR="00A01BF0">
        <w:rPr>
          <w:sz w:val="24"/>
          <w:szCs w:val="24"/>
        </w:rPr>
        <w:t xml:space="preserve"> in part</w:t>
      </w:r>
      <w:r>
        <w:rPr>
          <w:sz w:val="24"/>
          <w:szCs w:val="24"/>
        </w:rPr>
        <w:t xml:space="preserve"> and grants the request for </w:t>
      </w:r>
      <w:r w:rsidR="00120F44">
        <w:rPr>
          <w:sz w:val="24"/>
          <w:szCs w:val="24"/>
        </w:rPr>
        <w:t>a</w:t>
      </w:r>
      <w:r>
        <w:rPr>
          <w:sz w:val="24"/>
          <w:szCs w:val="24"/>
        </w:rPr>
        <w:t xml:space="preserve"> first payment agreement from the Public Utility Commission.</w:t>
      </w:r>
    </w:p>
    <w:p w:rsidR="000B0551" w:rsidRDefault="000B0551" w:rsidP="000B0551">
      <w:pPr>
        <w:rPr>
          <w:sz w:val="24"/>
          <w:szCs w:val="24"/>
        </w:rPr>
      </w:pPr>
    </w:p>
    <w:p w:rsidR="00DE2949" w:rsidRPr="00FB448C" w:rsidRDefault="00DE2949" w:rsidP="00E126F9">
      <w:pPr>
        <w:pStyle w:val="Heading1"/>
        <w:rPr>
          <w:sz w:val="24"/>
          <w:szCs w:val="24"/>
          <w:u w:val="none"/>
        </w:rPr>
      </w:pPr>
      <w:r w:rsidRPr="00FB448C">
        <w:rPr>
          <w:sz w:val="24"/>
          <w:szCs w:val="24"/>
        </w:rPr>
        <w:t>HISTORY OF THE PROCEEDING</w:t>
      </w:r>
    </w:p>
    <w:p w:rsidR="00DE2949" w:rsidRPr="00FB448C" w:rsidRDefault="00DE2949" w:rsidP="00E126F9">
      <w:pPr>
        <w:spacing w:line="240" w:lineRule="auto"/>
        <w:ind w:firstLine="1440"/>
        <w:rPr>
          <w:sz w:val="24"/>
          <w:szCs w:val="24"/>
        </w:rPr>
      </w:pPr>
    </w:p>
    <w:p w:rsidR="00C44296" w:rsidRPr="00B73D10" w:rsidRDefault="00C44296" w:rsidP="00C44296">
      <w:pPr>
        <w:spacing w:line="240" w:lineRule="auto"/>
        <w:ind w:firstLine="1440"/>
        <w:rPr>
          <w:sz w:val="24"/>
          <w:szCs w:val="24"/>
        </w:rPr>
      </w:pPr>
    </w:p>
    <w:p w:rsidR="00C44296" w:rsidRPr="00B73D10" w:rsidRDefault="00C44296" w:rsidP="00FB2F18">
      <w:pPr>
        <w:ind w:firstLine="1440"/>
        <w:rPr>
          <w:sz w:val="24"/>
          <w:szCs w:val="24"/>
        </w:rPr>
      </w:pPr>
      <w:r w:rsidRPr="00B73D10">
        <w:rPr>
          <w:sz w:val="24"/>
          <w:szCs w:val="24"/>
        </w:rPr>
        <w:t xml:space="preserve">On </w:t>
      </w:r>
      <w:r w:rsidR="007D3509">
        <w:rPr>
          <w:sz w:val="24"/>
          <w:szCs w:val="24"/>
        </w:rPr>
        <w:t>March 25</w:t>
      </w:r>
      <w:r w:rsidR="008325DF">
        <w:rPr>
          <w:sz w:val="24"/>
          <w:szCs w:val="24"/>
        </w:rPr>
        <w:t>, 2013</w:t>
      </w:r>
      <w:r w:rsidRPr="00B73D10">
        <w:rPr>
          <w:sz w:val="24"/>
          <w:szCs w:val="24"/>
        </w:rPr>
        <w:t xml:space="preserve">, </w:t>
      </w:r>
      <w:r w:rsidR="007D3509">
        <w:rPr>
          <w:sz w:val="24"/>
          <w:szCs w:val="24"/>
        </w:rPr>
        <w:t xml:space="preserve">Robert </w:t>
      </w:r>
      <w:proofErr w:type="spellStart"/>
      <w:r w:rsidR="007D3509">
        <w:rPr>
          <w:sz w:val="24"/>
          <w:szCs w:val="24"/>
        </w:rPr>
        <w:t>Espenship</w:t>
      </w:r>
      <w:proofErr w:type="spellEnd"/>
      <w:r w:rsidR="008325DF">
        <w:rPr>
          <w:sz w:val="24"/>
          <w:szCs w:val="24"/>
        </w:rPr>
        <w:t xml:space="preserve"> (</w:t>
      </w:r>
      <w:r w:rsidRPr="00B73D10">
        <w:rPr>
          <w:sz w:val="24"/>
          <w:szCs w:val="24"/>
        </w:rPr>
        <w:t>Compla</w:t>
      </w:r>
      <w:r w:rsidR="007D3509">
        <w:rPr>
          <w:sz w:val="24"/>
          <w:szCs w:val="24"/>
        </w:rPr>
        <w:t xml:space="preserve">inant) filed a formal complaint </w:t>
      </w:r>
      <w:r w:rsidRPr="00B73D10">
        <w:rPr>
          <w:sz w:val="24"/>
          <w:szCs w:val="24"/>
        </w:rPr>
        <w:t xml:space="preserve">against </w:t>
      </w:r>
      <w:r w:rsidR="007D3509">
        <w:rPr>
          <w:sz w:val="24"/>
          <w:szCs w:val="24"/>
        </w:rPr>
        <w:t>PECO Energy</w:t>
      </w:r>
      <w:r w:rsidR="008325DF">
        <w:rPr>
          <w:sz w:val="24"/>
          <w:szCs w:val="24"/>
        </w:rPr>
        <w:t xml:space="preserve"> Company (</w:t>
      </w:r>
      <w:r w:rsidRPr="00B73D10">
        <w:rPr>
          <w:sz w:val="24"/>
          <w:szCs w:val="24"/>
        </w:rPr>
        <w:t xml:space="preserve">Respondent or </w:t>
      </w:r>
      <w:r w:rsidR="007D3509">
        <w:rPr>
          <w:sz w:val="24"/>
          <w:szCs w:val="24"/>
        </w:rPr>
        <w:t>PECO</w:t>
      </w:r>
      <w:r w:rsidRPr="00B73D10">
        <w:rPr>
          <w:sz w:val="24"/>
          <w:szCs w:val="24"/>
        </w:rPr>
        <w:t>) alleging</w:t>
      </w:r>
      <w:r w:rsidR="007D3509">
        <w:rPr>
          <w:sz w:val="24"/>
          <w:szCs w:val="24"/>
        </w:rPr>
        <w:t xml:space="preserve"> PECO threatened to shut off electric service to </w:t>
      </w:r>
      <w:r w:rsidR="000B0551">
        <w:rPr>
          <w:sz w:val="24"/>
          <w:szCs w:val="24"/>
        </w:rPr>
        <w:t>his</w:t>
      </w:r>
      <w:r w:rsidR="007D3509">
        <w:rPr>
          <w:sz w:val="24"/>
          <w:szCs w:val="24"/>
        </w:rPr>
        <w:t xml:space="preserve"> residence. </w:t>
      </w:r>
      <w:r w:rsidRPr="00B73D10">
        <w:rPr>
          <w:sz w:val="24"/>
          <w:szCs w:val="24"/>
        </w:rPr>
        <w:t xml:space="preserve"> </w:t>
      </w:r>
      <w:r w:rsidR="007D3509">
        <w:rPr>
          <w:sz w:val="24"/>
          <w:szCs w:val="24"/>
        </w:rPr>
        <w:t xml:space="preserve">Complainant requested a reasonable time frame and a reasonable </w:t>
      </w:r>
      <w:r w:rsidR="000B0551">
        <w:rPr>
          <w:sz w:val="24"/>
          <w:szCs w:val="24"/>
        </w:rPr>
        <w:t>level</w:t>
      </w:r>
      <w:r w:rsidR="007D3509">
        <w:rPr>
          <w:sz w:val="24"/>
          <w:szCs w:val="24"/>
        </w:rPr>
        <w:t xml:space="preserve"> of monthly payments to pay off a high balance caused by Complainant’s mother, as the former </w:t>
      </w:r>
      <w:r w:rsidR="000B0551">
        <w:rPr>
          <w:sz w:val="24"/>
          <w:szCs w:val="24"/>
        </w:rPr>
        <w:t>consumer</w:t>
      </w:r>
      <w:r w:rsidR="007D3509">
        <w:rPr>
          <w:sz w:val="24"/>
          <w:szCs w:val="24"/>
        </w:rPr>
        <w:t xml:space="preserve">, while Complainant and his wife resided in the house.  Complainant also alleged the monthly bills recorded incorrect consumption amounts.  </w:t>
      </w:r>
      <w:r w:rsidRPr="00B73D10">
        <w:rPr>
          <w:sz w:val="24"/>
          <w:szCs w:val="24"/>
        </w:rPr>
        <w:t xml:space="preserve">On </w:t>
      </w:r>
      <w:r w:rsidR="007D3509">
        <w:rPr>
          <w:sz w:val="24"/>
          <w:szCs w:val="24"/>
        </w:rPr>
        <w:t>April</w:t>
      </w:r>
      <w:r w:rsidR="00DA026E">
        <w:rPr>
          <w:sz w:val="24"/>
          <w:szCs w:val="24"/>
        </w:rPr>
        <w:t> </w:t>
      </w:r>
      <w:r w:rsidR="007D3509">
        <w:rPr>
          <w:sz w:val="24"/>
          <w:szCs w:val="24"/>
        </w:rPr>
        <w:t>5</w:t>
      </w:r>
      <w:r w:rsidR="008325DF">
        <w:rPr>
          <w:sz w:val="24"/>
          <w:szCs w:val="24"/>
        </w:rPr>
        <w:t>, 2013</w:t>
      </w:r>
      <w:r w:rsidRPr="00B73D10">
        <w:rPr>
          <w:sz w:val="24"/>
          <w:szCs w:val="24"/>
        </w:rPr>
        <w:t>, Respondent filed an Answer in response to Complainant’s formal complaint</w:t>
      </w:r>
      <w:r w:rsidR="008325DF">
        <w:rPr>
          <w:sz w:val="24"/>
          <w:szCs w:val="24"/>
        </w:rPr>
        <w:t>, in which R</w:t>
      </w:r>
      <w:r w:rsidRPr="00B73D10">
        <w:rPr>
          <w:sz w:val="24"/>
          <w:szCs w:val="24"/>
        </w:rPr>
        <w:t xml:space="preserve">espondent averred there </w:t>
      </w:r>
      <w:r w:rsidR="00FB2F18">
        <w:rPr>
          <w:sz w:val="24"/>
          <w:szCs w:val="24"/>
        </w:rPr>
        <w:t xml:space="preserve">were no errors in its </w:t>
      </w:r>
      <w:r w:rsidR="008325DF">
        <w:rPr>
          <w:sz w:val="24"/>
          <w:szCs w:val="24"/>
        </w:rPr>
        <w:t>bil</w:t>
      </w:r>
      <w:r w:rsidR="00FB2F18">
        <w:rPr>
          <w:sz w:val="24"/>
          <w:szCs w:val="24"/>
        </w:rPr>
        <w:t>ling statements to Complainant</w:t>
      </w:r>
      <w:r w:rsidR="008325DF">
        <w:rPr>
          <w:sz w:val="24"/>
          <w:szCs w:val="24"/>
        </w:rPr>
        <w:t xml:space="preserve"> or in how it handled termination notices sent to Complainant</w:t>
      </w:r>
      <w:r w:rsidR="00FB2F18">
        <w:rPr>
          <w:sz w:val="24"/>
          <w:szCs w:val="24"/>
        </w:rPr>
        <w:t xml:space="preserve">.  </w:t>
      </w:r>
    </w:p>
    <w:p w:rsidR="00C44296" w:rsidRPr="00B73D10" w:rsidRDefault="00C44296" w:rsidP="00C44296">
      <w:pPr>
        <w:rPr>
          <w:sz w:val="24"/>
          <w:szCs w:val="24"/>
        </w:rPr>
      </w:pPr>
    </w:p>
    <w:p w:rsidR="00FB2F18" w:rsidRDefault="00C44296" w:rsidP="00FB2F18">
      <w:pPr>
        <w:rPr>
          <w:sz w:val="24"/>
          <w:szCs w:val="24"/>
        </w:rPr>
      </w:pPr>
      <w:r w:rsidRPr="00B73D10">
        <w:rPr>
          <w:sz w:val="24"/>
          <w:szCs w:val="24"/>
        </w:rPr>
        <w:lastRenderedPageBreak/>
        <w:tab/>
      </w:r>
      <w:r w:rsidRPr="00B73D10">
        <w:rPr>
          <w:sz w:val="24"/>
          <w:szCs w:val="24"/>
        </w:rPr>
        <w:tab/>
        <w:t xml:space="preserve">On </w:t>
      </w:r>
      <w:r w:rsidR="007D3509">
        <w:rPr>
          <w:sz w:val="24"/>
          <w:szCs w:val="24"/>
        </w:rPr>
        <w:t>April 11</w:t>
      </w:r>
      <w:r w:rsidR="008325DF">
        <w:rPr>
          <w:sz w:val="24"/>
          <w:szCs w:val="24"/>
        </w:rPr>
        <w:t>, 2013</w:t>
      </w:r>
      <w:r w:rsidRPr="00B73D10">
        <w:rPr>
          <w:sz w:val="24"/>
          <w:szCs w:val="24"/>
        </w:rPr>
        <w:t xml:space="preserve">, the Office of Administrative Law Judge issued a Telephone Hearing Notice, which scheduled </w:t>
      </w:r>
      <w:r w:rsidR="00E363C3">
        <w:rPr>
          <w:sz w:val="24"/>
          <w:szCs w:val="24"/>
        </w:rPr>
        <w:t>a telephonic</w:t>
      </w:r>
      <w:r w:rsidR="008325DF">
        <w:rPr>
          <w:sz w:val="24"/>
          <w:szCs w:val="24"/>
        </w:rPr>
        <w:t xml:space="preserve"> </w:t>
      </w:r>
      <w:r w:rsidRPr="00B73D10">
        <w:rPr>
          <w:sz w:val="24"/>
          <w:szCs w:val="24"/>
        </w:rPr>
        <w:t xml:space="preserve">initial hearing to be conducted on </w:t>
      </w:r>
      <w:r w:rsidR="007D3509">
        <w:rPr>
          <w:sz w:val="24"/>
          <w:szCs w:val="24"/>
        </w:rPr>
        <w:t>May 24</w:t>
      </w:r>
      <w:r w:rsidR="008325DF">
        <w:rPr>
          <w:sz w:val="24"/>
          <w:szCs w:val="24"/>
        </w:rPr>
        <w:t>, 2013</w:t>
      </w:r>
      <w:r w:rsidR="00D75CC2">
        <w:rPr>
          <w:sz w:val="24"/>
          <w:szCs w:val="24"/>
        </w:rPr>
        <w:t>.</w:t>
      </w:r>
      <w:r w:rsidR="007D3509">
        <w:rPr>
          <w:sz w:val="24"/>
          <w:szCs w:val="24"/>
        </w:rPr>
        <w:t xml:space="preserve"> </w:t>
      </w:r>
      <w:r w:rsidR="00D75CC2">
        <w:rPr>
          <w:sz w:val="24"/>
          <w:szCs w:val="24"/>
        </w:rPr>
        <w:t>O</w:t>
      </w:r>
      <w:r w:rsidR="007D3509">
        <w:rPr>
          <w:sz w:val="24"/>
          <w:szCs w:val="24"/>
        </w:rPr>
        <w:t xml:space="preserve">n April 12, 2013, the presiding officer </w:t>
      </w:r>
      <w:r w:rsidR="008325DF">
        <w:rPr>
          <w:sz w:val="24"/>
          <w:szCs w:val="24"/>
        </w:rPr>
        <w:t>issued</w:t>
      </w:r>
      <w:r w:rsidRPr="00B73D10">
        <w:rPr>
          <w:sz w:val="24"/>
          <w:szCs w:val="24"/>
        </w:rPr>
        <w:t xml:space="preserve"> a Prehearing Order.  </w:t>
      </w:r>
    </w:p>
    <w:p w:rsidR="007D3509" w:rsidRDefault="007D3509" w:rsidP="00FB2F18">
      <w:pPr>
        <w:rPr>
          <w:sz w:val="24"/>
          <w:szCs w:val="24"/>
        </w:rPr>
      </w:pPr>
    </w:p>
    <w:p w:rsidR="007D3509" w:rsidRDefault="007D3509" w:rsidP="00FB2F18">
      <w:pPr>
        <w:rPr>
          <w:sz w:val="24"/>
          <w:szCs w:val="24"/>
        </w:rPr>
      </w:pPr>
      <w:r>
        <w:rPr>
          <w:sz w:val="24"/>
          <w:szCs w:val="24"/>
        </w:rPr>
        <w:tab/>
      </w:r>
      <w:r>
        <w:rPr>
          <w:sz w:val="24"/>
          <w:szCs w:val="24"/>
        </w:rPr>
        <w:tab/>
        <w:t>The presiding officer convened the initial hearing as scheduled on May 24, 2013</w:t>
      </w:r>
      <w:r w:rsidR="00537E8A">
        <w:rPr>
          <w:sz w:val="24"/>
          <w:szCs w:val="24"/>
        </w:rPr>
        <w:t xml:space="preserve">.  Complainant’s wife, Julie </w:t>
      </w:r>
      <w:proofErr w:type="spellStart"/>
      <w:r w:rsidR="00537E8A">
        <w:rPr>
          <w:sz w:val="24"/>
          <w:szCs w:val="24"/>
        </w:rPr>
        <w:t>Espenship</w:t>
      </w:r>
      <w:proofErr w:type="spellEnd"/>
      <w:r w:rsidR="00537E8A">
        <w:rPr>
          <w:sz w:val="24"/>
          <w:szCs w:val="24"/>
        </w:rPr>
        <w:t xml:space="preserve">, appeared on behalf of herself and her husband.  Respondent </w:t>
      </w:r>
      <w:r w:rsidR="00E363C3">
        <w:rPr>
          <w:sz w:val="24"/>
          <w:szCs w:val="24"/>
        </w:rPr>
        <w:t xml:space="preserve">was represented by Michael </w:t>
      </w:r>
      <w:proofErr w:type="spellStart"/>
      <w:r w:rsidR="00E363C3">
        <w:rPr>
          <w:sz w:val="24"/>
          <w:szCs w:val="24"/>
        </w:rPr>
        <w:t>Swerling</w:t>
      </w:r>
      <w:proofErr w:type="spellEnd"/>
      <w:r w:rsidR="005B605C">
        <w:rPr>
          <w:sz w:val="24"/>
          <w:szCs w:val="24"/>
        </w:rPr>
        <w:t>, Esquire</w:t>
      </w:r>
      <w:r w:rsidR="00E363C3">
        <w:rPr>
          <w:sz w:val="24"/>
          <w:szCs w:val="24"/>
        </w:rPr>
        <w:t>.  The parties settled a portion of the complaint and requested a subsequent hearing be scheduled after June 2013.  The parties requested a continuance in order to provide Complainant with an opportunity to pay a catch-up amount and to provide Respondent with an opportunity to conduct another high bill investigation on site.</w:t>
      </w:r>
    </w:p>
    <w:p w:rsidR="00E363C3" w:rsidRDefault="00E363C3" w:rsidP="00FB2F18">
      <w:pPr>
        <w:rPr>
          <w:sz w:val="24"/>
          <w:szCs w:val="24"/>
        </w:rPr>
      </w:pPr>
    </w:p>
    <w:p w:rsidR="00E363C3" w:rsidRDefault="00E363C3" w:rsidP="00FB2F18">
      <w:pPr>
        <w:rPr>
          <w:sz w:val="24"/>
          <w:szCs w:val="24"/>
        </w:rPr>
      </w:pPr>
      <w:r>
        <w:rPr>
          <w:sz w:val="24"/>
          <w:szCs w:val="24"/>
        </w:rPr>
        <w:tab/>
      </w:r>
      <w:r>
        <w:rPr>
          <w:sz w:val="24"/>
          <w:szCs w:val="24"/>
        </w:rPr>
        <w:tab/>
        <w:t>On May 24, 2013, the presiding officer issued the First Interim Order granting the joint motion for a continuance and directing a new hearing be scheduled if no settlement is effectuated by July 1, 2013.  On June 24, 2013, Respondent sent a written request for a 30</w:t>
      </w:r>
      <w:r w:rsidR="00F97481">
        <w:rPr>
          <w:sz w:val="24"/>
          <w:szCs w:val="24"/>
        </w:rPr>
        <w:t>-</w:t>
      </w:r>
      <w:r>
        <w:rPr>
          <w:sz w:val="24"/>
          <w:szCs w:val="24"/>
        </w:rPr>
        <w:t>day extension in order to provide the parties with time to process a CAP application from Complainant.  On July 31, 2013, Respondent sent a letter to the presiding officer and indicated the parties have been unable to reach a full settlement.  Respondent requested a hearing be scheduled.</w:t>
      </w:r>
    </w:p>
    <w:p w:rsidR="00E363C3" w:rsidRDefault="00E363C3" w:rsidP="00FB2F18">
      <w:pPr>
        <w:rPr>
          <w:sz w:val="24"/>
          <w:szCs w:val="24"/>
        </w:rPr>
      </w:pPr>
    </w:p>
    <w:p w:rsidR="00E363C3" w:rsidRDefault="00E363C3" w:rsidP="00E363C3">
      <w:pPr>
        <w:rPr>
          <w:sz w:val="24"/>
          <w:szCs w:val="24"/>
        </w:rPr>
      </w:pPr>
      <w:r w:rsidRPr="00B73D10">
        <w:rPr>
          <w:sz w:val="24"/>
          <w:szCs w:val="24"/>
        </w:rPr>
        <w:tab/>
      </w:r>
      <w:r w:rsidRPr="00B73D10">
        <w:rPr>
          <w:sz w:val="24"/>
          <w:szCs w:val="24"/>
        </w:rPr>
        <w:tab/>
        <w:t xml:space="preserve">On </w:t>
      </w:r>
      <w:r>
        <w:rPr>
          <w:sz w:val="24"/>
          <w:szCs w:val="24"/>
        </w:rPr>
        <w:t>August 2, 2013</w:t>
      </w:r>
      <w:r w:rsidRPr="00B73D10">
        <w:rPr>
          <w:sz w:val="24"/>
          <w:szCs w:val="24"/>
        </w:rPr>
        <w:t xml:space="preserve">, the Office of Administrative Law Judge issued a Telephone Hearing Notice, which scheduled </w:t>
      </w:r>
      <w:r>
        <w:rPr>
          <w:sz w:val="24"/>
          <w:szCs w:val="24"/>
        </w:rPr>
        <w:t>a telephonic</w:t>
      </w:r>
      <w:r w:rsidRPr="00B73D10">
        <w:rPr>
          <w:sz w:val="24"/>
          <w:szCs w:val="24"/>
        </w:rPr>
        <w:t xml:space="preserve"> hearing to be conducted on </w:t>
      </w:r>
      <w:r>
        <w:rPr>
          <w:sz w:val="24"/>
          <w:szCs w:val="24"/>
        </w:rPr>
        <w:t>October 16, 2013.  On August 27, 2013, the presiding officer sent correspondence to the parties to remind the parties about the hearing date and to advise the parties on how to participate in the telephonic hearing</w:t>
      </w:r>
      <w:r w:rsidRPr="00B73D10">
        <w:rPr>
          <w:sz w:val="24"/>
          <w:szCs w:val="24"/>
        </w:rPr>
        <w:t>.</w:t>
      </w:r>
    </w:p>
    <w:p w:rsidR="00E363C3" w:rsidRDefault="00E363C3" w:rsidP="00E363C3">
      <w:pPr>
        <w:rPr>
          <w:sz w:val="24"/>
          <w:szCs w:val="24"/>
        </w:rPr>
      </w:pPr>
    </w:p>
    <w:p w:rsidR="00E363C3" w:rsidRDefault="00E363C3" w:rsidP="00E363C3">
      <w:pPr>
        <w:rPr>
          <w:sz w:val="24"/>
          <w:szCs w:val="24"/>
        </w:rPr>
      </w:pPr>
      <w:r>
        <w:rPr>
          <w:sz w:val="24"/>
          <w:szCs w:val="24"/>
        </w:rPr>
        <w:tab/>
      </w:r>
      <w:r>
        <w:rPr>
          <w:sz w:val="24"/>
          <w:szCs w:val="24"/>
        </w:rPr>
        <w:tab/>
        <w:t>On October 16, 2013 at 9:03 a.m., counsel for Respondent sent to the presiding officer via facsimile transmission a copy of a report from a field visit conducted on June 21, 2013 and which Respondent proposed to offer as an exhibit at the hearing.</w:t>
      </w:r>
    </w:p>
    <w:p w:rsidR="001F6C83" w:rsidRDefault="001F6C83" w:rsidP="00FB2F18">
      <w:pPr>
        <w:ind w:firstLine="1440"/>
        <w:rPr>
          <w:sz w:val="24"/>
          <w:szCs w:val="24"/>
        </w:rPr>
      </w:pPr>
    </w:p>
    <w:p w:rsidR="00C44296" w:rsidRDefault="00C44296" w:rsidP="00FB2F18">
      <w:pPr>
        <w:ind w:firstLine="1440"/>
        <w:rPr>
          <w:sz w:val="24"/>
          <w:szCs w:val="24"/>
        </w:rPr>
      </w:pPr>
      <w:r w:rsidRPr="00B73D10">
        <w:rPr>
          <w:sz w:val="24"/>
          <w:szCs w:val="24"/>
        </w:rPr>
        <w:t xml:space="preserve">The presiding officer convened the initial hearing </w:t>
      </w:r>
      <w:r w:rsidR="000B0551">
        <w:rPr>
          <w:sz w:val="24"/>
          <w:szCs w:val="24"/>
        </w:rPr>
        <w:t>at 10:05 a.m.</w:t>
      </w:r>
      <w:r w:rsidRPr="00B73D10">
        <w:rPr>
          <w:sz w:val="24"/>
          <w:szCs w:val="24"/>
        </w:rPr>
        <w:t xml:space="preserve"> on </w:t>
      </w:r>
      <w:r w:rsidR="00E363C3">
        <w:rPr>
          <w:sz w:val="24"/>
          <w:szCs w:val="24"/>
        </w:rPr>
        <w:t>October 16</w:t>
      </w:r>
      <w:r w:rsidR="00FB2F18">
        <w:rPr>
          <w:sz w:val="24"/>
          <w:szCs w:val="24"/>
        </w:rPr>
        <w:t>, 201</w:t>
      </w:r>
      <w:r w:rsidR="008325DF">
        <w:rPr>
          <w:sz w:val="24"/>
          <w:szCs w:val="24"/>
        </w:rPr>
        <w:t>3</w:t>
      </w:r>
      <w:r w:rsidR="00FD00D0">
        <w:rPr>
          <w:sz w:val="24"/>
          <w:szCs w:val="24"/>
        </w:rPr>
        <w:t>.  Ms</w:t>
      </w:r>
      <w:r w:rsidRPr="00B73D10">
        <w:rPr>
          <w:sz w:val="24"/>
          <w:szCs w:val="24"/>
        </w:rPr>
        <w:t xml:space="preserve">. </w:t>
      </w:r>
      <w:proofErr w:type="spellStart"/>
      <w:r w:rsidR="005B605C">
        <w:rPr>
          <w:sz w:val="24"/>
          <w:szCs w:val="24"/>
        </w:rPr>
        <w:t>Espenship</w:t>
      </w:r>
      <w:proofErr w:type="spellEnd"/>
      <w:r w:rsidRPr="00B73D10">
        <w:rPr>
          <w:sz w:val="24"/>
          <w:szCs w:val="24"/>
        </w:rPr>
        <w:t xml:space="preserve"> appeared </w:t>
      </w:r>
      <w:r w:rsidRPr="00B73D10">
        <w:rPr>
          <w:i/>
          <w:sz w:val="24"/>
          <w:szCs w:val="24"/>
        </w:rPr>
        <w:t>pro se</w:t>
      </w:r>
      <w:r w:rsidRPr="00B73D10">
        <w:rPr>
          <w:sz w:val="24"/>
          <w:szCs w:val="24"/>
        </w:rPr>
        <w:t xml:space="preserve"> </w:t>
      </w:r>
      <w:r>
        <w:rPr>
          <w:sz w:val="24"/>
          <w:szCs w:val="24"/>
        </w:rPr>
        <w:t xml:space="preserve">and testified </w:t>
      </w:r>
      <w:r w:rsidRPr="00B73D10">
        <w:rPr>
          <w:sz w:val="24"/>
          <w:szCs w:val="24"/>
        </w:rPr>
        <w:t xml:space="preserve">on </w:t>
      </w:r>
      <w:r w:rsidR="00FD00D0">
        <w:rPr>
          <w:sz w:val="24"/>
          <w:szCs w:val="24"/>
        </w:rPr>
        <w:t>her</w:t>
      </w:r>
      <w:r w:rsidRPr="00B73D10">
        <w:rPr>
          <w:sz w:val="24"/>
          <w:szCs w:val="24"/>
        </w:rPr>
        <w:t xml:space="preserve"> own behalf.  Respondent was </w:t>
      </w:r>
      <w:r w:rsidRPr="00B73D10">
        <w:rPr>
          <w:sz w:val="24"/>
          <w:szCs w:val="24"/>
        </w:rPr>
        <w:lastRenderedPageBreak/>
        <w:t xml:space="preserve">represented by </w:t>
      </w:r>
      <w:proofErr w:type="spellStart"/>
      <w:r w:rsidR="005B605C">
        <w:rPr>
          <w:sz w:val="24"/>
          <w:szCs w:val="24"/>
        </w:rPr>
        <w:t>Shawane</w:t>
      </w:r>
      <w:proofErr w:type="spellEnd"/>
      <w:r w:rsidR="005B605C">
        <w:rPr>
          <w:sz w:val="24"/>
          <w:szCs w:val="24"/>
        </w:rPr>
        <w:t xml:space="preserve"> Lee</w:t>
      </w:r>
      <w:r w:rsidRPr="00B73D10">
        <w:rPr>
          <w:sz w:val="24"/>
          <w:szCs w:val="24"/>
        </w:rPr>
        <w:t xml:space="preserve">, Esquire.  Attorney </w:t>
      </w:r>
      <w:r w:rsidR="005B605C">
        <w:rPr>
          <w:sz w:val="24"/>
          <w:szCs w:val="24"/>
        </w:rPr>
        <w:t>Lee</w:t>
      </w:r>
      <w:r w:rsidRPr="00B73D10">
        <w:rPr>
          <w:sz w:val="24"/>
          <w:szCs w:val="24"/>
        </w:rPr>
        <w:t xml:space="preserve"> presented the testimony of </w:t>
      </w:r>
      <w:r w:rsidR="005B605C">
        <w:rPr>
          <w:sz w:val="24"/>
          <w:szCs w:val="24"/>
        </w:rPr>
        <w:t>two</w:t>
      </w:r>
      <w:r w:rsidR="00FD00D0">
        <w:rPr>
          <w:sz w:val="24"/>
          <w:szCs w:val="24"/>
        </w:rPr>
        <w:t xml:space="preserve"> witness</w:t>
      </w:r>
      <w:r w:rsidR="005B605C">
        <w:rPr>
          <w:sz w:val="24"/>
          <w:szCs w:val="24"/>
        </w:rPr>
        <w:t>es</w:t>
      </w:r>
      <w:r w:rsidRPr="00B73D10">
        <w:rPr>
          <w:sz w:val="24"/>
          <w:szCs w:val="24"/>
        </w:rPr>
        <w:t xml:space="preserve">, and offered </w:t>
      </w:r>
      <w:r w:rsidR="005B605C">
        <w:rPr>
          <w:sz w:val="24"/>
          <w:szCs w:val="24"/>
        </w:rPr>
        <w:t>twelve (12)</w:t>
      </w:r>
      <w:r w:rsidRPr="00B73D10">
        <w:rPr>
          <w:sz w:val="24"/>
          <w:szCs w:val="24"/>
        </w:rPr>
        <w:t xml:space="preserve"> exhibits, </w:t>
      </w:r>
      <w:r w:rsidR="00995398">
        <w:rPr>
          <w:sz w:val="24"/>
          <w:szCs w:val="24"/>
        </w:rPr>
        <w:t xml:space="preserve">which were </w:t>
      </w:r>
      <w:r w:rsidRPr="00B73D10">
        <w:rPr>
          <w:sz w:val="24"/>
          <w:szCs w:val="24"/>
        </w:rPr>
        <w:t xml:space="preserve">marked </w:t>
      </w:r>
      <w:r w:rsidR="007D3509">
        <w:rPr>
          <w:sz w:val="24"/>
          <w:szCs w:val="24"/>
        </w:rPr>
        <w:t>PECO</w:t>
      </w:r>
      <w:r w:rsidR="005B605C">
        <w:rPr>
          <w:sz w:val="24"/>
          <w:szCs w:val="24"/>
        </w:rPr>
        <w:t xml:space="preserve"> </w:t>
      </w:r>
      <w:r w:rsidRPr="00B73D10">
        <w:rPr>
          <w:sz w:val="24"/>
          <w:szCs w:val="24"/>
        </w:rPr>
        <w:t>Exhibit</w:t>
      </w:r>
      <w:r w:rsidR="005B605C">
        <w:rPr>
          <w:sz w:val="24"/>
          <w:szCs w:val="24"/>
        </w:rPr>
        <w:t>s</w:t>
      </w:r>
      <w:r w:rsidR="00FD00D0">
        <w:rPr>
          <w:sz w:val="24"/>
          <w:szCs w:val="24"/>
        </w:rPr>
        <w:t xml:space="preserve"> 1</w:t>
      </w:r>
      <w:r w:rsidR="005B605C">
        <w:rPr>
          <w:sz w:val="24"/>
          <w:szCs w:val="24"/>
        </w:rPr>
        <w:t xml:space="preserve"> through 12, and </w:t>
      </w:r>
      <w:r w:rsidRPr="00B73D10">
        <w:rPr>
          <w:sz w:val="24"/>
          <w:szCs w:val="24"/>
        </w:rPr>
        <w:t xml:space="preserve">admitted into evidence on </w:t>
      </w:r>
      <w:r w:rsidR="005B605C">
        <w:rPr>
          <w:sz w:val="24"/>
          <w:szCs w:val="24"/>
        </w:rPr>
        <w:t>October 16</w:t>
      </w:r>
      <w:r w:rsidR="008325DF">
        <w:rPr>
          <w:sz w:val="24"/>
          <w:szCs w:val="24"/>
        </w:rPr>
        <w:t>, 2013</w:t>
      </w:r>
      <w:r w:rsidRPr="00B73D10">
        <w:rPr>
          <w:sz w:val="24"/>
          <w:szCs w:val="24"/>
        </w:rPr>
        <w:t xml:space="preserve">.  </w:t>
      </w:r>
      <w:r w:rsidR="005B605C">
        <w:rPr>
          <w:sz w:val="24"/>
          <w:szCs w:val="24"/>
        </w:rPr>
        <w:t xml:space="preserve">In addition, Attorney Lee moved to admit into evidence PECO Exhibit 13, the field visit report provided to the presiding officer immediately prior to the start of the hearing.  </w:t>
      </w:r>
      <w:r w:rsidRPr="00B73D10">
        <w:rPr>
          <w:sz w:val="24"/>
          <w:szCs w:val="24"/>
        </w:rPr>
        <w:t>The transcript of the hearing</w:t>
      </w:r>
      <w:r w:rsidR="000C10B9">
        <w:rPr>
          <w:sz w:val="24"/>
          <w:szCs w:val="24"/>
        </w:rPr>
        <w:t>,</w:t>
      </w:r>
      <w:r w:rsidRPr="00B73D10">
        <w:rPr>
          <w:sz w:val="24"/>
          <w:szCs w:val="24"/>
        </w:rPr>
        <w:t xml:space="preserve"> contain</w:t>
      </w:r>
      <w:r w:rsidR="000C10B9">
        <w:rPr>
          <w:sz w:val="24"/>
          <w:szCs w:val="24"/>
        </w:rPr>
        <w:t>ing</w:t>
      </w:r>
      <w:r w:rsidRPr="00B73D10">
        <w:rPr>
          <w:sz w:val="24"/>
          <w:szCs w:val="24"/>
        </w:rPr>
        <w:t xml:space="preserve"> </w:t>
      </w:r>
      <w:r w:rsidR="005B605C">
        <w:rPr>
          <w:sz w:val="24"/>
          <w:szCs w:val="24"/>
        </w:rPr>
        <w:t>103</w:t>
      </w:r>
      <w:r w:rsidR="00FB2F18">
        <w:rPr>
          <w:sz w:val="24"/>
          <w:szCs w:val="24"/>
        </w:rPr>
        <w:t xml:space="preserve"> </w:t>
      </w:r>
      <w:r w:rsidRPr="00B73D10">
        <w:rPr>
          <w:sz w:val="24"/>
          <w:szCs w:val="24"/>
        </w:rPr>
        <w:t>pages</w:t>
      </w:r>
      <w:r w:rsidR="005B605C">
        <w:rPr>
          <w:sz w:val="24"/>
          <w:szCs w:val="24"/>
        </w:rPr>
        <w:t>, was received in the Commission’s offices on November 25, 2013</w:t>
      </w:r>
      <w:r w:rsidR="00FB2F18">
        <w:rPr>
          <w:sz w:val="24"/>
          <w:szCs w:val="24"/>
        </w:rPr>
        <w:t xml:space="preserve"> and was received in the presiding officer’s office on </w:t>
      </w:r>
      <w:r w:rsidR="005B605C">
        <w:rPr>
          <w:sz w:val="24"/>
          <w:szCs w:val="24"/>
        </w:rPr>
        <w:t>December 2, 2013</w:t>
      </w:r>
      <w:r w:rsidR="00065149">
        <w:rPr>
          <w:sz w:val="24"/>
          <w:szCs w:val="24"/>
        </w:rPr>
        <w:t>.</w:t>
      </w:r>
      <w:r w:rsidRPr="00B73D10">
        <w:rPr>
          <w:sz w:val="24"/>
          <w:szCs w:val="24"/>
        </w:rPr>
        <w:t xml:space="preserve">  Complainant and Respondent issued final statements on the hearing record in lieu of filing briefs.  </w:t>
      </w:r>
    </w:p>
    <w:p w:rsidR="006339B4" w:rsidRDefault="006339B4" w:rsidP="00FB2F18">
      <w:pPr>
        <w:ind w:firstLine="1440"/>
        <w:rPr>
          <w:sz w:val="24"/>
          <w:szCs w:val="24"/>
        </w:rPr>
      </w:pPr>
    </w:p>
    <w:p w:rsidR="006339B4" w:rsidRPr="00B73D10" w:rsidRDefault="006339B4" w:rsidP="00FB2F18">
      <w:pPr>
        <w:ind w:firstLine="1440"/>
        <w:rPr>
          <w:sz w:val="24"/>
          <w:szCs w:val="24"/>
        </w:rPr>
      </w:pPr>
      <w:r>
        <w:rPr>
          <w:sz w:val="24"/>
          <w:szCs w:val="24"/>
        </w:rPr>
        <w:t>On October 18, 2013, Respondent filed a Motion to Admit Late Filed Exhibit into the Hearing Record.  The Motion requested that the presiding officer admit PECO Exhibit 13 which was not provided to Complainant prior to the start of the hearing.  Complainant did not respond to the Motion.</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ind w:firstLine="1440"/>
        <w:rPr>
          <w:sz w:val="24"/>
          <w:szCs w:val="24"/>
        </w:rPr>
      </w:pPr>
      <w:r w:rsidRPr="00B73D10">
        <w:rPr>
          <w:sz w:val="24"/>
          <w:szCs w:val="24"/>
        </w:rPr>
        <w:t xml:space="preserve">On </w:t>
      </w:r>
      <w:r w:rsidR="005B605C">
        <w:rPr>
          <w:sz w:val="24"/>
          <w:szCs w:val="24"/>
        </w:rPr>
        <w:t>December 23, 2013</w:t>
      </w:r>
      <w:r w:rsidR="00065149">
        <w:rPr>
          <w:sz w:val="24"/>
          <w:szCs w:val="24"/>
        </w:rPr>
        <w:t>,</w:t>
      </w:r>
      <w:r w:rsidRPr="00B73D10">
        <w:rPr>
          <w:sz w:val="24"/>
          <w:szCs w:val="24"/>
        </w:rPr>
        <w:t xml:space="preserve"> the </w:t>
      </w:r>
      <w:r w:rsidR="005B605C">
        <w:rPr>
          <w:sz w:val="24"/>
          <w:szCs w:val="24"/>
        </w:rPr>
        <w:t xml:space="preserve">hearing </w:t>
      </w:r>
      <w:r w:rsidRPr="00B73D10">
        <w:rPr>
          <w:sz w:val="24"/>
          <w:szCs w:val="24"/>
        </w:rPr>
        <w:t xml:space="preserve">record was closed </w:t>
      </w:r>
      <w:r w:rsidR="005B605C">
        <w:rPr>
          <w:sz w:val="24"/>
          <w:szCs w:val="24"/>
        </w:rPr>
        <w:t xml:space="preserve">as of November 25, 2013 </w:t>
      </w:r>
      <w:r w:rsidRPr="00B73D10">
        <w:rPr>
          <w:sz w:val="24"/>
          <w:szCs w:val="24"/>
        </w:rPr>
        <w:t>by Interim Order Closing the Hearing Record.</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jc w:val="center"/>
        <w:rPr>
          <w:sz w:val="24"/>
          <w:szCs w:val="24"/>
          <w:u w:val="single"/>
        </w:rPr>
      </w:pPr>
      <w:r w:rsidRPr="00B73D10">
        <w:rPr>
          <w:sz w:val="24"/>
          <w:szCs w:val="24"/>
          <w:u w:val="single"/>
        </w:rPr>
        <w:t xml:space="preserve">FINDINGS OF </w:t>
      </w:r>
      <w:smartTag w:uri="urn:schemas-microsoft-com:office:smarttags" w:element="stockticker">
        <w:r w:rsidRPr="00B73D10">
          <w:rPr>
            <w:sz w:val="24"/>
            <w:szCs w:val="24"/>
            <w:u w:val="single"/>
          </w:rPr>
          <w:t>FACT</w:t>
        </w:r>
      </w:smartTag>
    </w:p>
    <w:p w:rsidR="00C44296" w:rsidRPr="00B73D10" w:rsidRDefault="00C44296" w:rsidP="00C44296">
      <w:pPr>
        <w:tabs>
          <w:tab w:val="left" w:pos="2160"/>
        </w:tabs>
        <w:rPr>
          <w:sz w:val="24"/>
          <w:szCs w:val="24"/>
          <w:u w:val="single"/>
        </w:rPr>
      </w:pPr>
    </w:p>
    <w:p w:rsidR="00C44296" w:rsidRPr="00B73D10" w:rsidRDefault="00C44296" w:rsidP="00C44296">
      <w:pPr>
        <w:tabs>
          <w:tab w:val="left" w:pos="2160"/>
        </w:tabs>
        <w:ind w:firstLine="1440"/>
        <w:rPr>
          <w:sz w:val="24"/>
          <w:szCs w:val="24"/>
        </w:rPr>
      </w:pPr>
      <w:r w:rsidRPr="00B73D10">
        <w:rPr>
          <w:sz w:val="24"/>
          <w:szCs w:val="24"/>
        </w:rPr>
        <w:t>1.</w:t>
      </w:r>
      <w:r w:rsidRPr="00B73D10">
        <w:rPr>
          <w:sz w:val="24"/>
          <w:szCs w:val="24"/>
        </w:rPr>
        <w:tab/>
        <w:t xml:space="preserve">Complainant, </w:t>
      </w:r>
      <w:r w:rsidR="000623B4">
        <w:rPr>
          <w:sz w:val="24"/>
          <w:szCs w:val="24"/>
        </w:rPr>
        <w:t xml:space="preserve">Robert </w:t>
      </w:r>
      <w:proofErr w:type="spellStart"/>
      <w:r w:rsidR="000623B4">
        <w:rPr>
          <w:sz w:val="24"/>
          <w:szCs w:val="24"/>
        </w:rPr>
        <w:t>Esp</w:t>
      </w:r>
      <w:r w:rsidR="002C1528">
        <w:rPr>
          <w:sz w:val="24"/>
          <w:szCs w:val="24"/>
        </w:rPr>
        <w:t>enship</w:t>
      </w:r>
      <w:proofErr w:type="spellEnd"/>
      <w:proofErr w:type="gramStart"/>
      <w:r w:rsidR="00A01BF0">
        <w:rPr>
          <w:sz w:val="24"/>
          <w:szCs w:val="24"/>
        </w:rPr>
        <w:t xml:space="preserve">, </w:t>
      </w:r>
      <w:r w:rsidR="00FB2F18">
        <w:rPr>
          <w:sz w:val="24"/>
          <w:szCs w:val="24"/>
        </w:rPr>
        <w:t xml:space="preserve"> resides</w:t>
      </w:r>
      <w:proofErr w:type="gramEnd"/>
      <w:r w:rsidR="00FB2F18">
        <w:rPr>
          <w:sz w:val="24"/>
          <w:szCs w:val="24"/>
        </w:rPr>
        <w:t xml:space="preserve"> </w:t>
      </w:r>
      <w:r w:rsidR="002C1528">
        <w:rPr>
          <w:sz w:val="24"/>
          <w:szCs w:val="24"/>
        </w:rPr>
        <w:t xml:space="preserve">with his wife, Julie </w:t>
      </w:r>
      <w:proofErr w:type="spellStart"/>
      <w:r w:rsidR="002C1528">
        <w:rPr>
          <w:sz w:val="24"/>
          <w:szCs w:val="24"/>
        </w:rPr>
        <w:t>Espenship</w:t>
      </w:r>
      <w:proofErr w:type="spellEnd"/>
      <w:r w:rsidR="000623B4">
        <w:rPr>
          <w:sz w:val="24"/>
          <w:szCs w:val="24"/>
        </w:rPr>
        <w:t xml:space="preserve"> (Complainant’s wife or Mrs. </w:t>
      </w:r>
      <w:proofErr w:type="spellStart"/>
      <w:r w:rsidR="000623B4">
        <w:rPr>
          <w:sz w:val="24"/>
          <w:szCs w:val="24"/>
        </w:rPr>
        <w:t>Espenship</w:t>
      </w:r>
      <w:proofErr w:type="spellEnd"/>
      <w:r w:rsidR="000623B4">
        <w:rPr>
          <w:sz w:val="24"/>
          <w:szCs w:val="24"/>
        </w:rPr>
        <w:t>)</w:t>
      </w:r>
      <w:r w:rsidR="002C1528">
        <w:rPr>
          <w:sz w:val="24"/>
          <w:szCs w:val="24"/>
        </w:rPr>
        <w:t xml:space="preserve">, </w:t>
      </w:r>
      <w:r w:rsidR="00E74CDD">
        <w:rPr>
          <w:sz w:val="24"/>
          <w:szCs w:val="24"/>
        </w:rPr>
        <w:t xml:space="preserve">at </w:t>
      </w:r>
      <w:r w:rsidR="002C1528">
        <w:rPr>
          <w:sz w:val="24"/>
          <w:szCs w:val="24"/>
        </w:rPr>
        <w:t>66 Ridge Avenue, Phoenixville, P</w:t>
      </w:r>
      <w:r w:rsidR="00065149">
        <w:rPr>
          <w:sz w:val="24"/>
          <w:szCs w:val="24"/>
        </w:rPr>
        <w:t>ennsylvania</w:t>
      </w:r>
      <w:r w:rsidR="00D135A4">
        <w:rPr>
          <w:sz w:val="24"/>
          <w:szCs w:val="24"/>
        </w:rPr>
        <w:t xml:space="preserve"> (service address)</w:t>
      </w:r>
      <w:r w:rsidR="002C1528">
        <w:rPr>
          <w:sz w:val="24"/>
          <w:szCs w:val="24"/>
        </w:rPr>
        <w:t xml:space="preserve">.  </w:t>
      </w:r>
      <w:proofErr w:type="gramStart"/>
      <w:r w:rsidRPr="00B73D10">
        <w:rPr>
          <w:sz w:val="24"/>
          <w:szCs w:val="24"/>
        </w:rPr>
        <w:t xml:space="preserve">(Tr. </w:t>
      </w:r>
      <w:r w:rsidR="00D135A4">
        <w:rPr>
          <w:sz w:val="24"/>
          <w:szCs w:val="24"/>
        </w:rPr>
        <w:t>9, 10</w:t>
      </w:r>
      <w:r w:rsidR="00F30168">
        <w:rPr>
          <w:sz w:val="24"/>
          <w:szCs w:val="24"/>
        </w:rPr>
        <w:t>, 14, 16</w:t>
      </w:r>
      <w:r w:rsidR="0067602A">
        <w:rPr>
          <w:sz w:val="24"/>
          <w:szCs w:val="24"/>
        </w:rPr>
        <w:t>, 46</w:t>
      </w:r>
      <w:r w:rsidRPr="00B73D10">
        <w:rPr>
          <w:sz w:val="24"/>
          <w:szCs w:val="24"/>
        </w:rPr>
        <w:t>).</w:t>
      </w:r>
      <w:proofErr w:type="gramEnd"/>
      <w:r w:rsidRPr="00B73D10">
        <w:rPr>
          <w:sz w:val="24"/>
          <w:szCs w:val="24"/>
        </w:rPr>
        <w:t xml:space="preserve"> </w:t>
      </w:r>
    </w:p>
    <w:p w:rsidR="00044B8E" w:rsidRDefault="00044B8E" w:rsidP="00C44296">
      <w:pPr>
        <w:tabs>
          <w:tab w:val="left" w:pos="2160"/>
        </w:tabs>
        <w:ind w:firstLine="1440"/>
        <w:rPr>
          <w:sz w:val="24"/>
          <w:szCs w:val="24"/>
        </w:rPr>
      </w:pPr>
    </w:p>
    <w:p w:rsidR="00044B8E" w:rsidRDefault="008C756D" w:rsidP="00C44296">
      <w:pPr>
        <w:tabs>
          <w:tab w:val="left" w:pos="2160"/>
        </w:tabs>
        <w:ind w:firstLine="1440"/>
        <w:rPr>
          <w:sz w:val="24"/>
          <w:szCs w:val="24"/>
        </w:rPr>
      </w:pPr>
      <w:r>
        <w:rPr>
          <w:sz w:val="24"/>
          <w:szCs w:val="24"/>
        </w:rPr>
        <w:t>2</w:t>
      </w:r>
      <w:r w:rsidR="00044B8E">
        <w:rPr>
          <w:sz w:val="24"/>
          <w:szCs w:val="24"/>
        </w:rPr>
        <w:t>.</w:t>
      </w:r>
      <w:r w:rsidR="00044B8E">
        <w:rPr>
          <w:sz w:val="24"/>
          <w:szCs w:val="24"/>
        </w:rPr>
        <w:tab/>
        <w:t xml:space="preserve"> </w:t>
      </w:r>
      <w:r w:rsidR="00D135A4">
        <w:rPr>
          <w:sz w:val="24"/>
          <w:szCs w:val="24"/>
        </w:rPr>
        <w:t xml:space="preserve">Respondent provides electric services to Complainant </w:t>
      </w:r>
      <w:r w:rsidR="00F30168">
        <w:rPr>
          <w:sz w:val="24"/>
          <w:szCs w:val="24"/>
        </w:rPr>
        <w:t xml:space="preserve">and his wife </w:t>
      </w:r>
      <w:r w:rsidR="00D135A4">
        <w:rPr>
          <w:sz w:val="24"/>
          <w:szCs w:val="24"/>
        </w:rPr>
        <w:t>at the service address</w:t>
      </w:r>
      <w:r w:rsidR="009504F2">
        <w:rPr>
          <w:sz w:val="24"/>
          <w:szCs w:val="24"/>
        </w:rPr>
        <w:t xml:space="preserve">, which </w:t>
      </w:r>
      <w:r w:rsidR="0034210C">
        <w:rPr>
          <w:sz w:val="24"/>
          <w:szCs w:val="24"/>
        </w:rPr>
        <w:t xml:space="preserve">is heated with a forced air system </w:t>
      </w:r>
      <w:r w:rsidR="00413763">
        <w:rPr>
          <w:sz w:val="24"/>
          <w:szCs w:val="24"/>
        </w:rPr>
        <w:t xml:space="preserve">using oil heat </w:t>
      </w:r>
      <w:r w:rsidR="000B0551">
        <w:rPr>
          <w:sz w:val="24"/>
          <w:szCs w:val="24"/>
        </w:rPr>
        <w:t>with</w:t>
      </w:r>
      <w:r w:rsidR="0034210C">
        <w:rPr>
          <w:sz w:val="24"/>
          <w:szCs w:val="24"/>
        </w:rPr>
        <w:t xml:space="preserve"> a bo</w:t>
      </w:r>
      <w:r w:rsidR="00413763">
        <w:rPr>
          <w:sz w:val="24"/>
          <w:szCs w:val="24"/>
        </w:rPr>
        <w:t xml:space="preserve">iler, which </w:t>
      </w:r>
      <w:r w:rsidR="000B0551">
        <w:rPr>
          <w:sz w:val="24"/>
          <w:szCs w:val="24"/>
        </w:rPr>
        <w:t>boiler operates using</w:t>
      </w:r>
      <w:r w:rsidR="00413763">
        <w:rPr>
          <w:sz w:val="24"/>
          <w:szCs w:val="24"/>
        </w:rPr>
        <w:t xml:space="preserve"> electricity</w:t>
      </w:r>
      <w:r w:rsidR="0034210C">
        <w:rPr>
          <w:sz w:val="24"/>
          <w:szCs w:val="24"/>
        </w:rPr>
        <w:t xml:space="preserve">.  </w:t>
      </w:r>
      <w:proofErr w:type="gramStart"/>
      <w:r w:rsidR="00D135A4">
        <w:rPr>
          <w:sz w:val="24"/>
          <w:szCs w:val="24"/>
        </w:rPr>
        <w:t>(Tr. 10</w:t>
      </w:r>
      <w:r w:rsidR="00F30168">
        <w:rPr>
          <w:sz w:val="24"/>
          <w:szCs w:val="24"/>
        </w:rPr>
        <w:t>, 14</w:t>
      </w:r>
      <w:r w:rsidR="0034210C">
        <w:rPr>
          <w:sz w:val="24"/>
          <w:szCs w:val="24"/>
        </w:rPr>
        <w:t>, 24, 25</w:t>
      </w:r>
      <w:r w:rsidR="009504F2">
        <w:rPr>
          <w:sz w:val="24"/>
          <w:szCs w:val="24"/>
        </w:rPr>
        <w:t>, 78</w:t>
      </w:r>
      <w:r w:rsidR="006229A9">
        <w:rPr>
          <w:sz w:val="24"/>
          <w:szCs w:val="24"/>
        </w:rPr>
        <w:t>; PECO Exhibit 1</w:t>
      </w:r>
      <w:r w:rsidR="00D135A4">
        <w:rPr>
          <w:sz w:val="24"/>
          <w:szCs w:val="24"/>
        </w:rPr>
        <w:t>).</w:t>
      </w:r>
      <w:proofErr w:type="gramEnd"/>
    </w:p>
    <w:p w:rsidR="00413763" w:rsidRDefault="00413763" w:rsidP="00C44296">
      <w:pPr>
        <w:tabs>
          <w:tab w:val="left" w:pos="2160"/>
        </w:tabs>
        <w:ind w:firstLine="1440"/>
        <w:rPr>
          <w:sz w:val="24"/>
          <w:szCs w:val="24"/>
        </w:rPr>
      </w:pPr>
    </w:p>
    <w:p w:rsidR="00413763" w:rsidRDefault="00413763" w:rsidP="00C44296">
      <w:pPr>
        <w:tabs>
          <w:tab w:val="left" w:pos="2160"/>
        </w:tabs>
        <w:ind w:firstLine="1440"/>
        <w:rPr>
          <w:sz w:val="24"/>
          <w:szCs w:val="24"/>
        </w:rPr>
      </w:pPr>
      <w:r>
        <w:rPr>
          <w:sz w:val="24"/>
          <w:szCs w:val="24"/>
        </w:rPr>
        <w:t xml:space="preserve">3. </w:t>
      </w:r>
      <w:r>
        <w:rPr>
          <w:sz w:val="24"/>
          <w:szCs w:val="24"/>
        </w:rPr>
        <w:tab/>
        <w:t xml:space="preserve">The service address is one-half of a duplex belonging to Mr. </w:t>
      </w:r>
      <w:proofErr w:type="spellStart"/>
      <w:r>
        <w:rPr>
          <w:sz w:val="24"/>
          <w:szCs w:val="24"/>
        </w:rPr>
        <w:t>Espenship</w:t>
      </w:r>
      <w:proofErr w:type="spellEnd"/>
      <w:r>
        <w:rPr>
          <w:sz w:val="24"/>
          <w:szCs w:val="24"/>
        </w:rPr>
        <w:t xml:space="preserve"> and his mother, Margie </w:t>
      </w:r>
      <w:proofErr w:type="spellStart"/>
      <w:r>
        <w:rPr>
          <w:sz w:val="24"/>
          <w:szCs w:val="24"/>
        </w:rPr>
        <w:t>Espenship</w:t>
      </w:r>
      <w:proofErr w:type="spellEnd"/>
      <w:r>
        <w:rPr>
          <w:sz w:val="24"/>
          <w:szCs w:val="24"/>
        </w:rPr>
        <w:t xml:space="preserve">.  Since Mr. </w:t>
      </w:r>
      <w:proofErr w:type="spellStart"/>
      <w:r>
        <w:rPr>
          <w:sz w:val="24"/>
          <w:szCs w:val="24"/>
        </w:rPr>
        <w:t>Espenship</w:t>
      </w:r>
      <w:proofErr w:type="spellEnd"/>
      <w:r>
        <w:rPr>
          <w:sz w:val="24"/>
          <w:szCs w:val="24"/>
        </w:rPr>
        <w:t xml:space="preserve"> was seven years old, he has resided at the service address.  Mrs. </w:t>
      </w:r>
      <w:proofErr w:type="spellStart"/>
      <w:r>
        <w:rPr>
          <w:sz w:val="24"/>
          <w:szCs w:val="24"/>
        </w:rPr>
        <w:t>Espenship</w:t>
      </w:r>
      <w:proofErr w:type="spellEnd"/>
      <w:r>
        <w:rPr>
          <w:sz w:val="24"/>
          <w:szCs w:val="24"/>
        </w:rPr>
        <w:t xml:space="preserve"> has resided at the service address for nine years.  </w:t>
      </w:r>
      <w:proofErr w:type="gramStart"/>
      <w:r w:rsidRPr="00B73D10">
        <w:rPr>
          <w:sz w:val="24"/>
          <w:szCs w:val="24"/>
        </w:rPr>
        <w:t>(Tr.</w:t>
      </w:r>
      <w:r w:rsidR="00EC725F">
        <w:rPr>
          <w:sz w:val="24"/>
          <w:szCs w:val="24"/>
        </w:rPr>
        <w:t> </w:t>
      </w:r>
      <w:r>
        <w:rPr>
          <w:sz w:val="24"/>
          <w:szCs w:val="24"/>
        </w:rPr>
        <w:t>9,</w:t>
      </w:r>
      <w:r w:rsidR="00EC725F">
        <w:rPr>
          <w:sz w:val="24"/>
          <w:szCs w:val="24"/>
        </w:rPr>
        <w:t> </w:t>
      </w:r>
      <w:r>
        <w:rPr>
          <w:sz w:val="24"/>
          <w:szCs w:val="24"/>
        </w:rPr>
        <w:t>10,</w:t>
      </w:r>
      <w:r w:rsidR="00EC725F">
        <w:rPr>
          <w:sz w:val="24"/>
          <w:szCs w:val="24"/>
        </w:rPr>
        <w:t> </w:t>
      </w:r>
      <w:r>
        <w:rPr>
          <w:sz w:val="24"/>
          <w:szCs w:val="24"/>
        </w:rPr>
        <w:t>14, 16, 46</w:t>
      </w:r>
      <w:r w:rsidRPr="00B73D10">
        <w:rPr>
          <w:sz w:val="24"/>
          <w:szCs w:val="24"/>
        </w:rPr>
        <w:t>).</w:t>
      </w:r>
      <w:proofErr w:type="gramEnd"/>
    </w:p>
    <w:p w:rsidR="005957E1" w:rsidRDefault="00413763" w:rsidP="005957E1">
      <w:pPr>
        <w:tabs>
          <w:tab w:val="left" w:pos="2160"/>
        </w:tabs>
        <w:ind w:firstLine="1440"/>
        <w:rPr>
          <w:sz w:val="24"/>
          <w:szCs w:val="24"/>
        </w:rPr>
      </w:pPr>
      <w:r>
        <w:rPr>
          <w:sz w:val="24"/>
          <w:szCs w:val="24"/>
        </w:rPr>
        <w:lastRenderedPageBreak/>
        <w:t>4</w:t>
      </w:r>
      <w:r w:rsidR="005957E1">
        <w:rPr>
          <w:sz w:val="24"/>
          <w:szCs w:val="24"/>
        </w:rPr>
        <w:t xml:space="preserve">. </w:t>
      </w:r>
      <w:r w:rsidR="005957E1">
        <w:rPr>
          <w:sz w:val="24"/>
          <w:szCs w:val="24"/>
        </w:rPr>
        <w:tab/>
        <w:t xml:space="preserve">On October 19, 2010, Respondent tested the meter at the service address at full load and light load, and determined the meter was 99.7 percent </w:t>
      </w:r>
      <w:r w:rsidR="007111ED">
        <w:rPr>
          <w:sz w:val="24"/>
          <w:szCs w:val="24"/>
        </w:rPr>
        <w:t xml:space="preserve">(99.7%) </w:t>
      </w:r>
      <w:r w:rsidR="005957E1">
        <w:rPr>
          <w:sz w:val="24"/>
          <w:szCs w:val="24"/>
        </w:rPr>
        <w:t xml:space="preserve">accurate on the full load and 100.2 percent </w:t>
      </w:r>
      <w:r w:rsidR="007111ED">
        <w:rPr>
          <w:sz w:val="24"/>
          <w:szCs w:val="24"/>
        </w:rPr>
        <w:t xml:space="preserve">(100.2%) </w:t>
      </w:r>
      <w:r w:rsidR="005957E1">
        <w:rPr>
          <w:sz w:val="24"/>
          <w:szCs w:val="24"/>
        </w:rPr>
        <w:t xml:space="preserve">accurate on the light load.  </w:t>
      </w:r>
      <w:proofErr w:type="gramStart"/>
      <w:r w:rsidR="005957E1">
        <w:rPr>
          <w:sz w:val="24"/>
          <w:szCs w:val="24"/>
        </w:rPr>
        <w:t>(Tr. 56).</w:t>
      </w:r>
      <w:proofErr w:type="gramEnd"/>
    </w:p>
    <w:p w:rsidR="005957E1" w:rsidRDefault="005957E1" w:rsidP="005957E1">
      <w:pPr>
        <w:tabs>
          <w:tab w:val="left" w:pos="2160"/>
        </w:tabs>
        <w:ind w:firstLine="1440"/>
        <w:rPr>
          <w:sz w:val="24"/>
          <w:szCs w:val="24"/>
        </w:rPr>
      </w:pPr>
    </w:p>
    <w:p w:rsidR="005957E1" w:rsidRDefault="00413763" w:rsidP="005957E1">
      <w:pPr>
        <w:tabs>
          <w:tab w:val="left" w:pos="2160"/>
        </w:tabs>
        <w:ind w:firstLine="1440"/>
        <w:rPr>
          <w:sz w:val="24"/>
          <w:szCs w:val="24"/>
        </w:rPr>
      </w:pPr>
      <w:r>
        <w:rPr>
          <w:sz w:val="24"/>
          <w:szCs w:val="24"/>
        </w:rPr>
        <w:t>5</w:t>
      </w:r>
      <w:r w:rsidR="005957E1">
        <w:rPr>
          <w:sz w:val="24"/>
          <w:szCs w:val="24"/>
        </w:rPr>
        <w:t>.</w:t>
      </w:r>
      <w:r w:rsidR="005957E1">
        <w:rPr>
          <w:sz w:val="24"/>
          <w:szCs w:val="24"/>
        </w:rPr>
        <w:tab/>
        <w:t xml:space="preserve">On November 12, 2010, PECO conducted a residential high bill investigation at the service address and determined the </w:t>
      </w:r>
      <w:r w:rsidR="000B0551">
        <w:rPr>
          <w:sz w:val="24"/>
          <w:szCs w:val="24"/>
        </w:rPr>
        <w:t xml:space="preserve">potential </w:t>
      </w:r>
      <w:r w:rsidR="005957E1">
        <w:rPr>
          <w:sz w:val="24"/>
          <w:szCs w:val="24"/>
        </w:rPr>
        <w:t xml:space="preserve">average kilowatt usage for summertime usage was 4,718 kilowatts and 2,170 kilowatts for average wintertime usage.  </w:t>
      </w:r>
      <w:proofErr w:type="gramStart"/>
      <w:r w:rsidR="005957E1">
        <w:rPr>
          <w:sz w:val="24"/>
          <w:szCs w:val="24"/>
        </w:rPr>
        <w:t>(Tr.</w:t>
      </w:r>
      <w:r w:rsidR="00BE5A5C">
        <w:rPr>
          <w:sz w:val="24"/>
          <w:szCs w:val="24"/>
        </w:rPr>
        <w:t> </w:t>
      </w:r>
      <w:r w:rsidR="005957E1">
        <w:rPr>
          <w:sz w:val="24"/>
          <w:szCs w:val="24"/>
        </w:rPr>
        <w:t>51, 53, 54; PECO Exhibit 7).</w:t>
      </w:r>
      <w:proofErr w:type="gramEnd"/>
    </w:p>
    <w:p w:rsidR="000B0551" w:rsidRDefault="000B0551" w:rsidP="000B0551">
      <w:pPr>
        <w:tabs>
          <w:tab w:val="left" w:pos="2160"/>
        </w:tabs>
        <w:ind w:firstLine="1440"/>
        <w:rPr>
          <w:sz w:val="24"/>
          <w:szCs w:val="24"/>
        </w:rPr>
      </w:pPr>
    </w:p>
    <w:p w:rsidR="000B0551" w:rsidRDefault="000B0551" w:rsidP="000B0551">
      <w:pPr>
        <w:tabs>
          <w:tab w:val="left" w:pos="2160"/>
        </w:tabs>
        <w:ind w:firstLine="1440"/>
        <w:rPr>
          <w:sz w:val="24"/>
          <w:szCs w:val="24"/>
        </w:rPr>
      </w:pPr>
      <w:r>
        <w:rPr>
          <w:sz w:val="24"/>
          <w:szCs w:val="24"/>
        </w:rPr>
        <w:t xml:space="preserve">6.  </w:t>
      </w:r>
      <w:r>
        <w:rPr>
          <w:sz w:val="24"/>
          <w:szCs w:val="24"/>
        </w:rPr>
        <w:tab/>
        <w:t xml:space="preserve">Until May 2012, Complainant’s mother, Margie </w:t>
      </w:r>
      <w:proofErr w:type="spellStart"/>
      <w:r>
        <w:rPr>
          <w:sz w:val="24"/>
          <w:szCs w:val="24"/>
        </w:rPr>
        <w:t>Espenship</w:t>
      </w:r>
      <w:proofErr w:type="spellEnd"/>
      <w:r>
        <w:rPr>
          <w:sz w:val="24"/>
          <w:szCs w:val="24"/>
        </w:rPr>
        <w:t xml:space="preserve">, </w:t>
      </w:r>
      <w:r w:rsidR="00826177">
        <w:rPr>
          <w:sz w:val="24"/>
          <w:szCs w:val="24"/>
        </w:rPr>
        <w:t xml:space="preserve">lived at the service address and </w:t>
      </w:r>
      <w:r>
        <w:rPr>
          <w:sz w:val="24"/>
          <w:szCs w:val="24"/>
        </w:rPr>
        <w:t xml:space="preserve">acted as the ratepayer of record, although the listed ratepayer of record was Louisa </w:t>
      </w:r>
      <w:proofErr w:type="spellStart"/>
      <w:r>
        <w:rPr>
          <w:sz w:val="24"/>
          <w:szCs w:val="24"/>
        </w:rPr>
        <w:t>Ortlip</w:t>
      </w:r>
      <w:proofErr w:type="spellEnd"/>
      <w:r>
        <w:rPr>
          <w:sz w:val="24"/>
          <w:szCs w:val="24"/>
        </w:rPr>
        <w:t xml:space="preserve">, who was Complainant’s grandmother.  </w:t>
      </w:r>
      <w:proofErr w:type="gramStart"/>
      <w:r>
        <w:rPr>
          <w:sz w:val="24"/>
          <w:szCs w:val="24"/>
        </w:rPr>
        <w:t>(Tr. 10, 16, 22, 83, 84, 91; PECO Exhibit</w:t>
      </w:r>
      <w:r w:rsidR="00826177">
        <w:rPr>
          <w:sz w:val="24"/>
          <w:szCs w:val="24"/>
        </w:rPr>
        <w:t> </w:t>
      </w:r>
      <w:r>
        <w:rPr>
          <w:sz w:val="24"/>
          <w:szCs w:val="24"/>
        </w:rPr>
        <w:t>1).</w:t>
      </w:r>
      <w:proofErr w:type="gramEnd"/>
      <w:r>
        <w:rPr>
          <w:sz w:val="24"/>
          <w:szCs w:val="24"/>
        </w:rPr>
        <w:t xml:space="preserve">    </w:t>
      </w:r>
    </w:p>
    <w:p w:rsidR="00FD47C4" w:rsidRDefault="00FD47C4" w:rsidP="00FD47C4">
      <w:pPr>
        <w:tabs>
          <w:tab w:val="left" w:pos="2160"/>
        </w:tabs>
        <w:ind w:firstLine="1440"/>
        <w:rPr>
          <w:sz w:val="24"/>
          <w:szCs w:val="24"/>
        </w:rPr>
      </w:pPr>
    </w:p>
    <w:p w:rsidR="00FD47C4" w:rsidRDefault="00025EB9" w:rsidP="00FD47C4">
      <w:pPr>
        <w:tabs>
          <w:tab w:val="left" w:pos="2160"/>
        </w:tabs>
        <w:ind w:firstLine="1440"/>
        <w:rPr>
          <w:sz w:val="24"/>
          <w:szCs w:val="24"/>
        </w:rPr>
      </w:pPr>
      <w:r>
        <w:rPr>
          <w:sz w:val="24"/>
          <w:szCs w:val="24"/>
        </w:rPr>
        <w:t>7</w:t>
      </w:r>
      <w:r w:rsidR="00FD47C4">
        <w:rPr>
          <w:sz w:val="24"/>
          <w:szCs w:val="24"/>
        </w:rPr>
        <w:t>.</w:t>
      </w:r>
      <w:r w:rsidR="00FD47C4">
        <w:rPr>
          <w:sz w:val="24"/>
          <w:szCs w:val="24"/>
        </w:rPr>
        <w:tab/>
        <w:t xml:space="preserve">  Prior to May 2012, Complainant paid money to his mother with the understanding she would use the money to pay for the household utilities (water, trash, sewer, cable, electric) used at the service address.  </w:t>
      </w:r>
      <w:proofErr w:type="gramStart"/>
      <w:r w:rsidR="00FD47C4">
        <w:rPr>
          <w:sz w:val="24"/>
          <w:szCs w:val="24"/>
        </w:rPr>
        <w:t>(Tr. 9-11, 19).</w:t>
      </w:r>
      <w:proofErr w:type="gramEnd"/>
    </w:p>
    <w:p w:rsidR="005957E1" w:rsidRDefault="005957E1" w:rsidP="005957E1">
      <w:pPr>
        <w:tabs>
          <w:tab w:val="left" w:pos="2160"/>
        </w:tabs>
        <w:ind w:firstLine="1440"/>
        <w:rPr>
          <w:sz w:val="24"/>
          <w:szCs w:val="24"/>
        </w:rPr>
      </w:pPr>
    </w:p>
    <w:p w:rsidR="00C870D6" w:rsidRDefault="00A01BF0" w:rsidP="00C44296">
      <w:pPr>
        <w:tabs>
          <w:tab w:val="left" w:pos="2160"/>
        </w:tabs>
        <w:ind w:firstLine="1440"/>
        <w:rPr>
          <w:sz w:val="24"/>
          <w:szCs w:val="24"/>
        </w:rPr>
      </w:pPr>
      <w:r>
        <w:rPr>
          <w:sz w:val="24"/>
          <w:szCs w:val="24"/>
        </w:rPr>
        <w:t>8</w:t>
      </w:r>
      <w:r w:rsidR="00C870D6">
        <w:rPr>
          <w:sz w:val="24"/>
          <w:szCs w:val="24"/>
        </w:rPr>
        <w:t xml:space="preserve">. </w:t>
      </w:r>
      <w:r w:rsidR="00C870D6">
        <w:rPr>
          <w:sz w:val="24"/>
          <w:szCs w:val="24"/>
        </w:rPr>
        <w:tab/>
        <w:t xml:space="preserve">On May 17, 2012, PECO terminated electric service to the service address because of a past due balance totaling $5,601.81.  </w:t>
      </w:r>
      <w:proofErr w:type="gramStart"/>
      <w:r w:rsidR="00C870D6">
        <w:rPr>
          <w:sz w:val="24"/>
          <w:szCs w:val="24"/>
        </w:rPr>
        <w:t xml:space="preserve">(Tr. </w:t>
      </w:r>
      <w:r w:rsidR="00295FD6">
        <w:rPr>
          <w:sz w:val="24"/>
          <w:szCs w:val="24"/>
        </w:rPr>
        <w:t xml:space="preserve">22, </w:t>
      </w:r>
      <w:r w:rsidR="00C870D6">
        <w:rPr>
          <w:sz w:val="24"/>
          <w:szCs w:val="24"/>
        </w:rPr>
        <w:t>91; PECO Exhibits 1 &amp; 2).</w:t>
      </w:r>
      <w:proofErr w:type="gramEnd"/>
    </w:p>
    <w:p w:rsidR="005957E1" w:rsidRDefault="005957E1" w:rsidP="005957E1">
      <w:pPr>
        <w:tabs>
          <w:tab w:val="left" w:pos="2160"/>
        </w:tabs>
        <w:ind w:firstLine="1440"/>
        <w:rPr>
          <w:sz w:val="24"/>
          <w:szCs w:val="24"/>
        </w:rPr>
      </w:pPr>
    </w:p>
    <w:p w:rsidR="005957E1" w:rsidRDefault="00A01BF0" w:rsidP="005957E1">
      <w:pPr>
        <w:tabs>
          <w:tab w:val="left" w:pos="2160"/>
        </w:tabs>
        <w:ind w:firstLine="1440"/>
        <w:rPr>
          <w:sz w:val="24"/>
          <w:szCs w:val="24"/>
        </w:rPr>
      </w:pPr>
      <w:r>
        <w:rPr>
          <w:sz w:val="24"/>
          <w:szCs w:val="24"/>
        </w:rPr>
        <w:t>9</w:t>
      </w:r>
      <w:r w:rsidR="005957E1">
        <w:rPr>
          <w:sz w:val="24"/>
          <w:szCs w:val="24"/>
        </w:rPr>
        <w:t>.</w:t>
      </w:r>
      <w:r w:rsidR="005957E1">
        <w:rPr>
          <w:sz w:val="24"/>
          <w:szCs w:val="24"/>
        </w:rPr>
        <w:tab/>
        <w:t xml:space="preserve">On May 23, 2012, Mr. </w:t>
      </w:r>
      <w:proofErr w:type="spellStart"/>
      <w:r w:rsidR="005957E1">
        <w:rPr>
          <w:sz w:val="24"/>
          <w:szCs w:val="24"/>
        </w:rPr>
        <w:t>Espenship</w:t>
      </w:r>
      <w:proofErr w:type="spellEnd"/>
      <w:r w:rsidR="005957E1">
        <w:rPr>
          <w:sz w:val="24"/>
          <w:szCs w:val="24"/>
        </w:rPr>
        <w:t xml:space="preserve"> became the primary ratepayer of record while his grandmother, Louisa </w:t>
      </w:r>
      <w:proofErr w:type="spellStart"/>
      <w:r w:rsidR="005957E1">
        <w:rPr>
          <w:sz w:val="24"/>
          <w:szCs w:val="24"/>
        </w:rPr>
        <w:t>Ortlip</w:t>
      </w:r>
      <w:proofErr w:type="spellEnd"/>
      <w:r w:rsidR="005957E1">
        <w:rPr>
          <w:sz w:val="24"/>
          <w:szCs w:val="24"/>
        </w:rPr>
        <w:t xml:space="preserve">, remained listed as the secondary ratepayer of record.  On that date, Complainant assumed responsibility for payment on the past due balance.  </w:t>
      </w:r>
      <w:proofErr w:type="gramStart"/>
      <w:r w:rsidR="005957E1">
        <w:rPr>
          <w:sz w:val="24"/>
          <w:szCs w:val="24"/>
        </w:rPr>
        <w:t>(Tr.</w:t>
      </w:r>
      <w:r w:rsidR="00557023">
        <w:rPr>
          <w:sz w:val="24"/>
          <w:szCs w:val="24"/>
        </w:rPr>
        <w:t> </w:t>
      </w:r>
      <w:r w:rsidR="005957E1">
        <w:rPr>
          <w:sz w:val="24"/>
          <w:szCs w:val="24"/>
        </w:rPr>
        <w:t>10,</w:t>
      </w:r>
      <w:r w:rsidR="00557023">
        <w:rPr>
          <w:sz w:val="24"/>
          <w:szCs w:val="24"/>
        </w:rPr>
        <w:t> </w:t>
      </w:r>
      <w:r w:rsidR="005957E1">
        <w:rPr>
          <w:sz w:val="24"/>
          <w:szCs w:val="24"/>
        </w:rPr>
        <w:t>16,</w:t>
      </w:r>
      <w:r w:rsidR="00557023">
        <w:rPr>
          <w:sz w:val="24"/>
          <w:szCs w:val="24"/>
        </w:rPr>
        <w:t> </w:t>
      </w:r>
      <w:r w:rsidR="005957E1">
        <w:rPr>
          <w:sz w:val="24"/>
          <w:szCs w:val="24"/>
        </w:rPr>
        <w:t>22, 83, 84</w:t>
      </w:r>
      <w:r w:rsidR="00413763">
        <w:rPr>
          <w:sz w:val="24"/>
          <w:szCs w:val="24"/>
        </w:rPr>
        <w:t>, 91</w:t>
      </w:r>
      <w:r w:rsidR="005957E1">
        <w:rPr>
          <w:sz w:val="24"/>
          <w:szCs w:val="24"/>
        </w:rPr>
        <w:t>; PECO Exhibit 1).</w:t>
      </w:r>
      <w:proofErr w:type="gramEnd"/>
      <w:r w:rsidR="005957E1">
        <w:rPr>
          <w:sz w:val="24"/>
          <w:szCs w:val="24"/>
        </w:rPr>
        <w:t xml:space="preserve">    </w:t>
      </w:r>
    </w:p>
    <w:p w:rsidR="00FD47C4" w:rsidRDefault="00FD47C4" w:rsidP="00FD47C4">
      <w:pPr>
        <w:tabs>
          <w:tab w:val="left" w:pos="2160"/>
        </w:tabs>
        <w:ind w:firstLine="1440"/>
        <w:rPr>
          <w:sz w:val="24"/>
          <w:szCs w:val="24"/>
        </w:rPr>
      </w:pPr>
    </w:p>
    <w:p w:rsidR="00FD47C4" w:rsidRDefault="00FD47C4" w:rsidP="00FD47C4">
      <w:pPr>
        <w:tabs>
          <w:tab w:val="left" w:pos="2160"/>
        </w:tabs>
        <w:ind w:firstLine="1440"/>
        <w:rPr>
          <w:sz w:val="24"/>
          <w:szCs w:val="24"/>
        </w:rPr>
      </w:pPr>
      <w:r>
        <w:rPr>
          <w:sz w:val="24"/>
          <w:szCs w:val="24"/>
        </w:rPr>
        <w:t>1</w:t>
      </w:r>
      <w:r w:rsidR="00A01BF0">
        <w:rPr>
          <w:sz w:val="24"/>
          <w:szCs w:val="24"/>
        </w:rPr>
        <w:t>0</w:t>
      </w:r>
      <w:r>
        <w:rPr>
          <w:sz w:val="24"/>
          <w:szCs w:val="24"/>
        </w:rPr>
        <w:t xml:space="preserve">. </w:t>
      </w:r>
      <w:r>
        <w:rPr>
          <w:sz w:val="24"/>
          <w:szCs w:val="24"/>
        </w:rPr>
        <w:tab/>
        <w:t xml:space="preserve">When Complainant became the ratepayer of record in May 2012, the account was in termination proceedings due to a poor payment history.  Various medical certifications prevented PECO from initiating termination proceedings prior to 2012.  </w:t>
      </w:r>
      <w:proofErr w:type="gramStart"/>
      <w:r>
        <w:rPr>
          <w:sz w:val="24"/>
          <w:szCs w:val="24"/>
        </w:rPr>
        <w:t>(Tr.</w:t>
      </w:r>
      <w:r w:rsidR="008574F8">
        <w:rPr>
          <w:sz w:val="24"/>
          <w:szCs w:val="24"/>
        </w:rPr>
        <w:t> </w:t>
      </w:r>
      <w:r>
        <w:rPr>
          <w:sz w:val="24"/>
          <w:szCs w:val="24"/>
        </w:rPr>
        <w:t>83,</w:t>
      </w:r>
      <w:r w:rsidR="008574F8">
        <w:rPr>
          <w:sz w:val="24"/>
          <w:szCs w:val="24"/>
        </w:rPr>
        <w:t> </w:t>
      </w:r>
      <w:r>
        <w:rPr>
          <w:sz w:val="24"/>
          <w:szCs w:val="24"/>
        </w:rPr>
        <w:t>84,</w:t>
      </w:r>
      <w:r w:rsidR="008574F8">
        <w:rPr>
          <w:sz w:val="24"/>
          <w:szCs w:val="24"/>
        </w:rPr>
        <w:t> </w:t>
      </w:r>
      <w:r>
        <w:rPr>
          <w:sz w:val="24"/>
          <w:szCs w:val="24"/>
        </w:rPr>
        <w:t>89; PECO Exhibit 1).</w:t>
      </w:r>
      <w:proofErr w:type="gramEnd"/>
    </w:p>
    <w:p w:rsidR="005957E1" w:rsidRDefault="005957E1" w:rsidP="005957E1">
      <w:pPr>
        <w:tabs>
          <w:tab w:val="left" w:pos="2160"/>
        </w:tabs>
        <w:ind w:firstLine="1440"/>
        <w:rPr>
          <w:sz w:val="24"/>
          <w:szCs w:val="24"/>
        </w:rPr>
      </w:pPr>
    </w:p>
    <w:p w:rsidR="005957E1" w:rsidRDefault="00A01BF0" w:rsidP="005957E1">
      <w:pPr>
        <w:tabs>
          <w:tab w:val="left" w:pos="2160"/>
        </w:tabs>
        <w:ind w:firstLine="1440"/>
        <w:rPr>
          <w:sz w:val="24"/>
          <w:szCs w:val="24"/>
        </w:rPr>
      </w:pPr>
      <w:r>
        <w:rPr>
          <w:sz w:val="24"/>
          <w:szCs w:val="24"/>
        </w:rPr>
        <w:lastRenderedPageBreak/>
        <w:t>11</w:t>
      </w:r>
      <w:r w:rsidR="005957E1">
        <w:rPr>
          <w:sz w:val="24"/>
          <w:szCs w:val="24"/>
        </w:rPr>
        <w:t xml:space="preserve">. </w:t>
      </w:r>
      <w:r w:rsidR="005957E1">
        <w:rPr>
          <w:sz w:val="24"/>
          <w:szCs w:val="24"/>
        </w:rPr>
        <w:tab/>
        <w:t xml:space="preserve">On May 24, 2012, PECO and Complainant entered into a payment agreement for a Level 1 agreement to repay $5,615.97 in 60 monthly installments of $93.60 each.  </w:t>
      </w:r>
      <w:proofErr w:type="gramStart"/>
      <w:r w:rsidR="005957E1">
        <w:rPr>
          <w:sz w:val="24"/>
          <w:szCs w:val="24"/>
        </w:rPr>
        <w:t>(Tr. 91; PECO Exhibit 6).</w:t>
      </w:r>
      <w:proofErr w:type="gramEnd"/>
    </w:p>
    <w:p w:rsidR="00A01BF0" w:rsidRDefault="00A01BF0" w:rsidP="00A01BF0">
      <w:pPr>
        <w:tabs>
          <w:tab w:val="left" w:pos="2160"/>
        </w:tabs>
        <w:ind w:firstLine="1440"/>
        <w:rPr>
          <w:sz w:val="24"/>
          <w:szCs w:val="24"/>
        </w:rPr>
      </w:pPr>
    </w:p>
    <w:p w:rsidR="00A01BF0" w:rsidRDefault="00A01BF0" w:rsidP="00A01BF0">
      <w:pPr>
        <w:tabs>
          <w:tab w:val="left" w:pos="2160"/>
        </w:tabs>
        <w:ind w:firstLine="1440"/>
        <w:rPr>
          <w:sz w:val="24"/>
          <w:szCs w:val="24"/>
        </w:rPr>
      </w:pPr>
      <w:r>
        <w:rPr>
          <w:sz w:val="24"/>
          <w:szCs w:val="24"/>
        </w:rPr>
        <w:t xml:space="preserve">12. </w:t>
      </w:r>
      <w:r>
        <w:rPr>
          <w:sz w:val="24"/>
          <w:szCs w:val="24"/>
        </w:rPr>
        <w:tab/>
        <w:t xml:space="preserve">From May 2012 until the hearing in October 2013, PECO issued </w:t>
      </w:r>
      <w:r w:rsidR="002D58B4">
        <w:rPr>
          <w:sz w:val="24"/>
          <w:szCs w:val="24"/>
        </w:rPr>
        <w:t>10</w:t>
      </w:r>
      <w:r>
        <w:rPr>
          <w:sz w:val="24"/>
          <w:szCs w:val="24"/>
        </w:rPr>
        <w:t xml:space="preserve">-day termination notices: on September 13, 2012; on October 14, 2012; and on February 15, 2013.  </w:t>
      </w:r>
      <w:proofErr w:type="gramStart"/>
      <w:r>
        <w:rPr>
          <w:sz w:val="24"/>
          <w:szCs w:val="24"/>
        </w:rPr>
        <w:t>(Tr. 93).</w:t>
      </w:r>
      <w:proofErr w:type="gramEnd"/>
    </w:p>
    <w:p w:rsidR="005957E1" w:rsidRDefault="005957E1" w:rsidP="005957E1">
      <w:pPr>
        <w:tabs>
          <w:tab w:val="left" w:pos="2160"/>
        </w:tabs>
        <w:ind w:firstLine="1440"/>
        <w:rPr>
          <w:sz w:val="24"/>
          <w:szCs w:val="24"/>
        </w:rPr>
      </w:pPr>
    </w:p>
    <w:p w:rsidR="005957E1" w:rsidRDefault="00A01BF0" w:rsidP="005957E1">
      <w:pPr>
        <w:tabs>
          <w:tab w:val="left" w:pos="2160"/>
        </w:tabs>
        <w:ind w:firstLine="1440"/>
        <w:rPr>
          <w:sz w:val="24"/>
          <w:szCs w:val="24"/>
        </w:rPr>
      </w:pPr>
      <w:r>
        <w:rPr>
          <w:sz w:val="24"/>
          <w:szCs w:val="24"/>
        </w:rPr>
        <w:t>13</w:t>
      </w:r>
      <w:r w:rsidR="005957E1">
        <w:rPr>
          <w:sz w:val="24"/>
          <w:szCs w:val="24"/>
        </w:rPr>
        <w:t>.</w:t>
      </w:r>
      <w:r w:rsidR="005957E1">
        <w:rPr>
          <w:sz w:val="24"/>
          <w:szCs w:val="24"/>
        </w:rPr>
        <w:tab/>
        <w:t xml:space="preserve">In January 2013, </w:t>
      </w:r>
      <w:r w:rsidR="00FD47C4">
        <w:rPr>
          <w:sz w:val="24"/>
          <w:szCs w:val="24"/>
        </w:rPr>
        <w:t>Mrs.</w:t>
      </w:r>
      <w:r w:rsidR="005957E1">
        <w:rPr>
          <w:sz w:val="24"/>
          <w:szCs w:val="24"/>
        </w:rPr>
        <w:t xml:space="preserve"> </w:t>
      </w:r>
      <w:proofErr w:type="spellStart"/>
      <w:r w:rsidR="005957E1">
        <w:rPr>
          <w:sz w:val="24"/>
          <w:szCs w:val="24"/>
        </w:rPr>
        <w:t>Espenship</w:t>
      </w:r>
      <w:proofErr w:type="spellEnd"/>
      <w:r w:rsidR="005957E1">
        <w:rPr>
          <w:sz w:val="24"/>
          <w:szCs w:val="24"/>
        </w:rPr>
        <w:t xml:space="preserve"> stopped working due to medical disability issues</w:t>
      </w:r>
      <w:r w:rsidR="000B0551">
        <w:rPr>
          <w:sz w:val="24"/>
          <w:szCs w:val="24"/>
        </w:rPr>
        <w:t xml:space="preserve"> and, </w:t>
      </w:r>
      <w:r w:rsidR="00FD47C4">
        <w:rPr>
          <w:sz w:val="24"/>
          <w:szCs w:val="24"/>
        </w:rPr>
        <w:t>without available medical insurance</w:t>
      </w:r>
      <w:r w:rsidR="000B0551">
        <w:rPr>
          <w:sz w:val="24"/>
          <w:szCs w:val="24"/>
        </w:rPr>
        <w:t xml:space="preserve">, </w:t>
      </w:r>
      <w:r w:rsidR="00FD47C4">
        <w:rPr>
          <w:sz w:val="24"/>
          <w:szCs w:val="24"/>
        </w:rPr>
        <w:t xml:space="preserve">Mrs. </w:t>
      </w:r>
      <w:proofErr w:type="spellStart"/>
      <w:r w:rsidR="00FD47C4">
        <w:rPr>
          <w:sz w:val="24"/>
          <w:szCs w:val="24"/>
        </w:rPr>
        <w:t>Espenship</w:t>
      </w:r>
      <w:proofErr w:type="spellEnd"/>
      <w:r w:rsidR="00FD47C4">
        <w:rPr>
          <w:sz w:val="24"/>
          <w:szCs w:val="24"/>
        </w:rPr>
        <w:t xml:space="preserve"> </w:t>
      </w:r>
      <w:r w:rsidR="000B0551">
        <w:rPr>
          <w:sz w:val="24"/>
          <w:szCs w:val="24"/>
        </w:rPr>
        <w:t>amassed</w:t>
      </w:r>
      <w:r w:rsidR="00FD47C4">
        <w:rPr>
          <w:sz w:val="24"/>
          <w:szCs w:val="24"/>
        </w:rPr>
        <w:t xml:space="preserve"> medical bills totaling $175,000.  (Tr. 13-19).  </w:t>
      </w:r>
    </w:p>
    <w:p w:rsidR="00016819" w:rsidRDefault="00016819" w:rsidP="00016819">
      <w:pPr>
        <w:tabs>
          <w:tab w:val="left" w:pos="2160"/>
        </w:tabs>
        <w:ind w:firstLine="1440"/>
        <w:rPr>
          <w:sz w:val="24"/>
          <w:szCs w:val="24"/>
        </w:rPr>
      </w:pPr>
    </w:p>
    <w:p w:rsidR="00016819" w:rsidRDefault="00016819" w:rsidP="00016819">
      <w:pPr>
        <w:tabs>
          <w:tab w:val="left" w:pos="2160"/>
        </w:tabs>
        <w:ind w:firstLine="1440"/>
        <w:rPr>
          <w:sz w:val="24"/>
          <w:szCs w:val="24"/>
        </w:rPr>
      </w:pPr>
      <w:r>
        <w:rPr>
          <w:sz w:val="24"/>
          <w:szCs w:val="24"/>
        </w:rPr>
        <w:t>1</w:t>
      </w:r>
      <w:r w:rsidR="00A01BF0">
        <w:rPr>
          <w:sz w:val="24"/>
          <w:szCs w:val="24"/>
        </w:rPr>
        <w:t>4</w:t>
      </w:r>
      <w:r>
        <w:rPr>
          <w:sz w:val="24"/>
          <w:szCs w:val="24"/>
        </w:rPr>
        <w:t xml:space="preserve">. </w:t>
      </w:r>
      <w:r>
        <w:rPr>
          <w:sz w:val="24"/>
          <w:szCs w:val="24"/>
        </w:rPr>
        <w:tab/>
        <w:t xml:space="preserve">On March 21, 2013, Complainant reported to PECO </w:t>
      </w:r>
      <w:r w:rsidR="000B0551">
        <w:rPr>
          <w:sz w:val="24"/>
          <w:szCs w:val="24"/>
        </w:rPr>
        <w:t xml:space="preserve">household </w:t>
      </w:r>
      <w:r>
        <w:rPr>
          <w:sz w:val="24"/>
          <w:szCs w:val="24"/>
        </w:rPr>
        <w:t xml:space="preserve">monthly income </w:t>
      </w:r>
      <w:r w:rsidR="000B0551">
        <w:rPr>
          <w:sz w:val="24"/>
          <w:szCs w:val="24"/>
        </w:rPr>
        <w:t>totaling</w:t>
      </w:r>
      <w:r>
        <w:rPr>
          <w:sz w:val="24"/>
          <w:szCs w:val="24"/>
        </w:rPr>
        <w:t xml:space="preserve"> $2,000 for two adults, which amount is 154 percent </w:t>
      </w:r>
      <w:r w:rsidR="00D91CCB">
        <w:rPr>
          <w:sz w:val="24"/>
          <w:szCs w:val="24"/>
        </w:rPr>
        <w:t xml:space="preserve">(154%) </w:t>
      </w:r>
      <w:r>
        <w:rPr>
          <w:sz w:val="24"/>
          <w:szCs w:val="24"/>
        </w:rPr>
        <w:t xml:space="preserve">of the federal poverty level, or a Level 2 income.  </w:t>
      </w:r>
      <w:proofErr w:type="gramStart"/>
      <w:r>
        <w:rPr>
          <w:sz w:val="24"/>
          <w:szCs w:val="24"/>
        </w:rPr>
        <w:t>(Tr. 94; PECO Exhibit 5).</w:t>
      </w:r>
      <w:proofErr w:type="gramEnd"/>
    </w:p>
    <w:p w:rsidR="00016819" w:rsidRPr="00B73D10" w:rsidRDefault="00016819" w:rsidP="00016819">
      <w:pPr>
        <w:tabs>
          <w:tab w:val="left" w:pos="2160"/>
        </w:tabs>
        <w:ind w:firstLine="1440"/>
        <w:rPr>
          <w:sz w:val="24"/>
          <w:szCs w:val="24"/>
        </w:rPr>
      </w:pPr>
    </w:p>
    <w:p w:rsidR="00016819" w:rsidRDefault="00016819" w:rsidP="00016819">
      <w:pPr>
        <w:pStyle w:val="BodyText"/>
        <w:jc w:val="left"/>
        <w:rPr>
          <w:sz w:val="24"/>
          <w:szCs w:val="24"/>
        </w:rPr>
      </w:pPr>
      <w:r w:rsidRPr="00B73D10">
        <w:rPr>
          <w:sz w:val="24"/>
          <w:szCs w:val="24"/>
        </w:rPr>
        <w:tab/>
      </w:r>
      <w:r w:rsidRPr="00B73D10">
        <w:rPr>
          <w:sz w:val="24"/>
          <w:szCs w:val="24"/>
        </w:rPr>
        <w:tab/>
      </w:r>
      <w:r>
        <w:rPr>
          <w:sz w:val="24"/>
          <w:szCs w:val="24"/>
        </w:rPr>
        <w:t>1</w:t>
      </w:r>
      <w:r w:rsidR="00A01BF0">
        <w:rPr>
          <w:sz w:val="24"/>
          <w:szCs w:val="24"/>
        </w:rPr>
        <w:t>5</w:t>
      </w:r>
      <w:r w:rsidRPr="00B73D10">
        <w:rPr>
          <w:sz w:val="24"/>
          <w:szCs w:val="24"/>
        </w:rPr>
        <w:t>.</w:t>
      </w:r>
      <w:r w:rsidRPr="00B73D10">
        <w:rPr>
          <w:sz w:val="24"/>
          <w:szCs w:val="24"/>
        </w:rPr>
        <w:tab/>
        <w:t xml:space="preserve">On </w:t>
      </w:r>
      <w:r>
        <w:rPr>
          <w:sz w:val="24"/>
          <w:szCs w:val="24"/>
        </w:rPr>
        <w:t>March 25, 2013</w:t>
      </w:r>
      <w:r w:rsidRPr="00B73D10">
        <w:rPr>
          <w:sz w:val="24"/>
          <w:szCs w:val="24"/>
        </w:rPr>
        <w:t xml:space="preserve">, </w:t>
      </w:r>
      <w:r>
        <w:rPr>
          <w:sz w:val="24"/>
          <w:szCs w:val="24"/>
        </w:rPr>
        <w:t>Complainant</w:t>
      </w:r>
      <w:r w:rsidRPr="00B73D10">
        <w:rPr>
          <w:sz w:val="24"/>
          <w:szCs w:val="24"/>
        </w:rPr>
        <w:t xml:space="preserve"> filed a formal complaint</w:t>
      </w:r>
      <w:r w:rsidR="000B0551">
        <w:rPr>
          <w:sz w:val="24"/>
          <w:szCs w:val="24"/>
        </w:rPr>
        <w:t xml:space="preserve"> with the Commission</w:t>
      </w:r>
      <w:r>
        <w:rPr>
          <w:sz w:val="24"/>
          <w:szCs w:val="24"/>
        </w:rPr>
        <w:t xml:space="preserve">.    </w:t>
      </w:r>
    </w:p>
    <w:p w:rsidR="005957E1" w:rsidRDefault="005957E1" w:rsidP="005957E1">
      <w:pPr>
        <w:tabs>
          <w:tab w:val="left" w:pos="2160"/>
        </w:tabs>
        <w:ind w:firstLine="1440"/>
        <w:rPr>
          <w:sz w:val="24"/>
          <w:szCs w:val="24"/>
        </w:rPr>
      </w:pPr>
    </w:p>
    <w:p w:rsidR="006229A9" w:rsidRDefault="00A01BF0" w:rsidP="005957E1">
      <w:pPr>
        <w:tabs>
          <w:tab w:val="left" w:pos="2160"/>
        </w:tabs>
        <w:ind w:firstLine="1440"/>
        <w:rPr>
          <w:sz w:val="24"/>
          <w:szCs w:val="24"/>
        </w:rPr>
      </w:pPr>
      <w:r>
        <w:rPr>
          <w:sz w:val="24"/>
          <w:szCs w:val="24"/>
        </w:rPr>
        <w:t>16</w:t>
      </w:r>
      <w:r w:rsidR="005957E1">
        <w:rPr>
          <w:sz w:val="24"/>
          <w:szCs w:val="24"/>
        </w:rPr>
        <w:t>.</w:t>
      </w:r>
      <w:r w:rsidR="005957E1">
        <w:rPr>
          <w:sz w:val="24"/>
          <w:szCs w:val="24"/>
        </w:rPr>
        <w:tab/>
        <w:t xml:space="preserve">In March 2013, </w:t>
      </w:r>
      <w:r w:rsidR="00FD47C4">
        <w:rPr>
          <w:sz w:val="24"/>
          <w:szCs w:val="24"/>
        </w:rPr>
        <w:t>Mrs.</w:t>
      </w:r>
      <w:r w:rsidR="005957E1">
        <w:rPr>
          <w:sz w:val="24"/>
          <w:szCs w:val="24"/>
        </w:rPr>
        <w:t xml:space="preserve"> </w:t>
      </w:r>
      <w:proofErr w:type="spellStart"/>
      <w:r w:rsidR="005957E1">
        <w:rPr>
          <w:sz w:val="24"/>
          <w:szCs w:val="24"/>
        </w:rPr>
        <w:t>Espenship</w:t>
      </w:r>
      <w:proofErr w:type="spellEnd"/>
      <w:r w:rsidR="005957E1">
        <w:rPr>
          <w:sz w:val="24"/>
          <w:szCs w:val="24"/>
        </w:rPr>
        <w:t xml:space="preserve"> sold her vehicle and offered to give PECO a portion of the proceeds ($5,000.00) but PECO refused to accept t</w:t>
      </w:r>
      <w:r w:rsidR="000B0551">
        <w:rPr>
          <w:sz w:val="24"/>
          <w:szCs w:val="24"/>
        </w:rPr>
        <w:t xml:space="preserve">he money.  </w:t>
      </w:r>
      <w:proofErr w:type="gramStart"/>
      <w:r w:rsidR="000B0551">
        <w:rPr>
          <w:sz w:val="24"/>
          <w:szCs w:val="24"/>
        </w:rPr>
        <w:t>(Tr.</w:t>
      </w:r>
      <w:r w:rsidR="008574F8">
        <w:rPr>
          <w:sz w:val="24"/>
          <w:szCs w:val="24"/>
        </w:rPr>
        <w:t> </w:t>
      </w:r>
      <w:r w:rsidR="000B0551">
        <w:rPr>
          <w:sz w:val="24"/>
          <w:szCs w:val="24"/>
        </w:rPr>
        <w:t>12,</w:t>
      </w:r>
      <w:r w:rsidR="008574F8">
        <w:rPr>
          <w:sz w:val="24"/>
          <w:szCs w:val="24"/>
        </w:rPr>
        <w:t> </w:t>
      </w:r>
      <w:r w:rsidR="000B0551">
        <w:rPr>
          <w:sz w:val="24"/>
          <w:szCs w:val="24"/>
        </w:rPr>
        <w:t>15,</w:t>
      </w:r>
      <w:r w:rsidR="008574F8">
        <w:rPr>
          <w:sz w:val="24"/>
          <w:szCs w:val="24"/>
        </w:rPr>
        <w:t> </w:t>
      </w:r>
      <w:r w:rsidR="000B0551">
        <w:rPr>
          <w:sz w:val="24"/>
          <w:szCs w:val="24"/>
        </w:rPr>
        <w:t>39,</w:t>
      </w:r>
      <w:r w:rsidR="008574F8">
        <w:rPr>
          <w:sz w:val="24"/>
          <w:szCs w:val="24"/>
        </w:rPr>
        <w:t> </w:t>
      </w:r>
      <w:r w:rsidR="000B0551">
        <w:rPr>
          <w:sz w:val="24"/>
          <w:szCs w:val="24"/>
        </w:rPr>
        <w:t>40</w:t>
      </w:r>
      <w:r w:rsidR="005957E1">
        <w:rPr>
          <w:sz w:val="24"/>
          <w:szCs w:val="24"/>
        </w:rPr>
        <w:t>).</w:t>
      </w:r>
      <w:proofErr w:type="gramEnd"/>
    </w:p>
    <w:p w:rsidR="00D91CCB" w:rsidRDefault="00D91CCB" w:rsidP="00D91CCB">
      <w:pPr>
        <w:tabs>
          <w:tab w:val="left" w:pos="2160"/>
        </w:tabs>
        <w:ind w:firstLine="1440"/>
        <w:rPr>
          <w:sz w:val="24"/>
          <w:szCs w:val="24"/>
        </w:rPr>
      </w:pPr>
    </w:p>
    <w:p w:rsidR="00D91CCB" w:rsidRDefault="00D91CCB" w:rsidP="00D91CCB">
      <w:pPr>
        <w:tabs>
          <w:tab w:val="left" w:pos="2160"/>
        </w:tabs>
        <w:ind w:firstLine="1440"/>
        <w:rPr>
          <w:sz w:val="24"/>
          <w:szCs w:val="24"/>
        </w:rPr>
      </w:pPr>
      <w:r>
        <w:rPr>
          <w:sz w:val="24"/>
          <w:szCs w:val="24"/>
        </w:rPr>
        <w:t>1</w:t>
      </w:r>
      <w:r w:rsidR="00A01BF0">
        <w:rPr>
          <w:sz w:val="24"/>
          <w:szCs w:val="24"/>
        </w:rPr>
        <w:t>7</w:t>
      </w:r>
      <w:r>
        <w:rPr>
          <w:sz w:val="24"/>
          <w:szCs w:val="24"/>
        </w:rPr>
        <w:t>.</w:t>
      </w:r>
      <w:r>
        <w:rPr>
          <w:sz w:val="24"/>
          <w:szCs w:val="24"/>
        </w:rPr>
        <w:tab/>
        <w:t xml:space="preserve">On May 13, 2013, PECO visited the service address due to a complaint there were flickering lights </w:t>
      </w:r>
      <w:r w:rsidR="000B0551">
        <w:rPr>
          <w:sz w:val="24"/>
          <w:szCs w:val="24"/>
        </w:rPr>
        <w:t>and power surges</w:t>
      </w:r>
      <w:r>
        <w:rPr>
          <w:sz w:val="24"/>
          <w:szCs w:val="24"/>
        </w:rPr>
        <w:t xml:space="preserve">.  The personnel investigated the voltage and electrical connections, but found no issues with wiring or the meter.  PECO recommended the meter should be pulled, and the neutral cap should be cleaned and remade.  </w:t>
      </w:r>
      <w:proofErr w:type="gramStart"/>
      <w:r>
        <w:rPr>
          <w:sz w:val="24"/>
          <w:szCs w:val="24"/>
        </w:rPr>
        <w:t>(Tr. 74, 75).</w:t>
      </w:r>
      <w:proofErr w:type="gramEnd"/>
      <w:r>
        <w:rPr>
          <w:sz w:val="24"/>
          <w:szCs w:val="24"/>
        </w:rPr>
        <w:t xml:space="preserve">  </w:t>
      </w:r>
    </w:p>
    <w:p w:rsidR="009504F2" w:rsidRDefault="009504F2" w:rsidP="009504F2">
      <w:pPr>
        <w:tabs>
          <w:tab w:val="left" w:pos="2160"/>
        </w:tabs>
        <w:ind w:firstLine="1440"/>
        <w:rPr>
          <w:sz w:val="24"/>
          <w:szCs w:val="24"/>
        </w:rPr>
      </w:pPr>
    </w:p>
    <w:p w:rsidR="009504F2" w:rsidRDefault="00A01BF0" w:rsidP="009504F2">
      <w:pPr>
        <w:tabs>
          <w:tab w:val="left" w:pos="2160"/>
        </w:tabs>
        <w:ind w:firstLine="1440"/>
        <w:rPr>
          <w:sz w:val="24"/>
          <w:szCs w:val="24"/>
        </w:rPr>
      </w:pPr>
      <w:r>
        <w:rPr>
          <w:sz w:val="24"/>
          <w:szCs w:val="24"/>
        </w:rPr>
        <w:t>18</w:t>
      </w:r>
      <w:r w:rsidR="009504F2">
        <w:rPr>
          <w:sz w:val="24"/>
          <w:szCs w:val="24"/>
        </w:rPr>
        <w:t>.</w:t>
      </w:r>
      <w:r w:rsidR="009504F2">
        <w:rPr>
          <w:sz w:val="24"/>
          <w:szCs w:val="24"/>
        </w:rPr>
        <w:tab/>
        <w:t>On June 21, 2013, PECO tested the meter and conducted a high bill investigation in June 2013.  PEC</w:t>
      </w:r>
      <w:r w:rsidR="007111ED">
        <w:rPr>
          <w:sz w:val="24"/>
          <w:szCs w:val="24"/>
        </w:rPr>
        <w:t>O determined the meter was 99.2</w:t>
      </w:r>
      <w:r w:rsidR="009504F2">
        <w:rPr>
          <w:sz w:val="24"/>
          <w:szCs w:val="24"/>
        </w:rPr>
        <w:t xml:space="preserve"> percent </w:t>
      </w:r>
      <w:r w:rsidR="007111ED">
        <w:rPr>
          <w:sz w:val="24"/>
          <w:szCs w:val="24"/>
        </w:rPr>
        <w:t xml:space="preserve">(99.2%) </w:t>
      </w:r>
      <w:r w:rsidR="009504F2">
        <w:rPr>
          <w:sz w:val="24"/>
          <w:szCs w:val="24"/>
        </w:rPr>
        <w:t>accurate on the full load and 100</w:t>
      </w:r>
      <w:r w:rsidR="007111ED">
        <w:rPr>
          <w:sz w:val="24"/>
          <w:szCs w:val="24"/>
        </w:rPr>
        <w:t>.5</w:t>
      </w:r>
      <w:r w:rsidR="009504F2">
        <w:rPr>
          <w:sz w:val="24"/>
          <w:szCs w:val="24"/>
        </w:rPr>
        <w:t xml:space="preserve"> percent </w:t>
      </w:r>
      <w:r w:rsidR="007111ED">
        <w:rPr>
          <w:sz w:val="24"/>
          <w:szCs w:val="24"/>
        </w:rPr>
        <w:t xml:space="preserve">(100.5%) </w:t>
      </w:r>
      <w:r w:rsidR="009504F2">
        <w:rPr>
          <w:sz w:val="24"/>
          <w:szCs w:val="24"/>
        </w:rPr>
        <w:t xml:space="preserve">accurate on the light load.  </w:t>
      </w:r>
      <w:r w:rsidR="000B0551">
        <w:rPr>
          <w:sz w:val="24"/>
          <w:szCs w:val="24"/>
        </w:rPr>
        <w:t xml:space="preserve">PECO did not determine the </w:t>
      </w:r>
      <w:r w:rsidR="000B0551">
        <w:rPr>
          <w:sz w:val="24"/>
          <w:szCs w:val="24"/>
        </w:rPr>
        <w:lastRenderedPageBreak/>
        <w:t xml:space="preserve">potential for wintertime and summertime electricity usage.  </w:t>
      </w:r>
      <w:proofErr w:type="gramStart"/>
      <w:r w:rsidR="009504F2">
        <w:rPr>
          <w:sz w:val="24"/>
          <w:szCs w:val="24"/>
        </w:rPr>
        <w:t xml:space="preserve">(Tr. 26, 27, 57, 59, 71; </w:t>
      </w:r>
      <w:r w:rsidR="009504F2" w:rsidRPr="000B0551">
        <w:rPr>
          <w:sz w:val="24"/>
          <w:szCs w:val="24"/>
        </w:rPr>
        <w:t>PECO Exhibit 13)</w:t>
      </w:r>
      <w:r w:rsidR="009504F2">
        <w:rPr>
          <w:sz w:val="24"/>
          <w:szCs w:val="24"/>
        </w:rPr>
        <w:t>.</w:t>
      </w:r>
      <w:proofErr w:type="gramEnd"/>
    </w:p>
    <w:p w:rsidR="009504F2" w:rsidRDefault="009504F2" w:rsidP="009504F2">
      <w:pPr>
        <w:tabs>
          <w:tab w:val="left" w:pos="2160"/>
        </w:tabs>
        <w:ind w:firstLine="1440"/>
        <w:rPr>
          <w:sz w:val="24"/>
          <w:szCs w:val="24"/>
        </w:rPr>
      </w:pPr>
    </w:p>
    <w:p w:rsidR="009504F2" w:rsidRDefault="00A01BF0" w:rsidP="009504F2">
      <w:pPr>
        <w:tabs>
          <w:tab w:val="left" w:pos="2160"/>
        </w:tabs>
        <w:ind w:firstLine="1440"/>
        <w:rPr>
          <w:sz w:val="24"/>
          <w:szCs w:val="24"/>
        </w:rPr>
      </w:pPr>
      <w:r>
        <w:rPr>
          <w:sz w:val="24"/>
          <w:szCs w:val="24"/>
        </w:rPr>
        <w:t>19</w:t>
      </w:r>
      <w:r w:rsidR="009504F2">
        <w:rPr>
          <w:sz w:val="24"/>
          <w:szCs w:val="24"/>
        </w:rPr>
        <w:t xml:space="preserve">. </w:t>
      </w:r>
      <w:r w:rsidR="009504F2">
        <w:rPr>
          <w:sz w:val="24"/>
          <w:szCs w:val="24"/>
        </w:rPr>
        <w:tab/>
        <w:t xml:space="preserve">At the time of the June 2013 high bill investigation, the service address used electricity to run the boiler with forced air, washer, dryer, microwave, stove, refrigerator, two big screen televisions, central air conditioning, and one 110-gallon fish tank.  </w:t>
      </w:r>
      <w:proofErr w:type="gramStart"/>
      <w:r w:rsidR="009504F2">
        <w:rPr>
          <w:sz w:val="24"/>
          <w:szCs w:val="24"/>
        </w:rPr>
        <w:t>(Tr. 28, 29).</w:t>
      </w:r>
      <w:proofErr w:type="gramEnd"/>
    </w:p>
    <w:p w:rsidR="00FD47C4" w:rsidRDefault="00FD47C4" w:rsidP="005957E1">
      <w:pPr>
        <w:tabs>
          <w:tab w:val="left" w:pos="2160"/>
        </w:tabs>
        <w:ind w:firstLine="1440"/>
        <w:rPr>
          <w:sz w:val="24"/>
          <w:szCs w:val="24"/>
        </w:rPr>
      </w:pPr>
    </w:p>
    <w:p w:rsidR="00FD47C4" w:rsidRDefault="00A01BF0" w:rsidP="00FD47C4">
      <w:pPr>
        <w:tabs>
          <w:tab w:val="left" w:pos="2160"/>
        </w:tabs>
        <w:ind w:firstLine="1440"/>
        <w:rPr>
          <w:sz w:val="24"/>
          <w:szCs w:val="24"/>
        </w:rPr>
      </w:pPr>
      <w:r>
        <w:rPr>
          <w:sz w:val="24"/>
          <w:szCs w:val="24"/>
        </w:rPr>
        <w:t>20</w:t>
      </w:r>
      <w:r w:rsidR="00FD47C4">
        <w:rPr>
          <w:sz w:val="24"/>
          <w:szCs w:val="24"/>
        </w:rPr>
        <w:t xml:space="preserve">. </w:t>
      </w:r>
      <w:r w:rsidR="00FD47C4">
        <w:rPr>
          <w:sz w:val="24"/>
          <w:szCs w:val="24"/>
        </w:rPr>
        <w:tab/>
        <w:t xml:space="preserve">In August 2013, Mrs. </w:t>
      </w:r>
      <w:proofErr w:type="spellStart"/>
      <w:r w:rsidR="00FD47C4">
        <w:rPr>
          <w:sz w:val="24"/>
          <w:szCs w:val="24"/>
        </w:rPr>
        <w:t>Espenship</w:t>
      </w:r>
      <w:proofErr w:type="spellEnd"/>
      <w:r w:rsidR="00FD47C4">
        <w:rPr>
          <w:sz w:val="24"/>
          <w:szCs w:val="24"/>
        </w:rPr>
        <w:t xml:space="preserve"> returned to work and works approximately 30 hours per week as </w:t>
      </w:r>
      <w:r w:rsidR="000B0551">
        <w:rPr>
          <w:sz w:val="24"/>
          <w:szCs w:val="24"/>
        </w:rPr>
        <w:t>a cashier making $9.50 per hour, or $1,225 in average monthly gross income.</w:t>
      </w:r>
      <w:r w:rsidR="000B0551">
        <w:rPr>
          <w:rStyle w:val="FootnoteReference"/>
          <w:sz w:val="24"/>
          <w:szCs w:val="24"/>
        </w:rPr>
        <w:footnoteReference w:id="1"/>
      </w:r>
      <w:r w:rsidR="00FD47C4">
        <w:rPr>
          <w:sz w:val="24"/>
          <w:szCs w:val="24"/>
        </w:rPr>
        <w:t xml:space="preserve">  </w:t>
      </w:r>
      <w:proofErr w:type="gramStart"/>
      <w:r w:rsidR="00FD47C4">
        <w:rPr>
          <w:sz w:val="24"/>
          <w:szCs w:val="24"/>
        </w:rPr>
        <w:t>(Tr. 13, 14, 19).</w:t>
      </w:r>
      <w:proofErr w:type="gramEnd"/>
    </w:p>
    <w:p w:rsidR="005957E1" w:rsidRDefault="005957E1" w:rsidP="005957E1">
      <w:pPr>
        <w:tabs>
          <w:tab w:val="left" w:pos="2160"/>
        </w:tabs>
        <w:ind w:firstLine="1440"/>
        <w:rPr>
          <w:sz w:val="24"/>
          <w:szCs w:val="24"/>
        </w:rPr>
      </w:pPr>
    </w:p>
    <w:p w:rsidR="00AB2D65" w:rsidRDefault="00A01BF0" w:rsidP="00C44296">
      <w:pPr>
        <w:tabs>
          <w:tab w:val="left" w:pos="2160"/>
        </w:tabs>
        <w:ind w:firstLine="1440"/>
        <w:rPr>
          <w:sz w:val="24"/>
          <w:szCs w:val="24"/>
        </w:rPr>
      </w:pPr>
      <w:r>
        <w:rPr>
          <w:sz w:val="24"/>
          <w:szCs w:val="24"/>
        </w:rPr>
        <w:t>21</w:t>
      </w:r>
      <w:r w:rsidR="00AB2D65">
        <w:rPr>
          <w:sz w:val="24"/>
          <w:szCs w:val="24"/>
        </w:rPr>
        <w:t>.</w:t>
      </w:r>
      <w:r w:rsidR="00AB2D65">
        <w:rPr>
          <w:sz w:val="24"/>
          <w:szCs w:val="24"/>
        </w:rPr>
        <w:tab/>
      </w:r>
      <w:r w:rsidR="00065149">
        <w:rPr>
          <w:sz w:val="24"/>
          <w:szCs w:val="24"/>
        </w:rPr>
        <w:t xml:space="preserve"> </w:t>
      </w:r>
      <w:proofErr w:type="gramStart"/>
      <w:r w:rsidR="002D48BD">
        <w:rPr>
          <w:sz w:val="24"/>
          <w:szCs w:val="24"/>
        </w:rPr>
        <w:t>During</w:t>
      </w:r>
      <w:proofErr w:type="gramEnd"/>
      <w:r w:rsidR="002D48BD">
        <w:rPr>
          <w:sz w:val="24"/>
          <w:szCs w:val="24"/>
        </w:rPr>
        <w:t xml:space="preserve"> the seven-month period from</w:t>
      </w:r>
      <w:r w:rsidR="00413763">
        <w:rPr>
          <w:sz w:val="24"/>
          <w:szCs w:val="24"/>
        </w:rPr>
        <w:t xml:space="preserve"> May 2012</w:t>
      </w:r>
      <w:r w:rsidR="002D48BD">
        <w:rPr>
          <w:sz w:val="24"/>
          <w:szCs w:val="24"/>
        </w:rPr>
        <w:t xml:space="preserve"> through December 2012</w:t>
      </w:r>
      <w:r w:rsidR="00413763">
        <w:rPr>
          <w:sz w:val="24"/>
          <w:szCs w:val="24"/>
        </w:rPr>
        <w:t xml:space="preserve">, Complainant made </w:t>
      </w:r>
      <w:r w:rsidR="002D48BD">
        <w:rPr>
          <w:sz w:val="24"/>
          <w:szCs w:val="24"/>
        </w:rPr>
        <w:t xml:space="preserve">six </w:t>
      </w:r>
      <w:r w:rsidR="00413763">
        <w:rPr>
          <w:sz w:val="24"/>
          <w:szCs w:val="24"/>
        </w:rPr>
        <w:t>payments totaling $</w:t>
      </w:r>
      <w:r w:rsidR="002D48BD">
        <w:rPr>
          <w:sz w:val="24"/>
          <w:szCs w:val="24"/>
        </w:rPr>
        <w:t xml:space="preserve">2,012 and in the following amounts: </w:t>
      </w:r>
      <w:r w:rsidR="00C44A80">
        <w:rPr>
          <w:sz w:val="24"/>
          <w:szCs w:val="24"/>
        </w:rPr>
        <w:t xml:space="preserve"> </w:t>
      </w:r>
      <w:r w:rsidR="002D48BD">
        <w:rPr>
          <w:sz w:val="24"/>
          <w:szCs w:val="24"/>
        </w:rPr>
        <w:t>$369; $392; $364; $337; $277; and $273</w:t>
      </w:r>
      <w:r w:rsidR="00413763">
        <w:rPr>
          <w:sz w:val="24"/>
          <w:szCs w:val="24"/>
        </w:rPr>
        <w:t xml:space="preserve">.  </w:t>
      </w:r>
      <w:r w:rsidR="002D48BD">
        <w:rPr>
          <w:sz w:val="24"/>
          <w:szCs w:val="24"/>
        </w:rPr>
        <w:t>Respondent declared t</w:t>
      </w:r>
      <w:r w:rsidR="00413763">
        <w:rPr>
          <w:sz w:val="24"/>
          <w:szCs w:val="24"/>
        </w:rPr>
        <w:t xml:space="preserve">he payment agreement was in default status on </w:t>
      </w:r>
      <w:r w:rsidR="002D48BD">
        <w:rPr>
          <w:sz w:val="24"/>
          <w:szCs w:val="24"/>
        </w:rPr>
        <w:t>December 17, 2012</w:t>
      </w:r>
      <w:r w:rsidR="00413763">
        <w:rPr>
          <w:sz w:val="24"/>
          <w:szCs w:val="24"/>
        </w:rPr>
        <w:t xml:space="preserve">.    </w:t>
      </w:r>
      <w:proofErr w:type="gramStart"/>
      <w:r w:rsidR="0068349B">
        <w:rPr>
          <w:sz w:val="24"/>
          <w:szCs w:val="24"/>
        </w:rPr>
        <w:t>(Tr. 10</w:t>
      </w:r>
      <w:r w:rsidR="00F30168">
        <w:rPr>
          <w:sz w:val="24"/>
          <w:szCs w:val="24"/>
        </w:rPr>
        <w:t>, 16</w:t>
      </w:r>
      <w:r w:rsidR="00413763">
        <w:rPr>
          <w:sz w:val="24"/>
          <w:szCs w:val="24"/>
        </w:rPr>
        <w:t>; PECO Exhibit 1</w:t>
      </w:r>
      <w:r w:rsidR="0068349B">
        <w:rPr>
          <w:sz w:val="24"/>
          <w:szCs w:val="24"/>
        </w:rPr>
        <w:t>).</w:t>
      </w:r>
      <w:proofErr w:type="gramEnd"/>
    </w:p>
    <w:p w:rsidR="002D48BD" w:rsidRDefault="002D48BD" w:rsidP="00C44296">
      <w:pPr>
        <w:tabs>
          <w:tab w:val="left" w:pos="2160"/>
        </w:tabs>
        <w:ind w:firstLine="1440"/>
        <w:rPr>
          <w:sz w:val="24"/>
          <w:szCs w:val="24"/>
        </w:rPr>
      </w:pPr>
    </w:p>
    <w:p w:rsidR="002D48BD" w:rsidRDefault="00A01BF0" w:rsidP="002D48BD">
      <w:pPr>
        <w:tabs>
          <w:tab w:val="left" w:pos="2160"/>
        </w:tabs>
        <w:ind w:firstLine="1440"/>
        <w:rPr>
          <w:sz w:val="24"/>
          <w:szCs w:val="24"/>
        </w:rPr>
      </w:pPr>
      <w:r>
        <w:rPr>
          <w:sz w:val="24"/>
          <w:szCs w:val="24"/>
        </w:rPr>
        <w:t>22</w:t>
      </w:r>
      <w:r w:rsidR="002D48BD">
        <w:rPr>
          <w:sz w:val="24"/>
          <w:szCs w:val="24"/>
        </w:rPr>
        <w:t xml:space="preserve">. </w:t>
      </w:r>
      <w:r w:rsidR="002D48BD">
        <w:rPr>
          <w:sz w:val="24"/>
          <w:szCs w:val="24"/>
        </w:rPr>
        <w:tab/>
        <w:t>During the seven-month period from May 2012 through December 2012, Complainant received six billing statements for electric services received totaling $</w:t>
      </w:r>
      <w:r w:rsidR="00FD47C4">
        <w:rPr>
          <w:sz w:val="24"/>
          <w:szCs w:val="24"/>
        </w:rPr>
        <w:t>2,006</w:t>
      </w:r>
      <w:r w:rsidR="002D48BD">
        <w:rPr>
          <w:sz w:val="24"/>
          <w:szCs w:val="24"/>
        </w:rPr>
        <w:t xml:space="preserve"> and in the following amounts: $368; $391; $363; $336; $276; </w:t>
      </w:r>
      <w:r w:rsidR="00FD47C4">
        <w:rPr>
          <w:sz w:val="24"/>
          <w:szCs w:val="24"/>
        </w:rPr>
        <w:t xml:space="preserve">and </w:t>
      </w:r>
      <w:r w:rsidR="002D48BD">
        <w:rPr>
          <w:sz w:val="24"/>
          <w:szCs w:val="24"/>
        </w:rPr>
        <w:t xml:space="preserve">$272.  </w:t>
      </w:r>
      <w:proofErr w:type="gramStart"/>
      <w:r w:rsidR="00FD47C4">
        <w:rPr>
          <w:sz w:val="24"/>
          <w:szCs w:val="24"/>
        </w:rPr>
        <w:t>(PECO Exhibit 1).</w:t>
      </w:r>
      <w:proofErr w:type="gramEnd"/>
    </w:p>
    <w:p w:rsidR="002D48BD" w:rsidRDefault="002D48BD" w:rsidP="00C44296">
      <w:pPr>
        <w:tabs>
          <w:tab w:val="left" w:pos="2160"/>
        </w:tabs>
        <w:ind w:firstLine="1440"/>
        <w:rPr>
          <w:sz w:val="24"/>
          <w:szCs w:val="24"/>
        </w:rPr>
      </w:pPr>
    </w:p>
    <w:p w:rsidR="00AB2D65" w:rsidRDefault="00A01BF0" w:rsidP="00FD47C4">
      <w:pPr>
        <w:tabs>
          <w:tab w:val="left" w:pos="2160"/>
        </w:tabs>
        <w:ind w:firstLine="1440"/>
        <w:rPr>
          <w:sz w:val="24"/>
          <w:szCs w:val="24"/>
        </w:rPr>
      </w:pPr>
      <w:r>
        <w:rPr>
          <w:sz w:val="24"/>
          <w:szCs w:val="24"/>
        </w:rPr>
        <w:t>23</w:t>
      </w:r>
      <w:r w:rsidR="002D48BD">
        <w:rPr>
          <w:sz w:val="24"/>
          <w:szCs w:val="24"/>
        </w:rPr>
        <w:t xml:space="preserve">. </w:t>
      </w:r>
      <w:r w:rsidR="002D48BD">
        <w:rPr>
          <w:sz w:val="24"/>
          <w:szCs w:val="24"/>
        </w:rPr>
        <w:tab/>
        <w:t xml:space="preserve">Complainant made one additional payment on his electric services account with Respondent from December 20, 2012 until September 23, 2013.  That payment was for $300 and was received on April 2, 2013.  </w:t>
      </w:r>
      <w:proofErr w:type="gramStart"/>
      <w:r w:rsidR="002D48BD">
        <w:rPr>
          <w:sz w:val="24"/>
          <w:szCs w:val="24"/>
        </w:rPr>
        <w:t>(PECO Exhibit 1).</w:t>
      </w:r>
      <w:proofErr w:type="gramEnd"/>
      <w:r w:rsidR="00F33940">
        <w:rPr>
          <w:sz w:val="24"/>
          <w:szCs w:val="24"/>
        </w:rPr>
        <w:t xml:space="preserve"> </w:t>
      </w:r>
    </w:p>
    <w:p w:rsidR="00227BCE" w:rsidRDefault="00227BCE" w:rsidP="00FD47C4">
      <w:pPr>
        <w:tabs>
          <w:tab w:val="left" w:pos="2160"/>
        </w:tabs>
        <w:ind w:firstLine="1440"/>
        <w:rPr>
          <w:sz w:val="24"/>
          <w:szCs w:val="24"/>
        </w:rPr>
      </w:pPr>
    </w:p>
    <w:p w:rsidR="00B51F32" w:rsidRDefault="00016819" w:rsidP="00B51F32">
      <w:pPr>
        <w:tabs>
          <w:tab w:val="left" w:pos="2160"/>
        </w:tabs>
        <w:ind w:firstLine="1440"/>
        <w:rPr>
          <w:sz w:val="24"/>
          <w:szCs w:val="24"/>
        </w:rPr>
      </w:pPr>
      <w:r>
        <w:rPr>
          <w:sz w:val="24"/>
          <w:szCs w:val="24"/>
        </w:rPr>
        <w:t>2</w:t>
      </w:r>
      <w:r w:rsidR="00A01BF0">
        <w:rPr>
          <w:sz w:val="24"/>
          <w:szCs w:val="24"/>
        </w:rPr>
        <w:t>4</w:t>
      </w:r>
      <w:r w:rsidR="001056A1">
        <w:rPr>
          <w:sz w:val="24"/>
          <w:szCs w:val="24"/>
        </w:rPr>
        <w:t>.</w:t>
      </w:r>
      <w:r w:rsidR="001056A1">
        <w:rPr>
          <w:sz w:val="24"/>
          <w:szCs w:val="24"/>
        </w:rPr>
        <w:tab/>
      </w:r>
      <w:r w:rsidR="0034210C">
        <w:rPr>
          <w:sz w:val="24"/>
          <w:szCs w:val="24"/>
        </w:rPr>
        <w:t xml:space="preserve">Due to the cost of heating oil, Complainant could not afford to purchase heating oil for the last two winters, and </w:t>
      </w:r>
      <w:r w:rsidR="00FD47C4">
        <w:rPr>
          <w:sz w:val="24"/>
          <w:szCs w:val="24"/>
        </w:rPr>
        <w:t xml:space="preserve">has </w:t>
      </w:r>
      <w:r w:rsidR="0034210C">
        <w:rPr>
          <w:sz w:val="24"/>
          <w:szCs w:val="24"/>
        </w:rPr>
        <w:t xml:space="preserve">used a kerosene heater to warm the residence.  </w:t>
      </w:r>
      <w:proofErr w:type="gramStart"/>
      <w:r w:rsidR="0034210C">
        <w:rPr>
          <w:sz w:val="24"/>
          <w:szCs w:val="24"/>
        </w:rPr>
        <w:t>(Tr.</w:t>
      </w:r>
      <w:r w:rsidR="002570A9">
        <w:rPr>
          <w:sz w:val="24"/>
          <w:szCs w:val="24"/>
        </w:rPr>
        <w:t> </w:t>
      </w:r>
      <w:r w:rsidR="0034210C">
        <w:rPr>
          <w:sz w:val="24"/>
          <w:szCs w:val="24"/>
        </w:rPr>
        <w:t>24, 25).</w:t>
      </w:r>
      <w:proofErr w:type="gramEnd"/>
    </w:p>
    <w:p w:rsidR="00D3510C" w:rsidRDefault="00D3510C" w:rsidP="00B51F32">
      <w:pPr>
        <w:tabs>
          <w:tab w:val="left" w:pos="2160"/>
        </w:tabs>
        <w:ind w:firstLine="1440"/>
        <w:rPr>
          <w:sz w:val="24"/>
          <w:szCs w:val="24"/>
        </w:rPr>
      </w:pPr>
    </w:p>
    <w:p w:rsidR="00D3510C" w:rsidRDefault="00A01BF0" w:rsidP="00B51F32">
      <w:pPr>
        <w:tabs>
          <w:tab w:val="left" w:pos="2160"/>
        </w:tabs>
        <w:ind w:firstLine="1440"/>
        <w:rPr>
          <w:sz w:val="24"/>
          <w:szCs w:val="24"/>
        </w:rPr>
      </w:pPr>
      <w:r>
        <w:rPr>
          <w:sz w:val="24"/>
          <w:szCs w:val="24"/>
        </w:rPr>
        <w:lastRenderedPageBreak/>
        <w:t>25</w:t>
      </w:r>
      <w:r w:rsidR="00D3510C">
        <w:rPr>
          <w:sz w:val="24"/>
          <w:szCs w:val="24"/>
        </w:rPr>
        <w:t xml:space="preserve">. </w:t>
      </w:r>
      <w:r w:rsidR="00D3510C">
        <w:rPr>
          <w:sz w:val="24"/>
          <w:szCs w:val="24"/>
        </w:rPr>
        <w:tab/>
        <w:t xml:space="preserve">Complainant’s summertime usage from May 2012 through October 2012 was </w:t>
      </w:r>
      <w:r>
        <w:rPr>
          <w:sz w:val="24"/>
          <w:szCs w:val="24"/>
        </w:rPr>
        <w:t xml:space="preserve">similar to the summertime usage from May 2011 through October 2011.  The </w:t>
      </w:r>
      <w:r w:rsidR="00D3510C">
        <w:rPr>
          <w:sz w:val="24"/>
          <w:szCs w:val="24"/>
        </w:rPr>
        <w:t xml:space="preserve">wintertime usage from November 2012 through March 2013 was </w:t>
      </w:r>
      <w:r>
        <w:rPr>
          <w:sz w:val="24"/>
          <w:szCs w:val="24"/>
        </w:rPr>
        <w:t>slightly lower when compared to the wintertime usage from November 2011 through March 2012</w:t>
      </w:r>
      <w:r w:rsidR="00D3510C">
        <w:rPr>
          <w:sz w:val="24"/>
          <w:szCs w:val="24"/>
        </w:rPr>
        <w:t xml:space="preserve">.  </w:t>
      </w:r>
      <w:proofErr w:type="gramStart"/>
      <w:r w:rsidR="00D3510C">
        <w:rPr>
          <w:sz w:val="24"/>
          <w:szCs w:val="24"/>
        </w:rPr>
        <w:t>(PECO Exhibit 1).</w:t>
      </w:r>
      <w:proofErr w:type="gramEnd"/>
    </w:p>
    <w:p w:rsidR="008C756D" w:rsidRDefault="008C756D" w:rsidP="001056A1">
      <w:pPr>
        <w:tabs>
          <w:tab w:val="left" w:pos="2160"/>
        </w:tabs>
        <w:ind w:firstLine="1440"/>
        <w:rPr>
          <w:sz w:val="24"/>
          <w:szCs w:val="24"/>
        </w:rPr>
      </w:pPr>
    </w:p>
    <w:p w:rsidR="008C756D" w:rsidRPr="00B73D10" w:rsidRDefault="00016819" w:rsidP="001056A1">
      <w:pPr>
        <w:tabs>
          <w:tab w:val="left" w:pos="2160"/>
        </w:tabs>
        <w:ind w:firstLine="1440"/>
        <w:rPr>
          <w:sz w:val="24"/>
          <w:szCs w:val="24"/>
        </w:rPr>
      </w:pPr>
      <w:r>
        <w:rPr>
          <w:sz w:val="24"/>
          <w:szCs w:val="24"/>
        </w:rPr>
        <w:t>2</w:t>
      </w:r>
      <w:r w:rsidR="00A01BF0">
        <w:rPr>
          <w:sz w:val="24"/>
          <w:szCs w:val="24"/>
        </w:rPr>
        <w:t>6</w:t>
      </w:r>
      <w:r w:rsidR="00F30168">
        <w:rPr>
          <w:sz w:val="24"/>
          <w:szCs w:val="24"/>
        </w:rPr>
        <w:t>.</w:t>
      </w:r>
      <w:r w:rsidR="00F30168">
        <w:rPr>
          <w:sz w:val="24"/>
          <w:szCs w:val="24"/>
        </w:rPr>
        <w:tab/>
        <w:t xml:space="preserve">Robert </w:t>
      </w:r>
      <w:proofErr w:type="spellStart"/>
      <w:r w:rsidR="00F30168">
        <w:rPr>
          <w:sz w:val="24"/>
          <w:szCs w:val="24"/>
        </w:rPr>
        <w:t>Espenship</w:t>
      </w:r>
      <w:proofErr w:type="spellEnd"/>
      <w:r w:rsidR="00F30168">
        <w:rPr>
          <w:sz w:val="24"/>
          <w:szCs w:val="24"/>
        </w:rPr>
        <w:t xml:space="preserve"> works 40 hours per week at an aluminum tubing factory and earn</w:t>
      </w:r>
      <w:r w:rsidR="000B0551">
        <w:rPr>
          <w:sz w:val="24"/>
          <w:szCs w:val="24"/>
        </w:rPr>
        <w:t>s approximately $15.00 per hour, or $2,580 in average monthly gross income.</w:t>
      </w:r>
      <w:r w:rsidR="000B0551">
        <w:rPr>
          <w:rStyle w:val="FootnoteReference"/>
          <w:sz w:val="24"/>
          <w:szCs w:val="24"/>
        </w:rPr>
        <w:footnoteReference w:id="2"/>
      </w:r>
      <w:r w:rsidR="00F30168">
        <w:rPr>
          <w:sz w:val="24"/>
          <w:szCs w:val="24"/>
        </w:rPr>
        <w:t xml:space="preserve">  </w:t>
      </w:r>
      <w:proofErr w:type="gramStart"/>
      <w:r w:rsidR="00F30168">
        <w:rPr>
          <w:sz w:val="24"/>
          <w:szCs w:val="24"/>
        </w:rPr>
        <w:t>(Tr. 14).</w:t>
      </w:r>
      <w:proofErr w:type="gramEnd"/>
    </w:p>
    <w:p w:rsidR="00E323D7" w:rsidRDefault="00E323D7" w:rsidP="00C44296">
      <w:pPr>
        <w:tabs>
          <w:tab w:val="left" w:pos="2160"/>
        </w:tabs>
        <w:ind w:firstLine="1440"/>
        <w:rPr>
          <w:sz w:val="24"/>
          <w:szCs w:val="24"/>
        </w:rPr>
      </w:pPr>
    </w:p>
    <w:p w:rsidR="00AF4043" w:rsidRDefault="00A01BF0" w:rsidP="00C44296">
      <w:pPr>
        <w:tabs>
          <w:tab w:val="left" w:pos="2160"/>
        </w:tabs>
        <w:ind w:firstLine="1440"/>
        <w:rPr>
          <w:sz w:val="24"/>
          <w:szCs w:val="24"/>
        </w:rPr>
      </w:pPr>
      <w:r>
        <w:rPr>
          <w:sz w:val="24"/>
          <w:szCs w:val="24"/>
        </w:rPr>
        <w:t>27</w:t>
      </w:r>
      <w:r w:rsidR="00E323D7">
        <w:rPr>
          <w:sz w:val="24"/>
          <w:szCs w:val="24"/>
        </w:rPr>
        <w:t>.</w:t>
      </w:r>
      <w:r w:rsidR="00E323D7">
        <w:rPr>
          <w:sz w:val="24"/>
          <w:szCs w:val="24"/>
        </w:rPr>
        <w:tab/>
      </w:r>
      <w:r w:rsidR="00AF4043">
        <w:rPr>
          <w:sz w:val="24"/>
          <w:szCs w:val="24"/>
        </w:rPr>
        <w:t>Complainant’s</w:t>
      </w:r>
      <w:r>
        <w:rPr>
          <w:sz w:val="24"/>
          <w:szCs w:val="24"/>
        </w:rPr>
        <w:t xml:space="preserve"> monthly</w:t>
      </w:r>
      <w:r w:rsidR="00AF4043">
        <w:rPr>
          <w:sz w:val="24"/>
          <w:szCs w:val="24"/>
        </w:rPr>
        <w:t xml:space="preserve"> household income</w:t>
      </w:r>
      <w:r w:rsidR="00B51F32">
        <w:rPr>
          <w:sz w:val="24"/>
          <w:szCs w:val="24"/>
        </w:rPr>
        <w:t xml:space="preserve"> total</w:t>
      </w:r>
      <w:r w:rsidR="00E176E7">
        <w:rPr>
          <w:sz w:val="24"/>
          <w:szCs w:val="24"/>
        </w:rPr>
        <w:t>s</w:t>
      </w:r>
      <w:r w:rsidR="00B51F32">
        <w:rPr>
          <w:sz w:val="24"/>
          <w:szCs w:val="24"/>
        </w:rPr>
        <w:t xml:space="preserve"> $</w:t>
      </w:r>
      <w:r w:rsidR="009504F2">
        <w:rPr>
          <w:sz w:val="24"/>
          <w:szCs w:val="24"/>
        </w:rPr>
        <w:t>3,805</w:t>
      </w:r>
      <w:r w:rsidR="00B51F32">
        <w:rPr>
          <w:sz w:val="24"/>
          <w:szCs w:val="24"/>
        </w:rPr>
        <w:t>, which</w:t>
      </w:r>
      <w:r w:rsidR="00AF4043">
        <w:rPr>
          <w:sz w:val="24"/>
          <w:szCs w:val="24"/>
        </w:rPr>
        <w:t xml:space="preserve"> includes </w:t>
      </w:r>
      <w:r w:rsidR="009504F2">
        <w:rPr>
          <w:sz w:val="24"/>
          <w:szCs w:val="24"/>
        </w:rPr>
        <w:t>Complainant’s</w:t>
      </w:r>
      <w:r w:rsidR="00AF4043">
        <w:rPr>
          <w:sz w:val="24"/>
          <w:szCs w:val="24"/>
        </w:rPr>
        <w:t xml:space="preserve"> </w:t>
      </w:r>
      <w:r w:rsidR="009504F2">
        <w:rPr>
          <w:sz w:val="24"/>
          <w:szCs w:val="24"/>
        </w:rPr>
        <w:t xml:space="preserve">average gross </w:t>
      </w:r>
      <w:r w:rsidR="00AF4043">
        <w:rPr>
          <w:sz w:val="24"/>
          <w:szCs w:val="24"/>
        </w:rPr>
        <w:t>income equal to $</w:t>
      </w:r>
      <w:r w:rsidR="009504F2">
        <w:rPr>
          <w:sz w:val="24"/>
          <w:szCs w:val="24"/>
        </w:rPr>
        <w:t>2,580</w:t>
      </w:r>
      <w:r w:rsidR="00B51F32">
        <w:rPr>
          <w:sz w:val="24"/>
          <w:szCs w:val="24"/>
        </w:rPr>
        <w:t xml:space="preserve"> per month plus $</w:t>
      </w:r>
      <w:r w:rsidR="009504F2">
        <w:rPr>
          <w:sz w:val="24"/>
          <w:szCs w:val="24"/>
        </w:rPr>
        <w:t>1,225</w:t>
      </w:r>
      <w:r w:rsidR="00E176E7">
        <w:rPr>
          <w:sz w:val="24"/>
          <w:szCs w:val="24"/>
        </w:rPr>
        <w:t xml:space="preserve"> in </w:t>
      </w:r>
      <w:r w:rsidR="009504F2">
        <w:rPr>
          <w:sz w:val="24"/>
          <w:szCs w:val="24"/>
        </w:rPr>
        <w:t>average gross</w:t>
      </w:r>
      <w:r w:rsidR="00AF4043">
        <w:rPr>
          <w:sz w:val="24"/>
          <w:szCs w:val="24"/>
        </w:rPr>
        <w:t xml:space="preserve"> income per month</w:t>
      </w:r>
      <w:r w:rsidR="009504F2">
        <w:rPr>
          <w:sz w:val="24"/>
          <w:szCs w:val="24"/>
        </w:rPr>
        <w:t xml:space="preserve"> from Mrs. </w:t>
      </w:r>
      <w:proofErr w:type="spellStart"/>
      <w:r w:rsidR="009504F2">
        <w:rPr>
          <w:sz w:val="24"/>
          <w:szCs w:val="24"/>
        </w:rPr>
        <w:t>Espenship’s</w:t>
      </w:r>
      <w:proofErr w:type="spellEnd"/>
      <w:r w:rsidR="009504F2">
        <w:rPr>
          <w:sz w:val="24"/>
          <w:szCs w:val="24"/>
        </w:rPr>
        <w:t xml:space="preserve"> employment</w:t>
      </w:r>
      <w:r w:rsidR="00AF4043">
        <w:rPr>
          <w:sz w:val="24"/>
          <w:szCs w:val="24"/>
        </w:rPr>
        <w:t xml:space="preserve">.  </w:t>
      </w:r>
      <w:r w:rsidR="009504F2">
        <w:rPr>
          <w:sz w:val="24"/>
          <w:szCs w:val="24"/>
        </w:rPr>
        <w:t>This</w:t>
      </w:r>
      <w:r w:rsidR="00AF4043">
        <w:rPr>
          <w:sz w:val="24"/>
          <w:szCs w:val="24"/>
        </w:rPr>
        <w:t xml:space="preserve"> income for a household with </w:t>
      </w:r>
      <w:r w:rsidR="009504F2">
        <w:rPr>
          <w:sz w:val="24"/>
          <w:szCs w:val="24"/>
        </w:rPr>
        <w:t>two</w:t>
      </w:r>
      <w:r w:rsidR="00AF4043">
        <w:rPr>
          <w:sz w:val="24"/>
          <w:szCs w:val="24"/>
        </w:rPr>
        <w:t xml:space="preserve"> adults and </w:t>
      </w:r>
      <w:r w:rsidR="009504F2">
        <w:rPr>
          <w:sz w:val="24"/>
          <w:szCs w:val="24"/>
        </w:rPr>
        <w:t>no</w:t>
      </w:r>
      <w:r w:rsidR="00AF4043">
        <w:rPr>
          <w:sz w:val="24"/>
          <w:szCs w:val="24"/>
        </w:rPr>
        <w:t xml:space="preserve"> children is </w:t>
      </w:r>
      <w:r w:rsidR="00D91CCB">
        <w:rPr>
          <w:sz w:val="24"/>
          <w:szCs w:val="24"/>
        </w:rPr>
        <w:t xml:space="preserve">more than 250 percent (250%) and </w:t>
      </w:r>
      <w:r w:rsidR="009D0D17">
        <w:rPr>
          <w:sz w:val="24"/>
          <w:szCs w:val="24"/>
        </w:rPr>
        <w:t>less</w:t>
      </w:r>
      <w:r w:rsidR="007E3448">
        <w:rPr>
          <w:sz w:val="24"/>
          <w:szCs w:val="24"/>
        </w:rPr>
        <w:t xml:space="preserve"> than 300</w:t>
      </w:r>
      <w:r w:rsidR="00AF4043">
        <w:rPr>
          <w:sz w:val="24"/>
          <w:szCs w:val="24"/>
        </w:rPr>
        <w:t xml:space="preserve"> percent (</w:t>
      </w:r>
      <w:r w:rsidR="007E3448">
        <w:rPr>
          <w:sz w:val="24"/>
          <w:szCs w:val="24"/>
        </w:rPr>
        <w:t>300</w:t>
      </w:r>
      <w:r w:rsidR="00AF4043">
        <w:rPr>
          <w:sz w:val="24"/>
          <w:szCs w:val="24"/>
        </w:rPr>
        <w:t xml:space="preserve">%) of the Federal Poverty </w:t>
      </w:r>
      <w:r w:rsidR="0096189E">
        <w:rPr>
          <w:sz w:val="24"/>
          <w:szCs w:val="24"/>
        </w:rPr>
        <w:t xml:space="preserve">Income Guideline </w:t>
      </w:r>
      <w:r w:rsidR="00AF4043">
        <w:rPr>
          <w:sz w:val="24"/>
          <w:szCs w:val="24"/>
        </w:rPr>
        <w:t xml:space="preserve">level.  </w:t>
      </w:r>
      <w:proofErr w:type="gramStart"/>
      <w:r w:rsidR="009504F2">
        <w:rPr>
          <w:sz w:val="24"/>
          <w:szCs w:val="24"/>
        </w:rPr>
        <w:t>(Tr. 13, 14, 19).</w:t>
      </w:r>
      <w:proofErr w:type="gramEnd"/>
      <w:r w:rsidR="009504F2">
        <w:rPr>
          <w:sz w:val="24"/>
          <w:szCs w:val="24"/>
        </w:rPr>
        <w:t xml:space="preserve">  </w:t>
      </w:r>
    </w:p>
    <w:p w:rsidR="008D0113" w:rsidRDefault="008D0113" w:rsidP="00C44296">
      <w:pPr>
        <w:pStyle w:val="BodyText"/>
        <w:jc w:val="left"/>
        <w:rPr>
          <w:sz w:val="24"/>
          <w:szCs w:val="24"/>
        </w:rPr>
      </w:pPr>
    </w:p>
    <w:p w:rsidR="008D0113" w:rsidRPr="00B73D10" w:rsidRDefault="008D0113" w:rsidP="00C44296">
      <w:pPr>
        <w:pStyle w:val="BodyText"/>
        <w:jc w:val="left"/>
        <w:rPr>
          <w:sz w:val="24"/>
          <w:szCs w:val="24"/>
        </w:rPr>
      </w:pPr>
      <w:r>
        <w:rPr>
          <w:sz w:val="24"/>
          <w:szCs w:val="24"/>
        </w:rPr>
        <w:tab/>
      </w:r>
      <w:r>
        <w:rPr>
          <w:sz w:val="24"/>
          <w:szCs w:val="24"/>
        </w:rPr>
        <w:tab/>
      </w:r>
      <w:r w:rsidR="00016819">
        <w:rPr>
          <w:sz w:val="24"/>
          <w:szCs w:val="24"/>
        </w:rPr>
        <w:t>2</w:t>
      </w:r>
      <w:r w:rsidR="00A01BF0">
        <w:rPr>
          <w:sz w:val="24"/>
          <w:szCs w:val="24"/>
        </w:rPr>
        <w:t>8</w:t>
      </w:r>
      <w:r>
        <w:rPr>
          <w:sz w:val="24"/>
          <w:szCs w:val="24"/>
        </w:rPr>
        <w:t xml:space="preserve">. </w:t>
      </w:r>
      <w:r>
        <w:rPr>
          <w:sz w:val="24"/>
          <w:szCs w:val="24"/>
        </w:rPr>
        <w:tab/>
        <w:t xml:space="preserve">As of the date of the hearing, Complainant owed $7,210.43 on the account with PECO for electric services.  </w:t>
      </w:r>
      <w:proofErr w:type="gramStart"/>
      <w:r>
        <w:rPr>
          <w:sz w:val="24"/>
          <w:szCs w:val="24"/>
        </w:rPr>
        <w:t>(Tr. 88; PECO Exhibit 1).</w:t>
      </w:r>
      <w:proofErr w:type="gramEnd"/>
    </w:p>
    <w:p w:rsidR="00025EB9" w:rsidRDefault="00025EB9">
      <w:pPr>
        <w:spacing w:line="240" w:lineRule="auto"/>
        <w:rPr>
          <w:sz w:val="24"/>
          <w:szCs w:val="24"/>
          <w:u w:val="single"/>
        </w:rPr>
      </w:pPr>
    </w:p>
    <w:p w:rsidR="00DE2949" w:rsidRPr="00FB448C" w:rsidRDefault="00DE2949">
      <w:pPr>
        <w:jc w:val="center"/>
        <w:rPr>
          <w:sz w:val="24"/>
          <w:szCs w:val="24"/>
        </w:rPr>
      </w:pPr>
      <w:r w:rsidRPr="00FB448C">
        <w:rPr>
          <w:sz w:val="24"/>
          <w:szCs w:val="24"/>
          <w:u w:val="single"/>
        </w:rPr>
        <w:t>DISCUSSION</w:t>
      </w:r>
    </w:p>
    <w:p w:rsidR="00DE2949" w:rsidRDefault="00DE2949" w:rsidP="00D3510C">
      <w:pPr>
        <w:rPr>
          <w:sz w:val="24"/>
          <w:szCs w:val="24"/>
        </w:rPr>
      </w:pPr>
    </w:p>
    <w:p w:rsidR="00A01BF0" w:rsidRDefault="00A01BF0" w:rsidP="00A01BF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Complainant</w:t>
      </w:r>
      <w:r>
        <w:rPr>
          <w:spacing w:val="-3"/>
          <w:sz w:val="24"/>
          <w:szCs w:val="24"/>
        </w:rPr>
        <w:t xml:space="preserve">’s wife, Julie </w:t>
      </w:r>
      <w:proofErr w:type="spellStart"/>
      <w:r>
        <w:rPr>
          <w:spacing w:val="-3"/>
          <w:sz w:val="24"/>
          <w:szCs w:val="24"/>
        </w:rPr>
        <w:t>Espenship</w:t>
      </w:r>
      <w:proofErr w:type="spellEnd"/>
      <w:r>
        <w:rPr>
          <w:spacing w:val="-3"/>
          <w:sz w:val="24"/>
          <w:szCs w:val="24"/>
        </w:rPr>
        <w:t xml:space="preserve">, who appeared </w:t>
      </w:r>
      <w:r w:rsidRPr="00C44296">
        <w:rPr>
          <w:i/>
          <w:spacing w:val="-3"/>
          <w:sz w:val="24"/>
          <w:szCs w:val="24"/>
        </w:rPr>
        <w:t>pro se</w:t>
      </w:r>
      <w:r>
        <w:rPr>
          <w:spacing w:val="-3"/>
          <w:sz w:val="24"/>
          <w:szCs w:val="24"/>
        </w:rPr>
        <w:t xml:space="preserve">, did not move to </w:t>
      </w:r>
      <w:r w:rsidRPr="00FB448C">
        <w:rPr>
          <w:spacing w:val="-3"/>
          <w:sz w:val="24"/>
          <w:szCs w:val="24"/>
        </w:rPr>
        <w:t>admit</w:t>
      </w:r>
      <w:r>
        <w:rPr>
          <w:spacing w:val="-3"/>
          <w:sz w:val="24"/>
          <w:szCs w:val="24"/>
        </w:rPr>
        <w:t xml:space="preserve"> any</w:t>
      </w:r>
      <w:r w:rsidRPr="00FB448C">
        <w:rPr>
          <w:spacing w:val="-3"/>
          <w:sz w:val="24"/>
          <w:szCs w:val="24"/>
        </w:rPr>
        <w:t xml:space="preserve"> exhibits.  </w:t>
      </w:r>
      <w:r>
        <w:rPr>
          <w:spacing w:val="-3"/>
          <w:sz w:val="24"/>
          <w:szCs w:val="24"/>
        </w:rPr>
        <w:t xml:space="preserve">Respondent presented one witness in support of its position and moved to admit twelve (12) exhibits at the hearing, which exhibits were admitted without objection.  In addition, Respondent moved to admit an additional exhibit, PECO Exhibit 13, which request was denied because the exhibit was not provided to the presiding officer until one hour prior to the telephonic hearing.  The exhibit was not provided to Complainant prior to the hearing.  PECO was granted permission to file a Motion to Admit Late-Filed Exhibit provided PECO included a Notice to </w:t>
      </w:r>
      <w:proofErr w:type="gramStart"/>
      <w:r>
        <w:rPr>
          <w:spacing w:val="-3"/>
          <w:sz w:val="24"/>
          <w:szCs w:val="24"/>
        </w:rPr>
        <w:t>Plead</w:t>
      </w:r>
      <w:proofErr w:type="gramEnd"/>
      <w:r>
        <w:rPr>
          <w:spacing w:val="-3"/>
          <w:sz w:val="24"/>
          <w:szCs w:val="24"/>
        </w:rPr>
        <w:t xml:space="preserve"> or Respond.  PECO filed a Motion to Admit Exhibit on October 18, 2013 which did not include any Notice to Complainant.</w:t>
      </w:r>
    </w:p>
    <w:p w:rsidR="00A01BF0" w:rsidRDefault="00A01BF0" w:rsidP="00D3510C">
      <w:pPr>
        <w:rPr>
          <w:sz w:val="24"/>
          <w:szCs w:val="24"/>
        </w:rPr>
      </w:pPr>
    </w:p>
    <w:p w:rsidR="00D3510C" w:rsidRPr="00A41132" w:rsidRDefault="00D3510C" w:rsidP="00D3510C">
      <w:pPr>
        <w:rPr>
          <w:sz w:val="24"/>
          <w:szCs w:val="24"/>
          <w:u w:val="single"/>
        </w:rPr>
      </w:pPr>
      <w:r w:rsidRPr="00A41132">
        <w:rPr>
          <w:sz w:val="24"/>
          <w:szCs w:val="24"/>
          <w:u w:val="single"/>
        </w:rPr>
        <w:lastRenderedPageBreak/>
        <w:t>Burden of Proof</w:t>
      </w:r>
    </w:p>
    <w:p w:rsidR="00A41132" w:rsidRPr="00A41132" w:rsidRDefault="00A41132" w:rsidP="00A41132">
      <w:pPr>
        <w:rPr>
          <w:sz w:val="24"/>
          <w:szCs w:val="24"/>
        </w:rPr>
      </w:pPr>
    </w:p>
    <w:p w:rsidR="00A41132" w:rsidRPr="00A41132" w:rsidRDefault="00A41132" w:rsidP="00A41132">
      <w:pPr>
        <w:ind w:firstLine="1440"/>
        <w:rPr>
          <w:sz w:val="24"/>
          <w:szCs w:val="24"/>
        </w:rPr>
      </w:pPr>
      <w:r w:rsidRPr="00A41132">
        <w:rPr>
          <w:sz w:val="24"/>
          <w:szCs w:val="24"/>
        </w:rPr>
        <w:t>As the party seeking affirmative relief from the Commission, Complainant bears the burden of provin</w:t>
      </w:r>
      <w:r>
        <w:rPr>
          <w:sz w:val="24"/>
          <w:szCs w:val="24"/>
        </w:rPr>
        <w:t xml:space="preserve">g by substantial evidence </w:t>
      </w:r>
      <w:r w:rsidRPr="00A41132">
        <w:rPr>
          <w:sz w:val="24"/>
          <w:szCs w:val="24"/>
        </w:rPr>
        <w:t xml:space="preserve">he is entitled to the requested relief.  </w:t>
      </w:r>
      <w:proofErr w:type="gramStart"/>
      <w:r w:rsidRPr="00A41132">
        <w:rPr>
          <w:sz w:val="24"/>
          <w:szCs w:val="24"/>
        </w:rPr>
        <w:t xml:space="preserve">66 </w:t>
      </w:r>
      <w:proofErr w:type="spellStart"/>
      <w:r w:rsidRPr="00A41132">
        <w:rPr>
          <w:sz w:val="24"/>
          <w:szCs w:val="24"/>
        </w:rPr>
        <w:t>Pa.C.S.</w:t>
      </w:r>
      <w:r>
        <w:rPr>
          <w:sz w:val="24"/>
          <w:szCs w:val="24"/>
        </w:rPr>
        <w:t>A</w:t>
      </w:r>
      <w:proofErr w:type="spellEnd"/>
      <w:r>
        <w:rPr>
          <w:sz w:val="24"/>
          <w:szCs w:val="24"/>
        </w:rPr>
        <w:t>.</w:t>
      </w:r>
      <w:proofErr w:type="gramEnd"/>
      <w:r w:rsidRPr="00A41132">
        <w:rPr>
          <w:sz w:val="24"/>
          <w:szCs w:val="24"/>
        </w:rPr>
        <w:t xml:space="preserve"> § 332(a).  To satisfy this burden, Complainant must show </w:t>
      </w:r>
      <w:r>
        <w:rPr>
          <w:sz w:val="24"/>
          <w:szCs w:val="24"/>
        </w:rPr>
        <w:t>Respondent utility</w:t>
      </w:r>
      <w:r w:rsidRPr="00A41132">
        <w:rPr>
          <w:sz w:val="24"/>
          <w:szCs w:val="24"/>
        </w:rPr>
        <w:t xml:space="preserve"> is responsible or accountable for the problem described.</w:t>
      </w:r>
      <w:r>
        <w:rPr>
          <w:rStyle w:val="FootnoteReference"/>
          <w:sz w:val="24"/>
          <w:szCs w:val="24"/>
        </w:rPr>
        <w:footnoteReference w:id="3"/>
      </w:r>
      <w:r w:rsidRPr="00A41132">
        <w:rPr>
          <w:sz w:val="24"/>
          <w:szCs w:val="24"/>
        </w:rPr>
        <w:t xml:space="preserve">  </w:t>
      </w:r>
      <w:r>
        <w:rPr>
          <w:sz w:val="24"/>
          <w:szCs w:val="24"/>
        </w:rPr>
        <w:t xml:space="preserve">Complainant must show this fact to be true </w:t>
      </w:r>
      <w:r w:rsidRPr="00A41132">
        <w:rPr>
          <w:sz w:val="24"/>
          <w:szCs w:val="24"/>
        </w:rPr>
        <w:t xml:space="preserve">by a preponderance of the evidence, that is, by presenting evidence more convincing, by even the smallest amount, than that </w:t>
      </w:r>
      <w:r>
        <w:rPr>
          <w:sz w:val="24"/>
          <w:szCs w:val="24"/>
        </w:rPr>
        <w:t xml:space="preserve">evidence </w:t>
      </w:r>
      <w:r w:rsidRPr="00A41132">
        <w:rPr>
          <w:sz w:val="24"/>
          <w:szCs w:val="24"/>
        </w:rPr>
        <w:t>presented by the other party.</w:t>
      </w:r>
      <w:r>
        <w:rPr>
          <w:rStyle w:val="FootnoteReference"/>
          <w:sz w:val="24"/>
          <w:szCs w:val="24"/>
        </w:rPr>
        <w:footnoteReference w:id="4"/>
      </w:r>
      <w:r w:rsidRPr="00A41132">
        <w:rPr>
          <w:sz w:val="24"/>
          <w:szCs w:val="24"/>
        </w:rPr>
        <w:t xml:space="preserve">  Additionally, any finding of fact necessary to support the Commission’s adjudication must be based upon substantial evidence.</w:t>
      </w:r>
      <w:r>
        <w:rPr>
          <w:rStyle w:val="FootnoteReference"/>
          <w:sz w:val="24"/>
          <w:szCs w:val="24"/>
        </w:rPr>
        <w:footnoteReference w:id="5"/>
      </w:r>
      <w:r w:rsidRPr="00A41132">
        <w:rPr>
          <w:sz w:val="24"/>
          <w:szCs w:val="24"/>
        </w:rPr>
        <w:t xml:space="preserve">  </w:t>
      </w:r>
      <w:r>
        <w:rPr>
          <w:sz w:val="24"/>
          <w:szCs w:val="24"/>
        </w:rPr>
        <w:t xml:space="preserve">Furthermore, more evidence </w:t>
      </w:r>
      <w:r w:rsidRPr="00A41132">
        <w:rPr>
          <w:sz w:val="24"/>
          <w:szCs w:val="24"/>
        </w:rPr>
        <w:t>is required than a mere trace of evidence or a suspicion of the existence of a fact sought to be established.</w:t>
      </w:r>
      <w:r>
        <w:rPr>
          <w:rStyle w:val="FootnoteReference"/>
          <w:sz w:val="24"/>
          <w:szCs w:val="24"/>
        </w:rPr>
        <w:footnoteReference w:id="6"/>
      </w:r>
      <w:r w:rsidRPr="00A41132">
        <w:rPr>
          <w:sz w:val="24"/>
          <w:szCs w:val="24"/>
        </w:rPr>
        <w:t xml:space="preserve">  </w:t>
      </w:r>
    </w:p>
    <w:p w:rsidR="00D3510C" w:rsidRDefault="00D3510C" w:rsidP="00D3510C">
      <w:pPr>
        <w:rPr>
          <w:sz w:val="24"/>
          <w:szCs w:val="24"/>
        </w:rPr>
      </w:pPr>
    </w:p>
    <w:p w:rsidR="00B24E5C" w:rsidRPr="00B24E5C" w:rsidRDefault="00B24E5C" w:rsidP="00D3510C">
      <w:pPr>
        <w:rPr>
          <w:sz w:val="24"/>
          <w:szCs w:val="24"/>
          <w:u w:val="single"/>
        </w:rPr>
      </w:pPr>
      <w:r w:rsidRPr="00B24E5C">
        <w:rPr>
          <w:sz w:val="24"/>
          <w:szCs w:val="24"/>
          <w:u w:val="single"/>
        </w:rPr>
        <w:t>Late</w:t>
      </w:r>
      <w:r w:rsidR="00A01BF0">
        <w:rPr>
          <w:sz w:val="24"/>
          <w:szCs w:val="24"/>
          <w:u w:val="single"/>
        </w:rPr>
        <w:t>-</w:t>
      </w:r>
      <w:r w:rsidRPr="00B24E5C">
        <w:rPr>
          <w:sz w:val="24"/>
          <w:szCs w:val="24"/>
          <w:u w:val="single"/>
        </w:rPr>
        <w:t>Filed Exhibit</w:t>
      </w:r>
    </w:p>
    <w:p w:rsidR="008E19AB" w:rsidRPr="008E19AB" w:rsidRDefault="008E19AB" w:rsidP="008E19AB">
      <w:pPr>
        <w:rPr>
          <w:sz w:val="24"/>
          <w:szCs w:val="24"/>
        </w:rPr>
      </w:pPr>
    </w:p>
    <w:p w:rsidR="008E19AB" w:rsidRPr="008E19AB" w:rsidRDefault="008E19AB" w:rsidP="008E19AB">
      <w:pPr>
        <w:rPr>
          <w:sz w:val="24"/>
          <w:szCs w:val="24"/>
        </w:rPr>
      </w:pPr>
      <w:r w:rsidRPr="008E19AB">
        <w:rPr>
          <w:sz w:val="24"/>
          <w:szCs w:val="24"/>
        </w:rPr>
        <w:tab/>
      </w:r>
      <w:r w:rsidRPr="008E19AB">
        <w:rPr>
          <w:sz w:val="24"/>
          <w:szCs w:val="24"/>
        </w:rPr>
        <w:tab/>
        <w:t>During the evidentiary hearing</w:t>
      </w:r>
      <w:r w:rsidR="00A01BF0">
        <w:rPr>
          <w:sz w:val="24"/>
          <w:szCs w:val="24"/>
        </w:rPr>
        <w:t xml:space="preserve">, the presiding officer denied PECO’s request to admit PECO Exhibit 13 because Complainant </w:t>
      </w:r>
      <w:r w:rsidR="00586497">
        <w:rPr>
          <w:sz w:val="24"/>
          <w:szCs w:val="24"/>
        </w:rPr>
        <w:t xml:space="preserve">did not see the proposed exhibit </w:t>
      </w:r>
      <w:r w:rsidR="00A01BF0">
        <w:rPr>
          <w:sz w:val="24"/>
          <w:szCs w:val="24"/>
        </w:rPr>
        <w:t xml:space="preserve">prior to the hearing.  In fact, the exhibit was not provided to the presiding officer until thirty (30) minutes prior to the hearing.  </w:t>
      </w:r>
      <w:r w:rsidR="003F34AA">
        <w:rPr>
          <w:sz w:val="24"/>
          <w:szCs w:val="24"/>
        </w:rPr>
        <w:t>Thereafter,</w:t>
      </w:r>
      <w:r w:rsidRPr="008E19AB">
        <w:rPr>
          <w:sz w:val="24"/>
          <w:szCs w:val="24"/>
        </w:rPr>
        <w:t xml:space="preserve"> </w:t>
      </w:r>
      <w:r>
        <w:rPr>
          <w:sz w:val="24"/>
          <w:szCs w:val="24"/>
        </w:rPr>
        <w:t>PECO</w:t>
      </w:r>
      <w:r w:rsidRPr="008E19AB">
        <w:rPr>
          <w:sz w:val="24"/>
          <w:szCs w:val="24"/>
        </w:rPr>
        <w:t xml:space="preserve"> </w:t>
      </w:r>
      <w:r w:rsidRPr="008E19AB">
        <w:rPr>
          <w:snapToGrid w:val="0"/>
          <w:sz w:val="24"/>
          <w:szCs w:val="24"/>
        </w:rPr>
        <w:t xml:space="preserve">made a request to file </w:t>
      </w:r>
      <w:r w:rsidR="003F34AA">
        <w:rPr>
          <w:snapToGrid w:val="0"/>
          <w:sz w:val="24"/>
          <w:szCs w:val="24"/>
        </w:rPr>
        <w:t>the</w:t>
      </w:r>
      <w:r w:rsidRPr="008E19AB">
        <w:rPr>
          <w:snapToGrid w:val="0"/>
          <w:sz w:val="24"/>
          <w:szCs w:val="24"/>
        </w:rPr>
        <w:t xml:space="preserve"> exhibit after the hearing.  </w:t>
      </w:r>
      <w:r>
        <w:rPr>
          <w:snapToGrid w:val="0"/>
          <w:sz w:val="24"/>
          <w:szCs w:val="24"/>
        </w:rPr>
        <w:t>The presiding officer</w:t>
      </w:r>
      <w:r w:rsidRPr="008E19AB">
        <w:rPr>
          <w:snapToGrid w:val="0"/>
          <w:sz w:val="24"/>
          <w:szCs w:val="24"/>
        </w:rPr>
        <w:t xml:space="preserve"> instructed </w:t>
      </w:r>
      <w:r>
        <w:rPr>
          <w:snapToGrid w:val="0"/>
          <w:sz w:val="24"/>
          <w:szCs w:val="24"/>
        </w:rPr>
        <w:t>PECO</w:t>
      </w:r>
      <w:r w:rsidRPr="008E19AB">
        <w:rPr>
          <w:snapToGrid w:val="0"/>
          <w:sz w:val="24"/>
          <w:szCs w:val="24"/>
        </w:rPr>
        <w:t xml:space="preserve"> to submit its exhibit </w:t>
      </w:r>
      <w:r>
        <w:rPr>
          <w:snapToGrid w:val="0"/>
          <w:sz w:val="24"/>
          <w:szCs w:val="24"/>
        </w:rPr>
        <w:t xml:space="preserve">along with an appropriate motion that informed Complainant of the notice to respond.  Complainant was advised to object to the motion if deemed appropriate.  </w:t>
      </w:r>
    </w:p>
    <w:p w:rsidR="008E19AB" w:rsidRPr="008E19AB" w:rsidRDefault="008E19AB" w:rsidP="008E19AB">
      <w:pPr>
        <w:rPr>
          <w:sz w:val="24"/>
          <w:szCs w:val="24"/>
        </w:rPr>
      </w:pPr>
      <w:r w:rsidRPr="008E19AB">
        <w:rPr>
          <w:sz w:val="24"/>
          <w:szCs w:val="24"/>
        </w:rPr>
        <w:tab/>
      </w:r>
      <w:r w:rsidRPr="008E19AB">
        <w:rPr>
          <w:sz w:val="24"/>
          <w:szCs w:val="24"/>
        </w:rPr>
        <w:tab/>
      </w:r>
    </w:p>
    <w:p w:rsidR="008E19AB" w:rsidRDefault="008E19AB" w:rsidP="008E19AB">
      <w:pPr>
        <w:rPr>
          <w:snapToGrid w:val="0"/>
          <w:sz w:val="24"/>
          <w:szCs w:val="24"/>
        </w:rPr>
      </w:pPr>
      <w:r w:rsidRPr="008E19AB">
        <w:rPr>
          <w:sz w:val="24"/>
          <w:szCs w:val="24"/>
        </w:rPr>
        <w:lastRenderedPageBreak/>
        <w:tab/>
      </w:r>
      <w:r w:rsidRPr="008E19AB">
        <w:rPr>
          <w:sz w:val="24"/>
          <w:szCs w:val="24"/>
        </w:rPr>
        <w:tab/>
        <w:t xml:space="preserve">On </w:t>
      </w:r>
      <w:r>
        <w:rPr>
          <w:sz w:val="24"/>
          <w:szCs w:val="24"/>
        </w:rPr>
        <w:t>October 18, 2013</w:t>
      </w:r>
      <w:r w:rsidRPr="008E19AB">
        <w:rPr>
          <w:sz w:val="24"/>
          <w:szCs w:val="24"/>
        </w:rPr>
        <w:t xml:space="preserve">, </w:t>
      </w:r>
      <w:r>
        <w:rPr>
          <w:sz w:val="24"/>
          <w:szCs w:val="24"/>
        </w:rPr>
        <w:t>PECO</w:t>
      </w:r>
      <w:r w:rsidRPr="008E19AB">
        <w:rPr>
          <w:sz w:val="24"/>
          <w:szCs w:val="24"/>
        </w:rPr>
        <w:t xml:space="preserve"> filed what was identified as </w:t>
      </w:r>
      <w:r w:rsidRPr="008E19AB">
        <w:rPr>
          <w:snapToGrid w:val="0"/>
          <w:sz w:val="24"/>
          <w:szCs w:val="24"/>
        </w:rPr>
        <w:t>P</w:t>
      </w:r>
      <w:r w:rsidR="003F34AA">
        <w:rPr>
          <w:snapToGrid w:val="0"/>
          <w:sz w:val="24"/>
          <w:szCs w:val="24"/>
        </w:rPr>
        <w:t>ECO</w:t>
      </w:r>
      <w:r w:rsidRPr="008E19AB">
        <w:rPr>
          <w:snapToGrid w:val="0"/>
          <w:sz w:val="24"/>
          <w:szCs w:val="24"/>
        </w:rPr>
        <w:t xml:space="preserve"> Exhibit </w:t>
      </w:r>
      <w:r>
        <w:rPr>
          <w:snapToGrid w:val="0"/>
          <w:sz w:val="24"/>
          <w:szCs w:val="24"/>
        </w:rPr>
        <w:t>13</w:t>
      </w:r>
      <w:r w:rsidRPr="008E19AB">
        <w:rPr>
          <w:snapToGrid w:val="0"/>
          <w:sz w:val="24"/>
          <w:szCs w:val="24"/>
        </w:rPr>
        <w:t xml:space="preserve">.  </w:t>
      </w:r>
      <w:r>
        <w:rPr>
          <w:snapToGrid w:val="0"/>
          <w:sz w:val="24"/>
          <w:szCs w:val="24"/>
        </w:rPr>
        <w:t>PECO</w:t>
      </w:r>
      <w:r w:rsidRPr="008E19AB">
        <w:rPr>
          <w:snapToGrid w:val="0"/>
          <w:sz w:val="24"/>
          <w:szCs w:val="24"/>
        </w:rPr>
        <w:t xml:space="preserve"> Exhibit </w:t>
      </w:r>
      <w:r>
        <w:rPr>
          <w:snapToGrid w:val="0"/>
          <w:sz w:val="24"/>
          <w:szCs w:val="24"/>
        </w:rPr>
        <w:t>13</w:t>
      </w:r>
      <w:r w:rsidRPr="008E19AB">
        <w:rPr>
          <w:snapToGrid w:val="0"/>
          <w:sz w:val="24"/>
          <w:szCs w:val="24"/>
        </w:rPr>
        <w:t xml:space="preserve"> is a </w:t>
      </w:r>
      <w:r w:rsidR="003F34AA">
        <w:rPr>
          <w:snapToGrid w:val="0"/>
          <w:sz w:val="24"/>
          <w:szCs w:val="24"/>
        </w:rPr>
        <w:t>three</w:t>
      </w:r>
      <w:r w:rsidRPr="008E19AB">
        <w:rPr>
          <w:snapToGrid w:val="0"/>
          <w:sz w:val="24"/>
          <w:szCs w:val="24"/>
        </w:rPr>
        <w:t xml:space="preserve">-page </w:t>
      </w:r>
      <w:r w:rsidR="003F34AA">
        <w:rPr>
          <w:snapToGrid w:val="0"/>
          <w:sz w:val="24"/>
          <w:szCs w:val="24"/>
        </w:rPr>
        <w:t>document entitled “High Bill Report – Residential Service” dated June 21, 2013</w:t>
      </w:r>
      <w:r w:rsidRPr="008E19AB">
        <w:rPr>
          <w:snapToGrid w:val="0"/>
          <w:sz w:val="24"/>
          <w:szCs w:val="24"/>
        </w:rPr>
        <w:t xml:space="preserve">.  </w:t>
      </w:r>
      <w:r>
        <w:rPr>
          <w:snapToGrid w:val="0"/>
          <w:sz w:val="24"/>
          <w:szCs w:val="24"/>
        </w:rPr>
        <w:t xml:space="preserve">No response or objection was received from Complainant.  </w:t>
      </w:r>
    </w:p>
    <w:p w:rsidR="008E19AB" w:rsidRDefault="008E19AB" w:rsidP="008E19AB">
      <w:pPr>
        <w:rPr>
          <w:snapToGrid w:val="0"/>
          <w:sz w:val="24"/>
          <w:szCs w:val="24"/>
        </w:rPr>
      </w:pPr>
    </w:p>
    <w:p w:rsidR="008E19AB" w:rsidRPr="008E19AB" w:rsidRDefault="008E19AB" w:rsidP="008E19AB">
      <w:pPr>
        <w:rPr>
          <w:sz w:val="24"/>
          <w:szCs w:val="24"/>
        </w:rPr>
      </w:pPr>
      <w:r>
        <w:rPr>
          <w:snapToGrid w:val="0"/>
          <w:sz w:val="24"/>
          <w:szCs w:val="24"/>
        </w:rPr>
        <w:tab/>
      </w:r>
      <w:r>
        <w:rPr>
          <w:snapToGrid w:val="0"/>
          <w:sz w:val="24"/>
          <w:szCs w:val="24"/>
        </w:rPr>
        <w:tab/>
        <w:t xml:space="preserve">Pursuant to the Pennsylvania Code, all relevant </w:t>
      </w:r>
      <w:r w:rsidR="003F34AA">
        <w:rPr>
          <w:snapToGrid w:val="0"/>
          <w:sz w:val="24"/>
          <w:szCs w:val="24"/>
        </w:rPr>
        <w:t xml:space="preserve">and material evidence may be admitted but will be excluded if repetitious or cumulative, or if </w:t>
      </w:r>
      <w:proofErr w:type="gramStart"/>
      <w:r w:rsidR="003F34AA">
        <w:rPr>
          <w:snapToGrid w:val="0"/>
          <w:sz w:val="24"/>
          <w:szCs w:val="24"/>
        </w:rPr>
        <w:t>its</w:t>
      </w:r>
      <w:proofErr w:type="gramEnd"/>
      <w:r w:rsidR="003F34AA">
        <w:rPr>
          <w:snapToGrid w:val="0"/>
          <w:sz w:val="24"/>
          <w:szCs w:val="24"/>
        </w:rPr>
        <w:t xml:space="preserve"> probative value is outweighed by a “danger of unfair prejudice, confusion of the issues, or considerations of undue delay or waste of time.</w:t>
      </w:r>
      <w:r w:rsidR="003F34AA">
        <w:rPr>
          <w:rStyle w:val="FootnoteReference"/>
          <w:snapToGrid w:val="0"/>
          <w:sz w:val="24"/>
          <w:szCs w:val="24"/>
        </w:rPr>
        <w:footnoteReference w:id="7"/>
      </w:r>
      <w:r w:rsidR="003F34AA">
        <w:rPr>
          <w:snapToGrid w:val="0"/>
          <w:sz w:val="24"/>
          <w:szCs w:val="24"/>
        </w:rPr>
        <w:t xml:space="preserve">  In addition, a party that wishes to admit evidence into the record must present a sponsoring witness and, if properly marked for identification and moved for admission, can be admitted after the other party has had an opportunity to examine the sponsoring witness.</w:t>
      </w:r>
      <w:r w:rsidR="003F34AA">
        <w:rPr>
          <w:rStyle w:val="FootnoteReference"/>
          <w:snapToGrid w:val="0"/>
          <w:sz w:val="24"/>
          <w:szCs w:val="24"/>
        </w:rPr>
        <w:footnoteReference w:id="8"/>
      </w:r>
      <w:r w:rsidR="003F34AA">
        <w:rPr>
          <w:snapToGrid w:val="0"/>
          <w:sz w:val="24"/>
          <w:szCs w:val="24"/>
        </w:rPr>
        <w:t xml:space="preserve">  </w:t>
      </w:r>
    </w:p>
    <w:p w:rsidR="008E19AB" w:rsidRPr="008E19AB" w:rsidRDefault="008E19AB" w:rsidP="008E19AB">
      <w:pPr>
        <w:rPr>
          <w:sz w:val="24"/>
          <w:szCs w:val="24"/>
        </w:rPr>
      </w:pPr>
    </w:p>
    <w:p w:rsidR="00946CB2" w:rsidRDefault="003F34AA" w:rsidP="008E19AB">
      <w:pPr>
        <w:rPr>
          <w:sz w:val="24"/>
          <w:szCs w:val="24"/>
        </w:rPr>
      </w:pPr>
      <w:r>
        <w:rPr>
          <w:sz w:val="24"/>
          <w:szCs w:val="24"/>
        </w:rPr>
        <w:tab/>
      </w:r>
      <w:r>
        <w:rPr>
          <w:sz w:val="24"/>
          <w:szCs w:val="24"/>
        </w:rPr>
        <w:tab/>
        <w:t>C</w:t>
      </w:r>
      <w:r w:rsidR="008E19AB" w:rsidRPr="008E19AB">
        <w:rPr>
          <w:sz w:val="24"/>
          <w:szCs w:val="24"/>
        </w:rPr>
        <w:t xml:space="preserve">omplainant challenged the accuracy of </w:t>
      </w:r>
      <w:r>
        <w:rPr>
          <w:sz w:val="24"/>
          <w:szCs w:val="24"/>
        </w:rPr>
        <w:t>the</w:t>
      </w:r>
      <w:r w:rsidR="008E19AB" w:rsidRPr="008E19AB">
        <w:rPr>
          <w:sz w:val="24"/>
          <w:szCs w:val="24"/>
        </w:rPr>
        <w:t xml:space="preserve"> bill</w:t>
      </w:r>
      <w:r>
        <w:rPr>
          <w:sz w:val="24"/>
          <w:szCs w:val="24"/>
        </w:rPr>
        <w:t>s</w:t>
      </w:r>
      <w:r w:rsidR="008E19AB" w:rsidRPr="008E19AB">
        <w:rPr>
          <w:sz w:val="24"/>
          <w:szCs w:val="24"/>
        </w:rPr>
        <w:t xml:space="preserve"> for the period of </w:t>
      </w:r>
      <w:r>
        <w:rPr>
          <w:sz w:val="24"/>
          <w:szCs w:val="24"/>
        </w:rPr>
        <w:t>May 2012 through October 2012</w:t>
      </w:r>
      <w:r w:rsidR="008E19AB" w:rsidRPr="008E19AB">
        <w:rPr>
          <w:sz w:val="24"/>
          <w:szCs w:val="24"/>
        </w:rPr>
        <w:t xml:space="preserve">.  </w:t>
      </w:r>
      <w:r>
        <w:rPr>
          <w:sz w:val="24"/>
          <w:szCs w:val="24"/>
        </w:rPr>
        <w:t>PECO</w:t>
      </w:r>
      <w:r w:rsidR="008E19AB" w:rsidRPr="008E19AB">
        <w:rPr>
          <w:sz w:val="24"/>
          <w:szCs w:val="24"/>
        </w:rPr>
        <w:t xml:space="preserve"> Exhibit </w:t>
      </w:r>
      <w:r>
        <w:rPr>
          <w:sz w:val="24"/>
          <w:szCs w:val="24"/>
        </w:rPr>
        <w:t>13</w:t>
      </w:r>
      <w:r w:rsidR="007654D9">
        <w:rPr>
          <w:sz w:val="24"/>
          <w:szCs w:val="24"/>
        </w:rPr>
        <w:t xml:space="preserve"> </w:t>
      </w:r>
      <w:r w:rsidR="008E19AB" w:rsidRPr="008E19AB">
        <w:rPr>
          <w:sz w:val="24"/>
          <w:szCs w:val="24"/>
        </w:rPr>
        <w:t xml:space="preserve">is a </w:t>
      </w:r>
      <w:r>
        <w:rPr>
          <w:sz w:val="24"/>
          <w:szCs w:val="24"/>
        </w:rPr>
        <w:t xml:space="preserve">report rendered by PECO as a direct result of Complainant’s allegation concerning high electric bills.  The exhibit </w:t>
      </w:r>
      <w:r w:rsidR="008E19AB" w:rsidRPr="008E19AB">
        <w:rPr>
          <w:sz w:val="24"/>
          <w:szCs w:val="24"/>
        </w:rPr>
        <w:t xml:space="preserve">provides a </w:t>
      </w:r>
      <w:r>
        <w:rPr>
          <w:sz w:val="24"/>
          <w:szCs w:val="24"/>
        </w:rPr>
        <w:t>record</w:t>
      </w:r>
      <w:r w:rsidR="008E19AB" w:rsidRPr="008E19AB">
        <w:rPr>
          <w:sz w:val="24"/>
          <w:szCs w:val="24"/>
        </w:rPr>
        <w:t xml:space="preserve"> of the </w:t>
      </w:r>
      <w:r>
        <w:rPr>
          <w:sz w:val="24"/>
          <w:szCs w:val="24"/>
        </w:rPr>
        <w:t>public utility’s actions it took as a result of the allegations when it conducted a high bill investigation in June 2013.  In addition, PECO’s witness testified about and from the document, as a business record, in explanation of the actions PECO took when the parties attempted to settle the proceeding</w:t>
      </w:r>
      <w:r w:rsidR="00946CB2">
        <w:rPr>
          <w:sz w:val="24"/>
          <w:szCs w:val="24"/>
        </w:rPr>
        <w:t xml:space="preserve"> in May 2013.</w:t>
      </w:r>
      <w:r w:rsidR="008E19AB" w:rsidRPr="008E19AB">
        <w:rPr>
          <w:sz w:val="24"/>
          <w:szCs w:val="24"/>
        </w:rPr>
        <w:t xml:space="preserve">  </w:t>
      </w:r>
    </w:p>
    <w:p w:rsidR="00946CB2" w:rsidRDefault="00946CB2" w:rsidP="008E19AB">
      <w:pPr>
        <w:rPr>
          <w:sz w:val="24"/>
          <w:szCs w:val="24"/>
        </w:rPr>
      </w:pPr>
    </w:p>
    <w:p w:rsidR="008E19AB" w:rsidRPr="008E19AB" w:rsidRDefault="00946CB2" w:rsidP="00946CB2">
      <w:pPr>
        <w:ind w:firstLine="1440"/>
        <w:rPr>
          <w:sz w:val="24"/>
          <w:szCs w:val="24"/>
        </w:rPr>
      </w:pPr>
      <w:r>
        <w:rPr>
          <w:sz w:val="24"/>
          <w:szCs w:val="24"/>
        </w:rPr>
        <w:t>PECO</w:t>
      </w:r>
      <w:r w:rsidR="008E19AB" w:rsidRPr="008E19AB">
        <w:rPr>
          <w:sz w:val="24"/>
          <w:szCs w:val="24"/>
        </w:rPr>
        <w:t xml:space="preserve"> Exhibit </w:t>
      </w:r>
      <w:r>
        <w:rPr>
          <w:sz w:val="24"/>
          <w:szCs w:val="24"/>
        </w:rPr>
        <w:t>13</w:t>
      </w:r>
      <w:r w:rsidR="008E19AB" w:rsidRPr="008E19AB">
        <w:rPr>
          <w:sz w:val="24"/>
          <w:szCs w:val="24"/>
        </w:rPr>
        <w:t xml:space="preserve"> sets out the </w:t>
      </w:r>
      <w:r>
        <w:rPr>
          <w:sz w:val="24"/>
          <w:szCs w:val="24"/>
        </w:rPr>
        <w:t xml:space="preserve">steps of PECO’s investigation, requested by Complainant.  The facts contained therein were testified to by PECO’s witness, without objection from Complainant.  Complainant did not object to PECO’s Motion to Admit Late Filed Exhibit.  Furthermore, the facts contained therein are </w:t>
      </w:r>
      <w:r w:rsidR="008E19AB" w:rsidRPr="008E19AB">
        <w:rPr>
          <w:snapToGrid w:val="0"/>
          <w:sz w:val="24"/>
          <w:szCs w:val="24"/>
        </w:rPr>
        <w:t>material and relevant to facts discussed in this proceeding.</w:t>
      </w:r>
      <w:r>
        <w:rPr>
          <w:snapToGrid w:val="0"/>
          <w:sz w:val="24"/>
          <w:szCs w:val="24"/>
        </w:rPr>
        <w:t xml:space="preserve">  </w:t>
      </w:r>
      <w:r w:rsidR="008E19AB" w:rsidRPr="008E19AB">
        <w:rPr>
          <w:snapToGrid w:val="0"/>
          <w:sz w:val="24"/>
          <w:szCs w:val="24"/>
        </w:rPr>
        <w:t>The procedure used for this exhibit satisfie</w:t>
      </w:r>
      <w:r>
        <w:rPr>
          <w:snapToGrid w:val="0"/>
          <w:sz w:val="24"/>
          <w:szCs w:val="24"/>
        </w:rPr>
        <w:t>s</w:t>
      </w:r>
      <w:r w:rsidR="008E19AB" w:rsidRPr="008E19AB">
        <w:rPr>
          <w:snapToGrid w:val="0"/>
          <w:sz w:val="24"/>
          <w:szCs w:val="24"/>
        </w:rPr>
        <w:t xml:space="preserve"> the Commission regulations at 52</w:t>
      </w:r>
      <w:r w:rsidR="006A09A3">
        <w:rPr>
          <w:snapToGrid w:val="0"/>
          <w:sz w:val="24"/>
          <w:szCs w:val="24"/>
        </w:rPr>
        <w:t> </w:t>
      </w:r>
      <w:proofErr w:type="spellStart"/>
      <w:r w:rsidR="008E19AB" w:rsidRPr="008E19AB">
        <w:rPr>
          <w:snapToGrid w:val="0"/>
          <w:sz w:val="24"/>
          <w:szCs w:val="24"/>
        </w:rPr>
        <w:t>Pa.Code</w:t>
      </w:r>
      <w:proofErr w:type="spellEnd"/>
      <w:r>
        <w:rPr>
          <w:snapToGrid w:val="0"/>
          <w:sz w:val="24"/>
          <w:szCs w:val="24"/>
        </w:rPr>
        <w:t xml:space="preserve"> </w:t>
      </w:r>
      <w:r w:rsidR="008E19AB" w:rsidRPr="008E19AB">
        <w:rPr>
          <w:snapToGrid w:val="0"/>
          <w:sz w:val="24"/>
          <w:szCs w:val="24"/>
        </w:rPr>
        <w:t xml:space="preserve">§ 5.401 and </w:t>
      </w:r>
      <w:r>
        <w:rPr>
          <w:snapToGrid w:val="0"/>
          <w:sz w:val="24"/>
          <w:szCs w:val="24"/>
        </w:rPr>
        <w:t xml:space="preserve">§ </w:t>
      </w:r>
      <w:r w:rsidR="008E19AB" w:rsidRPr="008E19AB">
        <w:rPr>
          <w:snapToGrid w:val="0"/>
          <w:sz w:val="24"/>
          <w:szCs w:val="24"/>
        </w:rPr>
        <w:t>5.402.</w:t>
      </w:r>
      <w:r>
        <w:rPr>
          <w:rStyle w:val="FootnoteReference"/>
          <w:snapToGrid w:val="0"/>
          <w:sz w:val="24"/>
          <w:szCs w:val="24"/>
        </w:rPr>
        <w:footnoteReference w:id="9"/>
      </w:r>
      <w:r w:rsidR="008E19AB" w:rsidRPr="008E19AB">
        <w:rPr>
          <w:snapToGrid w:val="0"/>
          <w:sz w:val="24"/>
          <w:szCs w:val="24"/>
        </w:rPr>
        <w:t xml:space="preserve">  </w:t>
      </w:r>
      <w:r>
        <w:rPr>
          <w:snapToGrid w:val="0"/>
          <w:sz w:val="24"/>
          <w:szCs w:val="24"/>
        </w:rPr>
        <w:t>PECO</w:t>
      </w:r>
      <w:r w:rsidR="008E19AB" w:rsidRPr="008E19AB">
        <w:rPr>
          <w:snapToGrid w:val="0"/>
          <w:sz w:val="24"/>
          <w:szCs w:val="24"/>
        </w:rPr>
        <w:t xml:space="preserve"> Exhibit </w:t>
      </w:r>
      <w:r>
        <w:rPr>
          <w:snapToGrid w:val="0"/>
          <w:sz w:val="24"/>
          <w:szCs w:val="24"/>
        </w:rPr>
        <w:t>13</w:t>
      </w:r>
      <w:r w:rsidR="008E19AB" w:rsidRPr="008E19AB">
        <w:rPr>
          <w:snapToGrid w:val="0"/>
          <w:sz w:val="24"/>
          <w:szCs w:val="24"/>
        </w:rPr>
        <w:t xml:space="preserve"> is found relevant to this proceeding</w:t>
      </w:r>
      <w:r>
        <w:rPr>
          <w:snapToGrid w:val="0"/>
          <w:sz w:val="24"/>
          <w:szCs w:val="24"/>
        </w:rPr>
        <w:t xml:space="preserve"> and is</w:t>
      </w:r>
      <w:r w:rsidR="008E19AB" w:rsidRPr="008E19AB">
        <w:rPr>
          <w:snapToGrid w:val="0"/>
          <w:sz w:val="24"/>
          <w:szCs w:val="24"/>
        </w:rPr>
        <w:t xml:space="preserve"> admitted into evidence.</w:t>
      </w:r>
    </w:p>
    <w:p w:rsidR="00735E13" w:rsidRPr="00735E13" w:rsidRDefault="00735E13" w:rsidP="00D3510C">
      <w:pPr>
        <w:rPr>
          <w:sz w:val="24"/>
          <w:szCs w:val="24"/>
          <w:u w:val="single"/>
        </w:rPr>
      </w:pPr>
      <w:r w:rsidRPr="00735E13">
        <w:rPr>
          <w:sz w:val="24"/>
          <w:szCs w:val="24"/>
          <w:u w:val="single"/>
        </w:rPr>
        <w:lastRenderedPageBreak/>
        <w:t>Complainant’s Position</w:t>
      </w:r>
    </w:p>
    <w:p w:rsidR="00735E13" w:rsidRPr="00FB448C" w:rsidRDefault="00735E13" w:rsidP="00D3510C">
      <w:pPr>
        <w:rPr>
          <w:sz w:val="24"/>
          <w:szCs w:val="24"/>
        </w:rPr>
      </w:pPr>
    </w:p>
    <w:p w:rsidR="00E40CA1" w:rsidRDefault="00C44296" w:rsidP="00DE2949">
      <w:pPr>
        <w:tabs>
          <w:tab w:val="left" w:pos="-1440"/>
          <w:tab w:val="left" w:pos="-720"/>
        </w:tabs>
        <w:suppressAutoHyphens/>
        <w:rPr>
          <w:spacing w:val="-3"/>
          <w:sz w:val="24"/>
          <w:szCs w:val="24"/>
        </w:rPr>
      </w:pPr>
      <w:r>
        <w:rPr>
          <w:spacing w:val="-3"/>
          <w:sz w:val="24"/>
          <w:szCs w:val="24"/>
        </w:rPr>
        <w:tab/>
      </w:r>
      <w:r>
        <w:rPr>
          <w:spacing w:val="-3"/>
          <w:sz w:val="24"/>
          <w:szCs w:val="24"/>
        </w:rPr>
        <w:tab/>
        <w:t>Complainant</w:t>
      </w:r>
      <w:r w:rsidR="004C7417">
        <w:rPr>
          <w:spacing w:val="-3"/>
          <w:sz w:val="24"/>
          <w:szCs w:val="24"/>
        </w:rPr>
        <w:t xml:space="preserve"> and his </w:t>
      </w:r>
      <w:r w:rsidR="00F33940">
        <w:rPr>
          <w:spacing w:val="-3"/>
          <w:sz w:val="24"/>
          <w:szCs w:val="24"/>
        </w:rPr>
        <w:t>wife</w:t>
      </w:r>
      <w:r>
        <w:rPr>
          <w:spacing w:val="-3"/>
          <w:sz w:val="24"/>
          <w:szCs w:val="24"/>
        </w:rPr>
        <w:t xml:space="preserve"> </w:t>
      </w:r>
      <w:r w:rsidR="004C7417">
        <w:rPr>
          <w:spacing w:val="-3"/>
          <w:sz w:val="24"/>
          <w:szCs w:val="24"/>
        </w:rPr>
        <w:t xml:space="preserve">want one action from the Commission – to require PECO to accept a term of four years instead of two years in which Complainant can pay off the arrears.  They </w:t>
      </w:r>
      <w:r w:rsidR="00F33940">
        <w:rPr>
          <w:spacing w:val="-3"/>
          <w:sz w:val="24"/>
          <w:szCs w:val="24"/>
        </w:rPr>
        <w:t>acknowledge they benefitted from living at the service</w:t>
      </w:r>
      <w:r w:rsidR="00AB68B6">
        <w:rPr>
          <w:spacing w:val="-3"/>
          <w:sz w:val="24"/>
          <w:szCs w:val="24"/>
        </w:rPr>
        <w:t xml:space="preserve"> </w:t>
      </w:r>
      <w:r w:rsidR="00F33940">
        <w:rPr>
          <w:spacing w:val="-3"/>
          <w:sz w:val="24"/>
          <w:szCs w:val="24"/>
        </w:rPr>
        <w:t>address</w:t>
      </w:r>
      <w:r w:rsidR="00E40CA1">
        <w:rPr>
          <w:spacing w:val="-3"/>
          <w:sz w:val="24"/>
          <w:szCs w:val="24"/>
        </w:rPr>
        <w:t xml:space="preserve"> while Complainant’s mother resided there and was supposed to be paying on the balance.  Mrs. </w:t>
      </w:r>
      <w:proofErr w:type="spellStart"/>
      <w:r w:rsidR="00E40CA1">
        <w:rPr>
          <w:spacing w:val="-3"/>
          <w:sz w:val="24"/>
          <w:szCs w:val="24"/>
        </w:rPr>
        <w:t>Espenship</w:t>
      </w:r>
      <w:proofErr w:type="spellEnd"/>
      <w:r w:rsidR="00F33940">
        <w:rPr>
          <w:spacing w:val="-3"/>
          <w:sz w:val="24"/>
          <w:szCs w:val="24"/>
        </w:rPr>
        <w:t xml:space="preserve"> </w:t>
      </w:r>
      <w:r w:rsidR="00946CB2">
        <w:rPr>
          <w:spacing w:val="-3"/>
          <w:sz w:val="24"/>
          <w:szCs w:val="24"/>
        </w:rPr>
        <w:t>avers it is appropriate for them to</w:t>
      </w:r>
      <w:r w:rsidR="00F33940">
        <w:rPr>
          <w:spacing w:val="-3"/>
          <w:sz w:val="24"/>
          <w:szCs w:val="24"/>
        </w:rPr>
        <w:t xml:space="preserve"> pay one-half of the outstanding balance, but contend</w:t>
      </w:r>
      <w:r w:rsidR="00946CB2">
        <w:rPr>
          <w:spacing w:val="-3"/>
          <w:sz w:val="24"/>
          <w:szCs w:val="24"/>
        </w:rPr>
        <w:t>s</w:t>
      </w:r>
      <w:r w:rsidR="00F33940">
        <w:rPr>
          <w:spacing w:val="-3"/>
          <w:sz w:val="24"/>
          <w:szCs w:val="24"/>
        </w:rPr>
        <w:t xml:space="preserve"> they should not have to pay the full amount of someone else’s bill.  </w:t>
      </w:r>
    </w:p>
    <w:p w:rsidR="00E40CA1" w:rsidRDefault="00E40CA1" w:rsidP="00DE2949">
      <w:pPr>
        <w:tabs>
          <w:tab w:val="left" w:pos="-1440"/>
          <w:tab w:val="left" w:pos="-720"/>
        </w:tabs>
        <w:suppressAutoHyphens/>
        <w:rPr>
          <w:spacing w:val="-3"/>
          <w:sz w:val="24"/>
          <w:szCs w:val="24"/>
        </w:rPr>
      </w:pPr>
    </w:p>
    <w:p w:rsidR="00C44296" w:rsidRDefault="00E40CA1" w:rsidP="00DE2949">
      <w:pPr>
        <w:tabs>
          <w:tab w:val="left" w:pos="-1440"/>
          <w:tab w:val="left" w:pos="-720"/>
        </w:tabs>
        <w:suppressAutoHyphens/>
        <w:rPr>
          <w:spacing w:val="-3"/>
          <w:sz w:val="24"/>
          <w:szCs w:val="24"/>
        </w:rPr>
      </w:pPr>
      <w:r>
        <w:rPr>
          <w:spacing w:val="-3"/>
          <w:sz w:val="24"/>
          <w:szCs w:val="24"/>
        </w:rPr>
        <w:tab/>
      </w:r>
      <w:r>
        <w:rPr>
          <w:spacing w:val="-3"/>
          <w:sz w:val="24"/>
          <w:szCs w:val="24"/>
        </w:rPr>
        <w:tab/>
      </w:r>
      <w:r w:rsidR="00F33940">
        <w:rPr>
          <w:spacing w:val="-3"/>
          <w:sz w:val="24"/>
          <w:szCs w:val="24"/>
        </w:rPr>
        <w:t>In addition, Complainant and his wife argue the bills for electric services have been too high</w:t>
      </w:r>
      <w:r w:rsidR="00E1590C">
        <w:rPr>
          <w:spacing w:val="-3"/>
          <w:sz w:val="24"/>
          <w:szCs w:val="24"/>
        </w:rPr>
        <w:t>.  Complainant’s wife testified the neighbors, including the other side of their duplex, consume one-half the amount of electricity consumed at the service address.  They request</w:t>
      </w:r>
      <w:r w:rsidR="00F33940">
        <w:rPr>
          <w:spacing w:val="-3"/>
          <w:sz w:val="24"/>
          <w:szCs w:val="24"/>
        </w:rPr>
        <w:t xml:space="preserve"> a longer term in which to pay off the unpaid balance from when Complainant’s </w:t>
      </w:r>
      <w:r w:rsidR="000623B4">
        <w:rPr>
          <w:spacing w:val="-3"/>
          <w:sz w:val="24"/>
          <w:szCs w:val="24"/>
        </w:rPr>
        <w:t>grand</w:t>
      </w:r>
      <w:r w:rsidR="00F33940">
        <w:rPr>
          <w:spacing w:val="-3"/>
          <w:sz w:val="24"/>
          <w:szCs w:val="24"/>
        </w:rPr>
        <w:t xml:space="preserve">mother was the </w:t>
      </w:r>
      <w:r w:rsidR="000623B4">
        <w:rPr>
          <w:spacing w:val="-3"/>
          <w:sz w:val="24"/>
          <w:szCs w:val="24"/>
        </w:rPr>
        <w:t xml:space="preserve">listed </w:t>
      </w:r>
      <w:r w:rsidR="00F33940">
        <w:rPr>
          <w:spacing w:val="-3"/>
          <w:sz w:val="24"/>
          <w:szCs w:val="24"/>
        </w:rPr>
        <w:t xml:space="preserve">ratepayer.  Complainant and his wife requested four years (48 months) in which to pay off the balance but Respondent would only offer them two years (24 months) which they cannot afford to pay.  </w:t>
      </w:r>
    </w:p>
    <w:p w:rsidR="00065149" w:rsidRDefault="00065149" w:rsidP="00DE2949">
      <w:pPr>
        <w:tabs>
          <w:tab w:val="left" w:pos="-1440"/>
          <w:tab w:val="left" w:pos="-720"/>
        </w:tabs>
        <w:suppressAutoHyphens/>
        <w:rPr>
          <w:spacing w:val="-3"/>
          <w:sz w:val="24"/>
          <w:szCs w:val="24"/>
        </w:rPr>
      </w:pPr>
    </w:p>
    <w:p w:rsidR="00735E13" w:rsidRPr="00735E13" w:rsidRDefault="00735E13" w:rsidP="00DE2949">
      <w:pPr>
        <w:tabs>
          <w:tab w:val="left" w:pos="-1440"/>
          <w:tab w:val="left" w:pos="-720"/>
        </w:tabs>
        <w:suppressAutoHyphens/>
        <w:rPr>
          <w:spacing w:val="-3"/>
          <w:sz w:val="24"/>
          <w:szCs w:val="24"/>
          <w:u w:val="single"/>
        </w:rPr>
      </w:pPr>
      <w:r w:rsidRPr="00735E13">
        <w:rPr>
          <w:spacing w:val="-3"/>
          <w:sz w:val="24"/>
          <w:szCs w:val="24"/>
          <w:u w:val="single"/>
        </w:rPr>
        <w:t>Respondent’s Position</w:t>
      </w:r>
    </w:p>
    <w:p w:rsidR="00735E13" w:rsidRDefault="00735E13" w:rsidP="00DE2949">
      <w:pPr>
        <w:tabs>
          <w:tab w:val="left" w:pos="-1440"/>
          <w:tab w:val="left" w:pos="-720"/>
        </w:tabs>
        <w:suppressAutoHyphens/>
        <w:rPr>
          <w:spacing w:val="-3"/>
          <w:sz w:val="24"/>
          <w:szCs w:val="24"/>
        </w:rPr>
      </w:pPr>
    </w:p>
    <w:p w:rsidR="001623AF" w:rsidRDefault="00DE2949" w:rsidP="00386F3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Respondent’s witness testified</w:t>
      </w:r>
      <w:r w:rsidR="007E3448">
        <w:rPr>
          <w:spacing w:val="-3"/>
          <w:sz w:val="24"/>
          <w:szCs w:val="24"/>
        </w:rPr>
        <w:t xml:space="preserve"> two high bill investigations (in 2010 and in 2013) revealed Complainant was billed accurately for electric services consumed at the service address.  Based on the electrical appliances and electric draws in the service address, the service address has the potential to use more than the levels recorded by Respondent’s meter.  In addition, Respondent cont</w:t>
      </w:r>
      <w:r w:rsidR="007E3448" w:rsidRPr="00735E13">
        <w:rPr>
          <w:spacing w:val="-3"/>
          <w:sz w:val="24"/>
          <w:szCs w:val="24"/>
        </w:rPr>
        <w:t xml:space="preserve">ends Complainant defaulted on the earlier payment agreement in May 2012, and the household </w:t>
      </w:r>
    </w:p>
    <w:p w:rsidR="00065149" w:rsidRPr="00735E13" w:rsidRDefault="007E3448" w:rsidP="00386F30">
      <w:pPr>
        <w:tabs>
          <w:tab w:val="left" w:pos="-1440"/>
          <w:tab w:val="left" w:pos="-720"/>
        </w:tabs>
        <w:suppressAutoHyphens/>
        <w:rPr>
          <w:spacing w:val="-3"/>
          <w:sz w:val="24"/>
          <w:szCs w:val="24"/>
        </w:rPr>
      </w:pPr>
      <w:proofErr w:type="gramStart"/>
      <w:r w:rsidRPr="00735E13">
        <w:rPr>
          <w:spacing w:val="-3"/>
          <w:sz w:val="24"/>
          <w:szCs w:val="24"/>
        </w:rPr>
        <w:t>income</w:t>
      </w:r>
      <w:proofErr w:type="gramEnd"/>
      <w:r w:rsidRPr="00735E13">
        <w:rPr>
          <w:spacing w:val="-3"/>
          <w:sz w:val="24"/>
          <w:szCs w:val="24"/>
        </w:rPr>
        <w:t xml:space="preserve"> no longer qualifies for a 48-month pay-back period.  Respondent argues a 24-month pay-back period is appropriate for this household.  </w:t>
      </w:r>
      <w:r w:rsidR="00D91CCB" w:rsidRPr="00735E13">
        <w:rPr>
          <w:spacing w:val="-3"/>
          <w:sz w:val="24"/>
          <w:szCs w:val="24"/>
        </w:rPr>
        <w:t>Lastly, Respondent argues Complainant is responsible for the whole balance due on the account and does not qualify for a company payment arrangement.  Respondent does not, however, object to a Commission payment agreement based on the household’s level of income.</w:t>
      </w:r>
    </w:p>
    <w:p w:rsidR="00DF171A" w:rsidRDefault="00DF171A" w:rsidP="00DF171A">
      <w:pPr>
        <w:rPr>
          <w:sz w:val="24"/>
          <w:szCs w:val="24"/>
        </w:rPr>
      </w:pPr>
      <w:r>
        <w:rPr>
          <w:sz w:val="24"/>
          <w:szCs w:val="24"/>
          <w:u w:val="single"/>
        </w:rPr>
        <w:lastRenderedPageBreak/>
        <w:t>Complaint Concerning Inaccurate Billing Statements and Overcharging</w:t>
      </w:r>
    </w:p>
    <w:p w:rsidR="00980EFC" w:rsidRDefault="00980EFC" w:rsidP="00980EFC">
      <w:pPr>
        <w:tabs>
          <w:tab w:val="left" w:pos="-1440"/>
          <w:tab w:val="left" w:pos="-720"/>
        </w:tabs>
        <w:suppressAutoHyphens/>
        <w:rPr>
          <w:sz w:val="24"/>
          <w:szCs w:val="24"/>
        </w:rPr>
      </w:pPr>
    </w:p>
    <w:p w:rsidR="00980EFC" w:rsidRPr="00B73D10" w:rsidRDefault="00980EFC" w:rsidP="00980EFC">
      <w:pPr>
        <w:rPr>
          <w:sz w:val="24"/>
          <w:szCs w:val="24"/>
        </w:rPr>
      </w:pPr>
      <w:r w:rsidRPr="00B73D10">
        <w:rPr>
          <w:sz w:val="24"/>
          <w:szCs w:val="24"/>
        </w:rPr>
        <w:tab/>
      </w:r>
      <w:r>
        <w:rPr>
          <w:sz w:val="24"/>
          <w:szCs w:val="24"/>
        </w:rPr>
        <w:tab/>
      </w:r>
      <w:r w:rsidRPr="00B73D10">
        <w:rPr>
          <w:sz w:val="24"/>
          <w:szCs w:val="24"/>
        </w:rPr>
        <w:t xml:space="preserve">In </w:t>
      </w:r>
      <w:r w:rsidRPr="00B73D10">
        <w:rPr>
          <w:sz w:val="24"/>
          <w:szCs w:val="24"/>
          <w:u w:val="single"/>
        </w:rPr>
        <w:t>Waldron v</w:t>
      </w:r>
      <w:r>
        <w:rPr>
          <w:sz w:val="24"/>
          <w:szCs w:val="24"/>
          <w:u w:val="single"/>
        </w:rPr>
        <w:t>.</w:t>
      </w:r>
      <w:r w:rsidRPr="00B73D10">
        <w:rPr>
          <w:sz w:val="24"/>
          <w:szCs w:val="24"/>
          <w:u w:val="single"/>
        </w:rPr>
        <w:t xml:space="preserve"> Philadelphia Electric Company</w:t>
      </w:r>
      <w:r w:rsidRPr="00B73D10">
        <w:rPr>
          <w:sz w:val="24"/>
          <w:szCs w:val="24"/>
        </w:rPr>
        <w:t>, 54 Pa. P</w:t>
      </w:r>
      <w:r w:rsidR="00946CB2">
        <w:rPr>
          <w:sz w:val="24"/>
          <w:szCs w:val="24"/>
        </w:rPr>
        <w:t>UC</w:t>
      </w:r>
      <w:r w:rsidRPr="00B73D10">
        <w:rPr>
          <w:sz w:val="24"/>
          <w:szCs w:val="24"/>
        </w:rPr>
        <w:t xml:space="preserve"> 98 (1980), the Commission outlined the general dynamics for the burden of proof in a case involving a high bill dispute.  The Commission held certain factors must be considered in order for a </w:t>
      </w:r>
      <w:r>
        <w:rPr>
          <w:sz w:val="24"/>
          <w:szCs w:val="24"/>
        </w:rPr>
        <w:t>ratepayer</w:t>
      </w:r>
      <w:r w:rsidRPr="00B73D10">
        <w:rPr>
          <w:sz w:val="24"/>
          <w:szCs w:val="24"/>
        </w:rPr>
        <w:t xml:space="preserve"> to establish a </w:t>
      </w:r>
      <w:r w:rsidRPr="00B73D10">
        <w:rPr>
          <w:i/>
          <w:sz w:val="24"/>
          <w:szCs w:val="24"/>
        </w:rPr>
        <w:t>prima facie</w:t>
      </w:r>
      <w:r w:rsidRPr="00B73D10">
        <w:rPr>
          <w:sz w:val="24"/>
          <w:szCs w:val="24"/>
        </w:rPr>
        <w:t xml:space="preserve"> case whenever claiming unusually high bills.  The accuracy of a meter is an important factor to resolve a billing dispute </w:t>
      </w:r>
      <w:r w:rsidRPr="00BE0C66">
        <w:rPr>
          <w:sz w:val="24"/>
          <w:szCs w:val="24"/>
          <w:u w:val="single"/>
        </w:rPr>
        <w:t>but</w:t>
      </w:r>
      <w:r w:rsidRPr="00B73D10">
        <w:rPr>
          <w:sz w:val="24"/>
          <w:szCs w:val="24"/>
        </w:rPr>
        <w:t xml:space="preserve"> it is not the sole criterion.  A complainant may establish a </w:t>
      </w:r>
      <w:r w:rsidRPr="00B73D10">
        <w:rPr>
          <w:i/>
          <w:sz w:val="24"/>
          <w:szCs w:val="24"/>
        </w:rPr>
        <w:t xml:space="preserve">prima facie </w:t>
      </w:r>
      <w:r w:rsidRPr="00B73D10">
        <w:rPr>
          <w:sz w:val="24"/>
          <w:szCs w:val="24"/>
        </w:rPr>
        <w:t xml:space="preserve">case by showing: </w:t>
      </w:r>
    </w:p>
    <w:p w:rsidR="00980EFC" w:rsidRDefault="00980EFC" w:rsidP="00980EFC">
      <w:pPr>
        <w:tabs>
          <w:tab w:val="left" w:pos="-1440"/>
          <w:tab w:val="left" w:pos="-720"/>
        </w:tabs>
        <w:suppressAutoHyphens/>
        <w:spacing w:line="240" w:lineRule="auto"/>
        <w:ind w:left="1440" w:right="1440"/>
        <w:rPr>
          <w:sz w:val="24"/>
          <w:szCs w:val="24"/>
        </w:rPr>
      </w:pPr>
    </w:p>
    <w:p w:rsidR="00980EFC" w:rsidRPr="00724079" w:rsidRDefault="00980EFC" w:rsidP="00980EFC">
      <w:pPr>
        <w:pStyle w:val="ListParagraph"/>
        <w:numPr>
          <w:ilvl w:val="0"/>
          <w:numId w:val="15"/>
        </w:numPr>
        <w:tabs>
          <w:tab w:val="left" w:pos="-1440"/>
          <w:tab w:val="left" w:pos="-720"/>
        </w:tabs>
        <w:suppressAutoHyphens/>
        <w:spacing w:line="240" w:lineRule="auto"/>
        <w:ind w:right="1440"/>
        <w:rPr>
          <w:sz w:val="24"/>
          <w:szCs w:val="24"/>
        </w:rPr>
      </w:pPr>
      <w:r w:rsidRPr="00724079">
        <w:rPr>
          <w:sz w:val="24"/>
          <w:szCs w:val="24"/>
        </w:rPr>
        <w:t xml:space="preserve">the disputed bill was abnormally high when compared to prior usage patterns; and </w:t>
      </w:r>
    </w:p>
    <w:p w:rsidR="00980EFC" w:rsidRPr="00724079" w:rsidRDefault="00980EFC" w:rsidP="00980EFC">
      <w:pPr>
        <w:pStyle w:val="ListParagraph"/>
        <w:tabs>
          <w:tab w:val="left" w:pos="-1440"/>
          <w:tab w:val="left" w:pos="-720"/>
        </w:tabs>
        <w:suppressAutoHyphens/>
        <w:spacing w:line="240" w:lineRule="auto"/>
        <w:ind w:left="1800" w:right="1440"/>
        <w:rPr>
          <w:sz w:val="24"/>
          <w:szCs w:val="24"/>
        </w:rPr>
      </w:pPr>
    </w:p>
    <w:p w:rsidR="00980EFC" w:rsidRPr="00911BED" w:rsidRDefault="00980EFC" w:rsidP="00980EFC">
      <w:pPr>
        <w:pStyle w:val="ListParagraph"/>
        <w:numPr>
          <w:ilvl w:val="0"/>
          <w:numId w:val="15"/>
        </w:numPr>
        <w:tabs>
          <w:tab w:val="left" w:pos="-1440"/>
          <w:tab w:val="left" w:pos="-720"/>
        </w:tabs>
        <w:suppressAutoHyphens/>
        <w:ind w:right="1440"/>
        <w:rPr>
          <w:sz w:val="24"/>
          <w:szCs w:val="24"/>
        </w:rPr>
      </w:pPr>
      <w:proofErr w:type="gramStart"/>
      <w:r w:rsidRPr="00911BED">
        <w:rPr>
          <w:sz w:val="24"/>
          <w:szCs w:val="24"/>
        </w:rPr>
        <w:t>the</w:t>
      </w:r>
      <w:proofErr w:type="gramEnd"/>
      <w:r w:rsidRPr="00911BED">
        <w:rPr>
          <w:sz w:val="24"/>
          <w:szCs w:val="24"/>
        </w:rPr>
        <w:t xml:space="preserve"> ratepayer’s pattern of usage had not changed.  </w:t>
      </w:r>
    </w:p>
    <w:p w:rsidR="00946CB2" w:rsidRDefault="00946CB2" w:rsidP="00980EFC">
      <w:pPr>
        <w:tabs>
          <w:tab w:val="left" w:pos="-1440"/>
          <w:tab w:val="left" w:pos="-720"/>
        </w:tabs>
        <w:suppressAutoHyphens/>
        <w:rPr>
          <w:sz w:val="24"/>
          <w:szCs w:val="24"/>
        </w:rPr>
      </w:pPr>
    </w:p>
    <w:p w:rsidR="00980EFC" w:rsidRDefault="00980EFC" w:rsidP="00980EFC">
      <w:pPr>
        <w:tabs>
          <w:tab w:val="left" w:pos="-1440"/>
          <w:tab w:val="left" w:pos="-720"/>
        </w:tabs>
        <w:suppressAutoHyphens/>
        <w:rPr>
          <w:sz w:val="24"/>
          <w:szCs w:val="24"/>
        </w:rPr>
      </w:pPr>
      <w:r>
        <w:rPr>
          <w:sz w:val="24"/>
          <w:szCs w:val="24"/>
        </w:rPr>
        <w:tab/>
      </w:r>
      <w:r>
        <w:rPr>
          <w:sz w:val="24"/>
          <w:szCs w:val="24"/>
        </w:rPr>
        <w:tab/>
        <w:t>When looking at these criteria, important considerations include the billing history of the account, any change in the number of occupants residing in the household, the potential for energy utilization, and any other relevant facts or circumstances that come to light during the proceeding.</w:t>
      </w:r>
      <w:r w:rsidR="00946CB2">
        <w:rPr>
          <w:rStyle w:val="FootnoteReference"/>
          <w:sz w:val="24"/>
          <w:szCs w:val="24"/>
        </w:rPr>
        <w:footnoteReference w:id="10"/>
      </w:r>
      <w:r>
        <w:rPr>
          <w:sz w:val="24"/>
          <w:szCs w:val="24"/>
        </w:rPr>
        <w:t xml:space="preserve">  In this way, a complainant may prove entitlement to relief by wholly circumstantial evidence, rather than direct evidence of some utility misfeasance.</w:t>
      </w:r>
      <w:r w:rsidR="00946CB2">
        <w:rPr>
          <w:rStyle w:val="FootnoteReference"/>
          <w:sz w:val="24"/>
          <w:szCs w:val="24"/>
        </w:rPr>
        <w:footnoteReference w:id="11"/>
      </w:r>
      <w:r>
        <w:rPr>
          <w:sz w:val="24"/>
          <w:szCs w:val="24"/>
        </w:rPr>
        <w:t xml:space="preserve">  </w:t>
      </w:r>
    </w:p>
    <w:p w:rsidR="00980EFC" w:rsidRPr="00B73D10" w:rsidRDefault="00980EFC" w:rsidP="00980EFC">
      <w:pPr>
        <w:tabs>
          <w:tab w:val="left" w:pos="-1440"/>
          <w:tab w:val="left" w:pos="-720"/>
        </w:tabs>
        <w:suppressAutoHyphens/>
        <w:rPr>
          <w:sz w:val="24"/>
          <w:szCs w:val="24"/>
        </w:rPr>
      </w:pPr>
    </w:p>
    <w:p w:rsidR="00980EFC" w:rsidRPr="00B73D10" w:rsidRDefault="00980EFC" w:rsidP="00980EFC">
      <w:pPr>
        <w:tabs>
          <w:tab w:val="left" w:pos="-1440"/>
          <w:tab w:val="left" w:pos="-720"/>
        </w:tabs>
        <w:suppressAutoHyphens/>
        <w:rPr>
          <w:sz w:val="24"/>
          <w:szCs w:val="24"/>
        </w:rPr>
      </w:pPr>
      <w:r w:rsidRPr="00B73D10">
        <w:rPr>
          <w:sz w:val="24"/>
          <w:szCs w:val="24"/>
        </w:rPr>
        <w:tab/>
      </w:r>
      <w:r w:rsidRPr="00B73D10">
        <w:rPr>
          <w:sz w:val="24"/>
          <w:szCs w:val="24"/>
        </w:rPr>
        <w:tab/>
      </w:r>
      <w:r>
        <w:rPr>
          <w:sz w:val="24"/>
          <w:szCs w:val="24"/>
        </w:rPr>
        <w:t>T</w:t>
      </w:r>
      <w:r w:rsidRPr="00B73D10">
        <w:rPr>
          <w:sz w:val="24"/>
          <w:szCs w:val="24"/>
        </w:rPr>
        <w:t xml:space="preserve">he Commission restated its position for the purpose of clarifying the </w:t>
      </w:r>
      <w:r w:rsidRPr="00B73D10">
        <w:rPr>
          <w:sz w:val="24"/>
          <w:szCs w:val="24"/>
          <w:u w:val="single"/>
        </w:rPr>
        <w:t>Waldron</w:t>
      </w:r>
      <w:r w:rsidRPr="00B73D10">
        <w:rPr>
          <w:sz w:val="24"/>
          <w:szCs w:val="24"/>
        </w:rPr>
        <w:t xml:space="preserve"> test</w:t>
      </w:r>
      <w:r>
        <w:rPr>
          <w:sz w:val="24"/>
          <w:szCs w:val="24"/>
        </w:rPr>
        <w:t xml:space="preserve"> in </w:t>
      </w:r>
      <w:proofErr w:type="spellStart"/>
      <w:r w:rsidRPr="00B73D10">
        <w:rPr>
          <w:sz w:val="24"/>
          <w:szCs w:val="24"/>
          <w:u w:val="single"/>
        </w:rPr>
        <w:t>Charisse</w:t>
      </w:r>
      <w:proofErr w:type="spellEnd"/>
      <w:r w:rsidRPr="00B73D10">
        <w:rPr>
          <w:sz w:val="24"/>
          <w:szCs w:val="24"/>
          <w:u w:val="single"/>
        </w:rPr>
        <w:t xml:space="preserve"> M. Bennett v. Peoples Natural Gas Company, LLC</w:t>
      </w:r>
      <w:r w:rsidRPr="00B73D10">
        <w:rPr>
          <w:sz w:val="24"/>
          <w:szCs w:val="24"/>
        </w:rPr>
        <w:t xml:space="preserve">, </w:t>
      </w:r>
      <w:proofErr w:type="gramStart"/>
      <w:r w:rsidRPr="00B73D10">
        <w:rPr>
          <w:sz w:val="24"/>
          <w:szCs w:val="24"/>
        </w:rPr>
        <w:t>Docket</w:t>
      </w:r>
      <w:proofErr w:type="gramEnd"/>
      <w:r w:rsidRPr="00B73D10">
        <w:rPr>
          <w:sz w:val="24"/>
          <w:szCs w:val="24"/>
        </w:rPr>
        <w:t xml:space="preserve"> No. C-2009-2122979 (Opinion and Order entered October 13, 2010).  In </w:t>
      </w:r>
      <w:r w:rsidRPr="00B73D10">
        <w:rPr>
          <w:sz w:val="24"/>
          <w:szCs w:val="24"/>
          <w:u w:val="single"/>
        </w:rPr>
        <w:t>Bennett</w:t>
      </w:r>
      <w:r w:rsidRPr="00B73D10">
        <w:rPr>
          <w:sz w:val="24"/>
          <w:szCs w:val="24"/>
        </w:rPr>
        <w:t>, the Commission stated:</w:t>
      </w:r>
    </w:p>
    <w:p w:rsidR="00980EFC" w:rsidRDefault="00980EFC" w:rsidP="00980EFC">
      <w:pPr>
        <w:spacing w:line="240" w:lineRule="auto"/>
        <w:ind w:left="1440" w:right="1440"/>
        <w:rPr>
          <w:sz w:val="24"/>
          <w:szCs w:val="24"/>
        </w:rPr>
      </w:pPr>
    </w:p>
    <w:p w:rsidR="00980EFC" w:rsidRPr="00B73D10" w:rsidRDefault="00980EFC" w:rsidP="000A492A">
      <w:pPr>
        <w:spacing w:line="240" w:lineRule="auto"/>
        <w:ind w:left="1440" w:right="1440"/>
        <w:rPr>
          <w:sz w:val="24"/>
          <w:szCs w:val="24"/>
        </w:rPr>
      </w:pPr>
      <w:r w:rsidRPr="00B73D10">
        <w:rPr>
          <w:sz w:val="24"/>
          <w:szCs w:val="24"/>
        </w:rPr>
        <w:t xml:space="preserve">While a comparison of the disputed monthly bill to the Complainant’s billing history and the consistency of her usage pattern are important criteria to consider, they alone do not resolve the issue of the Complainant’s disputed high bill….  Also, this interpretation does not allow for other relevant facts or circumstances with probative value to be considered as evidence supportive of a high bill complaint.  </w:t>
      </w:r>
      <w:r w:rsidRPr="00BE0C66">
        <w:rPr>
          <w:sz w:val="24"/>
          <w:szCs w:val="24"/>
          <w:u w:val="single"/>
        </w:rPr>
        <w:t>Waldron</w:t>
      </w:r>
      <w:r w:rsidRPr="00B73D10">
        <w:rPr>
          <w:sz w:val="24"/>
          <w:szCs w:val="24"/>
        </w:rPr>
        <w:t xml:space="preserve"> does not limit the establishment of a </w:t>
      </w:r>
      <w:r w:rsidRPr="00B73D10">
        <w:rPr>
          <w:i/>
          <w:sz w:val="24"/>
          <w:szCs w:val="24"/>
        </w:rPr>
        <w:t>prima facie</w:t>
      </w:r>
      <w:r w:rsidRPr="00B73D10">
        <w:rPr>
          <w:sz w:val="24"/>
          <w:szCs w:val="24"/>
        </w:rPr>
        <w:t xml:space="preserve"> case to the above two elements alone.  Rather, the Commission may consider the billing history of </w:t>
      </w:r>
      <w:r w:rsidRPr="00B73D10">
        <w:rPr>
          <w:sz w:val="24"/>
          <w:szCs w:val="24"/>
        </w:rPr>
        <w:lastRenderedPageBreak/>
        <w:t xml:space="preserve">the account, any change in usage patterns (such as a change in the number of occupants residing in the household or potential energy utilization), </w:t>
      </w:r>
      <w:r w:rsidRPr="00B73D10">
        <w:rPr>
          <w:i/>
          <w:sz w:val="24"/>
          <w:szCs w:val="24"/>
        </w:rPr>
        <w:t>and</w:t>
      </w:r>
      <w:r w:rsidRPr="00B73D10">
        <w:rPr>
          <w:b/>
          <w:sz w:val="24"/>
          <w:szCs w:val="24"/>
        </w:rPr>
        <w:t xml:space="preserve"> </w:t>
      </w:r>
      <w:r w:rsidRPr="00B73D10">
        <w:rPr>
          <w:sz w:val="24"/>
          <w:szCs w:val="24"/>
        </w:rPr>
        <w:t>any other relevant facts or circumstances that come to light during the proceeding.</w:t>
      </w:r>
    </w:p>
    <w:p w:rsidR="00980EFC" w:rsidRDefault="00980EFC" w:rsidP="00980EFC">
      <w:pPr>
        <w:tabs>
          <w:tab w:val="left" w:pos="-1440"/>
          <w:tab w:val="left" w:pos="-720"/>
        </w:tabs>
        <w:suppressAutoHyphens/>
        <w:spacing w:line="240" w:lineRule="auto"/>
        <w:rPr>
          <w:sz w:val="24"/>
          <w:szCs w:val="24"/>
          <w:u w:val="single"/>
        </w:rPr>
      </w:pPr>
    </w:p>
    <w:p w:rsidR="00980EFC" w:rsidRDefault="00980EFC" w:rsidP="00980EFC">
      <w:pPr>
        <w:tabs>
          <w:tab w:val="left" w:pos="-1440"/>
          <w:tab w:val="left" w:pos="-720"/>
        </w:tabs>
        <w:suppressAutoHyphens/>
        <w:rPr>
          <w:sz w:val="24"/>
          <w:szCs w:val="24"/>
        </w:rPr>
      </w:pPr>
      <w:r w:rsidRPr="00B73D10">
        <w:rPr>
          <w:sz w:val="24"/>
          <w:szCs w:val="24"/>
          <w:u w:val="single"/>
        </w:rPr>
        <w:t>Bennett</w:t>
      </w:r>
      <w:r w:rsidRPr="00B73D10">
        <w:rPr>
          <w:sz w:val="24"/>
          <w:szCs w:val="24"/>
        </w:rPr>
        <w:t>, Opinion and Order entered October 13, 2010, p. 6 (emphasis in the original).</w:t>
      </w:r>
    </w:p>
    <w:p w:rsidR="00980EFC" w:rsidRDefault="00980EFC" w:rsidP="00980EFC">
      <w:pPr>
        <w:tabs>
          <w:tab w:val="left" w:pos="-1440"/>
          <w:tab w:val="left" w:pos="-720"/>
        </w:tabs>
        <w:suppressAutoHyphens/>
        <w:rPr>
          <w:sz w:val="24"/>
          <w:szCs w:val="24"/>
        </w:rPr>
      </w:pPr>
    </w:p>
    <w:p w:rsidR="00980EFC" w:rsidRDefault="00980EFC" w:rsidP="00980EFC">
      <w:pPr>
        <w:tabs>
          <w:tab w:val="left" w:pos="-1440"/>
          <w:tab w:val="left" w:pos="-720"/>
        </w:tabs>
        <w:suppressAutoHyphens/>
        <w:rPr>
          <w:sz w:val="24"/>
          <w:szCs w:val="24"/>
        </w:rPr>
      </w:pPr>
      <w:r>
        <w:rPr>
          <w:sz w:val="24"/>
          <w:szCs w:val="24"/>
        </w:rPr>
        <w:tab/>
      </w:r>
      <w:r>
        <w:rPr>
          <w:sz w:val="24"/>
          <w:szCs w:val="24"/>
        </w:rPr>
        <w:tab/>
        <w:t xml:space="preserve">In </w:t>
      </w:r>
      <w:r w:rsidRPr="00174631">
        <w:rPr>
          <w:sz w:val="24"/>
          <w:szCs w:val="24"/>
          <w:u w:val="single"/>
        </w:rPr>
        <w:t>Nehemiah B. Thomas v</w:t>
      </w:r>
      <w:r>
        <w:rPr>
          <w:sz w:val="24"/>
          <w:szCs w:val="24"/>
          <w:u w:val="single"/>
        </w:rPr>
        <w:t>.</w:t>
      </w:r>
      <w:r w:rsidRPr="00174631">
        <w:rPr>
          <w:sz w:val="24"/>
          <w:szCs w:val="24"/>
          <w:u w:val="single"/>
        </w:rPr>
        <w:t xml:space="preserve"> PECO Energy Company</w:t>
      </w:r>
      <w:r>
        <w:rPr>
          <w:sz w:val="24"/>
          <w:szCs w:val="24"/>
        </w:rPr>
        <w:t xml:space="preserve">, </w:t>
      </w:r>
      <w:r w:rsidRPr="00B73D10">
        <w:rPr>
          <w:sz w:val="24"/>
          <w:szCs w:val="24"/>
        </w:rPr>
        <w:t>Docket No. C-</w:t>
      </w:r>
      <w:r>
        <w:rPr>
          <w:sz w:val="24"/>
          <w:szCs w:val="24"/>
        </w:rPr>
        <w:t>2010-2187197</w:t>
      </w:r>
      <w:r w:rsidRPr="00B73D10">
        <w:rPr>
          <w:sz w:val="24"/>
          <w:szCs w:val="24"/>
        </w:rPr>
        <w:t xml:space="preserve"> (Opinion and Order entered </w:t>
      </w:r>
      <w:r>
        <w:rPr>
          <w:sz w:val="24"/>
          <w:szCs w:val="24"/>
        </w:rPr>
        <w:t>November 15, 2011</w:t>
      </w:r>
      <w:r w:rsidRPr="00B73D10">
        <w:rPr>
          <w:sz w:val="24"/>
          <w:szCs w:val="24"/>
        </w:rPr>
        <w:t>),</w:t>
      </w:r>
      <w:r>
        <w:rPr>
          <w:sz w:val="24"/>
          <w:szCs w:val="24"/>
        </w:rPr>
        <w:t xml:space="preserve"> the Commission reaffirmed its position in </w:t>
      </w:r>
      <w:r w:rsidRPr="00174631">
        <w:rPr>
          <w:sz w:val="24"/>
          <w:szCs w:val="24"/>
          <w:u w:val="single"/>
        </w:rPr>
        <w:t>Bennett</w:t>
      </w:r>
      <w:r>
        <w:rPr>
          <w:sz w:val="24"/>
          <w:szCs w:val="24"/>
        </w:rPr>
        <w:t>, supra, when it specified:</w:t>
      </w:r>
    </w:p>
    <w:p w:rsidR="00980EFC" w:rsidRDefault="00980EFC" w:rsidP="00980EFC">
      <w:pPr>
        <w:tabs>
          <w:tab w:val="left" w:pos="-1440"/>
          <w:tab w:val="left" w:pos="-720"/>
        </w:tabs>
        <w:suppressAutoHyphens/>
        <w:spacing w:line="240" w:lineRule="auto"/>
        <w:ind w:left="1440"/>
        <w:rPr>
          <w:sz w:val="24"/>
          <w:szCs w:val="24"/>
        </w:rPr>
      </w:pPr>
    </w:p>
    <w:p w:rsidR="00980EFC" w:rsidRPr="00174631" w:rsidRDefault="00980EFC" w:rsidP="000A492A">
      <w:pPr>
        <w:tabs>
          <w:tab w:val="left" w:pos="-1440"/>
          <w:tab w:val="left" w:pos="-720"/>
        </w:tabs>
        <w:suppressAutoHyphens/>
        <w:spacing w:line="240" w:lineRule="auto"/>
        <w:ind w:left="1440" w:right="720"/>
        <w:rPr>
          <w:sz w:val="24"/>
          <w:szCs w:val="24"/>
        </w:rPr>
      </w:pPr>
      <w:r>
        <w:rPr>
          <w:sz w:val="24"/>
          <w:szCs w:val="24"/>
        </w:rPr>
        <w:t xml:space="preserve">[T]he Waldron Rule allows a Complainant to establish a prima facie case in a “high bill” complaint by showing that the disputed bill is abnormally high when compared to prior usage patterns and his or her pattern of usage has not changed </w:t>
      </w:r>
      <w:r>
        <w:rPr>
          <w:i/>
          <w:sz w:val="24"/>
          <w:szCs w:val="24"/>
        </w:rPr>
        <w:t>or by providing other relevant evidence showing that the disputed bill is unreasonably high</w:t>
      </w:r>
      <w:r>
        <w:rPr>
          <w:sz w:val="24"/>
          <w:szCs w:val="24"/>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Pr>
          <w:i/>
          <w:sz w:val="24"/>
          <w:szCs w:val="24"/>
        </w:rPr>
        <w:t>and any other relevant facts or circumstances that come to light during the proceeding</w:t>
      </w:r>
      <w:r>
        <w:rPr>
          <w:sz w:val="24"/>
          <w:szCs w:val="24"/>
        </w:rPr>
        <w:t xml:space="preserve">.  </w:t>
      </w:r>
      <w:proofErr w:type="gramStart"/>
      <w:r>
        <w:rPr>
          <w:sz w:val="24"/>
          <w:szCs w:val="24"/>
        </w:rPr>
        <w:t>(Emphasis in original).</w:t>
      </w:r>
      <w:proofErr w:type="gramEnd"/>
    </w:p>
    <w:p w:rsidR="00980EFC" w:rsidRDefault="00980EFC" w:rsidP="00980EFC">
      <w:pPr>
        <w:pStyle w:val="BodyText"/>
        <w:jc w:val="left"/>
        <w:rPr>
          <w:sz w:val="24"/>
          <w:szCs w:val="24"/>
        </w:rPr>
      </w:pPr>
    </w:p>
    <w:p w:rsidR="00980EFC" w:rsidRDefault="00980EFC" w:rsidP="00980EFC">
      <w:pPr>
        <w:ind w:firstLine="720"/>
        <w:rPr>
          <w:sz w:val="24"/>
          <w:szCs w:val="24"/>
        </w:rPr>
      </w:pPr>
      <w:r w:rsidRPr="00B73D10">
        <w:rPr>
          <w:sz w:val="24"/>
          <w:szCs w:val="24"/>
        </w:rPr>
        <w:tab/>
      </w:r>
      <w:r>
        <w:rPr>
          <w:sz w:val="24"/>
          <w:szCs w:val="24"/>
        </w:rPr>
        <w:t xml:space="preserve">Complainant’s complaint – that he was overcharged for electric service </w:t>
      </w:r>
      <w:r w:rsidR="00DF171A">
        <w:rPr>
          <w:sz w:val="24"/>
          <w:szCs w:val="24"/>
        </w:rPr>
        <w:t xml:space="preserve">and that the utility is forcing him to pay the entire unpaid balance from </w:t>
      </w:r>
      <w:r w:rsidR="00946CB2">
        <w:rPr>
          <w:sz w:val="24"/>
          <w:szCs w:val="24"/>
        </w:rPr>
        <w:t xml:space="preserve">the time period </w:t>
      </w:r>
      <w:r w:rsidR="00DF171A">
        <w:rPr>
          <w:sz w:val="24"/>
          <w:szCs w:val="24"/>
        </w:rPr>
        <w:t xml:space="preserve">before he became the ratepayer of record </w:t>
      </w:r>
      <w:r>
        <w:rPr>
          <w:sz w:val="24"/>
          <w:szCs w:val="24"/>
        </w:rPr>
        <w:t>– must fail for one simple reason:  he consumed the amount of electricity for which he was charged</w:t>
      </w:r>
      <w:r w:rsidR="00946CB2">
        <w:rPr>
          <w:sz w:val="24"/>
          <w:szCs w:val="24"/>
        </w:rPr>
        <w:t>, and he benefitted from the electric service while the account was in another person’s name</w:t>
      </w:r>
      <w:r>
        <w:rPr>
          <w:sz w:val="24"/>
          <w:szCs w:val="24"/>
        </w:rPr>
        <w:t xml:space="preserve">.  He did not show </w:t>
      </w:r>
      <w:r w:rsidR="00DF171A">
        <w:rPr>
          <w:sz w:val="24"/>
          <w:szCs w:val="24"/>
        </w:rPr>
        <w:t>Respondent</w:t>
      </w:r>
      <w:r>
        <w:rPr>
          <w:sz w:val="24"/>
          <w:szCs w:val="24"/>
        </w:rPr>
        <w:t xml:space="preserve"> charged him for electricity he did not actually use.  </w:t>
      </w:r>
      <w:r w:rsidRPr="00B73D10">
        <w:rPr>
          <w:sz w:val="24"/>
          <w:szCs w:val="24"/>
        </w:rPr>
        <w:t>The</w:t>
      </w:r>
      <w:r>
        <w:rPr>
          <w:sz w:val="24"/>
          <w:szCs w:val="24"/>
        </w:rPr>
        <w:t xml:space="preserve"> evidence provided in this proceeding consisted of an account summary with usage levels, testimony about similar usage noted during the winter heating months used by the prior ratepayer at the service address, and an electric meter which tested as accurate</w:t>
      </w:r>
      <w:r w:rsidR="00DF171A">
        <w:rPr>
          <w:sz w:val="24"/>
          <w:szCs w:val="24"/>
        </w:rPr>
        <w:t xml:space="preserve"> under standards established by the Commission</w:t>
      </w:r>
      <w:r>
        <w:rPr>
          <w:sz w:val="24"/>
          <w:szCs w:val="24"/>
        </w:rPr>
        <w:t xml:space="preserve">.   </w:t>
      </w:r>
    </w:p>
    <w:p w:rsidR="00CF32B0" w:rsidRDefault="00CF32B0" w:rsidP="00980EFC">
      <w:pPr>
        <w:ind w:firstLine="720"/>
        <w:rPr>
          <w:sz w:val="24"/>
          <w:szCs w:val="24"/>
        </w:rPr>
      </w:pPr>
    </w:p>
    <w:p w:rsidR="00980EFC" w:rsidRDefault="00980EFC" w:rsidP="00980EFC">
      <w:pPr>
        <w:rPr>
          <w:sz w:val="24"/>
          <w:szCs w:val="24"/>
        </w:rPr>
      </w:pPr>
      <w:r>
        <w:rPr>
          <w:sz w:val="24"/>
          <w:szCs w:val="24"/>
        </w:rPr>
        <w:tab/>
      </w:r>
      <w:r>
        <w:rPr>
          <w:sz w:val="24"/>
          <w:szCs w:val="24"/>
        </w:rPr>
        <w:tab/>
        <w:t xml:space="preserve">Mr. </w:t>
      </w:r>
      <w:proofErr w:type="spellStart"/>
      <w:r w:rsidR="00DF171A">
        <w:rPr>
          <w:sz w:val="24"/>
          <w:szCs w:val="24"/>
        </w:rPr>
        <w:t>Espenship</w:t>
      </w:r>
      <w:proofErr w:type="spellEnd"/>
      <w:r>
        <w:rPr>
          <w:sz w:val="24"/>
          <w:szCs w:val="24"/>
        </w:rPr>
        <w:t xml:space="preserve"> averred </w:t>
      </w:r>
      <w:r w:rsidR="00DF171A">
        <w:rPr>
          <w:sz w:val="24"/>
          <w:szCs w:val="24"/>
        </w:rPr>
        <w:t>PECO</w:t>
      </w:r>
      <w:r>
        <w:rPr>
          <w:sz w:val="24"/>
          <w:szCs w:val="24"/>
        </w:rPr>
        <w:t xml:space="preserve"> charged him for electric service he did not use</w:t>
      </w:r>
      <w:r w:rsidR="00DF171A">
        <w:rPr>
          <w:sz w:val="24"/>
          <w:szCs w:val="24"/>
        </w:rPr>
        <w:t xml:space="preserve"> but PECO</w:t>
      </w:r>
      <w:r>
        <w:rPr>
          <w:sz w:val="24"/>
          <w:szCs w:val="24"/>
        </w:rPr>
        <w:t xml:space="preserve"> proved its meter accurately recorded the electricity consumption at the service address.  </w:t>
      </w:r>
      <w:r w:rsidR="00DF171A">
        <w:rPr>
          <w:sz w:val="24"/>
          <w:szCs w:val="24"/>
        </w:rPr>
        <w:t>In addition</w:t>
      </w:r>
      <w:r>
        <w:rPr>
          <w:sz w:val="24"/>
          <w:szCs w:val="24"/>
        </w:rPr>
        <w:t>, Complainant</w:t>
      </w:r>
      <w:r w:rsidR="00DF171A">
        <w:rPr>
          <w:sz w:val="24"/>
          <w:szCs w:val="24"/>
        </w:rPr>
        <w:t>’s wife admitted they</w:t>
      </w:r>
      <w:r>
        <w:rPr>
          <w:sz w:val="24"/>
          <w:szCs w:val="24"/>
        </w:rPr>
        <w:t xml:space="preserve"> lived at the service address </w:t>
      </w:r>
      <w:r w:rsidR="00DF171A">
        <w:rPr>
          <w:sz w:val="24"/>
          <w:szCs w:val="24"/>
        </w:rPr>
        <w:t xml:space="preserve">for nine years </w:t>
      </w:r>
      <w:r>
        <w:rPr>
          <w:sz w:val="24"/>
          <w:szCs w:val="24"/>
        </w:rPr>
        <w:t xml:space="preserve">prior to </w:t>
      </w:r>
      <w:r w:rsidR="00DF171A">
        <w:rPr>
          <w:sz w:val="24"/>
          <w:szCs w:val="24"/>
        </w:rPr>
        <w:t>May</w:t>
      </w:r>
      <w:r>
        <w:rPr>
          <w:sz w:val="24"/>
          <w:szCs w:val="24"/>
        </w:rPr>
        <w:t xml:space="preserve"> 2012 while </w:t>
      </w:r>
      <w:r w:rsidR="00DF171A">
        <w:rPr>
          <w:sz w:val="24"/>
          <w:szCs w:val="24"/>
        </w:rPr>
        <w:t xml:space="preserve">Mr. </w:t>
      </w:r>
      <w:proofErr w:type="spellStart"/>
      <w:r w:rsidR="00DF171A">
        <w:rPr>
          <w:sz w:val="24"/>
          <w:szCs w:val="24"/>
        </w:rPr>
        <w:t>Espenship’s</w:t>
      </w:r>
      <w:proofErr w:type="spellEnd"/>
      <w:r w:rsidR="00DF171A">
        <w:rPr>
          <w:sz w:val="24"/>
          <w:szCs w:val="24"/>
        </w:rPr>
        <w:t xml:space="preserve"> mother was supposedly paying on the account</w:t>
      </w:r>
      <w:r>
        <w:rPr>
          <w:sz w:val="24"/>
          <w:szCs w:val="24"/>
        </w:rPr>
        <w:t xml:space="preserve">.  </w:t>
      </w:r>
      <w:r w:rsidR="00DF171A">
        <w:rPr>
          <w:sz w:val="24"/>
          <w:szCs w:val="24"/>
        </w:rPr>
        <w:t>Sh</w:t>
      </w:r>
      <w:r>
        <w:rPr>
          <w:sz w:val="24"/>
          <w:szCs w:val="24"/>
        </w:rPr>
        <w:t xml:space="preserve">e testified </w:t>
      </w:r>
      <w:r w:rsidR="00DF171A">
        <w:rPr>
          <w:sz w:val="24"/>
          <w:szCs w:val="24"/>
        </w:rPr>
        <w:lastRenderedPageBreak/>
        <w:t xml:space="preserve">credibly that they assumed her mother-in-law was paying on the account and they provided her with money to make those payments.  Only upon termination of electric service in May 2012 did Mr. and Mrs. </w:t>
      </w:r>
      <w:proofErr w:type="spellStart"/>
      <w:r w:rsidR="00DF171A">
        <w:rPr>
          <w:sz w:val="24"/>
          <w:szCs w:val="24"/>
        </w:rPr>
        <w:t>Espenship</w:t>
      </w:r>
      <w:proofErr w:type="spellEnd"/>
      <w:r w:rsidR="00DF171A">
        <w:rPr>
          <w:sz w:val="24"/>
          <w:szCs w:val="24"/>
        </w:rPr>
        <w:t xml:space="preserve"> learn about the unpaid balance on the PECO account.  However, Complainant does not dispute they lived at the home while the unpaid balance accrued.  In addition, PECO proved the consumption levels recorded for the service address were within the realm of potential usage and followed expected seasonal trends.  </w:t>
      </w:r>
    </w:p>
    <w:p w:rsidR="00DF171A" w:rsidRDefault="00DF171A" w:rsidP="00980EFC">
      <w:pPr>
        <w:rPr>
          <w:sz w:val="24"/>
          <w:szCs w:val="24"/>
        </w:rPr>
      </w:pPr>
    </w:p>
    <w:p w:rsidR="00980EFC" w:rsidRDefault="00980EFC" w:rsidP="00980EFC">
      <w:pPr>
        <w:rPr>
          <w:sz w:val="24"/>
          <w:szCs w:val="24"/>
        </w:rPr>
      </w:pPr>
      <w:r>
        <w:rPr>
          <w:sz w:val="24"/>
          <w:szCs w:val="24"/>
        </w:rPr>
        <w:tab/>
      </w:r>
      <w:r>
        <w:rPr>
          <w:sz w:val="24"/>
          <w:szCs w:val="24"/>
        </w:rPr>
        <w:tab/>
        <w:t xml:space="preserve">A </w:t>
      </w:r>
      <w:r w:rsidRPr="00501F26">
        <w:rPr>
          <w:sz w:val="24"/>
          <w:szCs w:val="24"/>
        </w:rPr>
        <w:t xml:space="preserve">public utility is entitled to receive payment for the service it provides. </w:t>
      </w:r>
      <w:r>
        <w:rPr>
          <w:sz w:val="24"/>
          <w:szCs w:val="24"/>
        </w:rPr>
        <w:t xml:space="preserve"> </w:t>
      </w:r>
      <w:proofErr w:type="spellStart"/>
      <w:r w:rsidRPr="001044F7">
        <w:rPr>
          <w:sz w:val="24"/>
          <w:szCs w:val="24"/>
          <w:u w:val="single"/>
        </w:rPr>
        <w:t>Scaccia</w:t>
      </w:r>
      <w:proofErr w:type="spellEnd"/>
      <w:r>
        <w:rPr>
          <w:sz w:val="24"/>
          <w:szCs w:val="24"/>
          <w:u w:val="single"/>
        </w:rPr>
        <w:t> </w:t>
      </w:r>
      <w:r w:rsidRPr="001044F7">
        <w:rPr>
          <w:sz w:val="24"/>
          <w:szCs w:val="24"/>
          <w:u w:val="single"/>
        </w:rPr>
        <w:t>v. West Penn Power Co.</w:t>
      </w:r>
      <w:r w:rsidRPr="00501F26">
        <w:rPr>
          <w:sz w:val="24"/>
          <w:szCs w:val="24"/>
        </w:rPr>
        <w:t xml:space="preserve">, 55 Pa. PUC 637 (1982); </w:t>
      </w:r>
      <w:r w:rsidRPr="00501F26">
        <w:rPr>
          <w:i/>
          <w:iCs/>
          <w:sz w:val="24"/>
          <w:szCs w:val="24"/>
        </w:rPr>
        <w:t>see also</w:t>
      </w:r>
      <w:r w:rsidRPr="00501F26">
        <w:rPr>
          <w:sz w:val="24"/>
          <w:szCs w:val="24"/>
        </w:rPr>
        <w:t xml:space="preserve">, </w:t>
      </w:r>
      <w:r w:rsidRPr="001044F7">
        <w:rPr>
          <w:sz w:val="24"/>
          <w:szCs w:val="24"/>
          <w:u w:val="single"/>
        </w:rPr>
        <w:t>Kea v. Peoples Natural Gas Co.</w:t>
      </w:r>
      <w:r w:rsidRPr="00501F26">
        <w:rPr>
          <w:sz w:val="24"/>
          <w:szCs w:val="24"/>
        </w:rPr>
        <w:t xml:space="preserve">, 60 Pa. PUC 215 (1985); </w:t>
      </w:r>
      <w:r w:rsidRPr="001044F7">
        <w:rPr>
          <w:sz w:val="24"/>
          <w:szCs w:val="24"/>
          <w:u w:val="single"/>
        </w:rPr>
        <w:t xml:space="preserve">Mill v. Pa. Pub. </w:t>
      </w:r>
      <w:proofErr w:type="gramStart"/>
      <w:r w:rsidRPr="001044F7">
        <w:rPr>
          <w:sz w:val="24"/>
          <w:szCs w:val="24"/>
          <w:u w:val="single"/>
        </w:rPr>
        <w:t>Util. Comm</w:t>
      </w:r>
      <w:r w:rsidR="00D947AA">
        <w:rPr>
          <w:sz w:val="24"/>
          <w:szCs w:val="24"/>
          <w:u w:val="single"/>
        </w:rPr>
        <w:t>’</w:t>
      </w:r>
      <w:r w:rsidRPr="001044F7">
        <w:rPr>
          <w:sz w:val="24"/>
          <w:szCs w:val="24"/>
          <w:u w:val="single"/>
        </w:rPr>
        <w:t>n</w:t>
      </w:r>
      <w:r w:rsidRPr="00501F26">
        <w:rPr>
          <w:sz w:val="24"/>
          <w:szCs w:val="24"/>
        </w:rPr>
        <w:t xml:space="preserve">, 447 A.2d 1100 (Pa. </w:t>
      </w:r>
      <w:proofErr w:type="spellStart"/>
      <w:r w:rsidRPr="00501F26">
        <w:rPr>
          <w:sz w:val="24"/>
          <w:szCs w:val="24"/>
        </w:rPr>
        <w:t>Cmwlth</w:t>
      </w:r>
      <w:proofErr w:type="spellEnd"/>
      <w:r w:rsidRPr="00501F26">
        <w:rPr>
          <w:sz w:val="24"/>
          <w:szCs w:val="24"/>
        </w:rPr>
        <w:t>.</w:t>
      </w:r>
      <w:r>
        <w:rPr>
          <w:sz w:val="24"/>
          <w:szCs w:val="24"/>
        </w:rPr>
        <w:t xml:space="preserve"> </w:t>
      </w:r>
      <w:r w:rsidRPr="00501F26">
        <w:rPr>
          <w:sz w:val="24"/>
          <w:szCs w:val="24"/>
        </w:rPr>
        <w:t>1982).</w:t>
      </w:r>
      <w:proofErr w:type="gramEnd"/>
      <w:r w:rsidRPr="00501F26">
        <w:rPr>
          <w:sz w:val="24"/>
          <w:szCs w:val="24"/>
        </w:rPr>
        <w:t xml:space="preserve"> </w:t>
      </w:r>
      <w:r w:rsidR="00712853">
        <w:rPr>
          <w:sz w:val="24"/>
          <w:szCs w:val="24"/>
        </w:rPr>
        <w:t xml:space="preserve"> PECO provided electric service to the service address while Complainant and his wife resided there and benefitted from the electricity.  They are responsible to repay the full amount of the unpaid balance despite the fact they assumed Complainant’s mother was paying the bills during those years.  </w:t>
      </w:r>
      <w:r w:rsidRPr="00501F26">
        <w:rPr>
          <w:sz w:val="24"/>
          <w:szCs w:val="24"/>
        </w:rPr>
        <w:br/>
      </w:r>
    </w:p>
    <w:p w:rsidR="00980EFC" w:rsidRDefault="00980EFC" w:rsidP="00980EFC">
      <w:pPr>
        <w:rPr>
          <w:sz w:val="24"/>
          <w:szCs w:val="24"/>
        </w:rPr>
      </w:pPr>
      <w:r>
        <w:rPr>
          <w:sz w:val="24"/>
          <w:szCs w:val="24"/>
        </w:rPr>
        <w:tab/>
      </w:r>
      <w:r>
        <w:rPr>
          <w:sz w:val="24"/>
          <w:szCs w:val="24"/>
        </w:rPr>
        <w:tab/>
        <w:t xml:space="preserve">Lastly, it should be noted </w:t>
      </w:r>
      <w:r w:rsidR="00FC5156">
        <w:rPr>
          <w:sz w:val="24"/>
          <w:szCs w:val="24"/>
        </w:rPr>
        <w:t>PECO</w:t>
      </w:r>
      <w:r>
        <w:rPr>
          <w:sz w:val="24"/>
          <w:szCs w:val="24"/>
        </w:rPr>
        <w:t xml:space="preserve"> complied with the Commission’s directives in a high bill dispute.  </w:t>
      </w:r>
      <w:r w:rsidR="00DF171A">
        <w:rPr>
          <w:sz w:val="24"/>
          <w:szCs w:val="24"/>
        </w:rPr>
        <w:t>PECO tested</w:t>
      </w:r>
      <w:r>
        <w:rPr>
          <w:sz w:val="24"/>
          <w:szCs w:val="24"/>
        </w:rPr>
        <w:t xml:space="preserve"> the electric meter for accuracy</w:t>
      </w:r>
      <w:r w:rsidR="00DF171A">
        <w:rPr>
          <w:sz w:val="24"/>
          <w:szCs w:val="24"/>
        </w:rPr>
        <w:t xml:space="preserve"> and PECO</w:t>
      </w:r>
      <w:r>
        <w:rPr>
          <w:sz w:val="24"/>
          <w:szCs w:val="24"/>
        </w:rPr>
        <w:t xml:space="preserve"> considered the history of consumption levels at the service address.  </w:t>
      </w:r>
      <w:r w:rsidR="00DF171A">
        <w:rPr>
          <w:sz w:val="24"/>
          <w:szCs w:val="24"/>
        </w:rPr>
        <w:t xml:space="preserve">Although PECO did not make this determination in 2013, during the high bill investigation in 2010 PECO </w:t>
      </w:r>
      <w:r>
        <w:rPr>
          <w:sz w:val="24"/>
          <w:szCs w:val="24"/>
        </w:rPr>
        <w:t>investigated the service address</w:t>
      </w:r>
      <w:r w:rsidR="00DF171A">
        <w:rPr>
          <w:sz w:val="24"/>
          <w:szCs w:val="24"/>
        </w:rPr>
        <w:t xml:space="preserve"> more fully and determined</w:t>
      </w:r>
      <w:r>
        <w:rPr>
          <w:sz w:val="24"/>
          <w:szCs w:val="24"/>
        </w:rPr>
        <w:t xml:space="preserve"> the level of consumption which the service address could potentially consume</w:t>
      </w:r>
      <w:r w:rsidR="00DF171A">
        <w:rPr>
          <w:sz w:val="24"/>
          <w:szCs w:val="24"/>
        </w:rPr>
        <w:t xml:space="preserve">.  </w:t>
      </w:r>
      <w:r>
        <w:rPr>
          <w:sz w:val="24"/>
          <w:szCs w:val="24"/>
        </w:rPr>
        <w:t xml:space="preserve">Accordingly, </w:t>
      </w:r>
      <w:r w:rsidR="00DF171A">
        <w:rPr>
          <w:sz w:val="24"/>
          <w:szCs w:val="24"/>
        </w:rPr>
        <w:t xml:space="preserve">Mr. </w:t>
      </w:r>
      <w:proofErr w:type="spellStart"/>
      <w:r w:rsidR="00DF171A">
        <w:rPr>
          <w:sz w:val="24"/>
          <w:szCs w:val="24"/>
        </w:rPr>
        <w:t>Espenship’s</w:t>
      </w:r>
      <w:proofErr w:type="spellEnd"/>
      <w:r>
        <w:rPr>
          <w:sz w:val="24"/>
          <w:szCs w:val="24"/>
        </w:rPr>
        <w:t xml:space="preserve"> complaint that he was overcharged for electric service is denied.  </w:t>
      </w:r>
    </w:p>
    <w:p w:rsidR="00CF32B0" w:rsidRPr="00CE163A" w:rsidRDefault="00CF32B0" w:rsidP="00980EFC">
      <w:pPr>
        <w:rPr>
          <w:sz w:val="24"/>
          <w:szCs w:val="24"/>
        </w:rPr>
      </w:pPr>
    </w:p>
    <w:p w:rsidR="00B21A12" w:rsidRPr="00735E13" w:rsidRDefault="00735E13" w:rsidP="00DE2949">
      <w:pPr>
        <w:tabs>
          <w:tab w:val="left" w:pos="-1440"/>
          <w:tab w:val="left" w:pos="-720"/>
        </w:tabs>
        <w:suppressAutoHyphens/>
        <w:rPr>
          <w:sz w:val="24"/>
          <w:szCs w:val="24"/>
          <w:u w:val="single"/>
        </w:rPr>
      </w:pPr>
      <w:r w:rsidRPr="00735E13">
        <w:rPr>
          <w:spacing w:val="-3"/>
          <w:sz w:val="24"/>
          <w:szCs w:val="24"/>
          <w:u w:val="single"/>
        </w:rPr>
        <w:t xml:space="preserve">Payment </w:t>
      </w:r>
      <w:r>
        <w:rPr>
          <w:spacing w:val="-3"/>
          <w:sz w:val="24"/>
          <w:szCs w:val="24"/>
          <w:u w:val="single"/>
        </w:rPr>
        <w:t>Agreement</w:t>
      </w:r>
    </w:p>
    <w:p w:rsidR="00735E13" w:rsidRPr="00735E13" w:rsidRDefault="00735E13" w:rsidP="00735E13">
      <w:pPr>
        <w:ind w:firstLine="1440"/>
        <w:rPr>
          <w:sz w:val="24"/>
          <w:szCs w:val="24"/>
        </w:rPr>
      </w:pPr>
    </w:p>
    <w:p w:rsidR="00735E13" w:rsidRPr="00735E13" w:rsidRDefault="00735E13" w:rsidP="00735E13">
      <w:pPr>
        <w:ind w:firstLine="1440"/>
        <w:rPr>
          <w:sz w:val="24"/>
          <w:szCs w:val="24"/>
        </w:rPr>
      </w:pPr>
      <w:r w:rsidRPr="00735E13">
        <w:rPr>
          <w:sz w:val="24"/>
          <w:szCs w:val="24"/>
        </w:rPr>
        <w:t>The Responsible Utility Customer Protection Act, 66 Pa.C.S.</w:t>
      </w:r>
      <w:r w:rsidR="0025358F">
        <w:rPr>
          <w:sz w:val="24"/>
          <w:szCs w:val="24"/>
        </w:rPr>
        <w:t>A.</w:t>
      </w:r>
      <w:r w:rsidRPr="00735E13">
        <w:rPr>
          <w:sz w:val="24"/>
          <w:szCs w:val="24"/>
        </w:rPr>
        <w:t xml:space="preserve"> §§ 1401, </w:t>
      </w:r>
      <w:r w:rsidRPr="00735E13">
        <w:rPr>
          <w:i/>
          <w:sz w:val="24"/>
          <w:szCs w:val="24"/>
        </w:rPr>
        <w:t>et seq</w:t>
      </w:r>
      <w:r w:rsidRPr="00735E13">
        <w:rPr>
          <w:sz w:val="24"/>
          <w:szCs w:val="24"/>
        </w:rPr>
        <w:t xml:space="preserve">. (the Act or Chapter 14) applies to </w:t>
      </w:r>
      <w:r w:rsidR="00946CB2">
        <w:rPr>
          <w:sz w:val="24"/>
          <w:szCs w:val="24"/>
        </w:rPr>
        <w:t>customers</w:t>
      </w:r>
      <w:r w:rsidRPr="00735E13">
        <w:rPr>
          <w:sz w:val="24"/>
          <w:szCs w:val="24"/>
        </w:rPr>
        <w:t xml:space="preserve"> alleging </w:t>
      </w:r>
      <w:r w:rsidR="00946CB2">
        <w:rPr>
          <w:sz w:val="24"/>
          <w:szCs w:val="24"/>
        </w:rPr>
        <w:t xml:space="preserve">an </w:t>
      </w:r>
      <w:r w:rsidRPr="00735E13">
        <w:rPr>
          <w:sz w:val="24"/>
          <w:szCs w:val="24"/>
        </w:rPr>
        <w:t>inability to pay and request</w:t>
      </w:r>
      <w:r w:rsidR="00946CB2">
        <w:rPr>
          <w:sz w:val="24"/>
          <w:szCs w:val="24"/>
        </w:rPr>
        <w:t xml:space="preserve">ing a </w:t>
      </w:r>
      <w:r w:rsidRPr="00735E13">
        <w:rPr>
          <w:sz w:val="24"/>
          <w:szCs w:val="24"/>
        </w:rPr>
        <w:t>Commission-issued payment agreement.  This law provides strict guidelines that the Commission must follow in handling customer complaints.</w:t>
      </w:r>
    </w:p>
    <w:p w:rsidR="00735E13" w:rsidRPr="00735E13" w:rsidRDefault="00735E13" w:rsidP="00735E13">
      <w:pPr>
        <w:rPr>
          <w:sz w:val="24"/>
          <w:szCs w:val="24"/>
          <w:u w:val="single"/>
        </w:rPr>
      </w:pPr>
    </w:p>
    <w:p w:rsidR="00735E13" w:rsidRPr="00735E13" w:rsidRDefault="00735E13" w:rsidP="00735E13">
      <w:pPr>
        <w:ind w:firstLine="1440"/>
        <w:rPr>
          <w:sz w:val="24"/>
          <w:szCs w:val="24"/>
        </w:rPr>
      </w:pPr>
      <w:r w:rsidRPr="00735E13">
        <w:rPr>
          <w:sz w:val="24"/>
          <w:szCs w:val="24"/>
        </w:rPr>
        <w:lastRenderedPageBreak/>
        <w:t>The Public Utility Code permits the Commission to grant one (1) payment agreement and dictates its terms.</w:t>
      </w:r>
      <w:r>
        <w:rPr>
          <w:rStyle w:val="FootnoteReference"/>
          <w:sz w:val="24"/>
          <w:szCs w:val="24"/>
        </w:rPr>
        <w:footnoteReference w:id="12"/>
      </w:r>
      <w:r w:rsidRPr="00735E13">
        <w:rPr>
          <w:sz w:val="24"/>
          <w:szCs w:val="24"/>
        </w:rPr>
        <w:t xml:space="preserve">  Complainant </w:t>
      </w:r>
      <w:r>
        <w:rPr>
          <w:sz w:val="24"/>
          <w:szCs w:val="24"/>
        </w:rPr>
        <w:t xml:space="preserve">herein </w:t>
      </w:r>
      <w:r w:rsidRPr="00735E13">
        <w:rPr>
          <w:sz w:val="24"/>
          <w:szCs w:val="24"/>
        </w:rPr>
        <w:t xml:space="preserve">has not received a payment agreement from the Commission.  Although </w:t>
      </w:r>
      <w:r>
        <w:rPr>
          <w:sz w:val="24"/>
          <w:szCs w:val="24"/>
        </w:rPr>
        <w:t xml:space="preserve">there is a long and </w:t>
      </w:r>
      <w:r w:rsidRPr="00735E13">
        <w:rPr>
          <w:sz w:val="24"/>
          <w:szCs w:val="24"/>
        </w:rPr>
        <w:t>troubled payment history</w:t>
      </w:r>
      <w:r>
        <w:rPr>
          <w:sz w:val="24"/>
          <w:szCs w:val="24"/>
        </w:rPr>
        <w:t xml:space="preserve"> on this account before Complainant accepted responsibility</w:t>
      </w:r>
      <w:r w:rsidRPr="00735E13">
        <w:rPr>
          <w:sz w:val="24"/>
          <w:szCs w:val="24"/>
        </w:rPr>
        <w:t xml:space="preserve">, </w:t>
      </w:r>
      <w:r>
        <w:rPr>
          <w:sz w:val="24"/>
          <w:szCs w:val="24"/>
        </w:rPr>
        <w:t xml:space="preserve">and extended periods of non-payment </w:t>
      </w:r>
      <w:r w:rsidRPr="00946CB2">
        <w:rPr>
          <w:sz w:val="24"/>
          <w:szCs w:val="24"/>
          <w:u w:val="single"/>
        </w:rPr>
        <w:t>after</w:t>
      </w:r>
      <w:r>
        <w:rPr>
          <w:sz w:val="24"/>
          <w:szCs w:val="24"/>
        </w:rPr>
        <w:t xml:space="preserve"> he accepted responsibility, </w:t>
      </w:r>
      <w:r w:rsidRPr="00735E13">
        <w:rPr>
          <w:sz w:val="24"/>
          <w:szCs w:val="24"/>
        </w:rPr>
        <w:t xml:space="preserve">it is nevertheless appropriate to grant </w:t>
      </w:r>
      <w:r>
        <w:rPr>
          <w:sz w:val="24"/>
          <w:szCs w:val="24"/>
        </w:rPr>
        <w:t>him</w:t>
      </w:r>
      <w:r w:rsidRPr="00735E13">
        <w:rPr>
          <w:sz w:val="24"/>
          <w:szCs w:val="24"/>
        </w:rPr>
        <w:t xml:space="preserve"> this first payment agreement.  However, Complainant is cautioned the Commission is only authorized to direct a utility to provide one p</w:t>
      </w:r>
      <w:r>
        <w:rPr>
          <w:sz w:val="24"/>
          <w:szCs w:val="24"/>
        </w:rPr>
        <w:t xml:space="preserve">ayment agreement.  In the event </w:t>
      </w:r>
      <w:r w:rsidRPr="00735E13">
        <w:rPr>
          <w:sz w:val="24"/>
          <w:szCs w:val="24"/>
        </w:rPr>
        <w:t>he fails to comply with the terms of the agreement, the Commission will not order a second or subsequent agreement absent a statutory change in income or significant change in circumstance.</w:t>
      </w:r>
      <w:r>
        <w:rPr>
          <w:rStyle w:val="FootnoteReference"/>
          <w:sz w:val="24"/>
          <w:szCs w:val="24"/>
        </w:rPr>
        <w:footnoteReference w:id="13"/>
      </w:r>
      <w:r w:rsidRPr="00735E13">
        <w:rPr>
          <w:sz w:val="24"/>
          <w:szCs w:val="24"/>
        </w:rPr>
        <w:t xml:space="preserve">  </w:t>
      </w:r>
    </w:p>
    <w:p w:rsidR="00735E13" w:rsidRPr="00735E13" w:rsidRDefault="00735E13" w:rsidP="00735E13">
      <w:pPr>
        <w:ind w:firstLine="1440"/>
        <w:rPr>
          <w:sz w:val="24"/>
          <w:szCs w:val="24"/>
        </w:rPr>
      </w:pPr>
    </w:p>
    <w:p w:rsidR="00735E13" w:rsidRPr="00735E13" w:rsidRDefault="00735E13" w:rsidP="00735E13">
      <w:pPr>
        <w:ind w:firstLine="1354"/>
        <w:rPr>
          <w:sz w:val="24"/>
          <w:szCs w:val="24"/>
        </w:rPr>
      </w:pPr>
      <w:r>
        <w:rPr>
          <w:sz w:val="24"/>
          <w:szCs w:val="24"/>
        </w:rPr>
        <w:t xml:space="preserve">Mrs. </w:t>
      </w:r>
      <w:proofErr w:type="spellStart"/>
      <w:r>
        <w:rPr>
          <w:sz w:val="24"/>
          <w:szCs w:val="24"/>
        </w:rPr>
        <w:t>Espenship</w:t>
      </w:r>
      <w:proofErr w:type="spellEnd"/>
      <w:r w:rsidRPr="00735E13">
        <w:rPr>
          <w:sz w:val="24"/>
          <w:szCs w:val="24"/>
        </w:rPr>
        <w:t xml:space="preserve"> testified she lives with her husband at the </w:t>
      </w:r>
      <w:r>
        <w:rPr>
          <w:sz w:val="24"/>
          <w:szCs w:val="24"/>
        </w:rPr>
        <w:t>s</w:t>
      </w:r>
      <w:r w:rsidRPr="00735E13">
        <w:rPr>
          <w:sz w:val="24"/>
          <w:szCs w:val="24"/>
        </w:rPr>
        <w:t xml:space="preserve">ervice </w:t>
      </w:r>
      <w:r>
        <w:rPr>
          <w:sz w:val="24"/>
          <w:szCs w:val="24"/>
        </w:rPr>
        <w:t>a</w:t>
      </w:r>
      <w:r w:rsidRPr="00735E13">
        <w:rPr>
          <w:sz w:val="24"/>
          <w:szCs w:val="24"/>
        </w:rPr>
        <w:t>ddress.  Complainant works full time and earns $</w:t>
      </w:r>
      <w:r>
        <w:rPr>
          <w:sz w:val="24"/>
          <w:szCs w:val="24"/>
        </w:rPr>
        <w:t>2,580 per month</w:t>
      </w:r>
      <w:r w:rsidRPr="00735E13">
        <w:rPr>
          <w:sz w:val="24"/>
          <w:szCs w:val="24"/>
        </w:rPr>
        <w:t>.</w:t>
      </w:r>
      <w:r>
        <w:rPr>
          <w:rStyle w:val="FootnoteReference"/>
          <w:sz w:val="24"/>
          <w:szCs w:val="24"/>
        </w:rPr>
        <w:footnoteReference w:id="14"/>
      </w:r>
      <w:r w:rsidRPr="00735E13">
        <w:rPr>
          <w:sz w:val="24"/>
          <w:szCs w:val="24"/>
        </w:rPr>
        <w:t xml:space="preserve">  </w:t>
      </w:r>
      <w:r>
        <w:rPr>
          <w:sz w:val="24"/>
          <w:szCs w:val="24"/>
        </w:rPr>
        <w:t xml:space="preserve">Mrs. </w:t>
      </w:r>
      <w:proofErr w:type="spellStart"/>
      <w:r>
        <w:rPr>
          <w:sz w:val="24"/>
          <w:szCs w:val="24"/>
        </w:rPr>
        <w:t>Espenship</w:t>
      </w:r>
      <w:proofErr w:type="spellEnd"/>
      <w:r>
        <w:rPr>
          <w:sz w:val="24"/>
          <w:szCs w:val="24"/>
        </w:rPr>
        <w:t xml:space="preserve"> works 30 hours per week and earns $1,225 per month.</w:t>
      </w:r>
      <w:r>
        <w:rPr>
          <w:rStyle w:val="FootnoteReference"/>
          <w:sz w:val="24"/>
          <w:szCs w:val="24"/>
        </w:rPr>
        <w:footnoteReference w:id="15"/>
      </w:r>
      <w:r>
        <w:rPr>
          <w:sz w:val="24"/>
          <w:szCs w:val="24"/>
        </w:rPr>
        <w:t xml:space="preserve">  </w:t>
      </w:r>
      <w:r w:rsidRPr="00735E13">
        <w:rPr>
          <w:sz w:val="24"/>
          <w:szCs w:val="24"/>
        </w:rPr>
        <w:t xml:space="preserve">Complainant’s monthly household income is approximately $4,353.  For a household of four (4), the Complainant’s monthly </w:t>
      </w:r>
      <w:r w:rsidR="0054305A">
        <w:rPr>
          <w:sz w:val="24"/>
          <w:szCs w:val="24"/>
        </w:rPr>
        <w:t>household income is more than 250% but less than 30</w:t>
      </w:r>
      <w:r w:rsidRPr="00735E13">
        <w:rPr>
          <w:sz w:val="24"/>
          <w:szCs w:val="24"/>
        </w:rPr>
        <w:t xml:space="preserve">0% of the Federal poverty level.  </w:t>
      </w:r>
    </w:p>
    <w:p w:rsidR="00735E13" w:rsidRPr="00735E13" w:rsidRDefault="00735E13" w:rsidP="00735E13">
      <w:pPr>
        <w:ind w:firstLine="1354"/>
        <w:rPr>
          <w:sz w:val="24"/>
          <w:szCs w:val="24"/>
        </w:rPr>
      </w:pPr>
    </w:p>
    <w:p w:rsidR="00735E13" w:rsidRPr="00735E13" w:rsidRDefault="00735E13" w:rsidP="00735E13">
      <w:pPr>
        <w:ind w:firstLine="1354"/>
        <w:rPr>
          <w:sz w:val="24"/>
          <w:szCs w:val="24"/>
        </w:rPr>
      </w:pPr>
      <w:r w:rsidRPr="00735E13">
        <w:rPr>
          <w:sz w:val="24"/>
          <w:szCs w:val="24"/>
        </w:rPr>
        <w:t xml:space="preserve">Accordingly, the Commission has the authority to establish a payment agreement of </w:t>
      </w:r>
      <w:r w:rsidR="0054305A">
        <w:rPr>
          <w:sz w:val="24"/>
          <w:szCs w:val="24"/>
        </w:rPr>
        <w:t>one</w:t>
      </w:r>
      <w:r w:rsidRPr="00735E13">
        <w:rPr>
          <w:sz w:val="24"/>
          <w:szCs w:val="24"/>
        </w:rPr>
        <w:t xml:space="preserve"> (</w:t>
      </w:r>
      <w:r w:rsidR="0054305A">
        <w:rPr>
          <w:sz w:val="24"/>
          <w:szCs w:val="24"/>
        </w:rPr>
        <w:t>1</w:t>
      </w:r>
      <w:r w:rsidRPr="00735E13">
        <w:rPr>
          <w:sz w:val="24"/>
          <w:szCs w:val="24"/>
        </w:rPr>
        <w:t>) year for Complainant</w:t>
      </w:r>
      <w:r w:rsidR="00856305">
        <w:rPr>
          <w:sz w:val="24"/>
          <w:szCs w:val="24"/>
        </w:rPr>
        <w:t xml:space="preserve"> pursuant to 66 </w:t>
      </w:r>
      <w:proofErr w:type="spellStart"/>
      <w:r w:rsidR="00856305">
        <w:rPr>
          <w:sz w:val="24"/>
          <w:szCs w:val="24"/>
        </w:rPr>
        <w:t>Pa.</w:t>
      </w:r>
      <w:r w:rsidR="0054305A">
        <w:rPr>
          <w:sz w:val="24"/>
          <w:szCs w:val="24"/>
        </w:rPr>
        <w:t>C.S.</w:t>
      </w:r>
      <w:r w:rsidR="00856305">
        <w:rPr>
          <w:sz w:val="24"/>
          <w:szCs w:val="24"/>
        </w:rPr>
        <w:t>A</w:t>
      </w:r>
      <w:proofErr w:type="spellEnd"/>
      <w:r w:rsidR="00856305">
        <w:rPr>
          <w:sz w:val="24"/>
          <w:szCs w:val="24"/>
        </w:rPr>
        <w:t>.</w:t>
      </w:r>
      <w:r w:rsidR="0054305A">
        <w:rPr>
          <w:sz w:val="24"/>
          <w:szCs w:val="24"/>
        </w:rPr>
        <w:t xml:space="preserve"> § 1405(b</w:t>
      </w:r>
      <w:proofErr w:type="gramStart"/>
      <w:r w:rsidR="0054305A">
        <w:rPr>
          <w:sz w:val="24"/>
          <w:szCs w:val="24"/>
        </w:rPr>
        <w:t>)(</w:t>
      </w:r>
      <w:proofErr w:type="gramEnd"/>
      <w:r w:rsidR="0054305A">
        <w:rPr>
          <w:sz w:val="24"/>
          <w:szCs w:val="24"/>
        </w:rPr>
        <w:t>3</w:t>
      </w:r>
      <w:r w:rsidRPr="00735E13">
        <w:rPr>
          <w:sz w:val="24"/>
          <w:szCs w:val="24"/>
        </w:rPr>
        <w:t xml:space="preserve">).  Beginning with the first bill following the Commission’s Final Order in this case, Complainant is required to pay </w:t>
      </w:r>
      <w:r w:rsidR="00CA2DA8">
        <w:rPr>
          <w:sz w:val="24"/>
          <w:szCs w:val="24"/>
        </w:rPr>
        <w:t>the</w:t>
      </w:r>
      <w:r w:rsidRPr="00735E13">
        <w:rPr>
          <w:sz w:val="24"/>
          <w:szCs w:val="24"/>
        </w:rPr>
        <w:t xml:space="preserve"> current charges plus an amount equal to one </w:t>
      </w:r>
      <w:r w:rsidR="00CA2DA8">
        <w:rPr>
          <w:sz w:val="24"/>
          <w:szCs w:val="24"/>
        </w:rPr>
        <w:t>twelfth</w:t>
      </w:r>
      <w:r w:rsidRPr="00735E13">
        <w:rPr>
          <w:sz w:val="24"/>
          <w:szCs w:val="24"/>
        </w:rPr>
        <w:t xml:space="preserve"> (1/</w:t>
      </w:r>
      <w:r w:rsidR="00CA2DA8">
        <w:rPr>
          <w:sz w:val="24"/>
          <w:szCs w:val="24"/>
        </w:rPr>
        <w:t>12</w:t>
      </w:r>
      <w:r w:rsidRPr="00735E13">
        <w:rPr>
          <w:sz w:val="24"/>
          <w:szCs w:val="24"/>
          <w:vertAlign w:val="superscript"/>
        </w:rPr>
        <w:t>th</w:t>
      </w:r>
      <w:r w:rsidRPr="00735E13">
        <w:rPr>
          <w:sz w:val="24"/>
          <w:szCs w:val="24"/>
        </w:rPr>
        <w:t xml:space="preserve">) of the balance accrued on </w:t>
      </w:r>
      <w:r w:rsidR="00CA2DA8">
        <w:rPr>
          <w:sz w:val="24"/>
          <w:szCs w:val="24"/>
        </w:rPr>
        <w:t xml:space="preserve">the </w:t>
      </w:r>
      <w:r w:rsidRPr="00735E13">
        <w:rPr>
          <w:sz w:val="24"/>
          <w:szCs w:val="24"/>
        </w:rPr>
        <w:t xml:space="preserve">account.  If </w:t>
      </w:r>
      <w:r w:rsidR="00CA2DA8">
        <w:rPr>
          <w:sz w:val="24"/>
          <w:szCs w:val="24"/>
        </w:rPr>
        <w:t>Complainant</w:t>
      </w:r>
      <w:r w:rsidRPr="00735E13">
        <w:rPr>
          <w:sz w:val="24"/>
          <w:szCs w:val="24"/>
        </w:rPr>
        <w:t xml:space="preserve"> fails to keep this payment schedule, PECO is authorized to suspend or terminate service in accordance with the Commission’s statute and regulations.</w:t>
      </w:r>
    </w:p>
    <w:p w:rsidR="00735E13" w:rsidRDefault="00735E13" w:rsidP="00735E13">
      <w:pPr>
        <w:ind w:firstLine="1354"/>
        <w:rPr>
          <w:sz w:val="24"/>
          <w:szCs w:val="24"/>
        </w:rPr>
      </w:pPr>
    </w:p>
    <w:p w:rsidR="009F7174" w:rsidRDefault="009F7174">
      <w:pPr>
        <w:spacing w:line="240" w:lineRule="auto"/>
        <w:rPr>
          <w:sz w:val="24"/>
          <w:szCs w:val="24"/>
          <w:u w:val="single"/>
        </w:rPr>
      </w:pPr>
      <w:r>
        <w:rPr>
          <w:sz w:val="24"/>
          <w:szCs w:val="24"/>
        </w:rPr>
        <w:br w:type="page"/>
      </w:r>
    </w:p>
    <w:p w:rsidR="006C2C49" w:rsidRPr="00B73D10" w:rsidRDefault="006C2C49" w:rsidP="006C2C49">
      <w:pPr>
        <w:pStyle w:val="Heading1"/>
        <w:spacing w:line="360" w:lineRule="auto"/>
        <w:rPr>
          <w:sz w:val="24"/>
          <w:szCs w:val="24"/>
        </w:rPr>
      </w:pPr>
      <w:r w:rsidRPr="00B73D10">
        <w:rPr>
          <w:sz w:val="24"/>
          <w:szCs w:val="24"/>
        </w:rPr>
        <w:lastRenderedPageBreak/>
        <w:t>CONCLUSIONS OF LAW</w:t>
      </w:r>
    </w:p>
    <w:p w:rsidR="006C2C49" w:rsidRPr="00B73D10" w:rsidRDefault="006C2C49" w:rsidP="006C2C49">
      <w:pPr>
        <w:rPr>
          <w:sz w:val="24"/>
          <w:szCs w:val="24"/>
        </w:rPr>
      </w:pPr>
    </w:p>
    <w:p w:rsidR="006C2C49" w:rsidRPr="00ED1D67" w:rsidRDefault="006C2C49" w:rsidP="006C2C49">
      <w:pPr>
        <w:numPr>
          <w:ilvl w:val="0"/>
          <w:numId w:val="2"/>
        </w:numPr>
        <w:tabs>
          <w:tab w:val="clear" w:pos="1440"/>
          <w:tab w:val="num" w:pos="2160"/>
        </w:tabs>
        <w:ind w:left="0" w:firstLine="1440"/>
        <w:rPr>
          <w:sz w:val="24"/>
          <w:szCs w:val="24"/>
        </w:rPr>
      </w:pPr>
      <w:r w:rsidRPr="00ED1D67">
        <w:rPr>
          <w:sz w:val="24"/>
          <w:szCs w:val="24"/>
        </w:rPr>
        <w:t>This Commission has jurisdiction over the parties to and subje</w:t>
      </w:r>
      <w:r w:rsidR="00CA2DA8" w:rsidRPr="00ED1D67">
        <w:rPr>
          <w:sz w:val="24"/>
          <w:szCs w:val="24"/>
        </w:rPr>
        <w:t xml:space="preserve">ct matter of this case.  </w:t>
      </w:r>
      <w:proofErr w:type="gramStart"/>
      <w:r w:rsidR="00CA2DA8" w:rsidRPr="00ED1D67">
        <w:rPr>
          <w:sz w:val="24"/>
          <w:szCs w:val="24"/>
        </w:rPr>
        <w:t xml:space="preserve">66 </w:t>
      </w:r>
      <w:proofErr w:type="spellStart"/>
      <w:r w:rsidR="00CA2DA8" w:rsidRPr="00ED1D67">
        <w:rPr>
          <w:sz w:val="24"/>
          <w:szCs w:val="24"/>
        </w:rPr>
        <w:t>Pa.</w:t>
      </w:r>
      <w:r w:rsidRPr="00ED1D67">
        <w:rPr>
          <w:sz w:val="24"/>
          <w:szCs w:val="24"/>
        </w:rPr>
        <w:t>C.S.</w:t>
      </w:r>
      <w:r w:rsidR="00FF0BD9" w:rsidRPr="00ED1D67">
        <w:rPr>
          <w:sz w:val="24"/>
          <w:szCs w:val="24"/>
        </w:rPr>
        <w:t>A</w:t>
      </w:r>
      <w:proofErr w:type="spellEnd"/>
      <w:r w:rsidR="00FF0BD9" w:rsidRPr="00ED1D67">
        <w:rPr>
          <w:sz w:val="24"/>
          <w:szCs w:val="24"/>
        </w:rPr>
        <w:t>.</w:t>
      </w:r>
      <w:proofErr w:type="gramEnd"/>
      <w:r w:rsidR="00FF0BD9" w:rsidRPr="00ED1D67">
        <w:rPr>
          <w:sz w:val="24"/>
          <w:szCs w:val="24"/>
        </w:rPr>
        <w:t xml:space="preserve"> </w:t>
      </w:r>
      <w:r w:rsidRPr="00ED1D67">
        <w:rPr>
          <w:sz w:val="24"/>
          <w:szCs w:val="24"/>
        </w:rPr>
        <w:t>§</w:t>
      </w:r>
      <w:r w:rsidR="00CA2DA8" w:rsidRPr="00ED1D67">
        <w:rPr>
          <w:sz w:val="24"/>
          <w:szCs w:val="24"/>
        </w:rPr>
        <w:t xml:space="preserve"> </w:t>
      </w:r>
      <w:r w:rsidRPr="00ED1D67">
        <w:rPr>
          <w:sz w:val="24"/>
          <w:szCs w:val="24"/>
        </w:rPr>
        <w:t>701.</w:t>
      </w:r>
    </w:p>
    <w:p w:rsidR="006C2C49" w:rsidRPr="00ED1D67" w:rsidRDefault="006C2C49" w:rsidP="006C2C49">
      <w:pPr>
        <w:rPr>
          <w:sz w:val="24"/>
          <w:szCs w:val="24"/>
        </w:rPr>
      </w:pPr>
    </w:p>
    <w:p w:rsidR="006C2C49" w:rsidRPr="00ED1D67" w:rsidRDefault="006C2C49" w:rsidP="006C2C49">
      <w:pPr>
        <w:numPr>
          <w:ilvl w:val="0"/>
          <w:numId w:val="2"/>
        </w:numPr>
        <w:tabs>
          <w:tab w:val="clear" w:pos="1440"/>
          <w:tab w:val="left" w:pos="0"/>
        </w:tabs>
        <w:ind w:left="0" w:firstLine="1440"/>
        <w:rPr>
          <w:sz w:val="24"/>
          <w:szCs w:val="24"/>
        </w:rPr>
      </w:pPr>
      <w:r w:rsidRPr="00ED1D67">
        <w:rPr>
          <w:sz w:val="24"/>
          <w:szCs w:val="24"/>
        </w:rPr>
        <w:t>Complainant has the burden of proving Respondent is not providing reasonabl</w:t>
      </w:r>
      <w:r w:rsidR="00CA2DA8" w:rsidRPr="00ED1D67">
        <w:rPr>
          <w:sz w:val="24"/>
          <w:szCs w:val="24"/>
        </w:rPr>
        <w:t xml:space="preserve">e and adequate service.  </w:t>
      </w:r>
      <w:proofErr w:type="gramStart"/>
      <w:r w:rsidR="00CA2DA8" w:rsidRPr="00ED1D67">
        <w:rPr>
          <w:sz w:val="24"/>
          <w:szCs w:val="24"/>
        </w:rPr>
        <w:t xml:space="preserve">66 </w:t>
      </w:r>
      <w:proofErr w:type="spellStart"/>
      <w:r w:rsidR="00CA2DA8" w:rsidRPr="00ED1D67">
        <w:rPr>
          <w:sz w:val="24"/>
          <w:szCs w:val="24"/>
        </w:rPr>
        <w:t>Pa.</w:t>
      </w:r>
      <w:r w:rsidRPr="00ED1D67">
        <w:rPr>
          <w:sz w:val="24"/>
          <w:szCs w:val="24"/>
        </w:rPr>
        <w:t>C.S.A</w:t>
      </w:r>
      <w:proofErr w:type="spellEnd"/>
      <w:r w:rsidRPr="00ED1D67">
        <w:rPr>
          <w:sz w:val="24"/>
          <w:szCs w:val="24"/>
        </w:rPr>
        <w:t>.</w:t>
      </w:r>
      <w:proofErr w:type="gramEnd"/>
      <w:r w:rsidRPr="00ED1D67">
        <w:rPr>
          <w:sz w:val="24"/>
          <w:szCs w:val="24"/>
        </w:rPr>
        <w:t xml:space="preserve"> §</w:t>
      </w:r>
      <w:r w:rsidR="00CA2DA8" w:rsidRPr="00ED1D67">
        <w:rPr>
          <w:sz w:val="24"/>
          <w:szCs w:val="24"/>
        </w:rPr>
        <w:t xml:space="preserve"> </w:t>
      </w:r>
      <w:r w:rsidRPr="00ED1D67">
        <w:rPr>
          <w:sz w:val="24"/>
          <w:szCs w:val="24"/>
        </w:rPr>
        <w:t>332(a).</w:t>
      </w:r>
    </w:p>
    <w:p w:rsidR="00CA2DA8" w:rsidRPr="00ED1D67" w:rsidRDefault="00CA2DA8" w:rsidP="00CA2DA8">
      <w:pPr>
        <w:pStyle w:val="ListParagraph"/>
        <w:rPr>
          <w:sz w:val="24"/>
          <w:szCs w:val="24"/>
        </w:rPr>
      </w:pPr>
    </w:p>
    <w:p w:rsidR="00CA2DA8" w:rsidRPr="00ED1D67" w:rsidRDefault="00CA2DA8" w:rsidP="00CA2DA8">
      <w:pPr>
        <w:tabs>
          <w:tab w:val="left" w:pos="0"/>
        </w:tabs>
        <w:rPr>
          <w:sz w:val="24"/>
          <w:szCs w:val="24"/>
        </w:rPr>
      </w:pPr>
      <w:r w:rsidRPr="00ED1D67">
        <w:rPr>
          <w:sz w:val="24"/>
          <w:szCs w:val="24"/>
        </w:rPr>
        <w:tab/>
      </w:r>
      <w:r w:rsidRPr="00ED1D67">
        <w:rPr>
          <w:sz w:val="24"/>
          <w:szCs w:val="24"/>
        </w:rPr>
        <w:tab/>
        <w:t xml:space="preserve">3. </w:t>
      </w:r>
      <w:r w:rsidRPr="00ED1D67">
        <w:rPr>
          <w:sz w:val="24"/>
          <w:szCs w:val="24"/>
        </w:rPr>
        <w:tab/>
        <w:t xml:space="preserve">The Responsible Utility Customer Protection Act, </w:t>
      </w:r>
      <w:proofErr w:type="gramStart"/>
      <w:r w:rsidRPr="00ED1D67">
        <w:rPr>
          <w:sz w:val="24"/>
          <w:szCs w:val="24"/>
        </w:rPr>
        <w:t xml:space="preserve">66 </w:t>
      </w:r>
      <w:proofErr w:type="spellStart"/>
      <w:r w:rsidRPr="00ED1D67">
        <w:rPr>
          <w:sz w:val="24"/>
          <w:szCs w:val="24"/>
        </w:rPr>
        <w:t>Pa.C.S.A</w:t>
      </w:r>
      <w:proofErr w:type="spellEnd"/>
      <w:proofErr w:type="gramEnd"/>
      <w:r w:rsidRPr="00ED1D67">
        <w:rPr>
          <w:sz w:val="24"/>
          <w:szCs w:val="24"/>
        </w:rPr>
        <w:t xml:space="preserve">. § 1401, </w:t>
      </w:r>
      <w:r w:rsidRPr="00ED1D67">
        <w:rPr>
          <w:i/>
          <w:iCs/>
          <w:sz w:val="24"/>
          <w:szCs w:val="24"/>
        </w:rPr>
        <w:t>et</w:t>
      </w:r>
      <w:r w:rsidR="00CE7869">
        <w:rPr>
          <w:i/>
          <w:iCs/>
          <w:sz w:val="24"/>
          <w:szCs w:val="24"/>
        </w:rPr>
        <w:t> </w:t>
      </w:r>
      <w:r w:rsidRPr="00ED1D67">
        <w:rPr>
          <w:i/>
          <w:iCs/>
          <w:sz w:val="24"/>
          <w:szCs w:val="24"/>
        </w:rPr>
        <w:t>seq</w:t>
      </w:r>
      <w:r w:rsidRPr="00ED1D67">
        <w:rPr>
          <w:sz w:val="24"/>
          <w:szCs w:val="24"/>
        </w:rPr>
        <w:t>., applies to this proceeding.</w:t>
      </w:r>
    </w:p>
    <w:p w:rsidR="00CA2DA8" w:rsidRPr="00ED1D67" w:rsidRDefault="00CA2DA8" w:rsidP="00CA2DA8">
      <w:pPr>
        <w:tabs>
          <w:tab w:val="left" w:pos="0"/>
        </w:tabs>
        <w:rPr>
          <w:sz w:val="24"/>
          <w:szCs w:val="24"/>
        </w:rPr>
      </w:pPr>
    </w:p>
    <w:p w:rsidR="00CA2DA8" w:rsidRPr="00ED1D67" w:rsidRDefault="00CA2DA8" w:rsidP="00CA2DA8">
      <w:pPr>
        <w:tabs>
          <w:tab w:val="left" w:pos="0"/>
        </w:tabs>
        <w:rPr>
          <w:sz w:val="24"/>
          <w:szCs w:val="24"/>
        </w:rPr>
      </w:pPr>
      <w:r w:rsidRPr="00ED1D67">
        <w:rPr>
          <w:sz w:val="24"/>
          <w:szCs w:val="24"/>
        </w:rPr>
        <w:tab/>
      </w:r>
      <w:r w:rsidRPr="00ED1D67">
        <w:rPr>
          <w:sz w:val="24"/>
          <w:szCs w:val="24"/>
        </w:rPr>
        <w:tab/>
        <w:t xml:space="preserve">4. </w:t>
      </w:r>
      <w:r w:rsidRPr="00ED1D67">
        <w:rPr>
          <w:sz w:val="24"/>
          <w:szCs w:val="24"/>
        </w:rPr>
        <w:tab/>
        <w:t xml:space="preserve">The Public Utility Code permits the Commission to grant one (1) payment agreement and dictates its terms.  </w:t>
      </w:r>
      <w:proofErr w:type="gramStart"/>
      <w:r w:rsidRPr="00ED1D67">
        <w:rPr>
          <w:sz w:val="24"/>
          <w:szCs w:val="24"/>
        </w:rPr>
        <w:t xml:space="preserve">66 </w:t>
      </w:r>
      <w:proofErr w:type="spellStart"/>
      <w:r w:rsidRPr="00ED1D67">
        <w:rPr>
          <w:sz w:val="24"/>
          <w:szCs w:val="24"/>
        </w:rPr>
        <w:t>Pa.C.S.A</w:t>
      </w:r>
      <w:proofErr w:type="spellEnd"/>
      <w:r w:rsidRPr="00ED1D67">
        <w:rPr>
          <w:sz w:val="24"/>
          <w:szCs w:val="24"/>
        </w:rPr>
        <w:t>.</w:t>
      </w:r>
      <w:proofErr w:type="gramEnd"/>
      <w:r w:rsidRPr="00ED1D67">
        <w:rPr>
          <w:sz w:val="24"/>
          <w:szCs w:val="24"/>
        </w:rPr>
        <w:t xml:space="preserve"> § 1405(b).</w:t>
      </w:r>
    </w:p>
    <w:p w:rsidR="006C2C49" w:rsidRPr="00ED1D67" w:rsidRDefault="006C2C49" w:rsidP="00CA2DA8">
      <w:pPr>
        <w:rPr>
          <w:sz w:val="24"/>
          <w:szCs w:val="24"/>
        </w:rPr>
      </w:pPr>
    </w:p>
    <w:p w:rsidR="00CA2DA8" w:rsidRPr="00ED1D67" w:rsidRDefault="00CA2DA8" w:rsidP="00CA2DA8">
      <w:pPr>
        <w:rPr>
          <w:sz w:val="24"/>
          <w:szCs w:val="24"/>
        </w:rPr>
      </w:pPr>
      <w:r w:rsidRPr="00ED1D67">
        <w:rPr>
          <w:sz w:val="24"/>
          <w:szCs w:val="24"/>
        </w:rPr>
        <w:tab/>
      </w:r>
      <w:r w:rsidRPr="00ED1D67">
        <w:rPr>
          <w:sz w:val="24"/>
          <w:szCs w:val="24"/>
        </w:rPr>
        <w:tab/>
        <w:t xml:space="preserve">5. </w:t>
      </w:r>
      <w:r w:rsidRPr="00ED1D67">
        <w:rPr>
          <w:sz w:val="24"/>
          <w:szCs w:val="24"/>
        </w:rPr>
        <w:tab/>
      </w:r>
      <w:r w:rsidR="00D07366" w:rsidRPr="00ED1D67">
        <w:rPr>
          <w:sz w:val="24"/>
          <w:szCs w:val="24"/>
        </w:rPr>
        <w:t xml:space="preserve">Complainant failed to prove Respondent is not providing reasonable and adequate service.  </w:t>
      </w:r>
      <w:proofErr w:type="gramStart"/>
      <w:r w:rsidR="00D07366" w:rsidRPr="00ED1D67">
        <w:rPr>
          <w:sz w:val="24"/>
          <w:szCs w:val="24"/>
        </w:rPr>
        <w:t xml:space="preserve">66 </w:t>
      </w:r>
      <w:proofErr w:type="spellStart"/>
      <w:r w:rsidR="00D07366" w:rsidRPr="00ED1D67">
        <w:rPr>
          <w:sz w:val="24"/>
          <w:szCs w:val="24"/>
        </w:rPr>
        <w:t>Pa.C.S.A</w:t>
      </w:r>
      <w:proofErr w:type="spellEnd"/>
      <w:r w:rsidR="00D07366" w:rsidRPr="00ED1D67">
        <w:rPr>
          <w:sz w:val="24"/>
          <w:szCs w:val="24"/>
        </w:rPr>
        <w:t>.</w:t>
      </w:r>
      <w:proofErr w:type="gramEnd"/>
      <w:r w:rsidR="00D07366" w:rsidRPr="00ED1D67">
        <w:rPr>
          <w:sz w:val="24"/>
          <w:szCs w:val="24"/>
        </w:rPr>
        <w:t xml:space="preserve"> </w:t>
      </w:r>
      <w:r w:rsidR="00ED1D67" w:rsidRPr="00ED1D67">
        <w:rPr>
          <w:sz w:val="24"/>
          <w:szCs w:val="24"/>
        </w:rPr>
        <w:t>§332(a).</w:t>
      </w:r>
    </w:p>
    <w:p w:rsidR="00CA2DA8" w:rsidRDefault="00CA2DA8" w:rsidP="006C2C49">
      <w:pPr>
        <w:tabs>
          <w:tab w:val="left" w:pos="0"/>
        </w:tabs>
        <w:rPr>
          <w:sz w:val="24"/>
          <w:szCs w:val="24"/>
        </w:rPr>
      </w:pPr>
    </w:p>
    <w:p w:rsidR="006C2C49" w:rsidRPr="00B73D10" w:rsidRDefault="006C2C49" w:rsidP="006C2C49">
      <w:pPr>
        <w:jc w:val="center"/>
        <w:rPr>
          <w:sz w:val="24"/>
          <w:szCs w:val="24"/>
          <w:u w:val="single"/>
        </w:rPr>
      </w:pPr>
      <w:r w:rsidRPr="00B73D10">
        <w:rPr>
          <w:sz w:val="24"/>
          <w:szCs w:val="24"/>
          <w:u w:val="single"/>
        </w:rPr>
        <w:t>ORDER</w:t>
      </w:r>
    </w:p>
    <w:p w:rsidR="006C2C49" w:rsidRPr="00B73D10" w:rsidRDefault="006C2C49" w:rsidP="006C2C49">
      <w:pPr>
        <w:jc w:val="center"/>
        <w:rPr>
          <w:sz w:val="24"/>
          <w:szCs w:val="24"/>
        </w:rPr>
      </w:pPr>
    </w:p>
    <w:p w:rsidR="006C2C49"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THEREFORE,</w:t>
      </w:r>
    </w:p>
    <w:p w:rsidR="006C2C49" w:rsidRPr="00B73D10" w:rsidRDefault="006C2C49" w:rsidP="006C2C49">
      <w:pPr>
        <w:rPr>
          <w:sz w:val="24"/>
          <w:szCs w:val="24"/>
        </w:rPr>
      </w:pPr>
    </w:p>
    <w:p w:rsidR="006C2C49" w:rsidRPr="00ED1D67" w:rsidRDefault="006C2C49" w:rsidP="006C2C49">
      <w:pPr>
        <w:rPr>
          <w:sz w:val="24"/>
          <w:szCs w:val="24"/>
        </w:rPr>
      </w:pPr>
      <w:r w:rsidRPr="00B73D10">
        <w:rPr>
          <w:sz w:val="24"/>
          <w:szCs w:val="24"/>
        </w:rPr>
        <w:tab/>
      </w:r>
      <w:r w:rsidRPr="00ED1D67">
        <w:rPr>
          <w:sz w:val="24"/>
          <w:szCs w:val="24"/>
        </w:rPr>
        <w:tab/>
        <w:t>IT IS ORDERED:</w:t>
      </w:r>
    </w:p>
    <w:p w:rsidR="00ED1D67" w:rsidRPr="00ED1D67" w:rsidRDefault="00ED1D67" w:rsidP="00ED1D67">
      <w:pPr>
        <w:tabs>
          <w:tab w:val="num" w:pos="2160"/>
        </w:tabs>
        <w:ind w:firstLine="1440"/>
        <w:outlineLvl w:val="0"/>
        <w:rPr>
          <w:sz w:val="24"/>
          <w:szCs w:val="24"/>
        </w:rPr>
      </w:pPr>
    </w:p>
    <w:p w:rsidR="00ED1D67" w:rsidRDefault="00ED1D67" w:rsidP="00ED1D67">
      <w:pPr>
        <w:pStyle w:val="ListParagraph"/>
        <w:numPr>
          <w:ilvl w:val="0"/>
          <w:numId w:val="14"/>
        </w:numPr>
        <w:ind w:left="0" w:firstLine="1440"/>
        <w:contextualSpacing w:val="0"/>
        <w:outlineLvl w:val="0"/>
        <w:rPr>
          <w:sz w:val="24"/>
          <w:szCs w:val="24"/>
        </w:rPr>
      </w:pPr>
      <w:r w:rsidRPr="00ED1D67">
        <w:rPr>
          <w:sz w:val="24"/>
          <w:szCs w:val="24"/>
        </w:rPr>
        <w:t xml:space="preserve">That the Formal Complaint filed by Robert </w:t>
      </w:r>
      <w:proofErr w:type="spellStart"/>
      <w:r w:rsidRPr="00ED1D67">
        <w:rPr>
          <w:sz w:val="24"/>
          <w:szCs w:val="24"/>
        </w:rPr>
        <w:t>Espenship</w:t>
      </w:r>
      <w:proofErr w:type="spellEnd"/>
      <w:r w:rsidRPr="00ED1D67">
        <w:rPr>
          <w:sz w:val="24"/>
          <w:szCs w:val="24"/>
        </w:rPr>
        <w:t xml:space="preserve"> against PECO Energy Company at Docket No. C-2013-2354841 is sustained in part and denied in part.  </w:t>
      </w:r>
    </w:p>
    <w:p w:rsidR="00CC3635" w:rsidRDefault="00CC3635" w:rsidP="00CC3635">
      <w:pPr>
        <w:pStyle w:val="ListParagraph"/>
        <w:ind w:left="1440"/>
        <w:contextualSpacing w:val="0"/>
        <w:outlineLvl w:val="0"/>
        <w:rPr>
          <w:sz w:val="24"/>
          <w:szCs w:val="24"/>
        </w:rPr>
      </w:pPr>
    </w:p>
    <w:p w:rsidR="00CC3635" w:rsidRPr="00ED1D67" w:rsidRDefault="00CC3635" w:rsidP="00ED1D67">
      <w:pPr>
        <w:pStyle w:val="ListParagraph"/>
        <w:numPr>
          <w:ilvl w:val="0"/>
          <w:numId w:val="14"/>
        </w:numPr>
        <w:ind w:left="0" w:firstLine="1440"/>
        <w:contextualSpacing w:val="0"/>
        <w:outlineLvl w:val="0"/>
        <w:rPr>
          <w:sz w:val="24"/>
          <w:szCs w:val="24"/>
        </w:rPr>
      </w:pPr>
      <w:r>
        <w:rPr>
          <w:sz w:val="24"/>
          <w:szCs w:val="24"/>
        </w:rPr>
        <w:t xml:space="preserve">That </w:t>
      </w:r>
      <w:r w:rsidRPr="00ED1D67">
        <w:rPr>
          <w:sz w:val="24"/>
          <w:szCs w:val="24"/>
        </w:rPr>
        <w:t xml:space="preserve">the Formal Complaint filed by Robert </w:t>
      </w:r>
      <w:proofErr w:type="spellStart"/>
      <w:r w:rsidRPr="00ED1D67">
        <w:rPr>
          <w:sz w:val="24"/>
          <w:szCs w:val="24"/>
        </w:rPr>
        <w:t>Espenship</w:t>
      </w:r>
      <w:proofErr w:type="spellEnd"/>
      <w:r w:rsidRPr="00ED1D67">
        <w:rPr>
          <w:sz w:val="24"/>
          <w:szCs w:val="24"/>
        </w:rPr>
        <w:t xml:space="preserve"> against PECO Energy Company at Docket No. C-2013-2354841 is sustained</w:t>
      </w:r>
      <w:r>
        <w:rPr>
          <w:sz w:val="24"/>
          <w:szCs w:val="24"/>
        </w:rPr>
        <w:t xml:space="preserve"> in part </w:t>
      </w:r>
      <w:r w:rsidRPr="00ED1D67">
        <w:rPr>
          <w:sz w:val="24"/>
          <w:szCs w:val="24"/>
        </w:rPr>
        <w:t xml:space="preserve">in that Robert </w:t>
      </w:r>
      <w:proofErr w:type="spellStart"/>
      <w:r w:rsidRPr="00ED1D67">
        <w:rPr>
          <w:sz w:val="24"/>
          <w:szCs w:val="24"/>
        </w:rPr>
        <w:t>Espenship</w:t>
      </w:r>
      <w:proofErr w:type="spellEnd"/>
      <w:r w:rsidRPr="00ED1D67">
        <w:rPr>
          <w:sz w:val="24"/>
          <w:szCs w:val="24"/>
        </w:rPr>
        <w:t xml:space="preserve"> is entitled to a payment agreement from the Public Utility Commission.</w:t>
      </w:r>
    </w:p>
    <w:p w:rsidR="00ED1D67" w:rsidRPr="00ED1D67" w:rsidRDefault="00ED1D67" w:rsidP="00ED1D67">
      <w:pPr>
        <w:pStyle w:val="ListParagraph"/>
        <w:ind w:left="1440"/>
        <w:outlineLvl w:val="0"/>
        <w:rPr>
          <w:sz w:val="24"/>
          <w:szCs w:val="24"/>
        </w:rPr>
      </w:pPr>
    </w:p>
    <w:p w:rsidR="00ED1D67" w:rsidRPr="00ED1D67" w:rsidRDefault="00ED1D67" w:rsidP="00ED1D67">
      <w:pPr>
        <w:pStyle w:val="ListParagraph"/>
        <w:numPr>
          <w:ilvl w:val="0"/>
          <w:numId w:val="14"/>
        </w:numPr>
        <w:ind w:left="0" w:firstLine="1440"/>
        <w:contextualSpacing w:val="0"/>
        <w:outlineLvl w:val="0"/>
        <w:rPr>
          <w:sz w:val="24"/>
          <w:szCs w:val="24"/>
        </w:rPr>
      </w:pPr>
      <w:r w:rsidRPr="00ED1D67">
        <w:rPr>
          <w:sz w:val="24"/>
          <w:szCs w:val="24"/>
        </w:rPr>
        <w:lastRenderedPageBreak/>
        <w:t xml:space="preserve">That Robert </w:t>
      </w:r>
      <w:proofErr w:type="spellStart"/>
      <w:r w:rsidRPr="00ED1D67">
        <w:rPr>
          <w:sz w:val="24"/>
          <w:szCs w:val="24"/>
        </w:rPr>
        <w:t>Espenship</w:t>
      </w:r>
      <w:proofErr w:type="spellEnd"/>
      <w:r w:rsidRPr="00ED1D67">
        <w:rPr>
          <w:sz w:val="24"/>
          <w:szCs w:val="24"/>
        </w:rPr>
        <w:t xml:space="preserve"> shall make monthly payments consisting of current charges plus one twelfth (1/12</w:t>
      </w:r>
      <w:r w:rsidRPr="00ED1D67">
        <w:rPr>
          <w:sz w:val="24"/>
          <w:szCs w:val="24"/>
          <w:vertAlign w:val="superscript"/>
        </w:rPr>
        <w:t>th</w:t>
      </w:r>
      <w:r w:rsidRPr="00ED1D67">
        <w:rPr>
          <w:sz w:val="24"/>
          <w:szCs w:val="24"/>
        </w:rPr>
        <w:t>) of the balance accrued on the account, beginning with the first billing due date following the entry of a final Commission Order in this case.</w:t>
      </w:r>
    </w:p>
    <w:p w:rsidR="00ED1D67" w:rsidRPr="00ED1D67" w:rsidRDefault="00ED1D67" w:rsidP="00ED1D67">
      <w:pPr>
        <w:pStyle w:val="ListParagraph"/>
        <w:ind w:left="1440"/>
        <w:outlineLvl w:val="0"/>
        <w:rPr>
          <w:sz w:val="24"/>
          <w:szCs w:val="24"/>
        </w:rPr>
      </w:pPr>
    </w:p>
    <w:p w:rsidR="00ED1D67" w:rsidRPr="00ED1D67" w:rsidRDefault="00ED1D67" w:rsidP="00ED1D67">
      <w:pPr>
        <w:pStyle w:val="ListParagraph"/>
        <w:numPr>
          <w:ilvl w:val="0"/>
          <w:numId w:val="14"/>
        </w:numPr>
        <w:ind w:left="0" w:firstLine="1440"/>
        <w:contextualSpacing w:val="0"/>
        <w:outlineLvl w:val="0"/>
        <w:rPr>
          <w:sz w:val="24"/>
          <w:szCs w:val="24"/>
        </w:rPr>
      </w:pPr>
      <w:r w:rsidRPr="00ED1D67">
        <w:rPr>
          <w:sz w:val="24"/>
          <w:szCs w:val="24"/>
        </w:rPr>
        <w:t xml:space="preserve">That as long as Robert </w:t>
      </w:r>
      <w:proofErr w:type="spellStart"/>
      <w:r w:rsidRPr="00ED1D67">
        <w:rPr>
          <w:sz w:val="24"/>
          <w:szCs w:val="24"/>
        </w:rPr>
        <w:t>Espenship</w:t>
      </w:r>
      <w:proofErr w:type="spellEnd"/>
      <w:r w:rsidRPr="00ED1D67">
        <w:rPr>
          <w:sz w:val="24"/>
          <w:szCs w:val="24"/>
        </w:rPr>
        <w:t xml:space="preserve"> keeps the payment schedule stated in this Order, PECO Energy Company shall not suspend or terminate utility service except for valid safety or emergency reasons or assess late payments or finance charges against the account.</w:t>
      </w:r>
    </w:p>
    <w:p w:rsidR="00ED1D67" w:rsidRPr="00ED1D67" w:rsidRDefault="00ED1D67" w:rsidP="00ED1D67">
      <w:pPr>
        <w:pStyle w:val="ListParagraph"/>
        <w:ind w:left="1440"/>
        <w:outlineLvl w:val="0"/>
        <w:rPr>
          <w:sz w:val="24"/>
          <w:szCs w:val="24"/>
        </w:rPr>
      </w:pPr>
    </w:p>
    <w:p w:rsidR="00ED1D67" w:rsidRPr="00ED1D67" w:rsidRDefault="00ED1D67" w:rsidP="00ED1D67">
      <w:pPr>
        <w:pStyle w:val="ListParagraph"/>
        <w:numPr>
          <w:ilvl w:val="0"/>
          <w:numId w:val="14"/>
        </w:numPr>
        <w:ind w:left="0" w:firstLine="1440"/>
        <w:contextualSpacing w:val="0"/>
        <w:outlineLvl w:val="0"/>
        <w:rPr>
          <w:sz w:val="24"/>
          <w:szCs w:val="24"/>
        </w:rPr>
      </w:pPr>
      <w:r w:rsidRPr="00ED1D67">
        <w:rPr>
          <w:sz w:val="24"/>
          <w:szCs w:val="24"/>
        </w:rPr>
        <w:t xml:space="preserve">That, if Robert </w:t>
      </w:r>
      <w:proofErr w:type="spellStart"/>
      <w:r w:rsidRPr="00ED1D67">
        <w:rPr>
          <w:sz w:val="24"/>
          <w:szCs w:val="24"/>
        </w:rPr>
        <w:t>Espenship</w:t>
      </w:r>
      <w:proofErr w:type="spellEnd"/>
      <w:r w:rsidRPr="00ED1D67">
        <w:rPr>
          <w:sz w:val="24"/>
          <w:szCs w:val="24"/>
        </w:rPr>
        <w:t xml:space="preserve"> does not keep the payment schedule stated in this Order, PECO Energy Company is authorized to suspend or terminate utility service in accordance with the Commission’s statute and regulations.</w:t>
      </w:r>
    </w:p>
    <w:p w:rsidR="00ED1D67" w:rsidRPr="00ED1D67" w:rsidRDefault="00ED1D67" w:rsidP="00ED1D67">
      <w:pPr>
        <w:pStyle w:val="ListParagraph"/>
        <w:rPr>
          <w:sz w:val="24"/>
          <w:szCs w:val="24"/>
        </w:rPr>
      </w:pPr>
    </w:p>
    <w:p w:rsidR="00ED1D67" w:rsidRPr="00ED1D67" w:rsidRDefault="00ED1D67" w:rsidP="00ED1D67">
      <w:pPr>
        <w:pStyle w:val="ListParagraph"/>
        <w:numPr>
          <w:ilvl w:val="0"/>
          <w:numId w:val="14"/>
        </w:numPr>
        <w:ind w:left="0" w:firstLine="1440"/>
        <w:contextualSpacing w:val="0"/>
        <w:outlineLvl w:val="0"/>
        <w:rPr>
          <w:sz w:val="24"/>
          <w:szCs w:val="24"/>
        </w:rPr>
      </w:pPr>
      <w:r w:rsidRPr="00ED1D67">
        <w:rPr>
          <w:sz w:val="24"/>
          <w:szCs w:val="24"/>
        </w:rPr>
        <w:t xml:space="preserve">That the Formal Complaint filed by Robert </w:t>
      </w:r>
      <w:proofErr w:type="spellStart"/>
      <w:r w:rsidRPr="00ED1D67">
        <w:rPr>
          <w:sz w:val="24"/>
          <w:szCs w:val="24"/>
        </w:rPr>
        <w:t>Espenship</w:t>
      </w:r>
      <w:proofErr w:type="spellEnd"/>
      <w:r w:rsidRPr="00ED1D67">
        <w:rPr>
          <w:sz w:val="24"/>
          <w:szCs w:val="24"/>
        </w:rPr>
        <w:t xml:space="preserve"> against PECO Energy Company at Docket No. C-2013-2354841 is denied in part in that he did not prove PECO Energy Company incorrectly charged him for electricity consumption from May 2012 through September 2013.</w:t>
      </w:r>
    </w:p>
    <w:p w:rsidR="00ED1D67" w:rsidRPr="00ED1D67" w:rsidRDefault="00ED1D67" w:rsidP="00ED1D67">
      <w:pPr>
        <w:pStyle w:val="ListParagraph"/>
        <w:rPr>
          <w:sz w:val="24"/>
          <w:szCs w:val="24"/>
        </w:rPr>
      </w:pPr>
    </w:p>
    <w:p w:rsidR="00ED1D67" w:rsidRDefault="00ED1D67" w:rsidP="00ED1D67">
      <w:pPr>
        <w:pStyle w:val="ListParagraph"/>
        <w:numPr>
          <w:ilvl w:val="0"/>
          <w:numId w:val="14"/>
        </w:numPr>
        <w:ind w:left="0" w:firstLine="1440"/>
        <w:contextualSpacing w:val="0"/>
        <w:outlineLvl w:val="0"/>
        <w:rPr>
          <w:sz w:val="24"/>
          <w:szCs w:val="24"/>
        </w:rPr>
      </w:pPr>
      <w:r w:rsidRPr="00ED1D67">
        <w:rPr>
          <w:sz w:val="24"/>
          <w:szCs w:val="24"/>
        </w:rPr>
        <w:t xml:space="preserve">That the Formal Complaint filed by Robert </w:t>
      </w:r>
      <w:proofErr w:type="spellStart"/>
      <w:r w:rsidRPr="00ED1D67">
        <w:rPr>
          <w:sz w:val="24"/>
          <w:szCs w:val="24"/>
        </w:rPr>
        <w:t>Espenship</w:t>
      </w:r>
      <w:proofErr w:type="spellEnd"/>
      <w:r w:rsidRPr="00ED1D67">
        <w:rPr>
          <w:sz w:val="24"/>
          <w:szCs w:val="24"/>
        </w:rPr>
        <w:t xml:space="preserve"> against PECO Energy Company at Docket No. C-2013-2354841 is denied in part in that he did not prove PECO Energy Company incorrectly charged him for the unpaid balance on the account from before May 2012 when Complainant resided in the service address.</w:t>
      </w:r>
    </w:p>
    <w:p w:rsidR="00CC3635" w:rsidRPr="00CC3635" w:rsidRDefault="00CC3635" w:rsidP="00CC3635">
      <w:pPr>
        <w:pStyle w:val="ListParagraph"/>
        <w:rPr>
          <w:sz w:val="24"/>
          <w:szCs w:val="24"/>
        </w:rPr>
      </w:pPr>
    </w:p>
    <w:p w:rsidR="00CC3635" w:rsidRPr="00ED1D67" w:rsidRDefault="00CC3635" w:rsidP="00ED1D67">
      <w:pPr>
        <w:pStyle w:val="ListParagraph"/>
        <w:numPr>
          <w:ilvl w:val="0"/>
          <w:numId w:val="14"/>
        </w:numPr>
        <w:ind w:left="0" w:firstLine="1440"/>
        <w:contextualSpacing w:val="0"/>
        <w:outlineLvl w:val="0"/>
        <w:rPr>
          <w:sz w:val="24"/>
          <w:szCs w:val="24"/>
        </w:rPr>
      </w:pPr>
      <w:r>
        <w:rPr>
          <w:sz w:val="24"/>
          <w:szCs w:val="24"/>
        </w:rPr>
        <w:t xml:space="preserve">That </w:t>
      </w:r>
      <w:r w:rsidRPr="002A5EEE">
        <w:rPr>
          <w:snapToGrid w:val="0"/>
          <w:sz w:val="24"/>
          <w:szCs w:val="24"/>
        </w:rPr>
        <w:t xml:space="preserve">the Late-Filed Exhibit identified by </w:t>
      </w:r>
      <w:r>
        <w:rPr>
          <w:snapToGrid w:val="0"/>
          <w:sz w:val="24"/>
          <w:szCs w:val="24"/>
        </w:rPr>
        <w:t>PECO Energy Company</w:t>
      </w:r>
      <w:r w:rsidRPr="002A5EEE">
        <w:rPr>
          <w:snapToGrid w:val="0"/>
          <w:sz w:val="24"/>
          <w:szCs w:val="24"/>
        </w:rPr>
        <w:t xml:space="preserve"> as </w:t>
      </w:r>
      <w:r>
        <w:rPr>
          <w:snapToGrid w:val="0"/>
          <w:sz w:val="24"/>
          <w:szCs w:val="24"/>
        </w:rPr>
        <w:t>PECO</w:t>
      </w:r>
      <w:r w:rsidRPr="002A5EEE">
        <w:rPr>
          <w:snapToGrid w:val="0"/>
          <w:sz w:val="24"/>
          <w:szCs w:val="24"/>
        </w:rPr>
        <w:t xml:space="preserve"> Exhibit </w:t>
      </w:r>
      <w:r>
        <w:rPr>
          <w:snapToGrid w:val="0"/>
          <w:sz w:val="24"/>
          <w:szCs w:val="24"/>
        </w:rPr>
        <w:t>13</w:t>
      </w:r>
      <w:r w:rsidRPr="002A5EEE">
        <w:rPr>
          <w:snapToGrid w:val="0"/>
          <w:sz w:val="24"/>
          <w:szCs w:val="24"/>
        </w:rPr>
        <w:t xml:space="preserve"> is admitted into the record</w:t>
      </w:r>
      <w:r w:rsidR="00856305">
        <w:rPr>
          <w:snapToGrid w:val="0"/>
          <w:sz w:val="24"/>
          <w:szCs w:val="24"/>
        </w:rPr>
        <w:t>.</w:t>
      </w:r>
    </w:p>
    <w:p w:rsidR="000A68FD" w:rsidRPr="00ED1D67" w:rsidRDefault="000A68FD" w:rsidP="00ED1D67">
      <w:pPr>
        <w:pStyle w:val="ListParagraph"/>
        <w:ind w:left="1440"/>
        <w:outlineLvl w:val="0"/>
        <w:rPr>
          <w:sz w:val="24"/>
          <w:szCs w:val="24"/>
        </w:rPr>
      </w:pPr>
      <w:bookmarkStart w:id="0" w:name="_GoBack"/>
      <w:bookmarkEnd w:id="0"/>
    </w:p>
    <w:p w:rsidR="00ED1D67" w:rsidRPr="00ED1D67" w:rsidRDefault="00ED1D67" w:rsidP="00ED1D67">
      <w:pPr>
        <w:pStyle w:val="ListParagraph"/>
        <w:numPr>
          <w:ilvl w:val="0"/>
          <w:numId w:val="14"/>
        </w:numPr>
        <w:ind w:left="0" w:firstLine="1440"/>
        <w:contextualSpacing w:val="0"/>
        <w:outlineLvl w:val="0"/>
        <w:rPr>
          <w:sz w:val="24"/>
          <w:szCs w:val="24"/>
        </w:rPr>
      </w:pPr>
      <w:r w:rsidRPr="00ED1D67">
        <w:rPr>
          <w:sz w:val="24"/>
          <w:szCs w:val="24"/>
        </w:rPr>
        <w:t xml:space="preserve">That the Secretary </w:t>
      </w:r>
      <w:proofErr w:type="gramStart"/>
      <w:r w:rsidRPr="00ED1D67">
        <w:rPr>
          <w:sz w:val="24"/>
          <w:szCs w:val="24"/>
        </w:rPr>
        <w:t>mark</w:t>
      </w:r>
      <w:proofErr w:type="gramEnd"/>
      <w:r w:rsidRPr="00ED1D67">
        <w:rPr>
          <w:sz w:val="24"/>
          <w:szCs w:val="24"/>
        </w:rPr>
        <w:t xml:space="preserve"> this docket closed.</w:t>
      </w:r>
    </w:p>
    <w:p w:rsidR="006C2C49" w:rsidRPr="00ED1D67" w:rsidRDefault="006C2C49" w:rsidP="006C2C49">
      <w:pPr>
        <w:spacing w:line="240" w:lineRule="auto"/>
        <w:rPr>
          <w:sz w:val="24"/>
          <w:szCs w:val="24"/>
        </w:rPr>
      </w:pPr>
    </w:p>
    <w:p w:rsidR="00BD0AF8" w:rsidRPr="00ED1D67" w:rsidRDefault="00BD0AF8" w:rsidP="006C2C49">
      <w:pPr>
        <w:spacing w:line="240" w:lineRule="auto"/>
        <w:rPr>
          <w:sz w:val="24"/>
          <w:szCs w:val="24"/>
        </w:rPr>
      </w:pPr>
    </w:p>
    <w:p w:rsidR="00BD0AF8" w:rsidRPr="00ED1D67" w:rsidRDefault="00BD0AF8" w:rsidP="006C2C49">
      <w:pPr>
        <w:spacing w:line="240" w:lineRule="auto"/>
        <w:rPr>
          <w:sz w:val="24"/>
          <w:szCs w:val="24"/>
        </w:rPr>
      </w:pPr>
    </w:p>
    <w:p w:rsidR="006C2C49" w:rsidRPr="00ED1D67" w:rsidRDefault="006C2C49" w:rsidP="006C2C49">
      <w:pPr>
        <w:spacing w:line="240" w:lineRule="auto"/>
        <w:rPr>
          <w:sz w:val="24"/>
          <w:szCs w:val="24"/>
        </w:rPr>
      </w:pPr>
    </w:p>
    <w:p w:rsidR="00935C58" w:rsidRDefault="006C2C49" w:rsidP="00935C58">
      <w:pPr>
        <w:spacing w:line="240" w:lineRule="auto"/>
      </w:pPr>
      <w:r w:rsidRPr="00ED1D67">
        <w:rPr>
          <w:sz w:val="24"/>
          <w:szCs w:val="24"/>
        </w:rPr>
        <w:t xml:space="preserve">Date:  </w:t>
      </w:r>
      <w:r w:rsidR="00856305">
        <w:rPr>
          <w:sz w:val="24"/>
          <w:szCs w:val="24"/>
          <w:u w:val="single"/>
        </w:rPr>
        <w:t>February 11</w:t>
      </w:r>
      <w:r w:rsidR="000623B4" w:rsidRPr="00ED1D67">
        <w:rPr>
          <w:sz w:val="24"/>
          <w:szCs w:val="24"/>
          <w:u w:val="single"/>
        </w:rPr>
        <w:t>, 2014</w:t>
      </w:r>
      <w:r w:rsidRPr="00ED1D67">
        <w:rPr>
          <w:sz w:val="24"/>
          <w:szCs w:val="24"/>
        </w:rPr>
        <w:tab/>
      </w:r>
      <w:r w:rsidRPr="00ED1D67">
        <w:rPr>
          <w:sz w:val="24"/>
          <w:szCs w:val="24"/>
        </w:rPr>
        <w:tab/>
      </w:r>
      <w:r w:rsidRPr="00ED1D67">
        <w:rPr>
          <w:sz w:val="24"/>
          <w:szCs w:val="24"/>
        </w:rPr>
        <w:tab/>
      </w:r>
      <w:r w:rsidRPr="00ED1D67">
        <w:rPr>
          <w:sz w:val="24"/>
          <w:szCs w:val="24"/>
        </w:rPr>
        <w:tab/>
      </w:r>
      <w:r w:rsidR="00935C58">
        <w:rPr>
          <w:sz w:val="24"/>
          <w:szCs w:val="24"/>
        </w:rPr>
        <w:tab/>
      </w:r>
      <w:r w:rsidR="00935C58">
        <w:rPr>
          <w:u w:val="single"/>
        </w:rPr>
        <w:tab/>
      </w:r>
      <w:r w:rsidR="00935C58">
        <w:rPr>
          <w:u w:val="single"/>
        </w:rPr>
        <w:tab/>
      </w:r>
      <w:r w:rsidR="00935C58" w:rsidRPr="00935C58">
        <w:rPr>
          <w:sz w:val="24"/>
          <w:szCs w:val="24"/>
          <w:u w:val="single"/>
        </w:rPr>
        <w:t>/s/</w:t>
      </w:r>
      <w:r w:rsidR="00935C58">
        <w:rPr>
          <w:u w:val="single"/>
        </w:rPr>
        <w:tab/>
      </w:r>
      <w:r w:rsidR="00935C58">
        <w:rPr>
          <w:u w:val="single"/>
        </w:rPr>
        <w:tab/>
      </w:r>
      <w:r w:rsidR="00935C58">
        <w:rPr>
          <w:u w:val="single"/>
        </w:rPr>
        <w:tab/>
      </w:r>
    </w:p>
    <w:p w:rsidR="006C2C49" w:rsidRPr="00ED1D67" w:rsidRDefault="006C2C49" w:rsidP="00935C58">
      <w:pPr>
        <w:spacing w:line="240" w:lineRule="auto"/>
        <w:rPr>
          <w:sz w:val="24"/>
          <w:szCs w:val="24"/>
          <w:u w:val="single"/>
        </w:rPr>
      </w:pPr>
      <w:r w:rsidRPr="00ED1D67">
        <w:rPr>
          <w:sz w:val="24"/>
          <w:szCs w:val="24"/>
        </w:rPr>
        <w:tab/>
      </w:r>
      <w:r w:rsidRPr="00ED1D67">
        <w:rPr>
          <w:sz w:val="24"/>
          <w:szCs w:val="24"/>
        </w:rPr>
        <w:tab/>
      </w:r>
      <w:r w:rsidRPr="00ED1D67">
        <w:rPr>
          <w:sz w:val="24"/>
          <w:szCs w:val="24"/>
        </w:rPr>
        <w:tab/>
      </w:r>
      <w:r w:rsidRPr="00ED1D67">
        <w:rPr>
          <w:sz w:val="24"/>
          <w:szCs w:val="24"/>
        </w:rPr>
        <w:tab/>
      </w:r>
      <w:r w:rsidRPr="00ED1D67">
        <w:rPr>
          <w:sz w:val="24"/>
          <w:szCs w:val="24"/>
        </w:rPr>
        <w:tab/>
      </w:r>
      <w:r w:rsidRPr="00ED1D67">
        <w:rPr>
          <w:sz w:val="24"/>
          <w:szCs w:val="24"/>
        </w:rPr>
        <w:tab/>
      </w:r>
      <w:r w:rsidRPr="00ED1D67">
        <w:rPr>
          <w:sz w:val="24"/>
          <w:szCs w:val="24"/>
        </w:rPr>
        <w:tab/>
      </w:r>
      <w:r w:rsidRPr="00ED1D67">
        <w:rPr>
          <w:sz w:val="24"/>
          <w:szCs w:val="24"/>
        </w:rPr>
        <w:tab/>
        <w:t>Katrina L. Dunderdale</w:t>
      </w:r>
    </w:p>
    <w:p w:rsidR="006C2C49" w:rsidRDefault="006C2C49" w:rsidP="00935C58">
      <w:pPr>
        <w:spacing w:line="240" w:lineRule="auto"/>
        <w:rPr>
          <w:sz w:val="24"/>
          <w:szCs w:val="24"/>
        </w:rPr>
      </w:pPr>
      <w:r w:rsidRPr="00ED1D67">
        <w:rPr>
          <w:sz w:val="24"/>
          <w:szCs w:val="24"/>
        </w:rPr>
        <w:tab/>
      </w:r>
      <w:r w:rsidRPr="00ED1D67">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005848B9">
        <w:rPr>
          <w:sz w:val="24"/>
          <w:szCs w:val="24"/>
        </w:rPr>
        <w:tab/>
      </w:r>
      <w:r w:rsidRPr="00B73D10">
        <w:rPr>
          <w:sz w:val="24"/>
          <w:szCs w:val="24"/>
        </w:rPr>
        <w:t>Administrative Law Judge</w:t>
      </w:r>
    </w:p>
    <w:sectPr w:rsidR="006C2C49" w:rsidSect="00DE29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D5D" w:rsidRDefault="00066D5D">
      <w:r>
        <w:separator/>
      </w:r>
    </w:p>
  </w:endnote>
  <w:endnote w:type="continuationSeparator" w:id="0">
    <w:p w:rsidR="00066D5D" w:rsidRDefault="0006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06143D" w:rsidRDefault="00BF7A4B">
    <w:pPr>
      <w:pStyle w:val="Footer"/>
      <w:framePr w:wrap="around" w:vAnchor="text" w:hAnchor="margin" w:xAlign="center" w:y="1"/>
      <w:rPr>
        <w:rStyle w:val="PageNumber"/>
        <w:sz w:val="20"/>
      </w:rPr>
    </w:pPr>
    <w:r w:rsidRPr="0006143D">
      <w:rPr>
        <w:rStyle w:val="PageNumber"/>
        <w:sz w:val="20"/>
      </w:rPr>
      <w:fldChar w:fldCharType="begin"/>
    </w:r>
    <w:r w:rsidRPr="0006143D">
      <w:rPr>
        <w:rStyle w:val="PageNumber"/>
        <w:sz w:val="20"/>
      </w:rPr>
      <w:instrText xml:space="preserve">PAGE  </w:instrText>
    </w:r>
    <w:r w:rsidRPr="0006143D">
      <w:rPr>
        <w:rStyle w:val="PageNumber"/>
        <w:sz w:val="20"/>
      </w:rPr>
      <w:fldChar w:fldCharType="separate"/>
    </w:r>
    <w:r w:rsidR="00B93B14">
      <w:rPr>
        <w:rStyle w:val="PageNumber"/>
        <w:noProof/>
        <w:sz w:val="20"/>
      </w:rPr>
      <w:t>16</w:t>
    </w:r>
    <w:r w:rsidRPr="0006143D">
      <w:rPr>
        <w:rStyle w:val="PageNumber"/>
        <w:sz w:val="20"/>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D5D" w:rsidRDefault="00066D5D">
      <w:r>
        <w:separator/>
      </w:r>
    </w:p>
  </w:footnote>
  <w:footnote w:type="continuationSeparator" w:id="0">
    <w:p w:rsidR="00066D5D" w:rsidRDefault="00066D5D">
      <w:r>
        <w:continuationSeparator/>
      </w:r>
    </w:p>
  </w:footnote>
  <w:footnote w:id="1">
    <w:p w:rsidR="000B0551" w:rsidRDefault="000B0551" w:rsidP="000B0551">
      <w:pPr>
        <w:pStyle w:val="FootnoteText"/>
        <w:ind w:firstLine="720"/>
      </w:pPr>
      <w:r>
        <w:rPr>
          <w:rStyle w:val="FootnoteReference"/>
        </w:rPr>
        <w:footnoteRef/>
      </w:r>
      <w:r>
        <w:t xml:space="preserve"> </w:t>
      </w:r>
      <w:r>
        <w:tab/>
        <w:t>Hourly pay ($9.50) multiplied by Hours Worked per Week (30) multiplied by Average Weeks per Month (4.3) equals average gross income per month ($1,225).</w:t>
      </w:r>
    </w:p>
  </w:footnote>
  <w:footnote w:id="2">
    <w:p w:rsidR="000B0551" w:rsidRDefault="000B0551" w:rsidP="000B0551">
      <w:pPr>
        <w:pStyle w:val="FootnoteText"/>
        <w:ind w:firstLine="720"/>
      </w:pPr>
      <w:r>
        <w:rPr>
          <w:rStyle w:val="FootnoteReference"/>
        </w:rPr>
        <w:footnoteRef/>
      </w:r>
      <w:r>
        <w:t xml:space="preserve"> </w:t>
      </w:r>
      <w:r>
        <w:tab/>
        <w:t>Hourly pay ($15) multiplied by Hours Worked per Week (</w:t>
      </w:r>
      <w:r w:rsidR="00D3510C">
        <w:t>4</w:t>
      </w:r>
      <w:r>
        <w:t>0) multiplied by Average Weeks per Month (4.3) equals average gross income per month ($</w:t>
      </w:r>
      <w:r w:rsidR="00D3510C">
        <w:t>2,580</w:t>
      </w:r>
      <w:r>
        <w:t>).</w:t>
      </w:r>
    </w:p>
  </w:footnote>
  <w:footnote w:id="3">
    <w:p w:rsidR="00A41132" w:rsidRPr="00A41132" w:rsidRDefault="00A41132" w:rsidP="00A41132">
      <w:pPr>
        <w:pStyle w:val="FootnoteText"/>
        <w:ind w:firstLine="720"/>
      </w:pPr>
      <w:r w:rsidRPr="00A41132">
        <w:rPr>
          <w:rStyle w:val="FootnoteReference"/>
        </w:rPr>
        <w:footnoteRef/>
      </w:r>
      <w:r w:rsidRPr="00A41132">
        <w:t xml:space="preserve"> </w:t>
      </w:r>
      <w:r w:rsidRPr="00A41132">
        <w:tab/>
      </w:r>
      <w:proofErr w:type="gramStart"/>
      <w:r w:rsidRPr="00A41132">
        <w:rPr>
          <w:u w:val="single"/>
        </w:rPr>
        <w:t>Patterson v. Bell Telephone Co. of Pa.</w:t>
      </w:r>
      <w:r w:rsidR="00A01BF0">
        <w:t>, 72 Pa. P</w:t>
      </w:r>
      <w:r w:rsidRPr="00A41132">
        <w:t xml:space="preserve">UC 196 (1990); </w:t>
      </w:r>
      <w:r w:rsidRPr="00A41132">
        <w:rPr>
          <w:u w:val="single"/>
        </w:rPr>
        <w:t>Feinstein v. Philadelphia Suburban Water Co.</w:t>
      </w:r>
      <w:r w:rsidRPr="00A41132">
        <w:t>, 50 Pa. PUC 300 (1976).</w:t>
      </w:r>
      <w:proofErr w:type="gramEnd"/>
      <w:r w:rsidRPr="00A41132">
        <w:t xml:space="preserve">  </w:t>
      </w:r>
    </w:p>
  </w:footnote>
  <w:footnote w:id="4">
    <w:p w:rsidR="00A41132" w:rsidRPr="00A41132" w:rsidRDefault="00A41132" w:rsidP="00A41132">
      <w:pPr>
        <w:pStyle w:val="FootnoteText"/>
      </w:pPr>
    </w:p>
    <w:p w:rsidR="00A41132" w:rsidRPr="00A41132" w:rsidRDefault="00A41132" w:rsidP="00A41132">
      <w:pPr>
        <w:pStyle w:val="FootnoteText"/>
        <w:ind w:firstLine="720"/>
      </w:pPr>
      <w:r w:rsidRPr="00A41132">
        <w:rPr>
          <w:rStyle w:val="FootnoteReference"/>
        </w:rPr>
        <w:footnoteRef/>
      </w:r>
      <w:r w:rsidRPr="00A41132">
        <w:t xml:space="preserve"> </w:t>
      </w:r>
      <w:r w:rsidRPr="00A41132">
        <w:tab/>
      </w:r>
      <w:proofErr w:type="gramStart"/>
      <w:r w:rsidRPr="00A41132">
        <w:rPr>
          <w:u w:val="single"/>
        </w:rPr>
        <w:t xml:space="preserve">Samuel J. </w:t>
      </w:r>
      <w:proofErr w:type="spellStart"/>
      <w:r w:rsidRPr="00A41132">
        <w:rPr>
          <w:u w:val="single"/>
        </w:rPr>
        <w:t>Lansberry</w:t>
      </w:r>
      <w:proofErr w:type="spellEnd"/>
      <w:r w:rsidRPr="00A41132">
        <w:rPr>
          <w:u w:val="single"/>
        </w:rPr>
        <w:t>, Inc. v. Pa. Pub</w:t>
      </w:r>
      <w:r>
        <w:rPr>
          <w:u w:val="single"/>
        </w:rPr>
        <w:t>.</w:t>
      </w:r>
      <w:proofErr w:type="gramEnd"/>
      <w:r w:rsidR="000079BF">
        <w:rPr>
          <w:u w:val="single"/>
        </w:rPr>
        <w:t xml:space="preserve"> </w:t>
      </w:r>
      <w:proofErr w:type="gramStart"/>
      <w:r w:rsidRPr="00A41132">
        <w:rPr>
          <w:u w:val="single"/>
        </w:rPr>
        <w:t>Util</w:t>
      </w:r>
      <w:r>
        <w:rPr>
          <w:u w:val="single"/>
        </w:rPr>
        <w:t xml:space="preserve">. </w:t>
      </w:r>
      <w:proofErr w:type="spellStart"/>
      <w:r w:rsidRPr="00A41132">
        <w:rPr>
          <w:u w:val="single"/>
        </w:rPr>
        <w:t>Comm</w:t>
      </w:r>
      <w:r w:rsidR="000079BF">
        <w:rPr>
          <w:u w:val="single"/>
        </w:rPr>
        <w:t>’n</w:t>
      </w:r>
      <w:proofErr w:type="spellEnd"/>
      <w:r w:rsidRPr="00A41132">
        <w:t xml:space="preserve">, 578 A.2d 600 (Pa. </w:t>
      </w:r>
      <w:proofErr w:type="spellStart"/>
      <w:r w:rsidRPr="00A41132">
        <w:t>Cmwlth</w:t>
      </w:r>
      <w:proofErr w:type="spellEnd"/>
      <w:r w:rsidRPr="00A41132">
        <w:t xml:space="preserve">. 1990), </w:t>
      </w:r>
      <w:proofErr w:type="spellStart"/>
      <w:r w:rsidRPr="00A41132">
        <w:rPr>
          <w:u w:val="single"/>
        </w:rPr>
        <w:t>alloc</w:t>
      </w:r>
      <w:proofErr w:type="spellEnd"/>
      <w:r w:rsidRPr="00A41132">
        <w:rPr>
          <w:u w:val="single"/>
        </w:rPr>
        <w:t>.</w:t>
      </w:r>
      <w:proofErr w:type="gramEnd"/>
      <w:r w:rsidRPr="00A41132">
        <w:rPr>
          <w:u w:val="single"/>
        </w:rPr>
        <w:t xml:space="preserve"> </w:t>
      </w:r>
      <w:proofErr w:type="gramStart"/>
      <w:r w:rsidRPr="00A41132">
        <w:rPr>
          <w:u w:val="single"/>
        </w:rPr>
        <w:t>den.</w:t>
      </w:r>
      <w:r w:rsidRPr="00A41132">
        <w:t xml:space="preserve">, 602 A.2d 863 (Pa. 1992); </w:t>
      </w:r>
      <w:r w:rsidRPr="00A41132">
        <w:rPr>
          <w:u w:val="single"/>
        </w:rPr>
        <w:t xml:space="preserve">Se-Ling Hosiery v. </w:t>
      </w:r>
      <w:r w:rsidRPr="00A41132">
        <w:rPr>
          <w:spacing w:val="-3"/>
          <w:u w:val="single"/>
        </w:rPr>
        <w:t>Margulies</w:t>
      </w:r>
      <w:r w:rsidRPr="00A41132">
        <w:t>, 70 A.2d 854 (Pa. 1950).</w:t>
      </w:r>
      <w:proofErr w:type="gramEnd"/>
      <w:r w:rsidRPr="00A41132">
        <w:t xml:space="preserve">  </w:t>
      </w:r>
    </w:p>
  </w:footnote>
  <w:footnote w:id="5">
    <w:p w:rsidR="00A41132" w:rsidRPr="00A41132" w:rsidRDefault="00A41132" w:rsidP="00A41132">
      <w:pPr>
        <w:pStyle w:val="FootnoteText"/>
      </w:pPr>
    </w:p>
    <w:p w:rsidR="00A41132" w:rsidRPr="00A41132" w:rsidRDefault="00A41132" w:rsidP="00A41132">
      <w:pPr>
        <w:pStyle w:val="FootnoteText"/>
        <w:ind w:firstLine="720"/>
      </w:pPr>
      <w:r w:rsidRPr="00A41132">
        <w:rPr>
          <w:rStyle w:val="FootnoteReference"/>
        </w:rPr>
        <w:footnoteRef/>
      </w:r>
      <w:r w:rsidRPr="00A41132">
        <w:t xml:space="preserve"> </w:t>
      </w:r>
      <w:r w:rsidRPr="00A41132">
        <w:tab/>
      </w:r>
      <w:proofErr w:type="gramStart"/>
      <w:r w:rsidRPr="00A41132">
        <w:rPr>
          <w:u w:val="single"/>
        </w:rPr>
        <w:t>Mill v. Pa. Pub</w:t>
      </w:r>
      <w:r>
        <w:rPr>
          <w:u w:val="single"/>
        </w:rPr>
        <w:t>.</w:t>
      </w:r>
      <w:proofErr w:type="gramEnd"/>
      <w:r w:rsidRPr="00A41132">
        <w:rPr>
          <w:u w:val="single"/>
        </w:rPr>
        <w:t xml:space="preserve"> </w:t>
      </w:r>
      <w:proofErr w:type="gramStart"/>
      <w:r w:rsidRPr="00A41132">
        <w:rPr>
          <w:u w:val="single"/>
        </w:rPr>
        <w:t>Util</w:t>
      </w:r>
      <w:r>
        <w:rPr>
          <w:u w:val="single"/>
        </w:rPr>
        <w:t xml:space="preserve">. </w:t>
      </w:r>
      <w:proofErr w:type="spellStart"/>
      <w:r w:rsidRPr="00A41132">
        <w:rPr>
          <w:u w:val="single"/>
        </w:rPr>
        <w:t>Comm</w:t>
      </w:r>
      <w:r w:rsidR="000079BF">
        <w:rPr>
          <w:u w:val="single"/>
        </w:rPr>
        <w:t>’n</w:t>
      </w:r>
      <w:proofErr w:type="spellEnd"/>
      <w:r w:rsidRPr="00A41132">
        <w:t xml:space="preserve">, 447 A.2d 1100 (Pa. </w:t>
      </w:r>
      <w:proofErr w:type="spellStart"/>
      <w:r w:rsidRPr="00A41132">
        <w:t>Cmwlth</w:t>
      </w:r>
      <w:proofErr w:type="spellEnd"/>
      <w:r w:rsidRPr="00A41132">
        <w:t xml:space="preserve">. 1982); </w:t>
      </w:r>
      <w:proofErr w:type="spellStart"/>
      <w:r w:rsidRPr="00A41132">
        <w:rPr>
          <w:u w:val="single"/>
        </w:rPr>
        <w:t>Edan</w:t>
      </w:r>
      <w:proofErr w:type="spellEnd"/>
      <w:r w:rsidRPr="00A41132">
        <w:rPr>
          <w:u w:val="single"/>
        </w:rPr>
        <w:t xml:space="preserve"> Transportation Corp. v. Pa. Pub</w:t>
      </w:r>
      <w:r>
        <w:rPr>
          <w:u w:val="single"/>
        </w:rPr>
        <w:t>.</w:t>
      </w:r>
      <w:proofErr w:type="gramEnd"/>
      <w:r w:rsidRPr="00A41132">
        <w:rPr>
          <w:u w:val="single"/>
        </w:rPr>
        <w:t xml:space="preserve"> </w:t>
      </w:r>
      <w:proofErr w:type="gramStart"/>
      <w:r w:rsidRPr="00A41132">
        <w:rPr>
          <w:u w:val="single"/>
        </w:rPr>
        <w:t>Util</w:t>
      </w:r>
      <w:r>
        <w:rPr>
          <w:u w:val="single"/>
        </w:rPr>
        <w:t>.</w:t>
      </w:r>
      <w:r w:rsidRPr="00A41132">
        <w:rPr>
          <w:u w:val="single"/>
        </w:rPr>
        <w:t xml:space="preserve"> </w:t>
      </w:r>
      <w:proofErr w:type="spellStart"/>
      <w:r w:rsidRPr="00A41132">
        <w:rPr>
          <w:u w:val="single"/>
        </w:rPr>
        <w:t>Comm</w:t>
      </w:r>
      <w:r w:rsidR="000079BF">
        <w:rPr>
          <w:u w:val="single"/>
        </w:rPr>
        <w:t>’n</w:t>
      </w:r>
      <w:proofErr w:type="spellEnd"/>
      <w:r w:rsidRPr="00A41132">
        <w:t>, 623 A</w:t>
      </w:r>
      <w:r>
        <w:t xml:space="preserve">.2d 6 (Pa. </w:t>
      </w:r>
      <w:proofErr w:type="spellStart"/>
      <w:r>
        <w:t>Cmwlth</w:t>
      </w:r>
      <w:proofErr w:type="spellEnd"/>
      <w:r>
        <w:t xml:space="preserve">. 1993); 2 </w:t>
      </w:r>
      <w:proofErr w:type="spellStart"/>
      <w:r>
        <w:t>Pa.</w:t>
      </w:r>
      <w:r w:rsidRPr="00A41132">
        <w:t>C.S.A</w:t>
      </w:r>
      <w:proofErr w:type="spellEnd"/>
      <w:r w:rsidRPr="00A41132">
        <w:t>.</w:t>
      </w:r>
      <w:proofErr w:type="gramEnd"/>
      <w:r w:rsidRPr="00A41132">
        <w:t xml:space="preserve"> § 704.  </w:t>
      </w:r>
    </w:p>
  </w:footnote>
  <w:footnote w:id="6">
    <w:p w:rsidR="00A41132" w:rsidRPr="00A41132" w:rsidRDefault="00A41132" w:rsidP="00A41132">
      <w:pPr>
        <w:pStyle w:val="FootnoteText"/>
      </w:pPr>
    </w:p>
    <w:p w:rsidR="00A41132" w:rsidRPr="00A41132" w:rsidRDefault="00A41132" w:rsidP="00A41132">
      <w:pPr>
        <w:spacing w:line="240" w:lineRule="auto"/>
        <w:ind w:firstLine="720"/>
        <w:rPr>
          <w:sz w:val="20"/>
        </w:rPr>
      </w:pPr>
      <w:r w:rsidRPr="00A41132">
        <w:rPr>
          <w:rStyle w:val="FootnoteReference"/>
          <w:sz w:val="20"/>
        </w:rPr>
        <w:footnoteRef/>
      </w:r>
      <w:r w:rsidRPr="00A41132">
        <w:rPr>
          <w:sz w:val="20"/>
        </w:rPr>
        <w:t xml:space="preserve"> </w:t>
      </w:r>
      <w:r w:rsidRPr="00A41132">
        <w:rPr>
          <w:sz w:val="20"/>
        </w:rPr>
        <w:tab/>
      </w:r>
      <w:proofErr w:type="gramStart"/>
      <w:r w:rsidRPr="00A41132">
        <w:rPr>
          <w:sz w:val="20"/>
          <w:u w:val="single"/>
        </w:rPr>
        <w:t xml:space="preserve">Norfolk and Western Ry. v. Pa. </w:t>
      </w:r>
      <w:proofErr w:type="spellStart"/>
      <w:r w:rsidRPr="00A41132">
        <w:rPr>
          <w:sz w:val="20"/>
          <w:u w:val="single"/>
        </w:rPr>
        <w:t>Pub</w:t>
      </w:r>
      <w:r>
        <w:rPr>
          <w:sz w:val="20"/>
          <w:u w:val="single"/>
        </w:rPr>
        <w:t>.</w:t>
      </w:r>
      <w:r w:rsidRPr="00A41132">
        <w:rPr>
          <w:sz w:val="20"/>
          <w:u w:val="single"/>
        </w:rPr>
        <w:t>Util</w:t>
      </w:r>
      <w:proofErr w:type="spellEnd"/>
      <w:r>
        <w:rPr>
          <w:sz w:val="20"/>
          <w:u w:val="single"/>
        </w:rPr>
        <w:t>.</w:t>
      </w:r>
      <w:proofErr w:type="gramEnd"/>
      <w:r>
        <w:rPr>
          <w:sz w:val="20"/>
          <w:u w:val="single"/>
        </w:rPr>
        <w:t xml:space="preserve"> </w:t>
      </w:r>
      <w:proofErr w:type="spellStart"/>
      <w:proofErr w:type="gramStart"/>
      <w:r w:rsidRPr="00A41132">
        <w:rPr>
          <w:sz w:val="20"/>
          <w:u w:val="single"/>
        </w:rPr>
        <w:t>Comm</w:t>
      </w:r>
      <w:r w:rsidR="000079BF">
        <w:rPr>
          <w:sz w:val="20"/>
          <w:u w:val="single"/>
        </w:rPr>
        <w:t>’n</w:t>
      </w:r>
      <w:proofErr w:type="spellEnd"/>
      <w:r w:rsidRPr="00A41132">
        <w:rPr>
          <w:sz w:val="20"/>
        </w:rPr>
        <w:t xml:space="preserve">, 413 A.2d 1037 (Pa. 1980); </w:t>
      </w:r>
      <w:r w:rsidRPr="00A41132">
        <w:rPr>
          <w:sz w:val="20"/>
          <w:u w:val="single"/>
        </w:rPr>
        <w:t>Erie Resistor Corp.</w:t>
      </w:r>
      <w:r w:rsidR="000079BF">
        <w:rPr>
          <w:sz w:val="20"/>
          <w:u w:val="single"/>
        </w:rPr>
        <w:t> </w:t>
      </w:r>
      <w:r w:rsidRPr="00A41132">
        <w:rPr>
          <w:sz w:val="20"/>
          <w:u w:val="single"/>
        </w:rPr>
        <w:t>v. Unemployment Compensation Bd. of Review</w:t>
      </w:r>
      <w:r w:rsidRPr="00A41132">
        <w:rPr>
          <w:sz w:val="20"/>
        </w:rPr>
        <w:t xml:space="preserve">, 166 A.2d 96 (Pa. Super. 1960); </w:t>
      </w:r>
      <w:r w:rsidRPr="00A41132">
        <w:rPr>
          <w:sz w:val="20"/>
          <w:u w:val="single"/>
        </w:rPr>
        <w:t>Murphy v. Dep’t.</w:t>
      </w:r>
      <w:proofErr w:type="gramEnd"/>
      <w:r w:rsidRPr="00A41132">
        <w:rPr>
          <w:sz w:val="20"/>
          <w:u w:val="single"/>
        </w:rPr>
        <w:t xml:space="preserve"> </w:t>
      </w:r>
      <w:proofErr w:type="gramStart"/>
      <w:r w:rsidRPr="00A41132">
        <w:rPr>
          <w:sz w:val="20"/>
          <w:u w:val="single"/>
        </w:rPr>
        <w:t>of</w:t>
      </w:r>
      <w:proofErr w:type="gramEnd"/>
      <w:r w:rsidRPr="00A41132">
        <w:rPr>
          <w:sz w:val="20"/>
          <w:u w:val="single"/>
        </w:rPr>
        <w:t xml:space="preserve"> Public Welfare, White Haven Center</w:t>
      </w:r>
      <w:r w:rsidRPr="00A41132">
        <w:rPr>
          <w:sz w:val="20"/>
        </w:rPr>
        <w:t xml:space="preserve">, 480 A.2d 382 (Pa. </w:t>
      </w:r>
      <w:proofErr w:type="spellStart"/>
      <w:r w:rsidRPr="00A41132">
        <w:rPr>
          <w:sz w:val="20"/>
        </w:rPr>
        <w:t>Cmwlth</w:t>
      </w:r>
      <w:proofErr w:type="spellEnd"/>
      <w:r w:rsidRPr="00A41132">
        <w:rPr>
          <w:sz w:val="20"/>
        </w:rPr>
        <w:t>. 1984).</w:t>
      </w:r>
    </w:p>
    <w:p w:rsidR="00A41132" w:rsidRPr="00A41132" w:rsidRDefault="00A41132" w:rsidP="00A41132">
      <w:pPr>
        <w:pStyle w:val="FootnoteText"/>
        <w:ind w:firstLine="720"/>
      </w:pPr>
    </w:p>
  </w:footnote>
  <w:footnote w:id="7">
    <w:p w:rsidR="003F34AA" w:rsidRDefault="003F34AA" w:rsidP="003F34AA">
      <w:pPr>
        <w:pStyle w:val="FootnoteText"/>
        <w:ind w:firstLine="720"/>
      </w:pPr>
      <w:r>
        <w:rPr>
          <w:rStyle w:val="FootnoteReference"/>
        </w:rPr>
        <w:footnoteRef/>
      </w:r>
      <w:r>
        <w:t xml:space="preserve"> </w:t>
      </w:r>
      <w:r>
        <w:tab/>
        <w:t xml:space="preserve">See “Admissibility of Evidence”, 52 </w:t>
      </w:r>
      <w:proofErr w:type="spellStart"/>
      <w:r>
        <w:t>Pa.Code</w:t>
      </w:r>
      <w:proofErr w:type="spellEnd"/>
      <w:r>
        <w:t xml:space="preserve"> § 5.401.</w:t>
      </w:r>
    </w:p>
  </w:footnote>
  <w:footnote w:id="8">
    <w:p w:rsidR="003F34AA" w:rsidRDefault="003F34AA">
      <w:pPr>
        <w:pStyle w:val="FootnoteText"/>
      </w:pPr>
    </w:p>
    <w:p w:rsidR="003F34AA" w:rsidRDefault="003F34AA" w:rsidP="003F34AA">
      <w:pPr>
        <w:pStyle w:val="FootnoteText"/>
        <w:ind w:firstLine="720"/>
      </w:pPr>
      <w:r>
        <w:rPr>
          <w:rStyle w:val="FootnoteReference"/>
        </w:rPr>
        <w:footnoteRef/>
      </w:r>
      <w:r>
        <w:t xml:space="preserve"> </w:t>
      </w:r>
      <w:r>
        <w:tab/>
        <w:t xml:space="preserve">See “Admission of Evidence”, 52 </w:t>
      </w:r>
      <w:proofErr w:type="spellStart"/>
      <w:r>
        <w:t>Pa.Code</w:t>
      </w:r>
      <w:proofErr w:type="spellEnd"/>
      <w:r>
        <w:t xml:space="preserve"> § 5.402.</w:t>
      </w:r>
    </w:p>
    <w:p w:rsidR="00586497" w:rsidRDefault="00586497" w:rsidP="003F34AA">
      <w:pPr>
        <w:pStyle w:val="FootnoteText"/>
        <w:ind w:firstLine="720"/>
      </w:pPr>
    </w:p>
  </w:footnote>
  <w:footnote w:id="9">
    <w:p w:rsidR="00946CB2" w:rsidRPr="00946CB2" w:rsidRDefault="00946CB2" w:rsidP="00946CB2">
      <w:pPr>
        <w:pStyle w:val="FootnoteText"/>
        <w:ind w:firstLine="720"/>
      </w:pPr>
      <w:r w:rsidRPr="00946CB2">
        <w:rPr>
          <w:rStyle w:val="FootnoteReference"/>
        </w:rPr>
        <w:footnoteRef/>
      </w:r>
      <w:r w:rsidRPr="00946CB2">
        <w:t xml:space="preserve"> </w:t>
      </w:r>
      <w:r w:rsidRPr="00946CB2">
        <w:tab/>
        <w:t xml:space="preserve">See </w:t>
      </w:r>
      <w:proofErr w:type="spellStart"/>
      <w:r w:rsidRPr="00946CB2">
        <w:rPr>
          <w:snapToGrid w:val="0"/>
          <w:u w:val="single"/>
        </w:rPr>
        <w:t>Rameses</w:t>
      </w:r>
      <w:proofErr w:type="spellEnd"/>
      <w:r w:rsidRPr="00946CB2">
        <w:rPr>
          <w:snapToGrid w:val="0"/>
          <w:u w:val="single"/>
        </w:rPr>
        <w:t xml:space="preserve"> Lee v. PGW</w:t>
      </w:r>
      <w:r w:rsidRPr="00946CB2">
        <w:rPr>
          <w:snapToGrid w:val="0"/>
        </w:rPr>
        <w:t>, Docket No. F-2010-2176674 (Final Order entered January 12, 2012)</w:t>
      </w:r>
      <w:r>
        <w:rPr>
          <w:snapToGrid w:val="0"/>
        </w:rPr>
        <w:t>.  L</w:t>
      </w:r>
      <w:r w:rsidRPr="00946CB2">
        <w:rPr>
          <w:snapToGrid w:val="0"/>
        </w:rPr>
        <w:t>ate filed exhibits were admitted into the hearing record where counsel inadvertently failed to move for the admission of exhibits discussed at the hearing.  When the other party did not respond or object, the presiding officer appropriately admitted the evidence into the hearing record.</w:t>
      </w:r>
    </w:p>
  </w:footnote>
  <w:footnote w:id="10">
    <w:p w:rsidR="00946CB2" w:rsidRPr="00946CB2" w:rsidRDefault="00946CB2" w:rsidP="00946CB2">
      <w:pPr>
        <w:pStyle w:val="FootnoteText"/>
        <w:ind w:firstLine="720"/>
      </w:pPr>
      <w:r w:rsidRPr="00946CB2">
        <w:rPr>
          <w:rStyle w:val="FootnoteReference"/>
        </w:rPr>
        <w:footnoteRef/>
      </w:r>
      <w:r w:rsidRPr="00946CB2">
        <w:t xml:space="preserve"> </w:t>
      </w:r>
      <w:r w:rsidRPr="00946CB2">
        <w:tab/>
      </w:r>
      <w:proofErr w:type="spellStart"/>
      <w:proofErr w:type="gramStart"/>
      <w:r w:rsidRPr="00946CB2">
        <w:rPr>
          <w:u w:val="single"/>
        </w:rPr>
        <w:t>Replogle</w:t>
      </w:r>
      <w:proofErr w:type="spellEnd"/>
      <w:r w:rsidRPr="00946CB2">
        <w:rPr>
          <w:u w:val="single"/>
        </w:rPr>
        <w:t xml:space="preserve"> v. Pennsylvania Electric Company</w:t>
      </w:r>
      <w:r>
        <w:t>, 54 Pa. P</w:t>
      </w:r>
      <w:r w:rsidRPr="00946CB2">
        <w:t>UC 528 (1980).</w:t>
      </w:r>
      <w:proofErr w:type="gramEnd"/>
    </w:p>
  </w:footnote>
  <w:footnote w:id="11">
    <w:p w:rsidR="00946CB2" w:rsidRDefault="00946CB2">
      <w:pPr>
        <w:pStyle w:val="FootnoteText"/>
      </w:pPr>
    </w:p>
    <w:p w:rsidR="00946CB2" w:rsidRDefault="00946CB2" w:rsidP="00946CB2">
      <w:pPr>
        <w:pStyle w:val="FootnoteText"/>
        <w:ind w:firstLine="720"/>
      </w:pPr>
      <w:r>
        <w:rPr>
          <w:rStyle w:val="FootnoteReference"/>
        </w:rPr>
        <w:footnoteRef/>
      </w:r>
      <w:r>
        <w:t xml:space="preserve"> </w:t>
      </w:r>
      <w:r>
        <w:tab/>
      </w:r>
      <w:proofErr w:type="spellStart"/>
      <w:proofErr w:type="gramStart"/>
      <w:r w:rsidRPr="00946CB2">
        <w:rPr>
          <w:u w:val="single"/>
        </w:rPr>
        <w:t>Milkie</w:t>
      </w:r>
      <w:proofErr w:type="spellEnd"/>
      <w:r w:rsidRPr="00946CB2">
        <w:rPr>
          <w:u w:val="single"/>
        </w:rPr>
        <w:t xml:space="preserve"> v. Pa. Pub.</w:t>
      </w:r>
      <w:proofErr w:type="gramEnd"/>
      <w:r w:rsidRPr="00946CB2">
        <w:rPr>
          <w:u w:val="single"/>
        </w:rPr>
        <w:t xml:space="preserve"> </w:t>
      </w:r>
      <w:proofErr w:type="gramStart"/>
      <w:r w:rsidRPr="00946CB2">
        <w:rPr>
          <w:u w:val="single"/>
        </w:rPr>
        <w:t xml:space="preserve">Util. </w:t>
      </w:r>
      <w:proofErr w:type="spellStart"/>
      <w:r w:rsidRPr="00946CB2">
        <w:rPr>
          <w:u w:val="single"/>
        </w:rPr>
        <w:t>Comm’n</w:t>
      </w:r>
      <w:proofErr w:type="spellEnd"/>
      <w:r w:rsidRPr="00946CB2">
        <w:t xml:space="preserve">, 768 A.2d 1217 (Pa. </w:t>
      </w:r>
      <w:proofErr w:type="spellStart"/>
      <w:r w:rsidRPr="00946CB2">
        <w:t>Cmwlth</w:t>
      </w:r>
      <w:proofErr w:type="spellEnd"/>
      <w:r w:rsidRPr="00946CB2">
        <w:t>. 2001).</w:t>
      </w:r>
      <w:proofErr w:type="gramEnd"/>
    </w:p>
  </w:footnote>
  <w:footnote w:id="12">
    <w:p w:rsidR="00735E13" w:rsidRPr="00946CB2" w:rsidRDefault="00735E13" w:rsidP="00735E13">
      <w:pPr>
        <w:pStyle w:val="FootnoteText"/>
        <w:ind w:firstLine="720"/>
      </w:pPr>
      <w:r w:rsidRPr="00946CB2">
        <w:rPr>
          <w:rStyle w:val="FootnoteReference"/>
        </w:rPr>
        <w:footnoteRef/>
      </w:r>
      <w:r w:rsidRPr="00946CB2">
        <w:t xml:space="preserve"> </w:t>
      </w:r>
      <w:r w:rsidRPr="00946CB2">
        <w:tab/>
      </w:r>
      <w:proofErr w:type="gramStart"/>
      <w:r w:rsidR="00946CB2">
        <w:t xml:space="preserve">66 </w:t>
      </w:r>
      <w:proofErr w:type="spellStart"/>
      <w:r w:rsidR="00946CB2">
        <w:t>Pa.</w:t>
      </w:r>
      <w:r w:rsidRPr="00946CB2">
        <w:t>C.S.</w:t>
      </w:r>
      <w:r w:rsidR="00946CB2">
        <w:t>A</w:t>
      </w:r>
      <w:proofErr w:type="spellEnd"/>
      <w:r w:rsidR="00946CB2">
        <w:t>.</w:t>
      </w:r>
      <w:proofErr w:type="gramEnd"/>
      <w:r w:rsidRPr="00946CB2">
        <w:t xml:space="preserve"> § 1405(b).  </w:t>
      </w:r>
    </w:p>
    <w:p w:rsidR="00735E13" w:rsidRPr="00946CB2" w:rsidRDefault="00735E13" w:rsidP="00735E13">
      <w:pPr>
        <w:pStyle w:val="FootnoteText"/>
        <w:ind w:firstLine="720"/>
      </w:pPr>
    </w:p>
  </w:footnote>
  <w:footnote w:id="13">
    <w:p w:rsidR="00735E13" w:rsidRPr="00946CB2" w:rsidRDefault="00735E13" w:rsidP="00735E13">
      <w:pPr>
        <w:pStyle w:val="FootnoteText"/>
        <w:ind w:firstLine="720"/>
      </w:pPr>
      <w:r w:rsidRPr="00946CB2">
        <w:rPr>
          <w:rStyle w:val="FootnoteReference"/>
        </w:rPr>
        <w:footnoteRef/>
      </w:r>
      <w:r w:rsidRPr="00946CB2">
        <w:t xml:space="preserve"> </w:t>
      </w:r>
      <w:r w:rsidRPr="00946CB2">
        <w:tab/>
      </w:r>
      <w:proofErr w:type="gramStart"/>
      <w:r w:rsidRPr="00946CB2">
        <w:t xml:space="preserve">66 </w:t>
      </w:r>
      <w:proofErr w:type="spellStart"/>
      <w:r w:rsidRPr="00946CB2">
        <w:t>Pa.C.S.</w:t>
      </w:r>
      <w:r w:rsidR="00856305">
        <w:t>A</w:t>
      </w:r>
      <w:proofErr w:type="spellEnd"/>
      <w:r w:rsidR="00856305">
        <w:t>.</w:t>
      </w:r>
      <w:proofErr w:type="gramEnd"/>
      <w:r w:rsidRPr="00946CB2">
        <w:t xml:space="preserve"> §§ 1405(d), (e).</w:t>
      </w:r>
    </w:p>
  </w:footnote>
  <w:footnote w:id="14">
    <w:p w:rsidR="00735E13" w:rsidRPr="00946CB2" w:rsidRDefault="00735E13">
      <w:pPr>
        <w:pStyle w:val="FootnoteText"/>
      </w:pPr>
    </w:p>
    <w:p w:rsidR="00735E13" w:rsidRPr="00946CB2" w:rsidRDefault="00735E13" w:rsidP="00735E13">
      <w:pPr>
        <w:pStyle w:val="FootnoteText"/>
        <w:ind w:firstLine="720"/>
      </w:pPr>
      <w:r w:rsidRPr="00946CB2">
        <w:rPr>
          <w:rStyle w:val="FootnoteReference"/>
        </w:rPr>
        <w:footnoteRef/>
      </w:r>
      <w:r w:rsidRPr="00946CB2">
        <w:t xml:space="preserve"> </w:t>
      </w:r>
      <w:r w:rsidRPr="00946CB2">
        <w:tab/>
      </w:r>
      <w:proofErr w:type="gramStart"/>
      <w:r w:rsidRPr="00946CB2">
        <w:t>See Finding of Fact #</w:t>
      </w:r>
      <w:r w:rsidR="00856305">
        <w:t>26</w:t>
      </w:r>
      <w:r w:rsidRPr="00946CB2">
        <w:t>.</w:t>
      </w:r>
      <w:proofErr w:type="gramEnd"/>
    </w:p>
  </w:footnote>
  <w:footnote w:id="15">
    <w:p w:rsidR="00735E13" w:rsidRPr="00946CB2" w:rsidRDefault="00735E13">
      <w:pPr>
        <w:pStyle w:val="FootnoteText"/>
      </w:pPr>
    </w:p>
    <w:p w:rsidR="00735E13" w:rsidRPr="00946CB2" w:rsidRDefault="00735E13" w:rsidP="00735E13">
      <w:pPr>
        <w:pStyle w:val="FootnoteText"/>
        <w:ind w:firstLine="720"/>
      </w:pPr>
      <w:r w:rsidRPr="00946CB2">
        <w:rPr>
          <w:rStyle w:val="FootnoteReference"/>
        </w:rPr>
        <w:footnoteRef/>
      </w:r>
      <w:r w:rsidR="00856305">
        <w:t xml:space="preserve"> </w:t>
      </w:r>
      <w:r w:rsidR="00856305">
        <w:tab/>
      </w:r>
      <w:proofErr w:type="gramStart"/>
      <w:r w:rsidR="00856305">
        <w:t>See Finding of Fact #20</w:t>
      </w:r>
      <w:r w:rsidRPr="00946CB2">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234"/>
    <w:multiLevelType w:val="hybridMultilevel"/>
    <w:tmpl w:val="3D36AC82"/>
    <w:lvl w:ilvl="0" w:tplc="E6169CB4">
      <w:start w:val="1"/>
      <w:numFmt w:val="decimal"/>
      <w:lvlText w:val="(%1)"/>
      <w:lvlJc w:val="left"/>
      <w:pPr>
        <w:ind w:left="2310" w:hanging="405"/>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3581A"/>
    <w:multiLevelType w:val="singleLevel"/>
    <w:tmpl w:val="0409000F"/>
    <w:lvl w:ilvl="0">
      <w:start w:val="1"/>
      <w:numFmt w:val="decimal"/>
      <w:lvlText w:val="%1."/>
      <w:lvlJc w:val="left"/>
      <w:pPr>
        <w:tabs>
          <w:tab w:val="num" w:pos="1980"/>
        </w:tabs>
        <w:ind w:left="1980" w:hanging="360"/>
      </w:pPr>
    </w:lvl>
  </w:abstractNum>
  <w:abstractNum w:abstractNumId="4">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5">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6">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9">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10">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2">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9"/>
  </w:num>
  <w:num w:numId="3">
    <w:abstractNumId w:val="4"/>
  </w:num>
  <w:num w:numId="4">
    <w:abstractNumId w:val="5"/>
  </w:num>
  <w:num w:numId="5">
    <w:abstractNumId w:val="11"/>
  </w:num>
  <w:num w:numId="6">
    <w:abstractNumId w:val="9"/>
    <w:lvlOverride w:ilvl="0">
      <w:startOverride w:val="1"/>
    </w:lvlOverride>
  </w:num>
  <w:num w:numId="7">
    <w:abstractNumId w:val="4"/>
    <w:lvlOverride w:ilvl="0">
      <w:startOverride w:val="1"/>
    </w:lvlOverride>
  </w:num>
  <w:num w:numId="8">
    <w:abstractNumId w:val="11"/>
    <w:lvlOverride w:ilvl="0">
      <w:startOverride w:val="2"/>
    </w:lvlOverride>
  </w:num>
  <w:num w:numId="9">
    <w:abstractNumId w:val="3"/>
  </w:num>
  <w:num w:numId="10">
    <w:abstractNumId w:val="12"/>
  </w:num>
  <w:num w:numId="11">
    <w:abstractNumId w:val="10"/>
  </w:num>
  <w:num w:numId="12">
    <w:abstractNumId w:val="2"/>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04709"/>
    <w:rsid w:val="00005552"/>
    <w:rsid w:val="000079BF"/>
    <w:rsid w:val="000106DB"/>
    <w:rsid w:val="00016819"/>
    <w:rsid w:val="000256AC"/>
    <w:rsid w:val="00025EB9"/>
    <w:rsid w:val="000268F4"/>
    <w:rsid w:val="0003169F"/>
    <w:rsid w:val="00044200"/>
    <w:rsid w:val="00044B8E"/>
    <w:rsid w:val="00052FB6"/>
    <w:rsid w:val="0006143D"/>
    <w:rsid w:val="000623B4"/>
    <w:rsid w:val="00065149"/>
    <w:rsid w:val="00066D5D"/>
    <w:rsid w:val="000755DB"/>
    <w:rsid w:val="00083078"/>
    <w:rsid w:val="00083E16"/>
    <w:rsid w:val="000961CD"/>
    <w:rsid w:val="000A1439"/>
    <w:rsid w:val="000A34DF"/>
    <w:rsid w:val="000A492A"/>
    <w:rsid w:val="000A68FD"/>
    <w:rsid w:val="000B0551"/>
    <w:rsid w:val="000B5D58"/>
    <w:rsid w:val="000C10B9"/>
    <w:rsid w:val="000C50A8"/>
    <w:rsid w:val="000C55C5"/>
    <w:rsid w:val="000D6D9C"/>
    <w:rsid w:val="001056A1"/>
    <w:rsid w:val="001125A4"/>
    <w:rsid w:val="00113941"/>
    <w:rsid w:val="0011768F"/>
    <w:rsid w:val="00120F44"/>
    <w:rsid w:val="001339A3"/>
    <w:rsid w:val="00134104"/>
    <w:rsid w:val="0014638B"/>
    <w:rsid w:val="001623AF"/>
    <w:rsid w:val="001635F9"/>
    <w:rsid w:val="00166694"/>
    <w:rsid w:val="00174631"/>
    <w:rsid w:val="001760E3"/>
    <w:rsid w:val="00187E50"/>
    <w:rsid w:val="001908AF"/>
    <w:rsid w:val="00192CF9"/>
    <w:rsid w:val="00195CBA"/>
    <w:rsid w:val="00195D67"/>
    <w:rsid w:val="001B2A30"/>
    <w:rsid w:val="001B2A4F"/>
    <w:rsid w:val="001B55FD"/>
    <w:rsid w:val="001D439B"/>
    <w:rsid w:val="001D457F"/>
    <w:rsid w:val="001E2C0B"/>
    <w:rsid w:val="001E6855"/>
    <w:rsid w:val="001F16E2"/>
    <w:rsid w:val="001F6C83"/>
    <w:rsid w:val="0021278D"/>
    <w:rsid w:val="002135C1"/>
    <w:rsid w:val="00213C20"/>
    <w:rsid w:val="00227BCE"/>
    <w:rsid w:val="0024448A"/>
    <w:rsid w:val="0025358F"/>
    <w:rsid w:val="00256203"/>
    <w:rsid w:val="0025693E"/>
    <w:rsid w:val="002570A9"/>
    <w:rsid w:val="0026056B"/>
    <w:rsid w:val="00273706"/>
    <w:rsid w:val="00295FD6"/>
    <w:rsid w:val="002A1305"/>
    <w:rsid w:val="002A59BF"/>
    <w:rsid w:val="002C1528"/>
    <w:rsid w:val="002D48BD"/>
    <w:rsid w:val="002D58B4"/>
    <w:rsid w:val="002E25F3"/>
    <w:rsid w:val="002E2700"/>
    <w:rsid w:val="00305F0D"/>
    <w:rsid w:val="00307CB3"/>
    <w:rsid w:val="00321B6F"/>
    <w:rsid w:val="00341B79"/>
    <w:rsid w:val="003420E6"/>
    <w:rsid w:val="0034210C"/>
    <w:rsid w:val="003460CC"/>
    <w:rsid w:val="00355E33"/>
    <w:rsid w:val="003611E4"/>
    <w:rsid w:val="00373E41"/>
    <w:rsid w:val="003759A4"/>
    <w:rsid w:val="00376E90"/>
    <w:rsid w:val="00382023"/>
    <w:rsid w:val="00383A25"/>
    <w:rsid w:val="00386F30"/>
    <w:rsid w:val="003948AF"/>
    <w:rsid w:val="003962EA"/>
    <w:rsid w:val="003A1270"/>
    <w:rsid w:val="003A2086"/>
    <w:rsid w:val="003A2251"/>
    <w:rsid w:val="003A2C39"/>
    <w:rsid w:val="003A31A9"/>
    <w:rsid w:val="003A33F5"/>
    <w:rsid w:val="003C7183"/>
    <w:rsid w:val="003D3AA4"/>
    <w:rsid w:val="003F0927"/>
    <w:rsid w:val="003F34AA"/>
    <w:rsid w:val="003F68A9"/>
    <w:rsid w:val="004012A8"/>
    <w:rsid w:val="0041141D"/>
    <w:rsid w:val="00412886"/>
    <w:rsid w:val="00413763"/>
    <w:rsid w:val="0042086F"/>
    <w:rsid w:val="004222C6"/>
    <w:rsid w:val="004232E8"/>
    <w:rsid w:val="0043056E"/>
    <w:rsid w:val="00433CEC"/>
    <w:rsid w:val="0043514B"/>
    <w:rsid w:val="00437CE0"/>
    <w:rsid w:val="004415A2"/>
    <w:rsid w:val="00451160"/>
    <w:rsid w:val="00452A48"/>
    <w:rsid w:val="004768C7"/>
    <w:rsid w:val="004A287A"/>
    <w:rsid w:val="004A4AC4"/>
    <w:rsid w:val="004A5400"/>
    <w:rsid w:val="004B418C"/>
    <w:rsid w:val="004C0960"/>
    <w:rsid w:val="004C7417"/>
    <w:rsid w:val="004C7775"/>
    <w:rsid w:val="004D0D4F"/>
    <w:rsid w:val="004D6317"/>
    <w:rsid w:val="004D63DC"/>
    <w:rsid w:val="004E3DB9"/>
    <w:rsid w:val="004F4E74"/>
    <w:rsid w:val="004F511D"/>
    <w:rsid w:val="004F6DF0"/>
    <w:rsid w:val="00507A2B"/>
    <w:rsid w:val="00530A02"/>
    <w:rsid w:val="0053722A"/>
    <w:rsid w:val="00537E8A"/>
    <w:rsid w:val="00540947"/>
    <w:rsid w:val="0054305A"/>
    <w:rsid w:val="00556E9A"/>
    <w:rsid w:val="00557023"/>
    <w:rsid w:val="005609B8"/>
    <w:rsid w:val="00560FDD"/>
    <w:rsid w:val="0056630C"/>
    <w:rsid w:val="00567C6F"/>
    <w:rsid w:val="005745EB"/>
    <w:rsid w:val="00574E22"/>
    <w:rsid w:val="00576E65"/>
    <w:rsid w:val="00582A90"/>
    <w:rsid w:val="005848B9"/>
    <w:rsid w:val="00586497"/>
    <w:rsid w:val="0058651A"/>
    <w:rsid w:val="005910D5"/>
    <w:rsid w:val="00593D95"/>
    <w:rsid w:val="005957E1"/>
    <w:rsid w:val="005B4757"/>
    <w:rsid w:val="005B5748"/>
    <w:rsid w:val="005B605C"/>
    <w:rsid w:val="005D3D7F"/>
    <w:rsid w:val="005E12B1"/>
    <w:rsid w:val="005E33F7"/>
    <w:rsid w:val="005F38C3"/>
    <w:rsid w:val="005F5C9E"/>
    <w:rsid w:val="0060097E"/>
    <w:rsid w:val="00601B51"/>
    <w:rsid w:val="00606BD0"/>
    <w:rsid w:val="00620C7B"/>
    <w:rsid w:val="006229A9"/>
    <w:rsid w:val="006339B4"/>
    <w:rsid w:val="006408EF"/>
    <w:rsid w:val="00655AE4"/>
    <w:rsid w:val="006647CC"/>
    <w:rsid w:val="00674464"/>
    <w:rsid w:val="0067602A"/>
    <w:rsid w:val="00676D32"/>
    <w:rsid w:val="0068349B"/>
    <w:rsid w:val="006837EE"/>
    <w:rsid w:val="00684B52"/>
    <w:rsid w:val="006930B8"/>
    <w:rsid w:val="006A09A3"/>
    <w:rsid w:val="006B3FEA"/>
    <w:rsid w:val="006C2C49"/>
    <w:rsid w:val="006D0E2D"/>
    <w:rsid w:val="006D252C"/>
    <w:rsid w:val="006D7DE2"/>
    <w:rsid w:val="006E1F15"/>
    <w:rsid w:val="006F0985"/>
    <w:rsid w:val="006F4A53"/>
    <w:rsid w:val="006F5CB0"/>
    <w:rsid w:val="006F6BB8"/>
    <w:rsid w:val="00704938"/>
    <w:rsid w:val="007111ED"/>
    <w:rsid w:val="00712853"/>
    <w:rsid w:val="00720264"/>
    <w:rsid w:val="00723D2E"/>
    <w:rsid w:val="0072437C"/>
    <w:rsid w:val="00735E13"/>
    <w:rsid w:val="00747019"/>
    <w:rsid w:val="00757BEB"/>
    <w:rsid w:val="007618E6"/>
    <w:rsid w:val="007654D9"/>
    <w:rsid w:val="00777AD8"/>
    <w:rsid w:val="00791F9B"/>
    <w:rsid w:val="007A01A8"/>
    <w:rsid w:val="007C4CD8"/>
    <w:rsid w:val="007D3509"/>
    <w:rsid w:val="007D5F4A"/>
    <w:rsid w:val="007E3448"/>
    <w:rsid w:val="007E4657"/>
    <w:rsid w:val="007F46D2"/>
    <w:rsid w:val="00803E31"/>
    <w:rsid w:val="00804DAB"/>
    <w:rsid w:val="00805247"/>
    <w:rsid w:val="00806C9B"/>
    <w:rsid w:val="00822088"/>
    <w:rsid w:val="00826177"/>
    <w:rsid w:val="008325DF"/>
    <w:rsid w:val="0083441D"/>
    <w:rsid w:val="00850505"/>
    <w:rsid w:val="00850A24"/>
    <w:rsid w:val="00856305"/>
    <w:rsid w:val="008574F8"/>
    <w:rsid w:val="00862A3E"/>
    <w:rsid w:val="008648D6"/>
    <w:rsid w:val="00867FD3"/>
    <w:rsid w:val="00877C75"/>
    <w:rsid w:val="00881239"/>
    <w:rsid w:val="00881CA9"/>
    <w:rsid w:val="0088541A"/>
    <w:rsid w:val="008A7257"/>
    <w:rsid w:val="008B5083"/>
    <w:rsid w:val="008C21DB"/>
    <w:rsid w:val="008C2C84"/>
    <w:rsid w:val="008C756D"/>
    <w:rsid w:val="008D0113"/>
    <w:rsid w:val="008D478C"/>
    <w:rsid w:val="008E19AB"/>
    <w:rsid w:val="008E759A"/>
    <w:rsid w:val="008F030B"/>
    <w:rsid w:val="008F558D"/>
    <w:rsid w:val="0091247C"/>
    <w:rsid w:val="00933177"/>
    <w:rsid w:val="00935C58"/>
    <w:rsid w:val="00937647"/>
    <w:rsid w:val="00937BC8"/>
    <w:rsid w:val="00940C02"/>
    <w:rsid w:val="00946C11"/>
    <w:rsid w:val="00946CB2"/>
    <w:rsid w:val="009504A6"/>
    <w:rsid w:val="009504F2"/>
    <w:rsid w:val="00951CFC"/>
    <w:rsid w:val="009578D1"/>
    <w:rsid w:val="0096189E"/>
    <w:rsid w:val="009753B7"/>
    <w:rsid w:val="00976B8E"/>
    <w:rsid w:val="00977B94"/>
    <w:rsid w:val="00977BB6"/>
    <w:rsid w:val="00980EFC"/>
    <w:rsid w:val="009828D3"/>
    <w:rsid w:val="00992A72"/>
    <w:rsid w:val="00994613"/>
    <w:rsid w:val="00995398"/>
    <w:rsid w:val="00996FB5"/>
    <w:rsid w:val="00997FD4"/>
    <w:rsid w:val="009A3D9F"/>
    <w:rsid w:val="009B6694"/>
    <w:rsid w:val="009B7489"/>
    <w:rsid w:val="009D0D17"/>
    <w:rsid w:val="009D26C1"/>
    <w:rsid w:val="009D6921"/>
    <w:rsid w:val="009D7777"/>
    <w:rsid w:val="009E1902"/>
    <w:rsid w:val="009F5506"/>
    <w:rsid w:val="009F7174"/>
    <w:rsid w:val="00A01BF0"/>
    <w:rsid w:val="00A0630D"/>
    <w:rsid w:val="00A22F11"/>
    <w:rsid w:val="00A23A1A"/>
    <w:rsid w:val="00A31FF8"/>
    <w:rsid w:val="00A40F64"/>
    <w:rsid w:val="00A41132"/>
    <w:rsid w:val="00A450CB"/>
    <w:rsid w:val="00A5362D"/>
    <w:rsid w:val="00A54C14"/>
    <w:rsid w:val="00A60625"/>
    <w:rsid w:val="00A648CB"/>
    <w:rsid w:val="00A66258"/>
    <w:rsid w:val="00A75695"/>
    <w:rsid w:val="00A75B63"/>
    <w:rsid w:val="00A75EB0"/>
    <w:rsid w:val="00A8667C"/>
    <w:rsid w:val="00A964A8"/>
    <w:rsid w:val="00AA22B4"/>
    <w:rsid w:val="00AA3795"/>
    <w:rsid w:val="00AA3A21"/>
    <w:rsid w:val="00AB0456"/>
    <w:rsid w:val="00AB2D65"/>
    <w:rsid w:val="00AB68B6"/>
    <w:rsid w:val="00AB73D1"/>
    <w:rsid w:val="00AC1F69"/>
    <w:rsid w:val="00AC5192"/>
    <w:rsid w:val="00AD16D1"/>
    <w:rsid w:val="00AD671E"/>
    <w:rsid w:val="00AE0EA3"/>
    <w:rsid w:val="00AF4043"/>
    <w:rsid w:val="00AF7930"/>
    <w:rsid w:val="00B07ED7"/>
    <w:rsid w:val="00B20BB1"/>
    <w:rsid w:val="00B21A12"/>
    <w:rsid w:val="00B24E5C"/>
    <w:rsid w:val="00B33004"/>
    <w:rsid w:val="00B45783"/>
    <w:rsid w:val="00B51F32"/>
    <w:rsid w:val="00B55CE7"/>
    <w:rsid w:val="00B67D11"/>
    <w:rsid w:val="00B839E8"/>
    <w:rsid w:val="00B93AED"/>
    <w:rsid w:val="00B93B14"/>
    <w:rsid w:val="00B96704"/>
    <w:rsid w:val="00B977D4"/>
    <w:rsid w:val="00BB279F"/>
    <w:rsid w:val="00BC6609"/>
    <w:rsid w:val="00BD0AF8"/>
    <w:rsid w:val="00BD1626"/>
    <w:rsid w:val="00BD656E"/>
    <w:rsid w:val="00BE0C66"/>
    <w:rsid w:val="00BE5A5C"/>
    <w:rsid w:val="00BF2437"/>
    <w:rsid w:val="00BF7A4B"/>
    <w:rsid w:val="00C1408A"/>
    <w:rsid w:val="00C146D5"/>
    <w:rsid w:val="00C1597F"/>
    <w:rsid w:val="00C354E5"/>
    <w:rsid w:val="00C43D25"/>
    <w:rsid w:val="00C44296"/>
    <w:rsid w:val="00C44A80"/>
    <w:rsid w:val="00C50F60"/>
    <w:rsid w:val="00C67E18"/>
    <w:rsid w:val="00C72198"/>
    <w:rsid w:val="00C7317C"/>
    <w:rsid w:val="00C870D6"/>
    <w:rsid w:val="00C9018A"/>
    <w:rsid w:val="00C90991"/>
    <w:rsid w:val="00C9371A"/>
    <w:rsid w:val="00C97273"/>
    <w:rsid w:val="00CA2DA8"/>
    <w:rsid w:val="00CA4DF4"/>
    <w:rsid w:val="00CA5FBB"/>
    <w:rsid w:val="00CC11CD"/>
    <w:rsid w:val="00CC3635"/>
    <w:rsid w:val="00CC7273"/>
    <w:rsid w:val="00CC7EAF"/>
    <w:rsid w:val="00CD48D9"/>
    <w:rsid w:val="00CE7869"/>
    <w:rsid w:val="00CE7E68"/>
    <w:rsid w:val="00CF32B0"/>
    <w:rsid w:val="00CF340C"/>
    <w:rsid w:val="00CF6039"/>
    <w:rsid w:val="00D0052C"/>
    <w:rsid w:val="00D02672"/>
    <w:rsid w:val="00D04E2C"/>
    <w:rsid w:val="00D07366"/>
    <w:rsid w:val="00D135A4"/>
    <w:rsid w:val="00D160E6"/>
    <w:rsid w:val="00D236A3"/>
    <w:rsid w:val="00D30C6D"/>
    <w:rsid w:val="00D31D1F"/>
    <w:rsid w:val="00D3510C"/>
    <w:rsid w:val="00D44704"/>
    <w:rsid w:val="00D64DCB"/>
    <w:rsid w:val="00D66FE4"/>
    <w:rsid w:val="00D7007A"/>
    <w:rsid w:val="00D75CC2"/>
    <w:rsid w:val="00D82C44"/>
    <w:rsid w:val="00D86982"/>
    <w:rsid w:val="00D91CCB"/>
    <w:rsid w:val="00D947AA"/>
    <w:rsid w:val="00D95D32"/>
    <w:rsid w:val="00D95DB1"/>
    <w:rsid w:val="00DA026E"/>
    <w:rsid w:val="00DA16D1"/>
    <w:rsid w:val="00DA46A7"/>
    <w:rsid w:val="00DA6365"/>
    <w:rsid w:val="00DC1BB4"/>
    <w:rsid w:val="00DE2170"/>
    <w:rsid w:val="00DE2266"/>
    <w:rsid w:val="00DE2949"/>
    <w:rsid w:val="00DE7F93"/>
    <w:rsid w:val="00DF04BF"/>
    <w:rsid w:val="00DF171A"/>
    <w:rsid w:val="00E02815"/>
    <w:rsid w:val="00E03BB5"/>
    <w:rsid w:val="00E04BE4"/>
    <w:rsid w:val="00E0580F"/>
    <w:rsid w:val="00E1062D"/>
    <w:rsid w:val="00E126F9"/>
    <w:rsid w:val="00E1590C"/>
    <w:rsid w:val="00E176E7"/>
    <w:rsid w:val="00E17887"/>
    <w:rsid w:val="00E275BF"/>
    <w:rsid w:val="00E323D7"/>
    <w:rsid w:val="00E329DC"/>
    <w:rsid w:val="00E33BA9"/>
    <w:rsid w:val="00E363C3"/>
    <w:rsid w:val="00E40CA1"/>
    <w:rsid w:val="00E45AE4"/>
    <w:rsid w:val="00E465DA"/>
    <w:rsid w:val="00E500AF"/>
    <w:rsid w:val="00E5034B"/>
    <w:rsid w:val="00E64EF2"/>
    <w:rsid w:val="00E74CDD"/>
    <w:rsid w:val="00E77421"/>
    <w:rsid w:val="00E80B68"/>
    <w:rsid w:val="00E85864"/>
    <w:rsid w:val="00E91CE3"/>
    <w:rsid w:val="00E941D2"/>
    <w:rsid w:val="00E94B16"/>
    <w:rsid w:val="00E974E7"/>
    <w:rsid w:val="00EA7153"/>
    <w:rsid w:val="00EC0D25"/>
    <w:rsid w:val="00EC46E0"/>
    <w:rsid w:val="00EC4BF1"/>
    <w:rsid w:val="00EC6BFE"/>
    <w:rsid w:val="00EC725F"/>
    <w:rsid w:val="00ED1D67"/>
    <w:rsid w:val="00ED652F"/>
    <w:rsid w:val="00ED6B35"/>
    <w:rsid w:val="00EE0FF3"/>
    <w:rsid w:val="00EE480E"/>
    <w:rsid w:val="00EF3B1E"/>
    <w:rsid w:val="00F01C8E"/>
    <w:rsid w:val="00F20008"/>
    <w:rsid w:val="00F220CF"/>
    <w:rsid w:val="00F30168"/>
    <w:rsid w:val="00F33940"/>
    <w:rsid w:val="00F43B77"/>
    <w:rsid w:val="00F47C79"/>
    <w:rsid w:val="00F64594"/>
    <w:rsid w:val="00F72B2B"/>
    <w:rsid w:val="00F73C62"/>
    <w:rsid w:val="00F772E0"/>
    <w:rsid w:val="00F825B0"/>
    <w:rsid w:val="00F961C4"/>
    <w:rsid w:val="00F97481"/>
    <w:rsid w:val="00FA2CDB"/>
    <w:rsid w:val="00FA367A"/>
    <w:rsid w:val="00FA47B6"/>
    <w:rsid w:val="00FA60CF"/>
    <w:rsid w:val="00FB2F18"/>
    <w:rsid w:val="00FB3BB1"/>
    <w:rsid w:val="00FB448C"/>
    <w:rsid w:val="00FB7AFF"/>
    <w:rsid w:val="00FC1FF8"/>
    <w:rsid w:val="00FC42F5"/>
    <w:rsid w:val="00FC5156"/>
    <w:rsid w:val="00FC524D"/>
    <w:rsid w:val="00FD00D0"/>
    <w:rsid w:val="00FD47C4"/>
    <w:rsid w:val="00FF0BD9"/>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paragraph" w:styleId="Heading4">
    <w:name w:val="heading 4"/>
    <w:basedOn w:val="Normal"/>
    <w:next w:val="Normal"/>
    <w:link w:val="Heading4Char"/>
    <w:semiHidden/>
    <w:unhideWhenUsed/>
    <w:qFormat/>
    <w:rsid w:val="008E19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link w:val="FootnoteTextChar"/>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 w:type="character" w:customStyle="1" w:styleId="BodyTextChar">
    <w:name w:val="Body Text Char"/>
    <w:basedOn w:val="DefaultParagraphFont"/>
    <w:link w:val="BodyText"/>
    <w:rsid w:val="00980EFC"/>
    <w:rPr>
      <w:rFonts w:eastAsia="SimSun"/>
      <w:sz w:val="26"/>
    </w:rPr>
  </w:style>
  <w:style w:type="character" w:customStyle="1" w:styleId="FootnoteTextChar">
    <w:name w:val="Footnote Text Char"/>
    <w:basedOn w:val="DefaultParagraphFont"/>
    <w:link w:val="FootnoteText"/>
    <w:semiHidden/>
    <w:rsid w:val="00980EFC"/>
  </w:style>
  <w:style w:type="character" w:customStyle="1" w:styleId="Heading4Char">
    <w:name w:val="Heading 4 Char"/>
    <w:basedOn w:val="DefaultParagraphFont"/>
    <w:link w:val="Heading4"/>
    <w:semiHidden/>
    <w:rsid w:val="008E19AB"/>
    <w:rPr>
      <w:rFonts w:asciiTheme="majorHAnsi" w:eastAsiaTheme="majorEastAsia" w:hAnsiTheme="majorHAnsi" w:cstheme="majorBidi"/>
      <w:b/>
      <w:bCs/>
      <w:i/>
      <w:iCs/>
      <w:color w:val="4F81BD" w:themeColor="accent1"/>
      <w:sz w:val="26"/>
    </w:rPr>
  </w:style>
  <w:style w:type="paragraph" w:styleId="NormalWeb">
    <w:name w:val="Normal (Web)"/>
    <w:basedOn w:val="Normal"/>
    <w:uiPriority w:val="99"/>
    <w:unhideWhenUsed/>
    <w:rsid w:val="008E19AB"/>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paragraph" w:styleId="Heading4">
    <w:name w:val="heading 4"/>
    <w:basedOn w:val="Normal"/>
    <w:next w:val="Normal"/>
    <w:link w:val="Heading4Char"/>
    <w:semiHidden/>
    <w:unhideWhenUsed/>
    <w:qFormat/>
    <w:rsid w:val="008E19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link w:val="FootnoteTextChar"/>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 w:type="character" w:customStyle="1" w:styleId="BodyTextChar">
    <w:name w:val="Body Text Char"/>
    <w:basedOn w:val="DefaultParagraphFont"/>
    <w:link w:val="BodyText"/>
    <w:rsid w:val="00980EFC"/>
    <w:rPr>
      <w:rFonts w:eastAsia="SimSun"/>
      <w:sz w:val="26"/>
    </w:rPr>
  </w:style>
  <w:style w:type="character" w:customStyle="1" w:styleId="FootnoteTextChar">
    <w:name w:val="Footnote Text Char"/>
    <w:basedOn w:val="DefaultParagraphFont"/>
    <w:link w:val="FootnoteText"/>
    <w:semiHidden/>
    <w:rsid w:val="00980EFC"/>
  </w:style>
  <w:style w:type="character" w:customStyle="1" w:styleId="Heading4Char">
    <w:name w:val="Heading 4 Char"/>
    <w:basedOn w:val="DefaultParagraphFont"/>
    <w:link w:val="Heading4"/>
    <w:semiHidden/>
    <w:rsid w:val="008E19AB"/>
    <w:rPr>
      <w:rFonts w:asciiTheme="majorHAnsi" w:eastAsiaTheme="majorEastAsia" w:hAnsiTheme="majorHAnsi" w:cstheme="majorBidi"/>
      <w:b/>
      <w:bCs/>
      <w:i/>
      <w:iCs/>
      <w:color w:val="4F81BD" w:themeColor="accent1"/>
      <w:sz w:val="26"/>
    </w:rPr>
  </w:style>
  <w:style w:type="paragraph" w:styleId="NormalWeb">
    <w:name w:val="Normal (Web)"/>
    <w:basedOn w:val="Normal"/>
    <w:uiPriority w:val="99"/>
    <w:unhideWhenUsed/>
    <w:rsid w:val="008E19AB"/>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59808-83C5-4972-A3A4-F1B507A5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27961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71</cp:revision>
  <cp:lastPrinted>2014-02-11T20:21:00Z</cp:lastPrinted>
  <dcterms:created xsi:type="dcterms:W3CDTF">2014-02-11T15:47:00Z</dcterms:created>
  <dcterms:modified xsi:type="dcterms:W3CDTF">2014-02-13T14:46:00Z</dcterms:modified>
</cp:coreProperties>
</file>