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D145F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F26D58" w:rsidRDefault="00F26D5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F26D58" w:rsidRDefault="00F26D5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F26D58">
              <w:rPr>
                <w:rFonts w:ascii="Arial" w:hAnsi="Arial"/>
                <w:sz w:val="16"/>
                <w:szCs w:val="16"/>
              </w:rPr>
              <w:t>F-2012-2327744</w:t>
            </w:r>
          </w:p>
          <w:p w:rsidR="003569E8" w:rsidRPr="00FB1AF0" w:rsidRDefault="003569E8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C61DA2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pgNumType w:start="1"/>
          <w:cols w:space="720"/>
          <w:titlePg/>
        </w:sectPr>
      </w:pPr>
    </w:p>
    <w:p w:rsidR="00FA0E37" w:rsidRDefault="00492D16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February 19, 2014</w:t>
      </w:r>
    </w:p>
    <w:p w:rsidR="001E1BF3" w:rsidRDefault="001E1BF3" w:rsidP="00FA0E37">
      <w:pPr>
        <w:jc w:val="center"/>
        <w:rPr>
          <w:b/>
          <w:sz w:val="26"/>
          <w:szCs w:val="26"/>
        </w:rPr>
      </w:pPr>
    </w:p>
    <w:p w:rsidR="001E1BF3" w:rsidRPr="009E40EC" w:rsidRDefault="001E1BF3" w:rsidP="00FA0E37">
      <w:pPr>
        <w:jc w:val="center"/>
        <w:rPr>
          <w:b/>
          <w:sz w:val="26"/>
          <w:szCs w:val="26"/>
        </w:rPr>
      </w:pPr>
    </w:p>
    <w:p w:rsidR="009B23D8" w:rsidRDefault="009B23D8" w:rsidP="00D62AEA">
      <w:pPr>
        <w:jc w:val="center"/>
        <w:rPr>
          <w:sz w:val="26"/>
          <w:szCs w:val="26"/>
        </w:rPr>
      </w:pPr>
      <w:r>
        <w:rPr>
          <w:sz w:val="26"/>
          <w:szCs w:val="26"/>
        </w:rPr>
        <w:t>Re:</w:t>
      </w:r>
      <w:r w:rsidR="00C77F29">
        <w:rPr>
          <w:sz w:val="26"/>
          <w:szCs w:val="26"/>
        </w:rPr>
        <w:tab/>
      </w:r>
      <w:proofErr w:type="spellStart"/>
      <w:r w:rsidR="00D62AEA">
        <w:rPr>
          <w:sz w:val="26"/>
          <w:szCs w:val="26"/>
        </w:rPr>
        <w:t>Younes</w:t>
      </w:r>
      <w:proofErr w:type="spellEnd"/>
      <w:r w:rsidR="00D62AEA">
        <w:rPr>
          <w:sz w:val="26"/>
          <w:szCs w:val="26"/>
        </w:rPr>
        <w:t xml:space="preserve"> </w:t>
      </w:r>
      <w:proofErr w:type="spellStart"/>
      <w:r w:rsidR="00D62AEA">
        <w:rPr>
          <w:sz w:val="26"/>
          <w:szCs w:val="26"/>
        </w:rPr>
        <w:t>Chtioui</w:t>
      </w:r>
      <w:proofErr w:type="spellEnd"/>
      <w:r w:rsidR="00D62AEA">
        <w:rPr>
          <w:sz w:val="26"/>
          <w:szCs w:val="26"/>
        </w:rPr>
        <w:t xml:space="preserve"> v. Philadelphia Gas Works</w:t>
      </w:r>
    </w:p>
    <w:p w:rsidR="00D62AEA" w:rsidRDefault="00D62AEA" w:rsidP="00D62AEA">
      <w:pPr>
        <w:jc w:val="center"/>
        <w:rPr>
          <w:sz w:val="26"/>
          <w:szCs w:val="26"/>
        </w:rPr>
      </w:pPr>
      <w:r>
        <w:rPr>
          <w:sz w:val="26"/>
          <w:szCs w:val="26"/>
        </w:rPr>
        <w:t>Docket No. F-2012-2327744</w:t>
      </w:r>
    </w:p>
    <w:p w:rsidR="00C90506" w:rsidRDefault="00C90506" w:rsidP="009E40EC">
      <w:pPr>
        <w:rPr>
          <w:sz w:val="26"/>
          <w:szCs w:val="26"/>
        </w:rPr>
      </w:pPr>
    </w:p>
    <w:p w:rsidR="00C90506" w:rsidRPr="00BE4A72" w:rsidRDefault="00C90506" w:rsidP="009E40EC">
      <w:pPr>
        <w:rPr>
          <w:sz w:val="26"/>
          <w:szCs w:val="26"/>
        </w:rPr>
      </w:pPr>
    </w:p>
    <w:p w:rsidR="00BE4A72" w:rsidRDefault="00D62AEA" w:rsidP="0053127B">
      <w:pPr>
        <w:rPr>
          <w:sz w:val="26"/>
          <w:szCs w:val="26"/>
        </w:rPr>
      </w:pPr>
      <w:r>
        <w:rPr>
          <w:sz w:val="26"/>
          <w:szCs w:val="26"/>
        </w:rPr>
        <w:t>To All Parties</w:t>
      </w:r>
      <w:r w:rsidR="002A4A88">
        <w:rPr>
          <w:sz w:val="26"/>
          <w:szCs w:val="26"/>
        </w:rPr>
        <w:t xml:space="preserve"> of Record</w:t>
      </w:r>
      <w:r w:rsidR="00BE4A72" w:rsidRPr="00BE4A72">
        <w:rPr>
          <w:sz w:val="26"/>
          <w:szCs w:val="26"/>
        </w:rPr>
        <w:t>:</w:t>
      </w:r>
    </w:p>
    <w:p w:rsidR="00310C11" w:rsidRDefault="00310C11" w:rsidP="0053127B">
      <w:pPr>
        <w:rPr>
          <w:sz w:val="26"/>
          <w:szCs w:val="26"/>
        </w:rPr>
      </w:pPr>
    </w:p>
    <w:p w:rsidR="003D3CBA" w:rsidRDefault="003D3CBA" w:rsidP="0053127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August 5, 2013, </w:t>
      </w:r>
      <w:r w:rsidRPr="003D3CBA">
        <w:rPr>
          <w:sz w:val="26"/>
          <w:szCs w:val="26"/>
        </w:rPr>
        <w:t>Younes Chtioui (C</w:t>
      </w:r>
      <w:r>
        <w:rPr>
          <w:sz w:val="26"/>
          <w:szCs w:val="26"/>
        </w:rPr>
        <w:t>omplainant) filed Exceptions with the Pennsylvania Public Utility Commission (Commission)</w:t>
      </w:r>
      <w:r w:rsidRPr="003D3CBA">
        <w:rPr>
          <w:sz w:val="26"/>
          <w:szCs w:val="26"/>
        </w:rPr>
        <w:t xml:space="preserve"> to the Initial Decision of Administrative Law Judge (ALJ) Christopher P. Pell, which was issued on July 17, 2013, </w:t>
      </w:r>
      <w:r>
        <w:rPr>
          <w:sz w:val="26"/>
          <w:szCs w:val="26"/>
        </w:rPr>
        <w:t xml:space="preserve">regarding the Formal Complaint (Complaint) filed by the Complainant </w:t>
      </w:r>
      <w:r w:rsidRPr="003D3CBA">
        <w:rPr>
          <w:sz w:val="26"/>
          <w:szCs w:val="26"/>
        </w:rPr>
        <w:t>in the above-</w:t>
      </w:r>
      <w:r w:rsidR="00F26D58">
        <w:rPr>
          <w:sz w:val="26"/>
          <w:szCs w:val="26"/>
        </w:rPr>
        <w:t>captioned</w:t>
      </w:r>
      <w:r w:rsidRPr="003D3CBA">
        <w:rPr>
          <w:sz w:val="26"/>
          <w:szCs w:val="26"/>
        </w:rPr>
        <w:t xml:space="preserve"> proceeding.  Replies to Exceptions were filed by Philadelph</w:t>
      </w:r>
      <w:r>
        <w:rPr>
          <w:sz w:val="26"/>
          <w:szCs w:val="26"/>
        </w:rPr>
        <w:t>ia Gas Works (PGW</w:t>
      </w:r>
      <w:r w:rsidRPr="003D3CBA">
        <w:rPr>
          <w:sz w:val="26"/>
          <w:szCs w:val="26"/>
        </w:rPr>
        <w:t xml:space="preserve">) on November 21, 2013.  </w:t>
      </w:r>
    </w:p>
    <w:p w:rsidR="003D3CBA" w:rsidRDefault="003D3CBA" w:rsidP="0053127B">
      <w:pPr>
        <w:rPr>
          <w:sz w:val="26"/>
          <w:szCs w:val="26"/>
        </w:rPr>
      </w:pPr>
    </w:p>
    <w:p w:rsidR="00D62AEA" w:rsidRDefault="009473EC" w:rsidP="0053127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F7EEA">
        <w:rPr>
          <w:sz w:val="26"/>
          <w:szCs w:val="26"/>
        </w:rPr>
        <w:t>On January 22, 2</w:t>
      </w:r>
      <w:r w:rsidR="003D3CBA">
        <w:rPr>
          <w:sz w:val="26"/>
          <w:szCs w:val="26"/>
        </w:rPr>
        <w:t>014, PGW</w:t>
      </w:r>
      <w:r w:rsidR="002F7EEA">
        <w:rPr>
          <w:sz w:val="26"/>
          <w:szCs w:val="26"/>
        </w:rPr>
        <w:t xml:space="preserve"> </w:t>
      </w:r>
      <w:r w:rsidR="00D30C2A">
        <w:rPr>
          <w:sz w:val="26"/>
          <w:szCs w:val="26"/>
        </w:rPr>
        <w:t xml:space="preserve">filed a letter with </w:t>
      </w:r>
      <w:r w:rsidR="002A4A88">
        <w:rPr>
          <w:sz w:val="26"/>
          <w:szCs w:val="26"/>
        </w:rPr>
        <w:t>this</w:t>
      </w:r>
      <w:r w:rsidR="003D3CBA">
        <w:rPr>
          <w:sz w:val="26"/>
          <w:szCs w:val="26"/>
        </w:rPr>
        <w:t xml:space="preserve"> Commission</w:t>
      </w:r>
      <w:r w:rsidR="00412628">
        <w:rPr>
          <w:sz w:val="26"/>
          <w:szCs w:val="26"/>
        </w:rPr>
        <w:t xml:space="preserve"> pursuant to 52 Pa. Code §</w:t>
      </w:r>
      <w:r w:rsidR="00C07047">
        <w:rPr>
          <w:sz w:val="26"/>
          <w:szCs w:val="26"/>
        </w:rPr>
        <w:t> </w:t>
      </w:r>
      <w:r w:rsidR="00412628">
        <w:rPr>
          <w:sz w:val="26"/>
          <w:szCs w:val="26"/>
        </w:rPr>
        <w:t>5.24(b), certifying that</w:t>
      </w:r>
      <w:r w:rsidR="008B3118">
        <w:rPr>
          <w:sz w:val="26"/>
          <w:szCs w:val="26"/>
        </w:rPr>
        <w:t xml:space="preserve"> the Complaint </w:t>
      </w:r>
      <w:r w:rsidR="00412628">
        <w:rPr>
          <w:sz w:val="26"/>
          <w:szCs w:val="26"/>
        </w:rPr>
        <w:t>has been satisfied.  The letter indicated</w:t>
      </w:r>
      <w:r w:rsidR="008B3118">
        <w:rPr>
          <w:sz w:val="26"/>
          <w:szCs w:val="26"/>
        </w:rPr>
        <w:t xml:space="preserve"> that PGW and the Complainant</w:t>
      </w:r>
      <w:r w:rsidR="00D30C2A">
        <w:rPr>
          <w:sz w:val="26"/>
          <w:szCs w:val="26"/>
        </w:rPr>
        <w:t xml:space="preserve"> had reached a </w:t>
      </w:r>
      <w:r w:rsidR="00412628">
        <w:rPr>
          <w:sz w:val="26"/>
          <w:szCs w:val="26"/>
        </w:rPr>
        <w:t>settlement in the matter,</w:t>
      </w:r>
      <w:r w:rsidR="000A6F16">
        <w:rPr>
          <w:sz w:val="26"/>
          <w:szCs w:val="26"/>
        </w:rPr>
        <w:t xml:space="preserve"> that th</w:t>
      </w:r>
      <w:r w:rsidR="00412628">
        <w:rPr>
          <w:sz w:val="26"/>
          <w:szCs w:val="26"/>
        </w:rPr>
        <w:t xml:space="preserve">e Complainant </w:t>
      </w:r>
      <w:r w:rsidR="000A6F16">
        <w:rPr>
          <w:sz w:val="26"/>
          <w:szCs w:val="26"/>
        </w:rPr>
        <w:t>was satisfied with the resolution of th</w:t>
      </w:r>
      <w:r w:rsidR="00412628">
        <w:rPr>
          <w:sz w:val="26"/>
          <w:szCs w:val="26"/>
        </w:rPr>
        <w:t>e Complaint, and that</w:t>
      </w:r>
      <w:r w:rsidR="000A6F16">
        <w:rPr>
          <w:sz w:val="26"/>
          <w:szCs w:val="26"/>
        </w:rPr>
        <w:t xml:space="preserve"> f</w:t>
      </w:r>
      <w:r w:rsidR="008B3118">
        <w:rPr>
          <w:sz w:val="26"/>
          <w:szCs w:val="26"/>
        </w:rPr>
        <w:t xml:space="preserve">urther Commission action </w:t>
      </w:r>
      <w:r w:rsidR="000A6F16">
        <w:rPr>
          <w:sz w:val="26"/>
          <w:szCs w:val="26"/>
        </w:rPr>
        <w:t>was no longer necessary.  In addition, the letter provided the Complainant with notification of his right to object, in writing, to any part of the settlement, within ten</w:t>
      </w:r>
      <w:r w:rsidR="002A4A88">
        <w:rPr>
          <w:sz w:val="26"/>
          <w:szCs w:val="26"/>
        </w:rPr>
        <w:t xml:space="preserve"> (10)</w:t>
      </w:r>
      <w:r w:rsidR="000A6F16">
        <w:rPr>
          <w:sz w:val="26"/>
          <w:szCs w:val="26"/>
        </w:rPr>
        <w:t xml:space="preserve"> days of the date of the letter</w:t>
      </w:r>
      <w:r w:rsidR="00CF1251">
        <w:rPr>
          <w:sz w:val="26"/>
          <w:szCs w:val="26"/>
        </w:rPr>
        <w:t>, in accordance with 52 Pa. Code §</w:t>
      </w:r>
      <w:r w:rsidR="002A4A88">
        <w:rPr>
          <w:sz w:val="26"/>
          <w:szCs w:val="26"/>
        </w:rPr>
        <w:t> </w:t>
      </w:r>
      <w:r w:rsidR="00CF1251">
        <w:rPr>
          <w:sz w:val="26"/>
          <w:szCs w:val="26"/>
        </w:rPr>
        <w:t>5.24(c)</w:t>
      </w:r>
      <w:r w:rsidR="000A6F16">
        <w:rPr>
          <w:sz w:val="26"/>
          <w:szCs w:val="26"/>
        </w:rPr>
        <w:t>.</w:t>
      </w:r>
    </w:p>
    <w:p w:rsidR="00956C2C" w:rsidRDefault="00956C2C" w:rsidP="0053127B">
      <w:pPr>
        <w:rPr>
          <w:sz w:val="26"/>
          <w:szCs w:val="26"/>
        </w:rPr>
      </w:pPr>
    </w:p>
    <w:p w:rsidR="00956C2C" w:rsidRDefault="00E03C59" w:rsidP="0053127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N</w:t>
      </w:r>
      <w:r w:rsidR="00956C2C">
        <w:rPr>
          <w:sz w:val="26"/>
          <w:szCs w:val="26"/>
        </w:rPr>
        <w:t xml:space="preserve">o objection to the settlement </w:t>
      </w:r>
      <w:r w:rsidR="00706BEC">
        <w:rPr>
          <w:sz w:val="26"/>
          <w:szCs w:val="26"/>
        </w:rPr>
        <w:t>between PGW and the Complainant</w:t>
      </w:r>
      <w:r>
        <w:rPr>
          <w:sz w:val="26"/>
          <w:szCs w:val="26"/>
        </w:rPr>
        <w:t xml:space="preserve"> was</w:t>
      </w:r>
      <w:r w:rsidR="00F214FD">
        <w:rPr>
          <w:sz w:val="26"/>
          <w:szCs w:val="26"/>
        </w:rPr>
        <w:t xml:space="preserve"> received by this Commission</w:t>
      </w:r>
      <w:r>
        <w:rPr>
          <w:sz w:val="26"/>
          <w:szCs w:val="26"/>
        </w:rPr>
        <w:t xml:space="preserve"> within the ten-day time period prescribed in</w:t>
      </w:r>
      <w:r w:rsidRPr="00E03C59">
        <w:rPr>
          <w:sz w:val="26"/>
          <w:szCs w:val="26"/>
        </w:rPr>
        <w:t xml:space="preserve"> </w:t>
      </w:r>
      <w:r>
        <w:rPr>
          <w:sz w:val="26"/>
          <w:szCs w:val="26"/>
        </w:rPr>
        <w:t>52 Pa. Code § 5.24(c).</w:t>
      </w:r>
      <w:r w:rsidR="00F214FD">
        <w:rPr>
          <w:sz w:val="26"/>
          <w:szCs w:val="26"/>
        </w:rPr>
        <w:t xml:space="preserve">  Therefore,</w:t>
      </w:r>
      <w:r w:rsidR="003434D0">
        <w:rPr>
          <w:sz w:val="26"/>
          <w:szCs w:val="26"/>
        </w:rPr>
        <w:t xml:space="preserve"> the Commission will take no action</w:t>
      </w:r>
      <w:r w:rsidR="00F214FD">
        <w:rPr>
          <w:sz w:val="26"/>
          <w:szCs w:val="26"/>
        </w:rPr>
        <w:t xml:space="preserve"> </w:t>
      </w:r>
      <w:r w:rsidR="003D3CBA">
        <w:rPr>
          <w:sz w:val="26"/>
          <w:szCs w:val="26"/>
        </w:rPr>
        <w:t xml:space="preserve">on the </w:t>
      </w:r>
      <w:r w:rsidR="00706BEC">
        <w:rPr>
          <w:sz w:val="26"/>
          <w:szCs w:val="26"/>
        </w:rPr>
        <w:t xml:space="preserve">Complainant’s </w:t>
      </w:r>
      <w:r w:rsidR="003D3CBA">
        <w:rPr>
          <w:sz w:val="26"/>
          <w:szCs w:val="26"/>
        </w:rPr>
        <w:t>Excepti</w:t>
      </w:r>
      <w:r w:rsidR="00706BEC">
        <w:rPr>
          <w:sz w:val="26"/>
          <w:szCs w:val="26"/>
        </w:rPr>
        <w:t>ons, and this proceeding at Docket No. F</w:t>
      </w:r>
      <w:r w:rsidR="003434D0">
        <w:rPr>
          <w:sz w:val="26"/>
          <w:szCs w:val="26"/>
        </w:rPr>
        <w:noBreakHyphen/>
      </w:r>
      <w:r w:rsidR="00AF2BF7">
        <w:rPr>
          <w:sz w:val="26"/>
          <w:szCs w:val="26"/>
        </w:rPr>
        <w:t>2012-2327744 will</w:t>
      </w:r>
      <w:r w:rsidR="00706BEC">
        <w:rPr>
          <w:sz w:val="26"/>
          <w:szCs w:val="26"/>
        </w:rPr>
        <w:t xml:space="preserve"> be marked closed.</w:t>
      </w:r>
    </w:p>
    <w:p w:rsidR="00CF1251" w:rsidRDefault="00CF1251" w:rsidP="0053127B">
      <w:pPr>
        <w:rPr>
          <w:sz w:val="26"/>
          <w:szCs w:val="26"/>
        </w:rPr>
      </w:pPr>
    </w:p>
    <w:p w:rsidR="004D2698" w:rsidRPr="00BE4A72" w:rsidRDefault="004D2698" w:rsidP="0053127B">
      <w:pPr>
        <w:rPr>
          <w:sz w:val="26"/>
          <w:szCs w:val="26"/>
        </w:rPr>
      </w:pPr>
    </w:p>
    <w:p w:rsidR="00BE4A72" w:rsidRPr="00BE4A72" w:rsidRDefault="00BE4A72" w:rsidP="0053127B">
      <w:pPr>
        <w:rPr>
          <w:sz w:val="26"/>
          <w:szCs w:val="26"/>
        </w:rPr>
      </w:pPr>
      <w:r w:rsidRPr="00BE4A72">
        <w:rPr>
          <w:sz w:val="26"/>
          <w:szCs w:val="26"/>
        </w:rPr>
        <w:tab/>
      </w:r>
      <w:r w:rsidRPr="00BE4A72">
        <w:rPr>
          <w:sz w:val="26"/>
          <w:szCs w:val="26"/>
        </w:rPr>
        <w:tab/>
      </w:r>
    </w:p>
    <w:p w:rsidR="00BE4A72" w:rsidRPr="00BE4A72" w:rsidRDefault="00492D16" w:rsidP="0053127B">
      <w:pPr>
        <w:ind w:left="360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AFC5A11" wp14:editId="2E1811A6">
            <wp:simplePos x="0" y="0"/>
            <wp:positionH relativeFrom="column">
              <wp:posOffset>2324100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E4A72" w:rsidRPr="00BE4A72">
        <w:rPr>
          <w:sz w:val="26"/>
          <w:szCs w:val="26"/>
        </w:rPr>
        <w:tab/>
        <w:t>Sincerely,</w:t>
      </w:r>
    </w:p>
    <w:p w:rsidR="00BE4A72" w:rsidRDefault="00BE4A72" w:rsidP="0053127B">
      <w:pPr>
        <w:ind w:left="3600"/>
        <w:rPr>
          <w:sz w:val="26"/>
          <w:szCs w:val="26"/>
        </w:rPr>
      </w:pPr>
    </w:p>
    <w:p w:rsidR="00C61DA2" w:rsidRPr="00BE4A72" w:rsidRDefault="00C61DA2" w:rsidP="0053127B">
      <w:pPr>
        <w:ind w:left="3600"/>
        <w:rPr>
          <w:sz w:val="26"/>
          <w:szCs w:val="26"/>
        </w:rPr>
      </w:pPr>
    </w:p>
    <w:p w:rsidR="00BE4A72" w:rsidRDefault="00BE4A72" w:rsidP="0053127B">
      <w:pPr>
        <w:ind w:left="3600"/>
        <w:rPr>
          <w:sz w:val="26"/>
          <w:szCs w:val="26"/>
        </w:rPr>
      </w:pPr>
    </w:p>
    <w:p w:rsidR="00C61DA2" w:rsidRPr="00C61DA2" w:rsidRDefault="00C61DA2" w:rsidP="0053127B">
      <w:pPr>
        <w:keepNext/>
        <w:keepLines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77F29">
        <w:rPr>
          <w:sz w:val="26"/>
          <w:szCs w:val="26"/>
        </w:rPr>
        <w:tab/>
      </w:r>
      <w:r w:rsidRPr="00C61DA2">
        <w:rPr>
          <w:sz w:val="26"/>
          <w:szCs w:val="26"/>
        </w:rPr>
        <w:t>Rosemary Chiavetta</w:t>
      </w:r>
    </w:p>
    <w:p w:rsidR="00C61DA2" w:rsidRPr="00C61DA2" w:rsidRDefault="00C61DA2" w:rsidP="0053127B">
      <w:pPr>
        <w:keepNext/>
        <w:keepLines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61DA2">
        <w:rPr>
          <w:sz w:val="26"/>
          <w:szCs w:val="26"/>
        </w:rPr>
        <w:t>Secretary</w:t>
      </w:r>
    </w:p>
    <w:sectPr w:rsidR="00C61DA2" w:rsidRPr="00C61DA2" w:rsidSect="00C61DA2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2C" w:rsidRDefault="004B2F2C">
      <w:r>
        <w:separator/>
      </w:r>
    </w:p>
  </w:endnote>
  <w:endnote w:type="continuationSeparator" w:id="0">
    <w:p w:rsidR="004B2F2C" w:rsidRDefault="004B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77" w:rsidRDefault="0006187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1877" w:rsidRDefault="000618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77" w:rsidRDefault="00061877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1877" w:rsidRDefault="000618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77" w:rsidRDefault="000618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61877" w:rsidRDefault="0006187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77" w:rsidRDefault="000618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127B">
      <w:rPr>
        <w:noProof/>
      </w:rPr>
      <w:t>2</w:t>
    </w:r>
    <w:r>
      <w:rPr>
        <w:noProof/>
      </w:rPr>
      <w:fldChar w:fldCharType="end"/>
    </w:r>
  </w:p>
  <w:p w:rsidR="00061877" w:rsidRDefault="00061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2C" w:rsidRDefault="004B2F2C">
      <w:r>
        <w:separator/>
      </w:r>
    </w:p>
  </w:footnote>
  <w:footnote w:type="continuationSeparator" w:id="0">
    <w:p w:rsidR="004B2F2C" w:rsidRDefault="004B2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26A7"/>
    <w:rsid w:val="00004C46"/>
    <w:rsid w:val="00061877"/>
    <w:rsid w:val="00095A3B"/>
    <w:rsid w:val="000A6F16"/>
    <w:rsid w:val="000F606E"/>
    <w:rsid w:val="001209F1"/>
    <w:rsid w:val="0013267F"/>
    <w:rsid w:val="00132C34"/>
    <w:rsid w:val="00162222"/>
    <w:rsid w:val="00186B62"/>
    <w:rsid w:val="001901D8"/>
    <w:rsid w:val="001B511C"/>
    <w:rsid w:val="001C526F"/>
    <w:rsid w:val="001C779E"/>
    <w:rsid w:val="001E03BD"/>
    <w:rsid w:val="001E1BF3"/>
    <w:rsid w:val="002229C3"/>
    <w:rsid w:val="0023528E"/>
    <w:rsid w:val="0029471C"/>
    <w:rsid w:val="002A4A88"/>
    <w:rsid w:val="002F0138"/>
    <w:rsid w:val="002F7EEA"/>
    <w:rsid w:val="00310C11"/>
    <w:rsid w:val="00310C6B"/>
    <w:rsid w:val="003434D0"/>
    <w:rsid w:val="00346E5A"/>
    <w:rsid w:val="003569E8"/>
    <w:rsid w:val="003D3CBA"/>
    <w:rsid w:val="004109F1"/>
    <w:rsid w:val="00412628"/>
    <w:rsid w:val="00465FFF"/>
    <w:rsid w:val="00492D16"/>
    <w:rsid w:val="004B2F2C"/>
    <w:rsid w:val="004D2698"/>
    <w:rsid w:val="004D4620"/>
    <w:rsid w:val="004E33B9"/>
    <w:rsid w:val="004E5891"/>
    <w:rsid w:val="005008F7"/>
    <w:rsid w:val="0051639C"/>
    <w:rsid w:val="0053127B"/>
    <w:rsid w:val="00573DEE"/>
    <w:rsid w:val="00574FB9"/>
    <w:rsid w:val="0059614E"/>
    <w:rsid w:val="005E25C5"/>
    <w:rsid w:val="00604231"/>
    <w:rsid w:val="006755C0"/>
    <w:rsid w:val="006900D2"/>
    <w:rsid w:val="006A6CB1"/>
    <w:rsid w:val="006C495B"/>
    <w:rsid w:val="00706BEC"/>
    <w:rsid w:val="00723C87"/>
    <w:rsid w:val="007617B1"/>
    <w:rsid w:val="007931C6"/>
    <w:rsid w:val="008257CA"/>
    <w:rsid w:val="008405BB"/>
    <w:rsid w:val="00882E77"/>
    <w:rsid w:val="008B3118"/>
    <w:rsid w:val="008B5015"/>
    <w:rsid w:val="008C40E1"/>
    <w:rsid w:val="00921765"/>
    <w:rsid w:val="009220A6"/>
    <w:rsid w:val="009473EC"/>
    <w:rsid w:val="00956C2C"/>
    <w:rsid w:val="009635CC"/>
    <w:rsid w:val="009964F9"/>
    <w:rsid w:val="009B23D8"/>
    <w:rsid w:val="009B5878"/>
    <w:rsid w:val="009E40EC"/>
    <w:rsid w:val="009F5F66"/>
    <w:rsid w:val="00A15DDC"/>
    <w:rsid w:val="00A35F30"/>
    <w:rsid w:val="00A57371"/>
    <w:rsid w:val="00AD4D96"/>
    <w:rsid w:val="00AF2BF7"/>
    <w:rsid w:val="00B52F57"/>
    <w:rsid w:val="00B65CDE"/>
    <w:rsid w:val="00BB33B1"/>
    <w:rsid w:val="00BB73FC"/>
    <w:rsid w:val="00BE31E1"/>
    <w:rsid w:val="00BE4A72"/>
    <w:rsid w:val="00BE5119"/>
    <w:rsid w:val="00C07047"/>
    <w:rsid w:val="00C15DE2"/>
    <w:rsid w:val="00C44ABF"/>
    <w:rsid w:val="00C61DA2"/>
    <w:rsid w:val="00C64F44"/>
    <w:rsid w:val="00C74A51"/>
    <w:rsid w:val="00C77F29"/>
    <w:rsid w:val="00C90506"/>
    <w:rsid w:val="00CB5738"/>
    <w:rsid w:val="00CF047C"/>
    <w:rsid w:val="00CF1251"/>
    <w:rsid w:val="00D145FD"/>
    <w:rsid w:val="00D30C2A"/>
    <w:rsid w:val="00D62AEA"/>
    <w:rsid w:val="00D71993"/>
    <w:rsid w:val="00D80FC6"/>
    <w:rsid w:val="00E03C59"/>
    <w:rsid w:val="00E349DA"/>
    <w:rsid w:val="00E451E0"/>
    <w:rsid w:val="00E5464C"/>
    <w:rsid w:val="00E63F45"/>
    <w:rsid w:val="00E70E2D"/>
    <w:rsid w:val="00EA5505"/>
    <w:rsid w:val="00EB34A9"/>
    <w:rsid w:val="00EC043C"/>
    <w:rsid w:val="00ED0A23"/>
    <w:rsid w:val="00F13622"/>
    <w:rsid w:val="00F214FD"/>
    <w:rsid w:val="00F26D58"/>
    <w:rsid w:val="00F7094C"/>
    <w:rsid w:val="00FA0E37"/>
    <w:rsid w:val="00FA7EE8"/>
    <w:rsid w:val="00FB1AF0"/>
    <w:rsid w:val="00FC679C"/>
    <w:rsid w:val="00FD7237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"/>
    <w:basedOn w:val="Normal"/>
    <w:link w:val="FootnoteTextChar"/>
    <w:uiPriority w:val="99"/>
    <w:rsid w:val="00FB1AF0"/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rsid w:val="00FB1AF0"/>
  </w:style>
  <w:style w:type="character" w:styleId="FootnoteReference">
    <w:name w:val="footnote reference"/>
    <w:aliases w:val="o,fr"/>
    <w:uiPriority w:val="99"/>
    <w:rsid w:val="00FB1AF0"/>
    <w:rPr>
      <w:vertAlign w:val="superscript"/>
    </w:rPr>
  </w:style>
  <w:style w:type="character" w:customStyle="1" w:styleId="FooterChar">
    <w:name w:val="Footer Char"/>
    <w:link w:val="Footer"/>
    <w:uiPriority w:val="99"/>
    <w:rsid w:val="00C61D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aliases w:val="ALTS FOOTNOTE,fn,Footnote Text 2,Footnote text,FOOTNOTE,ALTS FOOTNOTE Char,fn Char,Footnote Text Char1 Char,Footnote Text Char Char Char,ALTS FOOTNOTE Char Char Char,fn Char Char Char,Footnote Text Char2 Char Char Char"/>
    <w:basedOn w:val="Normal"/>
    <w:link w:val="FootnoteTextChar"/>
    <w:uiPriority w:val="99"/>
    <w:rsid w:val="00FB1AF0"/>
  </w:style>
  <w:style w:type="character" w:customStyle="1" w:styleId="FootnoteTextChar">
    <w:name w:val="Footnote Text Char"/>
    <w:aliases w:val="ALTS FOOTNOTE Char1,fn Char1,Footnote Text 2 Char,Footnote text Char,FOOTNOTE Char,ALTS FOOTNOTE Char Char,fn Char Char,Footnote Text Char1 Char Char,Footnote Text Char Char Char Char,ALTS FOOTNOTE Char Char Char Char"/>
    <w:basedOn w:val="DefaultParagraphFont"/>
    <w:link w:val="FootnoteText"/>
    <w:uiPriority w:val="99"/>
    <w:rsid w:val="00FB1AF0"/>
  </w:style>
  <w:style w:type="character" w:styleId="FootnoteReference">
    <w:name w:val="footnote reference"/>
    <w:aliases w:val="o,fr"/>
    <w:uiPriority w:val="99"/>
    <w:rsid w:val="00FB1AF0"/>
    <w:rPr>
      <w:vertAlign w:val="superscript"/>
    </w:rPr>
  </w:style>
  <w:style w:type="character" w:customStyle="1" w:styleId="FooterChar">
    <w:name w:val="Footer Char"/>
    <w:link w:val="Footer"/>
    <w:uiPriority w:val="99"/>
    <w:rsid w:val="00C6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FE51-7AB2-40B0-853F-10FE4B21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eberzonsky@pa.gov</dc:creator>
  <cp:lastModifiedBy>Hinds, Margaret</cp:lastModifiedBy>
  <cp:revision>3</cp:revision>
  <cp:lastPrinted>2014-02-19T12:09:00Z</cp:lastPrinted>
  <dcterms:created xsi:type="dcterms:W3CDTF">2014-02-18T20:22:00Z</dcterms:created>
  <dcterms:modified xsi:type="dcterms:W3CDTF">2014-02-19T12:09:00Z</dcterms:modified>
</cp:coreProperties>
</file>