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949" w:rsidRPr="00FB448C" w:rsidRDefault="00DE2949" w:rsidP="00E126F9">
      <w:pPr>
        <w:spacing w:line="240" w:lineRule="auto"/>
        <w:jc w:val="center"/>
        <w:rPr>
          <w:b/>
          <w:sz w:val="24"/>
          <w:szCs w:val="24"/>
        </w:rPr>
      </w:pPr>
      <w:r w:rsidRPr="00FB448C">
        <w:rPr>
          <w:b/>
          <w:sz w:val="24"/>
          <w:szCs w:val="24"/>
        </w:rPr>
        <w:t>BEFORE THE</w:t>
      </w:r>
    </w:p>
    <w:p w:rsidR="00DE2949" w:rsidRPr="00FB448C" w:rsidRDefault="00DE2949" w:rsidP="00E126F9">
      <w:pPr>
        <w:spacing w:line="240" w:lineRule="auto"/>
        <w:jc w:val="center"/>
        <w:rPr>
          <w:b/>
          <w:sz w:val="24"/>
          <w:szCs w:val="24"/>
        </w:rPr>
      </w:pPr>
      <w:r w:rsidRPr="00FB448C">
        <w:rPr>
          <w:b/>
          <w:sz w:val="24"/>
          <w:szCs w:val="24"/>
        </w:rPr>
        <w:t>PENNSYLVANIA PUBLIC UTILITY COMMISSION</w:t>
      </w:r>
    </w:p>
    <w:p w:rsidR="00DE2949" w:rsidRPr="00FB448C" w:rsidRDefault="00DE2949" w:rsidP="00E126F9">
      <w:pPr>
        <w:spacing w:line="240" w:lineRule="auto"/>
        <w:jc w:val="center"/>
        <w:rPr>
          <w:sz w:val="24"/>
          <w:szCs w:val="24"/>
        </w:rPr>
      </w:pPr>
    </w:p>
    <w:p w:rsidR="00DE2949" w:rsidRPr="00FB448C" w:rsidRDefault="00DE2949" w:rsidP="00E126F9">
      <w:pPr>
        <w:spacing w:line="240" w:lineRule="auto"/>
        <w:jc w:val="center"/>
        <w:rPr>
          <w:sz w:val="24"/>
          <w:szCs w:val="24"/>
        </w:rPr>
      </w:pPr>
    </w:p>
    <w:p w:rsidR="00E126F9" w:rsidRPr="00FB448C" w:rsidRDefault="00E126F9" w:rsidP="00E126F9">
      <w:pPr>
        <w:spacing w:line="240" w:lineRule="auto"/>
        <w:rPr>
          <w:sz w:val="24"/>
          <w:szCs w:val="24"/>
        </w:rPr>
      </w:pPr>
    </w:p>
    <w:p w:rsidR="00DE2949" w:rsidRPr="00FB448C" w:rsidRDefault="00DE0CA2" w:rsidP="00E126F9">
      <w:pPr>
        <w:spacing w:line="240" w:lineRule="auto"/>
        <w:rPr>
          <w:sz w:val="24"/>
          <w:szCs w:val="24"/>
        </w:rPr>
      </w:pPr>
      <w:r>
        <w:rPr>
          <w:sz w:val="24"/>
          <w:szCs w:val="24"/>
        </w:rPr>
        <w:t>Rosa Brown</w:t>
      </w:r>
      <w:r>
        <w:rPr>
          <w:sz w:val="24"/>
          <w:szCs w:val="24"/>
        </w:rPr>
        <w:tab/>
      </w:r>
      <w:r w:rsidR="00E04BE4">
        <w:rPr>
          <w:sz w:val="24"/>
          <w:szCs w:val="24"/>
        </w:rPr>
        <w:tab/>
      </w:r>
      <w:r w:rsidR="00DE2949" w:rsidRPr="00FB448C">
        <w:rPr>
          <w:sz w:val="24"/>
          <w:szCs w:val="24"/>
        </w:rPr>
        <w:tab/>
      </w:r>
      <w:r w:rsidR="00DE2949" w:rsidRPr="00FB448C">
        <w:rPr>
          <w:sz w:val="24"/>
          <w:szCs w:val="24"/>
        </w:rPr>
        <w:tab/>
      </w:r>
      <w:r w:rsidR="00DE2949" w:rsidRPr="00FB448C">
        <w:rPr>
          <w:sz w:val="24"/>
          <w:szCs w:val="24"/>
        </w:rPr>
        <w:tab/>
      </w:r>
      <w:r w:rsidR="00DE2949" w:rsidRPr="00FB448C">
        <w:rPr>
          <w:sz w:val="24"/>
          <w:szCs w:val="24"/>
        </w:rPr>
        <w:tab/>
        <w:t>:</w:t>
      </w:r>
    </w:p>
    <w:p w:rsidR="00DE2949" w:rsidRPr="00FB448C" w:rsidRDefault="00DE2949" w:rsidP="00E126F9">
      <w:pPr>
        <w:spacing w:line="240" w:lineRule="auto"/>
        <w:rPr>
          <w:sz w:val="24"/>
          <w:szCs w:val="24"/>
        </w:rPr>
      </w:pPr>
      <w:r w:rsidRPr="00FB448C">
        <w:rPr>
          <w:sz w:val="24"/>
          <w:szCs w:val="24"/>
        </w:rPr>
        <w:tab/>
      </w:r>
      <w:r w:rsidRPr="00FB448C">
        <w:rPr>
          <w:sz w:val="24"/>
          <w:szCs w:val="24"/>
        </w:rPr>
        <w:tab/>
      </w:r>
      <w:r w:rsidRPr="00FB448C">
        <w:rPr>
          <w:sz w:val="24"/>
          <w:szCs w:val="24"/>
        </w:rPr>
        <w:tab/>
      </w:r>
      <w:r w:rsidRPr="00FB448C">
        <w:rPr>
          <w:sz w:val="24"/>
          <w:szCs w:val="24"/>
        </w:rPr>
        <w:tab/>
      </w:r>
      <w:r w:rsidRPr="00FB448C">
        <w:rPr>
          <w:sz w:val="24"/>
          <w:szCs w:val="24"/>
        </w:rPr>
        <w:tab/>
      </w:r>
      <w:r w:rsidRPr="00FB448C">
        <w:rPr>
          <w:sz w:val="24"/>
          <w:szCs w:val="24"/>
        </w:rPr>
        <w:tab/>
      </w:r>
      <w:r w:rsidRPr="00FB448C">
        <w:rPr>
          <w:sz w:val="24"/>
          <w:szCs w:val="24"/>
        </w:rPr>
        <w:tab/>
        <w:t>:</w:t>
      </w:r>
    </w:p>
    <w:p w:rsidR="00DE2949" w:rsidRPr="00FB448C" w:rsidRDefault="00DE2949" w:rsidP="00E126F9">
      <w:pPr>
        <w:spacing w:line="240" w:lineRule="auto"/>
        <w:rPr>
          <w:sz w:val="24"/>
          <w:szCs w:val="24"/>
        </w:rPr>
      </w:pPr>
      <w:r w:rsidRPr="00FB448C">
        <w:rPr>
          <w:sz w:val="24"/>
          <w:szCs w:val="24"/>
        </w:rPr>
        <w:tab/>
        <w:t>v.</w:t>
      </w:r>
      <w:r w:rsidRPr="00FB448C">
        <w:rPr>
          <w:sz w:val="24"/>
          <w:szCs w:val="24"/>
        </w:rPr>
        <w:tab/>
      </w:r>
      <w:r w:rsidRPr="00FB448C">
        <w:rPr>
          <w:sz w:val="24"/>
          <w:szCs w:val="24"/>
        </w:rPr>
        <w:tab/>
      </w:r>
      <w:r w:rsidRPr="00FB448C">
        <w:rPr>
          <w:sz w:val="24"/>
          <w:szCs w:val="24"/>
        </w:rPr>
        <w:tab/>
      </w:r>
      <w:r w:rsidRPr="00FB448C">
        <w:rPr>
          <w:sz w:val="24"/>
          <w:szCs w:val="24"/>
        </w:rPr>
        <w:tab/>
      </w:r>
      <w:r w:rsidRPr="00FB448C">
        <w:rPr>
          <w:sz w:val="24"/>
          <w:szCs w:val="24"/>
        </w:rPr>
        <w:tab/>
      </w:r>
      <w:r w:rsidRPr="00FB448C">
        <w:rPr>
          <w:sz w:val="24"/>
          <w:szCs w:val="24"/>
        </w:rPr>
        <w:tab/>
        <w:t>:</w:t>
      </w:r>
      <w:r w:rsidRPr="00FB448C">
        <w:rPr>
          <w:sz w:val="24"/>
          <w:szCs w:val="24"/>
        </w:rPr>
        <w:tab/>
      </w:r>
      <w:r w:rsidRPr="00FB448C">
        <w:rPr>
          <w:sz w:val="24"/>
          <w:szCs w:val="24"/>
        </w:rPr>
        <w:tab/>
      </w:r>
      <w:r w:rsidR="00DE0CA2">
        <w:rPr>
          <w:sz w:val="24"/>
          <w:szCs w:val="24"/>
        </w:rPr>
        <w:t>F</w:t>
      </w:r>
      <w:r w:rsidR="007D3509">
        <w:rPr>
          <w:sz w:val="24"/>
          <w:szCs w:val="24"/>
        </w:rPr>
        <w:t>-2013-23</w:t>
      </w:r>
      <w:r w:rsidR="00DE0CA2">
        <w:rPr>
          <w:sz w:val="24"/>
          <w:szCs w:val="24"/>
        </w:rPr>
        <w:t>90120</w:t>
      </w:r>
    </w:p>
    <w:p w:rsidR="00DE2949" w:rsidRPr="00FB448C" w:rsidRDefault="00DE2949" w:rsidP="00E126F9">
      <w:pPr>
        <w:spacing w:line="240" w:lineRule="auto"/>
        <w:ind w:left="4320" w:firstLine="720"/>
        <w:rPr>
          <w:sz w:val="24"/>
          <w:szCs w:val="24"/>
        </w:rPr>
      </w:pPr>
      <w:r w:rsidRPr="00FB448C">
        <w:rPr>
          <w:sz w:val="24"/>
          <w:szCs w:val="24"/>
        </w:rPr>
        <w:t>:</w:t>
      </w:r>
    </w:p>
    <w:p w:rsidR="00DE2949" w:rsidRPr="00FB448C" w:rsidRDefault="007D3509" w:rsidP="00E126F9">
      <w:pPr>
        <w:spacing w:line="240" w:lineRule="auto"/>
        <w:rPr>
          <w:sz w:val="24"/>
          <w:szCs w:val="24"/>
        </w:rPr>
      </w:pPr>
      <w:r>
        <w:rPr>
          <w:sz w:val="24"/>
          <w:szCs w:val="24"/>
        </w:rPr>
        <w:t>PECO Energy</w:t>
      </w:r>
      <w:r w:rsidR="00DE2949" w:rsidRPr="00FB448C">
        <w:rPr>
          <w:sz w:val="24"/>
          <w:szCs w:val="24"/>
        </w:rPr>
        <w:t xml:space="preserve"> Company</w:t>
      </w:r>
      <w:r w:rsidR="008B5083">
        <w:rPr>
          <w:sz w:val="24"/>
          <w:szCs w:val="24"/>
        </w:rPr>
        <w:tab/>
      </w:r>
      <w:r w:rsidR="00DE2949" w:rsidRPr="00FB448C">
        <w:rPr>
          <w:sz w:val="24"/>
          <w:szCs w:val="24"/>
        </w:rPr>
        <w:tab/>
      </w:r>
      <w:r w:rsidR="00DE2949" w:rsidRPr="00FB448C">
        <w:rPr>
          <w:sz w:val="24"/>
          <w:szCs w:val="24"/>
        </w:rPr>
        <w:tab/>
      </w:r>
      <w:r w:rsidR="00DE2949" w:rsidRPr="00FB448C">
        <w:rPr>
          <w:sz w:val="24"/>
          <w:szCs w:val="24"/>
        </w:rPr>
        <w:tab/>
        <w:t>:</w:t>
      </w:r>
    </w:p>
    <w:p w:rsidR="00DE2949" w:rsidRPr="00FB448C" w:rsidRDefault="00DE2949" w:rsidP="00E126F9">
      <w:pPr>
        <w:spacing w:line="240" w:lineRule="auto"/>
        <w:rPr>
          <w:sz w:val="24"/>
          <w:szCs w:val="24"/>
        </w:rPr>
      </w:pPr>
    </w:p>
    <w:p w:rsidR="00DE2949" w:rsidRPr="00FB448C" w:rsidRDefault="00DE2949" w:rsidP="00E126F9">
      <w:pPr>
        <w:spacing w:line="240" w:lineRule="auto"/>
        <w:rPr>
          <w:sz w:val="24"/>
          <w:szCs w:val="24"/>
        </w:rPr>
      </w:pPr>
    </w:p>
    <w:p w:rsidR="00DE2949" w:rsidRPr="00FB448C" w:rsidRDefault="00DE2949" w:rsidP="00E126F9">
      <w:pPr>
        <w:spacing w:line="240" w:lineRule="auto"/>
        <w:rPr>
          <w:sz w:val="24"/>
          <w:szCs w:val="24"/>
        </w:rPr>
      </w:pPr>
    </w:p>
    <w:p w:rsidR="00DE2949" w:rsidRPr="00FB448C" w:rsidRDefault="00DE2949" w:rsidP="00E126F9">
      <w:pPr>
        <w:pStyle w:val="Heading1"/>
        <w:rPr>
          <w:b/>
          <w:caps/>
          <w:sz w:val="24"/>
          <w:szCs w:val="24"/>
        </w:rPr>
      </w:pPr>
      <w:r w:rsidRPr="00FB448C">
        <w:rPr>
          <w:b/>
          <w:caps/>
          <w:sz w:val="24"/>
          <w:szCs w:val="24"/>
        </w:rPr>
        <w:t>Initial Decision</w:t>
      </w:r>
    </w:p>
    <w:p w:rsidR="00DE2949" w:rsidRPr="00FB448C" w:rsidRDefault="00DE2949" w:rsidP="00E126F9">
      <w:pPr>
        <w:spacing w:line="240" w:lineRule="auto"/>
        <w:jc w:val="center"/>
        <w:rPr>
          <w:sz w:val="24"/>
          <w:szCs w:val="24"/>
          <w:u w:val="single"/>
        </w:rPr>
      </w:pPr>
    </w:p>
    <w:p w:rsidR="00DE2949" w:rsidRPr="00FB448C" w:rsidRDefault="00DE2949" w:rsidP="00E126F9">
      <w:pPr>
        <w:spacing w:line="240" w:lineRule="auto"/>
        <w:jc w:val="center"/>
        <w:rPr>
          <w:sz w:val="24"/>
          <w:szCs w:val="24"/>
          <w:u w:val="single"/>
        </w:rPr>
      </w:pPr>
    </w:p>
    <w:p w:rsidR="00DE2949" w:rsidRPr="00FB448C" w:rsidRDefault="00DE2949" w:rsidP="00E126F9">
      <w:pPr>
        <w:spacing w:line="240" w:lineRule="auto"/>
        <w:jc w:val="center"/>
        <w:rPr>
          <w:sz w:val="24"/>
          <w:szCs w:val="24"/>
        </w:rPr>
      </w:pPr>
      <w:r w:rsidRPr="00FB448C">
        <w:rPr>
          <w:sz w:val="24"/>
          <w:szCs w:val="24"/>
        </w:rPr>
        <w:t>Before</w:t>
      </w:r>
    </w:p>
    <w:p w:rsidR="00DE2949" w:rsidRPr="00FB448C" w:rsidRDefault="00DE2949" w:rsidP="00E126F9">
      <w:pPr>
        <w:spacing w:line="240" w:lineRule="auto"/>
        <w:jc w:val="center"/>
        <w:rPr>
          <w:sz w:val="24"/>
          <w:szCs w:val="24"/>
        </w:rPr>
      </w:pPr>
      <w:r w:rsidRPr="00FB448C">
        <w:rPr>
          <w:sz w:val="24"/>
          <w:szCs w:val="24"/>
        </w:rPr>
        <w:t>Katrina L. Dunderdale</w:t>
      </w:r>
    </w:p>
    <w:p w:rsidR="00DE2949" w:rsidRPr="00FB448C" w:rsidRDefault="00DE2949" w:rsidP="00E126F9">
      <w:pPr>
        <w:spacing w:line="240" w:lineRule="auto"/>
        <w:jc w:val="center"/>
        <w:rPr>
          <w:sz w:val="24"/>
          <w:szCs w:val="24"/>
        </w:rPr>
      </w:pPr>
      <w:r w:rsidRPr="00FB448C">
        <w:rPr>
          <w:sz w:val="24"/>
          <w:szCs w:val="24"/>
        </w:rPr>
        <w:t>Administrative Law Judge</w:t>
      </w:r>
    </w:p>
    <w:p w:rsidR="00DE2949" w:rsidRDefault="00DE2949" w:rsidP="00E126F9">
      <w:pPr>
        <w:spacing w:line="240" w:lineRule="auto"/>
        <w:jc w:val="center"/>
        <w:rPr>
          <w:sz w:val="24"/>
          <w:szCs w:val="24"/>
        </w:rPr>
      </w:pPr>
    </w:p>
    <w:p w:rsidR="000B0551" w:rsidRDefault="000B0551" w:rsidP="00E126F9">
      <w:pPr>
        <w:spacing w:line="240" w:lineRule="auto"/>
        <w:jc w:val="center"/>
        <w:rPr>
          <w:sz w:val="24"/>
          <w:szCs w:val="24"/>
        </w:rPr>
      </w:pPr>
    </w:p>
    <w:p w:rsidR="000B0551" w:rsidRDefault="000B0551" w:rsidP="00E126F9">
      <w:pPr>
        <w:spacing w:line="240" w:lineRule="auto"/>
        <w:jc w:val="center"/>
        <w:rPr>
          <w:sz w:val="24"/>
          <w:szCs w:val="24"/>
        </w:rPr>
      </w:pPr>
    </w:p>
    <w:p w:rsidR="000B0551" w:rsidRPr="000B0551" w:rsidRDefault="000B0551" w:rsidP="00E126F9">
      <w:pPr>
        <w:spacing w:line="240" w:lineRule="auto"/>
        <w:jc w:val="center"/>
        <w:rPr>
          <w:sz w:val="24"/>
          <w:szCs w:val="24"/>
          <w:u w:val="single"/>
        </w:rPr>
      </w:pPr>
      <w:r w:rsidRPr="000B0551">
        <w:rPr>
          <w:sz w:val="24"/>
          <w:szCs w:val="24"/>
          <w:u w:val="single"/>
        </w:rPr>
        <w:t>INTRODUCTION</w:t>
      </w:r>
    </w:p>
    <w:p w:rsidR="00DE2949" w:rsidRDefault="00DE2949" w:rsidP="000B0551">
      <w:pPr>
        <w:spacing w:line="240" w:lineRule="auto"/>
        <w:rPr>
          <w:sz w:val="24"/>
          <w:szCs w:val="24"/>
        </w:rPr>
      </w:pPr>
    </w:p>
    <w:p w:rsidR="000B0551" w:rsidRPr="00024335" w:rsidRDefault="000B0551" w:rsidP="00024335">
      <w:pPr>
        <w:rPr>
          <w:sz w:val="24"/>
          <w:szCs w:val="24"/>
        </w:rPr>
      </w:pPr>
    </w:p>
    <w:p w:rsidR="000B0551" w:rsidRPr="00024335" w:rsidRDefault="000B0551" w:rsidP="00024335">
      <w:pPr>
        <w:rPr>
          <w:sz w:val="24"/>
          <w:szCs w:val="24"/>
        </w:rPr>
      </w:pPr>
      <w:r w:rsidRPr="00024335">
        <w:rPr>
          <w:sz w:val="24"/>
          <w:szCs w:val="24"/>
        </w:rPr>
        <w:tab/>
      </w:r>
      <w:r w:rsidRPr="00024335">
        <w:rPr>
          <w:sz w:val="24"/>
          <w:szCs w:val="24"/>
        </w:rPr>
        <w:tab/>
        <w:t xml:space="preserve">This decision denies </w:t>
      </w:r>
      <w:r w:rsidR="00024335" w:rsidRPr="00024335">
        <w:rPr>
          <w:sz w:val="24"/>
          <w:szCs w:val="24"/>
        </w:rPr>
        <w:t>Complainant’s</w:t>
      </w:r>
      <w:r w:rsidRPr="00024335">
        <w:rPr>
          <w:sz w:val="24"/>
          <w:szCs w:val="24"/>
        </w:rPr>
        <w:t xml:space="preserve"> request for </w:t>
      </w:r>
      <w:r w:rsidR="00024335" w:rsidRPr="00024335">
        <w:rPr>
          <w:sz w:val="24"/>
          <w:szCs w:val="24"/>
        </w:rPr>
        <w:t>a</w:t>
      </w:r>
      <w:r w:rsidRPr="00024335">
        <w:rPr>
          <w:sz w:val="24"/>
          <w:szCs w:val="24"/>
        </w:rPr>
        <w:t xml:space="preserve"> payment agreement from the Public Utility Commission.</w:t>
      </w:r>
    </w:p>
    <w:p w:rsidR="000B0551" w:rsidRPr="00024335" w:rsidRDefault="000B0551" w:rsidP="00024335">
      <w:pPr>
        <w:rPr>
          <w:sz w:val="24"/>
          <w:szCs w:val="24"/>
        </w:rPr>
      </w:pPr>
    </w:p>
    <w:p w:rsidR="00DE2949" w:rsidRPr="00024335" w:rsidRDefault="00DE2949" w:rsidP="00024335">
      <w:pPr>
        <w:pStyle w:val="Heading1"/>
        <w:spacing w:line="360" w:lineRule="auto"/>
        <w:rPr>
          <w:sz w:val="24"/>
          <w:szCs w:val="24"/>
          <w:u w:val="none"/>
        </w:rPr>
      </w:pPr>
      <w:r w:rsidRPr="00024335">
        <w:rPr>
          <w:sz w:val="24"/>
          <w:szCs w:val="24"/>
        </w:rPr>
        <w:t>HISTORY OF THE PROCEEDING</w:t>
      </w:r>
    </w:p>
    <w:p w:rsidR="00024335" w:rsidRPr="00024335" w:rsidRDefault="00024335" w:rsidP="00024335">
      <w:pPr>
        <w:rPr>
          <w:sz w:val="24"/>
          <w:szCs w:val="24"/>
        </w:rPr>
      </w:pPr>
    </w:p>
    <w:p w:rsidR="00024335" w:rsidRPr="00024335" w:rsidRDefault="00024335" w:rsidP="00024335">
      <w:pPr>
        <w:ind w:firstLine="1440"/>
        <w:rPr>
          <w:sz w:val="24"/>
          <w:szCs w:val="24"/>
        </w:rPr>
      </w:pPr>
      <w:r w:rsidRPr="00024335">
        <w:rPr>
          <w:sz w:val="24"/>
          <w:szCs w:val="24"/>
        </w:rPr>
        <w:t xml:space="preserve">On </w:t>
      </w:r>
      <w:r>
        <w:rPr>
          <w:sz w:val="24"/>
          <w:szCs w:val="24"/>
        </w:rPr>
        <w:t>October 7</w:t>
      </w:r>
      <w:r w:rsidRPr="00024335">
        <w:rPr>
          <w:sz w:val="24"/>
          <w:szCs w:val="24"/>
        </w:rPr>
        <w:t xml:space="preserve">, 2013, </w:t>
      </w:r>
      <w:r>
        <w:rPr>
          <w:sz w:val="24"/>
          <w:szCs w:val="24"/>
        </w:rPr>
        <w:t>Rosa Brown</w:t>
      </w:r>
      <w:r w:rsidRPr="00024335">
        <w:rPr>
          <w:sz w:val="24"/>
          <w:szCs w:val="24"/>
        </w:rPr>
        <w:t xml:space="preserve"> (Ms.</w:t>
      </w:r>
      <w:r>
        <w:rPr>
          <w:sz w:val="24"/>
          <w:szCs w:val="24"/>
        </w:rPr>
        <w:t xml:space="preserve"> Brown</w:t>
      </w:r>
      <w:r w:rsidRPr="00024335">
        <w:rPr>
          <w:sz w:val="24"/>
          <w:szCs w:val="24"/>
        </w:rPr>
        <w:t xml:space="preserve"> or Complainant) filed a formal </w:t>
      </w:r>
      <w:r>
        <w:rPr>
          <w:sz w:val="24"/>
          <w:szCs w:val="24"/>
        </w:rPr>
        <w:t>c</w:t>
      </w:r>
      <w:r w:rsidRPr="00024335">
        <w:rPr>
          <w:sz w:val="24"/>
          <w:szCs w:val="24"/>
        </w:rPr>
        <w:t>omplaint with the Pennsylvania Public Utility Commission (Commission) against PECO Energy Company (PECO, Company or Respondent)</w:t>
      </w:r>
      <w:r w:rsidR="00B676B0">
        <w:rPr>
          <w:sz w:val="24"/>
          <w:szCs w:val="24"/>
        </w:rPr>
        <w:t xml:space="preserve">.  Complainant alleged PECO was wrong to require her to pay </w:t>
      </w:r>
      <w:r>
        <w:rPr>
          <w:sz w:val="24"/>
          <w:szCs w:val="24"/>
        </w:rPr>
        <w:t>the full amount of the unpaid balance from a previous address</w:t>
      </w:r>
      <w:r w:rsidR="00B676B0">
        <w:rPr>
          <w:sz w:val="24"/>
          <w:szCs w:val="24"/>
        </w:rPr>
        <w:t xml:space="preserve"> before PECO would initiate service in her name at a new address.  Complainant requested a payment agreement to pay off the outstanding balance</w:t>
      </w:r>
      <w:r w:rsidRPr="00024335">
        <w:rPr>
          <w:sz w:val="24"/>
          <w:szCs w:val="24"/>
        </w:rPr>
        <w:t>.</w:t>
      </w:r>
    </w:p>
    <w:p w:rsidR="00024335" w:rsidRPr="00024335" w:rsidRDefault="00024335" w:rsidP="00024335">
      <w:pPr>
        <w:rPr>
          <w:sz w:val="24"/>
          <w:szCs w:val="24"/>
        </w:rPr>
      </w:pPr>
    </w:p>
    <w:p w:rsidR="00024335" w:rsidRPr="00382DD3" w:rsidRDefault="00024335" w:rsidP="00024335">
      <w:pPr>
        <w:ind w:firstLine="1440"/>
        <w:rPr>
          <w:sz w:val="24"/>
          <w:szCs w:val="24"/>
        </w:rPr>
      </w:pPr>
      <w:r w:rsidRPr="00024335">
        <w:rPr>
          <w:sz w:val="24"/>
          <w:szCs w:val="24"/>
        </w:rPr>
        <w:t xml:space="preserve">On </w:t>
      </w:r>
      <w:r>
        <w:rPr>
          <w:sz w:val="24"/>
          <w:szCs w:val="24"/>
        </w:rPr>
        <w:t>October 30</w:t>
      </w:r>
      <w:r w:rsidRPr="00024335">
        <w:rPr>
          <w:sz w:val="24"/>
          <w:szCs w:val="24"/>
        </w:rPr>
        <w:t xml:space="preserve">, 2013, PECO filed an Answer (Answer) which denied the material allegations of the Complaint.  PECO alleged </w:t>
      </w:r>
      <w:r>
        <w:rPr>
          <w:sz w:val="24"/>
          <w:szCs w:val="24"/>
        </w:rPr>
        <w:t>Complainant</w:t>
      </w:r>
      <w:r w:rsidRPr="00024335">
        <w:rPr>
          <w:sz w:val="24"/>
          <w:szCs w:val="24"/>
        </w:rPr>
        <w:t xml:space="preserve"> defaulted on </w:t>
      </w:r>
      <w:r>
        <w:rPr>
          <w:sz w:val="24"/>
          <w:szCs w:val="24"/>
        </w:rPr>
        <w:t>two</w:t>
      </w:r>
      <w:r w:rsidRPr="00024335">
        <w:rPr>
          <w:sz w:val="24"/>
          <w:szCs w:val="24"/>
        </w:rPr>
        <w:t xml:space="preserve"> (</w:t>
      </w:r>
      <w:r>
        <w:rPr>
          <w:sz w:val="24"/>
          <w:szCs w:val="24"/>
        </w:rPr>
        <w:t xml:space="preserve">2) </w:t>
      </w:r>
      <w:r w:rsidR="00B676B0">
        <w:rPr>
          <w:sz w:val="24"/>
          <w:szCs w:val="24"/>
        </w:rPr>
        <w:t xml:space="preserve">payment </w:t>
      </w:r>
      <w:r w:rsidR="00B676B0">
        <w:rPr>
          <w:sz w:val="24"/>
          <w:szCs w:val="24"/>
        </w:rPr>
        <w:lastRenderedPageBreak/>
        <w:t xml:space="preserve">agreements issued by the </w:t>
      </w:r>
      <w:r>
        <w:rPr>
          <w:sz w:val="24"/>
          <w:szCs w:val="24"/>
        </w:rPr>
        <w:t>Bureau of Consumer Services (BCS)</w:t>
      </w:r>
      <w:r w:rsidR="00B676B0">
        <w:rPr>
          <w:sz w:val="24"/>
          <w:szCs w:val="24"/>
        </w:rPr>
        <w:t xml:space="preserve"> and averred Complainant is not </w:t>
      </w:r>
      <w:r w:rsidRPr="00024335">
        <w:rPr>
          <w:sz w:val="24"/>
          <w:szCs w:val="24"/>
        </w:rPr>
        <w:t>entitled to a</w:t>
      </w:r>
      <w:r>
        <w:rPr>
          <w:sz w:val="24"/>
          <w:szCs w:val="24"/>
        </w:rPr>
        <w:t>nother</w:t>
      </w:r>
      <w:r w:rsidRPr="00024335">
        <w:rPr>
          <w:sz w:val="24"/>
          <w:szCs w:val="24"/>
        </w:rPr>
        <w:t xml:space="preserve"> Commission-issued payment agreement</w:t>
      </w:r>
      <w:r>
        <w:rPr>
          <w:sz w:val="24"/>
          <w:szCs w:val="24"/>
        </w:rPr>
        <w:t xml:space="preserve">. </w:t>
      </w:r>
      <w:r w:rsidR="00044B56">
        <w:rPr>
          <w:sz w:val="24"/>
          <w:szCs w:val="24"/>
        </w:rPr>
        <w:t xml:space="preserve"> </w:t>
      </w:r>
      <w:r>
        <w:rPr>
          <w:sz w:val="24"/>
          <w:szCs w:val="24"/>
        </w:rPr>
        <w:t>PECO pointed out Complainant</w:t>
      </w:r>
      <w:r w:rsidR="00B676B0">
        <w:rPr>
          <w:sz w:val="24"/>
          <w:szCs w:val="24"/>
        </w:rPr>
        <w:t xml:space="preserve"> has a</w:t>
      </w:r>
      <w:r>
        <w:rPr>
          <w:sz w:val="24"/>
          <w:szCs w:val="24"/>
        </w:rPr>
        <w:t xml:space="preserve"> </w:t>
      </w:r>
      <w:r w:rsidRPr="00024335">
        <w:rPr>
          <w:sz w:val="24"/>
          <w:szCs w:val="24"/>
        </w:rPr>
        <w:t>poor payment history</w:t>
      </w:r>
      <w:r>
        <w:rPr>
          <w:sz w:val="24"/>
          <w:szCs w:val="24"/>
        </w:rPr>
        <w:t xml:space="preserve"> and </w:t>
      </w:r>
      <w:r w:rsidRPr="00024335">
        <w:rPr>
          <w:sz w:val="24"/>
          <w:szCs w:val="24"/>
        </w:rPr>
        <w:t xml:space="preserve">alleged </w:t>
      </w:r>
      <w:r>
        <w:rPr>
          <w:sz w:val="24"/>
          <w:szCs w:val="24"/>
        </w:rPr>
        <w:t>C</w:t>
      </w:r>
      <w:r w:rsidRPr="00382DD3">
        <w:rPr>
          <w:sz w:val="24"/>
          <w:szCs w:val="24"/>
        </w:rPr>
        <w:t xml:space="preserve">omplainant filed eight (8) informal Complaints against PECO in an effort to stop collection on her unpaid utility bills.  The following exhibits were attached to the Answer: </w:t>
      </w:r>
      <w:r w:rsidR="00044B56">
        <w:rPr>
          <w:sz w:val="24"/>
          <w:szCs w:val="24"/>
        </w:rPr>
        <w:t xml:space="preserve"> </w:t>
      </w:r>
      <w:r w:rsidRPr="00382DD3">
        <w:rPr>
          <w:sz w:val="24"/>
          <w:szCs w:val="24"/>
        </w:rPr>
        <w:t>Account Activity Statement (Exhibit 1), Service Denial Notice (Exhibit</w:t>
      </w:r>
      <w:r w:rsidR="00044B56">
        <w:rPr>
          <w:sz w:val="24"/>
          <w:szCs w:val="24"/>
        </w:rPr>
        <w:t> </w:t>
      </w:r>
      <w:r w:rsidRPr="00382DD3">
        <w:rPr>
          <w:sz w:val="24"/>
          <w:szCs w:val="24"/>
        </w:rPr>
        <w:t>2) and BCS Decision Report (Exhibit 3).</w:t>
      </w:r>
    </w:p>
    <w:p w:rsidR="00024335" w:rsidRPr="00382DD3" w:rsidRDefault="00024335" w:rsidP="00024335">
      <w:pPr>
        <w:rPr>
          <w:sz w:val="24"/>
          <w:szCs w:val="24"/>
        </w:rPr>
      </w:pPr>
    </w:p>
    <w:p w:rsidR="00024335" w:rsidRPr="00382DD3" w:rsidRDefault="00024335" w:rsidP="006E259A">
      <w:pPr>
        <w:ind w:firstLine="1440"/>
        <w:rPr>
          <w:sz w:val="24"/>
          <w:szCs w:val="24"/>
        </w:rPr>
      </w:pPr>
      <w:r w:rsidRPr="00382DD3">
        <w:rPr>
          <w:sz w:val="24"/>
          <w:szCs w:val="24"/>
        </w:rPr>
        <w:t>A Telephon</w:t>
      </w:r>
      <w:r w:rsidR="00F4178B">
        <w:rPr>
          <w:sz w:val="24"/>
          <w:szCs w:val="24"/>
        </w:rPr>
        <w:t>ic</w:t>
      </w:r>
      <w:r w:rsidRPr="00382DD3">
        <w:rPr>
          <w:sz w:val="24"/>
          <w:szCs w:val="24"/>
        </w:rPr>
        <w:t xml:space="preserve"> Hearing Notice dated November 13, 2013, advised the parties that an initial telephonic hearing was scheduled for Thursday, January 30, 2014, at 10:00 a.m.  </w:t>
      </w:r>
      <w:r w:rsidR="006E259A" w:rsidRPr="00382DD3">
        <w:rPr>
          <w:sz w:val="24"/>
          <w:szCs w:val="24"/>
        </w:rPr>
        <w:t>The presiding officer issued a</w:t>
      </w:r>
      <w:r w:rsidRPr="00382DD3">
        <w:rPr>
          <w:sz w:val="24"/>
          <w:szCs w:val="24"/>
        </w:rPr>
        <w:t xml:space="preserve"> Prehearing Order dated </w:t>
      </w:r>
      <w:r w:rsidR="006E259A" w:rsidRPr="00382DD3">
        <w:rPr>
          <w:sz w:val="24"/>
          <w:szCs w:val="24"/>
        </w:rPr>
        <w:t>November 13, 2013 which</w:t>
      </w:r>
      <w:r w:rsidRPr="00382DD3">
        <w:rPr>
          <w:sz w:val="24"/>
          <w:szCs w:val="24"/>
        </w:rPr>
        <w:t xml:space="preserve"> advised the parties of the date and time of the scheduled hearing, and informed them of the procedures applicable to this proceeding.</w:t>
      </w:r>
    </w:p>
    <w:p w:rsidR="00024335" w:rsidRPr="00382DD3" w:rsidRDefault="00024335" w:rsidP="00024335">
      <w:pPr>
        <w:rPr>
          <w:sz w:val="24"/>
          <w:szCs w:val="24"/>
        </w:rPr>
      </w:pPr>
    </w:p>
    <w:p w:rsidR="00024335" w:rsidRPr="00382DD3" w:rsidRDefault="00024335" w:rsidP="00024335">
      <w:pPr>
        <w:ind w:firstLine="1440"/>
        <w:rPr>
          <w:sz w:val="24"/>
          <w:szCs w:val="24"/>
        </w:rPr>
      </w:pPr>
      <w:r w:rsidRPr="00382DD3">
        <w:rPr>
          <w:sz w:val="24"/>
          <w:szCs w:val="24"/>
        </w:rPr>
        <w:t xml:space="preserve">The </w:t>
      </w:r>
      <w:r w:rsidR="006E259A" w:rsidRPr="00382DD3">
        <w:rPr>
          <w:sz w:val="24"/>
          <w:szCs w:val="24"/>
        </w:rPr>
        <w:t xml:space="preserve">presiding officer convened the </w:t>
      </w:r>
      <w:r w:rsidRPr="00382DD3">
        <w:rPr>
          <w:sz w:val="24"/>
          <w:szCs w:val="24"/>
        </w:rPr>
        <w:t xml:space="preserve">initial telephonic hearing as scheduled on </w:t>
      </w:r>
      <w:r w:rsidR="006E259A" w:rsidRPr="00382DD3">
        <w:rPr>
          <w:sz w:val="24"/>
          <w:szCs w:val="24"/>
        </w:rPr>
        <w:t>Thursday, January 30, 2014</w:t>
      </w:r>
      <w:r w:rsidRPr="00382DD3">
        <w:rPr>
          <w:sz w:val="24"/>
          <w:szCs w:val="24"/>
        </w:rPr>
        <w:t xml:space="preserve">, at 10:00 a.m. </w:t>
      </w:r>
      <w:r w:rsidR="00A83DCE">
        <w:rPr>
          <w:sz w:val="24"/>
          <w:szCs w:val="24"/>
        </w:rPr>
        <w:t xml:space="preserve"> </w:t>
      </w:r>
      <w:r w:rsidR="006E259A" w:rsidRPr="00382DD3">
        <w:rPr>
          <w:sz w:val="24"/>
          <w:szCs w:val="24"/>
        </w:rPr>
        <w:t>Rosa Brown</w:t>
      </w:r>
      <w:r w:rsidRPr="00382DD3">
        <w:rPr>
          <w:sz w:val="24"/>
          <w:szCs w:val="24"/>
        </w:rPr>
        <w:t xml:space="preserve"> appeared </w:t>
      </w:r>
      <w:r w:rsidRPr="00382DD3">
        <w:rPr>
          <w:i/>
          <w:iCs/>
          <w:sz w:val="24"/>
          <w:szCs w:val="24"/>
        </w:rPr>
        <w:t>pro se</w:t>
      </w:r>
      <w:r w:rsidR="006E259A" w:rsidRPr="00382DD3">
        <w:rPr>
          <w:i/>
          <w:iCs/>
          <w:sz w:val="24"/>
          <w:szCs w:val="24"/>
        </w:rPr>
        <w:t xml:space="preserve"> </w:t>
      </w:r>
      <w:r w:rsidR="006E259A" w:rsidRPr="00382DD3">
        <w:rPr>
          <w:iCs/>
          <w:sz w:val="24"/>
          <w:szCs w:val="24"/>
        </w:rPr>
        <w:t xml:space="preserve">and testified on her own behalf.  </w:t>
      </w:r>
      <w:proofErr w:type="spellStart"/>
      <w:r w:rsidRPr="00382DD3">
        <w:rPr>
          <w:sz w:val="24"/>
          <w:szCs w:val="24"/>
        </w:rPr>
        <w:t>Shawane</w:t>
      </w:r>
      <w:proofErr w:type="spellEnd"/>
      <w:r w:rsidRPr="00382DD3">
        <w:rPr>
          <w:sz w:val="24"/>
          <w:szCs w:val="24"/>
        </w:rPr>
        <w:t xml:space="preserve"> Lee, Esq., counsel for </w:t>
      </w:r>
      <w:proofErr w:type="gramStart"/>
      <w:r w:rsidRPr="00382DD3">
        <w:rPr>
          <w:sz w:val="24"/>
          <w:szCs w:val="24"/>
        </w:rPr>
        <w:t>Respondent,</w:t>
      </w:r>
      <w:proofErr w:type="gramEnd"/>
      <w:r w:rsidRPr="00382DD3">
        <w:rPr>
          <w:sz w:val="24"/>
          <w:szCs w:val="24"/>
        </w:rPr>
        <w:t xml:space="preserve"> presented the testimony of one (1) witness, </w:t>
      </w:r>
      <w:r w:rsidR="006E259A" w:rsidRPr="00382DD3">
        <w:rPr>
          <w:sz w:val="24"/>
          <w:szCs w:val="24"/>
        </w:rPr>
        <w:t xml:space="preserve">Renee </w:t>
      </w:r>
      <w:proofErr w:type="spellStart"/>
      <w:r w:rsidR="006E259A" w:rsidRPr="00382DD3">
        <w:rPr>
          <w:sz w:val="24"/>
          <w:szCs w:val="24"/>
        </w:rPr>
        <w:t>Tarpley</w:t>
      </w:r>
      <w:proofErr w:type="spellEnd"/>
      <w:r w:rsidRPr="00382DD3">
        <w:rPr>
          <w:sz w:val="24"/>
          <w:szCs w:val="24"/>
        </w:rPr>
        <w:t>, a Senior Regulatory Assessor for Respondent</w:t>
      </w:r>
      <w:r w:rsidR="006E259A" w:rsidRPr="00382DD3">
        <w:rPr>
          <w:sz w:val="24"/>
          <w:szCs w:val="24"/>
        </w:rPr>
        <w:t xml:space="preserve">.  Respondent moved to admit nine (9) </w:t>
      </w:r>
      <w:r w:rsidRPr="00382DD3">
        <w:rPr>
          <w:sz w:val="24"/>
          <w:szCs w:val="24"/>
        </w:rPr>
        <w:t>exhibits</w:t>
      </w:r>
      <w:r w:rsidR="006E259A" w:rsidRPr="00382DD3">
        <w:rPr>
          <w:sz w:val="24"/>
          <w:szCs w:val="24"/>
        </w:rPr>
        <w:t>, of which</w:t>
      </w:r>
      <w:r w:rsidRPr="00382DD3">
        <w:rPr>
          <w:sz w:val="24"/>
          <w:szCs w:val="24"/>
        </w:rPr>
        <w:t xml:space="preserve"> Respondent’s Exhibits 1-</w:t>
      </w:r>
      <w:r w:rsidR="006E259A" w:rsidRPr="00382DD3">
        <w:rPr>
          <w:sz w:val="24"/>
          <w:szCs w:val="24"/>
        </w:rPr>
        <w:t xml:space="preserve">6 and </w:t>
      </w:r>
      <w:r w:rsidR="00B676B0">
        <w:rPr>
          <w:sz w:val="24"/>
          <w:szCs w:val="24"/>
        </w:rPr>
        <w:t>9</w:t>
      </w:r>
      <w:r w:rsidRPr="00382DD3">
        <w:rPr>
          <w:sz w:val="24"/>
          <w:szCs w:val="24"/>
        </w:rPr>
        <w:t xml:space="preserve"> were admitted into the record.</w:t>
      </w:r>
    </w:p>
    <w:p w:rsidR="00024335" w:rsidRPr="00382DD3" w:rsidRDefault="00024335" w:rsidP="00024335">
      <w:pPr>
        <w:ind w:firstLine="1440"/>
        <w:rPr>
          <w:sz w:val="24"/>
          <w:szCs w:val="24"/>
        </w:rPr>
      </w:pPr>
    </w:p>
    <w:p w:rsidR="00024335" w:rsidRPr="00382DD3" w:rsidRDefault="00024335" w:rsidP="00024335">
      <w:pPr>
        <w:ind w:firstLine="1440"/>
        <w:rPr>
          <w:sz w:val="24"/>
          <w:szCs w:val="24"/>
        </w:rPr>
      </w:pPr>
      <w:r w:rsidRPr="00382DD3">
        <w:rPr>
          <w:sz w:val="24"/>
          <w:szCs w:val="24"/>
        </w:rPr>
        <w:t xml:space="preserve">The </w:t>
      </w:r>
      <w:r w:rsidR="00B676B0">
        <w:rPr>
          <w:sz w:val="24"/>
          <w:szCs w:val="24"/>
        </w:rPr>
        <w:t xml:space="preserve">hearing </w:t>
      </w:r>
      <w:r w:rsidRPr="00382DD3">
        <w:rPr>
          <w:sz w:val="24"/>
          <w:szCs w:val="24"/>
        </w:rPr>
        <w:t xml:space="preserve">record closed </w:t>
      </w:r>
      <w:r w:rsidR="007D2689">
        <w:rPr>
          <w:sz w:val="24"/>
          <w:szCs w:val="24"/>
        </w:rPr>
        <w:t>at the conclusion of the initial hearing on January 30, 2014</w:t>
      </w:r>
      <w:r w:rsidRPr="00382DD3">
        <w:rPr>
          <w:sz w:val="24"/>
          <w:szCs w:val="24"/>
        </w:rPr>
        <w:t>.</w:t>
      </w:r>
    </w:p>
    <w:p w:rsidR="00024335" w:rsidRPr="00382DD3" w:rsidRDefault="00024335" w:rsidP="00024335">
      <w:pPr>
        <w:rPr>
          <w:sz w:val="24"/>
          <w:szCs w:val="24"/>
        </w:rPr>
      </w:pPr>
    </w:p>
    <w:p w:rsidR="00C44296" w:rsidRPr="00382DD3" w:rsidRDefault="00C44296" w:rsidP="00C44296">
      <w:pPr>
        <w:tabs>
          <w:tab w:val="left" w:pos="2160"/>
        </w:tabs>
        <w:jc w:val="center"/>
        <w:rPr>
          <w:sz w:val="24"/>
          <w:szCs w:val="24"/>
          <w:u w:val="single"/>
        </w:rPr>
      </w:pPr>
      <w:r w:rsidRPr="00382DD3">
        <w:rPr>
          <w:sz w:val="24"/>
          <w:szCs w:val="24"/>
          <w:u w:val="single"/>
        </w:rPr>
        <w:t xml:space="preserve">FINDINGS OF </w:t>
      </w:r>
      <w:smartTag w:uri="urn:schemas-microsoft-com:office:smarttags" w:element="stockticker">
        <w:r w:rsidRPr="00382DD3">
          <w:rPr>
            <w:sz w:val="24"/>
            <w:szCs w:val="24"/>
            <w:u w:val="single"/>
          </w:rPr>
          <w:t>FACT</w:t>
        </w:r>
      </w:smartTag>
    </w:p>
    <w:p w:rsidR="00382DD3" w:rsidRPr="00382DD3" w:rsidRDefault="00382DD3" w:rsidP="00382DD3">
      <w:pPr>
        <w:rPr>
          <w:sz w:val="24"/>
          <w:szCs w:val="24"/>
          <w:u w:val="single"/>
        </w:rPr>
      </w:pPr>
    </w:p>
    <w:p w:rsidR="00382DD3" w:rsidRPr="00382DD3" w:rsidRDefault="00382DD3" w:rsidP="00382DD3">
      <w:pPr>
        <w:pStyle w:val="ListParagraph"/>
        <w:numPr>
          <w:ilvl w:val="0"/>
          <w:numId w:val="17"/>
        </w:numPr>
        <w:ind w:left="0" w:firstLine="1440"/>
        <w:contextualSpacing w:val="0"/>
        <w:rPr>
          <w:sz w:val="24"/>
          <w:szCs w:val="24"/>
        </w:rPr>
      </w:pPr>
      <w:r w:rsidRPr="00382DD3">
        <w:rPr>
          <w:sz w:val="24"/>
          <w:szCs w:val="24"/>
        </w:rPr>
        <w:t>Complainant receive</w:t>
      </w:r>
      <w:r>
        <w:rPr>
          <w:sz w:val="24"/>
          <w:szCs w:val="24"/>
        </w:rPr>
        <w:t>d</w:t>
      </w:r>
      <w:r w:rsidRPr="00382DD3">
        <w:rPr>
          <w:sz w:val="24"/>
          <w:szCs w:val="24"/>
        </w:rPr>
        <w:t xml:space="preserve"> electric residential service from Respondent at </w:t>
      </w:r>
      <w:r>
        <w:rPr>
          <w:sz w:val="24"/>
          <w:szCs w:val="24"/>
        </w:rPr>
        <w:t>4709</w:t>
      </w:r>
      <w:r w:rsidR="00DE069A">
        <w:rPr>
          <w:sz w:val="24"/>
          <w:szCs w:val="24"/>
        </w:rPr>
        <w:t> </w:t>
      </w:r>
      <w:r>
        <w:rPr>
          <w:sz w:val="24"/>
          <w:szCs w:val="24"/>
        </w:rPr>
        <w:t xml:space="preserve">Hazel Avenue, First Floor, </w:t>
      </w:r>
      <w:proofErr w:type="gramStart"/>
      <w:r>
        <w:rPr>
          <w:sz w:val="24"/>
          <w:szCs w:val="24"/>
        </w:rPr>
        <w:t>Philadelphia</w:t>
      </w:r>
      <w:proofErr w:type="gramEnd"/>
      <w:r w:rsidRPr="00382DD3">
        <w:rPr>
          <w:sz w:val="24"/>
          <w:szCs w:val="24"/>
        </w:rPr>
        <w:t>, PA</w:t>
      </w:r>
      <w:r>
        <w:rPr>
          <w:sz w:val="24"/>
          <w:szCs w:val="24"/>
        </w:rPr>
        <w:t xml:space="preserve"> from 2004 until May 28, 2013</w:t>
      </w:r>
      <w:r w:rsidRPr="00382DD3">
        <w:rPr>
          <w:sz w:val="24"/>
          <w:szCs w:val="24"/>
        </w:rPr>
        <w:t xml:space="preserve"> (Service Address).  </w:t>
      </w:r>
      <w:r w:rsidR="00DF4167">
        <w:rPr>
          <w:sz w:val="24"/>
          <w:szCs w:val="24"/>
        </w:rPr>
        <w:t>(</w:t>
      </w:r>
      <w:r w:rsidRPr="00382DD3">
        <w:rPr>
          <w:sz w:val="24"/>
          <w:szCs w:val="24"/>
        </w:rPr>
        <w:t>PECO Exhibit 1.</w:t>
      </w:r>
      <w:r>
        <w:rPr>
          <w:sz w:val="24"/>
          <w:szCs w:val="24"/>
        </w:rPr>
        <w:t>)</w:t>
      </w:r>
    </w:p>
    <w:p w:rsidR="00382DD3" w:rsidRPr="00382DD3" w:rsidRDefault="00382DD3" w:rsidP="00382DD3">
      <w:pPr>
        <w:pStyle w:val="ListParagraph"/>
        <w:ind w:left="0"/>
        <w:rPr>
          <w:sz w:val="24"/>
          <w:szCs w:val="24"/>
        </w:rPr>
      </w:pPr>
    </w:p>
    <w:p w:rsidR="00382DD3" w:rsidRPr="00382DD3" w:rsidRDefault="00382DD3" w:rsidP="00382DD3">
      <w:pPr>
        <w:pStyle w:val="ListParagraph"/>
        <w:numPr>
          <w:ilvl w:val="0"/>
          <w:numId w:val="17"/>
        </w:numPr>
        <w:ind w:left="0" w:firstLine="1440"/>
        <w:contextualSpacing w:val="0"/>
        <w:rPr>
          <w:sz w:val="24"/>
          <w:szCs w:val="24"/>
        </w:rPr>
      </w:pPr>
      <w:r w:rsidRPr="00382DD3">
        <w:rPr>
          <w:sz w:val="24"/>
          <w:szCs w:val="24"/>
        </w:rPr>
        <w:t>Respondent is PECO Energy Company.</w:t>
      </w:r>
    </w:p>
    <w:p w:rsidR="00382DD3" w:rsidRPr="00382DD3" w:rsidRDefault="00382DD3" w:rsidP="00382DD3">
      <w:pPr>
        <w:pStyle w:val="ListParagraph"/>
        <w:ind w:left="0"/>
        <w:rPr>
          <w:sz w:val="24"/>
          <w:szCs w:val="24"/>
        </w:rPr>
      </w:pPr>
    </w:p>
    <w:p w:rsidR="00382DD3" w:rsidRPr="00382DD3" w:rsidRDefault="00995422" w:rsidP="00382DD3">
      <w:pPr>
        <w:pStyle w:val="ListParagraph"/>
        <w:numPr>
          <w:ilvl w:val="0"/>
          <w:numId w:val="17"/>
        </w:numPr>
        <w:ind w:left="0" w:firstLine="1440"/>
        <w:contextualSpacing w:val="0"/>
        <w:rPr>
          <w:sz w:val="24"/>
          <w:szCs w:val="24"/>
        </w:rPr>
      </w:pPr>
      <w:r>
        <w:rPr>
          <w:sz w:val="24"/>
          <w:szCs w:val="24"/>
        </w:rPr>
        <w:lastRenderedPageBreak/>
        <w:t xml:space="preserve">As of May 28, 2013, </w:t>
      </w:r>
      <w:r w:rsidR="00382DD3" w:rsidRPr="00382DD3">
        <w:rPr>
          <w:sz w:val="24"/>
          <w:szCs w:val="24"/>
        </w:rPr>
        <w:t xml:space="preserve">Complainant </w:t>
      </w:r>
      <w:r w:rsidR="00382DD3">
        <w:rPr>
          <w:sz w:val="24"/>
          <w:szCs w:val="24"/>
        </w:rPr>
        <w:t xml:space="preserve">no longer </w:t>
      </w:r>
      <w:r w:rsidR="00382DD3" w:rsidRPr="00382DD3">
        <w:rPr>
          <w:sz w:val="24"/>
          <w:szCs w:val="24"/>
        </w:rPr>
        <w:t xml:space="preserve">lives at the Service Address </w:t>
      </w:r>
      <w:r w:rsidR="00382DD3">
        <w:rPr>
          <w:sz w:val="24"/>
          <w:szCs w:val="24"/>
        </w:rPr>
        <w:t xml:space="preserve">and </w:t>
      </w:r>
      <w:r>
        <w:rPr>
          <w:sz w:val="24"/>
          <w:szCs w:val="24"/>
        </w:rPr>
        <w:t xml:space="preserve">currently </w:t>
      </w:r>
      <w:r w:rsidR="00382DD3">
        <w:rPr>
          <w:sz w:val="24"/>
          <w:szCs w:val="24"/>
        </w:rPr>
        <w:t>receives mail at 1419 South 56</w:t>
      </w:r>
      <w:r w:rsidR="00382DD3" w:rsidRPr="00382DD3">
        <w:rPr>
          <w:sz w:val="24"/>
          <w:szCs w:val="24"/>
          <w:vertAlign w:val="superscript"/>
        </w:rPr>
        <w:t>th</w:t>
      </w:r>
      <w:r w:rsidR="00382DD3">
        <w:rPr>
          <w:sz w:val="24"/>
          <w:szCs w:val="24"/>
        </w:rPr>
        <w:t xml:space="preserve"> Street, Philadelphia, PA.  Complainant lives alone</w:t>
      </w:r>
      <w:r w:rsidR="00382DD3" w:rsidRPr="00382DD3">
        <w:rPr>
          <w:sz w:val="24"/>
          <w:szCs w:val="24"/>
        </w:rPr>
        <w:t>.</w:t>
      </w:r>
      <w:r w:rsidR="00382DD3">
        <w:rPr>
          <w:sz w:val="24"/>
          <w:szCs w:val="24"/>
        </w:rPr>
        <w:t xml:space="preserve">  </w:t>
      </w:r>
    </w:p>
    <w:p w:rsidR="00382DD3" w:rsidRPr="00382DD3" w:rsidRDefault="00382DD3" w:rsidP="00382DD3">
      <w:pPr>
        <w:pStyle w:val="ListParagraph"/>
        <w:ind w:left="0"/>
        <w:rPr>
          <w:sz w:val="24"/>
          <w:szCs w:val="24"/>
        </w:rPr>
      </w:pPr>
    </w:p>
    <w:p w:rsidR="00382DD3" w:rsidRPr="00382DD3" w:rsidRDefault="00382DD3" w:rsidP="00382DD3">
      <w:pPr>
        <w:pStyle w:val="ListParagraph"/>
        <w:numPr>
          <w:ilvl w:val="0"/>
          <w:numId w:val="17"/>
        </w:numPr>
        <w:ind w:left="0" w:firstLine="1440"/>
        <w:contextualSpacing w:val="0"/>
        <w:rPr>
          <w:sz w:val="24"/>
          <w:szCs w:val="24"/>
        </w:rPr>
      </w:pPr>
      <w:r w:rsidRPr="00382DD3">
        <w:rPr>
          <w:sz w:val="24"/>
          <w:szCs w:val="24"/>
        </w:rPr>
        <w:t xml:space="preserve">Complainant works full time </w:t>
      </w:r>
      <w:r>
        <w:rPr>
          <w:sz w:val="24"/>
          <w:szCs w:val="24"/>
        </w:rPr>
        <w:t xml:space="preserve">as a dental assistant </w:t>
      </w:r>
      <w:r w:rsidRPr="00382DD3">
        <w:rPr>
          <w:sz w:val="24"/>
          <w:szCs w:val="24"/>
        </w:rPr>
        <w:t>and earns $</w:t>
      </w:r>
      <w:r>
        <w:rPr>
          <w:sz w:val="24"/>
          <w:szCs w:val="24"/>
        </w:rPr>
        <w:t xml:space="preserve">1,186 in gross income every two weeks, or </w:t>
      </w:r>
      <w:r w:rsidR="001109AB">
        <w:rPr>
          <w:sz w:val="24"/>
          <w:szCs w:val="24"/>
        </w:rPr>
        <w:t>approximately $2,570 per month</w:t>
      </w:r>
      <w:r w:rsidRPr="00382DD3">
        <w:rPr>
          <w:sz w:val="24"/>
          <w:szCs w:val="24"/>
        </w:rPr>
        <w:t>.</w:t>
      </w:r>
      <w:r>
        <w:rPr>
          <w:rStyle w:val="FootnoteReference"/>
          <w:sz w:val="24"/>
          <w:szCs w:val="24"/>
        </w:rPr>
        <w:footnoteReference w:id="1"/>
      </w:r>
    </w:p>
    <w:p w:rsidR="00382DD3" w:rsidRPr="00382DD3" w:rsidRDefault="00382DD3" w:rsidP="00382DD3">
      <w:pPr>
        <w:pStyle w:val="ListParagraph"/>
        <w:ind w:left="0"/>
        <w:rPr>
          <w:sz w:val="24"/>
          <w:szCs w:val="24"/>
        </w:rPr>
      </w:pPr>
    </w:p>
    <w:p w:rsidR="004E7741" w:rsidRDefault="003874FD" w:rsidP="004E7741">
      <w:pPr>
        <w:pStyle w:val="ListParagraph"/>
        <w:numPr>
          <w:ilvl w:val="0"/>
          <w:numId w:val="17"/>
        </w:numPr>
        <w:ind w:left="0" w:firstLine="1440"/>
        <w:contextualSpacing w:val="0"/>
        <w:rPr>
          <w:sz w:val="24"/>
          <w:szCs w:val="24"/>
        </w:rPr>
      </w:pPr>
      <w:r>
        <w:rPr>
          <w:sz w:val="24"/>
          <w:szCs w:val="24"/>
        </w:rPr>
        <w:t xml:space="preserve">From August 31, 2009 to May 28, 2013, Complainant made the following </w:t>
      </w:r>
      <w:r w:rsidR="00DF4167">
        <w:rPr>
          <w:sz w:val="24"/>
          <w:szCs w:val="24"/>
        </w:rPr>
        <w:t xml:space="preserve">six payments, totaling $1,167, </w:t>
      </w:r>
      <w:r>
        <w:rPr>
          <w:sz w:val="24"/>
          <w:szCs w:val="24"/>
        </w:rPr>
        <w:t>on her electric services account:</w:t>
      </w:r>
    </w:p>
    <w:p w:rsidR="004E7741" w:rsidRPr="004E7741" w:rsidRDefault="004E7741" w:rsidP="004E7741">
      <w:pPr>
        <w:pStyle w:val="ListParagraph"/>
        <w:spacing w:line="240" w:lineRule="auto"/>
        <w:ind w:left="1440"/>
        <w:contextualSpacing w:val="0"/>
        <w:rPr>
          <w:sz w:val="24"/>
          <w:szCs w:val="24"/>
        </w:rPr>
      </w:pPr>
    </w:p>
    <w:p w:rsidR="003874FD" w:rsidRDefault="00DF4167" w:rsidP="00DF4167">
      <w:pPr>
        <w:pStyle w:val="ListParagraph"/>
        <w:numPr>
          <w:ilvl w:val="1"/>
          <w:numId w:val="17"/>
        </w:numPr>
        <w:rPr>
          <w:sz w:val="24"/>
          <w:szCs w:val="24"/>
        </w:rPr>
      </w:pPr>
      <w:r>
        <w:rPr>
          <w:sz w:val="24"/>
          <w:szCs w:val="24"/>
        </w:rPr>
        <w:t>$200 on February 12, 2010</w:t>
      </w:r>
    </w:p>
    <w:p w:rsidR="00DF4167" w:rsidRDefault="00DF4167" w:rsidP="00DF4167">
      <w:pPr>
        <w:pStyle w:val="ListParagraph"/>
        <w:numPr>
          <w:ilvl w:val="1"/>
          <w:numId w:val="17"/>
        </w:numPr>
        <w:rPr>
          <w:sz w:val="24"/>
          <w:szCs w:val="24"/>
        </w:rPr>
      </w:pPr>
      <w:r>
        <w:rPr>
          <w:sz w:val="24"/>
          <w:szCs w:val="24"/>
        </w:rPr>
        <w:t>$417 on November 10, 2010</w:t>
      </w:r>
    </w:p>
    <w:p w:rsidR="00DF4167" w:rsidRDefault="00DF4167" w:rsidP="00DF4167">
      <w:pPr>
        <w:pStyle w:val="ListParagraph"/>
        <w:numPr>
          <w:ilvl w:val="1"/>
          <w:numId w:val="17"/>
        </w:numPr>
        <w:rPr>
          <w:sz w:val="24"/>
          <w:szCs w:val="24"/>
        </w:rPr>
      </w:pPr>
      <w:r>
        <w:rPr>
          <w:sz w:val="24"/>
          <w:szCs w:val="24"/>
        </w:rPr>
        <w:t>$120 on May 13, 2011</w:t>
      </w:r>
    </w:p>
    <w:p w:rsidR="00DF4167" w:rsidRDefault="00DF4167" w:rsidP="00DF4167">
      <w:pPr>
        <w:pStyle w:val="ListParagraph"/>
        <w:numPr>
          <w:ilvl w:val="1"/>
          <w:numId w:val="17"/>
        </w:numPr>
        <w:rPr>
          <w:sz w:val="24"/>
          <w:szCs w:val="24"/>
        </w:rPr>
      </w:pPr>
      <w:r>
        <w:rPr>
          <w:sz w:val="24"/>
          <w:szCs w:val="24"/>
        </w:rPr>
        <w:t>$100 on November 15, 2011</w:t>
      </w:r>
    </w:p>
    <w:p w:rsidR="00DF4167" w:rsidRDefault="00DF4167" w:rsidP="00DF4167">
      <w:pPr>
        <w:pStyle w:val="ListParagraph"/>
        <w:numPr>
          <w:ilvl w:val="1"/>
          <w:numId w:val="17"/>
        </w:numPr>
        <w:rPr>
          <w:sz w:val="24"/>
          <w:szCs w:val="24"/>
        </w:rPr>
      </w:pPr>
      <w:r>
        <w:rPr>
          <w:sz w:val="24"/>
          <w:szCs w:val="24"/>
        </w:rPr>
        <w:t>$30 on November 28, 2011, and</w:t>
      </w:r>
    </w:p>
    <w:p w:rsidR="00DF4167" w:rsidRPr="00DF4167" w:rsidRDefault="00DF4167" w:rsidP="00DF4167">
      <w:pPr>
        <w:pStyle w:val="ListParagraph"/>
        <w:numPr>
          <w:ilvl w:val="1"/>
          <w:numId w:val="17"/>
        </w:numPr>
        <w:rPr>
          <w:sz w:val="24"/>
          <w:szCs w:val="24"/>
        </w:rPr>
      </w:pPr>
      <w:r>
        <w:rPr>
          <w:sz w:val="24"/>
          <w:szCs w:val="24"/>
        </w:rPr>
        <w:t>$300 on March 5, 2012.</w:t>
      </w:r>
    </w:p>
    <w:p w:rsidR="00382DD3" w:rsidRDefault="00DF4167" w:rsidP="00382DD3">
      <w:pPr>
        <w:pStyle w:val="ListParagraph"/>
        <w:ind w:left="0"/>
        <w:rPr>
          <w:sz w:val="24"/>
          <w:szCs w:val="24"/>
        </w:rPr>
      </w:pPr>
      <w:proofErr w:type="gramStart"/>
      <w:r>
        <w:rPr>
          <w:sz w:val="24"/>
          <w:szCs w:val="24"/>
        </w:rPr>
        <w:t>(PECO Exhibit 1).</w:t>
      </w:r>
      <w:proofErr w:type="gramEnd"/>
    </w:p>
    <w:p w:rsidR="00DF4167" w:rsidRPr="00382DD3" w:rsidRDefault="00DF4167" w:rsidP="00382DD3">
      <w:pPr>
        <w:pStyle w:val="ListParagraph"/>
        <w:ind w:left="0"/>
        <w:rPr>
          <w:sz w:val="24"/>
          <w:szCs w:val="24"/>
        </w:rPr>
      </w:pPr>
    </w:p>
    <w:p w:rsidR="004A6B1F" w:rsidRDefault="00DF4167" w:rsidP="004A6B1F">
      <w:pPr>
        <w:pStyle w:val="ListParagraph"/>
        <w:numPr>
          <w:ilvl w:val="0"/>
          <w:numId w:val="17"/>
        </w:numPr>
        <w:ind w:left="0" w:firstLine="1440"/>
        <w:contextualSpacing w:val="0"/>
        <w:rPr>
          <w:sz w:val="24"/>
          <w:szCs w:val="24"/>
        </w:rPr>
      </w:pPr>
      <w:r>
        <w:rPr>
          <w:sz w:val="24"/>
          <w:szCs w:val="24"/>
        </w:rPr>
        <w:t xml:space="preserve">On October 21, 2008, BCS issued a </w:t>
      </w:r>
      <w:r w:rsidR="00B676B0">
        <w:rPr>
          <w:sz w:val="24"/>
          <w:szCs w:val="24"/>
        </w:rPr>
        <w:t>payment agreement</w:t>
      </w:r>
      <w:r>
        <w:rPr>
          <w:sz w:val="24"/>
          <w:szCs w:val="24"/>
        </w:rPr>
        <w:t xml:space="preserve"> to Complainant at BCS </w:t>
      </w:r>
      <w:r w:rsidR="008C19D6">
        <w:rPr>
          <w:sz w:val="24"/>
          <w:szCs w:val="24"/>
        </w:rPr>
        <w:t xml:space="preserve">Case </w:t>
      </w:r>
      <w:r>
        <w:rPr>
          <w:sz w:val="24"/>
          <w:szCs w:val="24"/>
        </w:rPr>
        <w:t xml:space="preserve">No. 2408217.  The </w:t>
      </w:r>
      <w:r w:rsidR="00B676B0">
        <w:rPr>
          <w:sz w:val="24"/>
          <w:szCs w:val="24"/>
        </w:rPr>
        <w:t>payment agreement</w:t>
      </w:r>
      <w:r>
        <w:rPr>
          <w:sz w:val="24"/>
          <w:szCs w:val="24"/>
        </w:rPr>
        <w:t xml:space="preserve"> reflected Complainant’s income was $1,720 per month with a household consisting of one adult and one minor child.  BCS required Complainant to pay $14.74 over her current charges per month</w:t>
      </w:r>
      <w:r w:rsidRPr="00DF4167">
        <w:rPr>
          <w:sz w:val="24"/>
          <w:szCs w:val="24"/>
        </w:rPr>
        <w:t xml:space="preserve"> </w:t>
      </w:r>
      <w:r>
        <w:rPr>
          <w:sz w:val="24"/>
          <w:szCs w:val="24"/>
        </w:rPr>
        <w:t>in order to pay off an unpaid balance totaling $</w:t>
      </w:r>
      <w:r w:rsidR="004A6B1F">
        <w:rPr>
          <w:sz w:val="24"/>
          <w:szCs w:val="24"/>
        </w:rPr>
        <w:t>435.74</w:t>
      </w:r>
      <w:r>
        <w:rPr>
          <w:sz w:val="24"/>
          <w:szCs w:val="24"/>
        </w:rPr>
        <w:t>.  (PECO Exhibit 5).</w:t>
      </w:r>
    </w:p>
    <w:p w:rsidR="00B676B0" w:rsidRDefault="00B676B0" w:rsidP="00B676B0">
      <w:pPr>
        <w:pStyle w:val="ListParagraph"/>
        <w:ind w:left="1440"/>
        <w:contextualSpacing w:val="0"/>
        <w:rPr>
          <w:sz w:val="24"/>
          <w:szCs w:val="24"/>
        </w:rPr>
      </w:pPr>
    </w:p>
    <w:p w:rsidR="00B676B0" w:rsidRDefault="00B676B0" w:rsidP="004A6B1F">
      <w:pPr>
        <w:pStyle w:val="ListParagraph"/>
        <w:numPr>
          <w:ilvl w:val="0"/>
          <w:numId w:val="17"/>
        </w:numPr>
        <w:ind w:left="0" w:firstLine="1440"/>
        <w:contextualSpacing w:val="0"/>
        <w:rPr>
          <w:sz w:val="24"/>
          <w:szCs w:val="24"/>
        </w:rPr>
      </w:pPr>
      <w:r>
        <w:rPr>
          <w:sz w:val="24"/>
          <w:szCs w:val="24"/>
        </w:rPr>
        <w:t xml:space="preserve">Complainant did not appeal or contest the payment agreement issued by BCS in 2008 at BCS </w:t>
      </w:r>
      <w:r w:rsidR="008C19D6">
        <w:rPr>
          <w:sz w:val="24"/>
          <w:szCs w:val="24"/>
        </w:rPr>
        <w:t xml:space="preserve">Case </w:t>
      </w:r>
      <w:r>
        <w:rPr>
          <w:sz w:val="24"/>
          <w:szCs w:val="24"/>
        </w:rPr>
        <w:t>No. 2408217.</w:t>
      </w:r>
    </w:p>
    <w:p w:rsidR="00B676B0" w:rsidRPr="00B676B0" w:rsidRDefault="00B676B0" w:rsidP="00B676B0">
      <w:pPr>
        <w:rPr>
          <w:sz w:val="24"/>
          <w:szCs w:val="24"/>
        </w:rPr>
      </w:pPr>
    </w:p>
    <w:p w:rsidR="004A6B1F" w:rsidRPr="004A6B1F" w:rsidRDefault="004A6B1F" w:rsidP="004A6B1F">
      <w:pPr>
        <w:pStyle w:val="ListParagraph"/>
        <w:numPr>
          <w:ilvl w:val="0"/>
          <w:numId w:val="17"/>
        </w:numPr>
        <w:ind w:left="0" w:firstLine="1440"/>
        <w:contextualSpacing w:val="0"/>
        <w:rPr>
          <w:sz w:val="24"/>
          <w:szCs w:val="24"/>
        </w:rPr>
      </w:pPr>
      <w:r>
        <w:rPr>
          <w:sz w:val="24"/>
          <w:szCs w:val="24"/>
        </w:rPr>
        <w:t xml:space="preserve">Complainant defaulted on the </w:t>
      </w:r>
      <w:r w:rsidR="00B676B0">
        <w:rPr>
          <w:sz w:val="24"/>
          <w:szCs w:val="24"/>
        </w:rPr>
        <w:t>payment agreement</w:t>
      </w:r>
      <w:r>
        <w:rPr>
          <w:sz w:val="24"/>
          <w:szCs w:val="24"/>
        </w:rPr>
        <w:t xml:space="preserve"> issued at BCS </w:t>
      </w:r>
      <w:r w:rsidR="008C19D6">
        <w:rPr>
          <w:sz w:val="24"/>
          <w:szCs w:val="24"/>
        </w:rPr>
        <w:t xml:space="preserve">Case </w:t>
      </w:r>
      <w:r>
        <w:rPr>
          <w:sz w:val="24"/>
          <w:szCs w:val="24"/>
        </w:rPr>
        <w:t>No.</w:t>
      </w:r>
      <w:r w:rsidR="008C19D6">
        <w:rPr>
          <w:sz w:val="24"/>
          <w:szCs w:val="24"/>
        </w:rPr>
        <w:t> </w:t>
      </w:r>
      <w:r>
        <w:rPr>
          <w:sz w:val="24"/>
          <w:szCs w:val="24"/>
        </w:rPr>
        <w:t>2408217.  (PECO Exhibit 5).</w:t>
      </w:r>
    </w:p>
    <w:p w:rsidR="00DF4167" w:rsidRDefault="00DF4167" w:rsidP="00382DD3">
      <w:pPr>
        <w:pStyle w:val="ListParagraph"/>
        <w:numPr>
          <w:ilvl w:val="0"/>
          <w:numId w:val="17"/>
        </w:numPr>
        <w:ind w:left="0" w:firstLine="1440"/>
        <w:contextualSpacing w:val="0"/>
        <w:rPr>
          <w:sz w:val="24"/>
          <w:szCs w:val="24"/>
        </w:rPr>
      </w:pPr>
      <w:r>
        <w:rPr>
          <w:sz w:val="24"/>
          <w:szCs w:val="24"/>
        </w:rPr>
        <w:lastRenderedPageBreak/>
        <w:t xml:space="preserve">On November 5, 2009, BCS issued a </w:t>
      </w:r>
      <w:r w:rsidR="00B676B0">
        <w:rPr>
          <w:sz w:val="24"/>
          <w:szCs w:val="24"/>
        </w:rPr>
        <w:t>payment agreement</w:t>
      </w:r>
      <w:r>
        <w:rPr>
          <w:sz w:val="24"/>
          <w:szCs w:val="24"/>
        </w:rPr>
        <w:t xml:space="preserve"> to Complainant at BCS </w:t>
      </w:r>
      <w:r w:rsidR="00322C40">
        <w:rPr>
          <w:sz w:val="24"/>
          <w:szCs w:val="24"/>
        </w:rPr>
        <w:t xml:space="preserve">Case </w:t>
      </w:r>
      <w:r>
        <w:rPr>
          <w:sz w:val="24"/>
          <w:szCs w:val="24"/>
        </w:rPr>
        <w:t xml:space="preserve">No. 2614711.  The </w:t>
      </w:r>
      <w:r w:rsidR="00B676B0">
        <w:rPr>
          <w:sz w:val="24"/>
          <w:szCs w:val="24"/>
        </w:rPr>
        <w:t>payment agreement</w:t>
      </w:r>
      <w:r>
        <w:rPr>
          <w:sz w:val="24"/>
          <w:szCs w:val="24"/>
        </w:rPr>
        <w:t xml:space="preserve"> reflected Complainant’s income was $2,147 per month with a household consisting of two adults and one minor child.  BCS required Complainant to pay $14.52 over her current charges per month in order to pay off an unpaid balance totaling $545.28.  (PECO Exhibit</w:t>
      </w:r>
      <w:r w:rsidR="004A6B1F">
        <w:rPr>
          <w:sz w:val="24"/>
          <w:szCs w:val="24"/>
        </w:rPr>
        <w:t>s</w:t>
      </w:r>
      <w:r>
        <w:rPr>
          <w:sz w:val="24"/>
          <w:szCs w:val="24"/>
        </w:rPr>
        <w:t xml:space="preserve"> 5</w:t>
      </w:r>
      <w:r w:rsidR="004A6B1F">
        <w:rPr>
          <w:sz w:val="24"/>
          <w:szCs w:val="24"/>
        </w:rPr>
        <w:t xml:space="preserve"> &amp; 6</w:t>
      </w:r>
      <w:r>
        <w:rPr>
          <w:sz w:val="24"/>
          <w:szCs w:val="24"/>
        </w:rPr>
        <w:t>).</w:t>
      </w:r>
    </w:p>
    <w:p w:rsidR="00B676B0" w:rsidRPr="00B676B0" w:rsidRDefault="00B676B0" w:rsidP="00B676B0">
      <w:pPr>
        <w:pStyle w:val="ListParagraph"/>
        <w:rPr>
          <w:sz w:val="24"/>
          <w:szCs w:val="24"/>
        </w:rPr>
      </w:pPr>
    </w:p>
    <w:p w:rsidR="00B676B0" w:rsidRDefault="00B676B0" w:rsidP="00382DD3">
      <w:pPr>
        <w:pStyle w:val="ListParagraph"/>
        <w:numPr>
          <w:ilvl w:val="0"/>
          <w:numId w:val="17"/>
        </w:numPr>
        <w:ind w:left="0" w:firstLine="1440"/>
        <w:contextualSpacing w:val="0"/>
        <w:rPr>
          <w:sz w:val="24"/>
          <w:szCs w:val="24"/>
        </w:rPr>
      </w:pPr>
      <w:r>
        <w:rPr>
          <w:sz w:val="24"/>
          <w:szCs w:val="24"/>
        </w:rPr>
        <w:t xml:space="preserve">Complainant did not appeal or contest the payment agreement issued by BCS in 2009 at BCS </w:t>
      </w:r>
      <w:r w:rsidR="00322C40">
        <w:rPr>
          <w:sz w:val="24"/>
          <w:szCs w:val="24"/>
        </w:rPr>
        <w:t xml:space="preserve">Case </w:t>
      </w:r>
      <w:r>
        <w:rPr>
          <w:sz w:val="24"/>
          <w:szCs w:val="24"/>
        </w:rPr>
        <w:t>No. 2614711.</w:t>
      </w:r>
    </w:p>
    <w:p w:rsidR="004A6B1F" w:rsidRDefault="004A6B1F" w:rsidP="004A6B1F">
      <w:pPr>
        <w:pStyle w:val="ListParagraph"/>
        <w:ind w:left="1440"/>
        <w:contextualSpacing w:val="0"/>
        <w:rPr>
          <w:sz w:val="24"/>
          <w:szCs w:val="24"/>
        </w:rPr>
      </w:pPr>
    </w:p>
    <w:p w:rsidR="004A6B1F" w:rsidRPr="004A6B1F" w:rsidRDefault="004A6B1F" w:rsidP="004A6B1F">
      <w:pPr>
        <w:pStyle w:val="ListParagraph"/>
        <w:numPr>
          <w:ilvl w:val="0"/>
          <w:numId w:val="17"/>
        </w:numPr>
        <w:ind w:left="0" w:firstLine="1440"/>
        <w:contextualSpacing w:val="0"/>
        <w:rPr>
          <w:sz w:val="24"/>
          <w:szCs w:val="24"/>
        </w:rPr>
      </w:pPr>
      <w:r>
        <w:rPr>
          <w:sz w:val="24"/>
          <w:szCs w:val="24"/>
        </w:rPr>
        <w:t xml:space="preserve">Complainant defaulted on the </w:t>
      </w:r>
      <w:r w:rsidR="00B676B0">
        <w:rPr>
          <w:sz w:val="24"/>
          <w:szCs w:val="24"/>
        </w:rPr>
        <w:t>payment agreement</w:t>
      </w:r>
      <w:r>
        <w:rPr>
          <w:sz w:val="24"/>
          <w:szCs w:val="24"/>
        </w:rPr>
        <w:t xml:space="preserve"> issued at BCS </w:t>
      </w:r>
      <w:r w:rsidR="00322C40">
        <w:rPr>
          <w:sz w:val="24"/>
          <w:szCs w:val="24"/>
        </w:rPr>
        <w:t xml:space="preserve">Case </w:t>
      </w:r>
      <w:r>
        <w:rPr>
          <w:sz w:val="24"/>
          <w:szCs w:val="24"/>
        </w:rPr>
        <w:t>No.</w:t>
      </w:r>
      <w:r w:rsidR="00322C40">
        <w:rPr>
          <w:sz w:val="24"/>
          <w:szCs w:val="24"/>
        </w:rPr>
        <w:t> </w:t>
      </w:r>
      <w:r>
        <w:rPr>
          <w:sz w:val="24"/>
          <w:szCs w:val="24"/>
        </w:rPr>
        <w:t>2614711.  (PECO Exhibit 5).</w:t>
      </w:r>
    </w:p>
    <w:p w:rsidR="00DF4167" w:rsidRDefault="00DF4167" w:rsidP="00DF4167">
      <w:pPr>
        <w:pStyle w:val="ListParagraph"/>
        <w:ind w:left="1440"/>
        <w:contextualSpacing w:val="0"/>
        <w:rPr>
          <w:sz w:val="24"/>
          <w:szCs w:val="24"/>
        </w:rPr>
      </w:pPr>
    </w:p>
    <w:p w:rsidR="00382DD3" w:rsidRPr="007D2689" w:rsidRDefault="00382DD3" w:rsidP="007D2689">
      <w:pPr>
        <w:pStyle w:val="ListParagraph"/>
        <w:numPr>
          <w:ilvl w:val="0"/>
          <w:numId w:val="17"/>
        </w:numPr>
        <w:ind w:left="0" w:firstLine="1440"/>
        <w:contextualSpacing w:val="0"/>
        <w:rPr>
          <w:sz w:val="24"/>
          <w:szCs w:val="24"/>
        </w:rPr>
      </w:pPr>
      <w:r w:rsidRPr="00382DD3">
        <w:rPr>
          <w:sz w:val="24"/>
          <w:szCs w:val="24"/>
        </w:rPr>
        <w:t xml:space="preserve">On </w:t>
      </w:r>
      <w:r w:rsidR="00DF4167">
        <w:rPr>
          <w:sz w:val="24"/>
          <w:szCs w:val="24"/>
        </w:rPr>
        <w:t>August 30, 2013</w:t>
      </w:r>
      <w:r w:rsidRPr="00382DD3">
        <w:rPr>
          <w:sz w:val="24"/>
          <w:szCs w:val="24"/>
        </w:rPr>
        <w:t>,</w:t>
      </w:r>
      <w:r w:rsidR="00DF4167">
        <w:rPr>
          <w:sz w:val="24"/>
          <w:szCs w:val="24"/>
        </w:rPr>
        <w:t xml:space="preserve"> BCS issued a decision denying Complainant a </w:t>
      </w:r>
      <w:r w:rsidR="00B676B0">
        <w:rPr>
          <w:sz w:val="24"/>
          <w:szCs w:val="24"/>
        </w:rPr>
        <w:t>payment agreement</w:t>
      </w:r>
      <w:r w:rsidR="00DF4167">
        <w:rPr>
          <w:sz w:val="24"/>
          <w:szCs w:val="24"/>
        </w:rPr>
        <w:t xml:space="preserve"> because Complainant defaulted on prior Company and Commission </w:t>
      </w:r>
      <w:r w:rsidR="00B676B0">
        <w:rPr>
          <w:sz w:val="24"/>
          <w:szCs w:val="24"/>
        </w:rPr>
        <w:t>payment agreement</w:t>
      </w:r>
      <w:r w:rsidR="00DF4167">
        <w:rPr>
          <w:sz w:val="24"/>
          <w:szCs w:val="24"/>
        </w:rPr>
        <w:t>s</w:t>
      </w:r>
      <w:r w:rsidRPr="00382DD3">
        <w:rPr>
          <w:sz w:val="24"/>
          <w:szCs w:val="24"/>
        </w:rPr>
        <w:t xml:space="preserve">.  </w:t>
      </w:r>
      <w:r w:rsidR="00DF4167">
        <w:rPr>
          <w:sz w:val="24"/>
          <w:szCs w:val="24"/>
        </w:rPr>
        <w:t>(</w:t>
      </w:r>
      <w:r w:rsidRPr="00382DD3">
        <w:rPr>
          <w:sz w:val="24"/>
          <w:szCs w:val="24"/>
        </w:rPr>
        <w:t>PECO Exhibit</w:t>
      </w:r>
      <w:r w:rsidR="004A6B1F">
        <w:rPr>
          <w:sz w:val="24"/>
          <w:szCs w:val="24"/>
        </w:rPr>
        <w:t>s</w:t>
      </w:r>
      <w:r w:rsidRPr="00382DD3">
        <w:rPr>
          <w:sz w:val="24"/>
          <w:szCs w:val="24"/>
        </w:rPr>
        <w:t xml:space="preserve"> </w:t>
      </w:r>
      <w:r w:rsidR="00DF4167">
        <w:rPr>
          <w:sz w:val="24"/>
          <w:szCs w:val="24"/>
        </w:rPr>
        <w:t>4</w:t>
      </w:r>
      <w:r w:rsidR="004A6B1F">
        <w:rPr>
          <w:sz w:val="24"/>
          <w:szCs w:val="24"/>
        </w:rPr>
        <w:t xml:space="preserve"> &amp; 9</w:t>
      </w:r>
      <w:r w:rsidR="00DF4167">
        <w:rPr>
          <w:sz w:val="24"/>
          <w:szCs w:val="24"/>
        </w:rPr>
        <w:t>)</w:t>
      </w:r>
      <w:r w:rsidRPr="00382DD3">
        <w:rPr>
          <w:sz w:val="24"/>
          <w:szCs w:val="24"/>
        </w:rPr>
        <w:t>.</w:t>
      </w:r>
    </w:p>
    <w:p w:rsidR="00382DD3" w:rsidRPr="00382DD3" w:rsidRDefault="00382DD3" w:rsidP="00382DD3">
      <w:pPr>
        <w:pStyle w:val="ListParagraph"/>
        <w:ind w:left="0"/>
        <w:rPr>
          <w:sz w:val="24"/>
          <w:szCs w:val="24"/>
        </w:rPr>
      </w:pPr>
    </w:p>
    <w:p w:rsidR="00382DD3" w:rsidRPr="00382DD3" w:rsidRDefault="00382DD3" w:rsidP="00382DD3">
      <w:pPr>
        <w:pStyle w:val="ListParagraph"/>
        <w:numPr>
          <w:ilvl w:val="0"/>
          <w:numId w:val="17"/>
        </w:numPr>
        <w:ind w:left="0" w:firstLine="1440"/>
        <w:contextualSpacing w:val="0"/>
        <w:rPr>
          <w:sz w:val="24"/>
          <w:szCs w:val="24"/>
        </w:rPr>
      </w:pPr>
      <w:r w:rsidRPr="00382DD3">
        <w:rPr>
          <w:sz w:val="24"/>
          <w:szCs w:val="24"/>
        </w:rPr>
        <w:t xml:space="preserve">Complainant filed </w:t>
      </w:r>
      <w:r w:rsidR="004A6B1F">
        <w:rPr>
          <w:sz w:val="24"/>
          <w:szCs w:val="24"/>
        </w:rPr>
        <w:t>eight</w:t>
      </w:r>
      <w:r w:rsidRPr="00382DD3">
        <w:rPr>
          <w:sz w:val="24"/>
          <w:szCs w:val="24"/>
        </w:rPr>
        <w:t xml:space="preserve"> (</w:t>
      </w:r>
      <w:r w:rsidR="004A6B1F">
        <w:rPr>
          <w:sz w:val="24"/>
          <w:szCs w:val="24"/>
        </w:rPr>
        <w:t>8</w:t>
      </w:r>
      <w:r w:rsidRPr="00382DD3">
        <w:rPr>
          <w:sz w:val="24"/>
          <w:szCs w:val="24"/>
        </w:rPr>
        <w:t xml:space="preserve">) </w:t>
      </w:r>
      <w:r w:rsidR="004A6B1F">
        <w:rPr>
          <w:sz w:val="24"/>
          <w:szCs w:val="24"/>
        </w:rPr>
        <w:t xml:space="preserve">informal </w:t>
      </w:r>
      <w:r w:rsidRPr="00382DD3">
        <w:rPr>
          <w:sz w:val="24"/>
          <w:szCs w:val="24"/>
        </w:rPr>
        <w:t xml:space="preserve">complaints with </w:t>
      </w:r>
      <w:r w:rsidR="004A6B1F">
        <w:rPr>
          <w:sz w:val="24"/>
          <w:szCs w:val="24"/>
        </w:rPr>
        <w:t>BCS</w:t>
      </w:r>
      <w:r w:rsidRPr="00382DD3">
        <w:rPr>
          <w:sz w:val="24"/>
          <w:szCs w:val="24"/>
        </w:rPr>
        <w:t xml:space="preserve"> against PECO </w:t>
      </w:r>
      <w:r w:rsidR="004A6B1F">
        <w:rPr>
          <w:sz w:val="24"/>
          <w:szCs w:val="24"/>
        </w:rPr>
        <w:t>from August 2009 to May 2013</w:t>
      </w:r>
      <w:r w:rsidRPr="00382DD3">
        <w:rPr>
          <w:rStyle w:val="FootnoteReference"/>
          <w:sz w:val="24"/>
          <w:szCs w:val="24"/>
        </w:rPr>
        <w:footnoteReference w:id="2"/>
      </w:r>
      <w:r w:rsidR="004A6B1F">
        <w:rPr>
          <w:sz w:val="24"/>
          <w:szCs w:val="24"/>
        </w:rPr>
        <w:t>, and one formal complaint.</w:t>
      </w:r>
      <w:r w:rsidR="004A6B1F">
        <w:rPr>
          <w:rStyle w:val="FootnoteReference"/>
          <w:sz w:val="24"/>
          <w:szCs w:val="24"/>
        </w:rPr>
        <w:footnoteReference w:id="3"/>
      </w:r>
      <w:r w:rsidR="004A6B1F">
        <w:rPr>
          <w:sz w:val="24"/>
          <w:szCs w:val="24"/>
        </w:rPr>
        <w:t xml:space="preserve">  (</w:t>
      </w:r>
      <w:r w:rsidRPr="00382DD3">
        <w:rPr>
          <w:sz w:val="24"/>
          <w:szCs w:val="24"/>
        </w:rPr>
        <w:t xml:space="preserve">PECO Exhibit </w:t>
      </w:r>
      <w:r w:rsidR="004A6B1F">
        <w:rPr>
          <w:sz w:val="24"/>
          <w:szCs w:val="24"/>
        </w:rPr>
        <w:t>9)</w:t>
      </w:r>
      <w:r w:rsidRPr="00382DD3">
        <w:rPr>
          <w:sz w:val="24"/>
          <w:szCs w:val="24"/>
        </w:rPr>
        <w:t>.</w:t>
      </w:r>
    </w:p>
    <w:p w:rsidR="00382DD3" w:rsidRPr="00382DD3" w:rsidRDefault="00382DD3" w:rsidP="00382DD3">
      <w:pPr>
        <w:pStyle w:val="ListParagraph"/>
        <w:ind w:left="0"/>
        <w:rPr>
          <w:sz w:val="24"/>
          <w:szCs w:val="24"/>
        </w:rPr>
      </w:pPr>
    </w:p>
    <w:p w:rsidR="00382DD3" w:rsidRDefault="00382DD3" w:rsidP="00382DD3">
      <w:pPr>
        <w:pStyle w:val="ListParagraph"/>
        <w:numPr>
          <w:ilvl w:val="0"/>
          <w:numId w:val="17"/>
        </w:numPr>
        <w:ind w:left="0" w:firstLine="1440"/>
        <w:contextualSpacing w:val="0"/>
        <w:rPr>
          <w:sz w:val="24"/>
          <w:szCs w:val="24"/>
        </w:rPr>
      </w:pPr>
      <w:r w:rsidRPr="00382DD3">
        <w:rPr>
          <w:sz w:val="24"/>
          <w:szCs w:val="24"/>
        </w:rPr>
        <w:t>As of the date of the hearing, Complainant’s account balance was $1,</w:t>
      </w:r>
      <w:r w:rsidR="00FA7CD2">
        <w:rPr>
          <w:sz w:val="24"/>
          <w:szCs w:val="24"/>
        </w:rPr>
        <w:t>866.49</w:t>
      </w:r>
      <w:r w:rsidRPr="00382DD3">
        <w:rPr>
          <w:sz w:val="24"/>
          <w:szCs w:val="24"/>
        </w:rPr>
        <w:t xml:space="preserve">.  </w:t>
      </w:r>
      <w:r w:rsidR="00FA7CD2">
        <w:rPr>
          <w:sz w:val="24"/>
          <w:szCs w:val="24"/>
        </w:rPr>
        <w:t>(</w:t>
      </w:r>
      <w:r w:rsidRPr="00382DD3">
        <w:rPr>
          <w:sz w:val="24"/>
          <w:szCs w:val="24"/>
        </w:rPr>
        <w:t>PECO Exhibit 1</w:t>
      </w:r>
      <w:r w:rsidR="00FA7CD2">
        <w:rPr>
          <w:sz w:val="24"/>
          <w:szCs w:val="24"/>
        </w:rPr>
        <w:t>)</w:t>
      </w:r>
      <w:r w:rsidRPr="00382DD3">
        <w:rPr>
          <w:sz w:val="24"/>
          <w:szCs w:val="24"/>
        </w:rPr>
        <w:t>.</w:t>
      </w:r>
    </w:p>
    <w:p w:rsidR="007D2689" w:rsidRPr="007D2689" w:rsidRDefault="007D2689" w:rsidP="007D2689">
      <w:pPr>
        <w:pStyle w:val="ListParagraph"/>
        <w:rPr>
          <w:sz w:val="24"/>
          <w:szCs w:val="24"/>
        </w:rPr>
      </w:pPr>
    </w:p>
    <w:p w:rsidR="007D2689" w:rsidRPr="00382DD3" w:rsidRDefault="007D2689" w:rsidP="007D2689">
      <w:pPr>
        <w:pStyle w:val="ListParagraph"/>
        <w:numPr>
          <w:ilvl w:val="0"/>
          <w:numId w:val="17"/>
        </w:numPr>
        <w:ind w:left="0" w:firstLine="1440"/>
        <w:contextualSpacing w:val="0"/>
        <w:rPr>
          <w:sz w:val="24"/>
          <w:szCs w:val="24"/>
        </w:rPr>
      </w:pPr>
      <w:r w:rsidRPr="00382DD3">
        <w:rPr>
          <w:sz w:val="24"/>
          <w:szCs w:val="24"/>
        </w:rPr>
        <w:t xml:space="preserve">On </w:t>
      </w:r>
      <w:r>
        <w:rPr>
          <w:sz w:val="24"/>
          <w:szCs w:val="24"/>
        </w:rPr>
        <w:t>October 7</w:t>
      </w:r>
      <w:r w:rsidRPr="00382DD3">
        <w:rPr>
          <w:sz w:val="24"/>
          <w:szCs w:val="24"/>
        </w:rPr>
        <w:t xml:space="preserve">, 2013, Ms. </w:t>
      </w:r>
      <w:r>
        <w:rPr>
          <w:sz w:val="24"/>
          <w:szCs w:val="24"/>
        </w:rPr>
        <w:t>Brown</w:t>
      </w:r>
      <w:r w:rsidRPr="00382DD3">
        <w:rPr>
          <w:sz w:val="24"/>
          <w:szCs w:val="24"/>
        </w:rPr>
        <w:t xml:space="preserve"> filed a </w:t>
      </w:r>
      <w:r>
        <w:rPr>
          <w:sz w:val="24"/>
          <w:szCs w:val="24"/>
        </w:rPr>
        <w:t xml:space="preserve">timely </w:t>
      </w:r>
      <w:r w:rsidRPr="00382DD3">
        <w:rPr>
          <w:sz w:val="24"/>
          <w:szCs w:val="24"/>
        </w:rPr>
        <w:t xml:space="preserve">formal </w:t>
      </w:r>
      <w:r>
        <w:rPr>
          <w:sz w:val="24"/>
          <w:szCs w:val="24"/>
        </w:rPr>
        <w:t>c</w:t>
      </w:r>
      <w:r w:rsidRPr="00382DD3">
        <w:rPr>
          <w:sz w:val="24"/>
          <w:szCs w:val="24"/>
        </w:rPr>
        <w:t xml:space="preserve">omplaint </w:t>
      </w:r>
      <w:r>
        <w:rPr>
          <w:sz w:val="24"/>
          <w:szCs w:val="24"/>
        </w:rPr>
        <w:t xml:space="preserve">from </w:t>
      </w:r>
      <w:r w:rsidR="00B676B0">
        <w:rPr>
          <w:sz w:val="24"/>
          <w:szCs w:val="24"/>
        </w:rPr>
        <w:t>the</w:t>
      </w:r>
      <w:r>
        <w:rPr>
          <w:sz w:val="24"/>
          <w:szCs w:val="24"/>
        </w:rPr>
        <w:t xml:space="preserve"> decision </w:t>
      </w:r>
      <w:r w:rsidR="00B676B0">
        <w:rPr>
          <w:sz w:val="24"/>
          <w:szCs w:val="24"/>
        </w:rPr>
        <w:t>BCS issued on</w:t>
      </w:r>
      <w:r>
        <w:rPr>
          <w:sz w:val="24"/>
          <w:szCs w:val="24"/>
        </w:rPr>
        <w:t xml:space="preserve"> August 30, 2013</w:t>
      </w:r>
      <w:r w:rsidR="00B676B0">
        <w:rPr>
          <w:sz w:val="24"/>
          <w:szCs w:val="24"/>
        </w:rPr>
        <w:t>,</w:t>
      </w:r>
      <w:r>
        <w:rPr>
          <w:sz w:val="24"/>
          <w:szCs w:val="24"/>
        </w:rPr>
        <w:t xml:space="preserve"> which denied Ms. Brown a payment arrangement</w:t>
      </w:r>
      <w:r w:rsidRPr="00382DD3">
        <w:rPr>
          <w:sz w:val="24"/>
          <w:szCs w:val="24"/>
        </w:rPr>
        <w:t>.</w:t>
      </w:r>
    </w:p>
    <w:p w:rsidR="007D2689" w:rsidRDefault="007D2689" w:rsidP="007D2689">
      <w:pPr>
        <w:pStyle w:val="ListParagraph"/>
        <w:ind w:left="1440"/>
        <w:contextualSpacing w:val="0"/>
        <w:rPr>
          <w:sz w:val="24"/>
          <w:szCs w:val="24"/>
        </w:rPr>
      </w:pPr>
    </w:p>
    <w:p w:rsidR="001E5E7E" w:rsidRPr="00382DD3" w:rsidRDefault="001E5E7E" w:rsidP="007D2689">
      <w:pPr>
        <w:pStyle w:val="ListParagraph"/>
        <w:ind w:left="1440"/>
        <w:contextualSpacing w:val="0"/>
        <w:rPr>
          <w:sz w:val="24"/>
          <w:szCs w:val="24"/>
        </w:rPr>
      </w:pPr>
    </w:p>
    <w:p w:rsidR="00382DD3" w:rsidRPr="00382DD3" w:rsidRDefault="00382DD3" w:rsidP="00382DD3">
      <w:pPr>
        <w:rPr>
          <w:sz w:val="24"/>
          <w:szCs w:val="24"/>
        </w:rPr>
      </w:pPr>
    </w:p>
    <w:p w:rsidR="00DE2949" w:rsidRPr="00FB448C" w:rsidRDefault="00DE2949">
      <w:pPr>
        <w:jc w:val="center"/>
        <w:rPr>
          <w:sz w:val="24"/>
          <w:szCs w:val="24"/>
        </w:rPr>
      </w:pPr>
      <w:r w:rsidRPr="00FB448C">
        <w:rPr>
          <w:sz w:val="24"/>
          <w:szCs w:val="24"/>
          <w:u w:val="single"/>
        </w:rPr>
        <w:lastRenderedPageBreak/>
        <w:t>DISCUSSION</w:t>
      </w:r>
    </w:p>
    <w:p w:rsidR="00DE2949" w:rsidRDefault="00DE2949" w:rsidP="00D3510C">
      <w:pPr>
        <w:rPr>
          <w:sz w:val="24"/>
          <w:szCs w:val="24"/>
        </w:rPr>
      </w:pPr>
    </w:p>
    <w:p w:rsidR="00D3510C" w:rsidRPr="00A41132" w:rsidRDefault="00D3510C" w:rsidP="00D3510C">
      <w:pPr>
        <w:rPr>
          <w:sz w:val="24"/>
          <w:szCs w:val="24"/>
          <w:u w:val="single"/>
        </w:rPr>
      </w:pPr>
      <w:r w:rsidRPr="00A41132">
        <w:rPr>
          <w:sz w:val="24"/>
          <w:szCs w:val="24"/>
          <w:u w:val="single"/>
        </w:rPr>
        <w:t>Burden of Proof</w:t>
      </w:r>
    </w:p>
    <w:p w:rsidR="00A41132" w:rsidRPr="00A41132" w:rsidRDefault="00A41132" w:rsidP="00A41132">
      <w:pPr>
        <w:rPr>
          <w:sz w:val="24"/>
          <w:szCs w:val="24"/>
        </w:rPr>
      </w:pPr>
    </w:p>
    <w:p w:rsidR="00A41132" w:rsidRPr="00A41132" w:rsidRDefault="00A41132" w:rsidP="00A41132">
      <w:pPr>
        <w:ind w:firstLine="1440"/>
        <w:rPr>
          <w:sz w:val="24"/>
          <w:szCs w:val="24"/>
        </w:rPr>
      </w:pPr>
      <w:r w:rsidRPr="00A41132">
        <w:rPr>
          <w:sz w:val="24"/>
          <w:szCs w:val="24"/>
        </w:rPr>
        <w:t>As the party seeking affirmative relief from the Commission, Complainant bears the burden of provin</w:t>
      </w:r>
      <w:r>
        <w:rPr>
          <w:sz w:val="24"/>
          <w:szCs w:val="24"/>
        </w:rPr>
        <w:t xml:space="preserve">g by substantial evidence </w:t>
      </w:r>
      <w:r w:rsidR="007D2689">
        <w:rPr>
          <w:sz w:val="24"/>
          <w:szCs w:val="24"/>
        </w:rPr>
        <w:t>s</w:t>
      </w:r>
      <w:r w:rsidRPr="00A41132">
        <w:rPr>
          <w:sz w:val="24"/>
          <w:szCs w:val="24"/>
        </w:rPr>
        <w:t xml:space="preserve">he is entitled to the requested relief.  </w:t>
      </w:r>
      <w:proofErr w:type="gramStart"/>
      <w:r w:rsidRPr="00A41132">
        <w:rPr>
          <w:sz w:val="24"/>
          <w:szCs w:val="24"/>
        </w:rPr>
        <w:t xml:space="preserve">66 </w:t>
      </w:r>
      <w:proofErr w:type="spellStart"/>
      <w:r w:rsidRPr="00A41132">
        <w:rPr>
          <w:sz w:val="24"/>
          <w:szCs w:val="24"/>
        </w:rPr>
        <w:t>Pa.C.S.</w:t>
      </w:r>
      <w:r>
        <w:rPr>
          <w:sz w:val="24"/>
          <w:szCs w:val="24"/>
        </w:rPr>
        <w:t>A</w:t>
      </w:r>
      <w:proofErr w:type="spellEnd"/>
      <w:r>
        <w:rPr>
          <w:sz w:val="24"/>
          <w:szCs w:val="24"/>
        </w:rPr>
        <w:t>.</w:t>
      </w:r>
      <w:proofErr w:type="gramEnd"/>
      <w:r w:rsidRPr="00A41132">
        <w:rPr>
          <w:sz w:val="24"/>
          <w:szCs w:val="24"/>
        </w:rPr>
        <w:t xml:space="preserve"> § 332(a).  To satisfy this burden, Complainant must show </w:t>
      </w:r>
      <w:r>
        <w:rPr>
          <w:sz w:val="24"/>
          <w:szCs w:val="24"/>
        </w:rPr>
        <w:t xml:space="preserve">Respondent </w:t>
      </w:r>
      <w:r w:rsidRPr="00A41132">
        <w:rPr>
          <w:sz w:val="24"/>
          <w:szCs w:val="24"/>
        </w:rPr>
        <w:t>is responsible or accountable for the problem described.</w:t>
      </w:r>
      <w:r>
        <w:rPr>
          <w:rStyle w:val="FootnoteReference"/>
          <w:sz w:val="24"/>
          <w:szCs w:val="24"/>
        </w:rPr>
        <w:footnoteReference w:id="4"/>
      </w:r>
      <w:r w:rsidRPr="00A41132">
        <w:rPr>
          <w:sz w:val="24"/>
          <w:szCs w:val="24"/>
        </w:rPr>
        <w:t xml:space="preserve">  </w:t>
      </w:r>
      <w:r>
        <w:rPr>
          <w:sz w:val="24"/>
          <w:szCs w:val="24"/>
        </w:rPr>
        <w:t xml:space="preserve">Complainant must show this fact to be true </w:t>
      </w:r>
      <w:r w:rsidRPr="00A41132">
        <w:rPr>
          <w:sz w:val="24"/>
          <w:szCs w:val="24"/>
        </w:rPr>
        <w:t xml:space="preserve">by a preponderance of the evidence, that is, by presenting evidence more convincing, by even the smallest amount, than that </w:t>
      </w:r>
      <w:r>
        <w:rPr>
          <w:sz w:val="24"/>
          <w:szCs w:val="24"/>
        </w:rPr>
        <w:t xml:space="preserve">evidence </w:t>
      </w:r>
      <w:r w:rsidRPr="00A41132">
        <w:rPr>
          <w:sz w:val="24"/>
          <w:szCs w:val="24"/>
        </w:rPr>
        <w:t>presented by the other party.</w:t>
      </w:r>
      <w:r>
        <w:rPr>
          <w:rStyle w:val="FootnoteReference"/>
          <w:sz w:val="24"/>
          <w:szCs w:val="24"/>
        </w:rPr>
        <w:footnoteReference w:id="5"/>
      </w:r>
      <w:r w:rsidRPr="00A41132">
        <w:rPr>
          <w:sz w:val="24"/>
          <w:szCs w:val="24"/>
        </w:rPr>
        <w:t xml:space="preserve">  Additionally, any finding of fact necessary to support the Commission’s adjudication must be based upon substantial evidence.</w:t>
      </w:r>
      <w:r>
        <w:rPr>
          <w:rStyle w:val="FootnoteReference"/>
          <w:sz w:val="24"/>
          <w:szCs w:val="24"/>
        </w:rPr>
        <w:footnoteReference w:id="6"/>
      </w:r>
      <w:r w:rsidRPr="00A41132">
        <w:rPr>
          <w:sz w:val="24"/>
          <w:szCs w:val="24"/>
        </w:rPr>
        <w:t xml:space="preserve">  </w:t>
      </w:r>
      <w:r>
        <w:rPr>
          <w:sz w:val="24"/>
          <w:szCs w:val="24"/>
        </w:rPr>
        <w:t xml:space="preserve">Furthermore, more evidence </w:t>
      </w:r>
      <w:r w:rsidRPr="00A41132">
        <w:rPr>
          <w:sz w:val="24"/>
          <w:szCs w:val="24"/>
        </w:rPr>
        <w:t>is required than a mere trace of evidence or a suspicion of the existence of a fact sought to be established.</w:t>
      </w:r>
      <w:r>
        <w:rPr>
          <w:rStyle w:val="FootnoteReference"/>
          <w:sz w:val="24"/>
          <w:szCs w:val="24"/>
        </w:rPr>
        <w:footnoteReference w:id="7"/>
      </w:r>
      <w:r w:rsidRPr="00A41132">
        <w:rPr>
          <w:sz w:val="24"/>
          <w:szCs w:val="24"/>
        </w:rPr>
        <w:t xml:space="preserve">  </w:t>
      </w:r>
    </w:p>
    <w:p w:rsidR="007D2689" w:rsidRDefault="007D2689" w:rsidP="00D3510C">
      <w:pPr>
        <w:rPr>
          <w:sz w:val="24"/>
          <w:szCs w:val="24"/>
          <w:u w:val="single"/>
        </w:rPr>
      </w:pPr>
    </w:p>
    <w:p w:rsidR="00B21A12" w:rsidRPr="00735E13" w:rsidRDefault="00B676B0" w:rsidP="00DE2949">
      <w:pPr>
        <w:tabs>
          <w:tab w:val="left" w:pos="-1440"/>
          <w:tab w:val="left" w:pos="-720"/>
        </w:tabs>
        <w:suppressAutoHyphens/>
        <w:rPr>
          <w:sz w:val="24"/>
          <w:szCs w:val="24"/>
          <w:u w:val="single"/>
        </w:rPr>
      </w:pPr>
      <w:r>
        <w:rPr>
          <w:spacing w:val="-3"/>
          <w:sz w:val="24"/>
          <w:szCs w:val="24"/>
          <w:u w:val="single"/>
        </w:rPr>
        <w:t>Payment Agreement</w:t>
      </w:r>
    </w:p>
    <w:p w:rsidR="00735E13" w:rsidRPr="00735E13" w:rsidRDefault="00735E13" w:rsidP="00735E13">
      <w:pPr>
        <w:ind w:firstLine="1440"/>
        <w:rPr>
          <w:sz w:val="24"/>
          <w:szCs w:val="24"/>
        </w:rPr>
      </w:pPr>
    </w:p>
    <w:p w:rsidR="00735E13" w:rsidRPr="00735E13" w:rsidRDefault="00735E13" w:rsidP="00735E13">
      <w:pPr>
        <w:ind w:firstLine="1440"/>
        <w:rPr>
          <w:sz w:val="24"/>
          <w:szCs w:val="24"/>
        </w:rPr>
      </w:pPr>
      <w:r w:rsidRPr="00735E13">
        <w:rPr>
          <w:sz w:val="24"/>
          <w:szCs w:val="24"/>
        </w:rPr>
        <w:t xml:space="preserve">The Responsible Utility Customer Protection Act, </w:t>
      </w:r>
      <w:proofErr w:type="gramStart"/>
      <w:r w:rsidRPr="00735E13">
        <w:rPr>
          <w:sz w:val="24"/>
          <w:szCs w:val="24"/>
        </w:rPr>
        <w:t xml:space="preserve">66 </w:t>
      </w:r>
      <w:proofErr w:type="spellStart"/>
      <w:r w:rsidRPr="00735E13">
        <w:rPr>
          <w:sz w:val="24"/>
          <w:szCs w:val="24"/>
        </w:rPr>
        <w:t>Pa.C.S</w:t>
      </w:r>
      <w:proofErr w:type="spellEnd"/>
      <w:proofErr w:type="gramEnd"/>
      <w:r w:rsidRPr="00735E13">
        <w:rPr>
          <w:sz w:val="24"/>
          <w:szCs w:val="24"/>
        </w:rPr>
        <w:t xml:space="preserve">. §§ 1401, </w:t>
      </w:r>
      <w:r w:rsidRPr="00735E13">
        <w:rPr>
          <w:i/>
          <w:sz w:val="24"/>
          <w:szCs w:val="24"/>
        </w:rPr>
        <w:t>et seq</w:t>
      </w:r>
      <w:r w:rsidRPr="00735E13">
        <w:rPr>
          <w:sz w:val="24"/>
          <w:szCs w:val="24"/>
        </w:rPr>
        <w:t>. (the Act or Chapter 14) applies to complaints alleging inability to pay and requests for Commission-issued payment agreements.  This law provides strict guidelines that the Commission must follow in handling customer complaints.</w:t>
      </w:r>
    </w:p>
    <w:p w:rsidR="00735E13" w:rsidRPr="00735E13" w:rsidRDefault="00735E13" w:rsidP="00735E13">
      <w:pPr>
        <w:rPr>
          <w:sz w:val="24"/>
          <w:szCs w:val="24"/>
          <w:u w:val="single"/>
        </w:rPr>
      </w:pPr>
    </w:p>
    <w:p w:rsidR="00272E82" w:rsidRDefault="00735E13" w:rsidP="00735E13">
      <w:pPr>
        <w:ind w:firstLine="1440"/>
        <w:rPr>
          <w:sz w:val="24"/>
          <w:szCs w:val="24"/>
        </w:rPr>
      </w:pPr>
      <w:r w:rsidRPr="00735E13">
        <w:rPr>
          <w:sz w:val="24"/>
          <w:szCs w:val="24"/>
        </w:rPr>
        <w:lastRenderedPageBreak/>
        <w:t>The Public Utility Code permits the Commission to grant one (1) payment agreement and dictates its terms</w:t>
      </w:r>
      <w:r>
        <w:rPr>
          <w:rStyle w:val="FootnoteReference"/>
          <w:sz w:val="24"/>
          <w:szCs w:val="24"/>
        </w:rPr>
        <w:footnoteReference w:id="8"/>
      </w:r>
      <w:r w:rsidR="009928E0">
        <w:rPr>
          <w:sz w:val="24"/>
          <w:szCs w:val="24"/>
        </w:rPr>
        <w:t>, however, the Commission is not permitted to establish a subsequent payment agreement or order a public utility to establish a subsequent payment agreement whenever a customer defaults on a previous payment agreement – unless there is a change in income.</w:t>
      </w:r>
      <w:r w:rsidR="009928E0">
        <w:rPr>
          <w:rStyle w:val="FootnoteReference"/>
          <w:sz w:val="24"/>
          <w:szCs w:val="24"/>
        </w:rPr>
        <w:footnoteReference w:id="9"/>
      </w:r>
      <w:r w:rsidRPr="00735E13">
        <w:rPr>
          <w:sz w:val="24"/>
          <w:szCs w:val="24"/>
        </w:rPr>
        <w:t xml:space="preserve">  </w:t>
      </w:r>
      <w:proofErr w:type="gramStart"/>
      <w:r w:rsidR="00272E82">
        <w:rPr>
          <w:sz w:val="24"/>
          <w:szCs w:val="24"/>
        </w:rPr>
        <w:t xml:space="preserve">Pursuant to 66 </w:t>
      </w:r>
      <w:proofErr w:type="spellStart"/>
      <w:r w:rsidR="00272E82">
        <w:rPr>
          <w:sz w:val="24"/>
          <w:szCs w:val="24"/>
        </w:rPr>
        <w:t>Pa.C.S.A</w:t>
      </w:r>
      <w:proofErr w:type="spellEnd"/>
      <w:r w:rsidR="00272E82">
        <w:rPr>
          <w:sz w:val="24"/>
          <w:szCs w:val="24"/>
        </w:rPr>
        <w:t>.</w:t>
      </w:r>
      <w:proofErr w:type="gramEnd"/>
      <w:r w:rsidR="00272E82">
        <w:rPr>
          <w:sz w:val="24"/>
          <w:szCs w:val="24"/>
        </w:rPr>
        <w:t xml:space="preserve"> § 1403, a “change in income” is defined as a “decrease in household income of 20% or more if the customer’s household income level exceeds 200% of the Federal poverty level or a decrease in household income of 10% or more if the customer’s household income level is 200% or less of the Federal poverty level.”</w:t>
      </w:r>
    </w:p>
    <w:p w:rsidR="00272E82" w:rsidRDefault="00272E82" w:rsidP="00735E13">
      <w:pPr>
        <w:ind w:firstLine="1440"/>
        <w:rPr>
          <w:sz w:val="24"/>
          <w:szCs w:val="24"/>
        </w:rPr>
      </w:pPr>
    </w:p>
    <w:p w:rsidR="00272E82" w:rsidRPr="00735E13" w:rsidRDefault="00272E82" w:rsidP="00272E82">
      <w:pPr>
        <w:ind w:firstLine="1354"/>
        <w:rPr>
          <w:sz w:val="24"/>
          <w:szCs w:val="24"/>
        </w:rPr>
      </w:pPr>
      <w:r>
        <w:rPr>
          <w:sz w:val="24"/>
          <w:szCs w:val="24"/>
        </w:rPr>
        <w:t>Ms. Brown</w:t>
      </w:r>
      <w:r w:rsidRPr="00735E13">
        <w:rPr>
          <w:sz w:val="24"/>
          <w:szCs w:val="24"/>
        </w:rPr>
        <w:t xml:space="preserve"> testified </w:t>
      </w:r>
      <w:r>
        <w:rPr>
          <w:sz w:val="24"/>
          <w:szCs w:val="24"/>
        </w:rPr>
        <w:t xml:space="preserve">she currently lives alone and earns $1,186 in gross pay every two weeks in her current employment as a dental assistant.  Therefore, </w:t>
      </w:r>
      <w:r w:rsidRPr="00735E13">
        <w:rPr>
          <w:sz w:val="24"/>
          <w:szCs w:val="24"/>
        </w:rPr>
        <w:t>Complainant’s household income is approximately $</w:t>
      </w:r>
      <w:r>
        <w:rPr>
          <w:sz w:val="24"/>
          <w:szCs w:val="24"/>
        </w:rPr>
        <w:t>2,570 per month</w:t>
      </w:r>
      <w:r w:rsidRPr="00735E13">
        <w:rPr>
          <w:sz w:val="24"/>
          <w:szCs w:val="24"/>
        </w:rPr>
        <w:t xml:space="preserve">.  For a household of </w:t>
      </w:r>
      <w:r>
        <w:rPr>
          <w:sz w:val="24"/>
          <w:szCs w:val="24"/>
        </w:rPr>
        <w:t>one</w:t>
      </w:r>
      <w:r w:rsidRPr="00735E13">
        <w:rPr>
          <w:sz w:val="24"/>
          <w:szCs w:val="24"/>
        </w:rPr>
        <w:t xml:space="preserve">, Complainant’s monthly </w:t>
      </w:r>
      <w:r>
        <w:rPr>
          <w:sz w:val="24"/>
          <w:szCs w:val="24"/>
        </w:rPr>
        <w:t>household income is more than 250% but less than 30</w:t>
      </w:r>
      <w:r w:rsidRPr="00735E13">
        <w:rPr>
          <w:sz w:val="24"/>
          <w:szCs w:val="24"/>
        </w:rPr>
        <w:t>0% of the Federal poverty level.</w:t>
      </w:r>
      <w:r>
        <w:rPr>
          <w:rStyle w:val="FootnoteReference"/>
          <w:sz w:val="24"/>
          <w:szCs w:val="24"/>
        </w:rPr>
        <w:footnoteReference w:id="10"/>
      </w:r>
      <w:r w:rsidRPr="00735E13">
        <w:rPr>
          <w:sz w:val="24"/>
          <w:szCs w:val="24"/>
        </w:rPr>
        <w:t xml:space="preserve">  </w:t>
      </w:r>
    </w:p>
    <w:p w:rsidR="00272E82" w:rsidRDefault="00272E82" w:rsidP="00735E13">
      <w:pPr>
        <w:ind w:firstLine="1440"/>
        <w:rPr>
          <w:sz w:val="24"/>
          <w:szCs w:val="24"/>
        </w:rPr>
      </w:pPr>
    </w:p>
    <w:p w:rsidR="00735E13" w:rsidRDefault="00735E13" w:rsidP="00735E13">
      <w:pPr>
        <w:ind w:firstLine="1440"/>
        <w:rPr>
          <w:sz w:val="24"/>
          <w:szCs w:val="24"/>
        </w:rPr>
      </w:pPr>
      <w:r w:rsidRPr="00735E13">
        <w:rPr>
          <w:sz w:val="24"/>
          <w:szCs w:val="24"/>
        </w:rPr>
        <w:t xml:space="preserve">Complainant </w:t>
      </w:r>
      <w:r>
        <w:rPr>
          <w:sz w:val="24"/>
          <w:szCs w:val="24"/>
        </w:rPr>
        <w:t xml:space="preserve">herein </w:t>
      </w:r>
      <w:r w:rsidRPr="00735E13">
        <w:rPr>
          <w:sz w:val="24"/>
          <w:szCs w:val="24"/>
        </w:rPr>
        <w:t xml:space="preserve">received </w:t>
      </w:r>
      <w:r w:rsidR="007D2689">
        <w:rPr>
          <w:sz w:val="24"/>
          <w:szCs w:val="24"/>
        </w:rPr>
        <w:t>two</w:t>
      </w:r>
      <w:r w:rsidRPr="00735E13">
        <w:rPr>
          <w:sz w:val="24"/>
          <w:szCs w:val="24"/>
        </w:rPr>
        <w:t xml:space="preserve"> payment agreement</w:t>
      </w:r>
      <w:r w:rsidR="007D2689">
        <w:rPr>
          <w:sz w:val="24"/>
          <w:szCs w:val="24"/>
        </w:rPr>
        <w:t>s</w:t>
      </w:r>
      <w:r w:rsidRPr="00735E13">
        <w:rPr>
          <w:sz w:val="24"/>
          <w:szCs w:val="24"/>
        </w:rPr>
        <w:t xml:space="preserve"> from the Commission.  </w:t>
      </w:r>
      <w:r w:rsidR="007D2689">
        <w:rPr>
          <w:sz w:val="24"/>
          <w:szCs w:val="24"/>
        </w:rPr>
        <w:t>In addition, Complainant made only six payments from August 2009 until May 2013</w:t>
      </w:r>
      <w:r w:rsidR="009928E0">
        <w:rPr>
          <w:sz w:val="24"/>
          <w:szCs w:val="24"/>
        </w:rPr>
        <w:t>, despite filing eight informal complaints and one formal complaint during that same time frame</w:t>
      </w:r>
      <w:r w:rsidR="007D2689">
        <w:rPr>
          <w:sz w:val="24"/>
          <w:szCs w:val="24"/>
        </w:rPr>
        <w:t>.</w:t>
      </w:r>
      <w:r w:rsidR="009928E0">
        <w:rPr>
          <w:rStyle w:val="FootnoteReference"/>
          <w:sz w:val="24"/>
          <w:szCs w:val="24"/>
        </w:rPr>
        <w:footnoteReference w:id="11"/>
      </w:r>
      <w:r w:rsidR="007D2689">
        <w:rPr>
          <w:sz w:val="24"/>
          <w:szCs w:val="24"/>
        </w:rPr>
        <w:t xml:space="preserve">  </w:t>
      </w:r>
      <w:r w:rsidR="009928E0">
        <w:rPr>
          <w:sz w:val="24"/>
          <w:szCs w:val="24"/>
        </w:rPr>
        <w:t xml:space="preserve">Lastly, Complainant’s income has not </w:t>
      </w:r>
      <w:r w:rsidR="00B676B0">
        <w:rPr>
          <w:sz w:val="24"/>
          <w:szCs w:val="24"/>
        </w:rPr>
        <w:t>decreased and has increased slightly</w:t>
      </w:r>
      <w:r w:rsidR="009928E0">
        <w:rPr>
          <w:sz w:val="24"/>
          <w:szCs w:val="24"/>
        </w:rPr>
        <w:t xml:space="preserve"> since the last payment agreement was issued in </w:t>
      </w:r>
      <w:r w:rsidR="00B676B0">
        <w:rPr>
          <w:sz w:val="24"/>
          <w:szCs w:val="24"/>
        </w:rPr>
        <w:t xml:space="preserve">2009.  That slight </w:t>
      </w:r>
      <w:r w:rsidR="00272E82">
        <w:rPr>
          <w:sz w:val="24"/>
          <w:szCs w:val="24"/>
        </w:rPr>
        <w:t xml:space="preserve">change does not qualify as a “change in income” as defined in 66 </w:t>
      </w:r>
      <w:proofErr w:type="spellStart"/>
      <w:r w:rsidR="00272E82">
        <w:rPr>
          <w:sz w:val="24"/>
          <w:szCs w:val="24"/>
        </w:rPr>
        <w:t>Pa.C.S.A</w:t>
      </w:r>
      <w:proofErr w:type="spellEnd"/>
      <w:r w:rsidR="00272E82">
        <w:rPr>
          <w:sz w:val="24"/>
          <w:szCs w:val="24"/>
        </w:rPr>
        <w:t>. § 1403.  It is</w:t>
      </w:r>
      <w:r w:rsidR="007D2689">
        <w:rPr>
          <w:sz w:val="24"/>
          <w:szCs w:val="24"/>
        </w:rPr>
        <w:t xml:space="preserve"> not a</w:t>
      </w:r>
      <w:r w:rsidRPr="00735E13">
        <w:rPr>
          <w:sz w:val="24"/>
          <w:szCs w:val="24"/>
        </w:rPr>
        <w:t xml:space="preserve">ppropriate to grant </w:t>
      </w:r>
      <w:r w:rsidR="007D2689">
        <w:rPr>
          <w:sz w:val="24"/>
          <w:szCs w:val="24"/>
        </w:rPr>
        <w:t>her another</w:t>
      </w:r>
      <w:r w:rsidRPr="00735E13">
        <w:rPr>
          <w:sz w:val="24"/>
          <w:szCs w:val="24"/>
        </w:rPr>
        <w:t xml:space="preserve"> payment agreement</w:t>
      </w:r>
      <w:r w:rsidR="009928E0">
        <w:rPr>
          <w:sz w:val="24"/>
          <w:szCs w:val="24"/>
        </w:rPr>
        <w:t xml:space="preserve">, </w:t>
      </w:r>
      <w:r w:rsidR="00272E82">
        <w:rPr>
          <w:sz w:val="24"/>
          <w:szCs w:val="24"/>
        </w:rPr>
        <w:t>or force PECO to give her another payment agreement</w:t>
      </w:r>
      <w:r w:rsidRPr="00735E13">
        <w:rPr>
          <w:sz w:val="24"/>
          <w:szCs w:val="24"/>
        </w:rPr>
        <w:t xml:space="preserve">.  </w:t>
      </w:r>
    </w:p>
    <w:p w:rsidR="00272E82" w:rsidRDefault="00272E82" w:rsidP="00735E13">
      <w:pPr>
        <w:ind w:firstLine="1440"/>
        <w:rPr>
          <w:sz w:val="24"/>
          <w:szCs w:val="24"/>
        </w:rPr>
      </w:pPr>
    </w:p>
    <w:p w:rsidR="00272E82" w:rsidRPr="00735E13" w:rsidRDefault="00272E82" w:rsidP="00735E13">
      <w:pPr>
        <w:ind w:firstLine="1440"/>
        <w:rPr>
          <w:sz w:val="24"/>
          <w:szCs w:val="24"/>
        </w:rPr>
      </w:pPr>
      <w:r>
        <w:rPr>
          <w:sz w:val="24"/>
          <w:szCs w:val="24"/>
        </w:rPr>
        <w:t xml:space="preserve">Furthermore, it should be noted that Complainant is no longer a customer of PECO but, having voluntarily vacated the premises, she is now an applicant for services.  </w:t>
      </w:r>
      <w:proofErr w:type="gramStart"/>
      <w:r>
        <w:rPr>
          <w:sz w:val="24"/>
          <w:szCs w:val="24"/>
        </w:rPr>
        <w:lastRenderedPageBreak/>
        <w:t xml:space="preserve">Pursuant to 66 </w:t>
      </w:r>
      <w:proofErr w:type="spellStart"/>
      <w:r>
        <w:rPr>
          <w:sz w:val="24"/>
          <w:szCs w:val="24"/>
        </w:rPr>
        <w:t>Pa.C.S.A</w:t>
      </w:r>
      <w:proofErr w:type="spellEnd"/>
      <w:r>
        <w:rPr>
          <w:sz w:val="24"/>
          <w:szCs w:val="24"/>
        </w:rPr>
        <w:t>.</w:t>
      </w:r>
      <w:proofErr w:type="gramEnd"/>
      <w:r>
        <w:rPr>
          <w:sz w:val="24"/>
          <w:szCs w:val="24"/>
        </w:rPr>
        <w:t xml:space="preserve"> §</w:t>
      </w:r>
      <w:r w:rsidR="00DE4643">
        <w:rPr>
          <w:sz w:val="24"/>
          <w:szCs w:val="24"/>
        </w:rPr>
        <w:t xml:space="preserve"> </w:t>
      </w:r>
      <w:r>
        <w:rPr>
          <w:sz w:val="24"/>
          <w:szCs w:val="24"/>
        </w:rPr>
        <w:t>1407(c)</w:t>
      </w:r>
      <w:r w:rsidR="00995422">
        <w:rPr>
          <w:sz w:val="24"/>
          <w:szCs w:val="24"/>
        </w:rPr>
        <w:t>(2)(</w:t>
      </w:r>
      <w:proofErr w:type="spellStart"/>
      <w:r w:rsidR="00995422">
        <w:rPr>
          <w:sz w:val="24"/>
          <w:szCs w:val="24"/>
        </w:rPr>
        <w:t>i</w:t>
      </w:r>
      <w:proofErr w:type="spellEnd"/>
      <w:r w:rsidR="00995422">
        <w:rPr>
          <w:sz w:val="24"/>
          <w:szCs w:val="24"/>
        </w:rPr>
        <w:t xml:space="preserve">), PECO is permitted to require </w:t>
      </w:r>
      <w:r w:rsidR="00D06440">
        <w:rPr>
          <w:sz w:val="24"/>
          <w:szCs w:val="24"/>
        </w:rPr>
        <w:t>payment of</w:t>
      </w:r>
      <w:r w:rsidR="00995422">
        <w:rPr>
          <w:sz w:val="24"/>
          <w:szCs w:val="24"/>
        </w:rPr>
        <w:t xml:space="preserve"> the full amount of “any outstanding balance incurred together with any reconnection fees by the customer or applicant prior to reconnection of service if the customer or applicant has an income 300% of the Federal poverty level or has defaulted on two or more payment agreements.”  PECO was in compliance with the Public Utility Code when it advised Complainant she must pay off the outstanding balance ($1,8</w:t>
      </w:r>
      <w:r w:rsidR="00B676B0">
        <w:rPr>
          <w:sz w:val="24"/>
          <w:szCs w:val="24"/>
        </w:rPr>
        <w:t>66.49</w:t>
      </w:r>
      <w:r w:rsidR="00995422">
        <w:rPr>
          <w:sz w:val="24"/>
          <w:szCs w:val="24"/>
        </w:rPr>
        <w:t xml:space="preserve">) before it would initiate service in her name at her new address.  </w:t>
      </w:r>
    </w:p>
    <w:p w:rsidR="00735E13" w:rsidRPr="00735E13" w:rsidRDefault="00735E13" w:rsidP="00735E13">
      <w:pPr>
        <w:ind w:firstLine="1440"/>
        <w:rPr>
          <w:sz w:val="24"/>
          <w:szCs w:val="24"/>
        </w:rPr>
      </w:pPr>
    </w:p>
    <w:p w:rsidR="00735E13" w:rsidRPr="00735E13" w:rsidRDefault="00735E13" w:rsidP="00735E13">
      <w:pPr>
        <w:ind w:firstLine="1354"/>
        <w:rPr>
          <w:sz w:val="24"/>
          <w:szCs w:val="24"/>
        </w:rPr>
      </w:pPr>
      <w:r w:rsidRPr="00735E13">
        <w:rPr>
          <w:sz w:val="24"/>
          <w:szCs w:val="24"/>
        </w:rPr>
        <w:t xml:space="preserve">Accordingly, </w:t>
      </w:r>
      <w:r w:rsidR="00B676B0">
        <w:rPr>
          <w:sz w:val="24"/>
          <w:szCs w:val="24"/>
        </w:rPr>
        <w:t>Complainant’s request for a payment agreement will be denied</w:t>
      </w:r>
      <w:r w:rsidR="0054305A">
        <w:rPr>
          <w:sz w:val="24"/>
          <w:szCs w:val="24"/>
        </w:rPr>
        <w:t xml:space="preserve"> pur</w:t>
      </w:r>
      <w:r w:rsidR="009928E0">
        <w:rPr>
          <w:sz w:val="24"/>
          <w:szCs w:val="24"/>
        </w:rPr>
        <w:t xml:space="preserve">suant to 66 </w:t>
      </w:r>
      <w:proofErr w:type="spellStart"/>
      <w:r w:rsidR="009928E0">
        <w:rPr>
          <w:sz w:val="24"/>
          <w:szCs w:val="24"/>
        </w:rPr>
        <w:t>Pa.C.S</w:t>
      </w:r>
      <w:proofErr w:type="spellEnd"/>
      <w:r w:rsidR="009928E0">
        <w:rPr>
          <w:sz w:val="24"/>
          <w:szCs w:val="24"/>
        </w:rPr>
        <w:t xml:space="preserve">. </w:t>
      </w:r>
      <w:proofErr w:type="gramStart"/>
      <w:r w:rsidR="009928E0">
        <w:rPr>
          <w:sz w:val="24"/>
          <w:szCs w:val="24"/>
        </w:rPr>
        <w:t>§ 1405(d</w:t>
      </w:r>
      <w:r w:rsidRPr="00735E13">
        <w:rPr>
          <w:sz w:val="24"/>
          <w:szCs w:val="24"/>
        </w:rPr>
        <w:t>).</w:t>
      </w:r>
      <w:proofErr w:type="gramEnd"/>
      <w:r w:rsidRPr="00735E13">
        <w:rPr>
          <w:sz w:val="24"/>
          <w:szCs w:val="24"/>
        </w:rPr>
        <w:t xml:space="preserve">  </w:t>
      </w:r>
    </w:p>
    <w:p w:rsidR="00980EFC" w:rsidRPr="00735E13" w:rsidRDefault="00980EFC" w:rsidP="00735E13">
      <w:pPr>
        <w:ind w:firstLine="1354"/>
        <w:rPr>
          <w:sz w:val="24"/>
          <w:szCs w:val="24"/>
        </w:rPr>
      </w:pPr>
    </w:p>
    <w:p w:rsidR="006C2C49" w:rsidRPr="00B73D10" w:rsidRDefault="006C2C49" w:rsidP="006C2C49">
      <w:pPr>
        <w:pStyle w:val="Heading1"/>
        <w:spacing w:line="360" w:lineRule="auto"/>
        <w:rPr>
          <w:sz w:val="24"/>
          <w:szCs w:val="24"/>
        </w:rPr>
      </w:pPr>
      <w:r w:rsidRPr="00B73D10">
        <w:rPr>
          <w:sz w:val="24"/>
          <w:szCs w:val="24"/>
        </w:rPr>
        <w:t>CONCLUSIONS OF LAW</w:t>
      </w:r>
    </w:p>
    <w:p w:rsidR="006C2C49" w:rsidRPr="00B73D10" w:rsidRDefault="006C2C49" w:rsidP="006C2C49">
      <w:pPr>
        <w:rPr>
          <w:sz w:val="24"/>
          <w:szCs w:val="24"/>
        </w:rPr>
      </w:pPr>
    </w:p>
    <w:p w:rsidR="006C2C49" w:rsidRPr="00ED1D67" w:rsidRDefault="006C2C49" w:rsidP="006C2C49">
      <w:pPr>
        <w:numPr>
          <w:ilvl w:val="0"/>
          <w:numId w:val="2"/>
        </w:numPr>
        <w:tabs>
          <w:tab w:val="clear" w:pos="1440"/>
          <w:tab w:val="num" w:pos="2160"/>
        </w:tabs>
        <w:ind w:left="0" w:firstLine="1440"/>
        <w:rPr>
          <w:sz w:val="24"/>
          <w:szCs w:val="24"/>
        </w:rPr>
      </w:pPr>
      <w:r w:rsidRPr="00ED1D67">
        <w:rPr>
          <w:sz w:val="24"/>
          <w:szCs w:val="24"/>
        </w:rPr>
        <w:t>This Commission has jurisdiction over the parties to and subje</w:t>
      </w:r>
      <w:r w:rsidR="00CA2DA8" w:rsidRPr="00ED1D67">
        <w:rPr>
          <w:sz w:val="24"/>
          <w:szCs w:val="24"/>
        </w:rPr>
        <w:t xml:space="preserve">ct matter of this case.  </w:t>
      </w:r>
      <w:proofErr w:type="gramStart"/>
      <w:r w:rsidR="00CA2DA8" w:rsidRPr="00ED1D67">
        <w:rPr>
          <w:sz w:val="24"/>
          <w:szCs w:val="24"/>
        </w:rPr>
        <w:t xml:space="preserve">66 </w:t>
      </w:r>
      <w:proofErr w:type="spellStart"/>
      <w:r w:rsidR="00CA2DA8" w:rsidRPr="00ED1D67">
        <w:rPr>
          <w:sz w:val="24"/>
          <w:szCs w:val="24"/>
        </w:rPr>
        <w:t>Pa.</w:t>
      </w:r>
      <w:r w:rsidRPr="00ED1D67">
        <w:rPr>
          <w:sz w:val="24"/>
          <w:szCs w:val="24"/>
        </w:rPr>
        <w:t>C.S.</w:t>
      </w:r>
      <w:r w:rsidR="00FF0BD9" w:rsidRPr="00ED1D67">
        <w:rPr>
          <w:sz w:val="24"/>
          <w:szCs w:val="24"/>
        </w:rPr>
        <w:t>A</w:t>
      </w:r>
      <w:proofErr w:type="spellEnd"/>
      <w:r w:rsidR="00FF0BD9" w:rsidRPr="00ED1D67">
        <w:rPr>
          <w:sz w:val="24"/>
          <w:szCs w:val="24"/>
        </w:rPr>
        <w:t>.</w:t>
      </w:r>
      <w:proofErr w:type="gramEnd"/>
      <w:r w:rsidR="00FF0BD9" w:rsidRPr="00ED1D67">
        <w:rPr>
          <w:sz w:val="24"/>
          <w:szCs w:val="24"/>
        </w:rPr>
        <w:t xml:space="preserve"> </w:t>
      </w:r>
      <w:r w:rsidRPr="00ED1D67">
        <w:rPr>
          <w:sz w:val="24"/>
          <w:szCs w:val="24"/>
        </w:rPr>
        <w:t>§</w:t>
      </w:r>
      <w:r w:rsidR="00CA2DA8" w:rsidRPr="00ED1D67">
        <w:rPr>
          <w:sz w:val="24"/>
          <w:szCs w:val="24"/>
        </w:rPr>
        <w:t xml:space="preserve"> </w:t>
      </w:r>
      <w:r w:rsidRPr="00ED1D67">
        <w:rPr>
          <w:sz w:val="24"/>
          <w:szCs w:val="24"/>
        </w:rPr>
        <w:t>701.</w:t>
      </w:r>
    </w:p>
    <w:p w:rsidR="006C2C49" w:rsidRPr="00ED1D67" w:rsidRDefault="006C2C49" w:rsidP="006C2C49">
      <w:pPr>
        <w:rPr>
          <w:sz w:val="24"/>
          <w:szCs w:val="24"/>
        </w:rPr>
      </w:pPr>
    </w:p>
    <w:p w:rsidR="006C2C49" w:rsidRPr="00ED1D67" w:rsidRDefault="006C2C49" w:rsidP="006C2C49">
      <w:pPr>
        <w:numPr>
          <w:ilvl w:val="0"/>
          <w:numId w:val="2"/>
        </w:numPr>
        <w:tabs>
          <w:tab w:val="clear" w:pos="1440"/>
          <w:tab w:val="left" w:pos="0"/>
        </w:tabs>
        <w:ind w:left="0" w:firstLine="1440"/>
        <w:rPr>
          <w:sz w:val="24"/>
          <w:szCs w:val="24"/>
        </w:rPr>
      </w:pPr>
      <w:r w:rsidRPr="00ED1D67">
        <w:rPr>
          <w:sz w:val="24"/>
          <w:szCs w:val="24"/>
        </w:rPr>
        <w:t>Complainant has the burden of proving Respondent is not providing reasonabl</w:t>
      </w:r>
      <w:r w:rsidR="00CA2DA8" w:rsidRPr="00ED1D67">
        <w:rPr>
          <w:sz w:val="24"/>
          <w:szCs w:val="24"/>
        </w:rPr>
        <w:t xml:space="preserve">e and adequate service.  </w:t>
      </w:r>
      <w:proofErr w:type="gramStart"/>
      <w:r w:rsidR="00CA2DA8" w:rsidRPr="00ED1D67">
        <w:rPr>
          <w:sz w:val="24"/>
          <w:szCs w:val="24"/>
        </w:rPr>
        <w:t xml:space="preserve">66 </w:t>
      </w:r>
      <w:proofErr w:type="spellStart"/>
      <w:r w:rsidR="00CA2DA8" w:rsidRPr="00ED1D67">
        <w:rPr>
          <w:sz w:val="24"/>
          <w:szCs w:val="24"/>
        </w:rPr>
        <w:t>Pa.</w:t>
      </w:r>
      <w:r w:rsidRPr="00ED1D67">
        <w:rPr>
          <w:sz w:val="24"/>
          <w:szCs w:val="24"/>
        </w:rPr>
        <w:t>C.S.A</w:t>
      </w:r>
      <w:proofErr w:type="spellEnd"/>
      <w:r w:rsidRPr="00ED1D67">
        <w:rPr>
          <w:sz w:val="24"/>
          <w:szCs w:val="24"/>
        </w:rPr>
        <w:t>.</w:t>
      </w:r>
      <w:proofErr w:type="gramEnd"/>
      <w:r w:rsidRPr="00ED1D67">
        <w:rPr>
          <w:sz w:val="24"/>
          <w:szCs w:val="24"/>
        </w:rPr>
        <w:t xml:space="preserve"> §</w:t>
      </w:r>
      <w:r w:rsidR="00CA2DA8" w:rsidRPr="00ED1D67">
        <w:rPr>
          <w:sz w:val="24"/>
          <w:szCs w:val="24"/>
        </w:rPr>
        <w:t xml:space="preserve"> </w:t>
      </w:r>
      <w:r w:rsidRPr="00ED1D67">
        <w:rPr>
          <w:sz w:val="24"/>
          <w:szCs w:val="24"/>
        </w:rPr>
        <w:t>332(a).</w:t>
      </w:r>
    </w:p>
    <w:p w:rsidR="00CA2DA8" w:rsidRPr="00ED1D67" w:rsidRDefault="00CA2DA8" w:rsidP="00CA2DA8">
      <w:pPr>
        <w:pStyle w:val="ListParagraph"/>
        <w:rPr>
          <w:sz w:val="24"/>
          <w:szCs w:val="24"/>
        </w:rPr>
      </w:pPr>
    </w:p>
    <w:p w:rsidR="00CA2DA8" w:rsidRPr="00ED1D67" w:rsidRDefault="00CA2DA8" w:rsidP="00CA2DA8">
      <w:pPr>
        <w:tabs>
          <w:tab w:val="left" w:pos="0"/>
        </w:tabs>
        <w:rPr>
          <w:sz w:val="24"/>
          <w:szCs w:val="24"/>
        </w:rPr>
      </w:pPr>
      <w:r w:rsidRPr="00ED1D67">
        <w:rPr>
          <w:sz w:val="24"/>
          <w:szCs w:val="24"/>
        </w:rPr>
        <w:tab/>
      </w:r>
      <w:r w:rsidRPr="00ED1D67">
        <w:rPr>
          <w:sz w:val="24"/>
          <w:szCs w:val="24"/>
        </w:rPr>
        <w:tab/>
        <w:t xml:space="preserve">3. </w:t>
      </w:r>
      <w:r w:rsidRPr="00ED1D67">
        <w:rPr>
          <w:sz w:val="24"/>
          <w:szCs w:val="24"/>
        </w:rPr>
        <w:tab/>
        <w:t xml:space="preserve">The Responsible Utility Customer Protection Act, </w:t>
      </w:r>
      <w:proofErr w:type="gramStart"/>
      <w:r w:rsidRPr="00ED1D67">
        <w:rPr>
          <w:sz w:val="24"/>
          <w:szCs w:val="24"/>
        </w:rPr>
        <w:t xml:space="preserve">66 </w:t>
      </w:r>
      <w:proofErr w:type="spellStart"/>
      <w:r w:rsidRPr="00ED1D67">
        <w:rPr>
          <w:sz w:val="24"/>
          <w:szCs w:val="24"/>
        </w:rPr>
        <w:t>Pa.C.S.A</w:t>
      </w:r>
      <w:proofErr w:type="spellEnd"/>
      <w:proofErr w:type="gramEnd"/>
      <w:r w:rsidRPr="00ED1D67">
        <w:rPr>
          <w:sz w:val="24"/>
          <w:szCs w:val="24"/>
        </w:rPr>
        <w:t xml:space="preserve">. § 1401, </w:t>
      </w:r>
      <w:r w:rsidRPr="00ED1D67">
        <w:rPr>
          <w:i/>
          <w:iCs/>
          <w:sz w:val="24"/>
          <w:szCs w:val="24"/>
        </w:rPr>
        <w:t>et</w:t>
      </w:r>
      <w:r w:rsidR="00430467">
        <w:rPr>
          <w:i/>
          <w:iCs/>
          <w:sz w:val="24"/>
          <w:szCs w:val="24"/>
        </w:rPr>
        <w:t> </w:t>
      </w:r>
      <w:r w:rsidRPr="00ED1D67">
        <w:rPr>
          <w:i/>
          <w:iCs/>
          <w:sz w:val="24"/>
          <w:szCs w:val="24"/>
        </w:rPr>
        <w:t>seq</w:t>
      </w:r>
      <w:r w:rsidRPr="00ED1D67">
        <w:rPr>
          <w:sz w:val="24"/>
          <w:szCs w:val="24"/>
        </w:rPr>
        <w:t>., applies to this proceeding.</w:t>
      </w:r>
    </w:p>
    <w:p w:rsidR="00CA2DA8" w:rsidRPr="00ED1D67" w:rsidRDefault="00CA2DA8" w:rsidP="00CA2DA8">
      <w:pPr>
        <w:tabs>
          <w:tab w:val="left" w:pos="0"/>
        </w:tabs>
        <w:rPr>
          <w:sz w:val="24"/>
          <w:szCs w:val="24"/>
        </w:rPr>
      </w:pPr>
    </w:p>
    <w:p w:rsidR="00CA2DA8" w:rsidRPr="00ED1D67" w:rsidRDefault="00CA2DA8" w:rsidP="00CA2DA8">
      <w:pPr>
        <w:tabs>
          <w:tab w:val="left" w:pos="0"/>
        </w:tabs>
        <w:rPr>
          <w:sz w:val="24"/>
          <w:szCs w:val="24"/>
        </w:rPr>
      </w:pPr>
      <w:r w:rsidRPr="00ED1D67">
        <w:rPr>
          <w:sz w:val="24"/>
          <w:szCs w:val="24"/>
        </w:rPr>
        <w:tab/>
      </w:r>
      <w:r w:rsidRPr="00ED1D67">
        <w:rPr>
          <w:sz w:val="24"/>
          <w:szCs w:val="24"/>
        </w:rPr>
        <w:tab/>
        <w:t xml:space="preserve">4. </w:t>
      </w:r>
      <w:r w:rsidRPr="00ED1D67">
        <w:rPr>
          <w:sz w:val="24"/>
          <w:szCs w:val="24"/>
        </w:rPr>
        <w:tab/>
        <w:t xml:space="preserve">The Public Utility Code </w:t>
      </w:r>
      <w:r w:rsidR="00995422">
        <w:rPr>
          <w:sz w:val="24"/>
          <w:szCs w:val="24"/>
        </w:rPr>
        <w:t xml:space="preserve">does not </w:t>
      </w:r>
      <w:r w:rsidRPr="00ED1D67">
        <w:rPr>
          <w:sz w:val="24"/>
          <w:szCs w:val="24"/>
        </w:rPr>
        <w:t xml:space="preserve">permit the Commission to grant </w:t>
      </w:r>
      <w:r w:rsidR="00995422">
        <w:rPr>
          <w:sz w:val="24"/>
          <w:szCs w:val="24"/>
        </w:rPr>
        <w:t>more than one (1) payment agreement</w:t>
      </w:r>
      <w:r w:rsidR="00275D28">
        <w:rPr>
          <w:sz w:val="24"/>
          <w:szCs w:val="24"/>
        </w:rPr>
        <w:t xml:space="preserve"> absent a change in income</w:t>
      </w:r>
      <w:bookmarkStart w:id="0" w:name="_GoBack"/>
      <w:bookmarkEnd w:id="0"/>
      <w:r w:rsidR="00995422">
        <w:rPr>
          <w:sz w:val="24"/>
          <w:szCs w:val="24"/>
        </w:rPr>
        <w:t xml:space="preserve">.  </w:t>
      </w:r>
      <w:proofErr w:type="gramStart"/>
      <w:r w:rsidR="00995422">
        <w:rPr>
          <w:sz w:val="24"/>
          <w:szCs w:val="24"/>
        </w:rPr>
        <w:t xml:space="preserve">66 </w:t>
      </w:r>
      <w:proofErr w:type="spellStart"/>
      <w:r w:rsidR="00995422">
        <w:rPr>
          <w:sz w:val="24"/>
          <w:szCs w:val="24"/>
        </w:rPr>
        <w:t>Pa.C.S.A</w:t>
      </w:r>
      <w:proofErr w:type="spellEnd"/>
      <w:r w:rsidR="00995422">
        <w:rPr>
          <w:sz w:val="24"/>
          <w:szCs w:val="24"/>
        </w:rPr>
        <w:t>.</w:t>
      </w:r>
      <w:proofErr w:type="gramEnd"/>
      <w:r w:rsidR="00995422">
        <w:rPr>
          <w:sz w:val="24"/>
          <w:szCs w:val="24"/>
        </w:rPr>
        <w:t xml:space="preserve"> </w:t>
      </w:r>
      <w:proofErr w:type="gramStart"/>
      <w:r w:rsidR="00995422">
        <w:rPr>
          <w:sz w:val="24"/>
          <w:szCs w:val="24"/>
        </w:rPr>
        <w:t>§ 1405(d</w:t>
      </w:r>
      <w:r w:rsidRPr="00ED1D67">
        <w:rPr>
          <w:sz w:val="24"/>
          <w:szCs w:val="24"/>
        </w:rPr>
        <w:t>).</w:t>
      </w:r>
      <w:proofErr w:type="gramEnd"/>
    </w:p>
    <w:p w:rsidR="006C2C49" w:rsidRPr="00ED1D67" w:rsidRDefault="006C2C49" w:rsidP="00CA2DA8">
      <w:pPr>
        <w:rPr>
          <w:sz w:val="24"/>
          <w:szCs w:val="24"/>
        </w:rPr>
      </w:pPr>
    </w:p>
    <w:p w:rsidR="00CA2DA8" w:rsidRPr="00ED1D67" w:rsidRDefault="00CA2DA8" w:rsidP="00CA2DA8">
      <w:pPr>
        <w:rPr>
          <w:sz w:val="24"/>
          <w:szCs w:val="24"/>
        </w:rPr>
      </w:pPr>
      <w:r w:rsidRPr="00ED1D67">
        <w:rPr>
          <w:sz w:val="24"/>
          <w:szCs w:val="24"/>
        </w:rPr>
        <w:tab/>
      </w:r>
      <w:r w:rsidRPr="00ED1D67">
        <w:rPr>
          <w:sz w:val="24"/>
          <w:szCs w:val="24"/>
        </w:rPr>
        <w:tab/>
        <w:t xml:space="preserve">5. </w:t>
      </w:r>
      <w:r w:rsidRPr="00ED1D67">
        <w:rPr>
          <w:sz w:val="24"/>
          <w:szCs w:val="24"/>
        </w:rPr>
        <w:tab/>
      </w:r>
      <w:r w:rsidR="00D07366" w:rsidRPr="00ED1D67">
        <w:rPr>
          <w:sz w:val="24"/>
          <w:szCs w:val="24"/>
        </w:rPr>
        <w:t xml:space="preserve">Complainant </w:t>
      </w:r>
      <w:r w:rsidR="00995422">
        <w:rPr>
          <w:sz w:val="24"/>
          <w:szCs w:val="24"/>
        </w:rPr>
        <w:t>defaulted on two payment agreements provided by the Commission and</w:t>
      </w:r>
      <w:r w:rsidR="00B676B0">
        <w:rPr>
          <w:sz w:val="24"/>
          <w:szCs w:val="24"/>
        </w:rPr>
        <w:t xml:space="preserve"> is</w:t>
      </w:r>
      <w:r w:rsidR="00995422">
        <w:rPr>
          <w:sz w:val="24"/>
          <w:szCs w:val="24"/>
        </w:rPr>
        <w:t xml:space="preserve"> not entitled to a subsequent payment agreement</w:t>
      </w:r>
      <w:r w:rsidR="00D07366" w:rsidRPr="00ED1D67">
        <w:rPr>
          <w:sz w:val="24"/>
          <w:szCs w:val="24"/>
        </w:rPr>
        <w:t xml:space="preserve">.  </w:t>
      </w:r>
      <w:proofErr w:type="gramStart"/>
      <w:r w:rsidR="00D07366" w:rsidRPr="00ED1D67">
        <w:rPr>
          <w:sz w:val="24"/>
          <w:szCs w:val="24"/>
        </w:rPr>
        <w:t xml:space="preserve">66 </w:t>
      </w:r>
      <w:proofErr w:type="spellStart"/>
      <w:r w:rsidR="00D07366" w:rsidRPr="00ED1D67">
        <w:rPr>
          <w:sz w:val="24"/>
          <w:szCs w:val="24"/>
        </w:rPr>
        <w:t>Pa.C.S.A</w:t>
      </w:r>
      <w:proofErr w:type="spellEnd"/>
      <w:r w:rsidR="00D07366" w:rsidRPr="00ED1D67">
        <w:rPr>
          <w:sz w:val="24"/>
          <w:szCs w:val="24"/>
        </w:rPr>
        <w:t>.</w:t>
      </w:r>
      <w:proofErr w:type="gramEnd"/>
      <w:r w:rsidR="00D07366" w:rsidRPr="00ED1D67">
        <w:rPr>
          <w:sz w:val="24"/>
          <w:szCs w:val="24"/>
        </w:rPr>
        <w:t xml:space="preserve"> </w:t>
      </w:r>
      <w:proofErr w:type="gramStart"/>
      <w:r w:rsidR="00ED1D67" w:rsidRPr="00ED1D67">
        <w:rPr>
          <w:sz w:val="24"/>
          <w:szCs w:val="24"/>
        </w:rPr>
        <w:t>§</w:t>
      </w:r>
      <w:r w:rsidR="00995422">
        <w:rPr>
          <w:sz w:val="24"/>
          <w:szCs w:val="24"/>
        </w:rPr>
        <w:t xml:space="preserve"> 1405(d) and (f)</w:t>
      </w:r>
      <w:r w:rsidR="00ED1D67" w:rsidRPr="00ED1D67">
        <w:rPr>
          <w:sz w:val="24"/>
          <w:szCs w:val="24"/>
        </w:rPr>
        <w:t>.</w:t>
      </w:r>
      <w:proofErr w:type="gramEnd"/>
    </w:p>
    <w:p w:rsidR="00CA2DA8" w:rsidRPr="00ED1D67" w:rsidRDefault="00CA2DA8" w:rsidP="006C2C49">
      <w:pPr>
        <w:tabs>
          <w:tab w:val="left" w:pos="0"/>
        </w:tabs>
        <w:rPr>
          <w:sz w:val="24"/>
          <w:szCs w:val="24"/>
        </w:rPr>
      </w:pPr>
    </w:p>
    <w:p w:rsidR="006C2C49" w:rsidRPr="00ED1D67" w:rsidRDefault="006C2C49" w:rsidP="006C2C49">
      <w:pPr>
        <w:tabs>
          <w:tab w:val="left" w:pos="0"/>
        </w:tabs>
        <w:rPr>
          <w:sz w:val="24"/>
          <w:szCs w:val="24"/>
        </w:rPr>
      </w:pPr>
    </w:p>
    <w:p w:rsidR="00B066F8" w:rsidRDefault="00B066F8" w:rsidP="006C2C49">
      <w:pPr>
        <w:jc w:val="center"/>
        <w:rPr>
          <w:sz w:val="24"/>
          <w:szCs w:val="24"/>
          <w:u w:val="single"/>
        </w:rPr>
      </w:pPr>
    </w:p>
    <w:p w:rsidR="006C2C49" w:rsidRPr="00B73D10" w:rsidRDefault="006C2C49" w:rsidP="006C2C49">
      <w:pPr>
        <w:jc w:val="center"/>
        <w:rPr>
          <w:sz w:val="24"/>
          <w:szCs w:val="24"/>
          <w:u w:val="single"/>
        </w:rPr>
      </w:pPr>
      <w:r w:rsidRPr="00B73D10">
        <w:rPr>
          <w:sz w:val="24"/>
          <w:szCs w:val="24"/>
          <w:u w:val="single"/>
        </w:rPr>
        <w:lastRenderedPageBreak/>
        <w:t>ORDER</w:t>
      </w:r>
    </w:p>
    <w:p w:rsidR="006C2C49" w:rsidRPr="00B73D10" w:rsidRDefault="006C2C49" w:rsidP="006C2C49">
      <w:pPr>
        <w:jc w:val="center"/>
        <w:rPr>
          <w:sz w:val="24"/>
          <w:szCs w:val="24"/>
        </w:rPr>
      </w:pPr>
    </w:p>
    <w:p w:rsidR="006C2C49" w:rsidRDefault="006C2C49" w:rsidP="006C2C49">
      <w:pPr>
        <w:rPr>
          <w:sz w:val="24"/>
          <w:szCs w:val="24"/>
        </w:rPr>
      </w:pPr>
    </w:p>
    <w:p w:rsidR="006C2C49" w:rsidRPr="00B73D10" w:rsidRDefault="006C2C49" w:rsidP="006C2C49">
      <w:pPr>
        <w:rPr>
          <w:sz w:val="24"/>
          <w:szCs w:val="24"/>
        </w:rPr>
      </w:pPr>
      <w:r w:rsidRPr="00B73D10">
        <w:rPr>
          <w:sz w:val="24"/>
          <w:szCs w:val="24"/>
        </w:rPr>
        <w:tab/>
      </w:r>
      <w:r w:rsidRPr="00B73D10">
        <w:rPr>
          <w:sz w:val="24"/>
          <w:szCs w:val="24"/>
        </w:rPr>
        <w:tab/>
        <w:t>THEREFORE,</w:t>
      </w:r>
    </w:p>
    <w:p w:rsidR="006C2C49" w:rsidRPr="00B73D10" w:rsidRDefault="006C2C49" w:rsidP="006C2C49">
      <w:pPr>
        <w:rPr>
          <w:sz w:val="24"/>
          <w:szCs w:val="24"/>
        </w:rPr>
      </w:pPr>
    </w:p>
    <w:p w:rsidR="006C2C49" w:rsidRPr="00ED1D67" w:rsidRDefault="006C2C49" w:rsidP="006C2C49">
      <w:pPr>
        <w:rPr>
          <w:sz w:val="24"/>
          <w:szCs w:val="24"/>
        </w:rPr>
      </w:pPr>
      <w:r w:rsidRPr="00B73D10">
        <w:rPr>
          <w:sz w:val="24"/>
          <w:szCs w:val="24"/>
        </w:rPr>
        <w:tab/>
      </w:r>
      <w:r w:rsidRPr="00ED1D67">
        <w:rPr>
          <w:sz w:val="24"/>
          <w:szCs w:val="24"/>
        </w:rPr>
        <w:tab/>
        <w:t>IT IS ORDERED:</w:t>
      </w:r>
    </w:p>
    <w:p w:rsidR="00ED1D67" w:rsidRPr="00ED1D67" w:rsidRDefault="00ED1D67" w:rsidP="00ED1D67">
      <w:pPr>
        <w:tabs>
          <w:tab w:val="num" w:pos="2160"/>
        </w:tabs>
        <w:ind w:firstLine="1440"/>
        <w:outlineLvl w:val="0"/>
        <w:rPr>
          <w:sz w:val="24"/>
          <w:szCs w:val="24"/>
        </w:rPr>
      </w:pPr>
    </w:p>
    <w:p w:rsidR="00ED1D67" w:rsidRDefault="00ED1D67" w:rsidP="00ED1D67">
      <w:pPr>
        <w:pStyle w:val="ListParagraph"/>
        <w:numPr>
          <w:ilvl w:val="0"/>
          <w:numId w:val="14"/>
        </w:numPr>
        <w:ind w:left="0" w:firstLine="1440"/>
        <w:contextualSpacing w:val="0"/>
        <w:outlineLvl w:val="0"/>
        <w:rPr>
          <w:sz w:val="24"/>
          <w:szCs w:val="24"/>
        </w:rPr>
      </w:pPr>
      <w:r w:rsidRPr="00ED1D67">
        <w:rPr>
          <w:sz w:val="24"/>
          <w:szCs w:val="24"/>
        </w:rPr>
        <w:t xml:space="preserve">That the Formal Complaint filed by </w:t>
      </w:r>
      <w:r w:rsidR="00995422">
        <w:rPr>
          <w:sz w:val="24"/>
          <w:szCs w:val="24"/>
        </w:rPr>
        <w:t>Rosa Brown</w:t>
      </w:r>
      <w:r w:rsidRPr="00ED1D67">
        <w:rPr>
          <w:sz w:val="24"/>
          <w:szCs w:val="24"/>
        </w:rPr>
        <w:t xml:space="preserve"> against PECO Energy Company at Docket No. </w:t>
      </w:r>
      <w:r w:rsidR="00995422">
        <w:rPr>
          <w:sz w:val="24"/>
          <w:szCs w:val="24"/>
        </w:rPr>
        <w:t>F-2013-2390120</w:t>
      </w:r>
      <w:r w:rsidRPr="00ED1D67">
        <w:rPr>
          <w:sz w:val="24"/>
          <w:szCs w:val="24"/>
        </w:rPr>
        <w:t xml:space="preserve"> is denied.  </w:t>
      </w:r>
    </w:p>
    <w:p w:rsidR="00CC3635" w:rsidRDefault="00CC3635" w:rsidP="00CC3635">
      <w:pPr>
        <w:pStyle w:val="ListParagraph"/>
        <w:ind w:left="1440"/>
        <w:contextualSpacing w:val="0"/>
        <w:outlineLvl w:val="0"/>
        <w:rPr>
          <w:sz w:val="24"/>
          <w:szCs w:val="24"/>
        </w:rPr>
      </w:pPr>
    </w:p>
    <w:p w:rsidR="00ED1D67" w:rsidRPr="00995422" w:rsidRDefault="00CC3635" w:rsidP="00ED1D67">
      <w:pPr>
        <w:pStyle w:val="ListParagraph"/>
        <w:numPr>
          <w:ilvl w:val="0"/>
          <w:numId w:val="14"/>
        </w:numPr>
        <w:ind w:left="0" w:firstLine="1440"/>
        <w:contextualSpacing w:val="0"/>
        <w:outlineLvl w:val="0"/>
        <w:rPr>
          <w:sz w:val="24"/>
          <w:szCs w:val="24"/>
        </w:rPr>
      </w:pPr>
      <w:r w:rsidRPr="00995422">
        <w:rPr>
          <w:sz w:val="24"/>
          <w:szCs w:val="24"/>
        </w:rPr>
        <w:t xml:space="preserve">That </w:t>
      </w:r>
      <w:r w:rsidR="00ED1D67" w:rsidRPr="00995422">
        <w:rPr>
          <w:sz w:val="24"/>
          <w:szCs w:val="24"/>
        </w:rPr>
        <w:t xml:space="preserve">the Secretary </w:t>
      </w:r>
      <w:proofErr w:type="gramStart"/>
      <w:r w:rsidR="00ED1D67" w:rsidRPr="00995422">
        <w:rPr>
          <w:sz w:val="24"/>
          <w:szCs w:val="24"/>
        </w:rPr>
        <w:t>mark</w:t>
      </w:r>
      <w:proofErr w:type="gramEnd"/>
      <w:r w:rsidR="00ED1D67" w:rsidRPr="00995422">
        <w:rPr>
          <w:sz w:val="24"/>
          <w:szCs w:val="24"/>
        </w:rPr>
        <w:t xml:space="preserve"> this docket closed.</w:t>
      </w:r>
    </w:p>
    <w:p w:rsidR="00ED1D67" w:rsidRPr="00ED1D67" w:rsidRDefault="00ED1D67" w:rsidP="00ED1D67">
      <w:pPr>
        <w:rPr>
          <w:sz w:val="24"/>
          <w:szCs w:val="24"/>
        </w:rPr>
      </w:pPr>
    </w:p>
    <w:p w:rsidR="006C2C49" w:rsidRPr="00ED1D67" w:rsidRDefault="006C2C49" w:rsidP="006C2C49">
      <w:pPr>
        <w:spacing w:line="240" w:lineRule="auto"/>
        <w:rPr>
          <w:sz w:val="24"/>
          <w:szCs w:val="24"/>
        </w:rPr>
      </w:pPr>
    </w:p>
    <w:p w:rsidR="00BD0AF8" w:rsidRPr="00ED1D67" w:rsidRDefault="00BD0AF8" w:rsidP="006C2C49">
      <w:pPr>
        <w:spacing w:line="240" w:lineRule="auto"/>
        <w:rPr>
          <w:sz w:val="24"/>
          <w:szCs w:val="24"/>
        </w:rPr>
      </w:pPr>
    </w:p>
    <w:p w:rsidR="006C2C49" w:rsidRPr="00ED1D67" w:rsidRDefault="006C2C49" w:rsidP="006C2C49">
      <w:pPr>
        <w:spacing w:line="240" w:lineRule="auto"/>
        <w:rPr>
          <w:sz w:val="24"/>
          <w:szCs w:val="24"/>
        </w:rPr>
      </w:pPr>
    </w:p>
    <w:p w:rsidR="00442025" w:rsidRPr="00442025" w:rsidRDefault="006C2C49" w:rsidP="00442025">
      <w:pPr>
        <w:spacing w:line="240" w:lineRule="auto"/>
        <w:rPr>
          <w:sz w:val="24"/>
          <w:szCs w:val="24"/>
        </w:rPr>
      </w:pPr>
      <w:r w:rsidRPr="00ED1D67">
        <w:rPr>
          <w:sz w:val="24"/>
          <w:szCs w:val="24"/>
        </w:rPr>
        <w:t xml:space="preserve">Date:  </w:t>
      </w:r>
      <w:r w:rsidR="00995422">
        <w:rPr>
          <w:sz w:val="24"/>
          <w:szCs w:val="24"/>
          <w:u w:val="single"/>
        </w:rPr>
        <w:t xml:space="preserve">February </w:t>
      </w:r>
      <w:r w:rsidR="00AB7088">
        <w:rPr>
          <w:sz w:val="24"/>
          <w:szCs w:val="24"/>
          <w:u w:val="single"/>
        </w:rPr>
        <w:t>13</w:t>
      </w:r>
      <w:r w:rsidR="000623B4" w:rsidRPr="00ED1D67">
        <w:rPr>
          <w:sz w:val="24"/>
          <w:szCs w:val="24"/>
          <w:u w:val="single"/>
        </w:rPr>
        <w:t>, 2014</w:t>
      </w:r>
      <w:r w:rsidRPr="00ED1D67">
        <w:rPr>
          <w:sz w:val="24"/>
          <w:szCs w:val="24"/>
        </w:rPr>
        <w:tab/>
      </w:r>
      <w:r w:rsidRPr="00ED1D67">
        <w:rPr>
          <w:sz w:val="24"/>
          <w:szCs w:val="24"/>
        </w:rPr>
        <w:tab/>
      </w:r>
      <w:r w:rsidRPr="00ED1D67">
        <w:rPr>
          <w:sz w:val="24"/>
          <w:szCs w:val="24"/>
        </w:rPr>
        <w:tab/>
      </w:r>
      <w:r w:rsidRPr="00ED1D67">
        <w:rPr>
          <w:sz w:val="24"/>
          <w:szCs w:val="24"/>
        </w:rPr>
        <w:tab/>
      </w:r>
      <w:r w:rsidRPr="00ED1D67">
        <w:rPr>
          <w:sz w:val="24"/>
          <w:szCs w:val="24"/>
        </w:rPr>
        <w:tab/>
      </w:r>
      <w:r w:rsidR="00442025" w:rsidRPr="00442025">
        <w:rPr>
          <w:sz w:val="24"/>
          <w:szCs w:val="24"/>
          <w:u w:val="single"/>
        </w:rPr>
        <w:tab/>
      </w:r>
      <w:r w:rsidR="00442025" w:rsidRPr="00442025">
        <w:rPr>
          <w:sz w:val="24"/>
          <w:szCs w:val="24"/>
          <w:u w:val="single"/>
        </w:rPr>
        <w:tab/>
        <w:t>/s/</w:t>
      </w:r>
      <w:r w:rsidR="00442025" w:rsidRPr="00442025">
        <w:rPr>
          <w:sz w:val="24"/>
          <w:szCs w:val="24"/>
          <w:u w:val="single"/>
        </w:rPr>
        <w:tab/>
      </w:r>
      <w:r w:rsidR="00442025" w:rsidRPr="00442025">
        <w:rPr>
          <w:sz w:val="24"/>
          <w:szCs w:val="24"/>
          <w:u w:val="single"/>
        </w:rPr>
        <w:tab/>
      </w:r>
      <w:r w:rsidR="00442025" w:rsidRPr="00442025">
        <w:rPr>
          <w:sz w:val="24"/>
          <w:szCs w:val="24"/>
          <w:u w:val="single"/>
        </w:rPr>
        <w:tab/>
      </w:r>
    </w:p>
    <w:p w:rsidR="006C2C49" w:rsidRPr="00ED1D67" w:rsidRDefault="006C2C49" w:rsidP="00442025">
      <w:pPr>
        <w:spacing w:line="240" w:lineRule="auto"/>
        <w:rPr>
          <w:sz w:val="24"/>
          <w:szCs w:val="24"/>
          <w:u w:val="single"/>
        </w:rPr>
      </w:pPr>
      <w:r w:rsidRPr="00ED1D67">
        <w:rPr>
          <w:sz w:val="24"/>
          <w:szCs w:val="24"/>
        </w:rPr>
        <w:tab/>
      </w:r>
      <w:r w:rsidRPr="00ED1D67">
        <w:rPr>
          <w:sz w:val="24"/>
          <w:szCs w:val="24"/>
        </w:rPr>
        <w:tab/>
      </w:r>
      <w:r w:rsidRPr="00ED1D67">
        <w:rPr>
          <w:sz w:val="24"/>
          <w:szCs w:val="24"/>
        </w:rPr>
        <w:tab/>
      </w:r>
      <w:r w:rsidRPr="00ED1D67">
        <w:rPr>
          <w:sz w:val="24"/>
          <w:szCs w:val="24"/>
        </w:rPr>
        <w:tab/>
      </w:r>
      <w:r w:rsidRPr="00ED1D67">
        <w:rPr>
          <w:sz w:val="24"/>
          <w:szCs w:val="24"/>
        </w:rPr>
        <w:tab/>
      </w:r>
      <w:r w:rsidRPr="00ED1D67">
        <w:rPr>
          <w:sz w:val="24"/>
          <w:szCs w:val="24"/>
        </w:rPr>
        <w:tab/>
      </w:r>
      <w:r w:rsidRPr="00ED1D67">
        <w:rPr>
          <w:sz w:val="24"/>
          <w:szCs w:val="24"/>
        </w:rPr>
        <w:tab/>
      </w:r>
      <w:r w:rsidR="00AC1B6F">
        <w:rPr>
          <w:sz w:val="24"/>
          <w:szCs w:val="24"/>
        </w:rPr>
        <w:tab/>
      </w:r>
      <w:r w:rsidRPr="00ED1D67">
        <w:rPr>
          <w:sz w:val="24"/>
          <w:szCs w:val="24"/>
        </w:rPr>
        <w:t>Katrina L. Dunderdale</w:t>
      </w:r>
    </w:p>
    <w:p w:rsidR="006C2C49" w:rsidRDefault="006C2C49" w:rsidP="00442025">
      <w:pPr>
        <w:spacing w:line="240" w:lineRule="auto"/>
        <w:rPr>
          <w:sz w:val="24"/>
          <w:szCs w:val="24"/>
        </w:rPr>
      </w:pPr>
      <w:r w:rsidRPr="00ED1D67">
        <w:rPr>
          <w:sz w:val="24"/>
          <w:szCs w:val="24"/>
        </w:rPr>
        <w:tab/>
      </w:r>
      <w:r w:rsidRPr="00ED1D67">
        <w:rPr>
          <w:sz w:val="24"/>
          <w:szCs w:val="24"/>
        </w:rPr>
        <w:tab/>
      </w:r>
      <w:r w:rsidRPr="00B73D10">
        <w:rPr>
          <w:sz w:val="24"/>
          <w:szCs w:val="24"/>
        </w:rPr>
        <w:tab/>
      </w:r>
      <w:r w:rsidRPr="00B73D10">
        <w:rPr>
          <w:sz w:val="24"/>
          <w:szCs w:val="24"/>
        </w:rPr>
        <w:tab/>
      </w:r>
      <w:r w:rsidRPr="00B73D10">
        <w:rPr>
          <w:sz w:val="24"/>
          <w:szCs w:val="24"/>
        </w:rPr>
        <w:tab/>
      </w:r>
      <w:r w:rsidRPr="00B73D10">
        <w:rPr>
          <w:sz w:val="24"/>
          <w:szCs w:val="24"/>
        </w:rPr>
        <w:tab/>
      </w:r>
      <w:r w:rsidRPr="00B73D10">
        <w:rPr>
          <w:sz w:val="24"/>
          <w:szCs w:val="24"/>
        </w:rPr>
        <w:tab/>
      </w:r>
      <w:r w:rsidR="00AC1B6F">
        <w:rPr>
          <w:sz w:val="24"/>
          <w:szCs w:val="24"/>
        </w:rPr>
        <w:tab/>
      </w:r>
      <w:r w:rsidRPr="00B73D10">
        <w:rPr>
          <w:sz w:val="24"/>
          <w:szCs w:val="24"/>
        </w:rPr>
        <w:t>Administrative Law Judge</w:t>
      </w:r>
    </w:p>
    <w:p w:rsidR="00B33004" w:rsidRDefault="00B33004" w:rsidP="006C2C49">
      <w:pPr>
        <w:spacing w:line="240" w:lineRule="auto"/>
        <w:rPr>
          <w:sz w:val="24"/>
          <w:szCs w:val="24"/>
        </w:rPr>
      </w:pPr>
    </w:p>
    <w:p w:rsidR="00DE2949" w:rsidRPr="00FB448C" w:rsidRDefault="00DE2949" w:rsidP="00B33004">
      <w:pPr>
        <w:rPr>
          <w:sz w:val="24"/>
          <w:szCs w:val="24"/>
        </w:rPr>
      </w:pPr>
    </w:p>
    <w:sectPr w:rsidR="00DE2949" w:rsidRPr="00FB448C" w:rsidSect="00DE2949">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AEC" w:rsidRDefault="00CE3AEC">
      <w:r>
        <w:separator/>
      </w:r>
    </w:p>
  </w:endnote>
  <w:endnote w:type="continuationSeparator" w:id="0">
    <w:p w:rsidR="00CE3AEC" w:rsidRDefault="00CE3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A4B" w:rsidRDefault="00BF7A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F7A4B" w:rsidRDefault="00BF7A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A4B" w:rsidRPr="006E3A6E" w:rsidRDefault="00BF7A4B">
    <w:pPr>
      <w:pStyle w:val="Footer"/>
      <w:framePr w:wrap="around" w:vAnchor="text" w:hAnchor="margin" w:xAlign="center" w:y="1"/>
      <w:rPr>
        <w:rStyle w:val="PageNumber"/>
        <w:sz w:val="20"/>
      </w:rPr>
    </w:pPr>
    <w:r w:rsidRPr="006E3A6E">
      <w:rPr>
        <w:rStyle w:val="PageNumber"/>
        <w:sz w:val="20"/>
      </w:rPr>
      <w:fldChar w:fldCharType="begin"/>
    </w:r>
    <w:r w:rsidRPr="006E3A6E">
      <w:rPr>
        <w:rStyle w:val="PageNumber"/>
        <w:sz w:val="20"/>
      </w:rPr>
      <w:instrText xml:space="preserve">PAGE  </w:instrText>
    </w:r>
    <w:r w:rsidRPr="006E3A6E">
      <w:rPr>
        <w:rStyle w:val="PageNumber"/>
        <w:sz w:val="20"/>
      </w:rPr>
      <w:fldChar w:fldCharType="separate"/>
    </w:r>
    <w:r w:rsidR="00275D28">
      <w:rPr>
        <w:rStyle w:val="PageNumber"/>
        <w:noProof/>
        <w:sz w:val="20"/>
      </w:rPr>
      <w:t>7</w:t>
    </w:r>
    <w:r w:rsidRPr="006E3A6E">
      <w:rPr>
        <w:rStyle w:val="PageNumber"/>
        <w:sz w:val="20"/>
      </w:rPr>
      <w:fldChar w:fldCharType="end"/>
    </w:r>
  </w:p>
  <w:p w:rsidR="00BF7A4B" w:rsidRDefault="00BF7A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AEC" w:rsidRDefault="00CE3AEC">
      <w:r>
        <w:separator/>
      </w:r>
    </w:p>
  </w:footnote>
  <w:footnote w:type="continuationSeparator" w:id="0">
    <w:p w:rsidR="00CE3AEC" w:rsidRDefault="00CE3AEC">
      <w:r>
        <w:continuationSeparator/>
      </w:r>
    </w:p>
  </w:footnote>
  <w:footnote w:id="1">
    <w:p w:rsidR="00382DD3" w:rsidRPr="00061418" w:rsidRDefault="00382DD3" w:rsidP="00382DD3">
      <w:pPr>
        <w:pStyle w:val="FootnoteText"/>
        <w:ind w:firstLine="720"/>
      </w:pPr>
      <w:r w:rsidRPr="00061418">
        <w:rPr>
          <w:rStyle w:val="FootnoteReference"/>
        </w:rPr>
        <w:footnoteRef/>
      </w:r>
      <w:r w:rsidRPr="00061418">
        <w:t xml:space="preserve"> </w:t>
      </w:r>
      <w:r w:rsidRPr="00061418">
        <w:tab/>
        <w:t>Gross Income per Pay ($1,186) multiplied by Pay Periods per Year (26) equals average Gross Income per Year ($30,836), or $2,570 per month (Gross Income per Year divided by 12 Months).</w:t>
      </w:r>
    </w:p>
  </w:footnote>
  <w:footnote w:id="2">
    <w:p w:rsidR="00382DD3" w:rsidRPr="00061418" w:rsidRDefault="00382DD3" w:rsidP="004A6B1F">
      <w:pPr>
        <w:pStyle w:val="FootnoteText"/>
        <w:ind w:firstLine="720"/>
      </w:pPr>
      <w:r w:rsidRPr="00061418">
        <w:rPr>
          <w:rStyle w:val="FootnoteReference"/>
        </w:rPr>
        <w:footnoteRef/>
      </w:r>
      <w:r w:rsidRPr="00061418">
        <w:t xml:space="preserve"> </w:t>
      </w:r>
      <w:r w:rsidRPr="00061418">
        <w:tab/>
        <w:t xml:space="preserve">The </w:t>
      </w:r>
      <w:r w:rsidR="004A6B1F" w:rsidRPr="00061418">
        <w:t xml:space="preserve">BCS </w:t>
      </w:r>
      <w:r w:rsidR="000B5D19">
        <w:t>C</w:t>
      </w:r>
      <w:r w:rsidR="004A6B1F" w:rsidRPr="00061418">
        <w:t>ase</w:t>
      </w:r>
      <w:r w:rsidRPr="00061418">
        <w:t xml:space="preserve"> </w:t>
      </w:r>
      <w:r w:rsidR="000B5D19">
        <w:t>N</w:t>
      </w:r>
      <w:r w:rsidR="00835B01">
        <w:t>umbers</w:t>
      </w:r>
      <w:r w:rsidR="000B5D19">
        <w:t xml:space="preserve"> a</w:t>
      </w:r>
      <w:r w:rsidRPr="00061418">
        <w:t xml:space="preserve">re:  (1) </w:t>
      </w:r>
      <w:r w:rsidR="004A6B1F" w:rsidRPr="00061418">
        <w:t>2261647</w:t>
      </w:r>
      <w:r w:rsidRPr="00061418">
        <w:t xml:space="preserve">, (2) </w:t>
      </w:r>
      <w:r w:rsidR="004A6B1F" w:rsidRPr="00061418">
        <w:t>2326564, (3) 2408217</w:t>
      </w:r>
      <w:r w:rsidRPr="00061418">
        <w:t xml:space="preserve">, (4) </w:t>
      </w:r>
      <w:r w:rsidR="004A6B1F" w:rsidRPr="00061418">
        <w:t>2614711</w:t>
      </w:r>
      <w:r w:rsidRPr="00061418">
        <w:t xml:space="preserve">, (5) </w:t>
      </w:r>
      <w:r w:rsidR="004A6B1F" w:rsidRPr="00061418">
        <w:t>2718315</w:t>
      </w:r>
      <w:r w:rsidRPr="00061418">
        <w:t xml:space="preserve">, (6) </w:t>
      </w:r>
      <w:r w:rsidR="004A6B1F" w:rsidRPr="00061418">
        <w:t xml:space="preserve">2776724, </w:t>
      </w:r>
      <w:r w:rsidRPr="00061418">
        <w:t>(7)</w:t>
      </w:r>
      <w:r w:rsidR="004A6B1F" w:rsidRPr="00061418">
        <w:t xml:space="preserve"> 2872289, and </w:t>
      </w:r>
      <w:r w:rsidR="00ED6467">
        <w:t xml:space="preserve">(8) </w:t>
      </w:r>
      <w:r w:rsidR="004A6B1F" w:rsidRPr="00061418">
        <w:t>2990479</w:t>
      </w:r>
      <w:r w:rsidRPr="00061418">
        <w:t xml:space="preserve">.  </w:t>
      </w:r>
      <w:proofErr w:type="gramStart"/>
      <w:r w:rsidR="004A6B1F" w:rsidRPr="00061418">
        <w:t>(</w:t>
      </w:r>
      <w:r w:rsidRPr="00061418">
        <w:t>PECO Exhibit 4</w:t>
      </w:r>
      <w:r w:rsidR="004A6B1F" w:rsidRPr="00061418">
        <w:t>)</w:t>
      </w:r>
      <w:r w:rsidRPr="00061418">
        <w:t>.</w:t>
      </w:r>
      <w:proofErr w:type="gramEnd"/>
    </w:p>
  </w:footnote>
  <w:footnote w:id="3">
    <w:p w:rsidR="004A6B1F" w:rsidRPr="00061418" w:rsidRDefault="004A6B1F">
      <w:pPr>
        <w:pStyle w:val="FootnoteText"/>
      </w:pPr>
    </w:p>
    <w:p w:rsidR="004A6B1F" w:rsidRPr="00061418" w:rsidRDefault="004A6B1F" w:rsidP="004A6B1F">
      <w:pPr>
        <w:pStyle w:val="FootnoteText"/>
        <w:ind w:firstLine="720"/>
      </w:pPr>
      <w:r w:rsidRPr="00061418">
        <w:rPr>
          <w:rStyle w:val="FootnoteReference"/>
        </w:rPr>
        <w:footnoteRef/>
      </w:r>
      <w:r w:rsidRPr="00061418">
        <w:t xml:space="preserve"> </w:t>
      </w:r>
      <w:r w:rsidRPr="00061418">
        <w:tab/>
      </w:r>
      <w:r w:rsidR="007D2689" w:rsidRPr="00061418">
        <w:t xml:space="preserve">Complainant’s formal complaint filed on August 8, 2012 and docketed at </w:t>
      </w:r>
      <w:r w:rsidR="00577D8A" w:rsidRPr="00061418">
        <w:t>No. C-2012-2321804</w:t>
      </w:r>
      <w:r w:rsidR="007D2689" w:rsidRPr="00061418">
        <w:t xml:space="preserve"> was dismissed with prejudice on January 16, 2013 for failure to prosecute her complaint</w:t>
      </w:r>
      <w:r w:rsidR="00577D8A" w:rsidRPr="00061418">
        <w:t>.</w:t>
      </w:r>
    </w:p>
  </w:footnote>
  <w:footnote w:id="4">
    <w:p w:rsidR="00A41132" w:rsidRPr="00061418" w:rsidRDefault="00A41132" w:rsidP="00A41132">
      <w:pPr>
        <w:pStyle w:val="FootnoteText"/>
        <w:ind w:firstLine="720"/>
      </w:pPr>
      <w:r w:rsidRPr="00061418">
        <w:rPr>
          <w:rStyle w:val="FootnoteReference"/>
        </w:rPr>
        <w:footnoteRef/>
      </w:r>
      <w:r w:rsidRPr="00061418">
        <w:t xml:space="preserve"> </w:t>
      </w:r>
      <w:r w:rsidRPr="00061418">
        <w:tab/>
      </w:r>
      <w:proofErr w:type="gramStart"/>
      <w:r w:rsidRPr="00061418">
        <w:rPr>
          <w:u w:val="single"/>
        </w:rPr>
        <w:t>Patterson v. Bell Telephone Co. of Pa.</w:t>
      </w:r>
      <w:r w:rsidRPr="00061418">
        <w:t xml:space="preserve">, 72 Pa. PUC 196 (1990); </w:t>
      </w:r>
      <w:r w:rsidRPr="00061418">
        <w:rPr>
          <w:u w:val="single"/>
        </w:rPr>
        <w:t>Feinstein v. Philadelphia Suburban Water Co.</w:t>
      </w:r>
      <w:r w:rsidRPr="00061418">
        <w:t>, 50 Pa. PUC 300 (1976).</w:t>
      </w:r>
      <w:proofErr w:type="gramEnd"/>
      <w:r w:rsidRPr="00061418">
        <w:t xml:space="preserve">  </w:t>
      </w:r>
    </w:p>
  </w:footnote>
  <w:footnote w:id="5">
    <w:p w:rsidR="00A41132" w:rsidRPr="00061418" w:rsidRDefault="00A41132" w:rsidP="00A41132">
      <w:pPr>
        <w:pStyle w:val="FootnoteText"/>
      </w:pPr>
    </w:p>
    <w:p w:rsidR="00A41132" w:rsidRPr="00061418" w:rsidRDefault="00A41132" w:rsidP="00A41132">
      <w:pPr>
        <w:pStyle w:val="FootnoteText"/>
        <w:ind w:firstLine="720"/>
      </w:pPr>
      <w:r w:rsidRPr="00061418">
        <w:rPr>
          <w:rStyle w:val="FootnoteReference"/>
        </w:rPr>
        <w:footnoteRef/>
      </w:r>
      <w:r w:rsidRPr="00061418">
        <w:t xml:space="preserve"> </w:t>
      </w:r>
      <w:r w:rsidRPr="00061418">
        <w:tab/>
      </w:r>
      <w:proofErr w:type="gramStart"/>
      <w:r w:rsidRPr="00061418">
        <w:rPr>
          <w:u w:val="single"/>
        </w:rPr>
        <w:t xml:space="preserve">Samuel J. </w:t>
      </w:r>
      <w:proofErr w:type="spellStart"/>
      <w:r w:rsidRPr="00061418">
        <w:rPr>
          <w:u w:val="single"/>
        </w:rPr>
        <w:t>Lansberry</w:t>
      </w:r>
      <w:proofErr w:type="spellEnd"/>
      <w:r w:rsidRPr="00061418">
        <w:rPr>
          <w:u w:val="single"/>
        </w:rPr>
        <w:t>, Inc. v. Pa. Pub.</w:t>
      </w:r>
      <w:proofErr w:type="gramEnd"/>
      <w:r w:rsidR="00C81884">
        <w:rPr>
          <w:u w:val="single"/>
        </w:rPr>
        <w:t xml:space="preserve"> </w:t>
      </w:r>
      <w:proofErr w:type="gramStart"/>
      <w:r w:rsidRPr="00061418">
        <w:rPr>
          <w:u w:val="single"/>
        </w:rPr>
        <w:t xml:space="preserve">Util. </w:t>
      </w:r>
      <w:proofErr w:type="spellStart"/>
      <w:r w:rsidRPr="00061418">
        <w:rPr>
          <w:u w:val="single"/>
        </w:rPr>
        <w:t>Comm</w:t>
      </w:r>
      <w:r w:rsidR="00C81884">
        <w:rPr>
          <w:u w:val="single"/>
        </w:rPr>
        <w:t>’n</w:t>
      </w:r>
      <w:proofErr w:type="spellEnd"/>
      <w:r w:rsidRPr="00061418">
        <w:t xml:space="preserve">, 578 A.2d 600 (Pa. </w:t>
      </w:r>
      <w:proofErr w:type="spellStart"/>
      <w:r w:rsidRPr="00061418">
        <w:t>Cmwlth</w:t>
      </w:r>
      <w:proofErr w:type="spellEnd"/>
      <w:r w:rsidRPr="00061418">
        <w:t xml:space="preserve">. 1990), </w:t>
      </w:r>
      <w:proofErr w:type="spellStart"/>
      <w:r w:rsidRPr="00061418">
        <w:rPr>
          <w:u w:val="single"/>
        </w:rPr>
        <w:t>alloc</w:t>
      </w:r>
      <w:proofErr w:type="spellEnd"/>
      <w:r w:rsidRPr="00061418">
        <w:rPr>
          <w:u w:val="single"/>
        </w:rPr>
        <w:t>.</w:t>
      </w:r>
      <w:proofErr w:type="gramEnd"/>
      <w:r w:rsidRPr="00061418">
        <w:rPr>
          <w:u w:val="single"/>
        </w:rPr>
        <w:t xml:space="preserve"> </w:t>
      </w:r>
      <w:proofErr w:type="gramStart"/>
      <w:r w:rsidRPr="00061418">
        <w:rPr>
          <w:u w:val="single"/>
        </w:rPr>
        <w:t>den.</w:t>
      </w:r>
      <w:r w:rsidRPr="00061418">
        <w:t xml:space="preserve">, 602 A.2d 863 (Pa. 1992); </w:t>
      </w:r>
      <w:r w:rsidRPr="00061418">
        <w:rPr>
          <w:u w:val="single"/>
        </w:rPr>
        <w:t xml:space="preserve">Se-Ling Hosiery v. </w:t>
      </w:r>
      <w:r w:rsidRPr="00061418">
        <w:rPr>
          <w:spacing w:val="-3"/>
          <w:u w:val="single"/>
        </w:rPr>
        <w:t>Margulies</w:t>
      </w:r>
      <w:r w:rsidRPr="00061418">
        <w:t>, 70 A.2d 854 (Pa. 1950).</w:t>
      </w:r>
      <w:proofErr w:type="gramEnd"/>
      <w:r w:rsidRPr="00061418">
        <w:t xml:space="preserve">  </w:t>
      </w:r>
    </w:p>
  </w:footnote>
  <w:footnote w:id="6">
    <w:p w:rsidR="00A41132" w:rsidRPr="00061418" w:rsidRDefault="00A41132" w:rsidP="00A41132">
      <w:pPr>
        <w:pStyle w:val="FootnoteText"/>
      </w:pPr>
    </w:p>
    <w:p w:rsidR="00A41132" w:rsidRPr="00061418" w:rsidRDefault="00A41132" w:rsidP="00A41132">
      <w:pPr>
        <w:pStyle w:val="FootnoteText"/>
        <w:ind w:firstLine="720"/>
      </w:pPr>
      <w:r w:rsidRPr="00061418">
        <w:rPr>
          <w:rStyle w:val="FootnoteReference"/>
        </w:rPr>
        <w:footnoteRef/>
      </w:r>
      <w:r w:rsidRPr="00061418">
        <w:t xml:space="preserve"> </w:t>
      </w:r>
      <w:r w:rsidRPr="00061418">
        <w:tab/>
      </w:r>
      <w:proofErr w:type="gramStart"/>
      <w:r w:rsidRPr="00061418">
        <w:rPr>
          <w:u w:val="single"/>
        </w:rPr>
        <w:t>Mill v. Pa. Pub.</w:t>
      </w:r>
      <w:proofErr w:type="gramEnd"/>
      <w:r w:rsidRPr="00061418">
        <w:rPr>
          <w:u w:val="single"/>
        </w:rPr>
        <w:t xml:space="preserve"> </w:t>
      </w:r>
      <w:proofErr w:type="gramStart"/>
      <w:r w:rsidRPr="00061418">
        <w:rPr>
          <w:u w:val="single"/>
        </w:rPr>
        <w:t xml:space="preserve">Util. </w:t>
      </w:r>
      <w:proofErr w:type="spellStart"/>
      <w:r w:rsidRPr="00061418">
        <w:rPr>
          <w:u w:val="single"/>
        </w:rPr>
        <w:t>Comm</w:t>
      </w:r>
      <w:r w:rsidR="00C81884">
        <w:rPr>
          <w:u w:val="single"/>
        </w:rPr>
        <w:t>’n</w:t>
      </w:r>
      <w:proofErr w:type="spellEnd"/>
      <w:r w:rsidRPr="00061418">
        <w:t xml:space="preserve">, 447 A.2d 1100 (Pa. </w:t>
      </w:r>
      <w:proofErr w:type="spellStart"/>
      <w:r w:rsidRPr="00061418">
        <w:t>Cmwlth</w:t>
      </w:r>
      <w:proofErr w:type="spellEnd"/>
      <w:r w:rsidRPr="00061418">
        <w:t xml:space="preserve">. 1982); </w:t>
      </w:r>
      <w:proofErr w:type="spellStart"/>
      <w:r w:rsidRPr="00061418">
        <w:rPr>
          <w:u w:val="single"/>
        </w:rPr>
        <w:t>Edan</w:t>
      </w:r>
      <w:proofErr w:type="spellEnd"/>
      <w:r w:rsidRPr="00061418">
        <w:rPr>
          <w:u w:val="single"/>
        </w:rPr>
        <w:t xml:space="preserve"> Transportation Corp. v. Pa. Pub.</w:t>
      </w:r>
      <w:proofErr w:type="gramEnd"/>
      <w:r w:rsidRPr="00061418">
        <w:rPr>
          <w:u w:val="single"/>
        </w:rPr>
        <w:t xml:space="preserve"> </w:t>
      </w:r>
      <w:proofErr w:type="gramStart"/>
      <w:r w:rsidRPr="00061418">
        <w:rPr>
          <w:u w:val="single"/>
        </w:rPr>
        <w:t xml:space="preserve">Util. </w:t>
      </w:r>
      <w:proofErr w:type="spellStart"/>
      <w:r w:rsidRPr="00061418">
        <w:rPr>
          <w:u w:val="single"/>
        </w:rPr>
        <w:t>Comm</w:t>
      </w:r>
      <w:r w:rsidR="00BD6743">
        <w:rPr>
          <w:u w:val="single"/>
        </w:rPr>
        <w:t>’n</w:t>
      </w:r>
      <w:proofErr w:type="spellEnd"/>
      <w:r w:rsidRPr="00061418">
        <w:t xml:space="preserve">, 623 A.2d 6 (Pa. </w:t>
      </w:r>
      <w:proofErr w:type="spellStart"/>
      <w:r w:rsidRPr="00061418">
        <w:t>Cmwlth</w:t>
      </w:r>
      <w:proofErr w:type="spellEnd"/>
      <w:r w:rsidRPr="00061418">
        <w:t xml:space="preserve">. 1993); 2 </w:t>
      </w:r>
      <w:proofErr w:type="spellStart"/>
      <w:r w:rsidRPr="00061418">
        <w:t>Pa.C.S.A</w:t>
      </w:r>
      <w:proofErr w:type="spellEnd"/>
      <w:r w:rsidRPr="00061418">
        <w:t>.</w:t>
      </w:r>
      <w:proofErr w:type="gramEnd"/>
      <w:r w:rsidRPr="00061418">
        <w:t xml:space="preserve"> § 704.  </w:t>
      </w:r>
    </w:p>
  </w:footnote>
  <w:footnote w:id="7">
    <w:p w:rsidR="00A41132" w:rsidRPr="00061418" w:rsidRDefault="00A41132" w:rsidP="00A41132">
      <w:pPr>
        <w:pStyle w:val="FootnoteText"/>
      </w:pPr>
    </w:p>
    <w:p w:rsidR="00A41132" w:rsidRPr="00061418" w:rsidRDefault="00A41132" w:rsidP="00A41132">
      <w:pPr>
        <w:spacing w:line="240" w:lineRule="auto"/>
        <w:ind w:firstLine="720"/>
        <w:rPr>
          <w:sz w:val="20"/>
        </w:rPr>
      </w:pPr>
      <w:r w:rsidRPr="00061418">
        <w:rPr>
          <w:rStyle w:val="FootnoteReference"/>
          <w:sz w:val="20"/>
        </w:rPr>
        <w:footnoteRef/>
      </w:r>
      <w:r w:rsidRPr="00061418">
        <w:rPr>
          <w:sz w:val="20"/>
        </w:rPr>
        <w:t xml:space="preserve"> </w:t>
      </w:r>
      <w:r w:rsidRPr="00061418">
        <w:rPr>
          <w:sz w:val="20"/>
        </w:rPr>
        <w:tab/>
      </w:r>
      <w:proofErr w:type="gramStart"/>
      <w:r w:rsidRPr="00061418">
        <w:rPr>
          <w:sz w:val="20"/>
          <w:u w:val="single"/>
        </w:rPr>
        <w:t>Norfolk and Western Ry. v. Pa. Pub.</w:t>
      </w:r>
      <w:proofErr w:type="gramEnd"/>
      <w:r w:rsidR="00C81884">
        <w:rPr>
          <w:sz w:val="20"/>
          <w:u w:val="single"/>
        </w:rPr>
        <w:t xml:space="preserve"> </w:t>
      </w:r>
      <w:proofErr w:type="gramStart"/>
      <w:r w:rsidRPr="00061418">
        <w:rPr>
          <w:sz w:val="20"/>
          <w:u w:val="single"/>
        </w:rPr>
        <w:t xml:space="preserve">Util. </w:t>
      </w:r>
      <w:proofErr w:type="spellStart"/>
      <w:r w:rsidRPr="00061418">
        <w:rPr>
          <w:sz w:val="20"/>
          <w:u w:val="single"/>
        </w:rPr>
        <w:t>Comm</w:t>
      </w:r>
      <w:r w:rsidR="00C81884">
        <w:rPr>
          <w:sz w:val="20"/>
          <w:u w:val="single"/>
        </w:rPr>
        <w:t>’n</w:t>
      </w:r>
      <w:proofErr w:type="spellEnd"/>
      <w:r w:rsidRPr="00061418">
        <w:rPr>
          <w:sz w:val="20"/>
        </w:rPr>
        <w:t xml:space="preserve">, 413 A.2d 1037 (Pa. 1980); </w:t>
      </w:r>
      <w:r w:rsidRPr="00061418">
        <w:rPr>
          <w:sz w:val="20"/>
          <w:u w:val="single"/>
        </w:rPr>
        <w:t>Erie Resistor Corp. v. Unemployment Compensation Bd. of Review</w:t>
      </w:r>
      <w:r w:rsidRPr="00061418">
        <w:rPr>
          <w:sz w:val="20"/>
        </w:rPr>
        <w:t xml:space="preserve">, 166 A.2d 96 (Pa. Super. 1960); </w:t>
      </w:r>
      <w:r w:rsidRPr="00061418">
        <w:rPr>
          <w:sz w:val="20"/>
          <w:u w:val="single"/>
        </w:rPr>
        <w:t>Murphy v. Dep’t.</w:t>
      </w:r>
      <w:proofErr w:type="gramEnd"/>
      <w:r w:rsidRPr="00061418">
        <w:rPr>
          <w:sz w:val="20"/>
          <w:u w:val="single"/>
        </w:rPr>
        <w:t xml:space="preserve"> </w:t>
      </w:r>
      <w:proofErr w:type="gramStart"/>
      <w:r w:rsidRPr="00061418">
        <w:rPr>
          <w:sz w:val="20"/>
          <w:u w:val="single"/>
        </w:rPr>
        <w:t>of</w:t>
      </w:r>
      <w:proofErr w:type="gramEnd"/>
      <w:r w:rsidRPr="00061418">
        <w:rPr>
          <w:sz w:val="20"/>
          <w:u w:val="single"/>
        </w:rPr>
        <w:t xml:space="preserve"> Public Welfare, White Haven Center</w:t>
      </w:r>
      <w:r w:rsidRPr="00061418">
        <w:rPr>
          <w:sz w:val="20"/>
        </w:rPr>
        <w:t xml:space="preserve">, 480 A.2d 382 (Pa. </w:t>
      </w:r>
      <w:proofErr w:type="spellStart"/>
      <w:r w:rsidRPr="00061418">
        <w:rPr>
          <w:sz w:val="20"/>
        </w:rPr>
        <w:t>Cmwlth</w:t>
      </w:r>
      <w:proofErr w:type="spellEnd"/>
      <w:r w:rsidRPr="00061418">
        <w:rPr>
          <w:sz w:val="20"/>
        </w:rPr>
        <w:t>. 1984).</w:t>
      </w:r>
    </w:p>
    <w:p w:rsidR="00A41132" w:rsidRPr="00061418" w:rsidRDefault="00A41132" w:rsidP="00A41132">
      <w:pPr>
        <w:pStyle w:val="FootnoteText"/>
        <w:ind w:firstLine="720"/>
      </w:pPr>
    </w:p>
  </w:footnote>
  <w:footnote w:id="8">
    <w:p w:rsidR="00735E13" w:rsidRPr="00061418" w:rsidRDefault="00735E13" w:rsidP="00735E13">
      <w:pPr>
        <w:pStyle w:val="FootnoteText"/>
        <w:ind w:firstLine="720"/>
        <w:rPr>
          <w:sz w:val="24"/>
          <w:szCs w:val="24"/>
        </w:rPr>
      </w:pPr>
      <w:r w:rsidRPr="00061418">
        <w:rPr>
          <w:rStyle w:val="FootnoteReference"/>
        </w:rPr>
        <w:footnoteRef/>
      </w:r>
      <w:r w:rsidRPr="00061418">
        <w:t xml:space="preserve"> </w:t>
      </w:r>
      <w:r w:rsidRPr="00061418">
        <w:tab/>
      </w:r>
      <w:proofErr w:type="gramStart"/>
      <w:r w:rsidR="009928E0">
        <w:t xml:space="preserve">66 </w:t>
      </w:r>
      <w:proofErr w:type="spellStart"/>
      <w:r w:rsidR="009928E0">
        <w:t>Pa.</w:t>
      </w:r>
      <w:r w:rsidRPr="00061418">
        <w:t>C.S.</w:t>
      </w:r>
      <w:r w:rsidR="009928E0">
        <w:t>A</w:t>
      </w:r>
      <w:proofErr w:type="spellEnd"/>
      <w:r w:rsidR="009928E0">
        <w:t>.</w:t>
      </w:r>
      <w:proofErr w:type="gramEnd"/>
      <w:r w:rsidRPr="00061418">
        <w:t xml:space="preserve"> § 1405(b).</w:t>
      </w:r>
      <w:r w:rsidRPr="00061418">
        <w:rPr>
          <w:sz w:val="24"/>
          <w:szCs w:val="24"/>
        </w:rPr>
        <w:t xml:space="preserve">  </w:t>
      </w:r>
    </w:p>
    <w:p w:rsidR="00735E13" w:rsidRPr="00061418" w:rsidRDefault="00735E13" w:rsidP="00735E13">
      <w:pPr>
        <w:pStyle w:val="FootnoteText"/>
        <w:ind w:firstLine="720"/>
      </w:pPr>
    </w:p>
  </w:footnote>
  <w:footnote w:id="9">
    <w:p w:rsidR="009928E0" w:rsidRDefault="009928E0" w:rsidP="009928E0">
      <w:pPr>
        <w:pStyle w:val="FootnoteText"/>
        <w:ind w:firstLine="720"/>
      </w:pPr>
      <w:r>
        <w:rPr>
          <w:rStyle w:val="FootnoteReference"/>
        </w:rPr>
        <w:footnoteRef/>
      </w:r>
      <w:r>
        <w:t xml:space="preserve"> </w:t>
      </w:r>
      <w:r>
        <w:tab/>
      </w:r>
      <w:proofErr w:type="gramStart"/>
      <w:r>
        <w:t xml:space="preserve">66 </w:t>
      </w:r>
      <w:proofErr w:type="spellStart"/>
      <w:r>
        <w:t>Pa.C.S.A</w:t>
      </w:r>
      <w:proofErr w:type="spellEnd"/>
      <w:r>
        <w:t>.</w:t>
      </w:r>
      <w:proofErr w:type="gramEnd"/>
      <w:r>
        <w:t xml:space="preserve"> </w:t>
      </w:r>
      <w:proofErr w:type="gramStart"/>
      <w:r>
        <w:t>§ 1405(d).</w:t>
      </w:r>
      <w:proofErr w:type="gramEnd"/>
    </w:p>
    <w:p w:rsidR="00B676B0" w:rsidRDefault="00B676B0" w:rsidP="009928E0">
      <w:pPr>
        <w:pStyle w:val="FootnoteText"/>
        <w:ind w:firstLine="720"/>
      </w:pPr>
    </w:p>
  </w:footnote>
  <w:footnote w:id="10">
    <w:p w:rsidR="00272E82" w:rsidRDefault="00272E82" w:rsidP="00272E82">
      <w:pPr>
        <w:pStyle w:val="FootnoteText"/>
        <w:ind w:firstLine="720"/>
      </w:pPr>
      <w:r w:rsidRPr="00061418">
        <w:rPr>
          <w:rStyle w:val="FootnoteReference"/>
        </w:rPr>
        <w:footnoteRef/>
      </w:r>
      <w:r w:rsidRPr="00061418">
        <w:t xml:space="preserve"> </w:t>
      </w:r>
      <w:r w:rsidRPr="00061418">
        <w:tab/>
      </w:r>
      <w:r w:rsidRPr="00061418">
        <w:rPr>
          <w:u w:val="single"/>
        </w:rPr>
        <w:t>2013 Federal Poverty Guidelines</w:t>
      </w:r>
      <w:r w:rsidRPr="00061418">
        <w:t xml:space="preserve">, </w:t>
      </w:r>
      <w:proofErr w:type="gramStart"/>
      <w:r w:rsidRPr="00061418">
        <w:t xml:space="preserve">78 </w:t>
      </w:r>
      <w:proofErr w:type="spellStart"/>
      <w:r w:rsidRPr="00061418">
        <w:t>Fed.Reg</w:t>
      </w:r>
      <w:proofErr w:type="spellEnd"/>
      <w:proofErr w:type="gramEnd"/>
      <w:r w:rsidR="00B676B0">
        <w:t>.</w:t>
      </w:r>
      <w:r w:rsidRPr="00061418">
        <w:t xml:space="preserve"> </w:t>
      </w:r>
      <w:proofErr w:type="gramStart"/>
      <w:r w:rsidRPr="00061418">
        <w:t>5182 (2013).</w:t>
      </w:r>
      <w:proofErr w:type="gramEnd"/>
    </w:p>
    <w:p w:rsidR="00B676B0" w:rsidRPr="00061418" w:rsidRDefault="00B676B0" w:rsidP="00272E82">
      <w:pPr>
        <w:pStyle w:val="FootnoteText"/>
        <w:ind w:firstLine="720"/>
      </w:pPr>
    </w:p>
  </w:footnote>
  <w:footnote w:id="11">
    <w:p w:rsidR="009928E0" w:rsidRDefault="009928E0" w:rsidP="009928E0">
      <w:pPr>
        <w:pStyle w:val="FootnoteText"/>
        <w:ind w:firstLine="720"/>
      </w:pPr>
      <w:r>
        <w:rPr>
          <w:rStyle w:val="FootnoteReference"/>
        </w:rPr>
        <w:footnoteRef/>
      </w:r>
      <w:r>
        <w:t xml:space="preserve"> </w:t>
      </w:r>
      <w:r>
        <w:tab/>
      </w:r>
      <w:proofErr w:type="gramStart"/>
      <w:r>
        <w:t xml:space="preserve">Pursuant to 66 </w:t>
      </w:r>
      <w:proofErr w:type="spellStart"/>
      <w:r>
        <w:t>Pa.C.S.A</w:t>
      </w:r>
      <w:proofErr w:type="spellEnd"/>
      <w:r>
        <w:t>.</w:t>
      </w:r>
      <w:proofErr w:type="gramEnd"/>
      <w:r>
        <w:t xml:space="preserve"> §</w:t>
      </w:r>
      <w:r w:rsidR="00961675">
        <w:t xml:space="preserve"> </w:t>
      </w:r>
      <w:r>
        <w:t>1405(f), a public utility may terminate service if a customer defaults on a payment agreement.  If the customer files a complaint against the termination, the public utility may not terminate service pending the final outcome of the proceeding – provided the customer pays that portion of the bill and all subsequent bills which are not in dispute.</w:t>
      </w:r>
    </w:p>
    <w:p w:rsidR="009928E0" w:rsidRDefault="009928E0" w:rsidP="009928E0">
      <w:pPr>
        <w:pStyle w:val="FootnoteText"/>
        <w:ind w:firstLine="72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15234"/>
    <w:multiLevelType w:val="hybridMultilevel"/>
    <w:tmpl w:val="3D36AC82"/>
    <w:lvl w:ilvl="0" w:tplc="E6169CB4">
      <w:start w:val="1"/>
      <w:numFmt w:val="decimal"/>
      <w:lvlText w:val="(%1)"/>
      <w:lvlJc w:val="left"/>
      <w:pPr>
        <w:ind w:left="2310" w:hanging="405"/>
      </w:pPr>
      <w:rPr>
        <w:rFonts w:hint="default"/>
      </w:rPr>
    </w:lvl>
    <w:lvl w:ilvl="1" w:tplc="04090019" w:tentative="1">
      <w:start w:val="1"/>
      <w:numFmt w:val="lowerLetter"/>
      <w:lvlText w:val="%2."/>
      <w:lvlJc w:val="left"/>
      <w:pPr>
        <w:ind w:left="2985" w:hanging="360"/>
      </w:pPr>
    </w:lvl>
    <w:lvl w:ilvl="2" w:tplc="0409001B" w:tentative="1">
      <w:start w:val="1"/>
      <w:numFmt w:val="lowerRoman"/>
      <w:lvlText w:val="%3."/>
      <w:lvlJc w:val="right"/>
      <w:pPr>
        <w:ind w:left="3705" w:hanging="180"/>
      </w:pPr>
    </w:lvl>
    <w:lvl w:ilvl="3" w:tplc="0409000F" w:tentative="1">
      <w:start w:val="1"/>
      <w:numFmt w:val="decimal"/>
      <w:lvlText w:val="%4."/>
      <w:lvlJc w:val="left"/>
      <w:pPr>
        <w:ind w:left="4425" w:hanging="360"/>
      </w:pPr>
    </w:lvl>
    <w:lvl w:ilvl="4" w:tplc="04090019" w:tentative="1">
      <w:start w:val="1"/>
      <w:numFmt w:val="lowerLetter"/>
      <w:lvlText w:val="%5."/>
      <w:lvlJc w:val="left"/>
      <w:pPr>
        <w:ind w:left="5145" w:hanging="360"/>
      </w:pPr>
    </w:lvl>
    <w:lvl w:ilvl="5" w:tplc="0409001B" w:tentative="1">
      <w:start w:val="1"/>
      <w:numFmt w:val="lowerRoman"/>
      <w:lvlText w:val="%6."/>
      <w:lvlJc w:val="right"/>
      <w:pPr>
        <w:ind w:left="5865" w:hanging="180"/>
      </w:pPr>
    </w:lvl>
    <w:lvl w:ilvl="6" w:tplc="0409000F" w:tentative="1">
      <w:start w:val="1"/>
      <w:numFmt w:val="decimal"/>
      <w:lvlText w:val="%7."/>
      <w:lvlJc w:val="left"/>
      <w:pPr>
        <w:ind w:left="6585" w:hanging="360"/>
      </w:pPr>
    </w:lvl>
    <w:lvl w:ilvl="7" w:tplc="04090019" w:tentative="1">
      <w:start w:val="1"/>
      <w:numFmt w:val="lowerLetter"/>
      <w:lvlText w:val="%8."/>
      <w:lvlJc w:val="left"/>
      <w:pPr>
        <w:ind w:left="7305" w:hanging="360"/>
      </w:pPr>
    </w:lvl>
    <w:lvl w:ilvl="8" w:tplc="0409001B" w:tentative="1">
      <w:start w:val="1"/>
      <w:numFmt w:val="lowerRoman"/>
      <w:lvlText w:val="%9."/>
      <w:lvlJc w:val="right"/>
      <w:pPr>
        <w:ind w:left="8025" w:hanging="180"/>
      </w:pPr>
    </w:lvl>
  </w:abstractNum>
  <w:abstractNum w:abstractNumId="1">
    <w:nsid w:val="0C88001B"/>
    <w:multiLevelType w:val="hybridMultilevel"/>
    <w:tmpl w:val="E49CF734"/>
    <w:lvl w:ilvl="0" w:tplc="DEBA361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1D6F6C5E"/>
    <w:multiLevelType w:val="hybridMultilevel"/>
    <w:tmpl w:val="B4C45A8E"/>
    <w:lvl w:ilvl="0" w:tplc="9AECC8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83581A"/>
    <w:multiLevelType w:val="singleLevel"/>
    <w:tmpl w:val="0409000F"/>
    <w:lvl w:ilvl="0">
      <w:start w:val="1"/>
      <w:numFmt w:val="decimal"/>
      <w:lvlText w:val="%1."/>
      <w:lvlJc w:val="left"/>
      <w:pPr>
        <w:tabs>
          <w:tab w:val="num" w:pos="1980"/>
        </w:tabs>
        <w:ind w:left="1980" w:hanging="360"/>
      </w:pPr>
    </w:lvl>
  </w:abstractNum>
  <w:abstractNum w:abstractNumId="4">
    <w:nsid w:val="28742F48"/>
    <w:multiLevelType w:val="singleLevel"/>
    <w:tmpl w:val="33B05692"/>
    <w:lvl w:ilvl="0">
      <w:start w:val="1"/>
      <w:numFmt w:val="decimal"/>
      <w:lvlText w:val="%1."/>
      <w:lvlJc w:val="left"/>
      <w:pPr>
        <w:tabs>
          <w:tab w:val="num" w:pos="2160"/>
        </w:tabs>
        <w:ind w:left="2160" w:hanging="720"/>
      </w:pPr>
      <w:rPr>
        <w:rFonts w:hint="default"/>
      </w:rPr>
    </w:lvl>
  </w:abstractNum>
  <w:abstractNum w:abstractNumId="5">
    <w:nsid w:val="2A10714E"/>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nsid w:val="436C51D0"/>
    <w:multiLevelType w:val="singleLevel"/>
    <w:tmpl w:val="C8D4F99A"/>
    <w:lvl w:ilvl="0">
      <w:start w:val="1"/>
      <w:numFmt w:val="lowerLetter"/>
      <w:lvlText w:val="(%1)"/>
      <w:lvlJc w:val="left"/>
      <w:pPr>
        <w:tabs>
          <w:tab w:val="num" w:pos="720"/>
        </w:tabs>
        <w:ind w:left="720" w:hanging="720"/>
      </w:pPr>
      <w:rPr>
        <w:rFonts w:hint="default"/>
      </w:rPr>
    </w:lvl>
  </w:abstractNum>
  <w:abstractNum w:abstractNumId="7">
    <w:nsid w:val="4D3647CC"/>
    <w:multiLevelType w:val="hybridMultilevel"/>
    <w:tmpl w:val="3ACC0502"/>
    <w:lvl w:ilvl="0" w:tplc="291C7F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5CE16C58"/>
    <w:multiLevelType w:val="hybridMultilevel"/>
    <w:tmpl w:val="78188B60"/>
    <w:lvl w:ilvl="0" w:tplc="C4A689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65176D9F"/>
    <w:multiLevelType w:val="singleLevel"/>
    <w:tmpl w:val="735AE45A"/>
    <w:lvl w:ilvl="0">
      <w:start w:val="1"/>
      <w:numFmt w:val="decimal"/>
      <w:lvlText w:val="%1."/>
      <w:lvlJc w:val="left"/>
      <w:pPr>
        <w:tabs>
          <w:tab w:val="num" w:pos="1440"/>
        </w:tabs>
        <w:ind w:left="1440" w:hanging="720"/>
      </w:pPr>
      <w:rPr>
        <w:rFonts w:hint="default"/>
      </w:rPr>
    </w:lvl>
  </w:abstractNum>
  <w:abstractNum w:abstractNumId="10">
    <w:nsid w:val="6EF75055"/>
    <w:multiLevelType w:val="singleLevel"/>
    <w:tmpl w:val="3244E540"/>
    <w:lvl w:ilvl="0">
      <w:start w:val="1"/>
      <w:numFmt w:val="decimal"/>
      <w:lvlText w:val="%1."/>
      <w:lvlJc w:val="left"/>
      <w:pPr>
        <w:tabs>
          <w:tab w:val="num" w:pos="1440"/>
        </w:tabs>
        <w:ind w:left="1440" w:hanging="720"/>
      </w:pPr>
      <w:rPr>
        <w:rFonts w:hint="default"/>
      </w:rPr>
    </w:lvl>
  </w:abstractNum>
  <w:abstractNum w:abstractNumId="11">
    <w:nsid w:val="71483690"/>
    <w:multiLevelType w:val="hybridMultilevel"/>
    <w:tmpl w:val="2E8E8656"/>
    <w:lvl w:ilvl="0" w:tplc="E1D6932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779E4175"/>
    <w:multiLevelType w:val="singleLevel"/>
    <w:tmpl w:val="E6CCE61E"/>
    <w:lvl w:ilvl="0">
      <w:start w:val="2"/>
      <w:numFmt w:val="lowerLetter"/>
      <w:lvlText w:val="(%1)"/>
      <w:lvlJc w:val="left"/>
      <w:pPr>
        <w:tabs>
          <w:tab w:val="num" w:pos="360"/>
        </w:tabs>
        <w:ind w:left="360" w:hanging="360"/>
      </w:pPr>
      <w:rPr>
        <w:rFonts w:hint="default"/>
      </w:rPr>
    </w:lvl>
  </w:abstractNum>
  <w:abstractNum w:abstractNumId="13">
    <w:nsid w:val="7AE27F73"/>
    <w:multiLevelType w:val="hybridMultilevel"/>
    <w:tmpl w:val="EEAE4ADA"/>
    <w:lvl w:ilvl="0" w:tplc="FE1C3D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9"/>
  </w:num>
  <w:num w:numId="2">
    <w:abstractNumId w:val="10"/>
  </w:num>
  <w:num w:numId="3">
    <w:abstractNumId w:val="4"/>
  </w:num>
  <w:num w:numId="4">
    <w:abstractNumId w:val="6"/>
  </w:num>
  <w:num w:numId="5">
    <w:abstractNumId w:val="12"/>
  </w:num>
  <w:num w:numId="6">
    <w:abstractNumId w:val="10"/>
    <w:lvlOverride w:ilvl="0">
      <w:startOverride w:val="1"/>
    </w:lvlOverride>
  </w:num>
  <w:num w:numId="7">
    <w:abstractNumId w:val="4"/>
    <w:lvlOverride w:ilvl="0">
      <w:startOverride w:val="1"/>
    </w:lvlOverride>
  </w:num>
  <w:num w:numId="8">
    <w:abstractNumId w:val="12"/>
    <w:lvlOverride w:ilvl="0">
      <w:startOverride w:val="2"/>
    </w:lvlOverride>
  </w:num>
  <w:num w:numId="9">
    <w:abstractNumId w:val="3"/>
  </w:num>
  <w:num w:numId="10">
    <w:abstractNumId w:val="13"/>
  </w:num>
  <w:num w:numId="11">
    <w:abstractNumId w:val="11"/>
  </w:num>
  <w:num w:numId="12">
    <w:abstractNumId w:val="2"/>
  </w:num>
  <w:num w:numId="13">
    <w:abstractNumId w:val="8"/>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56E"/>
    <w:rsid w:val="00000D8E"/>
    <w:rsid w:val="000024B6"/>
    <w:rsid w:val="00004709"/>
    <w:rsid w:val="00005552"/>
    <w:rsid w:val="00016819"/>
    <w:rsid w:val="00024335"/>
    <w:rsid w:val="00025EB9"/>
    <w:rsid w:val="000268F4"/>
    <w:rsid w:val="0003169F"/>
    <w:rsid w:val="00044200"/>
    <w:rsid w:val="00044B56"/>
    <w:rsid w:val="00044B8E"/>
    <w:rsid w:val="00061418"/>
    <w:rsid w:val="000623B4"/>
    <w:rsid w:val="00065149"/>
    <w:rsid w:val="000755DB"/>
    <w:rsid w:val="00083078"/>
    <w:rsid w:val="000961CD"/>
    <w:rsid w:val="000A1439"/>
    <w:rsid w:val="000A34DF"/>
    <w:rsid w:val="000B0551"/>
    <w:rsid w:val="000B5D19"/>
    <w:rsid w:val="000C50A8"/>
    <w:rsid w:val="000C55C5"/>
    <w:rsid w:val="000D6D9C"/>
    <w:rsid w:val="001056A1"/>
    <w:rsid w:val="001109AB"/>
    <w:rsid w:val="00113941"/>
    <w:rsid w:val="0011768F"/>
    <w:rsid w:val="001339A3"/>
    <w:rsid w:val="0014638B"/>
    <w:rsid w:val="001635F9"/>
    <w:rsid w:val="00166694"/>
    <w:rsid w:val="00174631"/>
    <w:rsid w:val="001760E3"/>
    <w:rsid w:val="00187E50"/>
    <w:rsid w:val="001908AF"/>
    <w:rsid w:val="00192CF9"/>
    <w:rsid w:val="00195CBA"/>
    <w:rsid w:val="00195D67"/>
    <w:rsid w:val="001B2A30"/>
    <w:rsid w:val="001B55FD"/>
    <w:rsid w:val="001D306A"/>
    <w:rsid w:val="001D439B"/>
    <w:rsid w:val="001D457F"/>
    <w:rsid w:val="001E2C0B"/>
    <w:rsid w:val="001E5E7E"/>
    <w:rsid w:val="001E6855"/>
    <w:rsid w:val="001F16E2"/>
    <w:rsid w:val="0021278D"/>
    <w:rsid w:val="002135C1"/>
    <w:rsid w:val="00213C20"/>
    <w:rsid w:val="0024448A"/>
    <w:rsid w:val="00256203"/>
    <w:rsid w:val="0025693E"/>
    <w:rsid w:val="0026056B"/>
    <w:rsid w:val="00272E82"/>
    <w:rsid w:val="00273706"/>
    <w:rsid w:val="00275D28"/>
    <w:rsid w:val="00295FD6"/>
    <w:rsid w:val="002A1305"/>
    <w:rsid w:val="002A59BF"/>
    <w:rsid w:val="002C1528"/>
    <w:rsid w:val="002D48BD"/>
    <w:rsid w:val="002E25F3"/>
    <w:rsid w:val="002E2700"/>
    <w:rsid w:val="00305F0D"/>
    <w:rsid w:val="00307CB3"/>
    <w:rsid w:val="00314509"/>
    <w:rsid w:val="00321B6F"/>
    <w:rsid w:val="00322C40"/>
    <w:rsid w:val="00341B79"/>
    <w:rsid w:val="003420E6"/>
    <w:rsid w:val="0034210C"/>
    <w:rsid w:val="003460CC"/>
    <w:rsid w:val="00355E33"/>
    <w:rsid w:val="003611E4"/>
    <w:rsid w:val="003759A4"/>
    <w:rsid w:val="00382023"/>
    <w:rsid w:val="00382DD3"/>
    <w:rsid w:val="00383A25"/>
    <w:rsid w:val="00386F30"/>
    <w:rsid w:val="003874FD"/>
    <w:rsid w:val="003948AF"/>
    <w:rsid w:val="003962EA"/>
    <w:rsid w:val="003A2086"/>
    <w:rsid w:val="003A2C39"/>
    <w:rsid w:val="003A31A9"/>
    <w:rsid w:val="003A33F5"/>
    <w:rsid w:val="003C7183"/>
    <w:rsid w:val="003D3AA4"/>
    <w:rsid w:val="003F0927"/>
    <w:rsid w:val="003F68A9"/>
    <w:rsid w:val="004012A8"/>
    <w:rsid w:val="0041141D"/>
    <w:rsid w:val="00412886"/>
    <w:rsid w:val="00413763"/>
    <w:rsid w:val="0042086F"/>
    <w:rsid w:val="004222C6"/>
    <w:rsid w:val="004232E8"/>
    <w:rsid w:val="00430467"/>
    <w:rsid w:val="0043056E"/>
    <w:rsid w:val="00433CEC"/>
    <w:rsid w:val="0043514B"/>
    <w:rsid w:val="00437CE0"/>
    <w:rsid w:val="004415A2"/>
    <w:rsid w:val="00442025"/>
    <w:rsid w:val="00451160"/>
    <w:rsid w:val="00452A48"/>
    <w:rsid w:val="00465DD9"/>
    <w:rsid w:val="004767E0"/>
    <w:rsid w:val="004768C7"/>
    <w:rsid w:val="004A01FD"/>
    <w:rsid w:val="004A287A"/>
    <w:rsid w:val="004A4AC4"/>
    <w:rsid w:val="004A5400"/>
    <w:rsid w:val="004A6B1F"/>
    <w:rsid w:val="004B418C"/>
    <w:rsid w:val="004C0960"/>
    <w:rsid w:val="004C7417"/>
    <w:rsid w:val="004C7775"/>
    <w:rsid w:val="004D0D4F"/>
    <w:rsid w:val="004D6317"/>
    <w:rsid w:val="004D63DC"/>
    <w:rsid w:val="004E3DB9"/>
    <w:rsid w:val="004E7741"/>
    <w:rsid w:val="004F4E74"/>
    <w:rsid w:val="004F511D"/>
    <w:rsid w:val="004F6DF0"/>
    <w:rsid w:val="00503648"/>
    <w:rsid w:val="00507A2B"/>
    <w:rsid w:val="00530A02"/>
    <w:rsid w:val="0053722A"/>
    <w:rsid w:val="00537E8A"/>
    <w:rsid w:val="00540947"/>
    <w:rsid w:val="0054305A"/>
    <w:rsid w:val="00556E9A"/>
    <w:rsid w:val="005609B8"/>
    <w:rsid w:val="00560FDD"/>
    <w:rsid w:val="00567C6F"/>
    <w:rsid w:val="005745EB"/>
    <w:rsid w:val="00574E22"/>
    <w:rsid w:val="00576E65"/>
    <w:rsid w:val="00577D8A"/>
    <w:rsid w:val="0058651A"/>
    <w:rsid w:val="005910D5"/>
    <w:rsid w:val="00593D95"/>
    <w:rsid w:val="005957E1"/>
    <w:rsid w:val="005B4757"/>
    <w:rsid w:val="005B5748"/>
    <w:rsid w:val="005B605C"/>
    <w:rsid w:val="005D3D7F"/>
    <w:rsid w:val="005E12B1"/>
    <w:rsid w:val="005E33F7"/>
    <w:rsid w:val="005F38C3"/>
    <w:rsid w:val="005F5C9E"/>
    <w:rsid w:val="00601B51"/>
    <w:rsid w:val="00606BD0"/>
    <w:rsid w:val="00620C7B"/>
    <w:rsid w:val="006229A9"/>
    <w:rsid w:val="006339B4"/>
    <w:rsid w:val="006408EF"/>
    <w:rsid w:val="00655AE4"/>
    <w:rsid w:val="006647CC"/>
    <w:rsid w:val="00674464"/>
    <w:rsid w:val="0067602A"/>
    <w:rsid w:val="00676D32"/>
    <w:rsid w:val="0068349B"/>
    <w:rsid w:val="006837EE"/>
    <w:rsid w:val="00684B52"/>
    <w:rsid w:val="006930B8"/>
    <w:rsid w:val="006A5719"/>
    <w:rsid w:val="006B3FEA"/>
    <w:rsid w:val="006C2C49"/>
    <w:rsid w:val="006D0E2D"/>
    <w:rsid w:val="006D252C"/>
    <w:rsid w:val="006D7DE2"/>
    <w:rsid w:val="006E1F15"/>
    <w:rsid w:val="006E259A"/>
    <w:rsid w:val="006E3A6E"/>
    <w:rsid w:val="006F0985"/>
    <w:rsid w:val="006F4A53"/>
    <w:rsid w:val="006F5CB0"/>
    <w:rsid w:val="006F6BB8"/>
    <w:rsid w:val="00704938"/>
    <w:rsid w:val="007111ED"/>
    <w:rsid w:val="00712853"/>
    <w:rsid w:val="00720264"/>
    <w:rsid w:val="00723D2E"/>
    <w:rsid w:val="0072437C"/>
    <w:rsid w:val="00735E13"/>
    <w:rsid w:val="00747019"/>
    <w:rsid w:val="00757BEB"/>
    <w:rsid w:val="007618E6"/>
    <w:rsid w:val="00777AD8"/>
    <w:rsid w:val="00791F9B"/>
    <w:rsid w:val="007A01A8"/>
    <w:rsid w:val="007C4CD8"/>
    <w:rsid w:val="007D2689"/>
    <w:rsid w:val="007D3509"/>
    <w:rsid w:val="007D5F4A"/>
    <w:rsid w:val="007E3448"/>
    <w:rsid w:val="007E4657"/>
    <w:rsid w:val="007F46D2"/>
    <w:rsid w:val="00803E31"/>
    <w:rsid w:val="00804DAB"/>
    <w:rsid w:val="00805247"/>
    <w:rsid w:val="00806C9B"/>
    <w:rsid w:val="00822088"/>
    <w:rsid w:val="008325DF"/>
    <w:rsid w:val="0083441D"/>
    <w:rsid w:val="00835B01"/>
    <w:rsid w:val="00850505"/>
    <w:rsid w:val="00850A24"/>
    <w:rsid w:val="00862A3E"/>
    <w:rsid w:val="008648D6"/>
    <w:rsid w:val="00867FD3"/>
    <w:rsid w:val="00877C75"/>
    <w:rsid w:val="00881239"/>
    <w:rsid w:val="00881CA9"/>
    <w:rsid w:val="0088541A"/>
    <w:rsid w:val="008A7257"/>
    <w:rsid w:val="008B5083"/>
    <w:rsid w:val="008C19D6"/>
    <w:rsid w:val="008C21DB"/>
    <w:rsid w:val="008C2C84"/>
    <w:rsid w:val="008C756D"/>
    <w:rsid w:val="008D0113"/>
    <w:rsid w:val="008D478C"/>
    <w:rsid w:val="008E19AB"/>
    <w:rsid w:val="008E759A"/>
    <w:rsid w:val="008F030B"/>
    <w:rsid w:val="008F558D"/>
    <w:rsid w:val="0091247C"/>
    <w:rsid w:val="00933177"/>
    <w:rsid w:val="00937BC8"/>
    <w:rsid w:val="00946C11"/>
    <w:rsid w:val="009504A6"/>
    <w:rsid w:val="009504F2"/>
    <w:rsid w:val="00951CFC"/>
    <w:rsid w:val="009578D1"/>
    <w:rsid w:val="00961675"/>
    <w:rsid w:val="0096189E"/>
    <w:rsid w:val="009753B7"/>
    <w:rsid w:val="00976B8E"/>
    <w:rsid w:val="00977B94"/>
    <w:rsid w:val="00977BB6"/>
    <w:rsid w:val="00980EFC"/>
    <w:rsid w:val="009828D3"/>
    <w:rsid w:val="009928E0"/>
    <w:rsid w:val="00992A72"/>
    <w:rsid w:val="00994613"/>
    <w:rsid w:val="00995422"/>
    <w:rsid w:val="00996FB5"/>
    <w:rsid w:val="00997FD4"/>
    <w:rsid w:val="009A3D9F"/>
    <w:rsid w:val="009D0D17"/>
    <w:rsid w:val="009D6921"/>
    <w:rsid w:val="009D7777"/>
    <w:rsid w:val="009E1902"/>
    <w:rsid w:val="009F5506"/>
    <w:rsid w:val="00A0630D"/>
    <w:rsid w:val="00A22F11"/>
    <w:rsid w:val="00A23A1A"/>
    <w:rsid w:val="00A40F64"/>
    <w:rsid w:val="00A41132"/>
    <w:rsid w:val="00A450CB"/>
    <w:rsid w:val="00A5362D"/>
    <w:rsid w:val="00A54C14"/>
    <w:rsid w:val="00A60625"/>
    <w:rsid w:val="00A648CB"/>
    <w:rsid w:val="00A66258"/>
    <w:rsid w:val="00A75695"/>
    <w:rsid w:val="00A75B63"/>
    <w:rsid w:val="00A75EB0"/>
    <w:rsid w:val="00A83DCE"/>
    <w:rsid w:val="00A8667C"/>
    <w:rsid w:val="00A964A8"/>
    <w:rsid w:val="00AA22B4"/>
    <w:rsid w:val="00AA3795"/>
    <w:rsid w:val="00AA3A21"/>
    <w:rsid w:val="00AB0456"/>
    <w:rsid w:val="00AB2D65"/>
    <w:rsid w:val="00AB68B6"/>
    <w:rsid w:val="00AB7088"/>
    <w:rsid w:val="00AB73D1"/>
    <w:rsid w:val="00AC1B6F"/>
    <w:rsid w:val="00AC1F69"/>
    <w:rsid w:val="00AC5192"/>
    <w:rsid w:val="00AD16D1"/>
    <w:rsid w:val="00AD671E"/>
    <w:rsid w:val="00AE0EA3"/>
    <w:rsid w:val="00AF4043"/>
    <w:rsid w:val="00AF7930"/>
    <w:rsid w:val="00B066F8"/>
    <w:rsid w:val="00B07ED7"/>
    <w:rsid w:val="00B20BB1"/>
    <w:rsid w:val="00B21A12"/>
    <w:rsid w:val="00B24E5C"/>
    <w:rsid w:val="00B33004"/>
    <w:rsid w:val="00B45783"/>
    <w:rsid w:val="00B51F32"/>
    <w:rsid w:val="00B676B0"/>
    <w:rsid w:val="00B67D11"/>
    <w:rsid w:val="00B839E8"/>
    <w:rsid w:val="00B93AED"/>
    <w:rsid w:val="00B96704"/>
    <w:rsid w:val="00BB279F"/>
    <w:rsid w:val="00BC6609"/>
    <w:rsid w:val="00BD0AF8"/>
    <w:rsid w:val="00BD1626"/>
    <w:rsid w:val="00BD656E"/>
    <w:rsid w:val="00BD6743"/>
    <w:rsid w:val="00BE0C66"/>
    <w:rsid w:val="00BF617E"/>
    <w:rsid w:val="00BF7A4B"/>
    <w:rsid w:val="00C1408A"/>
    <w:rsid w:val="00C146D5"/>
    <w:rsid w:val="00C1597F"/>
    <w:rsid w:val="00C354E5"/>
    <w:rsid w:val="00C44296"/>
    <w:rsid w:val="00C50F60"/>
    <w:rsid w:val="00C72198"/>
    <w:rsid w:val="00C7317C"/>
    <w:rsid w:val="00C81884"/>
    <w:rsid w:val="00C870D6"/>
    <w:rsid w:val="00C9018A"/>
    <w:rsid w:val="00C90991"/>
    <w:rsid w:val="00C9371A"/>
    <w:rsid w:val="00C97273"/>
    <w:rsid w:val="00CA2DA8"/>
    <w:rsid w:val="00CA4DF4"/>
    <w:rsid w:val="00CA5FBB"/>
    <w:rsid w:val="00CC11CD"/>
    <w:rsid w:val="00CC3635"/>
    <w:rsid w:val="00CC7273"/>
    <w:rsid w:val="00CC7EAF"/>
    <w:rsid w:val="00CE0FE5"/>
    <w:rsid w:val="00CE3AEC"/>
    <w:rsid w:val="00CE7E68"/>
    <w:rsid w:val="00CF340C"/>
    <w:rsid w:val="00CF6039"/>
    <w:rsid w:val="00D0052C"/>
    <w:rsid w:val="00D02672"/>
    <w:rsid w:val="00D04E2C"/>
    <w:rsid w:val="00D06440"/>
    <w:rsid w:val="00D07366"/>
    <w:rsid w:val="00D135A4"/>
    <w:rsid w:val="00D160E6"/>
    <w:rsid w:val="00D20D6A"/>
    <w:rsid w:val="00D236A3"/>
    <w:rsid w:val="00D30C6D"/>
    <w:rsid w:val="00D31D1F"/>
    <w:rsid w:val="00D3510C"/>
    <w:rsid w:val="00D44704"/>
    <w:rsid w:val="00D64DCB"/>
    <w:rsid w:val="00D66FE4"/>
    <w:rsid w:val="00D7007A"/>
    <w:rsid w:val="00D81D7E"/>
    <w:rsid w:val="00D82C44"/>
    <w:rsid w:val="00D86982"/>
    <w:rsid w:val="00D91CCB"/>
    <w:rsid w:val="00D95DB1"/>
    <w:rsid w:val="00DA16D1"/>
    <w:rsid w:val="00DA6365"/>
    <w:rsid w:val="00DE069A"/>
    <w:rsid w:val="00DE0CA2"/>
    <w:rsid w:val="00DE2170"/>
    <w:rsid w:val="00DE2266"/>
    <w:rsid w:val="00DE2949"/>
    <w:rsid w:val="00DE4643"/>
    <w:rsid w:val="00DE7F93"/>
    <w:rsid w:val="00DF04BF"/>
    <w:rsid w:val="00DF171A"/>
    <w:rsid w:val="00DF4167"/>
    <w:rsid w:val="00E02815"/>
    <w:rsid w:val="00E03BB5"/>
    <w:rsid w:val="00E04BE4"/>
    <w:rsid w:val="00E0580F"/>
    <w:rsid w:val="00E1062D"/>
    <w:rsid w:val="00E126F9"/>
    <w:rsid w:val="00E1590C"/>
    <w:rsid w:val="00E176E7"/>
    <w:rsid w:val="00E323D7"/>
    <w:rsid w:val="00E329DC"/>
    <w:rsid w:val="00E33BA9"/>
    <w:rsid w:val="00E363C3"/>
    <w:rsid w:val="00E40CA1"/>
    <w:rsid w:val="00E45AE4"/>
    <w:rsid w:val="00E500AF"/>
    <w:rsid w:val="00E5034B"/>
    <w:rsid w:val="00E74CDD"/>
    <w:rsid w:val="00E77421"/>
    <w:rsid w:val="00E80B68"/>
    <w:rsid w:val="00E85864"/>
    <w:rsid w:val="00E91CE3"/>
    <w:rsid w:val="00E92DE7"/>
    <w:rsid w:val="00E941D2"/>
    <w:rsid w:val="00E94B16"/>
    <w:rsid w:val="00E974E7"/>
    <w:rsid w:val="00EA7153"/>
    <w:rsid w:val="00EC0D25"/>
    <w:rsid w:val="00EC46E0"/>
    <w:rsid w:val="00EC4BF1"/>
    <w:rsid w:val="00EC6BFE"/>
    <w:rsid w:val="00ED1D67"/>
    <w:rsid w:val="00ED6467"/>
    <w:rsid w:val="00ED652F"/>
    <w:rsid w:val="00ED6B35"/>
    <w:rsid w:val="00EE0FF3"/>
    <w:rsid w:val="00EE480E"/>
    <w:rsid w:val="00EF3B1E"/>
    <w:rsid w:val="00F01C8E"/>
    <w:rsid w:val="00F20008"/>
    <w:rsid w:val="00F220CF"/>
    <w:rsid w:val="00F30168"/>
    <w:rsid w:val="00F33940"/>
    <w:rsid w:val="00F4178B"/>
    <w:rsid w:val="00F43B77"/>
    <w:rsid w:val="00F64594"/>
    <w:rsid w:val="00F72B2B"/>
    <w:rsid w:val="00F73C62"/>
    <w:rsid w:val="00F772E0"/>
    <w:rsid w:val="00F825B0"/>
    <w:rsid w:val="00FA2CDB"/>
    <w:rsid w:val="00FA367A"/>
    <w:rsid w:val="00FA47B6"/>
    <w:rsid w:val="00FA60CF"/>
    <w:rsid w:val="00FA7CD2"/>
    <w:rsid w:val="00FB2F18"/>
    <w:rsid w:val="00FB3BB1"/>
    <w:rsid w:val="00FB448C"/>
    <w:rsid w:val="00FB7AFF"/>
    <w:rsid w:val="00FC42F5"/>
    <w:rsid w:val="00FC524D"/>
    <w:rsid w:val="00FD00D0"/>
    <w:rsid w:val="00FD47C4"/>
    <w:rsid w:val="00FF0BD9"/>
    <w:rsid w:val="00FF4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16E2"/>
    <w:pPr>
      <w:spacing w:line="360" w:lineRule="auto"/>
    </w:pPr>
    <w:rPr>
      <w:sz w:val="26"/>
    </w:rPr>
  </w:style>
  <w:style w:type="paragraph" w:styleId="Heading1">
    <w:name w:val="heading 1"/>
    <w:basedOn w:val="Normal"/>
    <w:next w:val="Normal"/>
    <w:qFormat/>
    <w:rsid w:val="001F16E2"/>
    <w:pPr>
      <w:keepNext/>
      <w:spacing w:line="240" w:lineRule="auto"/>
      <w:jc w:val="center"/>
      <w:outlineLvl w:val="0"/>
    </w:pPr>
    <w:rPr>
      <w:u w:val="single"/>
    </w:rPr>
  </w:style>
  <w:style w:type="paragraph" w:styleId="Heading2">
    <w:name w:val="heading 2"/>
    <w:basedOn w:val="Normal"/>
    <w:next w:val="Normal"/>
    <w:qFormat/>
    <w:rsid w:val="001F16E2"/>
    <w:pPr>
      <w:keepNext/>
      <w:ind w:left="720"/>
      <w:jc w:val="center"/>
      <w:outlineLvl w:val="1"/>
    </w:pPr>
    <w:rPr>
      <w:u w:val="single"/>
    </w:rPr>
  </w:style>
  <w:style w:type="paragraph" w:styleId="Heading4">
    <w:name w:val="heading 4"/>
    <w:basedOn w:val="Normal"/>
    <w:next w:val="Normal"/>
    <w:link w:val="Heading4Char"/>
    <w:semiHidden/>
    <w:unhideWhenUsed/>
    <w:qFormat/>
    <w:rsid w:val="008E19A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F16E2"/>
    <w:pPr>
      <w:tabs>
        <w:tab w:val="center" w:pos="4320"/>
        <w:tab w:val="right" w:pos="8640"/>
      </w:tabs>
    </w:pPr>
  </w:style>
  <w:style w:type="character" w:styleId="PageNumber">
    <w:name w:val="page number"/>
    <w:basedOn w:val="DefaultParagraphFont"/>
    <w:rsid w:val="001F16E2"/>
  </w:style>
  <w:style w:type="paragraph" w:styleId="BodyText">
    <w:name w:val="Body Text"/>
    <w:basedOn w:val="Normal"/>
    <w:link w:val="BodyTextChar"/>
    <w:rsid w:val="00555C71"/>
    <w:pPr>
      <w:jc w:val="both"/>
    </w:pPr>
    <w:rPr>
      <w:rFonts w:eastAsia="SimSun"/>
    </w:rPr>
  </w:style>
  <w:style w:type="paragraph" w:styleId="FootnoteText">
    <w:name w:val="footnote text"/>
    <w:aliases w:val="Car"/>
    <w:basedOn w:val="Normal"/>
    <w:link w:val="FootnoteTextChar"/>
    <w:qFormat/>
    <w:rsid w:val="004F60B1"/>
    <w:pPr>
      <w:spacing w:line="240" w:lineRule="auto"/>
    </w:pPr>
    <w:rPr>
      <w:sz w:val="20"/>
    </w:rPr>
  </w:style>
  <w:style w:type="character" w:styleId="FootnoteReference">
    <w:name w:val="footnote reference"/>
    <w:basedOn w:val="DefaultParagraphFont"/>
    <w:uiPriority w:val="99"/>
    <w:semiHidden/>
    <w:rsid w:val="004F60B1"/>
    <w:rPr>
      <w:vertAlign w:val="superscript"/>
    </w:rPr>
  </w:style>
  <w:style w:type="paragraph" w:styleId="Header">
    <w:name w:val="header"/>
    <w:basedOn w:val="Normal"/>
    <w:rsid w:val="00446A48"/>
    <w:pPr>
      <w:tabs>
        <w:tab w:val="center" w:pos="4320"/>
        <w:tab w:val="right" w:pos="8640"/>
      </w:tabs>
    </w:pPr>
  </w:style>
  <w:style w:type="paragraph" w:styleId="ListParagraph">
    <w:name w:val="List Paragraph"/>
    <w:basedOn w:val="Normal"/>
    <w:uiPriority w:val="99"/>
    <w:qFormat/>
    <w:rsid w:val="006C2C49"/>
    <w:pPr>
      <w:ind w:left="720"/>
      <w:contextualSpacing/>
    </w:pPr>
  </w:style>
  <w:style w:type="paragraph" w:styleId="BalloonText">
    <w:name w:val="Balloon Text"/>
    <w:basedOn w:val="Normal"/>
    <w:link w:val="BalloonTextChar"/>
    <w:rsid w:val="0053722A"/>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53722A"/>
    <w:rPr>
      <w:rFonts w:ascii="Tahoma" w:hAnsi="Tahoma" w:cs="Tahoma"/>
      <w:sz w:val="16"/>
      <w:szCs w:val="16"/>
    </w:rPr>
  </w:style>
  <w:style w:type="character" w:customStyle="1" w:styleId="BodyTextChar">
    <w:name w:val="Body Text Char"/>
    <w:basedOn w:val="DefaultParagraphFont"/>
    <w:link w:val="BodyText"/>
    <w:rsid w:val="00980EFC"/>
    <w:rPr>
      <w:rFonts w:eastAsia="SimSun"/>
      <w:sz w:val="26"/>
    </w:rPr>
  </w:style>
  <w:style w:type="character" w:customStyle="1" w:styleId="FootnoteTextChar">
    <w:name w:val="Footnote Text Char"/>
    <w:aliases w:val="Car Char"/>
    <w:basedOn w:val="DefaultParagraphFont"/>
    <w:link w:val="FootnoteText"/>
    <w:rsid w:val="00980EFC"/>
  </w:style>
  <w:style w:type="character" w:customStyle="1" w:styleId="Heading4Char">
    <w:name w:val="Heading 4 Char"/>
    <w:basedOn w:val="DefaultParagraphFont"/>
    <w:link w:val="Heading4"/>
    <w:semiHidden/>
    <w:rsid w:val="008E19AB"/>
    <w:rPr>
      <w:rFonts w:asciiTheme="majorHAnsi" w:eastAsiaTheme="majorEastAsia" w:hAnsiTheme="majorHAnsi" w:cstheme="majorBidi"/>
      <w:b/>
      <w:bCs/>
      <w:i/>
      <w:iCs/>
      <w:color w:val="4F81BD" w:themeColor="accent1"/>
      <w:sz w:val="26"/>
    </w:rPr>
  </w:style>
  <w:style w:type="paragraph" w:styleId="NormalWeb">
    <w:name w:val="Normal (Web)"/>
    <w:basedOn w:val="Normal"/>
    <w:uiPriority w:val="99"/>
    <w:unhideWhenUsed/>
    <w:rsid w:val="008E19AB"/>
    <w:pPr>
      <w:spacing w:before="100" w:beforeAutospacing="1" w:after="100" w:afterAutospacing="1" w:line="240" w:lineRule="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16E2"/>
    <w:pPr>
      <w:spacing w:line="360" w:lineRule="auto"/>
    </w:pPr>
    <w:rPr>
      <w:sz w:val="26"/>
    </w:rPr>
  </w:style>
  <w:style w:type="paragraph" w:styleId="Heading1">
    <w:name w:val="heading 1"/>
    <w:basedOn w:val="Normal"/>
    <w:next w:val="Normal"/>
    <w:qFormat/>
    <w:rsid w:val="001F16E2"/>
    <w:pPr>
      <w:keepNext/>
      <w:spacing w:line="240" w:lineRule="auto"/>
      <w:jc w:val="center"/>
      <w:outlineLvl w:val="0"/>
    </w:pPr>
    <w:rPr>
      <w:u w:val="single"/>
    </w:rPr>
  </w:style>
  <w:style w:type="paragraph" w:styleId="Heading2">
    <w:name w:val="heading 2"/>
    <w:basedOn w:val="Normal"/>
    <w:next w:val="Normal"/>
    <w:qFormat/>
    <w:rsid w:val="001F16E2"/>
    <w:pPr>
      <w:keepNext/>
      <w:ind w:left="720"/>
      <w:jc w:val="center"/>
      <w:outlineLvl w:val="1"/>
    </w:pPr>
    <w:rPr>
      <w:u w:val="single"/>
    </w:rPr>
  </w:style>
  <w:style w:type="paragraph" w:styleId="Heading4">
    <w:name w:val="heading 4"/>
    <w:basedOn w:val="Normal"/>
    <w:next w:val="Normal"/>
    <w:link w:val="Heading4Char"/>
    <w:semiHidden/>
    <w:unhideWhenUsed/>
    <w:qFormat/>
    <w:rsid w:val="008E19A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F16E2"/>
    <w:pPr>
      <w:tabs>
        <w:tab w:val="center" w:pos="4320"/>
        <w:tab w:val="right" w:pos="8640"/>
      </w:tabs>
    </w:pPr>
  </w:style>
  <w:style w:type="character" w:styleId="PageNumber">
    <w:name w:val="page number"/>
    <w:basedOn w:val="DefaultParagraphFont"/>
    <w:rsid w:val="001F16E2"/>
  </w:style>
  <w:style w:type="paragraph" w:styleId="BodyText">
    <w:name w:val="Body Text"/>
    <w:basedOn w:val="Normal"/>
    <w:link w:val="BodyTextChar"/>
    <w:rsid w:val="00555C71"/>
    <w:pPr>
      <w:jc w:val="both"/>
    </w:pPr>
    <w:rPr>
      <w:rFonts w:eastAsia="SimSun"/>
    </w:rPr>
  </w:style>
  <w:style w:type="paragraph" w:styleId="FootnoteText">
    <w:name w:val="footnote text"/>
    <w:aliases w:val="Car"/>
    <w:basedOn w:val="Normal"/>
    <w:link w:val="FootnoteTextChar"/>
    <w:qFormat/>
    <w:rsid w:val="004F60B1"/>
    <w:pPr>
      <w:spacing w:line="240" w:lineRule="auto"/>
    </w:pPr>
    <w:rPr>
      <w:sz w:val="20"/>
    </w:rPr>
  </w:style>
  <w:style w:type="character" w:styleId="FootnoteReference">
    <w:name w:val="footnote reference"/>
    <w:basedOn w:val="DefaultParagraphFont"/>
    <w:uiPriority w:val="99"/>
    <w:semiHidden/>
    <w:rsid w:val="004F60B1"/>
    <w:rPr>
      <w:vertAlign w:val="superscript"/>
    </w:rPr>
  </w:style>
  <w:style w:type="paragraph" w:styleId="Header">
    <w:name w:val="header"/>
    <w:basedOn w:val="Normal"/>
    <w:rsid w:val="00446A48"/>
    <w:pPr>
      <w:tabs>
        <w:tab w:val="center" w:pos="4320"/>
        <w:tab w:val="right" w:pos="8640"/>
      </w:tabs>
    </w:pPr>
  </w:style>
  <w:style w:type="paragraph" w:styleId="ListParagraph">
    <w:name w:val="List Paragraph"/>
    <w:basedOn w:val="Normal"/>
    <w:uiPriority w:val="99"/>
    <w:qFormat/>
    <w:rsid w:val="006C2C49"/>
    <w:pPr>
      <w:ind w:left="720"/>
      <w:contextualSpacing/>
    </w:pPr>
  </w:style>
  <w:style w:type="paragraph" w:styleId="BalloonText">
    <w:name w:val="Balloon Text"/>
    <w:basedOn w:val="Normal"/>
    <w:link w:val="BalloonTextChar"/>
    <w:rsid w:val="0053722A"/>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53722A"/>
    <w:rPr>
      <w:rFonts w:ascii="Tahoma" w:hAnsi="Tahoma" w:cs="Tahoma"/>
      <w:sz w:val="16"/>
      <w:szCs w:val="16"/>
    </w:rPr>
  </w:style>
  <w:style w:type="character" w:customStyle="1" w:styleId="BodyTextChar">
    <w:name w:val="Body Text Char"/>
    <w:basedOn w:val="DefaultParagraphFont"/>
    <w:link w:val="BodyText"/>
    <w:rsid w:val="00980EFC"/>
    <w:rPr>
      <w:rFonts w:eastAsia="SimSun"/>
      <w:sz w:val="26"/>
    </w:rPr>
  </w:style>
  <w:style w:type="character" w:customStyle="1" w:styleId="FootnoteTextChar">
    <w:name w:val="Footnote Text Char"/>
    <w:aliases w:val="Car Char"/>
    <w:basedOn w:val="DefaultParagraphFont"/>
    <w:link w:val="FootnoteText"/>
    <w:rsid w:val="00980EFC"/>
  </w:style>
  <w:style w:type="character" w:customStyle="1" w:styleId="Heading4Char">
    <w:name w:val="Heading 4 Char"/>
    <w:basedOn w:val="DefaultParagraphFont"/>
    <w:link w:val="Heading4"/>
    <w:semiHidden/>
    <w:rsid w:val="008E19AB"/>
    <w:rPr>
      <w:rFonts w:asciiTheme="majorHAnsi" w:eastAsiaTheme="majorEastAsia" w:hAnsiTheme="majorHAnsi" w:cstheme="majorBidi"/>
      <w:b/>
      <w:bCs/>
      <w:i/>
      <w:iCs/>
      <w:color w:val="4F81BD" w:themeColor="accent1"/>
      <w:sz w:val="26"/>
    </w:rPr>
  </w:style>
  <w:style w:type="paragraph" w:styleId="NormalWeb">
    <w:name w:val="Normal (Web)"/>
    <w:basedOn w:val="Normal"/>
    <w:uiPriority w:val="99"/>
    <w:unhideWhenUsed/>
    <w:rsid w:val="008E19AB"/>
    <w:pPr>
      <w:spacing w:before="100" w:beforeAutospacing="1" w:after="100" w:afterAutospacing="1"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979285">
      <w:bodyDiv w:val="1"/>
      <w:marLeft w:val="0"/>
      <w:marRight w:val="0"/>
      <w:marTop w:val="0"/>
      <w:marBottom w:val="0"/>
      <w:divBdr>
        <w:top w:val="none" w:sz="0" w:space="0" w:color="auto"/>
        <w:left w:val="none" w:sz="0" w:space="0" w:color="auto"/>
        <w:bottom w:val="none" w:sz="0" w:space="0" w:color="auto"/>
        <w:right w:val="none" w:sz="0" w:space="0" w:color="auto"/>
      </w:divBdr>
    </w:div>
    <w:div w:id="115051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2136C-7C52-45E6-BECB-F5B7DEAE4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8</Pages>
  <Words>1443</Words>
  <Characters>8231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BEFORE THE PENNSYLVANIA PUBLIC UTILITY COMMISSION</vt:lpstr>
    </vt:vector>
  </TitlesOfParts>
  <Company>PUC</Company>
  <LinksUpToDate>false</LinksUpToDate>
  <CharactersWithSpaces>9655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PENNSYLVANIA PUBLIC UTILITY COMMISSION</dc:title>
  <dc:creator>PUC</dc:creator>
  <cp:lastModifiedBy>sandra elizabeth oldynski</cp:lastModifiedBy>
  <cp:revision>31</cp:revision>
  <cp:lastPrinted>2014-02-14T19:33:00Z</cp:lastPrinted>
  <dcterms:created xsi:type="dcterms:W3CDTF">2014-02-13T18:14:00Z</dcterms:created>
  <dcterms:modified xsi:type="dcterms:W3CDTF">2014-02-14T19:34:00Z</dcterms:modified>
</cp:coreProperties>
</file>