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6B" w:rsidRDefault="007A206B">
      <w:pPr>
        <w:rPr>
          <w:rFonts w:ascii="Arial" w:hAnsi="Arial" w:cs="Arial"/>
          <w:b/>
        </w:rPr>
      </w:pPr>
    </w:p>
    <w:p w:rsidR="00F3650D" w:rsidRDefault="00F3650D">
      <w:pPr>
        <w:rPr>
          <w:rFonts w:ascii="Arial" w:hAnsi="Arial" w:cs="Arial"/>
          <w:b/>
        </w:rPr>
      </w:pPr>
    </w:p>
    <w:p w:rsidR="00F3650D" w:rsidRDefault="00F3650D">
      <w:pPr>
        <w:rPr>
          <w:rFonts w:ascii="Arial" w:hAnsi="Arial" w:cs="Arial"/>
          <w:b/>
        </w:rPr>
      </w:pPr>
    </w:p>
    <w:p w:rsidR="00F3650D" w:rsidRDefault="00F3650D">
      <w:pPr>
        <w:rPr>
          <w:rFonts w:ascii="Arial" w:hAnsi="Arial" w:cs="Arial"/>
          <w:b/>
        </w:rPr>
      </w:pPr>
    </w:p>
    <w:p w:rsidR="00F3650D" w:rsidRPr="00CE6637" w:rsidRDefault="00F3650D">
      <w:pPr>
        <w:rPr>
          <w:rFonts w:ascii="Arial" w:hAnsi="Arial" w:cs="Arial"/>
          <w:b/>
        </w:rPr>
      </w:pPr>
    </w:p>
    <w:p w:rsidR="00DF7DC3" w:rsidRPr="00CE6637" w:rsidRDefault="00DF7DC3">
      <w:pPr>
        <w:rPr>
          <w:rFonts w:ascii="Arial" w:hAnsi="Arial" w:cs="Arial"/>
          <w:b/>
        </w:rPr>
      </w:pPr>
    </w:p>
    <w:p w:rsidR="00DF7DC3" w:rsidRPr="00CE6637" w:rsidRDefault="00DF7DC3">
      <w:pPr>
        <w:rPr>
          <w:rFonts w:ascii="Arial" w:hAnsi="Arial" w:cs="Arial"/>
          <w:b/>
        </w:rPr>
      </w:pPr>
    </w:p>
    <w:p w:rsidR="007A206B" w:rsidRPr="00CE6637" w:rsidRDefault="007A206B">
      <w:pPr>
        <w:rPr>
          <w:rFonts w:ascii="Arial" w:hAnsi="Arial" w:cs="Arial"/>
          <w:b/>
        </w:rPr>
      </w:pPr>
    </w:p>
    <w:p w:rsidR="001032C8" w:rsidRPr="008E7086" w:rsidRDefault="00E56A7B" w:rsidP="00905409">
      <w:pPr>
        <w:pStyle w:val="Title"/>
        <w:rPr>
          <w:rFonts w:ascii="Arial" w:hAnsi="Arial" w:cs="Arial"/>
          <w:sz w:val="36"/>
          <w:szCs w:val="36"/>
          <w:u w:val="none"/>
        </w:rPr>
      </w:pPr>
      <w:r w:rsidRPr="008E7086">
        <w:rPr>
          <w:rFonts w:ascii="Arial" w:hAnsi="Arial" w:cs="Arial"/>
          <w:sz w:val="36"/>
          <w:szCs w:val="36"/>
          <w:u w:val="none"/>
        </w:rPr>
        <w:t>P</w:t>
      </w:r>
      <w:r w:rsidR="002C0E16" w:rsidRPr="008E7086">
        <w:rPr>
          <w:rFonts w:ascii="Arial" w:hAnsi="Arial" w:cs="Arial"/>
          <w:sz w:val="36"/>
          <w:szCs w:val="36"/>
          <w:u w:val="none"/>
        </w:rPr>
        <w:t>ECO ENERGY COMPANY</w:t>
      </w:r>
    </w:p>
    <w:p w:rsidR="001032C8" w:rsidRPr="008E7086" w:rsidRDefault="001032C8" w:rsidP="00905409">
      <w:pPr>
        <w:rPr>
          <w:rFonts w:ascii="Arial" w:hAnsi="Arial" w:cs="Arial"/>
          <w:b/>
          <w:sz w:val="36"/>
          <w:szCs w:val="36"/>
        </w:rPr>
      </w:pPr>
    </w:p>
    <w:p w:rsidR="001032C8" w:rsidRPr="008E7086" w:rsidRDefault="001032C8" w:rsidP="00905409">
      <w:pPr>
        <w:rPr>
          <w:rFonts w:ascii="Arial" w:hAnsi="Arial" w:cs="Arial"/>
          <w:b/>
          <w:sz w:val="36"/>
          <w:szCs w:val="36"/>
        </w:rPr>
      </w:pPr>
    </w:p>
    <w:p w:rsidR="005D711E" w:rsidRPr="008E7086" w:rsidRDefault="005D711E" w:rsidP="00905409">
      <w:pPr>
        <w:pStyle w:val="BodyText2"/>
        <w:rPr>
          <w:rFonts w:ascii="Arial" w:hAnsi="Arial" w:cs="Arial"/>
          <w:szCs w:val="36"/>
        </w:rPr>
      </w:pPr>
    </w:p>
    <w:p w:rsidR="007A206B" w:rsidRPr="008E7086" w:rsidRDefault="007A206B" w:rsidP="00905409">
      <w:pPr>
        <w:pStyle w:val="BodyText2"/>
        <w:tabs>
          <w:tab w:val="clear" w:pos="4680"/>
        </w:tabs>
        <w:rPr>
          <w:rFonts w:ascii="Arial" w:hAnsi="Arial" w:cs="Arial"/>
          <w:szCs w:val="36"/>
        </w:rPr>
      </w:pPr>
    </w:p>
    <w:p w:rsidR="007A206B" w:rsidRPr="008E7086" w:rsidRDefault="007A206B" w:rsidP="00905409">
      <w:pPr>
        <w:pStyle w:val="BodyText2"/>
        <w:tabs>
          <w:tab w:val="clear" w:pos="4680"/>
        </w:tabs>
        <w:rPr>
          <w:rFonts w:ascii="Arial" w:hAnsi="Arial" w:cs="Arial"/>
          <w:szCs w:val="36"/>
        </w:rPr>
      </w:pPr>
    </w:p>
    <w:p w:rsidR="004B4861" w:rsidRPr="008E7086" w:rsidRDefault="004B4861" w:rsidP="00905409">
      <w:pPr>
        <w:pStyle w:val="BodyText2"/>
        <w:tabs>
          <w:tab w:val="clear" w:pos="4680"/>
        </w:tabs>
        <w:rPr>
          <w:rFonts w:ascii="Arial" w:hAnsi="Arial" w:cs="Arial"/>
          <w:szCs w:val="36"/>
        </w:rPr>
      </w:pPr>
    </w:p>
    <w:p w:rsidR="00F4717D" w:rsidRPr="008E7086" w:rsidRDefault="00554B9B" w:rsidP="00905409">
      <w:pPr>
        <w:suppressAutoHyphens/>
        <w:rPr>
          <w:rFonts w:ascii="Arial" w:hAnsi="Arial" w:cs="Arial"/>
          <w:b/>
          <w:sz w:val="28"/>
          <w:szCs w:val="28"/>
        </w:rPr>
      </w:pPr>
      <w:r w:rsidRPr="008E7086">
        <w:rPr>
          <w:rFonts w:ascii="Arial" w:hAnsi="Arial" w:cs="Arial"/>
          <w:b/>
          <w:sz w:val="28"/>
          <w:szCs w:val="28"/>
        </w:rPr>
        <w:t xml:space="preserve">A REPORT ON THE </w:t>
      </w:r>
    </w:p>
    <w:p w:rsidR="00216F99" w:rsidRPr="008E7086" w:rsidRDefault="00216F99" w:rsidP="00905409">
      <w:pPr>
        <w:suppressAutoHyphens/>
        <w:rPr>
          <w:rFonts w:ascii="Arial" w:hAnsi="Arial" w:cs="Arial"/>
          <w:b/>
          <w:sz w:val="28"/>
          <w:szCs w:val="28"/>
        </w:rPr>
      </w:pPr>
    </w:p>
    <w:p w:rsidR="00216F99" w:rsidRPr="008E7086" w:rsidRDefault="00E56A7B" w:rsidP="00905409">
      <w:pPr>
        <w:suppressAutoHyphens/>
        <w:rPr>
          <w:rFonts w:ascii="Arial" w:hAnsi="Arial" w:cs="Arial"/>
          <w:b/>
          <w:sz w:val="28"/>
          <w:szCs w:val="28"/>
        </w:rPr>
      </w:pPr>
      <w:r w:rsidRPr="008E7086">
        <w:rPr>
          <w:rFonts w:ascii="Arial" w:hAnsi="Arial" w:cs="Arial"/>
          <w:b/>
          <w:sz w:val="28"/>
          <w:szCs w:val="28"/>
        </w:rPr>
        <w:t xml:space="preserve">GENERATION </w:t>
      </w:r>
      <w:r w:rsidR="00991813" w:rsidRPr="008E7086">
        <w:rPr>
          <w:rFonts w:ascii="Arial" w:hAnsi="Arial" w:cs="Arial"/>
          <w:b/>
          <w:sz w:val="28"/>
          <w:szCs w:val="28"/>
        </w:rPr>
        <w:t>SUPPLY</w:t>
      </w:r>
      <w:r w:rsidRPr="008E7086">
        <w:rPr>
          <w:rFonts w:ascii="Arial" w:hAnsi="Arial" w:cs="Arial"/>
          <w:b/>
          <w:sz w:val="28"/>
          <w:szCs w:val="28"/>
        </w:rPr>
        <w:t xml:space="preserve"> </w:t>
      </w:r>
      <w:r w:rsidR="00F852AE">
        <w:rPr>
          <w:rFonts w:ascii="Arial" w:hAnsi="Arial" w:cs="Arial"/>
          <w:b/>
          <w:sz w:val="28"/>
          <w:szCs w:val="28"/>
        </w:rPr>
        <w:t>ADJUSTMENT</w:t>
      </w:r>
    </w:p>
    <w:p w:rsidR="00061843" w:rsidRPr="008E7086" w:rsidRDefault="00554B9B" w:rsidP="00905409">
      <w:pPr>
        <w:suppressAutoHyphens/>
        <w:rPr>
          <w:rFonts w:ascii="Arial" w:hAnsi="Arial" w:cs="Arial"/>
          <w:sz w:val="28"/>
          <w:szCs w:val="28"/>
        </w:rPr>
      </w:pPr>
      <w:r w:rsidRPr="008E7086">
        <w:rPr>
          <w:rFonts w:ascii="Arial" w:hAnsi="Arial" w:cs="Arial"/>
          <w:sz w:val="28"/>
          <w:szCs w:val="28"/>
        </w:rPr>
        <w:t xml:space="preserve"> </w:t>
      </w:r>
    </w:p>
    <w:p w:rsidR="00DC4DD6" w:rsidRPr="008E7086" w:rsidRDefault="00554B9B" w:rsidP="00216F99">
      <w:pPr>
        <w:suppressAutoHyphens/>
        <w:rPr>
          <w:rFonts w:ascii="Arial" w:hAnsi="Arial" w:cs="Arial"/>
          <w:b/>
          <w:sz w:val="28"/>
          <w:szCs w:val="28"/>
        </w:rPr>
      </w:pPr>
      <w:r w:rsidRPr="008E7086">
        <w:rPr>
          <w:rFonts w:ascii="Arial" w:hAnsi="Arial" w:cs="Arial"/>
          <w:b/>
          <w:sz w:val="28"/>
          <w:szCs w:val="28"/>
        </w:rPr>
        <w:t xml:space="preserve">FOR THE </w:t>
      </w:r>
      <w:r w:rsidR="004166DD" w:rsidRPr="008E7086">
        <w:rPr>
          <w:rFonts w:ascii="Arial" w:hAnsi="Arial" w:cs="Arial"/>
          <w:b/>
          <w:sz w:val="28"/>
          <w:szCs w:val="28"/>
        </w:rPr>
        <w:t>TWELVE</w:t>
      </w:r>
      <w:r w:rsidR="00991813" w:rsidRPr="008E7086">
        <w:rPr>
          <w:rFonts w:ascii="Arial" w:hAnsi="Arial" w:cs="Arial"/>
          <w:b/>
          <w:sz w:val="28"/>
          <w:szCs w:val="28"/>
        </w:rPr>
        <w:t xml:space="preserve"> MONTHS ENDED </w:t>
      </w:r>
      <w:r w:rsidR="004166DD" w:rsidRPr="008E7086">
        <w:rPr>
          <w:rFonts w:ascii="Arial" w:hAnsi="Arial" w:cs="Arial"/>
          <w:b/>
          <w:sz w:val="28"/>
          <w:szCs w:val="28"/>
        </w:rPr>
        <w:t>DECEMBER</w:t>
      </w:r>
      <w:r w:rsidR="00A143F7" w:rsidRPr="008E7086">
        <w:rPr>
          <w:rFonts w:ascii="Arial" w:hAnsi="Arial" w:cs="Arial"/>
          <w:b/>
          <w:sz w:val="28"/>
          <w:szCs w:val="28"/>
        </w:rPr>
        <w:t xml:space="preserve"> 31</w:t>
      </w:r>
      <w:r w:rsidR="00991813" w:rsidRPr="008E7086">
        <w:rPr>
          <w:rFonts w:ascii="Arial" w:hAnsi="Arial" w:cs="Arial"/>
          <w:b/>
          <w:sz w:val="28"/>
          <w:szCs w:val="28"/>
        </w:rPr>
        <w:t xml:space="preserve">, 2011 </w:t>
      </w:r>
    </w:p>
    <w:p w:rsidR="001E14C1" w:rsidRPr="008E7086" w:rsidRDefault="00061843" w:rsidP="00216F99">
      <w:pPr>
        <w:suppressAutoHyphens/>
        <w:rPr>
          <w:rFonts w:ascii="Arial" w:hAnsi="Arial" w:cs="Arial"/>
          <w:sz w:val="28"/>
          <w:szCs w:val="28"/>
        </w:rPr>
      </w:pPr>
      <w:r w:rsidRPr="008E7086">
        <w:rPr>
          <w:rFonts w:ascii="Arial" w:hAnsi="Arial" w:cs="Arial"/>
          <w:b/>
          <w:sz w:val="28"/>
          <w:szCs w:val="28"/>
        </w:rPr>
        <w:t xml:space="preserve"> </w:t>
      </w:r>
    </w:p>
    <w:p w:rsidR="001E14C1" w:rsidRPr="008E7086" w:rsidRDefault="001E14C1" w:rsidP="00905409">
      <w:pPr>
        <w:pStyle w:val="BodyText2"/>
        <w:rPr>
          <w:rFonts w:ascii="Arial" w:hAnsi="Arial" w:cs="Arial"/>
          <w:sz w:val="28"/>
          <w:szCs w:val="28"/>
        </w:rPr>
      </w:pPr>
    </w:p>
    <w:p w:rsidR="005D711E" w:rsidRPr="008E7086" w:rsidRDefault="005D711E" w:rsidP="00905409">
      <w:pPr>
        <w:tabs>
          <w:tab w:val="left" w:pos="-720"/>
        </w:tabs>
        <w:suppressAutoHyphens/>
        <w:rPr>
          <w:rFonts w:ascii="Arial" w:hAnsi="Arial" w:cs="Arial"/>
          <w:b/>
          <w:sz w:val="28"/>
          <w:szCs w:val="28"/>
        </w:rPr>
      </w:pPr>
    </w:p>
    <w:p w:rsidR="00DE1518" w:rsidRPr="008E7086" w:rsidRDefault="00DE1518" w:rsidP="00905409">
      <w:pPr>
        <w:tabs>
          <w:tab w:val="center" w:pos="4680"/>
        </w:tabs>
        <w:suppressAutoHyphens/>
        <w:rPr>
          <w:rFonts w:ascii="Arial" w:hAnsi="Arial" w:cs="Arial"/>
          <w:b/>
          <w:sz w:val="28"/>
          <w:szCs w:val="28"/>
        </w:rPr>
      </w:pPr>
    </w:p>
    <w:p w:rsidR="00DE1518" w:rsidRPr="008E7086" w:rsidRDefault="00DE1518" w:rsidP="00905409">
      <w:pPr>
        <w:tabs>
          <w:tab w:val="center" w:pos="4680"/>
        </w:tabs>
        <w:suppressAutoHyphens/>
        <w:rPr>
          <w:rFonts w:ascii="Arial" w:hAnsi="Arial" w:cs="Arial"/>
          <w:b/>
          <w:sz w:val="28"/>
          <w:szCs w:val="28"/>
        </w:rPr>
      </w:pPr>
    </w:p>
    <w:p w:rsidR="00BE651C" w:rsidRPr="008E7086" w:rsidRDefault="00BE651C" w:rsidP="00905409">
      <w:pPr>
        <w:tabs>
          <w:tab w:val="center" w:pos="4680"/>
        </w:tabs>
        <w:suppressAutoHyphens/>
        <w:rPr>
          <w:rFonts w:ascii="Arial" w:hAnsi="Arial" w:cs="Arial"/>
          <w:b/>
          <w:sz w:val="28"/>
          <w:szCs w:val="28"/>
        </w:rPr>
      </w:pPr>
    </w:p>
    <w:p w:rsidR="00BE651C" w:rsidRPr="008E7086" w:rsidRDefault="00BE651C" w:rsidP="00905409">
      <w:pPr>
        <w:tabs>
          <w:tab w:val="center" w:pos="4680"/>
        </w:tabs>
        <w:suppressAutoHyphens/>
        <w:rPr>
          <w:rFonts w:ascii="Arial" w:hAnsi="Arial" w:cs="Arial"/>
          <w:b/>
          <w:sz w:val="28"/>
          <w:szCs w:val="28"/>
        </w:rPr>
      </w:pPr>
    </w:p>
    <w:p w:rsidR="00DE1518" w:rsidRPr="008E7086" w:rsidRDefault="00DE1518" w:rsidP="00905409">
      <w:pPr>
        <w:tabs>
          <w:tab w:val="center" w:pos="4680"/>
        </w:tabs>
        <w:suppressAutoHyphens/>
        <w:rPr>
          <w:rFonts w:ascii="Arial" w:hAnsi="Arial" w:cs="Arial"/>
          <w:b/>
          <w:sz w:val="28"/>
          <w:szCs w:val="28"/>
        </w:rPr>
      </w:pPr>
    </w:p>
    <w:p w:rsidR="005D711E" w:rsidRPr="008E7086" w:rsidRDefault="005D711E" w:rsidP="00905409">
      <w:pPr>
        <w:tabs>
          <w:tab w:val="center" w:pos="4680"/>
        </w:tabs>
        <w:suppressAutoHyphens/>
        <w:rPr>
          <w:rFonts w:ascii="Arial" w:hAnsi="Arial" w:cs="Arial"/>
          <w:b/>
          <w:sz w:val="28"/>
          <w:szCs w:val="28"/>
        </w:rPr>
      </w:pPr>
    </w:p>
    <w:p w:rsidR="009F6861" w:rsidRPr="008E7086" w:rsidRDefault="005D711E" w:rsidP="000A6103">
      <w:pPr>
        <w:tabs>
          <w:tab w:val="center" w:pos="4680"/>
        </w:tabs>
        <w:suppressAutoHyphens/>
        <w:outlineLvl w:val="0"/>
        <w:rPr>
          <w:rFonts w:ascii="Arial" w:hAnsi="Arial" w:cs="Arial"/>
          <w:b/>
          <w:sz w:val="28"/>
          <w:szCs w:val="28"/>
        </w:rPr>
      </w:pPr>
      <w:r w:rsidRPr="008E7086">
        <w:rPr>
          <w:rFonts w:ascii="Arial" w:hAnsi="Arial" w:cs="Arial"/>
          <w:b/>
          <w:sz w:val="28"/>
          <w:szCs w:val="28"/>
        </w:rPr>
        <w:t xml:space="preserve">Prepared </w:t>
      </w:r>
      <w:r w:rsidR="00C06521" w:rsidRPr="008E7086">
        <w:rPr>
          <w:rFonts w:ascii="Arial" w:hAnsi="Arial" w:cs="Arial"/>
          <w:b/>
          <w:sz w:val="28"/>
          <w:szCs w:val="28"/>
        </w:rPr>
        <w:t xml:space="preserve">By </w:t>
      </w:r>
      <w:r w:rsidRPr="008E7086">
        <w:rPr>
          <w:rFonts w:ascii="Arial" w:hAnsi="Arial" w:cs="Arial"/>
          <w:b/>
          <w:sz w:val="28"/>
          <w:szCs w:val="28"/>
        </w:rPr>
        <w:t>The</w:t>
      </w:r>
    </w:p>
    <w:p w:rsidR="005D711E" w:rsidRPr="008E7086" w:rsidRDefault="005D711E" w:rsidP="000A6103">
      <w:pPr>
        <w:tabs>
          <w:tab w:val="center" w:pos="4680"/>
        </w:tabs>
        <w:suppressAutoHyphens/>
        <w:outlineLvl w:val="0"/>
        <w:rPr>
          <w:rFonts w:ascii="Arial" w:hAnsi="Arial" w:cs="Arial"/>
          <w:b/>
          <w:sz w:val="28"/>
          <w:szCs w:val="28"/>
        </w:rPr>
      </w:pPr>
      <w:r w:rsidRPr="008E7086">
        <w:rPr>
          <w:rFonts w:ascii="Arial" w:hAnsi="Arial" w:cs="Arial"/>
          <w:b/>
          <w:sz w:val="28"/>
          <w:szCs w:val="28"/>
        </w:rPr>
        <w:t>Pennsylvania Public Utility Commission</w:t>
      </w:r>
    </w:p>
    <w:p w:rsidR="005D711E" w:rsidRPr="008E7086" w:rsidRDefault="005D711E" w:rsidP="000A6103">
      <w:pPr>
        <w:tabs>
          <w:tab w:val="center" w:pos="4680"/>
        </w:tabs>
        <w:suppressAutoHyphens/>
        <w:rPr>
          <w:rFonts w:ascii="Arial" w:hAnsi="Arial" w:cs="Arial"/>
          <w:b/>
          <w:sz w:val="28"/>
          <w:szCs w:val="28"/>
        </w:rPr>
      </w:pPr>
      <w:r w:rsidRPr="008E7086">
        <w:rPr>
          <w:rFonts w:ascii="Arial" w:hAnsi="Arial" w:cs="Arial"/>
          <w:b/>
          <w:sz w:val="28"/>
          <w:szCs w:val="28"/>
        </w:rPr>
        <w:t xml:space="preserve">Bureau </w:t>
      </w:r>
      <w:proofErr w:type="gramStart"/>
      <w:r w:rsidRPr="008E7086">
        <w:rPr>
          <w:rFonts w:ascii="Arial" w:hAnsi="Arial" w:cs="Arial"/>
          <w:b/>
          <w:sz w:val="28"/>
          <w:szCs w:val="28"/>
        </w:rPr>
        <w:t>Of</w:t>
      </w:r>
      <w:proofErr w:type="gramEnd"/>
      <w:r w:rsidRPr="008E7086">
        <w:rPr>
          <w:rFonts w:ascii="Arial" w:hAnsi="Arial" w:cs="Arial"/>
          <w:b/>
          <w:sz w:val="28"/>
          <w:szCs w:val="28"/>
        </w:rPr>
        <w:t xml:space="preserve"> Audits</w:t>
      </w:r>
    </w:p>
    <w:p w:rsidR="009F6861" w:rsidRPr="008E7086" w:rsidRDefault="00DC4DD6" w:rsidP="000A6103">
      <w:pPr>
        <w:tabs>
          <w:tab w:val="center" w:pos="4680"/>
        </w:tabs>
        <w:suppressAutoHyphens/>
        <w:rPr>
          <w:rFonts w:ascii="Arial" w:hAnsi="Arial" w:cs="Arial"/>
          <w:b/>
          <w:sz w:val="28"/>
          <w:szCs w:val="28"/>
        </w:rPr>
      </w:pPr>
      <w:r w:rsidRPr="008E7086">
        <w:rPr>
          <w:rFonts w:ascii="Arial" w:hAnsi="Arial" w:cs="Arial"/>
          <w:b/>
          <w:sz w:val="28"/>
          <w:szCs w:val="28"/>
        </w:rPr>
        <w:t>Report Date:</w:t>
      </w:r>
      <w:r w:rsidR="00116AA0" w:rsidRPr="008E7086">
        <w:rPr>
          <w:rFonts w:ascii="Arial" w:hAnsi="Arial" w:cs="Arial"/>
          <w:b/>
          <w:sz w:val="28"/>
          <w:szCs w:val="28"/>
        </w:rPr>
        <w:t xml:space="preserve"> </w:t>
      </w:r>
      <w:r w:rsidR="00417533">
        <w:rPr>
          <w:rFonts w:ascii="Arial" w:hAnsi="Arial" w:cs="Arial"/>
          <w:b/>
          <w:sz w:val="28"/>
          <w:szCs w:val="28"/>
        </w:rPr>
        <w:t xml:space="preserve"> January 30</w:t>
      </w:r>
      <w:bookmarkStart w:id="0" w:name="_GoBack"/>
      <w:bookmarkEnd w:id="0"/>
      <w:r w:rsidR="00116AA0" w:rsidRPr="008E7086">
        <w:rPr>
          <w:rFonts w:ascii="Arial" w:hAnsi="Arial" w:cs="Arial"/>
          <w:b/>
          <w:sz w:val="28"/>
          <w:szCs w:val="28"/>
        </w:rPr>
        <w:t>, 201</w:t>
      </w:r>
      <w:r w:rsidR="00D8771B">
        <w:rPr>
          <w:rFonts w:ascii="Arial" w:hAnsi="Arial" w:cs="Arial"/>
          <w:b/>
          <w:sz w:val="28"/>
          <w:szCs w:val="28"/>
        </w:rPr>
        <w:t>4</w:t>
      </w:r>
    </w:p>
    <w:p w:rsidR="00095A87" w:rsidRDefault="00095A87" w:rsidP="000A6103">
      <w:pPr>
        <w:tabs>
          <w:tab w:val="center" w:pos="4680"/>
        </w:tabs>
        <w:suppressAutoHyphens/>
        <w:rPr>
          <w:rFonts w:ascii="Arial" w:hAnsi="Arial" w:cs="Arial"/>
          <w:b/>
          <w:sz w:val="28"/>
          <w:szCs w:val="28"/>
        </w:rPr>
      </w:pPr>
    </w:p>
    <w:p w:rsidR="00DF7DC3" w:rsidRPr="008E7086" w:rsidRDefault="00C06521" w:rsidP="000A6103">
      <w:pPr>
        <w:tabs>
          <w:tab w:val="center" w:pos="4680"/>
        </w:tabs>
        <w:suppressAutoHyphens/>
        <w:rPr>
          <w:rFonts w:ascii="Arial" w:hAnsi="Arial" w:cs="Arial"/>
          <w:b/>
          <w:sz w:val="28"/>
          <w:szCs w:val="28"/>
        </w:rPr>
      </w:pPr>
      <w:r w:rsidRPr="008E7086">
        <w:rPr>
          <w:rFonts w:ascii="Arial" w:hAnsi="Arial" w:cs="Arial"/>
          <w:b/>
          <w:sz w:val="28"/>
          <w:szCs w:val="28"/>
        </w:rPr>
        <w:t>Docket D-</w:t>
      </w:r>
      <w:r w:rsidR="00E56A7B" w:rsidRPr="008E7086">
        <w:rPr>
          <w:rFonts w:ascii="Arial" w:hAnsi="Arial" w:cs="Arial"/>
          <w:b/>
          <w:sz w:val="28"/>
          <w:szCs w:val="28"/>
        </w:rPr>
        <w:t>2011-22</w:t>
      </w:r>
      <w:r w:rsidR="004166DD" w:rsidRPr="008E7086">
        <w:rPr>
          <w:rFonts w:ascii="Arial" w:hAnsi="Arial" w:cs="Arial"/>
          <w:b/>
          <w:sz w:val="28"/>
          <w:szCs w:val="28"/>
        </w:rPr>
        <w:t>90992</w:t>
      </w:r>
    </w:p>
    <w:p w:rsidR="00DF7DC3" w:rsidRPr="008E7086" w:rsidRDefault="00DF7DC3" w:rsidP="00905409">
      <w:pPr>
        <w:tabs>
          <w:tab w:val="center" w:pos="4680"/>
        </w:tabs>
        <w:suppressAutoHyphens/>
        <w:rPr>
          <w:rFonts w:ascii="Arial" w:hAnsi="Arial" w:cs="Arial"/>
          <w:b/>
          <w:sz w:val="36"/>
          <w:szCs w:val="36"/>
        </w:rPr>
        <w:sectPr w:rsidR="00DF7DC3" w:rsidRPr="008E7086" w:rsidSect="00043C83">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0" w:footer="720" w:gutter="0"/>
          <w:pgNumType w:start="1"/>
          <w:cols w:space="720"/>
          <w:noEndnote/>
        </w:sectPr>
      </w:pPr>
    </w:p>
    <w:p w:rsidR="005D711E" w:rsidRPr="0077381F" w:rsidRDefault="00425941" w:rsidP="00905409">
      <w:pPr>
        <w:pStyle w:val="Heading1"/>
        <w:tabs>
          <w:tab w:val="left" w:pos="180"/>
          <w:tab w:val="left" w:pos="270"/>
        </w:tabs>
        <w:rPr>
          <w:rFonts w:ascii="Arial" w:hAnsi="Arial" w:cs="Arial"/>
          <w:sz w:val="26"/>
          <w:szCs w:val="26"/>
          <w:u w:val="none"/>
        </w:rPr>
      </w:pPr>
      <w:r w:rsidRPr="0077381F">
        <w:rPr>
          <w:rFonts w:ascii="Arial" w:hAnsi="Arial" w:cs="Arial"/>
          <w:sz w:val="26"/>
          <w:szCs w:val="26"/>
          <w:u w:val="none"/>
        </w:rPr>
        <w:lastRenderedPageBreak/>
        <w:t>PECO ENERGY COMPANY</w:t>
      </w:r>
    </w:p>
    <w:p w:rsidR="005D711E" w:rsidRPr="0077381F" w:rsidRDefault="005D711E" w:rsidP="00905409">
      <w:pPr>
        <w:tabs>
          <w:tab w:val="left" w:pos="180"/>
          <w:tab w:val="left" w:pos="270"/>
        </w:tabs>
        <w:suppressAutoHyphens/>
        <w:rPr>
          <w:rFonts w:ascii="Arial" w:hAnsi="Arial" w:cs="Arial"/>
          <w:szCs w:val="24"/>
        </w:rPr>
      </w:pPr>
    </w:p>
    <w:p w:rsidR="005D711E" w:rsidRPr="00095A87" w:rsidRDefault="00095A87" w:rsidP="00905409">
      <w:pPr>
        <w:rPr>
          <w:rFonts w:ascii="Arial" w:hAnsi="Arial" w:cs="Arial"/>
          <w:b/>
          <w:sz w:val="26"/>
          <w:szCs w:val="26"/>
        </w:rPr>
      </w:pPr>
      <w:r>
        <w:rPr>
          <w:rFonts w:ascii="Arial" w:hAnsi="Arial" w:cs="Arial"/>
          <w:b/>
          <w:sz w:val="26"/>
          <w:szCs w:val="26"/>
        </w:rPr>
        <w:t xml:space="preserve">Table of </w:t>
      </w:r>
      <w:r w:rsidR="005D711E" w:rsidRPr="00095A87">
        <w:rPr>
          <w:rFonts w:ascii="Arial" w:hAnsi="Arial" w:cs="Arial"/>
          <w:b/>
          <w:sz w:val="26"/>
          <w:szCs w:val="26"/>
        </w:rPr>
        <w:t>Contents</w:t>
      </w:r>
    </w:p>
    <w:p w:rsidR="00101D15" w:rsidRPr="008E7086" w:rsidRDefault="00101D15" w:rsidP="00905409">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8E7086" w:rsidTr="001657F8">
        <w:tc>
          <w:tcPr>
            <w:tcW w:w="8478" w:type="dxa"/>
            <w:tcBorders>
              <w:top w:val="nil"/>
              <w:left w:val="nil"/>
              <w:bottom w:val="nil"/>
              <w:right w:val="nil"/>
            </w:tcBorders>
          </w:tcPr>
          <w:p w:rsidR="005D711E" w:rsidRPr="008E7086" w:rsidRDefault="005D711E"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8E7086" w:rsidRDefault="005D711E" w:rsidP="00905409">
            <w:pPr>
              <w:pStyle w:val="EndnoteText"/>
              <w:tabs>
                <w:tab w:val="left" w:pos="-720"/>
                <w:tab w:val="left" w:pos="180"/>
                <w:tab w:val="left" w:pos="270"/>
              </w:tabs>
              <w:suppressAutoHyphens/>
              <w:rPr>
                <w:rFonts w:ascii="Arial" w:hAnsi="Arial" w:cs="Arial"/>
                <w:b/>
                <w:szCs w:val="24"/>
                <w:u w:val="single"/>
                <w:lang w:val="en-US" w:eastAsia="en-US"/>
              </w:rPr>
            </w:pPr>
            <w:r w:rsidRPr="008E7086">
              <w:rPr>
                <w:rFonts w:ascii="Arial" w:hAnsi="Arial" w:cs="Arial"/>
                <w:b/>
                <w:szCs w:val="24"/>
                <w:u w:val="single"/>
                <w:lang w:val="en-US" w:eastAsia="en-US"/>
              </w:rPr>
              <w:t>Page</w:t>
            </w:r>
          </w:p>
        </w:tc>
      </w:tr>
      <w:tr w:rsidR="00423EEA" w:rsidRPr="008E7086" w:rsidTr="001657F8">
        <w:tc>
          <w:tcPr>
            <w:tcW w:w="8478" w:type="dxa"/>
            <w:tcBorders>
              <w:top w:val="nil"/>
              <w:left w:val="nil"/>
              <w:bottom w:val="nil"/>
              <w:right w:val="nil"/>
            </w:tcBorders>
          </w:tcPr>
          <w:p w:rsidR="00423EEA" w:rsidRPr="008E7086" w:rsidRDefault="00423EEA"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423EEA" w:rsidRPr="008E7086" w:rsidRDefault="00423EEA" w:rsidP="00905409">
            <w:pPr>
              <w:pStyle w:val="EndnoteText"/>
              <w:tabs>
                <w:tab w:val="right" w:pos="562"/>
              </w:tabs>
              <w:suppressAutoHyphens/>
              <w:rPr>
                <w:rFonts w:ascii="Arial" w:hAnsi="Arial" w:cs="Arial"/>
                <w:szCs w:val="24"/>
                <w:lang w:val="en-US" w:eastAsia="en-US"/>
              </w:rPr>
            </w:pPr>
          </w:p>
        </w:tc>
      </w:tr>
      <w:tr w:rsidR="005D711E" w:rsidRPr="008E7086" w:rsidTr="001657F8">
        <w:tc>
          <w:tcPr>
            <w:tcW w:w="8478" w:type="dxa"/>
            <w:tcBorders>
              <w:top w:val="nil"/>
              <w:left w:val="nil"/>
              <w:bottom w:val="nil"/>
              <w:right w:val="nil"/>
            </w:tcBorders>
          </w:tcPr>
          <w:p w:rsidR="005D711E" w:rsidRPr="008E7086" w:rsidRDefault="005D711E" w:rsidP="00037B1E">
            <w:pPr>
              <w:tabs>
                <w:tab w:val="left" w:pos="-720"/>
                <w:tab w:val="left" w:pos="180"/>
                <w:tab w:val="left" w:pos="270"/>
              </w:tabs>
              <w:suppressAutoHyphens/>
              <w:jc w:val="left"/>
              <w:rPr>
                <w:rFonts w:ascii="Arial" w:hAnsi="Arial" w:cs="Arial"/>
                <w:b/>
                <w:szCs w:val="24"/>
              </w:rPr>
            </w:pPr>
            <w:r w:rsidRPr="008E7086">
              <w:rPr>
                <w:rFonts w:ascii="Arial" w:hAnsi="Arial" w:cs="Arial"/>
                <w:b/>
                <w:szCs w:val="24"/>
                <w:u w:val="single"/>
              </w:rPr>
              <w:t>FINANCIAL REVIEW</w:t>
            </w:r>
            <w:r w:rsidRPr="008E7086">
              <w:rPr>
                <w:rFonts w:ascii="Arial" w:hAnsi="Arial" w:cs="Arial"/>
                <w:b/>
                <w:szCs w:val="24"/>
              </w:rPr>
              <w:t xml:space="preserve"> </w:t>
            </w:r>
          </w:p>
        </w:tc>
        <w:tc>
          <w:tcPr>
            <w:tcW w:w="1098" w:type="dxa"/>
            <w:tcBorders>
              <w:top w:val="nil"/>
              <w:left w:val="nil"/>
              <w:bottom w:val="nil"/>
              <w:right w:val="nil"/>
            </w:tcBorders>
          </w:tcPr>
          <w:p w:rsidR="005D711E" w:rsidRPr="008E7086" w:rsidRDefault="005D711E" w:rsidP="00905409">
            <w:pPr>
              <w:pStyle w:val="EndnoteText"/>
              <w:tabs>
                <w:tab w:val="right" w:pos="562"/>
              </w:tabs>
              <w:suppressAutoHyphens/>
              <w:rPr>
                <w:rFonts w:ascii="Arial" w:hAnsi="Arial" w:cs="Arial"/>
                <w:szCs w:val="24"/>
                <w:lang w:val="en-US" w:eastAsia="en-US"/>
              </w:rPr>
            </w:pPr>
          </w:p>
        </w:tc>
      </w:tr>
      <w:tr w:rsidR="00101D15" w:rsidRPr="008E7086" w:rsidTr="001657F8">
        <w:tc>
          <w:tcPr>
            <w:tcW w:w="8478" w:type="dxa"/>
            <w:tcBorders>
              <w:top w:val="nil"/>
              <w:left w:val="nil"/>
              <w:bottom w:val="nil"/>
              <w:right w:val="nil"/>
            </w:tcBorders>
          </w:tcPr>
          <w:p w:rsidR="00101D15" w:rsidRPr="008E7086" w:rsidRDefault="00101D15" w:rsidP="00037B1E">
            <w:pPr>
              <w:pStyle w:val="EndnoteText"/>
              <w:tabs>
                <w:tab w:val="left" w:pos="-720"/>
                <w:tab w:val="left" w:pos="360"/>
                <w:tab w:val="left" w:pos="540"/>
                <w:tab w:val="left" w:pos="810"/>
                <w:tab w:val="left" w:pos="9180"/>
              </w:tabs>
              <w:suppressAutoHyphens/>
              <w:jc w:val="left"/>
              <w:rPr>
                <w:rFonts w:ascii="Arial" w:hAnsi="Arial" w:cs="Arial"/>
                <w:szCs w:val="24"/>
                <w:lang w:val="en-US" w:eastAsia="en-US"/>
              </w:rPr>
            </w:pPr>
          </w:p>
        </w:tc>
        <w:tc>
          <w:tcPr>
            <w:tcW w:w="1098" w:type="dxa"/>
            <w:tcBorders>
              <w:top w:val="nil"/>
              <w:left w:val="nil"/>
              <w:bottom w:val="nil"/>
              <w:right w:val="nil"/>
            </w:tcBorders>
          </w:tcPr>
          <w:p w:rsidR="00101D15" w:rsidRPr="008E7086" w:rsidRDefault="00101D15" w:rsidP="00905409">
            <w:pPr>
              <w:pStyle w:val="EndnoteText"/>
              <w:tabs>
                <w:tab w:val="right" w:pos="562"/>
              </w:tabs>
              <w:suppressAutoHyphens/>
              <w:rPr>
                <w:rFonts w:ascii="Arial" w:hAnsi="Arial" w:cs="Arial"/>
                <w:szCs w:val="24"/>
                <w:lang w:val="en-US" w:eastAsia="en-US"/>
              </w:rPr>
            </w:pPr>
          </w:p>
        </w:tc>
      </w:tr>
      <w:tr w:rsidR="005D711E" w:rsidRPr="008E7086" w:rsidTr="000A6103">
        <w:tc>
          <w:tcPr>
            <w:tcW w:w="8478" w:type="dxa"/>
            <w:tcBorders>
              <w:top w:val="nil"/>
              <w:left w:val="nil"/>
              <w:bottom w:val="nil"/>
              <w:right w:val="nil"/>
            </w:tcBorders>
          </w:tcPr>
          <w:p w:rsidR="005D711E" w:rsidRPr="008E7086" w:rsidRDefault="005D711E" w:rsidP="00037B1E">
            <w:pPr>
              <w:pStyle w:val="EndnoteText"/>
              <w:tabs>
                <w:tab w:val="left" w:pos="-720"/>
                <w:tab w:val="left" w:pos="360"/>
                <w:tab w:val="left" w:pos="540"/>
                <w:tab w:val="left" w:pos="810"/>
                <w:tab w:val="left" w:pos="9180"/>
              </w:tabs>
              <w:suppressAutoHyphens/>
              <w:jc w:val="left"/>
              <w:rPr>
                <w:rFonts w:ascii="Arial" w:hAnsi="Arial" w:cs="Arial"/>
                <w:szCs w:val="24"/>
                <w:lang w:val="en-US" w:eastAsia="en-US"/>
              </w:rPr>
            </w:pPr>
            <w:r w:rsidRPr="008E7086">
              <w:rPr>
                <w:rFonts w:ascii="Arial" w:hAnsi="Arial" w:cs="Arial"/>
                <w:szCs w:val="24"/>
                <w:lang w:val="en-US" w:eastAsia="en-US"/>
              </w:rPr>
              <w:tab/>
            </w:r>
            <w:r w:rsidR="00C06521" w:rsidRPr="008E7086">
              <w:rPr>
                <w:rFonts w:ascii="Arial" w:hAnsi="Arial" w:cs="Arial"/>
                <w:szCs w:val="24"/>
                <w:lang w:val="en-US" w:eastAsia="en-US"/>
              </w:rPr>
              <w:t xml:space="preserve">Independent </w:t>
            </w:r>
            <w:r w:rsidRPr="008E7086">
              <w:rPr>
                <w:rFonts w:ascii="Arial" w:hAnsi="Arial" w:cs="Arial"/>
                <w:szCs w:val="24"/>
                <w:lang w:val="en-US" w:eastAsia="en-US"/>
              </w:rPr>
              <w:t>Auditor's Report</w:t>
            </w:r>
          </w:p>
        </w:tc>
        <w:tc>
          <w:tcPr>
            <w:tcW w:w="1098" w:type="dxa"/>
            <w:tcBorders>
              <w:top w:val="nil"/>
              <w:left w:val="nil"/>
              <w:bottom w:val="nil"/>
              <w:right w:val="nil"/>
            </w:tcBorders>
            <w:vAlign w:val="bottom"/>
          </w:tcPr>
          <w:p w:rsidR="005D711E" w:rsidRPr="008E7086" w:rsidRDefault="0067451B" w:rsidP="000A6103">
            <w:pPr>
              <w:pStyle w:val="EndnoteText"/>
              <w:tabs>
                <w:tab w:val="right" w:pos="562"/>
              </w:tabs>
              <w:suppressAutoHyphens/>
              <w:rPr>
                <w:rFonts w:ascii="Arial" w:hAnsi="Arial" w:cs="Arial"/>
                <w:szCs w:val="24"/>
                <w:lang w:val="en-US" w:eastAsia="en-US"/>
              </w:rPr>
            </w:pPr>
            <w:r w:rsidRPr="008E7086">
              <w:rPr>
                <w:rFonts w:ascii="Arial" w:hAnsi="Arial" w:cs="Arial"/>
                <w:szCs w:val="24"/>
                <w:lang w:val="en-US" w:eastAsia="en-US"/>
              </w:rPr>
              <w:t>1</w:t>
            </w:r>
          </w:p>
        </w:tc>
      </w:tr>
      <w:tr w:rsidR="004755F0" w:rsidRPr="008E7086" w:rsidTr="000A6103">
        <w:tc>
          <w:tcPr>
            <w:tcW w:w="8478" w:type="dxa"/>
            <w:tcBorders>
              <w:top w:val="nil"/>
              <w:left w:val="nil"/>
              <w:bottom w:val="nil"/>
              <w:right w:val="nil"/>
            </w:tcBorders>
          </w:tcPr>
          <w:p w:rsidR="00991813" w:rsidRPr="008E7086" w:rsidRDefault="00991813" w:rsidP="00037B1E">
            <w:pPr>
              <w:pStyle w:val="EndnoteText"/>
              <w:tabs>
                <w:tab w:val="left" w:pos="9180"/>
              </w:tabs>
              <w:suppressAutoHyphens/>
              <w:ind w:left="360"/>
              <w:jc w:val="left"/>
              <w:rPr>
                <w:rFonts w:ascii="Arial" w:hAnsi="Arial" w:cs="Arial"/>
                <w:szCs w:val="24"/>
                <w:lang w:val="en-US" w:eastAsia="en-US"/>
              </w:rPr>
            </w:pPr>
          </w:p>
          <w:p w:rsidR="004755F0" w:rsidRPr="008E7086" w:rsidRDefault="0091529D" w:rsidP="00365A2D">
            <w:pPr>
              <w:pStyle w:val="EndnoteText"/>
              <w:tabs>
                <w:tab w:val="left" w:pos="9180"/>
              </w:tabs>
              <w:suppressAutoHyphens/>
              <w:ind w:left="360"/>
              <w:jc w:val="left"/>
              <w:rPr>
                <w:rFonts w:ascii="Arial" w:hAnsi="Arial" w:cs="Arial"/>
                <w:szCs w:val="24"/>
                <w:lang w:val="en-US" w:eastAsia="en-US"/>
              </w:rPr>
            </w:pPr>
            <w:r>
              <w:rPr>
                <w:rFonts w:ascii="Arial" w:hAnsi="Arial" w:cs="Arial"/>
                <w:szCs w:val="24"/>
                <w:lang w:val="en-US" w:eastAsia="en-US"/>
              </w:rPr>
              <w:t xml:space="preserve">Condensed </w:t>
            </w:r>
            <w:r w:rsidR="00E56A7B" w:rsidRPr="008E7086">
              <w:rPr>
                <w:rFonts w:ascii="Arial" w:hAnsi="Arial" w:cs="Arial"/>
                <w:szCs w:val="24"/>
                <w:lang w:val="en-US" w:eastAsia="en-US"/>
              </w:rPr>
              <w:t>Statement of Generation S</w:t>
            </w:r>
            <w:r w:rsidR="00991813" w:rsidRPr="008E7086">
              <w:rPr>
                <w:rFonts w:ascii="Arial" w:hAnsi="Arial" w:cs="Arial"/>
                <w:szCs w:val="24"/>
                <w:lang w:val="en-US" w:eastAsia="en-US"/>
              </w:rPr>
              <w:t>upply</w:t>
            </w:r>
            <w:r w:rsidR="00E56A7B" w:rsidRPr="008E7086">
              <w:rPr>
                <w:rFonts w:ascii="Arial" w:hAnsi="Arial" w:cs="Arial"/>
                <w:szCs w:val="24"/>
                <w:lang w:val="en-US" w:eastAsia="en-US"/>
              </w:rPr>
              <w:t xml:space="preserve"> </w:t>
            </w:r>
            <w:r w:rsidR="00A052A6" w:rsidRPr="008E7086">
              <w:rPr>
                <w:rFonts w:ascii="Arial" w:hAnsi="Arial" w:cs="Arial"/>
                <w:szCs w:val="24"/>
                <w:lang w:val="en-US" w:eastAsia="en-US"/>
              </w:rPr>
              <w:t xml:space="preserve">Adjustment </w:t>
            </w:r>
            <w:r w:rsidR="00BB2BCC" w:rsidRPr="008E7086">
              <w:rPr>
                <w:rFonts w:ascii="Arial" w:hAnsi="Arial" w:cs="Arial"/>
                <w:szCs w:val="24"/>
                <w:lang w:val="en-US" w:eastAsia="en-US"/>
              </w:rPr>
              <w:t>(GS</w:t>
            </w:r>
            <w:r w:rsidR="00A052A6" w:rsidRPr="008E7086">
              <w:rPr>
                <w:rFonts w:ascii="Arial" w:hAnsi="Arial" w:cs="Arial"/>
                <w:szCs w:val="24"/>
                <w:lang w:val="en-US" w:eastAsia="en-US"/>
              </w:rPr>
              <w:t>A</w:t>
            </w:r>
            <w:r w:rsidR="00BB2BCC" w:rsidRPr="008E7086">
              <w:rPr>
                <w:rFonts w:ascii="Arial" w:hAnsi="Arial" w:cs="Arial"/>
                <w:szCs w:val="24"/>
                <w:lang w:val="en-US" w:eastAsia="en-US"/>
              </w:rPr>
              <w:t>)</w:t>
            </w:r>
            <w:r w:rsidR="00E56A7B" w:rsidRPr="008E7086">
              <w:rPr>
                <w:rFonts w:ascii="Arial" w:hAnsi="Arial" w:cs="Arial"/>
                <w:szCs w:val="24"/>
                <w:lang w:val="en-US" w:eastAsia="en-US"/>
              </w:rPr>
              <w:t xml:space="preserve"> Over/(Under) </w:t>
            </w:r>
            <w:r w:rsidR="00BF3FC7" w:rsidRPr="008E7086">
              <w:rPr>
                <w:rFonts w:ascii="Arial" w:hAnsi="Arial" w:cs="Arial"/>
                <w:szCs w:val="24"/>
                <w:lang w:val="en-US" w:eastAsia="en-US"/>
              </w:rPr>
              <w:t>Collection</w:t>
            </w:r>
            <w:r w:rsidR="00991BAA" w:rsidRPr="008E7086">
              <w:rPr>
                <w:rFonts w:ascii="Arial" w:hAnsi="Arial" w:cs="Arial"/>
                <w:szCs w:val="24"/>
                <w:lang w:val="en-US" w:eastAsia="en-US"/>
              </w:rPr>
              <w:t>s</w:t>
            </w:r>
            <w:r w:rsidR="00BF3FC7" w:rsidRPr="008E7086">
              <w:rPr>
                <w:rFonts w:ascii="Arial" w:hAnsi="Arial" w:cs="Arial"/>
                <w:szCs w:val="24"/>
                <w:lang w:val="en-US" w:eastAsia="en-US"/>
              </w:rPr>
              <w:t xml:space="preserve"> (Section 1307(e)</w:t>
            </w:r>
            <w:r w:rsidR="00344493" w:rsidRPr="008E7086">
              <w:rPr>
                <w:rFonts w:ascii="Arial" w:hAnsi="Arial" w:cs="Arial"/>
                <w:szCs w:val="24"/>
                <w:lang w:val="en-US" w:eastAsia="en-US"/>
              </w:rPr>
              <w:t>)</w:t>
            </w:r>
            <w:r w:rsidR="00BF3FC7" w:rsidRPr="008E7086">
              <w:rPr>
                <w:rFonts w:ascii="Arial" w:hAnsi="Arial" w:cs="Arial"/>
                <w:szCs w:val="24"/>
                <w:lang w:val="en-US" w:eastAsia="en-US"/>
              </w:rPr>
              <w:t xml:space="preserve"> </w:t>
            </w:r>
            <w:r w:rsidR="00E56A7B" w:rsidRPr="008E7086">
              <w:rPr>
                <w:rFonts w:ascii="Arial" w:hAnsi="Arial" w:cs="Arial"/>
                <w:szCs w:val="24"/>
                <w:lang w:val="en-US" w:eastAsia="en-US"/>
              </w:rPr>
              <w:t xml:space="preserve">For The </w:t>
            </w:r>
            <w:r w:rsidR="00A052A6" w:rsidRPr="008E7086">
              <w:rPr>
                <w:rFonts w:ascii="Arial" w:hAnsi="Arial" w:cs="Arial"/>
                <w:szCs w:val="24"/>
                <w:lang w:val="en-US" w:eastAsia="en-US"/>
              </w:rPr>
              <w:t xml:space="preserve">Twelve </w:t>
            </w:r>
            <w:r>
              <w:rPr>
                <w:rFonts w:ascii="Arial" w:hAnsi="Arial" w:cs="Arial"/>
                <w:szCs w:val="24"/>
                <w:lang w:val="en-US" w:eastAsia="en-US"/>
              </w:rPr>
              <w:t xml:space="preserve">Months Ended </w:t>
            </w:r>
            <w:r w:rsidR="00A052A6" w:rsidRPr="008E7086">
              <w:rPr>
                <w:rFonts w:ascii="Arial" w:hAnsi="Arial" w:cs="Arial"/>
                <w:szCs w:val="24"/>
                <w:lang w:val="en-US" w:eastAsia="en-US"/>
              </w:rPr>
              <w:t>December</w:t>
            </w:r>
            <w:r w:rsidR="00A143F7" w:rsidRPr="008E7086">
              <w:rPr>
                <w:rFonts w:ascii="Arial" w:hAnsi="Arial" w:cs="Arial"/>
                <w:szCs w:val="24"/>
                <w:lang w:val="en-US" w:eastAsia="en-US"/>
              </w:rPr>
              <w:t xml:space="preserve"> 31</w:t>
            </w:r>
            <w:r w:rsidR="00E56A7B" w:rsidRPr="008E7086">
              <w:rPr>
                <w:rFonts w:ascii="Arial" w:hAnsi="Arial" w:cs="Arial"/>
                <w:szCs w:val="24"/>
                <w:lang w:val="en-US" w:eastAsia="en-US"/>
              </w:rPr>
              <w:t>, 2011</w:t>
            </w:r>
          </w:p>
        </w:tc>
        <w:tc>
          <w:tcPr>
            <w:tcW w:w="1098" w:type="dxa"/>
            <w:tcBorders>
              <w:top w:val="nil"/>
              <w:left w:val="nil"/>
              <w:bottom w:val="nil"/>
              <w:right w:val="nil"/>
            </w:tcBorders>
            <w:vAlign w:val="bottom"/>
          </w:tcPr>
          <w:p w:rsidR="004755F0" w:rsidRPr="008E7086" w:rsidRDefault="004755F0" w:rsidP="000A6103">
            <w:pPr>
              <w:tabs>
                <w:tab w:val="right" w:pos="562"/>
              </w:tabs>
              <w:suppressAutoHyphens/>
              <w:rPr>
                <w:rFonts w:ascii="Arial" w:hAnsi="Arial" w:cs="Arial"/>
                <w:szCs w:val="24"/>
              </w:rPr>
            </w:pPr>
          </w:p>
          <w:p w:rsidR="004755F0" w:rsidRPr="008E7086" w:rsidRDefault="004755F0" w:rsidP="000A6103">
            <w:pPr>
              <w:rPr>
                <w:rFonts w:ascii="Arial" w:hAnsi="Arial" w:cs="Arial"/>
                <w:szCs w:val="24"/>
              </w:rPr>
            </w:pPr>
          </w:p>
          <w:p w:rsidR="00356D1C" w:rsidRPr="008E7086" w:rsidRDefault="00356D1C" w:rsidP="000A6103">
            <w:pPr>
              <w:rPr>
                <w:rFonts w:ascii="Arial" w:hAnsi="Arial" w:cs="Arial"/>
                <w:szCs w:val="24"/>
              </w:rPr>
            </w:pPr>
          </w:p>
          <w:p w:rsidR="004755F0" w:rsidRPr="008E7086" w:rsidRDefault="00356D1C" w:rsidP="000A6103">
            <w:pPr>
              <w:rPr>
                <w:rFonts w:ascii="Arial" w:hAnsi="Arial" w:cs="Arial"/>
                <w:szCs w:val="24"/>
              </w:rPr>
            </w:pPr>
            <w:r w:rsidRPr="008E7086">
              <w:rPr>
                <w:rFonts w:ascii="Arial" w:hAnsi="Arial" w:cs="Arial"/>
                <w:szCs w:val="24"/>
              </w:rPr>
              <w:t>2</w:t>
            </w:r>
          </w:p>
        </w:tc>
      </w:tr>
      <w:tr w:rsidR="00991813" w:rsidRPr="008E7086" w:rsidTr="000A6103">
        <w:tc>
          <w:tcPr>
            <w:tcW w:w="8478" w:type="dxa"/>
            <w:tcBorders>
              <w:top w:val="nil"/>
              <w:left w:val="nil"/>
              <w:bottom w:val="nil"/>
              <w:right w:val="nil"/>
            </w:tcBorders>
          </w:tcPr>
          <w:p w:rsidR="00991813" w:rsidRPr="008E7086" w:rsidRDefault="00991813" w:rsidP="00037B1E">
            <w:pPr>
              <w:pStyle w:val="EndnoteText"/>
              <w:tabs>
                <w:tab w:val="left" w:pos="9180"/>
              </w:tabs>
              <w:suppressAutoHyphens/>
              <w:ind w:left="360"/>
              <w:jc w:val="left"/>
              <w:rPr>
                <w:rFonts w:ascii="Arial" w:hAnsi="Arial" w:cs="Arial"/>
                <w:szCs w:val="24"/>
                <w:lang w:val="en-US" w:eastAsia="en-US"/>
              </w:rPr>
            </w:pPr>
          </w:p>
        </w:tc>
        <w:tc>
          <w:tcPr>
            <w:tcW w:w="1098" w:type="dxa"/>
            <w:tcBorders>
              <w:top w:val="nil"/>
              <w:left w:val="nil"/>
              <w:bottom w:val="nil"/>
              <w:right w:val="nil"/>
            </w:tcBorders>
            <w:vAlign w:val="bottom"/>
          </w:tcPr>
          <w:p w:rsidR="00991813" w:rsidRPr="008E7086" w:rsidRDefault="00991813" w:rsidP="000A6103">
            <w:pPr>
              <w:tabs>
                <w:tab w:val="right" w:pos="562"/>
              </w:tabs>
              <w:suppressAutoHyphens/>
              <w:rPr>
                <w:rFonts w:ascii="Arial" w:hAnsi="Arial" w:cs="Arial"/>
                <w:szCs w:val="24"/>
              </w:rPr>
            </w:pPr>
          </w:p>
        </w:tc>
      </w:tr>
      <w:tr w:rsidR="00991813" w:rsidRPr="008E7086" w:rsidTr="000A6103">
        <w:tc>
          <w:tcPr>
            <w:tcW w:w="8478" w:type="dxa"/>
            <w:tcBorders>
              <w:top w:val="nil"/>
              <w:left w:val="nil"/>
              <w:bottom w:val="nil"/>
              <w:right w:val="nil"/>
            </w:tcBorders>
          </w:tcPr>
          <w:p w:rsidR="00991813" w:rsidRPr="008E7086" w:rsidRDefault="00991813" w:rsidP="00037B1E">
            <w:pPr>
              <w:tabs>
                <w:tab w:val="left" w:pos="390"/>
                <w:tab w:val="left" w:pos="9180"/>
              </w:tabs>
              <w:suppressAutoHyphens/>
              <w:ind w:left="360"/>
              <w:jc w:val="left"/>
              <w:rPr>
                <w:rFonts w:ascii="Arial" w:hAnsi="Arial" w:cs="Arial"/>
                <w:szCs w:val="24"/>
              </w:rPr>
            </w:pPr>
            <w:r w:rsidRPr="008E7086">
              <w:rPr>
                <w:rFonts w:ascii="Arial" w:hAnsi="Arial" w:cs="Arial"/>
                <w:szCs w:val="24"/>
              </w:rPr>
              <w:t>Notes To The Financial Statement</w:t>
            </w:r>
          </w:p>
        </w:tc>
        <w:tc>
          <w:tcPr>
            <w:tcW w:w="1098" w:type="dxa"/>
            <w:tcBorders>
              <w:top w:val="nil"/>
              <w:left w:val="nil"/>
              <w:bottom w:val="nil"/>
              <w:right w:val="nil"/>
            </w:tcBorders>
            <w:vAlign w:val="bottom"/>
          </w:tcPr>
          <w:p w:rsidR="00991813" w:rsidRPr="008E7086" w:rsidRDefault="00A052A6" w:rsidP="000A6103">
            <w:pPr>
              <w:tabs>
                <w:tab w:val="right" w:pos="562"/>
              </w:tabs>
              <w:suppressAutoHyphens/>
              <w:rPr>
                <w:rFonts w:ascii="Arial" w:hAnsi="Arial" w:cs="Arial"/>
                <w:szCs w:val="24"/>
              </w:rPr>
            </w:pPr>
            <w:r w:rsidRPr="008E7086">
              <w:rPr>
                <w:rFonts w:ascii="Arial" w:hAnsi="Arial" w:cs="Arial"/>
                <w:szCs w:val="24"/>
              </w:rPr>
              <w:t>3</w:t>
            </w:r>
          </w:p>
        </w:tc>
      </w:tr>
      <w:tr w:rsidR="00991813" w:rsidRPr="008E7086" w:rsidTr="000A6103">
        <w:tc>
          <w:tcPr>
            <w:tcW w:w="8478" w:type="dxa"/>
            <w:tcBorders>
              <w:top w:val="nil"/>
              <w:left w:val="nil"/>
              <w:bottom w:val="nil"/>
              <w:right w:val="nil"/>
            </w:tcBorders>
          </w:tcPr>
          <w:p w:rsidR="00991813" w:rsidRPr="008E7086" w:rsidRDefault="00991813" w:rsidP="00037B1E">
            <w:pPr>
              <w:tabs>
                <w:tab w:val="left" w:pos="390"/>
                <w:tab w:val="left" w:pos="9180"/>
              </w:tabs>
              <w:suppressAutoHyphens/>
              <w:ind w:left="360"/>
              <w:jc w:val="left"/>
              <w:rPr>
                <w:rFonts w:ascii="Arial" w:hAnsi="Arial" w:cs="Arial"/>
                <w:szCs w:val="24"/>
              </w:rPr>
            </w:pPr>
          </w:p>
        </w:tc>
        <w:tc>
          <w:tcPr>
            <w:tcW w:w="1098" w:type="dxa"/>
            <w:tcBorders>
              <w:top w:val="nil"/>
              <w:left w:val="nil"/>
              <w:bottom w:val="nil"/>
              <w:right w:val="nil"/>
            </w:tcBorders>
            <w:vAlign w:val="bottom"/>
          </w:tcPr>
          <w:p w:rsidR="00991813" w:rsidRPr="008E7086" w:rsidRDefault="00991813" w:rsidP="000A6103">
            <w:pPr>
              <w:tabs>
                <w:tab w:val="right" w:pos="562"/>
              </w:tabs>
              <w:suppressAutoHyphens/>
              <w:rPr>
                <w:rFonts w:ascii="Arial" w:hAnsi="Arial" w:cs="Arial"/>
                <w:szCs w:val="24"/>
              </w:rPr>
            </w:pPr>
          </w:p>
        </w:tc>
      </w:tr>
      <w:tr w:rsidR="00991813" w:rsidRPr="008E7086" w:rsidTr="000A6103">
        <w:trPr>
          <w:trHeight w:val="252"/>
        </w:trPr>
        <w:tc>
          <w:tcPr>
            <w:tcW w:w="8478" w:type="dxa"/>
            <w:tcBorders>
              <w:top w:val="nil"/>
              <w:left w:val="nil"/>
              <w:bottom w:val="nil"/>
              <w:right w:val="nil"/>
            </w:tcBorders>
          </w:tcPr>
          <w:p w:rsidR="00991813" w:rsidRPr="008E7086" w:rsidRDefault="00991813" w:rsidP="00037B1E">
            <w:pPr>
              <w:tabs>
                <w:tab w:val="left" w:pos="-720"/>
                <w:tab w:val="left" w:pos="360"/>
                <w:tab w:val="left" w:pos="1440"/>
                <w:tab w:val="left" w:pos="9180"/>
              </w:tabs>
              <w:suppressAutoHyphens/>
              <w:jc w:val="left"/>
              <w:rPr>
                <w:rFonts w:ascii="Arial" w:hAnsi="Arial" w:cs="Arial"/>
                <w:b/>
                <w:szCs w:val="24"/>
                <w:u w:val="single"/>
              </w:rPr>
            </w:pPr>
          </w:p>
          <w:p w:rsidR="00991813" w:rsidRPr="008E7086" w:rsidRDefault="00991813" w:rsidP="00037B1E">
            <w:pPr>
              <w:tabs>
                <w:tab w:val="left" w:pos="-720"/>
                <w:tab w:val="left" w:pos="360"/>
                <w:tab w:val="left" w:pos="1440"/>
                <w:tab w:val="left" w:pos="9180"/>
              </w:tabs>
              <w:suppressAutoHyphens/>
              <w:jc w:val="left"/>
              <w:rPr>
                <w:rFonts w:ascii="Arial" w:hAnsi="Arial" w:cs="Arial"/>
                <w:b/>
                <w:szCs w:val="24"/>
                <w:u w:val="single"/>
              </w:rPr>
            </w:pPr>
            <w:r w:rsidRPr="008E7086">
              <w:rPr>
                <w:rFonts w:ascii="Arial" w:hAnsi="Arial" w:cs="Arial"/>
                <w:b/>
                <w:szCs w:val="24"/>
                <w:u w:val="single"/>
              </w:rPr>
              <w:t>BACKGROUND AND OPERATIONAL REVIEW</w:t>
            </w:r>
          </w:p>
        </w:tc>
        <w:tc>
          <w:tcPr>
            <w:tcW w:w="1098" w:type="dxa"/>
            <w:tcBorders>
              <w:top w:val="nil"/>
              <w:left w:val="nil"/>
              <w:bottom w:val="nil"/>
              <w:right w:val="nil"/>
            </w:tcBorders>
            <w:vAlign w:val="bottom"/>
          </w:tcPr>
          <w:p w:rsidR="00991813" w:rsidRPr="008E7086" w:rsidRDefault="009D2912" w:rsidP="000A6103">
            <w:pPr>
              <w:tabs>
                <w:tab w:val="right" w:pos="562"/>
              </w:tabs>
              <w:suppressAutoHyphens/>
              <w:rPr>
                <w:rFonts w:ascii="Arial" w:hAnsi="Arial" w:cs="Arial"/>
                <w:szCs w:val="24"/>
              </w:rPr>
            </w:pPr>
            <w:r>
              <w:rPr>
                <w:rFonts w:ascii="Arial" w:hAnsi="Arial" w:cs="Arial"/>
                <w:szCs w:val="24"/>
              </w:rPr>
              <w:t>5</w:t>
            </w:r>
          </w:p>
        </w:tc>
      </w:tr>
      <w:tr w:rsidR="00991813" w:rsidRPr="008E7086" w:rsidTr="000A6103">
        <w:trPr>
          <w:trHeight w:val="252"/>
        </w:trPr>
        <w:tc>
          <w:tcPr>
            <w:tcW w:w="8478" w:type="dxa"/>
            <w:tcBorders>
              <w:top w:val="nil"/>
              <w:left w:val="nil"/>
              <w:bottom w:val="nil"/>
              <w:right w:val="nil"/>
            </w:tcBorders>
          </w:tcPr>
          <w:p w:rsidR="00991813" w:rsidRPr="008E7086" w:rsidRDefault="00991813"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vAlign w:val="bottom"/>
          </w:tcPr>
          <w:p w:rsidR="00991813" w:rsidRPr="008E7086" w:rsidRDefault="00991813" w:rsidP="000A6103">
            <w:pPr>
              <w:tabs>
                <w:tab w:val="right" w:pos="562"/>
              </w:tabs>
              <w:suppressAutoHyphens/>
              <w:rPr>
                <w:rFonts w:ascii="Arial" w:hAnsi="Arial" w:cs="Arial"/>
                <w:szCs w:val="24"/>
              </w:rPr>
            </w:pPr>
          </w:p>
        </w:tc>
      </w:tr>
      <w:tr w:rsidR="000A6103" w:rsidRPr="008E7086" w:rsidTr="000A6103">
        <w:trPr>
          <w:trHeight w:val="252"/>
        </w:trPr>
        <w:tc>
          <w:tcPr>
            <w:tcW w:w="8478" w:type="dxa"/>
            <w:tcBorders>
              <w:top w:val="nil"/>
              <w:left w:val="nil"/>
              <w:bottom w:val="nil"/>
              <w:right w:val="nil"/>
            </w:tcBorders>
          </w:tcPr>
          <w:p w:rsidR="000A6103" w:rsidRPr="008E7086" w:rsidRDefault="000A6103" w:rsidP="000A6103">
            <w:pPr>
              <w:tabs>
                <w:tab w:val="left" w:pos="-720"/>
                <w:tab w:val="left" w:pos="360"/>
                <w:tab w:val="left" w:pos="1440"/>
                <w:tab w:val="left" w:pos="9180"/>
              </w:tabs>
              <w:suppressAutoHyphens/>
              <w:jc w:val="left"/>
              <w:rPr>
                <w:rFonts w:ascii="Arial" w:hAnsi="Arial" w:cs="Arial"/>
                <w:b/>
                <w:szCs w:val="24"/>
                <w:u w:val="single"/>
              </w:rPr>
            </w:pPr>
            <w:r w:rsidRPr="008E7086">
              <w:rPr>
                <w:rFonts w:ascii="Arial" w:hAnsi="Arial" w:cs="Arial"/>
                <w:b/>
                <w:szCs w:val="24"/>
                <w:u w:val="single"/>
              </w:rPr>
              <w:t>ACKNOWLEDGEMENTS</w:t>
            </w:r>
          </w:p>
        </w:tc>
        <w:tc>
          <w:tcPr>
            <w:tcW w:w="1098" w:type="dxa"/>
            <w:tcBorders>
              <w:top w:val="nil"/>
              <w:left w:val="nil"/>
              <w:bottom w:val="nil"/>
              <w:right w:val="nil"/>
            </w:tcBorders>
            <w:vAlign w:val="bottom"/>
          </w:tcPr>
          <w:p w:rsidR="000A6103" w:rsidRPr="008E7086" w:rsidRDefault="009D2912" w:rsidP="000A6103">
            <w:pPr>
              <w:tabs>
                <w:tab w:val="right" w:pos="562"/>
              </w:tabs>
              <w:suppressAutoHyphens/>
              <w:rPr>
                <w:rFonts w:ascii="Arial" w:hAnsi="Arial" w:cs="Arial"/>
                <w:szCs w:val="24"/>
              </w:rPr>
            </w:pPr>
            <w:r>
              <w:rPr>
                <w:rFonts w:ascii="Arial" w:hAnsi="Arial" w:cs="Arial"/>
                <w:szCs w:val="24"/>
              </w:rPr>
              <w:t>6</w:t>
            </w:r>
          </w:p>
        </w:tc>
      </w:tr>
    </w:tbl>
    <w:p w:rsidR="00FB1D8B" w:rsidRPr="008E7086" w:rsidRDefault="000A6103" w:rsidP="00905409">
      <w:pPr>
        <w:tabs>
          <w:tab w:val="center" w:pos="468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B1D8B" w:rsidRPr="008E7086" w:rsidRDefault="00FB1D8B" w:rsidP="00905409">
      <w:pPr>
        <w:tabs>
          <w:tab w:val="center" w:pos="4680"/>
        </w:tabs>
        <w:suppressAutoHyphens/>
        <w:rPr>
          <w:rFonts w:ascii="Arial" w:hAnsi="Arial" w:cs="Arial"/>
          <w:szCs w:val="24"/>
        </w:rPr>
      </w:pPr>
    </w:p>
    <w:p w:rsidR="005D711E" w:rsidRPr="008E7086" w:rsidRDefault="005D711E" w:rsidP="00905409">
      <w:pPr>
        <w:tabs>
          <w:tab w:val="center" w:pos="4680"/>
        </w:tabs>
        <w:suppressAutoHyphens/>
        <w:rPr>
          <w:rFonts w:ascii="Arial" w:hAnsi="Arial" w:cs="Arial"/>
          <w:szCs w:val="24"/>
        </w:rPr>
      </w:pPr>
    </w:p>
    <w:p w:rsidR="00592663" w:rsidRPr="008E7086" w:rsidRDefault="00592663" w:rsidP="00905409">
      <w:pPr>
        <w:tabs>
          <w:tab w:val="center" w:pos="4680"/>
        </w:tabs>
        <w:suppressAutoHyphens/>
        <w:rPr>
          <w:rFonts w:ascii="Arial" w:hAnsi="Arial" w:cs="Arial"/>
          <w:szCs w:val="24"/>
        </w:rPr>
      </w:pPr>
    </w:p>
    <w:p w:rsidR="00B8416D" w:rsidRPr="008E7086" w:rsidRDefault="00B8416D" w:rsidP="00905409">
      <w:pPr>
        <w:tabs>
          <w:tab w:val="center" w:pos="4680"/>
        </w:tabs>
        <w:suppressAutoHyphens/>
        <w:rPr>
          <w:rFonts w:ascii="Arial" w:hAnsi="Arial" w:cs="Arial"/>
          <w:szCs w:val="24"/>
        </w:rPr>
      </w:pPr>
    </w:p>
    <w:p w:rsidR="0067451B" w:rsidRPr="008E7086" w:rsidRDefault="0067451B" w:rsidP="00905409">
      <w:pPr>
        <w:tabs>
          <w:tab w:val="center" w:pos="4680"/>
        </w:tabs>
        <w:suppressAutoHyphens/>
        <w:rPr>
          <w:rFonts w:ascii="Arial" w:hAnsi="Arial" w:cs="Arial"/>
          <w:szCs w:val="24"/>
        </w:rPr>
      </w:pPr>
    </w:p>
    <w:p w:rsidR="00901A3F" w:rsidRPr="008E7086" w:rsidRDefault="00901A3F" w:rsidP="00905409">
      <w:pPr>
        <w:tabs>
          <w:tab w:val="left" w:pos="-1440"/>
          <w:tab w:val="left" w:pos="-720"/>
        </w:tabs>
        <w:suppressAutoHyphens/>
        <w:rPr>
          <w:rFonts w:ascii="Arial" w:hAnsi="Arial" w:cs="Arial"/>
          <w:szCs w:val="24"/>
        </w:rPr>
      </w:pPr>
    </w:p>
    <w:p w:rsidR="00B613F2" w:rsidRPr="008E7086" w:rsidRDefault="00B613F2" w:rsidP="00905409">
      <w:pPr>
        <w:tabs>
          <w:tab w:val="center" w:pos="4680"/>
        </w:tabs>
        <w:suppressAutoHyphens/>
        <w:rPr>
          <w:rFonts w:ascii="Arial" w:hAnsi="Arial" w:cs="Arial"/>
          <w:szCs w:val="24"/>
        </w:rPr>
        <w:sectPr w:rsidR="00B613F2" w:rsidRPr="008E7086" w:rsidSect="0034358F">
          <w:headerReference w:type="even" r:id="rId15"/>
          <w:headerReference w:type="default" r:id="rId16"/>
          <w:footerReference w:type="default" r:id="rId17"/>
          <w:headerReference w:type="first" r:id="rId18"/>
          <w:endnotePr>
            <w:numFmt w:val="decimal"/>
          </w:endnotePr>
          <w:pgSz w:w="12240" w:h="15840" w:code="1"/>
          <w:pgMar w:top="1440" w:right="1440" w:bottom="1152" w:left="1440" w:header="0" w:footer="720" w:gutter="0"/>
          <w:pgNumType w:start="1"/>
          <w:cols w:space="720"/>
          <w:noEndnote/>
        </w:sectPr>
      </w:pPr>
    </w:p>
    <w:p w:rsidR="005D711E" w:rsidRPr="008E7086" w:rsidRDefault="005D711E" w:rsidP="00905409">
      <w:pPr>
        <w:pStyle w:val="Heading4"/>
        <w:tabs>
          <w:tab w:val="clear" w:pos="4680"/>
        </w:tabs>
        <w:rPr>
          <w:rFonts w:ascii="Arial" w:hAnsi="Arial" w:cs="Arial"/>
          <w:sz w:val="36"/>
          <w:szCs w:val="36"/>
          <w:u w:val="none"/>
        </w:rPr>
      </w:pPr>
      <w:r w:rsidRPr="008E7086">
        <w:rPr>
          <w:rFonts w:ascii="Arial" w:hAnsi="Arial" w:cs="Arial"/>
          <w:sz w:val="36"/>
          <w:szCs w:val="36"/>
          <w:u w:val="none"/>
        </w:rPr>
        <w:lastRenderedPageBreak/>
        <w:t>FINANCIAL REVIEW</w:t>
      </w:r>
    </w:p>
    <w:p w:rsidR="005D711E" w:rsidRPr="008E7086" w:rsidRDefault="005D711E" w:rsidP="00905409">
      <w:pPr>
        <w:tabs>
          <w:tab w:val="left" w:pos="-1440"/>
          <w:tab w:val="left" w:pos="-720"/>
        </w:tabs>
        <w:suppressAutoHyphens/>
        <w:rPr>
          <w:rFonts w:ascii="Arial" w:hAnsi="Arial" w:cs="Arial"/>
          <w:szCs w:val="24"/>
        </w:rPr>
      </w:pPr>
    </w:p>
    <w:p w:rsidR="005D711E" w:rsidRPr="008E7086" w:rsidRDefault="005D711E" w:rsidP="00905409">
      <w:pPr>
        <w:tabs>
          <w:tab w:val="left" w:pos="1440"/>
          <w:tab w:val="center" w:pos="4464"/>
        </w:tabs>
        <w:suppressAutoHyphens/>
        <w:rPr>
          <w:rFonts w:ascii="Arial" w:hAnsi="Arial" w:cs="Arial"/>
          <w:szCs w:val="24"/>
        </w:rPr>
        <w:sectPr w:rsidR="005D711E" w:rsidRPr="008E7086" w:rsidSect="00043C83">
          <w:endnotePr>
            <w:numFmt w:val="decimal"/>
          </w:endnotePr>
          <w:pgSz w:w="12240" w:h="15840" w:code="1"/>
          <w:pgMar w:top="1440" w:right="1440" w:bottom="1152"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8E7086">
        <w:trPr>
          <w:trHeight w:val="990"/>
        </w:trPr>
        <w:tc>
          <w:tcPr>
            <w:tcW w:w="1363" w:type="dxa"/>
          </w:tcPr>
          <w:p w:rsidR="005D711E" w:rsidRPr="008E7086" w:rsidRDefault="0095013E" w:rsidP="00905409">
            <w:pPr>
              <w:rPr>
                <w:rFonts w:ascii="Arial" w:hAnsi="Arial" w:cs="Arial"/>
                <w:szCs w:val="24"/>
              </w:rPr>
            </w:pPr>
            <w:r w:rsidRPr="008E7086">
              <w:rPr>
                <w:rFonts w:ascii="Arial" w:hAnsi="Arial" w:cs="Arial"/>
                <w:noProof/>
                <w:spacing w:val="-2"/>
                <w:szCs w:val="24"/>
              </w:rPr>
              <w:lastRenderedPageBreak/>
              <w:drawing>
                <wp:inline distT="0" distB="0" distL="0" distR="0" wp14:anchorId="148711D5" wp14:editId="1CC3DC0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D711E" w:rsidRPr="008E7086" w:rsidRDefault="005D711E" w:rsidP="00905409">
            <w:pPr>
              <w:suppressAutoHyphens/>
              <w:spacing w:line="204" w:lineRule="auto"/>
              <w:rPr>
                <w:rFonts w:ascii="Arial" w:hAnsi="Arial" w:cs="Arial"/>
                <w:color w:val="000080"/>
                <w:spacing w:val="-3"/>
                <w:szCs w:val="24"/>
              </w:rPr>
            </w:pPr>
          </w:p>
          <w:p w:rsidR="005D711E" w:rsidRPr="008E7086" w:rsidRDefault="005D711E" w:rsidP="00905409">
            <w:pPr>
              <w:suppressAutoHyphens/>
              <w:spacing w:line="204" w:lineRule="auto"/>
              <w:rPr>
                <w:rFonts w:ascii="Arial" w:hAnsi="Arial" w:cs="Arial"/>
                <w:color w:val="000080"/>
                <w:spacing w:val="-3"/>
                <w:szCs w:val="24"/>
              </w:rPr>
            </w:pPr>
            <w:r w:rsidRPr="008E7086">
              <w:rPr>
                <w:rFonts w:ascii="Arial" w:hAnsi="Arial" w:cs="Arial"/>
                <w:color w:val="000080"/>
                <w:spacing w:val="-3"/>
                <w:szCs w:val="24"/>
              </w:rPr>
              <w:t>COMMONWEALTH OF PENNSYLVANIA</w:t>
            </w:r>
          </w:p>
          <w:p w:rsidR="005D711E" w:rsidRPr="008E7086" w:rsidRDefault="005D711E" w:rsidP="00905409">
            <w:pPr>
              <w:suppressAutoHyphens/>
              <w:spacing w:line="204" w:lineRule="auto"/>
              <w:rPr>
                <w:rFonts w:ascii="Arial" w:hAnsi="Arial" w:cs="Arial"/>
                <w:color w:val="000080"/>
                <w:spacing w:val="-3"/>
                <w:szCs w:val="24"/>
              </w:rPr>
            </w:pPr>
            <w:r w:rsidRPr="008E7086">
              <w:rPr>
                <w:rFonts w:ascii="Arial" w:hAnsi="Arial" w:cs="Arial"/>
                <w:color w:val="000080"/>
                <w:spacing w:val="-3"/>
                <w:szCs w:val="24"/>
              </w:rPr>
              <w:t>PENNSYLVANIA PUBLIC UTILITY COMMISSION</w:t>
            </w:r>
          </w:p>
          <w:p w:rsidR="005D711E" w:rsidRPr="008E7086" w:rsidRDefault="005D711E" w:rsidP="00905409">
            <w:pPr>
              <w:rPr>
                <w:rFonts w:ascii="Arial" w:hAnsi="Arial" w:cs="Arial"/>
                <w:szCs w:val="24"/>
              </w:rPr>
            </w:pPr>
            <w:r w:rsidRPr="008E7086">
              <w:rPr>
                <w:rFonts w:ascii="Arial" w:hAnsi="Arial" w:cs="Arial"/>
                <w:color w:val="000080"/>
                <w:spacing w:val="-3"/>
                <w:szCs w:val="24"/>
              </w:rPr>
              <w:t>P.O. BOX 3265, HARRISBURG, PA 17105-3265</w:t>
            </w:r>
          </w:p>
        </w:tc>
        <w:tc>
          <w:tcPr>
            <w:tcW w:w="1452" w:type="dxa"/>
          </w:tcPr>
          <w:p w:rsidR="005D711E" w:rsidRPr="008E7086" w:rsidRDefault="005D711E" w:rsidP="00905409">
            <w:pPr>
              <w:rPr>
                <w:rFonts w:ascii="Arial" w:hAnsi="Arial" w:cs="Arial"/>
                <w:szCs w:val="24"/>
              </w:rPr>
            </w:pPr>
          </w:p>
          <w:p w:rsidR="005D711E" w:rsidRPr="008E7086" w:rsidRDefault="005D711E" w:rsidP="00905409">
            <w:pPr>
              <w:rPr>
                <w:rFonts w:ascii="Arial" w:hAnsi="Arial" w:cs="Arial"/>
                <w:szCs w:val="24"/>
              </w:rPr>
            </w:pPr>
          </w:p>
          <w:p w:rsidR="005D711E" w:rsidRPr="008E7086" w:rsidRDefault="005D711E" w:rsidP="00905409">
            <w:pPr>
              <w:rPr>
                <w:rFonts w:ascii="Arial" w:hAnsi="Arial" w:cs="Arial"/>
                <w:szCs w:val="24"/>
              </w:rPr>
            </w:pPr>
            <w:r w:rsidRPr="008E7086">
              <w:rPr>
                <w:rFonts w:ascii="Arial" w:hAnsi="Arial" w:cs="Arial"/>
                <w:b/>
                <w:spacing w:val="-1"/>
                <w:sz w:val="16"/>
                <w:szCs w:val="24"/>
              </w:rPr>
              <w:t>IN REPLY PLEASE REFER TO OUR FILE</w:t>
            </w:r>
          </w:p>
        </w:tc>
      </w:tr>
    </w:tbl>
    <w:p w:rsidR="005D711E" w:rsidRPr="008E7086" w:rsidRDefault="005D711E" w:rsidP="00905409">
      <w:pPr>
        <w:pStyle w:val="Heading1"/>
        <w:tabs>
          <w:tab w:val="clear" w:pos="4680"/>
        </w:tabs>
        <w:jc w:val="left"/>
        <w:rPr>
          <w:rFonts w:ascii="Arial" w:hAnsi="Arial" w:cs="Arial"/>
          <w:szCs w:val="24"/>
        </w:rPr>
      </w:pPr>
    </w:p>
    <w:p w:rsidR="005D711E" w:rsidRPr="0077381F" w:rsidRDefault="007D31BC" w:rsidP="00905409">
      <w:pPr>
        <w:pStyle w:val="Heading1"/>
        <w:tabs>
          <w:tab w:val="clear" w:pos="4680"/>
        </w:tabs>
        <w:rPr>
          <w:rFonts w:ascii="Arial" w:hAnsi="Arial" w:cs="Arial"/>
          <w:sz w:val="26"/>
          <w:szCs w:val="26"/>
          <w:u w:val="none"/>
        </w:rPr>
      </w:pPr>
      <w:r w:rsidRPr="0077381F">
        <w:rPr>
          <w:rFonts w:ascii="Arial" w:hAnsi="Arial" w:cs="Arial"/>
          <w:sz w:val="26"/>
          <w:szCs w:val="26"/>
          <w:u w:val="none"/>
        </w:rPr>
        <w:t xml:space="preserve">INDEPENDENT </w:t>
      </w:r>
      <w:r w:rsidR="005D711E" w:rsidRPr="0077381F">
        <w:rPr>
          <w:rFonts w:ascii="Arial" w:hAnsi="Arial" w:cs="Arial"/>
          <w:sz w:val="26"/>
          <w:szCs w:val="26"/>
          <w:u w:val="none"/>
        </w:rPr>
        <w:t>AUDITOR'S REPORT</w:t>
      </w:r>
    </w:p>
    <w:p w:rsidR="005D711E" w:rsidRPr="0077381F" w:rsidRDefault="005D711E" w:rsidP="00905409">
      <w:pPr>
        <w:suppressAutoHyphens/>
        <w:rPr>
          <w:rFonts w:ascii="Arial" w:hAnsi="Arial" w:cs="Arial"/>
          <w:b/>
          <w:sz w:val="26"/>
          <w:szCs w:val="26"/>
        </w:rPr>
      </w:pPr>
    </w:p>
    <w:p w:rsidR="005D711E" w:rsidRPr="0059214F" w:rsidRDefault="005D711E" w:rsidP="00905409">
      <w:pPr>
        <w:pStyle w:val="Heading1"/>
        <w:tabs>
          <w:tab w:val="clear" w:pos="4680"/>
        </w:tabs>
        <w:rPr>
          <w:rFonts w:ascii="Arial" w:hAnsi="Arial" w:cs="Arial"/>
          <w:sz w:val="26"/>
          <w:szCs w:val="26"/>
          <w:u w:val="none"/>
        </w:rPr>
      </w:pPr>
      <w:r w:rsidRPr="0059214F">
        <w:rPr>
          <w:rFonts w:ascii="Arial" w:hAnsi="Arial" w:cs="Arial"/>
          <w:sz w:val="26"/>
          <w:szCs w:val="26"/>
          <w:u w:val="none"/>
        </w:rPr>
        <w:t xml:space="preserve">To The </w:t>
      </w:r>
      <w:r w:rsidR="00E14185" w:rsidRPr="0059214F">
        <w:rPr>
          <w:rFonts w:ascii="Arial" w:hAnsi="Arial" w:cs="Arial"/>
          <w:sz w:val="26"/>
          <w:szCs w:val="26"/>
          <w:u w:val="none"/>
        </w:rPr>
        <w:t xml:space="preserve">Pennsylvania </w:t>
      </w:r>
      <w:r w:rsidRPr="0059214F">
        <w:rPr>
          <w:rFonts w:ascii="Arial" w:hAnsi="Arial" w:cs="Arial"/>
          <w:sz w:val="26"/>
          <w:szCs w:val="26"/>
          <w:u w:val="none"/>
        </w:rPr>
        <w:t>Public Utility Commission</w:t>
      </w:r>
    </w:p>
    <w:p w:rsidR="005D711E" w:rsidRPr="008E7086" w:rsidRDefault="005D711E" w:rsidP="00905409">
      <w:pPr>
        <w:suppressAutoHyphens/>
        <w:rPr>
          <w:rFonts w:ascii="Arial" w:hAnsi="Arial" w:cs="Arial"/>
          <w:szCs w:val="24"/>
        </w:rPr>
      </w:pPr>
    </w:p>
    <w:p w:rsidR="00CF2F5B" w:rsidRPr="008E7086" w:rsidRDefault="00CF2F5B" w:rsidP="00905409">
      <w:pPr>
        <w:suppressAutoHyphens/>
        <w:rPr>
          <w:rFonts w:ascii="Arial" w:hAnsi="Arial" w:cs="Arial"/>
          <w:szCs w:val="24"/>
        </w:rPr>
      </w:pPr>
    </w:p>
    <w:p w:rsidR="007924CA" w:rsidRPr="00BE0936" w:rsidRDefault="004B1A15" w:rsidP="009A2FA8">
      <w:pPr>
        <w:suppressAutoHyphens/>
        <w:jc w:val="left"/>
        <w:rPr>
          <w:rFonts w:ascii="Arial" w:hAnsi="Arial" w:cs="Arial"/>
          <w:szCs w:val="24"/>
        </w:rPr>
      </w:pPr>
      <w:r>
        <w:rPr>
          <w:rFonts w:ascii="Arial" w:hAnsi="Arial" w:cs="Arial"/>
          <w:szCs w:val="24"/>
        </w:rPr>
        <w:tab/>
      </w:r>
      <w:r w:rsidR="005D711E" w:rsidRPr="008E7086">
        <w:rPr>
          <w:rFonts w:ascii="Arial" w:hAnsi="Arial" w:cs="Arial"/>
          <w:szCs w:val="24"/>
        </w:rPr>
        <w:t xml:space="preserve">We have audited </w:t>
      </w:r>
      <w:r w:rsidR="00425941" w:rsidRPr="008E7086">
        <w:rPr>
          <w:rFonts w:ascii="Arial" w:hAnsi="Arial" w:cs="Arial"/>
          <w:szCs w:val="24"/>
        </w:rPr>
        <w:t>PECO E</w:t>
      </w:r>
      <w:r w:rsidR="00BD16D2" w:rsidRPr="008E7086">
        <w:rPr>
          <w:rFonts w:ascii="Arial" w:hAnsi="Arial" w:cs="Arial"/>
          <w:szCs w:val="24"/>
        </w:rPr>
        <w:t>nergy</w:t>
      </w:r>
      <w:r w:rsidR="00425941" w:rsidRPr="008E7086">
        <w:rPr>
          <w:rFonts w:ascii="Arial" w:hAnsi="Arial" w:cs="Arial"/>
          <w:szCs w:val="24"/>
        </w:rPr>
        <w:t xml:space="preserve"> C</w:t>
      </w:r>
      <w:r w:rsidR="00BD16D2" w:rsidRPr="008E7086">
        <w:rPr>
          <w:rFonts w:ascii="Arial" w:hAnsi="Arial" w:cs="Arial"/>
          <w:szCs w:val="24"/>
        </w:rPr>
        <w:t>ompany</w:t>
      </w:r>
      <w:r w:rsidR="00515CD6" w:rsidRPr="008E7086">
        <w:rPr>
          <w:rFonts w:ascii="Arial" w:hAnsi="Arial" w:cs="Arial"/>
          <w:szCs w:val="24"/>
        </w:rPr>
        <w:t>’s</w:t>
      </w:r>
      <w:r w:rsidR="000577C0" w:rsidRPr="008E7086">
        <w:rPr>
          <w:rFonts w:ascii="Arial" w:hAnsi="Arial" w:cs="Arial"/>
          <w:szCs w:val="24"/>
        </w:rPr>
        <w:t xml:space="preserve"> </w:t>
      </w:r>
      <w:r w:rsidR="00E56A7B" w:rsidRPr="008E7086">
        <w:rPr>
          <w:rFonts w:ascii="Arial" w:hAnsi="Arial" w:cs="Arial"/>
          <w:szCs w:val="24"/>
        </w:rPr>
        <w:t xml:space="preserve">Generation </w:t>
      </w:r>
      <w:r w:rsidR="00991813" w:rsidRPr="008E7086">
        <w:rPr>
          <w:rFonts w:ascii="Arial" w:hAnsi="Arial" w:cs="Arial"/>
          <w:szCs w:val="24"/>
        </w:rPr>
        <w:t>Supply</w:t>
      </w:r>
      <w:r w:rsidR="007D10AA" w:rsidRPr="008E7086">
        <w:rPr>
          <w:rFonts w:ascii="Arial" w:hAnsi="Arial" w:cs="Arial"/>
          <w:szCs w:val="24"/>
        </w:rPr>
        <w:t xml:space="preserve"> </w:t>
      </w:r>
      <w:r w:rsidR="00BD16D2" w:rsidRPr="008E7086">
        <w:rPr>
          <w:rFonts w:ascii="Arial" w:hAnsi="Arial" w:cs="Arial"/>
          <w:szCs w:val="24"/>
        </w:rPr>
        <w:t>Adjustment</w:t>
      </w:r>
      <w:r w:rsidR="00FF4FD6">
        <w:rPr>
          <w:rFonts w:ascii="Arial" w:hAnsi="Arial" w:cs="Arial"/>
          <w:szCs w:val="24"/>
        </w:rPr>
        <w:t xml:space="preserve"> </w:t>
      </w:r>
      <w:r w:rsidR="00BD16D2" w:rsidRPr="008E7086">
        <w:rPr>
          <w:rFonts w:ascii="Arial" w:hAnsi="Arial" w:cs="Arial"/>
          <w:szCs w:val="24"/>
        </w:rPr>
        <w:t>(</w:t>
      </w:r>
      <w:r w:rsidR="00344493" w:rsidRPr="008E7086">
        <w:rPr>
          <w:rFonts w:ascii="Arial" w:hAnsi="Arial" w:cs="Arial"/>
          <w:szCs w:val="24"/>
        </w:rPr>
        <w:t>GS</w:t>
      </w:r>
      <w:r w:rsidR="00BD16D2" w:rsidRPr="008E7086">
        <w:rPr>
          <w:rFonts w:ascii="Arial" w:hAnsi="Arial" w:cs="Arial"/>
          <w:szCs w:val="24"/>
        </w:rPr>
        <w:t>A</w:t>
      </w:r>
      <w:r w:rsidR="00344493" w:rsidRPr="008E7086">
        <w:rPr>
          <w:rFonts w:ascii="Arial" w:hAnsi="Arial" w:cs="Arial"/>
          <w:szCs w:val="24"/>
        </w:rPr>
        <w:t xml:space="preserve">) </w:t>
      </w:r>
      <w:r w:rsidR="00A27F48" w:rsidRPr="008E7086">
        <w:rPr>
          <w:rFonts w:ascii="Arial" w:hAnsi="Arial" w:cs="Arial"/>
          <w:szCs w:val="24"/>
        </w:rPr>
        <w:t>Over</w:t>
      </w:r>
      <w:r w:rsidR="00872000" w:rsidRPr="008E7086">
        <w:rPr>
          <w:rFonts w:ascii="Arial" w:hAnsi="Arial" w:cs="Arial"/>
          <w:szCs w:val="24"/>
        </w:rPr>
        <w:t>/</w:t>
      </w:r>
      <w:r w:rsidR="00A27F48" w:rsidRPr="008E7086">
        <w:rPr>
          <w:rFonts w:ascii="Arial" w:hAnsi="Arial" w:cs="Arial"/>
          <w:szCs w:val="24"/>
        </w:rPr>
        <w:t xml:space="preserve">Under Collections </w:t>
      </w:r>
      <w:r w:rsidR="00FF4FD6">
        <w:rPr>
          <w:rFonts w:ascii="Arial" w:hAnsi="Arial" w:cs="Arial"/>
          <w:szCs w:val="24"/>
        </w:rPr>
        <w:t xml:space="preserve">(Section 1307(e)) </w:t>
      </w:r>
      <w:r w:rsidR="00A27F48" w:rsidRPr="008E7086">
        <w:rPr>
          <w:rFonts w:ascii="Arial" w:hAnsi="Arial" w:cs="Arial"/>
          <w:szCs w:val="24"/>
        </w:rPr>
        <w:t xml:space="preserve">for </w:t>
      </w:r>
      <w:r w:rsidR="001C5737" w:rsidRPr="008E7086">
        <w:rPr>
          <w:rFonts w:ascii="Arial" w:hAnsi="Arial" w:cs="Arial"/>
          <w:szCs w:val="24"/>
        </w:rPr>
        <w:t xml:space="preserve">the </w:t>
      </w:r>
      <w:r w:rsidR="00BD16D2" w:rsidRPr="008E7086">
        <w:rPr>
          <w:rFonts w:ascii="Arial" w:hAnsi="Arial" w:cs="Arial"/>
          <w:szCs w:val="24"/>
        </w:rPr>
        <w:t>twelve</w:t>
      </w:r>
      <w:r w:rsidR="00A27F48" w:rsidRPr="008E7086">
        <w:rPr>
          <w:rFonts w:ascii="Arial" w:hAnsi="Arial" w:cs="Arial"/>
          <w:szCs w:val="24"/>
        </w:rPr>
        <w:t xml:space="preserve"> months </w:t>
      </w:r>
      <w:r w:rsidR="00B62271" w:rsidRPr="008E7086">
        <w:rPr>
          <w:rFonts w:ascii="Arial" w:hAnsi="Arial" w:cs="Arial"/>
          <w:szCs w:val="24"/>
        </w:rPr>
        <w:t>e</w:t>
      </w:r>
      <w:r w:rsidR="005D711E" w:rsidRPr="008E7086">
        <w:rPr>
          <w:rFonts w:ascii="Arial" w:hAnsi="Arial" w:cs="Arial"/>
          <w:szCs w:val="24"/>
        </w:rPr>
        <w:t xml:space="preserve">nded </w:t>
      </w:r>
      <w:r w:rsidR="00406758" w:rsidRPr="008E7086">
        <w:rPr>
          <w:rFonts w:ascii="Arial" w:hAnsi="Arial" w:cs="Arial"/>
          <w:szCs w:val="24"/>
        </w:rPr>
        <w:t>December</w:t>
      </w:r>
      <w:r w:rsidR="00E56A7B" w:rsidRPr="008E7086">
        <w:rPr>
          <w:rFonts w:ascii="Arial" w:hAnsi="Arial" w:cs="Arial"/>
          <w:szCs w:val="24"/>
        </w:rPr>
        <w:t xml:space="preserve"> 3</w:t>
      </w:r>
      <w:r w:rsidR="00AE1829" w:rsidRPr="008E7086">
        <w:rPr>
          <w:rFonts w:ascii="Arial" w:hAnsi="Arial" w:cs="Arial"/>
          <w:szCs w:val="24"/>
        </w:rPr>
        <w:t>1</w:t>
      </w:r>
      <w:r w:rsidR="00822ADF" w:rsidRPr="008E7086">
        <w:rPr>
          <w:rFonts w:ascii="Arial" w:hAnsi="Arial" w:cs="Arial"/>
          <w:szCs w:val="24"/>
        </w:rPr>
        <w:t>,</w:t>
      </w:r>
      <w:r w:rsidR="00E56A7B" w:rsidRPr="008E7086">
        <w:rPr>
          <w:rFonts w:ascii="Arial" w:hAnsi="Arial" w:cs="Arial"/>
          <w:szCs w:val="24"/>
        </w:rPr>
        <w:t xml:space="preserve"> 2011</w:t>
      </w:r>
      <w:r w:rsidR="00406758" w:rsidRPr="008E7086">
        <w:rPr>
          <w:rFonts w:ascii="Arial" w:hAnsi="Arial" w:cs="Arial"/>
          <w:szCs w:val="24"/>
        </w:rPr>
        <w:t>.</w:t>
      </w:r>
      <w:r w:rsidR="005D711E" w:rsidRPr="008E7086">
        <w:rPr>
          <w:rFonts w:ascii="Arial" w:hAnsi="Arial" w:cs="Arial"/>
          <w:szCs w:val="24"/>
        </w:rPr>
        <w:t xml:space="preserve">  Th</w:t>
      </w:r>
      <w:r w:rsidR="00406758" w:rsidRPr="008E7086">
        <w:rPr>
          <w:rFonts w:ascii="Arial" w:hAnsi="Arial" w:cs="Arial"/>
          <w:szCs w:val="24"/>
        </w:rPr>
        <w:t>is</w:t>
      </w:r>
      <w:r w:rsidR="005D711E" w:rsidRPr="008E7086">
        <w:rPr>
          <w:rFonts w:ascii="Arial" w:hAnsi="Arial" w:cs="Arial"/>
          <w:szCs w:val="24"/>
        </w:rPr>
        <w:t xml:space="preserve"> </w:t>
      </w:r>
      <w:r w:rsidR="00744823">
        <w:rPr>
          <w:rFonts w:ascii="Arial" w:hAnsi="Arial" w:cs="Arial"/>
          <w:szCs w:val="24"/>
        </w:rPr>
        <w:t>s</w:t>
      </w:r>
      <w:r w:rsidR="005D711E" w:rsidRPr="008E7086">
        <w:rPr>
          <w:rFonts w:ascii="Arial" w:hAnsi="Arial" w:cs="Arial"/>
          <w:szCs w:val="24"/>
        </w:rPr>
        <w:t>tatement</w:t>
      </w:r>
      <w:r w:rsidR="00060885" w:rsidRPr="008E7086">
        <w:rPr>
          <w:rFonts w:ascii="Arial" w:hAnsi="Arial" w:cs="Arial"/>
          <w:szCs w:val="24"/>
        </w:rPr>
        <w:t xml:space="preserve"> </w:t>
      </w:r>
      <w:r w:rsidR="00406758" w:rsidRPr="008E7086">
        <w:rPr>
          <w:rFonts w:ascii="Arial" w:hAnsi="Arial" w:cs="Arial"/>
          <w:szCs w:val="24"/>
        </w:rPr>
        <w:t>is</w:t>
      </w:r>
      <w:r w:rsidR="005D711E" w:rsidRPr="008E7086">
        <w:rPr>
          <w:rFonts w:ascii="Arial" w:hAnsi="Arial" w:cs="Arial"/>
          <w:szCs w:val="24"/>
        </w:rPr>
        <w:t xml:space="preserve"> the responsibility of the Company's management.  Our responsibility is to </w:t>
      </w:r>
      <w:r w:rsidR="007924CA" w:rsidRPr="00BE0936">
        <w:rPr>
          <w:rFonts w:ascii="Arial" w:hAnsi="Arial" w:cs="Arial"/>
          <w:szCs w:val="24"/>
        </w:rPr>
        <w:t xml:space="preserve">express an opinion on the </w:t>
      </w:r>
      <w:r w:rsidR="00744823">
        <w:rPr>
          <w:rFonts w:ascii="Arial" w:hAnsi="Arial" w:cs="Arial"/>
          <w:szCs w:val="24"/>
        </w:rPr>
        <w:t>s</w:t>
      </w:r>
      <w:r w:rsidR="007924CA" w:rsidRPr="00BE0936">
        <w:rPr>
          <w:rFonts w:ascii="Arial" w:hAnsi="Arial" w:cs="Arial"/>
          <w:szCs w:val="24"/>
        </w:rPr>
        <w:t>tatement based on our audit.</w:t>
      </w:r>
    </w:p>
    <w:p w:rsidR="005D711E" w:rsidRPr="008E7086" w:rsidRDefault="005D711E" w:rsidP="009A2FA8">
      <w:pPr>
        <w:suppressAutoHyphens/>
        <w:ind w:firstLine="720"/>
        <w:jc w:val="left"/>
        <w:rPr>
          <w:rFonts w:ascii="Arial" w:hAnsi="Arial" w:cs="Arial"/>
          <w:szCs w:val="24"/>
        </w:rPr>
      </w:pPr>
    </w:p>
    <w:p w:rsidR="005D711E" w:rsidRPr="008E7086" w:rsidRDefault="005D711E" w:rsidP="009A2FA8">
      <w:pPr>
        <w:suppressAutoHyphens/>
        <w:jc w:val="left"/>
        <w:rPr>
          <w:rFonts w:ascii="Arial" w:hAnsi="Arial" w:cs="Arial"/>
          <w:szCs w:val="24"/>
        </w:rPr>
      </w:pPr>
      <w:r w:rsidRPr="008E7086">
        <w:rPr>
          <w:rFonts w:ascii="Arial" w:hAnsi="Arial" w:cs="Arial"/>
          <w:szCs w:val="24"/>
        </w:rPr>
        <w:tab/>
        <w:t>We conducted our audit in accordance with auditing standards</w:t>
      </w:r>
      <w:r w:rsidR="00F45DAA" w:rsidRPr="008E7086">
        <w:rPr>
          <w:rFonts w:ascii="Arial" w:hAnsi="Arial" w:cs="Arial"/>
          <w:szCs w:val="24"/>
        </w:rPr>
        <w:t xml:space="preserve"> </w:t>
      </w:r>
      <w:r w:rsidR="00991BAA" w:rsidRPr="008E7086">
        <w:rPr>
          <w:rFonts w:ascii="Arial" w:hAnsi="Arial" w:cs="Arial"/>
          <w:szCs w:val="24"/>
        </w:rPr>
        <w:t xml:space="preserve">generally </w:t>
      </w:r>
      <w:r w:rsidR="00F45DAA" w:rsidRPr="008E7086">
        <w:rPr>
          <w:rFonts w:ascii="Arial" w:hAnsi="Arial" w:cs="Arial"/>
          <w:szCs w:val="24"/>
        </w:rPr>
        <w:t>accepted in the United States of America</w:t>
      </w:r>
      <w:r w:rsidRPr="008E7086">
        <w:rPr>
          <w:rFonts w:ascii="Arial" w:hAnsi="Arial" w:cs="Arial"/>
          <w:szCs w:val="24"/>
        </w:rPr>
        <w:t xml:space="preserve">. </w:t>
      </w:r>
      <w:r w:rsidR="00792451" w:rsidRPr="008E7086">
        <w:rPr>
          <w:rFonts w:ascii="Arial" w:hAnsi="Arial" w:cs="Arial"/>
          <w:szCs w:val="24"/>
        </w:rPr>
        <w:t xml:space="preserve"> </w:t>
      </w:r>
      <w:r w:rsidRPr="008E7086">
        <w:rPr>
          <w:rFonts w:ascii="Arial" w:hAnsi="Arial" w:cs="Arial"/>
          <w:szCs w:val="24"/>
        </w:rPr>
        <w:t xml:space="preserve">These standards require that we plan and perform the audit to obtain reasonable assurance about whether the specified statement </w:t>
      </w:r>
      <w:r w:rsidR="004B1A15">
        <w:rPr>
          <w:rFonts w:ascii="Arial" w:hAnsi="Arial" w:cs="Arial"/>
          <w:szCs w:val="24"/>
        </w:rPr>
        <w:t>is</w:t>
      </w:r>
      <w:r w:rsidRPr="008E7086">
        <w:rPr>
          <w:rFonts w:ascii="Arial" w:hAnsi="Arial" w:cs="Arial"/>
          <w:szCs w:val="24"/>
        </w:rPr>
        <w:t xml:space="preserve"> free of material misstatement.  </w:t>
      </w:r>
      <w:r w:rsidR="00E56A7B" w:rsidRPr="008E7086">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8E7086">
        <w:rPr>
          <w:rFonts w:ascii="Arial" w:hAnsi="Arial" w:cs="Arial"/>
          <w:szCs w:val="24"/>
        </w:rPr>
        <w:t>An audit includes examining, on a test basis, evidence supporting the amounts a</w:t>
      </w:r>
      <w:r w:rsidR="00EA0CD1">
        <w:rPr>
          <w:rFonts w:ascii="Arial" w:hAnsi="Arial" w:cs="Arial"/>
          <w:szCs w:val="24"/>
        </w:rPr>
        <w:t>nd disclosures in the statement</w:t>
      </w:r>
      <w:r w:rsidRPr="008E7086">
        <w:rPr>
          <w:rFonts w:ascii="Arial" w:hAnsi="Arial" w:cs="Arial"/>
          <w:szCs w:val="24"/>
        </w:rPr>
        <w:t xml:space="preserve">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8E7086" w:rsidRDefault="005D711E" w:rsidP="009A2FA8">
      <w:pPr>
        <w:suppressAutoHyphens/>
        <w:jc w:val="left"/>
        <w:rPr>
          <w:rFonts w:ascii="Arial" w:hAnsi="Arial" w:cs="Arial"/>
          <w:szCs w:val="24"/>
        </w:rPr>
      </w:pPr>
    </w:p>
    <w:p w:rsidR="00EA0CD1" w:rsidRPr="00936DE2" w:rsidRDefault="00EA0CD1" w:rsidP="009A2FA8">
      <w:pPr>
        <w:suppressAutoHyphens/>
        <w:jc w:val="left"/>
        <w:rPr>
          <w:rFonts w:ascii="Arial" w:hAnsi="Arial" w:cs="Arial"/>
          <w:szCs w:val="24"/>
        </w:rPr>
      </w:pPr>
      <w:r>
        <w:rPr>
          <w:rFonts w:ascii="Arial" w:hAnsi="Arial" w:cs="Arial"/>
          <w:szCs w:val="24"/>
        </w:rPr>
        <w:tab/>
      </w:r>
      <w:r w:rsidRPr="00936DE2">
        <w:rPr>
          <w:rFonts w:ascii="Arial" w:hAnsi="Arial" w:cs="Arial"/>
          <w:szCs w:val="24"/>
        </w:rPr>
        <w:t xml:space="preserve">The </w:t>
      </w:r>
      <w:r>
        <w:rPr>
          <w:rFonts w:ascii="Arial" w:hAnsi="Arial" w:cs="Arial"/>
          <w:szCs w:val="24"/>
        </w:rPr>
        <w:t>S</w:t>
      </w:r>
      <w:r w:rsidRPr="00936DE2">
        <w:rPr>
          <w:rFonts w:ascii="Arial" w:hAnsi="Arial" w:cs="Arial"/>
          <w:szCs w:val="24"/>
        </w:rPr>
        <w:t>tatement</w:t>
      </w:r>
      <w:r>
        <w:rPr>
          <w:rFonts w:ascii="Arial" w:hAnsi="Arial" w:cs="Arial"/>
          <w:szCs w:val="24"/>
        </w:rPr>
        <w:t xml:space="preserve"> of Generation Supply Adjustment </w:t>
      </w:r>
      <w:r w:rsidRPr="00BE0936">
        <w:rPr>
          <w:rFonts w:ascii="Arial" w:hAnsi="Arial" w:cs="Arial"/>
          <w:szCs w:val="24"/>
        </w:rPr>
        <w:t>(</w:t>
      </w:r>
      <w:r>
        <w:rPr>
          <w:rFonts w:ascii="Arial" w:hAnsi="Arial" w:cs="Arial"/>
          <w:szCs w:val="24"/>
        </w:rPr>
        <w:t>GSA</w:t>
      </w:r>
      <w:r w:rsidRPr="00BE0936">
        <w:rPr>
          <w:rFonts w:ascii="Arial" w:hAnsi="Arial" w:cs="Arial"/>
          <w:szCs w:val="24"/>
        </w:rPr>
        <w:t xml:space="preserve">) </w:t>
      </w:r>
      <w:r>
        <w:rPr>
          <w:rFonts w:ascii="Arial" w:hAnsi="Arial" w:cs="Arial"/>
          <w:szCs w:val="24"/>
        </w:rPr>
        <w:t xml:space="preserve">Over/Under Collections was </w:t>
      </w:r>
      <w:r w:rsidRPr="00936DE2">
        <w:rPr>
          <w:rFonts w:ascii="Arial" w:hAnsi="Arial" w:cs="Arial"/>
          <w:szCs w:val="24"/>
        </w:rPr>
        <w:t>prepared for the purpose of complying with the rules and regulations</w:t>
      </w:r>
      <w:r>
        <w:rPr>
          <w:rFonts w:ascii="Arial" w:hAnsi="Arial" w:cs="Arial"/>
          <w:szCs w:val="24"/>
        </w:rPr>
        <w:t xml:space="preserve"> (Section 1307(e))</w:t>
      </w:r>
      <w:r w:rsidRPr="00936DE2">
        <w:rPr>
          <w:rFonts w:ascii="Arial" w:hAnsi="Arial" w:cs="Arial"/>
          <w:szCs w:val="24"/>
        </w:rPr>
        <w:t xml:space="preserve"> of the Pennsylvania Public Utility Commission and </w:t>
      </w:r>
      <w:r>
        <w:rPr>
          <w:rFonts w:ascii="Arial" w:hAnsi="Arial" w:cs="Arial"/>
          <w:szCs w:val="24"/>
        </w:rPr>
        <w:t>is</w:t>
      </w:r>
      <w:r w:rsidRPr="00936DE2">
        <w:rPr>
          <w:rFonts w:ascii="Arial" w:hAnsi="Arial" w:cs="Arial"/>
          <w:szCs w:val="24"/>
        </w:rPr>
        <w:t xml:space="preserve"> not intended to be a complete presentation of the Company's revenues and expenses.</w:t>
      </w:r>
    </w:p>
    <w:p w:rsidR="005D711E" w:rsidRDefault="005D711E" w:rsidP="009A2FA8">
      <w:pPr>
        <w:suppressAutoHyphens/>
        <w:jc w:val="left"/>
        <w:rPr>
          <w:rFonts w:ascii="Arial" w:hAnsi="Arial" w:cs="Arial"/>
          <w:szCs w:val="24"/>
        </w:rPr>
      </w:pPr>
      <w:r w:rsidRPr="008E7086">
        <w:rPr>
          <w:rFonts w:ascii="Arial" w:hAnsi="Arial" w:cs="Arial"/>
          <w:szCs w:val="24"/>
        </w:rPr>
        <w:tab/>
      </w:r>
    </w:p>
    <w:p w:rsidR="00EA0CD1" w:rsidRPr="00936DE2" w:rsidRDefault="00EA0CD1" w:rsidP="009A2FA8">
      <w:pPr>
        <w:suppressAutoHyphens/>
        <w:jc w:val="left"/>
        <w:rPr>
          <w:rFonts w:ascii="Arial" w:hAnsi="Arial" w:cs="Arial"/>
          <w:szCs w:val="24"/>
        </w:rPr>
      </w:pPr>
      <w:r>
        <w:rPr>
          <w:rFonts w:ascii="Arial" w:hAnsi="Arial" w:cs="Arial"/>
          <w:szCs w:val="24"/>
        </w:rPr>
        <w:tab/>
      </w:r>
      <w:r w:rsidRPr="00936DE2">
        <w:rPr>
          <w:rFonts w:ascii="Arial" w:hAnsi="Arial" w:cs="Arial"/>
          <w:szCs w:val="24"/>
        </w:rPr>
        <w:t xml:space="preserve">In our opinion, </w:t>
      </w:r>
      <w:r>
        <w:rPr>
          <w:rFonts w:ascii="Arial" w:hAnsi="Arial" w:cs="Arial"/>
          <w:szCs w:val="24"/>
        </w:rPr>
        <w:t xml:space="preserve">the information set forth in </w:t>
      </w:r>
      <w:r w:rsidRPr="00936DE2">
        <w:rPr>
          <w:rFonts w:ascii="Arial" w:hAnsi="Arial" w:cs="Arial"/>
          <w:szCs w:val="24"/>
        </w:rPr>
        <w:t xml:space="preserve">the accompanying </w:t>
      </w:r>
      <w:r>
        <w:rPr>
          <w:rFonts w:ascii="Arial" w:hAnsi="Arial" w:cs="Arial"/>
          <w:szCs w:val="24"/>
        </w:rPr>
        <w:t xml:space="preserve">condensed </w:t>
      </w:r>
      <w:r w:rsidR="009E3073">
        <w:rPr>
          <w:rFonts w:ascii="Arial" w:hAnsi="Arial" w:cs="Arial"/>
          <w:szCs w:val="24"/>
        </w:rPr>
        <w:t>S</w:t>
      </w:r>
      <w:r w:rsidRPr="00936DE2">
        <w:rPr>
          <w:rFonts w:ascii="Arial" w:hAnsi="Arial" w:cs="Arial"/>
          <w:szCs w:val="24"/>
        </w:rPr>
        <w:t xml:space="preserve">tatement of </w:t>
      </w:r>
      <w:r>
        <w:rPr>
          <w:rFonts w:ascii="Arial" w:hAnsi="Arial" w:cs="Arial"/>
          <w:szCs w:val="24"/>
        </w:rPr>
        <w:t xml:space="preserve">Generation Supply Adjustment </w:t>
      </w:r>
      <w:r w:rsidRPr="00BE0936">
        <w:rPr>
          <w:rFonts w:ascii="Arial" w:hAnsi="Arial" w:cs="Arial"/>
          <w:szCs w:val="24"/>
        </w:rPr>
        <w:t>(</w:t>
      </w:r>
      <w:r>
        <w:rPr>
          <w:rFonts w:ascii="Arial" w:hAnsi="Arial" w:cs="Arial"/>
          <w:szCs w:val="24"/>
        </w:rPr>
        <w:t>GSA</w:t>
      </w:r>
      <w:r w:rsidRPr="00BE0936">
        <w:rPr>
          <w:rFonts w:ascii="Arial" w:hAnsi="Arial" w:cs="Arial"/>
          <w:szCs w:val="24"/>
        </w:rPr>
        <w:t xml:space="preserve">) </w:t>
      </w:r>
      <w:r>
        <w:rPr>
          <w:rFonts w:ascii="Arial" w:hAnsi="Arial" w:cs="Arial"/>
          <w:szCs w:val="24"/>
        </w:rPr>
        <w:t xml:space="preserve">Over/Under Collections for the twelve months ended December 31, 2011 of PECO Energy Company </w:t>
      </w:r>
      <w:r w:rsidRPr="00936DE2">
        <w:rPr>
          <w:rFonts w:ascii="Arial" w:hAnsi="Arial" w:cs="Arial"/>
          <w:szCs w:val="24"/>
        </w:rPr>
        <w:t xml:space="preserve">presents fairly, in all material respects, </w:t>
      </w:r>
      <w:r>
        <w:rPr>
          <w:rFonts w:ascii="Arial" w:hAnsi="Arial" w:cs="Arial"/>
          <w:szCs w:val="24"/>
        </w:rPr>
        <w:t>in relation to the audited financial statement from which it has been derived.</w:t>
      </w:r>
    </w:p>
    <w:p w:rsidR="005D711E" w:rsidRDefault="005D711E" w:rsidP="00905409">
      <w:pPr>
        <w:suppressAutoHyphens/>
        <w:rPr>
          <w:rFonts w:ascii="Arial" w:hAnsi="Arial" w:cs="Arial"/>
          <w:szCs w:val="24"/>
        </w:rPr>
      </w:pPr>
    </w:p>
    <w:p w:rsidR="003F533B" w:rsidRDefault="003F533B" w:rsidP="00905409">
      <w:pPr>
        <w:suppressAutoHyphens/>
        <w:rPr>
          <w:rFonts w:ascii="Arial" w:hAnsi="Arial" w:cs="Arial"/>
          <w:szCs w:val="24"/>
        </w:rPr>
      </w:pPr>
    </w:p>
    <w:p w:rsidR="003F533B" w:rsidRDefault="003F533B" w:rsidP="00905409">
      <w:pPr>
        <w:suppressAutoHyphens/>
        <w:rPr>
          <w:rFonts w:ascii="Arial" w:hAnsi="Arial" w:cs="Arial"/>
          <w:szCs w:val="24"/>
        </w:rPr>
      </w:pPr>
    </w:p>
    <w:p w:rsidR="003F533B" w:rsidRDefault="003F533B" w:rsidP="003F533B">
      <w:pPr>
        <w:suppressAutoHyphens/>
        <w:jc w:val="lef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Dennis P. Hosler</w:t>
      </w:r>
      <w:r w:rsidR="009B36AC">
        <w:rPr>
          <w:rFonts w:ascii="Arial" w:hAnsi="Arial" w:cs="Arial"/>
          <w:szCs w:val="24"/>
        </w:rPr>
        <w:t>, CPA</w:t>
      </w:r>
    </w:p>
    <w:p w:rsidR="003F533B" w:rsidRDefault="003F533B" w:rsidP="003F533B">
      <w:pPr>
        <w:suppressAutoHyphens/>
        <w:jc w:val="lef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Director</w:t>
      </w:r>
    </w:p>
    <w:p w:rsidR="003F533B" w:rsidRPr="008E7086" w:rsidRDefault="003F533B" w:rsidP="003F533B">
      <w:pPr>
        <w:suppressAutoHyphens/>
        <w:jc w:val="lef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Bureau of Audits</w:t>
      </w:r>
    </w:p>
    <w:p w:rsidR="0047509D" w:rsidRPr="008E7086" w:rsidRDefault="0047509D" w:rsidP="00905409">
      <w:pPr>
        <w:suppressAutoHyphens/>
        <w:rPr>
          <w:rFonts w:ascii="Arial" w:hAnsi="Arial" w:cs="Arial"/>
          <w:szCs w:val="24"/>
        </w:rPr>
        <w:sectPr w:rsidR="0047509D" w:rsidRPr="008E7086" w:rsidSect="0034358F">
          <w:headerReference w:type="even" r:id="rId20"/>
          <w:headerReference w:type="default" r:id="rId21"/>
          <w:footerReference w:type="default" r:id="rId22"/>
          <w:headerReference w:type="first" r:id="rId23"/>
          <w:endnotePr>
            <w:numFmt w:val="decimal"/>
          </w:endnotePr>
          <w:pgSz w:w="12240" w:h="15840" w:code="1"/>
          <w:pgMar w:top="1440" w:right="1440" w:bottom="1440" w:left="1440" w:header="0" w:footer="720" w:gutter="0"/>
          <w:pgNumType w:fmt="numberInDash" w:start="1"/>
          <w:cols w:space="720"/>
          <w:noEndnote/>
        </w:sectPr>
      </w:pPr>
    </w:p>
    <w:p w:rsidR="000577C0" w:rsidRPr="0077381F" w:rsidRDefault="00425941" w:rsidP="000577C0">
      <w:pPr>
        <w:tabs>
          <w:tab w:val="center" w:pos="4680"/>
        </w:tabs>
        <w:suppressAutoHyphens/>
        <w:rPr>
          <w:rFonts w:ascii="Arial" w:hAnsi="Arial" w:cs="Arial"/>
          <w:b/>
          <w:sz w:val="26"/>
          <w:szCs w:val="26"/>
        </w:rPr>
      </w:pPr>
      <w:r w:rsidRPr="0077381F">
        <w:rPr>
          <w:rFonts w:ascii="Arial" w:hAnsi="Arial" w:cs="Arial"/>
          <w:b/>
          <w:sz w:val="26"/>
          <w:szCs w:val="26"/>
        </w:rPr>
        <w:lastRenderedPageBreak/>
        <w:t>PECO ENERGY COMPANY</w:t>
      </w:r>
    </w:p>
    <w:p w:rsidR="000577C0" w:rsidRDefault="000577C0" w:rsidP="000577C0">
      <w:pPr>
        <w:tabs>
          <w:tab w:val="left" w:pos="-1440"/>
          <w:tab w:val="left" w:pos="-720"/>
          <w:tab w:val="left" w:pos="864"/>
          <w:tab w:val="left" w:pos="5040"/>
          <w:tab w:val="left" w:pos="7056"/>
        </w:tabs>
        <w:suppressAutoHyphens/>
        <w:rPr>
          <w:rFonts w:ascii="Arial" w:hAnsi="Arial" w:cs="Arial"/>
          <w:szCs w:val="24"/>
        </w:rPr>
      </w:pPr>
    </w:p>
    <w:p w:rsidR="00ED0DE1" w:rsidRDefault="00ED0DE1" w:rsidP="00ED0DE1">
      <w:pPr>
        <w:rPr>
          <w:rFonts w:ascii="Arial" w:hAnsi="Arial" w:cs="Arial"/>
          <w:b/>
          <w:sz w:val="26"/>
          <w:szCs w:val="26"/>
        </w:rPr>
      </w:pPr>
      <w:r>
        <w:rPr>
          <w:rFonts w:ascii="Arial" w:hAnsi="Arial" w:cs="Arial"/>
          <w:b/>
          <w:sz w:val="26"/>
          <w:szCs w:val="26"/>
        </w:rPr>
        <w:t>Condensed (Note 1)</w:t>
      </w:r>
    </w:p>
    <w:p w:rsidR="00ED0DE1" w:rsidRDefault="00ED0DE1" w:rsidP="002F3A6C">
      <w:pPr>
        <w:rPr>
          <w:rFonts w:ascii="Arial" w:hAnsi="Arial" w:cs="Arial"/>
          <w:b/>
          <w:sz w:val="26"/>
          <w:szCs w:val="26"/>
        </w:rPr>
      </w:pPr>
      <w:r w:rsidRPr="00470786">
        <w:rPr>
          <w:rFonts w:ascii="Arial" w:hAnsi="Arial" w:cs="Arial"/>
          <w:b/>
          <w:sz w:val="26"/>
          <w:szCs w:val="26"/>
        </w:rPr>
        <w:t xml:space="preserve">Statement </w:t>
      </w:r>
      <w:proofErr w:type="gramStart"/>
      <w:r w:rsidRPr="00470786">
        <w:rPr>
          <w:rFonts w:ascii="Arial" w:hAnsi="Arial" w:cs="Arial"/>
          <w:b/>
          <w:sz w:val="26"/>
          <w:szCs w:val="26"/>
        </w:rPr>
        <w:t>Of</w:t>
      </w:r>
      <w:proofErr w:type="gramEnd"/>
      <w:r w:rsidRPr="00470786">
        <w:rPr>
          <w:rFonts w:ascii="Arial" w:hAnsi="Arial" w:cs="Arial"/>
          <w:b/>
          <w:sz w:val="26"/>
          <w:szCs w:val="26"/>
        </w:rPr>
        <w:t xml:space="preserve"> </w:t>
      </w:r>
      <w:r w:rsidR="002F3A6C" w:rsidRPr="00ED0DE1">
        <w:rPr>
          <w:rFonts w:ascii="Arial" w:hAnsi="Arial" w:cs="Arial"/>
          <w:b/>
          <w:sz w:val="26"/>
          <w:szCs w:val="26"/>
        </w:rPr>
        <w:t xml:space="preserve">Generation Supply Adjustment (GSA) </w:t>
      </w:r>
    </w:p>
    <w:p w:rsidR="002F3A6C" w:rsidRPr="00ED0DE1" w:rsidRDefault="00ED0DE1" w:rsidP="002F3A6C">
      <w:pPr>
        <w:rPr>
          <w:rFonts w:ascii="Arial" w:hAnsi="Arial" w:cs="Arial"/>
          <w:b/>
          <w:sz w:val="26"/>
          <w:szCs w:val="26"/>
        </w:rPr>
      </w:pPr>
      <w:r w:rsidRPr="00470786">
        <w:rPr>
          <w:rFonts w:ascii="Arial" w:hAnsi="Arial" w:cs="Arial"/>
          <w:b/>
          <w:sz w:val="26"/>
          <w:szCs w:val="26"/>
        </w:rPr>
        <w:t>Over</w:t>
      </w:r>
      <w:proofErr w:type="gramStart"/>
      <w:r w:rsidRPr="00470786">
        <w:rPr>
          <w:rFonts w:ascii="Arial" w:hAnsi="Arial" w:cs="Arial"/>
          <w:b/>
          <w:sz w:val="26"/>
          <w:szCs w:val="26"/>
        </w:rPr>
        <w:t>/(</w:t>
      </w:r>
      <w:proofErr w:type="gramEnd"/>
      <w:r w:rsidRPr="00470786">
        <w:rPr>
          <w:rFonts w:ascii="Arial" w:hAnsi="Arial" w:cs="Arial"/>
          <w:b/>
          <w:sz w:val="26"/>
          <w:szCs w:val="26"/>
        </w:rPr>
        <w:t>Under) Collections</w:t>
      </w:r>
      <w:r>
        <w:rPr>
          <w:rFonts w:ascii="Arial" w:hAnsi="Arial" w:cs="Arial"/>
          <w:b/>
          <w:sz w:val="26"/>
          <w:szCs w:val="26"/>
        </w:rPr>
        <w:t xml:space="preserve"> </w:t>
      </w:r>
      <w:r w:rsidR="002F3A6C" w:rsidRPr="00ED0DE1">
        <w:rPr>
          <w:rFonts w:ascii="Arial" w:hAnsi="Arial" w:cs="Arial"/>
          <w:b/>
          <w:sz w:val="26"/>
          <w:szCs w:val="26"/>
        </w:rPr>
        <w:t>Section 1307(e) Reconciliation</w:t>
      </w:r>
    </w:p>
    <w:p w:rsidR="002F3A6C" w:rsidRPr="00ED0DE1" w:rsidRDefault="002F3A6C" w:rsidP="002F3A6C">
      <w:pPr>
        <w:rPr>
          <w:rFonts w:ascii="Arial" w:hAnsi="Arial" w:cs="Arial"/>
          <w:b/>
          <w:sz w:val="26"/>
          <w:szCs w:val="26"/>
        </w:rPr>
      </w:pPr>
      <w:r w:rsidRPr="00ED0DE1">
        <w:rPr>
          <w:rFonts w:ascii="Arial" w:hAnsi="Arial" w:cs="Arial"/>
          <w:b/>
          <w:sz w:val="26"/>
          <w:szCs w:val="26"/>
        </w:rPr>
        <w:t>For The Twelve Months Ended December 31, 2011</w:t>
      </w:r>
      <w:r w:rsidR="00ED0DE1">
        <w:rPr>
          <w:rFonts w:ascii="Arial" w:hAnsi="Arial" w:cs="Arial"/>
          <w:b/>
          <w:sz w:val="26"/>
          <w:szCs w:val="26"/>
        </w:rPr>
        <w:t>*</w:t>
      </w:r>
    </w:p>
    <w:p w:rsidR="00D27E49" w:rsidRPr="0077381F" w:rsidRDefault="00D27E49" w:rsidP="00235BB8">
      <w:pPr>
        <w:tabs>
          <w:tab w:val="center" w:pos="4680"/>
        </w:tabs>
        <w:suppressAutoHyphens/>
        <w:rPr>
          <w:rFonts w:ascii="Arial" w:hAnsi="Arial" w:cs="Arial"/>
          <w:szCs w:val="24"/>
        </w:rPr>
      </w:pPr>
    </w:p>
    <w:p w:rsidR="00D27E49" w:rsidRPr="008E7086" w:rsidRDefault="00D27E49" w:rsidP="00235BB8">
      <w:pPr>
        <w:tabs>
          <w:tab w:val="center" w:pos="4680"/>
        </w:tabs>
        <w:suppressAutoHyphens/>
        <w:rPr>
          <w:rFonts w:ascii="Arial" w:hAnsi="Arial" w:cs="Arial"/>
          <w:szCs w:val="24"/>
        </w:rPr>
      </w:pPr>
    </w:p>
    <w:tbl>
      <w:tblPr>
        <w:tblpPr w:leftFromText="180" w:rightFromText="180" w:vertAnchor="page" w:horzAnchor="margin" w:tblpXSpec="center" w:tblpY="4121"/>
        <w:tblW w:w="9468" w:type="dxa"/>
        <w:tblLook w:val="0000" w:firstRow="0" w:lastRow="0" w:firstColumn="0" w:lastColumn="0" w:noHBand="0" w:noVBand="0"/>
      </w:tblPr>
      <w:tblGrid>
        <w:gridCol w:w="2448"/>
        <w:gridCol w:w="241"/>
        <w:gridCol w:w="2099"/>
        <w:gridCol w:w="246"/>
        <w:gridCol w:w="2184"/>
        <w:gridCol w:w="270"/>
        <w:gridCol w:w="1980"/>
      </w:tblGrid>
      <w:tr w:rsidR="001822BA" w:rsidRPr="008E7086" w:rsidTr="00C029A5">
        <w:trPr>
          <w:trHeight w:val="812"/>
        </w:trPr>
        <w:tc>
          <w:tcPr>
            <w:tcW w:w="2448" w:type="dxa"/>
            <w:tcBorders>
              <w:bottom w:val="single" w:sz="4" w:space="0" w:color="auto"/>
            </w:tcBorders>
            <w:noWrap/>
          </w:tcPr>
          <w:p w:rsidR="001822BA" w:rsidRPr="001822BA" w:rsidRDefault="001822BA" w:rsidP="00ED0DE1">
            <w:pPr>
              <w:rPr>
                <w:rFonts w:ascii="Arial" w:hAnsi="Arial" w:cs="Arial"/>
                <w:u w:val="single"/>
              </w:rPr>
            </w:pPr>
          </w:p>
          <w:p w:rsidR="001822BA" w:rsidRPr="001822BA" w:rsidRDefault="001822BA" w:rsidP="00ED0DE1">
            <w:pPr>
              <w:rPr>
                <w:rFonts w:ascii="Arial" w:hAnsi="Arial" w:cs="Arial"/>
                <w:u w:val="single"/>
              </w:rPr>
            </w:pPr>
          </w:p>
          <w:p w:rsidR="001822BA" w:rsidRPr="001822BA" w:rsidRDefault="001822BA" w:rsidP="00ED0DE1">
            <w:pPr>
              <w:rPr>
                <w:rFonts w:ascii="Arial" w:hAnsi="Arial" w:cs="Arial"/>
                <w:u w:val="single"/>
              </w:rPr>
            </w:pPr>
          </w:p>
          <w:p w:rsidR="001822BA" w:rsidRPr="001822BA" w:rsidRDefault="001822BA" w:rsidP="00ED0DE1">
            <w:pPr>
              <w:rPr>
                <w:rFonts w:ascii="Arial" w:hAnsi="Arial" w:cs="Arial"/>
              </w:rPr>
            </w:pPr>
          </w:p>
          <w:p w:rsidR="001822BA" w:rsidRPr="001822BA" w:rsidRDefault="001822BA" w:rsidP="00ED0DE1">
            <w:pPr>
              <w:rPr>
                <w:rFonts w:ascii="Arial" w:hAnsi="Arial" w:cs="Arial"/>
                <w:u w:val="single"/>
              </w:rPr>
            </w:pPr>
            <w:r w:rsidRPr="001822BA">
              <w:rPr>
                <w:rFonts w:ascii="Arial" w:hAnsi="Arial" w:cs="Arial"/>
              </w:rPr>
              <w:t>Rate Class</w:t>
            </w:r>
          </w:p>
        </w:tc>
        <w:tc>
          <w:tcPr>
            <w:tcW w:w="241" w:type="dxa"/>
          </w:tcPr>
          <w:p w:rsidR="001822BA" w:rsidRPr="001822BA" w:rsidRDefault="001822BA" w:rsidP="00466447">
            <w:pPr>
              <w:rPr>
                <w:rFonts w:ascii="Arial" w:hAnsi="Arial" w:cs="Arial"/>
              </w:rPr>
            </w:pPr>
          </w:p>
        </w:tc>
        <w:tc>
          <w:tcPr>
            <w:tcW w:w="2099" w:type="dxa"/>
            <w:tcBorders>
              <w:bottom w:val="single" w:sz="4" w:space="0" w:color="auto"/>
            </w:tcBorders>
            <w:noWrap/>
            <w:vAlign w:val="bottom"/>
          </w:tcPr>
          <w:p w:rsidR="001822BA" w:rsidRPr="001822BA" w:rsidRDefault="001822BA" w:rsidP="00466447">
            <w:pPr>
              <w:rPr>
                <w:rFonts w:ascii="Arial" w:hAnsi="Arial" w:cs="Arial"/>
              </w:rPr>
            </w:pPr>
          </w:p>
          <w:p w:rsidR="001822BA" w:rsidRPr="001822BA" w:rsidRDefault="001822BA" w:rsidP="00466447">
            <w:pPr>
              <w:rPr>
                <w:rFonts w:ascii="Arial" w:hAnsi="Arial" w:cs="Arial"/>
              </w:rPr>
            </w:pPr>
          </w:p>
          <w:p w:rsidR="001822BA" w:rsidRPr="001822BA" w:rsidRDefault="001822BA" w:rsidP="001822BA">
            <w:pPr>
              <w:rPr>
                <w:rFonts w:ascii="Arial" w:hAnsi="Arial" w:cs="Arial"/>
              </w:rPr>
            </w:pPr>
            <w:r w:rsidRPr="001822BA">
              <w:rPr>
                <w:rFonts w:ascii="Arial" w:hAnsi="Arial" w:cs="Arial"/>
              </w:rPr>
              <w:t>GSA Revenues</w:t>
            </w:r>
          </w:p>
        </w:tc>
        <w:tc>
          <w:tcPr>
            <w:tcW w:w="246" w:type="dxa"/>
          </w:tcPr>
          <w:p w:rsidR="001822BA" w:rsidRPr="001822BA" w:rsidRDefault="001822BA" w:rsidP="00466447">
            <w:pPr>
              <w:rPr>
                <w:rFonts w:ascii="Arial" w:hAnsi="Arial" w:cs="Arial"/>
              </w:rPr>
            </w:pPr>
          </w:p>
        </w:tc>
        <w:tc>
          <w:tcPr>
            <w:tcW w:w="2184" w:type="dxa"/>
            <w:tcBorders>
              <w:bottom w:val="single" w:sz="4" w:space="0" w:color="auto"/>
            </w:tcBorders>
            <w:noWrap/>
            <w:vAlign w:val="bottom"/>
          </w:tcPr>
          <w:p w:rsidR="001822BA" w:rsidRPr="001822BA" w:rsidRDefault="001822BA" w:rsidP="00466447">
            <w:pPr>
              <w:rPr>
                <w:rFonts w:ascii="Arial" w:hAnsi="Arial" w:cs="Arial"/>
              </w:rPr>
            </w:pPr>
          </w:p>
          <w:p w:rsidR="001822BA" w:rsidRPr="001822BA" w:rsidRDefault="001822BA" w:rsidP="00466447">
            <w:pPr>
              <w:rPr>
                <w:rFonts w:ascii="Arial" w:hAnsi="Arial" w:cs="Arial"/>
              </w:rPr>
            </w:pPr>
          </w:p>
          <w:p w:rsidR="001822BA" w:rsidRPr="001822BA" w:rsidRDefault="001822BA" w:rsidP="00466447">
            <w:pPr>
              <w:rPr>
                <w:rFonts w:ascii="Arial" w:hAnsi="Arial" w:cs="Arial"/>
              </w:rPr>
            </w:pPr>
          </w:p>
          <w:p w:rsidR="001822BA" w:rsidRPr="001822BA" w:rsidRDefault="001822BA" w:rsidP="00466447">
            <w:pPr>
              <w:rPr>
                <w:rFonts w:ascii="Arial" w:hAnsi="Arial" w:cs="Arial"/>
              </w:rPr>
            </w:pPr>
            <w:r w:rsidRPr="001822BA">
              <w:rPr>
                <w:rFonts w:ascii="Arial" w:hAnsi="Arial" w:cs="Arial"/>
              </w:rPr>
              <w:t>GSA Costs</w:t>
            </w:r>
          </w:p>
        </w:tc>
        <w:tc>
          <w:tcPr>
            <w:tcW w:w="270" w:type="dxa"/>
          </w:tcPr>
          <w:p w:rsidR="001822BA" w:rsidRPr="001822BA" w:rsidRDefault="001822BA" w:rsidP="00ED0DE1">
            <w:pPr>
              <w:rPr>
                <w:rFonts w:ascii="Arial" w:hAnsi="Arial" w:cs="Arial"/>
              </w:rPr>
            </w:pPr>
          </w:p>
        </w:tc>
        <w:tc>
          <w:tcPr>
            <w:tcW w:w="1980" w:type="dxa"/>
            <w:tcBorders>
              <w:bottom w:val="single" w:sz="4" w:space="0" w:color="auto"/>
            </w:tcBorders>
            <w:noWrap/>
            <w:vAlign w:val="bottom"/>
          </w:tcPr>
          <w:p w:rsidR="001822BA" w:rsidRPr="001822BA" w:rsidRDefault="001822BA" w:rsidP="00ED0DE1">
            <w:pPr>
              <w:rPr>
                <w:rFonts w:ascii="Arial" w:hAnsi="Arial" w:cs="Arial"/>
              </w:rPr>
            </w:pPr>
          </w:p>
          <w:p w:rsidR="001822BA" w:rsidRPr="001822BA" w:rsidRDefault="001822BA" w:rsidP="00ED0DE1">
            <w:pPr>
              <w:rPr>
                <w:rFonts w:ascii="Arial" w:hAnsi="Arial" w:cs="Arial"/>
              </w:rPr>
            </w:pPr>
          </w:p>
          <w:p w:rsidR="001822BA" w:rsidRPr="001822BA" w:rsidRDefault="001822BA" w:rsidP="00ED0DE1">
            <w:pPr>
              <w:rPr>
                <w:rFonts w:ascii="Arial" w:hAnsi="Arial" w:cs="Arial"/>
              </w:rPr>
            </w:pPr>
            <w:r w:rsidRPr="001822BA">
              <w:rPr>
                <w:rFonts w:ascii="Arial" w:hAnsi="Arial" w:cs="Arial"/>
              </w:rPr>
              <w:t>Over/(Under)</w:t>
            </w:r>
          </w:p>
          <w:p w:rsidR="001822BA" w:rsidRPr="001822BA" w:rsidRDefault="001822BA" w:rsidP="00466447">
            <w:pPr>
              <w:rPr>
                <w:rFonts w:ascii="Arial" w:hAnsi="Arial" w:cs="Arial"/>
              </w:rPr>
            </w:pPr>
            <w:r>
              <w:rPr>
                <w:rFonts w:ascii="Arial" w:hAnsi="Arial" w:cs="Arial"/>
              </w:rPr>
              <w:t>Collections</w:t>
            </w:r>
          </w:p>
        </w:tc>
      </w:tr>
      <w:tr w:rsidR="001822BA" w:rsidRPr="008E7086" w:rsidTr="00C029A5">
        <w:trPr>
          <w:trHeight w:val="83"/>
        </w:trPr>
        <w:tc>
          <w:tcPr>
            <w:tcW w:w="2448" w:type="dxa"/>
            <w:tcBorders>
              <w:top w:val="single" w:sz="4" w:space="0" w:color="auto"/>
            </w:tcBorders>
            <w:noWrap/>
          </w:tcPr>
          <w:p w:rsidR="001822BA" w:rsidRPr="008E7086" w:rsidRDefault="001822BA" w:rsidP="00ED0DE1">
            <w:pPr>
              <w:rPr>
                <w:rFonts w:ascii="Arial" w:hAnsi="Arial" w:cs="Arial"/>
              </w:rPr>
            </w:pPr>
          </w:p>
        </w:tc>
        <w:tc>
          <w:tcPr>
            <w:tcW w:w="241" w:type="dxa"/>
          </w:tcPr>
          <w:p w:rsidR="001822BA" w:rsidRPr="001822BA" w:rsidRDefault="001822BA" w:rsidP="00ED0DE1">
            <w:pPr>
              <w:rPr>
                <w:rFonts w:ascii="Arial" w:hAnsi="Arial" w:cs="Arial"/>
              </w:rPr>
            </w:pPr>
          </w:p>
        </w:tc>
        <w:tc>
          <w:tcPr>
            <w:tcW w:w="2099" w:type="dxa"/>
            <w:tcBorders>
              <w:top w:val="single" w:sz="4" w:space="0" w:color="auto"/>
            </w:tcBorders>
            <w:noWrap/>
          </w:tcPr>
          <w:p w:rsidR="001822BA" w:rsidRPr="001822BA" w:rsidRDefault="00755793" w:rsidP="00ED0DE1">
            <w:pPr>
              <w:rPr>
                <w:rFonts w:ascii="Arial" w:hAnsi="Arial" w:cs="Arial"/>
              </w:rPr>
            </w:pPr>
            <w:r>
              <w:rPr>
                <w:rFonts w:ascii="Arial" w:hAnsi="Arial" w:cs="Arial"/>
              </w:rPr>
              <w:t>(1)</w:t>
            </w:r>
          </w:p>
        </w:tc>
        <w:tc>
          <w:tcPr>
            <w:tcW w:w="246" w:type="dxa"/>
          </w:tcPr>
          <w:p w:rsidR="001822BA" w:rsidRPr="001822BA" w:rsidRDefault="001822BA" w:rsidP="00ED0DE1">
            <w:pPr>
              <w:rPr>
                <w:rFonts w:ascii="Arial" w:hAnsi="Arial" w:cs="Arial"/>
              </w:rPr>
            </w:pPr>
          </w:p>
        </w:tc>
        <w:tc>
          <w:tcPr>
            <w:tcW w:w="2184" w:type="dxa"/>
            <w:tcBorders>
              <w:top w:val="single" w:sz="4" w:space="0" w:color="auto"/>
            </w:tcBorders>
            <w:noWrap/>
          </w:tcPr>
          <w:p w:rsidR="001822BA" w:rsidRPr="001822BA" w:rsidRDefault="00755793" w:rsidP="00ED0DE1">
            <w:pPr>
              <w:rPr>
                <w:rFonts w:ascii="Arial" w:hAnsi="Arial" w:cs="Arial"/>
              </w:rPr>
            </w:pPr>
            <w:r>
              <w:rPr>
                <w:rFonts w:ascii="Arial" w:hAnsi="Arial" w:cs="Arial"/>
              </w:rPr>
              <w:t>(2)</w:t>
            </w:r>
          </w:p>
        </w:tc>
        <w:tc>
          <w:tcPr>
            <w:tcW w:w="270" w:type="dxa"/>
          </w:tcPr>
          <w:p w:rsidR="001822BA" w:rsidRPr="001822BA" w:rsidRDefault="001822BA" w:rsidP="00ED0DE1">
            <w:pPr>
              <w:rPr>
                <w:rFonts w:ascii="Arial" w:hAnsi="Arial" w:cs="Arial"/>
              </w:rPr>
            </w:pPr>
          </w:p>
        </w:tc>
        <w:tc>
          <w:tcPr>
            <w:tcW w:w="1980" w:type="dxa"/>
            <w:tcBorders>
              <w:top w:val="single" w:sz="4" w:space="0" w:color="auto"/>
            </w:tcBorders>
            <w:noWrap/>
          </w:tcPr>
          <w:p w:rsidR="001822BA" w:rsidRPr="001822BA" w:rsidRDefault="00755793" w:rsidP="00ED0DE1">
            <w:pPr>
              <w:rPr>
                <w:rFonts w:ascii="Arial" w:hAnsi="Arial" w:cs="Arial"/>
              </w:rPr>
            </w:pPr>
            <w:r>
              <w:rPr>
                <w:rFonts w:ascii="Arial" w:hAnsi="Arial" w:cs="Arial"/>
              </w:rPr>
              <w:t>(3)=(1)-(2)</w:t>
            </w:r>
          </w:p>
        </w:tc>
      </w:tr>
      <w:tr w:rsidR="001822BA" w:rsidRPr="008E7086" w:rsidTr="00C029A5">
        <w:trPr>
          <w:trHeight w:val="83"/>
        </w:trPr>
        <w:tc>
          <w:tcPr>
            <w:tcW w:w="2448" w:type="dxa"/>
            <w:noWrap/>
          </w:tcPr>
          <w:p w:rsidR="001822BA" w:rsidRPr="008E7086" w:rsidRDefault="001822BA" w:rsidP="00ED0DE1">
            <w:pPr>
              <w:rPr>
                <w:rFonts w:ascii="Arial" w:hAnsi="Arial" w:cs="Arial"/>
              </w:rPr>
            </w:pPr>
          </w:p>
        </w:tc>
        <w:tc>
          <w:tcPr>
            <w:tcW w:w="241" w:type="dxa"/>
          </w:tcPr>
          <w:p w:rsidR="001822BA" w:rsidRPr="001822BA" w:rsidRDefault="001822BA" w:rsidP="00ED0DE1">
            <w:pPr>
              <w:rPr>
                <w:rFonts w:ascii="Arial" w:hAnsi="Arial" w:cs="Arial"/>
              </w:rPr>
            </w:pPr>
          </w:p>
        </w:tc>
        <w:tc>
          <w:tcPr>
            <w:tcW w:w="2099" w:type="dxa"/>
            <w:noWrap/>
          </w:tcPr>
          <w:p w:rsidR="001822BA" w:rsidRPr="001822BA" w:rsidRDefault="001822BA" w:rsidP="002720E7">
            <w:pPr>
              <w:rPr>
                <w:rFonts w:ascii="Arial" w:hAnsi="Arial" w:cs="Arial"/>
              </w:rPr>
            </w:pPr>
            <w:r w:rsidRPr="001822BA">
              <w:rPr>
                <w:rFonts w:ascii="Arial" w:hAnsi="Arial" w:cs="Arial"/>
              </w:rPr>
              <w:t xml:space="preserve">(Note </w:t>
            </w:r>
            <w:r w:rsidR="002720E7">
              <w:rPr>
                <w:rFonts w:ascii="Arial" w:hAnsi="Arial" w:cs="Arial"/>
              </w:rPr>
              <w:t>2</w:t>
            </w:r>
            <w:r w:rsidRPr="001822BA">
              <w:rPr>
                <w:rFonts w:ascii="Arial" w:hAnsi="Arial" w:cs="Arial"/>
              </w:rPr>
              <w:t>)</w:t>
            </w:r>
          </w:p>
        </w:tc>
        <w:tc>
          <w:tcPr>
            <w:tcW w:w="246" w:type="dxa"/>
          </w:tcPr>
          <w:p w:rsidR="001822BA" w:rsidRPr="001822BA" w:rsidRDefault="001822BA" w:rsidP="00ED0DE1">
            <w:pPr>
              <w:rPr>
                <w:rFonts w:ascii="Arial" w:hAnsi="Arial" w:cs="Arial"/>
              </w:rPr>
            </w:pPr>
          </w:p>
        </w:tc>
        <w:tc>
          <w:tcPr>
            <w:tcW w:w="2184" w:type="dxa"/>
            <w:noWrap/>
          </w:tcPr>
          <w:p w:rsidR="001822BA" w:rsidRPr="001822BA" w:rsidRDefault="001822BA" w:rsidP="002720E7">
            <w:pPr>
              <w:rPr>
                <w:rFonts w:ascii="Arial" w:hAnsi="Arial" w:cs="Arial"/>
              </w:rPr>
            </w:pPr>
            <w:r w:rsidRPr="001822BA">
              <w:rPr>
                <w:rFonts w:ascii="Arial" w:hAnsi="Arial" w:cs="Arial"/>
              </w:rPr>
              <w:t xml:space="preserve">(Note </w:t>
            </w:r>
            <w:r w:rsidR="002720E7">
              <w:rPr>
                <w:rFonts w:ascii="Arial" w:hAnsi="Arial" w:cs="Arial"/>
              </w:rPr>
              <w:t>3</w:t>
            </w:r>
            <w:r w:rsidRPr="001822BA">
              <w:rPr>
                <w:rFonts w:ascii="Arial" w:hAnsi="Arial" w:cs="Arial"/>
              </w:rPr>
              <w:t>)</w:t>
            </w:r>
          </w:p>
        </w:tc>
        <w:tc>
          <w:tcPr>
            <w:tcW w:w="270" w:type="dxa"/>
          </w:tcPr>
          <w:p w:rsidR="001822BA" w:rsidRPr="001822BA" w:rsidRDefault="001822BA" w:rsidP="00ED0DE1">
            <w:pPr>
              <w:rPr>
                <w:rFonts w:ascii="Arial" w:hAnsi="Arial" w:cs="Arial"/>
              </w:rPr>
            </w:pPr>
          </w:p>
        </w:tc>
        <w:tc>
          <w:tcPr>
            <w:tcW w:w="1980" w:type="dxa"/>
            <w:noWrap/>
          </w:tcPr>
          <w:p w:rsidR="001822BA" w:rsidRPr="001822BA" w:rsidRDefault="001822BA" w:rsidP="002720E7">
            <w:pPr>
              <w:rPr>
                <w:rFonts w:ascii="Arial" w:hAnsi="Arial" w:cs="Arial"/>
              </w:rPr>
            </w:pPr>
            <w:r w:rsidRPr="001822BA">
              <w:rPr>
                <w:rFonts w:ascii="Arial" w:hAnsi="Arial" w:cs="Arial"/>
              </w:rPr>
              <w:t xml:space="preserve">(Note </w:t>
            </w:r>
            <w:r w:rsidR="002720E7">
              <w:rPr>
                <w:rFonts w:ascii="Arial" w:hAnsi="Arial" w:cs="Arial"/>
              </w:rPr>
              <w:t>4</w:t>
            </w:r>
            <w:r w:rsidRPr="001822BA">
              <w:rPr>
                <w:rFonts w:ascii="Arial" w:hAnsi="Arial" w:cs="Arial"/>
              </w:rPr>
              <w:t>)</w:t>
            </w:r>
          </w:p>
        </w:tc>
      </w:tr>
      <w:tr w:rsidR="001822BA" w:rsidRPr="008E7086" w:rsidTr="00C029A5">
        <w:trPr>
          <w:trHeight w:val="83"/>
        </w:trPr>
        <w:tc>
          <w:tcPr>
            <w:tcW w:w="2448" w:type="dxa"/>
            <w:noWrap/>
          </w:tcPr>
          <w:p w:rsidR="001822BA" w:rsidRPr="008E7086" w:rsidRDefault="001822BA" w:rsidP="00ED0DE1">
            <w:pPr>
              <w:rPr>
                <w:rFonts w:ascii="Arial" w:hAnsi="Arial" w:cs="Arial"/>
              </w:rPr>
            </w:pPr>
          </w:p>
        </w:tc>
        <w:tc>
          <w:tcPr>
            <w:tcW w:w="241" w:type="dxa"/>
          </w:tcPr>
          <w:p w:rsidR="001822BA" w:rsidRPr="008E7086" w:rsidRDefault="001822BA" w:rsidP="00ED0DE1">
            <w:pPr>
              <w:rPr>
                <w:rFonts w:ascii="Arial" w:hAnsi="Arial" w:cs="Arial"/>
              </w:rPr>
            </w:pPr>
          </w:p>
        </w:tc>
        <w:tc>
          <w:tcPr>
            <w:tcW w:w="2099" w:type="dxa"/>
            <w:noWrap/>
          </w:tcPr>
          <w:p w:rsidR="001822BA" w:rsidRPr="008E7086" w:rsidRDefault="001822BA" w:rsidP="00ED0DE1">
            <w:pPr>
              <w:rPr>
                <w:rFonts w:ascii="Arial" w:hAnsi="Arial" w:cs="Arial"/>
              </w:rPr>
            </w:pPr>
          </w:p>
        </w:tc>
        <w:tc>
          <w:tcPr>
            <w:tcW w:w="246" w:type="dxa"/>
          </w:tcPr>
          <w:p w:rsidR="001822BA" w:rsidRPr="008E7086" w:rsidRDefault="001822BA" w:rsidP="00ED0DE1">
            <w:pPr>
              <w:rPr>
                <w:rFonts w:ascii="Arial" w:hAnsi="Arial" w:cs="Arial"/>
              </w:rPr>
            </w:pPr>
          </w:p>
        </w:tc>
        <w:tc>
          <w:tcPr>
            <w:tcW w:w="2184" w:type="dxa"/>
            <w:noWrap/>
          </w:tcPr>
          <w:p w:rsidR="001822BA" w:rsidRPr="008E7086" w:rsidRDefault="001822BA" w:rsidP="00ED0DE1">
            <w:pPr>
              <w:rPr>
                <w:rFonts w:ascii="Arial" w:hAnsi="Arial" w:cs="Arial"/>
              </w:rPr>
            </w:pPr>
          </w:p>
        </w:tc>
        <w:tc>
          <w:tcPr>
            <w:tcW w:w="270" w:type="dxa"/>
          </w:tcPr>
          <w:p w:rsidR="001822BA" w:rsidRPr="008E7086" w:rsidRDefault="001822BA" w:rsidP="00ED0DE1">
            <w:pPr>
              <w:rPr>
                <w:rFonts w:ascii="Arial" w:hAnsi="Arial" w:cs="Arial"/>
              </w:rPr>
            </w:pPr>
          </w:p>
        </w:tc>
        <w:tc>
          <w:tcPr>
            <w:tcW w:w="1980" w:type="dxa"/>
            <w:noWrap/>
          </w:tcPr>
          <w:p w:rsidR="001822BA" w:rsidRPr="008E7086" w:rsidRDefault="001822BA" w:rsidP="00ED0DE1">
            <w:pPr>
              <w:rPr>
                <w:rFonts w:ascii="Arial" w:hAnsi="Arial" w:cs="Arial"/>
              </w:rPr>
            </w:pPr>
          </w:p>
        </w:tc>
      </w:tr>
      <w:tr w:rsidR="001822BA" w:rsidRPr="008E7086" w:rsidTr="00C029A5">
        <w:trPr>
          <w:trHeight w:val="209"/>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Residential</w:t>
            </w: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r w:rsidRPr="008E7086">
              <w:rPr>
                <w:rFonts w:ascii="Arial" w:hAnsi="Arial" w:cs="Arial"/>
              </w:rPr>
              <w:t>$</w:t>
            </w:r>
            <w:r w:rsidR="00CC472A">
              <w:rPr>
                <w:rFonts w:ascii="Arial" w:hAnsi="Arial" w:cs="Arial"/>
              </w:rPr>
              <w:t xml:space="preserve"> </w:t>
            </w:r>
            <w:r w:rsidR="0012275F">
              <w:rPr>
                <w:rFonts w:ascii="Arial" w:hAnsi="Arial" w:cs="Arial"/>
              </w:rPr>
              <w:t xml:space="preserve">   </w:t>
            </w:r>
            <w:r w:rsidRPr="008E7086">
              <w:rPr>
                <w:rFonts w:ascii="Arial" w:hAnsi="Arial" w:cs="Arial"/>
              </w:rPr>
              <w:t>873,189,571</w:t>
            </w: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r w:rsidRPr="008E7086">
              <w:rPr>
                <w:rFonts w:ascii="Arial" w:hAnsi="Arial" w:cs="Arial"/>
              </w:rPr>
              <w:t>$</w:t>
            </w:r>
            <w:r w:rsidR="0012275F">
              <w:rPr>
                <w:rFonts w:ascii="Arial" w:hAnsi="Arial" w:cs="Arial"/>
              </w:rPr>
              <w:t xml:space="preserve"> </w:t>
            </w:r>
            <w:r w:rsidR="00CC472A">
              <w:rPr>
                <w:rFonts w:ascii="Arial" w:hAnsi="Arial" w:cs="Arial"/>
              </w:rPr>
              <w:t xml:space="preserve"> </w:t>
            </w:r>
            <w:r w:rsidR="0012275F">
              <w:rPr>
                <w:rFonts w:ascii="Arial" w:hAnsi="Arial" w:cs="Arial"/>
              </w:rPr>
              <w:t xml:space="preserve">  </w:t>
            </w:r>
            <w:r w:rsidRPr="008E7086">
              <w:rPr>
                <w:rFonts w:ascii="Arial" w:hAnsi="Arial" w:cs="Arial"/>
              </w:rPr>
              <w:t>934,304,058</w:t>
            </w: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r w:rsidRPr="008E7086">
              <w:rPr>
                <w:rFonts w:ascii="Arial" w:hAnsi="Arial" w:cs="Arial"/>
              </w:rPr>
              <w:t>$</w:t>
            </w:r>
            <w:r w:rsidR="0012275F">
              <w:rPr>
                <w:rFonts w:ascii="Arial" w:hAnsi="Arial" w:cs="Arial"/>
              </w:rPr>
              <w:t xml:space="preserve">  </w:t>
            </w:r>
            <w:r w:rsidRPr="008E7086">
              <w:rPr>
                <w:rFonts w:ascii="Arial" w:hAnsi="Arial" w:cs="Arial"/>
              </w:rPr>
              <w:t>(61,114,487)</w:t>
            </w:r>
          </w:p>
        </w:tc>
      </w:tr>
      <w:tr w:rsidR="001822BA" w:rsidRPr="008E7086" w:rsidTr="00C029A5">
        <w:trPr>
          <w:trHeight w:val="119"/>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C029A5">
        <w:trPr>
          <w:trHeight w:val="380"/>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Small Commercial</w:t>
            </w:r>
            <w:r w:rsidR="00CC472A">
              <w:rPr>
                <w:rFonts w:ascii="Arial" w:hAnsi="Arial" w:cs="Arial"/>
              </w:rPr>
              <w:t xml:space="preserve"> and Industrial</w:t>
            </w:r>
          </w:p>
        </w:tc>
        <w:tc>
          <w:tcPr>
            <w:tcW w:w="241" w:type="dxa"/>
          </w:tcPr>
          <w:p w:rsidR="001822BA" w:rsidRPr="008E7086" w:rsidRDefault="001822BA" w:rsidP="00ED0DE1">
            <w:pPr>
              <w:jc w:val="right"/>
              <w:rPr>
                <w:rFonts w:ascii="Arial" w:hAnsi="Arial" w:cs="Arial"/>
              </w:rPr>
            </w:pPr>
          </w:p>
        </w:tc>
        <w:tc>
          <w:tcPr>
            <w:tcW w:w="2099" w:type="dxa"/>
            <w:noWrap/>
            <w:vAlign w:val="bottom"/>
          </w:tcPr>
          <w:p w:rsidR="001822BA" w:rsidRPr="008E7086" w:rsidRDefault="001822BA" w:rsidP="00CC472A">
            <w:pPr>
              <w:jc w:val="right"/>
              <w:rPr>
                <w:rFonts w:ascii="Arial" w:hAnsi="Arial" w:cs="Arial"/>
              </w:rPr>
            </w:pPr>
            <w:r w:rsidRPr="008E7086">
              <w:rPr>
                <w:rFonts w:ascii="Arial" w:hAnsi="Arial" w:cs="Arial"/>
              </w:rPr>
              <w:t>200,830,875</w:t>
            </w:r>
          </w:p>
        </w:tc>
        <w:tc>
          <w:tcPr>
            <w:tcW w:w="246" w:type="dxa"/>
            <w:vAlign w:val="bottom"/>
          </w:tcPr>
          <w:p w:rsidR="001822BA" w:rsidRPr="008E7086" w:rsidRDefault="001822BA" w:rsidP="00CC472A">
            <w:pPr>
              <w:jc w:val="right"/>
              <w:rPr>
                <w:rFonts w:ascii="Arial" w:hAnsi="Arial" w:cs="Arial"/>
              </w:rPr>
            </w:pPr>
          </w:p>
        </w:tc>
        <w:tc>
          <w:tcPr>
            <w:tcW w:w="2184" w:type="dxa"/>
            <w:noWrap/>
            <w:vAlign w:val="bottom"/>
          </w:tcPr>
          <w:p w:rsidR="001822BA" w:rsidRPr="008E7086" w:rsidRDefault="001822BA" w:rsidP="00CC472A">
            <w:pPr>
              <w:jc w:val="right"/>
              <w:rPr>
                <w:rFonts w:ascii="Arial" w:hAnsi="Arial" w:cs="Arial"/>
              </w:rPr>
            </w:pPr>
            <w:r w:rsidRPr="008E7086">
              <w:rPr>
                <w:rFonts w:ascii="Arial" w:hAnsi="Arial" w:cs="Arial"/>
              </w:rPr>
              <w:t>216,478,006</w:t>
            </w:r>
          </w:p>
        </w:tc>
        <w:tc>
          <w:tcPr>
            <w:tcW w:w="270" w:type="dxa"/>
            <w:vAlign w:val="bottom"/>
          </w:tcPr>
          <w:p w:rsidR="001822BA" w:rsidRPr="008E7086" w:rsidRDefault="001822BA" w:rsidP="00CC472A">
            <w:pPr>
              <w:jc w:val="right"/>
              <w:rPr>
                <w:rFonts w:ascii="Arial" w:hAnsi="Arial" w:cs="Arial"/>
              </w:rPr>
            </w:pPr>
          </w:p>
        </w:tc>
        <w:tc>
          <w:tcPr>
            <w:tcW w:w="1980" w:type="dxa"/>
            <w:noWrap/>
            <w:vAlign w:val="bottom"/>
          </w:tcPr>
          <w:p w:rsidR="001822BA" w:rsidRPr="008E7086" w:rsidRDefault="0012275F" w:rsidP="00CC472A">
            <w:pPr>
              <w:jc w:val="right"/>
              <w:rPr>
                <w:rFonts w:ascii="Arial" w:hAnsi="Arial" w:cs="Arial"/>
              </w:rPr>
            </w:pPr>
            <w:r w:rsidRPr="008E7086">
              <w:rPr>
                <w:rFonts w:ascii="Arial" w:hAnsi="Arial" w:cs="Arial"/>
              </w:rPr>
              <w:t xml:space="preserve"> </w:t>
            </w:r>
            <w:r w:rsidR="001822BA" w:rsidRPr="008E7086">
              <w:rPr>
                <w:rFonts w:ascii="Arial" w:hAnsi="Arial" w:cs="Arial"/>
              </w:rPr>
              <w:t>(15,647,131)</w:t>
            </w:r>
          </w:p>
        </w:tc>
      </w:tr>
      <w:tr w:rsidR="001822BA" w:rsidRPr="008E7086" w:rsidTr="00C029A5">
        <w:trPr>
          <w:trHeight w:val="281"/>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Medium Commercial</w:t>
            </w:r>
            <w:r w:rsidR="00CC472A">
              <w:rPr>
                <w:rFonts w:ascii="Arial" w:hAnsi="Arial" w:cs="Arial"/>
              </w:rPr>
              <w:t xml:space="preserve"> and Industrial</w:t>
            </w:r>
          </w:p>
        </w:tc>
        <w:tc>
          <w:tcPr>
            <w:tcW w:w="241" w:type="dxa"/>
          </w:tcPr>
          <w:p w:rsidR="001822BA" w:rsidRPr="008E7086" w:rsidRDefault="001822BA" w:rsidP="00ED0DE1">
            <w:pPr>
              <w:jc w:val="right"/>
              <w:rPr>
                <w:rFonts w:ascii="Arial" w:hAnsi="Arial" w:cs="Arial"/>
              </w:rPr>
            </w:pPr>
          </w:p>
        </w:tc>
        <w:tc>
          <w:tcPr>
            <w:tcW w:w="2099" w:type="dxa"/>
            <w:noWrap/>
            <w:vAlign w:val="bottom"/>
          </w:tcPr>
          <w:p w:rsidR="001822BA" w:rsidRPr="008E7086" w:rsidRDefault="001822BA" w:rsidP="00CC472A">
            <w:pPr>
              <w:jc w:val="right"/>
              <w:rPr>
                <w:rFonts w:ascii="Arial" w:hAnsi="Arial" w:cs="Arial"/>
              </w:rPr>
            </w:pPr>
            <w:r w:rsidRPr="008E7086">
              <w:rPr>
                <w:rFonts w:ascii="Arial" w:hAnsi="Arial" w:cs="Arial"/>
              </w:rPr>
              <w:t>111,122,654</w:t>
            </w:r>
          </w:p>
        </w:tc>
        <w:tc>
          <w:tcPr>
            <w:tcW w:w="246" w:type="dxa"/>
            <w:vAlign w:val="bottom"/>
          </w:tcPr>
          <w:p w:rsidR="001822BA" w:rsidRPr="008E7086" w:rsidRDefault="001822BA" w:rsidP="00CC472A">
            <w:pPr>
              <w:jc w:val="right"/>
              <w:rPr>
                <w:rFonts w:ascii="Arial" w:hAnsi="Arial" w:cs="Arial"/>
              </w:rPr>
            </w:pPr>
          </w:p>
        </w:tc>
        <w:tc>
          <w:tcPr>
            <w:tcW w:w="2184" w:type="dxa"/>
            <w:noWrap/>
            <w:vAlign w:val="bottom"/>
          </w:tcPr>
          <w:p w:rsidR="001822BA" w:rsidRPr="008E7086" w:rsidRDefault="001822BA" w:rsidP="00CC472A">
            <w:pPr>
              <w:jc w:val="right"/>
              <w:rPr>
                <w:rFonts w:ascii="Arial" w:hAnsi="Arial" w:cs="Arial"/>
              </w:rPr>
            </w:pPr>
            <w:r w:rsidRPr="008E7086">
              <w:rPr>
                <w:rFonts w:ascii="Arial" w:hAnsi="Arial" w:cs="Arial"/>
              </w:rPr>
              <w:t>120,523,245</w:t>
            </w:r>
          </w:p>
        </w:tc>
        <w:tc>
          <w:tcPr>
            <w:tcW w:w="270" w:type="dxa"/>
            <w:vAlign w:val="bottom"/>
          </w:tcPr>
          <w:p w:rsidR="001822BA" w:rsidRPr="008E7086" w:rsidRDefault="001822BA" w:rsidP="00CC472A">
            <w:pPr>
              <w:jc w:val="right"/>
              <w:rPr>
                <w:rFonts w:ascii="Arial" w:hAnsi="Arial" w:cs="Arial"/>
              </w:rPr>
            </w:pPr>
          </w:p>
        </w:tc>
        <w:tc>
          <w:tcPr>
            <w:tcW w:w="1980" w:type="dxa"/>
            <w:noWrap/>
            <w:vAlign w:val="bottom"/>
          </w:tcPr>
          <w:p w:rsidR="001822BA" w:rsidRPr="008E7086" w:rsidRDefault="0012275F" w:rsidP="00CC472A">
            <w:pPr>
              <w:jc w:val="right"/>
              <w:rPr>
                <w:rFonts w:ascii="Arial" w:hAnsi="Arial" w:cs="Arial"/>
              </w:rPr>
            </w:pPr>
            <w:r w:rsidRPr="008E7086">
              <w:rPr>
                <w:rFonts w:ascii="Arial" w:hAnsi="Arial" w:cs="Arial"/>
              </w:rPr>
              <w:t xml:space="preserve"> </w:t>
            </w:r>
            <w:r w:rsidR="001822BA" w:rsidRPr="008E7086">
              <w:rPr>
                <w:rFonts w:ascii="Arial" w:hAnsi="Arial" w:cs="Arial"/>
              </w:rPr>
              <w:t>(9,400,591)</w:t>
            </w: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Large Commercial and Industrial</w:t>
            </w:r>
          </w:p>
        </w:tc>
        <w:tc>
          <w:tcPr>
            <w:tcW w:w="241" w:type="dxa"/>
          </w:tcPr>
          <w:p w:rsidR="001822BA" w:rsidRPr="008E7086" w:rsidRDefault="001822BA" w:rsidP="00ED0DE1">
            <w:pPr>
              <w:jc w:val="right"/>
              <w:rPr>
                <w:rFonts w:ascii="Arial" w:hAnsi="Arial" w:cs="Arial"/>
                <w:u w:val="single"/>
              </w:rPr>
            </w:pPr>
          </w:p>
        </w:tc>
        <w:tc>
          <w:tcPr>
            <w:tcW w:w="2099" w:type="dxa"/>
            <w:noWrap/>
            <w:vAlign w:val="bottom"/>
          </w:tcPr>
          <w:p w:rsidR="001822BA" w:rsidRPr="008E7086" w:rsidRDefault="00FC6500" w:rsidP="00FC6500">
            <w:pPr>
              <w:rPr>
                <w:rFonts w:ascii="Arial" w:hAnsi="Arial" w:cs="Arial"/>
                <w:u w:val="single"/>
              </w:rPr>
            </w:pPr>
            <w:r w:rsidRPr="00FC6500">
              <w:rPr>
                <w:rFonts w:ascii="Arial" w:hAnsi="Arial" w:cs="Arial"/>
              </w:rPr>
              <w:t xml:space="preserve">   </w:t>
            </w:r>
            <w:r>
              <w:rPr>
                <w:rFonts w:ascii="Arial" w:hAnsi="Arial" w:cs="Arial"/>
                <w:u w:val="single"/>
              </w:rPr>
              <w:t xml:space="preserve">       </w:t>
            </w:r>
            <w:r w:rsidR="001822BA" w:rsidRPr="008E7086">
              <w:rPr>
                <w:rFonts w:ascii="Arial" w:hAnsi="Arial" w:cs="Arial"/>
                <w:u w:val="single"/>
              </w:rPr>
              <w:t>79,704,344</w:t>
            </w:r>
          </w:p>
        </w:tc>
        <w:tc>
          <w:tcPr>
            <w:tcW w:w="246" w:type="dxa"/>
          </w:tcPr>
          <w:p w:rsidR="001822BA" w:rsidRPr="00C029A5" w:rsidRDefault="00C029A5" w:rsidP="00C029A5">
            <w:pPr>
              <w:rPr>
                <w:rFonts w:ascii="Arial" w:hAnsi="Arial" w:cs="Arial"/>
              </w:rPr>
            </w:pPr>
            <w:r>
              <w:rPr>
                <w:rFonts w:ascii="Arial" w:hAnsi="Arial" w:cs="Arial"/>
              </w:rPr>
              <w:t xml:space="preserve"> </w:t>
            </w:r>
          </w:p>
        </w:tc>
        <w:tc>
          <w:tcPr>
            <w:tcW w:w="2184" w:type="dxa"/>
            <w:noWrap/>
            <w:vAlign w:val="bottom"/>
          </w:tcPr>
          <w:p w:rsidR="001822BA" w:rsidRPr="00C029A5" w:rsidRDefault="002922D7" w:rsidP="002922D7">
            <w:pPr>
              <w:ind w:left="6"/>
              <w:rPr>
                <w:rFonts w:ascii="Arial" w:hAnsi="Arial" w:cs="Arial"/>
                <w:u w:val="single"/>
              </w:rPr>
            </w:pPr>
            <w:r w:rsidRPr="002922D7">
              <w:rPr>
                <w:rFonts w:ascii="Arial" w:hAnsi="Arial" w:cs="Arial"/>
              </w:rPr>
              <w:t xml:space="preserve">   </w:t>
            </w:r>
            <w:r>
              <w:rPr>
                <w:rFonts w:ascii="Arial" w:hAnsi="Arial" w:cs="Arial"/>
                <w:u w:val="single"/>
              </w:rPr>
              <w:t xml:space="preserve">        83</w:t>
            </w:r>
            <w:r w:rsidRPr="008E7086">
              <w:rPr>
                <w:rFonts w:ascii="Arial" w:hAnsi="Arial" w:cs="Arial"/>
                <w:u w:val="single"/>
              </w:rPr>
              <w:t>,</w:t>
            </w:r>
            <w:r>
              <w:rPr>
                <w:rFonts w:ascii="Arial" w:hAnsi="Arial" w:cs="Arial"/>
                <w:u w:val="single"/>
              </w:rPr>
              <w:t>169</w:t>
            </w:r>
            <w:r w:rsidRPr="008E7086">
              <w:rPr>
                <w:rFonts w:ascii="Arial" w:hAnsi="Arial" w:cs="Arial"/>
                <w:u w:val="single"/>
              </w:rPr>
              <w:t>,</w:t>
            </w:r>
            <w:r>
              <w:rPr>
                <w:rFonts w:ascii="Arial" w:hAnsi="Arial" w:cs="Arial"/>
                <w:u w:val="single"/>
              </w:rPr>
              <w:t>451</w:t>
            </w:r>
            <w:r w:rsidR="0012275F" w:rsidRPr="0012275F">
              <w:rPr>
                <w:rFonts w:ascii="Arial" w:hAnsi="Arial" w:cs="Arial"/>
              </w:rPr>
              <w:t xml:space="preserve">      </w:t>
            </w:r>
            <w:r w:rsidR="0012275F" w:rsidRPr="00C029A5">
              <w:rPr>
                <w:rFonts w:ascii="Arial" w:hAnsi="Arial" w:cs="Arial"/>
              </w:rPr>
              <w:t xml:space="preserve">       </w:t>
            </w:r>
            <w:r w:rsidR="00C029A5" w:rsidRPr="00C029A5">
              <w:rPr>
                <w:rFonts w:ascii="Arial" w:hAnsi="Arial" w:cs="Arial"/>
              </w:rPr>
              <w:t xml:space="preserve">                                                </w:t>
            </w:r>
            <w:r w:rsidR="00C029A5">
              <w:rPr>
                <w:rFonts w:ascii="Arial" w:hAnsi="Arial" w:cs="Arial"/>
              </w:rPr>
              <w:t xml:space="preserve">                  </w:t>
            </w:r>
            <w:r w:rsidR="00C029A5">
              <w:rPr>
                <w:rFonts w:ascii="Arial" w:hAnsi="Arial" w:cs="Arial"/>
                <w:u w:val="single"/>
              </w:rPr>
              <w:t xml:space="preserve">    </w:t>
            </w:r>
          </w:p>
        </w:tc>
        <w:tc>
          <w:tcPr>
            <w:tcW w:w="270" w:type="dxa"/>
          </w:tcPr>
          <w:p w:rsidR="001822BA" w:rsidRPr="008E7086" w:rsidRDefault="001822BA" w:rsidP="00ED0DE1">
            <w:pPr>
              <w:jc w:val="right"/>
              <w:rPr>
                <w:rFonts w:ascii="Arial" w:hAnsi="Arial" w:cs="Arial"/>
                <w:u w:val="single"/>
              </w:rPr>
            </w:pPr>
          </w:p>
        </w:tc>
        <w:tc>
          <w:tcPr>
            <w:tcW w:w="1980" w:type="dxa"/>
            <w:noWrap/>
            <w:vAlign w:val="bottom"/>
          </w:tcPr>
          <w:p w:rsidR="001822BA" w:rsidRPr="008E7086" w:rsidRDefault="00FC6500" w:rsidP="00FC6500">
            <w:pPr>
              <w:rPr>
                <w:rFonts w:ascii="Arial" w:hAnsi="Arial" w:cs="Arial"/>
                <w:u w:val="single"/>
              </w:rPr>
            </w:pPr>
            <w:r w:rsidRPr="00FC6500">
              <w:rPr>
                <w:rFonts w:ascii="Arial" w:hAnsi="Arial" w:cs="Arial"/>
              </w:rPr>
              <w:t xml:space="preserve"> </w:t>
            </w:r>
            <w:r>
              <w:rPr>
                <w:rFonts w:ascii="Arial" w:hAnsi="Arial" w:cs="Arial"/>
                <w:u w:val="single"/>
              </w:rPr>
              <w:t xml:space="preserve">     </w:t>
            </w:r>
            <w:r w:rsidR="001822BA" w:rsidRPr="008E7086">
              <w:rPr>
                <w:rFonts w:ascii="Arial" w:hAnsi="Arial" w:cs="Arial"/>
                <w:u w:val="single"/>
              </w:rPr>
              <w:t>(3,465,107)</w:t>
            </w: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9A01A3">
        <w:trPr>
          <w:trHeight w:val="497"/>
        </w:trPr>
        <w:tc>
          <w:tcPr>
            <w:tcW w:w="2448" w:type="dxa"/>
            <w:noWrap/>
            <w:vAlign w:val="bottom"/>
          </w:tcPr>
          <w:p w:rsidR="001822BA" w:rsidRPr="008E7086" w:rsidRDefault="001822BA" w:rsidP="004E0E15">
            <w:pPr>
              <w:jc w:val="left"/>
              <w:rPr>
                <w:rFonts w:ascii="Arial" w:hAnsi="Arial" w:cs="Arial"/>
              </w:rPr>
            </w:pPr>
            <w:r w:rsidRPr="008E7086">
              <w:rPr>
                <w:rFonts w:ascii="Arial" w:hAnsi="Arial" w:cs="Arial"/>
              </w:rPr>
              <w:t>Total</w:t>
            </w:r>
            <w:r>
              <w:rPr>
                <w:rFonts w:ascii="Arial" w:hAnsi="Arial" w:cs="Arial"/>
              </w:rPr>
              <w:t>s</w:t>
            </w:r>
          </w:p>
        </w:tc>
        <w:tc>
          <w:tcPr>
            <w:tcW w:w="241" w:type="dxa"/>
            <w:vAlign w:val="bottom"/>
          </w:tcPr>
          <w:p w:rsidR="001822BA" w:rsidRPr="008E7086" w:rsidRDefault="001822BA" w:rsidP="009A01A3">
            <w:pPr>
              <w:rPr>
                <w:rFonts w:ascii="Arial" w:hAnsi="Arial" w:cs="Arial"/>
                <w:u w:val="double"/>
              </w:rPr>
            </w:pPr>
          </w:p>
        </w:tc>
        <w:tc>
          <w:tcPr>
            <w:tcW w:w="2099" w:type="dxa"/>
            <w:noWrap/>
            <w:vAlign w:val="bottom"/>
          </w:tcPr>
          <w:p w:rsidR="001822BA" w:rsidRPr="008E7086" w:rsidRDefault="004E0E15" w:rsidP="009A01A3">
            <w:pPr>
              <w:rPr>
                <w:rFonts w:ascii="Arial" w:hAnsi="Arial" w:cs="Arial"/>
                <w:u w:val="double"/>
              </w:rPr>
            </w:pPr>
            <w:r w:rsidRPr="004E0E15">
              <w:rPr>
                <w:rFonts w:ascii="Arial" w:hAnsi="Arial" w:cs="Arial"/>
              </w:rPr>
              <w:t xml:space="preserve">  </w:t>
            </w:r>
            <w:r w:rsidR="001822BA" w:rsidRPr="008E7086">
              <w:rPr>
                <w:rFonts w:ascii="Arial" w:hAnsi="Arial" w:cs="Arial"/>
                <w:u w:val="double"/>
              </w:rPr>
              <w:t>$</w:t>
            </w:r>
            <w:r w:rsidR="0012275F">
              <w:rPr>
                <w:rFonts w:ascii="Arial" w:hAnsi="Arial" w:cs="Arial"/>
                <w:u w:val="double"/>
              </w:rPr>
              <w:t xml:space="preserve"> </w:t>
            </w:r>
            <w:r w:rsidR="001822BA" w:rsidRPr="008E7086">
              <w:rPr>
                <w:rFonts w:ascii="Arial" w:hAnsi="Arial" w:cs="Arial"/>
                <w:u w:val="double"/>
              </w:rPr>
              <w:t>1,264,847,444</w:t>
            </w:r>
          </w:p>
        </w:tc>
        <w:tc>
          <w:tcPr>
            <w:tcW w:w="246" w:type="dxa"/>
            <w:vAlign w:val="bottom"/>
          </w:tcPr>
          <w:p w:rsidR="001822BA" w:rsidRPr="008E7086" w:rsidRDefault="001822BA" w:rsidP="009A01A3">
            <w:pPr>
              <w:rPr>
                <w:rFonts w:ascii="Arial" w:hAnsi="Arial" w:cs="Arial"/>
                <w:u w:val="double"/>
              </w:rPr>
            </w:pPr>
          </w:p>
        </w:tc>
        <w:tc>
          <w:tcPr>
            <w:tcW w:w="2184" w:type="dxa"/>
            <w:noWrap/>
            <w:vAlign w:val="bottom"/>
          </w:tcPr>
          <w:p w:rsidR="001822BA" w:rsidRPr="008E7086" w:rsidRDefault="004E0E15" w:rsidP="009A01A3">
            <w:pPr>
              <w:rPr>
                <w:rFonts w:ascii="Arial" w:hAnsi="Arial" w:cs="Arial"/>
                <w:u w:val="double"/>
              </w:rPr>
            </w:pPr>
            <w:r w:rsidRPr="004E0E15">
              <w:rPr>
                <w:rFonts w:ascii="Arial" w:hAnsi="Arial" w:cs="Arial"/>
              </w:rPr>
              <w:t xml:space="preserve">  </w:t>
            </w:r>
            <w:r>
              <w:rPr>
                <w:rFonts w:ascii="Arial" w:hAnsi="Arial" w:cs="Arial"/>
                <w:u w:val="double"/>
              </w:rPr>
              <w:t xml:space="preserve"> </w:t>
            </w:r>
            <w:r w:rsidR="001822BA" w:rsidRPr="008E7086">
              <w:rPr>
                <w:rFonts w:ascii="Arial" w:hAnsi="Arial" w:cs="Arial"/>
                <w:u w:val="double"/>
              </w:rPr>
              <w:t>$</w:t>
            </w:r>
            <w:r w:rsidR="0012275F">
              <w:rPr>
                <w:rFonts w:ascii="Arial" w:hAnsi="Arial" w:cs="Arial"/>
                <w:u w:val="double"/>
              </w:rPr>
              <w:t xml:space="preserve"> </w:t>
            </w:r>
            <w:r w:rsidR="001822BA" w:rsidRPr="008E7086">
              <w:rPr>
                <w:rFonts w:ascii="Arial" w:hAnsi="Arial" w:cs="Arial"/>
                <w:u w:val="double"/>
              </w:rPr>
              <w:t>1,354,474,760</w:t>
            </w:r>
          </w:p>
        </w:tc>
        <w:tc>
          <w:tcPr>
            <w:tcW w:w="270" w:type="dxa"/>
            <w:vAlign w:val="bottom"/>
          </w:tcPr>
          <w:p w:rsidR="001822BA" w:rsidRPr="008E7086" w:rsidRDefault="001822BA" w:rsidP="009A01A3">
            <w:pPr>
              <w:rPr>
                <w:rFonts w:ascii="Arial" w:hAnsi="Arial" w:cs="Arial"/>
                <w:u w:val="double"/>
              </w:rPr>
            </w:pPr>
          </w:p>
        </w:tc>
        <w:tc>
          <w:tcPr>
            <w:tcW w:w="1980" w:type="dxa"/>
            <w:noWrap/>
            <w:vAlign w:val="bottom"/>
          </w:tcPr>
          <w:p w:rsidR="001822BA" w:rsidRPr="008E7086" w:rsidRDefault="004E0E15" w:rsidP="009A01A3">
            <w:pPr>
              <w:rPr>
                <w:rFonts w:ascii="Arial" w:hAnsi="Arial" w:cs="Arial"/>
                <w:u w:val="double"/>
              </w:rPr>
            </w:pPr>
            <w:r w:rsidRPr="004E0E15">
              <w:rPr>
                <w:rFonts w:ascii="Arial" w:hAnsi="Arial" w:cs="Arial"/>
              </w:rPr>
              <w:t xml:space="preserve"> </w:t>
            </w:r>
            <w:r w:rsidR="001822BA" w:rsidRPr="008E7086">
              <w:rPr>
                <w:rFonts w:ascii="Arial" w:hAnsi="Arial" w:cs="Arial"/>
                <w:u w:val="double"/>
              </w:rPr>
              <w:t>$</w:t>
            </w:r>
            <w:r w:rsidR="0012275F">
              <w:rPr>
                <w:rFonts w:ascii="Arial" w:hAnsi="Arial" w:cs="Arial"/>
                <w:u w:val="double"/>
              </w:rPr>
              <w:t xml:space="preserve">  </w:t>
            </w:r>
            <w:r w:rsidR="001822BA" w:rsidRPr="008E7086">
              <w:rPr>
                <w:rFonts w:ascii="Arial" w:hAnsi="Arial" w:cs="Arial"/>
                <w:u w:val="double"/>
              </w:rPr>
              <w:t>(89,627,316)</w:t>
            </w:r>
          </w:p>
        </w:tc>
      </w:tr>
    </w:tbl>
    <w:p w:rsidR="00D27E49" w:rsidRPr="008E7086" w:rsidRDefault="00D27E49" w:rsidP="00235BB8">
      <w:pPr>
        <w:tabs>
          <w:tab w:val="center" w:pos="4680"/>
        </w:tabs>
        <w:suppressAutoHyphens/>
        <w:rPr>
          <w:rFonts w:ascii="Arial" w:hAnsi="Arial" w:cs="Arial"/>
          <w:szCs w:val="24"/>
        </w:rPr>
      </w:pPr>
    </w:p>
    <w:p w:rsidR="00C013D3" w:rsidRPr="008E7086" w:rsidRDefault="00C013D3" w:rsidP="007D10AA">
      <w:pPr>
        <w:tabs>
          <w:tab w:val="center" w:pos="4680"/>
        </w:tabs>
        <w:suppressAutoHyphens/>
        <w:ind w:left="90" w:hanging="90"/>
        <w:rPr>
          <w:rFonts w:ascii="Arial" w:hAnsi="Arial" w:cs="Arial"/>
          <w:szCs w:val="24"/>
        </w:rPr>
      </w:pPr>
    </w:p>
    <w:p w:rsidR="00C013D3" w:rsidRPr="008E7086" w:rsidRDefault="00C013D3" w:rsidP="007D10AA">
      <w:pPr>
        <w:tabs>
          <w:tab w:val="center" w:pos="4680"/>
        </w:tabs>
        <w:suppressAutoHyphens/>
        <w:ind w:left="90" w:hanging="90"/>
        <w:rPr>
          <w:rFonts w:ascii="Arial" w:hAnsi="Arial" w:cs="Arial"/>
          <w:szCs w:val="24"/>
        </w:rPr>
      </w:pPr>
    </w:p>
    <w:p w:rsidR="00235BB8" w:rsidRPr="008E7086" w:rsidRDefault="00235BB8" w:rsidP="00235BB8">
      <w:pPr>
        <w:tabs>
          <w:tab w:val="center" w:pos="4680"/>
        </w:tabs>
        <w:suppressAutoHyphens/>
        <w:rPr>
          <w:rFonts w:ascii="Arial" w:hAnsi="Arial" w:cs="Arial"/>
          <w:szCs w:val="24"/>
        </w:rPr>
      </w:pPr>
    </w:p>
    <w:p w:rsidR="00C013D3" w:rsidRPr="008E7086" w:rsidRDefault="00C013D3" w:rsidP="00A1597B">
      <w:pPr>
        <w:tabs>
          <w:tab w:val="center" w:pos="4680"/>
        </w:tabs>
        <w:suppressAutoHyphens/>
        <w:ind w:left="90" w:hanging="90"/>
        <w:rPr>
          <w:rFonts w:ascii="Arial" w:hAnsi="Arial" w:cs="Arial"/>
          <w:szCs w:val="24"/>
        </w:rPr>
      </w:pPr>
    </w:p>
    <w:p w:rsidR="00C013D3" w:rsidRPr="008E7086" w:rsidRDefault="00C013D3" w:rsidP="00A1597B">
      <w:pPr>
        <w:tabs>
          <w:tab w:val="center" w:pos="4680"/>
        </w:tabs>
        <w:suppressAutoHyphens/>
        <w:ind w:left="90" w:hanging="90"/>
        <w:rPr>
          <w:rFonts w:ascii="Arial" w:hAnsi="Arial" w:cs="Arial"/>
          <w:szCs w:val="24"/>
        </w:rPr>
      </w:pPr>
    </w:p>
    <w:p w:rsidR="00C013D3" w:rsidRPr="008E7086" w:rsidRDefault="00C013D3" w:rsidP="00A1597B">
      <w:pPr>
        <w:tabs>
          <w:tab w:val="center" w:pos="4680"/>
        </w:tabs>
        <w:suppressAutoHyphens/>
        <w:ind w:left="90" w:hanging="90"/>
        <w:rPr>
          <w:rFonts w:ascii="Arial" w:hAnsi="Arial" w:cs="Arial"/>
          <w:szCs w:val="24"/>
        </w:rPr>
      </w:pPr>
    </w:p>
    <w:p w:rsidR="00C731EE" w:rsidRDefault="00C731EE" w:rsidP="009A49A0">
      <w:pPr>
        <w:tabs>
          <w:tab w:val="left" w:pos="-1440"/>
          <w:tab w:val="left" w:pos="-720"/>
          <w:tab w:val="left" w:pos="0"/>
          <w:tab w:val="left" w:pos="5040"/>
          <w:tab w:val="left" w:pos="7056"/>
        </w:tabs>
        <w:suppressAutoHyphens/>
        <w:outlineLvl w:val="0"/>
        <w:rPr>
          <w:rFonts w:ascii="Arial" w:hAnsi="Arial" w:cs="Arial"/>
        </w:rPr>
      </w:pPr>
    </w:p>
    <w:p w:rsidR="00C415BB" w:rsidRDefault="00C415BB" w:rsidP="00C415BB">
      <w:pPr>
        <w:tabs>
          <w:tab w:val="center" w:pos="4680"/>
        </w:tabs>
        <w:suppressAutoHyphens/>
        <w:ind w:left="90" w:hanging="90"/>
        <w:rPr>
          <w:rFonts w:ascii="Arial" w:hAnsi="Arial" w:cs="Arial"/>
          <w:szCs w:val="24"/>
        </w:rPr>
      </w:pPr>
      <w:r w:rsidRPr="00936DE2">
        <w:rPr>
          <w:rFonts w:ascii="Arial" w:hAnsi="Arial" w:cs="Arial"/>
          <w:szCs w:val="24"/>
        </w:rPr>
        <w:t>*</w:t>
      </w:r>
      <w:r>
        <w:rPr>
          <w:rFonts w:ascii="Arial" w:hAnsi="Arial" w:cs="Arial"/>
          <w:szCs w:val="24"/>
        </w:rPr>
        <w:t>As reported to the Commission</w:t>
      </w:r>
      <w:r w:rsidRPr="00936DE2">
        <w:rPr>
          <w:rFonts w:ascii="Arial" w:hAnsi="Arial" w:cs="Arial"/>
          <w:szCs w:val="24"/>
        </w:rPr>
        <w:t xml:space="preserve"> on </w:t>
      </w:r>
      <w:r>
        <w:rPr>
          <w:rFonts w:ascii="Arial" w:hAnsi="Arial" w:cs="Arial"/>
          <w:szCs w:val="24"/>
        </w:rPr>
        <w:t>January 31</w:t>
      </w:r>
      <w:r w:rsidRPr="00936DE2">
        <w:rPr>
          <w:rFonts w:ascii="Arial" w:hAnsi="Arial" w:cs="Arial"/>
          <w:szCs w:val="24"/>
        </w:rPr>
        <w:t>, 201</w:t>
      </w:r>
      <w:r>
        <w:rPr>
          <w:rFonts w:ascii="Arial" w:hAnsi="Arial" w:cs="Arial"/>
          <w:szCs w:val="24"/>
        </w:rPr>
        <w:t>2</w:t>
      </w:r>
      <w:r w:rsidR="003A3E06">
        <w:rPr>
          <w:rFonts w:ascii="Arial" w:hAnsi="Arial" w:cs="Arial"/>
          <w:szCs w:val="24"/>
        </w:rPr>
        <w:t>,</w:t>
      </w:r>
      <w:r w:rsidRPr="00936DE2">
        <w:rPr>
          <w:rFonts w:ascii="Arial" w:hAnsi="Arial" w:cs="Arial"/>
          <w:szCs w:val="24"/>
        </w:rPr>
        <w:t xml:space="preserve"> at Docket No.</w:t>
      </w:r>
      <w:r>
        <w:rPr>
          <w:rFonts w:ascii="Arial" w:hAnsi="Arial" w:cs="Arial"/>
          <w:szCs w:val="24"/>
        </w:rPr>
        <w:t xml:space="preserve"> </w:t>
      </w:r>
      <w:r w:rsidRPr="00936DE2">
        <w:rPr>
          <w:rFonts w:ascii="Arial" w:hAnsi="Arial" w:cs="Arial"/>
          <w:szCs w:val="24"/>
        </w:rPr>
        <w:t>M</w:t>
      </w:r>
      <w:r>
        <w:rPr>
          <w:rFonts w:ascii="Arial" w:hAnsi="Arial" w:cs="Arial"/>
          <w:szCs w:val="24"/>
        </w:rPr>
        <w:noBreakHyphen/>
      </w:r>
      <w:r w:rsidRPr="00936DE2">
        <w:rPr>
          <w:rFonts w:ascii="Arial" w:hAnsi="Arial" w:cs="Arial"/>
          <w:szCs w:val="24"/>
        </w:rPr>
        <w:t>20</w:t>
      </w:r>
      <w:r>
        <w:rPr>
          <w:rFonts w:ascii="Arial" w:hAnsi="Arial" w:cs="Arial"/>
          <w:szCs w:val="24"/>
        </w:rPr>
        <w:t>12</w:t>
      </w:r>
      <w:r>
        <w:rPr>
          <w:rFonts w:ascii="Arial" w:hAnsi="Arial" w:cs="Arial"/>
          <w:szCs w:val="24"/>
        </w:rPr>
        <w:noBreakHyphen/>
        <w:t>2286648</w:t>
      </w:r>
      <w:r w:rsidRPr="00936DE2">
        <w:rPr>
          <w:rFonts w:ascii="Arial" w:hAnsi="Arial" w:cs="Arial"/>
          <w:szCs w:val="24"/>
        </w:rPr>
        <w:t>.</w:t>
      </w:r>
    </w:p>
    <w:p w:rsidR="00C415BB" w:rsidRDefault="00C415BB" w:rsidP="00C415BB">
      <w:pPr>
        <w:tabs>
          <w:tab w:val="center" w:pos="4680"/>
        </w:tabs>
        <w:suppressAutoHyphens/>
        <w:ind w:left="90" w:hanging="90"/>
        <w:rPr>
          <w:rFonts w:ascii="Arial" w:hAnsi="Arial" w:cs="Arial"/>
          <w:szCs w:val="24"/>
        </w:rPr>
      </w:pPr>
    </w:p>
    <w:p w:rsidR="00C415BB" w:rsidRPr="00BE0936" w:rsidRDefault="00C415BB" w:rsidP="00C339DF">
      <w:pPr>
        <w:tabs>
          <w:tab w:val="center" w:pos="4680"/>
        </w:tabs>
        <w:suppressAutoHyphens/>
        <w:ind w:left="90" w:hanging="90"/>
        <w:jc w:val="left"/>
        <w:rPr>
          <w:rFonts w:ascii="Arial" w:hAnsi="Arial" w:cs="Arial"/>
          <w:szCs w:val="24"/>
        </w:rPr>
      </w:pPr>
      <w:r>
        <w:rPr>
          <w:rFonts w:ascii="Arial" w:hAnsi="Arial" w:cs="Arial"/>
          <w:szCs w:val="24"/>
        </w:rPr>
        <w:t xml:space="preserve"> </w:t>
      </w:r>
      <w:r w:rsidR="00CC472A">
        <w:rPr>
          <w:rFonts w:ascii="Arial" w:hAnsi="Arial" w:cs="Arial"/>
          <w:szCs w:val="24"/>
        </w:rPr>
        <w:t xml:space="preserve">  </w:t>
      </w:r>
      <w:r w:rsidRPr="00BE0936">
        <w:rPr>
          <w:rFonts w:ascii="Arial" w:hAnsi="Arial" w:cs="Arial"/>
          <w:szCs w:val="24"/>
        </w:rPr>
        <w:t>Notes to the Fi</w:t>
      </w:r>
      <w:r>
        <w:rPr>
          <w:rFonts w:ascii="Arial" w:hAnsi="Arial" w:cs="Arial"/>
          <w:szCs w:val="24"/>
        </w:rPr>
        <w:t>nancial Statement</w:t>
      </w:r>
      <w:r w:rsidRPr="00BE0936">
        <w:rPr>
          <w:rFonts w:ascii="Arial" w:hAnsi="Arial" w:cs="Arial"/>
          <w:szCs w:val="24"/>
        </w:rPr>
        <w:t xml:space="preserve"> are an integral part of this report.</w:t>
      </w:r>
    </w:p>
    <w:p w:rsidR="00C731EE" w:rsidRDefault="00C731EE" w:rsidP="009A49A0">
      <w:pPr>
        <w:tabs>
          <w:tab w:val="left" w:pos="-1440"/>
          <w:tab w:val="left" w:pos="-720"/>
          <w:tab w:val="left" w:pos="0"/>
          <w:tab w:val="left" w:pos="5040"/>
          <w:tab w:val="left" w:pos="7056"/>
        </w:tabs>
        <w:suppressAutoHyphens/>
        <w:outlineLvl w:val="0"/>
        <w:rPr>
          <w:rFonts w:ascii="Arial" w:hAnsi="Arial" w:cs="Arial"/>
        </w:rPr>
      </w:pPr>
    </w:p>
    <w:p w:rsidR="00C731EE" w:rsidRPr="008E7086" w:rsidRDefault="00C731EE" w:rsidP="009A49A0">
      <w:pPr>
        <w:tabs>
          <w:tab w:val="left" w:pos="-1440"/>
          <w:tab w:val="left" w:pos="-720"/>
          <w:tab w:val="left" w:pos="0"/>
          <w:tab w:val="left" w:pos="5040"/>
          <w:tab w:val="left" w:pos="7056"/>
        </w:tabs>
        <w:suppressAutoHyphens/>
        <w:outlineLvl w:val="0"/>
        <w:rPr>
          <w:rFonts w:ascii="Arial" w:hAnsi="Arial" w:cs="Arial"/>
          <w:b/>
          <w:szCs w:val="24"/>
          <w:u w:val="single"/>
        </w:rPr>
      </w:pPr>
    </w:p>
    <w:p w:rsidR="00D27E49" w:rsidRPr="008E7086" w:rsidRDefault="00D27E49" w:rsidP="000925FB">
      <w:pPr>
        <w:tabs>
          <w:tab w:val="left" w:pos="-1440"/>
          <w:tab w:val="left" w:pos="-720"/>
          <w:tab w:val="left" w:pos="864"/>
          <w:tab w:val="left" w:pos="5040"/>
          <w:tab w:val="left" w:pos="7056"/>
        </w:tabs>
        <w:suppressAutoHyphens/>
        <w:outlineLvl w:val="0"/>
        <w:rPr>
          <w:rFonts w:ascii="Arial" w:hAnsi="Arial" w:cs="Arial"/>
          <w:b/>
          <w:szCs w:val="24"/>
          <w:u w:val="single"/>
        </w:rPr>
      </w:pPr>
    </w:p>
    <w:p w:rsidR="00235BB8" w:rsidRPr="008E7086" w:rsidRDefault="00235BB8" w:rsidP="000925FB">
      <w:pPr>
        <w:tabs>
          <w:tab w:val="left" w:pos="-1440"/>
          <w:tab w:val="left" w:pos="-720"/>
          <w:tab w:val="left" w:pos="864"/>
          <w:tab w:val="left" w:pos="5040"/>
          <w:tab w:val="left" w:pos="7056"/>
        </w:tabs>
        <w:suppressAutoHyphens/>
        <w:outlineLvl w:val="0"/>
        <w:rPr>
          <w:rFonts w:ascii="Arial" w:hAnsi="Arial" w:cs="Arial"/>
          <w:b/>
          <w:sz w:val="26"/>
          <w:szCs w:val="26"/>
          <w:u w:val="single"/>
        </w:rPr>
      </w:pPr>
    </w:p>
    <w:p w:rsidR="00A67E13" w:rsidRPr="008E7086" w:rsidRDefault="00A67E13" w:rsidP="000925FB">
      <w:pPr>
        <w:tabs>
          <w:tab w:val="left" w:pos="-1440"/>
          <w:tab w:val="left" w:pos="-720"/>
          <w:tab w:val="left" w:pos="864"/>
          <w:tab w:val="left" w:pos="5040"/>
          <w:tab w:val="left" w:pos="7056"/>
        </w:tabs>
        <w:suppressAutoHyphens/>
        <w:outlineLvl w:val="0"/>
        <w:rPr>
          <w:rFonts w:ascii="Arial" w:hAnsi="Arial" w:cs="Arial"/>
          <w:b/>
          <w:sz w:val="26"/>
          <w:szCs w:val="26"/>
          <w:u w:val="single"/>
        </w:rPr>
      </w:pPr>
    </w:p>
    <w:p w:rsidR="003807D6" w:rsidRPr="008E7086" w:rsidRDefault="003807D6" w:rsidP="003807D6">
      <w:pPr>
        <w:rPr>
          <w:rFonts w:ascii="Arial" w:hAnsi="Arial" w:cs="Arial"/>
          <w:b/>
          <w:sz w:val="26"/>
          <w:szCs w:val="26"/>
          <w:u w:val="single"/>
        </w:rPr>
        <w:sectPr w:rsidR="003807D6" w:rsidRPr="008E7086" w:rsidSect="0034358F">
          <w:headerReference w:type="even" r:id="rId24"/>
          <w:headerReference w:type="default" r:id="rId25"/>
          <w:footerReference w:type="default" r:id="rId26"/>
          <w:headerReference w:type="first" r:id="rId27"/>
          <w:endnotePr>
            <w:numFmt w:val="decimal"/>
          </w:endnotePr>
          <w:pgSz w:w="12240" w:h="15840" w:code="1"/>
          <w:pgMar w:top="1440" w:right="1440" w:bottom="1152" w:left="1440" w:header="720" w:footer="720" w:gutter="0"/>
          <w:pgNumType w:fmt="numberInDash" w:start="2"/>
          <w:cols w:space="720"/>
          <w:noEndnote/>
          <w:docGrid w:linePitch="326"/>
        </w:sectPr>
      </w:pPr>
    </w:p>
    <w:p w:rsidR="0031644D" w:rsidRPr="0077381F" w:rsidRDefault="00425941" w:rsidP="0077381F">
      <w:pPr>
        <w:rPr>
          <w:rFonts w:ascii="Arial" w:hAnsi="Arial" w:cs="Arial"/>
          <w:b/>
          <w:sz w:val="26"/>
          <w:szCs w:val="26"/>
        </w:rPr>
      </w:pPr>
      <w:r w:rsidRPr="0077381F">
        <w:rPr>
          <w:rFonts w:ascii="Arial" w:hAnsi="Arial" w:cs="Arial"/>
          <w:b/>
          <w:sz w:val="26"/>
          <w:szCs w:val="26"/>
        </w:rPr>
        <w:lastRenderedPageBreak/>
        <w:t>PECO ENERGY COMPANY</w:t>
      </w:r>
    </w:p>
    <w:p w:rsidR="0031644D" w:rsidRPr="0077381F" w:rsidRDefault="0031644D" w:rsidP="00905409">
      <w:pPr>
        <w:pStyle w:val="Heading1"/>
        <w:rPr>
          <w:rFonts w:ascii="Arial" w:hAnsi="Arial" w:cs="Arial"/>
          <w:sz w:val="26"/>
          <w:szCs w:val="26"/>
          <w:u w:val="none"/>
        </w:rPr>
      </w:pPr>
    </w:p>
    <w:p w:rsidR="005D711E" w:rsidRPr="000A2605" w:rsidRDefault="005D711E" w:rsidP="00905409">
      <w:pPr>
        <w:pStyle w:val="Heading1"/>
        <w:rPr>
          <w:rFonts w:ascii="Arial" w:hAnsi="Arial" w:cs="Arial"/>
          <w:sz w:val="26"/>
          <w:szCs w:val="26"/>
          <w:u w:val="none"/>
        </w:rPr>
      </w:pPr>
      <w:r w:rsidRPr="000A2605">
        <w:rPr>
          <w:rFonts w:ascii="Arial" w:hAnsi="Arial" w:cs="Arial"/>
          <w:sz w:val="26"/>
          <w:szCs w:val="26"/>
          <w:u w:val="none"/>
        </w:rPr>
        <w:t xml:space="preserve">Notes </w:t>
      </w:r>
      <w:r w:rsidR="000A2605">
        <w:rPr>
          <w:rFonts w:ascii="Arial" w:hAnsi="Arial" w:cs="Arial"/>
          <w:sz w:val="26"/>
          <w:szCs w:val="26"/>
          <w:u w:val="none"/>
        </w:rPr>
        <w:t>t</w:t>
      </w:r>
      <w:r w:rsidRPr="000A2605">
        <w:rPr>
          <w:rFonts w:ascii="Arial" w:hAnsi="Arial" w:cs="Arial"/>
          <w:sz w:val="26"/>
          <w:szCs w:val="26"/>
          <w:u w:val="none"/>
        </w:rPr>
        <w:t>o</w:t>
      </w:r>
      <w:r w:rsidR="00043C83" w:rsidRPr="000A2605">
        <w:rPr>
          <w:rFonts w:ascii="Arial" w:hAnsi="Arial" w:cs="Arial"/>
          <w:sz w:val="26"/>
          <w:szCs w:val="26"/>
          <w:u w:val="none"/>
        </w:rPr>
        <w:t xml:space="preserve"> </w:t>
      </w:r>
      <w:r w:rsidR="000A2605">
        <w:rPr>
          <w:rFonts w:ascii="Arial" w:hAnsi="Arial" w:cs="Arial"/>
          <w:sz w:val="26"/>
          <w:szCs w:val="26"/>
          <w:u w:val="none"/>
        </w:rPr>
        <w:t>t</w:t>
      </w:r>
      <w:r w:rsidR="00043C83" w:rsidRPr="000A2605">
        <w:rPr>
          <w:rFonts w:ascii="Arial" w:hAnsi="Arial" w:cs="Arial"/>
          <w:sz w:val="26"/>
          <w:szCs w:val="26"/>
          <w:u w:val="none"/>
        </w:rPr>
        <w:t>he Financial Statement</w:t>
      </w:r>
    </w:p>
    <w:p w:rsidR="005D711E" w:rsidRPr="008E7086" w:rsidRDefault="005D711E" w:rsidP="00905409">
      <w:pPr>
        <w:tabs>
          <w:tab w:val="center" w:pos="4680"/>
        </w:tabs>
        <w:suppressAutoHyphens/>
        <w:outlineLvl w:val="0"/>
        <w:rPr>
          <w:rFonts w:ascii="Arial" w:hAnsi="Arial" w:cs="Arial"/>
          <w:b/>
          <w:szCs w:val="24"/>
        </w:rPr>
      </w:pPr>
    </w:p>
    <w:p w:rsidR="003731A5" w:rsidRPr="008E7086" w:rsidRDefault="003731A5" w:rsidP="00905409">
      <w:pPr>
        <w:tabs>
          <w:tab w:val="center" w:pos="4680"/>
        </w:tabs>
        <w:suppressAutoHyphens/>
        <w:outlineLvl w:val="0"/>
        <w:rPr>
          <w:rFonts w:ascii="Arial" w:hAnsi="Arial" w:cs="Arial"/>
          <w:b/>
          <w:szCs w:val="24"/>
        </w:rPr>
      </w:pPr>
    </w:p>
    <w:p w:rsidR="00043C83" w:rsidRPr="00936DE2" w:rsidRDefault="00043C83" w:rsidP="00043C83">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 Statement</w:t>
      </w:r>
    </w:p>
    <w:p w:rsidR="002533F2" w:rsidRDefault="002533F2" w:rsidP="002533F2">
      <w:pPr>
        <w:pStyle w:val="EndnoteText"/>
        <w:tabs>
          <w:tab w:val="left" w:pos="9180"/>
        </w:tabs>
        <w:suppressAutoHyphens/>
        <w:ind w:left="360"/>
        <w:rPr>
          <w:rFonts w:ascii="Arial" w:hAnsi="Arial" w:cs="Arial"/>
          <w:b/>
          <w:szCs w:val="24"/>
          <w:u w:val="single"/>
          <w:lang w:val="en-US" w:eastAsia="en-US"/>
        </w:rPr>
      </w:pPr>
    </w:p>
    <w:p w:rsidR="00043C83" w:rsidRPr="002533F2" w:rsidRDefault="00043C83" w:rsidP="002533F2">
      <w:pPr>
        <w:pStyle w:val="EndnoteText"/>
        <w:tabs>
          <w:tab w:val="left" w:pos="9180"/>
        </w:tabs>
        <w:suppressAutoHyphens/>
        <w:ind w:left="360"/>
        <w:jc w:val="left"/>
        <w:rPr>
          <w:rFonts w:ascii="Arial" w:hAnsi="Arial" w:cs="Arial"/>
          <w:szCs w:val="24"/>
          <w:lang w:val="en-US"/>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f</w:t>
      </w:r>
      <w:r>
        <w:rPr>
          <w:rFonts w:ascii="Arial" w:hAnsi="Arial" w:cs="Arial"/>
          <w:szCs w:val="24"/>
        </w:rPr>
        <w:t xml:space="preserve"> </w:t>
      </w:r>
      <w:r>
        <w:rPr>
          <w:rFonts w:ascii="Arial" w:hAnsi="Arial" w:cs="Arial"/>
          <w:szCs w:val="24"/>
          <w:lang w:val="en-US"/>
        </w:rPr>
        <w:t xml:space="preserve">Generation Supply Adjustment </w:t>
      </w:r>
      <w:r>
        <w:rPr>
          <w:rFonts w:ascii="Arial" w:hAnsi="Arial" w:cs="Arial"/>
          <w:szCs w:val="24"/>
        </w:rPr>
        <w:t>(</w:t>
      </w:r>
      <w:r>
        <w:rPr>
          <w:rFonts w:ascii="Arial" w:hAnsi="Arial" w:cs="Arial"/>
          <w:szCs w:val="24"/>
          <w:lang w:val="en-US"/>
        </w:rPr>
        <w:t>GSA</w:t>
      </w:r>
      <w:r>
        <w:rPr>
          <w:rFonts w:ascii="Arial" w:hAnsi="Arial" w:cs="Arial"/>
          <w:szCs w:val="24"/>
        </w:rPr>
        <w:t xml:space="preserve">) </w:t>
      </w:r>
      <w:r w:rsidRPr="00936DE2">
        <w:rPr>
          <w:rFonts w:ascii="Arial" w:hAnsi="Arial" w:cs="Arial"/>
          <w:szCs w:val="24"/>
        </w:rPr>
        <w:t>Over/(Under) Collections</w:t>
      </w:r>
      <w:r w:rsidR="002533F2">
        <w:rPr>
          <w:rFonts w:ascii="Arial" w:hAnsi="Arial" w:cs="Arial"/>
          <w:szCs w:val="24"/>
          <w:lang w:val="en-US"/>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is condensed from the officially filed statement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6"/>
        </w:rPr>
        <w:t>PECO Energy Company</w:t>
      </w:r>
      <w:r>
        <w:rPr>
          <w:rFonts w:ascii="Arial" w:hAnsi="Arial" w:cs="Arial"/>
          <w:szCs w:val="24"/>
        </w:rPr>
        <w:t xml:space="preserve">’s (PECO or Company) </w:t>
      </w:r>
      <w:r w:rsidRPr="007D5DFB">
        <w:rPr>
          <w:rFonts w:ascii="Arial" w:hAnsi="Arial" w:cs="Arial"/>
          <w:szCs w:val="26"/>
        </w:rPr>
        <w:t xml:space="preserve">officially filed 1307(e) </w:t>
      </w:r>
      <w:r>
        <w:rPr>
          <w:rFonts w:ascii="Arial" w:hAnsi="Arial" w:cs="Arial"/>
          <w:szCs w:val="26"/>
        </w:rPr>
        <w:t xml:space="preserve">statement </w:t>
      </w:r>
      <w:r w:rsidRPr="007D5DFB">
        <w:rPr>
          <w:rFonts w:ascii="Arial" w:hAnsi="Arial" w:cs="Arial"/>
          <w:szCs w:val="26"/>
        </w:rPr>
        <w:t>submitted to the Commission on</w:t>
      </w:r>
      <w:r>
        <w:rPr>
          <w:rFonts w:ascii="Arial" w:hAnsi="Arial" w:cs="Arial"/>
          <w:szCs w:val="26"/>
        </w:rPr>
        <w:t xml:space="preserve"> </w:t>
      </w:r>
      <w:r>
        <w:rPr>
          <w:rFonts w:ascii="Arial" w:hAnsi="Arial" w:cs="Arial"/>
          <w:szCs w:val="26"/>
          <w:lang w:val="en-US"/>
        </w:rPr>
        <w:t>January 31</w:t>
      </w:r>
      <w:r>
        <w:rPr>
          <w:rFonts w:ascii="Arial" w:hAnsi="Arial" w:cs="Arial"/>
          <w:szCs w:val="26"/>
        </w:rPr>
        <w:t>, 201</w:t>
      </w:r>
      <w:r>
        <w:rPr>
          <w:rFonts w:ascii="Arial" w:hAnsi="Arial" w:cs="Arial"/>
          <w:szCs w:val="26"/>
          <w:lang w:val="en-US"/>
        </w:rPr>
        <w:t>2</w:t>
      </w:r>
      <w:r>
        <w:rPr>
          <w:rFonts w:ascii="Arial" w:hAnsi="Arial" w:cs="Arial"/>
          <w:szCs w:val="26"/>
        </w:rPr>
        <w:t xml:space="preserve"> </w:t>
      </w:r>
      <w:r w:rsidRPr="007D5DFB">
        <w:rPr>
          <w:rFonts w:ascii="Arial" w:hAnsi="Arial" w:cs="Arial"/>
          <w:szCs w:val="26"/>
        </w:rPr>
        <w:t>and is available at Docket No. M</w:t>
      </w:r>
      <w:r>
        <w:rPr>
          <w:rFonts w:ascii="Arial" w:hAnsi="Arial" w:cs="Arial"/>
          <w:szCs w:val="26"/>
        </w:rPr>
        <w:noBreakHyphen/>
      </w:r>
      <w:r w:rsidRPr="007D5DFB">
        <w:rPr>
          <w:rFonts w:ascii="Arial" w:hAnsi="Arial" w:cs="Arial"/>
          <w:szCs w:val="26"/>
        </w:rPr>
        <w:t>20</w:t>
      </w:r>
      <w:r>
        <w:rPr>
          <w:rFonts w:ascii="Arial" w:hAnsi="Arial" w:cs="Arial"/>
          <w:szCs w:val="26"/>
        </w:rPr>
        <w:t>1</w:t>
      </w:r>
      <w:r>
        <w:rPr>
          <w:rFonts w:ascii="Arial" w:hAnsi="Arial" w:cs="Arial"/>
          <w:szCs w:val="26"/>
          <w:lang w:val="en-US"/>
        </w:rPr>
        <w:t>2</w:t>
      </w:r>
      <w:r w:rsidRPr="007D5DFB">
        <w:rPr>
          <w:rFonts w:ascii="Arial" w:hAnsi="Arial" w:cs="Arial"/>
          <w:szCs w:val="26"/>
        </w:rPr>
        <w:t>-</w:t>
      </w:r>
      <w:r>
        <w:rPr>
          <w:rFonts w:ascii="Arial" w:hAnsi="Arial" w:cs="Arial"/>
          <w:szCs w:val="26"/>
        </w:rPr>
        <w:t>22</w:t>
      </w:r>
      <w:r>
        <w:rPr>
          <w:rFonts w:ascii="Arial" w:hAnsi="Arial" w:cs="Arial"/>
          <w:szCs w:val="26"/>
          <w:lang w:val="en-US"/>
        </w:rPr>
        <w:t>86648</w:t>
      </w:r>
      <w:r w:rsidRPr="007D5DFB">
        <w:rPr>
          <w:rFonts w:ascii="Arial" w:hAnsi="Arial" w:cs="Arial"/>
          <w:szCs w:val="26"/>
        </w:rPr>
        <w:t xml:space="preserve"> via http://www.puc.pa.gov</w:t>
      </w:r>
      <w:r>
        <w:rPr>
          <w:rFonts w:ascii="Arial" w:hAnsi="Arial" w:cs="Arial"/>
          <w:szCs w:val="26"/>
        </w:rPr>
        <w:t>.</w:t>
      </w:r>
    </w:p>
    <w:p w:rsidR="00043C83" w:rsidRDefault="00043C83" w:rsidP="00905409">
      <w:pPr>
        <w:tabs>
          <w:tab w:val="left" w:pos="360"/>
        </w:tabs>
        <w:jc w:val="both"/>
        <w:rPr>
          <w:rFonts w:ascii="Arial" w:hAnsi="Arial" w:cs="Arial"/>
          <w:b/>
          <w:szCs w:val="24"/>
          <w:u w:val="single"/>
        </w:rPr>
      </w:pPr>
    </w:p>
    <w:p w:rsidR="00C82D14" w:rsidRPr="008E7086" w:rsidRDefault="00043C83" w:rsidP="00905409">
      <w:pPr>
        <w:tabs>
          <w:tab w:val="left" w:pos="360"/>
        </w:tabs>
        <w:jc w:val="both"/>
        <w:rPr>
          <w:rFonts w:ascii="Arial" w:hAnsi="Arial" w:cs="Arial"/>
          <w:b/>
          <w:szCs w:val="24"/>
          <w:u w:val="single"/>
        </w:rPr>
      </w:pPr>
      <w:r>
        <w:rPr>
          <w:rFonts w:ascii="Arial" w:hAnsi="Arial" w:cs="Arial"/>
          <w:b/>
          <w:szCs w:val="24"/>
          <w:u w:val="single"/>
        </w:rPr>
        <w:t>2</w:t>
      </w:r>
      <w:r w:rsidR="00DC6FCC" w:rsidRPr="008E7086">
        <w:rPr>
          <w:rFonts w:ascii="Arial" w:hAnsi="Arial" w:cs="Arial"/>
          <w:b/>
          <w:szCs w:val="24"/>
          <w:u w:val="single"/>
        </w:rPr>
        <w:t xml:space="preserve"> - GSA</w:t>
      </w:r>
      <w:r w:rsidR="0003068B" w:rsidRPr="008E7086">
        <w:rPr>
          <w:rFonts w:ascii="Arial" w:hAnsi="Arial" w:cs="Arial"/>
          <w:b/>
          <w:szCs w:val="24"/>
          <w:u w:val="single"/>
        </w:rPr>
        <w:t xml:space="preserve"> </w:t>
      </w:r>
      <w:r w:rsidR="00011810" w:rsidRPr="008E7086">
        <w:rPr>
          <w:rFonts w:ascii="Arial" w:hAnsi="Arial" w:cs="Arial"/>
          <w:b/>
          <w:szCs w:val="24"/>
          <w:u w:val="single"/>
        </w:rPr>
        <w:t xml:space="preserve">Revenues </w:t>
      </w:r>
    </w:p>
    <w:p w:rsidR="00F81181" w:rsidRDefault="00F81181" w:rsidP="00A1597B">
      <w:pPr>
        <w:ind w:left="450" w:firstLine="720"/>
        <w:rPr>
          <w:rFonts w:ascii="Arial" w:hAnsi="Arial" w:cs="Arial"/>
          <w:b/>
          <w:szCs w:val="24"/>
          <w:u w:val="single"/>
        </w:rPr>
      </w:pPr>
    </w:p>
    <w:p w:rsidR="00F72903" w:rsidRPr="008E7086" w:rsidRDefault="002C6FB7" w:rsidP="00FF3E60">
      <w:pPr>
        <w:ind w:left="360"/>
        <w:jc w:val="left"/>
        <w:rPr>
          <w:rFonts w:ascii="Arial" w:hAnsi="Arial" w:cs="Arial"/>
        </w:rPr>
      </w:pPr>
      <w:r>
        <w:rPr>
          <w:rFonts w:ascii="Arial" w:hAnsi="Arial" w:cs="Arial"/>
        </w:rPr>
        <w:t>GSA</w:t>
      </w:r>
      <w:r w:rsidR="002326C1" w:rsidRPr="008E7086">
        <w:rPr>
          <w:rFonts w:ascii="Arial" w:hAnsi="Arial" w:cs="Arial"/>
        </w:rPr>
        <w:t xml:space="preserve"> </w:t>
      </w:r>
      <w:r w:rsidR="005E4A85" w:rsidRPr="008E7086">
        <w:rPr>
          <w:rFonts w:ascii="Arial" w:hAnsi="Arial" w:cs="Arial"/>
        </w:rPr>
        <w:t xml:space="preserve">Revenues </w:t>
      </w:r>
      <w:r>
        <w:rPr>
          <w:rFonts w:ascii="Arial" w:hAnsi="Arial" w:cs="Arial"/>
        </w:rPr>
        <w:t xml:space="preserve">are the amounts actually billed by PECO as a result </w:t>
      </w:r>
      <w:r w:rsidR="00505BD2">
        <w:rPr>
          <w:rFonts w:ascii="Arial" w:hAnsi="Arial" w:cs="Arial"/>
          <w:szCs w:val="24"/>
        </w:rPr>
        <w:t xml:space="preserve">of applying the approved C-Factor </w:t>
      </w:r>
      <w:r w:rsidR="00B43033">
        <w:rPr>
          <w:rFonts w:ascii="Arial" w:hAnsi="Arial" w:cs="Arial"/>
          <w:szCs w:val="24"/>
        </w:rPr>
        <w:t xml:space="preserve">and A-Factor </w:t>
      </w:r>
      <w:r w:rsidR="00505BD2">
        <w:rPr>
          <w:rFonts w:ascii="Arial" w:hAnsi="Arial" w:cs="Arial"/>
          <w:szCs w:val="24"/>
        </w:rPr>
        <w:t>rate</w:t>
      </w:r>
      <w:r w:rsidR="00B43033">
        <w:rPr>
          <w:rFonts w:ascii="Arial" w:hAnsi="Arial" w:cs="Arial"/>
          <w:szCs w:val="24"/>
        </w:rPr>
        <w:t>s</w:t>
      </w:r>
      <w:r w:rsidR="00505BD2">
        <w:rPr>
          <w:rFonts w:ascii="Arial" w:hAnsi="Arial" w:cs="Arial"/>
          <w:szCs w:val="24"/>
        </w:rPr>
        <w:t xml:space="preserve"> </w:t>
      </w:r>
      <w:r w:rsidR="00505BD2" w:rsidRPr="00A507DA">
        <w:rPr>
          <w:rFonts w:ascii="Arial" w:hAnsi="Arial" w:cs="Arial"/>
          <w:szCs w:val="24"/>
        </w:rPr>
        <w:t>to each kilowatt-hour (kWh)</w:t>
      </w:r>
      <w:r w:rsidR="00505BD2">
        <w:rPr>
          <w:rFonts w:ascii="Arial" w:hAnsi="Arial" w:cs="Arial"/>
          <w:szCs w:val="24"/>
        </w:rPr>
        <w:t xml:space="preserve"> of energy</w:t>
      </w:r>
      <w:r w:rsidR="00B43033">
        <w:rPr>
          <w:rFonts w:ascii="Arial" w:hAnsi="Arial" w:cs="Arial"/>
          <w:szCs w:val="24"/>
        </w:rPr>
        <w:t xml:space="preserve"> d</w:t>
      </w:r>
      <w:r w:rsidR="00505BD2" w:rsidRPr="00A507DA">
        <w:rPr>
          <w:rFonts w:ascii="Arial" w:hAnsi="Arial" w:cs="Arial"/>
          <w:szCs w:val="24"/>
        </w:rPr>
        <w:t xml:space="preserve">elivered to all </w:t>
      </w:r>
      <w:r w:rsidR="00505BD2">
        <w:rPr>
          <w:rFonts w:ascii="Arial" w:hAnsi="Arial" w:cs="Arial"/>
          <w:szCs w:val="24"/>
        </w:rPr>
        <w:t>Default</w:t>
      </w:r>
      <w:r w:rsidR="00505BD2" w:rsidRPr="00A507DA">
        <w:rPr>
          <w:rFonts w:ascii="Arial" w:hAnsi="Arial" w:cs="Arial"/>
          <w:szCs w:val="24"/>
        </w:rPr>
        <w:t xml:space="preserve"> Service Customers</w:t>
      </w:r>
      <w:r w:rsidR="00B43033">
        <w:rPr>
          <w:rFonts w:ascii="Arial" w:hAnsi="Arial" w:cs="Arial"/>
        </w:rPr>
        <w:t>, as adjusted by rate blocks and phase out factors by rate classes.  The revenues exclude gross receipts tax.  GSA revenues for the Large Commercial and Industrial (C&amp;I) class include energy, capacity, ancillary service and administrative cost revenues billed to customers, excluding gross receipts tax.</w:t>
      </w:r>
      <w:r w:rsidR="000E1CF4" w:rsidRPr="008E7086">
        <w:rPr>
          <w:rFonts w:ascii="Arial" w:hAnsi="Arial" w:cs="Arial"/>
        </w:rPr>
        <w:t xml:space="preserve"> </w:t>
      </w:r>
      <w:r w:rsidR="006A11B8" w:rsidRPr="008E7086">
        <w:rPr>
          <w:rFonts w:ascii="Arial" w:hAnsi="Arial" w:cs="Arial"/>
        </w:rPr>
        <w:t xml:space="preserve"> </w:t>
      </w:r>
    </w:p>
    <w:p w:rsidR="00F72903" w:rsidRPr="008E7086" w:rsidRDefault="00F72903" w:rsidP="00F72903">
      <w:pPr>
        <w:rPr>
          <w:rFonts w:ascii="Arial" w:hAnsi="Arial" w:cs="Arial"/>
        </w:rPr>
      </w:pPr>
    </w:p>
    <w:p w:rsidR="00C82D14" w:rsidRPr="008E7086" w:rsidRDefault="00043C83" w:rsidP="00905409">
      <w:pPr>
        <w:tabs>
          <w:tab w:val="left" w:pos="360"/>
        </w:tabs>
        <w:jc w:val="both"/>
        <w:rPr>
          <w:rFonts w:ascii="Arial" w:hAnsi="Arial" w:cs="Arial"/>
          <w:b/>
          <w:szCs w:val="24"/>
          <w:u w:val="single"/>
        </w:rPr>
      </w:pPr>
      <w:r>
        <w:rPr>
          <w:rFonts w:ascii="Arial" w:hAnsi="Arial" w:cs="Arial"/>
          <w:b/>
          <w:szCs w:val="24"/>
          <w:u w:val="single"/>
        </w:rPr>
        <w:t>3</w:t>
      </w:r>
      <w:r w:rsidR="000014E9" w:rsidRPr="008E7086">
        <w:rPr>
          <w:rFonts w:ascii="Arial" w:hAnsi="Arial" w:cs="Arial"/>
          <w:b/>
          <w:szCs w:val="24"/>
          <w:u w:val="single"/>
        </w:rPr>
        <w:t xml:space="preserve"> –</w:t>
      </w:r>
      <w:r w:rsidR="00F72903" w:rsidRPr="008E7086">
        <w:rPr>
          <w:rFonts w:ascii="Arial" w:hAnsi="Arial" w:cs="Arial"/>
          <w:b/>
          <w:szCs w:val="24"/>
          <w:u w:val="single"/>
        </w:rPr>
        <w:t xml:space="preserve"> </w:t>
      </w:r>
      <w:r w:rsidR="00DC6FCC" w:rsidRPr="008E7086">
        <w:rPr>
          <w:rFonts w:ascii="Arial" w:hAnsi="Arial" w:cs="Arial"/>
          <w:b/>
          <w:szCs w:val="24"/>
          <w:u w:val="single"/>
        </w:rPr>
        <w:t>GSA</w:t>
      </w:r>
      <w:r w:rsidR="002326C1" w:rsidRPr="008E7086">
        <w:rPr>
          <w:rFonts w:ascii="Arial" w:hAnsi="Arial" w:cs="Arial"/>
          <w:b/>
          <w:szCs w:val="24"/>
          <w:u w:val="single"/>
        </w:rPr>
        <w:t xml:space="preserve"> </w:t>
      </w:r>
      <w:r w:rsidR="00F31EFF" w:rsidRPr="008E7086">
        <w:rPr>
          <w:rFonts w:ascii="Arial" w:hAnsi="Arial" w:cs="Arial"/>
          <w:b/>
          <w:szCs w:val="24"/>
          <w:u w:val="single"/>
        </w:rPr>
        <w:t>Costs</w:t>
      </w:r>
    </w:p>
    <w:p w:rsidR="00F81181" w:rsidRDefault="00F81181" w:rsidP="001E1879">
      <w:pPr>
        <w:pStyle w:val="EndnoteText"/>
        <w:tabs>
          <w:tab w:val="left" w:pos="475"/>
        </w:tabs>
        <w:suppressAutoHyphens/>
        <w:ind w:left="475"/>
        <w:rPr>
          <w:rFonts w:ascii="Arial" w:hAnsi="Arial" w:cs="Arial"/>
          <w:szCs w:val="24"/>
          <w:lang w:val="en-US"/>
        </w:rPr>
      </w:pPr>
    </w:p>
    <w:p w:rsidR="007E2A66" w:rsidRDefault="00DC6FCC" w:rsidP="00FF3E60">
      <w:pPr>
        <w:pStyle w:val="EndnoteText"/>
        <w:tabs>
          <w:tab w:val="left" w:pos="360"/>
        </w:tabs>
        <w:suppressAutoHyphens/>
        <w:ind w:left="360"/>
        <w:jc w:val="left"/>
        <w:rPr>
          <w:rFonts w:ascii="Arial" w:hAnsi="Arial" w:cs="Arial"/>
          <w:szCs w:val="24"/>
          <w:lang w:val="en-US"/>
        </w:rPr>
      </w:pPr>
      <w:r w:rsidRPr="008E7086">
        <w:rPr>
          <w:rFonts w:ascii="Arial" w:hAnsi="Arial" w:cs="Arial"/>
          <w:szCs w:val="24"/>
          <w:lang w:val="en-US"/>
        </w:rPr>
        <w:t>GSA</w:t>
      </w:r>
      <w:r w:rsidR="00C6757C" w:rsidRPr="008E7086">
        <w:rPr>
          <w:rFonts w:ascii="Arial" w:hAnsi="Arial" w:cs="Arial"/>
          <w:szCs w:val="24"/>
          <w:lang w:val="en-US"/>
        </w:rPr>
        <w:t xml:space="preserve"> </w:t>
      </w:r>
      <w:r w:rsidR="00C731EE">
        <w:rPr>
          <w:rFonts w:ascii="Arial" w:hAnsi="Arial" w:cs="Arial"/>
          <w:szCs w:val="24"/>
          <w:lang w:val="en-US"/>
        </w:rPr>
        <w:t xml:space="preserve">Costs </w:t>
      </w:r>
      <w:r w:rsidR="007E2A66">
        <w:rPr>
          <w:rFonts w:ascii="Arial" w:hAnsi="Arial" w:cs="Arial"/>
          <w:szCs w:val="24"/>
          <w:lang w:val="en-US"/>
        </w:rPr>
        <w:t xml:space="preserve">for the Residential, Small Commercial and Industrial and Medium Commercial and Industrial rate classes </w:t>
      </w:r>
      <w:r w:rsidR="00A3516F">
        <w:rPr>
          <w:rFonts w:ascii="Arial" w:hAnsi="Arial" w:cs="Arial"/>
          <w:szCs w:val="24"/>
          <w:lang w:val="en-US"/>
        </w:rPr>
        <w:t>are</w:t>
      </w:r>
      <w:r w:rsidR="00F31EFF" w:rsidRPr="008E7086">
        <w:rPr>
          <w:rFonts w:ascii="Arial" w:hAnsi="Arial" w:cs="Arial"/>
          <w:szCs w:val="24"/>
          <w:lang w:val="en-US"/>
        </w:rPr>
        <w:t xml:space="preserve"> the </w:t>
      </w:r>
      <w:r w:rsidR="007E2A66">
        <w:rPr>
          <w:rFonts w:ascii="Arial" w:hAnsi="Arial" w:cs="Arial"/>
          <w:szCs w:val="24"/>
          <w:lang w:val="en-US"/>
        </w:rPr>
        <w:t>amounts paid to the full requirements suppliers providing the power</w:t>
      </w:r>
      <w:r w:rsidR="00F31EFF" w:rsidRPr="008E7086">
        <w:rPr>
          <w:rFonts w:ascii="Arial" w:hAnsi="Arial" w:cs="Arial"/>
          <w:szCs w:val="24"/>
          <w:lang w:val="en-US"/>
        </w:rPr>
        <w:t xml:space="preserve"> </w:t>
      </w:r>
      <w:r w:rsidR="007E2A66">
        <w:rPr>
          <w:rFonts w:ascii="Arial" w:hAnsi="Arial" w:cs="Arial"/>
          <w:szCs w:val="24"/>
          <w:lang w:val="en-US"/>
        </w:rPr>
        <w:t xml:space="preserve">for the quarter, the spot market purchases for the quarter, plus the cost of any other energy acquired through short or long term contracts during the period.  </w:t>
      </w:r>
      <w:r w:rsidR="00B20D42">
        <w:rPr>
          <w:rFonts w:ascii="Arial" w:hAnsi="Arial" w:cs="Arial"/>
          <w:szCs w:val="24"/>
          <w:lang w:val="en-US"/>
        </w:rPr>
        <w:t xml:space="preserve">GSA </w:t>
      </w:r>
      <w:r w:rsidR="00AD3F6D">
        <w:rPr>
          <w:rFonts w:ascii="Arial" w:hAnsi="Arial" w:cs="Arial"/>
          <w:szCs w:val="24"/>
          <w:lang w:val="en-US"/>
        </w:rPr>
        <w:t>C</w:t>
      </w:r>
      <w:r w:rsidR="00B20D42">
        <w:rPr>
          <w:rFonts w:ascii="Arial" w:hAnsi="Arial" w:cs="Arial"/>
          <w:szCs w:val="24"/>
          <w:lang w:val="en-US"/>
        </w:rPr>
        <w:t xml:space="preserve">osts include energy, capacity, ancillary services and applicable administrative costs.  </w:t>
      </w:r>
      <w:r w:rsidR="007E2A66">
        <w:rPr>
          <w:rFonts w:ascii="Arial" w:hAnsi="Arial" w:cs="Arial"/>
          <w:szCs w:val="24"/>
          <w:lang w:val="en-US"/>
        </w:rPr>
        <w:t xml:space="preserve">GSA </w:t>
      </w:r>
      <w:r w:rsidR="002B64D6">
        <w:rPr>
          <w:rFonts w:ascii="Arial" w:hAnsi="Arial" w:cs="Arial"/>
          <w:szCs w:val="24"/>
          <w:lang w:val="en-US"/>
        </w:rPr>
        <w:t>energy c</w:t>
      </w:r>
      <w:r w:rsidR="007E2A66">
        <w:rPr>
          <w:rFonts w:ascii="Arial" w:hAnsi="Arial" w:cs="Arial"/>
          <w:szCs w:val="24"/>
          <w:lang w:val="en-US"/>
        </w:rPr>
        <w:t>osts for the Large C</w:t>
      </w:r>
      <w:r w:rsidR="00B20D42">
        <w:rPr>
          <w:rFonts w:ascii="Arial" w:hAnsi="Arial" w:cs="Arial"/>
          <w:szCs w:val="24"/>
          <w:lang w:val="en-US"/>
        </w:rPr>
        <w:t>&amp;</w:t>
      </w:r>
      <w:r w:rsidR="007E2A66">
        <w:rPr>
          <w:rFonts w:ascii="Arial" w:hAnsi="Arial" w:cs="Arial"/>
          <w:szCs w:val="24"/>
          <w:lang w:val="en-US"/>
        </w:rPr>
        <w:t xml:space="preserve">I rate class are calculated by </w:t>
      </w:r>
      <w:r w:rsidR="008A77A2">
        <w:rPr>
          <w:rFonts w:ascii="Arial" w:hAnsi="Arial" w:cs="Arial"/>
          <w:szCs w:val="24"/>
          <w:lang w:val="en-US"/>
        </w:rPr>
        <w:t xml:space="preserve">multiplying </w:t>
      </w:r>
      <w:r w:rsidR="007E2A66">
        <w:rPr>
          <w:rFonts w:ascii="Arial" w:hAnsi="Arial" w:cs="Arial"/>
          <w:szCs w:val="24"/>
          <w:lang w:val="en-US"/>
        </w:rPr>
        <w:t xml:space="preserve">the </w:t>
      </w:r>
      <w:r w:rsidR="007E2A66" w:rsidRPr="00F51FF0">
        <w:rPr>
          <w:rFonts w:ascii="Arial" w:hAnsi="Arial" w:cs="Arial"/>
          <w:szCs w:val="24"/>
        </w:rPr>
        <w:t>P</w:t>
      </w:r>
      <w:r w:rsidR="007E2A66">
        <w:rPr>
          <w:rFonts w:ascii="Arial" w:hAnsi="Arial" w:cs="Arial"/>
          <w:szCs w:val="24"/>
        </w:rPr>
        <w:t xml:space="preserve">ennsylvania-New </w:t>
      </w:r>
      <w:r w:rsidR="007E2A66" w:rsidRPr="00F51FF0">
        <w:rPr>
          <w:rFonts w:ascii="Arial" w:hAnsi="Arial" w:cs="Arial"/>
          <w:szCs w:val="24"/>
        </w:rPr>
        <w:t>J</w:t>
      </w:r>
      <w:r w:rsidR="007E2A66">
        <w:rPr>
          <w:rFonts w:ascii="Arial" w:hAnsi="Arial" w:cs="Arial"/>
          <w:szCs w:val="24"/>
        </w:rPr>
        <w:t>ersey-</w:t>
      </w:r>
      <w:r w:rsidR="007E2A66" w:rsidRPr="00F51FF0">
        <w:rPr>
          <w:rFonts w:ascii="Arial" w:hAnsi="Arial" w:cs="Arial"/>
          <w:szCs w:val="24"/>
        </w:rPr>
        <w:t>M</w:t>
      </w:r>
      <w:r w:rsidR="007E2A66">
        <w:rPr>
          <w:rFonts w:ascii="Arial" w:hAnsi="Arial" w:cs="Arial"/>
          <w:szCs w:val="24"/>
        </w:rPr>
        <w:t>aryland Interconnection</w:t>
      </w:r>
      <w:r w:rsidR="007E2A66" w:rsidRPr="00F51FF0">
        <w:rPr>
          <w:rFonts w:ascii="Arial" w:hAnsi="Arial" w:cs="Arial"/>
          <w:szCs w:val="24"/>
        </w:rPr>
        <w:t xml:space="preserve"> </w:t>
      </w:r>
      <w:r w:rsidR="007E2A66">
        <w:rPr>
          <w:rFonts w:ascii="Arial" w:hAnsi="Arial" w:cs="Arial"/>
          <w:szCs w:val="24"/>
        </w:rPr>
        <w:t>(PJM)</w:t>
      </w:r>
      <w:r w:rsidR="007E2A66">
        <w:rPr>
          <w:rFonts w:ascii="Arial" w:hAnsi="Arial" w:cs="Arial"/>
          <w:szCs w:val="24"/>
          <w:lang w:val="en-US"/>
        </w:rPr>
        <w:t xml:space="preserve"> day ahead hourly price by the customers usage </w:t>
      </w:r>
      <w:r w:rsidR="008A77A2">
        <w:rPr>
          <w:rFonts w:ascii="Arial" w:hAnsi="Arial" w:cs="Arial"/>
          <w:szCs w:val="24"/>
          <w:lang w:val="en-US"/>
        </w:rPr>
        <w:t>in</w:t>
      </w:r>
      <w:r w:rsidR="007E2A66">
        <w:rPr>
          <w:rFonts w:ascii="Arial" w:hAnsi="Arial" w:cs="Arial"/>
          <w:szCs w:val="24"/>
          <w:lang w:val="en-US"/>
        </w:rPr>
        <w:t xml:space="preserve"> the hour summed up for all the hours in the month.</w:t>
      </w:r>
      <w:r w:rsidR="003B65DA">
        <w:rPr>
          <w:rFonts w:ascii="Arial" w:hAnsi="Arial" w:cs="Arial"/>
          <w:szCs w:val="24"/>
          <w:lang w:val="en-US"/>
        </w:rPr>
        <w:t xml:space="preserve">  </w:t>
      </w:r>
      <w:r w:rsidR="0029399D">
        <w:rPr>
          <w:rFonts w:ascii="Arial" w:hAnsi="Arial" w:cs="Arial"/>
          <w:szCs w:val="24"/>
          <w:lang w:val="en-US"/>
        </w:rPr>
        <w:t xml:space="preserve">Capacity charges, ancillary services costs and applicable administrative costs are also included.  </w:t>
      </w:r>
      <w:r w:rsidR="003B65DA">
        <w:rPr>
          <w:rFonts w:ascii="Arial" w:hAnsi="Arial" w:cs="Arial"/>
          <w:szCs w:val="24"/>
          <w:lang w:val="en-US"/>
        </w:rPr>
        <w:t>In addition, the L</w:t>
      </w:r>
      <w:r w:rsidR="007C5AAE">
        <w:rPr>
          <w:rFonts w:ascii="Arial" w:hAnsi="Arial" w:cs="Arial"/>
          <w:szCs w:val="24"/>
          <w:lang w:val="en-US"/>
        </w:rPr>
        <w:t xml:space="preserve">arge </w:t>
      </w:r>
      <w:r w:rsidR="003B65DA">
        <w:rPr>
          <w:rFonts w:ascii="Arial" w:hAnsi="Arial" w:cs="Arial"/>
          <w:szCs w:val="24"/>
          <w:lang w:val="en-US"/>
        </w:rPr>
        <w:t>C&amp;I tariff also provide</w:t>
      </w:r>
      <w:r w:rsidR="008A77A2">
        <w:rPr>
          <w:rFonts w:ascii="Arial" w:hAnsi="Arial" w:cs="Arial"/>
          <w:szCs w:val="24"/>
          <w:lang w:val="en-US"/>
        </w:rPr>
        <w:t>s for a fixed price contract option.</w:t>
      </w:r>
    </w:p>
    <w:p w:rsidR="003B65DA" w:rsidRDefault="003B65DA" w:rsidP="007E2A66">
      <w:pPr>
        <w:pStyle w:val="EndnoteText"/>
        <w:tabs>
          <w:tab w:val="left" w:pos="475"/>
        </w:tabs>
        <w:suppressAutoHyphens/>
        <w:ind w:left="475"/>
        <w:jc w:val="left"/>
        <w:rPr>
          <w:rFonts w:ascii="Arial" w:hAnsi="Arial" w:cs="Arial"/>
          <w:szCs w:val="24"/>
          <w:lang w:val="en-US"/>
        </w:rPr>
      </w:pPr>
    </w:p>
    <w:p w:rsidR="00375D18" w:rsidRPr="008E7086" w:rsidRDefault="00043C83" w:rsidP="00375D18">
      <w:pPr>
        <w:tabs>
          <w:tab w:val="left" w:pos="360"/>
        </w:tabs>
        <w:jc w:val="both"/>
        <w:rPr>
          <w:rFonts w:ascii="Arial" w:hAnsi="Arial" w:cs="Arial"/>
          <w:b/>
          <w:szCs w:val="24"/>
          <w:u w:val="single"/>
        </w:rPr>
      </w:pPr>
      <w:r>
        <w:rPr>
          <w:rFonts w:ascii="Arial" w:hAnsi="Arial" w:cs="Arial"/>
          <w:b/>
          <w:szCs w:val="24"/>
          <w:u w:val="single"/>
        </w:rPr>
        <w:t>4</w:t>
      </w:r>
      <w:r w:rsidR="006854D1" w:rsidRPr="008E7086">
        <w:rPr>
          <w:rFonts w:ascii="Arial" w:hAnsi="Arial" w:cs="Arial"/>
          <w:b/>
          <w:szCs w:val="24"/>
          <w:u w:val="single"/>
        </w:rPr>
        <w:t xml:space="preserve"> – </w:t>
      </w:r>
      <w:r w:rsidR="00375D18" w:rsidRPr="008E7086">
        <w:rPr>
          <w:rFonts w:ascii="Arial" w:hAnsi="Arial" w:cs="Arial"/>
          <w:b/>
          <w:szCs w:val="24"/>
          <w:u w:val="single"/>
        </w:rPr>
        <w:t>Over</w:t>
      </w:r>
      <w:proofErr w:type="gramStart"/>
      <w:r w:rsidR="00375D18" w:rsidRPr="008E7086">
        <w:rPr>
          <w:rFonts w:ascii="Arial" w:hAnsi="Arial" w:cs="Arial"/>
          <w:b/>
          <w:szCs w:val="24"/>
          <w:u w:val="single"/>
        </w:rPr>
        <w:t>/(</w:t>
      </w:r>
      <w:proofErr w:type="gramEnd"/>
      <w:r w:rsidR="00375D18" w:rsidRPr="008E7086">
        <w:rPr>
          <w:rFonts w:ascii="Arial" w:hAnsi="Arial" w:cs="Arial"/>
          <w:b/>
          <w:szCs w:val="24"/>
          <w:u w:val="single"/>
        </w:rPr>
        <w:t>Under) Collections</w:t>
      </w:r>
    </w:p>
    <w:p w:rsidR="00722322" w:rsidRPr="008E7086" w:rsidRDefault="00722322" w:rsidP="00D07FEC">
      <w:pPr>
        <w:pStyle w:val="EndnoteText"/>
        <w:tabs>
          <w:tab w:val="left" w:pos="-1440"/>
          <w:tab w:val="left" w:pos="-720"/>
          <w:tab w:val="left" w:pos="450"/>
          <w:tab w:val="left" w:pos="720"/>
          <w:tab w:val="left" w:pos="990"/>
          <w:tab w:val="left" w:pos="1440"/>
        </w:tabs>
        <w:suppressAutoHyphens/>
        <w:ind w:left="1050"/>
        <w:jc w:val="left"/>
        <w:rPr>
          <w:rFonts w:ascii="Arial" w:hAnsi="Arial" w:cs="Arial"/>
          <w:szCs w:val="24"/>
          <w:lang w:val="en-US"/>
        </w:rPr>
      </w:pPr>
    </w:p>
    <w:p w:rsidR="00AA3D52" w:rsidRDefault="00D07FEC" w:rsidP="00B753D1">
      <w:pPr>
        <w:ind w:left="360"/>
        <w:jc w:val="left"/>
        <w:rPr>
          <w:rFonts w:ascii="Arial" w:hAnsi="Arial" w:cs="Arial"/>
        </w:rPr>
      </w:pPr>
      <w:r w:rsidRPr="00936DE2">
        <w:rPr>
          <w:rFonts w:ascii="Arial" w:hAnsi="Arial" w:cs="Arial"/>
          <w:szCs w:val="24"/>
        </w:rPr>
        <w:t>The Over</w:t>
      </w:r>
      <w:proofErr w:type="gramStart"/>
      <w:r w:rsidRPr="00936DE2">
        <w:rPr>
          <w:rFonts w:ascii="Arial" w:hAnsi="Arial" w:cs="Arial"/>
          <w:szCs w:val="24"/>
        </w:rPr>
        <w:t>/(</w:t>
      </w:r>
      <w:proofErr w:type="gramEnd"/>
      <w:r w:rsidRPr="00936DE2">
        <w:rPr>
          <w:rFonts w:ascii="Arial" w:hAnsi="Arial" w:cs="Arial"/>
          <w:szCs w:val="24"/>
        </w:rPr>
        <w:t xml:space="preserve">Under) Collections </w:t>
      </w:r>
      <w:r w:rsidR="00133E19">
        <w:rPr>
          <w:rFonts w:ascii="Arial" w:hAnsi="Arial" w:cs="Arial"/>
          <w:szCs w:val="24"/>
        </w:rPr>
        <w:t>are</w:t>
      </w:r>
      <w:r>
        <w:rPr>
          <w:rFonts w:ascii="Arial" w:hAnsi="Arial" w:cs="Arial"/>
          <w:szCs w:val="24"/>
        </w:rPr>
        <w:t xml:space="preserve"> the</w:t>
      </w:r>
      <w:r w:rsidRPr="00936DE2">
        <w:rPr>
          <w:rFonts w:ascii="Arial" w:hAnsi="Arial" w:cs="Arial"/>
          <w:szCs w:val="24"/>
        </w:rPr>
        <w:t xml:space="preserve"> difference between the </w:t>
      </w:r>
      <w:r w:rsidR="00FD04D1">
        <w:rPr>
          <w:rFonts w:ascii="Arial" w:hAnsi="Arial" w:cs="Arial"/>
          <w:szCs w:val="24"/>
        </w:rPr>
        <w:t>GSA</w:t>
      </w:r>
      <w:r>
        <w:rPr>
          <w:rFonts w:ascii="Arial" w:hAnsi="Arial" w:cs="Arial"/>
          <w:szCs w:val="24"/>
        </w:rPr>
        <w:t xml:space="preserve"> </w:t>
      </w:r>
      <w:r w:rsidRPr="00936DE2">
        <w:rPr>
          <w:rFonts w:ascii="Arial" w:hAnsi="Arial" w:cs="Arial"/>
          <w:szCs w:val="24"/>
        </w:rPr>
        <w:t>Revenue</w:t>
      </w:r>
      <w:r>
        <w:rPr>
          <w:rFonts w:ascii="Arial" w:hAnsi="Arial" w:cs="Arial"/>
          <w:szCs w:val="24"/>
        </w:rPr>
        <w:t xml:space="preserve">s </w:t>
      </w:r>
      <w:r w:rsidRPr="00936DE2">
        <w:rPr>
          <w:rFonts w:ascii="Arial" w:hAnsi="Arial" w:cs="Arial"/>
          <w:szCs w:val="24"/>
        </w:rPr>
        <w:t xml:space="preserve">and the </w:t>
      </w:r>
      <w:r w:rsidR="00FD04D1">
        <w:rPr>
          <w:rFonts w:ascii="Arial" w:hAnsi="Arial" w:cs="Arial"/>
          <w:szCs w:val="24"/>
        </w:rPr>
        <w:t>GSA</w:t>
      </w:r>
      <w:r>
        <w:rPr>
          <w:rFonts w:ascii="Arial" w:hAnsi="Arial" w:cs="Arial"/>
          <w:szCs w:val="24"/>
        </w:rPr>
        <w:t xml:space="preserve"> Costs</w:t>
      </w:r>
      <w:r w:rsidRPr="00936DE2">
        <w:rPr>
          <w:rFonts w:ascii="Arial" w:hAnsi="Arial" w:cs="Arial"/>
          <w:szCs w:val="24"/>
        </w:rPr>
        <w:t>.  The resulting amount</w:t>
      </w:r>
      <w:r>
        <w:rPr>
          <w:rFonts w:ascii="Arial" w:hAnsi="Arial" w:cs="Arial"/>
          <w:szCs w:val="24"/>
        </w:rPr>
        <w:t>s</w:t>
      </w:r>
      <w:r w:rsidRPr="00936DE2">
        <w:rPr>
          <w:rFonts w:ascii="Arial" w:hAnsi="Arial" w:cs="Arial"/>
          <w:szCs w:val="24"/>
        </w:rPr>
        <w:t xml:space="preserve"> </w:t>
      </w:r>
      <w:r w:rsidR="00133E19">
        <w:rPr>
          <w:rFonts w:ascii="Arial" w:hAnsi="Arial" w:cs="Arial"/>
          <w:szCs w:val="24"/>
        </w:rPr>
        <w:t xml:space="preserve">are </w:t>
      </w:r>
      <w:r w:rsidRPr="00DF518D">
        <w:rPr>
          <w:rFonts w:ascii="Arial" w:hAnsi="Arial" w:cs="Arial"/>
        </w:rPr>
        <w:t>refundable</w:t>
      </w:r>
      <w:r>
        <w:rPr>
          <w:rFonts w:ascii="Arial" w:hAnsi="Arial" w:cs="Arial"/>
        </w:rPr>
        <w:t xml:space="preserve"> to or </w:t>
      </w:r>
      <w:r w:rsidRPr="00DF518D">
        <w:rPr>
          <w:rFonts w:ascii="Arial" w:hAnsi="Arial" w:cs="Arial"/>
        </w:rPr>
        <w:t>recoverable from con</w:t>
      </w:r>
      <w:r>
        <w:rPr>
          <w:rFonts w:ascii="Arial" w:hAnsi="Arial" w:cs="Arial"/>
        </w:rPr>
        <w:t xml:space="preserve">sumers through subsequent </w:t>
      </w:r>
      <w:r w:rsidR="00FD04D1">
        <w:rPr>
          <w:rFonts w:ascii="Arial" w:hAnsi="Arial" w:cs="Arial"/>
        </w:rPr>
        <w:t>GSA</w:t>
      </w:r>
      <w:r>
        <w:rPr>
          <w:rFonts w:ascii="Arial" w:hAnsi="Arial" w:cs="Arial"/>
        </w:rPr>
        <w:t xml:space="preserve"> filings.  </w:t>
      </w:r>
    </w:p>
    <w:p w:rsidR="00AA3D52" w:rsidRDefault="00AA3D52" w:rsidP="00B753D1">
      <w:pPr>
        <w:ind w:left="360"/>
        <w:jc w:val="left"/>
        <w:rPr>
          <w:rFonts w:ascii="Arial" w:hAnsi="Arial" w:cs="Arial"/>
        </w:rPr>
      </w:pPr>
    </w:p>
    <w:p w:rsidR="00D07FEC" w:rsidRPr="00936DE2" w:rsidRDefault="00D07FEC" w:rsidP="00B753D1">
      <w:pPr>
        <w:ind w:left="360"/>
        <w:jc w:val="left"/>
        <w:rPr>
          <w:rFonts w:ascii="Arial" w:hAnsi="Arial" w:cs="Arial"/>
          <w:szCs w:val="24"/>
        </w:rPr>
      </w:pPr>
      <w:r>
        <w:rPr>
          <w:rFonts w:ascii="Arial" w:hAnsi="Arial" w:cs="Arial"/>
        </w:rPr>
        <w:t xml:space="preserve">Interest is applied to both over and under collections.  </w:t>
      </w:r>
      <w:r w:rsidRPr="00936DE2">
        <w:rPr>
          <w:rFonts w:ascii="Arial" w:hAnsi="Arial" w:cs="Arial"/>
          <w:szCs w:val="24"/>
        </w:rPr>
        <w:t>Differences arise for two primary reasons:</w:t>
      </w:r>
    </w:p>
    <w:p w:rsidR="00D07FEC" w:rsidRPr="00936DE2" w:rsidRDefault="00D07FEC" w:rsidP="00D07FEC">
      <w:pPr>
        <w:tabs>
          <w:tab w:val="left" w:pos="360"/>
        </w:tabs>
        <w:ind w:left="360"/>
        <w:jc w:val="left"/>
        <w:rPr>
          <w:rFonts w:ascii="Arial" w:hAnsi="Arial" w:cs="Arial"/>
          <w:szCs w:val="24"/>
        </w:rPr>
      </w:pPr>
    </w:p>
    <w:p w:rsidR="00AA3D52" w:rsidRDefault="00AA3D52" w:rsidP="00AA3D52">
      <w:pPr>
        <w:tabs>
          <w:tab w:val="left" w:pos="360"/>
        </w:tabs>
        <w:overflowPunct w:val="0"/>
        <w:autoSpaceDE w:val="0"/>
        <w:autoSpaceDN w:val="0"/>
        <w:adjustRightInd w:val="0"/>
        <w:ind w:left="720"/>
        <w:jc w:val="left"/>
        <w:textAlignment w:val="baseline"/>
        <w:rPr>
          <w:rFonts w:ascii="Arial" w:hAnsi="Arial" w:cs="Arial"/>
          <w:szCs w:val="24"/>
        </w:rPr>
      </w:pPr>
    </w:p>
    <w:p w:rsidR="00AA3D52" w:rsidRPr="0077381F" w:rsidRDefault="00AA3D52" w:rsidP="00AA3D52">
      <w:pPr>
        <w:rPr>
          <w:rFonts w:ascii="Arial" w:hAnsi="Arial" w:cs="Arial"/>
          <w:b/>
          <w:sz w:val="26"/>
          <w:szCs w:val="26"/>
        </w:rPr>
      </w:pPr>
      <w:r w:rsidRPr="0077381F">
        <w:rPr>
          <w:rFonts w:ascii="Arial" w:hAnsi="Arial" w:cs="Arial"/>
          <w:b/>
          <w:sz w:val="26"/>
          <w:szCs w:val="26"/>
        </w:rPr>
        <w:lastRenderedPageBreak/>
        <w:t>PECO ENERGY COMPANY</w:t>
      </w:r>
    </w:p>
    <w:p w:rsidR="00AA3D52" w:rsidRPr="0077381F" w:rsidRDefault="00AA3D52" w:rsidP="00AA3D52">
      <w:pPr>
        <w:pStyle w:val="Heading1"/>
        <w:rPr>
          <w:rFonts w:ascii="Arial" w:hAnsi="Arial" w:cs="Arial"/>
          <w:sz w:val="26"/>
          <w:szCs w:val="26"/>
          <w:u w:val="none"/>
        </w:rPr>
      </w:pPr>
    </w:p>
    <w:p w:rsidR="00AA3D52" w:rsidRPr="000A2605" w:rsidRDefault="00AA3D52" w:rsidP="00AA3D52">
      <w:pPr>
        <w:pStyle w:val="Heading1"/>
        <w:rPr>
          <w:rFonts w:ascii="Arial" w:hAnsi="Arial" w:cs="Arial"/>
          <w:sz w:val="26"/>
          <w:szCs w:val="26"/>
          <w:u w:val="none"/>
        </w:rPr>
      </w:pPr>
      <w:r w:rsidRPr="000A2605">
        <w:rPr>
          <w:rFonts w:ascii="Arial" w:hAnsi="Arial" w:cs="Arial"/>
          <w:sz w:val="26"/>
          <w:szCs w:val="26"/>
          <w:u w:val="none"/>
        </w:rPr>
        <w:t xml:space="preserve">Notes </w:t>
      </w:r>
      <w:r>
        <w:rPr>
          <w:rFonts w:ascii="Arial" w:hAnsi="Arial" w:cs="Arial"/>
          <w:sz w:val="26"/>
          <w:szCs w:val="26"/>
          <w:u w:val="none"/>
        </w:rPr>
        <w:t>t</w:t>
      </w:r>
      <w:r w:rsidRPr="000A2605">
        <w:rPr>
          <w:rFonts w:ascii="Arial" w:hAnsi="Arial" w:cs="Arial"/>
          <w:sz w:val="26"/>
          <w:szCs w:val="26"/>
          <w:u w:val="none"/>
        </w:rPr>
        <w:t xml:space="preserve">o </w:t>
      </w:r>
      <w:r>
        <w:rPr>
          <w:rFonts w:ascii="Arial" w:hAnsi="Arial" w:cs="Arial"/>
          <w:sz w:val="26"/>
          <w:szCs w:val="26"/>
          <w:u w:val="none"/>
        </w:rPr>
        <w:t>t</w:t>
      </w:r>
      <w:r w:rsidRPr="000A2605">
        <w:rPr>
          <w:rFonts w:ascii="Arial" w:hAnsi="Arial" w:cs="Arial"/>
          <w:sz w:val="26"/>
          <w:szCs w:val="26"/>
          <w:u w:val="none"/>
        </w:rPr>
        <w:t>he Financial Statement</w:t>
      </w:r>
      <w:r>
        <w:rPr>
          <w:rFonts w:ascii="Arial" w:hAnsi="Arial" w:cs="Arial"/>
          <w:sz w:val="26"/>
          <w:szCs w:val="26"/>
          <w:u w:val="none"/>
        </w:rPr>
        <w:t xml:space="preserve"> (continued)</w:t>
      </w:r>
    </w:p>
    <w:p w:rsidR="00AA3D52" w:rsidRDefault="00AA3D52" w:rsidP="00AA3D52">
      <w:pPr>
        <w:tabs>
          <w:tab w:val="left" w:pos="360"/>
        </w:tabs>
        <w:overflowPunct w:val="0"/>
        <w:autoSpaceDE w:val="0"/>
        <w:autoSpaceDN w:val="0"/>
        <w:adjustRightInd w:val="0"/>
        <w:ind w:left="720"/>
        <w:jc w:val="left"/>
        <w:textAlignment w:val="baseline"/>
        <w:rPr>
          <w:rFonts w:ascii="Arial" w:hAnsi="Arial" w:cs="Arial"/>
          <w:szCs w:val="24"/>
        </w:rPr>
      </w:pPr>
    </w:p>
    <w:p w:rsidR="00D07FEC" w:rsidRPr="00936DE2" w:rsidRDefault="00D07FEC" w:rsidP="00D07FEC">
      <w:pPr>
        <w:numPr>
          <w:ilvl w:val="0"/>
          <w:numId w:val="12"/>
        </w:numPr>
        <w:tabs>
          <w:tab w:val="left" w:pos="360"/>
        </w:tabs>
        <w:overflowPunct w:val="0"/>
        <w:autoSpaceDE w:val="0"/>
        <w:autoSpaceDN w:val="0"/>
        <w:adjustRightInd w:val="0"/>
        <w:jc w:val="left"/>
        <w:textAlignment w:val="baseline"/>
        <w:rPr>
          <w:rFonts w:ascii="Arial" w:hAnsi="Arial" w:cs="Arial"/>
          <w:szCs w:val="24"/>
        </w:rPr>
      </w:pPr>
      <w:r w:rsidRPr="00936DE2">
        <w:rPr>
          <w:rFonts w:ascii="Arial" w:hAnsi="Arial" w:cs="Arial"/>
          <w:szCs w:val="24"/>
        </w:rPr>
        <w:t>Variations between the actual month</w:t>
      </w:r>
      <w:r>
        <w:rPr>
          <w:rFonts w:ascii="Arial" w:hAnsi="Arial" w:cs="Arial"/>
          <w:szCs w:val="24"/>
        </w:rPr>
        <w:t>ly 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 xml:space="preserve">estimates used to determine the </w:t>
      </w:r>
      <w:r w:rsidR="00FD04D1">
        <w:rPr>
          <w:rFonts w:ascii="Arial" w:hAnsi="Arial" w:cs="Arial"/>
          <w:szCs w:val="24"/>
        </w:rPr>
        <w:t>GSA</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w:t>
      </w:r>
    </w:p>
    <w:p w:rsidR="00D07FEC" w:rsidRPr="00936DE2" w:rsidRDefault="00D07FEC" w:rsidP="00D07FEC">
      <w:pPr>
        <w:tabs>
          <w:tab w:val="left" w:pos="360"/>
        </w:tabs>
        <w:ind w:left="360"/>
        <w:jc w:val="left"/>
        <w:rPr>
          <w:rFonts w:ascii="Arial" w:hAnsi="Arial" w:cs="Arial"/>
          <w:szCs w:val="24"/>
        </w:rPr>
      </w:pPr>
    </w:p>
    <w:p w:rsidR="009C4BC7" w:rsidRDefault="009C4BC7" w:rsidP="009C4BC7">
      <w:pPr>
        <w:numPr>
          <w:ilvl w:val="0"/>
          <w:numId w:val="12"/>
        </w:numPr>
        <w:tabs>
          <w:tab w:val="left" w:pos="360"/>
        </w:tabs>
        <w:overflowPunct w:val="0"/>
        <w:autoSpaceDE w:val="0"/>
        <w:autoSpaceDN w:val="0"/>
        <w:adjustRightInd w:val="0"/>
        <w:jc w:val="left"/>
        <w:textAlignment w:val="baseline"/>
        <w:rPr>
          <w:rFonts w:ascii="Arial" w:hAnsi="Arial" w:cs="Arial"/>
          <w:szCs w:val="24"/>
        </w:rPr>
        <w:sectPr w:rsidR="009C4BC7" w:rsidSect="00572C4C">
          <w:headerReference w:type="even" r:id="rId28"/>
          <w:headerReference w:type="default" r:id="rId29"/>
          <w:footerReference w:type="default" r:id="rId30"/>
          <w:headerReference w:type="first" r:id="rId31"/>
          <w:endnotePr>
            <w:numFmt w:val="decimal"/>
          </w:endnotePr>
          <w:pgSz w:w="12240" w:h="15840" w:code="1"/>
          <w:pgMar w:top="1440" w:right="1440" w:bottom="1152" w:left="1440" w:header="720" w:footer="720" w:gutter="0"/>
          <w:pgNumType w:fmt="numberInDash" w:start="3"/>
          <w:cols w:space="720"/>
          <w:noEndnote/>
          <w:docGrid w:linePitch="326"/>
        </w:sectPr>
      </w:pPr>
      <w:r w:rsidRPr="00936DE2">
        <w:rPr>
          <w:rFonts w:ascii="Arial" w:hAnsi="Arial" w:cs="Arial"/>
          <w:szCs w:val="24"/>
        </w:rPr>
        <w:t xml:space="preserve">Variations between the actual </w:t>
      </w:r>
      <w:r>
        <w:rPr>
          <w:rFonts w:ascii="Arial" w:hAnsi="Arial" w:cs="Arial"/>
          <w:szCs w:val="24"/>
        </w:rPr>
        <w:t>GSA costs</w:t>
      </w:r>
      <w:r w:rsidRPr="00936DE2">
        <w:rPr>
          <w:rFonts w:ascii="Arial" w:hAnsi="Arial" w:cs="Arial"/>
          <w:szCs w:val="24"/>
        </w:rPr>
        <w:t xml:space="preserve"> </w:t>
      </w:r>
      <w:r>
        <w:rPr>
          <w:rFonts w:ascii="Arial" w:hAnsi="Arial" w:cs="Arial"/>
          <w:szCs w:val="24"/>
        </w:rPr>
        <w:t>a</w:t>
      </w:r>
      <w:r w:rsidRPr="00936DE2">
        <w:rPr>
          <w:rFonts w:ascii="Arial" w:hAnsi="Arial" w:cs="Arial"/>
          <w:szCs w:val="24"/>
        </w:rPr>
        <w:t xml:space="preserve">nd the </w:t>
      </w:r>
      <w:r>
        <w:rPr>
          <w:rFonts w:ascii="Arial" w:hAnsi="Arial" w:cs="Arial"/>
          <w:szCs w:val="24"/>
        </w:rPr>
        <w:t xml:space="preserve">estimated </w:t>
      </w:r>
      <w:r w:rsidRPr="00936DE2">
        <w:rPr>
          <w:rFonts w:ascii="Arial" w:hAnsi="Arial" w:cs="Arial"/>
          <w:szCs w:val="24"/>
        </w:rPr>
        <w:t>ex</w:t>
      </w:r>
      <w:r>
        <w:rPr>
          <w:rFonts w:ascii="Arial" w:hAnsi="Arial" w:cs="Arial"/>
          <w:szCs w:val="24"/>
        </w:rPr>
        <w:t>penses used to determine the GSA</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 xml:space="preserve">.  </w:t>
      </w:r>
    </w:p>
    <w:p w:rsidR="008E5C37" w:rsidRDefault="008E5C37" w:rsidP="008E5C37">
      <w:pPr>
        <w:tabs>
          <w:tab w:val="left" w:pos="360"/>
        </w:tabs>
        <w:overflowPunct w:val="0"/>
        <w:autoSpaceDE w:val="0"/>
        <w:autoSpaceDN w:val="0"/>
        <w:adjustRightInd w:val="0"/>
        <w:ind w:left="720"/>
        <w:jc w:val="left"/>
        <w:textAlignment w:val="baseline"/>
        <w:rPr>
          <w:rFonts w:ascii="Arial" w:hAnsi="Arial" w:cs="Arial"/>
          <w:szCs w:val="24"/>
        </w:rPr>
      </w:pPr>
    </w:p>
    <w:p w:rsidR="00591EE9" w:rsidRDefault="00591EE9" w:rsidP="008E5C37">
      <w:pPr>
        <w:ind w:left="720"/>
        <w:rPr>
          <w:rFonts w:ascii="Arial" w:hAnsi="Arial" w:cs="Arial"/>
          <w:b/>
          <w:sz w:val="26"/>
          <w:szCs w:val="26"/>
        </w:rPr>
      </w:pPr>
    </w:p>
    <w:p w:rsidR="008E5C37" w:rsidRDefault="008E5C37" w:rsidP="008E5C37">
      <w:pPr>
        <w:pStyle w:val="ListParagraph"/>
        <w:rPr>
          <w:rFonts w:ascii="Arial" w:hAnsi="Arial" w:cs="Arial"/>
          <w:szCs w:val="24"/>
        </w:rPr>
      </w:pPr>
    </w:p>
    <w:p w:rsidR="00375D18" w:rsidRPr="008E7086" w:rsidRDefault="00375D18" w:rsidP="00D07FEC">
      <w:pPr>
        <w:pStyle w:val="EndnoteText"/>
        <w:tabs>
          <w:tab w:val="left" w:pos="-1440"/>
          <w:tab w:val="left" w:pos="-720"/>
          <w:tab w:val="left" w:pos="450"/>
          <w:tab w:val="left" w:pos="720"/>
          <w:tab w:val="left" w:pos="990"/>
          <w:tab w:val="left" w:pos="1440"/>
        </w:tabs>
        <w:suppressAutoHyphens/>
        <w:jc w:val="left"/>
        <w:rPr>
          <w:rFonts w:ascii="Arial" w:hAnsi="Arial" w:cs="Arial"/>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4A2035" w:rsidRDefault="004A2035" w:rsidP="00905409">
      <w:pPr>
        <w:pStyle w:val="Heading4"/>
        <w:tabs>
          <w:tab w:val="clear" w:pos="4680"/>
        </w:tabs>
        <w:rPr>
          <w:rFonts w:ascii="Arial" w:hAnsi="Arial" w:cs="Arial"/>
          <w:sz w:val="36"/>
          <w:szCs w:val="36"/>
          <w:u w:val="none"/>
        </w:rPr>
      </w:pPr>
    </w:p>
    <w:p w:rsidR="004A2035" w:rsidRDefault="004A2035" w:rsidP="00905409">
      <w:pPr>
        <w:pStyle w:val="Heading4"/>
        <w:tabs>
          <w:tab w:val="clear" w:pos="4680"/>
        </w:tabs>
        <w:rPr>
          <w:rFonts w:ascii="Arial" w:hAnsi="Arial" w:cs="Arial"/>
          <w:sz w:val="36"/>
          <w:szCs w:val="36"/>
          <w:u w:val="none"/>
        </w:rPr>
      </w:pPr>
    </w:p>
    <w:p w:rsidR="004A2035" w:rsidRDefault="004A2035" w:rsidP="00905409">
      <w:pPr>
        <w:pStyle w:val="Heading4"/>
        <w:tabs>
          <w:tab w:val="clear" w:pos="4680"/>
        </w:tabs>
        <w:rPr>
          <w:rFonts w:ascii="Arial" w:hAnsi="Arial" w:cs="Arial"/>
          <w:sz w:val="36"/>
          <w:szCs w:val="36"/>
          <w:u w:val="none"/>
        </w:rPr>
      </w:pPr>
    </w:p>
    <w:p w:rsidR="004A2035" w:rsidRDefault="004A2035" w:rsidP="00905409">
      <w:pPr>
        <w:pStyle w:val="Heading4"/>
        <w:tabs>
          <w:tab w:val="clear" w:pos="4680"/>
        </w:tabs>
        <w:rPr>
          <w:rFonts w:ascii="Arial" w:hAnsi="Arial" w:cs="Arial"/>
          <w:sz w:val="36"/>
          <w:szCs w:val="36"/>
          <w:u w:val="none"/>
        </w:rPr>
      </w:pPr>
    </w:p>
    <w:p w:rsidR="00886692" w:rsidRPr="008E7086" w:rsidRDefault="00886692" w:rsidP="00905409">
      <w:pPr>
        <w:pStyle w:val="Heading4"/>
        <w:tabs>
          <w:tab w:val="clear" w:pos="4680"/>
        </w:tabs>
        <w:rPr>
          <w:rFonts w:ascii="Arial" w:hAnsi="Arial" w:cs="Arial"/>
          <w:sz w:val="36"/>
          <w:szCs w:val="36"/>
          <w:u w:val="none"/>
        </w:rPr>
      </w:pPr>
      <w:r w:rsidRPr="008E7086">
        <w:rPr>
          <w:rFonts w:ascii="Arial" w:hAnsi="Arial" w:cs="Arial"/>
          <w:sz w:val="36"/>
          <w:szCs w:val="36"/>
          <w:u w:val="none"/>
        </w:rPr>
        <w:t>BACKGROUND</w:t>
      </w: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Heading4"/>
        <w:tabs>
          <w:tab w:val="clear" w:pos="4680"/>
        </w:tabs>
        <w:rPr>
          <w:rFonts w:ascii="Arial" w:hAnsi="Arial" w:cs="Arial"/>
          <w:sz w:val="36"/>
          <w:szCs w:val="36"/>
          <w:u w:val="none"/>
        </w:rPr>
      </w:pPr>
      <w:r w:rsidRPr="008E7086">
        <w:rPr>
          <w:rFonts w:ascii="Arial" w:hAnsi="Arial" w:cs="Arial"/>
          <w:sz w:val="36"/>
          <w:szCs w:val="36"/>
          <w:u w:val="none"/>
        </w:rPr>
        <w:t>AND</w:t>
      </w: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Heading4"/>
        <w:tabs>
          <w:tab w:val="clear" w:pos="4680"/>
        </w:tabs>
        <w:rPr>
          <w:rFonts w:ascii="Arial" w:hAnsi="Arial" w:cs="Arial"/>
          <w:sz w:val="36"/>
          <w:szCs w:val="36"/>
          <w:u w:val="none"/>
        </w:rPr>
      </w:pPr>
      <w:r w:rsidRPr="008E7086">
        <w:rPr>
          <w:rFonts w:ascii="Arial" w:hAnsi="Arial" w:cs="Arial"/>
          <w:sz w:val="36"/>
          <w:szCs w:val="36"/>
          <w:u w:val="none"/>
        </w:rPr>
        <w:t>OPERATIONAL REVIEW</w:t>
      </w:r>
    </w:p>
    <w:p w:rsidR="004F0882" w:rsidRPr="008E7086" w:rsidRDefault="004F0882" w:rsidP="00905409">
      <w:pPr>
        <w:pStyle w:val="EndnoteText"/>
        <w:tabs>
          <w:tab w:val="left" w:pos="331"/>
          <w:tab w:val="left" w:pos="4680"/>
        </w:tabs>
        <w:suppressAutoHyphens/>
        <w:rPr>
          <w:rFonts w:ascii="Arial" w:hAnsi="Arial" w:cs="Arial"/>
          <w:b/>
          <w:szCs w:val="24"/>
          <w:u w:val="single"/>
        </w:rPr>
      </w:pPr>
    </w:p>
    <w:p w:rsidR="007E4643" w:rsidRPr="008E7086" w:rsidRDefault="007E4643" w:rsidP="00905409">
      <w:pPr>
        <w:pStyle w:val="EndnoteText"/>
        <w:tabs>
          <w:tab w:val="left" w:pos="331"/>
          <w:tab w:val="left" w:pos="4680"/>
        </w:tabs>
        <w:suppressAutoHyphens/>
        <w:rPr>
          <w:rFonts w:ascii="Arial" w:hAnsi="Arial" w:cs="Arial"/>
          <w:b/>
          <w:szCs w:val="24"/>
          <w:u w:val="single"/>
        </w:rPr>
        <w:sectPr w:rsidR="007E4643" w:rsidRPr="008E7086" w:rsidSect="00CC1261">
          <w:headerReference w:type="even" r:id="rId32"/>
          <w:headerReference w:type="default" r:id="rId33"/>
          <w:footerReference w:type="default" r:id="rId34"/>
          <w:headerReference w:type="first" r:id="rId35"/>
          <w:endnotePr>
            <w:numFmt w:val="decimal"/>
          </w:endnotePr>
          <w:pgSz w:w="12240" w:h="15840" w:code="1"/>
          <w:pgMar w:top="1152" w:right="1440" w:bottom="1152" w:left="1440" w:header="0" w:footer="720" w:gutter="0"/>
          <w:pgNumType w:start="2"/>
          <w:cols w:space="720"/>
          <w:noEndnote/>
        </w:sectPr>
      </w:pPr>
    </w:p>
    <w:p w:rsidR="0074546C" w:rsidRPr="0077381F" w:rsidRDefault="00425941" w:rsidP="0074546C">
      <w:pPr>
        <w:pStyle w:val="EndnoteText"/>
        <w:tabs>
          <w:tab w:val="left" w:pos="331"/>
          <w:tab w:val="left" w:pos="4680"/>
        </w:tabs>
        <w:suppressAutoHyphens/>
        <w:rPr>
          <w:rFonts w:ascii="Arial" w:hAnsi="Arial" w:cs="Arial"/>
          <w:b/>
          <w:sz w:val="26"/>
          <w:szCs w:val="26"/>
        </w:rPr>
      </w:pPr>
      <w:r w:rsidRPr="0077381F">
        <w:rPr>
          <w:rFonts w:ascii="Arial" w:hAnsi="Arial" w:cs="Arial"/>
          <w:b/>
          <w:sz w:val="26"/>
          <w:szCs w:val="26"/>
        </w:rPr>
        <w:lastRenderedPageBreak/>
        <w:t>PECO ENERGY COMPANY</w:t>
      </w:r>
    </w:p>
    <w:p w:rsidR="0074546C" w:rsidRPr="0077381F" w:rsidRDefault="0074546C" w:rsidP="0074546C">
      <w:pPr>
        <w:tabs>
          <w:tab w:val="center" w:pos="4680"/>
          <w:tab w:val="left" w:pos="5040"/>
          <w:tab w:val="left" w:pos="5760"/>
          <w:tab w:val="left" w:pos="6480"/>
          <w:tab w:val="left" w:pos="7200"/>
          <w:tab w:val="left" w:pos="7920"/>
          <w:tab w:val="left" w:pos="8640"/>
          <w:tab w:val="left" w:pos="9360"/>
        </w:tabs>
        <w:outlineLvl w:val="0"/>
        <w:rPr>
          <w:rFonts w:ascii="Arial" w:hAnsi="Arial" w:cs="Arial"/>
          <w:b/>
          <w:sz w:val="26"/>
          <w:szCs w:val="26"/>
        </w:rPr>
      </w:pPr>
    </w:p>
    <w:p w:rsidR="0074546C" w:rsidRPr="004A2035" w:rsidRDefault="0074546C" w:rsidP="0074546C">
      <w:pPr>
        <w:tabs>
          <w:tab w:val="left" w:pos="-1440"/>
          <w:tab w:val="left" w:pos="-720"/>
        </w:tabs>
        <w:suppressAutoHyphens/>
        <w:rPr>
          <w:rFonts w:ascii="Arial" w:hAnsi="Arial" w:cs="Arial"/>
          <w:sz w:val="26"/>
          <w:szCs w:val="26"/>
        </w:rPr>
      </w:pPr>
      <w:r w:rsidRPr="004A2035">
        <w:rPr>
          <w:rFonts w:ascii="Arial" w:hAnsi="Arial" w:cs="Arial"/>
          <w:b/>
          <w:sz w:val="26"/>
          <w:szCs w:val="26"/>
        </w:rPr>
        <w:t>Background</w:t>
      </w:r>
    </w:p>
    <w:p w:rsidR="0074546C" w:rsidRPr="0077381F" w:rsidRDefault="0074546C" w:rsidP="0074546C">
      <w:pPr>
        <w:tabs>
          <w:tab w:val="left" w:pos="-1440"/>
          <w:tab w:val="left" w:pos="-720"/>
        </w:tabs>
        <w:suppressAutoHyphens/>
        <w:rPr>
          <w:rFonts w:ascii="Arial" w:hAnsi="Arial" w:cs="Arial"/>
          <w:szCs w:val="24"/>
        </w:rPr>
      </w:pPr>
    </w:p>
    <w:p w:rsidR="0074546C" w:rsidRDefault="0074546C" w:rsidP="0074546C">
      <w:pPr>
        <w:tabs>
          <w:tab w:val="left" w:pos="-1440"/>
          <w:tab w:val="left" w:pos="-720"/>
        </w:tabs>
        <w:suppressAutoHyphens/>
        <w:rPr>
          <w:rFonts w:ascii="Arial" w:hAnsi="Arial" w:cs="Arial"/>
          <w:szCs w:val="24"/>
        </w:rPr>
      </w:pPr>
    </w:p>
    <w:p w:rsidR="001B3937" w:rsidRPr="00E712CA" w:rsidRDefault="001B3937" w:rsidP="00877798">
      <w:pPr>
        <w:jc w:val="left"/>
        <w:rPr>
          <w:rFonts w:ascii="Arial" w:hAnsi="Arial" w:cs="Arial"/>
        </w:rPr>
      </w:pPr>
      <w:r>
        <w:rPr>
          <w:rFonts w:ascii="Arial" w:hAnsi="Arial" w:cs="Arial"/>
        </w:rPr>
        <w:tab/>
      </w:r>
      <w:r w:rsidRPr="00E712CA">
        <w:rPr>
          <w:rFonts w:ascii="Arial" w:hAnsi="Arial" w:cs="Arial"/>
        </w:rPr>
        <w:t>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Pennsylvania Public Utility Commission.  PECO is a wholly owned subsidiary of Exelon Corporation headquartered in Chicago, Illinois.</w:t>
      </w:r>
      <w:r>
        <w:rPr>
          <w:rFonts w:ascii="Arial" w:hAnsi="Arial" w:cs="Arial"/>
        </w:rPr>
        <w:t xml:space="preserve">  During 2011, </w:t>
      </w:r>
      <w:r w:rsidRPr="00E113B3">
        <w:rPr>
          <w:rFonts w:ascii="Arial" w:hAnsi="Arial" w:cs="Arial"/>
        </w:rPr>
        <w:t xml:space="preserve">PECO’s total electric distribution revenues </w:t>
      </w:r>
      <w:r>
        <w:rPr>
          <w:rFonts w:ascii="Arial" w:hAnsi="Arial" w:cs="Arial"/>
        </w:rPr>
        <w:t>from</w:t>
      </w:r>
      <w:r w:rsidRPr="00E113B3">
        <w:rPr>
          <w:rFonts w:ascii="Arial" w:hAnsi="Arial" w:cs="Arial"/>
        </w:rPr>
        <w:t xml:space="preserve"> retail residential, commercial and industrial customers </w:t>
      </w:r>
      <w:r>
        <w:rPr>
          <w:rFonts w:ascii="Arial" w:hAnsi="Arial" w:cs="Arial"/>
        </w:rPr>
        <w:t>were approximately</w:t>
      </w:r>
      <w:r w:rsidRPr="00E113B3">
        <w:rPr>
          <w:rFonts w:ascii="Arial" w:hAnsi="Arial" w:cs="Arial"/>
        </w:rPr>
        <w:t xml:space="preserve"> $2,865 million</w:t>
      </w:r>
      <w:r>
        <w:rPr>
          <w:rFonts w:ascii="Arial" w:hAnsi="Arial" w:cs="Arial"/>
        </w:rPr>
        <w:t xml:space="preserve"> and its</w:t>
      </w:r>
      <w:r w:rsidRPr="00E113B3">
        <w:rPr>
          <w:rFonts w:ascii="Arial" w:hAnsi="Arial" w:cs="Arial"/>
        </w:rPr>
        <w:t xml:space="preserve"> total </w:t>
      </w:r>
      <w:r>
        <w:rPr>
          <w:rFonts w:ascii="Arial" w:hAnsi="Arial" w:cs="Arial"/>
        </w:rPr>
        <w:t xml:space="preserve">natural </w:t>
      </w:r>
      <w:r w:rsidRPr="00E113B3">
        <w:rPr>
          <w:rFonts w:ascii="Arial" w:hAnsi="Arial" w:cs="Arial"/>
        </w:rPr>
        <w:t xml:space="preserve">gas distribution revenues </w:t>
      </w:r>
      <w:r>
        <w:rPr>
          <w:rFonts w:ascii="Arial" w:hAnsi="Arial" w:cs="Arial"/>
        </w:rPr>
        <w:t>were</w:t>
      </w:r>
      <w:r w:rsidRPr="00E113B3">
        <w:rPr>
          <w:rFonts w:ascii="Arial" w:hAnsi="Arial" w:cs="Arial"/>
        </w:rPr>
        <w:t xml:space="preserve"> $567 million.</w:t>
      </w:r>
      <w:r w:rsidRPr="00E712CA">
        <w:rPr>
          <w:rFonts w:ascii="Arial" w:hAnsi="Arial" w:cs="Arial"/>
        </w:rPr>
        <w:t xml:space="preserve"> </w:t>
      </w:r>
    </w:p>
    <w:p w:rsidR="001B3937" w:rsidRDefault="001B3937" w:rsidP="001B3937">
      <w:pPr>
        <w:jc w:val="left"/>
        <w:rPr>
          <w:rFonts w:ascii="Arial" w:hAnsi="Arial" w:cs="Arial"/>
        </w:rPr>
      </w:pPr>
    </w:p>
    <w:p w:rsidR="001B3937" w:rsidRDefault="001B3937" w:rsidP="001B3937">
      <w:pPr>
        <w:jc w:val="left"/>
        <w:rPr>
          <w:rFonts w:ascii="Arial" w:hAnsi="Arial" w:cs="Arial"/>
        </w:rPr>
      </w:pPr>
      <w:r>
        <w:rPr>
          <w:rFonts w:ascii="Arial" w:hAnsi="Arial" w:cs="Arial"/>
        </w:rPr>
        <w:tab/>
      </w:r>
      <w:r w:rsidRPr="00E113B3">
        <w:rPr>
          <w:rFonts w:ascii="Arial" w:hAnsi="Arial" w:cs="Arial"/>
        </w:rPr>
        <w:t>PECO provides electric distribution service in an area of approximately 1</w:t>
      </w:r>
      <w:r>
        <w:rPr>
          <w:rFonts w:ascii="Arial" w:hAnsi="Arial" w:cs="Arial"/>
        </w:rPr>
        <w:t>,</w:t>
      </w:r>
      <w:r w:rsidRPr="00E113B3">
        <w:rPr>
          <w:rFonts w:ascii="Arial" w:hAnsi="Arial" w:cs="Arial"/>
        </w:rPr>
        <w:t>900 square miles with a population of approximately 3.9 million, including 1.5 million in the city of Philadelphia.</w:t>
      </w:r>
      <w:r>
        <w:rPr>
          <w:rFonts w:ascii="Arial" w:hAnsi="Arial" w:cs="Arial"/>
        </w:rPr>
        <w:t xml:space="preserve"> </w:t>
      </w:r>
      <w:r w:rsidRPr="00E113B3">
        <w:rPr>
          <w:rFonts w:ascii="Arial" w:hAnsi="Arial" w:cs="Arial"/>
        </w:rPr>
        <w:t xml:space="preserve"> PECO provides natural gas distribution service </w:t>
      </w:r>
      <w:r>
        <w:rPr>
          <w:rFonts w:ascii="Arial" w:hAnsi="Arial" w:cs="Arial"/>
        </w:rPr>
        <w:t>to</w:t>
      </w:r>
      <w:r w:rsidRPr="00E113B3">
        <w:rPr>
          <w:rFonts w:ascii="Arial" w:hAnsi="Arial" w:cs="Arial"/>
        </w:rPr>
        <w:t xml:space="preserve"> an area </w:t>
      </w:r>
      <w:r>
        <w:rPr>
          <w:rFonts w:ascii="Arial" w:hAnsi="Arial" w:cs="Arial"/>
        </w:rPr>
        <w:t>adjacent to the City of Philadelphia</w:t>
      </w:r>
      <w:r w:rsidRPr="00E113B3">
        <w:rPr>
          <w:rFonts w:ascii="Arial" w:hAnsi="Arial" w:cs="Arial"/>
        </w:rPr>
        <w:t>.</w:t>
      </w:r>
      <w:r>
        <w:rPr>
          <w:rFonts w:ascii="Arial" w:hAnsi="Arial" w:cs="Arial"/>
        </w:rPr>
        <w:t xml:space="preserve">  During 2011, </w:t>
      </w:r>
      <w:r w:rsidRPr="00E113B3">
        <w:rPr>
          <w:rFonts w:ascii="Arial" w:hAnsi="Arial" w:cs="Arial"/>
        </w:rPr>
        <w:t>PECO deliver</w:t>
      </w:r>
      <w:r>
        <w:rPr>
          <w:rFonts w:ascii="Arial" w:hAnsi="Arial" w:cs="Arial"/>
        </w:rPr>
        <w:t>ed</w:t>
      </w:r>
      <w:r w:rsidRPr="00E113B3">
        <w:rPr>
          <w:rFonts w:ascii="Arial" w:hAnsi="Arial" w:cs="Arial"/>
        </w:rPr>
        <w:t xml:space="preserve"> electricity to </w:t>
      </w:r>
      <w:r>
        <w:rPr>
          <w:rFonts w:ascii="Arial" w:hAnsi="Arial" w:cs="Arial"/>
        </w:rPr>
        <w:t xml:space="preserve">approximately </w:t>
      </w:r>
      <w:r w:rsidRPr="00E113B3">
        <w:rPr>
          <w:rFonts w:ascii="Arial" w:hAnsi="Arial" w:cs="Arial"/>
        </w:rPr>
        <w:t>1,577,0</w:t>
      </w:r>
      <w:r>
        <w:rPr>
          <w:rFonts w:ascii="Arial" w:hAnsi="Arial" w:cs="Arial"/>
        </w:rPr>
        <w:t>00</w:t>
      </w:r>
      <w:r w:rsidRPr="00E113B3">
        <w:rPr>
          <w:rFonts w:ascii="Arial" w:hAnsi="Arial" w:cs="Arial"/>
        </w:rPr>
        <w:t xml:space="preserve"> residential, commercial and industrial customers</w:t>
      </w:r>
      <w:r>
        <w:rPr>
          <w:rFonts w:ascii="Arial" w:hAnsi="Arial" w:cs="Arial"/>
        </w:rPr>
        <w:t xml:space="preserve"> and </w:t>
      </w:r>
      <w:r w:rsidRPr="00E113B3">
        <w:rPr>
          <w:rFonts w:ascii="Arial" w:hAnsi="Arial" w:cs="Arial"/>
        </w:rPr>
        <w:t xml:space="preserve">natural gas service to </w:t>
      </w:r>
      <w:r>
        <w:rPr>
          <w:rFonts w:ascii="Arial" w:hAnsi="Arial" w:cs="Arial"/>
        </w:rPr>
        <w:t xml:space="preserve">approximately </w:t>
      </w:r>
      <w:r w:rsidRPr="00E113B3">
        <w:rPr>
          <w:rFonts w:ascii="Arial" w:hAnsi="Arial" w:cs="Arial"/>
        </w:rPr>
        <w:t>493,6</w:t>
      </w:r>
      <w:r>
        <w:rPr>
          <w:rFonts w:ascii="Arial" w:hAnsi="Arial" w:cs="Arial"/>
        </w:rPr>
        <w:t>00</w:t>
      </w:r>
      <w:r w:rsidRPr="00E113B3">
        <w:rPr>
          <w:rFonts w:ascii="Arial" w:hAnsi="Arial" w:cs="Arial"/>
        </w:rPr>
        <w:t xml:space="preserve"> customers. </w:t>
      </w:r>
    </w:p>
    <w:p w:rsidR="001B3937" w:rsidRPr="00E113B3" w:rsidRDefault="001B3937" w:rsidP="001B3937">
      <w:pPr>
        <w:jc w:val="left"/>
        <w:rPr>
          <w:rFonts w:ascii="Arial" w:hAnsi="Arial" w:cs="Arial"/>
        </w:rPr>
      </w:pPr>
    </w:p>
    <w:p w:rsidR="001B3937" w:rsidRPr="00E113B3" w:rsidRDefault="001B3937" w:rsidP="001B3937">
      <w:pPr>
        <w:jc w:val="left"/>
        <w:rPr>
          <w:rFonts w:ascii="Arial" w:hAnsi="Arial" w:cs="Arial"/>
        </w:rPr>
      </w:pPr>
      <w:r>
        <w:rPr>
          <w:rFonts w:ascii="Arial" w:hAnsi="Arial" w:cs="Arial"/>
        </w:rPr>
        <w:tab/>
      </w:r>
      <w:r w:rsidRPr="00E113B3">
        <w:rPr>
          <w:rFonts w:ascii="Arial" w:hAnsi="Arial" w:cs="Arial"/>
        </w:rPr>
        <w:t>PECO owns 1,085 miles of high voltage electric tr</w:t>
      </w:r>
      <w:r>
        <w:rPr>
          <w:rFonts w:ascii="Arial" w:hAnsi="Arial" w:cs="Arial"/>
        </w:rPr>
        <w:t xml:space="preserve">ansmission lines within its service territory.  </w:t>
      </w:r>
      <w:r w:rsidRPr="00E113B3">
        <w:rPr>
          <w:rFonts w:ascii="Arial" w:hAnsi="Arial" w:cs="Arial"/>
        </w:rPr>
        <w:t xml:space="preserve">In addition, PECO has a 22.00% </w:t>
      </w:r>
      <w:r>
        <w:rPr>
          <w:rFonts w:ascii="Arial" w:hAnsi="Arial" w:cs="Arial"/>
        </w:rPr>
        <w:t xml:space="preserve">ownership of </w:t>
      </w:r>
      <w:r w:rsidRPr="00E113B3">
        <w:rPr>
          <w:rFonts w:ascii="Arial" w:hAnsi="Arial" w:cs="Arial"/>
        </w:rPr>
        <w:t xml:space="preserve">127 miles of 500 kV lines located in Pennsylvania and a 42.55% </w:t>
      </w:r>
      <w:r>
        <w:rPr>
          <w:rFonts w:ascii="Arial" w:hAnsi="Arial" w:cs="Arial"/>
        </w:rPr>
        <w:t>ownership of</w:t>
      </w:r>
      <w:r w:rsidRPr="00E113B3">
        <w:rPr>
          <w:rFonts w:ascii="Arial" w:hAnsi="Arial" w:cs="Arial"/>
        </w:rPr>
        <w:t xml:space="preserve"> 500 kV lines located in Delaware and New Jersey.</w:t>
      </w:r>
      <w:r>
        <w:rPr>
          <w:rFonts w:ascii="Arial" w:hAnsi="Arial" w:cs="Arial"/>
        </w:rPr>
        <w:t xml:space="preserve"> </w:t>
      </w:r>
      <w:r w:rsidRPr="00E113B3">
        <w:rPr>
          <w:rFonts w:ascii="Arial" w:hAnsi="Arial" w:cs="Arial"/>
        </w:rPr>
        <w:t xml:space="preserve"> PECO’s electric distribution system includes 12,972 circuit miles of overhead lines and 8,851 circuit miles of underground lines.</w:t>
      </w:r>
    </w:p>
    <w:p w:rsidR="001B3937" w:rsidRPr="008E7086" w:rsidRDefault="001B3937" w:rsidP="001B3937">
      <w:pPr>
        <w:tabs>
          <w:tab w:val="left" w:pos="-1440"/>
          <w:tab w:val="left" w:pos="-720"/>
        </w:tabs>
        <w:suppressAutoHyphens/>
        <w:jc w:val="left"/>
        <w:rPr>
          <w:rFonts w:ascii="Arial" w:hAnsi="Arial" w:cs="Arial"/>
          <w:szCs w:val="24"/>
        </w:rPr>
      </w:pPr>
    </w:p>
    <w:p w:rsidR="00F554E3" w:rsidRDefault="0074546C" w:rsidP="00FE48BF">
      <w:pPr>
        <w:jc w:val="left"/>
        <w:rPr>
          <w:rFonts w:ascii="Arial" w:hAnsi="Arial" w:cs="Arial"/>
        </w:rPr>
      </w:pPr>
      <w:r w:rsidRPr="008E7086">
        <w:rPr>
          <w:rFonts w:ascii="Arial" w:hAnsi="Arial" w:cs="Arial"/>
          <w:szCs w:val="24"/>
        </w:rPr>
        <w:tab/>
      </w:r>
      <w:r w:rsidR="00FE48BF" w:rsidRPr="00FE48BF">
        <w:rPr>
          <w:rFonts w:ascii="Arial" w:hAnsi="Arial" w:cs="Arial"/>
        </w:rPr>
        <w:t>By Order entered</w:t>
      </w:r>
      <w:r w:rsidR="00F554E3" w:rsidRPr="008E7086">
        <w:rPr>
          <w:rFonts w:ascii="Arial" w:hAnsi="Arial" w:cs="Arial"/>
        </w:rPr>
        <w:t xml:space="preserve"> June 2, 2009, the Commission </w:t>
      </w:r>
      <w:r w:rsidR="002F3410">
        <w:rPr>
          <w:rFonts w:ascii="Arial" w:hAnsi="Arial" w:cs="Arial"/>
        </w:rPr>
        <w:t xml:space="preserve">approved </w:t>
      </w:r>
      <w:r w:rsidR="00F554E3" w:rsidRPr="008E7086">
        <w:rPr>
          <w:rFonts w:ascii="Arial" w:hAnsi="Arial" w:cs="Arial"/>
        </w:rPr>
        <w:t xml:space="preserve">a Settlement Agreement (Agreement) </w:t>
      </w:r>
      <w:r w:rsidR="002F3410" w:rsidRPr="008E7086">
        <w:rPr>
          <w:rFonts w:ascii="Arial" w:hAnsi="Arial" w:cs="Arial"/>
        </w:rPr>
        <w:t>at Docket No. P</w:t>
      </w:r>
      <w:r w:rsidR="002F3410" w:rsidRPr="008E7086">
        <w:rPr>
          <w:rFonts w:ascii="Arial" w:hAnsi="Arial" w:cs="Arial"/>
        </w:rPr>
        <w:noBreakHyphen/>
        <w:t>2008</w:t>
      </w:r>
      <w:r w:rsidR="002F3410" w:rsidRPr="008E7086">
        <w:rPr>
          <w:rFonts w:ascii="Arial" w:hAnsi="Arial" w:cs="Arial"/>
        </w:rPr>
        <w:noBreakHyphen/>
        <w:t>2062739</w:t>
      </w:r>
      <w:r w:rsidR="002F3410">
        <w:rPr>
          <w:rFonts w:ascii="Arial" w:hAnsi="Arial" w:cs="Arial"/>
        </w:rPr>
        <w:t xml:space="preserve">.  </w:t>
      </w:r>
      <w:r w:rsidR="00F554E3" w:rsidRPr="008E7086">
        <w:rPr>
          <w:rFonts w:ascii="Arial" w:hAnsi="Arial" w:cs="Arial"/>
        </w:rPr>
        <w:t xml:space="preserve">The Agreement included a default service procurement plan with a term of </w:t>
      </w:r>
      <w:r w:rsidR="00572C4C">
        <w:rPr>
          <w:rFonts w:ascii="Arial" w:hAnsi="Arial" w:cs="Arial"/>
        </w:rPr>
        <w:t>29</w:t>
      </w:r>
      <w:r w:rsidR="00F554E3" w:rsidRPr="008E7086">
        <w:rPr>
          <w:rFonts w:ascii="Arial" w:hAnsi="Arial" w:cs="Arial"/>
        </w:rPr>
        <w:t xml:space="preserve"> months, beginning January 1, 2011 and ending May 31, 2013.  </w:t>
      </w:r>
      <w:r w:rsidR="002F3410">
        <w:rPr>
          <w:rFonts w:ascii="Arial" w:hAnsi="Arial" w:cs="Arial"/>
        </w:rPr>
        <w:t xml:space="preserve">Among other matters, the Agreement allowed </w:t>
      </w:r>
      <w:r w:rsidR="00F554E3" w:rsidRPr="008E7086">
        <w:rPr>
          <w:rFonts w:ascii="Arial" w:hAnsi="Arial" w:cs="Arial"/>
        </w:rPr>
        <w:t>PECO to establish a Generation Supply Adjustment (GSA) Rider</w:t>
      </w:r>
      <w:r w:rsidR="002F3410">
        <w:rPr>
          <w:rFonts w:ascii="Arial" w:hAnsi="Arial" w:cs="Arial"/>
        </w:rPr>
        <w:t>.  The GSA Rider permits PECO</w:t>
      </w:r>
      <w:r w:rsidR="00F554E3" w:rsidRPr="008E7086">
        <w:rPr>
          <w:rFonts w:ascii="Arial" w:hAnsi="Arial" w:cs="Arial"/>
        </w:rPr>
        <w:t xml:space="preserve"> to recover</w:t>
      </w:r>
      <w:r w:rsidR="002F3410">
        <w:rPr>
          <w:rFonts w:ascii="Arial" w:hAnsi="Arial" w:cs="Arial"/>
        </w:rPr>
        <w:t>, from its</w:t>
      </w:r>
      <w:r w:rsidR="00F554E3" w:rsidRPr="008E7086">
        <w:rPr>
          <w:rFonts w:ascii="Arial" w:hAnsi="Arial" w:cs="Arial"/>
        </w:rPr>
        <w:t xml:space="preserve"> </w:t>
      </w:r>
      <w:r w:rsidR="002F3410" w:rsidRPr="008E7086">
        <w:rPr>
          <w:rFonts w:ascii="Arial" w:hAnsi="Arial" w:cs="Arial"/>
        </w:rPr>
        <w:t>default service customers</w:t>
      </w:r>
      <w:r w:rsidR="002F3410">
        <w:rPr>
          <w:rFonts w:ascii="Arial" w:hAnsi="Arial" w:cs="Arial"/>
        </w:rPr>
        <w:t>,</w:t>
      </w:r>
      <w:r w:rsidR="002F3410" w:rsidRPr="008E7086">
        <w:rPr>
          <w:rFonts w:ascii="Arial" w:hAnsi="Arial" w:cs="Arial"/>
        </w:rPr>
        <w:t xml:space="preserve"> </w:t>
      </w:r>
      <w:r w:rsidR="00F554E3" w:rsidRPr="008E7086">
        <w:rPr>
          <w:rFonts w:ascii="Arial" w:hAnsi="Arial" w:cs="Arial"/>
        </w:rPr>
        <w:t xml:space="preserve">the cost of procuring power plus associated administrative expenses incurred in acquiring power and attaining regulatory approval of any procurement strategy and plan.  </w:t>
      </w:r>
    </w:p>
    <w:p w:rsidR="002F3410" w:rsidRDefault="002F3410" w:rsidP="00FE48BF">
      <w:pPr>
        <w:jc w:val="left"/>
        <w:rPr>
          <w:rFonts w:ascii="Arial" w:hAnsi="Arial" w:cs="Arial"/>
        </w:rPr>
      </w:pPr>
    </w:p>
    <w:p w:rsidR="003807D6" w:rsidRDefault="002F3410" w:rsidP="002F3410">
      <w:pPr>
        <w:jc w:val="left"/>
        <w:rPr>
          <w:rFonts w:ascii="Arial" w:hAnsi="Arial" w:cs="Arial"/>
        </w:rPr>
      </w:pPr>
      <w:r>
        <w:rPr>
          <w:rFonts w:ascii="Arial" w:hAnsi="Arial" w:cs="Arial"/>
        </w:rPr>
        <w:tab/>
      </w:r>
      <w:r w:rsidR="00F554E3" w:rsidRPr="008E7086">
        <w:rPr>
          <w:rFonts w:ascii="Arial" w:hAnsi="Arial" w:cs="Arial"/>
        </w:rPr>
        <w:t xml:space="preserve">The GSA Rider allows PECO to recover the costs associated with:  the amounts paid to the full requirements suppliers providing the power, the spot market purchases, and the cost of any other energy acquired through short or long term contracts during the period for each procurement class.  In addition to energy costs, recoverable costs include:  capacity and ancillary services, distribution line losses, cost of complying with the Alternative Energy Portfolio Standards (AEPS), and any other </w:t>
      </w:r>
      <w:r w:rsidRPr="008E7086">
        <w:rPr>
          <w:rFonts w:ascii="Arial" w:hAnsi="Arial" w:cs="Arial"/>
        </w:rPr>
        <w:t>load servicing entity charges</w:t>
      </w:r>
      <w:r>
        <w:rPr>
          <w:rFonts w:ascii="Arial" w:hAnsi="Arial" w:cs="Arial"/>
        </w:rPr>
        <w:t xml:space="preserve"> </w:t>
      </w:r>
      <w:r w:rsidRPr="008E7086">
        <w:rPr>
          <w:rFonts w:ascii="Arial" w:hAnsi="Arial" w:cs="Arial"/>
        </w:rPr>
        <w:t>other than network transmission service</w:t>
      </w:r>
      <w:r>
        <w:rPr>
          <w:rFonts w:ascii="Arial" w:hAnsi="Arial" w:cs="Arial"/>
        </w:rPr>
        <w:t xml:space="preserve"> </w:t>
      </w:r>
      <w:r w:rsidRPr="008E7086">
        <w:rPr>
          <w:rFonts w:ascii="Arial" w:hAnsi="Arial" w:cs="Arial"/>
        </w:rPr>
        <w:t>and costs assigned under the</w:t>
      </w:r>
      <w:r w:rsidR="001C2CCA">
        <w:rPr>
          <w:rFonts w:ascii="Arial" w:hAnsi="Arial" w:cs="Arial"/>
        </w:rPr>
        <w:t xml:space="preserve"> </w:t>
      </w:r>
      <w:r w:rsidR="001C2CCA" w:rsidRPr="008E7086">
        <w:rPr>
          <w:rFonts w:ascii="Arial" w:hAnsi="Arial" w:cs="Arial"/>
        </w:rPr>
        <w:t>Regional Transmission Expansion Plan; administrative costs, including the cost of the</w:t>
      </w:r>
    </w:p>
    <w:p w:rsidR="008C4F75" w:rsidRDefault="00574232" w:rsidP="002F3410">
      <w:pPr>
        <w:jc w:val="left"/>
        <w:rPr>
          <w:rFonts w:ascii="Arial" w:hAnsi="Arial" w:cs="Arial"/>
        </w:rPr>
      </w:pPr>
      <w:r w:rsidRPr="008E7086">
        <w:rPr>
          <w:rFonts w:ascii="Arial" w:hAnsi="Arial" w:cs="Arial"/>
        </w:rPr>
        <w:t>auction or RFP monitor; consultants providing guidance on the development of the procurement plan; legal fees incurred gaining approval of the plan; and any other costs</w:t>
      </w:r>
      <w:r>
        <w:rPr>
          <w:rFonts w:ascii="Arial" w:hAnsi="Arial" w:cs="Arial"/>
        </w:rPr>
        <w:t xml:space="preserve"> </w:t>
      </w:r>
      <w:r w:rsidRPr="008E7086">
        <w:rPr>
          <w:rFonts w:ascii="Arial" w:hAnsi="Arial" w:cs="Arial"/>
        </w:rPr>
        <w:t>associated with designing and implementing a procurement plan.</w:t>
      </w:r>
    </w:p>
    <w:p w:rsidR="00574232" w:rsidRPr="008E7086" w:rsidRDefault="00574232" w:rsidP="002F3410">
      <w:pPr>
        <w:jc w:val="left"/>
        <w:rPr>
          <w:rFonts w:ascii="Arial" w:hAnsi="Arial" w:cs="Arial"/>
        </w:rPr>
        <w:sectPr w:rsidR="00574232" w:rsidRPr="008E7086" w:rsidSect="00D846A6">
          <w:headerReference w:type="even" r:id="rId36"/>
          <w:headerReference w:type="default" r:id="rId37"/>
          <w:footerReference w:type="default" r:id="rId38"/>
          <w:headerReference w:type="first" r:id="rId39"/>
          <w:endnotePr>
            <w:numFmt w:val="decimal"/>
          </w:endnotePr>
          <w:pgSz w:w="12240" w:h="15840" w:code="1"/>
          <w:pgMar w:top="1296" w:right="1440" w:bottom="576" w:left="1440" w:header="0" w:footer="720" w:gutter="0"/>
          <w:pgNumType w:fmt="numberInDash" w:start="5"/>
          <w:cols w:space="720"/>
          <w:noEndnote/>
        </w:sectPr>
      </w:pPr>
    </w:p>
    <w:p w:rsidR="005D711E" w:rsidRPr="0077381F" w:rsidRDefault="007603E9" w:rsidP="00804B60">
      <w:pPr>
        <w:pStyle w:val="Heading1"/>
        <w:tabs>
          <w:tab w:val="clear" w:pos="4680"/>
          <w:tab w:val="left" w:pos="360"/>
        </w:tabs>
        <w:rPr>
          <w:rFonts w:ascii="Arial" w:hAnsi="Arial" w:cs="Arial"/>
          <w:b w:val="0"/>
          <w:sz w:val="26"/>
          <w:szCs w:val="26"/>
          <w:u w:val="none"/>
        </w:rPr>
      </w:pPr>
      <w:r w:rsidRPr="0077381F">
        <w:rPr>
          <w:rFonts w:ascii="Arial" w:hAnsi="Arial" w:cs="Arial"/>
          <w:sz w:val="26"/>
          <w:szCs w:val="26"/>
          <w:u w:val="none"/>
        </w:rPr>
        <w:lastRenderedPageBreak/>
        <w:t>ACKNOWLEDGEMENTS</w:t>
      </w:r>
    </w:p>
    <w:p w:rsidR="007603E9" w:rsidRPr="008E7086" w:rsidRDefault="007603E9" w:rsidP="00905409">
      <w:pPr>
        <w:rPr>
          <w:rFonts w:ascii="Arial" w:hAnsi="Arial" w:cs="Arial"/>
          <w:b/>
          <w:szCs w:val="24"/>
          <w:u w:val="single"/>
        </w:rPr>
      </w:pPr>
    </w:p>
    <w:p w:rsidR="003612E7" w:rsidRPr="008E7086" w:rsidRDefault="003612E7" w:rsidP="00905409">
      <w:pPr>
        <w:rPr>
          <w:rFonts w:ascii="Arial" w:hAnsi="Arial" w:cs="Arial"/>
          <w:b/>
          <w:szCs w:val="24"/>
          <w:u w:val="single"/>
        </w:rPr>
      </w:pPr>
    </w:p>
    <w:p w:rsidR="007603E9" w:rsidRPr="007A206B" w:rsidRDefault="007603E9" w:rsidP="00877798">
      <w:pPr>
        <w:jc w:val="left"/>
        <w:rPr>
          <w:rFonts w:ascii="Arial" w:hAnsi="Arial" w:cs="Arial"/>
          <w:szCs w:val="24"/>
        </w:rPr>
      </w:pPr>
      <w:r w:rsidRPr="008E7086">
        <w:rPr>
          <w:rFonts w:ascii="Arial" w:hAnsi="Arial" w:cs="Arial"/>
          <w:szCs w:val="24"/>
        </w:rPr>
        <w:tab/>
        <w:t xml:space="preserve">We wish to express our appreciation to the officers and staff of </w:t>
      </w:r>
      <w:r w:rsidR="00425941" w:rsidRPr="008E7086">
        <w:rPr>
          <w:rFonts w:ascii="Arial" w:hAnsi="Arial" w:cs="Arial"/>
          <w:szCs w:val="24"/>
        </w:rPr>
        <w:t>PECO E</w:t>
      </w:r>
      <w:r w:rsidR="00F554E3" w:rsidRPr="008E7086">
        <w:rPr>
          <w:rFonts w:ascii="Arial" w:hAnsi="Arial" w:cs="Arial"/>
          <w:szCs w:val="24"/>
        </w:rPr>
        <w:t>nergy</w:t>
      </w:r>
      <w:r w:rsidR="00425941" w:rsidRPr="008E7086">
        <w:rPr>
          <w:rFonts w:ascii="Arial" w:hAnsi="Arial" w:cs="Arial"/>
          <w:szCs w:val="24"/>
        </w:rPr>
        <w:t xml:space="preserve"> C</w:t>
      </w:r>
      <w:r w:rsidR="00F554E3" w:rsidRPr="008E7086">
        <w:rPr>
          <w:rFonts w:ascii="Arial" w:hAnsi="Arial" w:cs="Arial"/>
          <w:szCs w:val="24"/>
        </w:rPr>
        <w:t>ompany</w:t>
      </w:r>
      <w:r w:rsidRPr="008E7086">
        <w:rPr>
          <w:rFonts w:ascii="Arial" w:hAnsi="Arial" w:cs="Arial"/>
          <w:szCs w:val="24"/>
        </w:rPr>
        <w:t xml:space="preserve"> for the cooperation and assistance given</w:t>
      </w:r>
      <w:r w:rsidR="00CF7432" w:rsidRPr="008E7086">
        <w:rPr>
          <w:rFonts w:ascii="Arial" w:hAnsi="Arial" w:cs="Arial"/>
          <w:szCs w:val="24"/>
        </w:rPr>
        <w:t xml:space="preserve"> to </w:t>
      </w:r>
      <w:r w:rsidRPr="008E7086">
        <w:rPr>
          <w:rFonts w:ascii="Arial" w:hAnsi="Arial" w:cs="Arial"/>
          <w:szCs w:val="24"/>
        </w:rPr>
        <w:t xml:space="preserve">us during the course of our examination. </w:t>
      </w:r>
      <w:r w:rsidR="00C33C4F">
        <w:rPr>
          <w:rFonts w:ascii="Arial" w:hAnsi="Arial" w:cs="Arial"/>
          <w:szCs w:val="24"/>
        </w:rPr>
        <w:t xml:space="preserve"> </w:t>
      </w:r>
      <w:r w:rsidR="00C208DE" w:rsidRPr="008E7086">
        <w:rPr>
          <w:rFonts w:ascii="Arial" w:hAnsi="Arial" w:cs="Arial"/>
          <w:szCs w:val="24"/>
        </w:rPr>
        <w:t xml:space="preserve">The audit was conducted by </w:t>
      </w:r>
      <w:r w:rsidR="00F554E3" w:rsidRPr="008E7086">
        <w:rPr>
          <w:rFonts w:ascii="Arial" w:hAnsi="Arial" w:cs="Arial"/>
          <w:szCs w:val="24"/>
        </w:rPr>
        <w:t>William S. Pierce, CPA</w:t>
      </w:r>
      <w:r w:rsidR="003B7861" w:rsidRPr="008E7086">
        <w:rPr>
          <w:rFonts w:ascii="Arial" w:hAnsi="Arial" w:cs="Arial"/>
          <w:szCs w:val="24"/>
        </w:rPr>
        <w:t>, assisted</w:t>
      </w:r>
      <w:r w:rsidR="00C208DE" w:rsidRPr="008E7086">
        <w:rPr>
          <w:rFonts w:ascii="Arial" w:hAnsi="Arial" w:cs="Arial"/>
          <w:szCs w:val="24"/>
        </w:rPr>
        <w:t xml:space="preserve"> by</w:t>
      </w:r>
      <w:r w:rsidR="003E644B" w:rsidRPr="008E7086">
        <w:rPr>
          <w:rFonts w:ascii="Arial" w:hAnsi="Arial" w:cs="Arial"/>
          <w:szCs w:val="24"/>
        </w:rPr>
        <w:t xml:space="preserve"> </w:t>
      </w:r>
      <w:r w:rsidR="00F554E3" w:rsidRPr="008E7086">
        <w:rPr>
          <w:rFonts w:ascii="Arial" w:hAnsi="Arial" w:cs="Arial"/>
          <w:szCs w:val="24"/>
        </w:rPr>
        <w:t xml:space="preserve">Katrina </w:t>
      </w:r>
      <w:r w:rsidR="00C33C4F">
        <w:rPr>
          <w:rFonts w:ascii="Arial" w:hAnsi="Arial" w:cs="Arial"/>
          <w:szCs w:val="24"/>
        </w:rPr>
        <w:t xml:space="preserve">S. </w:t>
      </w:r>
      <w:r w:rsidR="00F554E3" w:rsidRPr="008E7086">
        <w:rPr>
          <w:rFonts w:ascii="Arial" w:hAnsi="Arial" w:cs="Arial"/>
          <w:szCs w:val="24"/>
        </w:rPr>
        <w:t>Johnson.</w:t>
      </w:r>
      <w:r w:rsidRPr="007A206B">
        <w:rPr>
          <w:rFonts w:ascii="Arial" w:hAnsi="Arial" w:cs="Arial"/>
          <w:szCs w:val="24"/>
        </w:rPr>
        <w:t xml:space="preserve">  </w:t>
      </w:r>
    </w:p>
    <w:p w:rsidR="00D21BB1" w:rsidRPr="007A206B" w:rsidRDefault="00D21BB1" w:rsidP="00905409">
      <w:pPr>
        <w:rPr>
          <w:rFonts w:ascii="Arial" w:hAnsi="Arial" w:cs="Arial"/>
          <w:szCs w:val="24"/>
        </w:rPr>
      </w:pPr>
    </w:p>
    <w:sectPr w:rsidR="00D21BB1" w:rsidRPr="007A206B" w:rsidSect="00D846A6">
      <w:headerReference w:type="even" r:id="rId40"/>
      <w:headerReference w:type="default" r:id="rId41"/>
      <w:footerReference w:type="default" r:id="rId42"/>
      <w:headerReference w:type="first" r:id="rId43"/>
      <w:endnotePr>
        <w:numFmt w:val="decimal"/>
      </w:endnotePr>
      <w:pgSz w:w="12240" w:h="15840" w:code="1"/>
      <w:pgMar w:top="1440" w:right="1440" w:bottom="1152" w:left="1440" w:header="0" w:footer="720" w:gutter="0"/>
      <w:pgNumType w:fmt="numberInDash"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EA" w:rsidRDefault="002D7CEA">
      <w:r>
        <w:separator/>
      </w:r>
    </w:p>
  </w:endnote>
  <w:endnote w:type="continuationSeparator" w:id="0">
    <w:p w:rsidR="002D7CEA" w:rsidRDefault="002D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3AF9" w:rsidRDefault="00D63AF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45040"/>
      <w:docPartObj>
        <w:docPartGallery w:val="Page Numbers (Bottom of Page)"/>
        <w:docPartUnique/>
      </w:docPartObj>
    </w:sdtPr>
    <w:sdtEndPr>
      <w:rPr>
        <w:rFonts w:ascii="Arial" w:hAnsi="Arial" w:cs="Arial"/>
        <w:noProof/>
      </w:rPr>
    </w:sdtEndPr>
    <w:sdtContent>
      <w:p w:rsidR="001416EC" w:rsidRPr="00D846A6" w:rsidRDefault="00572C4C" w:rsidP="00D846A6">
        <w:pPr>
          <w:pStyle w:val="Footer"/>
          <w:rPr>
            <w:rFonts w:ascii="Arial" w:hAnsi="Arial" w:cs="Arial"/>
          </w:rPr>
        </w:pPr>
        <w:r w:rsidRPr="00572C4C">
          <w:rPr>
            <w:rFonts w:ascii="Arial" w:hAnsi="Arial" w:cs="Arial"/>
          </w:rPr>
          <w:fldChar w:fldCharType="begin"/>
        </w:r>
        <w:r w:rsidRPr="00572C4C">
          <w:rPr>
            <w:rFonts w:ascii="Arial" w:hAnsi="Arial" w:cs="Arial"/>
          </w:rPr>
          <w:instrText xml:space="preserve"> PAGE   \* MERGEFORMAT </w:instrText>
        </w:r>
        <w:r w:rsidRPr="00572C4C">
          <w:rPr>
            <w:rFonts w:ascii="Arial" w:hAnsi="Arial" w:cs="Arial"/>
          </w:rPr>
          <w:fldChar w:fldCharType="separate"/>
        </w:r>
        <w:r w:rsidR="00417533">
          <w:rPr>
            <w:rFonts w:ascii="Arial" w:hAnsi="Arial" w:cs="Arial"/>
            <w:noProof/>
          </w:rPr>
          <w:t>- 6 -</w:t>
        </w:r>
        <w:r w:rsidRPr="00572C4C">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F0" w:rsidRDefault="007A21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Footer"/>
      <w:tabs>
        <w:tab w:val="clear" w:pos="4320"/>
        <w:tab w:val="clear"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584531"/>
      <w:docPartObj>
        <w:docPartGallery w:val="Page Numbers (Bottom of Page)"/>
        <w:docPartUnique/>
      </w:docPartObj>
    </w:sdtPr>
    <w:sdtEndPr>
      <w:rPr>
        <w:rFonts w:ascii="Arial" w:hAnsi="Arial" w:cs="Arial"/>
        <w:noProof/>
      </w:rPr>
    </w:sdtEndPr>
    <w:sdtContent>
      <w:p w:rsidR="00D63AF9" w:rsidRPr="00A4705A" w:rsidRDefault="00A4705A" w:rsidP="00A4705A">
        <w:pPr>
          <w:pStyle w:val="Footer"/>
          <w:rPr>
            <w:rFonts w:ascii="Arial" w:hAnsi="Arial" w:cs="Arial"/>
          </w:rPr>
        </w:pPr>
        <w:r w:rsidRPr="00A4705A">
          <w:rPr>
            <w:rFonts w:ascii="Arial" w:hAnsi="Arial" w:cs="Arial"/>
          </w:rPr>
          <w:fldChar w:fldCharType="begin"/>
        </w:r>
        <w:r w:rsidRPr="00A4705A">
          <w:rPr>
            <w:rFonts w:ascii="Arial" w:hAnsi="Arial" w:cs="Arial"/>
          </w:rPr>
          <w:instrText xml:space="preserve"> PAGE   \* MERGEFORMAT </w:instrText>
        </w:r>
        <w:r w:rsidRPr="00A4705A">
          <w:rPr>
            <w:rFonts w:ascii="Arial" w:hAnsi="Arial" w:cs="Arial"/>
          </w:rPr>
          <w:fldChar w:fldCharType="separate"/>
        </w:r>
        <w:r w:rsidR="00417533">
          <w:rPr>
            <w:rFonts w:ascii="Arial" w:hAnsi="Arial" w:cs="Arial"/>
            <w:noProof/>
          </w:rPr>
          <w:t>- 1 -</w:t>
        </w:r>
        <w:r w:rsidRPr="00A4705A">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85476659"/>
      <w:docPartObj>
        <w:docPartGallery w:val="Page Numbers (Bottom of Page)"/>
        <w:docPartUnique/>
      </w:docPartObj>
    </w:sdtPr>
    <w:sdtEndPr>
      <w:rPr>
        <w:noProof/>
      </w:rPr>
    </w:sdtEndPr>
    <w:sdtContent>
      <w:p w:rsidR="00D63AF9" w:rsidRPr="00A4705A" w:rsidRDefault="00A4705A" w:rsidP="00A4705A">
        <w:pPr>
          <w:pStyle w:val="Footer"/>
          <w:rPr>
            <w:rFonts w:ascii="Arial" w:hAnsi="Arial" w:cs="Arial"/>
          </w:rPr>
        </w:pPr>
        <w:r w:rsidRPr="00A4705A">
          <w:rPr>
            <w:rFonts w:ascii="Arial" w:hAnsi="Arial" w:cs="Arial"/>
          </w:rPr>
          <w:fldChar w:fldCharType="begin"/>
        </w:r>
        <w:r w:rsidRPr="00A4705A">
          <w:rPr>
            <w:rFonts w:ascii="Arial" w:hAnsi="Arial" w:cs="Arial"/>
          </w:rPr>
          <w:instrText xml:space="preserve"> PAGE   \* MERGEFORMAT </w:instrText>
        </w:r>
        <w:r w:rsidRPr="00A4705A">
          <w:rPr>
            <w:rFonts w:ascii="Arial" w:hAnsi="Arial" w:cs="Arial"/>
          </w:rPr>
          <w:fldChar w:fldCharType="separate"/>
        </w:r>
        <w:r w:rsidR="00417533">
          <w:rPr>
            <w:rFonts w:ascii="Arial" w:hAnsi="Arial" w:cs="Arial"/>
            <w:noProof/>
          </w:rPr>
          <w:t>- 2 -</w:t>
        </w:r>
        <w:r w:rsidRPr="00A4705A">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BC7" w:rsidRPr="00086802" w:rsidRDefault="009C4BC7" w:rsidP="00086802">
    <w:pPr>
      <w:pStyle w:val="Footer"/>
      <w:rPr>
        <w:rFonts w:ascii="Arial" w:hAnsi="Arial" w:cs="Arial"/>
      </w:rPr>
    </w:pPr>
    <w:r w:rsidRPr="00086802">
      <w:rPr>
        <w:rFonts w:ascii="Arial" w:hAnsi="Arial" w:cs="Arial"/>
      </w:rPr>
      <w:fldChar w:fldCharType="begin"/>
    </w:r>
    <w:r w:rsidRPr="00086802">
      <w:rPr>
        <w:rFonts w:ascii="Arial" w:hAnsi="Arial" w:cs="Arial"/>
      </w:rPr>
      <w:instrText xml:space="preserve"> PAGE   \* MERGEFORMAT </w:instrText>
    </w:r>
    <w:r w:rsidRPr="00086802">
      <w:rPr>
        <w:rFonts w:ascii="Arial" w:hAnsi="Arial" w:cs="Arial"/>
      </w:rPr>
      <w:fldChar w:fldCharType="separate"/>
    </w:r>
    <w:r w:rsidR="00417533">
      <w:rPr>
        <w:rFonts w:ascii="Arial" w:hAnsi="Arial" w:cs="Arial"/>
        <w:noProof/>
      </w:rPr>
      <w:t>- 4 -</w:t>
    </w:r>
    <w:r w:rsidRPr="00086802">
      <w:rPr>
        <w:rFonts w:ascii="Arial" w:hAnsi="Arial" w:cs="Arial"/>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rsidP="007C7EC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130905"/>
      <w:docPartObj>
        <w:docPartGallery w:val="Page Numbers (Bottom of Page)"/>
        <w:docPartUnique/>
      </w:docPartObj>
    </w:sdtPr>
    <w:sdtEndPr>
      <w:rPr>
        <w:rFonts w:ascii="Arial" w:hAnsi="Arial" w:cs="Arial"/>
        <w:noProof/>
      </w:rPr>
    </w:sdtEndPr>
    <w:sdtContent>
      <w:p w:rsidR="00D63AF9" w:rsidRPr="00D846A6" w:rsidRDefault="00572C4C" w:rsidP="00D846A6">
        <w:pPr>
          <w:pStyle w:val="Footer"/>
          <w:rPr>
            <w:rFonts w:ascii="Arial" w:hAnsi="Arial" w:cs="Arial"/>
          </w:rPr>
        </w:pPr>
        <w:r w:rsidRPr="00572C4C">
          <w:rPr>
            <w:rFonts w:ascii="Arial" w:hAnsi="Arial" w:cs="Arial"/>
          </w:rPr>
          <w:fldChar w:fldCharType="begin"/>
        </w:r>
        <w:r w:rsidRPr="00572C4C">
          <w:rPr>
            <w:rFonts w:ascii="Arial" w:hAnsi="Arial" w:cs="Arial"/>
          </w:rPr>
          <w:instrText xml:space="preserve"> PAGE   \* MERGEFORMAT </w:instrText>
        </w:r>
        <w:r w:rsidRPr="00572C4C">
          <w:rPr>
            <w:rFonts w:ascii="Arial" w:hAnsi="Arial" w:cs="Arial"/>
          </w:rPr>
          <w:fldChar w:fldCharType="separate"/>
        </w:r>
        <w:r w:rsidR="00417533">
          <w:rPr>
            <w:rFonts w:ascii="Arial" w:hAnsi="Arial" w:cs="Arial"/>
            <w:noProof/>
          </w:rPr>
          <w:t>- 5 -</w:t>
        </w:r>
        <w:r w:rsidRPr="00572C4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EA" w:rsidRDefault="002D7CEA">
      <w:r>
        <w:separator/>
      </w:r>
    </w:p>
  </w:footnote>
  <w:footnote w:type="continuationSeparator" w:id="0">
    <w:p w:rsidR="002D7CEA" w:rsidRDefault="002D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F0" w:rsidRDefault="007A21F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BC7" w:rsidRDefault="009C4BC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BC7" w:rsidRDefault="009C4BC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BC7" w:rsidRDefault="009C4BC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F0" w:rsidRDefault="007A21F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E9" w:rsidRDefault="00591EE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E9" w:rsidRDefault="00591EE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E9" w:rsidRDefault="00591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F0" w:rsidRDefault="007A21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13C82"/>
    <w:multiLevelType w:val="hybridMultilevel"/>
    <w:tmpl w:val="DB56208C"/>
    <w:lvl w:ilvl="0" w:tplc="C92E73D2">
      <w:numFmt w:val="bullet"/>
      <w:lvlText w:val="•"/>
      <w:lvlJc w:val="left"/>
      <w:pPr>
        <w:ind w:left="720" w:hanging="390"/>
      </w:pPr>
      <w:rPr>
        <w:rFonts w:ascii="Arial" w:eastAsia="Times New Roman"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08636445"/>
    <w:multiLevelType w:val="hybridMultilevel"/>
    <w:tmpl w:val="4C560E7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nsid w:val="12FC74CF"/>
    <w:multiLevelType w:val="hybridMultilevel"/>
    <w:tmpl w:val="E5EC32CA"/>
    <w:lvl w:ilvl="0" w:tplc="26C0E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6">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58092178"/>
    <w:multiLevelType w:val="hybridMultilevel"/>
    <w:tmpl w:val="4EC6518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nsid w:val="5A6238D9"/>
    <w:multiLevelType w:val="hybridMultilevel"/>
    <w:tmpl w:val="AC189328"/>
    <w:lvl w:ilvl="0" w:tplc="AFE67E38">
      <w:start w:val="3"/>
      <w:numFmt w:val="bullet"/>
      <w:lvlText w:val="•"/>
      <w:lvlJc w:val="left"/>
      <w:pPr>
        <w:ind w:left="690" w:hanging="360"/>
      </w:pPr>
      <w:rPr>
        <w:rFonts w:ascii="Times New Roman" w:eastAsia="Times New Roman" w:hAnsi="Times New Roman" w:cs="Times New Roman" w:hint="default"/>
        <w:sz w:val="26"/>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5"/>
  </w:num>
  <w:num w:numId="6">
    <w:abstractNumId w:val="4"/>
  </w:num>
  <w:num w:numId="7">
    <w:abstractNumId w:val="10"/>
  </w:num>
  <w:num w:numId="8">
    <w:abstractNumId w:val="9"/>
  </w:num>
  <w:num w:numId="9">
    <w:abstractNumId w:val="8"/>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13FF"/>
    <w:rsid w:val="000014E9"/>
    <w:rsid w:val="00002E7F"/>
    <w:rsid w:val="000058DD"/>
    <w:rsid w:val="0000657F"/>
    <w:rsid w:val="000065D6"/>
    <w:rsid w:val="000068CE"/>
    <w:rsid w:val="000069D5"/>
    <w:rsid w:val="00006F7C"/>
    <w:rsid w:val="00011623"/>
    <w:rsid w:val="00011810"/>
    <w:rsid w:val="00013201"/>
    <w:rsid w:val="00015CB1"/>
    <w:rsid w:val="000162AB"/>
    <w:rsid w:val="000166C7"/>
    <w:rsid w:val="000170BD"/>
    <w:rsid w:val="00020E5C"/>
    <w:rsid w:val="00021880"/>
    <w:rsid w:val="00021C53"/>
    <w:rsid w:val="00023F02"/>
    <w:rsid w:val="000244C4"/>
    <w:rsid w:val="0002626A"/>
    <w:rsid w:val="00027AC3"/>
    <w:rsid w:val="00030423"/>
    <w:rsid w:val="0003068B"/>
    <w:rsid w:val="00031BD5"/>
    <w:rsid w:val="00031D01"/>
    <w:rsid w:val="0003354D"/>
    <w:rsid w:val="00033937"/>
    <w:rsid w:val="00033ECB"/>
    <w:rsid w:val="00036C2A"/>
    <w:rsid w:val="00036D9D"/>
    <w:rsid w:val="00037B1E"/>
    <w:rsid w:val="00037B79"/>
    <w:rsid w:val="000419CC"/>
    <w:rsid w:val="00043C83"/>
    <w:rsid w:val="000442F2"/>
    <w:rsid w:val="00044F2B"/>
    <w:rsid w:val="000453E2"/>
    <w:rsid w:val="0004663E"/>
    <w:rsid w:val="00046640"/>
    <w:rsid w:val="00047EF9"/>
    <w:rsid w:val="000502A5"/>
    <w:rsid w:val="000505BE"/>
    <w:rsid w:val="00052156"/>
    <w:rsid w:val="00052968"/>
    <w:rsid w:val="00053070"/>
    <w:rsid w:val="00054EF6"/>
    <w:rsid w:val="000577C0"/>
    <w:rsid w:val="00060885"/>
    <w:rsid w:val="00061843"/>
    <w:rsid w:val="00064A95"/>
    <w:rsid w:val="00066F74"/>
    <w:rsid w:val="00070064"/>
    <w:rsid w:val="00080C53"/>
    <w:rsid w:val="00080FED"/>
    <w:rsid w:val="000827D8"/>
    <w:rsid w:val="00082BDC"/>
    <w:rsid w:val="000830F4"/>
    <w:rsid w:val="000843E7"/>
    <w:rsid w:val="000862EE"/>
    <w:rsid w:val="00086D47"/>
    <w:rsid w:val="000925FB"/>
    <w:rsid w:val="000935FF"/>
    <w:rsid w:val="00095A87"/>
    <w:rsid w:val="00097B77"/>
    <w:rsid w:val="000A09E9"/>
    <w:rsid w:val="000A2605"/>
    <w:rsid w:val="000A289F"/>
    <w:rsid w:val="000A3382"/>
    <w:rsid w:val="000A47F7"/>
    <w:rsid w:val="000A6103"/>
    <w:rsid w:val="000A6BFD"/>
    <w:rsid w:val="000B0498"/>
    <w:rsid w:val="000B4DEB"/>
    <w:rsid w:val="000B5397"/>
    <w:rsid w:val="000B76B7"/>
    <w:rsid w:val="000B7AA4"/>
    <w:rsid w:val="000C0673"/>
    <w:rsid w:val="000C1019"/>
    <w:rsid w:val="000C7C23"/>
    <w:rsid w:val="000D3162"/>
    <w:rsid w:val="000D36EC"/>
    <w:rsid w:val="000D389D"/>
    <w:rsid w:val="000D4E11"/>
    <w:rsid w:val="000D7ED0"/>
    <w:rsid w:val="000E1CF4"/>
    <w:rsid w:val="000E3141"/>
    <w:rsid w:val="000E3E48"/>
    <w:rsid w:val="000E4B0D"/>
    <w:rsid w:val="000E6571"/>
    <w:rsid w:val="000E7FF1"/>
    <w:rsid w:val="000F0D7B"/>
    <w:rsid w:val="000F11FD"/>
    <w:rsid w:val="000F237D"/>
    <w:rsid w:val="000F2F3B"/>
    <w:rsid w:val="000F6CC8"/>
    <w:rsid w:val="00101D15"/>
    <w:rsid w:val="001032C8"/>
    <w:rsid w:val="00103CB4"/>
    <w:rsid w:val="0010499E"/>
    <w:rsid w:val="001066B1"/>
    <w:rsid w:val="001067A5"/>
    <w:rsid w:val="00106ADD"/>
    <w:rsid w:val="00107CAA"/>
    <w:rsid w:val="00114448"/>
    <w:rsid w:val="00116AA0"/>
    <w:rsid w:val="001175DC"/>
    <w:rsid w:val="0012026E"/>
    <w:rsid w:val="0012275F"/>
    <w:rsid w:val="00123DA5"/>
    <w:rsid w:val="00124112"/>
    <w:rsid w:val="0012782C"/>
    <w:rsid w:val="0013081F"/>
    <w:rsid w:val="00131E66"/>
    <w:rsid w:val="00132861"/>
    <w:rsid w:val="00133126"/>
    <w:rsid w:val="00133E19"/>
    <w:rsid w:val="00135C0E"/>
    <w:rsid w:val="00135EC4"/>
    <w:rsid w:val="00137C3B"/>
    <w:rsid w:val="00137DB9"/>
    <w:rsid w:val="001416EC"/>
    <w:rsid w:val="001428D7"/>
    <w:rsid w:val="00143115"/>
    <w:rsid w:val="0014334C"/>
    <w:rsid w:val="0014482D"/>
    <w:rsid w:val="00144BDA"/>
    <w:rsid w:val="0014537E"/>
    <w:rsid w:val="00150332"/>
    <w:rsid w:val="00150CFD"/>
    <w:rsid w:val="001528D4"/>
    <w:rsid w:val="00154DD2"/>
    <w:rsid w:val="00156913"/>
    <w:rsid w:val="001572A6"/>
    <w:rsid w:val="00157380"/>
    <w:rsid w:val="00157397"/>
    <w:rsid w:val="00157BF1"/>
    <w:rsid w:val="00160FFA"/>
    <w:rsid w:val="00161B74"/>
    <w:rsid w:val="001635FF"/>
    <w:rsid w:val="0016361B"/>
    <w:rsid w:val="00164754"/>
    <w:rsid w:val="001657F8"/>
    <w:rsid w:val="0016639F"/>
    <w:rsid w:val="0016787E"/>
    <w:rsid w:val="00170113"/>
    <w:rsid w:val="001704DD"/>
    <w:rsid w:val="0017305E"/>
    <w:rsid w:val="00173A1E"/>
    <w:rsid w:val="00173D64"/>
    <w:rsid w:val="00173F1D"/>
    <w:rsid w:val="0017608D"/>
    <w:rsid w:val="00177533"/>
    <w:rsid w:val="00180395"/>
    <w:rsid w:val="0018149E"/>
    <w:rsid w:val="001814C1"/>
    <w:rsid w:val="001822BA"/>
    <w:rsid w:val="001824F3"/>
    <w:rsid w:val="00186FF1"/>
    <w:rsid w:val="0018725D"/>
    <w:rsid w:val="001877B4"/>
    <w:rsid w:val="0019208C"/>
    <w:rsid w:val="00192144"/>
    <w:rsid w:val="00193D8E"/>
    <w:rsid w:val="001A032C"/>
    <w:rsid w:val="001A1B0A"/>
    <w:rsid w:val="001A3EEE"/>
    <w:rsid w:val="001B0888"/>
    <w:rsid w:val="001B3937"/>
    <w:rsid w:val="001B42BE"/>
    <w:rsid w:val="001B78F9"/>
    <w:rsid w:val="001B7B5B"/>
    <w:rsid w:val="001C1B3F"/>
    <w:rsid w:val="001C26EA"/>
    <w:rsid w:val="001C2CCA"/>
    <w:rsid w:val="001C347D"/>
    <w:rsid w:val="001C37D9"/>
    <w:rsid w:val="001C5737"/>
    <w:rsid w:val="001C70EA"/>
    <w:rsid w:val="001C7D51"/>
    <w:rsid w:val="001D1537"/>
    <w:rsid w:val="001D24EC"/>
    <w:rsid w:val="001D309F"/>
    <w:rsid w:val="001D3A2A"/>
    <w:rsid w:val="001D52A4"/>
    <w:rsid w:val="001D60BF"/>
    <w:rsid w:val="001D6360"/>
    <w:rsid w:val="001D6F30"/>
    <w:rsid w:val="001D7FF5"/>
    <w:rsid w:val="001E0223"/>
    <w:rsid w:val="001E14C1"/>
    <w:rsid w:val="001E1879"/>
    <w:rsid w:val="001E3A8D"/>
    <w:rsid w:val="001F176D"/>
    <w:rsid w:val="001F1FC1"/>
    <w:rsid w:val="001F3F08"/>
    <w:rsid w:val="001F5E83"/>
    <w:rsid w:val="001F781E"/>
    <w:rsid w:val="002065CF"/>
    <w:rsid w:val="00212D01"/>
    <w:rsid w:val="00213F93"/>
    <w:rsid w:val="002162F1"/>
    <w:rsid w:val="00216F99"/>
    <w:rsid w:val="002203F7"/>
    <w:rsid w:val="00220474"/>
    <w:rsid w:val="0022155A"/>
    <w:rsid w:val="00230BB1"/>
    <w:rsid w:val="002326C1"/>
    <w:rsid w:val="0023522A"/>
    <w:rsid w:val="00235BB8"/>
    <w:rsid w:val="002377F4"/>
    <w:rsid w:val="00240719"/>
    <w:rsid w:val="002429F0"/>
    <w:rsid w:val="0024555E"/>
    <w:rsid w:val="00245AE1"/>
    <w:rsid w:val="00246B54"/>
    <w:rsid w:val="00250177"/>
    <w:rsid w:val="002506E9"/>
    <w:rsid w:val="0025251F"/>
    <w:rsid w:val="0025257D"/>
    <w:rsid w:val="00252B00"/>
    <w:rsid w:val="00252B74"/>
    <w:rsid w:val="002533F2"/>
    <w:rsid w:val="00253B13"/>
    <w:rsid w:val="0025512F"/>
    <w:rsid w:val="0025778E"/>
    <w:rsid w:val="00257C99"/>
    <w:rsid w:val="00260F97"/>
    <w:rsid w:val="00261451"/>
    <w:rsid w:val="002675D2"/>
    <w:rsid w:val="002720E7"/>
    <w:rsid w:val="00273213"/>
    <w:rsid w:val="00273FE8"/>
    <w:rsid w:val="00275DC6"/>
    <w:rsid w:val="002763DC"/>
    <w:rsid w:val="002802CB"/>
    <w:rsid w:val="002831D2"/>
    <w:rsid w:val="00285B4A"/>
    <w:rsid w:val="002910CA"/>
    <w:rsid w:val="00291895"/>
    <w:rsid w:val="00291BD5"/>
    <w:rsid w:val="002922D7"/>
    <w:rsid w:val="00292717"/>
    <w:rsid w:val="0029399D"/>
    <w:rsid w:val="0029497C"/>
    <w:rsid w:val="00294A48"/>
    <w:rsid w:val="00295927"/>
    <w:rsid w:val="00297D96"/>
    <w:rsid w:val="002A0000"/>
    <w:rsid w:val="002A31D3"/>
    <w:rsid w:val="002A3361"/>
    <w:rsid w:val="002A34FC"/>
    <w:rsid w:val="002A38F4"/>
    <w:rsid w:val="002A476C"/>
    <w:rsid w:val="002B2DD6"/>
    <w:rsid w:val="002B3D52"/>
    <w:rsid w:val="002B5E39"/>
    <w:rsid w:val="002B64D6"/>
    <w:rsid w:val="002B6A49"/>
    <w:rsid w:val="002B751E"/>
    <w:rsid w:val="002C0E16"/>
    <w:rsid w:val="002C0E2D"/>
    <w:rsid w:val="002C1FC4"/>
    <w:rsid w:val="002C554A"/>
    <w:rsid w:val="002C6C45"/>
    <w:rsid w:val="002C6FB7"/>
    <w:rsid w:val="002D08B0"/>
    <w:rsid w:val="002D0900"/>
    <w:rsid w:val="002D15BF"/>
    <w:rsid w:val="002D2118"/>
    <w:rsid w:val="002D27C7"/>
    <w:rsid w:val="002D3DD6"/>
    <w:rsid w:val="002D42ED"/>
    <w:rsid w:val="002D7CEA"/>
    <w:rsid w:val="002E0448"/>
    <w:rsid w:val="002E0F06"/>
    <w:rsid w:val="002E2D50"/>
    <w:rsid w:val="002E32E8"/>
    <w:rsid w:val="002E4072"/>
    <w:rsid w:val="002E4AFD"/>
    <w:rsid w:val="002E55D4"/>
    <w:rsid w:val="002E6D73"/>
    <w:rsid w:val="002F3410"/>
    <w:rsid w:val="002F3A6C"/>
    <w:rsid w:val="002F4079"/>
    <w:rsid w:val="002F42DE"/>
    <w:rsid w:val="002F5D20"/>
    <w:rsid w:val="002F5E97"/>
    <w:rsid w:val="002F639C"/>
    <w:rsid w:val="002F7968"/>
    <w:rsid w:val="002F7AC1"/>
    <w:rsid w:val="0030137D"/>
    <w:rsid w:val="003016FA"/>
    <w:rsid w:val="00301D0E"/>
    <w:rsid w:val="003024B9"/>
    <w:rsid w:val="00304C93"/>
    <w:rsid w:val="00307929"/>
    <w:rsid w:val="0031351C"/>
    <w:rsid w:val="0031644D"/>
    <w:rsid w:val="003167FA"/>
    <w:rsid w:val="00316BC6"/>
    <w:rsid w:val="00316D8B"/>
    <w:rsid w:val="0032010E"/>
    <w:rsid w:val="003203FA"/>
    <w:rsid w:val="0032147C"/>
    <w:rsid w:val="00324335"/>
    <w:rsid w:val="00324407"/>
    <w:rsid w:val="00325922"/>
    <w:rsid w:val="003262ED"/>
    <w:rsid w:val="003276AC"/>
    <w:rsid w:val="003324CF"/>
    <w:rsid w:val="003344D7"/>
    <w:rsid w:val="00342746"/>
    <w:rsid w:val="003430EA"/>
    <w:rsid w:val="0034358F"/>
    <w:rsid w:val="00344493"/>
    <w:rsid w:val="00344C6D"/>
    <w:rsid w:val="00345D80"/>
    <w:rsid w:val="0035017F"/>
    <w:rsid w:val="003505DA"/>
    <w:rsid w:val="00350731"/>
    <w:rsid w:val="0035218A"/>
    <w:rsid w:val="003552E3"/>
    <w:rsid w:val="00355B6F"/>
    <w:rsid w:val="00356922"/>
    <w:rsid w:val="00356D1C"/>
    <w:rsid w:val="00357222"/>
    <w:rsid w:val="003612E7"/>
    <w:rsid w:val="00361CAF"/>
    <w:rsid w:val="00361DBA"/>
    <w:rsid w:val="00362F3F"/>
    <w:rsid w:val="00363254"/>
    <w:rsid w:val="00363B86"/>
    <w:rsid w:val="00363CAE"/>
    <w:rsid w:val="00365A2D"/>
    <w:rsid w:val="00365D36"/>
    <w:rsid w:val="00366497"/>
    <w:rsid w:val="00367C8F"/>
    <w:rsid w:val="003731A5"/>
    <w:rsid w:val="00374716"/>
    <w:rsid w:val="00375D18"/>
    <w:rsid w:val="003802FE"/>
    <w:rsid w:val="003807D6"/>
    <w:rsid w:val="00383E58"/>
    <w:rsid w:val="0038505A"/>
    <w:rsid w:val="00386B86"/>
    <w:rsid w:val="00387064"/>
    <w:rsid w:val="0039358B"/>
    <w:rsid w:val="00393F19"/>
    <w:rsid w:val="003A3E06"/>
    <w:rsid w:val="003A4AC6"/>
    <w:rsid w:val="003A4AFE"/>
    <w:rsid w:val="003A576B"/>
    <w:rsid w:val="003A683C"/>
    <w:rsid w:val="003A6BC0"/>
    <w:rsid w:val="003A6C20"/>
    <w:rsid w:val="003B0FA3"/>
    <w:rsid w:val="003B303A"/>
    <w:rsid w:val="003B3611"/>
    <w:rsid w:val="003B4193"/>
    <w:rsid w:val="003B443E"/>
    <w:rsid w:val="003B65DA"/>
    <w:rsid w:val="003B7861"/>
    <w:rsid w:val="003C3017"/>
    <w:rsid w:val="003C3DC4"/>
    <w:rsid w:val="003C52E3"/>
    <w:rsid w:val="003D2564"/>
    <w:rsid w:val="003D6279"/>
    <w:rsid w:val="003D633B"/>
    <w:rsid w:val="003D6418"/>
    <w:rsid w:val="003D6478"/>
    <w:rsid w:val="003D667A"/>
    <w:rsid w:val="003D6F58"/>
    <w:rsid w:val="003D7154"/>
    <w:rsid w:val="003E0515"/>
    <w:rsid w:val="003E2493"/>
    <w:rsid w:val="003E2E29"/>
    <w:rsid w:val="003E33E2"/>
    <w:rsid w:val="003E391F"/>
    <w:rsid w:val="003E5960"/>
    <w:rsid w:val="003E644B"/>
    <w:rsid w:val="003F35F8"/>
    <w:rsid w:val="003F533B"/>
    <w:rsid w:val="003F5D4D"/>
    <w:rsid w:val="003F746B"/>
    <w:rsid w:val="0040154A"/>
    <w:rsid w:val="00406758"/>
    <w:rsid w:val="00410BE2"/>
    <w:rsid w:val="00411C7F"/>
    <w:rsid w:val="00414C3A"/>
    <w:rsid w:val="004166DD"/>
    <w:rsid w:val="00417533"/>
    <w:rsid w:val="00420F93"/>
    <w:rsid w:val="0042256B"/>
    <w:rsid w:val="00423EEA"/>
    <w:rsid w:val="004245EE"/>
    <w:rsid w:val="004250E6"/>
    <w:rsid w:val="00425941"/>
    <w:rsid w:val="004318ED"/>
    <w:rsid w:val="00432453"/>
    <w:rsid w:val="00432B2F"/>
    <w:rsid w:val="00436C21"/>
    <w:rsid w:val="004377B1"/>
    <w:rsid w:val="00437890"/>
    <w:rsid w:val="00440563"/>
    <w:rsid w:val="00441128"/>
    <w:rsid w:val="00442806"/>
    <w:rsid w:val="00445300"/>
    <w:rsid w:val="00445F81"/>
    <w:rsid w:val="004470AA"/>
    <w:rsid w:val="00450495"/>
    <w:rsid w:val="00450B25"/>
    <w:rsid w:val="00455785"/>
    <w:rsid w:val="00460158"/>
    <w:rsid w:val="004602B7"/>
    <w:rsid w:val="0046263E"/>
    <w:rsid w:val="00466447"/>
    <w:rsid w:val="00470D7A"/>
    <w:rsid w:val="00472039"/>
    <w:rsid w:val="00472C70"/>
    <w:rsid w:val="0047509D"/>
    <w:rsid w:val="004755F0"/>
    <w:rsid w:val="00480FF5"/>
    <w:rsid w:val="0048119C"/>
    <w:rsid w:val="00484357"/>
    <w:rsid w:val="00484654"/>
    <w:rsid w:val="0048492A"/>
    <w:rsid w:val="004857D7"/>
    <w:rsid w:val="004858E3"/>
    <w:rsid w:val="0048643E"/>
    <w:rsid w:val="00486C56"/>
    <w:rsid w:val="00487733"/>
    <w:rsid w:val="00490825"/>
    <w:rsid w:val="004927B0"/>
    <w:rsid w:val="00492AC9"/>
    <w:rsid w:val="00492B32"/>
    <w:rsid w:val="00495071"/>
    <w:rsid w:val="004A0144"/>
    <w:rsid w:val="004A0472"/>
    <w:rsid w:val="004A139F"/>
    <w:rsid w:val="004A2035"/>
    <w:rsid w:val="004A3A3E"/>
    <w:rsid w:val="004A4D15"/>
    <w:rsid w:val="004B0140"/>
    <w:rsid w:val="004B1A15"/>
    <w:rsid w:val="004B3085"/>
    <w:rsid w:val="004B31BE"/>
    <w:rsid w:val="004B3F28"/>
    <w:rsid w:val="004B4861"/>
    <w:rsid w:val="004C17E2"/>
    <w:rsid w:val="004C298F"/>
    <w:rsid w:val="004C386C"/>
    <w:rsid w:val="004C4015"/>
    <w:rsid w:val="004C4B10"/>
    <w:rsid w:val="004C7E03"/>
    <w:rsid w:val="004D1051"/>
    <w:rsid w:val="004D1784"/>
    <w:rsid w:val="004D239C"/>
    <w:rsid w:val="004D2740"/>
    <w:rsid w:val="004D28EA"/>
    <w:rsid w:val="004E07DC"/>
    <w:rsid w:val="004E0E15"/>
    <w:rsid w:val="004E2BC7"/>
    <w:rsid w:val="004E6B95"/>
    <w:rsid w:val="004F0882"/>
    <w:rsid w:val="004F0B95"/>
    <w:rsid w:val="004F19EC"/>
    <w:rsid w:val="004F263B"/>
    <w:rsid w:val="004F79E7"/>
    <w:rsid w:val="00500349"/>
    <w:rsid w:val="005005F5"/>
    <w:rsid w:val="00500E36"/>
    <w:rsid w:val="00501A6C"/>
    <w:rsid w:val="00501E12"/>
    <w:rsid w:val="00502FE2"/>
    <w:rsid w:val="005039E5"/>
    <w:rsid w:val="00505BD2"/>
    <w:rsid w:val="00513D2B"/>
    <w:rsid w:val="005146DA"/>
    <w:rsid w:val="00515CD6"/>
    <w:rsid w:val="005173A0"/>
    <w:rsid w:val="005207FB"/>
    <w:rsid w:val="00520E00"/>
    <w:rsid w:val="005225DA"/>
    <w:rsid w:val="005234BE"/>
    <w:rsid w:val="005258AF"/>
    <w:rsid w:val="00525BF4"/>
    <w:rsid w:val="00530748"/>
    <w:rsid w:val="00531203"/>
    <w:rsid w:val="00531263"/>
    <w:rsid w:val="00532849"/>
    <w:rsid w:val="00534870"/>
    <w:rsid w:val="00535AD0"/>
    <w:rsid w:val="00535ADD"/>
    <w:rsid w:val="005374DD"/>
    <w:rsid w:val="00537A1F"/>
    <w:rsid w:val="005407AE"/>
    <w:rsid w:val="00540EA9"/>
    <w:rsid w:val="00542143"/>
    <w:rsid w:val="005421EE"/>
    <w:rsid w:val="005447BA"/>
    <w:rsid w:val="00544883"/>
    <w:rsid w:val="0054539C"/>
    <w:rsid w:val="00545F3E"/>
    <w:rsid w:val="00546A14"/>
    <w:rsid w:val="00552A73"/>
    <w:rsid w:val="00552C84"/>
    <w:rsid w:val="00554B9B"/>
    <w:rsid w:val="00555001"/>
    <w:rsid w:val="00555F8F"/>
    <w:rsid w:val="005578AA"/>
    <w:rsid w:val="00561001"/>
    <w:rsid w:val="005614D4"/>
    <w:rsid w:val="00564043"/>
    <w:rsid w:val="00565032"/>
    <w:rsid w:val="00566C8A"/>
    <w:rsid w:val="0056727E"/>
    <w:rsid w:val="00567A39"/>
    <w:rsid w:val="00570381"/>
    <w:rsid w:val="00572C4C"/>
    <w:rsid w:val="00574232"/>
    <w:rsid w:val="00574F4B"/>
    <w:rsid w:val="00576E48"/>
    <w:rsid w:val="0057703F"/>
    <w:rsid w:val="00580574"/>
    <w:rsid w:val="00580B56"/>
    <w:rsid w:val="005818DF"/>
    <w:rsid w:val="0058323E"/>
    <w:rsid w:val="00583FDA"/>
    <w:rsid w:val="00585989"/>
    <w:rsid w:val="005871D3"/>
    <w:rsid w:val="0058722F"/>
    <w:rsid w:val="00590BA2"/>
    <w:rsid w:val="00590DC8"/>
    <w:rsid w:val="00591EE9"/>
    <w:rsid w:val="0059214F"/>
    <w:rsid w:val="00592663"/>
    <w:rsid w:val="00592F8D"/>
    <w:rsid w:val="00596D2E"/>
    <w:rsid w:val="00597B73"/>
    <w:rsid w:val="005A1156"/>
    <w:rsid w:val="005A15AA"/>
    <w:rsid w:val="005A1809"/>
    <w:rsid w:val="005A1973"/>
    <w:rsid w:val="005A3481"/>
    <w:rsid w:val="005A6827"/>
    <w:rsid w:val="005B113F"/>
    <w:rsid w:val="005B158C"/>
    <w:rsid w:val="005B195E"/>
    <w:rsid w:val="005B3483"/>
    <w:rsid w:val="005B35E4"/>
    <w:rsid w:val="005B43E1"/>
    <w:rsid w:val="005B54A8"/>
    <w:rsid w:val="005B64A1"/>
    <w:rsid w:val="005C0C8F"/>
    <w:rsid w:val="005C0FBD"/>
    <w:rsid w:val="005C1AEC"/>
    <w:rsid w:val="005C2521"/>
    <w:rsid w:val="005C33C4"/>
    <w:rsid w:val="005C34C8"/>
    <w:rsid w:val="005C3A56"/>
    <w:rsid w:val="005C5771"/>
    <w:rsid w:val="005C6620"/>
    <w:rsid w:val="005C66F7"/>
    <w:rsid w:val="005C6AF7"/>
    <w:rsid w:val="005C748D"/>
    <w:rsid w:val="005D01B9"/>
    <w:rsid w:val="005D03F3"/>
    <w:rsid w:val="005D0648"/>
    <w:rsid w:val="005D1CDD"/>
    <w:rsid w:val="005D3AB8"/>
    <w:rsid w:val="005D52DB"/>
    <w:rsid w:val="005D711E"/>
    <w:rsid w:val="005E0BC1"/>
    <w:rsid w:val="005E1292"/>
    <w:rsid w:val="005E4A85"/>
    <w:rsid w:val="005E5817"/>
    <w:rsid w:val="005E5F65"/>
    <w:rsid w:val="005E7842"/>
    <w:rsid w:val="005F11BA"/>
    <w:rsid w:val="005F18B4"/>
    <w:rsid w:val="005F3595"/>
    <w:rsid w:val="005F5037"/>
    <w:rsid w:val="00600004"/>
    <w:rsid w:val="0060335E"/>
    <w:rsid w:val="00603C35"/>
    <w:rsid w:val="00605269"/>
    <w:rsid w:val="00605511"/>
    <w:rsid w:val="0061371D"/>
    <w:rsid w:val="00614C95"/>
    <w:rsid w:val="00615083"/>
    <w:rsid w:val="006176F2"/>
    <w:rsid w:val="00621118"/>
    <w:rsid w:val="00621867"/>
    <w:rsid w:val="00623D78"/>
    <w:rsid w:val="00625F07"/>
    <w:rsid w:val="00630251"/>
    <w:rsid w:val="00633063"/>
    <w:rsid w:val="0063521D"/>
    <w:rsid w:val="006355A7"/>
    <w:rsid w:val="006357A8"/>
    <w:rsid w:val="00635D06"/>
    <w:rsid w:val="00640450"/>
    <w:rsid w:val="00643356"/>
    <w:rsid w:val="00645654"/>
    <w:rsid w:val="0065070F"/>
    <w:rsid w:val="00654596"/>
    <w:rsid w:val="006545F0"/>
    <w:rsid w:val="00654F7C"/>
    <w:rsid w:val="00655DB5"/>
    <w:rsid w:val="00662297"/>
    <w:rsid w:val="00662A08"/>
    <w:rsid w:val="00664314"/>
    <w:rsid w:val="0066596A"/>
    <w:rsid w:val="00665AF5"/>
    <w:rsid w:val="0066693F"/>
    <w:rsid w:val="00667A9A"/>
    <w:rsid w:val="00672A0F"/>
    <w:rsid w:val="00672AE0"/>
    <w:rsid w:val="0067371F"/>
    <w:rsid w:val="0067451B"/>
    <w:rsid w:val="006753BD"/>
    <w:rsid w:val="006813F0"/>
    <w:rsid w:val="00682435"/>
    <w:rsid w:val="006831C8"/>
    <w:rsid w:val="00684737"/>
    <w:rsid w:val="006854D1"/>
    <w:rsid w:val="006867DB"/>
    <w:rsid w:val="00686D06"/>
    <w:rsid w:val="00691323"/>
    <w:rsid w:val="00691DAF"/>
    <w:rsid w:val="006A0815"/>
    <w:rsid w:val="006A11B8"/>
    <w:rsid w:val="006A2462"/>
    <w:rsid w:val="006A2F2D"/>
    <w:rsid w:val="006A32F2"/>
    <w:rsid w:val="006A41BF"/>
    <w:rsid w:val="006A7D65"/>
    <w:rsid w:val="006B0A81"/>
    <w:rsid w:val="006B2E63"/>
    <w:rsid w:val="006B3E0C"/>
    <w:rsid w:val="006C0231"/>
    <w:rsid w:val="006C166D"/>
    <w:rsid w:val="006C2439"/>
    <w:rsid w:val="006C2E78"/>
    <w:rsid w:val="006C3490"/>
    <w:rsid w:val="006C420E"/>
    <w:rsid w:val="006C5E25"/>
    <w:rsid w:val="006D05E0"/>
    <w:rsid w:val="006D0AB8"/>
    <w:rsid w:val="006D1F5A"/>
    <w:rsid w:val="006D2A3F"/>
    <w:rsid w:val="006D2D2F"/>
    <w:rsid w:val="006D3F92"/>
    <w:rsid w:val="006D4292"/>
    <w:rsid w:val="006E01E4"/>
    <w:rsid w:val="006E1E8D"/>
    <w:rsid w:val="006E2CE6"/>
    <w:rsid w:val="006E2EF4"/>
    <w:rsid w:val="006E4A8B"/>
    <w:rsid w:val="006E62CD"/>
    <w:rsid w:val="006F3515"/>
    <w:rsid w:val="006F4759"/>
    <w:rsid w:val="006F4C5F"/>
    <w:rsid w:val="006F5A5E"/>
    <w:rsid w:val="006F61BC"/>
    <w:rsid w:val="007001C9"/>
    <w:rsid w:val="00700693"/>
    <w:rsid w:val="0070132F"/>
    <w:rsid w:val="007015D2"/>
    <w:rsid w:val="007025CC"/>
    <w:rsid w:val="0071251C"/>
    <w:rsid w:val="00712A0F"/>
    <w:rsid w:val="00716960"/>
    <w:rsid w:val="00721408"/>
    <w:rsid w:val="00722322"/>
    <w:rsid w:val="00723477"/>
    <w:rsid w:val="007238A4"/>
    <w:rsid w:val="0072553E"/>
    <w:rsid w:val="00727532"/>
    <w:rsid w:val="007309D7"/>
    <w:rsid w:val="00730A92"/>
    <w:rsid w:val="0073359D"/>
    <w:rsid w:val="007350A5"/>
    <w:rsid w:val="00735C95"/>
    <w:rsid w:val="00740C7A"/>
    <w:rsid w:val="0074208D"/>
    <w:rsid w:val="00742A08"/>
    <w:rsid w:val="00744823"/>
    <w:rsid w:val="0074546C"/>
    <w:rsid w:val="00750DBA"/>
    <w:rsid w:val="00753A79"/>
    <w:rsid w:val="007541A8"/>
    <w:rsid w:val="0075566B"/>
    <w:rsid w:val="00755793"/>
    <w:rsid w:val="0075647E"/>
    <w:rsid w:val="007573DC"/>
    <w:rsid w:val="007603E9"/>
    <w:rsid w:val="00760568"/>
    <w:rsid w:val="00760ECD"/>
    <w:rsid w:val="00765AFD"/>
    <w:rsid w:val="00767729"/>
    <w:rsid w:val="007715E0"/>
    <w:rsid w:val="00771692"/>
    <w:rsid w:val="0077185A"/>
    <w:rsid w:val="0077381F"/>
    <w:rsid w:val="00775F5F"/>
    <w:rsid w:val="0077606C"/>
    <w:rsid w:val="007763C0"/>
    <w:rsid w:val="007806A6"/>
    <w:rsid w:val="007834DA"/>
    <w:rsid w:val="00783BBE"/>
    <w:rsid w:val="007848C4"/>
    <w:rsid w:val="007853E5"/>
    <w:rsid w:val="00785BF2"/>
    <w:rsid w:val="007879DD"/>
    <w:rsid w:val="00792451"/>
    <w:rsid w:val="007924CA"/>
    <w:rsid w:val="007931ED"/>
    <w:rsid w:val="007944A4"/>
    <w:rsid w:val="00794D80"/>
    <w:rsid w:val="00795B38"/>
    <w:rsid w:val="007973A3"/>
    <w:rsid w:val="007A06B9"/>
    <w:rsid w:val="007A160D"/>
    <w:rsid w:val="007A206B"/>
    <w:rsid w:val="007A21F0"/>
    <w:rsid w:val="007A50AF"/>
    <w:rsid w:val="007A5A37"/>
    <w:rsid w:val="007B2F04"/>
    <w:rsid w:val="007B3F93"/>
    <w:rsid w:val="007B6A6F"/>
    <w:rsid w:val="007B77B9"/>
    <w:rsid w:val="007C5192"/>
    <w:rsid w:val="007C59F8"/>
    <w:rsid w:val="007C5AAE"/>
    <w:rsid w:val="007C7EC0"/>
    <w:rsid w:val="007D10AA"/>
    <w:rsid w:val="007D123A"/>
    <w:rsid w:val="007D1B26"/>
    <w:rsid w:val="007D31BC"/>
    <w:rsid w:val="007D3802"/>
    <w:rsid w:val="007D4D59"/>
    <w:rsid w:val="007D7CA5"/>
    <w:rsid w:val="007E00E3"/>
    <w:rsid w:val="007E2A66"/>
    <w:rsid w:val="007E4643"/>
    <w:rsid w:val="007E4BF9"/>
    <w:rsid w:val="007E5333"/>
    <w:rsid w:val="007F28D8"/>
    <w:rsid w:val="007F50E7"/>
    <w:rsid w:val="007F5D10"/>
    <w:rsid w:val="007F65D9"/>
    <w:rsid w:val="007F73D3"/>
    <w:rsid w:val="007F7EFC"/>
    <w:rsid w:val="00801743"/>
    <w:rsid w:val="00803654"/>
    <w:rsid w:val="00804367"/>
    <w:rsid w:val="00804B60"/>
    <w:rsid w:val="00805024"/>
    <w:rsid w:val="00806715"/>
    <w:rsid w:val="0080708D"/>
    <w:rsid w:val="008074D5"/>
    <w:rsid w:val="00811797"/>
    <w:rsid w:val="00811B9B"/>
    <w:rsid w:val="0081284B"/>
    <w:rsid w:val="00813F37"/>
    <w:rsid w:val="00816EBC"/>
    <w:rsid w:val="00816F02"/>
    <w:rsid w:val="0081700E"/>
    <w:rsid w:val="00821BDE"/>
    <w:rsid w:val="00822ADF"/>
    <w:rsid w:val="00826570"/>
    <w:rsid w:val="00827D4B"/>
    <w:rsid w:val="00831498"/>
    <w:rsid w:val="008339FC"/>
    <w:rsid w:val="00834796"/>
    <w:rsid w:val="00835C89"/>
    <w:rsid w:val="008402FB"/>
    <w:rsid w:val="008461BF"/>
    <w:rsid w:val="0084700B"/>
    <w:rsid w:val="008508E4"/>
    <w:rsid w:val="008531DF"/>
    <w:rsid w:val="00853BB8"/>
    <w:rsid w:val="00854102"/>
    <w:rsid w:val="00854316"/>
    <w:rsid w:val="00855B52"/>
    <w:rsid w:val="00855CF7"/>
    <w:rsid w:val="00863840"/>
    <w:rsid w:val="00872000"/>
    <w:rsid w:val="00872343"/>
    <w:rsid w:val="008735C8"/>
    <w:rsid w:val="00874DA9"/>
    <w:rsid w:val="00875C91"/>
    <w:rsid w:val="00876BA5"/>
    <w:rsid w:val="00877798"/>
    <w:rsid w:val="008818F3"/>
    <w:rsid w:val="00882AB8"/>
    <w:rsid w:val="00886692"/>
    <w:rsid w:val="008866BE"/>
    <w:rsid w:val="00887D4B"/>
    <w:rsid w:val="00887FFB"/>
    <w:rsid w:val="00890E99"/>
    <w:rsid w:val="00891368"/>
    <w:rsid w:val="008913DB"/>
    <w:rsid w:val="00892639"/>
    <w:rsid w:val="0089271B"/>
    <w:rsid w:val="008939C1"/>
    <w:rsid w:val="00897B2E"/>
    <w:rsid w:val="008A00F3"/>
    <w:rsid w:val="008A14FF"/>
    <w:rsid w:val="008A2423"/>
    <w:rsid w:val="008A327E"/>
    <w:rsid w:val="008A409C"/>
    <w:rsid w:val="008A48B8"/>
    <w:rsid w:val="008A4D86"/>
    <w:rsid w:val="008A77A2"/>
    <w:rsid w:val="008A7B02"/>
    <w:rsid w:val="008B2A09"/>
    <w:rsid w:val="008B36EA"/>
    <w:rsid w:val="008B48D8"/>
    <w:rsid w:val="008B72FD"/>
    <w:rsid w:val="008B7FFA"/>
    <w:rsid w:val="008C0DBE"/>
    <w:rsid w:val="008C1241"/>
    <w:rsid w:val="008C25A7"/>
    <w:rsid w:val="008C3229"/>
    <w:rsid w:val="008C4396"/>
    <w:rsid w:val="008C4F75"/>
    <w:rsid w:val="008C5757"/>
    <w:rsid w:val="008C71B4"/>
    <w:rsid w:val="008D078A"/>
    <w:rsid w:val="008D14D4"/>
    <w:rsid w:val="008D1FB8"/>
    <w:rsid w:val="008D47F8"/>
    <w:rsid w:val="008D6987"/>
    <w:rsid w:val="008D6BA7"/>
    <w:rsid w:val="008D7534"/>
    <w:rsid w:val="008D7927"/>
    <w:rsid w:val="008E00F3"/>
    <w:rsid w:val="008E15F8"/>
    <w:rsid w:val="008E2C9F"/>
    <w:rsid w:val="008E2E2A"/>
    <w:rsid w:val="008E5C37"/>
    <w:rsid w:val="008E6056"/>
    <w:rsid w:val="008E662D"/>
    <w:rsid w:val="008E692F"/>
    <w:rsid w:val="008E7086"/>
    <w:rsid w:val="008E7345"/>
    <w:rsid w:val="008E7347"/>
    <w:rsid w:val="008F666E"/>
    <w:rsid w:val="008F66C5"/>
    <w:rsid w:val="00901A3F"/>
    <w:rsid w:val="00902770"/>
    <w:rsid w:val="00903B35"/>
    <w:rsid w:val="00904907"/>
    <w:rsid w:val="00905409"/>
    <w:rsid w:val="009075E7"/>
    <w:rsid w:val="00907A66"/>
    <w:rsid w:val="0091007F"/>
    <w:rsid w:val="009112B6"/>
    <w:rsid w:val="009114C4"/>
    <w:rsid w:val="0091529D"/>
    <w:rsid w:val="0091649F"/>
    <w:rsid w:val="0091691E"/>
    <w:rsid w:val="00920899"/>
    <w:rsid w:val="00921B8B"/>
    <w:rsid w:val="00921F7D"/>
    <w:rsid w:val="00923635"/>
    <w:rsid w:val="0092487F"/>
    <w:rsid w:val="00926565"/>
    <w:rsid w:val="00926789"/>
    <w:rsid w:val="00926C42"/>
    <w:rsid w:val="0092798C"/>
    <w:rsid w:val="00927B82"/>
    <w:rsid w:val="00932ECB"/>
    <w:rsid w:val="00933E1A"/>
    <w:rsid w:val="00936392"/>
    <w:rsid w:val="00937F1C"/>
    <w:rsid w:val="00941EBC"/>
    <w:rsid w:val="00947F96"/>
    <w:rsid w:val="0095013E"/>
    <w:rsid w:val="009502AF"/>
    <w:rsid w:val="00950B59"/>
    <w:rsid w:val="0095153A"/>
    <w:rsid w:val="00953A95"/>
    <w:rsid w:val="0095585F"/>
    <w:rsid w:val="0095798D"/>
    <w:rsid w:val="00965C18"/>
    <w:rsid w:val="0096613C"/>
    <w:rsid w:val="00966F11"/>
    <w:rsid w:val="0096766A"/>
    <w:rsid w:val="00967E77"/>
    <w:rsid w:val="00970F02"/>
    <w:rsid w:val="00970FEF"/>
    <w:rsid w:val="00971FF2"/>
    <w:rsid w:val="00973B32"/>
    <w:rsid w:val="00973D31"/>
    <w:rsid w:val="00973ECE"/>
    <w:rsid w:val="0097505A"/>
    <w:rsid w:val="0097630B"/>
    <w:rsid w:val="00982534"/>
    <w:rsid w:val="00982B42"/>
    <w:rsid w:val="00982B76"/>
    <w:rsid w:val="00984CD8"/>
    <w:rsid w:val="0098587E"/>
    <w:rsid w:val="00991813"/>
    <w:rsid w:val="00991BAA"/>
    <w:rsid w:val="009928F4"/>
    <w:rsid w:val="00993154"/>
    <w:rsid w:val="009933AE"/>
    <w:rsid w:val="00993A1D"/>
    <w:rsid w:val="00995400"/>
    <w:rsid w:val="0099551F"/>
    <w:rsid w:val="00997736"/>
    <w:rsid w:val="009A01A3"/>
    <w:rsid w:val="009A09E2"/>
    <w:rsid w:val="009A2FA8"/>
    <w:rsid w:val="009A49A0"/>
    <w:rsid w:val="009A6AFD"/>
    <w:rsid w:val="009A7234"/>
    <w:rsid w:val="009B0770"/>
    <w:rsid w:val="009B0F62"/>
    <w:rsid w:val="009B13A6"/>
    <w:rsid w:val="009B36AC"/>
    <w:rsid w:val="009B5259"/>
    <w:rsid w:val="009B530B"/>
    <w:rsid w:val="009B5558"/>
    <w:rsid w:val="009B5AD2"/>
    <w:rsid w:val="009B5DF2"/>
    <w:rsid w:val="009B6835"/>
    <w:rsid w:val="009B6A80"/>
    <w:rsid w:val="009B6E0D"/>
    <w:rsid w:val="009B7A49"/>
    <w:rsid w:val="009C05E4"/>
    <w:rsid w:val="009C0A77"/>
    <w:rsid w:val="009C34FB"/>
    <w:rsid w:val="009C3F4B"/>
    <w:rsid w:val="009C4BC7"/>
    <w:rsid w:val="009D01A0"/>
    <w:rsid w:val="009D1319"/>
    <w:rsid w:val="009D2912"/>
    <w:rsid w:val="009D2E47"/>
    <w:rsid w:val="009D5AB4"/>
    <w:rsid w:val="009D7C78"/>
    <w:rsid w:val="009E1499"/>
    <w:rsid w:val="009E3032"/>
    <w:rsid w:val="009E3073"/>
    <w:rsid w:val="009E32C6"/>
    <w:rsid w:val="009E4A85"/>
    <w:rsid w:val="009E5A7A"/>
    <w:rsid w:val="009E7B26"/>
    <w:rsid w:val="009E7FA6"/>
    <w:rsid w:val="009F253A"/>
    <w:rsid w:val="009F4795"/>
    <w:rsid w:val="009F536A"/>
    <w:rsid w:val="009F6631"/>
    <w:rsid w:val="009F6861"/>
    <w:rsid w:val="009F6BA4"/>
    <w:rsid w:val="009F7ADE"/>
    <w:rsid w:val="00A00D16"/>
    <w:rsid w:val="00A052A6"/>
    <w:rsid w:val="00A054E2"/>
    <w:rsid w:val="00A05BF1"/>
    <w:rsid w:val="00A07BB2"/>
    <w:rsid w:val="00A11529"/>
    <w:rsid w:val="00A127FC"/>
    <w:rsid w:val="00A143F7"/>
    <w:rsid w:val="00A1597B"/>
    <w:rsid w:val="00A178D9"/>
    <w:rsid w:val="00A21075"/>
    <w:rsid w:val="00A21809"/>
    <w:rsid w:val="00A260E6"/>
    <w:rsid w:val="00A27F48"/>
    <w:rsid w:val="00A30008"/>
    <w:rsid w:val="00A339F3"/>
    <w:rsid w:val="00A3516F"/>
    <w:rsid w:val="00A357AE"/>
    <w:rsid w:val="00A36A73"/>
    <w:rsid w:val="00A402F0"/>
    <w:rsid w:val="00A409D0"/>
    <w:rsid w:val="00A433B9"/>
    <w:rsid w:val="00A4521F"/>
    <w:rsid w:val="00A462F1"/>
    <w:rsid w:val="00A4705A"/>
    <w:rsid w:val="00A47EAF"/>
    <w:rsid w:val="00A50962"/>
    <w:rsid w:val="00A54E38"/>
    <w:rsid w:val="00A564C8"/>
    <w:rsid w:val="00A5723D"/>
    <w:rsid w:val="00A57E39"/>
    <w:rsid w:val="00A60756"/>
    <w:rsid w:val="00A61F16"/>
    <w:rsid w:val="00A62BBB"/>
    <w:rsid w:val="00A64342"/>
    <w:rsid w:val="00A64846"/>
    <w:rsid w:val="00A66005"/>
    <w:rsid w:val="00A67E13"/>
    <w:rsid w:val="00A704B0"/>
    <w:rsid w:val="00A71A0F"/>
    <w:rsid w:val="00A74669"/>
    <w:rsid w:val="00A75438"/>
    <w:rsid w:val="00A755A3"/>
    <w:rsid w:val="00A755B0"/>
    <w:rsid w:val="00A8167E"/>
    <w:rsid w:val="00A8202D"/>
    <w:rsid w:val="00A86D8B"/>
    <w:rsid w:val="00A878D5"/>
    <w:rsid w:val="00A87FC2"/>
    <w:rsid w:val="00A909BC"/>
    <w:rsid w:val="00A91FC5"/>
    <w:rsid w:val="00A93E54"/>
    <w:rsid w:val="00A9474F"/>
    <w:rsid w:val="00A96B4E"/>
    <w:rsid w:val="00AA0949"/>
    <w:rsid w:val="00AA3D52"/>
    <w:rsid w:val="00AB1283"/>
    <w:rsid w:val="00AB1FC0"/>
    <w:rsid w:val="00AB3B4D"/>
    <w:rsid w:val="00AB3DBC"/>
    <w:rsid w:val="00AB3E64"/>
    <w:rsid w:val="00AC0C14"/>
    <w:rsid w:val="00AC1E23"/>
    <w:rsid w:val="00AC2CF8"/>
    <w:rsid w:val="00AC3AE9"/>
    <w:rsid w:val="00AC7708"/>
    <w:rsid w:val="00AC7F46"/>
    <w:rsid w:val="00AD0A95"/>
    <w:rsid w:val="00AD1CC6"/>
    <w:rsid w:val="00AD28DC"/>
    <w:rsid w:val="00AD3F6D"/>
    <w:rsid w:val="00AD6046"/>
    <w:rsid w:val="00AD70D0"/>
    <w:rsid w:val="00AD789F"/>
    <w:rsid w:val="00AD7C85"/>
    <w:rsid w:val="00AE0C38"/>
    <w:rsid w:val="00AE0F4C"/>
    <w:rsid w:val="00AE1829"/>
    <w:rsid w:val="00AE2395"/>
    <w:rsid w:val="00AE4091"/>
    <w:rsid w:val="00AE54C4"/>
    <w:rsid w:val="00AE59B4"/>
    <w:rsid w:val="00AE5C4B"/>
    <w:rsid w:val="00AF0CD9"/>
    <w:rsid w:val="00AF2A71"/>
    <w:rsid w:val="00AF5405"/>
    <w:rsid w:val="00B029A5"/>
    <w:rsid w:val="00B02F75"/>
    <w:rsid w:val="00B04CD4"/>
    <w:rsid w:val="00B06446"/>
    <w:rsid w:val="00B1042D"/>
    <w:rsid w:val="00B136E2"/>
    <w:rsid w:val="00B16550"/>
    <w:rsid w:val="00B176AF"/>
    <w:rsid w:val="00B17A40"/>
    <w:rsid w:val="00B202B2"/>
    <w:rsid w:val="00B2033F"/>
    <w:rsid w:val="00B20D42"/>
    <w:rsid w:val="00B21E1C"/>
    <w:rsid w:val="00B2231D"/>
    <w:rsid w:val="00B231D9"/>
    <w:rsid w:val="00B25D07"/>
    <w:rsid w:val="00B279C1"/>
    <w:rsid w:val="00B30887"/>
    <w:rsid w:val="00B33C1E"/>
    <w:rsid w:val="00B351B5"/>
    <w:rsid w:val="00B36665"/>
    <w:rsid w:val="00B367EE"/>
    <w:rsid w:val="00B36E14"/>
    <w:rsid w:val="00B40A2B"/>
    <w:rsid w:val="00B40DE3"/>
    <w:rsid w:val="00B40F27"/>
    <w:rsid w:val="00B42D1F"/>
    <w:rsid w:val="00B43023"/>
    <w:rsid w:val="00B43033"/>
    <w:rsid w:val="00B44121"/>
    <w:rsid w:val="00B44E02"/>
    <w:rsid w:val="00B46D06"/>
    <w:rsid w:val="00B544AF"/>
    <w:rsid w:val="00B547C1"/>
    <w:rsid w:val="00B56DC9"/>
    <w:rsid w:val="00B57893"/>
    <w:rsid w:val="00B613F2"/>
    <w:rsid w:val="00B62271"/>
    <w:rsid w:val="00B62FEE"/>
    <w:rsid w:val="00B632A0"/>
    <w:rsid w:val="00B656E3"/>
    <w:rsid w:val="00B66F39"/>
    <w:rsid w:val="00B6715F"/>
    <w:rsid w:val="00B67B15"/>
    <w:rsid w:val="00B70CD5"/>
    <w:rsid w:val="00B72491"/>
    <w:rsid w:val="00B749E1"/>
    <w:rsid w:val="00B753D1"/>
    <w:rsid w:val="00B75F17"/>
    <w:rsid w:val="00B7669E"/>
    <w:rsid w:val="00B779B0"/>
    <w:rsid w:val="00B82ABD"/>
    <w:rsid w:val="00B83265"/>
    <w:rsid w:val="00B835EC"/>
    <w:rsid w:val="00B8416D"/>
    <w:rsid w:val="00B852ED"/>
    <w:rsid w:val="00B8535D"/>
    <w:rsid w:val="00B87B2F"/>
    <w:rsid w:val="00B92825"/>
    <w:rsid w:val="00B9352E"/>
    <w:rsid w:val="00B94F97"/>
    <w:rsid w:val="00B958D6"/>
    <w:rsid w:val="00B95F3D"/>
    <w:rsid w:val="00BA064A"/>
    <w:rsid w:val="00BA0B6E"/>
    <w:rsid w:val="00BA0E6D"/>
    <w:rsid w:val="00BA2497"/>
    <w:rsid w:val="00BA27E2"/>
    <w:rsid w:val="00BA6446"/>
    <w:rsid w:val="00BA6FD9"/>
    <w:rsid w:val="00BB133D"/>
    <w:rsid w:val="00BB1555"/>
    <w:rsid w:val="00BB2BCC"/>
    <w:rsid w:val="00BB40EF"/>
    <w:rsid w:val="00BB54FE"/>
    <w:rsid w:val="00BC2B50"/>
    <w:rsid w:val="00BC304C"/>
    <w:rsid w:val="00BC3611"/>
    <w:rsid w:val="00BC4B9B"/>
    <w:rsid w:val="00BC5B35"/>
    <w:rsid w:val="00BC7C6B"/>
    <w:rsid w:val="00BD0DC7"/>
    <w:rsid w:val="00BD16D2"/>
    <w:rsid w:val="00BD3158"/>
    <w:rsid w:val="00BD69A8"/>
    <w:rsid w:val="00BD72EB"/>
    <w:rsid w:val="00BE0337"/>
    <w:rsid w:val="00BE3E1B"/>
    <w:rsid w:val="00BE651C"/>
    <w:rsid w:val="00BE65CC"/>
    <w:rsid w:val="00BE74C6"/>
    <w:rsid w:val="00BF3573"/>
    <w:rsid w:val="00BF3BC1"/>
    <w:rsid w:val="00BF3FC7"/>
    <w:rsid w:val="00BF77DA"/>
    <w:rsid w:val="00BF7CE0"/>
    <w:rsid w:val="00C013D3"/>
    <w:rsid w:val="00C01BC1"/>
    <w:rsid w:val="00C02622"/>
    <w:rsid w:val="00C029A5"/>
    <w:rsid w:val="00C030F7"/>
    <w:rsid w:val="00C03FA8"/>
    <w:rsid w:val="00C06521"/>
    <w:rsid w:val="00C0762F"/>
    <w:rsid w:val="00C07D99"/>
    <w:rsid w:val="00C1192D"/>
    <w:rsid w:val="00C1734A"/>
    <w:rsid w:val="00C176F5"/>
    <w:rsid w:val="00C17F49"/>
    <w:rsid w:val="00C208DE"/>
    <w:rsid w:val="00C21E07"/>
    <w:rsid w:val="00C22AD0"/>
    <w:rsid w:val="00C26D6D"/>
    <w:rsid w:val="00C31399"/>
    <w:rsid w:val="00C339DF"/>
    <w:rsid w:val="00C33C4F"/>
    <w:rsid w:val="00C34D20"/>
    <w:rsid w:val="00C3535A"/>
    <w:rsid w:val="00C354B5"/>
    <w:rsid w:val="00C3560D"/>
    <w:rsid w:val="00C37D4B"/>
    <w:rsid w:val="00C415BB"/>
    <w:rsid w:val="00C429BC"/>
    <w:rsid w:val="00C466C6"/>
    <w:rsid w:val="00C46B81"/>
    <w:rsid w:val="00C4708F"/>
    <w:rsid w:val="00C5159E"/>
    <w:rsid w:val="00C539F2"/>
    <w:rsid w:val="00C54125"/>
    <w:rsid w:val="00C60192"/>
    <w:rsid w:val="00C6244A"/>
    <w:rsid w:val="00C62486"/>
    <w:rsid w:val="00C63626"/>
    <w:rsid w:val="00C64838"/>
    <w:rsid w:val="00C64898"/>
    <w:rsid w:val="00C6757C"/>
    <w:rsid w:val="00C67FAA"/>
    <w:rsid w:val="00C71115"/>
    <w:rsid w:val="00C71657"/>
    <w:rsid w:val="00C731EE"/>
    <w:rsid w:val="00C7358E"/>
    <w:rsid w:val="00C747A6"/>
    <w:rsid w:val="00C77242"/>
    <w:rsid w:val="00C77CE1"/>
    <w:rsid w:val="00C82D14"/>
    <w:rsid w:val="00C87DDC"/>
    <w:rsid w:val="00C90CAA"/>
    <w:rsid w:val="00C91090"/>
    <w:rsid w:val="00C9523D"/>
    <w:rsid w:val="00C967E2"/>
    <w:rsid w:val="00CA086C"/>
    <w:rsid w:val="00CA291D"/>
    <w:rsid w:val="00CA398C"/>
    <w:rsid w:val="00CA4FBC"/>
    <w:rsid w:val="00CB1158"/>
    <w:rsid w:val="00CB1A75"/>
    <w:rsid w:val="00CB3751"/>
    <w:rsid w:val="00CB389D"/>
    <w:rsid w:val="00CB396C"/>
    <w:rsid w:val="00CB4F2E"/>
    <w:rsid w:val="00CB6ED5"/>
    <w:rsid w:val="00CC0219"/>
    <w:rsid w:val="00CC1261"/>
    <w:rsid w:val="00CC1D99"/>
    <w:rsid w:val="00CC265A"/>
    <w:rsid w:val="00CC472A"/>
    <w:rsid w:val="00CC49A0"/>
    <w:rsid w:val="00CC58BC"/>
    <w:rsid w:val="00CC5CB9"/>
    <w:rsid w:val="00CC603E"/>
    <w:rsid w:val="00CC67ED"/>
    <w:rsid w:val="00CC702A"/>
    <w:rsid w:val="00CC70B3"/>
    <w:rsid w:val="00CD0C7B"/>
    <w:rsid w:val="00CD23B3"/>
    <w:rsid w:val="00CD3B02"/>
    <w:rsid w:val="00CD4959"/>
    <w:rsid w:val="00CD78D0"/>
    <w:rsid w:val="00CE0F32"/>
    <w:rsid w:val="00CE36AF"/>
    <w:rsid w:val="00CE3997"/>
    <w:rsid w:val="00CE6637"/>
    <w:rsid w:val="00CF2AC5"/>
    <w:rsid w:val="00CF2F5B"/>
    <w:rsid w:val="00CF40A5"/>
    <w:rsid w:val="00CF7432"/>
    <w:rsid w:val="00D0110A"/>
    <w:rsid w:val="00D0787B"/>
    <w:rsid w:val="00D07FEC"/>
    <w:rsid w:val="00D107D0"/>
    <w:rsid w:val="00D112A6"/>
    <w:rsid w:val="00D134DB"/>
    <w:rsid w:val="00D14717"/>
    <w:rsid w:val="00D15A91"/>
    <w:rsid w:val="00D21BB1"/>
    <w:rsid w:val="00D21E7D"/>
    <w:rsid w:val="00D22128"/>
    <w:rsid w:val="00D226A6"/>
    <w:rsid w:val="00D261F6"/>
    <w:rsid w:val="00D26F1B"/>
    <w:rsid w:val="00D27E49"/>
    <w:rsid w:val="00D308D9"/>
    <w:rsid w:val="00D32985"/>
    <w:rsid w:val="00D33E95"/>
    <w:rsid w:val="00D34249"/>
    <w:rsid w:val="00D359DA"/>
    <w:rsid w:val="00D4224D"/>
    <w:rsid w:val="00D434E9"/>
    <w:rsid w:val="00D45E0E"/>
    <w:rsid w:val="00D46B08"/>
    <w:rsid w:val="00D46B8E"/>
    <w:rsid w:val="00D53F6B"/>
    <w:rsid w:val="00D55489"/>
    <w:rsid w:val="00D55593"/>
    <w:rsid w:val="00D605BF"/>
    <w:rsid w:val="00D6163A"/>
    <w:rsid w:val="00D6216F"/>
    <w:rsid w:val="00D62A5C"/>
    <w:rsid w:val="00D63AF9"/>
    <w:rsid w:val="00D63C79"/>
    <w:rsid w:val="00D6412C"/>
    <w:rsid w:val="00D658FB"/>
    <w:rsid w:val="00D666B1"/>
    <w:rsid w:val="00D727AE"/>
    <w:rsid w:val="00D728B8"/>
    <w:rsid w:val="00D75032"/>
    <w:rsid w:val="00D80B41"/>
    <w:rsid w:val="00D81C55"/>
    <w:rsid w:val="00D826E4"/>
    <w:rsid w:val="00D83FC0"/>
    <w:rsid w:val="00D84158"/>
    <w:rsid w:val="00D846A6"/>
    <w:rsid w:val="00D84896"/>
    <w:rsid w:val="00D84CF7"/>
    <w:rsid w:val="00D85805"/>
    <w:rsid w:val="00D85C9F"/>
    <w:rsid w:val="00D8719C"/>
    <w:rsid w:val="00D8771B"/>
    <w:rsid w:val="00D91761"/>
    <w:rsid w:val="00D9324E"/>
    <w:rsid w:val="00DA32C0"/>
    <w:rsid w:val="00DA4B8F"/>
    <w:rsid w:val="00DA5A00"/>
    <w:rsid w:val="00DA5A6B"/>
    <w:rsid w:val="00DA65B5"/>
    <w:rsid w:val="00DA6976"/>
    <w:rsid w:val="00DA72D2"/>
    <w:rsid w:val="00DA770C"/>
    <w:rsid w:val="00DB17A2"/>
    <w:rsid w:val="00DB309B"/>
    <w:rsid w:val="00DB33B5"/>
    <w:rsid w:val="00DB5E50"/>
    <w:rsid w:val="00DB5F21"/>
    <w:rsid w:val="00DB756A"/>
    <w:rsid w:val="00DC411C"/>
    <w:rsid w:val="00DC4DD6"/>
    <w:rsid w:val="00DC511E"/>
    <w:rsid w:val="00DC676F"/>
    <w:rsid w:val="00DC6FCC"/>
    <w:rsid w:val="00DD16B4"/>
    <w:rsid w:val="00DD1E89"/>
    <w:rsid w:val="00DD4E67"/>
    <w:rsid w:val="00DD5181"/>
    <w:rsid w:val="00DD5191"/>
    <w:rsid w:val="00DD5D89"/>
    <w:rsid w:val="00DD69F0"/>
    <w:rsid w:val="00DE1059"/>
    <w:rsid w:val="00DE1178"/>
    <w:rsid w:val="00DE14E0"/>
    <w:rsid w:val="00DE1518"/>
    <w:rsid w:val="00DE47DA"/>
    <w:rsid w:val="00DE588A"/>
    <w:rsid w:val="00DE6B96"/>
    <w:rsid w:val="00DE72B5"/>
    <w:rsid w:val="00DF071D"/>
    <w:rsid w:val="00DF4D27"/>
    <w:rsid w:val="00DF7DC3"/>
    <w:rsid w:val="00E011E8"/>
    <w:rsid w:val="00E022D2"/>
    <w:rsid w:val="00E03782"/>
    <w:rsid w:val="00E045AA"/>
    <w:rsid w:val="00E0488C"/>
    <w:rsid w:val="00E06C23"/>
    <w:rsid w:val="00E07837"/>
    <w:rsid w:val="00E07F14"/>
    <w:rsid w:val="00E1389A"/>
    <w:rsid w:val="00E139AD"/>
    <w:rsid w:val="00E14185"/>
    <w:rsid w:val="00E14255"/>
    <w:rsid w:val="00E1598C"/>
    <w:rsid w:val="00E16FCB"/>
    <w:rsid w:val="00E21FC2"/>
    <w:rsid w:val="00E22AB0"/>
    <w:rsid w:val="00E22EC4"/>
    <w:rsid w:val="00E24C01"/>
    <w:rsid w:val="00E27A52"/>
    <w:rsid w:val="00E304F3"/>
    <w:rsid w:val="00E30608"/>
    <w:rsid w:val="00E321EA"/>
    <w:rsid w:val="00E3642B"/>
    <w:rsid w:val="00E41DDB"/>
    <w:rsid w:val="00E42FEF"/>
    <w:rsid w:val="00E43E99"/>
    <w:rsid w:val="00E50BDE"/>
    <w:rsid w:val="00E51462"/>
    <w:rsid w:val="00E520D6"/>
    <w:rsid w:val="00E5265E"/>
    <w:rsid w:val="00E543AA"/>
    <w:rsid w:val="00E55749"/>
    <w:rsid w:val="00E55DE0"/>
    <w:rsid w:val="00E56A7B"/>
    <w:rsid w:val="00E605DA"/>
    <w:rsid w:val="00E63165"/>
    <w:rsid w:val="00E63726"/>
    <w:rsid w:val="00E73105"/>
    <w:rsid w:val="00E7451E"/>
    <w:rsid w:val="00E7504F"/>
    <w:rsid w:val="00E83460"/>
    <w:rsid w:val="00E84381"/>
    <w:rsid w:val="00E86BF0"/>
    <w:rsid w:val="00E86E29"/>
    <w:rsid w:val="00E94B67"/>
    <w:rsid w:val="00EA0CD1"/>
    <w:rsid w:val="00EA19B2"/>
    <w:rsid w:val="00EA268F"/>
    <w:rsid w:val="00EA26D1"/>
    <w:rsid w:val="00EA291D"/>
    <w:rsid w:val="00EA49E5"/>
    <w:rsid w:val="00EA5109"/>
    <w:rsid w:val="00EA5551"/>
    <w:rsid w:val="00EA5883"/>
    <w:rsid w:val="00EB1297"/>
    <w:rsid w:val="00EB4347"/>
    <w:rsid w:val="00EB44AF"/>
    <w:rsid w:val="00EB6ECE"/>
    <w:rsid w:val="00EB7AEA"/>
    <w:rsid w:val="00EB7B39"/>
    <w:rsid w:val="00EC268F"/>
    <w:rsid w:val="00EC6E80"/>
    <w:rsid w:val="00EC6FE7"/>
    <w:rsid w:val="00ED0DE1"/>
    <w:rsid w:val="00ED741E"/>
    <w:rsid w:val="00EE3C51"/>
    <w:rsid w:val="00EE6437"/>
    <w:rsid w:val="00EF0761"/>
    <w:rsid w:val="00EF1A16"/>
    <w:rsid w:val="00EF3E2A"/>
    <w:rsid w:val="00EF4396"/>
    <w:rsid w:val="00EF4E6D"/>
    <w:rsid w:val="00F00BDA"/>
    <w:rsid w:val="00F01268"/>
    <w:rsid w:val="00F024E1"/>
    <w:rsid w:val="00F049EA"/>
    <w:rsid w:val="00F1187A"/>
    <w:rsid w:val="00F1411B"/>
    <w:rsid w:val="00F141D9"/>
    <w:rsid w:val="00F211A1"/>
    <w:rsid w:val="00F21C72"/>
    <w:rsid w:val="00F27DDA"/>
    <w:rsid w:val="00F308CB"/>
    <w:rsid w:val="00F30BAB"/>
    <w:rsid w:val="00F31C69"/>
    <w:rsid w:val="00F31EFF"/>
    <w:rsid w:val="00F35179"/>
    <w:rsid w:val="00F35C96"/>
    <w:rsid w:val="00F35F69"/>
    <w:rsid w:val="00F3650D"/>
    <w:rsid w:val="00F40DC0"/>
    <w:rsid w:val="00F4120B"/>
    <w:rsid w:val="00F41993"/>
    <w:rsid w:val="00F42CA5"/>
    <w:rsid w:val="00F45DAA"/>
    <w:rsid w:val="00F4717D"/>
    <w:rsid w:val="00F47DED"/>
    <w:rsid w:val="00F51D4B"/>
    <w:rsid w:val="00F542D7"/>
    <w:rsid w:val="00F554E3"/>
    <w:rsid w:val="00F55F7E"/>
    <w:rsid w:val="00F564F2"/>
    <w:rsid w:val="00F5721A"/>
    <w:rsid w:val="00F61145"/>
    <w:rsid w:val="00F61C4D"/>
    <w:rsid w:val="00F70523"/>
    <w:rsid w:val="00F707AC"/>
    <w:rsid w:val="00F72903"/>
    <w:rsid w:val="00F74DE0"/>
    <w:rsid w:val="00F757EB"/>
    <w:rsid w:val="00F765DD"/>
    <w:rsid w:val="00F801C7"/>
    <w:rsid w:val="00F81181"/>
    <w:rsid w:val="00F852AE"/>
    <w:rsid w:val="00F85DCD"/>
    <w:rsid w:val="00F879B3"/>
    <w:rsid w:val="00F926B8"/>
    <w:rsid w:val="00F941D0"/>
    <w:rsid w:val="00F95475"/>
    <w:rsid w:val="00F954BD"/>
    <w:rsid w:val="00F97B0F"/>
    <w:rsid w:val="00FA05DA"/>
    <w:rsid w:val="00FA0B76"/>
    <w:rsid w:val="00FA1E47"/>
    <w:rsid w:val="00FA3AA3"/>
    <w:rsid w:val="00FA4C51"/>
    <w:rsid w:val="00FB11E2"/>
    <w:rsid w:val="00FB1D8B"/>
    <w:rsid w:val="00FB585C"/>
    <w:rsid w:val="00FB645D"/>
    <w:rsid w:val="00FB71A3"/>
    <w:rsid w:val="00FB78B0"/>
    <w:rsid w:val="00FB79F7"/>
    <w:rsid w:val="00FC08D6"/>
    <w:rsid w:val="00FC2082"/>
    <w:rsid w:val="00FC380A"/>
    <w:rsid w:val="00FC3DE8"/>
    <w:rsid w:val="00FC43C8"/>
    <w:rsid w:val="00FC5333"/>
    <w:rsid w:val="00FC6500"/>
    <w:rsid w:val="00FC6E36"/>
    <w:rsid w:val="00FC7657"/>
    <w:rsid w:val="00FC78F0"/>
    <w:rsid w:val="00FC7F94"/>
    <w:rsid w:val="00FD04D1"/>
    <w:rsid w:val="00FD3DED"/>
    <w:rsid w:val="00FD5080"/>
    <w:rsid w:val="00FD53E0"/>
    <w:rsid w:val="00FD6001"/>
    <w:rsid w:val="00FD75D9"/>
    <w:rsid w:val="00FE1737"/>
    <w:rsid w:val="00FE3DCA"/>
    <w:rsid w:val="00FE473A"/>
    <w:rsid w:val="00FE48BF"/>
    <w:rsid w:val="00FE6DA1"/>
    <w:rsid w:val="00FE7054"/>
    <w:rsid w:val="00FE7D3B"/>
    <w:rsid w:val="00FF236D"/>
    <w:rsid w:val="00FF3E60"/>
    <w:rsid w:val="00FF4FD6"/>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tabs>
        <w:tab w:val="center" w:pos="4680"/>
      </w:tabs>
      <w:suppressAutoHyphens/>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pPr>
    <w:rPr>
      <w:b/>
      <w:sz w:val="36"/>
    </w:rPr>
  </w:style>
  <w:style w:type="paragraph" w:styleId="EndnoteText">
    <w:name w:val="endnote text"/>
    <w:basedOn w:val="Normal"/>
    <w:link w:val="EndnoteTextChar"/>
    <w:semiHidden/>
    <w:rPr>
      <w:lang w:val="x-none" w:eastAsia="x-none"/>
    </w:rPr>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rPr>
      <w:rFonts w:ascii="Times New Roman" w:hAnsi="Times New Roman"/>
      <w:b/>
      <w:sz w:val="32"/>
      <w:u w:val="single"/>
    </w:rPr>
  </w:style>
  <w:style w:type="table" w:styleId="TableGrid">
    <w:name w:val="Table Grid"/>
    <w:basedOn w:val="TableNormal"/>
    <w:rsid w:val="00CB11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9F4795"/>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lang w:val="x-none" w:eastAsia="x-none"/>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tabs>
        <w:tab w:val="center" w:pos="4680"/>
      </w:tabs>
      <w:suppressAutoHyphens/>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pPr>
    <w:rPr>
      <w:b/>
      <w:sz w:val="36"/>
    </w:rPr>
  </w:style>
  <w:style w:type="paragraph" w:styleId="EndnoteText">
    <w:name w:val="endnote text"/>
    <w:basedOn w:val="Normal"/>
    <w:link w:val="EndnoteTextChar"/>
    <w:semiHidden/>
    <w:rPr>
      <w:lang w:val="x-none" w:eastAsia="x-none"/>
    </w:rPr>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rPr>
      <w:rFonts w:ascii="Times New Roman" w:hAnsi="Times New Roman"/>
      <w:b/>
      <w:sz w:val="32"/>
      <w:u w:val="single"/>
    </w:rPr>
  </w:style>
  <w:style w:type="table" w:styleId="TableGrid">
    <w:name w:val="Table Grid"/>
    <w:basedOn w:val="TableNormal"/>
    <w:rsid w:val="00CB11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9F4795"/>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lang w:val="x-none" w:eastAsia="x-none"/>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14140786">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eader" Target="header15.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B8CBE-802C-45EF-86D5-91E2FF63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10</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101</cp:revision>
  <cp:lastPrinted>2014-01-02T17:55:00Z</cp:lastPrinted>
  <dcterms:created xsi:type="dcterms:W3CDTF">2013-07-16T18:22:00Z</dcterms:created>
  <dcterms:modified xsi:type="dcterms:W3CDTF">2014-01-31T19:27:00Z</dcterms:modified>
</cp:coreProperties>
</file>