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101496" w:rsidRDefault="005E1066" w:rsidP="00600548">
      <w:pPr>
        <w:jc w:val="center"/>
        <w:rPr>
          <w:b/>
        </w:rPr>
      </w:pPr>
      <w:bookmarkStart w:id="0" w:name="_GoBack"/>
      <w:bookmarkEnd w:id="0"/>
      <w:r w:rsidRPr="00101496">
        <w:rPr>
          <w:b/>
        </w:rPr>
        <w:t>BEFORE THE</w:t>
      </w:r>
    </w:p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PENNSYLVANIA PUBLIC UTILITY COMMISSION</w:t>
      </w:r>
    </w:p>
    <w:p w:rsidR="005E1066" w:rsidRDefault="005E1066" w:rsidP="00600548">
      <w:pPr>
        <w:jc w:val="center"/>
        <w:rPr>
          <w:b/>
        </w:rPr>
      </w:pPr>
    </w:p>
    <w:p w:rsidR="00F23549" w:rsidRPr="00101496" w:rsidRDefault="00F23549" w:rsidP="00600548">
      <w:pPr>
        <w:jc w:val="center"/>
        <w:rPr>
          <w:b/>
        </w:rPr>
      </w:pPr>
    </w:p>
    <w:p w:rsidR="005E1066" w:rsidRPr="00101496" w:rsidRDefault="00347F19" w:rsidP="00600548">
      <w:r>
        <w:t>Joseph Rainey</w:t>
      </w:r>
      <w:r>
        <w:tab/>
      </w:r>
      <w:r>
        <w:tab/>
      </w:r>
      <w:r w:rsidR="00BD624C" w:rsidRPr="00101496">
        <w:tab/>
      </w:r>
      <w:r w:rsidR="00AB18F3" w:rsidRPr="00101496">
        <w:tab/>
      </w:r>
      <w:r w:rsidR="00AB18F3" w:rsidRPr="00101496">
        <w:tab/>
      </w:r>
      <w:r w:rsidR="00C9124B">
        <w:t xml:space="preserve">  </w:t>
      </w:r>
      <w:r w:rsidR="005E1066" w:rsidRPr="00101496">
        <w:t>: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="00C9124B">
        <w:t xml:space="preserve">  </w:t>
      </w:r>
      <w:r w:rsidRPr="00101496">
        <w:t>:</w:t>
      </w:r>
    </w:p>
    <w:p w:rsidR="005E1066" w:rsidRPr="00101496" w:rsidRDefault="005E1066" w:rsidP="00600548">
      <w:r w:rsidRPr="00101496">
        <w:tab/>
        <w:t>v.</w:t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="00C9124B">
        <w:t xml:space="preserve">  </w:t>
      </w:r>
      <w:r w:rsidRPr="00101496">
        <w:t>:</w:t>
      </w:r>
      <w:r w:rsidRPr="00101496">
        <w:tab/>
      </w:r>
      <w:r w:rsidRPr="00101496">
        <w:tab/>
      </w:r>
      <w:r w:rsidR="00C9124B">
        <w:tab/>
      </w:r>
      <w:r w:rsidR="00347F19">
        <w:t>C-2013-2392631</w:t>
      </w:r>
    </w:p>
    <w:p w:rsidR="005E1066" w:rsidRPr="00101496" w:rsidRDefault="00C9124B" w:rsidP="00600548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E1066" w:rsidRPr="00101496">
        <w:t>:</w:t>
      </w:r>
    </w:p>
    <w:p w:rsidR="005E1066" w:rsidRPr="00101496" w:rsidRDefault="00347F19" w:rsidP="00600548">
      <w:r>
        <w:t xml:space="preserve">Duquesne Light Company </w:t>
      </w:r>
      <w:r>
        <w:tab/>
      </w:r>
      <w:r w:rsidR="009238E2">
        <w:tab/>
      </w:r>
      <w:r w:rsidR="008E2A71" w:rsidRPr="00101496">
        <w:tab/>
      </w:r>
      <w:r w:rsidR="00C9124B">
        <w:t xml:space="preserve">  </w:t>
      </w:r>
      <w:r w:rsidR="005E1066" w:rsidRPr="00101496">
        <w:t>:</w:t>
      </w:r>
    </w:p>
    <w:p w:rsidR="005E1066" w:rsidRPr="00101496" w:rsidRDefault="005E1066" w:rsidP="00600548"/>
    <w:p w:rsidR="005E1066" w:rsidRPr="00101496" w:rsidRDefault="005E1066" w:rsidP="00600548">
      <w:pPr>
        <w:tabs>
          <w:tab w:val="left" w:pos="1076"/>
        </w:tabs>
      </w:pPr>
    </w:p>
    <w:p w:rsidR="00EA5CEA" w:rsidRPr="00101496" w:rsidRDefault="00EA5CEA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INTERIM </w:t>
      </w:r>
      <w:r w:rsidR="008D798E" w:rsidRPr="00101496">
        <w:rPr>
          <w:b/>
          <w:u w:val="single"/>
        </w:rPr>
        <w:t xml:space="preserve">ORDER </w:t>
      </w:r>
    </w:p>
    <w:p w:rsidR="00451017" w:rsidRPr="00101496" w:rsidRDefault="008D798E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GRANTING </w:t>
      </w:r>
      <w:r w:rsidR="009238E2">
        <w:rPr>
          <w:b/>
          <w:u w:val="single"/>
        </w:rPr>
        <w:t>COMPLAINANT</w:t>
      </w:r>
      <w:r w:rsidRPr="00101496">
        <w:rPr>
          <w:b/>
          <w:u w:val="single"/>
        </w:rPr>
        <w:t xml:space="preserve">’S </w:t>
      </w:r>
      <w:r w:rsidR="00451017" w:rsidRPr="00101496">
        <w:rPr>
          <w:b/>
          <w:u w:val="single"/>
        </w:rPr>
        <w:t xml:space="preserve">REQUEST FOR </w:t>
      </w:r>
    </w:p>
    <w:p w:rsidR="005E1066" w:rsidRPr="00101496" w:rsidRDefault="00451017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>CONTINUANCE OF HEARING</w:t>
      </w:r>
    </w:p>
    <w:p w:rsidR="005E1066" w:rsidRPr="00101496" w:rsidRDefault="005E1066" w:rsidP="008D43CD">
      <w:pPr>
        <w:spacing w:line="360" w:lineRule="auto"/>
        <w:jc w:val="center"/>
      </w:pPr>
    </w:p>
    <w:p w:rsidR="005E1066" w:rsidRPr="00101496" w:rsidRDefault="005E1066" w:rsidP="00600548">
      <w:pPr>
        <w:jc w:val="center"/>
      </w:pPr>
      <w:r w:rsidRPr="00101496">
        <w:t>Before</w:t>
      </w:r>
    </w:p>
    <w:p w:rsidR="005E1066" w:rsidRPr="00101496" w:rsidRDefault="00F15876" w:rsidP="00600548">
      <w:pPr>
        <w:jc w:val="center"/>
      </w:pPr>
      <w:r>
        <w:t>Jennedy S. Johnson</w:t>
      </w:r>
    </w:p>
    <w:p w:rsidR="005E1066" w:rsidRPr="00101496" w:rsidRDefault="005E1066" w:rsidP="00600548">
      <w:pPr>
        <w:jc w:val="center"/>
      </w:pPr>
      <w:r w:rsidRPr="00101496">
        <w:t>Special Agent</w:t>
      </w:r>
    </w:p>
    <w:p w:rsidR="005E1066" w:rsidRPr="00101496" w:rsidRDefault="005E1066" w:rsidP="008D43CD">
      <w:pPr>
        <w:spacing w:line="360" w:lineRule="auto"/>
        <w:jc w:val="center"/>
      </w:pPr>
    </w:p>
    <w:p w:rsidR="005E1066" w:rsidRPr="00101496" w:rsidRDefault="005E1066" w:rsidP="00600548">
      <w:pPr>
        <w:jc w:val="center"/>
      </w:pPr>
      <w:r w:rsidRPr="00101496">
        <w:rPr>
          <w:u w:val="single"/>
        </w:rPr>
        <w:t>HISTORY OF THE PROCEEDING</w:t>
      </w:r>
    </w:p>
    <w:p w:rsidR="008D43CD" w:rsidRPr="00101496" w:rsidRDefault="008D43CD" w:rsidP="008D43CD">
      <w:pPr>
        <w:spacing w:line="360" w:lineRule="auto"/>
      </w:pPr>
    </w:p>
    <w:p w:rsidR="00AA689B" w:rsidRDefault="008D798E" w:rsidP="00347F19">
      <w:pPr>
        <w:tabs>
          <w:tab w:val="num" w:pos="2160"/>
        </w:tabs>
        <w:spacing w:line="360" w:lineRule="auto"/>
        <w:ind w:firstLine="1440"/>
      </w:pPr>
      <w:r w:rsidRPr="00101496">
        <w:t xml:space="preserve">By Telephone Hearing Notice dated </w:t>
      </w:r>
      <w:r w:rsidR="00347F19">
        <w:t>February 5, 2014</w:t>
      </w:r>
      <w:r w:rsidR="00451017" w:rsidRPr="00101496">
        <w:t>, the above-captioned case was assigne</w:t>
      </w:r>
      <w:r w:rsidR="006D57E4" w:rsidRPr="00101496">
        <w:t>d to me</w:t>
      </w:r>
      <w:r w:rsidR="000E5AFE">
        <w:t>,</w:t>
      </w:r>
      <w:r w:rsidR="006D57E4" w:rsidRPr="00101496">
        <w:t xml:space="preserve"> and an Initial Telephonic</w:t>
      </w:r>
      <w:r w:rsidR="00451017" w:rsidRPr="00101496">
        <w:t xml:space="preserve"> Hearing was scheduled for </w:t>
      </w:r>
      <w:r w:rsidR="00347F19">
        <w:t>Thursday</w:t>
      </w:r>
      <w:r w:rsidR="00451017" w:rsidRPr="00101496">
        <w:t xml:space="preserve">, </w:t>
      </w:r>
      <w:r w:rsidR="00347F19">
        <w:t>March 13</w:t>
      </w:r>
      <w:r w:rsidR="00093DD5">
        <w:t>, 2013,</w:t>
      </w:r>
      <w:r w:rsidR="008E2A71" w:rsidRPr="00101496">
        <w:t xml:space="preserve"> at 1</w:t>
      </w:r>
      <w:r w:rsidR="00796D34" w:rsidRPr="00101496">
        <w:t>0:0</w:t>
      </w:r>
      <w:r w:rsidR="008E2A71" w:rsidRPr="00101496">
        <w:t xml:space="preserve">0 </w:t>
      </w:r>
      <w:r w:rsidR="00796D34" w:rsidRPr="00101496">
        <w:t>a</w:t>
      </w:r>
      <w:r w:rsidR="00451017" w:rsidRPr="00101496">
        <w:t>.m.</w:t>
      </w:r>
      <w:r w:rsidR="00093DD5">
        <w:t xml:space="preserve"> </w:t>
      </w:r>
      <w:r w:rsidR="00347F19">
        <w:t xml:space="preserve">By letter dated February 21, 2014, Counsel for the Respondent, Duquesne Light Company, requested a continuance of this matter.  </w:t>
      </w:r>
    </w:p>
    <w:p w:rsidR="00B7611A" w:rsidRDefault="00B7611A" w:rsidP="008249CB">
      <w:pPr>
        <w:tabs>
          <w:tab w:val="num" w:pos="2160"/>
        </w:tabs>
        <w:spacing w:line="360" w:lineRule="auto"/>
        <w:ind w:firstLine="1440"/>
      </w:pPr>
    </w:p>
    <w:p w:rsidR="00B7611A" w:rsidRDefault="00B7611A" w:rsidP="008249CB">
      <w:pPr>
        <w:tabs>
          <w:tab w:val="num" w:pos="2160"/>
        </w:tabs>
        <w:spacing w:line="360" w:lineRule="auto"/>
        <w:ind w:firstLine="1440"/>
      </w:pPr>
      <w:r>
        <w:t xml:space="preserve">Pursuant to Section 1.15(b) of the Pennsylvania Public Utility Commission’s </w:t>
      </w:r>
      <w:r w:rsidR="00D74D23">
        <w:t>regulations</w:t>
      </w:r>
      <w:r w:rsidR="000E5AFE">
        <w:t>,</w:t>
      </w:r>
      <w:r w:rsidR="00D74D23">
        <w:t xml:space="preserve"> </w:t>
      </w:r>
      <w:r>
        <w:t>a request for a change of the scheduled hearing date should be submitted by motion in writing and filed no later than five (5) days prior to the hearing with the Commission.</w:t>
      </w:r>
      <w:r w:rsidR="00D74D23">
        <w:t xml:space="preserve">  52 Pa.Code § 1.15(b).  </w:t>
      </w:r>
      <w:r>
        <w:t>The motion must state the facts upon which the request rests.  Only for good cause shown will requests for continuance be considered.</w:t>
      </w:r>
      <w:r w:rsidR="00093DD5">
        <w:t xml:space="preserve">  </w:t>
      </w:r>
      <w:r w:rsidR="00093DD5">
        <w:rPr>
          <w:u w:val="single"/>
        </w:rPr>
        <w:t>Id.</w:t>
      </w:r>
      <w:r>
        <w:t xml:space="preserve">  </w:t>
      </w:r>
    </w:p>
    <w:p w:rsidR="00C83F83" w:rsidRDefault="00C83F83" w:rsidP="008249CB">
      <w:pPr>
        <w:tabs>
          <w:tab w:val="num" w:pos="2160"/>
        </w:tabs>
        <w:spacing w:line="360" w:lineRule="auto"/>
        <w:ind w:firstLine="1440"/>
      </w:pPr>
    </w:p>
    <w:p w:rsidR="00881DC7" w:rsidRDefault="00093DD5" w:rsidP="00C83F83">
      <w:pPr>
        <w:tabs>
          <w:tab w:val="num" w:pos="2160"/>
        </w:tabs>
        <w:spacing w:line="360" w:lineRule="auto"/>
        <w:ind w:firstLine="1440"/>
      </w:pPr>
      <w:r>
        <w:t>This</w:t>
      </w:r>
      <w:r w:rsidR="00D0665C">
        <w:t xml:space="preserve"> is the first continuance requested by either pa</w:t>
      </w:r>
      <w:r w:rsidR="00C83F83">
        <w:t>rty in this matter</w:t>
      </w:r>
      <w:r w:rsidR="00347F19">
        <w:t>.</w:t>
      </w:r>
      <w:r w:rsidR="00F23549">
        <w:t xml:space="preserve">  The request was submitted in writing and made well in advance of the schedule hearing.  </w:t>
      </w:r>
      <w:r w:rsidR="00347F19">
        <w:t>Counsel for the Respondent stated that she attempted to contact the Complainant on two separate occasions regarding a continuance and left messages for him each time</w:t>
      </w:r>
      <w:r w:rsidR="005E2902">
        <w:t>.</w:t>
      </w:r>
      <w:r w:rsidR="00F23549">
        <w:t xml:space="preserve">  Complainant has not returned her </w:t>
      </w:r>
      <w:r w:rsidR="00F23549">
        <w:lastRenderedPageBreak/>
        <w:t xml:space="preserve">calls.  </w:t>
      </w:r>
      <w:r w:rsidR="00C83F83">
        <w:t xml:space="preserve">Therefore, </w:t>
      </w:r>
      <w:r w:rsidR="00D0665C">
        <w:t xml:space="preserve">I conclude that </w:t>
      </w:r>
      <w:r w:rsidR="008249CB">
        <w:t xml:space="preserve">the </w:t>
      </w:r>
      <w:r w:rsidR="00347F19">
        <w:t>Respondent</w:t>
      </w:r>
      <w:r w:rsidR="008249CB">
        <w:t xml:space="preserve"> </w:t>
      </w:r>
      <w:r w:rsidR="004438AB" w:rsidRPr="00101496">
        <w:t>has shown good cau</w:t>
      </w:r>
      <w:r w:rsidR="00347F19">
        <w:t xml:space="preserve">se for requesting a continuance and the request </w:t>
      </w:r>
      <w:r w:rsidR="00881DC7" w:rsidRPr="00101496">
        <w:t>will be granted.</w:t>
      </w:r>
      <w:r w:rsidR="00542B9F">
        <w:t xml:space="preserve">  A Notice rescheduling the hearing will be issued.  </w:t>
      </w:r>
    </w:p>
    <w:p w:rsidR="00881DC7" w:rsidRPr="00101496" w:rsidRDefault="00881DC7" w:rsidP="00600548">
      <w:pPr>
        <w:tabs>
          <w:tab w:val="num" w:pos="2160"/>
        </w:tabs>
        <w:spacing w:line="360" w:lineRule="auto"/>
        <w:ind w:firstLine="1440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THEREFORE,</w:t>
      </w: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IT IS ORDERED:</w:t>
      </w:r>
    </w:p>
    <w:p w:rsidR="00542B9F" w:rsidRDefault="00542B9F" w:rsidP="00542B9F">
      <w:pPr>
        <w:spacing w:line="360" w:lineRule="auto"/>
      </w:pPr>
    </w:p>
    <w:p w:rsidR="00451017" w:rsidRPr="00101496" w:rsidRDefault="00451017" w:rsidP="00542B9F">
      <w:pPr>
        <w:pStyle w:val="ListParagraph"/>
        <w:numPr>
          <w:ilvl w:val="0"/>
          <w:numId w:val="3"/>
        </w:numPr>
        <w:spacing w:line="360" w:lineRule="auto"/>
        <w:ind w:left="0" w:firstLine="1440"/>
      </w:pPr>
      <w:r w:rsidRPr="00101496">
        <w:t xml:space="preserve">That </w:t>
      </w:r>
      <w:r w:rsidR="00C83F83">
        <w:t xml:space="preserve">the </w:t>
      </w:r>
      <w:r w:rsidR="003A416D">
        <w:t>Respondent’s</w:t>
      </w:r>
      <w:r w:rsidRPr="00101496">
        <w:t xml:space="preserve"> </w:t>
      </w:r>
      <w:r w:rsidR="005613F5">
        <w:t>request for a continuance</w:t>
      </w:r>
      <w:r w:rsidRPr="00101496">
        <w:t xml:space="preserve"> in the matter of </w:t>
      </w:r>
      <w:r w:rsidR="003A416D">
        <w:t>Joseph Rainey v. Duquesne Light Company</w:t>
      </w:r>
      <w:r w:rsidRPr="00101496">
        <w:t xml:space="preserve">, at Docket No. </w:t>
      </w:r>
      <w:r w:rsidR="00C9124B">
        <w:t>C-2013-</w:t>
      </w:r>
      <w:r w:rsidR="003A416D">
        <w:t>2392631</w:t>
      </w:r>
      <w:r w:rsidRPr="00101496">
        <w:t xml:space="preserve"> is granted.</w:t>
      </w:r>
    </w:p>
    <w:p w:rsidR="00451017" w:rsidRPr="00101496" w:rsidRDefault="00451017" w:rsidP="00451017">
      <w:pPr>
        <w:pStyle w:val="ListParagraph"/>
        <w:spacing w:line="360" w:lineRule="auto"/>
        <w:ind w:left="1800"/>
      </w:pPr>
    </w:p>
    <w:p w:rsidR="006D6E10" w:rsidRPr="00101496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101496">
        <w:t xml:space="preserve">That </w:t>
      </w:r>
      <w:r w:rsidR="00542B9F">
        <w:t>the Scheduling Staff of the Office of Administrative Law Judge shall reschedule this matter for a telephonic hearing.</w:t>
      </w:r>
    </w:p>
    <w:p w:rsidR="005E1066" w:rsidRPr="00101496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101496" w:rsidRDefault="00715EAA" w:rsidP="00600548">
      <w:pPr>
        <w:tabs>
          <w:tab w:val="num" w:pos="2160"/>
          <w:tab w:val="left" w:pos="5048"/>
        </w:tabs>
      </w:pPr>
    </w:p>
    <w:p w:rsidR="005E1066" w:rsidRPr="003A416D" w:rsidRDefault="005E1066" w:rsidP="00600548">
      <w:pPr>
        <w:tabs>
          <w:tab w:val="num" w:pos="2160"/>
          <w:tab w:val="left" w:pos="5048"/>
        </w:tabs>
        <w:rPr>
          <w:u w:val="single"/>
        </w:rPr>
      </w:pPr>
      <w:r w:rsidRPr="00101496">
        <w:t xml:space="preserve">Dated: </w:t>
      </w:r>
      <w:r w:rsidR="003A416D">
        <w:rPr>
          <w:u w:val="single"/>
        </w:rPr>
        <w:t>February 24, 2014</w:t>
      </w:r>
      <w:r w:rsidRPr="00101496">
        <w:tab/>
        <w:t>_________________________________</w:t>
      </w:r>
    </w:p>
    <w:p w:rsidR="005E1066" w:rsidRPr="00101496" w:rsidRDefault="005E1066" w:rsidP="00600548">
      <w:pPr>
        <w:tabs>
          <w:tab w:val="num" w:pos="2160"/>
        </w:tabs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="00C9124B">
        <w:t>Jennedy S. Johnson</w:t>
      </w:r>
    </w:p>
    <w:p w:rsidR="00796D34" w:rsidRPr="00101496" w:rsidRDefault="005E1066" w:rsidP="006F49EE">
      <w:pPr>
        <w:tabs>
          <w:tab w:val="num" w:pos="2160"/>
        </w:tabs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Special Agent</w:t>
      </w:r>
    </w:p>
    <w:sectPr w:rsidR="00796D34" w:rsidRPr="00101496" w:rsidSect="00B56A97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F1" w:rsidRDefault="00466BF1" w:rsidP="002D00BA">
      <w:r>
        <w:separator/>
      </w:r>
    </w:p>
  </w:endnote>
  <w:endnote w:type="continuationSeparator" w:id="0">
    <w:p w:rsidR="00466BF1" w:rsidRDefault="00466BF1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466B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226F73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466B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F1" w:rsidRDefault="00466BF1" w:rsidP="002D00BA">
      <w:r>
        <w:separator/>
      </w:r>
    </w:p>
  </w:footnote>
  <w:footnote w:type="continuationSeparator" w:id="0">
    <w:p w:rsidR="00466BF1" w:rsidRDefault="00466BF1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1601"/>
    <w:rsid w:val="00025102"/>
    <w:rsid w:val="00032D69"/>
    <w:rsid w:val="00046141"/>
    <w:rsid w:val="00054349"/>
    <w:rsid w:val="000648A8"/>
    <w:rsid w:val="0006552F"/>
    <w:rsid w:val="0008408B"/>
    <w:rsid w:val="00093DD5"/>
    <w:rsid w:val="0009673F"/>
    <w:rsid w:val="000D378F"/>
    <w:rsid w:val="000E5AFE"/>
    <w:rsid w:val="00101496"/>
    <w:rsid w:val="00106ABB"/>
    <w:rsid w:val="00111EB0"/>
    <w:rsid w:val="001134A1"/>
    <w:rsid w:val="00142E9B"/>
    <w:rsid w:val="00144FE0"/>
    <w:rsid w:val="001A4669"/>
    <w:rsid w:val="001C3D0D"/>
    <w:rsid w:val="001D201E"/>
    <w:rsid w:val="001E0230"/>
    <w:rsid w:val="002243F0"/>
    <w:rsid w:val="00226F73"/>
    <w:rsid w:val="00227B9B"/>
    <w:rsid w:val="00243074"/>
    <w:rsid w:val="00247F37"/>
    <w:rsid w:val="00261F6F"/>
    <w:rsid w:val="0027102C"/>
    <w:rsid w:val="00285F9A"/>
    <w:rsid w:val="00293DA4"/>
    <w:rsid w:val="002D00BA"/>
    <w:rsid w:val="002E6FEC"/>
    <w:rsid w:val="002F691A"/>
    <w:rsid w:val="00347F19"/>
    <w:rsid w:val="00361D21"/>
    <w:rsid w:val="003A1351"/>
    <w:rsid w:val="003A416D"/>
    <w:rsid w:val="003E052B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66BF1"/>
    <w:rsid w:val="0046705D"/>
    <w:rsid w:val="00470CC3"/>
    <w:rsid w:val="0048672B"/>
    <w:rsid w:val="00496BEF"/>
    <w:rsid w:val="004B6F9F"/>
    <w:rsid w:val="004F00A0"/>
    <w:rsid w:val="004F2CB2"/>
    <w:rsid w:val="004F715B"/>
    <w:rsid w:val="00500B48"/>
    <w:rsid w:val="00503D3D"/>
    <w:rsid w:val="00507DAB"/>
    <w:rsid w:val="005204B9"/>
    <w:rsid w:val="00542B9F"/>
    <w:rsid w:val="005533AA"/>
    <w:rsid w:val="00553799"/>
    <w:rsid w:val="005613F5"/>
    <w:rsid w:val="005628BE"/>
    <w:rsid w:val="00575A71"/>
    <w:rsid w:val="005771B5"/>
    <w:rsid w:val="00580D7B"/>
    <w:rsid w:val="005B233E"/>
    <w:rsid w:val="005B5B2C"/>
    <w:rsid w:val="005B6599"/>
    <w:rsid w:val="005D1204"/>
    <w:rsid w:val="005E1066"/>
    <w:rsid w:val="005E2902"/>
    <w:rsid w:val="005F543D"/>
    <w:rsid w:val="00600548"/>
    <w:rsid w:val="0061512C"/>
    <w:rsid w:val="00627CC1"/>
    <w:rsid w:val="00630410"/>
    <w:rsid w:val="006408A3"/>
    <w:rsid w:val="00674D86"/>
    <w:rsid w:val="006A24CA"/>
    <w:rsid w:val="006B1224"/>
    <w:rsid w:val="006C1EEF"/>
    <w:rsid w:val="006D1BA9"/>
    <w:rsid w:val="006D57E4"/>
    <w:rsid w:val="006D6E10"/>
    <w:rsid w:val="006E1F28"/>
    <w:rsid w:val="006F49EE"/>
    <w:rsid w:val="00715EAA"/>
    <w:rsid w:val="0072133B"/>
    <w:rsid w:val="00743085"/>
    <w:rsid w:val="0075143A"/>
    <w:rsid w:val="00785F44"/>
    <w:rsid w:val="00796D34"/>
    <w:rsid w:val="007B1254"/>
    <w:rsid w:val="007B7792"/>
    <w:rsid w:val="007C6E1B"/>
    <w:rsid w:val="0082202F"/>
    <w:rsid w:val="008249CB"/>
    <w:rsid w:val="00867AA7"/>
    <w:rsid w:val="00881DC7"/>
    <w:rsid w:val="00884DD3"/>
    <w:rsid w:val="008D43CD"/>
    <w:rsid w:val="008D798E"/>
    <w:rsid w:val="008E2A71"/>
    <w:rsid w:val="008E70AB"/>
    <w:rsid w:val="00904BE4"/>
    <w:rsid w:val="009162CB"/>
    <w:rsid w:val="00920D7C"/>
    <w:rsid w:val="009238E2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42438"/>
    <w:rsid w:val="00A458F5"/>
    <w:rsid w:val="00A60B4F"/>
    <w:rsid w:val="00A8008A"/>
    <w:rsid w:val="00AA689B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7611A"/>
    <w:rsid w:val="00B95D17"/>
    <w:rsid w:val="00B964C1"/>
    <w:rsid w:val="00BB356A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823C5"/>
    <w:rsid w:val="00C83F83"/>
    <w:rsid w:val="00C8415C"/>
    <w:rsid w:val="00C8470F"/>
    <w:rsid w:val="00C9124B"/>
    <w:rsid w:val="00CB4D06"/>
    <w:rsid w:val="00CD0A36"/>
    <w:rsid w:val="00D03977"/>
    <w:rsid w:val="00D0400C"/>
    <w:rsid w:val="00D0665C"/>
    <w:rsid w:val="00D15AD9"/>
    <w:rsid w:val="00D2511F"/>
    <w:rsid w:val="00D300F6"/>
    <w:rsid w:val="00D34CF9"/>
    <w:rsid w:val="00D6161D"/>
    <w:rsid w:val="00D74D23"/>
    <w:rsid w:val="00DB4771"/>
    <w:rsid w:val="00DB6BB9"/>
    <w:rsid w:val="00DC6024"/>
    <w:rsid w:val="00E0325F"/>
    <w:rsid w:val="00E055DB"/>
    <w:rsid w:val="00E07E31"/>
    <w:rsid w:val="00E53639"/>
    <w:rsid w:val="00E84019"/>
    <w:rsid w:val="00EA2BEF"/>
    <w:rsid w:val="00EA3F8A"/>
    <w:rsid w:val="00EA5CEA"/>
    <w:rsid w:val="00EB7FB5"/>
    <w:rsid w:val="00EE7F80"/>
    <w:rsid w:val="00EF1233"/>
    <w:rsid w:val="00EF42B9"/>
    <w:rsid w:val="00EF7B1F"/>
    <w:rsid w:val="00F13889"/>
    <w:rsid w:val="00F15876"/>
    <w:rsid w:val="00F23549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D29E-E183-4672-B5C7-E64D6D44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2</cp:revision>
  <cp:lastPrinted>2014-02-24T14:19:00Z</cp:lastPrinted>
  <dcterms:created xsi:type="dcterms:W3CDTF">2014-02-24T14:40:00Z</dcterms:created>
  <dcterms:modified xsi:type="dcterms:W3CDTF">2014-02-24T14:40:00Z</dcterms:modified>
</cp:coreProperties>
</file>