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3D" w:rsidRPr="009A52FA" w:rsidRDefault="0035323D" w:rsidP="0035323D">
      <w:pPr>
        <w:widowControl w:val="0"/>
        <w:jc w:val="center"/>
        <w:rPr>
          <w:b/>
          <w:bCs/>
          <w:szCs w:val="24"/>
        </w:rPr>
      </w:pPr>
      <w:r w:rsidRPr="009A52FA">
        <w:rPr>
          <w:b/>
          <w:bCs/>
          <w:szCs w:val="24"/>
        </w:rPr>
        <w:t>BEFORE THE</w:t>
      </w:r>
    </w:p>
    <w:p w:rsidR="0035323D" w:rsidRPr="009A52FA" w:rsidRDefault="0035323D" w:rsidP="0035323D">
      <w:pPr>
        <w:widowControl w:val="0"/>
        <w:jc w:val="center"/>
        <w:rPr>
          <w:b/>
          <w:bCs/>
          <w:szCs w:val="24"/>
        </w:rPr>
      </w:pPr>
      <w:r w:rsidRPr="009A52FA">
        <w:rPr>
          <w:b/>
          <w:bCs/>
          <w:szCs w:val="24"/>
        </w:rPr>
        <w:t>PENNSYLVANIA PUBLIC UTILITY COMMISSION</w:t>
      </w:r>
    </w:p>
    <w:p w:rsidR="0035323D" w:rsidRPr="009A52FA" w:rsidRDefault="0035323D" w:rsidP="0035323D">
      <w:pPr>
        <w:widowControl w:val="0"/>
        <w:jc w:val="center"/>
        <w:rPr>
          <w:b/>
          <w:bCs/>
          <w:szCs w:val="24"/>
        </w:rPr>
      </w:pPr>
    </w:p>
    <w:p w:rsidR="0035323D" w:rsidRPr="009A52FA" w:rsidRDefault="0035323D" w:rsidP="0035323D">
      <w:pPr>
        <w:widowControl w:val="0"/>
        <w:jc w:val="center"/>
        <w:rPr>
          <w:b/>
          <w:bCs/>
          <w:szCs w:val="24"/>
        </w:rPr>
      </w:pPr>
    </w:p>
    <w:p w:rsidR="0035323D" w:rsidRDefault="0035323D" w:rsidP="0035323D">
      <w:pPr>
        <w:widowControl w:val="0"/>
        <w:spacing w:line="240" w:lineRule="auto"/>
        <w:contextualSpacing/>
        <w:rPr>
          <w:bCs/>
          <w:szCs w:val="24"/>
        </w:rPr>
      </w:pPr>
      <w:r>
        <w:rPr>
          <w:bCs/>
          <w:szCs w:val="24"/>
        </w:rPr>
        <w:t>Insurance Company of Greater New York</w:t>
      </w:r>
      <w:r>
        <w:rPr>
          <w:bCs/>
          <w:szCs w:val="24"/>
        </w:rPr>
        <w:tab/>
      </w:r>
      <w:r>
        <w:rPr>
          <w:bCs/>
          <w:szCs w:val="24"/>
        </w:rPr>
        <w:tab/>
        <w:t>:</w:t>
      </w:r>
    </w:p>
    <w:p w:rsidR="0035323D" w:rsidRDefault="0035323D" w:rsidP="0035323D">
      <w:pPr>
        <w:widowControl w:val="0"/>
        <w:spacing w:line="240" w:lineRule="auto"/>
        <w:contextualSpacing/>
        <w:rPr>
          <w:bCs/>
          <w:szCs w:val="24"/>
        </w:rPr>
      </w:pPr>
      <w:proofErr w:type="gramStart"/>
      <w:r>
        <w:rPr>
          <w:bCs/>
          <w:szCs w:val="24"/>
        </w:rPr>
        <w:t>a/s/o</w:t>
      </w:r>
      <w:proofErr w:type="gramEnd"/>
      <w:r>
        <w:rPr>
          <w:bCs/>
          <w:szCs w:val="24"/>
        </w:rPr>
        <w:t xml:space="preserve"> Quail Run Real Estate L.P. d/b/a</w:t>
      </w:r>
      <w:r>
        <w:rPr>
          <w:bCs/>
          <w:szCs w:val="24"/>
        </w:rPr>
        <w:tab/>
      </w:r>
      <w:r>
        <w:rPr>
          <w:bCs/>
          <w:szCs w:val="24"/>
        </w:rPr>
        <w:tab/>
        <w:t>:</w:t>
      </w:r>
    </w:p>
    <w:p w:rsidR="0035323D" w:rsidRDefault="0035323D" w:rsidP="0035323D">
      <w:pPr>
        <w:widowControl w:val="0"/>
        <w:spacing w:line="240" w:lineRule="auto"/>
        <w:contextualSpacing/>
        <w:rPr>
          <w:bCs/>
          <w:szCs w:val="24"/>
        </w:rPr>
      </w:pPr>
      <w:r>
        <w:rPr>
          <w:bCs/>
          <w:szCs w:val="24"/>
        </w:rPr>
        <w:t>Quail Run Apartments</w:t>
      </w:r>
      <w:r>
        <w:rPr>
          <w:bCs/>
          <w:szCs w:val="24"/>
        </w:rPr>
        <w:tab/>
      </w:r>
      <w:r>
        <w:rPr>
          <w:bCs/>
          <w:szCs w:val="24"/>
        </w:rPr>
        <w:tab/>
      </w:r>
      <w:r>
        <w:rPr>
          <w:bCs/>
          <w:szCs w:val="24"/>
        </w:rPr>
        <w:tab/>
      </w:r>
      <w:r>
        <w:rPr>
          <w:bCs/>
          <w:szCs w:val="24"/>
        </w:rPr>
        <w:tab/>
        <w:t>:</w:t>
      </w:r>
    </w:p>
    <w:p w:rsidR="0035323D" w:rsidRDefault="0035323D" w:rsidP="0035323D">
      <w:pPr>
        <w:widowControl w:val="0"/>
        <w:spacing w:line="240" w:lineRule="auto"/>
        <w:contextualSpacing/>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35323D" w:rsidRDefault="0035323D" w:rsidP="0035323D">
      <w:pPr>
        <w:widowControl w:val="0"/>
        <w:spacing w:line="240" w:lineRule="auto"/>
        <w:contextualSpacing/>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C-2013-2393832</w:t>
      </w:r>
    </w:p>
    <w:p w:rsidR="0035323D" w:rsidRDefault="0035323D" w:rsidP="0035323D">
      <w:pPr>
        <w:widowControl w:val="0"/>
        <w:spacing w:line="240" w:lineRule="auto"/>
        <w:contextualSpacing/>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35323D" w:rsidRPr="00D66A31" w:rsidRDefault="0035323D" w:rsidP="0035323D">
      <w:pPr>
        <w:widowControl w:val="0"/>
        <w:spacing w:line="240" w:lineRule="auto"/>
        <w:contextualSpacing/>
        <w:rPr>
          <w:szCs w:val="24"/>
        </w:rPr>
      </w:pPr>
      <w:r>
        <w:rPr>
          <w:bCs/>
          <w:szCs w:val="24"/>
        </w:rPr>
        <w:t>United Water Company</w:t>
      </w:r>
      <w:r>
        <w:rPr>
          <w:bCs/>
          <w:szCs w:val="24"/>
        </w:rPr>
        <w:tab/>
      </w:r>
      <w:r>
        <w:rPr>
          <w:bCs/>
          <w:szCs w:val="24"/>
        </w:rPr>
        <w:tab/>
      </w:r>
      <w:r>
        <w:rPr>
          <w:bCs/>
          <w:szCs w:val="24"/>
        </w:rPr>
        <w:tab/>
      </w:r>
      <w:r>
        <w:rPr>
          <w:bCs/>
          <w:szCs w:val="24"/>
        </w:rPr>
        <w:tab/>
        <w:t>:</w:t>
      </w:r>
      <w:r>
        <w:rPr>
          <w:bCs/>
          <w:szCs w:val="24"/>
        </w:rPr>
        <w:br/>
      </w:r>
      <w:r>
        <w:rPr>
          <w:bCs/>
          <w:szCs w:val="24"/>
        </w:rPr>
        <w:tab/>
      </w:r>
      <w:r>
        <w:rPr>
          <w:bCs/>
          <w:szCs w:val="24"/>
        </w:rPr>
        <w:tab/>
      </w:r>
      <w:r>
        <w:rPr>
          <w:bCs/>
          <w:szCs w:val="24"/>
        </w:rPr>
        <w:tab/>
      </w:r>
    </w:p>
    <w:p w:rsidR="0035323D" w:rsidRDefault="0035323D" w:rsidP="0035323D">
      <w:pPr>
        <w:widowControl w:val="0"/>
        <w:rPr>
          <w:szCs w:val="24"/>
        </w:rPr>
      </w:pPr>
    </w:p>
    <w:p w:rsidR="0035323D" w:rsidRPr="009A52FA" w:rsidRDefault="0035323D" w:rsidP="0035323D">
      <w:pPr>
        <w:widowControl w:val="0"/>
        <w:rPr>
          <w:szCs w:val="24"/>
        </w:rPr>
      </w:pPr>
    </w:p>
    <w:p w:rsidR="0035323D" w:rsidRPr="009A52FA" w:rsidRDefault="0035323D" w:rsidP="0035323D">
      <w:pPr>
        <w:widowControl w:val="0"/>
        <w:jc w:val="center"/>
        <w:rPr>
          <w:b/>
          <w:bCs/>
          <w:szCs w:val="24"/>
          <w:u w:val="single"/>
        </w:rPr>
      </w:pPr>
      <w:r w:rsidRPr="009A52FA">
        <w:rPr>
          <w:b/>
          <w:bCs/>
          <w:szCs w:val="24"/>
          <w:u w:val="single"/>
        </w:rPr>
        <w:t>PREHEARING CONFERENCE ORDER</w:t>
      </w:r>
    </w:p>
    <w:p w:rsidR="0035323D" w:rsidRPr="007F38EC" w:rsidRDefault="0035323D" w:rsidP="0035323D">
      <w:pPr>
        <w:widowControl w:val="0"/>
        <w:jc w:val="center"/>
        <w:rPr>
          <w:b/>
          <w:bCs/>
          <w:szCs w:val="24"/>
        </w:rPr>
      </w:pPr>
      <w:r w:rsidRPr="007F38EC">
        <w:rPr>
          <w:b/>
          <w:bCs/>
          <w:szCs w:val="24"/>
        </w:rPr>
        <w:t>First Prehearing Order</w:t>
      </w:r>
    </w:p>
    <w:p w:rsidR="0035323D" w:rsidRDefault="0035323D" w:rsidP="0035323D">
      <w:pPr>
        <w:widowControl w:val="0"/>
        <w:jc w:val="center"/>
        <w:rPr>
          <w:b/>
          <w:bCs/>
          <w:szCs w:val="24"/>
          <w:u w:val="single"/>
        </w:rPr>
      </w:pPr>
    </w:p>
    <w:p w:rsidR="0035323D" w:rsidRPr="009A52FA" w:rsidRDefault="0035323D" w:rsidP="0035323D">
      <w:pPr>
        <w:widowControl w:val="0"/>
        <w:rPr>
          <w:szCs w:val="24"/>
        </w:rPr>
      </w:pPr>
      <w:r>
        <w:rPr>
          <w:bCs/>
          <w:szCs w:val="24"/>
        </w:rPr>
        <w:tab/>
      </w:r>
      <w:r>
        <w:rPr>
          <w:bCs/>
          <w:szCs w:val="24"/>
        </w:rPr>
        <w:tab/>
      </w:r>
      <w:r w:rsidRPr="009A52FA">
        <w:rPr>
          <w:szCs w:val="24"/>
        </w:rPr>
        <w:t xml:space="preserve">A prehearing conference has been scheduled in the above-captioned case for </w:t>
      </w:r>
      <w:r>
        <w:rPr>
          <w:szCs w:val="24"/>
        </w:rPr>
        <w:t>Thurs</w:t>
      </w:r>
      <w:r w:rsidRPr="009A52FA">
        <w:rPr>
          <w:szCs w:val="24"/>
        </w:rPr>
        <w:t xml:space="preserve">day, </w:t>
      </w:r>
      <w:r>
        <w:rPr>
          <w:szCs w:val="24"/>
        </w:rPr>
        <w:t>March 27, 2014, in Hearing Room #3</w:t>
      </w:r>
      <w:r w:rsidRPr="009A52FA">
        <w:rPr>
          <w:szCs w:val="24"/>
        </w:rPr>
        <w:t xml:space="preserve">, Commonwealth Keystone Building, </w:t>
      </w:r>
      <w:proofErr w:type="gramStart"/>
      <w:r w:rsidRPr="009A52FA">
        <w:rPr>
          <w:szCs w:val="24"/>
        </w:rPr>
        <w:t>400</w:t>
      </w:r>
      <w:proofErr w:type="gramEnd"/>
      <w:r w:rsidRPr="009A52FA">
        <w:rPr>
          <w:szCs w:val="24"/>
        </w:rPr>
        <w:t xml:space="preserve"> North Street, Harrisburg, PA. </w:t>
      </w:r>
    </w:p>
    <w:p w:rsidR="0035323D" w:rsidRPr="009A52FA" w:rsidRDefault="0035323D" w:rsidP="0035323D">
      <w:pPr>
        <w:pStyle w:val="BodyTextIndent"/>
        <w:rPr>
          <w:sz w:val="24"/>
          <w:szCs w:val="24"/>
        </w:rPr>
      </w:pPr>
    </w:p>
    <w:p w:rsidR="0035323D" w:rsidRPr="009A52FA" w:rsidRDefault="00062A55" w:rsidP="0035323D">
      <w:pPr>
        <w:pStyle w:val="BodyTextIndent"/>
        <w:rPr>
          <w:sz w:val="24"/>
          <w:szCs w:val="24"/>
        </w:rPr>
      </w:pPr>
      <w:r>
        <w:rPr>
          <w:sz w:val="24"/>
          <w:szCs w:val="24"/>
        </w:rPr>
        <w:t>The parties are directed to comply with the following:</w:t>
      </w:r>
    </w:p>
    <w:p w:rsidR="0035323D" w:rsidRPr="009A52FA" w:rsidRDefault="0035323D" w:rsidP="0035323D">
      <w:pPr>
        <w:pStyle w:val="BodyTextIndent"/>
        <w:ind w:firstLine="0"/>
        <w:rPr>
          <w:sz w:val="24"/>
          <w:szCs w:val="24"/>
        </w:rPr>
      </w:pPr>
    </w:p>
    <w:p w:rsidR="0035323D" w:rsidRPr="009A52FA" w:rsidRDefault="0035323D" w:rsidP="0035323D">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Pr="009A52FA">
        <w:rPr>
          <w:szCs w:val="24"/>
        </w:rPr>
        <w:t>@state.pa.us and by hard copy) with any document you file in this proceeding</w:t>
      </w:r>
      <w:r w:rsidRPr="009A52FA">
        <w:rPr>
          <w:b/>
          <w:szCs w:val="24"/>
        </w:rPr>
        <w:t xml:space="preserve">.  </w:t>
      </w:r>
      <w:r w:rsidRPr="009A52FA">
        <w:rPr>
          <w:szCs w:val="24"/>
        </w:rPr>
        <w:t xml:space="preserve">If you send me any document or correspondence, you must send a copy to all other parties in the case.  The current service list is attached to this order.  The correct address is Administrative Law Judge </w:t>
      </w:r>
      <w:r>
        <w:rPr>
          <w:szCs w:val="24"/>
        </w:rPr>
        <w:t>Susan D. Colwell, P.O. Box 3265, Harrisburg PA  17105-3265.</w:t>
      </w:r>
      <w:r w:rsidRPr="009A52FA">
        <w:rPr>
          <w:szCs w:val="24"/>
        </w:rPr>
        <w:t xml:space="preserve">  </w:t>
      </w:r>
    </w:p>
    <w:p w:rsidR="0035323D" w:rsidRPr="009A52FA" w:rsidRDefault="0035323D" w:rsidP="0035323D">
      <w:pPr>
        <w:adjustRightInd w:val="0"/>
        <w:ind w:firstLine="1440"/>
        <w:rPr>
          <w:szCs w:val="24"/>
        </w:rPr>
      </w:pPr>
    </w:p>
    <w:p w:rsidR="0035323D" w:rsidRDefault="0035323D" w:rsidP="0035323D">
      <w:pPr>
        <w:adjustRightInd w:val="0"/>
        <w:ind w:firstLine="1440"/>
        <w:rPr>
          <w:szCs w:val="24"/>
        </w:rPr>
      </w:pPr>
      <w:r w:rsidRPr="009A52FA">
        <w:rPr>
          <w:szCs w:val="24"/>
        </w:rPr>
        <w:t>2.</w:t>
      </w:r>
      <w:r w:rsidRPr="009A52FA">
        <w:rPr>
          <w:szCs w:val="24"/>
        </w:rPr>
        <w:tab/>
      </w:r>
      <w:r w:rsidRPr="009A52FA">
        <w:rPr>
          <w:spacing w:val="-3"/>
          <w:szCs w:val="24"/>
        </w:rPr>
        <w:t xml:space="preserve"> </w:t>
      </w:r>
      <w:r w:rsidRPr="00F9074F">
        <w:rPr>
          <w:szCs w:val="24"/>
        </w:rPr>
        <w:t xml:space="preserve">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w:t>
      </w:r>
      <w:r w:rsidRPr="000A2225">
        <w:rPr>
          <w:szCs w:val="24"/>
          <w:u w:val="single"/>
        </w:rPr>
        <w:lastRenderedPageBreak/>
        <w:t>you must have an attorney licensed to practice law in the Commonwealth of Pennsylvania or admitted pro hac vice represent you in this proceeding</w:t>
      </w:r>
      <w:r w:rsidRPr="00F9074F">
        <w:rPr>
          <w:szCs w:val="24"/>
        </w:rPr>
        <w:t xml:space="preserve">.  Unless you are an attorney, you may not represent someone else.  Attorneys shall ensure that their appearance is entered in accordance with the provisions of 52 Pa. Code § 1.24(b).  </w:t>
      </w:r>
    </w:p>
    <w:p w:rsidR="0035323D" w:rsidRDefault="0035323D" w:rsidP="0035323D">
      <w:pPr>
        <w:adjustRightInd w:val="0"/>
        <w:ind w:firstLine="1440"/>
        <w:rPr>
          <w:szCs w:val="24"/>
        </w:rPr>
      </w:pPr>
    </w:p>
    <w:p w:rsidR="0035323D" w:rsidRPr="00F97AF9" w:rsidRDefault="0035323D" w:rsidP="0035323D">
      <w:pPr>
        <w:tabs>
          <w:tab w:val="left" w:pos="1440"/>
        </w:tabs>
        <w:ind w:firstLine="1440"/>
        <w:rPr>
          <w:szCs w:val="24"/>
        </w:rPr>
      </w:pPr>
      <w:r>
        <w:rPr>
          <w:szCs w:val="24"/>
        </w:rPr>
        <w:t>3.</w:t>
      </w:r>
      <w:r>
        <w:rPr>
          <w:szCs w:val="24"/>
        </w:rPr>
        <w:tab/>
      </w:r>
      <w:r w:rsidRPr="00F97AF9">
        <w:rPr>
          <w:szCs w:val="24"/>
        </w:rPr>
        <w:t>Absent a continuance for good cause, all parties must be prepared to participate in the scheduled prehearing conference.  Failure of a party to participate in the conference shall constitute a waiver of all objections to the agreements reached, and an</w:t>
      </w:r>
      <w:r>
        <w:rPr>
          <w:szCs w:val="24"/>
        </w:rPr>
        <w:t>y</w:t>
      </w:r>
      <w:r w:rsidRPr="00F97AF9">
        <w:rPr>
          <w:szCs w:val="24"/>
        </w:rPr>
        <w:t xml:space="preserve"> order or ruling with respect thereto.</w:t>
      </w:r>
    </w:p>
    <w:p w:rsidR="0035323D" w:rsidRPr="00F97AF9" w:rsidRDefault="0035323D" w:rsidP="0035323D">
      <w:pPr>
        <w:tabs>
          <w:tab w:val="left" w:pos="1440"/>
        </w:tabs>
        <w:ind w:firstLine="1440"/>
        <w:rPr>
          <w:szCs w:val="24"/>
        </w:rPr>
      </w:pPr>
    </w:p>
    <w:p w:rsidR="0035323D" w:rsidRPr="00F97AF9" w:rsidRDefault="0035323D" w:rsidP="0035323D">
      <w:pPr>
        <w:tabs>
          <w:tab w:val="left" w:pos="1440"/>
        </w:tabs>
        <w:ind w:firstLine="1440"/>
        <w:rPr>
          <w:szCs w:val="24"/>
        </w:rPr>
      </w:pPr>
      <w:r>
        <w:rPr>
          <w:szCs w:val="24"/>
        </w:rPr>
        <w:t>4.</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35323D" w:rsidRPr="00F97AF9" w:rsidRDefault="0035323D" w:rsidP="0035323D">
      <w:pPr>
        <w:tabs>
          <w:tab w:val="left" w:pos="1440"/>
        </w:tabs>
        <w:ind w:firstLine="1440"/>
        <w:rPr>
          <w:szCs w:val="24"/>
        </w:rPr>
      </w:pPr>
    </w:p>
    <w:p w:rsidR="0035323D" w:rsidRDefault="0035323D" w:rsidP="0035323D">
      <w:pPr>
        <w:tabs>
          <w:tab w:val="left" w:pos="2430"/>
        </w:tabs>
        <w:spacing w:line="240" w:lineRule="auto"/>
        <w:ind w:left="1440" w:right="1440"/>
        <w:rPr>
          <w:szCs w:val="24"/>
        </w:rPr>
      </w:pPr>
      <w:r w:rsidRPr="00F97AF9">
        <w:rPr>
          <w:szCs w:val="24"/>
        </w:rPr>
        <w:t xml:space="preserve">    (d)</w:t>
      </w:r>
      <w:r w:rsidRPr="00F97AF9">
        <w:rPr>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35323D" w:rsidRDefault="0035323D" w:rsidP="0035323D">
      <w:pPr>
        <w:tabs>
          <w:tab w:val="left" w:pos="2430"/>
        </w:tabs>
        <w:ind w:left="1440" w:right="1440"/>
        <w:rPr>
          <w:szCs w:val="24"/>
        </w:rPr>
      </w:pPr>
    </w:p>
    <w:p w:rsidR="0035323D" w:rsidRPr="00C11294" w:rsidRDefault="0035323D" w:rsidP="0035323D">
      <w:pPr>
        <w:tabs>
          <w:tab w:val="left" w:pos="2430"/>
        </w:tabs>
        <w:ind w:firstLine="1440"/>
        <w:rPr>
          <w:szCs w:val="24"/>
        </w:rPr>
      </w:pPr>
      <w:r>
        <w:rPr>
          <w:szCs w:val="24"/>
        </w:rPr>
        <w:t>5.</w:t>
      </w:r>
      <w:r w:rsidRPr="00C11294">
        <w:rPr>
          <w:szCs w:val="24"/>
        </w:rPr>
        <w:t xml:space="preserve"> </w:t>
      </w:r>
      <w:r w:rsidRPr="00C11294">
        <w:rPr>
          <w:szCs w:val="24"/>
        </w:rPr>
        <w:tab/>
        <w:t>All of the following matters shall be addressed at the prehearing conference:</w:t>
      </w:r>
    </w:p>
    <w:p w:rsidR="0035323D" w:rsidRPr="00C11294" w:rsidRDefault="0035323D" w:rsidP="0035323D">
      <w:pPr>
        <w:tabs>
          <w:tab w:val="left" w:pos="2430"/>
        </w:tabs>
        <w:ind w:left="1440" w:right="1440"/>
        <w:rPr>
          <w:szCs w:val="24"/>
        </w:rPr>
      </w:pPr>
    </w:p>
    <w:p w:rsidR="0035323D" w:rsidRPr="00C11294" w:rsidRDefault="0035323D" w:rsidP="0035323D">
      <w:pPr>
        <w:tabs>
          <w:tab w:val="left" w:pos="2430"/>
        </w:tabs>
        <w:ind w:left="1440" w:right="1440"/>
        <w:rPr>
          <w:szCs w:val="24"/>
        </w:rPr>
      </w:pPr>
      <w:r w:rsidRPr="00C11294">
        <w:rPr>
          <w:szCs w:val="24"/>
        </w:rPr>
        <w:t>(a)</w:t>
      </w:r>
      <w:r w:rsidRPr="00C11294">
        <w:rPr>
          <w:szCs w:val="24"/>
        </w:rPr>
        <w:tab/>
        <w:t>Establishment of the official service list, and an informal e-mail distribution list.</w:t>
      </w:r>
    </w:p>
    <w:p w:rsidR="0035323D" w:rsidRPr="00C11294" w:rsidRDefault="0035323D" w:rsidP="0035323D">
      <w:pPr>
        <w:tabs>
          <w:tab w:val="left" w:pos="2430"/>
        </w:tabs>
        <w:ind w:left="1440" w:right="1440"/>
        <w:rPr>
          <w:szCs w:val="24"/>
        </w:rPr>
      </w:pPr>
      <w:r>
        <w:rPr>
          <w:szCs w:val="24"/>
        </w:rPr>
        <w:t>(</w:t>
      </w:r>
      <w:r w:rsidRPr="00C11294">
        <w:rPr>
          <w:szCs w:val="24"/>
        </w:rPr>
        <w:t>b)</w:t>
      </w:r>
      <w:r w:rsidRPr="00C11294">
        <w:rPr>
          <w:szCs w:val="24"/>
        </w:rPr>
        <w:tab/>
        <w:t>Modification of the Commission’s rules pertaining to discovery (52 Pa. Code, Subchapter D) and subpoenas (52 Pa. Code §5.421)</w:t>
      </w:r>
    </w:p>
    <w:p w:rsidR="0035323D" w:rsidRPr="00C11294" w:rsidRDefault="0035323D" w:rsidP="0035323D">
      <w:pPr>
        <w:tabs>
          <w:tab w:val="left" w:pos="2430"/>
        </w:tabs>
        <w:ind w:left="1440" w:right="1440"/>
        <w:rPr>
          <w:szCs w:val="24"/>
        </w:rPr>
      </w:pPr>
      <w:r>
        <w:rPr>
          <w:szCs w:val="24"/>
        </w:rPr>
        <w:t>(c</w:t>
      </w:r>
      <w:r w:rsidRPr="00C11294">
        <w:rPr>
          <w:szCs w:val="24"/>
        </w:rPr>
        <w:t>)</w:t>
      </w:r>
      <w:r w:rsidRPr="00C11294">
        <w:rPr>
          <w:szCs w:val="24"/>
        </w:rPr>
        <w:tab/>
        <w:t>Other matters that may aid in the orderly conduct and disposition of the proceeding and the furtherance of justice, including but not limited to the following:</w:t>
      </w:r>
    </w:p>
    <w:p w:rsidR="0035323D" w:rsidRPr="00C11294" w:rsidRDefault="0035323D" w:rsidP="0035323D">
      <w:pPr>
        <w:tabs>
          <w:tab w:val="left" w:pos="2430"/>
        </w:tabs>
        <w:ind w:left="1440" w:right="1440"/>
        <w:rPr>
          <w:szCs w:val="24"/>
        </w:rPr>
      </w:pPr>
      <w:r>
        <w:rPr>
          <w:szCs w:val="24"/>
        </w:rPr>
        <w:lastRenderedPageBreak/>
        <w:tab/>
      </w:r>
      <w:r w:rsidRPr="00C11294">
        <w:rPr>
          <w:szCs w:val="24"/>
        </w:rPr>
        <w:t>(1)</w:t>
      </w:r>
      <w:r w:rsidRPr="00C11294">
        <w:rPr>
          <w:szCs w:val="24"/>
        </w:rPr>
        <w:tab/>
        <w:t>Simplification of the issues;</w:t>
      </w:r>
    </w:p>
    <w:p w:rsidR="0035323D" w:rsidRPr="00C11294" w:rsidRDefault="0035323D" w:rsidP="0035323D">
      <w:pPr>
        <w:tabs>
          <w:tab w:val="left" w:pos="2430"/>
        </w:tabs>
        <w:ind w:left="1440" w:right="1440"/>
        <w:rPr>
          <w:szCs w:val="24"/>
        </w:rPr>
      </w:pPr>
      <w:r>
        <w:rPr>
          <w:szCs w:val="24"/>
        </w:rPr>
        <w:tab/>
      </w:r>
      <w:r w:rsidRPr="00C11294">
        <w:rPr>
          <w:szCs w:val="24"/>
        </w:rPr>
        <w:t>(2)</w:t>
      </w:r>
      <w:r w:rsidRPr="00C11294">
        <w:rPr>
          <w:szCs w:val="24"/>
        </w:rPr>
        <w:tab/>
        <w:t>The obtaining of admissions as to, or stipulations of, facts not in dispute, or the authenticity of documents which might properly shorten the hearing;</w:t>
      </w:r>
    </w:p>
    <w:p w:rsidR="0035323D" w:rsidRPr="00C11294" w:rsidRDefault="0035323D" w:rsidP="0035323D">
      <w:pPr>
        <w:tabs>
          <w:tab w:val="left" w:pos="2430"/>
        </w:tabs>
        <w:ind w:left="1440" w:right="1440"/>
        <w:rPr>
          <w:szCs w:val="24"/>
        </w:rPr>
      </w:pPr>
      <w:r>
        <w:rPr>
          <w:szCs w:val="24"/>
        </w:rPr>
        <w:tab/>
      </w:r>
      <w:r w:rsidRPr="00C11294">
        <w:rPr>
          <w:szCs w:val="24"/>
        </w:rPr>
        <w:t xml:space="preserve">(3) </w:t>
      </w:r>
      <w:r w:rsidRPr="00C11294">
        <w:rPr>
          <w:szCs w:val="24"/>
        </w:rPr>
        <w:tab/>
        <w:t xml:space="preserve">Limitations as to the number of witnesses. </w:t>
      </w:r>
    </w:p>
    <w:p w:rsidR="0035323D" w:rsidRPr="00F97AF9" w:rsidRDefault="0035323D" w:rsidP="0035323D">
      <w:pPr>
        <w:tabs>
          <w:tab w:val="left" w:pos="2430"/>
        </w:tabs>
        <w:ind w:left="1440" w:right="1440"/>
        <w:rPr>
          <w:szCs w:val="24"/>
        </w:rPr>
      </w:pPr>
      <w:r>
        <w:rPr>
          <w:szCs w:val="24"/>
        </w:rPr>
        <w:tab/>
      </w:r>
      <w:r w:rsidRPr="00C11294">
        <w:rPr>
          <w:szCs w:val="24"/>
        </w:rPr>
        <w:t>(4)</w:t>
      </w:r>
      <w:r w:rsidRPr="00C11294">
        <w:rPr>
          <w:szCs w:val="24"/>
        </w:rPr>
        <w:tab/>
        <w:t>Limitations of time and scope for direct and cross-examinations</w:t>
      </w:r>
    </w:p>
    <w:p w:rsidR="0035323D" w:rsidRDefault="0035323D" w:rsidP="0035323D">
      <w:pPr>
        <w:tabs>
          <w:tab w:val="left" w:pos="1440"/>
        </w:tabs>
        <w:ind w:firstLine="1440"/>
        <w:rPr>
          <w:szCs w:val="24"/>
        </w:rPr>
      </w:pPr>
      <w:r>
        <w:rPr>
          <w:szCs w:val="24"/>
        </w:rPr>
        <w:t>(d)</w:t>
      </w:r>
      <w:r>
        <w:rPr>
          <w:szCs w:val="24"/>
        </w:rPr>
        <w:tab/>
        <w:t>The need for a protective order.</w:t>
      </w:r>
    </w:p>
    <w:p w:rsidR="0035323D" w:rsidRPr="00F97AF9" w:rsidRDefault="0035323D" w:rsidP="0035323D">
      <w:pPr>
        <w:tabs>
          <w:tab w:val="left" w:pos="1440"/>
        </w:tabs>
        <w:ind w:firstLine="1440"/>
        <w:rPr>
          <w:szCs w:val="24"/>
        </w:rPr>
      </w:pPr>
    </w:p>
    <w:p w:rsidR="0035323D" w:rsidRDefault="0035323D" w:rsidP="0035323D">
      <w:pPr>
        <w:adjustRightInd w:val="0"/>
        <w:ind w:firstLine="1440"/>
        <w:rPr>
          <w:szCs w:val="24"/>
        </w:rPr>
      </w:pPr>
      <w:r>
        <w:rPr>
          <w:szCs w:val="24"/>
        </w:rPr>
        <w:t>6.</w:t>
      </w:r>
      <w:r>
        <w:rPr>
          <w:szCs w:val="24"/>
        </w:rPr>
        <w:tab/>
        <w:t>Unless the parties agree upon an acceptable schedule, t</w:t>
      </w:r>
      <w:r w:rsidRPr="009A52FA">
        <w:rPr>
          <w:szCs w:val="24"/>
        </w:rPr>
        <w:t>he fol</w:t>
      </w:r>
      <w:r>
        <w:rPr>
          <w:szCs w:val="24"/>
        </w:rPr>
        <w:t xml:space="preserve">lowing schedule will be adopted: </w:t>
      </w:r>
    </w:p>
    <w:p w:rsidR="0035323D" w:rsidRDefault="0035323D" w:rsidP="0035323D">
      <w:pPr>
        <w:adjustRightInd w:val="0"/>
        <w:spacing w:line="240" w:lineRule="auto"/>
        <w:ind w:firstLine="1440"/>
        <w:rPr>
          <w:szCs w:val="24"/>
        </w:rPr>
      </w:pPr>
      <w:r w:rsidRPr="009A52FA">
        <w:rPr>
          <w:szCs w:val="24"/>
        </w:rPr>
        <w:tab/>
        <w:t>Prehearing conference</w:t>
      </w:r>
      <w:r w:rsidRPr="009A52FA">
        <w:rPr>
          <w:szCs w:val="24"/>
        </w:rPr>
        <w:tab/>
      </w:r>
      <w:r w:rsidRPr="009A52FA">
        <w:rPr>
          <w:szCs w:val="24"/>
        </w:rPr>
        <w:tab/>
      </w:r>
      <w:r w:rsidRPr="009A52FA">
        <w:rPr>
          <w:szCs w:val="24"/>
        </w:rPr>
        <w:tab/>
      </w:r>
      <w:r w:rsidRPr="009A52FA">
        <w:rPr>
          <w:szCs w:val="24"/>
        </w:rPr>
        <w:tab/>
      </w:r>
      <w:r>
        <w:rPr>
          <w:szCs w:val="24"/>
        </w:rPr>
        <w:t>March 27, 2014</w:t>
      </w:r>
      <w:r w:rsidRPr="009A52FA">
        <w:rPr>
          <w:szCs w:val="24"/>
        </w:rPr>
        <w:tab/>
      </w:r>
      <w:r w:rsidRPr="009A52FA">
        <w:rPr>
          <w:szCs w:val="24"/>
        </w:rPr>
        <w:tab/>
      </w:r>
      <w:r w:rsidRPr="009A52FA">
        <w:rPr>
          <w:szCs w:val="24"/>
        </w:rPr>
        <w:tab/>
      </w:r>
      <w:r>
        <w:rPr>
          <w:szCs w:val="24"/>
        </w:rPr>
        <w:tab/>
      </w:r>
      <w:r w:rsidRPr="009A52FA">
        <w:rPr>
          <w:szCs w:val="24"/>
        </w:rPr>
        <w:tab/>
      </w:r>
      <w:r>
        <w:rPr>
          <w:szCs w:val="24"/>
        </w:rPr>
        <w:t>Complainant direct testimony</w:t>
      </w:r>
      <w:r>
        <w:rPr>
          <w:szCs w:val="24"/>
        </w:rPr>
        <w:tab/>
      </w:r>
      <w:r>
        <w:rPr>
          <w:szCs w:val="24"/>
        </w:rPr>
        <w:tab/>
      </w:r>
      <w:r>
        <w:rPr>
          <w:szCs w:val="24"/>
        </w:rPr>
        <w:tab/>
        <w:t>June 2, 2014</w:t>
      </w:r>
    </w:p>
    <w:p w:rsidR="0035323D" w:rsidRDefault="0035323D" w:rsidP="0035323D">
      <w:pPr>
        <w:adjustRightInd w:val="0"/>
        <w:spacing w:line="240" w:lineRule="auto"/>
        <w:ind w:firstLine="1440"/>
        <w:rPr>
          <w:szCs w:val="24"/>
        </w:rPr>
      </w:pPr>
      <w:r>
        <w:rPr>
          <w:szCs w:val="24"/>
        </w:rPr>
        <w:tab/>
        <w:t>Respondent direct testimony</w:t>
      </w:r>
      <w:r>
        <w:rPr>
          <w:szCs w:val="24"/>
        </w:rPr>
        <w:tab/>
      </w:r>
      <w:r>
        <w:rPr>
          <w:szCs w:val="24"/>
        </w:rPr>
        <w:tab/>
      </w:r>
      <w:r>
        <w:rPr>
          <w:szCs w:val="24"/>
        </w:rPr>
        <w:tab/>
        <w:t>August 1, 2014</w:t>
      </w:r>
    </w:p>
    <w:p w:rsidR="0035323D" w:rsidRPr="009A52FA" w:rsidRDefault="0035323D" w:rsidP="0035323D">
      <w:pPr>
        <w:adjustRightInd w:val="0"/>
        <w:spacing w:line="240" w:lineRule="auto"/>
        <w:ind w:firstLine="1440"/>
        <w:rPr>
          <w:szCs w:val="24"/>
        </w:rPr>
      </w:pPr>
      <w:r>
        <w:rPr>
          <w:szCs w:val="24"/>
        </w:rPr>
        <w:tab/>
        <w:t>Complainant rebuttal</w:t>
      </w:r>
      <w:r>
        <w:rPr>
          <w:szCs w:val="24"/>
        </w:rPr>
        <w:tab/>
      </w:r>
      <w:r>
        <w:rPr>
          <w:szCs w:val="24"/>
        </w:rPr>
        <w:tab/>
      </w:r>
      <w:r>
        <w:rPr>
          <w:szCs w:val="24"/>
        </w:rPr>
        <w:tab/>
      </w:r>
      <w:r>
        <w:rPr>
          <w:szCs w:val="24"/>
        </w:rPr>
        <w:tab/>
        <w:t>September 2, 2014</w:t>
      </w:r>
    </w:p>
    <w:p w:rsidR="0035323D" w:rsidRDefault="0035323D" w:rsidP="0035323D">
      <w:pPr>
        <w:adjustRightInd w:val="0"/>
        <w:spacing w:line="240" w:lineRule="auto"/>
        <w:ind w:firstLine="1440"/>
        <w:rPr>
          <w:szCs w:val="24"/>
        </w:rPr>
      </w:pPr>
      <w:r w:rsidRPr="009A52FA">
        <w:rPr>
          <w:szCs w:val="24"/>
        </w:rPr>
        <w:tab/>
        <w:t>Evidentiary hearings</w:t>
      </w:r>
      <w:r w:rsidRPr="009A52FA">
        <w:rPr>
          <w:szCs w:val="24"/>
        </w:rPr>
        <w:tab/>
      </w:r>
      <w:r w:rsidRPr="009A52FA">
        <w:rPr>
          <w:szCs w:val="24"/>
        </w:rPr>
        <w:tab/>
      </w:r>
      <w:r w:rsidRPr="009A52FA">
        <w:rPr>
          <w:szCs w:val="24"/>
        </w:rPr>
        <w:tab/>
      </w:r>
      <w:r w:rsidRPr="009A52FA">
        <w:rPr>
          <w:szCs w:val="24"/>
        </w:rPr>
        <w:tab/>
      </w:r>
      <w:r>
        <w:rPr>
          <w:szCs w:val="24"/>
        </w:rPr>
        <w:t>October 20, 2014</w:t>
      </w:r>
    </w:p>
    <w:p w:rsidR="0035323D" w:rsidRDefault="0035323D" w:rsidP="0035323D">
      <w:pPr>
        <w:adjustRightInd w:val="0"/>
        <w:spacing w:line="240" w:lineRule="auto"/>
        <w:ind w:firstLine="1440"/>
        <w:rPr>
          <w:szCs w:val="24"/>
        </w:rPr>
      </w:pPr>
      <w:r>
        <w:rPr>
          <w:szCs w:val="24"/>
        </w:rPr>
        <w:tab/>
        <w:t>Main brief for Complainant</w:t>
      </w:r>
      <w:r>
        <w:rPr>
          <w:szCs w:val="24"/>
        </w:rPr>
        <w:tab/>
      </w:r>
      <w:r>
        <w:rPr>
          <w:szCs w:val="24"/>
        </w:rPr>
        <w:tab/>
      </w:r>
      <w:r>
        <w:rPr>
          <w:szCs w:val="24"/>
        </w:rPr>
        <w:tab/>
        <w:t>December 1, 20</w:t>
      </w:r>
      <w:r w:rsidR="00062A55">
        <w:rPr>
          <w:szCs w:val="24"/>
        </w:rPr>
        <w:t>14</w:t>
      </w:r>
    </w:p>
    <w:p w:rsidR="0035323D" w:rsidRDefault="0035323D" w:rsidP="0035323D">
      <w:pPr>
        <w:adjustRightInd w:val="0"/>
        <w:spacing w:line="240" w:lineRule="auto"/>
        <w:ind w:firstLine="1440"/>
        <w:rPr>
          <w:szCs w:val="24"/>
        </w:rPr>
      </w:pPr>
      <w:r>
        <w:rPr>
          <w:szCs w:val="24"/>
        </w:rPr>
        <w:tab/>
        <w:t>Reply brief</w:t>
      </w:r>
      <w:r w:rsidR="00062A55">
        <w:rPr>
          <w:szCs w:val="24"/>
        </w:rPr>
        <w:t xml:space="preserve"> of Respondent</w:t>
      </w:r>
      <w:r>
        <w:rPr>
          <w:szCs w:val="24"/>
        </w:rPr>
        <w:tab/>
      </w:r>
      <w:r>
        <w:rPr>
          <w:szCs w:val="24"/>
        </w:rPr>
        <w:tab/>
      </w:r>
      <w:r>
        <w:rPr>
          <w:szCs w:val="24"/>
        </w:rPr>
        <w:tab/>
        <w:t>December 31, 2009</w:t>
      </w:r>
    </w:p>
    <w:p w:rsidR="0035323D" w:rsidRPr="009A52FA" w:rsidRDefault="0035323D" w:rsidP="00062A55">
      <w:pPr>
        <w:adjustRightInd w:val="0"/>
        <w:spacing w:line="240" w:lineRule="auto"/>
        <w:ind w:firstLine="1440"/>
      </w:pPr>
      <w:r>
        <w:rPr>
          <w:szCs w:val="24"/>
        </w:rPr>
        <w:tab/>
      </w:r>
      <w:r w:rsidRPr="009A52FA">
        <w:rPr>
          <w:spacing w:val="-3"/>
        </w:rPr>
        <w:tab/>
      </w:r>
    </w:p>
    <w:p w:rsidR="0035323D" w:rsidRPr="00DC2051" w:rsidRDefault="00062A55" w:rsidP="0035323D">
      <w:pPr>
        <w:widowControl w:val="0"/>
        <w:ind w:firstLine="1440"/>
        <w:rPr>
          <w:szCs w:val="24"/>
        </w:rPr>
      </w:pPr>
      <w:r>
        <w:rPr>
          <w:szCs w:val="24"/>
        </w:rPr>
        <w:t>7</w:t>
      </w:r>
      <w:r w:rsidR="0035323D" w:rsidRPr="009A52FA">
        <w:rPr>
          <w:szCs w:val="24"/>
        </w:rPr>
        <w:t>.</w:t>
      </w:r>
      <w:r w:rsidR="0035323D" w:rsidRPr="009A52FA">
        <w:rPr>
          <w:szCs w:val="24"/>
        </w:rPr>
        <w:tab/>
        <w:t xml:space="preserve">On or before </w:t>
      </w:r>
      <w:r w:rsidR="0035323D" w:rsidRPr="00DC2051">
        <w:rPr>
          <w:b/>
          <w:szCs w:val="24"/>
        </w:rPr>
        <w:t>Friday</w:t>
      </w:r>
      <w:r>
        <w:rPr>
          <w:b/>
          <w:szCs w:val="24"/>
        </w:rPr>
        <w:t>, March 21, 2014</w:t>
      </w:r>
      <w:r w:rsidR="0035323D" w:rsidRPr="009A52FA">
        <w:rPr>
          <w:szCs w:val="24"/>
        </w:rPr>
        <w:t>, each party shall file and serve a prehearing memorandum which shall include</w:t>
      </w:r>
      <w:r w:rsidR="0035323D">
        <w:rPr>
          <w:szCs w:val="24"/>
        </w:rPr>
        <w:t xml:space="preserve"> </w:t>
      </w:r>
      <w:r w:rsidR="0035323D" w:rsidRPr="009A52FA">
        <w:rPr>
          <w:szCs w:val="24"/>
        </w:rPr>
        <w:t>a list of the issues and sub-issues in this proceeding which the party intends to address and a statement of the party’s position on each of the issues and sub-issues listed and briefing schedule</w:t>
      </w:r>
      <w:r w:rsidR="0035323D">
        <w:rPr>
          <w:szCs w:val="24"/>
        </w:rPr>
        <w:t>, and the n</w:t>
      </w:r>
      <w:r w:rsidR="0035323D" w:rsidRPr="009A52FA">
        <w:rPr>
          <w:szCs w:val="24"/>
        </w:rPr>
        <w:t>ames, business addresses, and telephone numbers of witnesses the party expects to call and the subject matter of each witness’ testimony.</w:t>
      </w:r>
      <w:r w:rsidR="0035323D">
        <w:rPr>
          <w:szCs w:val="24"/>
        </w:rPr>
        <w:t xml:space="preserve">  If a party is unable to prepare and serve a prehearing memorandum, it must be prepared to state on the record </w:t>
      </w:r>
      <w:r w:rsidR="0035323D" w:rsidRPr="00DC2051">
        <w:rPr>
          <w:szCs w:val="24"/>
        </w:rPr>
        <w:t>the issues they intend to address and the witnesses to be presented.</w:t>
      </w:r>
    </w:p>
    <w:p w:rsidR="0035323D" w:rsidRPr="00DC2051" w:rsidRDefault="0035323D" w:rsidP="0035323D">
      <w:pPr>
        <w:spacing w:line="276" w:lineRule="auto"/>
        <w:rPr>
          <w:szCs w:val="24"/>
        </w:rPr>
      </w:pPr>
    </w:p>
    <w:p w:rsidR="0035323D" w:rsidRPr="00DC2051" w:rsidRDefault="0035323D" w:rsidP="0035323D">
      <w:pPr>
        <w:rPr>
          <w:szCs w:val="24"/>
        </w:rPr>
      </w:pPr>
      <w:r w:rsidRPr="00DC2051">
        <w:rPr>
          <w:szCs w:val="24"/>
        </w:rPr>
        <w:tab/>
      </w:r>
      <w:r w:rsidRPr="00DC2051">
        <w:rPr>
          <w:szCs w:val="24"/>
        </w:rPr>
        <w:tab/>
      </w:r>
      <w:r w:rsidR="00062A55">
        <w:rPr>
          <w:szCs w:val="24"/>
        </w:rPr>
        <w:t>8</w:t>
      </w:r>
      <w:r w:rsidRPr="00DC2051">
        <w:rPr>
          <w:szCs w:val="24"/>
        </w:rPr>
        <w:t>.</w:t>
      </w:r>
      <w:r w:rsidRPr="00DC2051">
        <w:rPr>
          <w:szCs w:val="24"/>
        </w:rPr>
        <w:tab/>
      </w:r>
      <w:r>
        <w:rPr>
          <w:szCs w:val="24"/>
        </w:rPr>
        <w:t xml:space="preserve">The </w:t>
      </w:r>
      <w:r w:rsidRPr="00DC2051">
        <w:rPr>
          <w:szCs w:val="24"/>
        </w:rPr>
        <w:t>parties are directed to cooperate and exchange information</w:t>
      </w:r>
      <w:r>
        <w:rPr>
          <w:szCs w:val="24"/>
        </w:rPr>
        <w:t xml:space="preserve">, either </w:t>
      </w:r>
      <w:r w:rsidRPr="00DC2051">
        <w:rPr>
          <w:szCs w:val="24"/>
        </w:rPr>
        <w:t>on an informal</w:t>
      </w:r>
      <w:r>
        <w:rPr>
          <w:szCs w:val="24"/>
        </w:rPr>
        <w:t xml:space="preserve"> or formal</w:t>
      </w:r>
      <w:r w:rsidRPr="00DC2051">
        <w:rPr>
          <w:szCs w:val="24"/>
        </w:rPr>
        <w:t xml:space="preserve"> basis.  In addition, the parties are urged to use alternative means of discovery such as discovery conferences or depositions. </w:t>
      </w:r>
      <w:r w:rsidR="00062A55">
        <w:rPr>
          <w:szCs w:val="24"/>
        </w:rPr>
        <w:t>A</w:t>
      </w:r>
      <w:r>
        <w:rPr>
          <w:szCs w:val="24"/>
        </w:rPr>
        <w:t>ll discovery requests should be as narrowly tailored as possible and parties should coordinate their discovery if possible; responses are due on a best-efforts basis.</w:t>
      </w:r>
      <w:r w:rsidRPr="00DC2051">
        <w:rPr>
          <w:szCs w:val="24"/>
        </w:rPr>
        <w:t xml:space="preserve"> The parties are expected to resolve discovery issues among themselves; motions to compel should be filed only after such efforts have failed.  </w:t>
      </w:r>
      <w:r>
        <w:rPr>
          <w:szCs w:val="24"/>
        </w:rPr>
        <w:t xml:space="preserve">If </w:t>
      </w:r>
      <w:r w:rsidRPr="002834F5">
        <w:rPr>
          <w:szCs w:val="24"/>
        </w:rPr>
        <w:t xml:space="preserve">the objections are not resolved, counsel will alert the presiding officer by e-mail of the need for a </w:t>
      </w:r>
      <w:r w:rsidRPr="002834F5">
        <w:rPr>
          <w:szCs w:val="24"/>
        </w:rPr>
        <w:lastRenderedPageBreak/>
        <w:t>ruling, and a conference call will be scheduled.  The presiding officer will make a ruling over the telephone and not reduce it to writing unless requested to do so.</w:t>
      </w:r>
      <w:r>
        <w:rPr>
          <w:szCs w:val="24"/>
        </w:rPr>
        <w:t xml:space="preserve">  </w:t>
      </w:r>
      <w:r w:rsidRPr="00DC2051">
        <w:rPr>
          <w:szCs w:val="24"/>
        </w:rPr>
        <w:t xml:space="preserve">There are limitations on discovery and sanctions for abuse of the discovery process.  </w:t>
      </w:r>
      <w:proofErr w:type="gramStart"/>
      <w:r w:rsidRPr="00DC2051">
        <w:rPr>
          <w:szCs w:val="24"/>
        </w:rPr>
        <w:t>52 Pa. Code §§5.361, 5.371-5.372.</w:t>
      </w:r>
      <w:proofErr w:type="gramEnd"/>
    </w:p>
    <w:p w:rsidR="0035323D" w:rsidRDefault="0035323D" w:rsidP="0035323D">
      <w:pPr>
        <w:spacing w:line="276" w:lineRule="auto"/>
        <w:rPr>
          <w:szCs w:val="24"/>
        </w:rPr>
      </w:pPr>
    </w:p>
    <w:p w:rsidR="0035323D" w:rsidRPr="00B43B2A" w:rsidRDefault="00062A55" w:rsidP="0035323D">
      <w:r>
        <w:rPr>
          <w:szCs w:val="24"/>
        </w:rPr>
        <w:tab/>
      </w:r>
      <w:r>
        <w:rPr>
          <w:szCs w:val="24"/>
        </w:rPr>
        <w:tab/>
        <w:t>9</w:t>
      </w:r>
      <w:r w:rsidR="0035323D">
        <w:rPr>
          <w:szCs w:val="24"/>
        </w:rPr>
        <w:t>.</w:t>
      </w:r>
      <w:r w:rsidR="0035323D">
        <w:rPr>
          <w:szCs w:val="24"/>
        </w:rPr>
        <w:tab/>
        <w:t>T</w:t>
      </w:r>
      <w:r w:rsidR="0035323D" w:rsidRPr="00B43B2A">
        <w:t xml:space="preserve">he parties shall stipulate to any matters they reasonably can to expedite this proceeding, lessen the burden of time and expense in litigation on parties and conserve administrative hearing resources.  </w:t>
      </w:r>
      <w:proofErr w:type="gramStart"/>
      <w:r w:rsidR="0035323D" w:rsidRPr="00B43B2A">
        <w:t>52 Pa. Code §§5.232 and 5.234.</w:t>
      </w:r>
      <w:proofErr w:type="gramEnd"/>
      <w:r w:rsidR="0035323D" w:rsidRPr="00B43B2A">
        <w:t xml:space="preserve">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rsidR="0035323D" w:rsidRDefault="0035323D" w:rsidP="0035323D">
      <w:pPr>
        <w:spacing w:line="276" w:lineRule="auto"/>
        <w:rPr>
          <w:szCs w:val="24"/>
        </w:rPr>
      </w:pPr>
    </w:p>
    <w:p w:rsidR="0035323D" w:rsidRDefault="0035323D" w:rsidP="0035323D">
      <w:r>
        <w:rPr>
          <w:szCs w:val="24"/>
        </w:rPr>
        <w:tab/>
      </w:r>
      <w:r>
        <w:rPr>
          <w:szCs w:val="24"/>
        </w:rPr>
        <w:tab/>
        <w:t>1</w:t>
      </w:r>
      <w:r w:rsidR="00062A55">
        <w:rPr>
          <w:szCs w:val="24"/>
        </w:rPr>
        <w:t>0</w:t>
      </w:r>
      <w:r>
        <w:rPr>
          <w:szCs w:val="24"/>
        </w:rPr>
        <w:t>.</w:t>
      </w:r>
      <w:r>
        <w:rPr>
          <w:szCs w:val="24"/>
        </w:rPr>
        <w:tab/>
        <w:t>T</w:t>
      </w:r>
      <w:r w:rsidRPr="00B43B2A">
        <w:t xml:space="preserve">he parties are to confer among themselves in an attempt to resolve all or some of the issues associated with this Petition.  The parties are reminded it is the Commission’s policy to encourage settlements.  </w:t>
      </w:r>
      <w:proofErr w:type="gramStart"/>
      <w:r w:rsidRPr="00B43B2A">
        <w:t>52 Pa. Code §5.231(a).</w:t>
      </w:r>
      <w:proofErr w:type="gramEnd"/>
      <w:r w:rsidRPr="00B43B2A">
        <w:t xml:space="preserve">  The parties are strongly urged to seriously explore this possibility.  </w:t>
      </w:r>
      <w:r>
        <w:tab/>
      </w:r>
      <w:r>
        <w:tab/>
      </w:r>
    </w:p>
    <w:p w:rsidR="0035323D" w:rsidRPr="001A0F3B" w:rsidRDefault="0035323D" w:rsidP="0035323D"/>
    <w:tbl>
      <w:tblPr>
        <w:tblW w:w="0" w:type="auto"/>
        <w:tblLayout w:type="fixed"/>
        <w:tblLook w:val="0000" w:firstRow="0" w:lastRow="0" w:firstColumn="0" w:lastColumn="0" w:noHBand="0" w:noVBand="0"/>
      </w:tblPr>
      <w:tblGrid>
        <w:gridCol w:w="1098"/>
        <w:gridCol w:w="2340"/>
        <w:gridCol w:w="1710"/>
        <w:gridCol w:w="3600"/>
      </w:tblGrid>
      <w:tr w:rsidR="0035323D" w:rsidRPr="001A0F3B" w:rsidTr="00D65151">
        <w:tc>
          <w:tcPr>
            <w:tcW w:w="1098" w:type="dxa"/>
          </w:tcPr>
          <w:p w:rsidR="0035323D" w:rsidRPr="001A0F3B" w:rsidRDefault="0035323D" w:rsidP="00D65151">
            <w:pPr>
              <w:spacing w:line="240" w:lineRule="auto"/>
            </w:pPr>
            <w:r w:rsidRPr="001A0F3B">
              <w:t>Date:</w:t>
            </w:r>
            <w:r>
              <w:t xml:space="preserve">  </w:t>
            </w:r>
          </w:p>
        </w:tc>
        <w:tc>
          <w:tcPr>
            <w:tcW w:w="2340" w:type="dxa"/>
          </w:tcPr>
          <w:p w:rsidR="0035323D" w:rsidRPr="0021243F" w:rsidRDefault="00062A55" w:rsidP="00D65151">
            <w:pPr>
              <w:spacing w:line="240" w:lineRule="auto"/>
              <w:rPr>
                <w:u w:val="single"/>
              </w:rPr>
            </w:pPr>
            <w:r>
              <w:rPr>
                <w:u w:val="single"/>
              </w:rPr>
              <w:t>February 24, 2014</w:t>
            </w:r>
          </w:p>
        </w:tc>
        <w:tc>
          <w:tcPr>
            <w:tcW w:w="1710" w:type="dxa"/>
          </w:tcPr>
          <w:p w:rsidR="0035323D" w:rsidRPr="001A0F3B" w:rsidRDefault="0035323D" w:rsidP="00D65151">
            <w:pPr>
              <w:spacing w:line="240" w:lineRule="auto"/>
            </w:pPr>
          </w:p>
        </w:tc>
        <w:tc>
          <w:tcPr>
            <w:tcW w:w="3600" w:type="dxa"/>
            <w:tcBorders>
              <w:bottom w:val="single" w:sz="6" w:space="0" w:color="auto"/>
            </w:tcBorders>
          </w:tcPr>
          <w:p w:rsidR="0035323D" w:rsidRPr="001A0F3B" w:rsidRDefault="0035323D" w:rsidP="00D65151">
            <w:pPr>
              <w:spacing w:line="240" w:lineRule="auto"/>
            </w:pPr>
          </w:p>
        </w:tc>
      </w:tr>
      <w:tr w:rsidR="0035323D" w:rsidRPr="001A0F3B" w:rsidTr="00D65151">
        <w:tc>
          <w:tcPr>
            <w:tcW w:w="1098" w:type="dxa"/>
          </w:tcPr>
          <w:p w:rsidR="0035323D" w:rsidRPr="001A0F3B" w:rsidRDefault="0035323D" w:rsidP="00D65151">
            <w:pPr>
              <w:spacing w:line="240" w:lineRule="auto"/>
            </w:pPr>
          </w:p>
        </w:tc>
        <w:tc>
          <w:tcPr>
            <w:tcW w:w="2340" w:type="dxa"/>
          </w:tcPr>
          <w:p w:rsidR="0035323D" w:rsidRPr="001A0F3B" w:rsidRDefault="0035323D" w:rsidP="00D65151">
            <w:pPr>
              <w:spacing w:line="240" w:lineRule="auto"/>
            </w:pPr>
          </w:p>
        </w:tc>
        <w:tc>
          <w:tcPr>
            <w:tcW w:w="1710" w:type="dxa"/>
          </w:tcPr>
          <w:p w:rsidR="0035323D" w:rsidRPr="001A0F3B" w:rsidRDefault="0035323D" w:rsidP="00D65151">
            <w:pPr>
              <w:spacing w:line="240" w:lineRule="auto"/>
            </w:pPr>
          </w:p>
        </w:tc>
        <w:tc>
          <w:tcPr>
            <w:tcW w:w="3600" w:type="dxa"/>
          </w:tcPr>
          <w:p w:rsidR="0035323D" w:rsidRPr="001A0F3B" w:rsidRDefault="0035323D" w:rsidP="00D65151">
            <w:pPr>
              <w:spacing w:line="240" w:lineRule="auto"/>
              <w:ind w:left="-108"/>
            </w:pPr>
            <w:r>
              <w:t>Susan D. Colwell</w:t>
            </w:r>
          </w:p>
          <w:p w:rsidR="0035323D" w:rsidRPr="001A0F3B" w:rsidRDefault="0035323D" w:rsidP="00D65151">
            <w:pPr>
              <w:spacing w:line="240" w:lineRule="auto"/>
              <w:ind w:left="-108"/>
            </w:pPr>
            <w:r w:rsidRPr="001A0F3B">
              <w:t xml:space="preserve">Administrative Law Judge  </w:t>
            </w:r>
          </w:p>
        </w:tc>
      </w:tr>
    </w:tbl>
    <w:p w:rsidR="0035323D" w:rsidRDefault="0035323D" w:rsidP="0035323D">
      <w:pPr>
        <w:pStyle w:val="p6"/>
        <w:widowControl/>
        <w:tabs>
          <w:tab w:val="clear" w:pos="1513"/>
          <w:tab w:val="clear" w:pos="2239"/>
        </w:tabs>
        <w:spacing w:line="360" w:lineRule="auto"/>
        <w:ind w:firstLine="0"/>
      </w:pPr>
    </w:p>
    <w:p w:rsidR="0035323D" w:rsidRDefault="0035323D" w:rsidP="0035323D"/>
    <w:p w:rsidR="00673092" w:rsidRDefault="00673092" w:rsidP="0035323D">
      <w:pPr>
        <w:sectPr w:rsidR="00673092" w:rsidSect="00062A55">
          <w:footerReference w:type="default" r:id="rId7"/>
          <w:pgSz w:w="12240" w:h="15840"/>
          <w:pgMar w:top="1440" w:right="1440" w:bottom="1440" w:left="1440" w:header="720" w:footer="720" w:gutter="0"/>
          <w:cols w:space="720"/>
          <w:titlePg/>
          <w:docGrid w:linePitch="360"/>
        </w:sectPr>
      </w:pPr>
    </w:p>
    <w:p w:rsidR="00673092" w:rsidRDefault="00673092" w:rsidP="00673092">
      <w:pPr>
        <w:spacing w:line="240" w:lineRule="auto"/>
        <w:contextualSpacing/>
        <w:rPr>
          <w:rFonts w:ascii="Microsoft Sans Serif"/>
        </w:rPr>
      </w:pPr>
      <w:r>
        <w:rPr>
          <w:rFonts w:ascii="Microsoft Sans Serif"/>
          <w:b/>
          <w:u w:val="single"/>
        </w:rPr>
        <w:lastRenderedPageBreak/>
        <w:t>C-2013-2393832 - INSURANCE COMPANY OF GREATER NEW YORK v. UNITED WATER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L BAILEY ESQUIRE</w:t>
      </w:r>
    </w:p>
    <w:p w:rsidR="00673092" w:rsidRDefault="00673092" w:rsidP="00673092">
      <w:pPr>
        <w:spacing w:line="240" w:lineRule="auto"/>
        <w:contextualSpacing/>
        <w:rPr>
          <w:rFonts w:ascii="Microsoft Sans Serif"/>
          <w:b/>
          <w:i/>
          <w:u w:val="single"/>
        </w:rPr>
      </w:pPr>
      <w:r>
        <w:rPr>
          <w:rFonts w:ascii="Microsoft Sans Serif"/>
        </w:rPr>
        <w:t>MATTHEW D MATKOV ESQUIRE</w:t>
      </w:r>
      <w:r>
        <w:rPr>
          <w:rFonts w:ascii="Microsoft Sans Serif"/>
        </w:rPr>
        <w:cr/>
        <w:t>SALTZ MATKOV PC</w:t>
      </w:r>
      <w:r>
        <w:rPr>
          <w:rFonts w:ascii="Microsoft Sans Serif"/>
        </w:rPr>
        <w:cr/>
        <w:t>998 OLD EAGLE SCHOOL ROAD SUITE 1206</w:t>
      </w:r>
      <w:r>
        <w:rPr>
          <w:rFonts w:ascii="Microsoft Sans Serif"/>
        </w:rPr>
        <w:cr/>
        <w:t>WAYNE PA  19087</w:t>
      </w:r>
      <w:r>
        <w:rPr>
          <w:rFonts w:ascii="Microsoft Sans Serif"/>
        </w:rPr>
        <w:cr/>
        <w:t>484.318.7225</w:t>
      </w:r>
      <w:r>
        <w:rPr>
          <w:rFonts w:ascii="Microsoft Sans Serif"/>
        </w:rPr>
        <w:cr/>
      </w:r>
      <w:r>
        <w:rPr>
          <w:rFonts w:ascii="Microsoft Sans Serif"/>
        </w:rPr>
        <w:cr/>
        <w:t>THOMAS T NIESEN ESQUIRE</w:t>
      </w:r>
      <w:r>
        <w:rPr>
          <w:rFonts w:ascii="Microsoft Sans Serif"/>
        </w:rPr>
        <w:cr/>
        <w:t>THOMAS LONG NIESEN &amp; KENNARD</w:t>
      </w:r>
      <w:r>
        <w:rPr>
          <w:rFonts w:ascii="Microsoft Sans Serif"/>
        </w:rPr>
        <w:cr/>
        <w:t>PO BOX 9500</w:t>
      </w:r>
      <w:r>
        <w:rPr>
          <w:rFonts w:ascii="Microsoft Sans Serif"/>
        </w:rPr>
        <w:cr/>
        <w:t>HARRISBURG PA  17108-9500</w:t>
      </w:r>
      <w:r>
        <w:rPr>
          <w:rFonts w:ascii="Microsoft Sans Serif"/>
        </w:rPr>
        <w:cr/>
        <w:t>717.255.7600</w:t>
      </w:r>
      <w:r>
        <w:rPr>
          <w:rFonts w:ascii="Microsoft Sans Serif"/>
        </w:rPr>
        <w:cr/>
      </w:r>
      <w:r>
        <w:rPr>
          <w:rFonts w:ascii="Microsoft Sans Serif"/>
          <w:b/>
          <w:i/>
          <w:u w:val="single"/>
        </w:rPr>
        <w:t>E-Serve</w:t>
      </w:r>
    </w:p>
    <w:p w:rsidR="00673092" w:rsidRPr="002F1FE5" w:rsidRDefault="00673092" w:rsidP="00673092">
      <w:pPr>
        <w:spacing w:line="240" w:lineRule="auto"/>
        <w:contextualSpacing/>
        <w:rPr>
          <w:b/>
          <w:i/>
          <w:u w:val="single"/>
        </w:rPr>
      </w:pPr>
    </w:p>
    <w:p w:rsidR="00673092" w:rsidRDefault="00673092" w:rsidP="00673092">
      <w:pPr>
        <w:spacing w:line="240" w:lineRule="auto"/>
        <w:contextualSpacing/>
      </w:pPr>
      <w:bookmarkStart w:id="0" w:name="_GoBack"/>
      <w:r>
        <w:rPr>
          <w:rFonts w:ascii="Microsoft Sans Serif"/>
        </w:rPr>
        <w:t>CYNDI MEACHAM</w:t>
      </w:r>
      <w:r>
        <w:rPr>
          <w:rFonts w:ascii="Microsoft Sans Serif"/>
        </w:rPr>
        <w:cr/>
        <w:t>UNITED WATER PENNSYLVANIA INC</w:t>
      </w:r>
      <w:r>
        <w:rPr>
          <w:rFonts w:ascii="Microsoft Sans Serif"/>
        </w:rPr>
        <w:cr/>
        <w:t>8189 ADAMS DRIVE</w:t>
      </w:r>
      <w:r>
        <w:rPr>
          <w:rFonts w:ascii="Microsoft Sans Serif"/>
        </w:rPr>
        <w:cr/>
        <w:t>HUMMELSTOWN PA  17036</w:t>
      </w:r>
      <w:bookmarkEnd w:id="0"/>
      <w:r>
        <w:rPr>
          <w:rFonts w:ascii="Microsoft Sans Serif"/>
        </w:rPr>
        <w:cr/>
        <w:t>717.564.3662</w:t>
      </w:r>
      <w:r>
        <w:rPr>
          <w:rFonts w:ascii="Microsoft Sans Serif"/>
        </w:rPr>
        <w:cr/>
      </w:r>
    </w:p>
    <w:p w:rsidR="00C04960" w:rsidRDefault="00C04960" w:rsidP="0035323D"/>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B7" w:rsidRDefault="00F624B7" w:rsidP="00062A55">
      <w:pPr>
        <w:spacing w:line="240" w:lineRule="auto"/>
      </w:pPr>
      <w:r>
        <w:separator/>
      </w:r>
    </w:p>
  </w:endnote>
  <w:endnote w:type="continuationSeparator" w:id="0">
    <w:p w:rsidR="00F624B7" w:rsidRDefault="00F624B7" w:rsidP="00062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80472"/>
      <w:docPartObj>
        <w:docPartGallery w:val="Page Numbers (Bottom of Page)"/>
        <w:docPartUnique/>
      </w:docPartObj>
    </w:sdtPr>
    <w:sdtEndPr>
      <w:rPr>
        <w:noProof/>
      </w:rPr>
    </w:sdtEndPr>
    <w:sdtContent>
      <w:p w:rsidR="00062A55" w:rsidRDefault="00062A55">
        <w:pPr>
          <w:pStyle w:val="Footer"/>
          <w:jc w:val="center"/>
        </w:pPr>
        <w:r>
          <w:fldChar w:fldCharType="begin"/>
        </w:r>
        <w:r>
          <w:instrText xml:space="preserve"> PAGE   \* MERGEFORMAT </w:instrText>
        </w:r>
        <w:r>
          <w:fldChar w:fldCharType="separate"/>
        </w:r>
        <w:r w:rsidR="00673092">
          <w:rPr>
            <w:noProof/>
          </w:rPr>
          <w:t>4</w:t>
        </w:r>
        <w:r>
          <w:rPr>
            <w:noProof/>
          </w:rPr>
          <w:fldChar w:fldCharType="end"/>
        </w:r>
      </w:p>
    </w:sdtContent>
  </w:sdt>
  <w:p w:rsidR="00026512" w:rsidRDefault="00F62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92" w:rsidRDefault="00673092">
    <w:pPr>
      <w:pStyle w:val="Footer"/>
      <w:jc w:val="center"/>
    </w:pPr>
  </w:p>
  <w:p w:rsidR="00673092" w:rsidRDefault="00673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B7" w:rsidRDefault="00F624B7" w:rsidP="00062A55">
      <w:pPr>
        <w:spacing w:line="240" w:lineRule="auto"/>
      </w:pPr>
      <w:r>
        <w:separator/>
      </w:r>
    </w:p>
  </w:footnote>
  <w:footnote w:type="continuationSeparator" w:id="0">
    <w:p w:rsidR="00F624B7" w:rsidRDefault="00F624B7" w:rsidP="00062A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3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A55"/>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23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360"/>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3092"/>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7AC"/>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4B7"/>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3D"/>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323D"/>
    <w:pPr>
      <w:widowControl w:val="0"/>
      <w:ind w:firstLine="1440"/>
    </w:pPr>
    <w:rPr>
      <w:sz w:val="26"/>
      <w:szCs w:val="26"/>
    </w:rPr>
  </w:style>
  <w:style w:type="character" w:customStyle="1" w:styleId="BodyTextIndentChar">
    <w:name w:val="Body Text Indent Char"/>
    <w:basedOn w:val="DefaultParagraphFont"/>
    <w:link w:val="BodyTextIndent"/>
    <w:rsid w:val="0035323D"/>
    <w:rPr>
      <w:rFonts w:eastAsia="Times New Roman"/>
      <w:sz w:val="26"/>
      <w:szCs w:val="26"/>
    </w:rPr>
  </w:style>
  <w:style w:type="paragraph" w:customStyle="1" w:styleId="ParaTab1">
    <w:name w:val="ParaTab 1"/>
    <w:rsid w:val="0035323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35323D"/>
    <w:pPr>
      <w:widowControl w:val="0"/>
      <w:tabs>
        <w:tab w:val="left" w:pos="1513"/>
        <w:tab w:val="left" w:pos="2239"/>
      </w:tabs>
      <w:adjustRightInd w:val="0"/>
      <w:spacing w:line="240" w:lineRule="auto"/>
      <w:ind w:firstLine="1513"/>
    </w:pPr>
    <w:rPr>
      <w:szCs w:val="24"/>
    </w:rPr>
  </w:style>
  <w:style w:type="paragraph" w:styleId="Header">
    <w:name w:val="header"/>
    <w:basedOn w:val="Normal"/>
    <w:link w:val="HeaderChar"/>
    <w:uiPriority w:val="99"/>
    <w:unhideWhenUsed/>
    <w:rsid w:val="0035323D"/>
    <w:pPr>
      <w:tabs>
        <w:tab w:val="center" w:pos="4680"/>
        <w:tab w:val="right" w:pos="9360"/>
      </w:tabs>
      <w:spacing w:line="240" w:lineRule="auto"/>
    </w:pPr>
  </w:style>
  <w:style w:type="character" w:customStyle="1" w:styleId="HeaderChar">
    <w:name w:val="Header Char"/>
    <w:basedOn w:val="DefaultParagraphFont"/>
    <w:link w:val="Header"/>
    <w:uiPriority w:val="99"/>
    <w:rsid w:val="0035323D"/>
    <w:rPr>
      <w:rFonts w:eastAsia="Times New Roman"/>
      <w:szCs w:val="20"/>
    </w:rPr>
  </w:style>
  <w:style w:type="paragraph" w:styleId="Footer">
    <w:name w:val="footer"/>
    <w:basedOn w:val="Normal"/>
    <w:link w:val="FooterChar"/>
    <w:uiPriority w:val="99"/>
    <w:unhideWhenUsed/>
    <w:rsid w:val="0035323D"/>
    <w:pPr>
      <w:tabs>
        <w:tab w:val="center" w:pos="4680"/>
        <w:tab w:val="right" w:pos="9360"/>
      </w:tabs>
      <w:spacing w:line="240" w:lineRule="auto"/>
    </w:pPr>
  </w:style>
  <w:style w:type="character" w:customStyle="1" w:styleId="FooterChar">
    <w:name w:val="Footer Char"/>
    <w:basedOn w:val="DefaultParagraphFont"/>
    <w:link w:val="Footer"/>
    <w:uiPriority w:val="99"/>
    <w:rsid w:val="0035323D"/>
    <w:rPr>
      <w:rFonts w:eastAsia="Times New Roman"/>
      <w:szCs w:val="20"/>
    </w:rPr>
  </w:style>
  <w:style w:type="paragraph" w:styleId="BalloonText">
    <w:name w:val="Balloon Text"/>
    <w:basedOn w:val="Normal"/>
    <w:link w:val="BalloonTextChar"/>
    <w:uiPriority w:val="99"/>
    <w:semiHidden/>
    <w:unhideWhenUsed/>
    <w:rsid w:val="00062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3D"/>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323D"/>
    <w:pPr>
      <w:widowControl w:val="0"/>
      <w:ind w:firstLine="1440"/>
    </w:pPr>
    <w:rPr>
      <w:sz w:val="26"/>
      <w:szCs w:val="26"/>
    </w:rPr>
  </w:style>
  <w:style w:type="character" w:customStyle="1" w:styleId="BodyTextIndentChar">
    <w:name w:val="Body Text Indent Char"/>
    <w:basedOn w:val="DefaultParagraphFont"/>
    <w:link w:val="BodyTextIndent"/>
    <w:rsid w:val="0035323D"/>
    <w:rPr>
      <w:rFonts w:eastAsia="Times New Roman"/>
      <w:sz w:val="26"/>
      <w:szCs w:val="26"/>
    </w:rPr>
  </w:style>
  <w:style w:type="paragraph" w:customStyle="1" w:styleId="ParaTab1">
    <w:name w:val="ParaTab 1"/>
    <w:rsid w:val="0035323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35323D"/>
    <w:pPr>
      <w:widowControl w:val="0"/>
      <w:tabs>
        <w:tab w:val="left" w:pos="1513"/>
        <w:tab w:val="left" w:pos="2239"/>
      </w:tabs>
      <w:adjustRightInd w:val="0"/>
      <w:spacing w:line="240" w:lineRule="auto"/>
      <w:ind w:firstLine="1513"/>
    </w:pPr>
    <w:rPr>
      <w:szCs w:val="24"/>
    </w:rPr>
  </w:style>
  <w:style w:type="paragraph" w:styleId="Header">
    <w:name w:val="header"/>
    <w:basedOn w:val="Normal"/>
    <w:link w:val="HeaderChar"/>
    <w:uiPriority w:val="99"/>
    <w:unhideWhenUsed/>
    <w:rsid w:val="0035323D"/>
    <w:pPr>
      <w:tabs>
        <w:tab w:val="center" w:pos="4680"/>
        <w:tab w:val="right" w:pos="9360"/>
      </w:tabs>
      <w:spacing w:line="240" w:lineRule="auto"/>
    </w:pPr>
  </w:style>
  <w:style w:type="character" w:customStyle="1" w:styleId="HeaderChar">
    <w:name w:val="Header Char"/>
    <w:basedOn w:val="DefaultParagraphFont"/>
    <w:link w:val="Header"/>
    <w:uiPriority w:val="99"/>
    <w:rsid w:val="0035323D"/>
    <w:rPr>
      <w:rFonts w:eastAsia="Times New Roman"/>
      <w:szCs w:val="20"/>
    </w:rPr>
  </w:style>
  <w:style w:type="paragraph" w:styleId="Footer">
    <w:name w:val="footer"/>
    <w:basedOn w:val="Normal"/>
    <w:link w:val="FooterChar"/>
    <w:uiPriority w:val="99"/>
    <w:unhideWhenUsed/>
    <w:rsid w:val="0035323D"/>
    <w:pPr>
      <w:tabs>
        <w:tab w:val="center" w:pos="4680"/>
        <w:tab w:val="right" w:pos="9360"/>
      </w:tabs>
      <w:spacing w:line="240" w:lineRule="auto"/>
    </w:pPr>
  </w:style>
  <w:style w:type="character" w:customStyle="1" w:styleId="FooterChar">
    <w:name w:val="Footer Char"/>
    <w:basedOn w:val="DefaultParagraphFont"/>
    <w:link w:val="Footer"/>
    <w:uiPriority w:val="99"/>
    <w:rsid w:val="0035323D"/>
    <w:rPr>
      <w:rFonts w:eastAsia="Times New Roman"/>
      <w:szCs w:val="20"/>
    </w:rPr>
  </w:style>
  <w:style w:type="paragraph" w:styleId="BalloonText">
    <w:name w:val="Balloon Text"/>
    <w:basedOn w:val="Normal"/>
    <w:link w:val="BalloonTextChar"/>
    <w:uiPriority w:val="99"/>
    <w:semiHidden/>
    <w:unhideWhenUsed/>
    <w:rsid w:val="00062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2014-02-24T16:44:00Z</cp:lastPrinted>
  <dcterms:created xsi:type="dcterms:W3CDTF">2014-02-24T16:43:00Z</dcterms:created>
  <dcterms:modified xsi:type="dcterms:W3CDTF">2014-02-24T16:48:00Z</dcterms:modified>
</cp:coreProperties>
</file>