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EF1818" w:rsidP="003444A8">
      <w:pPr>
        <w:tabs>
          <w:tab w:val="left" w:pos="0"/>
        </w:tabs>
        <w:spacing w:after="0" w:line="240" w:lineRule="auto"/>
        <w:ind w:firstLine="0"/>
        <w:jc w:val="both"/>
        <w:rPr>
          <w:b/>
          <w:szCs w:val="24"/>
        </w:rPr>
      </w:pPr>
      <w:r>
        <w:rPr>
          <w:szCs w:val="24"/>
        </w:rPr>
        <w:t>Thomas Thornhill</w:t>
      </w:r>
      <w:r w:rsidR="00575C73">
        <w:rPr>
          <w:szCs w:val="24"/>
        </w:rPr>
        <w:tab/>
      </w:r>
      <w:r>
        <w:rPr>
          <w:szCs w:val="24"/>
        </w:rPr>
        <w:tab/>
      </w:r>
      <w:r>
        <w:rPr>
          <w:szCs w:val="24"/>
        </w:rPr>
        <w:tab/>
      </w:r>
      <w:r>
        <w:rPr>
          <w:szCs w:val="24"/>
        </w:rPr>
        <w:tab/>
      </w:r>
      <w:r>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3D7E89">
        <w:rPr>
          <w:b/>
          <w:szCs w:val="24"/>
        </w:rPr>
        <w:tab/>
      </w:r>
      <w:r w:rsidRPr="00DC04AC">
        <w:rPr>
          <w:szCs w:val="24"/>
        </w:rPr>
        <w:t>C</w:t>
      </w:r>
      <w:r w:rsidR="00EF1818">
        <w:rPr>
          <w:szCs w:val="24"/>
        </w:rPr>
        <w:t>-2013-2384778</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EF1818" w:rsidP="003444A8">
      <w:pPr>
        <w:tabs>
          <w:tab w:val="left" w:pos="0"/>
        </w:tabs>
        <w:spacing w:after="0" w:line="240" w:lineRule="auto"/>
        <w:ind w:firstLine="0"/>
        <w:jc w:val="both"/>
        <w:rPr>
          <w:szCs w:val="24"/>
        </w:rPr>
      </w:pPr>
      <w:r>
        <w:rPr>
          <w:szCs w:val="24"/>
        </w:rPr>
        <w:t>Columbia Gas of Pennsylvania, Inc.</w:t>
      </w:r>
      <w:r w:rsidR="00DC04AC" w:rsidRPr="00DC04AC">
        <w:rPr>
          <w:szCs w:val="24"/>
        </w:rPr>
        <w:tab/>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 xml:space="preserve">A formal complaint filed by a customer of a residential </w:t>
      </w:r>
      <w:r w:rsidR="00EF1818">
        <w:t>natural gas</w:t>
      </w:r>
      <w:r>
        <w:t xml:space="preserve"> utility is dismissed because the complainant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B61F07" w:rsidRDefault="00170FD2" w:rsidP="003444A8">
      <w:pPr>
        <w:spacing w:after="0"/>
      </w:pPr>
      <w:r>
        <w:t xml:space="preserve">On </w:t>
      </w:r>
      <w:r w:rsidR="00EF1818">
        <w:t>September 23, 2013</w:t>
      </w:r>
      <w:r>
        <w:t xml:space="preserve">, </w:t>
      </w:r>
      <w:r w:rsidR="00EF1818">
        <w:t>Thomas Thornhill</w:t>
      </w:r>
      <w:r>
        <w:t xml:space="preserve"> (Complainant) filed a formal </w:t>
      </w:r>
      <w:r w:rsidR="007751A4">
        <w:t>complaint</w:t>
      </w:r>
      <w:r>
        <w:t xml:space="preserve"> against </w:t>
      </w:r>
      <w:r w:rsidR="00B90A91">
        <w:t xml:space="preserve">the </w:t>
      </w:r>
      <w:r w:rsidR="00EF1818">
        <w:t>Columbia Gas of Pennsylvania, Inc.</w:t>
      </w:r>
      <w:r>
        <w:t xml:space="preserve"> (</w:t>
      </w:r>
      <w:r w:rsidR="00EF1818">
        <w:t>Columbia or Company), alleging that his</w:t>
      </w:r>
      <w:r>
        <w:t xml:space="preserve"> service was a</w:t>
      </w:r>
      <w:r w:rsidR="00EF1818">
        <w:t xml:space="preserve">bout to be terminated and that </w:t>
      </w:r>
      <w:r>
        <w:t>he needed a payment arrangement</w:t>
      </w:r>
      <w:r w:rsidR="00EF1818">
        <w:t>.  He also complained that the Company should be responsible for damage caused when he had a gas leak at his meter in the basement because the meter was on the outside of his house until the Company made him move it inside.</w:t>
      </w:r>
      <w:r>
        <w:t xml:space="preserve">  </w:t>
      </w:r>
      <w:r w:rsidR="00EF1818">
        <w:t>Columbia filed an answer on October 15, 2013.</w:t>
      </w:r>
      <w:r w:rsidR="00EF1818">
        <w:rPr>
          <w:rStyle w:val="FootnoteReference"/>
        </w:rPr>
        <w:footnoteReference w:id="1"/>
      </w:r>
    </w:p>
    <w:p w:rsidR="003444A8" w:rsidRDefault="003444A8" w:rsidP="003444A8">
      <w:pPr>
        <w:spacing w:after="0"/>
      </w:pPr>
    </w:p>
    <w:p w:rsidR="003444A8" w:rsidRDefault="00BF6B69" w:rsidP="003444A8">
      <w:pPr>
        <w:spacing w:after="0"/>
      </w:pPr>
      <w:r>
        <w:t xml:space="preserve">By hearing notice dated </w:t>
      </w:r>
      <w:r w:rsidR="00EF1818">
        <w:t>October 31, 2013</w:t>
      </w:r>
      <w:r>
        <w:t xml:space="preserve">, the Complainant was informed that the telephonic hearing was scheduled for </w:t>
      </w:r>
      <w:r w:rsidR="00EF1818">
        <w:t>Wednesday</w:t>
      </w:r>
      <w:r w:rsidR="00B90A91">
        <w:t>,</w:t>
      </w:r>
      <w:r w:rsidR="00EF1818">
        <w:t xml:space="preserve"> January 8, 2014.</w:t>
      </w:r>
      <w:r w:rsidR="00575C73">
        <w:t xml:space="preserve">  </w:t>
      </w:r>
      <w:r>
        <w:t xml:space="preserve">I issued a prehearing order </w:t>
      </w:r>
      <w:r w:rsidR="00575C73">
        <w:lastRenderedPageBreak/>
        <w:t xml:space="preserve">on </w:t>
      </w:r>
      <w:r w:rsidR="00170FD2">
        <w:t>November 14, 2013</w:t>
      </w:r>
      <w:r w:rsidR="00575C73">
        <w:t xml:space="preserve">, </w:t>
      </w:r>
      <w:r>
        <w:t>which also provided the date and time of the hearing as well as other procedural requirements related to hearings.</w:t>
      </w:r>
      <w:r w:rsidR="00575C73">
        <w:t xml:space="preserve">  </w:t>
      </w:r>
    </w:p>
    <w:p w:rsidR="00CE2C5C" w:rsidRDefault="00170FD2" w:rsidP="003444A8">
      <w:pPr>
        <w:spacing w:after="0"/>
      </w:pPr>
      <w:r>
        <w:t xml:space="preserve"> </w:t>
      </w:r>
    </w:p>
    <w:p w:rsidR="00323BBF" w:rsidRDefault="00170FD2" w:rsidP="003444A8">
      <w:pPr>
        <w:spacing w:after="0"/>
      </w:pPr>
      <w:r>
        <w:t>The hearing convened as scheduled</w:t>
      </w:r>
      <w:r w:rsidR="00CE4778">
        <w:t>.  Larry Crayne</w:t>
      </w:r>
      <w:r w:rsidR="00323BBF">
        <w:t xml:space="preserve">, Esquire appeared on behalf of </w:t>
      </w:r>
      <w:r w:rsidR="00CE4778">
        <w:t>Columbia</w:t>
      </w:r>
      <w:r w:rsidR="00323BBF">
        <w:t xml:space="preserve"> along with </w:t>
      </w:r>
      <w:r w:rsidR="00CE4778">
        <w:t>one witness</w:t>
      </w:r>
      <w:r w:rsidR="00323BBF">
        <w:t xml:space="preserve">.  </w:t>
      </w:r>
      <w:r w:rsidR="003C0542">
        <w:t>The Complainant did not call the con</w:t>
      </w:r>
      <w:r w:rsidR="00C7480E">
        <w:t>ference call numbe</w:t>
      </w:r>
      <w:r w:rsidR="00CE4778">
        <w:t xml:space="preserve">r. </w:t>
      </w:r>
      <w:r w:rsidR="0073074E">
        <w:t>After a brief recess and an attempt to contact the Complainant by telephone, t</w:t>
      </w:r>
      <w:r w:rsidR="00CE4778">
        <w:t>he hearing proceeded in his</w:t>
      </w:r>
      <w:r w:rsidR="00C7480E">
        <w:t xml:space="preserve"> absence.  </w:t>
      </w:r>
      <w:r w:rsidR="00CE4778">
        <w:t xml:space="preserve">Columbia </w:t>
      </w:r>
      <w:r w:rsidR="00AD0985">
        <w:t xml:space="preserve">made a motion to dismiss which was </w:t>
      </w:r>
      <w:r w:rsidR="00C7480E">
        <w:t xml:space="preserve">taken under advisement.  </w:t>
      </w:r>
      <w:r w:rsidR="003F3F4E">
        <w:t>The record closed at the conclusion of the hearing.</w:t>
      </w:r>
    </w:p>
    <w:p w:rsidR="003444A8" w:rsidRDefault="003444A8" w:rsidP="003444A8">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3444A8" w:rsidRDefault="00170FD2" w:rsidP="003444A8">
      <w:pPr>
        <w:pStyle w:val="ListParagraph"/>
        <w:numPr>
          <w:ilvl w:val="0"/>
          <w:numId w:val="7"/>
        </w:numPr>
        <w:ind w:left="0" w:firstLine="1440"/>
      </w:pPr>
      <w:r>
        <w:t xml:space="preserve">The Complainant did not call the conference number at 10:00 a.m. on </w:t>
      </w:r>
      <w:r w:rsidR="009F34E8">
        <w:t>Wednesday, January 8, 2014</w:t>
      </w:r>
      <w:r>
        <w:t xml:space="preserve">. </w:t>
      </w:r>
    </w:p>
    <w:p w:rsidR="00170FD2" w:rsidRDefault="00170FD2" w:rsidP="003444A8">
      <w:pPr>
        <w:pStyle w:val="ListParagraph"/>
        <w:numPr>
          <w:ilvl w:val="0"/>
          <w:numId w:val="0"/>
        </w:numPr>
        <w:ind w:firstLine="1440"/>
      </w:pPr>
      <w:r>
        <w:t xml:space="preserve"> </w:t>
      </w:r>
    </w:p>
    <w:p w:rsidR="00D201B4" w:rsidRDefault="00D201B4" w:rsidP="003444A8">
      <w:pPr>
        <w:pStyle w:val="ListParagraph"/>
        <w:numPr>
          <w:ilvl w:val="0"/>
          <w:numId w:val="7"/>
        </w:numPr>
        <w:ind w:left="0" w:firstLine="1440"/>
      </w:pPr>
      <w:r>
        <w:t>The Complainant never contacted the Commission to explain his failure to appear.</w:t>
      </w:r>
    </w:p>
    <w:p w:rsidR="003444A8" w:rsidRDefault="003444A8" w:rsidP="003444A8">
      <w:pPr>
        <w:pStyle w:val="ListParagraph"/>
        <w:numPr>
          <w:ilvl w:val="0"/>
          <w:numId w:val="0"/>
        </w:numPr>
        <w:ind w:firstLine="1440"/>
      </w:pPr>
    </w:p>
    <w:p w:rsidR="00E87EE9" w:rsidRDefault="00D201B4" w:rsidP="003444A8">
      <w:pPr>
        <w:spacing w:after="0"/>
      </w:pPr>
      <w:r>
        <w:t>3.</w:t>
      </w:r>
      <w:r>
        <w:tab/>
        <w:t>Neither the hearing notice nor the prehearing order were returned as undeliverable by the U.S. Postal Service.</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786C2B">
        <w:t>his</w:t>
      </w:r>
      <w:r w:rsidRPr="00793C9C">
        <w:t xml:space="preserve"> complaint.  Therefore</w:t>
      </w:r>
      <w:r w:rsidR="001D61F8">
        <w:t>,</w:t>
      </w:r>
      <w:r w:rsidRPr="00793C9C">
        <w:t xml:space="preserve"> </w:t>
      </w:r>
      <w:r w:rsidR="00F161E9">
        <w:t>Columbia</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2"/>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3"/>
      </w:r>
    </w:p>
    <w:p w:rsidR="003444A8" w:rsidRDefault="00DD6136" w:rsidP="003444A8">
      <w:pPr>
        <w:spacing w:after="0"/>
        <w:rPr>
          <w:spacing w:val="-3"/>
        </w:rPr>
      </w:pPr>
      <w:r w:rsidRPr="00793C9C">
        <w:rPr>
          <w:spacing w:val="-3"/>
        </w:rPr>
        <w:t xml:space="preserve">Notices of the hearing and several orders in this case were sent to the Complainant by regular first-class mail to the address stated on the complaint.  None of this mail was returned to the Commission by the U.S. Postal Service. </w:t>
      </w:r>
    </w:p>
    <w:p w:rsidR="003F3F4E" w:rsidRDefault="00DD6136" w:rsidP="003444A8">
      <w:pPr>
        <w:spacing w:after="0"/>
        <w:rPr>
          <w:spacing w:val="-3"/>
        </w:rPr>
      </w:pPr>
      <w:r w:rsidRPr="00793C9C">
        <w:rPr>
          <w:spacing w:val="-3"/>
        </w:rPr>
        <w:t xml:space="preserve"> </w:t>
      </w:r>
    </w:p>
    <w:p w:rsidR="00DD6136" w:rsidRDefault="00D201B4" w:rsidP="003444A8">
      <w:pPr>
        <w:spacing w:after="0"/>
        <w:rPr>
          <w:spacing w:val="-3"/>
        </w:rPr>
      </w:pPr>
      <w:r>
        <w:rPr>
          <w:spacing w:val="-3"/>
        </w:rPr>
        <w:t xml:space="preserve">A hearing notice and prehearing order were sent to the Complainant. </w:t>
      </w:r>
      <w:r w:rsidRPr="00D201B4">
        <w:rPr>
          <w:spacing w:val="-3"/>
        </w:rPr>
        <w:t>Paragraph 11 of the prehearing order in</w:t>
      </w:r>
      <w:r w:rsidR="009F34E8">
        <w:rPr>
          <w:spacing w:val="-3"/>
        </w:rPr>
        <w:t xml:space="preserve">formed the Complainant that if </w:t>
      </w:r>
      <w:r w:rsidRPr="00D201B4">
        <w:rPr>
          <w:spacing w:val="-3"/>
        </w:rPr>
        <w:t>he failed to appear for the hea</w:t>
      </w:r>
      <w:r w:rsidR="009F34E8">
        <w:rPr>
          <w:spacing w:val="-3"/>
        </w:rPr>
        <w:t>ring he could lose his</w:t>
      </w:r>
      <w:r w:rsidRPr="00D201B4">
        <w:rPr>
          <w:spacing w:val="-3"/>
        </w:rPr>
        <w:t xml:space="preserve"> case.  Paragraph 1 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4"/>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3444A8">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his</w:t>
      </w:r>
      <w:r w:rsidRPr="00793C9C">
        <w:rPr>
          <w:spacing w:val="-3"/>
        </w:rPr>
        <w:t xml:space="preserve"> complaint are t</w:t>
      </w:r>
      <w:r w:rsidR="000E453F">
        <w:rPr>
          <w:spacing w:val="-3"/>
        </w:rPr>
        <w:t>rue and that he</w:t>
      </w:r>
      <w:r w:rsidRPr="00793C9C">
        <w:rPr>
          <w:spacing w:val="-3"/>
        </w:rPr>
        <w:t xml:space="preserve"> is ent</w:t>
      </w:r>
      <w:r w:rsidR="00C7480E">
        <w:rPr>
          <w:spacing w:val="-3"/>
        </w:rPr>
        <w:t>itled to the relief that he</w:t>
      </w:r>
      <w:r w:rsidRPr="00793C9C">
        <w:rPr>
          <w:spacing w:val="-3"/>
        </w:rPr>
        <w:t xml:space="preserve"> requested.</w:t>
      </w:r>
    </w:p>
    <w:p w:rsidR="003444A8" w:rsidRDefault="003444A8" w:rsidP="003444A8">
      <w:pPr>
        <w:spacing w:after="0"/>
        <w:rPr>
          <w:spacing w:val="-3"/>
        </w:rPr>
      </w:pPr>
    </w:p>
    <w:p w:rsidR="00DD6136" w:rsidRDefault="00DD6136" w:rsidP="003444A8">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9F34E8">
        <w:rPr>
          <w:spacing w:val="-3"/>
        </w:rPr>
        <w:t>his</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 complaint is dismissed with prejudice.</w:t>
      </w:r>
    </w:p>
    <w:p w:rsidR="003444A8" w:rsidRDefault="003444A8" w:rsidP="003444A8">
      <w:pPr>
        <w:spacing w:after="0"/>
        <w:rPr>
          <w:spacing w:val="-3"/>
        </w:rPr>
      </w:pPr>
    </w:p>
    <w:p w:rsidR="003D7E89" w:rsidRDefault="003D7E89">
      <w:pPr>
        <w:spacing w:after="200" w:line="276" w:lineRule="auto"/>
        <w:ind w:firstLine="0"/>
        <w:rPr>
          <w:spacing w:val="-3"/>
          <w:szCs w:val="24"/>
          <w:u w:val="single"/>
        </w:rPr>
      </w:pPr>
      <w:r>
        <w:rPr>
          <w:spacing w:val="-3"/>
          <w:szCs w:val="24"/>
          <w:u w:val="single"/>
        </w:rPr>
        <w:br w:type="page"/>
      </w:r>
    </w:p>
    <w:p w:rsidR="00BC6429" w:rsidRDefault="00DC781E" w:rsidP="003444A8">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3444A8">
      <w:pPr>
        <w:tabs>
          <w:tab w:val="left" w:pos="-1440"/>
          <w:tab w:val="left" w:pos="-720"/>
        </w:tabs>
        <w:suppressAutoHyphens/>
        <w:spacing w:after="0"/>
        <w:ind w:firstLine="0"/>
        <w:jc w:val="center"/>
        <w:rPr>
          <w:spacing w:val="-3"/>
          <w:szCs w:val="24"/>
          <w:u w:val="single"/>
        </w:rPr>
      </w:pPr>
    </w:p>
    <w:p w:rsidR="00970B99" w:rsidRDefault="00BC6429" w:rsidP="003444A8">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(Pa.Cmwlth. 1984).</w:t>
      </w:r>
    </w:p>
    <w:p w:rsidR="003444A8" w:rsidRPr="00793C9C" w:rsidRDefault="003444A8" w:rsidP="003444A8">
      <w:pPr>
        <w:pStyle w:val="ListParagraph"/>
        <w:numPr>
          <w:ilvl w:val="0"/>
          <w:numId w:val="0"/>
        </w:numPr>
        <w:ind w:left="1440"/>
      </w:pPr>
    </w:p>
    <w:p w:rsidR="00BC6429" w:rsidRDefault="00C7480E" w:rsidP="003444A8">
      <w:pPr>
        <w:pStyle w:val="ListParagraph"/>
        <w:ind w:left="0" w:firstLine="1440"/>
      </w:pPr>
      <w:r>
        <w:t xml:space="preserve">By failing to appear at his </w:t>
      </w:r>
      <w:r w:rsidR="00BC6429" w:rsidRPr="00793C9C">
        <w:t>scheduled hearin</w:t>
      </w:r>
      <w:r>
        <w:t>g</w:t>
      </w:r>
      <w:r w:rsidR="00786C2B">
        <w:t>,</w:t>
      </w:r>
      <w:r>
        <w:t xml:space="preserve"> the Complainant has waived his</w:t>
      </w:r>
      <w:r w:rsidR="00BC6429" w:rsidRPr="00793C9C">
        <w:t xml:space="preserve"> clai</w:t>
      </w:r>
      <w:r>
        <w:t>ms and has failed to sustain his</w:t>
      </w:r>
      <w:r w:rsidR="00BC6429" w:rsidRPr="00793C9C">
        <w:t xml:space="preserve"> burden of proof.  66 Pa.C.S. § 332(f).</w:t>
      </w:r>
    </w:p>
    <w:p w:rsidR="003D7E89" w:rsidRDefault="003D7E89" w:rsidP="003444A8">
      <w:pPr>
        <w:spacing w:after="0"/>
        <w:ind w:left="1440" w:firstLine="0"/>
      </w:pPr>
      <w:bookmarkStart w:id="0" w:name="_GoBack"/>
      <w:bookmarkEnd w:id="0"/>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Pr="00793C9C" w:rsidRDefault="006D78D9"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Pr="00793C9C" w:rsidRDefault="006D78D9" w:rsidP="003444A8">
      <w:pPr>
        <w:pStyle w:val="ListParagraph"/>
        <w:numPr>
          <w:ilvl w:val="0"/>
          <w:numId w:val="6"/>
        </w:numPr>
        <w:ind w:left="0" w:firstLine="1440"/>
      </w:pPr>
      <w:r w:rsidRPr="00793C9C">
        <w:t xml:space="preserve">That the motion to dismiss the complaint of </w:t>
      </w:r>
      <w:r w:rsidR="009F34E8">
        <w:t>Thomas Thornhill at PUC Docket No. C-2013-2384778</w:t>
      </w:r>
      <w:r w:rsidRPr="00793C9C">
        <w:t xml:space="preserve"> is granted.</w:t>
      </w:r>
    </w:p>
    <w:p w:rsidR="006D78D9" w:rsidRPr="00793C9C" w:rsidRDefault="006D78D9" w:rsidP="003444A8">
      <w:pPr>
        <w:spacing w:after="0"/>
      </w:pPr>
    </w:p>
    <w:p w:rsidR="00F16D46" w:rsidRPr="002772DE" w:rsidRDefault="006D78D9" w:rsidP="003444A8">
      <w:pPr>
        <w:pStyle w:val="ListParagraph"/>
        <w:ind w:left="0" w:firstLine="1440"/>
        <w:rPr>
          <w:spacing w:val="-3"/>
          <w:szCs w:val="24"/>
        </w:rPr>
      </w:pPr>
      <w:r w:rsidRPr="00793C9C">
        <w:t>That the complaint</w:t>
      </w:r>
      <w:r w:rsidR="009F34E8">
        <w:t xml:space="preserve"> of</w:t>
      </w:r>
      <w:r w:rsidRPr="00793C9C">
        <w:t xml:space="preserve"> </w:t>
      </w:r>
      <w:r w:rsidR="009F34E8">
        <w:t xml:space="preserve">Thomas Thornhill at PUC Docket No. C-2013-2384778 </w:t>
      </w:r>
      <w:r w:rsidRPr="00793C9C">
        <w:t>is dismissed with prejudice.</w:t>
      </w:r>
    </w:p>
    <w:p w:rsidR="002772DE" w:rsidRPr="002772DE" w:rsidRDefault="002772DE" w:rsidP="003444A8">
      <w:pPr>
        <w:spacing w:after="0"/>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3444A8">
      <w:pPr>
        <w:tabs>
          <w:tab w:val="left" w:pos="3960"/>
        </w:tabs>
        <w:spacing w:after="0" w:line="240" w:lineRule="auto"/>
        <w:ind w:firstLine="0"/>
        <w:rPr>
          <w:spacing w:val="-3"/>
          <w:szCs w:val="24"/>
        </w:rPr>
      </w:pPr>
      <w:r>
        <w:rPr>
          <w:spacing w:val="-3"/>
          <w:szCs w:val="24"/>
        </w:rPr>
        <w:tab/>
      </w:r>
    </w:p>
    <w:p w:rsidR="00605C75" w:rsidRDefault="00605C75" w:rsidP="003444A8">
      <w:pPr>
        <w:spacing w:after="0" w:line="240" w:lineRule="auto"/>
        <w:ind w:firstLine="0"/>
        <w:rPr>
          <w:spacing w:val="-3"/>
          <w:szCs w:val="24"/>
        </w:rPr>
      </w:pPr>
    </w:p>
    <w:p w:rsidR="00424FA7" w:rsidRDefault="00605C75" w:rsidP="003444A8">
      <w:pPr>
        <w:spacing w:after="0" w:line="240" w:lineRule="auto"/>
        <w:ind w:firstLine="0"/>
      </w:pPr>
      <w:r>
        <w:rPr>
          <w:spacing w:val="-3"/>
          <w:szCs w:val="24"/>
        </w:rPr>
        <w:br/>
      </w:r>
      <w:r w:rsidR="00793F8C">
        <w:rPr>
          <w:spacing w:val="-3"/>
          <w:szCs w:val="24"/>
        </w:rPr>
        <w:t xml:space="preserve">Date:  </w:t>
      </w:r>
      <w:r w:rsidR="000E453F">
        <w:rPr>
          <w:spacing w:val="-3"/>
          <w:szCs w:val="24"/>
          <w:u w:val="single"/>
        </w:rPr>
        <w:t>February 4</w:t>
      </w:r>
      <w:r w:rsidR="00FE72C4" w:rsidRPr="00FE72C4">
        <w:rPr>
          <w:spacing w:val="-3"/>
          <w:szCs w:val="24"/>
          <w:u w:val="single"/>
        </w:rPr>
        <w:t>, 201</w:t>
      </w:r>
      <w:r w:rsidR="0079473E">
        <w:rPr>
          <w:spacing w:val="-3"/>
          <w:szCs w:val="24"/>
          <w:u w:val="single"/>
        </w:rPr>
        <w:t>4</w:t>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u w:val="single"/>
        </w:rPr>
        <w:tab/>
      </w:r>
      <w:r w:rsidR="00424FA7">
        <w:rPr>
          <w:u w:val="single"/>
        </w:rPr>
        <w:tab/>
        <w:t>/s/</w:t>
      </w:r>
      <w:r w:rsidR="00424FA7">
        <w:rPr>
          <w:u w:val="single"/>
        </w:rPr>
        <w:tab/>
      </w:r>
      <w:r w:rsidR="00424FA7">
        <w:rPr>
          <w:u w:val="single"/>
        </w:rPr>
        <w:tab/>
      </w:r>
      <w:r w:rsidR="00424FA7">
        <w:rPr>
          <w:u w:val="single"/>
        </w:rPr>
        <w:tab/>
      </w:r>
      <w:r w:rsidR="00424FA7">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3444A8">
      <w:pPr>
        <w:tabs>
          <w:tab w:val="left" w:pos="-1440"/>
          <w:tab w:val="left" w:pos="-720"/>
        </w:tabs>
        <w:suppressAutoHyphens/>
        <w:spacing w:after="0"/>
        <w:ind w:firstLine="0"/>
        <w:rPr>
          <w:spacing w:val="-3"/>
          <w:szCs w:val="24"/>
        </w:rPr>
      </w:pPr>
    </w:p>
    <w:p w:rsidR="00BC6429" w:rsidRPr="00793C9C" w:rsidRDefault="00BC6429" w:rsidP="00DD6136">
      <w:pPr>
        <w:tabs>
          <w:tab w:val="left" w:pos="-1440"/>
          <w:tab w:val="left" w:pos="-720"/>
        </w:tabs>
        <w:suppressAutoHyphens/>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D1" w:rsidRDefault="000260D1" w:rsidP="00AD0985">
      <w:pPr>
        <w:spacing w:after="0" w:line="240" w:lineRule="auto"/>
      </w:pPr>
      <w:r>
        <w:separator/>
      </w:r>
    </w:p>
  </w:endnote>
  <w:endnote w:type="continuationSeparator" w:id="0">
    <w:p w:rsidR="000260D1" w:rsidRDefault="000260D1"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3D7E89">
          <w:rPr>
            <w:noProof/>
            <w:sz w:val="20"/>
          </w:rPr>
          <w:t>4</w:t>
        </w:r>
        <w:r w:rsidRPr="002F49FF">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D1" w:rsidRDefault="000260D1" w:rsidP="00B652DB">
      <w:pPr>
        <w:spacing w:after="0" w:line="240" w:lineRule="auto"/>
        <w:ind w:firstLine="0"/>
      </w:pPr>
      <w:r>
        <w:separator/>
      </w:r>
    </w:p>
  </w:footnote>
  <w:footnote w:type="continuationSeparator" w:id="0">
    <w:p w:rsidR="000260D1" w:rsidRDefault="000260D1" w:rsidP="00AD0985">
      <w:pPr>
        <w:spacing w:after="0" w:line="240" w:lineRule="auto"/>
      </w:pPr>
      <w:r>
        <w:continuationSeparator/>
      </w:r>
    </w:p>
  </w:footnote>
  <w:footnote w:id="1">
    <w:p w:rsidR="00EF1818" w:rsidRDefault="00EF1818" w:rsidP="003444A8">
      <w:pPr>
        <w:pStyle w:val="FootnoteText"/>
        <w:ind w:firstLine="720"/>
      </w:pPr>
      <w:r>
        <w:rPr>
          <w:rStyle w:val="FootnoteReference"/>
        </w:rPr>
        <w:footnoteRef/>
      </w:r>
      <w:r>
        <w:t xml:space="preserve">  </w:t>
      </w:r>
      <w:r>
        <w:tab/>
        <w:t>Columbia also filed a preliminary objection to dismiss the claim for money damages which was granted by order dated November 14, 2013.</w:t>
      </w:r>
    </w:p>
  </w:footnote>
  <w:footnote w:id="2">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DD6136">
      <w:pPr>
        <w:pStyle w:val="FootnoteText"/>
        <w:spacing w:after="0"/>
      </w:pPr>
    </w:p>
  </w:footnote>
  <w:footnote w:id="3">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DD6136">
      <w:pPr>
        <w:pStyle w:val="FootnoteText"/>
        <w:spacing w:after="0"/>
      </w:pPr>
    </w:p>
  </w:footnote>
  <w:footnote w:id="4">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260D1"/>
    <w:rsid w:val="000A1939"/>
    <w:rsid w:val="000D4A7B"/>
    <w:rsid w:val="000E453F"/>
    <w:rsid w:val="000E709E"/>
    <w:rsid w:val="00111ED9"/>
    <w:rsid w:val="001155FD"/>
    <w:rsid w:val="00125963"/>
    <w:rsid w:val="001376C4"/>
    <w:rsid w:val="00147B0B"/>
    <w:rsid w:val="001509AA"/>
    <w:rsid w:val="00167DBC"/>
    <w:rsid w:val="00170FD2"/>
    <w:rsid w:val="001B1CBA"/>
    <w:rsid w:val="001B4AEB"/>
    <w:rsid w:val="001C238F"/>
    <w:rsid w:val="001C2FA0"/>
    <w:rsid w:val="001D61F8"/>
    <w:rsid w:val="001D7072"/>
    <w:rsid w:val="00215AEA"/>
    <w:rsid w:val="00243314"/>
    <w:rsid w:val="00267A1A"/>
    <w:rsid w:val="002772DE"/>
    <w:rsid w:val="002918E5"/>
    <w:rsid w:val="002F49FF"/>
    <w:rsid w:val="00323BBF"/>
    <w:rsid w:val="003444A8"/>
    <w:rsid w:val="00352B97"/>
    <w:rsid w:val="003530F3"/>
    <w:rsid w:val="0036208B"/>
    <w:rsid w:val="003651E4"/>
    <w:rsid w:val="00393C92"/>
    <w:rsid w:val="003C0542"/>
    <w:rsid w:val="003D45F1"/>
    <w:rsid w:val="003D7E89"/>
    <w:rsid w:val="003E04FC"/>
    <w:rsid w:val="003F3F4E"/>
    <w:rsid w:val="00424FA7"/>
    <w:rsid w:val="00453D17"/>
    <w:rsid w:val="004A27FF"/>
    <w:rsid w:val="004D523C"/>
    <w:rsid w:val="004E536B"/>
    <w:rsid w:val="004F6B09"/>
    <w:rsid w:val="00517788"/>
    <w:rsid w:val="005547AF"/>
    <w:rsid w:val="00575C73"/>
    <w:rsid w:val="00600C4E"/>
    <w:rsid w:val="00605C75"/>
    <w:rsid w:val="0061775F"/>
    <w:rsid w:val="006320C4"/>
    <w:rsid w:val="00644B37"/>
    <w:rsid w:val="00685437"/>
    <w:rsid w:val="006D78D9"/>
    <w:rsid w:val="006F0335"/>
    <w:rsid w:val="006F391E"/>
    <w:rsid w:val="0073074E"/>
    <w:rsid w:val="007751A4"/>
    <w:rsid w:val="00786C2B"/>
    <w:rsid w:val="00792796"/>
    <w:rsid w:val="00793F8C"/>
    <w:rsid w:val="0079473E"/>
    <w:rsid w:val="0079732C"/>
    <w:rsid w:val="007A6223"/>
    <w:rsid w:val="007B6E1F"/>
    <w:rsid w:val="007E6779"/>
    <w:rsid w:val="007E6AF5"/>
    <w:rsid w:val="00805BF9"/>
    <w:rsid w:val="00812D55"/>
    <w:rsid w:val="008449C1"/>
    <w:rsid w:val="00844EF8"/>
    <w:rsid w:val="008529D2"/>
    <w:rsid w:val="00877C25"/>
    <w:rsid w:val="00883900"/>
    <w:rsid w:val="008C6E72"/>
    <w:rsid w:val="008D6732"/>
    <w:rsid w:val="008F2536"/>
    <w:rsid w:val="00900959"/>
    <w:rsid w:val="00970B99"/>
    <w:rsid w:val="00990016"/>
    <w:rsid w:val="009964FB"/>
    <w:rsid w:val="009B7BDD"/>
    <w:rsid w:val="009F34E8"/>
    <w:rsid w:val="00A62A42"/>
    <w:rsid w:val="00AA6DF6"/>
    <w:rsid w:val="00AB4C73"/>
    <w:rsid w:val="00AD0985"/>
    <w:rsid w:val="00AE6070"/>
    <w:rsid w:val="00AE63B4"/>
    <w:rsid w:val="00AE6F47"/>
    <w:rsid w:val="00AF3114"/>
    <w:rsid w:val="00B006F3"/>
    <w:rsid w:val="00B34875"/>
    <w:rsid w:val="00B61F07"/>
    <w:rsid w:val="00B652DB"/>
    <w:rsid w:val="00B90A91"/>
    <w:rsid w:val="00BC6429"/>
    <w:rsid w:val="00BD5506"/>
    <w:rsid w:val="00BF6B69"/>
    <w:rsid w:val="00C5171B"/>
    <w:rsid w:val="00C6400A"/>
    <w:rsid w:val="00C7480E"/>
    <w:rsid w:val="00C8759F"/>
    <w:rsid w:val="00CE2C5C"/>
    <w:rsid w:val="00CE4778"/>
    <w:rsid w:val="00CF0683"/>
    <w:rsid w:val="00CF4AB4"/>
    <w:rsid w:val="00D0113A"/>
    <w:rsid w:val="00D14272"/>
    <w:rsid w:val="00D165CE"/>
    <w:rsid w:val="00D201B4"/>
    <w:rsid w:val="00D4726E"/>
    <w:rsid w:val="00D5787F"/>
    <w:rsid w:val="00D84D44"/>
    <w:rsid w:val="00DB17B6"/>
    <w:rsid w:val="00DC04AC"/>
    <w:rsid w:val="00DC781E"/>
    <w:rsid w:val="00DD0D87"/>
    <w:rsid w:val="00DD5C37"/>
    <w:rsid w:val="00DD6136"/>
    <w:rsid w:val="00DF08B3"/>
    <w:rsid w:val="00DF7E1C"/>
    <w:rsid w:val="00E442E6"/>
    <w:rsid w:val="00E87EE9"/>
    <w:rsid w:val="00EB120D"/>
    <w:rsid w:val="00EF1818"/>
    <w:rsid w:val="00F161E9"/>
    <w:rsid w:val="00F16D46"/>
    <w:rsid w:val="00F17630"/>
    <w:rsid w:val="00F23521"/>
    <w:rsid w:val="00F40D6F"/>
    <w:rsid w:val="00F54AF4"/>
    <w:rsid w:val="00F6346E"/>
    <w:rsid w:val="00FA08FA"/>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EB41-D596-4477-97EE-A3451FFFC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5</cp:revision>
  <cp:lastPrinted>2014-02-06T13:36:00Z</cp:lastPrinted>
  <dcterms:created xsi:type="dcterms:W3CDTF">2014-02-04T19:26:00Z</dcterms:created>
  <dcterms:modified xsi:type="dcterms:W3CDTF">2014-02-21T19:48:00Z</dcterms:modified>
</cp:coreProperties>
</file>