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9A4B09"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Sandra </w:t>
      </w:r>
      <w:proofErr w:type="spellStart"/>
      <w:r>
        <w:rPr>
          <w:rFonts w:ascii="Times New Roman" w:hAnsi="Times New Roman" w:cs="Times New Roman"/>
          <w:spacing w:val="-3"/>
        </w:rPr>
        <w:t>Hopely</w:t>
      </w:r>
      <w:proofErr w:type="spellEnd"/>
      <w:r>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B02381">
        <w:rPr>
          <w:rFonts w:ascii="Times New Roman" w:hAnsi="Times New Roman" w:cs="Times New Roman"/>
          <w:spacing w:val="-3"/>
        </w:rPr>
        <w:t>F-2014</w:t>
      </w:r>
      <w:r w:rsidR="006B571E">
        <w:rPr>
          <w:rFonts w:ascii="Times New Roman" w:hAnsi="Times New Roman" w:cs="Times New Roman"/>
          <w:spacing w:val="-3"/>
        </w:rPr>
        <w:t>-2404303</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B02381"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w:t>
      </w:r>
      <w:r w:rsidR="005053C7">
        <w:rPr>
          <w:rFonts w:ascii="Times New Roman" w:hAnsi="Times New Roman" w:cs="Times New Roman"/>
          <w:spacing w:val="-3"/>
        </w:rPr>
        <w:t>g</w:t>
      </w:r>
      <w:r>
        <w:rPr>
          <w:rFonts w:ascii="Times New Roman" w:hAnsi="Times New Roman" w:cs="Times New Roman"/>
          <w:spacing w:val="-3"/>
        </w:rPr>
        <w:t>y Company</w:t>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94703B">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B02381">
        <w:rPr>
          <w:rFonts w:ascii="Times New Roman" w:hAnsi="Times New Roman"/>
        </w:rPr>
        <w:t>February 25</w:t>
      </w:r>
      <w:r w:rsidR="004B3BFD">
        <w:rPr>
          <w:rFonts w:ascii="Times New Roman" w:hAnsi="Times New Roman"/>
        </w:rPr>
        <w:t xml:space="preserve">, 2014, </w:t>
      </w:r>
      <w:r>
        <w:rPr>
          <w:rFonts w:ascii="Times New Roman" w:hAnsi="Times New Roman"/>
        </w:rPr>
        <w:t xml:space="preserve">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B02381">
        <w:rPr>
          <w:rFonts w:ascii="Times New Roman" w:hAnsi="Times New Roman"/>
        </w:rPr>
        <w:t>Thursday</w:t>
      </w:r>
      <w:r w:rsidR="00E255FE">
        <w:rPr>
          <w:rFonts w:ascii="Times New Roman" w:hAnsi="Times New Roman"/>
        </w:rPr>
        <w:t xml:space="preserve">, </w:t>
      </w:r>
      <w:r w:rsidR="00B02381">
        <w:rPr>
          <w:rFonts w:ascii="Times New Roman" w:hAnsi="Times New Roman"/>
        </w:rPr>
        <w:t>April 17</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r w:rsidR="004B3BFD">
        <w:rPr>
          <w:rFonts w:ascii="Times New Roman" w:hAnsi="Times New Roman"/>
        </w:rPr>
        <w:t xml:space="preserve"> on that day.</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7D1EF8" w:rsidP="00E4054A">
      <w:pPr>
        <w:pStyle w:val="ParaTab1"/>
        <w:ind w:left="2160" w:firstLine="0"/>
        <w:rPr>
          <w:rFonts w:ascii="Times New Roman" w:hAnsi="Times New Roman" w:cs="Times New Roman"/>
          <w:spacing w:val="-3"/>
        </w:rPr>
      </w:pPr>
      <w:r>
        <w:rPr>
          <w:rFonts w:ascii="Times New Roman" w:hAnsi="Times New Roman" w:cs="Times New Roman"/>
          <w:spacing w:val="-3"/>
        </w:rPr>
        <w:t>Kandace F. Melillo</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007D1EF8" w:rsidRPr="000709CB">
          <w:rPr>
            <w:rStyle w:val="Hyperlink"/>
            <w:rFonts w:ascii="Times New Roman" w:hAnsi="Times New Roman" w:cs="Times New Roman"/>
            <w:spacing w:val="-3"/>
          </w:rPr>
          <w:t>kmelillo@pa.gov</w:t>
        </w:r>
      </w:hyperlink>
    </w:p>
    <w:p w:rsidR="007D1EF8" w:rsidRDefault="007D1EF8" w:rsidP="00E4054A">
      <w:pPr>
        <w:pStyle w:val="ParaTab1"/>
        <w:ind w:left="2160" w:firstLine="0"/>
        <w:rPr>
          <w:rFonts w:ascii="Times New Roman" w:hAnsi="Times New Roman" w:cs="Times New Roman"/>
          <w:spacing w:val="-3"/>
        </w:rPr>
      </w:pP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2010C" w:rsidRDefault="00E2010C" w:rsidP="00E2010C">
      <w:pPr>
        <w:pStyle w:val="ParaTab1"/>
        <w:tabs>
          <w:tab w:val="left" w:pos="2070"/>
        </w:tabs>
        <w:spacing w:line="360" w:lineRule="auto"/>
        <w:ind w:firstLine="0"/>
        <w:rPr>
          <w:rFonts w:ascii="Times New Roman" w:hAnsi="Times New Roman" w:cs="Times New Roman"/>
          <w:spacing w:val="-3"/>
        </w:rPr>
      </w:pPr>
    </w:p>
    <w:p w:rsidR="00E2010C" w:rsidRPr="004036E3" w:rsidRDefault="00E2010C" w:rsidP="00E2010C">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3</w:t>
      </w:r>
      <w:r w:rsidRPr="00582DF5">
        <w:rPr>
          <w:rFonts w:ascii="Times New Roman" w:hAnsi="Times New Roman" w:cs="Times New Roman"/>
          <w:spacing w:val="-3"/>
        </w:rPr>
        <w:t>.</w:t>
      </w:r>
      <w:r w:rsidRPr="00582DF5">
        <w:rPr>
          <w:rFonts w:ascii="Times New Roman" w:hAnsi="Times New Roman" w:cs="Times New Roman"/>
          <w:spacing w:val="-3"/>
        </w:rPr>
        <w:tab/>
      </w:r>
      <w:r>
        <w:rPr>
          <w:rFonts w:ascii="Times New Roman" w:hAnsi="Times New Roman" w:cs="Times New Roman"/>
          <w:spacing w:val="-3"/>
        </w:rPr>
        <w:t xml:space="preserve">All parties are hereby directed to henceforth serve me and all parties directly with a copy </w:t>
      </w:r>
      <w:r w:rsidRPr="000A52D7">
        <w:rPr>
          <w:rFonts w:ascii="Times New Roman" w:hAnsi="Times New Roman" w:cs="Times New Roman"/>
          <w:spacing w:val="-3"/>
        </w:rPr>
        <w:t xml:space="preserve">of any document that </w:t>
      </w:r>
      <w:r>
        <w:rPr>
          <w:rFonts w:ascii="Times New Roman" w:hAnsi="Times New Roman" w:cs="Times New Roman"/>
          <w:spacing w:val="-3"/>
        </w:rPr>
        <w:t>is</w:t>
      </w:r>
      <w:r w:rsidRPr="000A52D7">
        <w:rPr>
          <w:rFonts w:ascii="Times New Roman" w:hAnsi="Times New Roman" w:cs="Times New Roman"/>
          <w:spacing w:val="-3"/>
        </w:rPr>
        <w:t xml:space="preserve"> file</w:t>
      </w:r>
      <w:r>
        <w:rPr>
          <w:rFonts w:ascii="Times New Roman" w:hAnsi="Times New Roman" w:cs="Times New Roman"/>
          <w:spacing w:val="-3"/>
        </w:rPr>
        <w:t>d</w:t>
      </w:r>
      <w:r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Pr>
          <w:rFonts w:ascii="Times New Roman" w:hAnsi="Times New Roman" w:cs="Times New Roman"/>
          <w:spacing w:val="-3"/>
        </w:rPr>
        <w:t xml:space="preserve">  </w:t>
      </w:r>
    </w:p>
    <w:p w:rsidR="00E2010C" w:rsidRDefault="00E2010C" w:rsidP="00ED185B">
      <w:pPr>
        <w:pStyle w:val="ParaTab1"/>
        <w:tabs>
          <w:tab w:val="left" w:pos="2070"/>
        </w:tabs>
        <w:spacing w:line="360" w:lineRule="auto"/>
        <w:ind w:firstLine="0"/>
        <w:rPr>
          <w:rFonts w:ascii="Times New Roman" w:hAnsi="Times New Roman" w:cs="Times New Roman"/>
          <w:spacing w:val="-3"/>
        </w:rPr>
      </w:pPr>
    </w:p>
    <w:p w:rsidR="00207242" w:rsidRPr="00E2010C" w:rsidRDefault="00E2010C" w:rsidP="00E2010C">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sidR="007D1EF8">
        <w:rPr>
          <w:rFonts w:ascii="Times New Roman" w:hAnsi="Times New Roman" w:cs="Times New Roman"/>
          <w:spacing w:val="-3"/>
        </w:rPr>
        <w:t>.</w:t>
      </w:r>
      <w:r w:rsidR="007D1EF8">
        <w:rPr>
          <w:rFonts w:ascii="Times New Roman" w:hAnsi="Times New Roman" w:cs="Times New Roman"/>
          <w:spacing w:val="-3"/>
        </w:rPr>
        <w:tab/>
      </w:r>
      <w:r w:rsidR="00207242">
        <w:rPr>
          <w:rFonts w:ascii="Times New Roman" w:hAnsi="Times New Roman" w:cs="Times New Roman"/>
          <w:spacing w:val="-3"/>
        </w:rPr>
        <w:t xml:space="preserve">The utility must prepare and submit the following documents </w:t>
      </w:r>
      <w:r w:rsidR="0093106A">
        <w:rPr>
          <w:rFonts w:ascii="Times New Roman" w:hAnsi="Times New Roman" w:cs="Times New Roman"/>
          <w:spacing w:val="-3"/>
        </w:rPr>
        <w:t xml:space="preserve">as exhibits (three copies to me and one to the other party) </w:t>
      </w:r>
      <w:r w:rsidR="00207242">
        <w:rPr>
          <w:rFonts w:ascii="Times New Roman" w:hAnsi="Times New Roman" w:cs="Times New Roman"/>
          <w:spacing w:val="-3"/>
        </w:rPr>
        <w:t xml:space="preserve">at least one (1) week before the hearing:  (a) </w:t>
      </w:r>
      <w:r w:rsidR="00207242" w:rsidRPr="00DE7566">
        <w:rPr>
          <w:rFonts w:ascii="Times New Roman" w:hAnsi="Times New Roman" w:cs="Times New Roman"/>
        </w:rPr>
        <w:t xml:space="preserve">a history of </w:t>
      </w:r>
      <w:r w:rsidR="0070017C">
        <w:rPr>
          <w:rFonts w:ascii="Times New Roman" w:hAnsi="Times New Roman" w:cs="Times New Roman"/>
        </w:rPr>
        <w:t xml:space="preserve">the customer account(s) at all relevant premises </w:t>
      </w:r>
      <w:r w:rsidR="00207242">
        <w:rPr>
          <w:rFonts w:ascii="Times New Roman" w:hAnsi="Times New Roman" w:cs="Times New Roman"/>
        </w:rPr>
        <w:t>for the past four (4) years if possible, which is to include billings, payments, meter readings, the type of r</w:t>
      </w:r>
      <w:r w:rsidR="0070017C">
        <w:rPr>
          <w:rFonts w:ascii="Times New Roman" w:hAnsi="Times New Roman" w:cs="Times New Roman"/>
        </w:rPr>
        <w:t xml:space="preserve">eading, days used, </w:t>
      </w:r>
      <w:r w:rsidR="00207242">
        <w:rPr>
          <w:rFonts w:ascii="Times New Roman" w:hAnsi="Times New Roman" w:cs="Times New Roman"/>
        </w:rPr>
        <w:t xml:space="preserve">and amount used during the billing period ; </w:t>
      </w:r>
      <w:r w:rsidR="00207242" w:rsidRPr="00DE7566">
        <w:rPr>
          <w:rFonts w:ascii="Times New Roman" w:hAnsi="Times New Roman" w:cs="Times New Roman"/>
        </w:rPr>
        <w:t>(b) </w:t>
      </w:r>
      <w:r w:rsidR="005D388E">
        <w:rPr>
          <w:rFonts w:ascii="Times New Roman" w:hAnsi="Times New Roman" w:cs="Times New Roman"/>
        </w:rPr>
        <w:t xml:space="preserve">an exhibit detailing the time periods and service location(s) for which the Complainant is being held responsible, and the ratepayer of record during those time periods; (c) copies of the public records or other records being relied upon to establish Complainant’s responsibility for an account balance at a particular service location; and (d) </w:t>
      </w:r>
      <w:r w:rsidR="00207242">
        <w:rPr>
          <w:rFonts w:ascii="Times New Roman" w:hAnsi="Times New Roman" w:cs="Times New Roman"/>
        </w:rPr>
        <w:t>copies of the BCS decision(s).</w:t>
      </w:r>
      <w:r>
        <w:rPr>
          <w:rFonts w:ascii="Times New Roman" w:hAnsi="Times New Roman" w:cs="Times New Roman"/>
        </w:rPr>
        <w:t xml:space="preserve">  </w:t>
      </w:r>
    </w:p>
    <w:p w:rsidR="00F77EA0" w:rsidRPr="00E36AF6" w:rsidRDefault="00F77EA0" w:rsidP="007D1EF8">
      <w:pPr>
        <w:pStyle w:val="ParaTab1"/>
        <w:spacing w:line="360" w:lineRule="auto"/>
        <w:ind w:firstLine="0"/>
        <w:outlineLvl w:val="1"/>
        <w:rPr>
          <w:rFonts w:ascii="Times New Roman" w:hAnsi="Times New Roman" w:cs="Times New Roman"/>
          <w:spacing w:val="-3"/>
        </w:rPr>
      </w:pPr>
    </w:p>
    <w:p w:rsidR="00ED185B" w:rsidRPr="00E4054A" w:rsidRDefault="0093106A" w:rsidP="0093106A">
      <w:pPr>
        <w:tabs>
          <w:tab w:val="left" w:pos="-72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B2006">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69264F">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93106A" w:rsidP="0093106A">
      <w:pPr>
        <w:pStyle w:val="PlainText"/>
        <w:spacing w:line="360" w:lineRule="auto"/>
        <w:rPr>
          <w:rFonts w:ascii="Times New Roman" w:hAnsi="Times New Roman"/>
          <w:sz w:val="24"/>
          <w:szCs w:val="24"/>
        </w:rPr>
      </w:pPr>
      <w:r>
        <w:rPr>
          <w:rFonts w:ascii="Times New Roman" w:hAnsi="Times New Roman"/>
          <w:spacing w:val="-3"/>
        </w:rPr>
        <w:lastRenderedPageBreak/>
        <w:tab/>
      </w:r>
      <w:r>
        <w:rPr>
          <w:rFonts w:ascii="Times New Roman" w:hAnsi="Times New Roman"/>
          <w:spacing w:val="-3"/>
        </w:rPr>
        <w:tab/>
      </w:r>
      <w:r w:rsidR="00AB2006">
        <w:rPr>
          <w:rFonts w:ascii="Times New Roman" w:hAnsi="Times New Roman"/>
          <w:spacing w:val="-3"/>
        </w:rPr>
        <w:t>6</w:t>
      </w:r>
      <w:r>
        <w:rPr>
          <w:rFonts w:ascii="Times New Roman" w:hAnsi="Times New Roman"/>
          <w:spacing w:val="-3"/>
        </w:rPr>
        <w:t>.</w:t>
      </w:r>
      <w:r>
        <w:rPr>
          <w:rFonts w:ascii="Times New Roman" w:hAnsi="Times New Roman"/>
          <w:spacing w:val="-3"/>
        </w:rPr>
        <w:tab/>
      </w:r>
      <w:r w:rsidR="000D45A9" w:rsidRPr="00643751">
        <w:rPr>
          <w:rFonts w:ascii="Times New Roman" w:hAnsi="Times New Roman"/>
          <w:spacing w:val="-3"/>
        </w:rPr>
        <w:t xml:space="preserve">Pursuant to 52 Pa. Code §§1.21 &amp; 1.22, </w:t>
      </w:r>
      <w:r w:rsidR="000D45A9">
        <w:rPr>
          <w:rFonts w:ascii="Times New Roman" w:hAnsi="Times New Roman"/>
          <w:spacing w:val="-3"/>
        </w:rPr>
        <w:t>a</w:t>
      </w:r>
      <w:r w:rsidR="000D45A9">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9"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FE01DB" w:rsidP="00643751">
      <w:pPr>
        <w:pStyle w:val="PlainText"/>
        <w:tabs>
          <w:tab w:val="left" w:pos="2070"/>
        </w:tabs>
        <w:ind w:left="1440" w:right="1440"/>
        <w:rPr>
          <w:rFonts w:ascii="Times New Roman" w:hAnsi="Times New Roman"/>
          <w:sz w:val="24"/>
          <w:szCs w:val="24"/>
        </w:rPr>
      </w:pPr>
      <w:hyperlink r:id="rId10" w:history="1">
        <w:r w:rsidR="00C86641"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C3B5D" w:rsidP="000C3B5D">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B2006">
        <w:rPr>
          <w:rFonts w:ascii="Times New Roman" w:hAnsi="Times New Roman" w:cs="Times New Roman"/>
          <w:spacing w:val="-3"/>
        </w:rPr>
        <w:t>7</w:t>
      </w:r>
      <w:r>
        <w:rPr>
          <w:rFonts w:ascii="Times New Roman" w:hAnsi="Times New Roman" w:cs="Times New Roman"/>
          <w:spacing w:val="-3"/>
        </w:rPr>
        <w:t>.</w:t>
      </w:r>
      <w:r>
        <w:rPr>
          <w:rFonts w:ascii="Times New Roman" w:hAnsi="Times New Roman" w:cs="Times New Roman"/>
          <w:spacing w:val="-3"/>
        </w:rPr>
        <w:tab/>
      </w:r>
      <w:r w:rsidR="000D45A9">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0C3B5D" w:rsidRDefault="000C3B5D" w:rsidP="000C3B5D">
      <w:pPr>
        <w:pStyle w:val="ParaTab1"/>
        <w:spacing w:line="360" w:lineRule="auto"/>
        <w:ind w:firstLine="0"/>
        <w:rPr>
          <w:rFonts w:ascii="Times New Roman" w:hAnsi="Times New Roman" w:cs="Times New Roman"/>
          <w:spacing w:val="-3"/>
        </w:rPr>
      </w:pPr>
    </w:p>
    <w:p w:rsidR="00D81E17" w:rsidRPr="00643751" w:rsidRDefault="000C3B5D" w:rsidP="000C3B5D">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B2006">
        <w:rPr>
          <w:rFonts w:ascii="Times New Roman" w:hAnsi="Times New Roman" w:cs="Times New Roman"/>
          <w:spacing w:val="-3"/>
        </w:rPr>
        <w:t>8</w:t>
      </w:r>
      <w:r>
        <w:rPr>
          <w:rFonts w:ascii="Times New Roman" w:hAnsi="Times New Roman" w:cs="Times New Roman"/>
          <w:spacing w:val="-3"/>
        </w:rPr>
        <w:t>.</w:t>
      </w:r>
      <w:r>
        <w:rPr>
          <w:rFonts w:ascii="Times New Roman" w:hAnsi="Times New Roman" w:cs="Times New Roman"/>
          <w:spacing w:val="-3"/>
        </w:rPr>
        <w:tab/>
      </w:r>
      <w:r w:rsidR="00D81E17" w:rsidRPr="00643751">
        <w:rPr>
          <w:rFonts w:ascii="Times New Roman" w:hAnsi="Times New Roman" w:cs="Times New Roman"/>
          <w:spacing w:val="-3"/>
        </w:rPr>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B2006">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00ED185B"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00ED185B" w:rsidRPr="00643751">
        <w:rPr>
          <w:rFonts w:ascii="Times New Roman" w:hAnsi="Times New Roman"/>
          <w:sz w:val="24"/>
          <w:szCs w:val="24"/>
        </w:rPr>
        <w:t>.  Failure to make payments may result in the termination of utility service</w:t>
      </w:r>
      <w:r w:rsidR="00ED185B"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tab/>
      </w:r>
      <w:r>
        <w:rPr>
          <w:rFonts w:ascii="Times New Roman" w:hAnsi="Times New Roman"/>
          <w:spacing w:val="-3"/>
          <w:sz w:val="24"/>
          <w:szCs w:val="24"/>
        </w:rPr>
        <w:tab/>
      </w:r>
      <w:r w:rsidR="00AB2006">
        <w:rPr>
          <w:rFonts w:ascii="Times New Roman" w:hAnsi="Times New Roman"/>
          <w:spacing w:val="-3"/>
          <w:sz w:val="24"/>
          <w:szCs w:val="24"/>
        </w:rPr>
        <w:t>10</w:t>
      </w:r>
      <w:r>
        <w:rPr>
          <w:rFonts w:ascii="Times New Roman" w:hAnsi="Times New Roman"/>
          <w:spacing w:val="-3"/>
          <w:sz w:val="24"/>
          <w:szCs w:val="24"/>
        </w:rPr>
        <w:t>.</w:t>
      </w:r>
      <w:r>
        <w:rPr>
          <w:rFonts w:ascii="Times New Roman" w:hAnsi="Times New Roman"/>
          <w:spacing w:val="-3"/>
          <w:sz w:val="24"/>
          <w:szCs w:val="24"/>
        </w:rPr>
        <w:tab/>
      </w:r>
      <w:r w:rsidR="00C6006E"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00C6006E"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0C3B5D"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tab/>
      </w:r>
      <w:r>
        <w:rPr>
          <w:rFonts w:ascii="Times New Roman" w:hAnsi="Times New Roman"/>
          <w:spacing w:val="-3"/>
          <w:sz w:val="24"/>
          <w:szCs w:val="24"/>
        </w:rPr>
        <w:tab/>
      </w:r>
      <w:r w:rsidR="00AB2006">
        <w:rPr>
          <w:rFonts w:ascii="Times New Roman" w:hAnsi="Times New Roman"/>
          <w:spacing w:val="-3"/>
          <w:sz w:val="24"/>
          <w:szCs w:val="24"/>
        </w:rPr>
        <w:t>11</w:t>
      </w:r>
      <w:r w:rsidRPr="000C3B5D">
        <w:rPr>
          <w:rFonts w:ascii="Times New Roman" w:hAnsi="Times New Roman"/>
          <w:spacing w:val="-3"/>
          <w:sz w:val="24"/>
          <w:szCs w:val="24"/>
        </w:rPr>
        <w:t>.</w:t>
      </w:r>
      <w:r w:rsidRPr="000C3B5D">
        <w:rPr>
          <w:rFonts w:ascii="Times New Roman" w:hAnsi="Times New Roman"/>
          <w:spacing w:val="-3"/>
          <w:sz w:val="24"/>
          <w:szCs w:val="24"/>
        </w:rPr>
        <w:tab/>
      </w:r>
      <w:r w:rsidR="00FA6AC0" w:rsidRPr="000C3B5D">
        <w:rPr>
          <w:rFonts w:ascii="Times New Roman" w:hAnsi="Times New Roman"/>
          <w:spacing w:val="-3"/>
          <w:sz w:val="24"/>
          <w:szCs w:val="24"/>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lastRenderedPageBreak/>
        <w:tab/>
      </w:r>
      <w:r>
        <w:rPr>
          <w:rFonts w:ascii="Times New Roman" w:hAnsi="Times New Roman"/>
          <w:spacing w:val="-3"/>
          <w:sz w:val="24"/>
          <w:szCs w:val="24"/>
        </w:rPr>
        <w:tab/>
      </w:r>
      <w:r w:rsidR="00AB2006">
        <w:rPr>
          <w:rFonts w:ascii="Times New Roman" w:hAnsi="Times New Roman"/>
          <w:spacing w:val="-3"/>
          <w:sz w:val="24"/>
          <w:szCs w:val="24"/>
        </w:rPr>
        <w:t>12</w:t>
      </w:r>
      <w:r>
        <w:rPr>
          <w:rFonts w:ascii="Times New Roman" w:hAnsi="Times New Roman"/>
          <w:spacing w:val="-3"/>
          <w:sz w:val="24"/>
          <w:szCs w:val="24"/>
        </w:rPr>
        <w:t>.</w:t>
      </w:r>
      <w:r>
        <w:rPr>
          <w:rFonts w:ascii="Times New Roman" w:hAnsi="Times New Roman"/>
          <w:spacing w:val="-3"/>
          <w:sz w:val="24"/>
          <w:szCs w:val="24"/>
        </w:rPr>
        <w:tab/>
      </w:r>
      <w:r w:rsidR="00ED185B"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00ED185B" w:rsidRPr="00643751">
        <w:rPr>
          <w:rFonts w:ascii="Times New Roman" w:hAnsi="Times New Roman"/>
          <w:spacing w:val="-3"/>
          <w:sz w:val="24"/>
          <w:szCs w:val="24"/>
        </w:rPr>
        <w:t xml:space="preserve">bears the burden of proof and must demonstrate by a preponderance of the evidence that </w:t>
      </w:r>
      <w:r w:rsidR="00AB2006">
        <w:rPr>
          <w:rFonts w:ascii="Times New Roman" w:hAnsi="Times New Roman"/>
          <w:spacing w:val="-3"/>
          <w:sz w:val="24"/>
          <w:szCs w:val="24"/>
        </w:rPr>
        <w:t>s</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00ED185B"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00ED185B"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B2006">
        <w:rPr>
          <w:rFonts w:ascii="Times New Roman" w:hAnsi="Times New Roman"/>
          <w:sz w:val="24"/>
          <w:szCs w:val="24"/>
        </w:rPr>
        <w:t>13</w:t>
      </w:r>
      <w:r>
        <w:rPr>
          <w:rFonts w:ascii="Times New Roman" w:hAnsi="Times New Roman"/>
          <w:sz w:val="24"/>
          <w:szCs w:val="24"/>
        </w:rPr>
        <w:t>.</w:t>
      </w:r>
      <w:r>
        <w:rPr>
          <w:rFonts w:ascii="Times New Roman" w:hAnsi="Times New Roman"/>
          <w:sz w:val="24"/>
          <w:szCs w:val="24"/>
        </w:rPr>
        <w:tab/>
      </w:r>
      <w:r w:rsidR="00EC3BC4"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00EC3BC4" w:rsidRPr="00643751">
        <w:rPr>
          <w:rFonts w:ascii="Times New Roman" w:hAnsi="Times New Roman"/>
          <w:sz w:val="24"/>
          <w:szCs w:val="24"/>
        </w:rPr>
        <w:t xml:space="preserve"> ha</w:t>
      </w:r>
      <w:r w:rsidR="00B66062" w:rsidRPr="00643751">
        <w:rPr>
          <w:rFonts w:ascii="Times New Roman" w:hAnsi="Times New Roman"/>
          <w:sz w:val="24"/>
          <w:szCs w:val="24"/>
        </w:rPr>
        <w:t>s</w:t>
      </w:r>
      <w:r w:rsidR="00EC3BC4"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00EC3BC4"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00EC3BC4" w:rsidRPr="00643751">
        <w:rPr>
          <w:rFonts w:ascii="Times New Roman" w:hAnsi="Times New Roman"/>
          <w:sz w:val="24"/>
          <w:szCs w:val="24"/>
        </w:rPr>
        <w:t xml:space="preserve">cheduling </w:t>
      </w:r>
      <w:r w:rsidR="00B66062" w:rsidRPr="00643751">
        <w:rPr>
          <w:rFonts w:ascii="Times New Roman" w:hAnsi="Times New Roman"/>
          <w:sz w:val="24"/>
          <w:szCs w:val="24"/>
        </w:rPr>
        <w:t>o</w:t>
      </w:r>
      <w:r w:rsidR="00EC3BC4"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00EC3BC4"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00EC3BC4"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00EC3BC4"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00EC3BC4"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00EC3BC4"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B2006">
        <w:rPr>
          <w:rFonts w:ascii="Times New Roman" w:hAnsi="Times New Roman"/>
          <w:sz w:val="24"/>
          <w:szCs w:val="24"/>
        </w:rPr>
        <w:t>14</w:t>
      </w:r>
      <w:r>
        <w:rPr>
          <w:rFonts w:ascii="Times New Roman" w:hAnsi="Times New Roman"/>
          <w:sz w:val="24"/>
          <w:szCs w:val="24"/>
        </w:rPr>
        <w:t>.</w:t>
      </w:r>
      <w:r>
        <w:rPr>
          <w:rFonts w:ascii="Times New Roman" w:hAnsi="Times New Roman"/>
          <w:sz w:val="24"/>
          <w:szCs w:val="24"/>
        </w:rPr>
        <w:tab/>
      </w:r>
      <w:r w:rsidR="00B868AF" w:rsidRPr="00643751">
        <w:rPr>
          <w:rFonts w:ascii="Times New Roman" w:hAnsi="Times New Roman"/>
          <w:sz w:val="24"/>
          <w:szCs w:val="24"/>
        </w:rPr>
        <w:t>The Commission’s phone system can only call two telephone numbers</w:t>
      </w:r>
      <w:r w:rsidR="007B1734" w:rsidRPr="00643751">
        <w:rPr>
          <w:rFonts w:ascii="Times New Roman" w:hAnsi="Times New Roman"/>
          <w:sz w:val="24"/>
          <w:szCs w:val="24"/>
        </w:rPr>
        <w:t xml:space="preserve"> at one time</w:t>
      </w:r>
      <w:r w:rsidR="00B868AF"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00B868AF" w:rsidRPr="00643751">
        <w:rPr>
          <w:rFonts w:ascii="Times New Roman" w:hAnsi="Times New Roman"/>
          <w:sz w:val="24"/>
          <w:szCs w:val="24"/>
        </w:rPr>
        <w:t xml:space="preserve">additional numbers for the hearing, </w:t>
      </w:r>
      <w:r>
        <w:rPr>
          <w:rFonts w:ascii="Times New Roman" w:hAnsi="Times New Roman"/>
          <w:sz w:val="24"/>
          <w:szCs w:val="24"/>
        </w:rPr>
        <w:t xml:space="preserve">the utility will be requested to set up </w:t>
      </w:r>
      <w:r w:rsidR="00B868AF" w:rsidRPr="00643751">
        <w:rPr>
          <w:rFonts w:ascii="Times New Roman" w:hAnsi="Times New Roman"/>
          <w:sz w:val="24"/>
          <w:szCs w:val="24"/>
        </w:rPr>
        <w:t>altern</w:t>
      </w:r>
      <w:r>
        <w:rPr>
          <w:rFonts w:ascii="Times New Roman" w:hAnsi="Times New Roman"/>
          <w:sz w:val="24"/>
          <w:szCs w:val="24"/>
        </w:rPr>
        <w:t>ative conferencing arrangements</w:t>
      </w:r>
      <w:r w:rsidR="00B868AF" w:rsidRPr="00643751">
        <w:rPr>
          <w:rFonts w:ascii="Times New Roman" w:hAnsi="Times New Roman"/>
          <w:sz w:val="24"/>
          <w:szCs w:val="24"/>
        </w:rPr>
        <w:t>.</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C3B5D" w:rsidRPr="000C3B5D">
        <w:rPr>
          <w:rFonts w:ascii="Times New Roman" w:hAnsi="Times New Roman" w:cs="Times New Roman"/>
          <w:spacing w:val="-3"/>
          <w:u w:val="single"/>
        </w:rPr>
        <w:t xml:space="preserve">February </w:t>
      </w:r>
      <w:r w:rsidR="00AB2006">
        <w:rPr>
          <w:rFonts w:ascii="Times New Roman" w:hAnsi="Times New Roman" w:cs="Times New Roman"/>
          <w:spacing w:val="-3"/>
          <w:u w:val="single"/>
        </w:rPr>
        <w:t>27</w:t>
      </w:r>
      <w:r w:rsidR="008D3981" w:rsidRPr="000C3B5D">
        <w:rPr>
          <w:rFonts w:ascii="Times New Roman" w:hAnsi="Times New Roman" w:cs="Times New Roman"/>
          <w:spacing w:val="-3"/>
          <w:u w:val="single"/>
        </w:rPr>
        <w:t>, 201</w:t>
      </w:r>
      <w:r w:rsidR="000C3B5D" w:rsidRPr="000C3B5D">
        <w:rPr>
          <w:rFonts w:ascii="Times New Roman" w:hAnsi="Times New Roman" w:cs="Times New Roman"/>
          <w:spacing w:val="-3"/>
          <w:u w:val="single"/>
        </w:rPr>
        <w:t>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0C3B5D">
        <w:rPr>
          <w:rFonts w:ascii="Times New Roman" w:hAnsi="Times New Roman" w:cs="Times New Roman"/>
          <w:spacing w:val="-3"/>
        </w:rPr>
        <w:t>Kandace F. Melillo</w:t>
      </w:r>
    </w:p>
    <w:p w:rsidR="002130D5" w:rsidRDefault="00ED185B" w:rsidP="000D45A9">
      <w:pPr>
        <w:pStyle w:val="ParaTab1"/>
        <w:tabs>
          <w:tab w:val="clear" w:pos="-720"/>
          <w:tab w:val="left" w:pos="720"/>
          <w:tab w:val="left" w:pos="5040"/>
        </w:tabs>
        <w:ind w:firstLine="0"/>
        <w:rPr>
          <w:rFonts w:ascii="Times New Roman" w:hAnsi="Times New Roman"/>
        </w:rPr>
        <w:sectPr w:rsidR="002130D5" w:rsidSect="00426E3D">
          <w:footerReference w:type="even" r:id="rId11"/>
          <w:footerReference w:type="default" r:id="rId12"/>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130D5" w:rsidRPr="002130D5" w:rsidRDefault="002130D5" w:rsidP="002130D5">
      <w:pPr>
        <w:autoSpaceDE/>
        <w:autoSpaceDN/>
        <w:contextualSpacing/>
        <w:rPr>
          <w:rFonts w:ascii="Calibri" w:hAnsi="Calibri" w:cs="Times New Roman"/>
          <w:b/>
          <w:i/>
          <w:sz w:val="22"/>
          <w:szCs w:val="22"/>
          <w:u w:val="single"/>
        </w:rPr>
      </w:pPr>
      <w:r w:rsidRPr="002130D5">
        <w:rPr>
          <w:rFonts w:ascii="Microsoft Sans Serif" w:hAnsi="Calibri" w:cs="Times New Roman"/>
          <w:b/>
          <w:szCs w:val="22"/>
          <w:u w:val="single"/>
        </w:rPr>
        <w:lastRenderedPageBreak/>
        <w:t>F-2014-2404303 - SANDRA HOPELY v. PECO ENERGY COMPANY-ELECTRIC</w:t>
      </w:r>
      <w:r w:rsidRPr="002130D5">
        <w:rPr>
          <w:rFonts w:ascii="Microsoft Sans Serif" w:hAnsi="Calibri" w:cs="Times New Roman"/>
          <w:b/>
          <w:szCs w:val="22"/>
          <w:u w:val="single"/>
        </w:rPr>
        <w:cr/>
      </w:r>
      <w:r w:rsidRPr="002130D5">
        <w:rPr>
          <w:rFonts w:ascii="Microsoft Sans Serif" w:hAnsi="Calibri" w:cs="Times New Roman"/>
          <w:b/>
          <w:szCs w:val="22"/>
          <w:u w:val="single"/>
        </w:rPr>
        <w:cr/>
      </w:r>
      <w:bookmarkStart w:id="0" w:name="_GoBack"/>
      <w:r w:rsidRPr="002130D5">
        <w:rPr>
          <w:rFonts w:ascii="Microsoft Sans Serif" w:hAnsi="Calibri" w:cs="Times New Roman"/>
          <w:szCs w:val="22"/>
        </w:rPr>
        <w:t>SANDRA HOPELY</w:t>
      </w:r>
      <w:r w:rsidRPr="002130D5">
        <w:rPr>
          <w:rFonts w:ascii="Microsoft Sans Serif" w:hAnsi="Calibri" w:cs="Times New Roman"/>
          <w:szCs w:val="22"/>
        </w:rPr>
        <w:cr/>
        <w:t>3146 TILTON STREET</w:t>
      </w:r>
      <w:r w:rsidRPr="002130D5">
        <w:rPr>
          <w:rFonts w:ascii="Microsoft Sans Serif" w:hAnsi="Calibri" w:cs="Times New Roman"/>
          <w:szCs w:val="22"/>
        </w:rPr>
        <w:cr/>
        <w:t>PHILADELPHIA PA  19134</w:t>
      </w:r>
      <w:bookmarkEnd w:id="0"/>
      <w:r w:rsidRPr="002130D5">
        <w:rPr>
          <w:rFonts w:ascii="Microsoft Sans Serif" w:hAnsi="Calibri" w:cs="Times New Roman"/>
          <w:szCs w:val="22"/>
        </w:rPr>
        <w:cr/>
        <w:t>215.990.1755</w:t>
      </w:r>
      <w:r w:rsidRPr="002130D5">
        <w:rPr>
          <w:rFonts w:ascii="Microsoft Sans Serif" w:hAnsi="Calibri" w:cs="Times New Roman"/>
          <w:szCs w:val="22"/>
        </w:rPr>
        <w:cr/>
      </w:r>
      <w:r w:rsidRPr="002130D5">
        <w:rPr>
          <w:rFonts w:ascii="Microsoft Sans Serif" w:hAnsi="Calibri" w:cs="Times New Roman"/>
          <w:szCs w:val="22"/>
        </w:rPr>
        <w:cr/>
        <w:t>SHAWANE L LEE ESQUIRE</w:t>
      </w:r>
      <w:r w:rsidRPr="002130D5">
        <w:rPr>
          <w:rFonts w:ascii="Microsoft Sans Serif" w:hAnsi="Calibri" w:cs="Times New Roman"/>
          <w:szCs w:val="22"/>
        </w:rPr>
        <w:cr/>
        <w:t>EXELON BUSINESS SERVICES</w:t>
      </w:r>
      <w:r w:rsidRPr="002130D5">
        <w:rPr>
          <w:rFonts w:ascii="Microsoft Sans Serif" w:hAnsi="Calibri" w:cs="Times New Roman"/>
          <w:szCs w:val="22"/>
        </w:rPr>
        <w:cr/>
        <w:t>2301 MARKET STREET S23-1</w:t>
      </w:r>
      <w:r w:rsidRPr="002130D5">
        <w:rPr>
          <w:rFonts w:ascii="Microsoft Sans Serif" w:hAnsi="Calibri" w:cs="Times New Roman"/>
          <w:szCs w:val="22"/>
        </w:rPr>
        <w:cr/>
        <w:t>PHILADELPHIA PA  19103</w:t>
      </w:r>
      <w:r w:rsidRPr="002130D5">
        <w:rPr>
          <w:rFonts w:ascii="Microsoft Sans Serif" w:hAnsi="Calibri" w:cs="Times New Roman"/>
          <w:szCs w:val="22"/>
        </w:rPr>
        <w:cr/>
        <w:t>215.841.6841</w:t>
      </w:r>
      <w:r w:rsidRPr="002130D5">
        <w:rPr>
          <w:rFonts w:ascii="Microsoft Sans Serif" w:hAnsi="Calibri" w:cs="Times New Roman"/>
          <w:szCs w:val="22"/>
        </w:rPr>
        <w:cr/>
      </w:r>
      <w:r w:rsidRPr="002130D5">
        <w:rPr>
          <w:rFonts w:ascii="Microsoft Sans Serif" w:hAnsi="Calibri" w:cs="Times New Roman"/>
          <w:b/>
          <w:i/>
          <w:szCs w:val="22"/>
          <w:u w:val="single"/>
        </w:rPr>
        <w:t>E-Serve</w:t>
      </w:r>
    </w:p>
    <w:p w:rsidR="002130D5" w:rsidRPr="002130D5" w:rsidRDefault="002130D5" w:rsidP="002130D5">
      <w:pPr>
        <w:autoSpaceDE/>
        <w:autoSpaceDN/>
        <w:contextualSpacing/>
        <w:rPr>
          <w:rFonts w:ascii="Calibri" w:hAnsi="Calibri" w:cs="Times New Roman"/>
          <w:sz w:val="22"/>
          <w:szCs w:val="22"/>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DB" w:rsidRDefault="00FE01DB">
      <w:pPr>
        <w:spacing w:line="20" w:lineRule="exact"/>
        <w:rPr>
          <w:sz w:val="20"/>
          <w:szCs w:val="20"/>
        </w:rPr>
      </w:pPr>
    </w:p>
  </w:endnote>
  <w:endnote w:type="continuationSeparator" w:id="0">
    <w:p w:rsidR="00FE01DB" w:rsidRDefault="00FE01DB">
      <w:pPr>
        <w:pStyle w:val="ParaTab1"/>
        <w:rPr>
          <w:sz w:val="20"/>
          <w:szCs w:val="20"/>
        </w:rPr>
      </w:pPr>
      <w:r>
        <w:rPr>
          <w:sz w:val="20"/>
          <w:szCs w:val="20"/>
        </w:rPr>
        <w:t xml:space="preserve"> </w:t>
      </w:r>
    </w:p>
  </w:endnote>
  <w:endnote w:type="continuationNotice" w:id="1">
    <w:p w:rsidR="00FE01DB" w:rsidRDefault="00FE01D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2130D5">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D5" w:rsidRPr="002130D5" w:rsidRDefault="002130D5" w:rsidP="00213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DB" w:rsidRDefault="00FE01DB">
      <w:pPr>
        <w:pStyle w:val="ParaTab1"/>
        <w:rPr>
          <w:sz w:val="20"/>
          <w:szCs w:val="20"/>
        </w:rPr>
      </w:pPr>
      <w:r>
        <w:rPr>
          <w:sz w:val="20"/>
          <w:szCs w:val="20"/>
        </w:rPr>
        <w:separator/>
      </w:r>
    </w:p>
  </w:footnote>
  <w:footnote w:type="continuationSeparator" w:id="0">
    <w:p w:rsidR="00FE01DB" w:rsidRDefault="00FE01D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4685A"/>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3B5D"/>
    <w:rsid w:val="000C4DD0"/>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242"/>
    <w:rsid w:val="00207ADA"/>
    <w:rsid w:val="002130D5"/>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3BFD"/>
    <w:rsid w:val="004B7AA0"/>
    <w:rsid w:val="004C0C95"/>
    <w:rsid w:val="004D1F06"/>
    <w:rsid w:val="004D3324"/>
    <w:rsid w:val="004E7587"/>
    <w:rsid w:val="004E7962"/>
    <w:rsid w:val="004F3183"/>
    <w:rsid w:val="004F4257"/>
    <w:rsid w:val="004F6DE9"/>
    <w:rsid w:val="004F7B16"/>
    <w:rsid w:val="00503931"/>
    <w:rsid w:val="005053C7"/>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694F"/>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388E"/>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B571E"/>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017C"/>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1EF8"/>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76C67"/>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06A"/>
    <w:rsid w:val="0093122E"/>
    <w:rsid w:val="009314E1"/>
    <w:rsid w:val="00935843"/>
    <w:rsid w:val="009435BE"/>
    <w:rsid w:val="009454DF"/>
    <w:rsid w:val="0094703B"/>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2BBF"/>
    <w:rsid w:val="009A4689"/>
    <w:rsid w:val="009A4B0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37A"/>
    <w:rsid w:val="00AB17F8"/>
    <w:rsid w:val="00AB1B57"/>
    <w:rsid w:val="00AB2006"/>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2381"/>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3607"/>
    <w:rsid w:val="00C736C8"/>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010C"/>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01DB"/>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elillo@p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6539</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2014-02-27T20:48:00Z</cp:lastPrinted>
  <dcterms:created xsi:type="dcterms:W3CDTF">2014-02-27T20:46:00Z</dcterms:created>
  <dcterms:modified xsi:type="dcterms:W3CDTF">2014-02-27T20:53:00Z</dcterms:modified>
</cp:coreProperties>
</file>