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0E35DD" w:rsidRDefault="0082408D">
      <w:pPr>
        <w:pStyle w:val="Title"/>
        <w:rPr>
          <w:rFonts w:ascii="Times New Roman" w:hAnsi="Times New Roman"/>
          <w:szCs w:val="24"/>
        </w:rPr>
      </w:pPr>
      <w:r w:rsidRPr="000E35DD">
        <w:rPr>
          <w:rFonts w:ascii="Times New Roman" w:hAnsi="Times New Roman"/>
          <w:szCs w:val="24"/>
        </w:rPr>
        <w:t>BEFORE THE</w:t>
      </w:r>
    </w:p>
    <w:p w:rsidR="0082408D" w:rsidRPr="000E35DD" w:rsidRDefault="0082408D">
      <w:pPr>
        <w:pStyle w:val="Subtitle"/>
        <w:rPr>
          <w:rFonts w:ascii="Times New Roman" w:hAnsi="Times New Roman"/>
          <w:szCs w:val="24"/>
        </w:rPr>
      </w:pPr>
      <w:r w:rsidRPr="000E35DD">
        <w:rPr>
          <w:rFonts w:ascii="Times New Roman" w:hAnsi="Times New Roman"/>
          <w:szCs w:val="24"/>
        </w:rPr>
        <w:t>PENNSYLVANIA PUBLIC UTILITY COMMISSION</w:t>
      </w:r>
    </w:p>
    <w:p w:rsidR="0082408D" w:rsidRDefault="0082408D">
      <w:pPr>
        <w:jc w:val="both"/>
        <w:rPr>
          <w:sz w:val="24"/>
          <w:szCs w:val="24"/>
        </w:rPr>
      </w:pPr>
    </w:p>
    <w:p w:rsidR="000E35DD" w:rsidRPr="000E35DD" w:rsidRDefault="000E35DD">
      <w:pPr>
        <w:jc w:val="both"/>
        <w:rPr>
          <w:sz w:val="24"/>
          <w:szCs w:val="24"/>
        </w:rPr>
      </w:pPr>
    </w:p>
    <w:p w:rsidR="0082408D" w:rsidRPr="000E35DD" w:rsidRDefault="0082408D">
      <w:pPr>
        <w:jc w:val="both"/>
        <w:rPr>
          <w:sz w:val="24"/>
          <w:szCs w:val="24"/>
        </w:rPr>
      </w:pPr>
    </w:p>
    <w:p w:rsidR="00477873" w:rsidRPr="000E35DD" w:rsidRDefault="006E458D" w:rsidP="00477873">
      <w:pPr>
        <w:jc w:val="both"/>
        <w:rPr>
          <w:sz w:val="24"/>
          <w:szCs w:val="24"/>
        </w:rPr>
      </w:pPr>
      <w:r w:rsidRPr="000E35DD">
        <w:rPr>
          <w:sz w:val="24"/>
          <w:szCs w:val="24"/>
        </w:rPr>
        <w:t xml:space="preserve">Connie </w:t>
      </w:r>
      <w:proofErr w:type="spellStart"/>
      <w:r w:rsidRPr="000E35DD">
        <w:rPr>
          <w:sz w:val="24"/>
          <w:szCs w:val="24"/>
        </w:rPr>
        <w:t>McRoberts</w:t>
      </w:r>
      <w:proofErr w:type="spellEnd"/>
      <w:r w:rsidR="001D32C7" w:rsidRPr="000E35DD">
        <w:rPr>
          <w:sz w:val="24"/>
          <w:szCs w:val="24"/>
        </w:rPr>
        <w:tab/>
      </w:r>
      <w:r w:rsidR="007042D6" w:rsidRPr="000E35DD">
        <w:rPr>
          <w:sz w:val="24"/>
          <w:szCs w:val="24"/>
        </w:rPr>
        <w:tab/>
      </w:r>
      <w:r w:rsidR="007042D6" w:rsidRPr="000E35DD">
        <w:rPr>
          <w:sz w:val="24"/>
          <w:szCs w:val="24"/>
        </w:rPr>
        <w:tab/>
      </w:r>
      <w:r w:rsidR="007042D6" w:rsidRPr="000E35DD">
        <w:rPr>
          <w:sz w:val="24"/>
          <w:szCs w:val="24"/>
        </w:rPr>
        <w:tab/>
      </w:r>
      <w:r w:rsidR="007042D6" w:rsidRPr="000E35DD">
        <w:rPr>
          <w:sz w:val="24"/>
          <w:szCs w:val="24"/>
        </w:rPr>
        <w:tab/>
        <w:t>:</w:t>
      </w:r>
    </w:p>
    <w:p w:rsidR="006555D7" w:rsidRPr="000E35DD" w:rsidRDefault="0082408D">
      <w:pPr>
        <w:jc w:val="both"/>
        <w:rPr>
          <w:sz w:val="24"/>
          <w:szCs w:val="24"/>
        </w:rPr>
      </w:pPr>
      <w:r w:rsidRPr="000E35DD">
        <w:rPr>
          <w:sz w:val="24"/>
          <w:szCs w:val="24"/>
        </w:rPr>
        <w:tab/>
      </w:r>
      <w:r w:rsidRPr="000E35DD">
        <w:rPr>
          <w:sz w:val="24"/>
          <w:szCs w:val="24"/>
        </w:rPr>
        <w:tab/>
      </w:r>
      <w:r w:rsidR="00A050D1"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t>:</w:t>
      </w:r>
      <w:r w:rsidR="007042D6" w:rsidRPr="000E35DD">
        <w:rPr>
          <w:sz w:val="24"/>
          <w:szCs w:val="24"/>
        </w:rPr>
        <w:tab/>
      </w:r>
    </w:p>
    <w:p w:rsidR="0082408D" w:rsidRPr="000E35DD" w:rsidRDefault="006555D7">
      <w:pPr>
        <w:jc w:val="both"/>
        <w:rPr>
          <w:sz w:val="24"/>
          <w:szCs w:val="24"/>
        </w:rPr>
      </w:pP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t>:</w:t>
      </w:r>
      <w:r w:rsidR="007042D6" w:rsidRPr="000E35DD">
        <w:rPr>
          <w:sz w:val="24"/>
          <w:szCs w:val="24"/>
        </w:rPr>
        <w:tab/>
      </w:r>
    </w:p>
    <w:p w:rsidR="0082408D" w:rsidRPr="000E35DD" w:rsidRDefault="0082408D">
      <w:pPr>
        <w:jc w:val="both"/>
        <w:rPr>
          <w:sz w:val="24"/>
          <w:szCs w:val="24"/>
        </w:rPr>
      </w:pPr>
      <w:r w:rsidRPr="000E35DD">
        <w:rPr>
          <w:sz w:val="24"/>
          <w:szCs w:val="24"/>
        </w:rPr>
        <w:tab/>
        <w:t>v.</w:t>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t>:</w:t>
      </w:r>
      <w:r w:rsidR="006555D7" w:rsidRPr="000E35DD">
        <w:rPr>
          <w:sz w:val="24"/>
          <w:szCs w:val="24"/>
        </w:rPr>
        <w:tab/>
      </w:r>
      <w:r w:rsidR="006555D7" w:rsidRPr="000E35DD">
        <w:rPr>
          <w:sz w:val="24"/>
          <w:szCs w:val="24"/>
        </w:rPr>
        <w:tab/>
      </w:r>
      <w:r w:rsidR="00A050D1" w:rsidRPr="000E35DD">
        <w:rPr>
          <w:sz w:val="24"/>
          <w:szCs w:val="24"/>
        </w:rPr>
        <w:t>C</w:t>
      </w:r>
      <w:r w:rsidR="006555D7" w:rsidRPr="000E35DD">
        <w:rPr>
          <w:sz w:val="24"/>
          <w:szCs w:val="24"/>
        </w:rPr>
        <w:t>-20</w:t>
      </w:r>
      <w:r w:rsidR="001D32C7" w:rsidRPr="000E35DD">
        <w:rPr>
          <w:sz w:val="24"/>
          <w:szCs w:val="24"/>
        </w:rPr>
        <w:t>1</w:t>
      </w:r>
      <w:r w:rsidR="00A050D1" w:rsidRPr="000E35DD">
        <w:rPr>
          <w:sz w:val="24"/>
          <w:szCs w:val="24"/>
        </w:rPr>
        <w:t>2</w:t>
      </w:r>
      <w:r w:rsidR="006555D7" w:rsidRPr="000E35DD">
        <w:rPr>
          <w:sz w:val="24"/>
          <w:szCs w:val="24"/>
        </w:rPr>
        <w:t>-2</w:t>
      </w:r>
      <w:r w:rsidR="00A050D1" w:rsidRPr="000E35DD">
        <w:rPr>
          <w:sz w:val="24"/>
          <w:szCs w:val="24"/>
        </w:rPr>
        <w:t>28</w:t>
      </w:r>
      <w:r w:rsidR="006E458D" w:rsidRPr="000E35DD">
        <w:rPr>
          <w:sz w:val="24"/>
          <w:szCs w:val="24"/>
        </w:rPr>
        <w:t>1317</w:t>
      </w:r>
    </w:p>
    <w:p w:rsidR="0082408D" w:rsidRPr="000E35DD" w:rsidRDefault="0082408D">
      <w:pPr>
        <w:ind w:firstLine="720"/>
        <w:jc w:val="both"/>
        <w:rPr>
          <w:sz w:val="24"/>
          <w:szCs w:val="24"/>
        </w:rPr>
      </w:pP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t>:</w:t>
      </w:r>
    </w:p>
    <w:p w:rsidR="0082408D" w:rsidRPr="000E35DD" w:rsidRDefault="006E458D">
      <w:pPr>
        <w:jc w:val="both"/>
        <w:rPr>
          <w:sz w:val="24"/>
          <w:szCs w:val="24"/>
        </w:rPr>
      </w:pPr>
      <w:r w:rsidRPr="000E35DD">
        <w:rPr>
          <w:sz w:val="24"/>
          <w:szCs w:val="24"/>
        </w:rPr>
        <w:t>Pennsylvania Power Company</w:t>
      </w:r>
      <w:r w:rsidRPr="000E35DD">
        <w:rPr>
          <w:sz w:val="24"/>
          <w:szCs w:val="24"/>
        </w:rPr>
        <w:tab/>
      </w:r>
      <w:r w:rsidR="0082408D" w:rsidRPr="000E35DD">
        <w:rPr>
          <w:sz w:val="24"/>
          <w:szCs w:val="24"/>
        </w:rPr>
        <w:tab/>
      </w:r>
      <w:r w:rsidR="0082408D" w:rsidRPr="000E35DD">
        <w:rPr>
          <w:sz w:val="24"/>
          <w:szCs w:val="24"/>
        </w:rPr>
        <w:tab/>
        <w:t>:</w:t>
      </w:r>
    </w:p>
    <w:p w:rsidR="0082408D" w:rsidRPr="000E35DD" w:rsidRDefault="0082408D">
      <w:pPr>
        <w:jc w:val="both"/>
        <w:rPr>
          <w:sz w:val="24"/>
          <w:szCs w:val="24"/>
        </w:rPr>
      </w:pPr>
    </w:p>
    <w:p w:rsidR="00A050D1" w:rsidRPr="000E35DD" w:rsidRDefault="00A050D1">
      <w:pPr>
        <w:jc w:val="both"/>
        <w:rPr>
          <w:sz w:val="24"/>
          <w:szCs w:val="24"/>
        </w:rPr>
      </w:pPr>
    </w:p>
    <w:p w:rsidR="006555D7" w:rsidRPr="000E35DD" w:rsidRDefault="006555D7">
      <w:pPr>
        <w:jc w:val="both"/>
        <w:rPr>
          <w:sz w:val="24"/>
          <w:szCs w:val="24"/>
        </w:rPr>
      </w:pPr>
    </w:p>
    <w:p w:rsidR="00DF7C67" w:rsidRPr="000E35DD" w:rsidRDefault="0082408D">
      <w:pPr>
        <w:pStyle w:val="Heading1"/>
        <w:rPr>
          <w:rFonts w:ascii="Times New Roman" w:hAnsi="Times New Roman"/>
          <w:szCs w:val="24"/>
        </w:rPr>
      </w:pPr>
      <w:r w:rsidRPr="000E35DD">
        <w:rPr>
          <w:rFonts w:ascii="Times New Roman" w:hAnsi="Times New Roman"/>
          <w:szCs w:val="24"/>
        </w:rPr>
        <w:t>INITIAL DECISION</w:t>
      </w:r>
      <w:r w:rsidR="00DF7C67" w:rsidRPr="000E35DD">
        <w:rPr>
          <w:rFonts w:ascii="Times New Roman" w:hAnsi="Times New Roman"/>
          <w:szCs w:val="24"/>
        </w:rPr>
        <w:t xml:space="preserve"> GRANTING</w:t>
      </w:r>
    </w:p>
    <w:p w:rsidR="0082408D" w:rsidRPr="000E35DD" w:rsidRDefault="00DF7C67">
      <w:pPr>
        <w:pStyle w:val="Heading1"/>
        <w:rPr>
          <w:rFonts w:ascii="Times New Roman" w:hAnsi="Times New Roman"/>
          <w:szCs w:val="24"/>
        </w:rPr>
      </w:pPr>
      <w:r w:rsidRPr="000E35DD">
        <w:rPr>
          <w:rFonts w:ascii="Times New Roman" w:hAnsi="Times New Roman"/>
          <w:szCs w:val="24"/>
        </w:rPr>
        <w:t>MOTION FOR SUMMARY JUDGMENT</w:t>
      </w:r>
    </w:p>
    <w:p w:rsidR="0082408D" w:rsidRPr="000E35DD" w:rsidRDefault="0082408D">
      <w:pPr>
        <w:jc w:val="center"/>
        <w:rPr>
          <w:b/>
          <w:sz w:val="24"/>
          <w:szCs w:val="24"/>
        </w:rPr>
      </w:pPr>
    </w:p>
    <w:p w:rsidR="0082408D" w:rsidRPr="000E35DD" w:rsidRDefault="0082408D">
      <w:pPr>
        <w:jc w:val="center"/>
        <w:rPr>
          <w:b/>
          <w:sz w:val="24"/>
          <w:szCs w:val="24"/>
        </w:rPr>
      </w:pPr>
    </w:p>
    <w:p w:rsidR="0082408D" w:rsidRPr="000E35DD" w:rsidRDefault="0082408D">
      <w:pPr>
        <w:pStyle w:val="Heading2"/>
        <w:rPr>
          <w:rFonts w:ascii="Times New Roman" w:hAnsi="Times New Roman"/>
          <w:b w:val="0"/>
          <w:szCs w:val="24"/>
        </w:rPr>
      </w:pPr>
      <w:r w:rsidRPr="000E35DD">
        <w:rPr>
          <w:rFonts w:ascii="Times New Roman" w:hAnsi="Times New Roman"/>
          <w:b w:val="0"/>
          <w:szCs w:val="24"/>
        </w:rPr>
        <w:t>Before</w:t>
      </w:r>
    </w:p>
    <w:p w:rsidR="0082408D" w:rsidRPr="000E35DD" w:rsidRDefault="0079457E">
      <w:pPr>
        <w:jc w:val="center"/>
        <w:rPr>
          <w:sz w:val="24"/>
          <w:szCs w:val="24"/>
        </w:rPr>
      </w:pPr>
      <w:r w:rsidRPr="000E35DD">
        <w:rPr>
          <w:sz w:val="24"/>
          <w:szCs w:val="24"/>
        </w:rPr>
        <w:t>Dennis J. Buckley</w:t>
      </w:r>
    </w:p>
    <w:p w:rsidR="0082408D" w:rsidRPr="000E35DD" w:rsidRDefault="0082408D">
      <w:pPr>
        <w:jc w:val="center"/>
        <w:rPr>
          <w:sz w:val="24"/>
          <w:szCs w:val="24"/>
        </w:rPr>
      </w:pPr>
      <w:r w:rsidRPr="000E35DD">
        <w:rPr>
          <w:sz w:val="24"/>
          <w:szCs w:val="24"/>
        </w:rPr>
        <w:t>Administrative Law Judge</w:t>
      </w:r>
    </w:p>
    <w:p w:rsidR="0082408D" w:rsidRPr="000E35DD" w:rsidRDefault="0082408D">
      <w:pPr>
        <w:jc w:val="center"/>
        <w:rPr>
          <w:b/>
          <w:sz w:val="24"/>
          <w:szCs w:val="24"/>
        </w:rPr>
      </w:pPr>
    </w:p>
    <w:p w:rsidR="0082408D" w:rsidRPr="000E35DD" w:rsidRDefault="0082408D">
      <w:pPr>
        <w:jc w:val="center"/>
        <w:rPr>
          <w:b/>
          <w:sz w:val="24"/>
          <w:szCs w:val="24"/>
        </w:rPr>
      </w:pPr>
    </w:p>
    <w:p w:rsidR="000026EB" w:rsidRPr="000E35DD" w:rsidRDefault="000026EB" w:rsidP="00650ECA">
      <w:pPr>
        <w:spacing w:line="360" w:lineRule="auto"/>
        <w:rPr>
          <w:sz w:val="24"/>
          <w:szCs w:val="24"/>
        </w:rPr>
      </w:pPr>
      <w:r w:rsidRPr="000E35DD">
        <w:rPr>
          <w:sz w:val="24"/>
          <w:szCs w:val="24"/>
        </w:rPr>
        <w:tab/>
      </w:r>
      <w:r w:rsidRPr="000E35DD">
        <w:rPr>
          <w:sz w:val="24"/>
          <w:szCs w:val="24"/>
        </w:rPr>
        <w:tab/>
      </w:r>
      <w:r w:rsidR="0044703D" w:rsidRPr="000E35DD">
        <w:rPr>
          <w:sz w:val="24"/>
          <w:szCs w:val="24"/>
        </w:rPr>
        <w:t xml:space="preserve">This case involves a formal Complaint filed by </w:t>
      </w:r>
      <w:r w:rsidR="00336370" w:rsidRPr="000E35DD">
        <w:rPr>
          <w:sz w:val="24"/>
          <w:szCs w:val="24"/>
        </w:rPr>
        <w:t xml:space="preserve">Connie </w:t>
      </w:r>
      <w:proofErr w:type="spellStart"/>
      <w:r w:rsidR="00336370" w:rsidRPr="000E35DD">
        <w:rPr>
          <w:sz w:val="24"/>
          <w:szCs w:val="24"/>
        </w:rPr>
        <w:t>McRoberts</w:t>
      </w:r>
      <w:proofErr w:type="spellEnd"/>
      <w:r w:rsidR="00A050D1" w:rsidRPr="000E35DD">
        <w:rPr>
          <w:sz w:val="24"/>
          <w:szCs w:val="24"/>
        </w:rPr>
        <w:t xml:space="preserve"> </w:t>
      </w:r>
      <w:r w:rsidR="0044703D" w:rsidRPr="000E35DD">
        <w:rPr>
          <w:sz w:val="24"/>
          <w:szCs w:val="24"/>
        </w:rPr>
        <w:t>(Co</w:t>
      </w:r>
      <w:r w:rsidR="00690054" w:rsidRPr="000E35DD">
        <w:rPr>
          <w:sz w:val="24"/>
          <w:szCs w:val="24"/>
        </w:rPr>
        <w:t>m</w:t>
      </w:r>
      <w:r w:rsidR="0044703D" w:rsidRPr="000E35DD">
        <w:rPr>
          <w:sz w:val="24"/>
          <w:szCs w:val="24"/>
        </w:rPr>
        <w:t xml:space="preserve">plainant) against </w:t>
      </w:r>
      <w:r w:rsidR="00336370" w:rsidRPr="000E35DD">
        <w:rPr>
          <w:sz w:val="24"/>
          <w:szCs w:val="24"/>
        </w:rPr>
        <w:t>Pennsylvania Power Company</w:t>
      </w:r>
      <w:r w:rsidR="00A050D1" w:rsidRPr="000E35DD">
        <w:rPr>
          <w:sz w:val="24"/>
          <w:szCs w:val="24"/>
        </w:rPr>
        <w:t xml:space="preserve"> </w:t>
      </w:r>
      <w:r w:rsidR="0044703D" w:rsidRPr="000E35DD">
        <w:rPr>
          <w:sz w:val="24"/>
          <w:szCs w:val="24"/>
        </w:rPr>
        <w:t>(</w:t>
      </w:r>
      <w:r w:rsidR="00336370" w:rsidRPr="000E35DD">
        <w:rPr>
          <w:sz w:val="24"/>
          <w:szCs w:val="24"/>
        </w:rPr>
        <w:t xml:space="preserve">Penn Power </w:t>
      </w:r>
      <w:r w:rsidR="005D7B02" w:rsidRPr="000E35DD">
        <w:rPr>
          <w:sz w:val="24"/>
          <w:szCs w:val="24"/>
        </w:rPr>
        <w:t>or Respondent)</w:t>
      </w:r>
      <w:r w:rsidR="0044703D" w:rsidRPr="000E35DD">
        <w:rPr>
          <w:sz w:val="24"/>
          <w:szCs w:val="24"/>
        </w:rPr>
        <w:t xml:space="preserve"> in which the Complainant argues that </w:t>
      </w:r>
      <w:r w:rsidR="00336370" w:rsidRPr="000E35DD">
        <w:rPr>
          <w:sz w:val="24"/>
          <w:szCs w:val="24"/>
        </w:rPr>
        <w:t>s</w:t>
      </w:r>
      <w:r w:rsidR="0044703D" w:rsidRPr="000E35DD">
        <w:rPr>
          <w:sz w:val="24"/>
          <w:szCs w:val="24"/>
        </w:rPr>
        <w:t xml:space="preserve">he should not be </w:t>
      </w:r>
      <w:r w:rsidR="00336370" w:rsidRPr="000E35DD">
        <w:rPr>
          <w:sz w:val="24"/>
          <w:szCs w:val="24"/>
        </w:rPr>
        <w:t xml:space="preserve">billed a smart meter charge because she does not have a smart meter.  </w:t>
      </w:r>
      <w:r w:rsidR="00EE08F4" w:rsidRPr="000E35DD">
        <w:rPr>
          <w:sz w:val="24"/>
          <w:szCs w:val="24"/>
        </w:rPr>
        <w:t xml:space="preserve">The Complainant does not want a smart meter installed when they become available.  </w:t>
      </w:r>
      <w:r w:rsidR="00336370" w:rsidRPr="000E35DD">
        <w:rPr>
          <w:sz w:val="24"/>
          <w:szCs w:val="24"/>
        </w:rPr>
        <w:t xml:space="preserve">The Complainant demands a refund of the charges applied to past bills for a smart meter.  Penn Power </w:t>
      </w:r>
      <w:r w:rsidR="0044703D" w:rsidRPr="000E35DD">
        <w:rPr>
          <w:sz w:val="24"/>
          <w:szCs w:val="24"/>
        </w:rPr>
        <w:t xml:space="preserve">filed </w:t>
      </w:r>
      <w:r w:rsidR="000A2320" w:rsidRPr="000E35DD">
        <w:rPr>
          <w:sz w:val="24"/>
          <w:szCs w:val="24"/>
        </w:rPr>
        <w:t xml:space="preserve">an Answer and </w:t>
      </w:r>
      <w:r w:rsidR="00336370" w:rsidRPr="000E35DD">
        <w:rPr>
          <w:sz w:val="24"/>
          <w:szCs w:val="24"/>
        </w:rPr>
        <w:t xml:space="preserve">New Matter as well as a Motion for Summary Judgment </w:t>
      </w:r>
      <w:r w:rsidR="00EE08F4" w:rsidRPr="000E35DD">
        <w:rPr>
          <w:sz w:val="24"/>
          <w:szCs w:val="24"/>
        </w:rPr>
        <w:t>a</w:t>
      </w:r>
      <w:r w:rsidR="00336370" w:rsidRPr="000E35DD">
        <w:rPr>
          <w:sz w:val="24"/>
          <w:szCs w:val="24"/>
        </w:rPr>
        <w:t xml:space="preserve">nd </w:t>
      </w:r>
      <w:r w:rsidR="00A050D1" w:rsidRPr="000E35DD">
        <w:rPr>
          <w:sz w:val="24"/>
          <w:szCs w:val="24"/>
        </w:rPr>
        <w:t>ask</w:t>
      </w:r>
      <w:r w:rsidR="00EE08F4" w:rsidRPr="000E35DD">
        <w:rPr>
          <w:sz w:val="24"/>
          <w:szCs w:val="24"/>
        </w:rPr>
        <w:t>ed</w:t>
      </w:r>
      <w:r w:rsidR="00A050D1" w:rsidRPr="000E35DD">
        <w:rPr>
          <w:sz w:val="24"/>
          <w:szCs w:val="24"/>
        </w:rPr>
        <w:t xml:space="preserve"> that the Complaint be dismissed</w:t>
      </w:r>
      <w:r w:rsidR="00650ECA" w:rsidRPr="000E35DD">
        <w:rPr>
          <w:sz w:val="24"/>
          <w:szCs w:val="24"/>
        </w:rPr>
        <w:t>.</w:t>
      </w:r>
    </w:p>
    <w:p w:rsidR="000026EB" w:rsidRPr="000E35DD" w:rsidRDefault="000026EB" w:rsidP="00195D9D">
      <w:pPr>
        <w:jc w:val="center"/>
        <w:rPr>
          <w:b/>
          <w:sz w:val="24"/>
          <w:szCs w:val="24"/>
        </w:rPr>
      </w:pPr>
    </w:p>
    <w:p w:rsidR="0082408D" w:rsidRPr="000E35DD" w:rsidRDefault="0082408D" w:rsidP="00195D9D">
      <w:pPr>
        <w:pStyle w:val="Heading1"/>
        <w:tabs>
          <w:tab w:val="left" w:pos="1980"/>
        </w:tabs>
        <w:rPr>
          <w:rFonts w:ascii="Times New Roman" w:hAnsi="Times New Roman"/>
          <w:b w:val="0"/>
          <w:szCs w:val="24"/>
        </w:rPr>
      </w:pPr>
      <w:r w:rsidRPr="000E35DD">
        <w:rPr>
          <w:rFonts w:ascii="Times New Roman" w:hAnsi="Times New Roman"/>
          <w:b w:val="0"/>
          <w:szCs w:val="24"/>
        </w:rPr>
        <w:t>HISTORY OF THE PROCEEDING</w:t>
      </w:r>
    </w:p>
    <w:p w:rsidR="0082408D" w:rsidRDefault="0082408D" w:rsidP="00195D9D">
      <w:pPr>
        <w:rPr>
          <w:sz w:val="24"/>
          <w:szCs w:val="24"/>
        </w:rPr>
      </w:pPr>
    </w:p>
    <w:p w:rsidR="00195D9D" w:rsidRPr="000E35DD" w:rsidRDefault="00195D9D" w:rsidP="00195D9D">
      <w:pPr>
        <w:rPr>
          <w:sz w:val="24"/>
          <w:szCs w:val="24"/>
        </w:rPr>
      </w:pPr>
    </w:p>
    <w:p w:rsidR="00234C52" w:rsidRPr="000E35DD" w:rsidRDefault="00D332C3"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234C52" w:rsidRPr="000E35DD">
        <w:rPr>
          <w:rFonts w:ascii="Times New Roman" w:hAnsi="Times New Roman"/>
          <w:szCs w:val="24"/>
        </w:rPr>
        <w:t xml:space="preserve">On </w:t>
      </w:r>
      <w:r w:rsidR="00336370" w:rsidRPr="000E35DD">
        <w:rPr>
          <w:rFonts w:ascii="Times New Roman" w:hAnsi="Times New Roman"/>
          <w:szCs w:val="24"/>
        </w:rPr>
        <w:t>December 22, 2011</w:t>
      </w:r>
      <w:r w:rsidR="00234C52" w:rsidRPr="000E35DD">
        <w:rPr>
          <w:rFonts w:ascii="Times New Roman" w:hAnsi="Times New Roman"/>
          <w:szCs w:val="24"/>
        </w:rPr>
        <w:t xml:space="preserve">, the Complainant filed a formal Complaint </w:t>
      </w:r>
      <w:r w:rsidR="00336370" w:rsidRPr="000E35DD">
        <w:rPr>
          <w:rFonts w:ascii="Times New Roman" w:hAnsi="Times New Roman"/>
          <w:szCs w:val="24"/>
        </w:rPr>
        <w:t>contending that she should not be billed a smart meter charge because she does not have a smart meter.  The Complainant demanded a refund of the charges applied to past bills for a smart meter.</w:t>
      </w:r>
    </w:p>
    <w:p w:rsidR="00336370" w:rsidRPr="000E35DD" w:rsidRDefault="00336370" w:rsidP="00650ECA">
      <w:pPr>
        <w:pStyle w:val="BodyText"/>
        <w:tabs>
          <w:tab w:val="clear" w:pos="1980"/>
          <w:tab w:val="left" w:pos="0"/>
        </w:tabs>
        <w:spacing w:line="360" w:lineRule="auto"/>
        <w:jc w:val="left"/>
        <w:rPr>
          <w:rFonts w:ascii="Times New Roman" w:hAnsi="Times New Roman"/>
          <w:szCs w:val="24"/>
        </w:rPr>
      </w:pPr>
    </w:p>
    <w:p w:rsidR="00D439FD" w:rsidRPr="000E35DD" w:rsidRDefault="00234C52"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690054" w:rsidRPr="000E35DD">
        <w:rPr>
          <w:rFonts w:ascii="Times New Roman" w:hAnsi="Times New Roman"/>
          <w:szCs w:val="24"/>
        </w:rPr>
        <w:t xml:space="preserve">On </w:t>
      </w:r>
      <w:r w:rsidR="00336370" w:rsidRPr="000E35DD">
        <w:rPr>
          <w:rFonts w:ascii="Times New Roman" w:hAnsi="Times New Roman"/>
          <w:szCs w:val="24"/>
        </w:rPr>
        <w:t>January 24, 2012</w:t>
      </w:r>
      <w:r w:rsidR="00B11165" w:rsidRPr="000E35DD">
        <w:rPr>
          <w:rFonts w:ascii="Times New Roman" w:hAnsi="Times New Roman"/>
          <w:szCs w:val="24"/>
        </w:rPr>
        <w:t xml:space="preserve">, </w:t>
      </w:r>
      <w:r w:rsidR="00336370" w:rsidRPr="000E35DD">
        <w:rPr>
          <w:rFonts w:ascii="Times New Roman" w:hAnsi="Times New Roman"/>
          <w:szCs w:val="24"/>
        </w:rPr>
        <w:t>Penn Power f</w:t>
      </w:r>
      <w:r w:rsidR="00690054" w:rsidRPr="000E35DD">
        <w:rPr>
          <w:rFonts w:ascii="Times New Roman" w:hAnsi="Times New Roman"/>
          <w:szCs w:val="24"/>
        </w:rPr>
        <w:t>iled an Answer to the Complaint</w:t>
      </w:r>
      <w:r w:rsidR="00B11165" w:rsidRPr="000E35DD">
        <w:rPr>
          <w:rFonts w:ascii="Times New Roman" w:hAnsi="Times New Roman"/>
          <w:szCs w:val="24"/>
        </w:rPr>
        <w:t xml:space="preserve"> and </w:t>
      </w:r>
      <w:r w:rsidR="00336370" w:rsidRPr="000E35DD">
        <w:rPr>
          <w:rFonts w:ascii="Times New Roman" w:hAnsi="Times New Roman"/>
          <w:szCs w:val="24"/>
        </w:rPr>
        <w:t>New Matter</w:t>
      </w:r>
      <w:r w:rsidR="00B11165" w:rsidRPr="000E35DD">
        <w:rPr>
          <w:rFonts w:ascii="Times New Roman" w:hAnsi="Times New Roman"/>
          <w:szCs w:val="24"/>
        </w:rPr>
        <w:t xml:space="preserve">, properly endorsed with a Notice to Plead, </w:t>
      </w:r>
      <w:r w:rsidR="00336370" w:rsidRPr="000E35DD">
        <w:rPr>
          <w:rFonts w:ascii="Times New Roman" w:hAnsi="Times New Roman"/>
          <w:szCs w:val="24"/>
        </w:rPr>
        <w:t xml:space="preserve">admitting that the Complainant does not have a </w:t>
      </w:r>
      <w:r w:rsidR="00EE08F4" w:rsidRPr="000E35DD">
        <w:rPr>
          <w:rFonts w:ascii="Times New Roman" w:hAnsi="Times New Roman"/>
          <w:szCs w:val="24"/>
        </w:rPr>
        <w:lastRenderedPageBreak/>
        <w:t>s</w:t>
      </w:r>
      <w:r w:rsidR="00336370" w:rsidRPr="000E35DD">
        <w:rPr>
          <w:rFonts w:ascii="Times New Roman" w:hAnsi="Times New Roman"/>
          <w:szCs w:val="24"/>
        </w:rPr>
        <w:t xml:space="preserve">mart meter at her service location </w:t>
      </w:r>
      <w:r w:rsidR="00EE08F4" w:rsidRPr="000E35DD">
        <w:rPr>
          <w:rFonts w:ascii="Times New Roman" w:hAnsi="Times New Roman"/>
          <w:szCs w:val="24"/>
        </w:rPr>
        <w:t xml:space="preserve">but </w:t>
      </w:r>
      <w:r w:rsidR="00336370" w:rsidRPr="000E35DD">
        <w:rPr>
          <w:rFonts w:ascii="Times New Roman" w:hAnsi="Times New Roman"/>
          <w:szCs w:val="24"/>
        </w:rPr>
        <w:t>that C</w:t>
      </w:r>
      <w:r w:rsidR="00EE08F4" w:rsidRPr="000E35DD">
        <w:rPr>
          <w:rFonts w:ascii="Times New Roman" w:hAnsi="Times New Roman"/>
          <w:szCs w:val="24"/>
        </w:rPr>
        <w:t>omplainant has been assessed a Smart M</w:t>
      </w:r>
      <w:r w:rsidR="00336370" w:rsidRPr="000E35DD">
        <w:rPr>
          <w:rFonts w:ascii="Times New Roman" w:hAnsi="Times New Roman"/>
          <w:szCs w:val="24"/>
        </w:rPr>
        <w:t xml:space="preserve">eter Technologies Charge </w:t>
      </w:r>
      <w:r w:rsidR="00EE08F4" w:rsidRPr="000E35DD">
        <w:rPr>
          <w:rFonts w:ascii="Times New Roman" w:hAnsi="Times New Roman"/>
          <w:szCs w:val="24"/>
        </w:rPr>
        <w:t xml:space="preserve">(SMT-C) </w:t>
      </w:r>
      <w:r w:rsidR="00336370" w:rsidRPr="000E35DD">
        <w:rPr>
          <w:rFonts w:ascii="Times New Roman" w:hAnsi="Times New Roman"/>
          <w:szCs w:val="24"/>
        </w:rPr>
        <w:t xml:space="preserve">on a monthly basis beginning July 15, 2010.  </w:t>
      </w:r>
      <w:r w:rsidR="00D439FD" w:rsidRPr="000E35DD">
        <w:rPr>
          <w:rFonts w:ascii="Times New Roman" w:hAnsi="Times New Roman"/>
          <w:szCs w:val="24"/>
        </w:rPr>
        <w:t>In its New Matter, Penn Power assert</w:t>
      </w:r>
      <w:r w:rsidR="00EE08F4" w:rsidRPr="000E35DD">
        <w:rPr>
          <w:rFonts w:ascii="Times New Roman" w:hAnsi="Times New Roman"/>
          <w:szCs w:val="24"/>
        </w:rPr>
        <w:t>ed</w:t>
      </w:r>
      <w:r w:rsidR="00D439FD" w:rsidRPr="000E35DD">
        <w:rPr>
          <w:rFonts w:ascii="Times New Roman" w:hAnsi="Times New Roman"/>
          <w:szCs w:val="24"/>
        </w:rPr>
        <w:t xml:space="preserve"> that the </w:t>
      </w:r>
      <w:r w:rsidR="00EE08F4" w:rsidRPr="000E35DD">
        <w:rPr>
          <w:rFonts w:ascii="Times New Roman" w:hAnsi="Times New Roman"/>
          <w:szCs w:val="24"/>
        </w:rPr>
        <w:t>SMT-C</w:t>
      </w:r>
      <w:r w:rsidR="00D439FD" w:rsidRPr="000E35DD">
        <w:rPr>
          <w:rFonts w:ascii="Times New Roman" w:hAnsi="Times New Roman"/>
          <w:szCs w:val="24"/>
        </w:rPr>
        <w:t xml:space="preserve"> was approved by </w:t>
      </w:r>
      <w:r w:rsidR="00DF57C7" w:rsidRPr="000E35DD">
        <w:rPr>
          <w:rFonts w:ascii="Times New Roman" w:hAnsi="Times New Roman"/>
          <w:szCs w:val="24"/>
        </w:rPr>
        <w:t>the</w:t>
      </w:r>
      <w:r w:rsidR="00D439FD" w:rsidRPr="000E35DD">
        <w:rPr>
          <w:rFonts w:ascii="Times New Roman" w:hAnsi="Times New Roman"/>
          <w:szCs w:val="24"/>
        </w:rPr>
        <w:t xml:space="preserve"> Commission</w:t>
      </w:r>
      <w:r w:rsidR="00DF57C7" w:rsidRPr="000E35DD">
        <w:rPr>
          <w:rFonts w:ascii="Times New Roman" w:hAnsi="Times New Roman"/>
          <w:szCs w:val="24"/>
        </w:rPr>
        <w:t xml:space="preserve">’s </w:t>
      </w:r>
      <w:r w:rsidR="00D439FD" w:rsidRPr="000E35DD">
        <w:rPr>
          <w:rFonts w:ascii="Times New Roman" w:hAnsi="Times New Roman"/>
          <w:szCs w:val="24"/>
        </w:rPr>
        <w:t>Order</w:t>
      </w:r>
      <w:r w:rsidR="00DF57C7" w:rsidRPr="000E35DD">
        <w:rPr>
          <w:rFonts w:ascii="Times New Roman" w:hAnsi="Times New Roman"/>
          <w:szCs w:val="24"/>
        </w:rPr>
        <w:t xml:space="preserve"> in </w:t>
      </w:r>
      <w:r w:rsidR="00DF57C7" w:rsidRPr="000E35DD">
        <w:rPr>
          <w:rFonts w:ascii="Times New Roman" w:hAnsi="Times New Roman"/>
          <w:i/>
          <w:szCs w:val="24"/>
        </w:rPr>
        <w:t>Joint Petition of Metropolitan Edison Company, Pennsylvania Electric Company and Pennsylvania Power Company for Approval of Smart Meter Technology Procurement and Installation Plan</w:t>
      </w:r>
      <w:r w:rsidR="00DF57C7" w:rsidRPr="000E35DD">
        <w:rPr>
          <w:rFonts w:ascii="Times New Roman" w:hAnsi="Times New Roman"/>
          <w:szCs w:val="24"/>
        </w:rPr>
        <w:t>, Docket No. M-2009-2123950 (Order entered June 9, 2010) (</w:t>
      </w:r>
      <w:r w:rsidR="00DF57C7" w:rsidRPr="000E35DD">
        <w:rPr>
          <w:rFonts w:ascii="Times New Roman" w:hAnsi="Times New Roman"/>
          <w:i/>
          <w:szCs w:val="24"/>
        </w:rPr>
        <w:t>Smart Meter Plan</w:t>
      </w:r>
      <w:r w:rsidR="00DF57C7" w:rsidRPr="000E35DD">
        <w:rPr>
          <w:rFonts w:ascii="Times New Roman" w:hAnsi="Times New Roman"/>
          <w:szCs w:val="24"/>
        </w:rPr>
        <w:t>)</w:t>
      </w:r>
      <w:r w:rsidR="00EE08F4" w:rsidRPr="000E35DD">
        <w:rPr>
          <w:rFonts w:ascii="Times New Roman" w:hAnsi="Times New Roman"/>
          <w:szCs w:val="24"/>
        </w:rPr>
        <w:t>, and that the c</w:t>
      </w:r>
      <w:r w:rsidR="00D439FD" w:rsidRPr="000E35DD">
        <w:rPr>
          <w:rFonts w:ascii="Times New Roman" w:hAnsi="Times New Roman"/>
          <w:szCs w:val="24"/>
        </w:rPr>
        <w:t xml:space="preserve">harge is part of Penn Power’s lawfully filed </w:t>
      </w:r>
      <w:r w:rsidR="00EE08F4" w:rsidRPr="000E35DD">
        <w:rPr>
          <w:rFonts w:ascii="Times New Roman" w:hAnsi="Times New Roman"/>
          <w:szCs w:val="24"/>
        </w:rPr>
        <w:t>T</w:t>
      </w:r>
      <w:r w:rsidR="00D439FD" w:rsidRPr="000E35DD">
        <w:rPr>
          <w:rFonts w:ascii="Times New Roman" w:hAnsi="Times New Roman"/>
          <w:szCs w:val="24"/>
        </w:rPr>
        <w:t>ariff Electric Pa. P.U.C. No. 35, and that Penn Power is required by statute, Commission Order and its Commiss</w:t>
      </w:r>
      <w:r w:rsidR="00EE08F4" w:rsidRPr="000E35DD">
        <w:rPr>
          <w:rFonts w:ascii="Times New Roman" w:hAnsi="Times New Roman"/>
          <w:szCs w:val="24"/>
        </w:rPr>
        <w:t>ion-approved tariff to install s</w:t>
      </w:r>
      <w:r w:rsidR="00D439FD" w:rsidRPr="000E35DD">
        <w:rPr>
          <w:rFonts w:ascii="Times New Roman" w:hAnsi="Times New Roman"/>
          <w:szCs w:val="24"/>
        </w:rPr>
        <w:t>mart meters throughout its service territory and charge the SMT</w:t>
      </w:r>
      <w:r w:rsidR="00EE08F4" w:rsidRPr="000E35DD">
        <w:rPr>
          <w:rFonts w:ascii="Times New Roman" w:hAnsi="Times New Roman"/>
          <w:szCs w:val="24"/>
        </w:rPr>
        <w:t>-</w:t>
      </w:r>
      <w:r w:rsidR="00D439FD" w:rsidRPr="000E35DD">
        <w:rPr>
          <w:rFonts w:ascii="Times New Roman" w:hAnsi="Times New Roman"/>
          <w:szCs w:val="24"/>
        </w:rPr>
        <w:t>C to its customers.</w:t>
      </w:r>
    </w:p>
    <w:p w:rsidR="00D439FD" w:rsidRPr="000E35DD" w:rsidRDefault="00D439FD" w:rsidP="00650ECA">
      <w:pPr>
        <w:pStyle w:val="BodyText"/>
        <w:tabs>
          <w:tab w:val="clear" w:pos="1980"/>
          <w:tab w:val="left" w:pos="0"/>
        </w:tabs>
        <w:spacing w:line="360" w:lineRule="auto"/>
        <w:jc w:val="left"/>
        <w:rPr>
          <w:rFonts w:ascii="Times New Roman" w:hAnsi="Times New Roman"/>
          <w:szCs w:val="24"/>
        </w:rPr>
      </w:pPr>
    </w:p>
    <w:p w:rsidR="00234C52" w:rsidRPr="000E35DD" w:rsidRDefault="00B11165"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EE08F4" w:rsidRPr="000E35DD">
        <w:rPr>
          <w:rFonts w:ascii="Times New Roman" w:hAnsi="Times New Roman"/>
          <w:szCs w:val="24"/>
        </w:rPr>
        <w:t>T</w:t>
      </w:r>
      <w:r w:rsidR="0066355B" w:rsidRPr="000E35DD">
        <w:rPr>
          <w:rFonts w:ascii="Times New Roman" w:hAnsi="Times New Roman"/>
          <w:szCs w:val="24"/>
        </w:rPr>
        <w:t xml:space="preserve">he Complainant </w:t>
      </w:r>
      <w:r w:rsidR="00EE08F4" w:rsidRPr="000E35DD">
        <w:rPr>
          <w:rFonts w:ascii="Times New Roman" w:hAnsi="Times New Roman"/>
          <w:szCs w:val="24"/>
        </w:rPr>
        <w:t xml:space="preserve">did </w:t>
      </w:r>
      <w:r w:rsidR="0066355B" w:rsidRPr="000E35DD">
        <w:rPr>
          <w:rFonts w:ascii="Times New Roman" w:hAnsi="Times New Roman"/>
          <w:szCs w:val="24"/>
        </w:rPr>
        <w:t xml:space="preserve">not file </w:t>
      </w:r>
      <w:r w:rsidR="00CB2234" w:rsidRPr="000E35DD">
        <w:rPr>
          <w:rFonts w:ascii="Times New Roman" w:hAnsi="Times New Roman"/>
          <w:szCs w:val="24"/>
        </w:rPr>
        <w:t>a</w:t>
      </w:r>
      <w:r w:rsidR="0066355B" w:rsidRPr="000E35DD">
        <w:rPr>
          <w:rFonts w:ascii="Times New Roman" w:hAnsi="Times New Roman"/>
          <w:szCs w:val="24"/>
        </w:rPr>
        <w:t xml:space="preserve">ny responsive pleading to </w:t>
      </w:r>
      <w:r w:rsidR="00D439FD" w:rsidRPr="000E35DD">
        <w:rPr>
          <w:rFonts w:ascii="Times New Roman" w:hAnsi="Times New Roman"/>
          <w:szCs w:val="24"/>
        </w:rPr>
        <w:t>Penn Power’s</w:t>
      </w:r>
      <w:r w:rsidR="0066355B" w:rsidRPr="000E35DD">
        <w:rPr>
          <w:rFonts w:ascii="Times New Roman" w:hAnsi="Times New Roman"/>
          <w:szCs w:val="24"/>
        </w:rPr>
        <w:t xml:space="preserve"> </w:t>
      </w:r>
      <w:r w:rsidR="00EE08F4" w:rsidRPr="000E35DD">
        <w:rPr>
          <w:rFonts w:ascii="Times New Roman" w:hAnsi="Times New Roman"/>
          <w:szCs w:val="24"/>
        </w:rPr>
        <w:t>New Matter</w:t>
      </w:r>
      <w:r w:rsidR="0066355B" w:rsidRPr="000E35DD">
        <w:rPr>
          <w:rFonts w:ascii="Times New Roman" w:hAnsi="Times New Roman"/>
          <w:szCs w:val="24"/>
        </w:rPr>
        <w:t>.</w:t>
      </w:r>
    </w:p>
    <w:p w:rsidR="00D439FD" w:rsidRPr="000E35DD" w:rsidRDefault="00D439FD" w:rsidP="00650ECA">
      <w:pPr>
        <w:pStyle w:val="BodyText"/>
        <w:tabs>
          <w:tab w:val="clear" w:pos="1980"/>
          <w:tab w:val="left" w:pos="0"/>
        </w:tabs>
        <w:spacing w:line="360" w:lineRule="auto"/>
        <w:jc w:val="left"/>
        <w:rPr>
          <w:rFonts w:ascii="Times New Roman" w:hAnsi="Times New Roman"/>
          <w:szCs w:val="24"/>
        </w:rPr>
      </w:pPr>
    </w:p>
    <w:p w:rsidR="00D439FD" w:rsidRPr="000E35DD" w:rsidRDefault="00D439FD"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 xml:space="preserve">On February 1, 2012, an Interim Order Setting a Conference </w:t>
      </w:r>
      <w:proofErr w:type="gramStart"/>
      <w:r w:rsidRPr="000E35DD">
        <w:rPr>
          <w:rFonts w:ascii="Times New Roman" w:hAnsi="Times New Roman"/>
          <w:szCs w:val="24"/>
        </w:rPr>
        <w:t>Between</w:t>
      </w:r>
      <w:proofErr w:type="gramEnd"/>
      <w:r w:rsidRPr="000E35DD">
        <w:rPr>
          <w:rFonts w:ascii="Times New Roman" w:hAnsi="Times New Roman"/>
          <w:szCs w:val="24"/>
        </w:rPr>
        <w:t xml:space="preserve"> Parties was issued and directed to the Commission’s Mediation Unit, but mediation did not result in a resolution of the Complaint.</w:t>
      </w:r>
    </w:p>
    <w:p w:rsidR="00746027" w:rsidRPr="000E35DD" w:rsidRDefault="00746027" w:rsidP="00650ECA">
      <w:pPr>
        <w:pStyle w:val="BodyText"/>
        <w:tabs>
          <w:tab w:val="clear" w:pos="1980"/>
          <w:tab w:val="left" w:pos="0"/>
        </w:tabs>
        <w:spacing w:line="360" w:lineRule="auto"/>
        <w:jc w:val="left"/>
        <w:rPr>
          <w:rFonts w:ascii="Times New Roman" w:hAnsi="Times New Roman"/>
          <w:szCs w:val="24"/>
        </w:rPr>
      </w:pPr>
    </w:p>
    <w:p w:rsidR="00746027" w:rsidRPr="000E35DD" w:rsidRDefault="00746027"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On April 25, 2012, counsel for Penn Power filed a Motion for Summary Judgment in this case.  That Motion was properly endorsed with a Notice to Plead, but Complainant did not file any response to the Motion.</w:t>
      </w:r>
    </w:p>
    <w:p w:rsidR="00D439FD" w:rsidRPr="000E35DD" w:rsidRDefault="00D439FD" w:rsidP="00650ECA">
      <w:pPr>
        <w:pStyle w:val="BodyText"/>
        <w:tabs>
          <w:tab w:val="clear" w:pos="1980"/>
          <w:tab w:val="left" w:pos="0"/>
        </w:tabs>
        <w:spacing w:line="360" w:lineRule="auto"/>
        <w:jc w:val="left"/>
        <w:rPr>
          <w:rFonts w:ascii="Times New Roman" w:hAnsi="Times New Roman"/>
          <w:szCs w:val="24"/>
        </w:rPr>
      </w:pPr>
    </w:p>
    <w:p w:rsidR="00746027" w:rsidRPr="000E35DD" w:rsidRDefault="00D439FD"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D1338A" w:rsidRPr="000E35DD">
        <w:rPr>
          <w:rFonts w:ascii="Times New Roman" w:hAnsi="Times New Roman"/>
          <w:szCs w:val="24"/>
        </w:rPr>
        <w:t xml:space="preserve">On </w:t>
      </w:r>
      <w:r w:rsidRPr="000E35DD">
        <w:rPr>
          <w:rFonts w:ascii="Times New Roman" w:hAnsi="Times New Roman"/>
          <w:szCs w:val="24"/>
        </w:rPr>
        <w:t>July 23, 2012</w:t>
      </w:r>
      <w:r w:rsidR="00B11165" w:rsidRPr="000E35DD">
        <w:rPr>
          <w:rFonts w:ascii="Times New Roman" w:hAnsi="Times New Roman"/>
          <w:szCs w:val="24"/>
        </w:rPr>
        <w:t>, this matter</w:t>
      </w:r>
      <w:r w:rsidR="00D1338A" w:rsidRPr="000E35DD">
        <w:rPr>
          <w:rFonts w:ascii="Times New Roman" w:hAnsi="Times New Roman"/>
          <w:szCs w:val="24"/>
        </w:rPr>
        <w:t xml:space="preserve"> was assigned to me as Motion Judge.</w:t>
      </w:r>
    </w:p>
    <w:p w:rsidR="00746027" w:rsidRPr="000E35DD" w:rsidRDefault="00746027" w:rsidP="00650ECA">
      <w:pPr>
        <w:pStyle w:val="BodyText"/>
        <w:tabs>
          <w:tab w:val="clear" w:pos="1980"/>
          <w:tab w:val="left" w:pos="0"/>
        </w:tabs>
        <w:spacing w:line="360" w:lineRule="auto"/>
        <w:jc w:val="left"/>
        <w:rPr>
          <w:rFonts w:ascii="Times New Roman" w:hAnsi="Times New Roman"/>
          <w:szCs w:val="24"/>
        </w:rPr>
      </w:pPr>
    </w:p>
    <w:p w:rsidR="00753684" w:rsidRDefault="00746027"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On September 19, 2012, I issued an Order denying Penn Power’s Motion for Summary Judgment as issues of fact remained in the case.</w:t>
      </w:r>
      <w:r w:rsidR="00753684" w:rsidRPr="000E35DD">
        <w:rPr>
          <w:rFonts w:ascii="Times New Roman" w:hAnsi="Times New Roman"/>
          <w:szCs w:val="24"/>
        </w:rPr>
        <w:t xml:space="preserve">  </w:t>
      </w:r>
      <w:r w:rsidR="00EE08F4" w:rsidRPr="000E35DD">
        <w:rPr>
          <w:rFonts w:ascii="Times New Roman" w:hAnsi="Times New Roman"/>
          <w:szCs w:val="24"/>
        </w:rPr>
        <w:t>However, after r</w:t>
      </w:r>
      <w:r w:rsidR="00753684" w:rsidRPr="000E35DD">
        <w:rPr>
          <w:rFonts w:ascii="Times New Roman" w:hAnsi="Times New Roman"/>
          <w:szCs w:val="24"/>
        </w:rPr>
        <w:t>eflecting on this, the deficiencies with the Motion were so narrowly factual that I had the O</w:t>
      </w:r>
      <w:r w:rsidR="00EE08F4" w:rsidRPr="000E35DD">
        <w:rPr>
          <w:rFonts w:ascii="Times New Roman" w:hAnsi="Times New Roman"/>
          <w:szCs w:val="24"/>
        </w:rPr>
        <w:t xml:space="preserve">ffice of </w:t>
      </w:r>
      <w:r w:rsidR="00753684" w:rsidRPr="000E35DD">
        <w:rPr>
          <w:rFonts w:ascii="Times New Roman" w:hAnsi="Times New Roman"/>
          <w:szCs w:val="24"/>
        </w:rPr>
        <w:t>A</w:t>
      </w:r>
      <w:r w:rsidR="00EE08F4" w:rsidRPr="000E35DD">
        <w:rPr>
          <w:rFonts w:ascii="Times New Roman" w:hAnsi="Times New Roman"/>
          <w:szCs w:val="24"/>
        </w:rPr>
        <w:t xml:space="preserve">dministrative </w:t>
      </w:r>
      <w:r w:rsidR="00753684" w:rsidRPr="000E35DD">
        <w:rPr>
          <w:rFonts w:ascii="Times New Roman" w:hAnsi="Times New Roman"/>
          <w:szCs w:val="24"/>
        </w:rPr>
        <w:t>L</w:t>
      </w:r>
      <w:r w:rsidR="00EE08F4" w:rsidRPr="000E35DD">
        <w:rPr>
          <w:rFonts w:ascii="Times New Roman" w:hAnsi="Times New Roman"/>
          <w:szCs w:val="24"/>
        </w:rPr>
        <w:t xml:space="preserve">aw </w:t>
      </w:r>
      <w:r w:rsidR="00753684" w:rsidRPr="000E35DD">
        <w:rPr>
          <w:rFonts w:ascii="Times New Roman" w:hAnsi="Times New Roman"/>
          <w:szCs w:val="24"/>
        </w:rPr>
        <w:t>J</w:t>
      </w:r>
      <w:r w:rsidR="00EE08F4" w:rsidRPr="000E35DD">
        <w:rPr>
          <w:rFonts w:ascii="Times New Roman" w:hAnsi="Times New Roman"/>
          <w:szCs w:val="24"/>
        </w:rPr>
        <w:t>udge</w:t>
      </w:r>
      <w:r w:rsidR="00753684" w:rsidRPr="000E35DD">
        <w:rPr>
          <w:rFonts w:ascii="Times New Roman" w:hAnsi="Times New Roman"/>
          <w:szCs w:val="24"/>
        </w:rPr>
        <w:t xml:space="preserve"> scheduling staff schedule a hearing for oral argument on the Motion.  By notice issued September 21, 2012, that hearing was set for October 30, 2012.</w:t>
      </w:r>
    </w:p>
    <w:p w:rsidR="005C3918" w:rsidRPr="000E35DD" w:rsidRDefault="005C3918" w:rsidP="00650ECA">
      <w:pPr>
        <w:pStyle w:val="BodyText"/>
        <w:tabs>
          <w:tab w:val="clear" w:pos="1980"/>
          <w:tab w:val="left" w:pos="0"/>
        </w:tabs>
        <w:spacing w:line="360" w:lineRule="auto"/>
        <w:jc w:val="left"/>
        <w:rPr>
          <w:rFonts w:ascii="Times New Roman" w:hAnsi="Times New Roman"/>
          <w:szCs w:val="24"/>
        </w:rPr>
      </w:pPr>
    </w:p>
    <w:p w:rsidR="00753684" w:rsidRPr="000E35DD" w:rsidRDefault="00753684"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lastRenderedPageBreak/>
        <w:tab/>
      </w:r>
      <w:r w:rsidRPr="000E35DD">
        <w:rPr>
          <w:rFonts w:ascii="Times New Roman" w:hAnsi="Times New Roman"/>
          <w:szCs w:val="24"/>
        </w:rPr>
        <w:tab/>
        <w:t>On October 29, 2012, I advised the parties that the hearing would be re-scheduled given the on-going emergency related to Hurricane Sandy.  An Order continuing the hearing was issued October 31, 2012.</w:t>
      </w:r>
      <w:r w:rsidR="00555986" w:rsidRPr="000E35DD">
        <w:rPr>
          <w:rFonts w:ascii="Times New Roman" w:hAnsi="Times New Roman"/>
          <w:szCs w:val="24"/>
        </w:rPr>
        <w:t xml:space="preserve">  The hearing was re-scheduled for December 5, 2012.</w:t>
      </w:r>
    </w:p>
    <w:p w:rsidR="00555986" w:rsidRPr="000E35DD" w:rsidRDefault="00555986" w:rsidP="00650ECA">
      <w:pPr>
        <w:pStyle w:val="BodyText"/>
        <w:tabs>
          <w:tab w:val="clear" w:pos="1980"/>
          <w:tab w:val="left" w:pos="0"/>
        </w:tabs>
        <w:spacing w:line="360" w:lineRule="auto"/>
        <w:jc w:val="left"/>
        <w:rPr>
          <w:rFonts w:ascii="Times New Roman" w:hAnsi="Times New Roman"/>
          <w:szCs w:val="24"/>
        </w:rPr>
      </w:pPr>
    </w:p>
    <w:p w:rsidR="00555986" w:rsidRPr="000E35DD" w:rsidRDefault="00555986"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On December 5, 2012, counsel for Penn Power requested a continuance, which request was not opposed by Complainant.  The hearing was rescheduled for January 10, 2013, by notice issued December 6, 2012.</w:t>
      </w:r>
    </w:p>
    <w:p w:rsidR="002C50B6" w:rsidRPr="000E35DD" w:rsidRDefault="002C50B6" w:rsidP="00650ECA">
      <w:pPr>
        <w:pStyle w:val="BodyText"/>
        <w:tabs>
          <w:tab w:val="clear" w:pos="1980"/>
          <w:tab w:val="left" w:pos="0"/>
        </w:tabs>
        <w:spacing w:line="360" w:lineRule="auto"/>
        <w:jc w:val="left"/>
        <w:rPr>
          <w:rFonts w:ascii="Times New Roman" w:hAnsi="Times New Roman"/>
          <w:szCs w:val="24"/>
        </w:rPr>
      </w:pPr>
    </w:p>
    <w:p w:rsidR="002C50B6" w:rsidRPr="000E35DD" w:rsidRDefault="002C50B6"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 xml:space="preserve">On January 10, 2013, a telephonic hearing was held originating from the Commission’s Harrisburg office.  Complainant attended and represented herself.  John F. </w:t>
      </w:r>
      <w:proofErr w:type="spellStart"/>
      <w:r w:rsidRPr="000E35DD">
        <w:rPr>
          <w:rFonts w:ascii="Times New Roman" w:hAnsi="Times New Roman"/>
          <w:szCs w:val="24"/>
        </w:rPr>
        <w:t>Povilaitis</w:t>
      </w:r>
      <w:proofErr w:type="spellEnd"/>
      <w:r w:rsidRPr="000E35DD">
        <w:rPr>
          <w:rFonts w:ascii="Times New Roman" w:hAnsi="Times New Roman"/>
          <w:szCs w:val="24"/>
        </w:rPr>
        <w:t>, Esquire, represented Penn Power.</w:t>
      </w:r>
      <w:r w:rsidR="00841328" w:rsidRPr="000E35DD">
        <w:rPr>
          <w:rFonts w:ascii="Times New Roman" w:hAnsi="Times New Roman"/>
          <w:szCs w:val="24"/>
        </w:rPr>
        <w:t xml:space="preserve">  Penn Power presented the testimony of Raymond E. Valdes, an advisor for the Pennsylvania Rate and Regulatory Tariffs Department of First Energy Service Company.</w:t>
      </w:r>
      <w:r w:rsidR="00B96A69" w:rsidRPr="000E35DD">
        <w:rPr>
          <w:rFonts w:ascii="Times New Roman" w:hAnsi="Times New Roman"/>
          <w:szCs w:val="24"/>
        </w:rPr>
        <w:t xml:space="preserve">  Penn Power offered four exhibits that were received into evidence:</w:t>
      </w:r>
    </w:p>
    <w:p w:rsidR="00B96A69" w:rsidRPr="000E35DD" w:rsidRDefault="00B96A69" w:rsidP="00650ECA">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Penn Power Exhibit No. 1, a Smart Meter Technologies Charge Rider issued June 25, 2010; Penn Power Exhibit No. 2, a Smart Meter Technologies Charge Rider issued July 30, 2010; Penn Power Exhibit No. 3, a Smart Meter Technologies Charge Rider issued July 29, 2011; and Penn Power No. 4, a Penn Power Billing Statement dated December 19, 2012.</w:t>
      </w:r>
      <w:r w:rsidR="00470365" w:rsidRPr="000E35DD">
        <w:rPr>
          <w:rFonts w:ascii="Times New Roman" w:hAnsi="Times New Roman"/>
          <w:szCs w:val="24"/>
        </w:rPr>
        <w:t xml:space="preserve">  The record in this case consists of the hearing transcript of twenty four pages, and Penn Power Exhibits No. 1 – No. 4.  The record closed with the filing of the transcript on January 18, 2013.</w:t>
      </w:r>
    </w:p>
    <w:p w:rsidR="0066355B" w:rsidRPr="000E35DD" w:rsidRDefault="0066355B" w:rsidP="00650ECA">
      <w:pPr>
        <w:pStyle w:val="BodyText"/>
        <w:tabs>
          <w:tab w:val="clear" w:pos="1980"/>
          <w:tab w:val="left" w:pos="0"/>
        </w:tabs>
        <w:spacing w:line="360" w:lineRule="auto"/>
        <w:jc w:val="left"/>
        <w:rPr>
          <w:rFonts w:ascii="Times New Roman" w:hAnsi="Times New Roman"/>
          <w:szCs w:val="24"/>
        </w:rPr>
      </w:pPr>
    </w:p>
    <w:p w:rsidR="0082408D" w:rsidRPr="000E35DD" w:rsidRDefault="0082408D" w:rsidP="00844690">
      <w:pPr>
        <w:pStyle w:val="BodyText"/>
        <w:tabs>
          <w:tab w:val="clear" w:pos="1980"/>
          <w:tab w:val="left" w:pos="0"/>
        </w:tabs>
        <w:spacing w:line="360" w:lineRule="auto"/>
        <w:jc w:val="center"/>
        <w:rPr>
          <w:rFonts w:ascii="Times New Roman" w:hAnsi="Times New Roman"/>
          <w:b/>
          <w:szCs w:val="24"/>
          <w:u w:val="single"/>
        </w:rPr>
      </w:pPr>
      <w:r w:rsidRPr="000E35DD">
        <w:rPr>
          <w:rFonts w:ascii="Times New Roman" w:hAnsi="Times New Roman"/>
          <w:szCs w:val="24"/>
          <w:u w:val="single"/>
        </w:rPr>
        <w:t>FINDINGS OF FACT</w:t>
      </w:r>
    </w:p>
    <w:p w:rsidR="0082408D" w:rsidRPr="000E35DD" w:rsidRDefault="0082408D">
      <w:pPr>
        <w:rPr>
          <w:sz w:val="24"/>
          <w:szCs w:val="24"/>
        </w:rPr>
      </w:pPr>
    </w:p>
    <w:p w:rsidR="00EF393E" w:rsidRPr="000E35DD" w:rsidRDefault="0082408D"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1.</w:t>
      </w:r>
      <w:r w:rsidRPr="000E35DD">
        <w:rPr>
          <w:rFonts w:ascii="Times New Roman" w:hAnsi="Times New Roman"/>
          <w:szCs w:val="24"/>
        </w:rPr>
        <w:tab/>
        <w:t xml:space="preserve">The Complainant </w:t>
      </w:r>
      <w:r w:rsidR="009619DC" w:rsidRPr="000E35DD">
        <w:rPr>
          <w:rFonts w:ascii="Times New Roman" w:hAnsi="Times New Roman"/>
          <w:szCs w:val="24"/>
        </w:rPr>
        <w:t xml:space="preserve">in this matter </w:t>
      </w:r>
      <w:r w:rsidRPr="000E35DD">
        <w:rPr>
          <w:rFonts w:ascii="Times New Roman" w:hAnsi="Times New Roman"/>
          <w:szCs w:val="24"/>
        </w:rPr>
        <w:t xml:space="preserve">is </w:t>
      </w:r>
      <w:r w:rsidR="00995D90" w:rsidRPr="000E35DD">
        <w:rPr>
          <w:rFonts w:ascii="Times New Roman" w:hAnsi="Times New Roman"/>
          <w:szCs w:val="24"/>
        </w:rPr>
        <w:t xml:space="preserve">Connie </w:t>
      </w:r>
      <w:proofErr w:type="spellStart"/>
      <w:r w:rsidR="00995D90" w:rsidRPr="000E35DD">
        <w:rPr>
          <w:rFonts w:ascii="Times New Roman" w:hAnsi="Times New Roman"/>
          <w:szCs w:val="24"/>
        </w:rPr>
        <w:t>McRoberts</w:t>
      </w:r>
      <w:proofErr w:type="spellEnd"/>
      <w:r w:rsidR="00995D90" w:rsidRPr="000E35DD">
        <w:rPr>
          <w:rFonts w:ascii="Times New Roman" w:hAnsi="Times New Roman"/>
          <w:szCs w:val="24"/>
        </w:rPr>
        <w:t>.</w:t>
      </w:r>
      <w:r w:rsidR="00B272FB" w:rsidRPr="000E35DD">
        <w:rPr>
          <w:rFonts w:ascii="Times New Roman" w:hAnsi="Times New Roman"/>
          <w:szCs w:val="24"/>
        </w:rPr>
        <w:t xml:space="preserve">  Ms. </w:t>
      </w:r>
      <w:proofErr w:type="spellStart"/>
      <w:r w:rsidR="00B272FB" w:rsidRPr="000E35DD">
        <w:rPr>
          <w:rFonts w:ascii="Times New Roman" w:hAnsi="Times New Roman"/>
          <w:szCs w:val="24"/>
        </w:rPr>
        <w:t>McRoberts</w:t>
      </w:r>
      <w:proofErr w:type="spellEnd"/>
      <w:r w:rsidR="00B272FB" w:rsidRPr="000E35DD">
        <w:rPr>
          <w:rFonts w:ascii="Times New Roman" w:hAnsi="Times New Roman"/>
          <w:szCs w:val="24"/>
        </w:rPr>
        <w:t xml:space="preserve"> objects to the Smart Meter Technologies Charge (SMT-C) on her ele</w:t>
      </w:r>
      <w:r w:rsidR="00EE08F4" w:rsidRPr="000E35DD">
        <w:rPr>
          <w:rFonts w:ascii="Times New Roman" w:hAnsi="Times New Roman"/>
          <w:szCs w:val="24"/>
        </w:rPr>
        <w:t>ctric bill and does not want a smart m</w:t>
      </w:r>
      <w:r w:rsidR="00B272FB" w:rsidRPr="000E35DD">
        <w:rPr>
          <w:rFonts w:ascii="Times New Roman" w:hAnsi="Times New Roman"/>
          <w:szCs w:val="24"/>
        </w:rPr>
        <w:t xml:space="preserve">eter in her home.  </w:t>
      </w:r>
      <w:proofErr w:type="gramStart"/>
      <w:r w:rsidR="00B272FB" w:rsidRPr="000E35DD">
        <w:rPr>
          <w:rFonts w:ascii="Times New Roman" w:hAnsi="Times New Roman"/>
          <w:szCs w:val="24"/>
        </w:rPr>
        <w:t>Complaint at ¶ 4B; N.T. at 16.</w:t>
      </w:r>
      <w:proofErr w:type="gramEnd"/>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2.</w:t>
      </w:r>
      <w:r w:rsidRPr="000E35DD">
        <w:rPr>
          <w:rFonts w:ascii="Times New Roman" w:hAnsi="Times New Roman"/>
          <w:szCs w:val="24"/>
        </w:rPr>
        <w:tab/>
        <w:t>The Respondent is Pennsylvania Power Company.</w:t>
      </w: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3.</w:t>
      </w:r>
      <w:r w:rsidRPr="000E35DD">
        <w:rPr>
          <w:rFonts w:ascii="Times New Roman" w:hAnsi="Times New Roman"/>
          <w:szCs w:val="24"/>
        </w:rPr>
        <w:tab/>
        <w:t xml:space="preserve">Complainant’s service address is 369 </w:t>
      </w:r>
      <w:proofErr w:type="spellStart"/>
      <w:r w:rsidRPr="000E35DD">
        <w:rPr>
          <w:rFonts w:ascii="Times New Roman" w:hAnsi="Times New Roman"/>
          <w:szCs w:val="24"/>
        </w:rPr>
        <w:t>Enon</w:t>
      </w:r>
      <w:proofErr w:type="spellEnd"/>
      <w:r w:rsidRPr="000E35DD">
        <w:rPr>
          <w:rFonts w:ascii="Times New Roman" w:hAnsi="Times New Roman"/>
          <w:szCs w:val="24"/>
        </w:rPr>
        <w:t xml:space="preserve"> Road, </w:t>
      </w:r>
      <w:proofErr w:type="spellStart"/>
      <w:r w:rsidRPr="000E35DD">
        <w:rPr>
          <w:rFonts w:ascii="Times New Roman" w:hAnsi="Times New Roman"/>
          <w:szCs w:val="24"/>
        </w:rPr>
        <w:t>Enon</w:t>
      </w:r>
      <w:proofErr w:type="spellEnd"/>
      <w:r w:rsidRPr="000E35DD">
        <w:rPr>
          <w:rFonts w:ascii="Times New Roman" w:hAnsi="Times New Roman"/>
          <w:szCs w:val="24"/>
        </w:rPr>
        <w:t xml:space="preserve"> Valley, Pennsylvania.</w:t>
      </w: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lastRenderedPageBreak/>
        <w:tab/>
      </w:r>
      <w:r w:rsidRPr="000E35DD">
        <w:rPr>
          <w:rFonts w:ascii="Times New Roman" w:hAnsi="Times New Roman"/>
          <w:szCs w:val="24"/>
        </w:rPr>
        <w:tab/>
        <w:t>4.</w:t>
      </w:r>
      <w:r w:rsidRPr="000E35DD">
        <w:rPr>
          <w:rFonts w:ascii="Times New Roman" w:hAnsi="Times New Roman"/>
          <w:szCs w:val="24"/>
        </w:rPr>
        <w:tab/>
        <w:t>Respondent provides electric service to Complainant at that address.</w:t>
      </w: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5.</w:t>
      </w:r>
      <w:r w:rsidRPr="000E35DD">
        <w:rPr>
          <w:rFonts w:ascii="Times New Roman" w:hAnsi="Times New Roman"/>
          <w:szCs w:val="24"/>
        </w:rPr>
        <w:tab/>
        <w:t xml:space="preserve">Complainant </w:t>
      </w:r>
      <w:r w:rsidR="00B272FB" w:rsidRPr="000E35DD">
        <w:rPr>
          <w:rFonts w:ascii="Times New Roman" w:hAnsi="Times New Roman"/>
          <w:szCs w:val="24"/>
        </w:rPr>
        <w:t>wants a refund for the SMT-C she has already paid</w:t>
      </w:r>
      <w:r w:rsidRPr="000E35DD">
        <w:rPr>
          <w:rFonts w:ascii="Times New Roman" w:hAnsi="Times New Roman"/>
          <w:szCs w:val="24"/>
        </w:rPr>
        <w:t xml:space="preserve">. </w:t>
      </w:r>
      <w:r w:rsidR="00B272FB" w:rsidRPr="000E35DD">
        <w:rPr>
          <w:rFonts w:ascii="Times New Roman" w:hAnsi="Times New Roman"/>
          <w:szCs w:val="24"/>
        </w:rPr>
        <w:t xml:space="preserve"> </w:t>
      </w:r>
      <w:proofErr w:type="gramStart"/>
      <w:r w:rsidR="00B272FB" w:rsidRPr="000E35DD">
        <w:rPr>
          <w:rFonts w:ascii="Times New Roman" w:hAnsi="Times New Roman"/>
          <w:szCs w:val="24"/>
        </w:rPr>
        <w:t>Complaint at ¶ 5.</w:t>
      </w:r>
      <w:proofErr w:type="gramEnd"/>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6.</w:t>
      </w:r>
      <w:r w:rsidRPr="000E35DD">
        <w:rPr>
          <w:rFonts w:ascii="Times New Roman" w:hAnsi="Times New Roman"/>
          <w:szCs w:val="24"/>
        </w:rPr>
        <w:tab/>
        <w:t xml:space="preserve">As of the date of the hearing in this case, smart meters had not been deployed in Penn Power’s service territory.  </w:t>
      </w:r>
      <w:proofErr w:type="gramStart"/>
      <w:r w:rsidRPr="000E35DD">
        <w:rPr>
          <w:rFonts w:ascii="Times New Roman" w:hAnsi="Times New Roman"/>
          <w:szCs w:val="24"/>
        </w:rPr>
        <w:t>N.T. at 10.</w:t>
      </w:r>
      <w:proofErr w:type="gramEnd"/>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7.</w:t>
      </w:r>
      <w:r w:rsidRPr="000E35DD">
        <w:rPr>
          <w:rFonts w:ascii="Times New Roman" w:hAnsi="Times New Roman"/>
          <w:szCs w:val="24"/>
        </w:rPr>
        <w:tab/>
        <w:t xml:space="preserve">There is no “opt out” provision in Penn Power’s Smart Meter </w:t>
      </w:r>
      <w:r w:rsidR="00EE08F4" w:rsidRPr="000E35DD">
        <w:rPr>
          <w:rFonts w:ascii="Times New Roman" w:hAnsi="Times New Roman"/>
          <w:szCs w:val="24"/>
        </w:rPr>
        <w:t>P</w:t>
      </w:r>
      <w:r w:rsidRPr="000E35DD">
        <w:rPr>
          <w:rFonts w:ascii="Times New Roman" w:hAnsi="Times New Roman"/>
          <w:szCs w:val="24"/>
        </w:rPr>
        <w:t xml:space="preserve">lan.  </w:t>
      </w:r>
      <w:proofErr w:type="gramStart"/>
      <w:r w:rsidRPr="000E35DD">
        <w:rPr>
          <w:rFonts w:ascii="Times New Roman" w:hAnsi="Times New Roman"/>
          <w:szCs w:val="24"/>
        </w:rPr>
        <w:t>N.T. at 11.</w:t>
      </w:r>
      <w:proofErr w:type="gramEnd"/>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p>
    <w:p w:rsidR="00995D90" w:rsidRPr="000E35DD" w:rsidRDefault="00995D90"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8.</w:t>
      </w:r>
      <w:r w:rsidRPr="000E35DD">
        <w:rPr>
          <w:rFonts w:ascii="Times New Roman" w:hAnsi="Times New Roman"/>
          <w:szCs w:val="24"/>
        </w:rPr>
        <w:tab/>
      </w:r>
      <w:r w:rsidR="002F4BA9" w:rsidRPr="000E35DD">
        <w:rPr>
          <w:rFonts w:ascii="Times New Roman" w:hAnsi="Times New Roman"/>
          <w:szCs w:val="24"/>
        </w:rPr>
        <w:t xml:space="preserve">Penn Power received Commission approval </w:t>
      </w:r>
      <w:r w:rsidR="00B213A1" w:rsidRPr="000E35DD">
        <w:rPr>
          <w:rFonts w:ascii="Times New Roman" w:hAnsi="Times New Roman"/>
          <w:szCs w:val="24"/>
        </w:rPr>
        <w:t xml:space="preserve">at Docket No. </w:t>
      </w:r>
      <w:proofErr w:type="gramStart"/>
      <w:r w:rsidR="00B213A1" w:rsidRPr="000E35DD">
        <w:rPr>
          <w:rFonts w:ascii="Times New Roman" w:hAnsi="Times New Roman"/>
          <w:szCs w:val="24"/>
        </w:rPr>
        <w:t xml:space="preserve">M-2009-2123950 </w:t>
      </w:r>
      <w:r w:rsidR="00EE08F4" w:rsidRPr="000E35DD">
        <w:rPr>
          <w:rFonts w:ascii="Times New Roman" w:hAnsi="Times New Roman"/>
          <w:szCs w:val="24"/>
        </w:rPr>
        <w:t>to bill customers for smart m</w:t>
      </w:r>
      <w:r w:rsidR="002F4BA9" w:rsidRPr="000E35DD">
        <w:rPr>
          <w:rFonts w:ascii="Times New Roman" w:hAnsi="Times New Roman"/>
          <w:szCs w:val="24"/>
        </w:rPr>
        <w:t xml:space="preserve">eters from </w:t>
      </w:r>
      <w:r w:rsidR="00B213A1" w:rsidRPr="000E35DD">
        <w:rPr>
          <w:rFonts w:ascii="Times New Roman" w:hAnsi="Times New Roman"/>
          <w:szCs w:val="24"/>
        </w:rPr>
        <w:t>August 1, 2010</w:t>
      </w:r>
      <w:r w:rsidR="002F4BA9" w:rsidRPr="000E35DD">
        <w:rPr>
          <w:rFonts w:ascii="Times New Roman" w:hAnsi="Times New Roman"/>
          <w:szCs w:val="24"/>
        </w:rPr>
        <w:t>.</w:t>
      </w:r>
      <w:proofErr w:type="gramEnd"/>
      <w:r w:rsidR="002F4BA9" w:rsidRPr="000E35DD">
        <w:rPr>
          <w:rFonts w:ascii="Times New Roman" w:hAnsi="Times New Roman"/>
          <w:szCs w:val="24"/>
        </w:rPr>
        <w:t xml:space="preserve">  Penn Power Exhibit No. 1.</w:t>
      </w:r>
    </w:p>
    <w:p w:rsidR="00B213A1" w:rsidRPr="000E35DD" w:rsidRDefault="00B213A1" w:rsidP="00415190">
      <w:pPr>
        <w:pStyle w:val="BodyText"/>
        <w:tabs>
          <w:tab w:val="clear" w:pos="1980"/>
          <w:tab w:val="left" w:pos="0"/>
        </w:tabs>
        <w:spacing w:line="360" w:lineRule="auto"/>
        <w:jc w:val="left"/>
        <w:rPr>
          <w:rFonts w:ascii="Times New Roman" w:hAnsi="Times New Roman"/>
          <w:szCs w:val="24"/>
        </w:rPr>
      </w:pPr>
    </w:p>
    <w:p w:rsidR="00B213A1" w:rsidRPr="000E35DD" w:rsidRDefault="00B213A1"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t>9.</w:t>
      </w:r>
      <w:r w:rsidRPr="000E35DD">
        <w:rPr>
          <w:rFonts w:ascii="Times New Roman" w:hAnsi="Times New Roman"/>
          <w:szCs w:val="24"/>
        </w:rPr>
        <w:tab/>
        <w:t xml:space="preserve">The Pennsylvania Office of Consumer Advocate participated in the proceeding at Docket No. M-2009-2123950 and represented the </w:t>
      </w:r>
      <w:r w:rsidR="00B272FB" w:rsidRPr="000E35DD">
        <w:rPr>
          <w:rFonts w:ascii="Times New Roman" w:hAnsi="Times New Roman"/>
          <w:szCs w:val="24"/>
        </w:rPr>
        <w:t xml:space="preserve">interests of the consumers in Penn Power’s service territory.  </w:t>
      </w:r>
      <w:proofErr w:type="gramStart"/>
      <w:r w:rsidRPr="000E35DD">
        <w:rPr>
          <w:rFonts w:ascii="Times New Roman" w:hAnsi="Times New Roman"/>
          <w:szCs w:val="24"/>
        </w:rPr>
        <w:t>N.T. 15.</w:t>
      </w:r>
      <w:proofErr w:type="gramEnd"/>
    </w:p>
    <w:p w:rsidR="002F4BA9" w:rsidRPr="000E35DD" w:rsidRDefault="002F4BA9" w:rsidP="00415190">
      <w:pPr>
        <w:pStyle w:val="BodyText"/>
        <w:tabs>
          <w:tab w:val="clear" w:pos="1980"/>
          <w:tab w:val="left" w:pos="0"/>
        </w:tabs>
        <w:spacing w:line="360" w:lineRule="auto"/>
        <w:jc w:val="left"/>
        <w:rPr>
          <w:rFonts w:ascii="Times New Roman" w:hAnsi="Times New Roman"/>
          <w:szCs w:val="24"/>
        </w:rPr>
      </w:pPr>
    </w:p>
    <w:p w:rsidR="002F4BA9" w:rsidRPr="000E35DD" w:rsidRDefault="002F4BA9"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B213A1" w:rsidRPr="000E35DD">
        <w:rPr>
          <w:rFonts w:ascii="Times New Roman" w:hAnsi="Times New Roman"/>
          <w:szCs w:val="24"/>
        </w:rPr>
        <w:t>10</w:t>
      </w:r>
      <w:r w:rsidRPr="000E35DD">
        <w:rPr>
          <w:rFonts w:ascii="Times New Roman" w:hAnsi="Times New Roman"/>
          <w:szCs w:val="24"/>
        </w:rPr>
        <w:t>.</w:t>
      </w:r>
      <w:r w:rsidRPr="000E35DD">
        <w:rPr>
          <w:rFonts w:ascii="Times New Roman" w:hAnsi="Times New Roman"/>
          <w:szCs w:val="24"/>
        </w:rPr>
        <w:tab/>
      </w:r>
      <w:r w:rsidR="00B213A1" w:rsidRPr="000E35DD">
        <w:rPr>
          <w:rFonts w:ascii="Times New Roman" w:hAnsi="Times New Roman"/>
          <w:szCs w:val="24"/>
        </w:rPr>
        <w:t>Complainant has been charged a</w:t>
      </w:r>
      <w:r w:rsidR="00EE08F4" w:rsidRPr="000E35DD">
        <w:rPr>
          <w:rFonts w:ascii="Times New Roman" w:hAnsi="Times New Roman"/>
          <w:szCs w:val="24"/>
        </w:rPr>
        <w:t xml:space="preserve">n </w:t>
      </w:r>
      <w:r w:rsidR="00B272FB" w:rsidRPr="000E35DD">
        <w:rPr>
          <w:rFonts w:ascii="Times New Roman" w:hAnsi="Times New Roman"/>
          <w:szCs w:val="24"/>
        </w:rPr>
        <w:t xml:space="preserve">SMT-C </w:t>
      </w:r>
      <w:r w:rsidR="00B213A1" w:rsidRPr="000E35DD">
        <w:rPr>
          <w:rFonts w:ascii="Times New Roman" w:hAnsi="Times New Roman"/>
          <w:szCs w:val="24"/>
        </w:rPr>
        <w:t>every month beginning with her billing statement spanning July 15, 2010 to present.  N.T. 6-7.</w:t>
      </w:r>
    </w:p>
    <w:p w:rsidR="00CE24D3" w:rsidRPr="000E35DD" w:rsidRDefault="00CE24D3" w:rsidP="00415190">
      <w:pPr>
        <w:pStyle w:val="BodyText"/>
        <w:tabs>
          <w:tab w:val="clear" w:pos="1980"/>
          <w:tab w:val="left" w:pos="0"/>
        </w:tabs>
        <w:spacing w:line="360" w:lineRule="auto"/>
        <w:jc w:val="left"/>
        <w:rPr>
          <w:rFonts w:ascii="Times New Roman" w:hAnsi="Times New Roman"/>
          <w:szCs w:val="24"/>
        </w:rPr>
      </w:pPr>
    </w:p>
    <w:p w:rsidR="00CE24D3" w:rsidRPr="000E35DD" w:rsidRDefault="00CE24D3" w:rsidP="00415190">
      <w:pPr>
        <w:pStyle w:val="BodyText"/>
        <w:tabs>
          <w:tab w:val="clear" w:pos="1980"/>
          <w:tab w:val="left" w:pos="0"/>
        </w:tabs>
        <w:spacing w:line="360" w:lineRule="auto"/>
        <w:jc w:val="left"/>
        <w:rPr>
          <w:rFonts w:ascii="Times New Roman" w:hAnsi="Times New Roman"/>
          <w:szCs w:val="24"/>
        </w:rPr>
      </w:pPr>
      <w:r w:rsidRPr="000E35DD">
        <w:rPr>
          <w:rFonts w:ascii="Times New Roman" w:hAnsi="Times New Roman"/>
          <w:szCs w:val="24"/>
        </w:rPr>
        <w:tab/>
      </w:r>
      <w:r w:rsidRPr="000E35DD">
        <w:rPr>
          <w:rFonts w:ascii="Times New Roman" w:hAnsi="Times New Roman"/>
          <w:szCs w:val="24"/>
        </w:rPr>
        <w:tab/>
      </w:r>
      <w:r w:rsidR="00EE08F4" w:rsidRPr="000E35DD">
        <w:rPr>
          <w:rFonts w:ascii="Times New Roman" w:hAnsi="Times New Roman"/>
          <w:szCs w:val="24"/>
        </w:rPr>
        <w:t>11.</w:t>
      </w:r>
      <w:r w:rsidR="00EE08F4" w:rsidRPr="000E35DD">
        <w:rPr>
          <w:rFonts w:ascii="Times New Roman" w:hAnsi="Times New Roman"/>
          <w:szCs w:val="24"/>
        </w:rPr>
        <w:tab/>
        <w:t>Smart m</w:t>
      </w:r>
      <w:r w:rsidRPr="000E35DD">
        <w:rPr>
          <w:rFonts w:ascii="Times New Roman" w:hAnsi="Times New Roman"/>
          <w:szCs w:val="24"/>
        </w:rPr>
        <w:t xml:space="preserve">eters do not detect when a person is at home; they measure electric consumption.  </w:t>
      </w:r>
      <w:proofErr w:type="gramStart"/>
      <w:r w:rsidRPr="000E35DD">
        <w:rPr>
          <w:rFonts w:ascii="Times New Roman" w:hAnsi="Times New Roman"/>
          <w:szCs w:val="24"/>
        </w:rPr>
        <w:t>N.T. at 19.</w:t>
      </w:r>
      <w:proofErr w:type="gramEnd"/>
    </w:p>
    <w:p w:rsidR="00B213A1" w:rsidRPr="000E35DD" w:rsidRDefault="00B213A1" w:rsidP="00415190">
      <w:pPr>
        <w:pStyle w:val="BodyText"/>
        <w:tabs>
          <w:tab w:val="clear" w:pos="1980"/>
          <w:tab w:val="left" w:pos="0"/>
        </w:tabs>
        <w:spacing w:line="360" w:lineRule="auto"/>
        <w:jc w:val="left"/>
        <w:rPr>
          <w:rFonts w:ascii="Times New Roman" w:hAnsi="Times New Roman"/>
          <w:szCs w:val="24"/>
        </w:rPr>
      </w:pPr>
    </w:p>
    <w:p w:rsidR="0082408D" w:rsidRPr="000E35DD" w:rsidRDefault="0082408D">
      <w:pPr>
        <w:pStyle w:val="Heading1"/>
        <w:spacing w:line="360" w:lineRule="auto"/>
        <w:rPr>
          <w:rFonts w:ascii="Times New Roman" w:hAnsi="Times New Roman"/>
          <w:b w:val="0"/>
          <w:szCs w:val="24"/>
        </w:rPr>
      </w:pPr>
      <w:r w:rsidRPr="000E35DD">
        <w:rPr>
          <w:rFonts w:ascii="Times New Roman" w:hAnsi="Times New Roman"/>
          <w:b w:val="0"/>
          <w:szCs w:val="24"/>
        </w:rPr>
        <w:t>DISCUSSION</w:t>
      </w:r>
    </w:p>
    <w:p w:rsidR="0082408D" w:rsidRPr="000E35DD" w:rsidRDefault="0082408D">
      <w:pPr>
        <w:rPr>
          <w:sz w:val="24"/>
          <w:szCs w:val="24"/>
        </w:rPr>
      </w:pPr>
    </w:p>
    <w:p w:rsidR="00E53340" w:rsidRDefault="0082408D" w:rsidP="00E53340">
      <w:pPr>
        <w:suppressAutoHyphens/>
        <w:spacing w:line="360" w:lineRule="auto"/>
        <w:rPr>
          <w:sz w:val="24"/>
          <w:szCs w:val="24"/>
        </w:rPr>
      </w:pPr>
      <w:r w:rsidRPr="000E35DD">
        <w:rPr>
          <w:sz w:val="24"/>
          <w:szCs w:val="24"/>
        </w:rPr>
        <w:tab/>
      </w:r>
      <w:r w:rsidR="00F20157" w:rsidRPr="000E35DD">
        <w:rPr>
          <w:sz w:val="24"/>
          <w:szCs w:val="24"/>
        </w:rPr>
        <w:tab/>
      </w:r>
      <w:r w:rsidR="00E53340" w:rsidRPr="00E53340">
        <w:rPr>
          <w:sz w:val="24"/>
          <w:szCs w:val="24"/>
        </w:rPr>
        <w:t xml:space="preserve">The Commission's Rules of Administrative Practice and Procedure, 52 </w:t>
      </w:r>
      <w:proofErr w:type="spellStart"/>
      <w:r w:rsidR="00E53340" w:rsidRPr="00E53340">
        <w:rPr>
          <w:sz w:val="24"/>
          <w:szCs w:val="24"/>
        </w:rPr>
        <w:t>Pa.Code</w:t>
      </w:r>
      <w:proofErr w:type="spellEnd"/>
      <w:r w:rsidR="00E53340" w:rsidRPr="00E53340">
        <w:rPr>
          <w:sz w:val="24"/>
          <w:szCs w:val="24"/>
        </w:rPr>
        <w:t xml:space="preserve"> Chapters 1, 3 and 5, provide for </w:t>
      </w:r>
      <w:r w:rsidR="00E53340" w:rsidRPr="00E53340">
        <w:rPr>
          <w:bCs/>
          <w:sz w:val="24"/>
          <w:szCs w:val="24"/>
        </w:rPr>
        <w:t>summary judgment and judgment</w:t>
      </w:r>
      <w:r w:rsidR="00E53340" w:rsidRPr="00E53340">
        <w:rPr>
          <w:sz w:val="24"/>
          <w:szCs w:val="24"/>
        </w:rPr>
        <w:t xml:space="preserve"> on the pleadings. </w:t>
      </w:r>
    </w:p>
    <w:p w:rsidR="00E53340" w:rsidRDefault="00E53340" w:rsidP="00E53340">
      <w:pPr>
        <w:suppressAutoHyphens/>
        <w:spacing w:line="360" w:lineRule="auto"/>
        <w:rPr>
          <w:sz w:val="24"/>
          <w:szCs w:val="24"/>
        </w:rPr>
      </w:pPr>
    </w:p>
    <w:p w:rsidR="000A10F3" w:rsidRDefault="000A10F3" w:rsidP="00E53340">
      <w:pPr>
        <w:suppressAutoHyphens/>
        <w:spacing w:line="360" w:lineRule="auto"/>
        <w:rPr>
          <w:sz w:val="24"/>
          <w:szCs w:val="24"/>
        </w:rPr>
      </w:pPr>
    </w:p>
    <w:p w:rsidR="000A10F3" w:rsidRDefault="000A10F3" w:rsidP="00E53340">
      <w:pPr>
        <w:suppressAutoHyphens/>
        <w:spacing w:line="360" w:lineRule="auto"/>
        <w:rPr>
          <w:sz w:val="24"/>
          <w:szCs w:val="24"/>
        </w:rPr>
      </w:pPr>
    </w:p>
    <w:p w:rsidR="00E53340" w:rsidRPr="00E53340" w:rsidRDefault="00E53340" w:rsidP="00E53340">
      <w:pPr>
        <w:suppressAutoHyphens/>
        <w:ind w:left="1440" w:right="1440"/>
        <w:rPr>
          <w:sz w:val="24"/>
          <w:szCs w:val="24"/>
        </w:rPr>
      </w:pPr>
      <w:r w:rsidRPr="00E53340">
        <w:rPr>
          <w:b/>
          <w:bCs/>
          <w:sz w:val="24"/>
          <w:szCs w:val="24"/>
        </w:rPr>
        <w:lastRenderedPageBreak/>
        <w:t xml:space="preserve">§ 5.102. </w:t>
      </w:r>
      <w:proofErr w:type="gramStart"/>
      <w:r w:rsidRPr="00E53340">
        <w:rPr>
          <w:b/>
          <w:bCs/>
          <w:sz w:val="24"/>
          <w:szCs w:val="24"/>
        </w:rPr>
        <w:t>Motions for summary judgment and judgment on the pleadings.</w:t>
      </w:r>
      <w:proofErr w:type="gramEnd"/>
      <w:r w:rsidRPr="00E53340">
        <w:rPr>
          <w:b/>
          <w:sz w:val="24"/>
          <w:szCs w:val="24"/>
        </w:rPr>
        <w:br/>
      </w:r>
      <w:r w:rsidRPr="00E53340">
        <w:rPr>
          <w:sz w:val="24"/>
          <w:szCs w:val="24"/>
        </w:rPr>
        <w:t> </w:t>
      </w:r>
      <w:r w:rsidRPr="00E53340">
        <w:rPr>
          <w:sz w:val="24"/>
          <w:szCs w:val="24"/>
        </w:rPr>
        <w:br/>
        <w:t xml:space="preserve">(a) </w:t>
      </w:r>
      <w:r w:rsidRPr="00E53340">
        <w:rPr>
          <w:i/>
          <w:iCs/>
          <w:sz w:val="24"/>
          <w:szCs w:val="24"/>
        </w:rPr>
        <w:t>Generally.</w:t>
      </w:r>
      <w:r w:rsidRPr="00E53340">
        <w:rPr>
          <w:sz w:val="24"/>
          <w:szCs w:val="24"/>
        </w:rPr>
        <w:t xml:space="preserve"> </w:t>
      </w:r>
      <w:proofErr w:type="gramStart"/>
      <w:r w:rsidRPr="00E53340">
        <w:rPr>
          <w:sz w:val="24"/>
          <w:szCs w:val="24"/>
        </w:rPr>
        <w:t xml:space="preserve">After the pleadings are closed, but within a time so that the hearing is not delayed, a party may move for </w:t>
      </w:r>
      <w:r w:rsidRPr="00E53340">
        <w:rPr>
          <w:bCs/>
          <w:sz w:val="24"/>
          <w:szCs w:val="24"/>
        </w:rPr>
        <w:t>judgment</w:t>
      </w:r>
      <w:r w:rsidRPr="00E53340">
        <w:rPr>
          <w:sz w:val="24"/>
          <w:szCs w:val="24"/>
        </w:rPr>
        <w:t xml:space="preserve"> on the pleadings or </w:t>
      </w:r>
      <w:r w:rsidRPr="00E53340">
        <w:rPr>
          <w:bCs/>
          <w:sz w:val="24"/>
          <w:szCs w:val="24"/>
        </w:rPr>
        <w:t>summary judgment.</w:t>
      </w:r>
      <w:proofErr w:type="gramEnd"/>
      <w:r w:rsidRPr="00E53340">
        <w:rPr>
          <w:sz w:val="24"/>
          <w:szCs w:val="24"/>
        </w:rPr>
        <w:t xml:space="preserve"> A motion must contain a notice which states that an answer or other responsive pleading shall be filed within 20 days of service of the motion.</w:t>
      </w:r>
      <w:r w:rsidRPr="00E53340">
        <w:rPr>
          <w:sz w:val="24"/>
          <w:szCs w:val="24"/>
        </w:rPr>
        <w:br/>
        <w:t> </w:t>
      </w:r>
      <w:r w:rsidRPr="00E53340">
        <w:rPr>
          <w:sz w:val="24"/>
          <w:szCs w:val="24"/>
        </w:rPr>
        <w:br/>
        <w:t xml:space="preserve">(b) </w:t>
      </w:r>
      <w:r w:rsidRPr="00E53340">
        <w:rPr>
          <w:i/>
          <w:iCs/>
          <w:sz w:val="24"/>
          <w:szCs w:val="24"/>
        </w:rPr>
        <w:t>Answers.</w:t>
      </w:r>
      <w:r w:rsidRPr="00E53340">
        <w:rPr>
          <w:sz w:val="24"/>
          <w:szCs w:val="24"/>
        </w:rPr>
        <w:t xml:space="preserve"> An answer to a motion for </w:t>
      </w:r>
      <w:r w:rsidRPr="00E53340">
        <w:rPr>
          <w:bCs/>
          <w:sz w:val="24"/>
          <w:szCs w:val="24"/>
        </w:rPr>
        <w:t>judgment</w:t>
      </w:r>
      <w:r w:rsidRPr="00E53340">
        <w:rPr>
          <w:sz w:val="24"/>
          <w:szCs w:val="24"/>
        </w:rPr>
        <w:t xml:space="preserve"> on the pleadings or </w:t>
      </w:r>
      <w:r w:rsidRPr="00E53340">
        <w:rPr>
          <w:bCs/>
          <w:sz w:val="24"/>
          <w:szCs w:val="24"/>
        </w:rPr>
        <w:t>summary judgment,</w:t>
      </w:r>
      <w:r w:rsidRPr="00E53340">
        <w:rPr>
          <w:sz w:val="24"/>
          <w:szCs w:val="24"/>
        </w:rPr>
        <w:t xml:space="preserve"> including an opposing affidavit or verification to a motion for </w:t>
      </w:r>
      <w:r w:rsidRPr="00E53340">
        <w:rPr>
          <w:bCs/>
          <w:sz w:val="24"/>
          <w:szCs w:val="24"/>
        </w:rPr>
        <w:t>summary judgment,</w:t>
      </w:r>
      <w:r w:rsidRPr="00E53340">
        <w:rPr>
          <w:sz w:val="24"/>
          <w:szCs w:val="24"/>
        </w:rPr>
        <w:t xml:space="preserve"> may be filed within 20 days of the date of service of the motion. The answer to a motion for </w:t>
      </w:r>
      <w:r w:rsidRPr="00E53340">
        <w:rPr>
          <w:bCs/>
          <w:sz w:val="24"/>
          <w:szCs w:val="24"/>
        </w:rPr>
        <w:t>summary judgment</w:t>
      </w:r>
      <w:r w:rsidRPr="00E53340">
        <w:rPr>
          <w:sz w:val="24"/>
          <w:szCs w:val="24"/>
        </w:rPr>
        <w:t xml:space="preserve"> may be supplemented by depositions, answers to interrogatories or further affidavits and admissions.</w:t>
      </w:r>
      <w:r w:rsidRPr="00E53340">
        <w:rPr>
          <w:sz w:val="24"/>
          <w:szCs w:val="24"/>
        </w:rPr>
        <w:br/>
        <w:t> </w:t>
      </w:r>
      <w:r w:rsidRPr="00E53340">
        <w:rPr>
          <w:sz w:val="24"/>
          <w:szCs w:val="24"/>
        </w:rPr>
        <w:br/>
        <w:t xml:space="preserve">(c) </w:t>
      </w:r>
      <w:r w:rsidRPr="00E53340">
        <w:rPr>
          <w:i/>
          <w:iCs/>
          <w:sz w:val="24"/>
          <w:szCs w:val="24"/>
        </w:rPr>
        <w:t xml:space="preserve">Motion for </w:t>
      </w:r>
      <w:r w:rsidRPr="00E53340">
        <w:rPr>
          <w:bCs/>
          <w:i/>
          <w:iCs/>
          <w:sz w:val="24"/>
          <w:szCs w:val="24"/>
        </w:rPr>
        <w:t>summary judgment.</w:t>
      </w:r>
      <w:r w:rsidRPr="00E53340">
        <w:rPr>
          <w:sz w:val="24"/>
          <w:szCs w:val="24"/>
        </w:rPr>
        <w:t xml:space="preserve"> A motion for </w:t>
      </w:r>
      <w:r w:rsidRPr="00E53340">
        <w:rPr>
          <w:bCs/>
          <w:sz w:val="24"/>
          <w:szCs w:val="24"/>
        </w:rPr>
        <w:t>summary judgment</w:t>
      </w:r>
      <w:r w:rsidRPr="00E53340">
        <w:rPr>
          <w:sz w:val="24"/>
          <w:szCs w:val="24"/>
        </w:rPr>
        <w:t xml:space="preserve"> must be based on the pleadings and depositions, answers to interrogatories, admissions and supporting affidavits. Documents not already filed with the Commission shall be filed with the motion.</w:t>
      </w:r>
      <w:r w:rsidRPr="00E53340">
        <w:rPr>
          <w:sz w:val="24"/>
          <w:szCs w:val="24"/>
        </w:rPr>
        <w:br/>
        <w:t> </w:t>
      </w:r>
      <w:r w:rsidRPr="00E53340">
        <w:rPr>
          <w:sz w:val="24"/>
          <w:szCs w:val="24"/>
        </w:rPr>
        <w:br/>
        <w:t xml:space="preserve">(d) </w:t>
      </w:r>
      <w:r w:rsidRPr="00E53340">
        <w:rPr>
          <w:i/>
          <w:iCs/>
          <w:sz w:val="24"/>
          <w:szCs w:val="24"/>
        </w:rPr>
        <w:t>Decisions on motions.</w:t>
      </w:r>
      <w:r w:rsidRPr="00E53340">
        <w:rPr>
          <w:sz w:val="24"/>
          <w:szCs w:val="24"/>
        </w:rPr>
        <w:br/>
        <w:t> </w:t>
      </w:r>
      <w:r w:rsidRPr="00E53340">
        <w:rPr>
          <w:sz w:val="24"/>
          <w:szCs w:val="24"/>
        </w:rPr>
        <w:br/>
        <w:t xml:space="preserve">(1) </w:t>
      </w:r>
      <w:r w:rsidRPr="00E53340">
        <w:rPr>
          <w:i/>
          <w:iCs/>
          <w:sz w:val="24"/>
          <w:szCs w:val="24"/>
        </w:rPr>
        <w:t>Standard for grant or denial on all counts.</w:t>
      </w:r>
      <w:r w:rsidRPr="00E53340">
        <w:rPr>
          <w:sz w:val="24"/>
          <w:szCs w:val="24"/>
        </w:rPr>
        <w:t xml:space="preserve"> The presiding officer will grant or deny a motion for judgment on the pleadings or a motion for </w:t>
      </w:r>
      <w:r w:rsidRPr="00E53340">
        <w:rPr>
          <w:bCs/>
          <w:sz w:val="24"/>
          <w:szCs w:val="24"/>
        </w:rPr>
        <w:t>summary judgment,</w:t>
      </w:r>
      <w:r w:rsidRPr="00E53340">
        <w:rPr>
          <w:sz w:val="24"/>
          <w:szCs w:val="24"/>
        </w:rPr>
        <w:t xml:space="preserve">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r w:rsidRPr="00E53340">
        <w:rPr>
          <w:sz w:val="24"/>
          <w:szCs w:val="24"/>
        </w:rPr>
        <w:br/>
        <w:t> </w:t>
      </w:r>
      <w:r w:rsidRPr="00E53340">
        <w:rPr>
          <w:sz w:val="24"/>
          <w:szCs w:val="24"/>
        </w:rPr>
        <w:br/>
        <w:t xml:space="preserve">(2) </w:t>
      </w:r>
      <w:r w:rsidRPr="00E53340">
        <w:rPr>
          <w:i/>
          <w:iCs/>
          <w:sz w:val="24"/>
          <w:szCs w:val="24"/>
        </w:rPr>
        <w:t>Standard for grant or denial in part.</w:t>
      </w:r>
      <w:r w:rsidRPr="00E53340">
        <w:rPr>
          <w:sz w:val="24"/>
          <w:szCs w:val="24"/>
        </w:rPr>
        <w:t xml:space="preserve"> The presiding officer may grant a partial </w:t>
      </w:r>
      <w:r w:rsidRPr="00E53340">
        <w:rPr>
          <w:bCs/>
          <w:sz w:val="24"/>
          <w:szCs w:val="24"/>
        </w:rPr>
        <w:t>summary judgment</w:t>
      </w:r>
      <w:r w:rsidRPr="00E53340">
        <w:rPr>
          <w:sz w:val="24"/>
          <w:szCs w:val="24"/>
        </w:rPr>
        <w:t xml:space="preserve"> if the pleadings, depositions, answers to interrogatories and admissions, together with affidavits, if any, show that there is no genuine issue as to a material fact and that the moving party is entitled to a judgment as a matter of law on one or more but not all outstanding issues.</w:t>
      </w:r>
      <w:r w:rsidRPr="00E53340">
        <w:rPr>
          <w:sz w:val="24"/>
          <w:szCs w:val="24"/>
        </w:rPr>
        <w:br/>
        <w:t> </w:t>
      </w:r>
      <w:r w:rsidRPr="00E53340">
        <w:rPr>
          <w:sz w:val="24"/>
          <w:szCs w:val="24"/>
        </w:rPr>
        <w:br/>
        <w:t xml:space="preserve">(3) </w:t>
      </w:r>
      <w:r w:rsidRPr="00E53340">
        <w:rPr>
          <w:i/>
          <w:iCs/>
          <w:sz w:val="24"/>
          <w:szCs w:val="24"/>
        </w:rPr>
        <w:t>Form of decision.</w:t>
      </w:r>
      <w:r w:rsidRPr="00E53340">
        <w:rPr>
          <w:sz w:val="24"/>
          <w:szCs w:val="24"/>
        </w:rPr>
        <w:t xml:space="preserve"> The presiding officer will grant, in whole or in part, the motion in the form of an initial or recommended decision which shall be subject to exceptions as set forth in § 5.533 (relating to exceptions). Denial of a motion will be in the form of a written order.</w:t>
      </w:r>
    </w:p>
    <w:p w:rsidR="00E53340" w:rsidRDefault="00E53340" w:rsidP="00E53340">
      <w:pPr>
        <w:suppressAutoHyphens/>
        <w:spacing w:line="360" w:lineRule="auto"/>
        <w:rPr>
          <w:sz w:val="24"/>
          <w:szCs w:val="24"/>
        </w:rPr>
      </w:pPr>
      <w:r>
        <w:rPr>
          <w:bCs/>
          <w:sz w:val="24"/>
          <w:szCs w:val="24"/>
        </w:rPr>
        <w:lastRenderedPageBreak/>
        <w:tab/>
      </w:r>
      <w:r>
        <w:rPr>
          <w:bCs/>
          <w:sz w:val="24"/>
          <w:szCs w:val="24"/>
        </w:rPr>
        <w:tab/>
      </w:r>
      <w:r w:rsidRPr="00E53340">
        <w:rPr>
          <w:bCs/>
          <w:sz w:val="24"/>
          <w:szCs w:val="24"/>
        </w:rPr>
        <w:t>Summary judgment</w:t>
      </w:r>
      <w:r w:rsidRPr="00E53340">
        <w:rPr>
          <w:sz w:val="24"/>
          <w:szCs w:val="24"/>
        </w:rPr>
        <w:t xml:space="preserve"> is properly granted where the pleadings, depositions, answers to interrogatories, and admissions on file, together with the affidavits, if any, show that there is no genuine issue of material fact and the moving party is entitled to a judgment as a matter of law.</w:t>
      </w:r>
      <w:r>
        <w:rPr>
          <w:sz w:val="24"/>
          <w:szCs w:val="24"/>
        </w:rPr>
        <w:t xml:space="preserve"> </w:t>
      </w:r>
      <w:r w:rsidRPr="00E53340">
        <w:rPr>
          <w:sz w:val="24"/>
          <w:szCs w:val="24"/>
        </w:rPr>
        <w:t xml:space="preserve"> </w:t>
      </w:r>
      <w:r w:rsidRPr="00E53340">
        <w:rPr>
          <w:i/>
          <w:iCs/>
          <w:sz w:val="24"/>
          <w:szCs w:val="24"/>
        </w:rPr>
        <w:t>Pennsylvania State Univ. v. County Of Centre</w:t>
      </w:r>
      <w:r w:rsidRPr="00E53340">
        <w:rPr>
          <w:sz w:val="24"/>
          <w:szCs w:val="24"/>
        </w:rPr>
        <w:t>, 532 Pa. 142, 144 - 145, 615 A.2d 303, 304 (1992).</w:t>
      </w:r>
      <w:r>
        <w:rPr>
          <w:sz w:val="24"/>
          <w:szCs w:val="24"/>
        </w:rPr>
        <w:t xml:space="preserve">  </w:t>
      </w:r>
    </w:p>
    <w:p w:rsidR="005A505C" w:rsidRPr="005A505C" w:rsidRDefault="00321B88" w:rsidP="00E53340">
      <w:pPr>
        <w:suppressAutoHyphens/>
        <w:spacing w:line="360" w:lineRule="auto"/>
        <w:rPr>
          <w:sz w:val="24"/>
          <w:szCs w:val="24"/>
        </w:rPr>
      </w:pPr>
      <w:r w:rsidRPr="000E35DD">
        <w:rPr>
          <w:sz w:val="24"/>
          <w:szCs w:val="24"/>
        </w:rPr>
        <w:br/>
      </w:r>
      <w:r w:rsidRPr="000E35DD">
        <w:rPr>
          <w:sz w:val="24"/>
          <w:szCs w:val="24"/>
        </w:rPr>
        <w:tab/>
      </w:r>
      <w:r w:rsidRPr="000E35DD">
        <w:rPr>
          <w:sz w:val="24"/>
          <w:szCs w:val="24"/>
        </w:rPr>
        <w:tab/>
      </w:r>
      <w:r w:rsidR="005A505C">
        <w:rPr>
          <w:sz w:val="24"/>
          <w:szCs w:val="24"/>
        </w:rPr>
        <w:t>In the case of a Motion for Summary Judgment, t</w:t>
      </w:r>
      <w:r w:rsidR="005A505C" w:rsidRPr="005A505C">
        <w:rPr>
          <w:sz w:val="24"/>
          <w:szCs w:val="24"/>
        </w:rPr>
        <w:t xml:space="preserve">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005A505C" w:rsidRPr="005A505C">
        <w:rPr>
          <w:i/>
          <w:sz w:val="24"/>
          <w:szCs w:val="24"/>
        </w:rPr>
        <w:t>First Mortgage Co. of Pennsylvania v.</w:t>
      </w:r>
      <w:proofErr w:type="gramEnd"/>
      <w:r w:rsidR="005A505C" w:rsidRPr="005A505C">
        <w:rPr>
          <w:i/>
          <w:sz w:val="24"/>
          <w:szCs w:val="24"/>
        </w:rPr>
        <w:t xml:space="preserve">  </w:t>
      </w:r>
      <w:proofErr w:type="gramStart"/>
      <w:r w:rsidR="005A505C" w:rsidRPr="005A505C">
        <w:rPr>
          <w:i/>
          <w:sz w:val="24"/>
          <w:szCs w:val="24"/>
        </w:rPr>
        <w:t>McCall</w:t>
      </w:r>
      <w:r w:rsidR="005A505C" w:rsidRPr="005A505C">
        <w:rPr>
          <w:sz w:val="24"/>
          <w:szCs w:val="24"/>
        </w:rPr>
        <w:t xml:space="preserve">, 459 A.2d 406 (Pa. Super. 1983); </w:t>
      </w:r>
      <w:r w:rsidR="005A505C" w:rsidRPr="005A505C">
        <w:rPr>
          <w:i/>
          <w:sz w:val="24"/>
          <w:szCs w:val="24"/>
        </w:rPr>
        <w:t xml:space="preserve">Mertz v. </w:t>
      </w:r>
      <w:proofErr w:type="spellStart"/>
      <w:r w:rsidR="005A505C" w:rsidRPr="005A505C">
        <w:rPr>
          <w:i/>
          <w:sz w:val="24"/>
          <w:szCs w:val="24"/>
        </w:rPr>
        <w:t>Lakatos</w:t>
      </w:r>
      <w:proofErr w:type="spellEnd"/>
      <w:r w:rsidR="005A505C" w:rsidRPr="005A505C">
        <w:rPr>
          <w:sz w:val="24"/>
          <w:szCs w:val="24"/>
        </w:rPr>
        <w:t xml:space="preserve">, 381 A.2d 497 (Pa. </w:t>
      </w:r>
      <w:proofErr w:type="spellStart"/>
      <w:r w:rsidR="005A505C" w:rsidRPr="005A505C">
        <w:rPr>
          <w:sz w:val="24"/>
          <w:szCs w:val="24"/>
        </w:rPr>
        <w:t>Cmwlth</w:t>
      </w:r>
      <w:proofErr w:type="spellEnd"/>
      <w:r w:rsidR="005A505C" w:rsidRPr="005A505C">
        <w:rPr>
          <w:sz w:val="24"/>
          <w:szCs w:val="24"/>
        </w:rPr>
        <w:t>. 1978).</w:t>
      </w:r>
      <w:proofErr w:type="gramEnd"/>
      <w:r w:rsidR="005A505C" w:rsidRPr="005A505C">
        <w:rPr>
          <w:sz w:val="24"/>
          <w:szCs w:val="24"/>
        </w:rPr>
        <w:t xml:space="preserve">  All doubts as to the existence of a genuine issue of material fact must be resolved against the moving party.  </w:t>
      </w:r>
      <w:proofErr w:type="gramStart"/>
      <w:r w:rsidR="005A505C" w:rsidRPr="005A505C">
        <w:rPr>
          <w:i/>
          <w:sz w:val="24"/>
          <w:szCs w:val="24"/>
        </w:rPr>
        <w:t>Thomson Coal Company v. Pike Coal Company</w:t>
      </w:r>
      <w:r w:rsidR="005A505C" w:rsidRPr="005A505C">
        <w:rPr>
          <w:sz w:val="24"/>
          <w:szCs w:val="24"/>
        </w:rPr>
        <w:t>, 412 A.2d 466 (Pa. 1979).</w:t>
      </w:r>
      <w:proofErr w:type="gramEnd"/>
      <w:r w:rsidR="005A505C" w:rsidRPr="005A505C">
        <w:rPr>
          <w:sz w:val="24"/>
          <w:szCs w:val="24"/>
        </w:rPr>
        <w:t xml:space="preserve">  Summary judgment will be granted only where the right is clear and free from doubt.</w:t>
      </w:r>
    </w:p>
    <w:p w:rsidR="005A505C" w:rsidRPr="005A505C" w:rsidRDefault="005A505C" w:rsidP="005A505C">
      <w:pPr>
        <w:suppressAutoHyphens/>
        <w:spacing w:line="360" w:lineRule="auto"/>
        <w:rPr>
          <w:sz w:val="24"/>
          <w:szCs w:val="24"/>
        </w:rPr>
      </w:pPr>
      <w:r w:rsidRPr="005A505C">
        <w:rPr>
          <w:sz w:val="24"/>
          <w:szCs w:val="24"/>
        </w:rPr>
        <w:tab/>
      </w:r>
      <w:r w:rsidRPr="005A505C">
        <w:rPr>
          <w:sz w:val="24"/>
          <w:szCs w:val="24"/>
        </w:rPr>
        <w:tab/>
      </w:r>
      <w:r w:rsidRPr="005A505C">
        <w:rPr>
          <w:sz w:val="24"/>
          <w:szCs w:val="24"/>
        </w:rPr>
        <w:tab/>
      </w:r>
      <w:r w:rsidRPr="005A505C">
        <w:rPr>
          <w:sz w:val="24"/>
          <w:szCs w:val="24"/>
        </w:rPr>
        <w:tab/>
      </w:r>
    </w:p>
    <w:p w:rsidR="005A505C" w:rsidRPr="005A505C" w:rsidRDefault="005A505C" w:rsidP="005A505C">
      <w:pPr>
        <w:suppressAutoHyphens/>
        <w:spacing w:line="360" w:lineRule="auto"/>
        <w:rPr>
          <w:sz w:val="24"/>
          <w:szCs w:val="24"/>
        </w:rPr>
      </w:pPr>
      <w:r>
        <w:rPr>
          <w:sz w:val="24"/>
          <w:szCs w:val="24"/>
        </w:rPr>
        <w:tab/>
      </w:r>
      <w:r>
        <w:rPr>
          <w:sz w:val="24"/>
          <w:szCs w:val="24"/>
        </w:rPr>
        <w:tab/>
      </w:r>
      <w:r w:rsidRPr="005A505C">
        <w:rPr>
          <w:sz w:val="24"/>
          <w:szCs w:val="24"/>
        </w:rPr>
        <w:t xml:space="preserve">The non-moving party in a motion for summary judgment must allege facts showing that an issue for trial exists. </w:t>
      </w:r>
      <w:proofErr w:type="gramStart"/>
      <w:r w:rsidRPr="005A505C">
        <w:rPr>
          <w:i/>
          <w:sz w:val="24"/>
          <w:szCs w:val="24"/>
        </w:rPr>
        <w:t>First Mortgage Co. of Pennsylvania v.</w:t>
      </w:r>
      <w:proofErr w:type="gramEnd"/>
      <w:r w:rsidRPr="005A505C">
        <w:rPr>
          <w:i/>
          <w:sz w:val="24"/>
          <w:szCs w:val="24"/>
        </w:rPr>
        <w:t xml:space="preserve">  </w:t>
      </w:r>
      <w:proofErr w:type="gramStart"/>
      <w:r w:rsidRPr="005A505C">
        <w:rPr>
          <w:i/>
          <w:sz w:val="24"/>
          <w:szCs w:val="24"/>
        </w:rPr>
        <w:t>McCall, supra; Commonwealth v. Diamond Shamrock Chemical Co.,</w:t>
      </w:r>
      <w:r w:rsidRPr="005A505C">
        <w:rPr>
          <w:sz w:val="24"/>
          <w:szCs w:val="24"/>
        </w:rPr>
        <w:t xml:space="preserve"> 391 A.2d 1333 (Pa. </w:t>
      </w:r>
      <w:proofErr w:type="spellStart"/>
      <w:r w:rsidRPr="005A505C">
        <w:rPr>
          <w:sz w:val="24"/>
          <w:szCs w:val="24"/>
        </w:rPr>
        <w:t>Cmwlth</w:t>
      </w:r>
      <w:proofErr w:type="spellEnd"/>
      <w:r w:rsidRPr="005A505C">
        <w:rPr>
          <w:sz w:val="24"/>
          <w:szCs w:val="24"/>
        </w:rPr>
        <w:t xml:space="preserve">. 1978); </w:t>
      </w:r>
      <w:r w:rsidRPr="005A505C">
        <w:rPr>
          <w:i/>
          <w:sz w:val="24"/>
          <w:szCs w:val="24"/>
        </w:rPr>
        <w:t>Stover v.</w:t>
      </w:r>
      <w:proofErr w:type="gramEnd"/>
      <w:r w:rsidRPr="005A505C">
        <w:rPr>
          <w:i/>
          <w:sz w:val="24"/>
          <w:szCs w:val="24"/>
        </w:rPr>
        <w:t xml:space="preserve"> The UGI </w:t>
      </w:r>
      <w:proofErr w:type="spellStart"/>
      <w:r w:rsidRPr="005A505C">
        <w:rPr>
          <w:i/>
          <w:sz w:val="24"/>
          <w:szCs w:val="24"/>
        </w:rPr>
        <w:t>PennTelephone</w:t>
      </w:r>
      <w:proofErr w:type="spellEnd"/>
      <w:r w:rsidRPr="005A505C">
        <w:rPr>
          <w:i/>
          <w:sz w:val="24"/>
          <w:szCs w:val="24"/>
        </w:rPr>
        <w:t xml:space="preserve"> Co. of Pennsylvania</w:t>
      </w:r>
      <w:r w:rsidRPr="005A505C">
        <w:rPr>
          <w:sz w:val="24"/>
          <w:szCs w:val="24"/>
        </w:rPr>
        <w:t xml:space="preserve">, Docket No. C-00923833, Order entered July 21, 1992.  The Commission has interpreted 52 Pa. Code Section 5.102(c) in conformity with Rule 1035 (now Rule 1035.1) of the Pennsylvania Rules of Civil Procedure (Pa. R.C.P.).  </w:t>
      </w:r>
      <w:r w:rsidRPr="005A505C">
        <w:rPr>
          <w:i/>
          <w:sz w:val="24"/>
          <w:szCs w:val="24"/>
        </w:rPr>
        <w:t>South River Power Partners, L.P. v. West Penn Power Company</w:t>
      </w:r>
      <w:r w:rsidRPr="005A505C">
        <w:rPr>
          <w:sz w:val="24"/>
          <w:szCs w:val="24"/>
        </w:rPr>
        <w:t xml:space="preserve">, Docket No. C-00935287, Order entered November 6, 1996.  In civil practice, a non-moving party may not rely solely upon denials in its pleadings, but must submit some materials to establish that a genuine issue of material fact exists.  </w:t>
      </w:r>
      <w:proofErr w:type="spellStart"/>
      <w:proofErr w:type="gramStart"/>
      <w:r w:rsidRPr="005A505C">
        <w:rPr>
          <w:i/>
          <w:sz w:val="24"/>
          <w:szCs w:val="24"/>
        </w:rPr>
        <w:t>Nicastro</w:t>
      </w:r>
      <w:proofErr w:type="spellEnd"/>
      <w:r w:rsidRPr="005A505C">
        <w:rPr>
          <w:i/>
          <w:sz w:val="24"/>
          <w:szCs w:val="24"/>
        </w:rPr>
        <w:t xml:space="preserve"> v. </w:t>
      </w:r>
      <w:proofErr w:type="spellStart"/>
      <w:r w:rsidRPr="005A505C">
        <w:rPr>
          <w:i/>
          <w:sz w:val="24"/>
          <w:szCs w:val="24"/>
        </w:rPr>
        <w:t>Cuyler</w:t>
      </w:r>
      <w:proofErr w:type="spellEnd"/>
      <w:r w:rsidRPr="005A505C">
        <w:rPr>
          <w:sz w:val="24"/>
          <w:szCs w:val="24"/>
        </w:rPr>
        <w:t xml:space="preserve">, 467 A.2d 1218 (Pa. </w:t>
      </w:r>
      <w:proofErr w:type="spellStart"/>
      <w:r w:rsidRPr="005A505C">
        <w:rPr>
          <w:sz w:val="24"/>
          <w:szCs w:val="24"/>
        </w:rPr>
        <w:t>Cmwlth</w:t>
      </w:r>
      <w:proofErr w:type="spellEnd"/>
      <w:r w:rsidRPr="005A505C">
        <w:rPr>
          <w:sz w:val="24"/>
          <w:szCs w:val="24"/>
        </w:rPr>
        <w:t xml:space="preserve">. 1983); </w:t>
      </w:r>
      <w:r w:rsidRPr="005A505C">
        <w:rPr>
          <w:i/>
          <w:sz w:val="24"/>
          <w:szCs w:val="24"/>
        </w:rPr>
        <w:t xml:space="preserve">Pennsylvania Gas &amp; Water Co. v. </w:t>
      </w:r>
      <w:proofErr w:type="spellStart"/>
      <w:r w:rsidRPr="005A505C">
        <w:rPr>
          <w:i/>
          <w:sz w:val="24"/>
          <w:szCs w:val="24"/>
        </w:rPr>
        <w:t>Nenna</w:t>
      </w:r>
      <w:proofErr w:type="spellEnd"/>
      <w:r w:rsidRPr="005A505C">
        <w:rPr>
          <w:i/>
          <w:sz w:val="24"/>
          <w:szCs w:val="24"/>
        </w:rPr>
        <w:t xml:space="preserve"> &amp; </w:t>
      </w:r>
      <w:proofErr w:type="spellStart"/>
      <w:r w:rsidRPr="005A505C">
        <w:rPr>
          <w:i/>
          <w:sz w:val="24"/>
          <w:szCs w:val="24"/>
        </w:rPr>
        <w:t>Frain</w:t>
      </w:r>
      <w:proofErr w:type="spellEnd"/>
      <w:r w:rsidRPr="005A505C">
        <w:rPr>
          <w:i/>
          <w:sz w:val="24"/>
          <w:szCs w:val="24"/>
        </w:rPr>
        <w:t>, Inc.,</w:t>
      </w:r>
      <w:r w:rsidRPr="005A505C">
        <w:rPr>
          <w:sz w:val="24"/>
          <w:szCs w:val="24"/>
        </w:rPr>
        <w:t xml:space="preserve"> 467 A.2d 330 (Pa. Super. 1983); </w:t>
      </w:r>
      <w:proofErr w:type="spellStart"/>
      <w:r w:rsidRPr="005A505C">
        <w:rPr>
          <w:i/>
          <w:sz w:val="24"/>
          <w:szCs w:val="24"/>
        </w:rPr>
        <w:t>Geriot</w:t>
      </w:r>
      <w:proofErr w:type="spellEnd"/>
      <w:r w:rsidRPr="005A505C">
        <w:rPr>
          <w:i/>
          <w:sz w:val="24"/>
          <w:szCs w:val="24"/>
        </w:rPr>
        <w:t xml:space="preserve"> v. Council of Borough of Darby</w:t>
      </w:r>
      <w:r w:rsidRPr="005A505C">
        <w:rPr>
          <w:sz w:val="24"/>
          <w:szCs w:val="24"/>
        </w:rPr>
        <w:t xml:space="preserve">, 457 A.2d 202 (Pa. </w:t>
      </w:r>
      <w:proofErr w:type="spellStart"/>
      <w:r w:rsidRPr="005A505C">
        <w:rPr>
          <w:sz w:val="24"/>
          <w:szCs w:val="24"/>
        </w:rPr>
        <w:t>Cmwlth</w:t>
      </w:r>
      <w:proofErr w:type="spellEnd"/>
      <w:r w:rsidRPr="005A505C">
        <w:rPr>
          <w:sz w:val="24"/>
          <w:szCs w:val="24"/>
        </w:rPr>
        <w:t xml:space="preserve">. 1983); </w:t>
      </w:r>
      <w:r w:rsidRPr="005A505C">
        <w:rPr>
          <w:i/>
          <w:sz w:val="24"/>
          <w:szCs w:val="24"/>
        </w:rPr>
        <w:t>see also</w:t>
      </w:r>
      <w:r w:rsidRPr="005A505C">
        <w:rPr>
          <w:sz w:val="24"/>
          <w:szCs w:val="24"/>
        </w:rPr>
        <w:t>, Pa. R.C.P. 1035.3.</w:t>
      </w:r>
      <w:proofErr w:type="gramEnd"/>
      <w:r w:rsidRPr="005A505C">
        <w:rPr>
          <w:sz w:val="24"/>
          <w:szCs w:val="24"/>
        </w:rPr>
        <w:t xml:space="preserve">  Summary judgment may be entered against the non-moving party who does not respond.  Pa. R.C.P. 1035.3(d). </w:t>
      </w:r>
    </w:p>
    <w:p w:rsidR="005A505C" w:rsidRPr="005A505C" w:rsidRDefault="005A505C" w:rsidP="005A505C">
      <w:pPr>
        <w:suppressAutoHyphens/>
        <w:spacing w:line="360" w:lineRule="auto"/>
        <w:rPr>
          <w:sz w:val="24"/>
          <w:szCs w:val="24"/>
        </w:rPr>
      </w:pPr>
    </w:p>
    <w:p w:rsidR="005A505C" w:rsidRPr="005A505C" w:rsidRDefault="005A505C" w:rsidP="005A505C">
      <w:pPr>
        <w:suppressAutoHyphens/>
        <w:spacing w:line="360" w:lineRule="auto"/>
        <w:rPr>
          <w:sz w:val="24"/>
          <w:szCs w:val="24"/>
        </w:rPr>
      </w:pPr>
      <w:r>
        <w:rPr>
          <w:sz w:val="24"/>
          <w:szCs w:val="24"/>
        </w:rPr>
        <w:lastRenderedPageBreak/>
        <w:tab/>
      </w:r>
      <w:r>
        <w:rPr>
          <w:sz w:val="24"/>
          <w:szCs w:val="24"/>
        </w:rPr>
        <w:tab/>
      </w:r>
      <w:r w:rsidRPr="005A505C">
        <w:rPr>
          <w:sz w:val="24"/>
          <w:szCs w:val="24"/>
        </w:rPr>
        <w:t>The provision at 52 Pa. Code §5.102(c) serves judicial economy by avoiding a hearing where no factual</w:t>
      </w:r>
      <w:r>
        <w:rPr>
          <w:sz w:val="24"/>
          <w:szCs w:val="24"/>
        </w:rPr>
        <w:t xml:space="preserve"> </w:t>
      </w:r>
      <w:r w:rsidRPr="005A505C">
        <w:rPr>
          <w:sz w:val="24"/>
          <w:szCs w:val="24"/>
        </w:rPr>
        <w:t xml:space="preserve">dispute exists.  If no factual issue pertinent to the resolution of a case exists, a hearing is unnecessary.  </w:t>
      </w:r>
      <w:proofErr w:type="gramStart"/>
      <w:r w:rsidRPr="005A505C">
        <w:rPr>
          <w:sz w:val="24"/>
          <w:szCs w:val="24"/>
        </w:rPr>
        <w:t xml:space="preserve">66 Pa. C.S. §703(a); </w:t>
      </w:r>
      <w:r w:rsidRPr="005A505C">
        <w:rPr>
          <w:i/>
          <w:sz w:val="24"/>
          <w:szCs w:val="24"/>
        </w:rPr>
        <w:t>Lehigh Valley Power Committee v. Pa. P.U.C.,</w:t>
      </w:r>
      <w:r w:rsidRPr="005A505C">
        <w:rPr>
          <w:sz w:val="24"/>
          <w:szCs w:val="24"/>
        </w:rPr>
        <w:t xml:space="preserve"> 563 A.2d 557 (Pa. </w:t>
      </w:r>
      <w:proofErr w:type="spellStart"/>
      <w:r w:rsidRPr="005A505C">
        <w:rPr>
          <w:sz w:val="24"/>
          <w:szCs w:val="24"/>
        </w:rPr>
        <w:t>Cmwlth</w:t>
      </w:r>
      <w:proofErr w:type="spellEnd"/>
      <w:r w:rsidRPr="005A505C">
        <w:rPr>
          <w:sz w:val="24"/>
          <w:szCs w:val="24"/>
        </w:rPr>
        <w:t xml:space="preserve">. 1989); </w:t>
      </w:r>
      <w:r w:rsidRPr="005A505C">
        <w:rPr>
          <w:i/>
          <w:sz w:val="24"/>
          <w:szCs w:val="24"/>
        </w:rPr>
        <w:t>S.M.E. Bessemer Cement, Inc. v. Pa. P.U.C.,</w:t>
      </w:r>
      <w:r w:rsidRPr="005A505C">
        <w:rPr>
          <w:sz w:val="24"/>
          <w:szCs w:val="24"/>
        </w:rPr>
        <w:t xml:space="preserve"> 540 A.2d 1006 (Pa. </w:t>
      </w:r>
      <w:proofErr w:type="spellStart"/>
      <w:r w:rsidRPr="005A505C">
        <w:rPr>
          <w:sz w:val="24"/>
          <w:szCs w:val="24"/>
        </w:rPr>
        <w:t>Cmwlth</w:t>
      </w:r>
      <w:proofErr w:type="spellEnd"/>
      <w:r w:rsidRPr="005A505C">
        <w:rPr>
          <w:sz w:val="24"/>
          <w:szCs w:val="24"/>
        </w:rPr>
        <w:t xml:space="preserve">. 1988); </w:t>
      </w:r>
      <w:r w:rsidRPr="005A505C">
        <w:rPr>
          <w:i/>
          <w:sz w:val="24"/>
          <w:szCs w:val="24"/>
        </w:rPr>
        <w:t>White Oak Borough Authority v. Pa. P.U.C.</w:t>
      </w:r>
      <w:r w:rsidRPr="005A505C">
        <w:rPr>
          <w:sz w:val="24"/>
          <w:szCs w:val="24"/>
        </w:rPr>
        <w:t>, 103 A.2d 502 (Pa. Super. 1954).</w:t>
      </w:r>
      <w:proofErr w:type="gramEnd"/>
    </w:p>
    <w:p w:rsidR="005A505C" w:rsidRDefault="005A505C" w:rsidP="00334F09">
      <w:pPr>
        <w:suppressAutoHyphens/>
        <w:spacing w:line="360" w:lineRule="auto"/>
        <w:rPr>
          <w:sz w:val="24"/>
          <w:szCs w:val="24"/>
        </w:rPr>
      </w:pPr>
    </w:p>
    <w:p w:rsidR="00334F09" w:rsidRPr="000E35DD" w:rsidRDefault="00334F09" w:rsidP="000A10F3">
      <w:pPr>
        <w:suppressAutoHyphens/>
        <w:spacing w:line="360" w:lineRule="auto"/>
        <w:rPr>
          <w:sz w:val="24"/>
          <w:szCs w:val="24"/>
        </w:rPr>
      </w:pPr>
      <w:r w:rsidRPr="000E35DD">
        <w:rPr>
          <w:sz w:val="24"/>
          <w:szCs w:val="24"/>
        </w:rPr>
        <w:tab/>
      </w:r>
      <w:r w:rsidRPr="000E35DD">
        <w:rPr>
          <w:sz w:val="24"/>
          <w:szCs w:val="24"/>
        </w:rPr>
        <w:tab/>
        <w:t>Penn Power’s Motion for Summary Judgment seeks the dismissal of the Complaint because the SM</w:t>
      </w:r>
      <w:r w:rsidR="00721136" w:rsidRPr="000E35DD">
        <w:rPr>
          <w:sz w:val="24"/>
          <w:szCs w:val="24"/>
        </w:rPr>
        <w:t>T-</w:t>
      </w:r>
      <w:r w:rsidRPr="000E35DD">
        <w:rPr>
          <w:sz w:val="24"/>
          <w:szCs w:val="24"/>
        </w:rPr>
        <w:t>C is mandatory.</w:t>
      </w:r>
      <w:r w:rsidR="00D14B69" w:rsidRPr="000E35DD">
        <w:rPr>
          <w:sz w:val="24"/>
          <w:szCs w:val="24"/>
        </w:rPr>
        <w:t xml:space="preserve">  </w:t>
      </w:r>
    </w:p>
    <w:p w:rsidR="00334F09" w:rsidRPr="000E35DD" w:rsidRDefault="00334F09" w:rsidP="00334F09">
      <w:pPr>
        <w:suppressAutoHyphens/>
        <w:spacing w:line="360" w:lineRule="auto"/>
        <w:rPr>
          <w:sz w:val="24"/>
          <w:szCs w:val="24"/>
        </w:rPr>
      </w:pPr>
    </w:p>
    <w:p w:rsidR="00334F09" w:rsidRPr="000E35DD" w:rsidRDefault="00334F09" w:rsidP="00334F09">
      <w:pPr>
        <w:suppressAutoHyphens/>
        <w:spacing w:line="360" w:lineRule="auto"/>
        <w:rPr>
          <w:sz w:val="24"/>
          <w:szCs w:val="24"/>
        </w:rPr>
      </w:pPr>
      <w:r w:rsidRPr="000E35DD">
        <w:rPr>
          <w:sz w:val="24"/>
          <w:szCs w:val="24"/>
        </w:rPr>
        <w:tab/>
      </w:r>
      <w:r w:rsidRPr="000E35DD">
        <w:rPr>
          <w:sz w:val="24"/>
          <w:szCs w:val="24"/>
        </w:rPr>
        <w:tab/>
        <w:t xml:space="preserve">The facts and the law in this case are now clear. </w:t>
      </w:r>
      <w:r w:rsidR="005764E7">
        <w:rPr>
          <w:sz w:val="24"/>
          <w:szCs w:val="24"/>
        </w:rPr>
        <w:t xml:space="preserve"> </w:t>
      </w:r>
      <w:proofErr w:type="gramStart"/>
      <w:r w:rsidR="00094C2A" w:rsidRPr="000E35DD">
        <w:rPr>
          <w:sz w:val="24"/>
          <w:szCs w:val="24"/>
        </w:rPr>
        <w:t xml:space="preserve">Consistent with the </w:t>
      </w:r>
      <w:r w:rsidRPr="000E35DD">
        <w:rPr>
          <w:sz w:val="24"/>
          <w:szCs w:val="24"/>
        </w:rPr>
        <w:t xml:space="preserve">Commission’s decision in </w:t>
      </w:r>
      <w:r w:rsidRPr="000E35DD">
        <w:rPr>
          <w:i/>
          <w:sz w:val="24"/>
          <w:szCs w:val="24"/>
        </w:rPr>
        <w:t xml:space="preserve">Richard </w:t>
      </w:r>
      <w:proofErr w:type="spellStart"/>
      <w:r w:rsidRPr="000E35DD">
        <w:rPr>
          <w:i/>
          <w:sz w:val="24"/>
          <w:szCs w:val="24"/>
        </w:rPr>
        <w:t>Carlock</w:t>
      </w:r>
      <w:proofErr w:type="spellEnd"/>
      <w:r w:rsidRPr="000E35DD">
        <w:rPr>
          <w:i/>
          <w:sz w:val="24"/>
          <w:szCs w:val="24"/>
        </w:rPr>
        <w:t xml:space="preserve"> v.</w:t>
      </w:r>
      <w:proofErr w:type="gramEnd"/>
      <w:r w:rsidRPr="000E35DD">
        <w:rPr>
          <w:i/>
          <w:sz w:val="24"/>
          <w:szCs w:val="24"/>
        </w:rPr>
        <w:t xml:space="preserve"> The United Telephone Company of Pa</w:t>
      </w:r>
      <w:r w:rsidRPr="000E35DD">
        <w:rPr>
          <w:sz w:val="24"/>
          <w:szCs w:val="24"/>
        </w:rPr>
        <w:t>., Docket No. F-00163617 (Order entered July 14, 1993)</w:t>
      </w:r>
      <w:r w:rsidR="00094C2A" w:rsidRPr="000E35DD">
        <w:rPr>
          <w:sz w:val="24"/>
          <w:szCs w:val="24"/>
        </w:rPr>
        <w:t xml:space="preserve">, the Complainant in this case has now had the </w:t>
      </w:r>
      <w:r w:rsidRPr="000E35DD">
        <w:rPr>
          <w:sz w:val="24"/>
          <w:szCs w:val="24"/>
        </w:rPr>
        <w:t>opportunity to be heard orally</w:t>
      </w:r>
      <w:r w:rsidR="00094C2A" w:rsidRPr="000E35DD">
        <w:rPr>
          <w:sz w:val="24"/>
          <w:szCs w:val="24"/>
        </w:rPr>
        <w:t>,</w:t>
      </w:r>
      <w:r w:rsidRPr="000E35DD">
        <w:rPr>
          <w:sz w:val="24"/>
          <w:szCs w:val="24"/>
        </w:rPr>
        <w:t xml:space="preserve"> and </w:t>
      </w:r>
      <w:r w:rsidR="00094C2A" w:rsidRPr="000E35DD">
        <w:rPr>
          <w:sz w:val="24"/>
          <w:szCs w:val="24"/>
        </w:rPr>
        <w:t xml:space="preserve">a </w:t>
      </w:r>
      <w:r w:rsidRPr="000E35DD">
        <w:rPr>
          <w:sz w:val="24"/>
          <w:szCs w:val="24"/>
        </w:rPr>
        <w:t>sufficient record</w:t>
      </w:r>
      <w:r w:rsidR="00094C2A" w:rsidRPr="000E35DD">
        <w:rPr>
          <w:sz w:val="24"/>
          <w:szCs w:val="24"/>
        </w:rPr>
        <w:t xml:space="preserve"> has been developed</w:t>
      </w:r>
      <w:r w:rsidRPr="000E35DD">
        <w:rPr>
          <w:sz w:val="24"/>
          <w:szCs w:val="24"/>
        </w:rPr>
        <w:t xml:space="preserve">.  </w:t>
      </w:r>
      <w:r w:rsidR="00094C2A" w:rsidRPr="000E35DD">
        <w:rPr>
          <w:sz w:val="24"/>
          <w:szCs w:val="24"/>
        </w:rPr>
        <w:t>Those facts missing from or unclear in the original Motion for Summary Judgment have been explained.</w:t>
      </w:r>
    </w:p>
    <w:p w:rsidR="00094C2A" w:rsidRPr="000E35DD" w:rsidRDefault="00094C2A" w:rsidP="00057453">
      <w:pPr>
        <w:suppressAutoHyphens/>
        <w:spacing w:line="360" w:lineRule="auto"/>
        <w:rPr>
          <w:sz w:val="24"/>
          <w:szCs w:val="24"/>
        </w:rPr>
      </w:pPr>
    </w:p>
    <w:p w:rsidR="00057453" w:rsidRPr="000E35DD" w:rsidRDefault="00094C2A" w:rsidP="00057453">
      <w:pPr>
        <w:suppressAutoHyphens/>
        <w:spacing w:line="360" w:lineRule="auto"/>
        <w:rPr>
          <w:sz w:val="24"/>
          <w:szCs w:val="24"/>
        </w:rPr>
      </w:pPr>
      <w:r w:rsidRPr="000E35DD">
        <w:rPr>
          <w:sz w:val="24"/>
          <w:szCs w:val="24"/>
        </w:rPr>
        <w:tab/>
      </w:r>
      <w:r w:rsidRPr="000E35DD">
        <w:rPr>
          <w:sz w:val="24"/>
          <w:szCs w:val="24"/>
        </w:rPr>
        <w:tab/>
      </w:r>
      <w:r w:rsidR="00057453" w:rsidRPr="000E35DD">
        <w:rPr>
          <w:sz w:val="24"/>
          <w:szCs w:val="24"/>
        </w:rPr>
        <w:t>The Complaint had its genesis</w:t>
      </w:r>
      <w:r w:rsidR="00721136" w:rsidRPr="000E35DD">
        <w:rPr>
          <w:sz w:val="24"/>
          <w:szCs w:val="24"/>
        </w:rPr>
        <w:t>, at least in part,</w:t>
      </w:r>
      <w:r w:rsidR="00057453" w:rsidRPr="000E35DD">
        <w:rPr>
          <w:sz w:val="24"/>
          <w:szCs w:val="24"/>
        </w:rPr>
        <w:t xml:space="preserve"> </w:t>
      </w:r>
      <w:r w:rsidR="00721136" w:rsidRPr="000E35DD">
        <w:rPr>
          <w:sz w:val="24"/>
          <w:szCs w:val="24"/>
        </w:rPr>
        <w:t>from</w:t>
      </w:r>
      <w:r w:rsidR="00057453" w:rsidRPr="000E35DD">
        <w:rPr>
          <w:sz w:val="24"/>
          <w:szCs w:val="24"/>
        </w:rPr>
        <w:t xml:space="preserve"> the fact that Complainant does not want to pay for equipment that has not been installed.  And as of the date of the hearing in this case, smart meters had not been deployed in Penn Power’s service territory.  </w:t>
      </w:r>
      <w:proofErr w:type="gramStart"/>
      <w:r w:rsidR="00057453" w:rsidRPr="000E35DD">
        <w:rPr>
          <w:sz w:val="24"/>
          <w:szCs w:val="24"/>
        </w:rPr>
        <w:t>N.T. at 10.</w:t>
      </w:r>
      <w:proofErr w:type="gramEnd"/>
      <w:r w:rsidR="00057453" w:rsidRPr="000E35DD">
        <w:rPr>
          <w:sz w:val="24"/>
          <w:szCs w:val="24"/>
        </w:rPr>
        <w:t xml:space="preserve">  However, there is no “opt out” provision in Penn Power’s Smart Meter </w:t>
      </w:r>
      <w:r w:rsidR="00721136" w:rsidRPr="000E35DD">
        <w:rPr>
          <w:sz w:val="24"/>
          <w:szCs w:val="24"/>
        </w:rPr>
        <w:t>P</w:t>
      </w:r>
      <w:r w:rsidR="00057453" w:rsidRPr="000E35DD">
        <w:rPr>
          <w:sz w:val="24"/>
          <w:szCs w:val="24"/>
        </w:rPr>
        <w:t>lan</w:t>
      </w:r>
      <w:r w:rsidR="000B1E1A" w:rsidRPr="000E35DD">
        <w:rPr>
          <w:sz w:val="24"/>
          <w:szCs w:val="24"/>
        </w:rPr>
        <w:t xml:space="preserve"> and Penn Power has been authorized by the Commission to</w:t>
      </w:r>
      <w:r w:rsidR="00721136" w:rsidRPr="000E35DD">
        <w:rPr>
          <w:sz w:val="24"/>
          <w:szCs w:val="24"/>
        </w:rPr>
        <w:t xml:space="preserve"> charge customers for smart m</w:t>
      </w:r>
      <w:r w:rsidR="000B1E1A" w:rsidRPr="000E35DD">
        <w:rPr>
          <w:sz w:val="24"/>
          <w:szCs w:val="24"/>
        </w:rPr>
        <w:t>eters</w:t>
      </w:r>
      <w:r w:rsidR="00057453" w:rsidRPr="000E35DD">
        <w:rPr>
          <w:sz w:val="24"/>
          <w:szCs w:val="24"/>
        </w:rPr>
        <w:t>.</w:t>
      </w:r>
      <w:r w:rsidR="000B1E1A" w:rsidRPr="000E35DD">
        <w:rPr>
          <w:sz w:val="24"/>
          <w:szCs w:val="24"/>
        </w:rPr>
        <w:t xml:space="preserve">  This is the </w:t>
      </w:r>
      <w:r w:rsidR="00057453" w:rsidRPr="000E35DD">
        <w:rPr>
          <w:sz w:val="24"/>
          <w:szCs w:val="24"/>
        </w:rPr>
        <w:t>essential fact</w:t>
      </w:r>
      <w:r w:rsidR="000B1E1A" w:rsidRPr="000E35DD">
        <w:rPr>
          <w:sz w:val="24"/>
          <w:szCs w:val="24"/>
        </w:rPr>
        <w:t xml:space="preserve">: </w:t>
      </w:r>
      <w:r w:rsidR="00057453" w:rsidRPr="000E35DD">
        <w:rPr>
          <w:sz w:val="24"/>
          <w:szCs w:val="24"/>
        </w:rPr>
        <w:t xml:space="preserve">Penn Power received Commission approval </w:t>
      </w:r>
      <w:r w:rsidR="00DF57C7" w:rsidRPr="000E35DD">
        <w:rPr>
          <w:sz w:val="24"/>
          <w:szCs w:val="24"/>
        </w:rPr>
        <w:t xml:space="preserve">in the </w:t>
      </w:r>
      <w:r w:rsidR="00DF57C7" w:rsidRPr="000E35DD">
        <w:rPr>
          <w:i/>
          <w:sz w:val="24"/>
          <w:szCs w:val="24"/>
        </w:rPr>
        <w:t>Smart Meter Plan</w:t>
      </w:r>
      <w:r w:rsidR="00DF57C7" w:rsidRPr="000E35DD">
        <w:rPr>
          <w:sz w:val="24"/>
          <w:szCs w:val="24"/>
        </w:rPr>
        <w:t xml:space="preserve"> Order </w:t>
      </w:r>
      <w:r w:rsidR="00721136" w:rsidRPr="000E35DD">
        <w:rPr>
          <w:sz w:val="24"/>
          <w:szCs w:val="24"/>
        </w:rPr>
        <w:t>to bill customers for smart m</w:t>
      </w:r>
      <w:r w:rsidR="00057453" w:rsidRPr="000E35DD">
        <w:rPr>
          <w:sz w:val="24"/>
          <w:szCs w:val="24"/>
        </w:rPr>
        <w:t>eters from August 1, 2010 onward.  Penn Power Exhibit No. 1.</w:t>
      </w:r>
      <w:r w:rsidR="00E91DD7" w:rsidRPr="000E35DD">
        <w:rPr>
          <w:sz w:val="24"/>
          <w:szCs w:val="24"/>
        </w:rPr>
        <w:t xml:space="preserve">  Consistent with Section 1303 of the Public Utility Code, 66 Pa. C.S. § 1303, a utility's lawful rates are the rates specified in that utility's tariff. </w:t>
      </w:r>
      <w:r w:rsidR="00AB10ED" w:rsidRPr="000E35DD">
        <w:rPr>
          <w:sz w:val="24"/>
          <w:szCs w:val="24"/>
        </w:rPr>
        <w:t xml:space="preserve"> </w:t>
      </w:r>
      <w:proofErr w:type="gramStart"/>
      <w:r w:rsidR="00E91DD7" w:rsidRPr="000E35DD">
        <w:rPr>
          <w:i/>
          <w:sz w:val="24"/>
          <w:szCs w:val="24"/>
        </w:rPr>
        <w:t>Bell Telephone Company of Pennsylvania v. Pa. Public Utility Commission</w:t>
      </w:r>
      <w:r w:rsidR="00E91DD7" w:rsidRPr="000E35DD">
        <w:rPr>
          <w:sz w:val="24"/>
          <w:szCs w:val="24"/>
        </w:rPr>
        <w:t xml:space="preserve">, 53 Pa. </w:t>
      </w:r>
      <w:proofErr w:type="spellStart"/>
      <w:r w:rsidR="00E91DD7" w:rsidRPr="000E35DD">
        <w:rPr>
          <w:sz w:val="24"/>
          <w:szCs w:val="24"/>
        </w:rPr>
        <w:t>Cmwlth</w:t>
      </w:r>
      <w:proofErr w:type="spellEnd"/>
      <w:r w:rsidR="00E91DD7" w:rsidRPr="000E35DD">
        <w:rPr>
          <w:sz w:val="24"/>
          <w:szCs w:val="24"/>
        </w:rPr>
        <w:t>. Ct. 241, 417 A.2d 827 (1980).</w:t>
      </w:r>
      <w:proofErr w:type="gramEnd"/>
      <w:r w:rsidR="00DD27B6" w:rsidRPr="000E35DD">
        <w:rPr>
          <w:sz w:val="24"/>
          <w:szCs w:val="24"/>
        </w:rPr>
        <w:t xml:space="preserve">  A public utility is entitled to full payment for service provided to customers, and all customers are obligated to pay for the utility service provided to them.  </w:t>
      </w:r>
      <w:r w:rsidR="00DD27B6" w:rsidRPr="000E35DD">
        <w:rPr>
          <w:i/>
          <w:sz w:val="24"/>
          <w:szCs w:val="24"/>
        </w:rPr>
        <w:t>Pa. P.U.C. v. Equitable Gas Company</w:t>
      </w:r>
      <w:r w:rsidR="00DD27B6" w:rsidRPr="000E35DD">
        <w:rPr>
          <w:sz w:val="24"/>
          <w:szCs w:val="24"/>
        </w:rPr>
        <w:t>, 73 PA PUC 301, 330-335 (1990).  Electric service to the Complainant includes</w:t>
      </w:r>
      <w:r w:rsidR="00721136" w:rsidRPr="000E35DD">
        <w:rPr>
          <w:sz w:val="24"/>
          <w:szCs w:val="24"/>
        </w:rPr>
        <w:t xml:space="preserve"> the installation and use of a smart m</w:t>
      </w:r>
      <w:r w:rsidR="00DD27B6" w:rsidRPr="000E35DD">
        <w:rPr>
          <w:sz w:val="24"/>
          <w:szCs w:val="24"/>
        </w:rPr>
        <w:t>eter consistent with the schedule approved by the Commission.  Though Complainant objects to this service and has no wish to pay for it, the service and</w:t>
      </w:r>
      <w:r w:rsidR="00490540">
        <w:rPr>
          <w:sz w:val="24"/>
          <w:szCs w:val="24"/>
        </w:rPr>
        <w:t xml:space="preserve"> its associated rate is lawful.</w:t>
      </w:r>
    </w:p>
    <w:p w:rsidR="00057453" w:rsidRPr="000E35DD" w:rsidRDefault="00057453" w:rsidP="00057453">
      <w:pPr>
        <w:suppressAutoHyphens/>
        <w:spacing w:line="360" w:lineRule="auto"/>
        <w:rPr>
          <w:sz w:val="24"/>
          <w:szCs w:val="24"/>
        </w:rPr>
      </w:pPr>
    </w:p>
    <w:p w:rsidR="0082408D" w:rsidRPr="000E35DD" w:rsidRDefault="0082408D" w:rsidP="006B1345">
      <w:pPr>
        <w:pStyle w:val="Heading1"/>
        <w:spacing w:line="360" w:lineRule="auto"/>
        <w:rPr>
          <w:rFonts w:ascii="Times New Roman" w:hAnsi="Times New Roman"/>
          <w:b w:val="0"/>
          <w:szCs w:val="24"/>
        </w:rPr>
      </w:pPr>
      <w:r w:rsidRPr="000E35DD">
        <w:rPr>
          <w:rFonts w:ascii="Times New Roman" w:hAnsi="Times New Roman"/>
          <w:b w:val="0"/>
          <w:szCs w:val="24"/>
        </w:rPr>
        <w:t>CONCLUSIONS OF LAW</w:t>
      </w:r>
    </w:p>
    <w:p w:rsidR="006B1345" w:rsidRPr="000E35DD" w:rsidRDefault="006B1345" w:rsidP="006B1345">
      <w:pPr>
        <w:rPr>
          <w:sz w:val="24"/>
          <w:szCs w:val="24"/>
        </w:rPr>
      </w:pPr>
    </w:p>
    <w:p w:rsidR="00E53340" w:rsidRDefault="006B1345" w:rsidP="00E53340">
      <w:pPr>
        <w:spacing w:line="360" w:lineRule="auto"/>
        <w:rPr>
          <w:sz w:val="24"/>
          <w:szCs w:val="24"/>
        </w:rPr>
      </w:pPr>
      <w:r w:rsidRPr="000E35DD">
        <w:rPr>
          <w:sz w:val="24"/>
          <w:szCs w:val="24"/>
        </w:rPr>
        <w:tab/>
      </w:r>
      <w:r w:rsidRPr="000E35DD">
        <w:rPr>
          <w:sz w:val="24"/>
          <w:szCs w:val="24"/>
        </w:rPr>
        <w:tab/>
        <w:t>1.</w:t>
      </w:r>
      <w:r w:rsidR="00385252" w:rsidRPr="000E35DD">
        <w:rPr>
          <w:sz w:val="24"/>
          <w:szCs w:val="24"/>
        </w:rPr>
        <w:tab/>
      </w:r>
      <w:r w:rsidR="00E53340" w:rsidRPr="00E53340">
        <w:rPr>
          <w:sz w:val="24"/>
          <w:szCs w:val="24"/>
        </w:rPr>
        <w:t>The Commission has jurisdiction over the subject matter of, and parties to, this case.</w:t>
      </w:r>
    </w:p>
    <w:p w:rsidR="00E53340" w:rsidRDefault="00E53340" w:rsidP="00E53340">
      <w:pPr>
        <w:spacing w:line="360" w:lineRule="auto"/>
        <w:rPr>
          <w:sz w:val="24"/>
          <w:szCs w:val="24"/>
        </w:rPr>
      </w:pPr>
    </w:p>
    <w:p w:rsidR="00E53340" w:rsidRDefault="00E53340" w:rsidP="00E53340">
      <w:pPr>
        <w:spacing w:line="360" w:lineRule="auto"/>
        <w:rPr>
          <w:sz w:val="24"/>
          <w:szCs w:val="24"/>
        </w:rPr>
      </w:pPr>
      <w:r>
        <w:rPr>
          <w:sz w:val="24"/>
          <w:szCs w:val="24"/>
        </w:rPr>
        <w:tab/>
      </w:r>
      <w:r>
        <w:rPr>
          <w:sz w:val="24"/>
          <w:szCs w:val="24"/>
        </w:rPr>
        <w:tab/>
        <w:t>2.</w:t>
      </w:r>
      <w:r>
        <w:rPr>
          <w:sz w:val="24"/>
          <w:szCs w:val="24"/>
        </w:rPr>
        <w:tab/>
      </w:r>
      <w:r w:rsidRPr="00E53340">
        <w:rPr>
          <w:sz w:val="24"/>
          <w:szCs w:val="24"/>
        </w:rPr>
        <w:t xml:space="preserve">A Motion for </w:t>
      </w:r>
      <w:r w:rsidRPr="00E53340">
        <w:rPr>
          <w:bCs/>
          <w:sz w:val="24"/>
          <w:szCs w:val="24"/>
        </w:rPr>
        <w:t>Summary Judgment</w:t>
      </w:r>
      <w:r w:rsidRPr="00E53340">
        <w:rPr>
          <w:sz w:val="24"/>
          <w:szCs w:val="24"/>
        </w:rPr>
        <w:t xml:space="preserve"> may be granted in cases where the record clearly shows that there are no genuine issues of material fact and that the moving party is entitled to judgment as a matter of law. 52 Pa. Code § 5.102(d</w:t>
      </w:r>
      <w:proofErr w:type="gramStart"/>
      <w:r w:rsidRPr="00E53340">
        <w:rPr>
          <w:sz w:val="24"/>
          <w:szCs w:val="24"/>
        </w:rPr>
        <w:t>)(</w:t>
      </w:r>
      <w:proofErr w:type="gramEnd"/>
      <w:r w:rsidRPr="00E53340">
        <w:rPr>
          <w:sz w:val="24"/>
          <w:szCs w:val="24"/>
        </w:rPr>
        <w:t>1).</w:t>
      </w:r>
    </w:p>
    <w:p w:rsidR="00721136" w:rsidRPr="000E35DD" w:rsidRDefault="006B1345" w:rsidP="00E453F2">
      <w:pPr>
        <w:spacing w:line="360" w:lineRule="auto"/>
        <w:rPr>
          <w:sz w:val="24"/>
          <w:szCs w:val="24"/>
        </w:rPr>
      </w:pPr>
      <w:r w:rsidRPr="000E35DD">
        <w:rPr>
          <w:sz w:val="24"/>
          <w:szCs w:val="24"/>
        </w:rPr>
        <w:br/>
      </w:r>
      <w:r w:rsidRPr="000E35DD">
        <w:rPr>
          <w:sz w:val="24"/>
          <w:szCs w:val="24"/>
        </w:rPr>
        <w:tab/>
      </w:r>
      <w:r w:rsidRPr="000E35DD">
        <w:rPr>
          <w:sz w:val="24"/>
          <w:szCs w:val="24"/>
        </w:rPr>
        <w:tab/>
      </w:r>
      <w:r w:rsidR="00E53340">
        <w:rPr>
          <w:sz w:val="24"/>
          <w:szCs w:val="24"/>
        </w:rPr>
        <w:t>3</w:t>
      </w:r>
      <w:r w:rsidR="00385252" w:rsidRPr="000E35DD">
        <w:rPr>
          <w:sz w:val="24"/>
          <w:szCs w:val="24"/>
        </w:rPr>
        <w:t>.</w:t>
      </w:r>
      <w:r w:rsidR="00385252" w:rsidRPr="000E35DD">
        <w:rPr>
          <w:sz w:val="24"/>
          <w:szCs w:val="24"/>
        </w:rPr>
        <w:tab/>
      </w:r>
      <w:r w:rsidR="00721136" w:rsidRPr="000E35DD">
        <w:rPr>
          <w:sz w:val="24"/>
          <w:szCs w:val="24"/>
        </w:rPr>
        <w:t xml:space="preserve">A utility's lawful rates are the rates specified in that utility's tariff.  </w:t>
      </w:r>
      <w:proofErr w:type="gramStart"/>
      <w:r w:rsidR="00721136" w:rsidRPr="000E35DD">
        <w:rPr>
          <w:i/>
          <w:sz w:val="24"/>
          <w:szCs w:val="24"/>
        </w:rPr>
        <w:t>Bell Telephone Company of Pennsylvania v. Pa. Public Utility Commission</w:t>
      </w:r>
      <w:r w:rsidR="00221DA2">
        <w:rPr>
          <w:sz w:val="24"/>
          <w:szCs w:val="24"/>
        </w:rPr>
        <w:t xml:space="preserve">, 53 Pa. </w:t>
      </w:r>
      <w:proofErr w:type="spellStart"/>
      <w:r w:rsidR="00221DA2">
        <w:rPr>
          <w:sz w:val="24"/>
          <w:szCs w:val="24"/>
        </w:rPr>
        <w:t>Cmwlth</w:t>
      </w:r>
      <w:proofErr w:type="spellEnd"/>
      <w:r w:rsidR="00221DA2">
        <w:rPr>
          <w:sz w:val="24"/>
          <w:szCs w:val="24"/>
        </w:rPr>
        <w:t>. Ct. 241, </w:t>
      </w:r>
      <w:r w:rsidR="00721136" w:rsidRPr="000E35DD">
        <w:rPr>
          <w:sz w:val="24"/>
          <w:szCs w:val="24"/>
        </w:rPr>
        <w:t>417 A.2d 827 (1980).</w:t>
      </w:r>
      <w:proofErr w:type="gramEnd"/>
    </w:p>
    <w:p w:rsidR="00721136" w:rsidRPr="000E35DD" w:rsidRDefault="00721136" w:rsidP="00E453F2">
      <w:pPr>
        <w:spacing w:line="360" w:lineRule="auto"/>
        <w:rPr>
          <w:sz w:val="24"/>
          <w:szCs w:val="24"/>
        </w:rPr>
      </w:pPr>
    </w:p>
    <w:p w:rsidR="00E453F2" w:rsidRPr="000E35DD" w:rsidRDefault="00E53340" w:rsidP="00E453F2">
      <w:pPr>
        <w:spacing w:line="360" w:lineRule="auto"/>
        <w:rPr>
          <w:sz w:val="24"/>
          <w:szCs w:val="24"/>
        </w:rPr>
      </w:pPr>
      <w:r>
        <w:rPr>
          <w:sz w:val="24"/>
          <w:szCs w:val="24"/>
        </w:rPr>
        <w:tab/>
      </w:r>
      <w:r>
        <w:rPr>
          <w:sz w:val="24"/>
          <w:szCs w:val="24"/>
        </w:rPr>
        <w:tab/>
        <w:t>4</w:t>
      </w:r>
      <w:r w:rsidR="00721136" w:rsidRPr="000E35DD">
        <w:rPr>
          <w:sz w:val="24"/>
          <w:szCs w:val="24"/>
        </w:rPr>
        <w:t>.</w:t>
      </w:r>
      <w:r w:rsidR="00721136" w:rsidRPr="000E35DD">
        <w:rPr>
          <w:sz w:val="24"/>
          <w:szCs w:val="24"/>
        </w:rPr>
        <w:tab/>
        <w:t xml:space="preserve">A public utility is entitled to full payment for service provided to customers, and all customers are obligated to pay for the utility service provided to them.  </w:t>
      </w:r>
      <w:r w:rsidR="00721136" w:rsidRPr="000E35DD">
        <w:rPr>
          <w:i/>
          <w:sz w:val="24"/>
          <w:szCs w:val="24"/>
        </w:rPr>
        <w:t>Pa. P.U.C. v. Equitable Gas Company</w:t>
      </w:r>
      <w:r w:rsidR="00721136" w:rsidRPr="000E35DD">
        <w:rPr>
          <w:sz w:val="24"/>
          <w:szCs w:val="24"/>
        </w:rPr>
        <w:t>, 73 PA PUC 301, 330-335 (1990).</w:t>
      </w:r>
    </w:p>
    <w:p w:rsidR="00721136" w:rsidRPr="000E35DD" w:rsidRDefault="00721136" w:rsidP="00E453F2">
      <w:pPr>
        <w:spacing w:line="360" w:lineRule="auto"/>
        <w:rPr>
          <w:sz w:val="24"/>
          <w:szCs w:val="24"/>
        </w:rPr>
      </w:pPr>
    </w:p>
    <w:p w:rsidR="0082408D" w:rsidRPr="000E35DD" w:rsidRDefault="0082408D" w:rsidP="00E453F2">
      <w:pPr>
        <w:spacing w:line="360" w:lineRule="auto"/>
        <w:jc w:val="center"/>
        <w:rPr>
          <w:b/>
          <w:sz w:val="24"/>
          <w:szCs w:val="24"/>
          <w:u w:val="single"/>
        </w:rPr>
      </w:pPr>
      <w:r w:rsidRPr="000E35DD">
        <w:rPr>
          <w:sz w:val="24"/>
          <w:szCs w:val="24"/>
          <w:u w:val="single"/>
        </w:rPr>
        <w:t>ORDER</w:t>
      </w:r>
    </w:p>
    <w:p w:rsidR="0082408D" w:rsidRDefault="0082408D">
      <w:pPr>
        <w:spacing w:line="360" w:lineRule="auto"/>
        <w:rPr>
          <w:sz w:val="24"/>
          <w:szCs w:val="24"/>
        </w:rPr>
      </w:pPr>
    </w:p>
    <w:p w:rsidR="0098121A" w:rsidRPr="000E35DD" w:rsidRDefault="0098121A">
      <w:pPr>
        <w:spacing w:line="360" w:lineRule="auto"/>
        <w:rPr>
          <w:sz w:val="24"/>
          <w:szCs w:val="24"/>
        </w:rPr>
      </w:pPr>
    </w:p>
    <w:p w:rsidR="0082408D" w:rsidRPr="000E35DD" w:rsidRDefault="0082408D">
      <w:pPr>
        <w:spacing w:line="360" w:lineRule="auto"/>
        <w:rPr>
          <w:sz w:val="24"/>
          <w:szCs w:val="24"/>
        </w:rPr>
      </w:pPr>
      <w:r w:rsidRPr="000E35DD">
        <w:rPr>
          <w:sz w:val="24"/>
          <w:szCs w:val="24"/>
        </w:rPr>
        <w:tab/>
      </w:r>
      <w:r w:rsidRPr="000E35DD">
        <w:rPr>
          <w:sz w:val="24"/>
          <w:szCs w:val="24"/>
        </w:rPr>
        <w:tab/>
        <w:t>THEREFORE,</w:t>
      </w:r>
    </w:p>
    <w:p w:rsidR="00771D09" w:rsidRPr="000E35DD" w:rsidRDefault="00771D09">
      <w:pPr>
        <w:spacing w:line="360" w:lineRule="auto"/>
        <w:rPr>
          <w:sz w:val="24"/>
          <w:szCs w:val="24"/>
        </w:rPr>
      </w:pPr>
    </w:p>
    <w:p w:rsidR="0082408D" w:rsidRPr="000E35DD" w:rsidRDefault="0082408D">
      <w:pPr>
        <w:spacing w:line="360" w:lineRule="auto"/>
        <w:rPr>
          <w:sz w:val="24"/>
          <w:szCs w:val="24"/>
        </w:rPr>
      </w:pPr>
      <w:r w:rsidRPr="000E35DD">
        <w:rPr>
          <w:sz w:val="24"/>
          <w:szCs w:val="24"/>
        </w:rPr>
        <w:tab/>
      </w:r>
      <w:r w:rsidRPr="000E35DD">
        <w:rPr>
          <w:sz w:val="24"/>
          <w:szCs w:val="24"/>
        </w:rPr>
        <w:tab/>
        <w:t>IT IS ORDERED:</w:t>
      </w:r>
    </w:p>
    <w:p w:rsidR="00771D09" w:rsidRPr="000E35DD" w:rsidRDefault="00771D09">
      <w:pPr>
        <w:spacing w:line="360" w:lineRule="auto"/>
        <w:rPr>
          <w:sz w:val="24"/>
          <w:szCs w:val="24"/>
        </w:rPr>
      </w:pPr>
    </w:p>
    <w:p w:rsidR="00415190" w:rsidRPr="000E35DD" w:rsidRDefault="00ED2ABA" w:rsidP="00844690">
      <w:pPr>
        <w:spacing w:line="360" w:lineRule="auto"/>
        <w:rPr>
          <w:sz w:val="24"/>
          <w:szCs w:val="24"/>
        </w:rPr>
      </w:pPr>
      <w:r w:rsidRPr="000E35DD">
        <w:rPr>
          <w:sz w:val="24"/>
          <w:szCs w:val="24"/>
        </w:rPr>
        <w:tab/>
      </w:r>
      <w:r w:rsidRPr="000E35DD">
        <w:rPr>
          <w:sz w:val="24"/>
          <w:szCs w:val="24"/>
        </w:rPr>
        <w:tab/>
      </w:r>
      <w:r w:rsidR="00844690" w:rsidRPr="000E35DD">
        <w:rPr>
          <w:sz w:val="24"/>
          <w:szCs w:val="24"/>
        </w:rPr>
        <w:t>1.</w:t>
      </w:r>
      <w:r w:rsidR="00844690" w:rsidRPr="000E35DD">
        <w:rPr>
          <w:sz w:val="24"/>
          <w:szCs w:val="24"/>
        </w:rPr>
        <w:tab/>
      </w:r>
      <w:r w:rsidR="00F94CD7" w:rsidRPr="000E35DD">
        <w:rPr>
          <w:sz w:val="24"/>
          <w:szCs w:val="24"/>
        </w:rPr>
        <w:t>That the Order Denying the Motion for Summary Judgment at Docket No. C-2012-2281317 on September 19, 2012, is rescinded.</w:t>
      </w:r>
    </w:p>
    <w:p w:rsidR="00F94CD7" w:rsidRPr="000E35DD" w:rsidRDefault="00153BC0" w:rsidP="00844690">
      <w:pPr>
        <w:spacing w:line="360" w:lineRule="auto"/>
        <w:rPr>
          <w:sz w:val="24"/>
          <w:szCs w:val="24"/>
        </w:rPr>
      </w:pPr>
      <w:r w:rsidRPr="000E35DD">
        <w:rPr>
          <w:sz w:val="24"/>
          <w:szCs w:val="24"/>
        </w:rPr>
        <w:br/>
      </w:r>
      <w:r w:rsidR="00844690" w:rsidRPr="000E35DD">
        <w:rPr>
          <w:sz w:val="24"/>
          <w:szCs w:val="24"/>
        </w:rPr>
        <w:tab/>
      </w:r>
      <w:r w:rsidR="00844690" w:rsidRPr="000E35DD">
        <w:rPr>
          <w:sz w:val="24"/>
          <w:szCs w:val="24"/>
        </w:rPr>
        <w:tab/>
      </w:r>
      <w:r w:rsidRPr="000E35DD">
        <w:rPr>
          <w:sz w:val="24"/>
          <w:szCs w:val="24"/>
        </w:rPr>
        <w:t xml:space="preserve">2. </w:t>
      </w:r>
      <w:r w:rsidR="00844690" w:rsidRPr="000E35DD">
        <w:rPr>
          <w:sz w:val="24"/>
          <w:szCs w:val="24"/>
        </w:rPr>
        <w:tab/>
      </w:r>
      <w:r w:rsidR="00F94CD7" w:rsidRPr="000E35DD">
        <w:rPr>
          <w:sz w:val="24"/>
          <w:szCs w:val="24"/>
        </w:rPr>
        <w:t>That the Motion for Summary Judgment filed by Pennsylvania Power Company at Docket No. C-2012-2281317 on April 25, 2012, is granted.</w:t>
      </w:r>
    </w:p>
    <w:p w:rsidR="00F94CD7" w:rsidRPr="000E35DD" w:rsidRDefault="00F94CD7" w:rsidP="00844690">
      <w:pPr>
        <w:spacing w:line="360" w:lineRule="auto"/>
        <w:rPr>
          <w:sz w:val="24"/>
          <w:szCs w:val="24"/>
        </w:rPr>
      </w:pPr>
    </w:p>
    <w:p w:rsidR="00771D09" w:rsidRPr="000E35DD" w:rsidRDefault="00F94CD7" w:rsidP="00844690">
      <w:pPr>
        <w:spacing w:line="360" w:lineRule="auto"/>
        <w:rPr>
          <w:sz w:val="24"/>
          <w:szCs w:val="24"/>
        </w:rPr>
      </w:pPr>
      <w:r w:rsidRPr="000E35DD">
        <w:rPr>
          <w:sz w:val="24"/>
          <w:szCs w:val="24"/>
        </w:rPr>
        <w:lastRenderedPageBreak/>
        <w:tab/>
      </w:r>
      <w:r w:rsidRPr="000E35DD">
        <w:rPr>
          <w:sz w:val="24"/>
          <w:szCs w:val="24"/>
        </w:rPr>
        <w:tab/>
        <w:t>3.</w:t>
      </w:r>
      <w:r w:rsidRPr="000E35DD">
        <w:rPr>
          <w:sz w:val="24"/>
          <w:szCs w:val="24"/>
        </w:rPr>
        <w:tab/>
      </w:r>
      <w:r w:rsidR="00153BC0" w:rsidRPr="000E35DD">
        <w:rPr>
          <w:sz w:val="24"/>
          <w:szCs w:val="24"/>
        </w:rPr>
        <w:t xml:space="preserve">That the Complaint filed by </w:t>
      </w:r>
      <w:r w:rsidRPr="000E35DD">
        <w:rPr>
          <w:sz w:val="24"/>
          <w:szCs w:val="24"/>
        </w:rPr>
        <w:t xml:space="preserve">Connie </w:t>
      </w:r>
      <w:proofErr w:type="spellStart"/>
      <w:r w:rsidRPr="000E35DD">
        <w:rPr>
          <w:sz w:val="24"/>
          <w:szCs w:val="24"/>
        </w:rPr>
        <w:t>McRoberts</w:t>
      </w:r>
      <w:proofErr w:type="spellEnd"/>
      <w:r w:rsidRPr="000E35DD">
        <w:rPr>
          <w:sz w:val="24"/>
          <w:szCs w:val="24"/>
        </w:rPr>
        <w:t xml:space="preserve"> on December 22, 2011, </w:t>
      </w:r>
      <w:r w:rsidR="00844690" w:rsidRPr="000E35DD">
        <w:rPr>
          <w:sz w:val="24"/>
          <w:szCs w:val="24"/>
        </w:rPr>
        <w:t>against P</w:t>
      </w:r>
      <w:r w:rsidRPr="000E35DD">
        <w:rPr>
          <w:sz w:val="24"/>
          <w:szCs w:val="24"/>
        </w:rPr>
        <w:t xml:space="preserve">ennsylvania Power Company at </w:t>
      </w:r>
      <w:r w:rsidR="00844690" w:rsidRPr="000E35DD">
        <w:rPr>
          <w:sz w:val="24"/>
          <w:szCs w:val="24"/>
        </w:rPr>
        <w:t xml:space="preserve">Docket No. </w:t>
      </w:r>
      <w:r w:rsidRPr="000E35DD">
        <w:rPr>
          <w:sz w:val="24"/>
          <w:szCs w:val="24"/>
        </w:rPr>
        <w:t xml:space="preserve">C-2012-2281317 </w:t>
      </w:r>
      <w:r w:rsidR="00153BC0" w:rsidRPr="000E35DD">
        <w:rPr>
          <w:sz w:val="24"/>
          <w:szCs w:val="24"/>
        </w:rPr>
        <w:t>is hereby dismissed.</w:t>
      </w:r>
      <w:r w:rsidR="00153BC0" w:rsidRPr="000E35DD">
        <w:rPr>
          <w:sz w:val="24"/>
          <w:szCs w:val="24"/>
        </w:rPr>
        <w:br/>
      </w:r>
      <w:r w:rsidR="00153BC0" w:rsidRPr="000E35DD">
        <w:rPr>
          <w:sz w:val="24"/>
          <w:szCs w:val="24"/>
        </w:rPr>
        <w:br/>
      </w:r>
      <w:r w:rsidR="00844690" w:rsidRPr="000E35DD">
        <w:rPr>
          <w:sz w:val="24"/>
          <w:szCs w:val="24"/>
        </w:rPr>
        <w:tab/>
      </w:r>
      <w:r w:rsidR="00844690" w:rsidRPr="000E35DD">
        <w:rPr>
          <w:sz w:val="24"/>
          <w:szCs w:val="24"/>
        </w:rPr>
        <w:tab/>
      </w:r>
      <w:r w:rsidRPr="000E35DD">
        <w:rPr>
          <w:sz w:val="24"/>
          <w:szCs w:val="24"/>
        </w:rPr>
        <w:t>4</w:t>
      </w:r>
      <w:r w:rsidR="00153BC0" w:rsidRPr="000E35DD">
        <w:rPr>
          <w:sz w:val="24"/>
          <w:szCs w:val="24"/>
        </w:rPr>
        <w:t>.</w:t>
      </w:r>
      <w:r w:rsidR="00844690" w:rsidRPr="000E35DD">
        <w:rPr>
          <w:sz w:val="24"/>
          <w:szCs w:val="24"/>
        </w:rPr>
        <w:tab/>
      </w:r>
      <w:r w:rsidR="00153BC0" w:rsidRPr="000E35DD">
        <w:rPr>
          <w:sz w:val="24"/>
          <w:szCs w:val="24"/>
        </w:rPr>
        <w:t>That this matter be marked closed.</w:t>
      </w:r>
      <w:r w:rsidR="00153BC0" w:rsidRPr="000E35DD">
        <w:rPr>
          <w:sz w:val="24"/>
          <w:szCs w:val="24"/>
        </w:rPr>
        <w:br/>
      </w:r>
    </w:p>
    <w:p w:rsidR="00771D09" w:rsidRPr="000E35DD" w:rsidRDefault="00771D09">
      <w:pPr>
        <w:rPr>
          <w:sz w:val="24"/>
          <w:szCs w:val="24"/>
        </w:rPr>
      </w:pPr>
    </w:p>
    <w:p w:rsidR="0082408D" w:rsidRPr="000E35DD" w:rsidRDefault="0082408D">
      <w:pPr>
        <w:rPr>
          <w:sz w:val="24"/>
          <w:szCs w:val="24"/>
        </w:rPr>
      </w:pPr>
      <w:r w:rsidRPr="000E35DD">
        <w:rPr>
          <w:sz w:val="24"/>
          <w:szCs w:val="24"/>
        </w:rPr>
        <w:t>Date:</w:t>
      </w:r>
      <w:r w:rsidRPr="000E35DD">
        <w:rPr>
          <w:sz w:val="24"/>
          <w:szCs w:val="24"/>
        </w:rPr>
        <w:tab/>
      </w:r>
      <w:r w:rsidR="00F94CD7" w:rsidRPr="000E35DD">
        <w:rPr>
          <w:sz w:val="24"/>
          <w:szCs w:val="24"/>
          <w:u w:val="single"/>
        </w:rPr>
        <w:t>April</w:t>
      </w:r>
      <w:r w:rsidR="00415190" w:rsidRPr="000E35DD">
        <w:rPr>
          <w:sz w:val="24"/>
          <w:szCs w:val="24"/>
          <w:u w:val="single"/>
        </w:rPr>
        <w:t xml:space="preserve"> 1</w:t>
      </w:r>
      <w:r w:rsidR="00E53340">
        <w:rPr>
          <w:sz w:val="24"/>
          <w:szCs w:val="24"/>
          <w:u w:val="single"/>
        </w:rPr>
        <w:t>5</w:t>
      </w:r>
      <w:r w:rsidR="001D32C7" w:rsidRPr="000E35DD">
        <w:rPr>
          <w:sz w:val="24"/>
          <w:szCs w:val="24"/>
          <w:u w:val="single"/>
        </w:rPr>
        <w:t>, 201</w:t>
      </w:r>
      <w:r w:rsidR="00415190" w:rsidRPr="000E35DD">
        <w:rPr>
          <w:sz w:val="24"/>
          <w:szCs w:val="24"/>
          <w:u w:val="single"/>
        </w:rPr>
        <w:t>3</w:t>
      </w:r>
      <w:r w:rsidR="00EF16DD" w:rsidRPr="000E35DD">
        <w:rPr>
          <w:sz w:val="24"/>
          <w:szCs w:val="24"/>
        </w:rPr>
        <w:tab/>
      </w:r>
      <w:r w:rsidR="00415190" w:rsidRPr="000E35DD">
        <w:rPr>
          <w:sz w:val="24"/>
          <w:szCs w:val="24"/>
        </w:rPr>
        <w:tab/>
      </w:r>
      <w:r w:rsidR="00346036">
        <w:rPr>
          <w:sz w:val="24"/>
          <w:szCs w:val="24"/>
        </w:rPr>
        <w:tab/>
      </w:r>
      <w:r w:rsidR="00346036">
        <w:rPr>
          <w:sz w:val="24"/>
          <w:szCs w:val="24"/>
        </w:rPr>
        <w:tab/>
      </w:r>
      <w:r w:rsidR="00346036">
        <w:rPr>
          <w:sz w:val="24"/>
          <w:szCs w:val="24"/>
        </w:rPr>
        <w:tab/>
      </w:r>
      <w:r w:rsidR="00D216C6">
        <w:rPr>
          <w:sz w:val="24"/>
          <w:szCs w:val="24"/>
          <w:u w:val="single"/>
        </w:rPr>
        <w:tab/>
      </w:r>
      <w:r w:rsidR="00D216C6">
        <w:rPr>
          <w:sz w:val="24"/>
          <w:szCs w:val="24"/>
          <w:u w:val="single"/>
        </w:rPr>
        <w:tab/>
        <w:t>/s/</w:t>
      </w:r>
      <w:bookmarkStart w:id="0" w:name="_GoBack"/>
      <w:bookmarkEnd w:id="0"/>
      <w:r w:rsidR="00D216C6">
        <w:rPr>
          <w:sz w:val="24"/>
          <w:szCs w:val="24"/>
          <w:u w:val="single"/>
        </w:rPr>
        <w:tab/>
      </w:r>
      <w:r w:rsidR="00D216C6">
        <w:rPr>
          <w:sz w:val="24"/>
          <w:szCs w:val="24"/>
          <w:u w:val="single"/>
        </w:rPr>
        <w:tab/>
      </w:r>
      <w:r w:rsidR="00D216C6">
        <w:rPr>
          <w:sz w:val="24"/>
          <w:szCs w:val="24"/>
          <w:u w:val="single"/>
        </w:rPr>
        <w:tab/>
      </w:r>
      <w:r w:rsidR="00D216C6">
        <w:rPr>
          <w:sz w:val="24"/>
          <w:szCs w:val="24"/>
          <w:u w:val="single"/>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00B611D2" w:rsidRPr="000E35DD">
        <w:rPr>
          <w:sz w:val="24"/>
          <w:szCs w:val="24"/>
        </w:rPr>
        <w:t>Dennis J. Buckley</w:t>
      </w:r>
    </w:p>
    <w:p w:rsidR="0082408D" w:rsidRPr="000E35DD" w:rsidRDefault="0082408D">
      <w:pPr>
        <w:ind w:left="720" w:hanging="720"/>
        <w:rPr>
          <w:sz w:val="24"/>
          <w:szCs w:val="24"/>
        </w:rPr>
      </w:pP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r>
      <w:r w:rsidRPr="000E35DD">
        <w:rPr>
          <w:sz w:val="24"/>
          <w:szCs w:val="24"/>
        </w:rPr>
        <w:tab/>
        <w:t>Administrative Law Judge</w:t>
      </w:r>
    </w:p>
    <w:sectPr w:rsidR="0082408D" w:rsidRPr="000E35DD" w:rsidSect="00577D29">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9B" w:rsidRDefault="00624F9B">
      <w:r>
        <w:separator/>
      </w:r>
    </w:p>
  </w:endnote>
  <w:endnote w:type="continuationSeparator" w:id="0">
    <w:p w:rsidR="00624F9B" w:rsidRDefault="0062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E8461E">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Pr="00BF722B" w:rsidRDefault="00E8461E">
    <w:pPr>
      <w:pStyle w:val="Footer"/>
      <w:framePr w:wrap="around" w:vAnchor="text" w:hAnchor="margin" w:xAlign="center" w:y="1"/>
      <w:rPr>
        <w:rStyle w:val="PageNumber"/>
        <w:sz w:val="20"/>
      </w:rPr>
    </w:pPr>
    <w:r w:rsidRPr="00BF722B">
      <w:rPr>
        <w:rStyle w:val="PageNumber"/>
        <w:sz w:val="20"/>
      </w:rPr>
      <w:fldChar w:fldCharType="begin"/>
    </w:r>
    <w:r w:rsidR="000E4653" w:rsidRPr="00BF722B">
      <w:rPr>
        <w:rStyle w:val="PageNumber"/>
        <w:sz w:val="20"/>
      </w:rPr>
      <w:instrText xml:space="preserve">PAGE  </w:instrText>
    </w:r>
    <w:r w:rsidRPr="00BF722B">
      <w:rPr>
        <w:rStyle w:val="PageNumber"/>
        <w:sz w:val="20"/>
      </w:rPr>
      <w:fldChar w:fldCharType="separate"/>
    </w:r>
    <w:r w:rsidR="00D216C6">
      <w:rPr>
        <w:rStyle w:val="PageNumber"/>
        <w:noProof/>
        <w:sz w:val="20"/>
      </w:rPr>
      <w:t>9</w:t>
    </w:r>
    <w:r w:rsidRPr="00BF722B">
      <w:rPr>
        <w:rStyle w:val="PageNumber"/>
        <w:sz w:val="20"/>
      </w:rPr>
      <w:fldChar w:fldCharType="end"/>
    </w:r>
  </w:p>
  <w:p w:rsidR="000E4653" w:rsidRDefault="000E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9B" w:rsidRDefault="00624F9B">
      <w:r>
        <w:separator/>
      </w:r>
    </w:p>
  </w:footnote>
  <w:footnote w:type="continuationSeparator" w:id="0">
    <w:p w:rsidR="00624F9B" w:rsidRDefault="00624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06F3"/>
    <w:rsid w:val="000026EB"/>
    <w:rsid w:val="00014DF4"/>
    <w:rsid w:val="000158A4"/>
    <w:rsid w:val="00023F14"/>
    <w:rsid w:val="000373FF"/>
    <w:rsid w:val="00053167"/>
    <w:rsid w:val="00057453"/>
    <w:rsid w:val="0007029C"/>
    <w:rsid w:val="000750BE"/>
    <w:rsid w:val="0007652A"/>
    <w:rsid w:val="00093062"/>
    <w:rsid w:val="00094C2A"/>
    <w:rsid w:val="000A10F3"/>
    <w:rsid w:val="000A2141"/>
    <w:rsid w:val="000A2320"/>
    <w:rsid w:val="000A7743"/>
    <w:rsid w:val="000B179D"/>
    <w:rsid w:val="000B1E1A"/>
    <w:rsid w:val="000B39DD"/>
    <w:rsid w:val="000B7C7A"/>
    <w:rsid w:val="000C6474"/>
    <w:rsid w:val="000D063B"/>
    <w:rsid w:val="000E35DD"/>
    <w:rsid w:val="000E4653"/>
    <w:rsid w:val="000F3B48"/>
    <w:rsid w:val="001177E2"/>
    <w:rsid w:val="0012199B"/>
    <w:rsid w:val="00123CBF"/>
    <w:rsid w:val="00124C90"/>
    <w:rsid w:val="00134A36"/>
    <w:rsid w:val="0014704D"/>
    <w:rsid w:val="0014740F"/>
    <w:rsid w:val="00147FD8"/>
    <w:rsid w:val="00153BC0"/>
    <w:rsid w:val="00162A9F"/>
    <w:rsid w:val="00164299"/>
    <w:rsid w:val="00165845"/>
    <w:rsid w:val="00173854"/>
    <w:rsid w:val="00174833"/>
    <w:rsid w:val="001764FD"/>
    <w:rsid w:val="00177F46"/>
    <w:rsid w:val="001853E8"/>
    <w:rsid w:val="001939A4"/>
    <w:rsid w:val="0019406D"/>
    <w:rsid w:val="001947C5"/>
    <w:rsid w:val="00195D9D"/>
    <w:rsid w:val="001A151F"/>
    <w:rsid w:val="001B3B27"/>
    <w:rsid w:val="001C08A6"/>
    <w:rsid w:val="001D32C7"/>
    <w:rsid w:val="001D53A3"/>
    <w:rsid w:val="001D6387"/>
    <w:rsid w:val="001E646A"/>
    <w:rsid w:val="001F0CFE"/>
    <w:rsid w:val="001F457C"/>
    <w:rsid w:val="00203E9B"/>
    <w:rsid w:val="00206515"/>
    <w:rsid w:val="00207D13"/>
    <w:rsid w:val="00210D0E"/>
    <w:rsid w:val="002141CD"/>
    <w:rsid w:val="00214EDE"/>
    <w:rsid w:val="0022109A"/>
    <w:rsid w:val="00221DA2"/>
    <w:rsid w:val="002303C5"/>
    <w:rsid w:val="00230547"/>
    <w:rsid w:val="00234C52"/>
    <w:rsid w:val="00251BFC"/>
    <w:rsid w:val="0025628A"/>
    <w:rsid w:val="00264CA7"/>
    <w:rsid w:val="002717E4"/>
    <w:rsid w:val="00280BE6"/>
    <w:rsid w:val="00281B73"/>
    <w:rsid w:val="0028256C"/>
    <w:rsid w:val="002868EF"/>
    <w:rsid w:val="0029037E"/>
    <w:rsid w:val="00290441"/>
    <w:rsid w:val="00292DB8"/>
    <w:rsid w:val="002B3D02"/>
    <w:rsid w:val="002C1BC7"/>
    <w:rsid w:val="002C50B6"/>
    <w:rsid w:val="002C6EA9"/>
    <w:rsid w:val="002E15DC"/>
    <w:rsid w:val="002E4E15"/>
    <w:rsid w:val="002E53B7"/>
    <w:rsid w:val="002F25CF"/>
    <w:rsid w:val="002F4BA9"/>
    <w:rsid w:val="003039F1"/>
    <w:rsid w:val="003165F9"/>
    <w:rsid w:val="00321B88"/>
    <w:rsid w:val="00321F70"/>
    <w:rsid w:val="00323856"/>
    <w:rsid w:val="00327DAC"/>
    <w:rsid w:val="00330149"/>
    <w:rsid w:val="00334F09"/>
    <w:rsid w:val="003359A4"/>
    <w:rsid w:val="00336370"/>
    <w:rsid w:val="00346036"/>
    <w:rsid w:val="00354863"/>
    <w:rsid w:val="00356EC0"/>
    <w:rsid w:val="0036302B"/>
    <w:rsid w:val="0036368B"/>
    <w:rsid w:val="0037737A"/>
    <w:rsid w:val="003818C4"/>
    <w:rsid w:val="00385252"/>
    <w:rsid w:val="00391689"/>
    <w:rsid w:val="00393596"/>
    <w:rsid w:val="0039655D"/>
    <w:rsid w:val="003A2526"/>
    <w:rsid w:val="003A28D5"/>
    <w:rsid w:val="003A4DBC"/>
    <w:rsid w:val="003C1FA5"/>
    <w:rsid w:val="003C6B1C"/>
    <w:rsid w:val="003D0065"/>
    <w:rsid w:val="003D17EA"/>
    <w:rsid w:val="003E310E"/>
    <w:rsid w:val="00407ED2"/>
    <w:rsid w:val="00415190"/>
    <w:rsid w:val="0041603F"/>
    <w:rsid w:val="0042447B"/>
    <w:rsid w:val="004265BB"/>
    <w:rsid w:val="00434AA0"/>
    <w:rsid w:val="00443511"/>
    <w:rsid w:val="0044552C"/>
    <w:rsid w:val="0044703D"/>
    <w:rsid w:val="00450055"/>
    <w:rsid w:val="00460639"/>
    <w:rsid w:val="00465738"/>
    <w:rsid w:val="00470365"/>
    <w:rsid w:val="00471967"/>
    <w:rsid w:val="00477873"/>
    <w:rsid w:val="00481849"/>
    <w:rsid w:val="00485B4E"/>
    <w:rsid w:val="00486D2B"/>
    <w:rsid w:val="00490540"/>
    <w:rsid w:val="004923E8"/>
    <w:rsid w:val="00494CA4"/>
    <w:rsid w:val="00496B9E"/>
    <w:rsid w:val="004C169D"/>
    <w:rsid w:val="004C1709"/>
    <w:rsid w:val="004D43ED"/>
    <w:rsid w:val="004F2B91"/>
    <w:rsid w:val="004F35E2"/>
    <w:rsid w:val="004F74A8"/>
    <w:rsid w:val="004F7592"/>
    <w:rsid w:val="00502612"/>
    <w:rsid w:val="00502BFE"/>
    <w:rsid w:val="005077BA"/>
    <w:rsid w:val="0052376C"/>
    <w:rsid w:val="00530C67"/>
    <w:rsid w:val="00534D2B"/>
    <w:rsid w:val="00542CB0"/>
    <w:rsid w:val="00543676"/>
    <w:rsid w:val="00547B36"/>
    <w:rsid w:val="00550ADA"/>
    <w:rsid w:val="00550B28"/>
    <w:rsid w:val="005527AE"/>
    <w:rsid w:val="0055348E"/>
    <w:rsid w:val="00555986"/>
    <w:rsid w:val="00563CF3"/>
    <w:rsid w:val="00573ECB"/>
    <w:rsid w:val="005764E7"/>
    <w:rsid w:val="00577D29"/>
    <w:rsid w:val="005832E0"/>
    <w:rsid w:val="00583EC9"/>
    <w:rsid w:val="00593264"/>
    <w:rsid w:val="00594328"/>
    <w:rsid w:val="0059456D"/>
    <w:rsid w:val="005A3309"/>
    <w:rsid w:val="005A505C"/>
    <w:rsid w:val="005B4689"/>
    <w:rsid w:val="005C3918"/>
    <w:rsid w:val="005C3F66"/>
    <w:rsid w:val="005D14BB"/>
    <w:rsid w:val="005D1EF3"/>
    <w:rsid w:val="005D2564"/>
    <w:rsid w:val="005D3930"/>
    <w:rsid w:val="005D7B02"/>
    <w:rsid w:val="005E0C64"/>
    <w:rsid w:val="005E26EB"/>
    <w:rsid w:val="005F59DD"/>
    <w:rsid w:val="006019D2"/>
    <w:rsid w:val="00606884"/>
    <w:rsid w:val="00617A57"/>
    <w:rsid w:val="00624F9B"/>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51FE"/>
    <w:rsid w:val="006A63A1"/>
    <w:rsid w:val="006A7959"/>
    <w:rsid w:val="006B1345"/>
    <w:rsid w:val="006C4639"/>
    <w:rsid w:val="006C5843"/>
    <w:rsid w:val="006D2D80"/>
    <w:rsid w:val="006E0DEA"/>
    <w:rsid w:val="006E458D"/>
    <w:rsid w:val="006E4968"/>
    <w:rsid w:val="006F3481"/>
    <w:rsid w:val="006F7D46"/>
    <w:rsid w:val="00703D60"/>
    <w:rsid w:val="007042D6"/>
    <w:rsid w:val="007106CE"/>
    <w:rsid w:val="00716750"/>
    <w:rsid w:val="00721136"/>
    <w:rsid w:val="0072127A"/>
    <w:rsid w:val="00722F5F"/>
    <w:rsid w:val="00746027"/>
    <w:rsid w:val="007469AD"/>
    <w:rsid w:val="00747881"/>
    <w:rsid w:val="00751555"/>
    <w:rsid w:val="00752A44"/>
    <w:rsid w:val="00753684"/>
    <w:rsid w:val="00754A33"/>
    <w:rsid w:val="00755F79"/>
    <w:rsid w:val="007603AC"/>
    <w:rsid w:val="00760E44"/>
    <w:rsid w:val="00771BF0"/>
    <w:rsid w:val="00771D09"/>
    <w:rsid w:val="00772C37"/>
    <w:rsid w:val="007741DF"/>
    <w:rsid w:val="00784168"/>
    <w:rsid w:val="0079457E"/>
    <w:rsid w:val="0079607F"/>
    <w:rsid w:val="007A14D7"/>
    <w:rsid w:val="007A3193"/>
    <w:rsid w:val="007D0439"/>
    <w:rsid w:val="007F00EC"/>
    <w:rsid w:val="007F0232"/>
    <w:rsid w:val="00822BBE"/>
    <w:rsid w:val="00822C55"/>
    <w:rsid w:val="00822DAC"/>
    <w:rsid w:val="0082408D"/>
    <w:rsid w:val="008277B7"/>
    <w:rsid w:val="00830427"/>
    <w:rsid w:val="00836825"/>
    <w:rsid w:val="00836D0A"/>
    <w:rsid w:val="00841328"/>
    <w:rsid w:val="00843A44"/>
    <w:rsid w:val="00844690"/>
    <w:rsid w:val="00847F5A"/>
    <w:rsid w:val="0085304D"/>
    <w:rsid w:val="0087495E"/>
    <w:rsid w:val="00880725"/>
    <w:rsid w:val="00890E80"/>
    <w:rsid w:val="008B76D1"/>
    <w:rsid w:val="008C1B10"/>
    <w:rsid w:val="008C23D9"/>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619DC"/>
    <w:rsid w:val="00972E01"/>
    <w:rsid w:val="0097488E"/>
    <w:rsid w:val="0098121A"/>
    <w:rsid w:val="00984496"/>
    <w:rsid w:val="00994EB1"/>
    <w:rsid w:val="00995D90"/>
    <w:rsid w:val="009A1731"/>
    <w:rsid w:val="009A3478"/>
    <w:rsid w:val="009A4AE8"/>
    <w:rsid w:val="009B5BB7"/>
    <w:rsid w:val="009C0D8A"/>
    <w:rsid w:val="009C0EFE"/>
    <w:rsid w:val="009E1325"/>
    <w:rsid w:val="009F3C36"/>
    <w:rsid w:val="00A050D1"/>
    <w:rsid w:val="00A05536"/>
    <w:rsid w:val="00A05818"/>
    <w:rsid w:val="00A07A40"/>
    <w:rsid w:val="00A4430A"/>
    <w:rsid w:val="00A472F8"/>
    <w:rsid w:val="00A477E8"/>
    <w:rsid w:val="00A82046"/>
    <w:rsid w:val="00A93B73"/>
    <w:rsid w:val="00AA08F5"/>
    <w:rsid w:val="00AB011D"/>
    <w:rsid w:val="00AB10ED"/>
    <w:rsid w:val="00AB2329"/>
    <w:rsid w:val="00AB361B"/>
    <w:rsid w:val="00AC26C0"/>
    <w:rsid w:val="00AD1448"/>
    <w:rsid w:val="00B0179C"/>
    <w:rsid w:val="00B0181A"/>
    <w:rsid w:val="00B02A05"/>
    <w:rsid w:val="00B041F1"/>
    <w:rsid w:val="00B05B3B"/>
    <w:rsid w:val="00B0677F"/>
    <w:rsid w:val="00B077D4"/>
    <w:rsid w:val="00B11165"/>
    <w:rsid w:val="00B1219D"/>
    <w:rsid w:val="00B126C0"/>
    <w:rsid w:val="00B15D1B"/>
    <w:rsid w:val="00B213A1"/>
    <w:rsid w:val="00B24141"/>
    <w:rsid w:val="00B2471F"/>
    <w:rsid w:val="00B272FB"/>
    <w:rsid w:val="00B515FE"/>
    <w:rsid w:val="00B611D2"/>
    <w:rsid w:val="00B6402D"/>
    <w:rsid w:val="00B657BB"/>
    <w:rsid w:val="00B66943"/>
    <w:rsid w:val="00B750B7"/>
    <w:rsid w:val="00B9260B"/>
    <w:rsid w:val="00B929F8"/>
    <w:rsid w:val="00B96A69"/>
    <w:rsid w:val="00BA2CF2"/>
    <w:rsid w:val="00BA62D4"/>
    <w:rsid w:val="00BB77C8"/>
    <w:rsid w:val="00BC12FC"/>
    <w:rsid w:val="00BC5E9E"/>
    <w:rsid w:val="00BD099E"/>
    <w:rsid w:val="00BD75E3"/>
    <w:rsid w:val="00BD7FE6"/>
    <w:rsid w:val="00BE1584"/>
    <w:rsid w:val="00BF60DB"/>
    <w:rsid w:val="00BF722B"/>
    <w:rsid w:val="00C02220"/>
    <w:rsid w:val="00C028C0"/>
    <w:rsid w:val="00C04D91"/>
    <w:rsid w:val="00C20167"/>
    <w:rsid w:val="00C27904"/>
    <w:rsid w:val="00C30822"/>
    <w:rsid w:val="00C44ACF"/>
    <w:rsid w:val="00C4563A"/>
    <w:rsid w:val="00C531C5"/>
    <w:rsid w:val="00C53246"/>
    <w:rsid w:val="00C613A8"/>
    <w:rsid w:val="00C6262B"/>
    <w:rsid w:val="00C6617C"/>
    <w:rsid w:val="00C66277"/>
    <w:rsid w:val="00C838F0"/>
    <w:rsid w:val="00C971B6"/>
    <w:rsid w:val="00C97DEB"/>
    <w:rsid w:val="00CA0A01"/>
    <w:rsid w:val="00CA60CB"/>
    <w:rsid w:val="00CA70FF"/>
    <w:rsid w:val="00CB2234"/>
    <w:rsid w:val="00CB2743"/>
    <w:rsid w:val="00CB5D93"/>
    <w:rsid w:val="00CC335A"/>
    <w:rsid w:val="00CD15C7"/>
    <w:rsid w:val="00CE0084"/>
    <w:rsid w:val="00CE24D3"/>
    <w:rsid w:val="00CE34D8"/>
    <w:rsid w:val="00CF3783"/>
    <w:rsid w:val="00CF6462"/>
    <w:rsid w:val="00CF7119"/>
    <w:rsid w:val="00D1338A"/>
    <w:rsid w:val="00D14B69"/>
    <w:rsid w:val="00D216C6"/>
    <w:rsid w:val="00D26E67"/>
    <w:rsid w:val="00D332C3"/>
    <w:rsid w:val="00D357C0"/>
    <w:rsid w:val="00D439FD"/>
    <w:rsid w:val="00D44592"/>
    <w:rsid w:val="00D45E8D"/>
    <w:rsid w:val="00D517DB"/>
    <w:rsid w:val="00D5188D"/>
    <w:rsid w:val="00D544A1"/>
    <w:rsid w:val="00D77603"/>
    <w:rsid w:val="00D812B6"/>
    <w:rsid w:val="00D9018C"/>
    <w:rsid w:val="00DB1651"/>
    <w:rsid w:val="00DB1A2D"/>
    <w:rsid w:val="00DC0C93"/>
    <w:rsid w:val="00DC38F0"/>
    <w:rsid w:val="00DD27B6"/>
    <w:rsid w:val="00DD6972"/>
    <w:rsid w:val="00DE09B8"/>
    <w:rsid w:val="00DE3072"/>
    <w:rsid w:val="00DE5BCF"/>
    <w:rsid w:val="00DF24CD"/>
    <w:rsid w:val="00DF536C"/>
    <w:rsid w:val="00DF57C7"/>
    <w:rsid w:val="00DF7C67"/>
    <w:rsid w:val="00DF7D2E"/>
    <w:rsid w:val="00E2402B"/>
    <w:rsid w:val="00E25179"/>
    <w:rsid w:val="00E26861"/>
    <w:rsid w:val="00E30BFE"/>
    <w:rsid w:val="00E3203B"/>
    <w:rsid w:val="00E453F2"/>
    <w:rsid w:val="00E5279E"/>
    <w:rsid w:val="00E53340"/>
    <w:rsid w:val="00E6753E"/>
    <w:rsid w:val="00E70CFD"/>
    <w:rsid w:val="00E8461E"/>
    <w:rsid w:val="00E91DD7"/>
    <w:rsid w:val="00E95D89"/>
    <w:rsid w:val="00EA6FFB"/>
    <w:rsid w:val="00EB109C"/>
    <w:rsid w:val="00EC162F"/>
    <w:rsid w:val="00EC760C"/>
    <w:rsid w:val="00ED2ABA"/>
    <w:rsid w:val="00ED5B21"/>
    <w:rsid w:val="00EE08F4"/>
    <w:rsid w:val="00EF16DD"/>
    <w:rsid w:val="00EF2D23"/>
    <w:rsid w:val="00EF393E"/>
    <w:rsid w:val="00F04306"/>
    <w:rsid w:val="00F05B4E"/>
    <w:rsid w:val="00F12589"/>
    <w:rsid w:val="00F16FD6"/>
    <w:rsid w:val="00F20157"/>
    <w:rsid w:val="00F24339"/>
    <w:rsid w:val="00F25E5C"/>
    <w:rsid w:val="00F27C3F"/>
    <w:rsid w:val="00F36644"/>
    <w:rsid w:val="00F40D85"/>
    <w:rsid w:val="00F4455B"/>
    <w:rsid w:val="00F6072B"/>
    <w:rsid w:val="00F61F07"/>
    <w:rsid w:val="00F644F3"/>
    <w:rsid w:val="00F6622F"/>
    <w:rsid w:val="00F71372"/>
    <w:rsid w:val="00F71869"/>
    <w:rsid w:val="00F72A12"/>
    <w:rsid w:val="00F8286F"/>
    <w:rsid w:val="00F83836"/>
    <w:rsid w:val="00F8455B"/>
    <w:rsid w:val="00F85220"/>
    <w:rsid w:val="00F91F30"/>
    <w:rsid w:val="00F94CD7"/>
    <w:rsid w:val="00FB66D5"/>
    <w:rsid w:val="00FC1C24"/>
    <w:rsid w:val="00FC6B35"/>
    <w:rsid w:val="00FC7ED0"/>
    <w:rsid w:val="00FC7F8D"/>
    <w:rsid w:val="00FD0B7E"/>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45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link w:val="BodyTextChar"/>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character" w:customStyle="1" w:styleId="BodyTextChar">
    <w:name w:val="Body Text Char"/>
    <w:basedOn w:val="DefaultParagraphFont"/>
    <w:link w:val="BodyText"/>
    <w:rsid w:val="00057453"/>
    <w:rPr>
      <w:rFonts w:ascii="Courier" w:hAnsi="Courier"/>
      <w:sz w:val="24"/>
    </w:rPr>
  </w:style>
  <w:style w:type="paragraph" w:styleId="Header">
    <w:name w:val="header"/>
    <w:basedOn w:val="Normal"/>
    <w:link w:val="HeaderChar"/>
    <w:rsid w:val="00BF722B"/>
    <w:pPr>
      <w:tabs>
        <w:tab w:val="center" w:pos="4680"/>
        <w:tab w:val="right" w:pos="9360"/>
      </w:tabs>
    </w:pPr>
  </w:style>
  <w:style w:type="character" w:customStyle="1" w:styleId="HeaderChar">
    <w:name w:val="Header Char"/>
    <w:basedOn w:val="DefaultParagraphFont"/>
    <w:link w:val="Header"/>
    <w:rsid w:val="00BF722B"/>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45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link w:val="BodyTextChar"/>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character" w:customStyle="1" w:styleId="BodyTextChar">
    <w:name w:val="Body Text Char"/>
    <w:basedOn w:val="DefaultParagraphFont"/>
    <w:link w:val="BodyText"/>
    <w:rsid w:val="00057453"/>
    <w:rPr>
      <w:rFonts w:ascii="Courier" w:hAnsi="Courier"/>
      <w:sz w:val="24"/>
    </w:rPr>
  </w:style>
  <w:style w:type="paragraph" w:styleId="Header">
    <w:name w:val="header"/>
    <w:basedOn w:val="Normal"/>
    <w:link w:val="HeaderChar"/>
    <w:rsid w:val="00BF722B"/>
    <w:pPr>
      <w:tabs>
        <w:tab w:val="center" w:pos="4680"/>
        <w:tab w:val="right" w:pos="9360"/>
      </w:tabs>
    </w:pPr>
  </w:style>
  <w:style w:type="character" w:customStyle="1" w:styleId="HeaderChar">
    <w:name w:val="Header Char"/>
    <w:basedOn w:val="DefaultParagraphFont"/>
    <w:link w:val="Header"/>
    <w:rsid w:val="00BF722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17081533">
      <w:bodyDiv w:val="1"/>
      <w:marLeft w:val="0"/>
      <w:marRight w:val="0"/>
      <w:marTop w:val="0"/>
      <w:marBottom w:val="0"/>
      <w:divBdr>
        <w:top w:val="none" w:sz="0" w:space="0" w:color="auto"/>
        <w:left w:val="none" w:sz="0" w:space="0" w:color="auto"/>
        <w:bottom w:val="none" w:sz="0" w:space="0" w:color="auto"/>
        <w:right w:val="none" w:sz="0" w:space="0" w:color="auto"/>
      </w:divBdr>
      <w:divsChild>
        <w:div w:id="1533566539">
          <w:marLeft w:val="0"/>
          <w:marRight w:val="0"/>
          <w:marTop w:val="0"/>
          <w:marBottom w:val="0"/>
          <w:divBdr>
            <w:top w:val="none" w:sz="0" w:space="0" w:color="auto"/>
            <w:left w:val="none" w:sz="0" w:space="0" w:color="auto"/>
            <w:bottom w:val="none" w:sz="0" w:space="0" w:color="auto"/>
            <w:right w:val="none" w:sz="0" w:space="0" w:color="auto"/>
          </w:divBdr>
          <w:divsChild>
            <w:div w:id="928080335">
              <w:marLeft w:val="0"/>
              <w:marRight w:val="0"/>
              <w:marTop w:val="0"/>
              <w:marBottom w:val="0"/>
              <w:divBdr>
                <w:top w:val="none" w:sz="0" w:space="0" w:color="auto"/>
                <w:left w:val="none" w:sz="0" w:space="0" w:color="auto"/>
                <w:bottom w:val="none" w:sz="0" w:space="0" w:color="auto"/>
                <w:right w:val="none" w:sz="0" w:space="0" w:color="auto"/>
              </w:divBdr>
              <w:divsChild>
                <w:div w:id="2140372405">
                  <w:marLeft w:val="0"/>
                  <w:marRight w:val="0"/>
                  <w:marTop w:val="0"/>
                  <w:marBottom w:val="0"/>
                  <w:divBdr>
                    <w:top w:val="none" w:sz="0" w:space="0" w:color="auto"/>
                    <w:left w:val="none" w:sz="0" w:space="0" w:color="auto"/>
                    <w:bottom w:val="none" w:sz="0" w:space="0" w:color="auto"/>
                    <w:right w:val="none" w:sz="0" w:space="0" w:color="auto"/>
                  </w:divBdr>
                  <w:divsChild>
                    <w:div w:id="4764610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15143187">
      <w:bodyDiv w:val="1"/>
      <w:marLeft w:val="0"/>
      <w:marRight w:val="0"/>
      <w:marTop w:val="0"/>
      <w:marBottom w:val="0"/>
      <w:divBdr>
        <w:top w:val="none" w:sz="0" w:space="0" w:color="auto"/>
        <w:left w:val="none" w:sz="0" w:space="0" w:color="auto"/>
        <w:bottom w:val="none" w:sz="0" w:space="0" w:color="auto"/>
        <w:right w:val="none" w:sz="0" w:space="0" w:color="auto"/>
      </w:divBdr>
      <w:divsChild>
        <w:div w:id="1544244203">
          <w:marLeft w:val="0"/>
          <w:marRight w:val="0"/>
          <w:marTop w:val="0"/>
          <w:marBottom w:val="0"/>
          <w:divBdr>
            <w:top w:val="none" w:sz="0" w:space="0" w:color="auto"/>
            <w:left w:val="none" w:sz="0" w:space="0" w:color="auto"/>
            <w:bottom w:val="none" w:sz="0" w:space="0" w:color="auto"/>
            <w:right w:val="none" w:sz="0" w:space="0" w:color="auto"/>
          </w:divBdr>
          <w:divsChild>
            <w:div w:id="1139568030">
              <w:marLeft w:val="0"/>
              <w:marRight w:val="0"/>
              <w:marTop w:val="0"/>
              <w:marBottom w:val="0"/>
              <w:divBdr>
                <w:top w:val="none" w:sz="0" w:space="0" w:color="auto"/>
                <w:left w:val="none" w:sz="0" w:space="0" w:color="auto"/>
                <w:bottom w:val="none" w:sz="0" w:space="0" w:color="auto"/>
                <w:right w:val="none" w:sz="0" w:space="0" w:color="auto"/>
              </w:divBdr>
              <w:divsChild>
                <w:div w:id="975989199">
                  <w:marLeft w:val="0"/>
                  <w:marRight w:val="0"/>
                  <w:marTop w:val="0"/>
                  <w:marBottom w:val="0"/>
                  <w:divBdr>
                    <w:top w:val="none" w:sz="0" w:space="0" w:color="auto"/>
                    <w:left w:val="none" w:sz="0" w:space="0" w:color="auto"/>
                    <w:bottom w:val="none" w:sz="0" w:space="0" w:color="auto"/>
                    <w:right w:val="none" w:sz="0" w:space="0" w:color="auto"/>
                  </w:divBdr>
                  <w:divsChild>
                    <w:div w:id="43398329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762018850">
      <w:bodyDiv w:val="1"/>
      <w:marLeft w:val="0"/>
      <w:marRight w:val="0"/>
      <w:marTop w:val="0"/>
      <w:marBottom w:val="0"/>
      <w:divBdr>
        <w:top w:val="none" w:sz="0" w:space="0" w:color="auto"/>
        <w:left w:val="none" w:sz="0" w:space="0" w:color="auto"/>
        <w:bottom w:val="none" w:sz="0" w:space="0" w:color="auto"/>
        <w:right w:val="none" w:sz="0" w:space="0" w:color="auto"/>
      </w:divBdr>
      <w:divsChild>
        <w:div w:id="1484079385">
          <w:marLeft w:val="0"/>
          <w:marRight w:val="0"/>
          <w:marTop w:val="0"/>
          <w:marBottom w:val="0"/>
          <w:divBdr>
            <w:top w:val="none" w:sz="0" w:space="0" w:color="auto"/>
            <w:left w:val="none" w:sz="0" w:space="0" w:color="auto"/>
            <w:bottom w:val="none" w:sz="0" w:space="0" w:color="auto"/>
            <w:right w:val="none" w:sz="0" w:space="0" w:color="auto"/>
          </w:divBdr>
          <w:divsChild>
            <w:div w:id="158812284">
              <w:marLeft w:val="0"/>
              <w:marRight w:val="0"/>
              <w:marTop w:val="0"/>
              <w:marBottom w:val="0"/>
              <w:divBdr>
                <w:top w:val="none" w:sz="0" w:space="0" w:color="auto"/>
                <w:left w:val="none" w:sz="0" w:space="0" w:color="auto"/>
                <w:bottom w:val="none" w:sz="0" w:space="0" w:color="auto"/>
                <w:right w:val="none" w:sz="0" w:space="0" w:color="auto"/>
              </w:divBdr>
              <w:divsChild>
                <w:div w:id="1272322503">
                  <w:marLeft w:val="0"/>
                  <w:marRight w:val="0"/>
                  <w:marTop w:val="0"/>
                  <w:marBottom w:val="0"/>
                  <w:divBdr>
                    <w:top w:val="none" w:sz="0" w:space="0" w:color="auto"/>
                    <w:left w:val="none" w:sz="0" w:space="0" w:color="auto"/>
                    <w:bottom w:val="none" w:sz="0" w:space="0" w:color="auto"/>
                    <w:right w:val="none" w:sz="0" w:space="0" w:color="auto"/>
                  </w:divBdr>
                  <w:divsChild>
                    <w:div w:id="18401935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1995376172">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F38E-A86F-4795-B740-1CBC9879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Park, Pokim</cp:lastModifiedBy>
  <cp:revision>4</cp:revision>
  <cp:lastPrinted>2014-02-28T20:34:00Z</cp:lastPrinted>
  <dcterms:created xsi:type="dcterms:W3CDTF">2013-04-15T15:27:00Z</dcterms:created>
  <dcterms:modified xsi:type="dcterms:W3CDTF">2014-02-28T20:35:00Z</dcterms:modified>
</cp:coreProperties>
</file>