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0" w:rsidRPr="008B3BC0" w:rsidRDefault="008B3BC0" w:rsidP="008B3BC0">
      <w:pPr>
        <w:pStyle w:val="Title"/>
        <w:tabs>
          <w:tab w:val="clear" w:pos="360"/>
        </w:tabs>
        <w:spacing w:line="240" w:lineRule="auto"/>
        <w:rPr>
          <w:szCs w:val="24"/>
        </w:rPr>
      </w:pPr>
      <w:r w:rsidRPr="008B3BC0">
        <w:rPr>
          <w:szCs w:val="24"/>
        </w:rPr>
        <w:t>BEFORE THE</w:t>
      </w:r>
    </w:p>
    <w:p w:rsidR="008B3BC0" w:rsidRPr="008B3BC0" w:rsidRDefault="008B3BC0" w:rsidP="008B3BC0">
      <w:pPr>
        <w:jc w:val="center"/>
        <w:rPr>
          <w:b/>
          <w:sz w:val="24"/>
          <w:szCs w:val="24"/>
        </w:rPr>
      </w:pPr>
      <w:r w:rsidRPr="008B3BC0">
        <w:rPr>
          <w:b/>
          <w:sz w:val="24"/>
          <w:szCs w:val="24"/>
        </w:rPr>
        <w:t>PENNSYLVANIA PUBLIC UTILITY COMMISSION</w:t>
      </w:r>
    </w:p>
    <w:p w:rsidR="008B3BC0" w:rsidRPr="008B3BC0" w:rsidRDefault="008B3BC0" w:rsidP="008B3BC0">
      <w:pPr>
        <w:jc w:val="center"/>
        <w:rPr>
          <w:b/>
          <w:sz w:val="24"/>
          <w:szCs w:val="24"/>
        </w:rPr>
      </w:pPr>
    </w:p>
    <w:p w:rsidR="008B3BC0" w:rsidRPr="008B3BC0" w:rsidRDefault="008B3BC0" w:rsidP="008B3BC0">
      <w:pPr>
        <w:tabs>
          <w:tab w:val="left" w:pos="0"/>
        </w:tabs>
        <w:jc w:val="both"/>
        <w:rPr>
          <w:b/>
          <w:sz w:val="24"/>
          <w:szCs w:val="24"/>
        </w:rPr>
      </w:pPr>
    </w:p>
    <w:p w:rsidR="008B3BC0" w:rsidRPr="008B3BC0" w:rsidRDefault="008B3BC0" w:rsidP="008B3BC0">
      <w:pPr>
        <w:tabs>
          <w:tab w:val="left" w:pos="0"/>
        </w:tabs>
        <w:jc w:val="both"/>
        <w:rPr>
          <w:b/>
          <w:sz w:val="24"/>
          <w:szCs w:val="24"/>
        </w:rPr>
      </w:pPr>
    </w:p>
    <w:p w:rsidR="008B3BC0" w:rsidRPr="008B3BC0" w:rsidRDefault="0098528A" w:rsidP="008B3BC0">
      <w:pPr>
        <w:jc w:val="both"/>
        <w:rPr>
          <w:b/>
          <w:sz w:val="24"/>
          <w:szCs w:val="24"/>
        </w:rPr>
      </w:pPr>
      <w:r>
        <w:rPr>
          <w:sz w:val="24"/>
          <w:szCs w:val="24"/>
        </w:rPr>
        <w:t>Flora Mosaka-Wright</w:t>
      </w:r>
      <w:r w:rsidR="008B3BC0" w:rsidRPr="008B3BC0">
        <w:rPr>
          <w:sz w:val="24"/>
          <w:szCs w:val="24"/>
        </w:rPr>
        <w:tab/>
      </w:r>
      <w:r w:rsidR="008B3BC0" w:rsidRPr="008B3BC0">
        <w:rPr>
          <w:sz w:val="24"/>
          <w:szCs w:val="24"/>
        </w:rPr>
        <w:tab/>
      </w:r>
      <w:r w:rsidR="008B3BC0" w:rsidRPr="008B3BC0">
        <w:rPr>
          <w:sz w:val="24"/>
          <w:szCs w:val="24"/>
        </w:rPr>
        <w:tab/>
      </w:r>
      <w:r w:rsidR="008B3BC0" w:rsidRPr="008B3BC0">
        <w:rPr>
          <w:sz w:val="24"/>
          <w:szCs w:val="24"/>
        </w:rPr>
        <w:tab/>
      </w:r>
      <w:r w:rsidR="008B3BC0" w:rsidRPr="008B3BC0">
        <w:rPr>
          <w:sz w:val="24"/>
          <w:szCs w:val="24"/>
        </w:rPr>
        <w:tab/>
      </w:r>
      <w:r w:rsidR="008B3BC0" w:rsidRPr="0098528A">
        <w:rPr>
          <w:b/>
          <w:sz w:val="24"/>
          <w:szCs w:val="24"/>
        </w:rPr>
        <w:t>:</w:t>
      </w:r>
    </w:p>
    <w:p w:rsidR="008B3BC0" w:rsidRPr="0098528A" w:rsidRDefault="008B3BC0" w:rsidP="008B3BC0">
      <w:pPr>
        <w:jc w:val="both"/>
        <w:rPr>
          <w:b/>
          <w:sz w:val="24"/>
          <w:szCs w:val="24"/>
        </w:rPr>
      </w:pPr>
      <w:r w:rsidRPr="008B3BC0">
        <w:rPr>
          <w:b/>
          <w:sz w:val="24"/>
          <w:szCs w:val="24"/>
        </w:rPr>
        <w:tab/>
      </w:r>
      <w:r w:rsidRPr="008B3BC0">
        <w:rPr>
          <w:b/>
          <w:sz w:val="24"/>
          <w:szCs w:val="24"/>
        </w:rPr>
        <w:tab/>
      </w:r>
      <w:r w:rsidRPr="008B3BC0">
        <w:rPr>
          <w:b/>
          <w:sz w:val="24"/>
          <w:szCs w:val="24"/>
        </w:rPr>
        <w:tab/>
      </w:r>
      <w:r w:rsidRPr="008B3BC0">
        <w:rPr>
          <w:b/>
          <w:sz w:val="24"/>
          <w:szCs w:val="24"/>
        </w:rPr>
        <w:tab/>
      </w:r>
      <w:r w:rsidRPr="008B3BC0">
        <w:rPr>
          <w:b/>
          <w:sz w:val="24"/>
          <w:szCs w:val="24"/>
        </w:rPr>
        <w:tab/>
      </w:r>
      <w:r w:rsidRPr="008B3BC0">
        <w:rPr>
          <w:b/>
          <w:sz w:val="24"/>
          <w:szCs w:val="24"/>
        </w:rPr>
        <w:tab/>
      </w:r>
      <w:r w:rsidRPr="008B3BC0">
        <w:rPr>
          <w:b/>
          <w:sz w:val="24"/>
          <w:szCs w:val="24"/>
        </w:rPr>
        <w:tab/>
      </w:r>
      <w:r w:rsidRPr="0098528A">
        <w:rPr>
          <w:b/>
          <w:sz w:val="24"/>
          <w:szCs w:val="24"/>
        </w:rPr>
        <w:t>:</w:t>
      </w:r>
    </w:p>
    <w:p w:rsidR="008B3BC0" w:rsidRPr="008B3BC0" w:rsidRDefault="008B3BC0" w:rsidP="008B3BC0">
      <w:pPr>
        <w:jc w:val="both"/>
        <w:rPr>
          <w:sz w:val="24"/>
          <w:szCs w:val="24"/>
        </w:rPr>
      </w:pPr>
      <w:r w:rsidRPr="008B3BC0">
        <w:rPr>
          <w:sz w:val="24"/>
          <w:szCs w:val="24"/>
        </w:rPr>
        <w:tab/>
        <w:t>v.</w:t>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98528A">
        <w:rPr>
          <w:b/>
          <w:sz w:val="24"/>
          <w:szCs w:val="24"/>
        </w:rPr>
        <w:t>:</w:t>
      </w:r>
      <w:r w:rsidRPr="008B3BC0">
        <w:rPr>
          <w:b/>
          <w:sz w:val="24"/>
          <w:szCs w:val="24"/>
        </w:rPr>
        <w:tab/>
      </w:r>
      <w:r w:rsidRPr="008B3BC0">
        <w:rPr>
          <w:b/>
          <w:sz w:val="24"/>
          <w:szCs w:val="24"/>
        </w:rPr>
        <w:tab/>
      </w:r>
      <w:r w:rsidRPr="008B3BC0">
        <w:rPr>
          <w:sz w:val="24"/>
          <w:szCs w:val="24"/>
        </w:rPr>
        <w:t>F-2013-2371</w:t>
      </w:r>
      <w:r w:rsidR="0098528A">
        <w:rPr>
          <w:sz w:val="24"/>
          <w:szCs w:val="24"/>
        </w:rPr>
        <w:t>635</w:t>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98528A">
        <w:rPr>
          <w:b/>
          <w:sz w:val="24"/>
          <w:szCs w:val="24"/>
        </w:rPr>
        <w:t>:</w:t>
      </w:r>
    </w:p>
    <w:p w:rsidR="008B3BC0" w:rsidRPr="008B3BC0" w:rsidRDefault="0098528A" w:rsidP="0098528A">
      <w:pPr>
        <w:jc w:val="both"/>
        <w:rPr>
          <w:sz w:val="24"/>
          <w:szCs w:val="24"/>
        </w:rPr>
      </w:pPr>
      <w:r>
        <w:rPr>
          <w:sz w:val="24"/>
          <w:szCs w:val="24"/>
        </w:rPr>
        <w:t>Duquesne Light</w:t>
      </w:r>
      <w:r w:rsidR="008B3BC0" w:rsidRPr="008B3BC0">
        <w:rPr>
          <w:sz w:val="24"/>
          <w:szCs w:val="24"/>
        </w:rPr>
        <w:t xml:space="preserve"> Company</w:t>
      </w:r>
      <w:r w:rsidR="008B3BC0" w:rsidRPr="008B3BC0">
        <w:rPr>
          <w:sz w:val="24"/>
          <w:szCs w:val="24"/>
        </w:rPr>
        <w:tab/>
      </w:r>
      <w:r w:rsidR="008B3BC0" w:rsidRPr="008B3BC0">
        <w:rPr>
          <w:sz w:val="24"/>
          <w:szCs w:val="24"/>
        </w:rPr>
        <w:tab/>
      </w:r>
      <w:r w:rsidR="008B3BC0" w:rsidRPr="008B3BC0">
        <w:rPr>
          <w:sz w:val="24"/>
          <w:szCs w:val="24"/>
        </w:rPr>
        <w:tab/>
      </w:r>
      <w:r w:rsidR="008B3BC0" w:rsidRPr="008B3BC0">
        <w:rPr>
          <w:sz w:val="24"/>
          <w:szCs w:val="24"/>
        </w:rPr>
        <w:tab/>
      </w:r>
      <w:r w:rsidR="008B3BC0" w:rsidRPr="0098528A">
        <w:rPr>
          <w:b/>
          <w:sz w:val="24"/>
          <w:szCs w:val="24"/>
        </w:rPr>
        <w:t>:</w:t>
      </w:r>
    </w:p>
    <w:p w:rsidR="008B3BC0" w:rsidRPr="008B3BC0" w:rsidRDefault="008B3BC0" w:rsidP="0098528A">
      <w:pPr>
        <w:rPr>
          <w:b/>
          <w:sz w:val="24"/>
          <w:szCs w:val="24"/>
        </w:rPr>
      </w:pPr>
    </w:p>
    <w:p w:rsidR="008B3BC0" w:rsidRPr="008B3BC0" w:rsidRDefault="008B3BC0" w:rsidP="0098528A">
      <w:pPr>
        <w:jc w:val="center"/>
        <w:rPr>
          <w:b/>
          <w:sz w:val="24"/>
          <w:szCs w:val="24"/>
        </w:rPr>
      </w:pPr>
    </w:p>
    <w:p w:rsidR="008B3BC0" w:rsidRPr="008B3BC0" w:rsidRDefault="008B3BC0" w:rsidP="0098528A">
      <w:pPr>
        <w:jc w:val="center"/>
        <w:rPr>
          <w:b/>
          <w:sz w:val="24"/>
          <w:szCs w:val="24"/>
          <w:u w:val="single"/>
        </w:rPr>
      </w:pPr>
    </w:p>
    <w:p w:rsidR="008B3BC0" w:rsidRPr="008B3BC0" w:rsidRDefault="008B3BC0" w:rsidP="0098528A">
      <w:pPr>
        <w:jc w:val="center"/>
        <w:rPr>
          <w:sz w:val="24"/>
          <w:szCs w:val="24"/>
        </w:rPr>
      </w:pPr>
      <w:r w:rsidRPr="008B3BC0">
        <w:rPr>
          <w:b/>
          <w:sz w:val="24"/>
          <w:szCs w:val="24"/>
          <w:u w:val="single"/>
        </w:rPr>
        <w:t>INITIAL DECISION</w:t>
      </w:r>
    </w:p>
    <w:p w:rsidR="008B3BC0" w:rsidRPr="008B3BC0" w:rsidRDefault="008B3BC0" w:rsidP="0098528A">
      <w:pPr>
        <w:jc w:val="center"/>
        <w:rPr>
          <w:sz w:val="24"/>
          <w:szCs w:val="24"/>
        </w:rPr>
      </w:pPr>
    </w:p>
    <w:p w:rsidR="0098528A" w:rsidRDefault="0098528A" w:rsidP="0098528A">
      <w:pPr>
        <w:jc w:val="center"/>
        <w:rPr>
          <w:sz w:val="24"/>
          <w:szCs w:val="24"/>
        </w:rPr>
      </w:pPr>
    </w:p>
    <w:p w:rsidR="008B3BC0" w:rsidRPr="008B3BC0" w:rsidRDefault="008B3BC0" w:rsidP="0098528A">
      <w:pPr>
        <w:jc w:val="center"/>
        <w:rPr>
          <w:sz w:val="24"/>
          <w:szCs w:val="24"/>
        </w:rPr>
      </w:pPr>
      <w:r w:rsidRPr="008B3BC0">
        <w:rPr>
          <w:sz w:val="24"/>
          <w:szCs w:val="24"/>
        </w:rPr>
        <w:t>Before</w:t>
      </w:r>
    </w:p>
    <w:p w:rsidR="008B3BC0" w:rsidRPr="008B3BC0" w:rsidRDefault="008B3BC0" w:rsidP="008B3BC0">
      <w:pPr>
        <w:jc w:val="center"/>
        <w:rPr>
          <w:sz w:val="24"/>
          <w:szCs w:val="24"/>
        </w:rPr>
      </w:pPr>
      <w:r w:rsidRPr="008B3BC0">
        <w:rPr>
          <w:sz w:val="24"/>
          <w:szCs w:val="24"/>
        </w:rPr>
        <w:t>Mary D. Long</w:t>
      </w:r>
    </w:p>
    <w:p w:rsidR="008B3BC0" w:rsidRPr="008B3BC0" w:rsidRDefault="008B3BC0" w:rsidP="008B3BC0">
      <w:pPr>
        <w:jc w:val="center"/>
        <w:rPr>
          <w:sz w:val="24"/>
          <w:szCs w:val="24"/>
        </w:rPr>
      </w:pPr>
      <w:r w:rsidRPr="008B3BC0">
        <w:rPr>
          <w:sz w:val="24"/>
          <w:szCs w:val="24"/>
        </w:rPr>
        <w:t>Administrative Law Judge</w:t>
      </w:r>
    </w:p>
    <w:p w:rsidR="008B3BC0" w:rsidRPr="008B3BC0" w:rsidRDefault="008B3BC0" w:rsidP="008B3BC0">
      <w:pPr>
        <w:jc w:val="center"/>
        <w:rPr>
          <w:sz w:val="24"/>
          <w:szCs w:val="24"/>
          <w:u w:val="single"/>
        </w:rPr>
      </w:pPr>
    </w:p>
    <w:p w:rsidR="008B3BC0" w:rsidRPr="008B3BC0" w:rsidRDefault="008B3BC0" w:rsidP="008B3BC0">
      <w:pPr>
        <w:jc w:val="center"/>
        <w:rPr>
          <w:sz w:val="24"/>
          <w:szCs w:val="24"/>
          <w:u w:val="single"/>
        </w:rPr>
      </w:pPr>
    </w:p>
    <w:p w:rsidR="00A21F99" w:rsidRPr="0098528A" w:rsidRDefault="00A21F99" w:rsidP="0098528A">
      <w:pPr>
        <w:spacing w:line="360" w:lineRule="auto"/>
        <w:ind w:firstLine="1440"/>
        <w:rPr>
          <w:sz w:val="24"/>
          <w:szCs w:val="24"/>
        </w:rPr>
      </w:pPr>
      <w:r w:rsidRPr="0098528A">
        <w:rPr>
          <w:sz w:val="24"/>
          <w:szCs w:val="24"/>
        </w:rPr>
        <w:t>A complaint by a utility customer that her bills were too high is dismissed in part and sustained in part.  There is no evidence that the electric distribution utility improperly measured the customer’s consumption.  However, the company failed to render reasonable customer service when it did not inform the customer that the first utility report that it sent to her was in error and should have been disregarded.</w:t>
      </w:r>
    </w:p>
    <w:p w:rsidR="00A21F99" w:rsidRPr="0098528A" w:rsidRDefault="00A21F99" w:rsidP="0098528A">
      <w:pPr>
        <w:spacing w:line="360" w:lineRule="auto"/>
        <w:rPr>
          <w:sz w:val="24"/>
          <w:szCs w:val="24"/>
        </w:rPr>
      </w:pPr>
    </w:p>
    <w:p w:rsidR="00A21F99" w:rsidRPr="0098528A" w:rsidRDefault="00A21F99" w:rsidP="0098528A">
      <w:pPr>
        <w:spacing w:line="360" w:lineRule="auto"/>
        <w:jc w:val="center"/>
        <w:rPr>
          <w:sz w:val="24"/>
          <w:szCs w:val="24"/>
          <w:u w:val="single"/>
        </w:rPr>
      </w:pPr>
      <w:r w:rsidRPr="0098528A">
        <w:rPr>
          <w:sz w:val="24"/>
          <w:szCs w:val="24"/>
          <w:u w:val="single"/>
        </w:rPr>
        <w:t>PROCEDURAL BACKGROUND</w:t>
      </w:r>
    </w:p>
    <w:p w:rsidR="00A21F99" w:rsidRPr="0098528A" w:rsidRDefault="00A21F99" w:rsidP="0098528A">
      <w:pPr>
        <w:spacing w:line="360" w:lineRule="auto"/>
        <w:jc w:val="center"/>
        <w:rPr>
          <w:sz w:val="24"/>
          <w:szCs w:val="24"/>
          <w:u w:val="single"/>
        </w:rPr>
      </w:pPr>
    </w:p>
    <w:p w:rsidR="00A21F99" w:rsidRPr="0098528A" w:rsidRDefault="00A21F99" w:rsidP="0098528A">
      <w:pPr>
        <w:spacing w:line="360" w:lineRule="auto"/>
        <w:ind w:firstLine="1440"/>
        <w:rPr>
          <w:sz w:val="24"/>
          <w:szCs w:val="24"/>
        </w:rPr>
      </w:pPr>
      <w:r w:rsidRPr="0098528A">
        <w:rPr>
          <w:sz w:val="24"/>
          <w:szCs w:val="24"/>
        </w:rPr>
        <w:t>Dr. Flora Mosaka-Wright (Complainant) filed a formal complaint against Duquesne Light Company on June 24, 2013, alleging that certain of her electricity bills were too high.  Duquesne Light filed an answer on July 23, 2013.  By hearing notice dated August 26, 2013, this matter was assigned to me and scheduled for a telephonic hearing on October 2, 2013.</w:t>
      </w:r>
    </w:p>
    <w:p w:rsidR="00A21F99" w:rsidRPr="0098528A" w:rsidRDefault="00A21F99"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 xml:space="preserve">The hearing convened as scheduled.  The Complainant appeared </w:t>
      </w:r>
      <w:r w:rsidRPr="0098528A">
        <w:rPr>
          <w:i/>
          <w:sz w:val="24"/>
          <w:szCs w:val="24"/>
        </w:rPr>
        <w:t>pro se</w:t>
      </w:r>
      <w:r w:rsidRPr="0098528A">
        <w:rPr>
          <w:sz w:val="24"/>
          <w:szCs w:val="24"/>
        </w:rPr>
        <w:t xml:space="preserve"> and testified on her own behalf.  She introduced nine exhibits which were admitted into the record.  Duquesne Light was represented by Jennifer Allison, Esquire and presented the testimony of two witnesses, Marie Tamilia and Thomas Stack.  Additionally, Duquesne Light introduced three </w:t>
      </w:r>
      <w:r w:rsidRPr="0098528A">
        <w:rPr>
          <w:sz w:val="24"/>
          <w:szCs w:val="24"/>
        </w:rPr>
        <w:lastRenderedPageBreak/>
        <w:t xml:space="preserve">exhibits which were admitted into the record.  The hearing resulted in a transcript of 125 pages.  The Complainant requested an opportunity to file a brief, which was granted. </w:t>
      </w:r>
      <w:r w:rsidR="005A1637">
        <w:rPr>
          <w:sz w:val="24"/>
          <w:szCs w:val="24"/>
        </w:rPr>
        <w:t xml:space="preserve"> </w:t>
      </w:r>
      <w:r w:rsidRPr="0098528A">
        <w:rPr>
          <w:sz w:val="24"/>
          <w:szCs w:val="24"/>
        </w:rPr>
        <w:t>Accordingly, following the receipt of the final brief</w:t>
      </w:r>
      <w:r w:rsidR="005A1637">
        <w:rPr>
          <w:sz w:val="24"/>
          <w:szCs w:val="24"/>
        </w:rPr>
        <w:t>,</w:t>
      </w:r>
      <w:r w:rsidRPr="0098528A">
        <w:rPr>
          <w:sz w:val="24"/>
          <w:szCs w:val="24"/>
        </w:rPr>
        <w:t xml:space="preserve"> the record was closed by order dated December 16, 2013.</w:t>
      </w:r>
    </w:p>
    <w:p w:rsidR="00A21F99" w:rsidRPr="0098528A" w:rsidRDefault="00A21F99" w:rsidP="0098528A">
      <w:pPr>
        <w:spacing w:line="360" w:lineRule="auto"/>
        <w:rPr>
          <w:sz w:val="24"/>
          <w:szCs w:val="24"/>
        </w:rPr>
      </w:pPr>
    </w:p>
    <w:p w:rsidR="00A21F99" w:rsidRPr="0098528A" w:rsidRDefault="00A21F99" w:rsidP="0098528A">
      <w:pPr>
        <w:spacing w:line="360" w:lineRule="auto"/>
        <w:jc w:val="center"/>
        <w:rPr>
          <w:sz w:val="24"/>
          <w:szCs w:val="24"/>
          <w:u w:val="single"/>
        </w:rPr>
      </w:pPr>
      <w:r w:rsidRPr="0098528A">
        <w:rPr>
          <w:sz w:val="24"/>
          <w:szCs w:val="24"/>
          <w:u w:val="single"/>
        </w:rPr>
        <w:t>FINDINGS OF FACT</w:t>
      </w:r>
    </w:p>
    <w:p w:rsidR="00A21F99" w:rsidRPr="0098528A" w:rsidRDefault="00A21F99" w:rsidP="0098528A">
      <w:pPr>
        <w:spacing w:line="360" w:lineRule="auto"/>
        <w:jc w:val="center"/>
        <w:rPr>
          <w:sz w:val="24"/>
          <w:szCs w:val="24"/>
          <w:u w:val="single"/>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 The Complainant is Dr. Flora Mosaka-Wright.  She currently resides at 333 Columbia Avenue, Pittsburgh, Pennsylvania.  The address where she received service from Duquesne Lig</w:t>
      </w:r>
      <w:r w:rsidR="005A1637">
        <w:rPr>
          <w:sz w:val="24"/>
          <w:szCs w:val="24"/>
        </w:rPr>
        <w:t xml:space="preserve">ht, which is the subject of her </w:t>
      </w:r>
      <w:r w:rsidRPr="0098528A">
        <w:rPr>
          <w:sz w:val="24"/>
          <w:szCs w:val="24"/>
        </w:rPr>
        <w:t>dispute</w:t>
      </w:r>
      <w:r w:rsidR="005A1637">
        <w:rPr>
          <w:sz w:val="24"/>
          <w:szCs w:val="24"/>
        </w:rPr>
        <w:t>,</w:t>
      </w:r>
      <w:r w:rsidRPr="0098528A">
        <w:rPr>
          <w:sz w:val="24"/>
          <w:szCs w:val="24"/>
        </w:rPr>
        <w:t xml:space="preserve"> is 301 Tally Drive, Pittsburgh, Pennsylvania (Service Address).  Dr. Wright no longer resides at the Service Address.</w:t>
      </w:r>
      <w:r w:rsidR="005A1637">
        <w:rPr>
          <w:sz w:val="24"/>
          <w:szCs w:val="24"/>
        </w:rPr>
        <w:t xml:space="preserve"> </w:t>
      </w:r>
      <w:r w:rsidRPr="0098528A">
        <w:rPr>
          <w:sz w:val="24"/>
          <w:szCs w:val="24"/>
        </w:rPr>
        <w:t xml:space="preserve"> (N.T. 8)</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The Complainant moved into the Service Address on or about October 27, 2012, along with her adult son.  They moved out of the apartment on May 5, 2013. </w:t>
      </w:r>
      <w:r w:rsidR="005A1637">
        <w:rPr>
          <w:sz w:val="24"/>
          <w:szCs w:val="24"/>
        </w:rPr>
        <w:t xml:space="preserve"> </w:t>
      </w:r>
      <w:r w:rsidRPr="0098528A">
        <w:rPr>
          <w:sz w:val="24"/>
          <w:szCs w:val="24"/>
        </w:rPr>
        <w:t>(N.T. 16</w:t>
      </w:r>
      <w:r w:rsidR="005A1637">
        <w:rPr>
          <w:sz w:val="24"/>
          <w:szCs w:val="24"/>
        </w:rPr>
        <w:t>,</w:t>
      </w:r>
      <w:r w:rsidRPr="0098528A">
        <w:rPr>
          <w:sz w:val="24"/>
          <w:szCs w:val="24"/>
        </w:rPr>
        <w:t xml:space="preserve"> 36)</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The Service Address is an apartment. </w:t>
      </w:r>
      <w:r w:rsidR="005A1637">
        <w:rPr>
          <w:sz w:val="24"/>
          <w:szCs w:val="24"/>
        </w:rPr>
        <w:t xml:space="preserve"> </w:t>
      </w:r>
      <w:r w:rsidRPr="0098528A">
        <w:rPr>
          <w:sz w:val="24"/>
          <w:szCs w:val="24"/>
        </w:rPr>
        <w:t>The apartment included two small bedrooms, a small office/computer room, kitchen, a living/dining area and two bathrooms.  Electric appliances included a stove, r</w:t>
      </w:r>
      <w:r w:rsidR="005A1637">
        <w:rPr>
          <w:sz w:val="24"/>
          <w:szCs w:val="24"/>
        </w:rPr>
        <w:t xml:space="preserve">efrigerator, microwave, and a </w:t>
      </w:r>
      <w:r w:rsidRPr="0098528A">
        <w:rPr>
          <w:sz w:val="24"/>
          <w:szCs w:val="24"/>
        </w:rPr>
        <w:t xml:space="preserve">dishwasher.  </w:t>
      </w:r>
      <w:r w:rsidR="000E527B">
        <w:rPr>
          <w:sz w:val="24"/>
          <w:szCs w:val="24"/>
        </w:rPr>
        <w:t xml:space="preserve">The </w:t>
      </w:r>
      <w:r w:rsidRPr="0098528A">
        <w:rPr>
          <w:sz w:val="24"/>
          <w:szCs w:val="24"/>
        </w:rPr>
        <w:t xml:space="preserve">Complainant also had an electric furnace, an electric hot water heater and air-conditioning. </w:t>
      </w:r>
      <w:r w:rsidR="005A1637">
        <w:rPr>
          <w:sz w:val="24"/>
          <w:szCs w:val="24"/>
        </w:rPr>
        <w:t xml:space="preserve"> </w:t>
      </w:r>
      <w:r w:rsidRPr="0098528A">
        <w:rPr>
          <w:sz w:val="24"/>
          <w:szCs w:val="24"/>
        </w:rPr>
        <w:t>(N.T. 24-25</w:t>
      </w:r>
      <w:r w:rsidR="005A1637">
        <w:rPr>
          <w:sz w:val="24"/>
          <w:szCs w:val="24"/>
        </w:rPr>
        <w:t>,</w:t>
      </w:r>
      <w:r w:rsidRPr="0098528A">
        <w:rPr>
          <w:sz w:val="24"/>
          <w:szCs w:val="24"/>
        </w:rPr>
        <w:t xml:space="preserve"> 93; Duquesne Light Ex. 2)</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The apartment was heated by electricity.  The Complainant generally kept the thermostat at 75 degrees in the winter months and turned it down to 65 degrees when the weather grew warmer in the spring.</w:t>
      </w:r>
      <w:r w:rsidR="005A1637">
        <w:rPr>
          <w:sz w:val="24"/>
          <w:szCs w:val="24"/>
        </w:rPr>
        <w:t xml:space="preserve"> </w:t>
      </w:r>
      <w:r w:rsidRPr="0098528A">
        <w:rPr>
          <w:sz w:val="24"/>
          <w:szCs w:val="24"/>
        </w:rPr>
        <w:t xml:space="preserve"> (N.T. 26)</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The apartment had </w:t>
      </w:r>
      <w:r w:rsidR="005A1637">
        <w:rPr>
          <w:sz w:val="24"/>
          <w:szCs w:val="24"/>
        </w:rPr>
        <w:t xml:space="preserve">a </w:t>
      </w:r>
      <w:r w:rsidRPr="0098528A">
        <w:rPr>
          <w:sz w:val="24"/>
          <w:szCs w:val="24"/>
        </w:rPr>
        <w:t>gap in the front door that let warm air escape.</w:t>
      </w:r>
      <w:r w:rsidR="005A1637">
        <w:rPr>
          <w:sz w:val="24"/>
          <w:szCs w:val="24"/>
        </w:rPr>
        <w:t xml:space="preserve"> </w:t>
      </w:r>
      <w:r w:rsidRPr="0098528A">
        <w:rPr>
          <w:sz w:val="24"/>
          <w:szCs w:val="24"/>
        </w:rPr>
        <w:t xml:space="preserve"> (N.T. 51-52)</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The apartment had a patio sliding door that let in cold air and made it uncomfortable to sit in the living room.  (N.T. 52)</w:t>
      </w:r>
    </w:p>
    <w:p w:rsidR="00A21F99" w:rsidRPr="0098528A" w:rsidRDefault="00A21F99" w:rsidP="0098528A">
      <w:pPr>
        <w:pStyle w:val="ListParagraph"/>
        <w:tabs>
          <w:tab w:val="left" w:pos="720"/>
        </w:tabs>
        <w:spacing w:line="360" w:lineRule="auto"/>
        <w:ind w:left="864" w:firstLine="1440"/>
        <w:rPr>
          <w:sz w:val="24"/>
          <w:szCs w:val="24"/>
        </w:rPr>
      </w:pPr>
    </w:p>
    <w:p w:rsidR="00A21F99"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lastRenderedPageBreak/>
        <w:t>In the Complainant’s opinion, the windows in the apartment were badly insulated.</w:t>
      </w:r>
      <w:r w:rsidR="005A1637">
        <w:rPr>
          <w:sz w:val="24"/>
          <w:szCs w:val="24"/>
        </w:rPr>
        <w:t xml:space="preserve"> </w:t>
      </w:r>
      <w:r w:rsidRPr="0098528A">
        <w:rPr>
          <w:sz w:val="24"/>
          <w:szCs w:val="24"/>
        </w:rPr>
        <w:t xml:space="preserve"> (N.T. 53)</w:t>
      </w:r>
    </w:p>
    <w:p w:rsidR="0098528A" w:rsidRPr="0098528A" w:rsidRDefault="0098528A" w:rsidP="0098528A">
      <w:pPr>
        <w:pStyle w:val="ListParagraph"/>
        <w:spacing w:line="360" w:lineRule="auto"/>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She received her first bill for twelve days of service dated November 8, 2012 in the amount of $147.73.  The Complainant conceded that this bill was not too high.  (N.T. 18)</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From November 2012 until the final bill dated May 7, 2013, the Complainant paid Duquesne Light $1,291.  As of the date of the final bill, the outstanding balance on the account was $1,809.20.  (Duquesne Light Ex. 1; see also Complainant Ex. 6)</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The Complainant never paid the entire balance due, but made payments that she thought w</w:t>
      </w:r>
      <w:r w:rsidR="005A1637">
        <w:rPr>
          <w:sz w:val="24"/>
          <w:szCs w:val="24"/>
        </w:rPr>
        <w:t>ere</w:t>
      </w:r>
      <w:r w:rsidRPr="0098528A">
        <w:rPr>
          <w:sz w:val="24"/>
          <w:szCs w:val="24"/>
        </w:rPr>
        <w:t xml:space="preserve"> reasonable while Duquesne Light investigated her dispute.</w:t>
      </w:r>
      <w:r w:rsidR="005A1637">
        <w:rPr>
          <w:sz w:val="24"/>
          <w:szCs w:val="24"/>
        </w:rPr>
        <w:t xml:space="preserve"> </w:t>
      </w:r>
      <w:r w:rsidRPr="0098528A">
        <w:rPr>
          <w:sz w:val="24"/>
          <w:szCs w:val="24"/>
        </w:rPr>
        <w:t xml:space="preserve"> (N.T. 35-36)</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The Complainant called Duquesne Light because her bills for electricity were significantly higher than the electric bills she paid at her former apartment.  (N.T. 21)</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Duquesne Light inspected the Complainant’s meter on January 9, 2013. </w:t>
      </w:r>
      <w:r w:rsidR="005A1637">
        <w:rPr>
          <w:sz w:val="24"/>
          <w:szCs w:val="24"/>
        </w:rPr>
        <w:t xml:space="preserve"> </w:t>
      </w:r>
      <w:r w:rsidRPr="0098528A">
        <w:rPr>
          <w:sz w:val="24"/>
          <w:szCs w:val="24"/>
        </w:rPr>
        <w:t>(N.T. 10, 20, 90)</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The Duquesne Light technician, Thomas Stack, checked the premises for foreign wiring and found none.  (N.T. 94; Duquesne Light Ex. 2)</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The Complainant was being billed from the correct meter. </w:t>
      </w:r>
      <w:r w:rsidR="005A1637">
        <w:rPr>
          <w:sz w:val="24"/>
          <w:szCs w:val="24"/>
        </w:rPr>
        <w:t xml:space="preserve"> </w:t>
      </w:r>
      <w:r w:rsidRPr="0098528A">
        <w:rPr>
          <w:sz w:val="24"/>
          <w:szCs w:val="24"/>
        </w:rPr>
        <w:t>(N.T. 98)</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Mr. Stack tested the meter which read 100.3% at full load and 100.9% at light load.  The meter test demonstrated that the meter was reading the Complainant’s consumption accurately.  (N.T. 95; Duquesne Light Ex. 2)</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Mr. Stack also verified that the dial on the meter and the electronic (ERT) reading matched.  (N.T. 91)</w:t>
      </w: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lastRenderedPageBreak/>
        <w:t xml:space="preserve">At the time of the meter inspection the Complainant was using 17,280 watts.  If her consumption remained at that level for an hour in duration, it would equal nearly 17.3 kilowatts per hour. </w:t>
      </w:r>
      <w:r w:rsidR="005A1637">
        <w:rPr>
          <w:sz w:val="24"/>
          <w:szCs w:val="24"/>
        </w:rPr>
        <w:t xml:space="preserve"> </w:t>
      </w:r>
      <w:r w:rsidRPr="0098528A">
        <w:rPr>
          <w:sz w:val="24"/>
          <w:szCs w:val="24"/>
        </w:rPr>
        <w:t>(N.T. 96)</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Given the appliances and electric heat source for the Service Address, the Complainant has the potential to use the electricity that she is billed for.  (N.T. 97)</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 Duquesne Light initially sent an incorrect utility report to the Complainant which stated in error that she was being billed from the wrong meter.  (N.T. 71-72, 84; Complainant Exs.</w:t>
      </w:r>
      <w:r w:rsidR="005A1637">
        <w:rPr>
          <w:sz w:val="24"/>
          <w:szCs w:val="24"/>
        </w:rPr>
        <w:t xml:space="preserve"> </w:t>
      </w:r>
      <w:r w:rsidRPr="0098528A">
        <w:rPr>
          <w:sz w:val="24"/>
          <w:szCs w:val="24"/>
        </w:rPr>
        <w:t>2, 4; Duquesne Light Ex. 3)</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Upon discovery of the mistake, a correct utility report was sent to the Complainant which reported that her meter was correctly recording her consumption.</w:t>
      </w:r>
      <w:r w:rsidR="005A1637">
        <w:rPr>
          <w:sz w:val="24"/>
          <w:szCs w:val="24"/>
        </w:rPr>
        <w:t xml:space="preserve">  (N.T. 71-73, 84; </w:t>
      </w:r>
      <w:r w:rsidRPr="0098528A">
        <w:rPr>
          <w:sz w:val="24"/>
          <w:szCs w:val="24"/>
        </w:rPr>
        <w:t>Complainant Exs. 3, 5; Duquesne Light Ex. 3)</w:t>
      </w:r>
    </w:p>
    <w:p w:rsidR="00A21F99" w:rsidRPr="0098528A" w:rsidRDefault="00A21F99" w:rsidP="0098528A">
      <w:pPr>
        <w:pStyle w:val="ListParagraph"/>
        <w:tabs>
          <w:tab w:val="left" w:pos="720"/>
        </w:tabs>
        <w:spacing w:line="360" w:lineRule="auto"/>
        <w:ind w:left="864" w:firstLine="1440"/>
        <w:rPr>
          <w:sz w:val="24"/>
          <w:szCs w:val="24"/>
        </w:rPr>
      </w:pPr>
    </w:p>
    <w:p w:rsidR="00A21F99" w:rsidRPr="0098528A" w:rsidRDefault="00A21F99" w:rsidP="0098528A">
      <w:pPr>
        <w:pStyle w:val="ListParagraph"/>
        <w:numPr>
          <w:ilvl w:val="0"/>
          <w:numId w:val="8"/>
        </w:numPr>
        <w:tabs>
          <w:tab w:val="left" w:pos="720"/>
          <w:tab w:val="left" w:pos="1440"/>
        </w:tabs>
        <w:spacing w:line="360" w:lineRule="auto"/>
        <w:ind w:left="0" w:firstLine="1440"/>
        <w:contextualSpacing w:val="0"/>
        <w:rPr>
          <w:sz w:val="24"/>
          <w:szCs w:val="24"/>
        </w:rPr>
      </w:pPr>
      <w:r w:rsidRPr="0098528A">
        <w:rPr>
          <w:sz w:val="24"/>
          <w:szCs w:val="24"/>
        </w:rPr>
        <w:t xml:space="preserve">Duquesne Light did not inform the Complainant that the first letter was sent in error. </w:t>
      </w:r>
      <w:r w:rsidR="005A1637">
        <w:rPr>
          <w:sz w:val="24"/>
          <w:szCs w:val="24"/>
        </w:rPr>
        <w:t xml:space="preserve"> </w:t>
      </w:r>
      <w:r w:rsidRPr="0098528A">
        <w:rPr>
          <w:sz w:val="24"/>
          <w:szCs w:val="24"/>
        </w:rPr>
        <w:t>(N.T.  75)</w:t>
      </w:r>
    </w:p>
    <w:p w:rsidR="00A21F99" w:rsidRPr="0098528A" w:rsidRDefault="00A21F99" w:rsidP="0098528A">
      <w:pPr>
        <w:pStyle w:val="ListParagraph"/>
        <w:spacing w:line="360" w:lineRule="auto"/>
        <w:ind w:left="864"/>
        <w:rPr>
          <w:sz w:val="24"/>
          <w:szCs w:val="24"/>
        </w:rPr>
      </w:pPr>
    </w:p>
    <w:p w:rsidR="00A21F99" w:rsidRPr="0098528A" w:rsidRDefault="00A21F99" w:rsidP="0098528A">
      <w:pPr>
        <w:spacing w:line="360" w:lineRule="auto"/>
        <w:jc w:val="center"/>
        <w:rPr>
          <w:sz w:val="24"/>
          <w:szCs w:val="24"/>
          <w:u w:val="single"/>
        </w:rPr>
      </w:pPr>
      <w:r w:rsidRPr="0098528A">
        <w:rPr>
          <w:sz w:val="24"/>
          <w:szCs w:val="24"/>
          <w:u w:val="single"/>
        </w:rPr>
        <w:t>DISCUSSION</w:t>
      </w:r>
    </w:p>
    <w:p w:rsidR="00A21F99" w:rsidRPr="0098528A" w:rsidRDefault="00A21F99" w:rsidP="0098528A">
      <w:pPr>
        <w:spacing w:line="360" w:lineRule="auto"/>
        <w:jc w:val="center"/>
        <w:rPr>
          <w:sz w:val="24"/>
          <w:szCs w:val="24"/>
          <w:u w:val="single"/>
        </w:rPr>
      </w:pPr>
    </w:p>
    <w:p w:rsidR="00A21F99" w:rsidRPr="0098528A" w:rsidRDefault="00A21F99" w:rsidP="0098528A">
      <w:pPr>
        <w:spacing w:line="360" w:lineRule="auto"/>
        <w:ind w:firstLine="1440"/>
        <w:rPr>
          <w:sz w:val="24"/>
          <w:szCs w:val="24"/>
        </w:rPr>
      </w:pPr>
      <w:r w:rsidRPr="0098528A">
        <w:rPr>
          <w:sz w:val="24"/>
          <w:szCs w:val="24"/>
        </w:rPr>
        <w:t>In this matter, the Complainant is the party seeking affirmative relief from the Commission; therefore, she has the burden of proof.</w:t>
      </w:r>
      <w:r w:rsidRPr="0098528A">
        <w:rPr>
          <w:rStyle w:val="FootnoteReference"/>
          <w:sz w:val="24"/>
          <w:szCs w:val="24"/>
        </w:rPr>
        <w:footnoteReference w:id="1"/>
      </w:r>
      <w:r w:rsidRPr="0098528A">
        <w:rPr>
          <w:sz w:val="24"/>
          <w:szCs w:val="24"/>
        </w:rPr>
        <w:t xml:space="preserve">  This means that she has the duty to establish </w:t>
      </w:r>
      <w:r w:rsidR="00515E96">
        <w:rPr>
          <w:sz w:val="24"/>
          <w:szCs w:val="24"/>
        </w:rPr>
        <w:t>each</w:t>
      </w:r>
      <w:r w:rsidRPr="0098528A">
        <w:rPr>
          <w:sz w:val="24"/>
          <w:szCs w:val="24"/>
        </w:rPr>
        <w:t xml:space="preserve"> fact by a preponderance of the evidence, and must show that Duquesne Light has violated the Public Utility Code or Commission regulations.</w:t>
      </w:r>
      <w:r w:rsidRPr="0098528A">
        <w:rPr>
          <w:rStyle w:val="FootnoteReference"/>
          <w:sz w:val="24"/>
          <w:szCs w:val="24"/>
        </w:rPr>
        <w:footnoteReference w:id="2"/>
      </w:r>
      <w:r w:rsidRPr="0098528A">
        <w:rPr>
          <w:sz w:val="24"/>
          <w:szCs w:val="24"/>
        </w:rPr>
        <w:t xml:space="preserve">  After reviewing the testimony and exhibits offered by both the Complainant and Duquesne Light, I must conclude there is no evidence that the Complainant’s meter is reading her consumption incorrectly.  </w:t>
      </w:r>
    </w:p>
    <w:p w:rsidR="00A21F99" w:rsidRPr="0098528A" w:rsidRDefault="00A21F99" w:rsidP="0098528A">
      <w:pPr>
        <w:spacing w:line="360" w:lineRule="auto"/>
        <w:rPr>
          <w:sz w:val="24"/>
          <w:szCs w:val="24"/>
        </w:rPr>
      </w:pPr>
    </w:p>
    <w:p w:rsidR="00A21F99" w:rsidRDefault="00A21F99" w:rsidP="0098528A">
      <w:pPr>
        <w:spacing w:line="360" w:lineRule="auto"/>
        <w:ind w:firstLine="1440"/>
        <w:rPr>
          <w:sz w:val="24"/>
          <w:szCs w:val="24"/>
        </w:rPr>
      </w:pPr>
      <w:r w:rsidRPr="0098528A">
        <w:rPr>
          <w:sz w:val="24"/>
          <w:szCs w:val="24"/>
        </w:rPr>
        <w:lastRenderedPageBreak/>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98528A">
        <w:rPr>
          <w:rStyle w:val="FootnoteReference"/>
          <w:sz w:val="24"/>
          <w:szCs w:val="24"/>
        </w:rPr>
        <w:footnoteReference w:id="3"/>
      </w:r>
      <w:r w:rsidRPr="0098528A">
        <w:rPr>
          <w:sz w:val="24"/>
          <w:szCs w:val="24"/>
        </w:rPr>
        <w:t xml:space="preserve">  The Complainant here alleges a billing dispute.  Therefore, the Complainant’s burden of proof is governed by </w:t>
      </w:r>
      <w:r w:rsidRPr="0098528A">
        <w:rPr>
          <w:i/>
          <w:sz w:val="24"/>
          <w:szCs w:val="24"/>
        </w:rPr>
        <w:t>Waldron v. Philadelphia Electric Co.</w:t>
      </w:r>
      <w:r w:rsidRPr="0098528A">
        <w:rPr>
          <w:sz w:val="24"/>
          <w:szCs w:val="24"/>
          <w:vertAlign w:val="superscript"/>
        </w:rPr>
        <w:footnoteReference w:id="4"/>
      </w:r>
      <w:r w:rsidRPr="0098528A">
        <w:rPr>
          <w:sz w:val="24"/>
          <w:szCs w:val="24"/>
        </w:rPr>
        <w:t xml:space="preserve">  In </w:t>
      </w:r>
      <w:r w:rsidRPr="0098528A">
        <w:rPr>
          <w:i/>
          <w:sz w:val="24"/>
          <w:szCs w:val="24"/>
        </w:rPr>
        <w:t>Waldron</w:t>
      </w:r>
      <w:r w:rsidRPr="0098528A">
        <w:rPr>
          <w:sz w:val="24"/>
          <w:szCs w:val="24"/>
        </w:rPr>
        <w:t xml:space="preserve">, the Commission concluded that a complainant may establish a </w:t>
      </w:r>
      <w:r w:rsidRPr="0098528A">
        <w:rPr>
          <w:i/>
          <w:sz w:val="24"/>
          <w:szCs w:val="24"/>
        </w:rPr>
        <w:t>prima facie</w:t>
      </w:r>
      <w:r w:rsidRPr="0098528A">
        <w:rPr>
          <w:sz w:val="24"/>
          <w:szCs w:val="24"/>
        </w:rPr>
        <w:t xml:space="preserve"> case by showing that:  (1) the number of occupants of the household has not changed; (2) the potential for energy utilization is low; and (3) the prior billing history shows no previous abnormalities.  </w:t>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 xml:space="preserve">The Commonwealth Court broadened the Commission’s ruling in </w:t>
      </w:r>
      <w:r w:rsidRPr="0098528A">
        <w:rPr>
          <w:i/>
          <w:sz w:val="24"/>
          <w:szCs w:val="24"/>
        </w:rPr>
        <w:t>Waldron</w:t>
      </w:r>
      <w:r w:rsidRPr="0098528A">
        <w:rPr>
          <w:sz w:val="24"/>
          <w:szCs w:val="24"/>
        </w:rPr>
        <w:t xml:space="preserve"> in </w:t>
      </w:r>
      <w:r w:rsidRPr="0098528A">
        <w:rPr>
          <w:i/>
          <w:sz w:val="24"/>
          <w:szCs w:val="24"/>
        </w:rPr>
        <w:t>Milkie v. Pennsylvania Public Utility Commission</w:t>
      </w:r>
      <w:r w:rsidRPr="0098528A">
        <w:rPr>
          <w:sz w:val="24"/>
          <w:szCs w:val="24"/>
        </w:rPr>
        <w:t>.</w:t>
      </w:r>
      <w:r w:rsidRPr="0098528A">
        <w:rPr>
          <w:sz w:val="24"/>
          <w:szCs w:val="24"/>
          <w:vertAlign w:val="superscript"/>
        </w:rPr>
        <w:footnoteReference w:id="5"/>
      </w:r>
      <w:r w:rsidRPr="0098528A">
        <w:rPr>
          <w:sz w:val="24"/>
          <w:szCs w:val="24"/>
        </w:rPr>
        <w:t xml:space="preserve">  The Commonwealth Court held that the Commission’s requirement that the Complainant must establish certain specific elements in order to make out a </w:t>
      </w:r>
      <w:r w:rsidRPr="0098528A">
        <w:rPr>
          <w:i/>
          <w:sz w:val="24"/>
          <w:szCs w:val="24"/>
        </w:rPr>
        <w:t>prima facie</w:t>
      </w:r>
      <w:r w:rsidRPr="0098528A">
        <w:rPr>
          <w:sz w:val="24"/>
          <w:szCs w:val="24"/>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Accordingly, the Commission may consider the billing history of the account, any change in usage pattern or any other relevant facts or circumstances that come to light during the proceeding.</w:t>
      </w:r>
      <w:r w:rsidRPr="0098528A">
        <w:rPr>
          <w:sz w:val="24"/>
          <w:szCs w:val="24"/>
          <w:vertAlign w:val="superscript"/>
        </w:rPr>
        <w:footnoteReference w:id="6"/>
      </w:r>
      <w:r w:rsidRPr="0098528A">
        <w:rPr>
          <w:sz w:val="24"/>
          <w:szCs w:val="24"/>
        </w:rPr>
        <w:t xml:space="preserve">  Further, the Commission has also held that in response to a high bill complaint, the accuracy of a meter test alone is not conclusive evidence and does not by itself mandate a finding against a complainant and in favor of a utility.</w:t>
      </w:r>
      <w:r w:rsidRPr="0098528A">
        <w:rPr>
          <w:sz w:val="24"/>
          <w:szCs w:val="24"/>
          <w:vertAlign w:val="superscript"/>
        </w:rPr>
        <w:footnoteReference w:id="7"/>
      </w:r>
      <w:r w:rsidRPr="0098528A">
        <w:rPr>
          <w:sz w:val="24"/>
          <w:szCs w:val="24"/>
        </w:rPr>
        <w:t xml:space="preserve">  This rule protects the complainant from dismissal because of his inability to produce direct proof that the meter malfunctioned. </w:t>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lastRenderedPageBreak/>
        <w:t>In her complaint, the Complainant alleged that her bills during her residence at 301 Tally Drive (Service Address) were too high and that Duquesne Light was not properly responding to her requests for an explanation.  She further contends that she should not be responsible for electricity usage due to “a badly insulated apartment.”</w:t>
      </w:r>
      <w:r w:rsidRPr="0098528A">
        <w:rPr>
          <w:rStyle w:val="FootnoteReference"/>
          <w:sz w:val="24"/>
          <w:szCs w:val="24"/>
        </w:rPr>
        <w:footnoteReference w:id="8"/>
      </w:r>
      <w:r w:rsidRPr="0098528A">
        <w:rPr>
          <w:sz w:val="24"/>
          <w:szCs w:val="24"/>
        </w:rPr>
        <w:t xml:space="preserve">  As relief from the Commission she wants “Duquesne Light to cancel and make good all escalated, accumulated electricity costs due to recklessly reading wrong meters, changing statements and dumping the costs on the tenants.”</w:t>
      </w:r>
      <w:r w:rsidRPr="0098528A">
        <w:rPr>
          <w:rStyle w:val="FootnoteReference"/>
          <w:sz w:val="24"/>
          <w:szCs w:val="24"/>
        </w:rPr>
        <w:footnoteReference w:id="9"/>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At the hearing, the Complainant explained that she did not believe that her electricity bills should be so high and so she contacted Duquesne Light not long after she moved into the Service Address.  Duquesne Light initiated a high-bill investigation.  During the course of this investigation, Duquesne Light sent the Complainant conflicting letters, one which stated that she was being billed from an incorrect meter, followed closely by another which stated that her meter was being read correctly.  During this period of time, the Complainant was making payments on her account, but she was not paying the entire amount due.  Rather, she paid what she thought was appropriate.  She noted that her electricity consumption at her prior apartment had been much lower than her usage at the Service Address.</w:t>
      </w:r>
      <w:r w:rsidRPr="0098528A">
        <w:rPr>
          <w:rStyle w:val="FootnoteReference"/>
          <w:sz w:val="24"/>
          <w:szCs w:val="24"/>
        </w:rPr>
        <w:footnoteReference w:id="10"/>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 xml:space="preserve">The Complainant failed to demonstrate that Duquesne Light was incorrectly recording her electricity consumption.  The only evidence she presented was her statement that her usage at her former apartment had been much lower.  However, there could be many reasons for that which were not related to her meter record.  The former apartment could have had fewer electric appliances or was perhaps better insulated.  It is not possible to compare the two </w:t>
      </w:r>
      <w:r w:rsidRPr="0098528A">
        <w:rPr>
          <w:sz w:val="24"/>
          <w:szCs w:val="24"/>
        </w:rPr>
        <w:lastRenderedPageBreak/>
        <w:t>premises and draw any conclusions regarding the accuracy of Duquesne Light’s record of her consumption.</w:t>
      </w:r>
    </w:p>
    <w:p w:rsidR="0098528A" w:rsidRPr="0098528A" w:rsidRDefault="0098528A" w:rsidP="0098528A">
      <w:pPr>
        <w:spacing w:line="360" w:lineRule="auto"/>
        <w:ind w:firstLine="1440"/>
        <w:rPr>
          <w:sz w:val="24"/>
          <w:szCs w:val="24"/>
        </w:rPr>
      </w:pPr>
    </w:p>
    <w:p w:rsidR="00A21F99" w:rsidRDefault="0098528A" w:rsidP="0098528A">
      <w:pPr>
        <w:spacing w:line="360" w:lineRule="auto"/>
        <w:ind w:firstLine="1440"/>
        <w:rPr>
          <w:sz w:val="24"/>
          <w:szCs w:val="24"/>
        </w:rPr>
      </w:pPr>
      <w:r>
        <w:rPr>
          <w:sz w:val="24"/>
          <w:szCs w:val="24"/>
        </w:rPr>
        <w:t xml:space="preserve">Similarly, </w:t>
      </w:r>
      <w:r w:rsidR="00A21F99" w:rsidRPr="0098528A">
        <w:rPr>
          <w:sz w:val="24"/>
          <w:szCs w:val="24"/>
        </w:rPr>
        <w:t xml:space="preserve">the fact that the consumption on the meter in the months before the Complainant resided at the Service Address </w:t>
      </w:r>
      <w:r w:rsidR="00515E96">
        <w:rPr>
          <w:sz w:val="24"/>
          <w:szCs w:val="24"/>
        </w:rPr>
        <w:t>appeared to be lower does</w:t>
      </w:r>
      <w:r w:rsidR="00A21F99" w:rsidRPr="0098528A">
        <w:rPr>
          <w:sz w:val="24"/>
          <w:szCs w:val="24"/>
        </w:rPr>
        <w:t xml:space="preserve"> not suggest that Duquesne Light was incorrectly recording the Complainant’s consumption.  Although the usage was lower before </w:t>
      </w:r>
      <w:r w:rsidR="00B004A7">
        <w:rPr>
          <w:sz w:val="24"/>
          <w:szCs w:val="24"/>
        </w:rPr>
        <w:t xml:space="preserve">at </w:t>
      </w:r>
      <w:r w:rsidR="00A21F99" w:rsidRPr="0098528A">
        <w:rPr>
          <w:sz w:val="24"/>
          <w:szCs w:val="24"/>
        </w:rPr>
        <w:t>the Complainant’s residence, there could be many reasons for that as well which relate to the usage of the electric appliances, not to Duquesne Light’s meter.</w:t>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Indeed, the evidence presented by Duquesne Light demonstrates that the meter was reading properly.  Thomas Stack, Duquesne Light’s meter technician testified that he tested the Complainant’s meter.  He determined that the mechanical reading on the dial and the electronic ERT reading were the same.  He turned off all of the Complainant’s electrical appliances and determined that there was no other load on the circuit, known as a foreign load.  He inventoried her appliances and noted that both her furnace and electric hot water heater have the potential to use much of the consumption that was recorded on the Complainant’s meter.  He also noted that the Complainant’s thermostat was set at 74</w:t>
      </w:r>
      <w:r w:rsidRPr="0098528A">
        <w:rPr>
          <w:sz w:val="24"/>
          <w:szCs w:val="24"/>
          <w:vertAlign w:val="superscript"/>
        </w:rPr>
        <w:t>o</w:t>
      </w:r>
      <w:r w:rsidRPr="0098528A">
        <w:rPr>
          <w:sz w:val="24"/>
          <w:szCs w:val="24"/>
        </w:rPr>
        <w:t>.  He concluded that her meter was operating properly and that the electrical appliances at the Service Address had the potential to use the electric consumption recorded on her meter.</w:t>
      </w:r>
    </w:p>
    <w:p w:rsidR="0098528A" w:rsidRP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 xml:space="preserve">In view of the evidence presented at the hearing, I must conclude that the Complainant failed to demonstrate that Duquesne Light was recording her consumption incorrectly.  She offered no evidence to rebut the meter testing done by Mr. Stack.  She chose to set her thermostat at </w:t>
      </w:r>
      <w:r w:rsidR="00F97276">
        <w:rPr>
          <w:sz w:val="24"/>
          <w:szCs w:val="24"/>
        </w:rPr>
        <w:t xml:space="preserve">a </w:t>
      </w:r>
      <w:r w:rsidRPr="0098528A">
        <w:rPr>
          <w:sz w:val="24"/>
          <w:szCs w:val="24"/>
        </w:rPr>
        <w:t>high temperature in order to be comfortable in the apartment.  She admitted that she observed badly insulated windows and gaps in the door that let in cold air.  Mr.</w:t>
      </w:r>
      <w:r w:rsidR="00393622">
        <w:rPr>
          <w:sz w:val="24"/>
          <w:szCs w:val="24"/>
        </w:rPr>
        <w:t> </w:t>
      </w:r>
      <w:r w:rsidRPr="0098528A">
        <w:rPr>
          <w:sz w:val="24"/>
          <w:szCs w:val="24"/>
        </w:rPr>
        <w:t>Stack determined that given the number of appliances at the Service Address including an electric furnace and an electric hot water heater, the Complainant had the potential to use the amount of electricity that she was consuming.  Therefore, this claim by the Complainant will be dismissed.</w:t>
      </w:r>
    </w:p>
    <w:p w:rsidR="00A21F99" w:rsidRDefault="00A21F99" w:rsidP="00393622">
      <w:pPr>
        <w:spacing w:line="360" w:lineRule="auto"/>
        <w:ind w:firstLine="1440"/>
        <w:rPr>
          <w:sz w:val="24"/>
          <w:szCs w:val="24"/>
        </w:rPr>
      </w:pPr>
      <w:r w:rsidRPr="0098528A">
        <w:rPr>
          <w:sz w:val="24"/>
          <w:szCs w:val="24"/>
        </w:rPr>
        <w:lastRenderedPageBreak/>
        <w:t xml:space="preserve">The Complainant also alleged that she received conflicting letters from Duquesne Light which added to her confusion about the high bill investigation and caused her to doubt the accuracy of the information that she was receiving from Duquesne Light.  </w:t>
      </w:r>
    </w:p>
    <w:p w:rsidR="00F97276" w:rsidRPr="0098528A" w:rsidRDefault="00F97276" w:rsidP="0098528A">
      <w:pPr>
        <w:spacing w:line="360" w:lineRule="auto"/>
        <w:rPr>
          <w:sz w:val="24"/>
          <w:szCs w:val="24"/>
        </w:rPr>
      </w:pPr>
    </w:p>
    <w:p w:rsidR="00A21F99" w:rsidRPr="0098528A" w:rsidRDefault="00A21F99" w:rsidP="0098528A">
      <w:pPr>
        <w:spacing w:line="360" w:lineRule="auto"/>
        <w:ind w:firstLine="1440"/>
        <w:rPr>
          <w:sz w:val="24"/>
          <w:szCs w:val="24"/>
        </w:rPr>
      </w:pPr>
      <w:r w:rsidRPr="0098528A">
        <w:rPr>
          <w:sz w:val="24"/>
          <w:szCs w:val="24"/>
        </w:rPr>
        <w:t>Duquesne Light concedes that it sent the Complainant an incorrect letter.  By letter dated January 11, 2013, Duquesne Light sent the Complainant a letter and utility report which stated that the company had visited her residence on January 7, 2013 and discovered that they were billing her from the incorrect meter.  The letter further stated that she would be receiving a corrected bill.  Upon discovering the error, Duquesne Light generated a second letter dated January 17, 2013, which correctly reported the results of the high bill investigation by stating that her meter readings were correct and that she was being correctly billed.  The letter did not indicate that the January 11, 2013 letter had been sent in error and should be disregarded.</w:t>
      </w:r>
    </w:p>
    <w:p w:rsidR="00A21F99" w:rsidRDefault="00A21F99" w:rsidP="0098528A">
      <w:pPr>
        <w:spacing w:line="360" w:lineRule="auto"/>
        <w:rPr>
          <w:sz w:val="24"/>
          <w:szCs w:val="24"/>
        </w:rPr>
      </w:pPr>
      <w:r w:rsidRPr="0098528A">
        <w:rPr>
          <w:sz w:val="24"/>
          <w:szCs w:val="24"/>
        </w:rPr>
        <w:t>Proper and correct communication between a utility and its customers is, of course, essential to customer service.  It is also true that utilities do from time to time make mistakes.  The Public Utility Code does not require perfect service, i</w:t>
      </w:r>
      <w:r w:rsidR="00B53859">
        <w:rPr>
          <w:sz w:val="24"/>
          <w:szCs w:val="24"/>
        </w:rPr>
        <w:t>t</w:t>
      </w:r>
      <w:r w:rsidRPr="0098528A">
        <w:rPr>
          <w:sz w:val="24"/>
          <w:szCs w:val="24"/>
        </w:rPr>
        <w:t xml:space="preserve"> requires reasonable service.</w:t>
      </w:r>
      <w:r w:rsidRPr="0098528A">
        <w:rPr>
          <w:rStyle w:val="FootnoteReference"/>
          <w:sz w:val="24"/>
          <w:szCs w:val="24"/>
        </w:rPr>
        <w:footnoteReference w:id="11"/>
      </w:r>
      <w:r w:rsidRPr="0098528A">
        <w:rPr>
          <w:sz w:val="24"/>
          <w:szCs w:val="24"/>
        </w:rPr>
        <w:t xml:space="preserve">  In this case, Duquesne Light admittedly made a mistake and promptly attempted to correct it.  However, it failed to inform the Complainant that the January 11, 2013 letter and utility report were in error and should have been disregarded.  It would have been a small matter to have added a sentence in the January 17, 2013 letter to that effect and would have saved the Complainant some confusion about the status of her dispute.</w:t>
      </w:r>
    </w:p>
    <w:p w:rsidR="0098528A" w:rsidRPr="0098528A" w:rsidRDefault="0098528A" w:rsidP="0098528A">
      <w:pPr>
        <w:spacing w:line="360" w:lineRule="auto"/>
        <w:rPr>
          <w:sz w:val="24"/>
          <w:szCs w:val="24"/>
        </w:rPr>
      </w:pPr>
    </w:p>
    <w:p w:rsidR="00A21F99" w:rsidRPr="0098528A" w:rsidRDefault="00A21F99" w:rsidP="0098528A">
      <w:pPr>
        <w:spacing w:line="360" w:lineRule="auto"/>
        <w:ind w:firstLine="1440"/>
        <w:rPr>
          <w:sz w:val="24"/>
          <w:szCs w:val="24"/>
        </w:rPr>
      </w:pPr>
      <w:r w:rsidRPr="0098528A">
        <w:rPr>
          <w:snapToGrid w:val="0"/>
          <w:sz w:val="24"/>
          <w:szCs w:val="24"/>
        </w:rPr>
        <w:t>Section 3301 of the Public Utility Code provides that if any public utility fails to comply with any Commission regulation it shall forfeit and pay to the Commonwealth a sum not exceeding $1,000.00 per day of violation.</w:t>
      </w:r>
      <w:r w:rsidRPr="0098528A">
        <w:rPr>
          <w:rStyle w:val="FootnoteReference"/>
          <w:snapToGrid w:val="0"/>
          <w:sz w:val="24"/>
          <w:szCs w:val="24"/>
        </w:rPr>
        <w:footnoteReference w:id="12"/>
      </w:r>
      <w:r w:rsidRPr="0098528A">
        <w:rPr>
          <w:snapToGrid w:val="0"/>
          <w:sz w:val="24"/>
          <w:szCs w:val="24"/>
        </w:rPr>
        <w:t xml:space="preserve">  To implement this section, the Commission has adopted certain standards that must be applied when imposing a civil penalty for violations of </w:t>
      </w:r>
      <w:r w:rsidRPr="0098528A">
        <w:rPr>
          <w:snapToGrid w:val="0"/>
          <w:sz w:val="24"/>
          <w:szCs w:val="24"/>
        </w:rPr>
        <w:lastRenderedPageBreak/>
        <w:t>Commission directives and regulations.</w:t>
      </w:r>
      <w:r w:rsidRPr="0098528A">
        <w:rPr>
          <w:rStyle w:val="FootnoteReference"/>
          <w:snapToGrid w:val="0"/>
          <w:sz w:val="24"/>
          <w:szCs w:val="24"/>
        </w:rPr>
        <w:footnoteReference w:id="13"/>
      </w:r>
      <w:r w:rsidRPr="0098528A">
        <w:rPr>
          <w:snapToGrid w:val="0"/>
          <w:sz w:val="24"/>
          <w:szCs w:val="24"/>
        </w:rPr>
        <w:t xml:space="preserve">  </w:t>
      </w:r>
      <w:r w:rsidRPr="0098528A">
        <w:rPr>
          <w:sz w:val="24"/>
          <w:szCs w:val="24"/>
        </w:rPr>
        <w:t>Section 69.1201(a) of the Commission’s regulations states:</w:t>
      </w:r>
    </w:p>
    <w:p w:rsidR="00A21F99" w:rsidRPr="0098528A" w:rsidRDefault="00A21F99" w:rsidP="00A21F99">
      <w:pPr>
        <w:ind w:left="1440" w:right="1440"/>
        <w:rPr>
          <w:sz w:val="24"/>
          <w:szCs w:val="24"/>
        </w:rPr>
      </w:pPr>
    </w:p>
    <w:p w:rsidR="00A21F99" w:rsidRPr="0098528A" w:rsidRDefault="00A21F99" w:rsidP="00A21F99">
      <w:pPr>
        <w:ind w:left="1440" w:right="1440"/>
        <w:rPr>
          <w:sz w:val="24"/>
          <w:szCs w:val="24"/>
        </w:rPr>
      </w:pPr>
      <w:r w:rsidRPr="0098528A">
        <w:rPr>
          <w:sz w:val="24"/>
          <w:szCs w:val="24"/>
        </w:rPr>
        <w:t>The Commission will consider specific factors and standards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sidRPr="0098528A">
        <w:rPr>
          <w:rStyle w:val="FootnoteReference"/>
          <w:sz w:val="24"/>
          <w:szCs w:val="24"/>
        </w:rPr>
        <w:footnoteReference w:id="14"/>
      </w:r>
      <w:r w:rsidRPr="0098528A">
        <w:rPr>
          <w:sz w:val="24"/>
          <w:szCs w:val="24"/>
        </w:rPr>
        <w:t xml:space="preserve">  </w:t>
      </w:r>
    </w:p>
    <w:p w:rsidR="00A21F99" w:rsidRPr="0098528A" w:rsidRDefault="00A21F99" w:rsidP="00A21F99">
      <w:pPr>
        <w:ind w:left="1440" w:right="1440"/>
        <w:rPr>
          <w:sz w:val="24"/>
          <w:szCs w:val="24"/>
        </w:rPr>
      </w:pPr>
    </w:p>
    <w:p w:rsidR="00A21F99" w:rsidRPr="0098528A" w:rsidRDefault="00A21F99" w:rsidP="00802E8F">
      <w:pPr>
        <w:ind w:firstLine="1440"/>
        <w:outlineLvl w:val="0"/>
        <w:rPr>
          <w:sz w:val="24"/>
          <w:szCs w:val="24"/>
        </w:rPr>
      </w:pPr>
      <w:r w:rsidRPr="0098528A">
        <w:rPr>
          <w:sz w:val="24"/>
          <w:szCs w:val="24"/>
        </w:rPr>
        <w:t>These factors and standards to be considered are enumerated in subsection (c):</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(1)</w:t>
      </w:r>
      <w:r w:rsidRPr="0098528A">
        <w:rPr>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(2)</w:t>
      </w:r>
      <w:r w:rsidRPr="0098528A">
        <w:rPr>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(3)</w:t>
      </w:r>
      <w:r w:rsidRPr="0098528A">
        <w:rPr>
          <w:sz w:val="24"/>
          <w:szCs w:val="24"/>
        </w:rPr>
        <w:tab/>
        <w:t>Whether the conduct at issue was deemed intentional or negligent.  This factor may only be considered in evaluating litigated cases.  When conduct has been deemed intentional, the conduct may result in a higher penalty.</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(4)</w:t>
      </w:r>
      <w:r w:rsidRPr="0098528A">
        <w:rPr>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(5)</w:t>
      </w:r>
      <w:r w:rsidRPr="0098528A">
        <w:rPr>
          <w:sz w:val="24"/>
          <w:szCs w:val="24"/>
        </w:rPr>
        <w:tab/>
        <w:t>The number of customers affected and the duration of the violation.</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lastRenderedPageBreak/>
        <w:t>(6)</w:t>
      </w:r>
      <w:r w:rsidRPr="0098528A">
        <w:rPr>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(7)</w:t>
      </w:r>
      <w:r w:rsidRPr="0098528A">
        <w:rPr>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(8)</w:t>
      </w:r>
      <w:r w:rsidRPr="0098528A">
        <w:rPr>
          <w:sz w:val="24"/>
          <w:szCs w:val="24"/>
        </w:rPr>
        <w:tab/>
        <w:t>The amount of the civil penalty or fine necessary to deter future violations.  The size of the utility may be considered to determine an appropriate penalty amount.</w:t>
      </w:r>
    </w:p>
    <w:p w:rsidR="00A21F99" w:rsidRPr="0098528A" w:rsidRDefault="00A21F99" w:rsidP="00A21F99">
      <w:pPr>
        <w:ind w:left="1440" w:right="1440"/>
        <w:rPr>
          <w:sz w:val="24"/>
          <w:szCs w:val="24"/>
        </w:rPr>
      </w:pPr>
    </w:p>
    <w:p w:rsidR="00A21F99" w:rsidRPr="0098528A" w:rsidRDefault="00A21F99" w:rsidP="00A21F99">
      <w:pPr>
        <w:ind w:left="1440" w:right="1440" w:firstLine="720"/>
        <w:rPr>
          <w:sz w:val="24"/>
          <w:szCs w:val="24"/>
        </w:rPr>
      </w:pPr>
      <w:r w:rsidRPr="0098528A">
        <w:rPr>
          <w:sz w:val="24"/>
          <w:szCs w:val="24"/>
        </w:rPr>
        <w:t>(9)</w:t>
      </w:r>
      <w:r w:rsidRPr="0098528A">
        <w:rPr>
          <w:sz w:val="24"/>
          <w:szCs w:val="24"/>
        </w:rPr>
        <w:tab/>
        <w:t>Past Commission decision</w:t>
      </w:r>
      <w:r w:rsidR="00A541B7">
        <w:rPr>
          <w:sz w:val="24"/>
          <w:szCs w:val="24"/>
        </w:rPr>
        <w:t>s</w:t>
      </w:r>
      <w:r w:rsidRPr="0098528A">
        <w:rPr>
          <w:sz w:val="24"/>
          <w:szCs w:val="24"/>
        </w:rPr>
        <w:t xml:space="preserve"> in similar situations.</w:t>
      </w:r>
    </w:p>
    <w:p w:rsidR="00A21F99" w:rsidRPr="0098528A" w:rsidRDefault="00A21F99" w:rsidP="00A21F99">
      <w:pPr>
        <w:ind w:left="1440" w:right="1440"/>
        <w:rPr>
          <w:sz w:val="24"/>
          <w:szCs w:val="24"/>
        </w:rPr>
      </w:pPr>
    </w:p>
    <w:p w:rsidR="00A21F99" w:rsidRDefault="00A21F99" w:rsidP="0098528A">
      <w:pPr>
        <w:ind w:left="720" w:right="1440" w:firstLine="1440"/>
        <w:rPr>
          <w:sz w:val="24"/>
          <w:szCs w:val="24"/>
        </w:rPr>
      </w:pPr>
      <w:r w:rsidRPr="0098528A">
        <w:rPr>
          <w:sz w:val="24"/>
          <w:szCs w:val="24"/>
        </w:rPr>
        <w:t>(10)</w:t>
      </w:r>
      <w:r w:rsidRPr="0098528A">
        <w:rPr>
          <w:sz w:val="24"/>
          <w:szCs w:val="24"/>
        </w:rPr>
        <w:tab/>
        <w:t>Other relevant factors.</w:t>
      </w:r>
      <w:r w:rsidRPr="0098528A">
        <w:rPr>
          <w:rStyle w:val="FootnoteReference"/>
          <w:sz w:val="24"/>
          <w:szCs w:val="24"/>
        </w:rPr>
        <w:footnoteReference w:id="15"/>
      </w:r>
    </w:p>
    <w:p w:rsidR="0098528A" w:rsidRPr="0098528A" w:rsidRDefault="0098528A" w:rsidP="0098528A">
      <w:pPr>
        <w:spacing w:line="360" w:lineRule="auto"/>
        <w:ind w:left="720" w:right="1440"/>
        <w:rPr>
          <w:sz w:val="24"/>
          <w:szCs w:val="24"/>
        </w:rPr>
      </w:pPr>
    </w:p>
    <w:p w:rsidR="00A21F99" w:rsidRDefault="00A21F99" w:rsidP="0098528A">
      <w:pPr>
        <w:spacing w:line="360" w:lineRule="auto"/>
        <w:ind w:firstLine="1440"/>
        <w:rPr>
          <w:sz w:val="24"/>
          <w:szCs w:val="24"/>
        </w:rPr>
      </w:pPr>
      <w:r w:rsidRPr="0098528A">
        <w:rPr>
          <w:sz w:val="24"/>
          <w:szCs w:val="24"/>
        </w:rPr>
        <w:t>The violation of Section 1501 of the Public Utility Code is a relatively minor one</w:t>
      </w:r>
      <w:r w:rsidR="00515E96">
        <w:rPr>
          <w:sz w:val="24"/>
          <w:szCs w:val="24"/>
        </w:rPr>
        <w:t xml:space="preserve"> and only affected one customer</w:t>
      </w:r>
      <w:r w:rsidRPr="0098528A">
        <w:rPr>
          <w:sz w:val="24"/>
          <w:szCs w:val="24"/>
        </w:rPr>
        <w:t>.</w:t>
      </w:r>
      <w:r w:rsidR="00515E96">
        <w:rPr>
          <w:rStyle w:val="FootnoteReference"/>
          <w:sz w:val="24"/>
          <w:szCs w:val="24"/>
        </w:rPr>
        <w:footnoteReference w:id="16"/>
      </w:r>
      <w:r w:rsidRPr="0098528A">
        <w:rPr>
          <w:sz w:val="24"/>
          <w:szCs w:val="24"/>
        </w:rPr>
        <w:t xml:space="preserve">  However, it was also a situation which could easily have been avoided – any time a utility sends out a letter in error, it should correct the problem not just by sending the correct letter, but by notifying the customer that an error was made so that customers can understand and have confidence in the communication from a public utility.</w:t>
      </w:r>
      <w:r w:rsidRPr="0098528A">
        <w:rPr>
          <w:rStyle w:val="FootnoteReference"/>
          <w:sz w:val="24"/>
          <w:szCs w:val="24"/>
        </w:rPr>
        <w:footnoteReference w:id="17"/>
      </w:r>
      <w:r w:rsidRPr="0098528A">
        <w:rPr>
          <w:sz w:val="24"/>
          <w:szCs w:val="24"/>
        </w:rPr>
        <w:t xml:space="preserve">  There is no evidence that Duquesne Light’s conduct was deliberate. </w:t>
      </w:r>
      <w:r w:rsidR="00A511A0">
        <w:rPr>
          <w:sz w:val="24"/>
          <w:szCs w:val="24"/>
        </w:rPr>
        <w:t xml:space="preserve"> </w:t>
      </w:r>
      <w:r w:rsidRPr="0098528A">
        <w:rPr>
          <w:sz w:val="24"/>
          <w:szCs w:val="24"/>
        </w:rPr>
        <w:t>But, although Duquesne Light conceded that it had made a mistake in sending the incorrect letter, there is no recognition that it should have notified the Complainant that the first letter should be disregarded, and therefore no indication that it has modified its internal procedures.</w:t>
      </w:r>
      <w:r w:rsidRPr="0098528A">
        <w:rPr>
          <w:rStyle w:val="FootnoteReference"/>
          <w:sz w:val="24"/>
          <w:szCs w:val="24"/>
        </w:rPr>
        <w:footnoteReference w:id="18"/>
      </w:r>
      <w:r w:rsidRPr="0098528A">
        <w:rPr>
          <w:sz w:val="24"/>
          <w:szCs w:val="24"/>
        </w:rPr>
        <w:t xml:space="preserve">  </w:t>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 xml:space="preserve">There is no indication that a large number of customers have been affected by this particular incident, nor am I aware that Duquesne Light has failed to notify customers of errors on a regular basis or has been cited by the Commission before for this reason. </w:t>
      </w:r>
      <w:r w:rsidR="003341C2">
        <w:rPr>
          <w:sz w:val="24"/>
          <w:szCs w:val="24"/>
        </w:rPr>
        <w:t xml:space="preserve"> </w:t>
      </w:r>
      <w:r w:rsidRPr="0098528A">
        <w:rPr>
          <w:sz w:val="24"/>
          <w:szCs w:val="24"/>
        </w:rPr>
        <w:t xml:space="preserve">I am not aware of </w:t>
      </w:r>
      <w:r w:rsidRPr="0098528A">
        <w:rPr>
          <w:sz w:val="24"/>
          <w:szCs w:val="24"/>
        </w:rPr>
        <w:lastRenderedPageBreak/>
        <w:t>any Commission investigation related to these issues.</w:t>
      </w:r>
      <w:r w:rsidR="003341C2">
        <w:rPr>
          <w:sz w:val="24"/>
          <w:szCs w:val="24"/>
        </w:rPr>
        <w:t xml:space="preserve"> </w:t>
      </w:r>
      <w:r w:rsidRPr="0098528A">
        <w:rPr>
          <w:sz w:val="24"/>
          <w:szCs w:val="24"/>
        </w:rPr>
        <w:t xml:space="preserve"> These factors are not considerations in the assessment of this civil penalty.</w:t>
      </w:r>
      <w:r w:rsidRPr="0098528A">
        <w:rPr>
          <w:rStyle w:val="FootnoteReference"/>
          <w:sz w:val="24"/>
          <w:szCs w:val="24"/>
        </w:rPr>
        <w:footnoteReference w:id="19"/>
      </w:r>
    </w:p>
    <w:p w:rsidR="0098528A" w:rsidRPr="0098528A" w:rsidRDefault="0098528A" w:rsidP="0098528A">
      <w:pPr>
        <w:spacing w:line="360" w:lineRule="auto"/>
        <w:rPr>
          <w:sz w:val="24"/>
          <w:szCs w:val="24"/>
        </w:rPr>
      </w:pPr>
    </w:p>
    <w:p w:rsidR="00A21F99" w:rsidRPr="0098528A" w:rsidRDefault="00A21F99" w:rsidP="0098528A">
      <w:pPr>
        <w:spacing w:line="360" w:lineRule="auto"/>
        <w:ind w:firstLine="1440"/>
        <w:rPr>
          <w:sz w:val="24"/>
          <w:szCs w:val="24"/>
        </w:rPr>
      </w:pPr>
      <w:r w:rsidRPr="0098528A">
        <w:rPr>
          <w:sz w:val="24"/>
          <w:szCs w:val="24"/>
        </w:rPr>
        <w:t>This violation of Section 1501 is a minor violation and only a small penalty is necessary to deter future violations.</w:t>
      </w:r>
      <w:r w:rsidRPr="0098528A">
        <w:rPr>
          <w:rStyle w:val="FootnoteReference"/>
          <w:sz w:val="24"/>
          <w:szCs w:val="24"/>
        </w:rPr>
        <w:footnoteReference w:id="20"/>
      </w:r>
      <w:r w:rsidRPr="0098528A">
        <w:rPr>
          <w:sz w:val="24"/>
          <w:szCs w:val="24"/>
        </w:rPr>
        <w:t xml:space="preserve">  </w:t>
      </w:r>
      <w:r w:rsidR="00515E96">
        <w:rPr>
          <w:sz w:val="24"/>
          <w:szCs w:val="24"/>
        </w:rPr>
        <w:t>There are no other relevant factors to consider.</w:t>
      </w:r>
      <w:r w:rsidR="00515E96">
        <w:rPr>
          <w:rStyle w:val="FootnoteReference"/>
          <w:sz w:val="24"/>
          <w:szCs w:val="24"/>
        </w:rPr>
        <w:footnoteReference w:id="21"/>
      </w:r>
      <w:r w:rsidR="00A10B41">
        <w:rPr>
          <w:sz w:val="24"/>
          <w:szCs w:val="24"/>
        </w:rPr>
        <w:t xml:space="preserve">  </w:t>
      </w:r>
      <w:r w:rsidRPr="0098528A">
        <w:rPr>
          <w:sz w:val="24"/>
          <w:szCs w:val="24"/>
        </w:rPr>
        <w:t>Therefore, a civil penalty in the amount of $50 is appropriate.</w:t>
      </w:r>
    </w:p>
    <w:p w:rsidR="0098528A" w:rsidRDefault="0098528A" w:rsidP="0098528A">
      <w:pPr>
        <w:spacing w:line="360" w:lineRule="auto"/>
        <w:rPr>
          <w:sz w:val="24"/>
          <w:szCs w:val="24"/>
        </w:rPr>
      </w:pPr>
    </w:p>
    <w:p w:rsidR="00A21F99" w:rsidRPr="0098528A" w:rsidRDefault="00A21F99" w:rsidP="0098528A">
      <w:pPr>
        <w:spacing w:line="360" w:lineRule="auto"/>
        <w:ind w:firstLine="1440"/>
        <w:rPr>
          <w:sz w:val="24"/>
          <w:szCs w:val="24"/>
        </w:rPr>
      </w:pPr>
      <w:r w:rsidRPr="0098528A">
        <w:rPr>
          <w:sz w:val="24"/>
          <w:szCs w:val="24"/>
        </w:rPr>
        <w:t>To conclude, the complaint is sustained in part as it relates to the incorrect utility report sent to the Complainant in respo</w:t>
      </w:r>
      <w:r w:rsidR="00F97276">
        <w:rPr>
          <w:sz w:val="24"/>
          <w:szCs w:val="24"/>
        </w:rPr>
        <w:t xml:space="preserve">nse to her high bill dispute.  </w:t>
      </w:r>
      <w:r w:rsidRPr="0098528A">
        <w:rPr>
          <w:sz w:val="24"/>
          <w:szCs w:val="24"/>
        </w:rPr>
        <w:t xml:space="preserve">It is dismissed in all other respects.  It is clear that the Complainant’s meter was recording her consumption properly and that she had the potential to use the electricity that was recorded. </w:t>
      </w:r>
    </w:p>
    <w:p w:rsidR="0098528A" w:rsidRDefault="0098528A" w:rsidP="0098528A">
      <w:pPr>
        <w:spacing w:line="360" w:lineRule="auto"/>
        <w:jc w:val="center"/>
        <w:rPr>
          <w:sz w:val="24"/>
          <w:szCs w:val="24"/>
          <w:u w:val="single"/>
        </w:rPr>
      </w:pPr>
    </w:p>
    <w:p w:rsidR="00A21F99" w:rsidRDefault="00A21F99" w:rsidP="0098528A">
      <w:pPr>
        <w:spacing w:line="360" w:lineRule="auto"/>
        <w:jc w:val="center"/>
        <w:rPr>
          <w:sz w:val="24"/>
          <w:szCs w:val="24"/>
          <w:u w:val="single"/>
        </w:rPr>
      </w:pPr>
      <w:r w:rsidRPr="0098528A">
        <w:rPr>
          <w:sz w:val="24"/>
          <w:szCs w:val="24"/>
          <w:u w:val="single"/>
        </w:rPr>
        <w:t>CONCLUSIONS OF LAW</w:t>
      </w:r>
    </w:p>
    <w:p w:rsidR="0098528A" w:rsidRPr="0098528A" w:rsidRDefault="0098528A" w:rsidP="0098528A">
      <w:pPr>
        <w:spacing w:line="360" w:lineRule="auto"/>
        <w:jc w:val="center"/>
        <w:rPr>
          <w:sz w:val="24"/>
          <w:szCs w:val="24"/>
          <w:u w:val="single"/>
        </w:rPr>
      </w:pPr>
    </w:p>
    <w:p w:rsidR="00A21F99" w:rsidRPr="0098528A" w:rsidRDefault="00A21F99" w:rsidP="0098528A">
      <w:pPr>
        <w:spacing w:line="360" w:lineRule="auto"/>
        <w:ind w:firstLine="1440"/>
        <w:rPr>
          <w:sz w:val="24"/>
          <w:szCs w:val="24"/>
        </w:rPr>
      </w:pPr>
      <w:r w:rsidRPr="0098528A">
        <w:rPr>
          <w:sz w:val="24"/>
          <w:szCs w:val="24"/>
        </w:rPr>
        <w:t>1.</w:t>
      </w:r>
      <w:r w:rsidRPr="0098528A">
        <w:rPr>
          <w:sz w:val="24"/>
          <w:szCs w:val="24"/>
        </w:rPr>
        <w:tab/>
        <w:t>The Commission has jurisdiction over the parties and subject</w:t>
      </w:r>
      <w:r w:rsidR="00F97276">
        <w:rPr>
          <w:sz w:val="24"/>
          <w:szCs w:val="24"/>
        </w:rPr>
        <w:t xml:space="preserve"> </w:t>
      </w:r>
      <w:r w:rsidRPr="0098528A">
        <w:rPr>
          <w:sz w:val="24"/>
          <w:szCs w:val="24"/>
        </w:rPr>
        <w:t>matter of this dispute.</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2.</w:t>
      </w:r>
      <w:r w:rsidRPr="0098528A">
        <w:rPr>
          <w:sz w:val="24"/>
          <w:szCs w:val="24"/>
        </w:rPr>
        <w:tab/>
        <w:t>The Complainant bears the burden of proof.</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3.</w:t>
      </w:r>
      <w:r w:rsidRPr="0098528A">
        <w:rPr>
          <w:sz w:val="24"/>
          <w:szCs w:val="24"/>
        </w:rPr>
        <w:tab/>
        <w:t xml:space="preserve">The Complainant failed to sustain her burden of proving that Duquesne Light </w:t>
      </w:r>
      <w:r w:rsidR="00515E96">
        <w:rPr>
          <w:sz w:val="24"/>
          <w:szCs w:val="24"/>
        </w:rPr>
        <w:t>incorrectly recorded c</w:t>
      </w:r>
      <w:r w:rsidRPr="0098528A">
        <w:rPr>
          <w:sz w:val="24"/>
          <w:szCs w:val="24"/>
        </w:rPr>
        <w:t>onsumption at the Service Address.</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4.</w:t>
      </w:r>
      <w:r w:rsidRPr="0098528A">
        <w:rPr>
          <w:sz w:val="24"/>
          <w:szCs w:val="24"/>
        </w:rPr>
        <w:tab/>
        <w:t xml:space="preserve">The Complainant sustained her burden of proving that Duquesne Light </w:t>
      </w:r>
      <w:r w:rsidR="00515E96">
        <w:rPr>
          <w:sz w:val="24"/>
          <w:szCs w:val="24"/>
        </w:rPr>
        <w:t>did not</w:t>
      </w:r>
      <w:r w:rsidRPr="0098528A">
        <w:rPr>
          <w:sz w:val="24"/>
          <w:szCs w:val="24"/>
        </w:rPr>
        <w:t xml:space="preserve"> render reasonable service by failing to notify her that the letter </w:t>
      </w:r>
      <w:r w:rsidR="00F97276">
        <w:rPr>
          <w:sz w:val="24"/>
          <w:szCs w:val="24"/>
        </w:rPr>
        <w:t xml:space="preserve">dated </w:t>
      </w:r>
      <w:r w:rsidRPr="0098528A">
        <w:rPr>
          <w:sz w:val="24"/>
          <w:szCs w:val="24"/>
        </w:rPr>
        <w:t>January 11, 2013 had been sent to her in error.</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lastRenderedPageBreak/>
        <w:t>5.</w:t>
      </w:r>
      <w:r w:rsidRPr="0098528A">
        <w:rPr>
          <w:sz w:val="24"/>
          <w:szCs w:val="24"/>
        </w:rPr>
        <w:tab/>
        <w:t>It is appropriate to assess a civil penalty for failing to render reasonable customer service.</w:t>
      </w:r>
    </w:p>
    <w:p w:rsidR="0098528A" w:rsidRDefault="0098528A" w:rsidP="0098528A">
      <w:pPr>
        <w:spacing w:line="360" w:lineRule="auto"/>
        <w:jc w:val="center"/>
        <w:rPr>
          <w:sz w:val="24"/>
          <w:szCs w:val="24"/>
          <w:u w:val="single"/>
        </w:rPr>
      </w:pPr>
    </w:p>
    <w:p w:rsidR="00A21F99" w:rsidRPr="0098528A" w:rsidRDefault="00A21F99" w:rsidP="0098528A">
      <w:pPr>
        <w:spacing w:line="360" w:lineRule="auto"/>
        <w:jc w:val="center"/>
        <w:rPr>
          <w:sz w:val="24"/>
          <w:szCs w:val="24"/>
          <w:u w:val="single"/>
        </w:rPr>
      </w:pPr>
      <w:r w:rsidRPr="0098528A">
        <w:rPr>
          <w:sz w:val="24"/>
          <w:szCs w:val="24"/>
          <w:u w:val="single"/>
        </w:rPr>
        <w:t>ORDER</w:t>
      </w:r>
    </w:p>
    <w:p w:rsidR="0098528A" w:rsidRDefault="0098528A" w:rsidP="0098528A">
      <w:pPr>
        <w:spacing w:line="360" w:lineRule="auto"/>
        <w:ind w:firstLine="1440"/>
        <w:rPr>
          <w:sz w:val="24"/>
          <w:szCs w:val="24"/>
        </w:rPr>
      </w:pPr>
    </w:p>
    <w:p w:rsid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THEREFORE,</w:t>
      </w:r>
    </w:p>
    <w:p w:rsidR="0098528A" w:rsidRPr="0098528A" w:rsidRDefault="0098528A" w:rsidP="0098528A">
      <w:pPr>
        <w:spacing w:line="360" w:lineRule="auto"/>
        <w:ind w:firstLine="1440"/>
        <w:rPr>
          <w:sz w:val="24"/>
          <w:szCs w:val="24"/>
        </w:rPr>
      </w:pPr>
    </w:p>
    <w:p w:rsidR="00A21F99" w:rsidRDefault="00A21F99" w:rsidP="0098528A">
      <w:pPr>
        <w:spacing w:line="360" w:lineRule="auto"/>
        <w:ind w:firstLine="1440"/>
        <w:rPr>
          <w:sz w:val="24"/>
          <w:szCs w:val="24"/>
        </w:rPr>
      </w:pPr>
      <w:r w:rsidRPr="0098528A">
        <w:rPr>
          <w:sz w:val="24"/>
          <w:szCs w:val="24"/>
        </w:rPr>
        <w:t>IT IS ORDERED:</w:t>
      </w:r>
    </w:p>
    <w:p w:rsidR="0098528A" w:rsidRP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1.</w:t>
      </w:r>
      <w:r w:rsidRPr="0098528A">
        <w:rPr>
          <w:sz w:val="24"/>
          <w:szCs w:val="24"/>
        </w:rPr>
        <w:tab/>
        <w:t xml:space="preserve">That the complaint of Flora Mosaka-Wright at PUC Docket No. F-2013-2371635 is sustained as to her claim that Duquesne Light </w:t>
      </w:r>
      <w:r w:rsidR="00515E96">
        <w:rPr>
          <w:sz w:val="24"/>
          <w:szCs w:val="24"/>
        </w:rPr>
        <w:t>did not</w:t>
      </w:r>
      <w:r w:rsidRPr="0098528A">
        <w:rPr>
          <w:sz w:val="24"/>
          <w:szCs w:val="24"/>
        </w:rPr>
        <w:t xml:space="preserve"> render reasonable customer service by failing to notify her that </w:t>
      </w:r>
      <w:r w:rsidR="005E07F3">
        <w:rPr>
          <w:sz w:val="24"/>
          <w:szCs w:val="24"/>
        </w:rPr>
        <w:t xml:space="preserve">the </w:t>
      </w:r>
      <w:r w:rsidRPr="0098528A">
        <w:rPr>
          <w:sz w:val="24"/>
          <w:szCs w:val="24"/>
        </w:rPr>
        <w:t>January 11, 2013 letter and utility report were in error.</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2.</w:t>
      </w:r>
      <w:r w:rsidRPr="0098528A">
        <w:rPr>
          <w:sz w:val="24"/>
          <w:szCs w:val="24"/>
        </w:rPr>
        <w:tab/>
        <w:t>That the complaint of Flora Mosaka-Wright at PUC Docket No. F-2013-2371635, is dismissed in all other respects.</w:t>
      </w:r>
    </w:p>
    <w:p w:rsidR="0098528A" w:rsidRDefault="0098528A" w:rsidP="0098528A">
      <w:pPr>
        <w:spacing w:line="360" w:lineRule="auto"/>
        <w:ind w:firstLine="1440"/>
        <w:rPr>
          <w:sz w:val="24"/>
          <w:szCs w:val="24"/>
        </w:rPr>
      </w:pPr>
    </w:p>
    <w:p w:rsidR="00A21F99" w:rsidRPr="0098528A" w:rsidRDefault="00A21F99" w:rsidP="0098528A">
      <w:pPr>
        <w:spacing w:line="360" w:lineRule="auto"/>
        <w:ind w:firstLine="1440"/>
        <w:rPr>
          <w:sz w:val="24"/>
          <w:szCs w:val="24"/>
        </w:rPr>
      </w:pPr>
      <w:r w:rsidRPr="0098528A">
        <w:rPr>
          <w:sz w:val="24"/>
          <w:szCs w:val="24"/>
        </w:rPr>
        <w:t>3.</w:t>
      </w:r>
      <w:r w:rsidRPr="0098528A">
        <w:rPr>
          <w:sz w:val="24"/>
          <w:szCs w:val="24"/>
        </w:rPr>
        <w:tab/>
        <w:t xml:space="preserve">That Duquesne Light Company shall pay a </w:t>
      </w:r>
      <w:r w:rsidR="00515E96">
        <w:rPr>
          <w:sz w:val="24"/>
          <w:szCs w:val="24"/>
        </w:rPr>
        <w:t xml:space="preserve">total of </w:t>
      </w:r>
      <w:r w:rsidRPr="0098528A">
        <w:rPr>
          <w:sz w:val="24"/>
          <w:szCs w:val="24"/>
        </w:rPr>
        <w:t xml:space="preserve">$50 by </w:t>
      </w:r>
      <w:r w:rsidR="00515E96">
        <w:rPr>
          <w:sz w:val="24"/>
          <w:szCs w:val="24"/>
        </w:rPr>
        <w:t xml:space="preserve">sending a </w:t>
      </w:r>
      <w:r w:rsidRPr="0098528A">
        <w:rPr>
          <w:sz w:val="24"/>
          <w:szCs w:val="24"/>
        </w:rPr>
        <w:t>certified check or money order</w:t>
      </w:r>
      <w:r w:rsidR="00A10B41">
        <w:rPr>
          <w:sz w:val="24"/>
          <w:szCs w:val="24"/>
        </w:rPr>
        <w:t xml:space="preserve"> payable to the Commonwealth of Pennsylvania</w:t>
      </w:r>
      <w:r w:rsidRPr="0098528A">
        <w:rPr>
          <w:sz w:val="24"/>
          <w:szCs w:val="24"/>
        </w:rPr>
        <w:t>, within t</w:t>
      </w:r>
      <w:r w:rsidR="00515E96">
        <w:rPr>
          <w:sz w:val="24"/>
          <w:szCs w:val="24"/>
        </w:rPr>
        <w:t>hir</w:t>
      </w:r>
      <w:r w:rsidRPr="0098528A">
        <w:rPr>
          <w:sz w:val="24"/>
          <w:szCs w:val="24"/>
        </w:rPr>
        <w:t>ty (</w:t>
      </w:r>
      <w:r w:rsidR="00515E96">
        <w:rPr>
          <w:sz w:val="24"/>
          <w:szCs w:val="24"/>
        </w:rPr>
        <w:t>3</w:t>
      </w:r>
      <w:r w:rsidRPr="0098528A">
        <w:rPr>
          <w:sz w:val="24"/>
          <w:szCs w:val="24"/>
        </w:rPr>
        <w:t xml:space="preserve">0) days </w:t>
      </w:r>
      <w:r w:rsidR="00515E96">
        <w:rPr>
          <w:sz w:val="24"/>
          <w:szCs w:val="24"/>
        </w:rPr>
        <w:t>from entry of the Final C</w:t>
      </w:r>
      <w:r w:rsidRPr="0098528A">
        <w:rPr>
          <w:sz w:val="24"/>
          <w:szCs w:val="24"/>
        </w:rPr>
        <w:t xml:space="preserve">ommission Order </w:t>
      </w:r>
      <w:r w:rsidR="00D0286E">
        <w:rPr>
          <w:sz w:val="24"/>
          <w:szCs w:val="24"/>
        </w:rPr>
        <w:t>to</w:t>
      </w:r>
      <w:r w:rsidRPr="0098528A">
        <w:rPr>
          <w:sz w:val="24"/>
          <w:szCs w:val="24"/>
        </w:rPr>
        <w:t>:</w:t>
      </w:r>
    </w:p>
    <w:p w:rsidR="00D0286E" w:rsidRDefault="00D0286E" w:rsidP="00A21F99">
      <w:pPr>
        <w:ind w:left="2160" w:firstLine="720"/>
        <w:rPr>
          <w:sz w:val="24"/>
          <w:szCs w:val="24"/>
        </w:rPr>
      </w:pPr>
    </w:p>
    <w:p w:rsidR="00515E96" w:rsidRDefault="00515E96" w:rsidP="00A21F99">
      <w:pPr>
        <w:ind w:left="2160" w:firstLine="720"/>
        <w:rPr>
          <w:sz w:val="24"/>
          <w:szCs w:val="24"/>
        </w:rPr>
      </w:pPr>
      <w:r>
        <w:rPr>
          <w:sz w:val="24"/>
          <w:szCs w:val="24"/>
        </w:rPr>
        <w:t>Secretary</w:t>
      </w:r>
    </w:p>
    <w:p w:rsidR="00A21F99" w:rsidRPr="0098528A" w:rsidRDefault="00A21F99" w:rsidP="00A21F99">
      <w:pPr>
        <w:ind w:left="2160" w:firstLine="720"/>
        <w:rPr>
          <w:sz w:val="24"/>
          <w:szCs w:val="24"/>
        </w:rPr>
      </w:pPr>
      <w:r w:rsidRPr="0098528A">
        <w:rPr>
          <w:sz w:val="24"/>
          <w:szCs w:val="24"/>
        </w:rPr>
        <w:t>Pennsylvania Public Utility Commission</w:t>
      </w:r>
    </w:p>
    <w:p w:rsidR="00A21F99" w:rsidRPr="0098528A" w:rsidRDefault="00A21F99" w:rsidP="00A21F99">
      <w:pPr>
        <w:ind w:left="2160" w:firstLine="720"/>
        <w:rPr>
          <w:sz w:val="24"/>
          <w:szCs w:val="24"/>
        </w:rPr>
      </w:pPr>
      <w:r w:rsidRPr="0098528A">
        <w:rPr>
          <w:sz w:val="24"/>
          <w:szCs w:val="24"/>
        </w:rPr>
        <w:t>P.O. Box 3265</w:t>
      </w:r>
    </w:p>
    <w:p w:rsidR="00A21F99" w:rsidRPr="0098528A" w:rsidRDefault="00A21F99" w:rsidP="00A21F99">
      <w:pPr>
        <w:ind w:left="2160" w:firstLine="720"/>
        <w:rPr>
          <w:sz w:val="24"/>
          <w:szCs w:val="24"/>
        </w:rPr>
      </w:pPr>
      <w:r w:rsidRPr="0098528A">
        <w:rPr>
          <w:sz w:val="24"/>
          <w:szCs w:val="24"/>
        </w:rPr>
        <w:t>Harrisburg, PA  17105-3265</w:t>
      </w:r>
    </w:p>
    <w:p w:rsidR="00A21F99" w:rsidRPr="0098528A" w:rsidRDefault="00A21F99" w:rsidP="00A21F99">
      <w:pPr>
        <w:rPr>
          <w:sz w:val="24"/>
          <w:szCs w:val="24"/>
        </w:rPr>
      </w:pPr>
    </w:p>
    <w:p w:rsidR="0098528A" w:rsidRDefault="0098528A" w:rsidP="00A21F99">
      <w:pPr>
        <w:rPr>
          <w:sz w:val="24"/>
          <w:szCs w:val="24"/>
        </w:rPr>
      </w:pPr>
    </w:p>
    <w:p w:rsidR="00A21F99" w:rsidRPr="0098528A" w:rsidRDefault="00A21F99" w:rsidP="0098528A">
      <w:pPr>
        <w:spacing w:line="360" w:lineRule="auto"/>
        <w:ind w:firstLine="1440"/>
        <w:rPr>
          <w:sz w:val="24"/>
          <w:szCs w:val="24"/>
        </w:rPr>
      </w:pPr>
      <w:r w:rsidRPr="0098528A">
        <w:rPr>
          <w:sz w:val="24"/>
          <w:szCs w:val="24"/>
        </w:rPr>
        <w:t>4.</w:t>
      </w:r>
      <w:r w:rsidRPr="0098528A">
        <w:rPr>
          <w:sz w:val="24"/>
          <w:szCs w:val="24"/>
        </w:rPr>
        <w:tab/>
        <w:t>That Duquesne Light Company shall cease and desist from further violations of the Public Utility Commission’s regulations.</w:t>
      </w:r>
    </w:p>
    <w:p w:rsidR="0098528A" w:rsidRDefault="0098528A" w:rsidP="0098528A">
      <w:pPr>
        <w:spacing w:line="360" w:lineRule="auto"/>
        <w:ind w:firstLine="1440"/>
        <w:rPr>
          <w:sz w:val="24"/>
          <w:szCs w:val="24"/>
        </w:rPr>
      </w:pPr>
    </w:p>
    <w:p w:rsidR="00D0286E" w:rsidRDefault="00D0286E">
      <w:pPr>
        <w:rPr>
          <w:sz w:val="24"/>
          <w:szCs w:val="24"/>
        </w:rPr>
      </w:pPr>
      <w:r>
        <w:rPr>
          <w:sz w:val="24"/>
          <w:szCs w:val="24"/>
        </w:rPr>
        <w:br w:type="page"/>
      </w:r>
    </w:p>
    <w:p w:rsidR="00A21F99" w:rsidRPr="0098528A" w:rsidRDefault="00A21F99" w:rsidP="0098528A">
      <w:pPr>
        <w:spacing w:line="360" w:lineRule="auto"/>
        <w:ind w:firstLine="1440"/>
        <w:rPr>
          <w:sz w:val="24"/>
          <w:szCs w:val="24"/>
        </w:rPr>
      </w:pPr>
      <w:bookmarkStart w:id="0" w:name="_GoBack"/>
      <w:bookmarkEnd w:id="0"/>
      <w:r w:rsidRPr="0098528A">
        <w:rPr>
          <w:sz w:val="24"/>
          <w:szCs w:val="24"/>
        </w:rPr>
        <w:lastRenderedPageBreak/>
        <w:t>5.</w:t>
      </w:r>
      <w:r w:rsidRPr="0098528A">
        <w:rPr>
          <w:sz w:val="24"/>
          <w:szCs w:val="24"/>
        </w:rPr>
        <w:tab/>
        <w:t>That upon receipt of the civil penalty the docket shall be marked closed.</w:t>
      </w:r>
    </w:p>
    <w:p w:rsidR="00A21F99" w:rsidRDefault="00A21F99" w:rsidP="0098528A">
      <w:pPr>
        <w:spacing w:line="360" w:lineRule="auto"/>
        <w:ind w:firstLine="1440"/>
      </w:pPr>
    </w:p>
    <w:p w:rsidR="008B3BC0" w:rsidRPr="008B3BC0" w:rsidRDefault="008B3BC0" w:rsidP="008B3BC0">
      <w:pPr>
        <w:rPr>
          <w:sz w:val="24"/>
          <w:szCs w:val="24"/>
        </w:rPr>
      </w:pPr>
    </w:p>
    <w:p w:rsidR="008B3BC0" w:rsidRPr="008B3BC0" w:rsidRDefault="008B3BC0" w:rsidP="008B3BC0">
      <w:pPr>
        <w:tabs>
          <w:tab w:val="left" w:pos="0"/>
        </w:tabs>
        <w:jc w:val="both"/>
        <w:rPr>
          <w:sz w:val="24"/>
          <w:szCs w:val="24"/>
        </w:rPr>
      </w:pPr>
    </w:p>
    <w:p w:rsidR="008B3BC0" w:rsidRDefault="008B3BC0" w:rsidP="008B3BC0">
      <w:pPr>
        <w:tabs>
          <w:tab w:val="left" w:pos="0"/>
        </w:tabs>
        <w:jc w:val="both"/>
        <w:rPr>
          <w:sz w:val="24"/>
          <w:szCs w:val="24"/>
        </w:rPr>
      </w:pPr>
    </w:p>
    <w:p w:rsidR="008B3BC0" w:rsidRPr="008B3BC0" w:rsidRDefault="008B3BC0" w:rsidP="008B3BC0">
      <w:pPr>
        <w:tabs>
          <w:tab w:val="left" w:pos="0"/>
        </w:tabs>
        <w:jc w:val="both"/>
        <w:rPr>
          <w:sz w:val="24"/>
          <w:szCs w:val="24"/>
          <w:u w:val="single"/>
        </w:rPr>
      </w:pPr>
      <w:r w:rsidRPr="008B3BC0">
        <w:rPr>
          <w:sz w:val="24"/>
          <w:szCs w:val="24"/>
        </w:rPr>
        <w:t xml:space="preserve">Date:  </w:t>
      </w:r>
      <w:r w:rsidR="0098528A">
        <w:rPr>
          <w:sz w:val="24"/>
          <w:szCs w:val="24"/>
          <w:u w:val="single"/>
        </w:rPr>
        <w:t>February 2</w:t>
      </w:r>
      <w:r w:rsidR="00A541B7">
        <w:rPr>
          <w:sz w:val="24"/>
          <w:szCs w:val="24"/>
          <w:u w:val="single"/>
        </w:rPr>
        <w:t>1</w:t>
      </w:r>
      <w:r w:rsidRPr="008B3BC0">
        <w:rPr>
          <w:sz w:val="24"/>
          <w:szCs w:val="24"/>
          <w:u w:val="single"/>
        </w:rPr>
        <w:t>, 2014</w:t>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u w:val="single"/>
        </w:rPr>
        <w:tab/>
      </w:r>
      <w:r w:rsidRPr="008B3BC0">
        <w:rPr>
          <w:sz w:val="24"/>
          <w:szCs w:val="24"/>
          <w:u w:val="single"/>
        </w:rPr>
        <w:tab/>
        <w:t>/s/</w:t>
      </w:r>
      <w:r w:rsidRPr="008B3BC0">
        <w:rPr>
          <w:sz w:val="24"/>
          <w:szCs w:val="24"/>
          <w:u w:val="single"/>
        </w:rPr>
        <w:tab/>
      </w:r>
      <w:r w:rsidRPr="008B3BC0">
        <w:rPr>
          <w:sz w:val="24"/>
          <w:szCs w:val="24"/>
          <w:u w:val="single"/>
        </w:rPr>
        <w:tab/>
      </w:r>
      <w:r w:rsidRPr="008B3BC0">
        <w:rPr>
          <w:sz w:val="24"/>
          <w:szCs w:val="24"/>
          <w:u w:val="single"/>
        </w:rPr>
        <w:tab/>
      </w:r>
    </w:p>
    <w:p w:rsidR="008B3BC0" w:rsidRPr="008B3BC0" w:rsidRDefault="008B3BC0" w:rsidP="008B3BC0">
      <w:pPr>
        <w:tabs>
          <w:tab w:val="left" w:pos="0"/>
        </w:tabs>
        <w:jc w:val="both"/>
        <w:rPr>
          <w:sz w:val="24"/>
          <w:szCs w:val="24"/>
        </w:rPr>
      </w:pP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t>Mary D. Long</w:t>
      </w:r>
    </w:p>
    <w:p w:rsidR="003E24DA" w:rsidRPr="008B3BC0" w:rsidRDefault="008B3BC0" w:rsidP="0098528A">
      <w:pPr>
        <w:tabs>
          <w:tab w:val="left" w:pos="0"/>
        </w:tabs>
        <w:jc w:val="both"/>
        <w:rPr>
          <w:sz w:val="24"/>
          <w:szCs w:val="24"/>
        </w:rPr>
      </w:pP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r>
      <w:r w:rsidRPr="008B3BC0">
        <w:rPr>
          <w:sz w:val="24"/>
          <w:szCs w:val="24"/>
        </w:rPr>
        <w:tab/>
        <w:t>Administrative Law Judge</w:t>
      </w:r>
    </w:p>
    <w:p w:rsidR="008B3BC0" w:rsidRPr="008B3BC0" w:rsidRDefault="008B3BC0">
      <w:pPr>
        <w:rPr>
          <w:sz w:val="24"/>
          <w:szCs w:val="24"/>
        </w:rPr>
      </w:pPr>
    </w:p>
    <w:sectPr w:rsidR="008B3BC0" w:rsidRPr="008B3BC0"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FD" w:rsidRDefault="009562FD">
      <w:r>
        <w:separator/>
      </w:r>
    </w:p>
  </w:endnote>
  <w:endnote w:type="continuationSeparator" w:id="0">
    <w:p w:rsidR="009562FD" w:rsidRDefault="0095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D0286E">
          <w:rPr>
            <w:noProof/>
          </w:rPr>
          <w:t>13</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FD" w:rsidRDefault="009562FD">
      <w:r>
        <w:separator/>
      </w:r>
    </w:p>
  </w:footnote>
  <w:footnote w:type="continuationSeparator" w:id="0">
    <w:p w:rsidR="009562FD" w:rsidRDefault="009562FD">
      <w:r>
        <w:continuationSeparator/>
      </w:r>
    </w:p>
  </w:footnote>
  <w:footnote w:id="1">
    <w:p w:rsidR="00A21F99" w:rsidRDefault="00A21F99" w:rsidP="00A21F99">
      <w:pPr>
        <w:pStyle w:val="FootnoteText"/>
      </w:pPr>
      <w:r>
        <w:rPr>
          <w:rStyle w:val="FootnoteReference"/>
        </w:rPr>
        <w:footnoteRef/>
      </w:r>
      <w:r>
        <w:t xml:space="preserve"> </w:t>
      </w:r>
      <w:r>
        <w:tab/>
        <w:t>66 Pa</w:t>
      </w:r>
      <w:r w:rsidR="002013C2">
        <w:t>.</w:t>
      </w:r>
      <w:r>
        <w:t>C.S. § 332(a).</w:t>
      </w:r>
    </w:p>
    <w:p w:rsidR="00A21F99" w:rsidRDefault="00A21F99" w:rsidP="00A21F99">
      <w:pPr>
        <w:pStyle w:val="FootnoteText"/>
      </w:pPr>
    </w:p>
  </w:footnote>
  <w:footnote w:id="2">
    <w:p w:rsidR="00A21F99" w:rsidRDefault="00A21F99" w:rsidP="00A21F99">
      <w:pPr>
        <w:pStyle w:val="FootnoteText"/>
      </w:pPr>
      <w:r>
        <w:rPr>
          <w:rStyle w:val="FootnoteReference"/>
        </w:rPr>
        <w:footnoteRef/>
      </w:r>
      <w:r>
        <w:t xml:space="preserve"> </w:t>
      </w:r>
      <w:r>
        <w:tab/>
      </w:r>
      <w:r>
        <w:rPr>
          <w:i/>
        </w:rPr>
        <w:t>Se-Ling Hosiery, Inc. v. Margulies</w:t>
      </w:r>
      <w:r>
        <w:t xml:space="preserve">, 70 A.2d 854 (Pa. 1950); </w:t>
      </w:r>
      <w:r>
        <w:rPr>
          <w:i/>
        </w:rPr>
        <w:t>Feinstein v. Philadelphia Suburban Water Company</w:t>
      </w:r>
      <w:r>
        <w:t>, 50 Pa. PUC 300 (1976).</w:t>
      </w:r>
    </w:p>
  </w:footnote>
  <w:footnote w:id="3">
    <w:p w:rsidR="00A21F99" w:rsidRDefault="00A21F99" w:rsidP="00A21F99">
      <w:pPr>
        <w:pStyle w:val="FootnoteText"/>
      </w:pPr>
      <w:r>
        <w:rPr>
          <w:rStyle w:val="FootnoteReference"/>
        </w:rPr>
        <w:footnoteRef/>
      </w:r>
      <w:r>
        <w:t xml:space="preserve"> </w:t>
      </w:r>
      <w:r>
        <w:tab/>
        <w:t>66 Pa.C.S. § 701.</w:t>
      </w:r>
    </w:p>
    <w:p w:rsidR="0098528A" w:rsidRDefault="0098528A" w:rsidP="00A21F99">
      <w:pPr>
        <w:pStyle w:val="FootnoteText"/>
      </w:pPr>
    </w:p>
  </w:footnote>
  <w:footnote w:id="4">
    <w:p w:rsidR="00A21F99" w:rsidRDefault="00A21F99" w:rsidP="00A21F99">
      <w:pPr>
        <w:pStyle w:val="FootnoteText"/>
      </w:pPr>
      <w:r>
        <w:rPr>
          <w:rStyle w:val="FootnoteReference"/>
        </w:rPr>
        <w:footnoteRef/>
      </w:r>
      <w:r>
        <w:t xml:space="preserve"> </w:t>
      </w:r>
      <w:r>
        <w:tab/>
        <w:t>54 Pa. PUC 98 (1980)</w:t>
      </w:r>
      <w:r w:rsidR="00515E96">
        <w:t xml:space="preserve"> (</w:t>
      </w:r>
      <w:r w:rsidR="00515E96" w:rsidRPr="00515E96">
        <w:rPr>
          <w:i/>
        </w:rPr>
        <w:t>Waldron</w:t>
      </w:r>
      <w:r w:rsidR="00515E96">
        <w:t>)</w:t>
      </w:r>
      <w:r>
        <w:t>.</w:t>
      </w:r>
    </w:p>
    <w:p w:rsidR="0098528A" w:rsidRDefault="0098528A" w:rsidP="00A21F99">
      <w:pPr>
        <w:pStyle w:val="FootnoteText"/>
      </w:pPr>
    </w:p>
  </w:footnote>
  <w:footnote w:id="5">
    <w:p w:rsidR="0098528A" w:rsidRDefault="00A21F99" w:rsidP="00A21F99">
      <w:pPr>
        <w:pStyle w:val="FootnoteText"/>
      </w:pPr>
      <w:r>
        <w:rPr>
          <w:rStyle w:val="FootnoteReference"/>
        </w:rPr>
        <w:footnoteRef/>
      </w:r>
      <w:r>
        <w:t xml:space="preserve"> </w:t>
      </w:r>
      <w:r>
        <w:tab/>
        <w:t>768 A.2d 1217 (Pa.Cmwlth. 2001) (</w:t>
      </w:r>
      <w:r>
        <w:rPr>
          <w:i/>
        </w:rPr>
        <w:t>Milkie</w:t>
      </w:r>
      <w:r>
        <w:t xml:space="preserve">). </w:t>
      </w:r>
    </w:p>
    <w:p w:rsidR="00A21F99" w:rsidRDefault="00A21F99" w:rsidP="00A21F99">
      <w:pPr>
        <w:pStyle w:val="FootnoteText"/>
      </w:pPr>
      <w:r>
        <w:t xml:space="preserve"> </w:t>
      </w:r>
    </w:p>
  </w:footnote>
  <w:footnote w:id="6">
    <w:p w:rsidR="00A21F99" w:rsidRDefault="00A21F99" w:rsidP="00A21F99">
      <w:pPr>
        <w:pStyle w:val="FootnoteText"/>
      </w:pPr>
      <w:r>
        <w:rPr>
          <w:rStyle w:val="FootnoteReference"/>
        </w:rPr>
        <w:footnoteRef/>
      </w:r>
      <w:r>
        <w:t xml:space="preserve"> </w:t>
      </w:r>
      <w:r>
        <w:tab/>
      </w:r>
      <w:r>
        <w:rPr>
          <w:i/>
        </w:rPr>
        <w:t>Bennett v</w:t>
      </w:r>
      <w:r w:rsidR="002013C2">
        <w:rPr>
          <w:i/>
        </w:rPr>
        <w:t>.</w:t>
      </w:r>
      <w:r>
        <w:rPr>
          <w:i/>
        </w:rPr>
        <w:t xml:space="preserve"> Peoples Natural Gas Co.</w:t>
      </w:r>
      <w:r>
        <w:t xml:space="preserve">, Docket No. C-2009-2122979 (Order entered October 13, 2010); </w:t>
      </w:r>
      <w:r>
        <w:rPr>
          <w:i/>
        </w:rPr>
        <w:t>Thomas v</w:t>
      </w:r>
      <w:r w:rsidR="002013C2">
        <w:rPr>
          <w:i/>
        </w:rPr>
        <w:t>.</w:t>
      </w:r>
      <w:r>
        <w:rPr>
          <w:i/>
        </w:rPr>
        <w:t xml:space="preserve"> PECO Energy Co.,</w:t>
      </w:r>
      <w:r>
        <w:t xml:space="preserve"> Docket No. C-2010-2187197 (Order entered November 15, 2011) .</w:t>
      </w:r>
    </w:p>
    <w:p w:rsidR="00A21F99" w:rsidRDefault="00A21F99" w:rsidP="00A21F99">
      <w:pPr>
        <w:pStyle w:val="FootnoteText"/>
      </w:pPr>
      <w:r>
        <w:t xml:space="preserve"> </w:t>
      </w:r>
    </w:p>
  </w:footnote>
  <w:footnote w:id="7">
    <w:p w:rsidR="00A21F99" w:rsidRDefault="00A21F99" w:rsidP="00A21F99">
      <w:pPr>
        <w:pStyle w:val="FootnoteText"/>
      </w:pPr>
      <w:r>
        <w:rPr>
          <w:rStyle w:val="FootnoteReference"/>
        </w:rPr>
        <w:footnoteRef/>
      </w:r>
      <w:r>
        <w:t xml:space="preserve"> </w:t>
      </w:r>
      <w:r>
        <w:tab/>
      </w:r>
      <w:r>
        <w:rPr>
          <w:i/>
        </w:rPr>
        <w:t xml:space="preserve">Bennett, </w:t>
      </w:r>
      <w:r>
        <w:t>Slip op. at 7.</w:t>
      </w:r>
    </w:p>
  </w:footnote>
  <w:footnote w:id="8">
    <w:p w:rsidR="00A21F99" w:rsidRDefault="00A21F99" w:rsidP="00A21F99">
      <w:pPr>
        <w:pStyle w:val="FootnoteText"/>
      </w:pPr>
      <w:r>
        <w:rPr>
          <w:rStyle w:val="FootnoteReference"/>
        </w:rPr>
        <w:footnoteRef/>
      </w:r>
      <w:r>
        <w:t xml:space="preserve">  </w:t>
      </w:r>
      <w:r>
        <w:tab/>
        <w:t>Complaint at Paragraph 4(2).</w:t>
      </w:r>
    </w:p>
    <w:p w:rsidR="0098528A" w:rsidRDefault="0098528A" w:rsidP="00A21F99">
      <w:pPr>
        <w:pStyle w:val="FootnoteText"/>
      </w:pPr>
    </w:p>
  </w:footnote>
  <w:footnote w:id="9">
    <w:p w:rsidR="00A21F99" w:rsidRDefault="00A21F99" w:rsidP="00A21F99">
      <w:pPr>
        <w:pStyle w:val="FootnoteText"/>
      </w:pPr>
      <w:r>
        <w:rPr>
          <w:rStyle w:val="FootnoteReference"/>
        </w:rPr>
        <w:footnoteRef/>
      </w:r>
      <w:r>
        <w:t xml:space="preserve">  </w:t>
      </w:r>
      <w:r>
        <w:tab/>
        <w:t xml:space="preserve">Complaint </w:t>
      </w:r>
      <w:r w:rsidR="002013C2">
        <w:t xml:space="preserve">at </w:t>
      </w:r>
      <w:r>
        <w:t>Paragraph 5(i).  The Complainant also notes that she is seeking relief from the Attorney General’s Office relating to the claims against the landlord of the premises.</w:t>
      </w:r>
    </w:p>
    <w:p w:rsidR="0098528A" w:rsidRDefault="0098528A" w:rsidP="00A21F99">
      <w:pPr>
        <w:pStyle w:val="FootnoteText"/>
      </w:pPr>
    </w:p>
  </w:footnote>
  <w:footnote w:id="10">
    <w:p w:rsidR="00A21F99" w:rsidRDefault="00A21F99" w:rsidP="00A21F99">
      <w:pPr>
        <w:pStyle w:val="FootnoteText"/>
      </w:pPr>
      <w:r>
        <w:rPr>
          <w:rStyle w:val="FootnoteReference"/>
        </w:rPr>
        <w:footnoteRef/>
      </w:r>
      <w:r>
        <w:t xml:space="preserve">  </w:t>
      </w:r>
      <w:r>
        <w:tab/>
        <w:t>At the hearing an</w:t>
      </w:r>
      <w:r w:rsidR="002013C2">
        <w:t>d</w:t>
      </w:r>
      <w:r>
        <w:t xml:space="preserve"> in her briefs, the Complainant also raised disputes concerning an amount transferred to the account for the Service Address related to her Duquesne Light </w:t>
      </w:r>
      <w:r w:rsidR="002013C2">
        <w:t xml:space="preserve">account </w:t>
      </w:r>
      <w:r>
        <w:t>at a prior address and also appeared to dispute what she viewed as “discrepancies” between her Duquesne Light billing and charges related to her electricity supplier, Direct Energy.  However, neither of these issues was raised in her initial complaint, but were addressed for the first time at the hearing.  Duquesne Light had no notice of these claims and was not prepared to defend the claims.  Accordingly, the Complainant was instructed at the hearing that if she wanted to address these matters, she would have to file an additional complaint.</w:t>
      </w:r>
    </w:p>
  </w:footnote>
  <w:footnote w:id="11">
    <w:p w:rsidR="00A21F99" w:rsidRDefault="00A21F99" w:rsidP="00A21F99">
      <w:pPr>
        <w:pStyle w:val="FootnoteText"/>
      </w:pPr>
      <w:r>
        <w:rPr>
          <w:rStyle w:val="FootnoteReference"/>
        </w:rPr>
        <w:footnoteRef/>
      </w:r>
      <w:r>
        <w:t xml:space="preserve">  </w:t>
      </w:r>
      <w:r>
        <w:tab/>
        <w:t xml:space="preserve">66 Pa.C.S. § 1501; </w:t>
      </w:r>
      <w:r>
        <w:rPr>
          <w:i/>
        </w:rPr>
        <w:t>E.g., Bertsch v. PPL Electric Utilities Corporation,</w:t>
      </w:r>
      <w:r>
        <w:t xml:space="preserve"> PUC Docket No. </w:t>
      </w:r>
      <w:r>
        <w:rPr>
          <w:spacing w:val="-3"/>
        </w:rPr>
        <w:t>C-2011-2251784 (</w:t>
      </w:r>
      <w:r>
        <w:t>Final Order April 2, 2012).</w:t>
      </w:r>
    </w:p>
    <w:p w:rsidR="0098528A" w:rsidRDefault="0098528A" w:rsidP="00A21F99">
      <w:pPr>
        <w:pStyle w:val="FootnoteText"/>
      </w:pPr>
    </w:p>
  </w:footnote>
  <w:footnote w:id="12">
    <w:p w:rsidR="00A21F99" w:rsidRDefault="00A21F99" w:rsidP="00A21F99">
      <w:pPr>
        <w:pStyle w:val="FootnoteText"/>
        <w:rPr>
          <w:snapToGrid w:val="0"/>
        </w:rPr>
      </w:pPr>
      <w:r>
        <w:rPr>
          <w:rStyle w:val="FootnoteReference"/>
        </w:rPr>
        <w:footnoteRef/>
      </w:r>
      <w:r>
        <w:t xml:space="preserve"> </w:t>
      </w:r>
      <w:r>
        <w:tab/>
      </w:r>
      <w:r>
        <w:rPr>
          <w:snapToGrid w:val="0"/>
        </w:rPr>
        <w:t>66 Pa.C.S. § 3301.</w:t>
      </w:r>
    </w:p>
    <w:p w:rsidR="0098528A" w:rsidRDefault="0098528A" w:rsidP="00A21F99">
      <w:pPr>
        <w:pStyle w:val="FootnoteText"/>
      </w:pPr>
    </w:p>
  </w:footnote>
  <w:footnote w:id="13">
    <w:p w:rsidR="00A21F99" w:rsidRDefault="00A21F99" w:rsidP="00A21F99">
      <w:pPr>
        <w:pStyle w:val="FootnoteText"/>
        <w:rPr>
          <w:snapToGrid w:val="0"/>
        </w:rPr>
      </w:pPr>
      <w:r>
        <w:rPr>
          <w:rStyle w:val="FootnoteReference"/>
        </w:rPr>
        <w:footnoteRef/>
      </w:r>
      <w:r>
        <w:t xml:space="preserve">  </w:t>
      </w:r>
      <w:r>
        <w:tab/>
      </w:r>
      <w:r>
        <w:rPr>
          <w:i/>
          <w:snapToGrid w:val="0"/>
        </w:rPr>
        <w:t>See</w:t>
      </w:r>
      <w:r>
        <w:rPr>
          <w:snapToGrid w:val="0"/>
        </w:rPr>
        <w:t xml:space="preserve"> 52 Pa.Code § 69.1201; </w:t>
      </w:r>
      <w:r>
        <w:rPr>
          <w:i/>
          <w:snapToGrid w:val="0"/>
        </w:rPr>
        <w:t>see also, Rosi v. Bell Atlantic-Pa., Inc. and Sprint Communica</w:t>
      </w:r>
      <w:r>
        <w:rPr>
          <w:i/>
          <w:snapToGrid w:val="0"/>
        </w:rPr>
        <w:softHyphen/>
        <w:t>tions Company</w:t>
      </w:r>
      <w:r>
        <w:rPr>
          <w:snapToGrid w:val="0"/>
        </w:rPr>
        <w:t>, Docket No. C</w:t>
      </w:r>
      <w:r>
        <w:rPr>
          <w:snapToGrid w:val="0"/>
        </w:rPr>
        <w:noBreakHyphen/>
        <w:t>00992409 (Order entered February 10, 2000) (</w:t>
      </w:r>
      <w:r>
        <w:rPr>
          <w:i/>
          <w:snapToGrid w:val="0"/>
        </w:rPr>
        <w:t>Rosi</w:t>
      </w:r>
      <w:r>
        <w:rPr>
          <w:snapToGrid w:val="0"/>
        </w:rPr>
        <w:t>).</w:t>
      </w:r>
    </w:p>
    <w:p w:rsidR="00B53859" w:rsidRDefault="00B53859" w:rsidP="00A21F99">
      <w:pPr>
        <w:pStyle w:val="FootnoteText"/>
      </w:pPr>
    </w:p>
  </w:footnote>
  <w:footnote w:id="14">
    <w:p w:rsidR="00A21F99" w:rsidRDefault="00A21F99" w:rsidP="00A21F99">
      <w:pPr>
        <w:pStyle w:val="FootnoteText"/>
      </w:pPr>
      <w:r>
        <w:rPr>
          <w:rStyle w:val="FootnoteReference"/>
        </w:rPr>
        <w:footnoteRef/>
      </w:r>
      <w:r>
        <w:t xml:space="preserve"> </w:t>
      </w:r>
      <w:r>
        <w:tab/>
        <w:t xml:space="preserve"> 52 Pa.Code § 69.1201(a).  </w:t>
      </w:r>
    </w:p>
  </w:footnote>
  <w:footnote w:id="15">
    <w:p w:rsidR="00A21F99" w:rsidRDefault="00A21F99" w:rsidP="00A21F99">
      <w:pPr>
        <w:pStyle w:val="FootnoteText"/>
      </w:pPr>
      <w:r>
        <w:rPr>
          <w:rStyle w:val="FootnoteReference"/>
        </w:rPr>
        <w:footnoteRef/>
      </w:r>
      <w:r>
        <w:t xml:space="preserve">  </w:t>
      </w:r>
      <w:r>
        <w:tab/>
        <w:t>52 Pa.Code § 69.1201(c).</w:t>
      </w:r>
    </w:p>
    <w:p w:rsidR="0098528A" w:rsidRDefault="0098528A" w:rsidP="00A21F99">
      <w:pPr>
        <w:pStyle w:val="FootnoteText"/>
      </w:pPr>
    </w:p>
  </w:footnote>
  <w:footnote w:id="16">
    <w:p w:rsidR="00515E96" w:rsidRDefault="00515E96">
      <w:pPr>
        <w:pStyle w:val="FootnoteText"/>
      </w:pPr>
      <w:r>
        <w:rPr>
          <w:rStyle w:val="FootnoteReference"/>
        </w:rPr>
        <w:footnoteRef/>
      </w:r>
      <w:r>
        <w:t xml:space="preserve"> </w:t>
      </w:r>
      <w:r>
        <w:tab/>
        <w:t>52 Pa.Code § 69.1201(c)(5).</w:t>
      </w:r>
    </w:p>
    <w:p w:rsidR="00515E96" w:rsidRDefault="00515E96">
      <w:pPr>
        <w:pStyle w:val="FootnoteText"/>
      </w:pPr>
    </w:p>
  </w:footnote>
  <w:footnote w:id="17">
    <w:p w:rsidR="00A21F99" w:rsidRDefault="00A21F99" w:rsidP="00A21F99">
      <w:pPr>
        <w:pStyle w:val="FootnoteText"/>
      </w:pPr>
      <w:r>
        <w:rPr>
          <w:rStyle w:val="FootnoteReference"/>
        </w:rPr>
        <w:footnoteRef/>
      </w:r>
      <w:r>
        <w:t xml:space="preserve">  </w:t>
      </w:r>
      <w:r>
        <w:tab/>
        <w:t>52 Pa.Code §§ 69.1201(c)(1), (c)(2).</w:t>
      </w:r>
    </w:p>
    <w:p w:rsidR="0098528A" w:rsidRDefault="0098528A" w:rsidP="00A21F99">
      <w:pPr>
        <w:pStyle w:val="FootnoteText"/>
      </w:pPr>
    </w:p>
  </w:footnote>
  <w:footnote w:id="18">
    <w:p w:rsidR="00A21F99" w:rsidRDefault="00A21F99" w:rsidP="00A21F99">
      <w:pPr>
        <w:pStyle w:val="FootnoteText"/>
      </w:pPr>
      <w:r>
        <w:rPr>
          <w:rStyle w:val="FootnoteReference"/>
        </w:rPr>
        <w:footnoteRef/>
      </w:r>
      <w:r>
        <w:t xml:space="preserve">  </w:t>
      </w:r>
      <w:r>
        <w:tab/>
        <w:t>52 Pa.Code §§ 69.1201(c)(3), (c)(4).</w:t>
      </w:r>
    </w:p>
    <w:p w:rsidR="0098528A" w:rsidRDefault="0098528A" w:rsidP="00A21F99">
      <w:pPr>
        <w:pStyle w:val="FootnoteText"/>
      </w:pPr>
    </w:p>
  </w:footnote>
  <w:footnote w:id="19">
    <w:p w:rsidR="00A21F99" w:rsidRDefault="00A21F99" w:rsidP="00A21F99">
      <w:pPr>
        <w:pStyle w:val="FootnoteText"/>
      </w:pPr>
      <w:r>
        <w:rPr>
          <w:rStyle w:val="FootnoteReference"/>
        </w:rPr>
        <w:footnoteRef/>
      </w:r>
      <w:r>
        <w:t xml:space="preserve">  </w:t>
      </w:r>
      <w:r>
        <w:tab/>
        <w:t>52 Pa.Code §§ 69.1201(c)(6), (c)(7), (c)(9).</w:t>
      </w:r>
    </w:p>
    <w:p w:rsidR="0098528A" w:rsidRDefault="0098528A" w:rsidP="00A21F99">
      <w:pPr>
        <w:pStyle w:val="FootnoteText"/>
      </w:pPr>
    </w:p>
  </w:footnote>
  <w:footnote w:id="20">
    <w:p w:rsidR="00A21F99" w:rsidRDefault="00A21F99" w:rsidP="00A21F99">
      <w:pPr>
        <w:pStyle w:val="FootnoteText"/>
      </w:pPr>
      <w:r>
        <w:rPr>
          <w:rStyle w:val="FootnoteReference"/>
        </w:rPr>
        <w:footnoteRef/>
      </w:r>
      <w:r>
        <w:t xml:space="preserve">  </w:t>
      </w:r>
      <w:r>
        <w:tab/>
        <w:t xml:space="preserve">52 Pa.Code § </w:t>
      </w:r>
      <w:r w:rsidR="00A10B41">
        <w:t>69.</w:t>
      </w:r>
      <w:r>
        <w:t>1201(c)(8).</w:t>
      </w:r>
    </w:p>
    <w:p w:rsidR="00515E96" w:rsidRDefault="00515E96" w:rsidP="00A21F99">
      <w:pPr>
        <w:pStyle w:val="FootnoteText"/>
      </w:pPr>
    </w:p>
  </w:footnote>
  <w:footnote w:id="21">
    <w:p w:rsidR="00515E96" w:rsidRDefault="00515E96" w:rsidP="00515E96">
      <w:pPr>
        <w:pStyle w:val="FootnoteText"/>
      </w:pPr>
      <w:r>
        <w:rPr>
          <w:rStyle w:val="FootnoteReference"/>
        </w:rPr>
        <w:footnoteRef/>
      </w:r>
      <w:r>
        <w:t xml:space="preserve"> </w:t>
      </w:r>
      <w:r>
        <w:tab/>
        <w:t xml:space="preserve">52 Pa.Code </w:t>
      </w:r>
      <w:r>
        <w:t xml:space="preserve">§ </w:t>
      </w:r>
      <w:r>
        <w:t>69.1201</w:t>
      </w:r>
      <w:r>
        <w:t>(c)</w:t>
      </w:r>
      <w:r>
        <w:t>(10)</w:t>
      </w:r>
      <w:r>
        <w:t>.</w:t>
      </w:r>
    </w:p>
    <w:p w:rsidR="00515E96" w:rsidRDefault="00515E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85637B"/>
    <w:multiLevelType w:val="hybridMultilevel"/>
    <w:tmpl w:val="76EEEB96"/>
    <w:lvl w:ilvl="0" w:tplc="6DB4F5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AC4007"/>
    <w:multiLevelType w:val="hybridMultilevel"/>
    <w:tmpl w:val="E6608E74"/>
    <w:lvl w:ilvl="0" w:tplc="8F5C5B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2"/>
  </w:num>
  <w:num w:numId="3">
    <w:abstractNumId w:val="2"/>
    <w:lvlOverride w:ilvl="0">
      <w:startOverride w:val="1"/>
    </w:lvlOverride>
  </w:num>
  <w:num w:numId="4">
    <w:abstractNumId w:val="0"/>
  </w:num>
  <w:num w:numId="5">
    <w:abstractNumId w:val="3"/>
  </w:num>
  <w:num w:numId="6">
    <w:abstractNumId w:val="3"/>
    <w:lvlOverride w:ilvl="0">
      <w:startOverride w:val="1"/>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614DB"/>
    <w:rsid w:val="00076AB6"/>
    <w:rsid w:val="0008404B"/>
    <w:rsid w:val="000A46E8"/>
    <w:rsid w:val="000E527B"/>
    <w:rsid w:val="000F718A"/>
    <w:rsid w:val="00143187"/>
    <w:rsid w:val="00143935"/>
    <w:rsid w:val="001601CE"/>
    <w:rsid w:val="0017554E"/>
    <w:rsid w:val="001758F8"/>
    <w:rsid w:val="00177C1C"/>
    <w:rsid w:val="001932F7"/>
    <w:rsid w:val="001945B9"/>
    <w:rsid w:val="001A00E0"/>
    <w:rsid w:val="001A5484"/>
    <w:rsid w:val="001D7D3E"/>
    <w:rsid w:val="001E59B9"/>
    <w:rsid w:val="001F4423"/>
    <w:rsid w:val="001F59DC"/>
    <w:rsid w:val="002013C2"/>
    <w:rsid w:val="00227AFE"/>
    <w:rsid w:val="002414B5"/>
    <w:rsid w:val="00247900"/>
    <w:rsid w:val="00256B89"/>
    <w:rsid w:val="0026268C"/>
    <w:rsid w:val="00273ABB"/>
    <w:rsid w:val="00275A24"/>
    <w:rsid w:val="00295472"/>
    <w:rsid w:val="00295C39"/>
    <w:rsid w:val="002C634C"/>
    <w:rsid w:val="002D5E29"/>
    <w:rsid w:val="003232B1"/>
    <w:rsid w:val="00332CA0"/>
    <w:rsid w:val="003341C2"/>
    <w:rsid w:val="003612E1"/>
    <w:rsid w:val="00376B71"/>
    <w:rsid w:val="00385D0E"/>
    <w:rsid w:val="00393622"/>
    <w:rsid w:val="003C150F"/>
    <w:rsid w:val="003C5118"/>
    <w:rsid w:val="003D6CD2"/>
    <w:rsid w:val="003E24DA"/>
    <w:rsid w:val="004024E6"/>
    <w:rsid w:val="00412B85"/>
    <w:rsid w:val="0044702F"/>
    <w:rsid w:val="0047386A"/>
    <w:rsid w:val="0049263C"/>
    <w:rsid w:val="004D22DE"/>
    <w:rsid w:val="004E15BC"/>
    <w:rsid w:val="004E2FC1"/>
    <w:rsid w:val="004E477C"/>
    <w:rsid w:val="00504601"/>
    <w:rsid w:val="0051419B"/>
    <w:rsid w:val="00515E96"/>
    <w:rsid w:val="00560DC5"/>
    <w:rsid w:val="005712D8"/>
    <w:rsid w:val="005A1637"/>
    <w:rsid w:val="005B23DD"/>
    <w:rsid w:val="005D41E2"/>
    <w:rsid w:val="005E07F3"/>
    <w:rsid w:val="005F60D5"/>
    <w:rsid w:val="00616436"/>
    <w:rsid w:val="006226F3"/>
    <w:rsid w:val="00627A84"/>
    <w:rsid w:val="00627E74"/>
    <w:rsid w:val="00631A6B"/>
    <w:rsid w:val="00644991"/>
    <w:rsid w:val="00652CA9"/>
    <w:rsid w:val="006610FB"/>
    <w:rsid w:val="006675F1"/>
    <w:rsid w:val="00671FD6"/>
    <w:rsid w:val="0067466A"/>
    <w:rsid w:val="006754D0"/>
    <w:rsid w:val="00687145"/>
    <w:rsid w:val="006E2126"/>
    <w:rsid w:val="00706B87"/>
    <w:rsid w:val="00716FBF"/>
    <w:rsid w:val="007245C7"/>
    <w:rsid w:val="00740950"/>
    <w:rsid w:val="007539C9"/>
    <w:rsid w:val="007932DC"/>
    <w:rsid w:val="007C0A7A"/>
    <w:rsid w:val="007C6E31"/>
    <w:rsid w:val="007D3F4A"/>
    <w:rsid w:val="007E2C68"/>
    <w:rsid w:val="00802E8F"/>
    <w:rsid w:val="00803B70"/>
    <w:rsid w:val="0080557F"/>
    <w:rsid w:val="0081430B"/>
    <w:rsid w:val="0082264A"/>
    <w:rsid w:val="00834241"/>
    <w:rsid w:val="00844F99"/>
    <w:rsid w:val="00845FB1"/>
    <w:rsid w:val="00862A4A"/>
    <w:rsid w:val="00880739"/>
    <w:rsid w:val="00890D5D"/>
    <w:rsid w:val="008B3BC0"/>
    <w:rsid w:val="008C3295"/>
    <w:rsid w:val="008D4576"/>
    <w:rsid w:val="008D47D2"/>
    <w:rsid w:val="008D6D8C"/>
    <w:rsid w:val="00950F37"/>
    <w:rsid w:val="009562FD"/>
    <w:rsid w:val="0098034A"/>
    <w:rsid w:val="0098528A"/>
    <w:rsid w:val="009A091E"/>
    <w:rsid w:val="009A7B6A"/>
    <w:rsid w:val="009B2DA0"/>
    <w:rsid w:val="009D1A7F"/>
    <w:rsid w:val="00A07880"/>
    <w:rsid w:val="00A10B41"/>
    <w:rsid w:val="00A13B55"/>
    <w:rsid w:val="00A21F99"/>
    <w:rsid w:val="00A35024"/>
    <w:rsid w:val="00A37016"/>
    <w:rsid w:val="00A511A0"/>
    <w:rsid w:val="00A541B7"/>
    <w:rsid w:val="00A602D7"/>
    <w:rsid w:val="00A70419"/>
    <w:rsid w:val="00A73453"/>
    <w:rsid w:val="00A73D2F"/>
    <w:rsid w:val="00AB460E"/>
    <w:rsid w:val="00AC540C"/>
    <w:rsid w:val="00AD0EFA"/>
    <w:rsid w:val="00AE74A6"/>
    <w:rsid w:val="00AF6897"/>
    <w:rsid w:val="00B004A7"/>
    <w:rsid w:val="00B05F72"/>
    <w:rsid w:val="00B27AAA"/>
    <w:rsid w:val="00B5127B"/>
    <w:rsid w:val="00B51BB3"/>
    <w:rsid w:val="00B53859"/>
    <w:rsid w:val="00B56A3E"/>
    <w:rsid w:val="00B64556"/>
    <w:rsid w:val="00B66296"/>
    <w:rsid w:val="00B969A6"/>
    <w:rsid w:val="00BD0DF4"/>
    <w:rsid w:val="00BD12B4"/>
    <w:rsid w:val="00BD42BA"/>
    <w:rsid w:val="00BF4B6C"/>
    <w:rsid w:val="00C01328"/>
    <w:rsid w:val="00C07EAD"/>
    <w:rsid w:val="00C1344F"/>
    <w:rsid w:val="00C262F7"/>
    <w:rsid w:val="00C35505"/>
    <w:rsid w:val="00C43D5E"/>
    <w:rsid w:val="00C57E07"/>
    <w:rsid w:val="00C606BF"/>
    <w:rsid w:val="00C666FF"/>
    <w:rsid w:val="00C828D6"/>
    <w:rsid w:val="00C837A6"/>
    <w:rsid w:val="00C84E88"/>
    <w:rsid w:val="00C86EBF"/>
    <w:rsid w:val="00CA17C0"/>
    <w:rsid w:val="00CB077E"/>
    <w:rsid w:val="00CD44B0"/>
    <w:rsid w:val="00D0286E"/>
    <w:rsid w:val="00D21FF1"/>
    <w:rsid w:val="00D418BF"/>
    <w:rsid w:val="00D6042D"/>
    <w:rsid w:val="00D64EDE"/>
    <w:rsid w:val="00D64EFD"/>
    <w:rsid w:val="00D709D1"/>
    <w:rsid w:val="00D93E5C"/>
    <w:rsid w:val="00DA0FE3"/>
    <w:rsid w:val="00DC3080"/>
    <w:rsid w:val="00DE7C21"/>
    <w:rsid w:val="00E42AC8"/>
    <w:rsid w:val="00E622C4"/>
    <w:rsid w:val="00E653F8"/>
    <w:rsid w:val="00E9168E"/>
    <w:rsid w:val="00E93582"/>
    <w:rsid w:val="00EF1478"/>
    <w:rsid w:val="00EF3C29"/>
    <w:rsid w:val="00F10391"/>
    <w:rsid w:val="00F10D22"/>
    <w:rsid w:val="00F4404F"/>
    <w:rsid w:val="00F45549"/>
    <w:rsid w:val="00F46B96"/>
    <w:rsid w:val="00F66E07"/>
    <w:rsid w:val="00F70414"/>
    <w:rsid w:val="00F97276"/>
    <w:rsid w:val="00FA52E1"/>
    <w:rsid w:val="00FA7354"/>
    <w:rsid w:val="00FC0452"/>
    <w:rsid w:val="00FC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0E527B"/>
    <w:rPr>
      <w:rFonts w:ascii="Tahoma" w:hAnsi="Tahoma" w:cs="Tahoma"/>
      <w:sz w:val="16"/>
      <w:szCs w:val="16"/>
    </w:rPr>
  </w:style>
  <w:style w:type="character" w:customStyle="1" w:styleId="BalloonTextChar">
    <w:name w:val="Balloon Text Char"/>
    <w:basedOn w:val="DefaultParagraphFont"/>
    <w:link w:val="BalloonText"/>
    <w:rsid w:val="000E5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0E527B"/>
    <w:rPr>
      <w:rFonts w:ascii="Tahoma" w:hAnsi="Tahoma" w:cs="Tahoma"/>
      <w:sz w:val="16"/>
      <w:szCs w:val="16"/>
    </w:rPr>
  </w:style>
  <w:style w:type="character" w:customStyle="1" w:styleId="BalloonTextChar">
    <w:name w:val="Balloon Text Char"/>
    <w:basedOn w:val="DefaultParagraphFont"/>
    <w:link w:val="BalloonText"/>
    <w:rsid w:val="000E5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09366653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EBD6-D43F-4A4D-8F0C-65021E43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16</cp:revision>
  <cp:lastPrinted>2014-03-03T12:47:00Z</cp:lastPrinted>
  <dcterms:created xsi:type="dcterms:W3CDTF">2014-02-21T15:24:00Z</dcterms:created>
  <dcterms:modified xsi:type="dcterms:W3CDTF">2014-03-03T12:51:00Z</dcterms:modified>
</cp:coreProperties>
</file>